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456" w:rsidRDefault="00644456">
      <w:pPr>
        <w:rPr>
          <w:rFonts w:cs="Times New Roman"/>
        </w:rPr>
      </w:pPr>
      <w:bookmarkStart w:id="0" w:name="_GoBack"/>
      <w:bookmarkEnd w:id="0"/>
    </w:p>
    <w:p w:rsidR="00644456" w:rsidRDefault="00644456">
      <w:pPr>
        <w:rPr>
          <w:rFonts w:cs="Times New Roman"/>
        </w:rPr>
      </w:pPr>
    </w:p>
    <w:p w:rsidR="00644456" w:rsidRDefault="00644456">
      <w:pPr>
        <w:spacing w:line="360" w:lineRule="auto"/>
        <w:ind w:firstLine="1040"/>
        <w:jc w:val="center"/>
        <w:rPr>
          <w:rFonts w:cs="Times New Roman"/>
          <w:b/>
          <w:sz w:val="52"/>
          <w:szCs w:val="52"/>
        </w:rPr>
      </w:pPr>
    </w:p>
    <w:p w:rsidR="00644456" w:rsidRDefault="008031C4">
      <w:pPr>
        <w:adjustRightInd w:val="0"/>
        <w:snapToGrid w:val="0"/>
        <w:spacing w:line="360" w:lineRule="auto"/>
        <w:jc w:val="center"/>
        <w:rPr>
          <w:rFonts w:cs="Times New Roman"/>
          <w:b/>
          <w:sz w:val="96"/>
          <w:szCs w:val="96"/>
        </w:rPr>
      </w:pPr>
      <w:r>
        <w:rPr>
          <w:rFonts w:cs="Times New Roman" w:hint="eastAsia"/>
          <w:b/>
          <w:sz w:val="52"/>
          <w:szCs w:val="52"/>
        </w:rPr>
        <w:t>喀什正启节能环保科技有限公司废矿物油再生与利用项目</w:t>
      </w:r>
    </w:p>
    <w:p w:rsidR="00644456" w:rsidRDefault="008031C4">
      <w:pPr>
        <w:adjustRightInd w:val="0"/>
        <w:jc w:val="center"/>
        <w:rPr>
          <w:rFonts w:cs="Times New Roman"/>
          <w:b/>
          <w:sz w:val="96"/>
          <w:szCs w:val="96"/>
        </w:rPr>
      </w:pPr>
      <w:r>
        <w:rPr>
          <w:rFonts w:cs="Times New Roman"/>
          <w:b/>
          <w:sz w:val="96"/>
          <w:szCs w:val="96"/>
        </w:rPr>
        <w:t>环境影响报告书</w:t>
      </w:r>
    </w:p>
    <w:p w:rsidR="00644456" w:rsidRDefault="00644456">
      <w:pPr>
        <w:ind w:firstLine="880"/>
        <w:jc w:val="center"/>
        <w:rPr>
          <w:rFonts w:cs="Times New Roman"/>
          <w:b/>
          <w:sz w:val="44"/>
          <w:szCs w:val="44"/>
        </w:rPr>
      </w:pPr>
    </w:p>
    <w:p w:rsidR="00644456" w:rsidRDefault="008031C4">
      <w:pPr>
        <w:ind w:firstLine="880"/>
        <w:jc w:val="center"/>
        <w:rPr>
          <w:rFonts w:cs="Times New Roman"/>
          <w:b/>
          <w:sz w:val="44"/>
          <w:szCs w:val="44"/>
        </w:rPr>
      </w:pPr>
      <w:r>
        <w:rPr>
          <w:rFonts w:cs="Times New Roman"/>
          <w:b/>
          <w:sz w:val="44"/>
          <w:szCs w:val="44"/>
        </w:rPr>
        <w:t>（</w:t>
      </w:r>
      <w:r>
        <w:rPr>
          <w:rFonts w:cs="Times New Roman" w:hint="eastAsia"/>
          <w:b/>
          <w:sz w:val="44"/>
          <w:szCs w:val="44"/>
        </w:rPr>
        <w:t>送审</w:t>
      </w:r>
      <w:r>
        <w:rPr>
          <w:rFonts w:cs="Times New Roman"/>
          <w:b/>
          <w:sz w:val="44"/>
          <w:szCs w:val="44"/>
        </w:rPr>
        <w:t>本）</w:t>
      </w:r>
    </w:p>
    <w:p w:rsidR="00644456" w:rsidRDefault="00644456">
      <w:pPr>
        <w:pStyle w:val="aff4"/>
        <w:spacing w:line="360" w:lineRule="auto"/>
        <w:ind w:firstLine="480"/>
        <w:rPr>
          <w:rFonts w:ascii="Times New Roman" w:hAnsi="Times New Roman"/>
          <w:b/>
          <w:sz w:val="24"/>
          <w:szCs w:val="24"/>
          <w:highlight w:val="yellow"/>
        </w:rPr>
      </w:pPr>
    </w:p>
    <w:p w:rsidR="00644456" w:rsidRDefault="00644456">
      <w:pPr>
        <w:rPr>
          <w:rFonts w:cs="Times New Roman"/>
        </w:rPr>
      </w:pPr>
    </w:p>
    <w:p w:rsidR="00644456" w:rsidRDefault="00644456">
      <w:pPr>
        <w:pStyle w:val="aff2"/>
        <w:ind w:left="0"/>
        <w:rPr>
          <w:rFonts w:ascii="Times New Roman" w:eastAsia="宋体" w:hAnsi="Times New Roman" w:cs="Times New Roman"/>
        </w:rPr>
      </w:pPr>
    </w:p>
    <w:p w:rsidR="00644456" w:rsidRDefault="00644456">
      <w:pPr>
        <w:rPr>
          <w:rFonts w:cs="Times New Roman"/>
        </w:rPr>
      </w:pPr>
    </w:p>
    <w:p w:rsidR="00644456" w:rsidRDefault="00644456">
      <w:pPr>
        <w:rPr>
          <w:rFonts w:cs="Times New Roman"/>
        </w:rPr>
      </w:pPr>
    </w:p>
    <w:p w:rsidR="00644456" w:rsidRDefault="00644456">
      <w:pPr>
        <w:rPr>
          <w:rFonts w:cs="Times New Roman"/>
        </w:rPr>
      </w:pPr>
    </w:p>
    <w:p w:rsidR="00644456" w:rsidRDefault="00644456">
      <w:pPr>
        <w:rPr>
          <w:rFonts w:cs="Times New Roman"/>
        </w:rPr>
      </w:pPr>
    </w:p>
    <w:p w:rsidR="00644456" w:rsidRDefault="00644456">
      <w:pPr>
        <w:rPr>
          <w:rFonts w:cs="Times New Roman"/>
        </w:rPr>
      </w:pPr>
    </w:p>
    <w:p w:rsidR="00644456" w:rsidRDefault="00644456">
      <w:pPr>
        <w:pStyle w:val="aff2"/>
        <w:rPr>
          <w:rFonts w:ascii="Times New Roman" w:eastAsia="宋体" w:hAnsi="Times New Roman" w:cs="Times New Roman"/>
        </w:rPr>
      </w:pPr>
    </w:p>
    <w:p w:rsidR="00644456" w:rsidRDefault="00644456">
      <w:pPr>
        <w:rPr>
          <w:rFonts w:cs="Times New Roman"/>
        </w:rPr>
      </w:pPr>
    </w:p>
    <w:p w:rsidR="00644456" w:rsidRDefault="00644456">
      <w:pPr>
        <w:rPr>
          <w:rFonts w:cs="Times New Roman"/>
        </w:rPr>
      </w:pPr>
    </w:p>
    <w:p w:rsidR="00644456" w:rsidRDefault="00644456">
      <w:pPr>
        <w:pStyle w:val="Default"/>
        <w:rPr>
          <w:rFonts w:ascii="Times New Roman" w:eastAsia="宋体" w:hAnsi="Times New Roman" w:cs="Times New Roman"/>
          <w:color w:val="auto"/>
        </w:rPr>
      </w:pPr>
    </w:p>
    <w:p w:rsidR="00644456" w:rsidRDefault="00644456">
      <w:pPr>
        <w:pStyle w:val="Default"/>
        <w:rPr>
          <w:rFonts w:ascii="Times New Roman" w:eastAsia="宋体" w:hAnsi="Times New Roman" w:cs="Times New Roman"/>
          <w:color w:val="auto"/>
        </w:rPr>
      </w:pPr>
    </w:p>
    <w:p w:rsidR="00644456" w:rsidRDefault="00644456">
      <w:pPr>
        <w:pStyle w:val="Default"/>
        <w:rPr>
          <w:rFonts w:ascii="Times New Roman" w:eastAsia="宋体" w:hAnsi="Times New Roman" w:cs="Times New Roman"/>
          <w:color w:val="auto"/>
        </w:rPr>
      </w:pPr>
    </w:p>
    <w:p w:rsidR="00644456" w:rsidRDefault="00644456">
      <w:pPr>
        <w:pStyle w:val="Default"/>
        <w:rPr>
          <w:rFonts w:ascii="Times New Roman" w:eastAsia="宋体" w:hAnsi="Times New Roman" w:cs="Times New Roman"/>
          <w:color w:val="auto"/>
        </w:rPr>
      </w:pPr>
    </w:p>
    <w:p w:rsidR="00644456" w:rsidRDefault="00644456">
      <w:pPr>
        <w:pStyle w:val="Default"/>
        <w:rPr>
          <w:rFonts w:ascii="Times New Roman" w:eastAsia="宋体" w:hAnsi="Times New Roman" w:cs="Times New Roman"/>
          <w:color w:val="auto"/>
        </w:rPr>
      </w:pPr>
    </w:p>
    <w:p w:rsidR="00644456" w:rsidRDefault="00644456">
      <w:pPr>
        <w:pStyle w:val="a8"/>
        <w:ind w:firstLine="482"/>
        <w:rPr>
          <w:rFonts w:cs="Times New Roman"/>
        </w:rPr>
      </w:pPr>
    </w:p>
    <w:p w:rsidR="00644456" w:rsidRDefault="00644456">
      <w:pPr>
        <w:pStyle w:val="af2"/>
        <w:ind w:firstLine="482"/>
        <w:rPr>
          <w:rFonts w:ascii="Times New Roman"/>
        </w:rPr>
      </w:pPr>
    </w:p>
    <w:p w:rsidR="00644456" w:rsidRDefault="00644456">
      <w:pPr>
        <w:spacing w:line="360" w:lineRule="auto"/>
        <w:ind w:firstLine="600"/>
        <w:jc w:val="left"/>
        <w:rPr>
          <w:rFonts w:cs="Times New Roman"/>
          <w:b/>
          <w:bCs/>
          <w:sz w:val="30"/>
          <w:szCs w:val="30"/>
        </w:rPr>
      </w:pPr>
    </w:p>
    <w:p w:rsidR="00644456" w:rsidRDefault="008031C4">
      <w:pPr>
        <w:adjustRightInd w:val="0"/>
        <w:spacing w:line="360" w:lineRule="auto"/>
        <w:ind w:firstLine="600"/>
        <w:jc w:val="center"/>
        <w:rPr>
          <w:rFonts w:cs="Times New Roman"/>
          <w:b/>
          <w:bCs/>
          <w:sz w:val="30"/>
          <w:szCs w:val="30"/>
        </w:rPr>
      </w:pPr>
      <w:r>
        <w:rPr>
          <w:rFonts w:cs="Times New Roman"/>
          <w:b/>
          <w:bCs/>
          <w:sz w:val="30"/>
          <w:szCs w:val="30"/>
        </w:rPr>
        <w:t>编制单位：</w:t>
      </w:r>
      <w:r>
        <w:rPr>
          <w:rFonts w:cs="Times New Roman" w:hint="eastAsia"/>
          <w:b/>
          <w:bCs/>
          <w:sz w:val="30"/>
          <w:szCs w:val="30"/>
        </w:rPr>
        <w:t>新疆鑫旺德盛土地环境工程有限公司</w:t>
      </w:r>
    </w:p>
    <w:p w:rsidR="00644456" w:rsidRDefault="008031C4">
      <w:pPr>
        <w:adjustRightInd w:val="0"/>
        <w:spacing w:line="360" w:lineRule="auto"/>
        <w:ind w:firstLine="600"/>
        <w:jc w:val="center"/>
        <w:rPr>
          <w:rFonts w:cs="Times New Roman"/>
          <w:b/>
          <w:sz w:val="30"/>
          <w:szCs w:val="30"/>
        </w:rPr>
      </w:pPr>
      <w:r>
        <w:rPr>
          <w:rFonts w:cs="Times New Roman"/>
          <w:b/>
          <w:bCs/>
          <w:sz w:val="30"/>
          <w:szCs w:val="30"/>
        </w:rPr>
        <w:t>建设单位：</w:t>
      </w:r>
      <w:r>
        <w:rPr>
          <w:rFonts w:cs="Times New Roman" w:hint="eastAsia"/>
          <w:b/>
          <w:sz w:val="30"/>
          <w:szCs w:val="30"/>
        </w:rPr>
        <w:t>喀什正启节能环保科技有限公司</w:t>
      </w:r>
    </w:p>
    <w:p w:rsidR="00644456" w:rsidRDefault="008031C4">
      <w:pPr>
        <w:pStyle w:val="1f4"/>
        <w:widowControl w:val="0"/>
        <w:spacing w:beforeLines="50" w:before="120" w:after="10" w:line="360" w:lineRule="auto"/>
        <w:ind w:firstLineChars="0" w:firstLine="0"/>
        <w:jc w:val="center"/>
        <w:rPr>
          <w:b/>
          <w:bCs/>
          <w:sz w:val="30"/>
          <w:szCs w:val="30"/>
        </w:rPr>
        <w:sectPr w:rsidR="00644456">
          <w:pgSz w:w="11905" w:h="16838"/>
          <w:pgMar w:top="1440" w:right="1440" w:bottom="1440" w:left="1440" w:header="850" w:footer="992" w:gutter="0"/>
          <w:cols w:space="0"/>
          <w:docGrid w:linePitch="312"/>
        </w:sectPr>
      </w:pPr>
      <w:r>
        <w:rPr>
          <w:b/>
          <w:bCs/>
          <w:sz w:val="30"/>
          <w:szCs w:val="30"/>
        </w:rPr>
        <w:t>二〇二</w:t>
      </w:r>
      <w:r>
        <w:rPr>
          <w:rFonts w:hint="eastAsia"/>
          <w:b/>
          <w:bCs/>
          <w:sz w:val="30"/>
          <w:szCs w:val="30"/>
        </w:rPr>
        <w:t>四</w:t>
      </w:r>
      <w:r>
        <w:rPr>
          <w:b/>
          <w:bCs/>
          <w:sz w:val="30"/>
          <w:szCs w:val="30"/>
        </w:rPr>
        <w:t>年</w:t>
      </w:r>
      <w:r>
        <w:rPr>
          <w:rFonts w:hint="eastAsia"/>
          <w:b/>
          <w:bCs/>
          <w:sz w:val="30"/>
          <w:szCs w:val="30"/>
        </w:rPr>
        <w:t>十</w:t>
      </w:r>
      <w:r>
        <w:rPr>
          <w:b/>
          <w:bCs/>
          <w:sz w:val="30"/>
          <w:szCs w:val="30"/>
        </w:rPr>
        <w:t>月</w:t>
      </w:r>
    </w:p>
    <w:sdt>
      <w:sdtPr>
        <w:rPr>
          <w:lang w:val="zh-CN"/>
        </w:rPr>
        <w:id w:val="162675999"/>
        <w:docPartObj>
          <w:docPartGallery w:val="Table of Contents"/>
          <w:docPartUnique/>
        </w:docPartObj>
      </w:sdtPr>
      <w:sdtEndPr>
        <w:rPr>
          <w:b/>
          <w:bCs/>
        </w:rPr>
      </w:sdtEndPr>
      <w:sdtContent>
        <w:p w:rsidR="00644456" w:rsidRDefault="008031C4">
          <w:pPr>
            <w:snapToGrid w:val="0"/>
            <w:spacing w:line="360" w:lineRule="auto"/>
            <w:jc w:val="center"/>
            <w:rPr>
              <w:rFonts w:ascii="宋体" w:hAnsi="宋体"/>
              <w:color w:val="000000" w:themeColor="text1"/>
              <w:sz w:val="36"/>
              <w:szCs w:val="36"/>
            </w:rPr>
          </w:pPr>
          <w:r>
            <w:rPr>
              <w:rFonts w:ascii="宋体" w:hAnsi="宋体"/>
              <w:color w:val="000000" w:themeColor="text1"/>
              <w:sz w:val="36"/>
              <w:szCs w:val="36"/>
              <w:lang w:val="zh-CN"/>
            </w:rPr>
            <w:t>目录</w:t>
          </w:r>
        </w:p>
        <w:p w:rsidR="00644456" w:rsidRDefault="008031C4">
          <w:pPr>
            <w:pStyle w:val="15"/>
            <w:tabs>
              <w:tab w:val="right" w:leader="dot" w:pos="9015"/>
            </w:tabs>
            <w:rPr>
              <w:rFonts w:asciiTheme="minorHAnsi" w:eastAsiaTheme="minorEastAsia" w:hAnsiTheme="minorHAnsi"/>
              <w:b w:val="0"/>
              <w:sz w:val="21"/>
            </w:rPr>
          </w:pPr>
          <w:r>
            <w:rPr>
              <w:rFonts w:ascii="宋体" w:hAnsi="宋体" w:cs="Times New Roman"/>
              <w:b w:val="0"/>
              <w:color w:val="FF0000"/>
              <w:szCs w:val="24"/>
            </w:rPr>
            <w:fldChar w:fldCharType="begin"/>
          </w:r>
          <w:r>
            <w:rPr>
              <w:rFonts w:ascii="宋体" w:hAnsi="宋体" w:cs="Times New Roman"/>
              <w:b w:val="0"/>
              <w:color w:val="FF0000"/>
              <w:szCs w:val="24"/>
            </w:rPr>
            <w:instrText xml:space="preserve"> TOC \o "1-2" \h \z \u </w:instrText>
          </w:r>
          <w:r>
            <w:rPr>
              <w:rFonts w:ascii="宋体" w:hAnsi="宋体" w:cs="Times New Roman"/>
              <w:b w:val="0"/>
              <w:color w:val="FF0000"/>
              <w:szCs w:val="24"/>
            </w:rPr>
            <w:fldChar w:fldCharType="separate"/>
          </w:r>
          <w:hyperlink w:anchor="_Toc177216848" w:history="1">
            <w:r>
              <w:rPr>
                <w:rStyle w:val="afffff"/>
                <w:rFonts w:cs="Times New Roman"/>
              </w:rPr>
              <w:t>概述</w:t>
            </w:r>
            <w:r>
              <w:tab/>
            </w:r>
            <w:r>
              <w:fldChar w:fldCharType="begin"/>
            </w:r>
            <w:r>
              <w:instrText xml:space="preserve"> PAGEREF _Toc177216848 \h </w:instrText>
            </w:r>
            <w:r>
              <w:fldChar w:fldCharType="separate"/>
            </w:r>
            <w:r>
              <w:t>I</w:t>
            </w:r>
            <w:r>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49" w:history="1">
            <w:r w:rsidR="008031C4">
              <w:rPr>
                <w:rStyle w:val="afffff"/>
                <w:rFonts w:cs="Times New Roman"/>
              </w:rPr>
              <w:t>1</w:t>
            </w:r>
            <w:r w:rsidR="008031C4">
              <w:rPr>
                <w:rStyle w:val="afffff"/>
                <w:rFonts w:cs="Times New Roman"/>
              </w:rPr>
              <w:t>、项目由来及基本情况</w:t>
            </w:r>
            <w:r w:rsidR="008031C4">
              <w:tab/>
            </w:r>
            <w:r w:rsidR="008031C4">
              <w:fldChar w:fldCharType="begin"/>
            </w:r>
            <w:r w:rsidR="008031C4">
              <w:instrText xml:space="preserve"> PAGEREF _Toc177216849 \h </w:instrText>
            </w:r>
            <w:r w:rsidR="008031C4">
              <w:fldChar w:fldCharType="separate"/>
            </w:r>
            <w:r w:rsidR="008031C4">
              <w:t>I</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50" w:history="1">
            <w:r w:rsidR="008031C4">
              <w:rPr>
                <w:rStyle w:val="afffff"/>
                <w:rFonts w:cs="Times New Roman"/>
              </w:rPr>
              <w:t>2</w:t>
            </w:r>
            <w:r w:rsidR="008031C4">
              <w:rPr>
                <w:rStyle w:val="afffff"/>
                <w:rFonts w:cs="Times New Roman"/>
              </w:rPr>
              <w:t>、项目主要特点</w:t>
            </w:r>
            <w:r w:rsidR="008031C4">
              <w:tab/>
            </w:r>
            <w:r w:rsidR="008031C4">
              <w:fldChar w:fldCharType="begin"/>
            </w:r>
            <w:r w:rsidR="008031C4">
              <w:instrText xml:space="preserve"> PAGEREF _Toc177216850 \h </w:instrText>
            </w:r>
            <w:r w:rsidR="008031C4">
              <w:fldChar w:fldCharType="separate"/>
            </w:r>
            <w:r w:rsidR="008031C4">
              <w:t>II</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51" w:history="1">
            <w:r w:rsidR="008031C4">
              <w:rPr>
                <w:rStyle w:val="afffff"/>
                <w:rFonts w:cs="Times New Roman"/>
              </w:rPr>
              <w:t>3</w:t>
            </w:r>
            <w:r w:rsidR="008031C4">
              <w:rPr>
                <w:rStyle w:val="afffff"/>
                <w:rFonts w:cs="Times New Roman"/>
              </w:rPr>
              <w:t>、项目环境影响评价的工作过程</w:t>
            </w:r>
            <w:r w:rsidR="008031C4">
              <w:tab/>
            </w:r>
            <w:r w:rsidR="008031C4">
              <w:fldChar w:fldCharType="begin"/>
            </w:r>
            <w:r w:rsidR="008031C4">
              <w:instrText xml:space="preserve"> PAGEREF _Toc177216851 \h </w:instrText>
            </w:r>
            <w:r w:rsidR="008031C4">
              <w:fldChar w:fldCharType="separate"/>
            </w:r>
            <w:r w:rsidR="008031C4">
              <w:t>II</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52" w:history="1">
            <w:r w:rsidR="008031C4">
              <w:rPr>
                <w:rStyle w:val="afffff"/>
                <w:rFonts w:cs="Times New Roman"/>
              </w:rPr>
              <w:t>4</w:t>
            </w:r>
            <w:r w:rsidR="008031C4">
              <w:rPr>
                <w:rStyle w:val="afffff"/>
                <w:rFonts w:cs="Times New Roman"/>
              </w:rPr>
              <w:t>、项目所关注的主要环境问题及环境影响</w:t>
            </w:r>
            <w:r w:rsidR="008031C4">
              <w:tab/>
            </w:r>
            <w:r w:rsidR="008031C4">
              <w:fldChar w:fldCharType="begin"/>
            </w:r>
            <w:r w:rsidR="008031C4">
              <w:instrText xml:space="preserve"> PAGEREF _Toc177216852 \h </w:instrText>
            </w:r>
            <w:r w:rsidR="008031C4">
              <w:fldChar w:fldCharType="separate"/>
            </w:r>
            <w:r w:rsidR="008031C4">
              <w:t>IV</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53" w:history="1">
            <w:r w:rsidR="008031C4">
              <w:rPr>
                <w:rStyle w:val="afffff"/>
                <w:rFonts w:cs="Times New Roman"/>
              </w:rPr>
              <w:t>5</w:t>
            </w:r>
            <w:r w:rsidR="008031C4">
              <w:rPr>
                <w:rStyle w:val="afffff"/>
                <w:rFonts w:cs="Times New Roman"/>
              </w:rPr>
              <w:t>、环境影响报告书的主要结论</w:t>
            </w:r>
            <w:r w:rsidR="008031C4">
              <w:tab/>
            </w:r>
            <w:r w:rsidR="008031C4">
              <w:fldChar w:fldCharType="begin"/>
            </w:r>
            <w:r w:rsidR="008031C4">
              <w:instrText xml:space="preserve"> PAGEREF _Toc177216853 \h </w:instrText>
            </w:r>
            <w:r w:rsidR="008031C4">
              <w:fldChar w:fldCharType="separate"/>
            </w:r>
            <w:r w:rsidR="008031C4">
              <w:t>IV</w:t>
            </w:r>
            <w:r w:rsidR="008031C4">
              <w:fldChar w:fldCharType="end"/>
            </w:r>
          </w:hyperlink>
        </w:p>
        <w:p w:rsidR="00644456" w:rsidRDefault="00275C20">
          <w:pPr>
            <w:pStyle w:val="15"/>
            <w:tabs>
              <w:tab w:val="right" w:leader="dot" w:pos="9015"/>
            </w:tabs>
            <w:rPr>
              <w:rFonts w:asciiTheme="minorHAnsi" w:eastAsiaTheme="minorEastAsia" w:hAnsiTheme="minorHAnsi"/>
              <w:b w:val="0"/>
              <w:sz w:val="21"/>
            </w:rPr>
          </w:pPr>
          <w:hyperlink w:anchor="_Toc177216854" w:history="1">
            <w:r w:rsidR="008031C4">
              <w:rPr>
                <w:rStyle w:val="afffff"/>
                <w:rFonts w:cs="Times New Roman"/>
              </w:rPr>
              <w:t>第</w:t>
            </w:r>
            <w:r w:rsidR="008031C4">
              <w:rPr>
                <w:rStyle w:val="afffff"/>
                <w:rFonts w:cs="Times New Roman"/>
              </w:rPr>
              <w:t>1</w:t>
            </w:r>
            <w:r w:rsidR="008031C4">
              <w:rPr>
                <w:rStyle w:val="afffff"/>
                <w:rFonts w:cs="Times New Roman"/>
              </w:rPr>
              <w:t>章总论</w:t>
            </w:r>
            <w:r w:rsidR="008031C4">
              <w:tab/>
            </w:r>
            <w:r w:rsidR="008031C4">
              <w:fldChar w:fldCharType="begin"/>
            </w:r>
            <w:r w:rsidR="008031C4">
              <w:instrText xml:space="preserve"> PAGEREF _Toc177216854 \h </w:instrText>
            </w:r>
            <w:r w:rsidR="008031C4">
              <w:fldChar w:fldCharType="separate"/>
            </w:r>
            <w:r w:rsidR="008031C4">
              <w:t>1</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55" w:history="1">
            <w:r w:rsidR="008031C4">
              <w:rPr>
                <w:rStyle w:val="afffff"/>
                <w:rFonts w:cs="Times New Roman"/>
              </w:rPr>
              <w:t>1.1</w:t>
            </w:r>
            <w:r w:rsidR="008031C4">
              <w:rPr>
                <w:rStyle w:val="afffff"/>
                <w:rFonts w:cs="Times New Roman"/>
              </w:rPr>
              <w:t>评价目的和原则</w:t>
            </w:r>
            <w:r w:rsidR="008031C4">
              <w:tab/>
            </w:r>
            <w:r w:rsidR="008031C4">
              <w:fldChar w:fldCharType="begin"/>
            </w:r>
            <w:r w:rsidR="008031C4">
              <w:instrText xml:space="preserve"> PAGEREF _Toc177216855 \h </w:instrText>
            </w:r>
            <w:r w:rsidR="008031C4">
              <w:fldChar w:fldCharType="separate"/>
            </w:r>
            <w:r w:rsidR="008031C4">
              <w:t>1</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56" w:history="1">
            <w:r w:rsidR="008031C4">
              <w:rPr>
                <w:rStyle w:val="afffff"/>
                <w:rFonts w:cs="Times New Roman"/>
              </w:rPr>
              <w:t>1.2</w:t>
            </w:r>
            <w:r w:rsidR="008031C4">
              <w:rPr>
                <w:rStyle w:val="afffff"/>
                <w:rFonts w:cs="Times New Roman"/>
              </w:rPr>
              <w:t>编制依据</w:t>
            </w:r>
            <w:r w:rsidR="008031C4">
              <w:tab/>
            </w:r>
            <w:r w:rsidR="008031C4">
              <w:fldChar w:fldCharType="begin"/>
            </w:r>
            <w:r w:rsidR="008031C4">
              <w:instrText xml:space="preserve"> PAGEREF _Toc177216856 \h </w:instrText>
            </w:r>
            <w:r w:rsidR="008031C4">
              <w:fldChar w:fldCharType="separate"/>
            </w:r>
            <w:r w:rsidR="008031C4">
              <w:t>2</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57" w:history="1">
            <w:r w:rsidR="008031C4">
              <w:rPr>
                <w:rStyle w:val="afffff"/>
                <w:rFonts w:cs="Times New Roman"/>
              </w:rPr>
              <w:t>1.3</w:t>
            </w:r>
            <w:r w:rsidR="008031C4">
              <w:rPr>
                <w:rStyle w:val="afffff"/>
                <w:rFonts w:cs="Times New Roman"/>
              </w:rPr>
              <w:t>国家产业政策符合性</w:t>
            </w:r>
            <w:r w:rsidR="008031C4">
              <w:tab/>
            </w:r>
            <w:r w:rsidR="008031C4">
              <w:fldChar w:fldCharType="begin"/>
            </w:r>
            <w:r w:rsidR="008031C4">
              <w:instrText xml:space="preserve"> PAGEREF _Toc177216857 \h </w:instrText>
            </w:r>
            <w:r w:rsidR="008031C4">
              <w:fldChar w:fldCharType="separate"/>
            </w:r>
            <w:r w:rsidR="008031C4">
              <w:t>7</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58" w:history="1">
            <w:r w:rsidR="008031C4">
              <w:rPr>
                <w:rStyle w:val="afffff"/>
                <w:rFonts w:cs="Times New Roman"/>
              </w:rPr>
              <w:t>1.4</w:t>
            </w:r>
            <w:r w:rsidR="008031C4">
              <w:rPr>
                <w:rStyle w:val="afffff"/>
                <w:rFonts w:cs="Times New Roman"/>
              </w:rPr>
              <w:t>规划符合性分析</w:t>
            </w:r>
            <w:r w:rsidR="008031C4">
              <w:tab/>
            </w:r>
            <w:r w:rsidR="008031C4">
              <w:fldChar w:fldCharType="begin"/>
            </w:r>
            <w:r w:rsidR="008031C4">
              <w:instrText xml:space="preserve"> PAGEREF _Toc177216858 \h </w:instrText>
            </w:r>
            <w:r w:rsidR="008031C4">
              <w:fldChar w:fldCharType="separate"/>
            </w:r>
            <w:r w:rsidR="008031C4">
              <w:t>8</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59" w:history="1">
            <w:r w:rsidR="008031C4">
              <w:rPr>
                <w:rStyle w:val="afffff"/>
                <w:rFonts w:cs="Times New Roman"/>
              </w:rPr>
              <w:t>1.5</w:t>
            </w:r>
            <w:r w:rsidR="008031C4">
              <w:rPr>
                <w:rStyle w:val="afffff"/>
                <w:rFonts w:cs="Times New Roman"/>
              </w:rPr>
              <w:t>选址环保合理性分析</w:t>
            </w:r>
            <w:r w:rsidR="008031C4">
              <w:tab/>
            </w:r>
            <w:r w:rsidR="008031C4">
              <w:fldChar w:fldCharType="begin"/>
            </w:r>
            <w:r w:rsidR="008031C4">
              <w:instrText xml:space="preserve"> PAGEREF _Toc177216859 \h </w:instrText>
            </w:r>
            <w:r w:rsidR="008031C4">
              <w:fldChar w:fldCharType="separate"/>
            </w:r>
            <w:r w:rsidR="008031C4">
              <w:t>39</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60" w:history="1">
            <w:r w:rsidR="008031C4">
              <w:rPr>
                <w:rStyle w:val="afffff"/>
                <w:rFonts w:cs="Times New Roman"/>
              </w:rPr>
              <w:t>1.6</w:t>
            </w:r>
            <w:r w:rsidR="008031C4">
              <w:rPr>
                <w:rStyle w:val="afffff"/>
                <w:rFonts w:cs="Times New Roman"/>
              </w:rPr>
              <w:t>评价重点及评价因子</w:t>
            </w:r>
            <w:r w:rsidR="008031C4">
              <w:tab/>
            </w:r>
            <w:r w:rsidR="008031C4">
              <w:fldChar w:fldCharType="begin"/>
            </w:r>
            <w:r w:rsidR="008031C4">
              <w:instrText xml:space="preserve"> PAGEREF _Toc177216860 \h </w:instrText>
            </w:r>
            <w:r w:rsidR="008031C4">
              <w:fldChar w:fldCharType="separate"/>
            </w:r>
            <w:r w:rsidR="008031C4">
              <w:t>41</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61" w:history="1">
            <w:r w:rsidR="008031C4">
              <w:rPr>
                <w:rStyle w:val="afffff"/>
                <w:rFonts w:cs="Times New Roman"/>
              </w:rPr>
              <w:t>1.7</w:t>
            </w:r>
            <w:r w:rsidR="008031C4">
              <w:rPr>
                <w:rStyle w:val="afffff"/>
                <w:rFonts w:cs="Times New Roman"/>
              </w:rPr>
              <w:t>评价标准</w:t>
            </w:r>
            <w:r w:rsidR="008031C4">
              <w:tab/>
            </w:r>
            <w:r w:rsidR="008031C4">
              <w:fldChar w:fldCharType="begin"/>
            </w:r>
            <w:r w:rsidR="008031C4">
              <w:instrText xml:space="preserve"> PAGEREF _Toc177216861 \h </w:instrText>
            </w:r>
            <w:r w:rsidR="008031C4">
              <w:fldChar w:fldCharType="separate"/>
            </w:r>
            <w:r w:rsidR="008031C4">
              <w:t>43</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62" w:history="1">
            <w:r w:rsidR="008031C4">
              <w:rPr>
                <w:rStyle w:val="afffff"/>
                <w:rFonts w:cs="Times New Roman"/>
              </w:rPr>
              <w:t>1.8</w:t>
            </w:r>
            <w:r w:rsidR="008031C4">
              <w:rPr>
                <w:rStyle w:val="afffff"/>
                <w:rFonts w:cs="Times New Roman"/>
              </w:rPr>
              <w:t>评价工作等级与范围</w:t>
            </w:r>
            <w:r w:rsidR="008031C4">
              <w:tab/>
            </w:r>
            <w:r w:rsidR="008031C4">
              <w:fldChar w:fldCharType="begin"/>
            </w:r>
            <w:r w:rsidR="008031C4">
              <w:instrText xml:space="preserve"> PAGEREF _Toc177216862 \h </w:instrText>
            </w:r>
            <w:r w:rsidR="008031C4">
              <w:fldChar w:fldCharType="separate"/>
            </w:r>
            <w:r w:rsidR="008031C4">
              <w:t>48</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63" w:history="1">
            <w:r w:rsidR="008031C4">
              <w:rPr>
                <w:rStyle w:val="afffff"/>
                <w:rFonts w:cs="Times New Roman"/>
              </w:rPr>
              <w:t>1.9</w:t>
            </w:r>
            <w:r w:rsidR="008031C4">
              <w:rPr>
                <w:rStyle w:val="afffff"/>
                <w:rFonts w:cs="Times New Roman"/>
              </w:rPr>
              <w:t>评价范围、主要保护目标及污染控制目标</w:t>
            </w:r>
            <w:r w:rsidR="008031C4">
              <w:tab/>
            </w:r>
            <w:r w:rsidR="008031C4">
              <w:fldChar w:fldCharType="begin"/>
            </w:r>
            <w:r w:rsidR="008031C4">
              <w:instrText xml:space="preserve"> PAGEREF _Toc177216863 \h </w:instrText>
            </w:r>
            <w:r w:rsidR="008031C4">
              <w:fldChar w:fldCharType="separate"/>
            </w:r>
            <w:r w:rsidR="008031C4">
              <w:t>53</w:t>
            </w:r>
            <w:r w:rsidR="008031C4">
              <w:fldChar w:fldCharType="end"/>
            </w:r>
          </w:hyperlink>
        </w:p>
        <w:p w:rsidR="00644456" w:rsidRDefault="00275C20">
          <w:pPr>
            <w:pStyle w:val="15"/>
            <w:tabs>
              <w:tab w:val="right" w:leader="dot" w:pos="9015"/>
            </w:tabs>
            <w:rPr>
              <w:rFonts w:asciiTheme="minorHAnsi" w:eastAsiaTheme="minorEastAsia" w:hAnsiTheme="minorHAnsi"/>
              <w:b w:val="0"/>
              <w:sz w:val="21"/>
            </w:rPr>
          </w:pPr>
          <w:hyperlink w:anchor="_Toc177216864" w:history="1">
            <w:r w:rsidR="008031C4">
              <w:rPr>
                <w:rStyle w:val="afffff"/>
                <w:rFonts w:cs="Times New Roman"/>
              </w:rPr>
              <w:t>第</w:t>
            </w:r>
            <w:r w:rsidR="008031C4">
              <w:rPr>
                <w:rStyle w:val="afffff"/>
                <w:rFonts w:cs="Times New Roman"/>
              </w:rPr>
              <w:t>2</w:t>
            </w:r>
            <w:r w:rsidR="008031C4">
              <w:rPr>
                <w:rStyle w:val="afffff"/>
                <w:rFonts w:cs="Times New Roman"/>
              </w:rPr>
              <w:t>章建设项目工程分析</w:t>
            </w:r>
            <w:r w:rsidR="008031C4">
              <w:tab/>
            </w:r>
            <w:r w:rsidR="008031C4">
              <w:fldChar w:fldCharType="begin"/>
            </w:r>
            <w:r w:rsidR="008031C4">
              <w:instrText xml:space="preserve"> PAGEREF _Toc177216864 \h </w:instrText>
            </w:r>
            <w:r w:rsidR="008031C4">
              <w:fldChar w:fldCharType="separate"/>
            </w:r>
            <w:r w:rsidR="008031C4">
              <w:t>57</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65" w:history="1">
            <w:r w:rsidR="008031C4">
              <w:rPr>
                <w:rStyle w:val="afffff"/>
                <w:rFonts w:cs="Times New Roman"/>
              </w:rPr>
              <w:t>2.1</w:t>
            </w:r>
            <w:r w:rsidR="008031C4">
              <w:rPr>
                <w:rStyle w:val="afffff"/>
                <w:rFonts w:cs="Times New Roman"/>
              </w:rPr>
              <w:t>建设项目概况</w:t>
            </w:r>
            <w:r w:rsidR="008031C4">
              <w:tab/>
            </w:r>
            <w:r w:rsidR="008031C4">
              <w:fldChar w:fldCharType="begin"/>
            </w:r>
            <w:r w:rsidR="008031C4">
              <w:instrText xml:space="preserve"> PAGEREF _Toc177216865 \h </w:instrText>
            </w:r>
            <w:r w:rsidR="008031C4">
              <w:fldChar w:fldCharType="separate"/>
            </w:r>
            <w:r w:rsidR="008031C4">
              <w:t>57</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66" w:history="1">
            <w:r w:rsidR="008031C4">
              <w:rPr>
                <w:rStyle w:val="afffff"/>
                <w:rFonts w:cs="Times New Roman"/>
              </w:rPr>
              <w:t>2.2</w:t>
            </w:r>
            <w:r w:rsidR="008031C4">
              <w:rPr>
                <w:rStyle w:val="afffff"/>
                <w:rFonts w:cs="Times New Roman"/>
              </w:rPr>
              <w:t>项目组成及建设内容</w:t>
            </w:r>
            <w:r w:rsidR="008031C4">
              <w:tab/>
            </w:r>
            <w:r w:rsidR="008031C4">
              <w:fldChar w:fldCharType="begin"/>
            </w:r>
            <w:r w:rsidR="008031C4">
              <w:instrText xml:space="preserve"> PAGEREF _Toc177216866 \h </w:instrText>
            </w:r>
            <w:r w:rsidR="008031C4">
              <w:fldChar w:fldCharType="separate"/>
            </w:r>
            <w:r w:rsidR="008031C4">
              <w:t>59</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67" w:history="1">
            <w:r w:rsidR="008031C4">
              <w:rPr>
                <w:rStyle w:val="afffff"/>
                <w:rFonts w:cs="Times New Roman"/>
              </w:rPr>
              <w:t>2.3</w:t>
            </w:r>
            <w:r w:rsidR="008031C4">
              <w:rPr>
                <w:rStyle w:val="afffff"/>
                <w:rFonts w:cs="Times New Roman"/>
              </w:rPr>
              <w:t>项目主要公辅设施</w:t>
            </w:r>
            <w:r w:rsidR="008031C4">
              <w:tab/>
            </w:r>
            <w:r w:rsidR="008031C4">
              <w:fldChar w:fldCharType="begin"/>
            </w:r>
            <w:r w:rsidR="008031C4">
              <w:instrText xml:space="preserve"> PAGEREF _Toc177216867 \h </w:instrText>
            </w:r>
            <w:r w:rsidR="008031C4">
              <w:fldChar w:fldCharType="separate"/>
            </w:r>
            <w:r w:rsidR="008031C4">
              <w:t>61</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68" w:history="1">
            <w:r w:rsidR="008031C4">
              <w:rPr>
                <w:rStyle w:val="afffff"/>
                <w:rFonts w:cs="Times New Roman"/>
              </w:rPr>
              <w:t>2.4</w:t>
            </w:r>
            <w:r w:rsidR="008031C4">
              <w:rPr>
                <w:rStyle w:val="afffff"/>
                <w:rFonts w:cs="Times New Roman"/>
              </w:rPr>
              <w:t>工程分析</w:t>
            </w:r>
            <w:r w:rsidR="008031C4">
              <w:tab/>
            </w:r>
            <w:r w:rsidR="008031C4">
              <w:fldChar w:fldCharType="begin"/>
            </w:r>
            <w:r w:rsidR="008031C4">
              <w:instrText xml:space="preserve"> PAGEREF _Toc177216868 \h </w:instrText>
            </w:r>
            <w:r w:rsidR="008031C4">
              <w:fldChar w:fldCharType="separate"/>
            </w:r>
            <w:r w:rsidR="008031C4">
              <w:t>62</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69" w:history="1">
            <w:r w:rsidR="008031C4">
              <w:rPr>
                <w:rStyle w:val="afffff"/>
                <w:rFonts w:cs="Times New Roman"/>
              </w:rPr>
              <w:t>2.5</w:t>
            </w:r>
            <w:r w:rsidR="008031C4">
              <w:rPr>
                <w:rStyle w:val="afffff"/>
                <w:rFonts w:cs="Times New Roman"/>
              </w:rPr>
              <w:t>工程主要污染工序及治理措施</w:t>
            </w:r>
            <w:r w:rsidR="008031C4">
              <w:tab/>
            </w:r>
            <w:r w:rsidR="008031C4">
              <w:fldChar w:fldCharType="begin"/>
            </w:r>
            <w:r w:rsidR="008031C4">
              <w:instrText xml:space="preserve"> PAGEREF _Toc177216869 \h </w:instrText>
            </w:r>
            <w:r w:rsidR="008031C4">
              <w:fldChar w:fldCharType="separate"/>
            </w:r>
            <w:r w:rsidR="008031C4">
              <w:t>80</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70" w:history="1">
            <w:r w:rsidR="008031C4">
              <w:rPr>
                <w:rStyle w:val="afffff"/>
                <w:rFonts w:cs="Times New Roman"/>
              </w:rPr>
              <w:t>2.6</w:t>
            </w:r>
            <w:r w:rsidR="008031C4">
              <w:rPr>
                <w:rStyle w:val="afffff"/>
                <w:rFonts w:cs="Times New Roman"/>
              </w:rPr>
              <w:t>工程总平面布置</w:t>
            </w:r>
            <w:r w:rsidR="008031C4">
              <w:tab/>
            </w:r>
            <w:r w:rsidR="008031C4">
              <w:fldChar w:fldCharType="begin"/>
            </w:r>
            <w:r w:rsidR="008031C4">
              <w:instrText xml:space="preserve"> PAGEREF _Toc177216870 \h </w:instrText>
            </w:r>
            <w:r w:rsidR="008031C4">
              <w:fldChar w:fldCharType="separate"/>
            </w:r>
            <w:r w:rsidR="008031C4">
              <w:t>103</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71" w:history="1">
            <w:r w:rsidR="008031C4">
              <w:rPr>
                <w:rStyle w:val="afffff"/>
                <w:rFonts w:cs="Times New Roman"/>
              </w:rPr>
              <w:t>2.7</w:t>
            </w:r>
            <w:r w:rsidR="008031C4">
              <w:rPr>
                <w:rStyle w:val="afffff"/>
                <w:rFonts w:cs="Times New Roman"/>
              </w:rPr>
              <w:t>清洁生产与循环经济</w:t>
            </w:r>
            <w:r w:rsidR="008031C4">
              <w:tab/>
            </w:r>
            <w:r w:rsidR="008031C4">
              <w:fldChar w:fldCharType="begin"/>
            </w:r>
            <w:r w:rsidR="008031C4">
              <w:instrText xml:space="preserve"> PAGEREF _Toc177216871 \h </w:instrText>
            </w:r>
            <w:r w:rsidR="008031C4">
              <w:fldChar w:fldCharType="separate"/>
            </w:r>
            <w:r w:rsidR="008031C4">
              <w:t>104</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72" w:history="1">
            <w:r w:rsidR="008031C4">
              <w:rPr>
                <w:rStyle w:val="afffff"/>
                <w:rFonts w:cs="Times New Roman"/>
              </w:rPr>
              <w:t>2.8</w:t>
            </w:r>
            <w:r w:rsidR="008031C4">
              <w:rPr>
                <w:rStyle w:val="afffff"/>
                <w:rFonts w:cs="Times New Roman"/>
              </w:rPr>
              <w:t>碳排放评价</w:t>
            </w:r>
            <w:r w:rsidR="008031C4">
              <w:tab/>
            </w:r>
            <w:r w:rsidR="008031C4">
              <w:fldChar w:fldCharType="begin"/>
            </w:r>
            <w:r w:rsidR="008031C4">
              <w:instrText xml:space="preserve"> PAGEREF _Toc177216872 \h </w:instrText>
            </w:r>
            <w:r w:rsidR="008031C4">
              <w:fldChar w:fldCharType="separate"/>
            </w:r>
            <w:r w:rsidR="008031C4">
              <w:t>106</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73" w:history="1">
            <w:r w:rsidR="008031C4">
              <w:rPr>
                <w:rStyle w:val="afffff"/>
                <w:rFonts w:cs="Times New Roman"/>
              </w:rPr>
              <w:t>2.9</w:t>
            </w:r>
            <w:r w:rsidR="008031C4">
              <w:rPr>
                <w:rStyle w:val="afffff"/>
                <w:rFonts w:cs="Times New Roman"/>
              </w:rPr>
              <w:t>总量控制与项目污染物排放情况</w:t>
            </w:r>
            <w:r w:rsidR="008031C4">
              <w:tab/>
            </w:r>
            <w:r w:rsidR="008031C4">
              <w:fldChar w:fldCharType="begin"/>
            </w:r>
            <w:r w:rsidR="008031C4">
              <w:instrText xml:space="preserve"> PAGEREF _Toc177216873 \h </w:instrText>
            </w:r>
            <w:r w:rsidR="008031C4">
              <w:fldChar w:fldCharType="separate"/>
            </w:r>
            <w:r w:rsidR="008031C4">
              <w:t>110</w:t>
            </w:r>
            <w:r w:rsidR="008031C4">
              <w:fldChar w:fldCharType="end"/>
            </w:r>
          </w:hyperlink>
        </w:p>
        <w:p w:rsidR="00644456" w:rsidRDefault="00275C20">
          <w:pPr>
            <w:pStyle w:val="15"/>
            <w:tabs>
              <w:tab w:val="right" w:leader="dot" w:pos="9015"/>
            </w:tabs>
            <w:rPr>
              <w:rFonts w:asciiTheme="minorHAnsi" w:eastAsiaTheme="minorEastAsia" w:hAnsiTheme="minorHAnsi"/>
              <w:b w:val="0"/>
              <w:sz w:val="21"/>
            </w:rPr>
          </w:pPr>
          <w:hyperlink w:anchor="_Toc177216874" w:history="1">
            <w:r w:rsidR="008031C4">
              <w:rPr>
                <w:rStyle w:val="afffff"/>
                <w:rFonts w:cs="Times New Roman"/>
              </w:rPr>
              <w:t>第</w:t>
            </w:r>
            <w:r w:rsidR="008031C4">
              <w:rPr>
                <w:rStyle w:val="afffff"/>
                <w:rFonts w:cs="Times New Roman"/>
              </w:rPr>
              <w:t>3</w:t>
            </w:r>
            <w:r w:rsidR="008031C4">
              <w:rPr>
                <w:rStyle w:val="afffff"/>
                <w:rFonts w:cs="Times New Roman"/>
              </w:rPr>
              <w:t>章区域环境概况</w:t>
            </w:r>
            <w:r w:rsidR="008031C4">
              <w:tab/>
            </w:r>
            <w:r w:rsidR="008031C4">
              <w:fldChar w:fldCharType="begin"/>
            </w:r>
            <w:r w:rsidR="008031C4">
              <w:instrText xml:space="preserve"> PAGEREF _Toc177216874 \h </w:instrText>
            </w:r>
            <w:r w:rsidR="008031C4">
              <w:fldChar w:fldCharType="separate"/>
            </w:r>
            <w:r w:rsidR="008031C4">
              <w:t>112</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75" w:history="1">
            <w:r w:rsidR="008031C4">
              <w:rPr>
                <w:rStyle w:val="afffff"/>
                <w:rFonts w:cs="Times New Roman"/>
              </w:rPr>
              <w:t>3.1</w:t>
            </w:r>
            <w:r w:rsidR="008031C4">
              <w:rPr>
                <w:rStyle w:val="afffff"/>
                <w:rFonts w:cs="Times New Roman"/>
              </w:rPr>
              <w:t>自然环境调查与评价</w:t>
            </w:r>
            <w:r w:rsidR="008031C4">
              <w:tab/>
            </w:r>
            <w:r w:rsidR="008031C4">
              <w:fldChar w:fldCharType="begin"/>
            </w:r>
            <w:r w:rsidR="008031C4">
              <w:instrText xml:space="preserve"> PAGEREF _Toc177216875 \h </w:instrText>
            </w:r>
            <w:r w:rsidR="008031C4">
              <w:fldChar w:fldCharType="separate"/>
            </w:r>
            <w:r w:rsidR="008031C4">
              <w:t>112</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76" w:history="1">
            <w:r w:rsidR="008031C4">
              <w:rPr>
                <w:rStyle w:val="afffff"/>
                <w:rFonts w:cs="Times New Roman"/>
              </w:rPr>
              <w:t>3.2</w:t>
            </w:r>
            <w:r w:rsidR="008031C4">
              <w:rPr>
                <w:rStyle w:val="afffff"/>
                <w:rFonts w:cs="Times New Roman"/>
              </w:rPr>
              <w:t>疏勒高新技术产业开发区</w:t>
            </w:r>
            <w:r w:rsidR="008031C4">
              <w:rPr>
                <w:rStyle w:val="afffff"/>
                <w:rFonts w:cs="Times New Roman"/>
              </w:rPr>
              <w:t>—</w:t>
            </w:r>
            <w:r w:rsidR="008031C4">
              <w:rPr>
                <w:rStyle w:val="afffff"/>
                <w:rFonts w:cs="Times New Roman"/>
              </w:rPr>
              <w:t>生态钢城产业园概况情况介绍</w:t>
            </w:r>
            <w:r w:rsidR="008031C4">
              <w:tab/>
            </w:r>
            <w:r w:rsidR="008031C4">
              <w:fldChar w:fldCharType="begin"/>
            </w:r>
            <w:r w:rsidR="008031C4">
              <w:instrText xml:space="preserve"> PAGEREF _Toc177216876 \h </w:instrText>
            </w:r>
            <w:r w:rsidR="008031C4">
              <w:fldChar w:fldCharType="separate"/>
            </w:r>
            <w:r w:rsidR="008031C4">
              <w:t>118</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77" w:history="1">
            <w:r w:rsidR="008031C4">
              <w:rPr>
                <w:rStyle w:val="afffff"/>
                <w:rFonts w:cs="Times New Roman"/>
              </w:rPr>
              <w:t>3.3</w:t>
            </w:r>
            <w:r w:rsidR="008031C4">
              <w:rPr>
                <w:rStyle w:val="afffff"/>
                <w:rFonts w:cs="Times New Roman"/>
              </w:rPr>
              <w:t>环境空气现状监测与评价</w:t>
            </w:r>
            <w:r w:rsidR="008031C4">
              <w:tab/>
            </w:r>
            <w:r w:rsidR="008031C4">
              <w:fldChar w:fldCharType="begin"/>
            </w:r>
            <w:r w:rsidR="008031C4">
              <w:instrText xml:space="preserve"> PAGEREF _Toc177216877 \h </w:instrText>
            </w:r>
            <w:r w:rsidR="008031C4">
              <w:fldChar w:fldCharType="separate"/>
            </w:r>
            <w:r w:rsidR="008031C4">
              <w:t>123</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78" w:history="1">
            <w:r w:rsidR="008031C4">
              <w:rPr>
                <w:rStyle w:val="afffff"/>
                <w:rFonts w:cs="Times New Roman"/>
              </w:rPr>
              <w:t>3.4</w:t>
            </w:r>
            <w:r w:rsidR="008031C4">
              <w:rPr>
                <w:rStyle w:val="afffff"/>
                <w:rFonts w:cs="Times New Roman"/>
              </w:rPr>
              <w:t>地表水环境现状监测及评价</w:t>
            </w:r>
            <w:r w:rsidR="008031C4">
              <w:tab/>
            </w:r>
            <w:r w:rsidR="008031C4">
              <w:fldChar w:fldCharType="begin"/>
            </w:r>
            <w:r w:rsidR="008031C4">
              <w:instrText xml:space="preserve"> PAGEREF _Toc177216878 \h </w:instrText>
            </w:r>
            <w:r w:rsidR="008031C4">
              <w:fldChar w:fldCharType="separate"/>
            </w:r>
            <w:r w:rsidR="008031C4">
              <w:t>126</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79" w:history="1">
            <w:r w:rsidR="008031C4">
              <w:rPr>
                <w:rStyle w:val="afffff"/>
                <w:rFonts w:cs="Times New Roman"/>
              </w:rPr>
              <w:t>3.5</w:t>
            </w:r>
            <w:r w:rsidR="008031C4">
              <w:rPr>
                <w:rStyle w:val="afffff"/>
                <w:rFonts w:cs="Times New Roman"/>
              </w:rPr>
              <w:t>地下水质量现状监测及评价</w:t>
            </w:r>
            <w:r w:rsidR="008031C4">
              <w:tab/>
            </w:r>
            <w:r w:rsidR="008031C4">
              <w:fldChar w:fldCharType="begin"/>
            </w:r>
            <w:r w:rsidR="008031C4">
              <w:instrText xml:space="preserve"> PAGEREF _Toc177216879 \h </w:instrText>
            </w:r>
            <w:r w:rsidR="008031C4">
              <w:fldChar w:fldCharType="separate"/>
            </w:r>
            <w:r w:rsidR="008031C4">
              <w:t>126</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80" w:history="1">
            <w:r w:rsidR="008031C4">
              <w:rPr>
                <w:rStyle w:val="afffff"/>
                <w:rFonts w:cs="Times New Roman"/>
              </w:rPr>
              <w:t>3.6</w:t>
            </w:r>
            <w:r w:rsidR="008031C4">
              <w:rPr>
                <w:rStyle w:val="afffff"/>
                <w:rFonts w:cs="Times New Roman"/>
              </w:rPr>
              <w:t>土壤环境现状监测与评价</w:t>
            </w:r>
            <w:r w:rsidR="008031C4">
              <w:tab/>
            </w:r>
            <w:r w:rsidR="008031C4">
              <w:fldChar w:fldCharType="begin"/>
            </w:r>
            <w:r w:rsidR="008031C4">
              <w:instrText xml:space="preserve"> PAGEREF _Toc177216880 \h </w:instrText>
            </w:r>
            <w:r w:rsidR="008031C4">
              <w:fldChar w:fldCharType="separate"/>
            </w:r>
            <w:r w:rsidR="008031C4">
              <w:t>130</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81" w:history="1">
            <w:r w:rsidR="008031C4">
              <w:rPr>
                <w:rStyle w:val="afffff"/>
                <w:rFonts w:cs="Times New Roman"/>
              </w:rPr>
              <w:t>3.7</w:t>
            </w:r>
            <w:r w:rsidR="008031C4">
              <w:rPr>
                <w:rStyle w:val="afffff"/>
                <w:rFonts w:cs="Times New Roman"/>
              </w:rPr>
              <w:t>声环境质量现状监测与评价</w:t>
            </w:r>
            <w:r w:rsidR="008031C4">
              <w:tab/>
            </w:r>
            <w:r w:rsidR="008031C4">
              <w:fldChar w:fldCharType="begin"/>
            </w:r>
            <w:r w:rsidR="008031C4">
              <w:instrText xml:space="preserve"> PAGEREF _Toc177216881 \h </w:instrText>
            </w:r>
            <w:r w:rsidR="008031C4">
              <w:fldChar w:fldCharType="separate"/>
            </w:r>
            <w:r w:rsidR="008031C4">
              <w:t>134</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82" w:history="1">
            <w:r w:rsidR="008031C4">
              <w:rPr>
                <w:rStyle w:val="afffff"/>
                <w:rFonts w:cs="Times New Roman"/>
              </w:rPr>
              <w:t>3.8</w:t>
            </w:r>
            <w:r w:rsidR="008031C4">
              <w:rPr>
                <w:rStyle w:val="afffff"/>
                <w:rFonts w:cs="Times New Roman"/>
              </w:rPr>
              <w:t>生态环境现状评价</w:t>
            </w:r>
            <w:r w:rsidR="008031C4">
              <w:tab/>
            </w:r>
            <w:r w:rsidR="008031C4">
              <w:fldChar w:fldCharType="begin"/>
            </w:r>
            <w:r w:rsidR="008031C4">
              <w:instrText xml:space="preserve"> PAGEREF _Toc177216882 \h </w:instrText>
            </w:r>
            <w:r w:rsidR="008031C4">
              <w:fldChar w:fldCharType="separate"/>
            </w:r>
            <w:r w:rsidR="008031C4">
              <w:t>135</w:t>
            </w:r>
            <w:r w:rsidR="008031C4">
              <w:fldChar w:fldCharType="end"/>
            </w:r>
          </w:hyperlink>
        </w:p>
        <w:p w:rsidR="00644456" w:rsidRDefault="00275C20">
          <w:pPr>
            <w:pStyle w:val="15"/>
            <w:tabs>
              <w:tab w:val="right" w:leader="dot" w:pos="9015"/>
            </w:tabs>
            <w:rPr>
              <w:rFonts w:asciiTheme="minorHAnsi" w:eastAsiaTheme="minorEastAsia" w:hAnsiTheme="minorHAnsi"/>
              <w:b w:val="0"/>
              <w:sz w:val="21"/>
            </w:rPr>
          </w:pPr>
          <w:hyperlink w:anchor="_Toc177216883" w:history="1">
            <w:r w:rsidR="008031C4">
              <w:rPr>
                <w:rStyle w:val="afffff"/>
                <w:rFonts w:cs="Times New Roman"/>
              </w:rPr>
              <w:t>第</w:t>
            </w:r>
            <w:r w:rsidR="008031C4">
              <w:rPr>
                <w:rStyle w:val="afffff"/>
                <w:rFonts w:cs="Times New Roman"/>
              </w:rPr>
              <w:t>4</w:t>
            </w:r>
            <w:r w:rsidR="008031C4">
              <w:rPr>
                <w:rStyle w:val="afffff"/>
                <w:rFonts w:cs="Times New Roman"/>
              </w:rPr>
              <w:t>章施工期环境影响预测与评价</w:t>
            </w:r>
            <w:r w:rsidR="008031C4">
              <w:tab/>
            </w:r>
            <w:r w:rsidR="008031C4">
              <w:fldChar w:fldCharType="begin"/>
            </w:r>
            <w:r w:rsidR="008031C4">
              <w:instrText xml:space="preserve"> PAGEREF _Toc177216883 \h </w:instrText>
            </w:r>
            <w:r w:rsidR="008031C4">
              <w:fldChar w:fldCharType="separate"/>
            </w:r>
            <w:r w:rsidR="008031C4">
              <w:t>137</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84" w:history="1">
            <w:r w:rsidR="008031C4">
              <w:rPr>
                <w:rStyle w:val="afffff"/>
                <w:rFonts w:cs="Times New Roman"/>
              </w:rPr>
              <w:t>4.1</w:t>
            </w:r>
            <w:r w:rsidR="008031C4">
              <w:rPr>
                <w:rStyle w:val="afffff"/>
                <w:rFonts w:cs="Times New Roman"/>
              </w:rPr>
              <w:t>施工期总平面布置</w:t>
            </w:r>
            <w:r w:rsidR="008031C4">
              <w:tab/>
            </w:r>
            <w:r w:rsidR="008031C4">
              <w:fldChar w:fldCharType="begin"/>
            </w:r>
            <w:r w:rsidR="008031C4">
              <w:instrText xml:space="preserve"> PAGEREF _Toc177216884 \h </w:instrText>
            </w:r>
            <w:r w:rsidR="008031C4">
              <w:fldChar w:fldCharType="separate"/>
            </w:r>
            <w:r w:rsidR="008031C4">
              <w:t>137</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85" w:history="1">
            <w:r w:rsidR="008031C4">
              <w:rPr>
                <w:rStyle w:val="afffff"/>
                <w:rFonts w:cs="Times New Roman"/>
              </w:rPr>
              <w:t>4.2</w:t>
            </w:r>
            <w:r w:rsidR="008031C4">
              <w:rPr>
                <w:rStyle w:val="afffff"/>
                <w:rFonts w:cs="Times New Roman"/>
              </w:rPr>
              <w:t>施工期污染源及防治措施</w:t>
            </w:r>
            <w:r w:rsidR="008031C4">
              <w:tab/>
            </w:r>
            <w:r w:rsidR="008031C4">
              <w:fldChar w:fldCharType="begin"/>
            </w:r>
            <w:r w:rsidR="008031C4">
              <w:instrText xml:space="preserve"> PAGEREF _Toc177216885 \h </w:instrText>
            </w:r>
            <w:r w:rsidR="008031C4">
              <w:fldChar w:fldCharType="separate"/>
            </w:r>
            <w:r w:rsidR="008031C4">
              <w:t>137</w:t>
            </w:r>
            <w:r w:rsidR="008031C4">
              <w:fldChar w:fldCharType="end"/>
            </w:r>
          </w:hyperlink>
        </w:p>
        <w:p w:rsidR="00644456" w:rsidRDefault="00275C20">
          <w:pPr>
            <w:pStyle w:val="15"/>
            <w:tabs>
              <w:tab w:val="right" w:leader="dot" w:pos="9015"/>
            </w:tabs>
            <w:rPr>
              <w:rFonts w:asciiTheme="minorHAnsi" w:eastAsiaTheme="minorEastAsia" w:hAnsiTheme="minorHAnsi"/>
              <w:b w:val="0"/>
              <w:sz w:val="21"/>
            </w:rPr>
          </w:pPr>
          <w:hyperlink w:anchor="_Toc177216886" w:history="1">
            <w:r w:rsidR="008031C4">
              <w:rPr>
                <w:rStyle w:val="afffff"/>
                <w:rFonts w:cs="Times New Roman"/>
              </w:rPr>
              <w:t>第</w:t>
            </w:r>
            <w:r w:rsidR="008031C4">
              <w:rPr>
                <w:rStyle w:val="afffff"/>
                <w:rFonts w:cs="Times New Roman"/>
              </w:rPr>
              <w:t>5</w:t>
            </w:r>
            <w:r w:rsidR="008031C4">
              <w:rPr>
                <w:rStyle w:val="afffff"/>
                <w:rFonts w:cs="Times New Roman"/>
              </w:rPr>
              <w:t>章环境影响预测与评价</w:t>
            </w:r>
            <w:r w:rsidR="008031C4">
              <w:tab/>
            </w:r>
            <w:r w:rsidR="008031C4">
              <w:fldChar w:fldCharType="begin"/>
            </w:r>
            <w:r w:rsidR="008031C4">
              <w:instrText xml:space="preserve"> PAGEREF _Toc177216886 \h </w:instrText>
            </w:r>
            <w:r w:rsidR="008031C4">
              <w:fldChar w:fldCharType="separate"/>
            </w:r>
            <w:r w:rsidR="008031C4">
              <w:t>144</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87" w:history="1">
            <w:r w:rsidR="008031C4">
              <w:rPr>
                <w:rStyle w:val="afffff"/>
                <w:rFonts w:cs="Times New Roman"/>
              </w:rPr>
              <w:t>5.1</w:t>
            </w:r>
            <w:r w:rsidR="008031C4">
              <w:rPr>
                <w:rStyle w:val="afffff"/>
                <w:rFonts w:cs="Times New Roman"/>
              </w:rPr>
              <w:t>大气环境影响分析</w:t>
            </w:r>
            <w:r w:rsidR="008031C4">
              <w:tab/>
            </w:r>
            <w:r w:rsidR="008031C4">
              <w:fldChar w:fldCharType="begin"/>
            </w:r>
            <w:r w:rsidR="008031C4">
              <w:instrText xml:space="preserve"> PAGEREF _Toc177216887 \h </w:instrText>
            </w:r>
            <w:r w:rsidR="008031C4">
              <w:fldChar w:fldCharType="separate"/>
            </w:r>
            <w:r w:rsidR="008031C4">
              <w:t>144</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88" w:history="1">
            <w:r w:rsidR="008031C4">
              <w:rPr>
                <w:rStyle w:val="afffff"/>
                <w:rFonts w:cs="Times New Roman"/>
              </w:rPr>
              <w:t>5.2</w:t>
            </w:r>
            <w:r w:rsidR="008031C4">
              <w:rPr>
                <w:rStyle w:val="afffff"/>
                <w:rFonts w:cs="Times New Roman"/>
              </w:rPr>
              <w:t>地表水环境影响评价</w:t>
            </w:r>
            <w:r w:rsidR="008031C4">
              <w:tab/>
            </w:r>
            <w:r w:rsidR="008031C4">
              <w:fldChar w:fldCharType="begin"/>
            </w:r>
            <w:r w:rsidR="008031C4">
              <w:instrText xml:space="preserve"> PAGEREF _Toc177216888 \h </w:instrText>
            </w:r>
            <w:r w:rsidR="008031C4">
              <w:fldChar w:fldCharType="separate"/>
            </w:r>
            <w:r w:rsidR="008031C4">
              <w:t>152</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89" w:history="1">
            <w:r w:rsidR="008031C4">
              <w:rPr>
                <w:rStyle w:val="afffff"/>
                <w:rFonts w:cs="Times New Roman"/>
              </w:rPr>
              <w:t>5.3</w:t>
            </w:r>
            <w:r w:rsidR="008031C4">
              <w:rPr>
                <w:rStyle w:val="afffff"/>
                <w:rFonts w:cs="Times New Roman"/>
              </w:rPr>
              <w:t>噪声环境影响评价</w:t>
            </w:r>
            <w:r w:rsidR="008031C4">
              <w:tab/>
            </w:r>
            <w:r w:rsidR="008031C4">
              <w:fldChar w:fldCharType="begin"/>
            </w:r>
            <w:r w:rsidR="008031C4">
              <w:instrText xml:space="preserve"> PAGEREF _Toc177216889 \h </w:instrText>
            </w:r>
            <w:r w:rsidR="008031C4">
              <w:fldChar w:fldCharType="separate"/>
            </w:r>
            <w:r w:rsidR="008031C4">
              <w:t>153</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90" w:history="1">
            <w:r w:rsidR="008031C4">
              <w:rPr>
                <w:rStyle w:val="afffff"/>
                <w:rFonts w:cs="Times New Roman"/>
              </w:rPr>
              <w:t>5.4</w:t>
            </w:r>
            <w:r w:rsidR="008031C4">
              <w:rPr>
                <w:rStyle w:val="afffff"/>
                <w:rFonts w:cs="Times New Roman"/>
              </w:rPr>
              <w:t>固体废物环境影响评价</w:t>
            </w:r>
            <w:r w:rsidR="008031C4">
              <w:tab/>
            </w:r>
            <w:r w:rsidR="008031C4">
              <w:fldChar w:fldCharType="begin"/>
            </w:r>
            <w:r w:rsidR="008031C4">
              <w:instrText xml:space="preserve"> PAGEREF _Toc177216890 \h </w:instrText>
            </w:r>
            <w:r w:rsidR="008031C4">
              <w:fldChar w:fldCharType="separate"/>
            </w:r>
            <w:r w:rsidR="008031C4">
              <w:t>157</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91" w:history="1">
            <w:r w:rsidR="008031C4">
              <w:rPr>
                <w:rStyle w:val="afffff"/>
                <w:rFonts w:cs="Times New Roman"/>
              </w:rPr>
              <w:t>5.5</w:t>
            </w:r>
            <w:r w:rsidR="008031C4">
              <w:rPr>
                <w:rStyle w:val="afffff"/>
                <w:rFonts w:cs="Times New Roman"/>
              </w:rPr>
              <w:t>土壤环境影响评价</w:t>
            </w:r>
            <w:r w:rsidR="008031C4">
              <w:tab/>
            </w:r>
            <w:r w:rsidR="008031C4">
              <w:fldChar w:fldCharType="begin"/>
            </w:r>
            <w:r w:rsidR="008031C4">
              <w:instrText xml:space="preserve"> PAGEREF _Toc177216891 \h </w:instrText>
            </w:r>
            <w:r w:rsidR="008031C4">
              <w:fldChar w:fldCharType="separate"/>
            </w:r>
            <w:r w:rsidR="008031C4">
              <w:t>160</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92" w:history="1">
            <w:r w:rsidR="008031C4">
              <w:rPr>
                <w:rStyle w:val="afffff"/>
                <w:rFonts w:cs="Times New Roman"/>
              </w:rPr>
              <w:t>5.6</w:t>
            </w:r>
            <w:r w:rsidR="008031C4">
              <w:rPr>
                <w:rStyle w:val="afffff"/>
                <w:rFonts w:cs="Times New Roman"/>
              </w:rPr>
              <w:t>生态环境影响评价</w:t>
            </w:r>
            <w:r w:rsidR="008031C4">
              <w:tab/>
            </w:r>
            <w:r w:rsidR="008031C4">
              <w:fldChar w:fldCharType="begin"/>
            </w:r>
            <w:r w:rsidR="008031C4">
              <w:instrText xml:space="preserve"> PAGEREF _Toc177216892 \h </w:instrText>
            </w:r>
            <w:r w:rsidR="008031C4">
              <w:fldChar w:fldCharType="separate"/>
            </w:r>
            <w:r w:rsidR="008031C4">
              <w:t>168</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93" w:history="1">
            <w:r w:rsidR="008031C4">
              <w:rPr>
                <w:rStyle w:val="afffff"/>
                <w:rFonts w:cs="Times New Roman"/>
              </w:rPr>
              <w:t>5.7</w:t>
            </w:r>
            <w:r w:rsidR="008031C4">
              <w:rPr>
                <w:rStyle w:val="afffff"/>
                <w:rFonts w:cs="Times New Roman"/>
              </w:rPr>
              <w:t>地下水环境影响评价</w:t>
            </w:r>
            <w:r w:rsidR="008031C4">
              <w:tab/>
            </w:r>
            <w:r w:rsidR="008031C4">
              <w:fldChar w:fldCharType="begin"/>
            </w:r>
            <w:r w:rsidR="008031C4">
              <w:instrText xml:space="preserve"> PAGEREF _Toc177216893 \h </w:instrText>
            </w:r>
            <w:r w:rsidR="008031C4">
              <w:fldChar w:fldCharType="separate"/>
            </w:r>
            <w:r w:rsidR="008031C4">
              <w:t>171</w:t>
            </w:r>
            <w:r w:rsidR="008031C4">
              <w:fldChar w:fldCharType="end"/>
            </w:r>
          </w:hyperlink>
        </w:p>
        <w:p w:rsidR="00644456" w:rsidRDefault="00275C20">
          <w:pPr>
            <w:pStyle w:val="15"/>
            <w:tabs>
              <w:tab w:val="right" w:leader="dot" w:pos="9015"/>
            </w:tabs>
            <w:rPr>
              <w:rFonts w:asciiTheme="minorHAnsi" w:eastAsiaTheme="minorEastAsia" w:hAnsiTheme="minorHAnsi"/>
              <w:b w:val="0"/>
              <w:sz w:val="21"/>
            </w:rPr>
          </w:pPr>
          <w:hyperlink w:anchor="_Toc177216894" w:history="1">
            <w:r w:rsidR="008031C4">
              <w:rPr>
                <w:rStyle w:val="afffff"/>
                <w:rFonts w:cs="Times New Roman"/>
              </w:rPr>
              <w:t>第</w:t>
            </w:r>
            <w:r w:rsidR="008031C4">
              <w:rPr>
                <w:rStyle w:val="afffff"/>
                <w:rFonts w:cs="Times New Roman"/>
              </w:rPr>
              <w:t>6</w:t>
            </w:r>
            <w:r w:rsidR="008031C4">
              <w:rPr>
                <w:rStyle w:val="afffff"/>
                <w:rFonts w:cs="Times New Roman"/>
              </w:rPr>
              <w:t>章环境保护措施及其可行性论证</w:t>
            </w:r>
            <w:r w:rsidR="008031C4">
              <w:tab/>
            </w:r>
            <w:r w:rsidR="008031C4">
              <w:fldChar w:fldCharType="begin"/>
            </w:r>
            <w:r w:rsidR="008031C4">
              <w:instrText xml:space="preserve"> PAGEREF _Toc177216894 \h </w:instrText>
            </w:r>
            <w:r w:rsidR="008031C4">
              <w:fldChar w:fldCharType="separate"/>
            </w:r>
            <w:r w:rsidR="008031C4">
              <w:t>192</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95" w:history="1">
            <w:r w:rsidR="008031C4">
              <w:rPr>
                <w:rStyle w:val="afffff"/>
                <w:rFonts w:cs="Times New Roman"/>
              </w:rPr>
              <w:t>6.1</w:t>
            </w:r>
            <w:r w:rsidR="008031C4">
              <w:rPr>
                <w:rStyle w:val="afffff"/>
                <w:rFonts w:cs="Times New Roman"/>
              </w:rPr>
              <w:t>施工期保护措施及其可行性论证</w:t>
            </w:r>
            <w:r w:rsidR="008031C4">
              <w:tab/>
            </w:r>
            <w:r w:rsidR="008031C4">
              <w:fldChar w:fldCharType="begin"/>
            </w:r>
            <w:r w:rsidR="008031C4">
              <w:instrText xml:space="preserve"> PAGEREF _Toc177216895 \h </w:instrText>
            </w:r>
            <w:r w:rsidR="008031C4">
              <w:fldChar w:fldCharType="separate"/>
            </w:r>
            <w:r w:rsidR="008031C4">
              <w:t>192</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96" w:history="1">
            <w:r w:rsidR="008031C4">
              <w:rPr>
                <w:rStyle w:val="afffff"/>
                <w:rFonts w:cs="Times New Roman"/>
              </w:rPr>
              <w:t>6.2</w:t>
            </w:r>
            <w:r w:rsidR="008031C4">
              <w:rPr>
                <w:rStyle w:val="afffff"/>
                <w:rFonts w:cs="Times New Roman"/>
              </w:rPr>
              <w:t>营运期环境保护措施及其可行性论证</w:t>
            </w:r>
            <w:r w:rsidR="008031C4">
              <w:tab/>
            </w:r>
            <w:r w:rsidR="008031C4">
              <w:fldChar w:fldCharType="begin"/>
            </w:r>
            <w:r w:rsidR="008031C4">
              <w:instrText xml:space="preserve"> PAGEREF _Toc177216896 \h </w:instrText>
            </w:r>
            <w:r w:rsidR="008031C4">
              <w:fldChar w:fldCharType="separate"/>
            </w:r>
            <w:r w:rsidR="008031C4">
              <w:t>195</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97" w:history="1">
            <w:r w:rsidR="008031C4">
              <w:rPr>
                <w:rStyle w:val="afffff"/>
                <w:rFonts w:cs="Times New Roman"/>
              </w:rPr>
              <w:t>6.3</w:t>
            </w:r>
            <w:r w:rsidR="008031C4">
              <w:rPr>
                <w:rStyle w:val="afffff"/>
                <w:rFonts w:cs="Times New Roman"/>
              </w:rPr>
              <w:t>排污口建设</w:t>
            </w:r>
            <w:r w:rsidR="008031C4">
              <w:tab/>
            </w:r>
            <w:r w:rsidR="008031C4">
              <w:fldChar w:fldCharType="begin"/>
            </w:r>
            <w:r w:rsidR="008031C4">
              <w:instrText xml:space="preserve"> PAGEREF _Toc177216897 \h </w:instrText>
            </w:r>
            <w:r w:rsidR="008031C4">
              <w:fldChar w:fldCharType="separate"/>
            </w:r>
            <w:r w:rsidR="008031C4">
              <w:t>201</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898" w:history="1">
            <w:r w:rsidR="008031C4">
              <w:rPr>
                <w:rStyle w:val="afffff"/>
                <w:rFonts w:cs="Times New Roman"/>
              </w:rPr>
              <w:t>6.4</w:t>
            </w:r>
            <w:r w:rsidR="008031C4">
              <w:rPr>
                <w:rStyle w:val="afffff"/>
                <w:rFonts w:cs="Times New Roman"/>
              </w:rPr>
              <w:t>环保投资估算</w:t>
            </w:r>
            <w:r w:rsidR="008031C4">
              <w:tab/>
            </w:r>
            <w:r w:rsidR="008031C4">
              <w:fldChar w:fldCharType="begin"/>
            </w:r>
            <w:r w:rsidR="008031C4">
              <w:instrText xml:space="preserve"> PAGEREF _Toc177216898 \h </w:instrText>
            </w:r>
            <w:r w:rsidR="008031C4">
              <w:fldChar w:fldCharType="separate"/>
            </w:r>
            <w:r w:rsidR="008031C4">
              <w:t>201</w:t>
            </w:r>
            <w:r w:rsidR="008031C4">
              <w:fldChar w:fldCharType="end"/>
            </w:r>
          </w:hyperlink>
        </w:p>
        <w:p w:rsidR="00644456" w:rsidRDefault="00275C20">
          <w:pPr>
            <w:pStyle w:val="15"/>
            <w:tabs>
              <w:tab w:val="right" w:leader="dot" w:pos="9015"/>
            </w:tabs>
            <w:rPr>
              <w:rFonts w:asciiTheme="minorHAnsi" w:eastAsiaTheme="minorEastAsia" w:hAnsiTheme="minorHAnsi"/>
              <w:b w:val="0"/>
              <w:sz w:val="21"/>
            </w:rPr>
          </w:pPr>
          <w:hyperlink w:anchor="_Toc177216899" w:history="1">
            <w:r w:rsidR="008031C4">
              <w:rPr>
                <w:rStyle w:val="afffff"/>
                <w:rFonts w:cs="Times New Roman"/>
              </w:rPr>
              <w:t>第</w:t>
            </w:r>
            <w:r w:rsidR="008031C4">
              <w:rPr>
                <w:rStyle w:val="afffff"/>
                <w:rFonts w:cs="Times New Roman"/>
              </w:rPr>
              <w:t>7</w:t>
            </w:r>
            <w:r w:rsidR="008031C4">
              <w:rPr>
                <w:rStyle w:val="afffff"/>
                <w:rFonts w:cs="Times New Roman"/>
              </w:rPr>
              <w:t>章环境风险评价</w:t>
            </w:r>
            <w:r w:rsidR="008031C4">
              <w:tab/>
            </w:r>
            <w:r w:rsidR="008031C4">
              <w:fldChar w:fldCharType="begin"/>
            </w:r>
            <w:r w:rsidR="008031C4">
              <w:instrText xml:space="preserve"> PAGEREF _Toc177216899 \h </w:instrText>
            </w:r>
            <w:r w:rsidR="008031C4">
              <w:fldChar w:fldCharType="separate"/>
            </w:r>
            <w:r w:rsidR="008031C4">
              <w:t>203</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00" w:history="1">
            <w:r w:rsidR="008031C4">
              <w:rPr>
                <w:rStyle w:val="afffff"/>
                <w:rFonts w:cs="Times New Roman"/>
              </w:rPr>
              <w:t>7.1</w:t>
            </w:r>
            <w:r w:rsidR="008031C4">
              <w:rPr>
                <w:rStyle w:val="afffff"/>
                <w:rFonts w:cs="Times New Roman"/>
              </w:rPr>
              <w:t>概述</w:t>
            </w:r>
            <w:r w:rsidR="008031C4">
              <w:tab/>
            </w:r>
            <w:r w:rsidR="008031C4">
              <w:fldChar w:fldCharType="begin"/>
            </w:r>
            <w:r w:rsidR="008031C4">
              <w:instrText xml:space="preserve"> PAGEREF _Toc177216900 \h </w:instrText>
            </w:r>
            <w:r w:rsidR="008031C4">
              <w:fldChar w:fldCharType="separate"/>
            </w:r>
            <w:r w:rsidR="008031C4">
              <w:t>203</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01" w:history="1">
            <w:r w:rsidR="008031C4">
              <w:rPr>
                <w:rStyle w:val="afffff"/>
                <w:rFonts w:cs="Times New Roman"/>
              </w:rPr>
              <w:t>7.2</w:t>
            </w:r>
            <w:r w:rsidR="008031C4">
              <w:rPr>
                <w:rStyle w:val="afffff"/>
                <w:rFonts w:cs="Times New Roman"/>
              </w:rPr>
              <w:t>评价原则</w:t>
            </w:r>
            <w:r w:rsidR="008031C4">
              <w:tab/>
            </w:r>
            <w:r w:rsidR="008031C4">
              <w:fldChar w:fldCharType="begin"/>
            </w:r>
            <w:r w:rsidR="008031C4">
              <w:instrText xml:space="preserve"> PAGEREF _Toc177216901 \h </w:instrText>
            </w:r>
            <w:r w:rsidR="008031C4">
              <w:fldChar w:fldCharType="separate"/>
            </w:r>
            <w:r w:rsidR="008031C4">
              <w:t>203</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02" w:history="1">
            <w:r w:rsidR="008031C4">
              <w:rPr>
                <w:rStyle w:val="afffff"/>
                <w:rFonts w:cs="Times New Roman"/>
              </w:rPr>
              <w:t>7.3</w:t>
            </w:r>
            <w:r w:rsidR="008031C4">
              <w:rPr>
                <w:rStyle w:val="afffff"/>
                <w:rFonts w:cs="Times New Roman"/>
              </w:rPr>
              <w:t>评价工作程序</w:t>
            </w:r>
            <w:r w:rsidR="008031C4">
              <w:tab/>
            </w:r>
            <w:r w:rsidR="008031C4">
              <w:fldChar w:fldCharType="begin"/>
            </w:r>
            <w:r w:rsidR="008031C4">
              <w:instrText xml:space="preserve"> PAGEREF _Toc177216902 \h </w:instrText>
            </w:r>
            <w:r w:rsidR="008031C4">
              <w:fldChar w:fldCharType="separate"/>
            </w:r>
            <w:r w:rsidR="008031C4">
              <w:t>203</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03" w:history="1">
            <w:r w:rsidR="008031C4">
              <w:rPr>
                <w:rStyle w:val="afffff"/>
                <w:rFonts w:cs="Times New Roman"/>
              </w:rPr>
              <w:t>7.4</w:t>
            </w:r>
            <w:r w:rsidR="008031C4">
              <w:rPr>
                <w:rStyle w:val="afffff"/>
                <w:rFonts w:cs="Times New Roman"/>
              </w:rPr>
              <w:t>风险调查</w:t>
            </w:r>
            <w:r w:rsidR="008031C4">
              <w:tab/>
            </w:r>
            <w:r w:rsidR="008031C4">
              <w:fldChar w:fldCharType="begin"/>
            </w:r>
            <w:r w:rsidR="008031C4">
              <w:instrText xml:space="preserve"> PAGEREF _Toc177216903 \h </w:instrText>
            </w:r>
            <w:r w:rsidR="008031C4">
              <w:fldChar w:fldCharType="separate"/>
            </w:r>
            <w:r w:rsidR="008031C4">
              <w:t>204</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04" w:history="1">
            <w:r w:rsidR="008031C4">
              <w:rPr>
                <w:rStyle w:val="afffff"/>
                <w:rFonts w:cs="Times New Roman"/>
              </w:rPr>
              <w:t>7.5</w:t>
            </w:r>
            <w:r w:rsidR="008031C4">
              <w:rPr>
                <w:rStyle w:val="afffff"/>
                <w:rFonts w:cs="Times New Roman"/>
              </w:rPr>
              <w:t>环境风险影响分析内容</w:t>
            </w:r>
            <w:r w:rsidR="008031C4">
              <w:tab/>
            </w:r>
            <w:r w:rsidR="008031C4">
              <w:fldChar w:fldCharType="begin"/>
            </w:r>
            <w:r w:rsidR="008031C4">
              <w:instrText xml:space="preserve"> PAGEREF _Toc177216904 \h </w:instrText>
            </w:r>
            <w:r w:rsidR="008031C4">
              <w:fldChar w:fldCharType="separate"/>
            </w:r>
            <w:r w:rsidR="008031C4">
              <w:t>205</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05" w:history="1">
            <w:r w:rsidR="008031C4">
              <w:rPr>
                <w:rStyle w:val="afffff"/>
                <w:rFonts w:cs="Times New Roman"/>
              </w:rPr>
              <w:t>7.6</w:t>
            </w:r>
            <w:r w:rsidR="008031C4">
              <w:rPr>
                <w:rStyle w:val="afffff"/>
                <w:rFonts w:cs="Times New Roman"/>
              </w:rPr>
              <w:t>环境风险敏感目标</w:t>
            </w:r>
            <w:r w:rsidR="008031C4">
              <w:tab/>
            </w:r>
            <w:r w:rsidR="008031C4">
              <w:fldChar w:fldCharType="begin"/>
            </w:r>
            <w:r w:rsidR="008031C4">
              <w:instrText xml:space="preserve"> PAGEREF _Toc177216905 \h </w:instrText>
            </w:r>
            <w:r w:rsidR="008031C4">
              <w:fldChar w:fldCharType="separate"/>
            </w:r>
            <w:r w:rsidR="008031C4">
              <w:t>206</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06" w:history="1">
            <w:r w:rsidR="008031C4">
              <w:rPr>
                <w:rStyle w:val="afffff"/>
                <w:rFonts w:cs="Times New Roman"/>
              </w:rPr>
              <w:t>7.7</w:t>
            </w:r>
            <w:r w:rsidR="008031C4">
              <w:rPr>
                <w:rStyle w:val="afffff"/>
                <w:rFonts w:cs="Times New Roman"/>
              </w:rPr>
              <w:t>环境风险识别及影响途径</w:t>
            </w:r>
            <w:r w:rsidR="008031C4">
              <w:tab/>
            </w:r>
            <w:r w:rsidR="008031C4">
              <w:fldChar w:fldCharType="begin"/>
            </w:r>
            <w:r w:rsidR="008031C4">
              <w:instrText xml:space="preserve"> PAGEREF _Toc177216906 \h </w:instrText>
            </w:r>
            <w:r w:rsidR="008031C4">
              <w:fldChar w:fldCharType="separate"/>
            </w:r>
            <w:r w:rsidR="008031C4">
              <w:t>207</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07" w:history="1">
            <w:r w:rsidR="008031C4">
              <w:rPr>
                <w:rStyle w:val="afffff"/>
                <w:rFonts w:cs="Times New Roman"/>
              </w:rPr>
              <w:t>7.8</w:t>
            </w:r>
            <w:r w:rsidR="008031C4">
              <w:rPr>
                <w:rStyle w:val="afffff"/>
                <w:rFonts w:cs="Times New Roman"/>
              </w:rPr>
              <w:t>环境风险防范措施</w:t>
            </w:r>
            <w:r w:rsidR="008031C4">
              <w:tab/>
            </w:r>
            <w:r w:rsidR="008031C4">
              <w:fldChar w:fldCharType="begin"/>
            </w:r>
            <w:r w:rsidR="008031C4">
              <w:instrText xml:space="preserve"> PAGEREF _Toc177216907 \h </w:instrText>
            </w:r>
            <w:r w:rsidR="008031C4">
              <w:fldChar w:fldCharType="separate"/>
            </w:r>
            <w:r w:rsidR="008031C4">
              <w:t>207</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08" w:history="1">
            <w:r w:rsidR="008031C4">
              <w:rPr>
                <w:rStyle w:val="afffff"/>
                <w:rFonts w:cs="Times New Roman"/>
              </w:rPr>
              <w:t>7.9</w:t>
            </w:r>
            <w:r w:rsidR="008031C4">
              <w:rPr>
                <w:rStyle w:val="afffff"/>
              </w:rPr>
              <w:t>风险事故应急预案</w:t>
            </w:r>
            <w:r w:rsidR="008031C4">
              <w:tab/>
            </w:r>
            <w:r w:rsidR="008031C4">
              <w:fldChar w:fldCharType="begin"/>
            </w:r>
            <w:r w:rsidR="008031C4">
              <w:instrText xml:space="preserve"> PAGEREF _Toc177216908 \h </w:instrText>
            </w:r>
            <w:r w:rsidR="008031C4">
              <w:fldChar w:fldCharType="separate"/>
            </w:r>
            <w:r w:rsidR="008031C4">
              <w:t>215</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09" w:history="1">
            <w:r w:rsidR="008031C4">
              <w:rPr>
                <w:rStyle w:val="afffff"/>
                <w:rFonts w:cs="Times New Roman"/>
              </w:rPr>
              <w:t>7.10</w:t>
            </w:r>
            <w:r w:rsidR="008031C4">
              <w:rPr>
                <w:rStyle w:val="afffff"/>
                <w:rFonts w:cs="Times New Roman"/>
              </w:rPr>
              <w:t>环境风险评价结论</w:t>
            </w:r>
            <w:r w:rsidR="008031C4">
              <w:tab/>
            </w:r>
            <w:r w:rsidR="008031C4">
              <w:fldChar w:fldCharType="begin"/>
            </w:r>
            <w:r w:rsidR="008031C4">
              <w:instrText xml:space="preserve"> PAGEREF _Toc177216909 \h </w:instrText>
            </w:r>
            <w:r w:rsidR="008031C4">
              <w:fldChar w:fldCharType="separate"/>
            </w:r>
            <w:r w:rsidR="008031C4">
              <w:t>217</w:t>
            </w:r>
            <w:r w:rsidR="008031C4">
              <w:fldChar w:fldCharType="end"/>
            </w:r>
          </w:hyperlink>
        </w:p>
        <w:p w:rsidR="00644456" w:rsidRDefault="00275C20">
          <w:pPr>
            <w:pStyle w:val="15"/>
            <w:tabs>
              <w:tab w:val="right" w:leader="dot" w:pos="9015"/>
            </w:tabs>
            <w:rPr>
              <w:rFonts w:asciiTheme="minorHAnsi" w:eastAsiaTheme="minorEastAsia" w:hAnsiTheme="minorHAnsi"/>
              <w:b w:val="0"/>
              <w:sz w:val="21"/>
            </w:rPr>
          </w:pPr>
          <w:hyperlink w:anchor="_Toc177216910" w:history="1">
            <w:r w:rsidR="008031C4">
              <w:rPr>
                <w:rStyle w:val="afffff"/>
                <w:rFonts w:cs="Times New Roman"/>
              </w:rPr>
              <w:t>第</w:t>
            </w:r>
            <w:r w:rsidR="008031C4">
              <w:rPr>
                <w:rStyle w:val="afffff"/>
                <w:rFonts w:cs="Times New Roman"/>
              </w:rPr>
              <w:t>8</w:t>
            </w:r>
            <w:r w:rsidR="008031C4">
              <w:rPr>
                <w:rStyle w:val="afffff"/>
                <w:rFonts w:cs="Times New Roman"/>
              </w:rPr>
              <w:t>章环境经济损益分析</w:t>
            </w:r>
            <w:r w:rsidR="008031C4">
              <w:tab/>
            </w:r>
            <w:r w:rsidR="008031C4">
              <w:fldChar w:fldCharType="begin"/>
            </w:r>
            <w:r w:rsidR="008031C4">
              <w:instrText xml:space="preserve"> PAGEREF _Toc177216910 \h </w:instrText>
            </w:r>
            <w:r w:rsidR="008031C4">
              <w:fldChar w:fldCharType="separate"/>
            </w:r>
            <w:r w:rsidR="008031C4">
              <w:t>218</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11" w:history="1">
            <w:r w:rsidR="008031C4">
              <w:rPr>
                <w:rStyle w:val="afffff"/>
                <w:rFonts w:cs="Times New Roman"/>
              </w:rPr>
              <w:t>8.1</w:t>
            </w:r>
            <w:r w:rsidR="008031C4">
              <w:rPr>
                <w:rStyle w:val="afffff"/>
                <w:rFonts w:cs="Times New Roman"/>
              </w:rPr>
              <w:t>环保投资分析</w:t>
            </w:r>
            <w:r w:rsidR="008031C4">
              <w:tab/>
            </w:r>
            <w:r w:rsidR="008031C4">
              <w:fldChar w:fldCharType="begin"/>
            </w:r>
            <w:r w:rsidR="008031C4">
              <w:instrText xml:space="preserve"> PAGEREF _Toc177216911 \h </w:instrText>
            </w:r>
            <w:r w:rsidR="008031C4">
              <w:fldChar w:fldCharType="separate"/>
            </w:r>
            <w:r w:rsidR="008031C4">
              <w:t>218</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12" w:history="1">
            <w:r w:rsidR="008031C4">
              <w:rPr>
                <w:rStyle w:val="afffff"/>
                <w:rFonts w:cs="Times New Roman"/>
              </w:rPr>
              <w:t>8.2</w:t>
            </w:r>
            <w:r w:rsidR="008031C4">
              <w:rPr>
                <w:rStyle w:val="afffff"/>
                <w:rFonts w:cs="Times New Roman"/>
              </w:rPr>
              <w:t>环境效益分析</w:t>
            </w:r>
            <w:r w:rsidR="008031C4">
              <w:tab/>
            </w:r>
            <w:r w:rsidR="008031C4">
              <w:fldChar w:fldCharType="begin"/>
            </w:r>
            <w:r w:rsidR="008031C4">
              <w:instrText xml:space="preserve"> PAGEREF _Toc177216912 \h </w:instrText>
            </w:r>
            <w:r w:rsidR="008031C4">
              <w:fldChar w:fldCharType="separate"/>
            </w:r>
            <w:r w:rsidR="008031C4">
              <w:t>218</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13" w:history="1">
            <w:r w:rsidR="008031C4">
              <w:rPr>
                <w:rStyle w:val="afffff"/>
                <w:rFonts w:cs="Times New Roman"/>
              </w:rPr>
              <w:t>8.3</w:t>
            </w:r>
            <w:r w:rsidR="008031C4">
              <w:rPr>
                <w:rStyle w:val="afffff"/>
                <w:rFonts w:cs="Times New Roman"/>
              </w:rPr>
              <w:t>经济效益分析</w:t>
            </w:r>
            <w:r w:rsidR="008031C4">
              <w:tab/>
            </w:r>
            <w:r w:rsidR="008031C4">
              <w:fldChar w:fldCharType="begin"/>
            </w:r>
            <w:r w:rsidR="008031C4">
              <w:instrText xml:space="preserve"> PAGEREF _Toc177216913 \h </w:instrText>
            </w:r>
            <w:r w:rsidR="008031C4">
              <w:fldChar w:fldCharType="separate"/>
            </w:r>
            <w:r w:rsidR="008031C4">
              <w:t>218</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14" w:history="1">
            <w:r w:rsidR="008031C4">
              <w:rPr>
                <w:rStyle w:val="afffff"/>
                <w:rFonts w:cs="Times New Roman"/>
              </w:rPr>
              <w:t>8.4</w:t>
            </w:r>
            <w:r w:rsidR="008031C4">
              <w:rPr>
                <w:rStyle w:val="afffff"/>
                <w:rFonts w:cs="Times New Roman"/>
              </w:rPr>
              <w:t>社会效益分析</w:t>
            </w:r>
            <w:r w:rsidR="008031C4">
              <w:tab/>
            </w:r>
            <w:r w:rsidR="008031C4">
              <w:fldChar w:fldCharType="begin"/>
            </w:r>
            <w:r w:rsidR="008031C4">
              <w:instrText xml:space="preserve"> PAGEREF _Toc177216914 \h </w:instrText>
            </w:r>
            <w:r w:rsidR="008031C4">
              <w:fldChar w:fldCharType="separate"/>
            </w:r>
            <w:r w:rsidR="008031C4">
              <w:t>219</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15" w:history="1">
            <w:r w:rsidR="008031C4">
              <w:rPr>
                <w:rStyle w:val="afffff"/>
                <w:rFonts w:cs="Times New Roman"/>
              </w:rPr>
              <w:t>8.5</w:t>
            </w:r>
            <w:r w:rsidR="008031C4">
              <w:rPr>
                <w:rStyle w:val="afffff"/>
                <w:rFonts w:cs="Times New Roman"/>
              </w:rPr>
              <w:t>小结</w:t>
            </w:r>
            <w:r w:rsidR="008031C4">
              <w:tab/>
            </w:r>
            <w:r w:rsidR="008031C4">
              <w:fldChar w:fldCharType="begin"/>
            </w:r>
            <w:r w:rsidR="008031C4">
              <w:instrText xml:space="preserve"> PAGEREF _Toc177216915 \h </w:instrText>
            </w:r>
            <w:r w:rsidR="008031C4">
              <w:fldChar w:fldCharType="separate"/>
            </w:r>
            <w:r w:rsidR="008031C4">
              <w:t>219</w:t>
            </w:r>
            <w:r w:rsidR="008031C4">
              <w:fldChar w:fldCharType="end"/>
            </w:r>
          </w:hyperlink>
        </w:p>
        <w:p w:rsidR="00644456" w:rsidRDefault="00275C20">
          <w:pPr>
            <w:pStyle w:val="15"/>
            <w:tabs>
              <w:tab w:val="right" w:leader="dot" w:pos="9015"/>
            </w:tabs>
            <w:rPr>
              <w:rFonts w:asciiTheme="minorHAnsi" w:eastAsiaTheme="minorEastAsia" w:hAnsiTheme="minorHAnsi"/>
              <w:b w:val="0"/>
              <w:sz w:val="21"/>
            </w:rPr>
          </w:pPr>
          <w:hyperlink w:anchor="_Toc177216916" w:history="1">
            <w:r w:rsidR="008031C4">
              <w:rPr>
                <w:rStyle w:val="afffff"/>
                <w:rFonts w:cs="Times New Roman"/>
              </w:rPr>
              <w:t>第</w:t>
            </w:r>
            <w:r w:rsidR="008031C4">
              <w:rPr>
                <w:rStyle w:val="afffff"/>
                <w:rFonts w:cs="Times New Roman"/>
              </w:rPr>
              <w:t>9</w:t>
            </w:r>
            <w:r w:rsidR="008031C4">
              <w:rPr>
                <w:rStyle w:val="afffff"/>
                <w:rFonts w:cs="Times New Roman"/>
              </w:rPr>
              <w:t>章环境管理与环境监测计划</w:t>
            </w:r>
            <w:r w:rsidR="008031C4">
              <w:tab/>
            </w:r>
            <w:r w:rsidR="008031C4">
              <w:fldChar w:fldCharType="begin"/>
            </w:r>
            <w:r w:rsidR="008031C4">
              <w:instrText xml:space="preserve"> PAGEREF _Toc177216916 \h </w:instrText>
            </w:r>
            <w:r w:rsidR="008031C4">
              <w:fldChar w:fldCharType="separate"/>
            </w:r>
            <w:r w:rsidR="008031C4">
              <w:t>220</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17" w:history="1">
            <w:r w:rsidR="008031C4">
              <w:rPr>
                <w:rStyle w:val="afffff"/>
                <w:rFonts w:cs="Times New Roman"/>
              </w:rPr>
              <w:t>9.1</w:t>
            </w:r>
            <w:r w:rsidR="008031C4">
              <w:rPr>
                <w:rStyle w:val="afffff"/>
                <w:rFonts w:cs="Times New Roman"/>
              </w:rPr>
              <w:t>环境管理</w:t>
            </w:r>
            <w:r w:rsidR="008031C4">
              <w:tab/>
            </w:r>
            <w:r w:rsidR="008031C4">
              <w:fldChar w:fldCharType="begin"/>
            </w:r>
            <w:r w:rsidR="008031C4">
              <w:instrText xml:space="preserve"> PAGEREF _Toc177216917 \h </w:instrText>
            </w:r>
            <w:r w:rsidR="008031C4">
              <w:fldChar w:fldCharType="separate"/>
            </w:r>
            <w:r w:rsidR="008031C4">
              <w:t>220</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18" w:history="1">
            <w:r w:rsidR="008031C4">
              <w:rPr>
                <w:rStyle w:val="afffff"/>
                <w:rFonts w:cs="Times New Roman"/>
              </w:rPr>
              <w:t>9.2</w:t>
            </w:r>
            <w:r w:rsidR="008031C4">
              <w:rPr>
                <w:rStyle w:val="afffff"/>
                <w:rFonts w:cs="Times New Roman"/>
              </w:rPr>
              <w:t>自行监测计划</w:t>
            </w:r>
            <w:r w:rsidR="008031C4">
              <w:tab/>
            </w:r>
            <w:r w:rsidR="008031C4">
              <w:fldChar w:fldCharType="begin"/>
            </w:r>
            <w:r w:rsidR="008031C4">
              <w:instrText xml:space="preserve"> PAGEREF _Toc177216918 \h </w:instrText>
            </w:r>
            <w:r w:rsidR="008031C4">
              <w:fldChar w:fldCharType="separate"/>
            </w:r>
            <w:r w:rsidR="008031C4">
              <w:t>224</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19" w:history="1">
            <w:r w:rsidR="008031C4">
              <w:rPr>
                <w:rStyle w:val="afffff"/>
                <w:rFonts w:cs="Times New Roman"/>
              </w:rPr>
              <w:t>9.3</w:t>
            </w:r>
            <w:r w:rsidR="008031C4">
              <w:rPr>
                <w:rStyle w:val="afffff"/>
                <w:rFonts w:cs="Times New Roman"/>
              </w:rPr>
              <w:t>管理人员培训</w:t>
            </w:r>
            <w:r w:rsidR="008031C4">
              <w:tab/>
            </w:r>
            <w:r w:rsidR="008031C4">
              <w:fldChar w:fldCharType="begin"/>
            </w:r>
            <w:r w:rsidR="008031C4">
              <w:instrText xml:space="preserve"> PAGEREF _Toc177216919 \h </w:instrText>
            </w:r>
            <w:r w:rsidR="008031C4">
              <w:fldChar w:fldCharType="separate"/>
            </w:r>
            <w:r w:rsidR="008031C4">
              <w:t>226</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20" w:history="1">
            <w:r w:rsidR="008031C4">
              <w:rPr>
                <w:rStyle w:val="afffff"/>
                <w:rFonts w:cs="Times New Roman"/>
              </w:rPr>
              <w:t>9.4</w:t>
            </w:r>
            <w:r w:rsidR="008031C4">
              <w:rPr>
                <w:rStyle w:val="afffff"/>
                <w:rFonts w:cs="Times New Roman"/>
              </w:rPr>
              <w:t>排污许可与总量控制</w:t>
            </w:r>
            <w:r w:rsidR="008031C4">
              <w:tab/>
            </w:r>
            <w:r w:rsidR="008031C4">
              <w:fldChar w:fldCharType="begin"/>
            </w:r>
            <w:r w:rsidR="008031C4">
              <w:instrText xml:space="preserve"> PAGEREF _Toc177216920 \h </w:instrText>
            </w:r>
            <w:r w:rsidR="008031C4">
              <w:fldChar w:fldCharType="separate"/>
            </w:r>
            <w:r w:rsidR="008031C4">
              <w:t>227</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21" w:history="1">
            <w:r w:rsidR="008031C4">
              <w:rPr>
                <w:rStyle w:val="afffff"/>
                <w:rFonts w:cs="Times New Roman"/>
              </w:rPr>
              <w:t>9.5</w:t>
            </w:r>
            <w:r w:rsidR="008031C4">
              <w:rPr>
                <w:rStyle w:val="afffff"/>
                <w:rFonts w:cs="Times New Roman"/>
              </w:rPr>
              <w:t>项目建成后</w:t>
            </w:r>
            <w:r w:rsidR="008031C4">
              <w:rPr>
                <w:rStyle w:val="afffff"/>
                <w:rFonts w:cs="Times New Roman"/>
              </w:rPr>
              <w:t>“</w:t>
            </w:r>
            <w:r w:rsidR="008031C4">
              <w:rPr>
                <w:rStyle w:val="afffff"/>
                <w:rFonts w:cs="Times New Roman"/>
              </w:rPr>
              <w:t>三同时</w:t>
            </w:r>
            <w:r w:rsidR="008031C4">
              <w:rPr>
                <w:rStyle w:val="afffff"/>
                <w:rFonts w:cs="Times New Roman"/>
              </w:rPr>
              <w:t>”</w:t>
            </w:r>
            <w:r w:rsidR="008031C4">
              <w:rPr>
                <w:rStyle w:val="afffff"/>
                <w:rFonts w:cs="Times New Roman"/>
              </w:rPr>
              <w:t>竣工验收清单</w:t>
            </w:r>
            <w:r w:rsidR="008031C4">
              <w:tab/>
            </w:r>
            <w:r w:rsidR="008031C4">
              <w:fldChar w:fldCharType="begin"/>
            </w:r>
            <w:r w:rsidR="008031C4">
              <w:instrText xml:space="preserve"> PAGEREF _Toc177216921 \h </w:instrText>
            </w:r>
            <w:r w:rsidR="008031C4">
              <w:fldChar w:fldCharType="separate"/>
            </w:r>
            <w:r w:rsidR="008031C4">
              <w:t>227</w:t>
            </w:r>
            <w:r w:rsidR="008031C4">
              <w:fldChar w:fldCharType="end"/>
            </w:r>
          </w:hyperlink>
        </w:p>
        <w:p w:rsidR="00644456" w:rsidRDefault="00275C20">
          <w:pPr>
            <w:pStyle w:val="15"/>
            <w:tabs>
              <w:tab w:val="right" w:leader="dot" w:pos="9015"/>
            </w:tabs>
            <w:rPr>
              <w:rFonts w:asciiTheme="minorHAnsi" w:eastAsiaTheme="minorEastAsia" w:hAnsiTheme="minorHAnsi"/>
              <w:b w:val="0"/>
              <w:sz w:val="21"/>
            </w:rPr>
          </w:pPr>
          <w:hyperlink w:anchor="_Toc177216922" w:history="1">
            <w:r w:rsidR="008031C4">
              <w:rPr>
                <w:rStyle w:val="afffff"/>
                <w:rFonts w:cs="Times New Roman"/>
              </w:rPr>
              <w:t>第</w:t>
            </w:r>
            <w:r w:rsidR="008031C4">
              <w:rPr>
                <w:rStyle w:val="afffff"/>
                <w:rFonts w:cs="Times New Roman"/>
              </w:rPr>
              <w:t>10</w:t>
            </w:r>
            <w:r w:rsidR="008031C4">
              <w:rPr>
                <w:rStyle w:val="afffff"/>
                <w:rFonts w:cs="Times New Roman"/>
              </w:rPr>
              <w:t>章评价结论与建议</w:t>
            </w:r>
            <w:r w:rsidR="008031C4">
              <w:tab/>
            </w:r>
            <w:r w:rsidR="008031C4">
              <w:fldChar w:fldCharType="begin"/>
            </w:r>
            <w:r w:rsidR="008031C4">
              <w:instrText xml:space="preserve"> PAGEREF _Toc177216922 \h </w:instrText>
            </w:r>
            <w:r w:rsidR="008031C4">
              <w:fldChar w:fldCharType="separate"/>
            </w:r>
            <w:r w:rsidR="008031C4">
              <w:t>229</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23" w:history="1">
            <w:r w:rsidR="008031C4">
              <w:rPr>
                <w:rStyle w:val="afffff"/>
                <w:rFonts w:cs="Times New Roman"/>
              </w:rPr>
              <w:t>10.1</w:t>
            </w:r>
            <w:r w:rsidR="008031C4">
              <w:rPr>
                <w:rStyle w:val="afffff"/>
                <w:rFonts w:cs="Times New Roman"/>
              </w:rPr>
              <w:t>环境影响评价结论</w:t>
            </w:r>
            <w:r w:rsidR="008031C4">
              <w:tab/>
            </w:r>
            <w:r w:rsidR="008031C4">
              <w:fldChar w:fldCharType="begin"/>
            </w:r>
            <w:r w:rsidR="008031C4">
              <w:instrText xml:space="preserve"> PAGEREF _Toc177216923 \h </w:instrText>
            </w:r>
            <w:r w:rsidR="008031C4">
              <w:fldChar w:fldCharType="separate"/>
            </w:r>
            <w:r w:rsidR="008031C4">
              <w:t>229</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24" w:history="1">
            <w:r w:rsidR="008031C4">
              <w:rPr>
                <w:rStyle w:val="afffff"/>
                <w:rFonts w:cs="Times New Roman"/>
              </w:rPr>
              <w:t>10.2</w:t>
            </w:r>
            <w:r w:rsidR="008031C4">
              <w:rPr>
                <w:rStyle w:val="afffff"/>
                <w:rFonts w:cs="Times New Roman"/>
              </w:rPr>
              <w:t>环境质量现状</w:t>
            </w:r>
            <w:r w:rsidR="008031C4">
              <w:tab/>
            </w:r>
            <w:r w:rsidR="008031C4">
              <w:fldChar w:fldCharType="begin"/>
            </w:r>
            <w:r w:rsidR="008031C4">
              <w:instrText xml:space="preserve"> PAGEREF _Toc177216924 \h </w:instrText>
            </w:r>
            <w:r w:rsidR="008031C4">
              <w:fldChar w:fldCharType="separate"/>
            </w:r>
            <w:r w:rsidR="008031C4">
              <w:t>229</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25" w:history="1">
            <w:r w:rsidR="008031C4">
              <w:rPr>
                <w:rStyle w:val="afffff"/>
                <w:rFonts w:cs="Times New Roman"/>
              </w:rPr>
              <w:t>10.3</w:t>
            </w:r>
            <w:r w:rsidR="008031C4">
              <w:rPr>
                <w:rStyle w:val="afffff"/>
                <w:rFonts w:cs="Times New Roman"/>
              </w:rPr>
              <w:t>环保措施及达标排放</w:t>
            </w:r>
            <w:r w:rsidR="008031C4">
              <w:tab/>
            </w:r>
            <w:r w:rsidR="008031C4">
              <w:fldChar w:fldCharType="begin"/>
            </w:r>
            <w:r w:rsidR="008031C4">
              <w:instrText xml:space="preserve"> PAGEREF _Toc177216925 \h </w:instrText>
            </w:r>
            <w:r w:rsidR="008031C4">
              <w:fldChar w:fldCharType="separate"/>
            </w:r>
            <w:r w:rsidR="008031C4">
              <w:t>230</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26" w:history="1">
            <w:r w:rsidR="008031C4">
              <w:rPr>
                <w:rStyle w:val="afffff"/>
                <w:rFonts w:cs="Times New Roman"/>
              </w:rPr>
              <w:t>10.4</w:t>
            </w:r>
            <w:r w:rsidR="008031C4">
              <w:rPr>
                <w:rStyle w:val="afffff"/>
                <w:rFonts w:cs="Times New Roman"/>
              </w:rPr>
              <w:t>项目对环境的影响</w:t>
            </w:r>
            <w:r w:rsidR="008031C4">
              <w:tab/>
            </w:r>
            <w:r w:rsidR="008031C4">
              <w:fldChar w:fldCharType="begin"/>
            </w:r>
            <w:r w:rsidR="008031C4">
              <w:instrText xml:space="preserve"> PAGEREF _Toc177216926 \h </w:instrText>
            </w:r>
            <w:r w:rsidR="008031C4">
              <w:fldChar w:fldCharType="separate"/>
            </w:r>
            <w:r w:rsidR="008031C4">
              <w:t>231</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27" w:history="1">
            <w:r w:rsidR="008031C4">
              <w:rPr>
                <w:rStyle w:val="afffff"/>
                <w:rFonts w:cs="Times New Roman"/>
              </w:rPr>
              <w:t>10.5</w:t>
            </w:r>
            <w:r w:rsidR="008031C4">
              <w:rPr>
                <w:rStyle w:val="afffff"/>
                <w:rFonts w:cs="Times New Roman"/>
              </w:rPr>
              <w:t>环境影响经济损益分析</w:t>
            </w:r>
            <w:r w:rsidR="008031C4">
              <w:tab/>
            </w:r>
            <w:r w:rsidR="008031C4">
              <w:fldChar w:fldCharType="begin"/>
            </w:r>
            <w:r w:rsidR="008031C4">
              <w:instrText xml:space="preserve"> PAGEREF _Toc177216927 \h </w:instrText>
            </w:r>
            <w:r w:rsidR="008031C4">
              <w:fldChar w:fldCharType="separate"/>
            </w:r>
            <w:r w:rsidR="008031C4">
              <w:t>231</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28" w:history="1">
            <w:r w:rsidR="008031C4">
              <w:rPr>
                <w:rStyle w:val="afffff"/>
                <w:rFonts w:cs="Times New Roman"/>
              </w:rPr>
              <w:t>10.6</w:t>
            </w:r>
            <w:r w:rsidR="008031C4">
              <w:rPr>
                <w:rStyle w:val="afffff"/>
                <w:rFonts w:cs="Times New Roman"/>
              </w:rPr>
              <w:t>环境管理与监测计划</w:t>
            </w:r>
            <w:r w:rsidR="008031C4">
              <w:tab/>
            </w:r>
            <w:r w:rsidR="008031C4">
              <w:fldChar w:fldCharType="begin"/>
            </w:r>
            <w:r w:rsidR="008031C4">
              <w:instrText xml:space="preserve"> PAGEREF _Toc177216928 \h </w:instrText>
            </w:r>
            <w:r w:rsidR="008031C4">
              <w:fldChar w:fldCharType="separate"/>
            </w:r>
            <w:r w:rsidR="008031C4">
              <w:t>231</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29" w:history="1">
            <w:r w:rsidR="008031C4">
              <w:rPr>
                <w:rStyle w:val="afffff"/>
                <w:rFonts w:cs="Times New Roman"/>
              </w:rPr>
              <w:t>10.7</w:t>
            </w:r>
            <w:r w:rsidR="008031C4">
              <w:rPr>
                <w:rStyle w:val="afffff"/>
                <w:rFonts w:cs="Times New Roman"/>
              </w:rPr>
              <w:t>环境风险结论</w:t>
            </w:r>
            <w:r w:rsidR="008031C4">
              <w:tab/>
            </w:r>
            <w:r w:rsidR="008031C4">
              <w:fldChar w:fldCharType="begin"/>
            </w:r>
            <w:r w:rsidR="008031C4">
              <w:instrText xml:space="preserve"> PAGEREF _Toc177216929 \h </w:instrText>
            </w:r>
            <w:r w:rsidR="008031C4">
              <w:fldChar w:fldCharType="separate"/>
            </w:r>
            <w:r w:rsidR="008031C4">
              <w:t>232</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30" w:history="1">
            <w:r w:rsidR="008031C4">
              <w:rPr>
                <w:rStyle w:val="afffff"/>
                <w:rFonts w:cs="Times New Roman"/>
              </w:rPr>
              <w:t>10.8</w:t>
            </w:r>
            <w:r w:rsidR="008031C4">
              <w:rPr>
                <w:rStyle w:val="afffff"/>
                <w:rFonts w:cs="Times New Roman"/>
              </w:rPr>
              <w:t>公众意见采纳情况</w:t>
            </w:r>
            <w:r w:rsidR="008031C4">
              <w:tab/>
            </w:r>
            <w:r w:rsidR="008031C4">
              <w:fldChar w:fldCharType="begin"/>
            </w:r>
            <w:r w:rsidR="008031C4">
              <w:instrText xml:space="preserve"> PAGEREF _Toc177216930 \h </w:instrText>
            </w:r>
            <w:r w:rsidR="008031C4">
              <w:fldChar w:fldCharType="separate"/>
            </w:r>
            <w:r w:rsidR="008031C4">
              <w:t>232</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31" w:history="1">
            <w:r w:rsidR="008031C4">
              <w:rPr>
                <w:rStyle w:val="afffff"/>
                <w:rFonts w:cs="Times New Roman"/>
              </w:rPr>
              <w:t>10.9</w:t>
            </w:r>
            <w:r w:rsidR="008031C4">
              <w:rPr>
                <w:rStyle w:val="afffff"/>
                <w:rFonts w:cs="Times New Roman"/>
              </w:rPr>
              <w:t>结论</w:t>
            </w:r>
            <w:r w:rsidR="008031C4">
              <w:tab/>
            </w:r>
            <w:r w:rsidR="008031C4">
              <w:fldChar w:fldCharType="begin"/>
            </w:r>
            <w:r w:rsidR="008031C4">
              <w:instrText xml:space="preserve"> PAGEREF _Toc177216931 \h </w:instrText>
            </w:r>
            <w:r w:rsidR="008031C4">
              <w:fldChar w:fldCharType="separate"/>
            </w:r>
            <w:r w:rsidR="008031C4">
              <w:t>232</w:t>
            </w:r>
            <w:r w:rsidR="008031C4">
              <w:fldChar w:fldCharType="end"/>
            </w:r>
          </w:hyperlink>
        </w:p>
        <w:p w:rsidR="00644456" w:rsidRDefault="00275C20">
          <w:pPr>
            <w:pStyle w:val="28"/>
            <w:tabs>
              <w:tab w:val="right" w:leader="dot" w:pos="9015"/>
            </w:tabs>
            <w:ind w:left="420"/>
            <w:rPr>
              <w:rFonts w:asciiTheme="minorHAnsi" w:eastAsiaTheme="minorEastAsia" w:hAnsiTheme="minorHAnsi"/>
              <w:sz w:val="21"/>
            </w:rPr>
          </w:pPr>
          <w:hyperlink w:anchor="_Toc177216932" w:history="1">
            <w:r w:rsidR="008031C4">
              <w:rPr>
                <w:rStyle w:val="afffff"/>
                <w:rFonts w:cs="Times New Roman"/>
              </w:rPr>
              <w:t>10.10</w:t>
            </w:r>
            <w:r w:rsidR="008031C4">
              <w:rPr>
                <w:rStyle w:val="afffff"/>
                <w:rFonts w:cs="Times New Roman"/>
              </w:rPr>
              <w:t>要求及建议</w:t>
            </w:r>
            <w:r w:rsidR="008031C4">
              <w:tab/>
            </w:r>
            <w:r w:rsidR="008031C4">
              <w:fldChar w:fldCharType="begin"/>
            </w:r>
            <w:r w:rsidR="008031C4">
              <w:instrText xml:space="preserve"> PAGEREF _Toc177216932 \h </w:instrText>
            </w:r>
            <w:r w:rsidR="008031C4">
              <w:fldChar w:fldCharType="separate"/>
            </w:r>
            <w:r w:rsidR="008031C4">
              <w:t>232</w:t>
            </w:r>
            <w:r w:rsidR="008031C4">
              <w:fldChar w:fldCharType="end"/>
            </w:r>
          </w:hyperlink>
        </w:p>
        <w:p w:rsidR="00644456" w:rsidRDefault="008031C4">
          <w:pPr>
            <w:snapToGrid w:val="0"/>
            <w:spacing w:line="360" w:lineRule="auto"/>
            <w:ind w:firstLine="480"/>
          </w:pPr>
          <w:r>
            <w:rPr>
              <w:rFonts w:ascii="宋体" w:hAnsi="宋体" w:cs="Times New Roman"/>
              <w:b/>
              <w:color w:val="FF0000"/>
              <w:sz w:val="24"/>
              <w:szCs w:val="24"/>
            </w:rPr>
            <w:fldChar w:fldCharType="end"/>
          </w:r>
        </w:p>
      </w:sdtContent>
    </w:sdt>
    <w:p w:rsidR="00644456" w:rsidRDefault="00644456">
      <w:pPr>
        <w:pStyle w:val="-"/>
        <w:ind w:firstLineChars="0" w:firstLine="0"/>
        <w:rPr>
          <w:rFonts w:cs="Times New Roman"/>
          <w:b/>
          <w:color w:val="000000" w:themeColor="text1"/>
          <w:sz w:val="21"/>
          <w:szCs w:val="21"/>
        </w:rPr>
      </w:pPr>
    </w:p>
    <w:p w:rsidR="00644456" w:rsidRDefault="00644456">
      <w:pPr>
        <w:pStyle w:val="-"/>
        <w:ind w:firstLineChars="0" w:firstLine="0"/>
        <w:rPr>
          <w:rFonts w:cs="Times New Roman"/>
          <w:b/>
          <w:color w:val="000000" w:themeColor="text1"/>
          <w:sz w:val="21"/>
          <w:szCs w:val="21"/>
        </w:rPr>
      </w:pPr>
    </w:p>
    <w:p w:rsidR="00644456" w:rsidRDefault="00644456">
      <w:pPr>
        <w:pStyle w:val="-"/>
        <w:ind w:firstLineChars="0" w:firstLine="0"/>
        <w:rPr>
          <w:rFonts w:cs="Times New Roman"/>
          <w:b/>
          <w:color w:val="000000" w:themeColor="text1"/>
          <w:sz w:val="21"/>
          <w:szCs w:val="21"/>
        </w:rPr>
      </w:pPr>
    </w:p>
    <w:p w:rsidR="00644456" w:rsidRDefault="00644456">
      <w:pPr>
        <w:pStyle w:val="-"/>
        <w:ind w:firstLineChars="0" w:firstLine="0"/>
        <w:rPr>
          <w:rFonts w:cs="Times New Roman"/>
          <w:b/>
          <w:color w:val="000000" w:themeColor="text1"/>
          <w:sz w:val="21"/>
          <w:szCs w:val="21"/>
        </w:rPr>
      </w:pPr>
    </w:p>
    <w:p w:rsidR="00644456" w:rsidRDefault="008031C4">
      <w:pPr>
        <w:pStyle w:val="-"/>
        <w:ind w:firstLineChars="0" w:firstLine="0"/>
        <w:rPr>
          <w:rFonts w:cs="Times New Roman"/>
          <w:b/>
          <w:color w:val="000000" w:themeColor="text1"/>
          <w:sz w:val="21"/>
          <w:szCs w:val="21"/>
        </w:rPr>
      </w:pPr>
      <w:r>
        <w:rPr>
          <w:rFonts w:cs="Times New Roman"/>
          <w:b/>
          <w:color w:val="000000" w:themeColor="text1"/>
          <w:sz w:val="21"/>
          <w:szCs w:val="21"/>
        </w:rPr>
        <w:t>附图：</w:t>
      </w:r>
    </w:p>
    <w:p w:rsidR="00644456" w:rsidRDefault="00644456">
      <w:pPr>
        <w:pStyle w:val="-"/>
        <w:ind w:firstLineChars="0" w:firstLine="0"/>
        <w:rPr>
          <w:rFonts w:cs="Times New Roman"/>
          <w:b/>
          <w:color w:val="000000" w:themeColor="text1"/>
          <w:sz w:val="21"/>
          <w:szCs w:val="21"/>
        </w:rPr>
      </w:pPr>
    </w:p>
    <w:p w:rsidR="00644456" w:rsidRDefault="008031C4">
      <w:pPr>
        <w:pStyle w:val="-"/>
        <w:ind w:firstLineChars="0" w:firstLine="0"/>
        <w:rPr>
          <w:rFonts w:cs="Times New Roman"/>
          <w:b/>
          <w:color w:val="000000" w:themeColor="text1"/>
          <w:sz w:val="21"/>
          <w:szCs w:val="21"/>
        </w:rPr>
      </w:pPr>
      <w:r>
        <w:rPr>
          <w:rFonts w:cs="Times New Roman"/>
          <w:b/>
          <w:color w:val="000000" w:themeColor="text1"/>
          <w:sz w:val="21"/>
          <w:szCs w:val="21"/>
        </w:rPr>
        <w:t>附件：</w:t>
      </w:r>
    </w:p>
    <w:p w:rsidR="00644456" w:rsidRDefault="00644456">
      <w:pPr>
        <w:pStyle w:val="1"/>
        <w:numPr>
          <w:ilvl w:val="0"/>
          <w:numId w:val="0"/>
        </w:numPr>
        <w:sectPr w:rsidR="00644456">
          <w:headerReference w:type="default" r:id="rId9"/>
          <w:footerReference w:type="default" r:id="rId10"/>
          <w:pgSz w:w="11905" w:h="16838"/>
          <w:pgMar w:top="1440" w:right="1440" w:bottom="1440" w:left="1440" w:header="850" w:footer="992" w:gutter="0"/>
          <w:pgNumType w:fmt="upperRoman" w:start="1"/>
          <w:cols w:space="0"/>
          <w:docGrid w:linePitch="312"/>
        </w:sectPr>
      </w:pPr>
      <w:bookmarkStart w:id="1" w:name="_Toc76800862"/>
      <w:bookmarkStart w:id="2" w:name="_Toc76218391"/>
      <w:bookmarkStart w:id="3" w:name="_Toc76223585"/>
      <w:bookmarkStart w:id="4" w:name="_Toc155789327"/>
    </w:p>
    <w:p w:rsidR="00644456" w:rsidRDefault="008031C4">
      <w:pPr>
        <w:pStyle w:val="1"/>
        <w:numPr>
          <w:ilvl w:val="0"/>
          <w:numId w:val="0"/>
        </w:numPr>
      </w:pPr>
      <w:bookmarkStart w:id="5" w:name="_Toc177216848"/>
      <w:r>
        <w:lastRenderedPageBreak/>
        <w:t>概述</w:t>
      </w:r>
      <w:bookmarkEnd w:id="1"/>
      <w:bookmarkEnd w:id="2"/>
      <w:bookmarkEnd w:id="3"/>
      <w:bookmarkEnd w:id="4"/>
      <w:bookmarkEnd w:id="5"/>
    </w:p>
    <w:p w:rsidR="00644456" w:rsidRDefault="008031C4">
      <w:pPr>
        <w:pStyle w:val="20"/>
        <w:numPr>
          <w:ilvl w:val="1"/>
          <w:numId w:val="0"/>
        </w:numPr>
        <w:snapToGrid w:val="0"/>
        <w:spacing w:beforeLines="0" w:before="0" w:afterLines="0" w:after="0"/>
        <w:rPr>
          <w:rFonts w:cs="Times New Roman"/>
        </w:rPr>
      </w:pPr>
      <w:bookmarkStart w:id="6" w:name="_Toc76223586"/>
      <w:bookmarkStart w:id="7" w:name="_Toc155789328"/>
      <w:bookmarkStart w:id="8" w:name="_Toc76218392"/>
      <w:bookmarkStart w:id="9" w:name="_Toc177216849"/>
      <w:bookmarkStart w:id="10" w:name="_Toc76800863"/>
      <w:r>
        <w:rPr>
          <w:rFonts w:cs="Times New Roman"/>
        </w:rPr>
        <w:t>1</w:t>
      </w:r>
      <w:r>
        <w:rPr>
          <w:rFonts w:cs="Times New Roman"/>
        </w:rPr>
        <w:t>、项目由来及基本情况</w:t>
      </w:r>
      <w:bookmarkEnd w:id="6"/>
      <w:bookmarkEnd w:id="7"/>
      <w:bookmarkEnd w:id="8"/>
      <w:bookmarkEnd w:id="9"/>
      <w:bookmarkEnd w:id="10"/>
    </w:p>
    <w:p w:rsidR="00644456" w:rsidRDefault="008031C4">
      <w:pPr>
        <w:adjustRightInd w:val="0"/>
        <w:snapToGrid w:val="0"/>
        <w:spacing w:line="360" w:lineRule="auto"/>
        <w:ind w:firstLine="482"/>
        <w:jc w:val="left"/>
        <w:rPr>
          <w:rFonts w:cs="Times New Roman"/>
          <w:color w:val="000000" w:themeColor="text1"/>
          <w:sz w:val="24"/>
          <w:szCs w:val="24"/>
        </w:rPr>
      </w:pPr>
      <w:bookmarkStart w:id="11" w:name="_Hlk523435237"/>
      <w:r>
        <w:rPr>
          <w:rFonts w:cs="Times New Roman" w:hint="eastAsia"/>
          <w:color w:val="000000" w:themeColor="text1"/>
          <w:sz w:val="24"/>
          <w:szCs w:val="24"/>
        </w:rPr>
        <w:t>近年来，随着我国国民经济的飞速发展，作为国民经济支柱产业的冶金、机械、化工、电力、运输等行业不断壮大，用于上述行业的机油、润滑油需求量大幅度增加，随之而来的废矿物油的产生量也随之上升，由此形成的废矿物油数量之大，十分惊人。</w:t>
      </w:r>
    </w:p>
    <w:p w:rsidR="00644456" w:rsidRDefault="008031C4">
      <w:pPr>
        <w:adjustRightInd w:val="0"/>
        <w:snapToGrid w:val="0"/>
        <w:spacing w:line="360" w:lineRule="auto"/>
        <w:ind w:firstLine="482"/>
        <w:jc w:val="left"/>
        <w:rPr>
          <w:rFonts w:cs="Times New Roman"/>
          <w:color w:val="000000" w:themeColor="text1"/>
          <w:sz w:val="24"/>
          <w:szCs w:val="24"/>
        </w:rPr>
      </w:pPr>
      <w:r>
        <w:rPr>
          <w:rFonts w:cs="Times New Roman" w:hint="eastAsia"/>
          <w:color w:val="000000" w:themeColor="text1"/>
          <w:sz w:val="24"/>
          <w:szCs w:val="24"/>
        </w:rPr>
        <w:t>在欧美等发达国家在上世纪四五十年代就开始进行废油再生利用工作，废油回收率和再生利用率分别达到</w:t>
      </w:r>
      <w:r>
        <w:rPr>
          <w:rFonts w:cs="Times New Roman" w:hint="eastAsia"/>
          <w:color w:val="000000" w:themeColor="text1"/>
          <w:sz w:val="24"/>
          <w:szCs w:val="24"/>
        </w:rPr>
        <w:t>50%</w:t>
      </w:r>
      <w:r>
        <w:rPr>
          <w:rFonts w:cs="Times New Roman" w:hint="eastAsia"/>
          <w:color w:val="000000" w:themeColor="text1"/>
          <w:sz w:val="24"/>
          <w:szCs w:val="24"/>
        </w:rPr>
        <w:t>和</w:t>
      </w:r>
      <w:r>
        <w:rPr>
          <w:rFonts w:cs="Times New Roman" w:hint="eastAsia"/>
          <w:color w:val="000000" w:themeColor="text1"/>
          <w:sz w:val="24"/>
          <w:szCs w:val="24"/>
        </w:rPr>
        <w:t>70%</w:t>
      </w:r>
      <w:r>
        <w:rPr>
          <w:rFonts w:cs="Times New Roman" w:hint="eastAsia"/>
          <w:color w:val="000000" w:themeColor="text1"/>
          <w:sz w:val="24"/>
          <w:szCs w:val="24"/>
        </w:rPr>
        <w:t>以上并逐步形成了比较完整的政策扶持和管理应用制度体系，有效促进了废油再生利用的良性发展。</w:t>
      </w:r>
    </w:p>
    <w:bookmarkEnd w:id="11"/>
    <w:p w:rsidR="00644456" w:rsidRDefault="008031C4">
      <w:pPr>
        <w:pStyle w:val="-"/>
        <w:adjustRightInd w:val="0"/>
        <w:snapToGrid w:val="0"/>
        <w:ind w:firstLine="480"/>
        <w:rPr>
          <w:rFonts w:cs="Times New Roman"/>
          <w:color w:val="000000" w:themeColor="text1"/>
        </w:rPr>
      </w:pPr>
      <w:r>
        <w:rPr>
          <w:rFonts w:cs="Times New Roman" w:hint="eastAsia"/>
          <w:color w:val="000000" w:themeColor="text1"/>
        </w:rPr>
        <w:t>废矿物油不仅可以多次反复循环再生利用，对节能环保，发展循环经济都是一举多得的好事。根据《自治区危险废物处置利用设施建设布局指导意见》及根据喀什地区危险废物处置情况，喀什地区废矿物油的资源化利用能力不足，尚存在缺口。在此市场环境下，</w:t>
      </w:r>
      <w:r>
        <w:rPr>
          <w:rFonts w:cs="Times New Roman" w:hint="eastAsia"/>
          <w:b/>
          <w:bCs/>
          <w:color w:val="000000" w:themeColor="text1"/>
        </w:rPr>
        <w:t>喀什正启节能环保科技有限公司</w:t>
      </w:r>
      <w:r>
        <w:rPr>
          <w:rFonts w:cs="Times New Roman" w:hint="eastAsia"/>
          <w:color w:val="000000" w:themeColor="text1"/>
        </w:rPr>
        <w:t>拟投资</w:t>
      </w:r>
      <w:r>
        <w:rPr>
          <w:rFonts w:cs="Times New Roman" w:hint="eastAsia"/>
          <w:color w:val="000000" w:themeColor="text1"/>
        </w:rPr>
        <w:t>7000</w:t>
      </w:r>
      <w:r>
        <w:rPr>
          <w:rFonts w:cs="Times New Roman" w:hint="eastAsia"/>
          <w:color w:val="000000" w:themeColor="text1"/>
        </w:rPr>
        <w:t>万元在疏勒县高新技术产业开发区（化工产业集聚区）建设</w:t>
      </w:r>
      <w:r>
        <w:rPr>
          <w:rFonts w:cs="Times New Roman" w:hint="eastAsia"/>
          <w:color w:val="000000" w:themeColor="text1"/>
        </w:rPr>
        <w:t>3</w:t>
      </w:r>
      <w:r>
        <w:rPr>
          <w:rFonts w:cs="Times New Roman" w:hint="eastAsia"/>
          <w:color w:val="000000" w:themeColor="text1"/>
        </w:rPr>
        <w:t>万吨</w:t>
      </w:r>
      <w:r>
        <w:rPr>
          <w:rFonts w:cs="Times New Roman" w:hint="eastAsia"/>
          <w:color w:val="000000" w:themeColor="text1"/>
        </w:rPr>
        <w:t>/</w:t>
      </w:r>
      <w:r>
        <w:rPr>
          <w:rFonts w:cs="Times New Roman" w:hint="eastAsia"/>
          <w:color w:val="000000" w:themeColor="text1"/>
        </w:rPr>
        <w:t>年废矿物油再生与利用项目，主要用于废润滑油的再生，拟建项目以废矿物油为原料（主要来自疏勒县及周边区域汽车</w:t>
      </w:r>
      <w:r>
        <w:rPr>
          <w:rFonts w:cs="Times New Roman" w:hint="eastAsia"/>
          <w:color w:val="000000" w:themeColor="text1"/>
        </w:rPr>
        <w:t>4S</w:t>
      </w:r>
      <w:r>
        <w:rPr>
          <w:rFonts w:cs="Times New Roman" w:hint="eastAsia"/>
          <w:color w:val="000000" w:themeColor="text1"/>
        </w:rPr>
        <w:t>店、车辆修保企业、工程机械修理厂产生的废弃发动机油、刹车油、传动油、变速箱油、齿轮油等；水泥企业、纺织企业、矿山企业及非煤矿山企业产生的废弃轴承润滑油、液压油、齿轮油、机床润滑油等），项目采用《废矿物油回收利用污染控制技术规范》（</w:t>
      </w:r>
      <w:r>
        <w:rPr>
          <w:rFonts w:cs="Times New Roman" w:hint="eastAsia"/>
          <w:color w:val="000000" w:themeColor="text1"/>
        </w:rPr>
        <w:t>HJ607-2011</w:t>
      </w:r>
      <w:r>
        <w:rPr>
          <w:rFonts w:cs="Times New Roman" w:hint="eastAsia"/>
          <w:color w:val="000000" w:themeColor="text1"/>
        </w:rPr>
        <w:t>）中推荐的处理工艺“减压蒸馏</w:t>
      </w:r>
      <w:r>
        <w:rPr>
          <w:rFonts w:cs="Times New Roman" w:hint="eastAsia"/>
          <w:color w:val="000000" w:themeColor="text1"/>
        </w:rPr>
        <w:t>+</w:t>
      </w:r>
      <w:r>
        <w:rPr>
          <w:rFonts w:cs="Times New Roman" w:hint="eastAsia"/>
          <w:color w:val="000000" w:themeColor="text1"/>
        </w:rPr>
        <w:t>溶剂精制”工艺，废润滑油再生后获得润滑油基础油、再生尾油及燃料油三种产品。</w:t>
      </w:r>
    </w:p>
    <w:p w:rsidR="00644456" w:rsidRDefault="008031C4">
      <w:pPr>
        <w:pStyle w:val="-"/>
        <w:adjustRightInd w:val="0"/>
        <w:snapToGrid w:val="0"/>
        <w:ind w:firstLine="480"/>
        <w:rPr>
          <w:rFonts w:cs="Times New Roman"/>
          <w:color w:val="000000" w:themeColor="text1"/>
        </w:rPr>
      </w:pPr>
      <w:r w:rsidRPr="008031C4">
        <w:rPr>
          <w:rFonts w:cs="Times New Roman" w:hint="eastAsia"/>
          <w:color w:val="FF0000"/>
        </w:rPr>
        <w:t>根据喀什地区生态环境局疏勒县分局</w:t>
      </w:r>
      <w:r>
        <w:rPr>
          <w:rFonts w:cs="Times New Roman" w:hint="eastAsia"/>
          <w:color w:val="000000" w:themeColor="text1"/>
        </w:rPr>
        <w:t>出具的《关于喀什正启节能环保科技有限公司废矿物油再生与利用项目落户征求意见的复函》以及喀什地区生态环境局出具的《关于征求化工项目落地意见建议的函的复函》：在符合该园区产业布局的前提下，无意见，本项目符合要求。</w:t>
      </w:r>
    </w:p>
    <w:p w:rsidR="00644456" w:rsidRDefault="008031C4">
      <w:pPr>
        <w:pStyle w:val="-"/>
        <w:adjustRightInd w:val="0"/>
        <w:snapToGrid w:val="0"/>
        <w:ind w:firstLine="480"/>
        <w:rPr>
          <w:rFonts w:cs="Times New Roman"/>
          <w:color w:val="000000" w:themeColor="text1"/>
        </w:rPr>
      </w:pPr>
      <w:r>
        <w:rPr>
          <w:rFonts w:cs="Times New Roman" w:hint="eastAsia"/>
          <w:color w:val="000000" w:themeColor="text1"/>
        </w:rPr>
        <w:t>本项目的建设不仅能够改变喀什地区废矿物油资源化利用率低，分散小规模处置运行费用大、处理效果不理想的局面，而且形成了一次性投资少、运行费用低，并由专业人员操作、集中规范处置、便于管理，资源循环再利用，减少环境污染，顺应了污染治理市场化运作的机制，实现了经济效益、环境效益、社会效益的有机统一，并促进当地化工、电力、建材、农业、运输业等相关产业的发展，丰富和延长废矿油资源的再生产业链，对发展地区经济、扩大社会就业、增加当地市民收入和地区财政税收具有十分重</w:t>
      </w:r>
      <w:r>
        <w:rPr>
          <w:rFonts w:cs="Times New Roman" w:hint="eastAsia"/>
          <w:color w:val="000000" w:themeColor="text1"/>
        </w:rPr>
        <w:lastRenderedPageBreak/>
        <w:t>要的意义，符合国家政策需求。</w:t>
      </w:r>
    </w:p>
    <w:p w:rsidR="00644456" w:rsidRDefault="008031C4">
      <w:pPr>
        <w:pStyle w:val="-"/>
        <w:adjustRightInd w:val="0"/>
        <w:snapToGrid w:val="0"/>
        <w:ind w:firstLine="482"/>
        <w:rPr>
          <w:rFonts w:cs="Times New Roman"/>
          <w:b/>
          <w:bCs/>
          <w:color w:val="000000" w:themeColor="text1"/>
        </w:rPr>
      </w:pPr>
      <w:r>
        <w:rPr>
          <w:rFonts w:cs="Times New Roman" w:hint="eastAsia"/>
          <w:b/>
          <w:bCs/>
          <w:color w:val="000000" w:themeColor="text1"/>
        </w:rPr>
        <w:t>根据《新疆维吾尔自治区投资项目备案证》：本项目投资</w:t>
      </w:r>
      <w:r>
        <w:rPr>
          <w:rFonts w:cs="Times New Roman"/>
          <w:b/>
          <w:bCs/>
          <w:color w:val="000000" w:themeColor="text1"/>
        </w:rPr>
        <w:t>7000</w:t>
      </w:r>
      <w:r>
        <w:rPr>
          <w:rFonts w:cs="Times New Roman" w:hint="eastAsia"/>
          <w:b/>
          <w:bCs/>
          <w:color w:val="000000" w:themeColor="text1"/>
        </w:rPr>
        <w:t>万元，项目年处理能力三万吨，具体为两条</w:t>
      </w:r>
      <w:r>
        <w:rPr>
          <w:rFonts w:cs="Times New Roman" w:hint="eastAsia"/>
          <w:b/>
          <w:bCs/>
          <w:color w:val="000000" w:themeColor="text1"/>
        </w:rPr>
        <w:t>1.5</w:t>
      </w:r>
      <w:r>
        <w:rPr>
          <w:rFonts w:cs="Times New Roman" w:hint="eastAsia"/>
          <w:b/>
          <w:bCs/>
          <w:color w:val="000000" w:themeColor="text1"/>
        </w:rPr>
        <w:t>万吨</w:t>
      </w:r>
      <w:r>
        <w:rPr>
          <w:rFonts w:cs="Times New Roman" w:hint="eastAsia"/>
          <w:b/>
          <w:bCs/>
          <w:color w:val="000000" w:themeColor="text1"/>
        </w:rPr>
        <w:t>/</w:t>
      </w:r>
      <w:r>
        <w:rPr>
          <w:rFonts w:cs="Times New Roman" w:hint="eastAsia"/>
          <w:b/>
          <w:bCs/>
          <w:color w:val="000000" w:themeColor="text1"/>
        </w:rPr>
        <w:t>年废润滑油再生生产线，建设蒸馏和精制装置区、尾，气处理区、原料和产品罐区、消防水池及泵房、循环水池及泵房、事故收集池、控制室、配电室、空氮站、危废库、化学品库、维修间、化验室及办公生活区等。</w:t>
      </w:r>
    </w:p>
    <w:p w:rsidR="00644456" w:rsidRDefault="008031C4">
      <w:pPr>
        <w:pStyle w:val="-"/>
        <w:adjustRightInd w:val="0"/>
        <w:snapToGrid w:val="0"/>
        <w:ind w:firstLine="480"/>
        <w:rPr>
          <w:rFonts w:cs="Times New Roman"/>
          <w:color w:val="000000" w:themeColor="text1"/>
        </w:rPr>
      </w:pPr>
      <w:r>
        <w:rPr>
          <w:rFonts w:cs="Times New Roman" w:hint="eastAsia"/>
          <w:color w:val="000000" w:themeColor="text1"/>
        </w:rPr>
        <w:t>根据《国民经济行业分类》（</w:t>
      </w:r>
      <w:r>
        <w:rPr>
          <w:rFonts w:cs="Times New Roman" w:hint="eastAsia"/>
          <w:color w:val="000000" w:themeColor="text1"/>
        </w:rPr>
        <w:t>GB/T4754</w:t>
      </w:r>
      <w:r>
        <w:rPr>
          <w:rFonts w:cs="Times New Roman" w:hint="eastAsia"/>
          <w:color w:val="000000" w:themeColor="text1"/>
        </w:rPr>
        <w:t>—</w:t>
      </w:r>
      <w:r>
        <w:rPr>
          <w:rFonts w:cs="Times New Roman" w:hint="eastAsia"/>
          <w:color w:val="000000" w:themeColor="text1"/>
        </w:rPr>
        <w:t>2017</w:t>
      </w:r>
      <w:r>
        <w:rPr>
          <w:rFonts w:cs="Times New Roman" w:hint="eastAsia"/>
          <w:color w:val="000000" w:themeColor="text1"/>
        </w:rPr>
        <w:t>），本项目行业分类为环境治理业（行业代码</w:t>
      </w:r>
      <w:r>
        <w:rPr>
          <w:rFonts w:cs="Times New Roman" w:hint="eastAsia"/>
          <w:color w:val="000000" w:themeColor="text1"/>
        </w:rPr>
        <w:t>N772</w:t>
      </w:r>
      <w:r>
        <w:rPr>
          <w:rFonts w:cs="Times New Roman" w:hint="eastAsia"/>
          <w:color w:val="000000" w:themeColor="text1"/>
        </w:rPr>
        <w:t>），根据《中华人民共和国环境影响评价法》、《建设项目环境保护管理条例》（国务院</w:t>
      </w:r>
      <w:r>
        <w:rPr>
          <w:rFonts w:cs="Times New Roman" w:hint="eastAsia"/>
          <w:color w:val="000000" w:themeColor="text1"/>
        </w:rPr>
        <w:t>253</w:t>
      </w:r>
      <w:r>
        <w:rPr>
          <w:rFonts w:cs="Times New Roman" w:hint="eastAsia"/>
          <w:color w:val="000000" w:themeColor="text1"/>
        </w:rPr>
        <w:t>号令），本项目的建设应进行环境影响评价，根据</w:t>
      </w:r>
      <w:bookmarkStart w:id="12" w:name="_Hlk179279854"/>
      <w:r>
        <w:rPr>
          <w:rFonts w:cs="Times New Roman" w:hint="eastAsia"/>
          <w:color w:val="000000" w:themeColor="text1"/>
        </w:rPr>
        <w:t>《建设项目环境影响评价分类管理名录》（</w:t>
      </w:r>
      <w:r>
        <w:rPr>
          <w:rFonts w:cs="Times New Roman" w:hint="eastAsia"/>
          <w:color w:val="000000" w:themeColor="text1"/>
        </w:rPr>
        <w:t>2021</w:t>
      </w:r>
      <w:r>
        <w:rPr>
          <w:rFonts w:cs="Times New Roman" w:hint="eastAsia"/>
          <w:color w:val="000000" w:themeColor="text1"/>
        </w:rPr>
        <w:t>版）</w:t>
      </w:r>
      <w:bookmarkEnd w:id="12"/>
      <w:r>
        <w:rPr>
          <w:rFonts w:cs="Times New Roman" w:hint="eastAsia"/>
          <w:color w:val="000000" w:themeColor="text1"/>
        </w:rPr>
        <w:t>，“四十七、生态保护和环境治理业—</w:t>
      </w:r>
      <w:r>
        <w:rPr>
          <w:rFonts w:cs="Times New Roman" w:hint="eastAsia"/>
          <w:color w:val="000000" w:themeColor="text1"/>
        </w:rPr>
        <w:t>101</w:t>
      </w:r>
      <w:r>
        <w:rPr>
          <w:rFonts w:cs="Times New Roman" w:hint="eastAsia"/>
          <w:color w:val="000000" w:themeColor="text1"/>
        </w:rPr>
        <w:t>危险废物利用及处置—利用及处置的”，应编制环境影响评价报告书。</w:t>
      </w:r>
    </w:p>
    <w:tbl>
      <w:tblPr>
        <w:tblW w:w="5000" w:type="pct"/>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62"/>
        <w:gridCol w:w="3041"/>
        <w:gridCol w:w="2493"/>
        <w:gridCol w:w="993"/>
        <w:gridCol w:w="709"/>
        <w:gridCol w:w="1227"/>
      </w:tblGrid>
      <w:tr w:rsidR="00644456">
        <w:trPr>
          <w:jc w:val="center"/>
        </w:trPr>
        <w:tc>
          <w:tcPr>
            <w:tcW w:w="1996" w:type="pct"/>
            <w:gridSpan w:val="2"/>
            <w:tcBorders>
              <w:tl2br w:val="single" w:sz="2" w:space="0" w:color="auto"/>
            </w:tcBorders>
            <w:shd w:val="clear" w:color="auto" w:fill="auto"/>
            <w:vAlign w:val="center"/>
          </w:tcPr>
          <w:p w:rsidR="00644456" w:rsidRDefault="008031C4">
            <w:pPr>
              <w:autoSpaceDE w:val="0"/>
              <w:autoSpaceDN w:val="0"/>
              <w:adjustRightInd w:val="0"/>
              <w:snapToGrid w:val="0"/>
              <w:jc w:val="right"/>
              <w:rPr>
                <w:rFonts w:cs="Times New Roman"/>
                <w:b/>
                <w:bCs/>
                <w:color w:val="000000" w:themeColor="text1"/>
                <w:kern w:val="0"/>
                <w:szCs w:val="21"/>
              </w:rPr>
            </w:pPr>
            <w:r>
              <w:rPr>
                <w:rFonts w:cs="Times New Roman"/>
                <w:b/>
                <w:bCs/>
                <w:color w:val="000000" w:themeColor="text1"/>
                <w:kern w:val="0"/>
                <w:szCs w:val="21"/>
              </w:rPr>
              <w:t>环评类别</w:t>
            </w:r>
          </w:p>
          <w:p w:rsidR="00644456" w:rsidRDefault="008031C4">
            <w:pPr>
              <w:autoSpaceDE w:val="0"/>
              <w:autoSpaceDN w:val="0"/>
              <w:adjustRightInd w:val="0"/>
              <w:snapToGrid w:val="0"/>
              <w:rPr>
                <w:rFonts w:cs="Times New Roman"/>
                <w:b/>
                <w:bCs/>
                <w:color w:val="000000" w:themeColor="text1"/>
                <w:kern w:val="0"/>
                <w:szCs w:val="21"/>
              </w:rPr>
            </w:pPr>
            <w:r>
              <w:rPr>
                <w:rFonts w:cs="Times New Roman"/>
                <w:b/>
                <w:bCs/>
                <w:color w:val="000000" w:themeColor="text1"/>
                <w:kern w:val="0"/>
                <w:szCs w:val="21"/>
              </w:rPr>
              <w:t>项目类别</w:t>
            </w:r>
          </w:p>
        </w:tc>
        <w:tc>
          <w:tcPr>
            <w:tcW w:w="1381" w:type="pct"/>
            <w:tcBorders>
              <w:tl2br w:val="nil"/>
              <w:tr2bl w:val="nil"/>
            </w:tcBorders>
            <w:shd w:val="clear" w:color="auto" w:fill="auto"/>
            <w:vAlign w:val="center"/>
          </w:tcPr>
          <w:p w:rsidR="00644456" w:rsidRDefault="008031C4">
            <w:pPr>
              <w:autoSpaceDE w:val="0"/>
              <w:autoSpaceDN w:val="0"/>
              <w:adjustRightInd w:val="0"/>
              <w:snapToGrid w:val="0"/>
              <w:jc w:val="center"/>
              <w:rPr>
                <w:rFonts w:cs="Times New Roman"/>
                <w:b/>
                <w:bCs/>
                <w:color w:val="000000" w:themeColor="text1"/>
                <w:kern w:val="0"/>
                <w:szCs w:val="21"/>
              </w:rPr>
            </w:pPr>
            <w:r>
              <w:rPr>
                <w:rFonts w:cs="Times New Roman"/>
                <w:b/>
                <w:bCs/>
                <w:color w:val="000000" w:themeColor="text1"/>
                <w:kern w:val="0"/>
                <w:szCs w:val="21"/>
              </w:rPr>
              <w:t>报告书</w:t>
            </w:r>
          </w:p>
        </w:tc>
        <w:tc>
          <w:tcPr>
            <w:tcW w:w="550" w:type="pct"/>
            <w:tcBorders>
              <w:tl2br w:val="nil"/>
              <w:tr2bl w:val="nil"/>
            </w:tcBorders>
            <w:shd w:val="clear" w:color="auto" w:fill="auto"/>
            <w:vAlign w:val="center"/>
          </w:tcPr>
          <w:p w:rsidR="00644456" w:rsidRDefault="008031C4">
            <w:pPr>
              <w:autoSpaceDE w:val="0"/>
              <w:autoSpaceDN w:val="0"/>
              <w:adjustRightInd w:val="0"/>
              <w:snapToGrid w:val="0"/>
              <w:jc w:val="center"/>
              <w:rPr>
                <w:rFonts w:cs="Times New Roman"/>
                <w:b/>
                <w:bCs/>
                <w:color w:val="000000" w:themeColor="text1"/>
                <w:kern w:val="0"/>
                <w:szCs w:val="21"/>
              </w:rPr>
            </w:pPr>
            <w:r>
              <w:rPr>
                <w:rFonts w:cs="Times New Roman"/>
                <w:b/>
                <w:bCs/>
                <w:color w:val="000000" w:themeColor="text1"/>
                <w:kern w:val="0"/>
                <w:szCs w:val="21"/>
              </w:rPr>
              <w:t>报告表</w:t>
            </w:r>
          </w:p>
        </w:tc>
        <w:tc>
          <w:tcPr>
            <w:tcW w:w="393" w:type="pct"/>
            <w:tcBorders>
              <w:tl2br w:val="nil"/>
              <w:tr2bl w:val="nil"/>
            </w:tcBorders>
            <w:shd w:val="clear" w:color="auto" w:fill="auto"/>
            <w:vAlign w:val="center"/>
          </w:tcPr>
          <w:p w:rsidR="00644456" w:rsidRDefault="008031C4">
            <w:pPr>
              <w:autoSpaceDE w:val="0"/>
              <w:autoSpaceDN w:val="0"/>
              <w:adjustRightInd w:val="0"/>
              <w:snapToGrid w:val="0"/>
              <w:jc w:val="center"/>
              <w:rPr>
                <w:rFonts w:cs="Times New Roman"/>
                <w:b/>
                <w:bCs/>
                <w:color w:val="000000" w:themeColor="text1"/>
                <w:kern w:val="0"/>
                <w:szCs w:val="21"/>
              </w:rPr>
            </w:pPr>
            <w:r>
              <w:rPr>
                <w:rFonts w:cs="Times New Roman"/>
                <w:b/>
                <w:bCs/>
                <w:color w:val="000000" w:themeColor="text1"/>
                <w:kern w:val="0"/>
                <w:szCs w:val="21"/>
              </w:rPr>
              <w:t>登记表</w:t>
            </w:r>
          </w:p>
        </w:tc>
        <w:tc>
          <w:tcPr>
            <w:tcW w:w="680" w:type="pct"/>
            <w:tcBorders>
              <w:tl2br w:val="nil"/>
              <w:tr2bl w:val="nil"/>
            </w:tcBorders>
            <w:shd w:val="clear" w:color="auto" w:fill="auto"/>
            <w:vAlign w:val="center"/>
          </w:tcPr>
          <w:p w:rsidR="00644456" w:rsidRDefault="008031C4">
            <w:pPr>
              <w:autoSpaceDE w:val="0"/>
              <w:autoSpaceDN w:val="0"/>
              <w:adjustRightInd w:val="0"/>
              <w:snapToGrid w:val="0"/>
              <w:jc w:val="center"/>
              <w:rPr>
                <w:rFonts w:cs="Times New Roman"/>
                <w:b/>
                <w:bCs/>
                <w:color w:val="000000" w:themeColor="text1"/>
                <w:kern w:val="0"/>
                <w:szCs w:val="21"/>
              </w:rPr>
            </w:pPr>
            <w:r>
              <w:rPr>
                <w:rFonts w:cs="Times New Roman"/>
                <w:b/>
                <w:bCs/>
                <w:color w:val="000000" w:themeColor="text1"/>
                <w:kern w:val="0"/>
                <w:szCs w:val="21"/>
              </w:rPr>
              <w:t>本栏目环境敏感区含义</w:t>
            </w:r>
          </w:p>
        </w:tc>
      </w:tr>
      <w:tr w:rsidR="00644456">
        <w:trPr>
          <w:jc w:val="center"/>
        </w:trPr>
        <w:tc>
          <w:tcPr>
            <w:tcW w:w="311" w:type="pct"/>
            <w:tcBorders>
              <w:tl2br w:val="nil"/>
              <w:tr2bl w:val="nil"/>
            </w:tcBorders>
            <w:shd w:val="clear" w:color="auto" w:fill="auto"/>
            <w:vAlign w:val="center"/>
          </w:tcPr>
          <w:p w:rsidR="00644456" w:rsidRDefault="008031C4">
            <w:pPr>
              <w:autoSpaceDE w:val="0"/>
              <w:autoSpaceDN w:val="0"/>
              <w:adjustRightInd w:val="0"/>
              <w:snapToGrid w:val="0"/>
              <w:jc w:val="center"/>
              <w:rPr>
                <w:rFonts w:cs="Times New Roman"/>
                <w:color w:val="000000" w:themeColor="text1"/>
                <w:kern w:val="0"/>
                <w:szCs w:val="21"/>
              </w:rPr>
            </w:pPr>
            <w:r>
              <w:rPr>
                <w:rFonts w:cs="Times New Roman"/>
                <w:color w:val="000000" w:themeColor="text1"/>
                <w:kern w:val="0"/>
                <w:szCs w:val="21"/>
              </w:rPr>
              <w:t>101</w:t>
            </w:r>
          </w:p>
        </w:tc>
        <w:tc>
          <w:tcPr>
            <w:tcW w:w="1685" w:type="pct"/>
            <w:tcBorders>
              <w:tl2br w:val="nil"/>
              <w:tr2bl w:val="nil"/>
            </w:tcBorders>
            <w:shd w:val="clear" w:color="auto" w:fill="auto"/>
            <w:vAlign w:val="center"/>
          </w:tcPr>
          <w:p w:rsidR="00644456" w:rsidRDefault="008031C4">
            <w:pPr>
              <w:autoSpaceDE w:val="0"/>
              <w:autoSpaceDN w:val="0"/>
              <w:adjustRightInd w:val="0"/>
              <w:snapToGrid w:val="0"/>
              <w:jc w:val="center"/>
              <w:rPr>
                <w:rFonts w:cs="Times New Roman"/>
                <w:color w:val="000000" w:themeColor="text1"/>
                <w:u w:val="single"/>
              </w:rPr>
            </w:pPr>
            <w:r>
              <w:rPr>
                <w:rFonts w:cs="Times New Roman" w:hint="eastAsia"/>
                <w:color w:val="000000" w:themeColor="text1"/>
              </w:rPr>
              <w:t>四十七、生态保护和环境治理业：危险废物（不含医疗废物）利用及处置</w:t>
            </w:r>
          </w:p>
        </w:tc>
        <w:tc>
          <w:tcPr>
            <w:tcW w:w="1381" w:type="pct"/>
            <w:tcBorders>
              <w:tl2br w:val="nil"/>
              <w:tr2bl w:val="nil"/>
            </w:tcBorders>
            <w:shd w:val="clear" w:color="auto" w:fill="auto"/>
            <w:vAlign w:val="center"/>
          </w:tcPr>
          <w:p w:rsidR="00644456" w:rsidRDefault="008031C4">
            <w:pPr>
              <w:adjustRightInd w:val="0"/>
              <w:jc w:val="center"/>
              <w:rPr>
                <w:rFonts w:cs="Times New Roman"/>
                <w:color w:val="000000" w:themeColor="text1"/>
                <w:szCs w:val="21"/>
              </w:rPr>
            </w:pPr>
            <w:r>
              <w:rPr>
                <w:rFonts w:cs="Times New Roman" w:hint="eastAsia"/>
                <w:b/>
                <w:bCs/>
                <w:color w:val="000000" w:themeColor="text1"/>
              </w:rPr>
              <w:t>危险废物利用及处置</w:t>
            </w:r>
            <w:r>
              <w:rPr>
                <w:rFonts w:cs="Times New Roman" w:hint="eastAsia"/>
                <w:color w:val="000000" w:themeColor="text1"/>
              </w:rPr>
              <w:t>（产生单位内部回；收再利用的除外；单纯收集、贮存的除外）</w:t>
            </w:r>
          </w:p>
        </w:tc>
        <w:tc>
          <w:tcPr>
            <w:tcW w:w="550" w:type="pct"/>
            <w:tcBorders>
              <w:tl2br w:val="nil"/>
              <w:tr2bl w:val="nil"/>
            </w:tcBorders>
            <w:shd w:val="clear" w:color="auto" w:fill="auto"/>
            <w:vAlign w:val="center"/>
          </w:tcPr>
          <w:p w:rsidR="00644456" w:rsidRDefault="008031C4">
            <w:pPr>
              <w:autoSpaceDE w:val="0"/>
              <w:autoSpaceDN w:val="0"/>
              <w:adjustRightInd w:val="0"/>
              <w:snapToGrid w:val="0"/>
              <w:jc w:val="center"/>
              <w:rPr>
                <w:rFonts w:cs="Times New Roman"/>
                <w:color w:val="000000" w:themeColor="text1"/>
                <w:szCs w:val="21"/>
              </w:rPr>
            </w:pPr>
            <w:r>
              <w:rPr>
                <w:rFonts w:cs="Times New Roman" w:hint="eastAsia"/>
                <w:color w:val="000000" w:themeColor="text1"/>
                <w:szCs w:val="21"/>
              </w:rPr>
              <w:t>其他</w:t>
            </w:r>
          </w:p>
        </w:tc>
        <w:tc>
          <w:tcPr>
            <w:tcW w:w="393" w:type="pct"/>
            <w:tcBorders>
              <w:tl2br w:val="nil"/>
              <w:tr2bl w:val="nil"/>
            </w:tcBorders>
            <w:shd w:val="clear" w:color="auto" w:fill="auto"/>
            <w:vAlign w:val="center"/>
          </w:tcPr>
          <w:p w:rsidR="00644456" w:rsidRDefault="008031C4">
            <w:pPr>
              <w:autoSpaceDE w:val="0"/>
              <w:autoSpaceDN w:val="0"/>
              <w:adjustRightInd w:val="0"/>
              <w:snapToGrid w:val="0"/>
              <w:jc w:val="center"/>
              <w:rPr>
                <w:rFonts w:cs="Times New Roman"/>
                <w:color w:val="000000" w:themeColor="text1"/>
                <w:szCs w:val="21"/>
              </w:rPr>
            </w:pPr>
            <w:r>
              <w:rPr>
                <w:rFonts w:cs="Times New Roman"/>
                <w:color w:val="000000" w:themeColor="text1"/>
                <w:kern w:val="0"/>
                <w:szCs w:val="21"/>
              </w:rPr>
              <w:t>/</w:t>
            </w:r>
          </w:p>
        </w:tc>
        <w:tc>
          <w:tcPr>
            <w:tcW w:w="680" w:type="pct"/>
            <w:tcBorders>
              <w:tl2br w:val="nil"/>
              <w:tr2bl w:val="nil"/>
            </w:tcBorders>
            <w:shd w:val="clear" w:color="auto" w:fill="auto"/>
            <w:vAlign w:val="center"/>
          </w:tcPr>
          <w:p w:rsidR="00644456" w:rsidRDefault="008031C4">
            <w:pPr>
              <w:autoSpaceDE w:val="0"/>
              <w:autoSpaceDN w:val="0"/>
              <w:adjustRightInd w:val="0"/>
              <w:snapToGrid w:val="0"/>
              <w:jc w:val="center"/>
              <w:rPr>
                <w:rFonts w:cs="Times New Roman"/>
                <w:color w:val="000000" w:themeColor="text1"/>
                <w:kern w:val="0"/>
                <w:szCs w:val="21"/>
              </w:rPr>
            </w:pPr>
            <w:r>
              <w:rPr>
                <w:rFonts w:cs="Times New Roman"/>
                <w:color w:val="000000" w:themeColor="text1"/>
                <w:kern w:val="0"/>
                <w:szCs w:val="21"/>
              </w:rPr>
              <w:t>/</w:t>
            </w:r>
          </w:p>
        </w:tc>
      </w:tr>
    </w:tbl>
    <w:p w:rsidR="00644456" w:rsidRDefault="008031C4">
      <w:pPr>
        <w:pStyle w:val="20"/>
        <w:numPr>
          <w:ilvl w:val="1"/>
          <w:numId w:val="0"/>
        </w:numPr>
        <w:snapToGrid w:val="0"/>
        <w:spacing w:beforeLines="0" w:before="0" w:afterLines="0" w:after="0"/>
        <w:rPr>
          <w:rFonts w:cs="Times New Roman"/>
          <w:color w:val="000000" w:themeColor="text1"/>
        </w:rPr>
      </w:pPr>
      <w:bookmarkStart w:id="13" w:name="_Toc76800864"/>
      <w:bookmarkStart w:id="14" w:name="_Toc155789329"/>
      <w:bookmarkStart w:id="15" w:name="_Toc76223587"/>
      <w:bookmarkStart w:id="16" w:name="_Toc177216850"/>
      <w:bookmarkStart w:id="17" w:name="_Toc76218393"/>
      <w:r>
        <w:rPr>
          <w:rFonts w:cs="Times New Roman"/>
          <w:color w:val="000000" w:themeColor="text1"/>
        </w:rPr>
        <w:t>2</w:t>
      </w:r>
      <w:r>
        <w:rPr>
          <w:rFonts w:cs="Times New Roman"/>
          <w:color w:val="000000" w:themeColor="text1"/>
        </w:rPr>
        <w:t>、项目主要特点</w:t>
      </w:r>
      <w:bookmarkEnd w:id="13"/>
      <w:bookmarkEnd w:id="14"/>
      <w:bookmarkEnd w:id="15"/>
      <w:bookmarkEnd w:id="16"/>
      <w:bookmarkEnd w:id="17"/>
    </w:p>
    <w:p w:rsidR="00644456" w:rsidRDefault="008031C4">
      <w:pPr>
        <w:pStyle w:val="-"/>
        <w:adjustRightInd w:val="0"/>
        <w:snapToGrid w:val="0"/>
        <w:ind w:firstLine="480"/>
        <w:rPr>
          <w:rFonts w:cs="Times New Roman"/>
          <w:color w:val="000000" w:themeColor="text1"/>
        </w:rPr>
      </w:pPr>
      <w:r>
        <w:rPr>
          <w:rFonts w:cs="Times New Roman" w:hint="eastAsia"/>
          <w:color w:val="000000" w:themeColor="text1"/>
        </w:rPr>
        <w:t>本项目建设</w:t>
      </w:r>
      <w:r>
        <w:rPr>
          <w:rFonts w:cs="Times New Roman" w:hint="eastAsia"/>
          <w:color w:val="000000" w:themeColor="text1"/>
        </w:rPr>
        <w:t>3</w:t>
      </w:r>
      <w:r>
        <w:rPr>
          <w:rFonts w:cs="Times New Roman" w:hint="eastAsia"/>
          <w:color w:val="000000" w:themeColor="text1"/>
        </w:rPr>
        <w:t>万吨</w:t>
      </w:r>
      <w:r>
        <w:rPr>
          <w:rFonts w:cs="Times New Roman" w:hint="eastAsia"/>
          <w:color w:val="000000" w:themeColor="text1"/>
        </w:rPr>
        <w:t>/</w:t>
      </w:r>
      <w:r>
        <w:rPr>
          <w:rFonts w:cs="Times New Roman" w:hint="eastAsia"/>
          <w:color w:val="000000" w:themeColor="text1"/>
        </w:rPr>
        <w:t>年废矿物油再生与利用项目，主要用于废润滑油的再生，实现变废为宝、集成创新、高新技术、清洁生产的目标，拓展废矿物油再利用产业链，实现资源的就地转化、循环利用，本项目引进国内外先进的再生工艺，采用减压蒸馏与溶剂精制的工艺实现液态废矿物油和废润滑油的再生利用。该工艺技术先进、运行稳定、高效节能、自动化程度高，热耦合性好，是废油再生适用新型技术，本项目建成后年销售收入为</w:t>
      </w:r>
      <w:r>
        <w:rPr>
          <w:rFonts w:cs="Times New Roman" w:hint="eastAsia"/>
          <w:color w:val="000000" w:themeColor="text1"/>
        </w:rPr>
        <w:t>14400</w:t>
      </w:r>
      <w:r>
        <w:rPr>
          <w:rFonts w:cs="Times New Roman" w:hint="eastAsia"/>
          <w:color w:val="000000" w:themeColor="text1"/>
        </w:rPr>
        <w:t>万元，增值税为</w:t>
      </w:r>
      <w:r>
        <w:rPr>
          <w:rFonts w:cs="Times New Roman" w:hint="eastAsia"/>
          <w:color w:val="000000" w:themeColor="text1"/>
        </w:rPr>
        <w:t>364</w:t>
      </w:r>
      <w:r>
        <w:rPr>
          <w:rFonts w:cs="Times New Roman" w:hint="eastAsia"/>
          <w:color w:val="000000" w:themeColor="text1"/>
        </w:rPr>
        <w:t>万元，税金及附加为</w:t>
      </w:r>
      <w:r>
        <w:rPr>
          <w:rFonts w:cs="Times New Roman" w:hint="eastAsia"/>
          <w:color w:val="000000" w:themeColor="text1"/>
        </w:rPr>
        <w:t>43.68</w:t>
      </w:r>
      <w:r>
        <w:rPr>
          <w:rFonts w:cs="Times New Roman" w:hint="eastAsia"/>
          <w:color w:val="000000" w:themeColor="text1"/>
        </w:rPr>
        <w:t>万元，</w:t>
      </w:r>
    </w:p>
    <w:p w:rsidR="00644456" w:rsidRDefault="008031C4">
      <w:pPr>
        <w:pStyle w:val="-"/>
        <w:adjustRightInd w:val="0"/>
        <w:snapToGrid w:val="0"/>
        <w:ind w:firstLine="482"/>
        <w:rPr>
          <w:rFonts w:cs="Times New Roman"/>
          <w:b/>
          <w:bCs/>
          <w:color w:val="000000" w:themeColor="text1"/>
        </w:rPr>
      </w:pPr>
      <w:r>
        <w:rPr>
          <w:rFonts w:cs="Times New Roman" w:hint="eastAsia"/>
          <w:b/>
          <w:bCs/>
          <w:color w:val="000000" w:themeColor="text1"/>
        </w:rPr>
        <w:t>该项目既具有良好经济效益，又具有较好的行业推动意义。</w:t>
      </w:r>
    </w:p>
    <w:p w:rsidR="00644456" w:rsidRDefault="008031C4">
      <w:pPr>
        <w:pStyle w:val="-"/>
        <w:adjustRightInd w:val="0"/>
        <w:snapToGrid w:val="0"/>
        <w:ind w:firstLine="482"/>
        <w:rPr>
          <w:rFonts w:cs="Times New Roman"/>
          <w:b/>
          <w:bCs/>
          <w:color w:val="000000" w:themeColor="text1"/>
        </w:rPr>
      </w:pPr>
      <w:r>
        <w:rPr>
          <w:rFonts w:cs="Times New Roman"/>
          <w:b/>
          <w:bCs/>
          <w:color w:val="000000" w:themeColor="text1"/>
        </w:rPr>
        <w:t>本项目关注重点为项目选址的环境可行性、环境防护距离的设置、废气治理、废水治理、固废处置，以及项目可能存在的环境风险等。</w:t>
      </w:r>
    </w:p>
    <w:p w:rsidR="00644456" w:rsidRDefault="008031C4">
      <w:pPr>
        <w:pStyle w:val="20"/>
        <w:numPr>
          <w:ilvl w:val="1"/>
          <w:numId w:val="0"/>
        </w:numPr>
        <w:adjustRightInd w:val="0"/>
        <w:snapToGrid w:val="0"/>
        <w:spacing w:beforeLines="0" w:before="0" w:afterLines="0" w:after="0"/>
        <w:rPr>
          <w:rFonts w:cs="Times New Roman"/>
          <w:color w:val="000000" w:themeColor="text1"/>
        </w:rPr>
      </w:pPr>
      <w:bookmarkStart w:id="18" w:name="_Toc177216851"/>
      <w:bookmarkStart w:id="19" w:name="_Toc76223588"/>
      <w:bookmarkStart w:id="20" w:name="_Toc155789330"/>
      <w:bookmarkStart w:id="21" w:name="_Toc76218394"/>
      <w:bookmarkStart w:id="22" w:name="_Toc76800865"/>
      <w:r>
        <w:rPr>
          <w:rFonts w:cs="Times New Roman"/>
          <w:color w:val="000000" w:themeColor="text1"/>
        </w:rPr>
        <w:t>3</w:t>
      </w:r>
      <w:r>
        <w:rPr>
          <w:rFonts w:cs="Times New Roman"/>
          <w:color w:val="000000" w:themeColor="text1"/>
        </w:rPr>
        <w:t>、项目环境影响评价的工作过程</w:t>
      </w:r>
      <w:bookmarkEnd w:id="18"/>
      <w:bookmarkEnd w:id="19"/>
      <w:bookmarkEnd w:id="20"/>
      <w:bookmarkEnd w:id="21"/>
      <w:bookmarkEnd w:id="22"/>
    </w:p>
    <w:p w:rsidR="00644456" w:rsidRDefault="008031C4">
      <w:pPr>
        <w:pStyle w:val="-"/>
        <w:adjustRightInd w:val="0"/>
        <w:snapToGrid w:val="0"/>
        <w:ind w:firstLine="480"/>
        <w:rPr>
          <w:rFonts w:cs="Times New Roman"/>
          <w:color w:val="000000" w:themeColor="text1"/>
        </w:rPr>
      </w:pPr>
      <w:r>
        <w:rPr>
          <w:rFonts w:cs="Times New Roman" w:hint="eastAsia"/>
          <w:color w:val="000000" w:themeColor="text1"/>
        </w:rPr>
        <w:t>喀什正启节能环保科技有限公司</w:t>
      </w:r>
      <w:r>
        <w:rPr>
          <w:rFonts w:cs="Times New Roman"/>
          <w:color w:val="000000" w:themeColor="text1"/>
        </w:rPr>
        <w:t>委托</w:t>
      </w:r>
      <w:r>
        <w:rPr>
          <w:rFonts w:cs="Times New Roman" w:hint="eastAsia"/>
          <w:color w:val="000000" w:themeColor="text1"/>
        </w:rPr>
        <w:t>新疆鑫旺德盛土地环境工程有限公司</w:t>
      </w:r>
      <w:r>
        <w:rPr>
          <w:rFonts w:cs="Times New Roman"/>
          <w:color w:val="000000" w:themeColor="text1"/>
        </w:rPr>
        <w:t>承担此项工作，</w:t>
      </w:r>
      <w:r>
        <w:rPr>
          <w:rFonts w:cs="Times New Roman" w:hint="eastAsia"/>
          <w:color w:val="000000" w:themeColor="text1"/>
        </w:rPr>
        <w:t>评价单位</w:t>
      </w:r>
      <w:r>
        <w:rPr>
          <w:rFonts w:cs="Times New Roman"/>
          <w:color w:val="000000" w:themeColor="text1"/>
        </w:rPr>
        <w:t>在接受委托后，组织技术人员成立了项目小组，随即派有关技术人员对该项目进行了现场踏勘和资料收集</w:t>
      </w:r>
      <w:r>
        <w:rPr>
          <w:rFonts w:cs="Times New Roman" w:hint="eastAsia"/>
          <w:color w:val="000000" w:themeColor="text1"/>
        </w:rPr>
        <w:t>。</w:t>
      </w:r>
    </w:p>
    <w:p w:rsidR="00644456" w:rsidRDefault="008031C4">
      <w:pPr>
        <w:pStyle w:val="-"/>
        <w:adjustRightInd w:val="0"/>
        <w:snapToGrid w:val="0"/>
        <w:ind w:firstLine="480"/>
        <w:rPr>
          <w:rFonts w:cs="Times New Roman"/>
          <w:color w:val="000000" w:themeColor="text1"/>
        </w:rPr>
      </w:pPr>
      <w:r>
        <w:rPr>
          <w:rFonts w:cs="Times New Roman" w:hint="eastAsia"/>
          <w:color w:val="000000" w:themeColor="text1"/>
        </w:rPr>
        <w:t>评价单位接受委托后，以《建设项目环境影响评价技术导则总纲》为指导性依据，在当地有关部门协作下开展该项环评工作。通过分析判断项目在选址、建设规模、工艺</w:t>
      </w:r>
      <w:r>
        <w:rPr>
          <w:rFonts w:cs="Times New Roman" w:hint="eastAsia"/>
          <w:color w:val="000000" w:themeColor="text1"/>
        </w:rPr>
        <w:lastRenderedPageBreak/>
        <w:t>路线等方面与相关的环境保护法律法规及环境保护政策规范相符合后，明确了项目具备开展环境影响评价工作的前提和基础。</w:t>
      </w:r>
    </w:p>
    <w:p w:rsidR="00644456" w:rsidRDefault="008031C4">
      <w:pPr>
        <w:pStyle w:val="-"/>
        <w:adjustRightInd w:val="0"/>
        <w:snapToGrid w:val="0"/>
        <w:ind w:firstLine="480"/>
        <w:rPr>
          <w:rFonts w:cs="Times New Roman"/>
          <w:color w:val="000000" w:themeColor="text1"/>
        </w:rPr>
      </w:pPr>
      <w:r>
        <w:rPr>
          <w:rFonts w:cs="Times New Roman"/>
          <w:color w:val="000000" w:themeColor="text1"/>
        </w:rPr>
        <w:t>建设单位分别在</w:t>
      </w:r>
      <w:r>
        <w:rPr>
          <w:rFonts w:cs="Times New Roman" w:hint="eastAsia"/>
          <w:color w:val="000000" w:themeColor="text1"/>
        </w:rPr>
        <w:t>环境影响评价公众信息网</w:t>
      </w:r>
      <w:r>
        <w:rPr>
          <w:rFonts w:cs="Times New Roman"/>
          <w:color w:val="000000" w:themeColor="text1"/>
        </w:rPr>
        <w:t>上进行了一、二次公示，并在项目所在地</w:t>
      </w:r>
      <w:r>
        <w:rPr>
          <w:rFonts w:cs="Times New Roman" w:hint="eastAsia"/>
          <w:color w:val="000000" w:themeColor="text1"/>
        </w:rPr>
        <w:t>以及管委会公告栏</w:t>
      </w:r>
      <w:r>
        <w:rPr>
          <w:rFonts w:cs="Times New Roman"/>
          <w:color w:val="000000" w:themeColor="text1"/>
        </w:rPr>
        <w:t>进行了</w:t>
      </w:r>
      <w:r>
        <w:rPr>
          <w:rFonts w:cs="Times New Roman" w:hint="eastAsia"/>
          <w:color w:val="000000" w:themeColor="text1"/>
        </w:rPr>
        <w:t>张贴</w:t>
      </w:r>
      <w:r>
        <w:rPr>
          <w:rFonts w:cs="Times New Roman"/>
          <w:color w:val="000000" w:themeColor="text1"/>
        </w:rPr>
        <w:t>公示，在</w:t>
      </w:r>
      <w:r>
        <w:rPr>
          <w:rFonts w:cs="Times New Roman" w:hint="eastAsia"/>
          <w:color w:val="000000" w:themeColor="text1"/>
        </w:rPr>
        <w:t>新疆法制报</w:t>
      </w:r>
      <w:r>
        <w:rPr>
          <w:rFonts w:cs="Times New Roman"/>
          <w:color w:val="000000" w:themeColor="text1"/>
        </w:rPr>
        <w:t>进行项目信息公开，公示期间未收到公众意见。</w:t>
      </w:r>
    </w:p>
    <w:p w:rsidR="00644456" w:rsidRDefault="008031C4">
      <w:pPr>
        <w:pStyle w:val="-"/>
        <w:ind w:firstLine="480"/>
        <w:jc w:val="left"/>
        <w:rPr>
          <w:rFonts w:cs="Times New Roman"/>
          <w:color w:val="000000" w:themeColor="text1"/>
        </w:rPr>
      </w:pPr>
      <w:r>
        <w:rPr>
          <w:rFonts w:cs="Times New Roman" w:hint="eastAsia"/>
          <w:color w:val="000000" w:themeColor="text1"/>
        </w:rPr>
        <w:t>本评价针对工程的特点及产生的环境污染物特征，确定其主要环境影响因子及污染源强，进而预测项目运行后的环境影响程度和范围；对项目提出切实可行的污染防治措施、总量控制规划指标和环境监督管理及监测计划，将建设引起的环境影响减少到最低限度，对该项目在环境保护方面是否可行作出结论。</w:t>
      </w:r>
    </w:p>
    <w:p w:rsidR="00644456" w:rsidRDefault="008031C4">
      <w:pPr>
        <w:pStyle w:val="-"/>
        <w:ind w:firstLine="480"/>
        <w:jc w:val="left"/>
        <w:rPr>
          <w:rFonts w:cs="Times New Roman"/>
          <w:color w:val="000000" w:themeColor="text1"/>
        </w:rPr>
      </w:pPr>
      <w:r>
        <w:rPr>
          <w:rFonts w:cs="Times New Roman"/>
          <w:color w:val="000000" w:themeColor="text1"/>
        </w:rPr>
        <w:t>综合以上工作成果，在此基础上按照有关技术规范要求，编制完成了《</w:t>
      </w:r>
      <w:r>
        <w:rPr>
          <w:rFonts w:cs="Times New Roman" w:hint="eastAsia"/>
          <w:color w:val="000000" w:themeColor="text1"/>
        </w:rPr>
        <w:t>喀什正启节能环保科技有限公司废矿物油再生与利用项目</w:t>
      </w:r>
      <w:r>
        <w:rPr>
          <w:rFonts w:cs="Times New Roman"/>
          <w:color w:val="000000" w:themeColor="text1"/>
        </w:rPr>
        <w:t>环境影响报告书》，报送</w:t>
      </w:r>
      <w:r>
        <w:rPr>
          <w:rFonts w:cs="Times New Roman" w:hint="eastAsia"/>
          <w:color w:val="000000" w:themeColor="text1"/>
        </w:rPr>
        <w:t>生态环境部门</w:t>
      </w:r>
      <w:r>
        <w:rPr>
          <w:rFonts w:cs="Times New Roman"/>
          <w:color w:val="000000" w:themeColor="text1"/>
        </w:rPr>
        <w:t>审批。</w:t>
      </w:r>
    </w:p>
    <w:p w:rsidR="00644456" w:rsidRDefault="008031C4">
      <w:pPr>
        <w:pStyle w:val="-"/>
        <w:ind w:firstLine="480"/>
        <w:rPr>
          <w:rFonts w:cs="Times New Roman"/>
          <w:color w:val="000000" w:themeColor="text1"/>
        </w:rPr>
      </w:pPr>
      <w:r>
        <w:rPr>
          <w:rFonts w:cs="Times New Roman"/>
          <w:color w:val="000000" w:themeColor="text1"/>
        </w:rPr>
        <w:t>本项目环境影响评价工作程序如下图所示。</w:t>
      </w:r>
    </w:p>
    <w:p w:rsidR="00644456" w:rsidRDefault="008031C4">
      <w:pPr>
        <w:spacing w:line="360" w:lineRule="auto"/>
        <w:jc w:val="center"/>
        <w:rPr>
          <w:rFonts w:cs="Times New Roman"/>
          <w:color w:val="000000" w:themeColor="text1"/>
          <w:kern w:val="0"/>
        </w:rPr>
      </w:pPr>
      <w:r>
        <w:rPr>
          <w:rFonts w:cs="Times New Roman"/>
          <w:noProof/>
          <w:color w:val="000000"/>
        </w:rPr>
        <w:lastRenderedPageBreak/>
        <w:drawing>
          <wp:inline distT="0" distB="0" distL="0" distR="0" wp14:anchorId="7E29C52D" wp14:editId="237E571F">
            <wp:extent cx="4902200" cy="5695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09980" cy="5704860"/>
                    </a:xfrm>
                    <a:prstGeom prst="rect">
                      <a:avLst/>
                    </a:prstGeom>
                    <a:noFill/>
                    <a:ln>
                      <a:noFill/>
                    </a:ln>
                    <a:effectLst/>
                  </pic:spPr>
                </pic:pic>
              </a:graphicData>
            </a:graphic>
          </wp:inline>
        </w:drawing>
      </w:r>
    </w:p>
    <w:p w:rsidR="00644456" w:rsidRDefault="008031C4">
      <w:pPr>
        <w:pStyle w:val="af4"/>
        <w:ind w:firstLine="480"/>
        <w:jc w:val="center"/>
        <w:rPr>
          <w:rFonts w:ascii="Times New Roman" w:eastAsia="宋体" w:hAnsi="Times New Roman" w:cs="Times New Roman"/>
          <w:b/>
          <w:bCs/>
          <w:color w:val="000000" w:themeColor="text1"/>
          <w:sz w:val="24"/>
        </w:rPr>
      </w:pPr>
      <w:r>
        <w:rPr>
          <w:rFonts w:ascii="Times New Roman" w:eastAsia="宋体" w:hAnsi="Times New Roman" w:cs="Times New Roman"/>
          <w:b/>
          <w:color w:val="000000" w:themeColor="text1"/>
          <w:sz w:val="24"/>
        </w:rPr>
        <w:t>图</w:t>
      </w:r>
      <w:r>
        <w:rPr>
          <w:rFonts w:ascii="Times New Roman" w:eastAsia="宋体" w:hAnsi="Times New Roman" w:cs="Times New Roman"/>
          <w:b/>
          <w:color w:val="000000" w:themeColor="text1"/>
          <w:sz w:val="24"/>
        </w:rPr>
        <w:fldChar w:fldCharType="begin"/>
      </w:r>
      <w:r>
        <w:rPr>
          <w:rFonts w:ascii="Times New Roman" w:eastAsia="宋体" w:hAnsi="Times New Roman" w:cs="Times New Roman"/>
          <w:b/>
          <w:color w:val="000000" w:themeColor="text1"/>
          <w:sz w:val="24"/>
        </w:rPr>
        <w:instrText xml:space="preserve"> STYLEREF 1 \s </w:instrText>
      </w:r>
      <w:r>
        <w:rPr>
          <w:rFonts w:ascii="Times New Roman" w:eastAsia="宋体" w:hAnsi="Times New Roman" w:cs="Times New Roman"/>
          <w:b/>
          <w:color w:val="000000" w:themeColor="text1"/>
          <w:sz w:val="24"/>
        </w:rPr>
        <w:fldChar w:fldCharType="separate"/>
      </w:r>
      <w:r>
        <w:rPr>
          <w:rFonts w:ascii="Times New Roman" w:eastAsia="宋体" w:hAnsi="Times New Roman" w:cs="Times New Roman"/>
          <w:b/>
          <w:color w:val="000000" w:themeColor="text1"/>
          <w:sz w:val="24"/>
        </w:rPr>
        <w:t>0</w:t>
      </w:r>
      <w:r>
        <w:rPr>
          <w:rFonts w:ascii="Times New Roman" w:eastAsia="宋体" w:hAnsi="Times New Roman" w:cs="Times New Roman"/>
          <w:b/>
          <w:color w:val="000000" w:themeColor="text1"/>
          <w:sz w:val="24"/>
        </w:rPr>
        <w:fldChar w:fldCharType="end"/>
      </w:r>
      <w:r>
        <w:rPr>
          <w:rFonts w:ascii="Times New Roman" w:eastAsia="宋体" w:hAnsi="Times New Roman" w:cs="Times New Roman"/>
          <w:b/>
          <w:color w:val="000000" w:themeColor="text1"/>
          <w:sz w:val="24"/>
        </w:rPr>
        <w:noBreakHyphen/>
      </w:r>
      <w:r>
        <w:rPr>
          <w:rFonts w:ascii="Times New Roman" w:eastAsia="宋体" w:hAnsi="Times New Roman" w:cs="Times New Roman"/>
          <w:b/>
          <w:color w:val="000000" w:themeColor="text1"/>
          <w:sz w:val="24"/>
        </w:rPr>
        <w:fldChar w:fldCharType="begin"/>
      </w:r>
      <w:r>
        <w:rPr>
          <w:rFonts w:ascii="Times New Roman" w:eastAsia="宋体" w:hAnsi="Times New Roman" w:cs="Times New Roman"/>
          <w:b/>
          <w:color w:val="000000" w:themeColor="text1"/>
          <w:sz w:val="24"/>
        </w:rPr>
        <w:instrText xml:space="preserve"> SEQ </w:instrText>
      </w:r>
      <w:r>
        <w:rPr>
          <w:rFonts w:ascii="Times New Roman" w:eastAsia="宋体" w:hAnsi="Times New Roman" w:cs="Times New Roman"/>
          <w:b/>
          <w:color w:val="000000" w:themeColor="text1"/>
          <w:sz w:val="24"/>
        </w:rPr>
        <w:instrText>图</w:instrText>
      </w:r>
      <w:r>
        <w:rPr>
          <w:rFonts w:ascii="Times New Roman" w:eastAsia="宋体" w:hAnsi="Times New Roman" w:cs="Times New Roman"/>
          <w:b/>
          <w:color w:val="000000" w:themeColor="text1"/>
          <w:sz w:val="24"/>
        </w:rPr>
        <w:instrText xml:space="preserve"> \* ARABIC \s 1 </w:instrText>
      </w:r>
      <w:r>
        <w:rPr>
          <w:rFonts w:ascii="Times New Roman" w:eastAsia="宋体" w:hAnsi="Times New Roman" w:cs="Times New Roman"/>
          <w:b/>
          <w:color w:val="000000" w:themeColor="text1"/>
          <w:sz w:val="24"/>
        </w:rPr>
        <w:fldChar w:fldCharType="separate"/>
      </w:r>
      <w:r>
        <w:rPr>
          <w:rFonts w:ascii="Times New Roman" w:eastAsia="宋体" w:hAnsi="Times New Roman" w:cs="Times New Roman"/>
          <w:b/>
          <w:color w:val="000000" w:themeColor="text1"/>
          <w:sz w:val="24"/>
        </w:rPr>
        <w:t>1</w:t>
      </w:r>
      <w:r>
        <w:rPr>
          <w:rFonts w:ascii="Times New Roman" w:eastAsia="宋体" w:hAnsi="Times New Roman" w:cs="Times New Roman"/>
          <w:b/>
          <w:color w:val="000000" w:themeColor="text1"/>
          <w:sz w:val="24"/>
        </w:rPr>
        <w:fldChar w:fldCharType="end"/>
      </w:r>
      <w:r>
        <w:rPr>
          <w:rFonts w:ascii="Times New Roman" w:eastAsia="宋体" w:hAnsi="Times New Roman" w:cs="Times New Roman"/>
          <w:b/>
          <w:bCs/>
          <w:color w:val="000000" w:themeColor="text1"/>
          <w:sz w:val="24"/>
        </w:rPr>
        <w:t>环境影响评价工作程序图</w:t>
      </w:r>
    </w:p>
    <w:p w:rsidR="00644456" w:rsidRDefault="008031C4">
      <w:pPr>
        <w:pStyle w:val="20"/>
        <w:numPr>
          <w:ilvl w:val="1"/>
          <w:numId w:val="0"/>
        </w:numPr>
        <w:adjustRightInd w:val="0"/>
        <w:snapToGrid w:val="0"/>
        <w:spacing w:beforeLines="0" w:before="0" w:afterLines="0" w:after="0"/>
        <w:rPr>
          <w:rFonts w:cs="Times New Roman"/>
          <w:color w:val="000000" w:themeColor="text1"/>
        </w:rPr>
      </w:pPr>
      <w:bookmarkStart w:id="23" w:name="_Toc126"/>
      <w:bookmarkStart w:id="24" w:name="_Toc177216852"/>
      <w:bookmarkStart w:id="25" w:name="_Toc76223589"/>
      <w:bookmarkStart w:id="26" w:name="_Toc76800866"/>
      <w:bookmarkStart w:id="27" w:name="_Toc76218395"/>
      <w:bookmarkStart w:id="28" w:name="_Toc155789331"/>
      <w:r>
        <w:rPr>
          <w:rFonts w:cs="Times New Roman"/>
          <w:color w:val="000000" w:themeColor="text1"/>
        </w:rPr>
        <w:t>4</w:t>
      </w:r>
      <w:r>
        <w:rPr>
          <w:rFonts w:cs="Times New Roman"/>
          <w:color w:val="000000" w:themeColor="text1"/>
        </w:rPr>
        <w:t>、项目所关注的主要环境问题</w:t>
      </w:r>
      <w:bookmarkEnd w:id="23"/>
      <w:r>
        <w:rPr>
          <w:rFonts w:cs="Times New Roman"/>
          <w:color w:val="000000" w:themeColor="text1"/>
        </w:rPr>
        <w:t>及环境影响</w:t>
      </w:r>
      <w:bookmarkEnd w:id="24"/>
      <w:bookmarkEnd w:id="25"/>
      <w:bookmarkEnd w:id="26"/>
      <w:bookmarkEnd w:id="27"/>
      <w:bookmarkEnd w:id="28"/>
    </w:p>
    <w:p w:rsidR="00644456" w:rsidRDefault="008031C4">
      <w:pPr>
        <w:adjustRightInd w:val="0"/>
        <w:snapToGrid w:val="0"/>
        <w:spacing w:line="360" w:lineRule="auto"/>
        <w:ind w:firstLineChars="200" w:firstLine="480"/>
        <w:jc w:val="left"/>
        <w:rPr>
          <w:rFonts w:cs="Times New Roman"/>
          <w:color w:val="000000" w:themeColor="text1"/>
          <w:sz w:val="24"/>
        </w:rPr>
      </w:pPr>
      <w:r>
        <w:rPr>
          <w:rFonts w:cs="Times New Roman" w:hint="eastAsia"/>
          <w:color w:val="000000" w:themeColor="text1"/>
          <w:sz w:val="24"/>
        </w:rPr>
        <w:t>根据本项目的环境影响特征及所在区域的环境质量现状，本次评价的重点包括：</w:t>
      </w:r>
    </w:p>
    <w:p w:rsidR="00644456" w:rsidRDefault="008031C4">
      <w:pPr>
        <w:adjustRightInd w:val="0"/>
        <w:snapToGrid w:val="0"/>
        <w:spacing w:line="360" w:lineRule="auto"/>
        <w:ind w:firstLineChars="200" w:firstLine="480"/>
        <w:jc w:val="left"/>
        <w:rPr>
          <w:rFonts w:cs="Times New Roman"/>
          <w:color w:val="000000" w:themeColor="text1"/>
          <w:sz w:val="24"/>
        </w:rPr>
      </w:pPr>
      <w:r>
        <w:rPr>
          <w:rFonts w:cs="Times New Roman" w:hint="eastAsia"/>
          <w:color w:val="000000" w:themeColor="text1"/>
          <w:sz w:val="24"/>
        </w:rPr>
        <w:t>（</w:t>
      </w:r>
      <w:r>
        <w:rPr>
          <w:rFonts w:cs="Times New Roman" w:hint="eastAsia"/>
          <w:color w:val="000000" w:themeColor="text1"/>
          <w:sz w:val="24"/>
        </w:rPr>
        <w:t>1</w:t>
      </w:r>
      <w:r>
        <w:rPr>
          <w:rFonts w:cs="Times New Roman" w:hint="eastAsia"/>
          <w:color w:val="000000" w:themeColor="text1"/>
          <w:sz w:val="24"/>
        </w:rPr>
        <w:t>）对项目区域的空气、地表水、声、地下水及土壤等环境质量进行现状评价；</w:t>
      </w:r>
    </w:p>
    <w:p w:rsidR="00644456" w:rsidRDefault="008031C4">
      <w:pPr>
        <w:adjustRightInd w:val="0"/>
        <w:snapToGrid w:val="0"/>
        <w:spacing w:line="360" w:lineRule="auto"/>
        <w:ind w:firstLineChars="200" w:firstLine="480"/>
        <w:jc w:val="left"/>
        <w:rPr>
          <w:rFonts w:cs="Times New Roman"/>
          <w:color w:val="000000" w:themeColor="text1"/>
          <w:sz w:val="24"/>
        </w:rPr>
      </w:pPr>
      <w:r>
        <w:rPr>
          <w:rFonts w:cs="Times New Roman" w:hint="eastAsia"/>
          <w:color w:val="000000" w:themeColor="text1"/>
          <w:sz w:val="24"/>
        </w:rPr>
        <w:t>（</w:t>
      </w:r>
      <w:r>
        <w:rPr>
          <w:rFonts w:cs="Times New Roman" w:hint="eastAsia"/>
          <w:color w:val="000000" w:themeColor="text1"/>
          <w:sz w:val="24"/>
        </w:rPr>
        <w:t>2</w:t>
      </w:r>
      <w:r>
        <w:rPr>
          <w:rFonts w:cs="Times New Roman" w:hint="eastAsia"/>
          <w:color w:val="000000" w:themeColor="text1"/>
          <w:sz w:val="24"/>
        </w:rPr>
        <w:t>）针对项目拟采取的污染防治措施，重点分析废气、废水、固体废物污染物治理技术及经济可行性、达标稳定性，风险防范措施是否可行；</w:t>
      </w:r>
    </w:p>
    <w:p w:rsidR="00644456" w:rsidRDefault="008031C4">
      <w:pPr>
        <w:adjustRightInd w:val="0"/>
        <w:snapToGrid w:val="0"/>
        <w:spacing w:line="360" w:lineRule="auto"/>
        <w:ind w:firstLineChars="200" w:firstLine="480"/>
        <w:jc w:val="left"/>
        <w:rPr>
          <w:rFonts w:cs="Times New Roman"/>
          <w:color w:val="000000" w:themeColor="text1"/>
          <w:sz w:val="24"/>
        </w:rPr>
      </w:pPr>
      <w:r>
        <w:rPr>
          <w:rFonts w:cs="Times New Roman" w:hint="eastAsia"/>
          <w:color w:val="000000" w:themeColor="text1"/>
          <w:sz w:val="24"/>
        </w:rPr>
        <w:t>（</w:t>
      </w:r>
      <w:r>
        <w:rPr>
          <w:rFonts w:cs="Times New Roman" w:hint="eastAsia"/>
          <w:color w:val="000000" w:themeColor="text1"/>
          <w:sz w:val="24"/>
        </w:rPr>
        <w:t>3</w:t>
      </w:r>
      <w:r>
        <w:rPr>
          <w:rFonts w:cs="Times New Roman" w:hint="eastAsia"/>
          <w:color w:val="000000" w:themeColor="text1"/>
          <w:sz w:val="24"/>
        </w:rPr>
        <w:t>）根据工程内容和周围环境特征，重点评价大气环境影响、地下水环境影响及环境风险评价</w:t>
      </w:r>
      <w:r>
        <w:rPr>
          <w:rFonts w:cs="Times New Roman"/>
          <w:color w:val="000000" w:themeColor="text1"/>
          <w:sz w:val="24"/>
        </w:rPr>
        <w:t>。</w:t>
      </w:r>
    </w:p>
    <w:p w:rsidR="00644456" w:rsidRDefault="008031C4">
      <w:pPr>
        <w:pStyle w:val="20"/>
        <w:numPr>
          <w:ilvl w:val="1"/>
          <w:numId w:val="0"/>
        </w:numPr>
        <w:adjustRightInd w:val="0"/>
        <w:snapToGrid w:val="0"/>
        <w:spacing w:beforeLines="0" w:before="0" w:afterLines="0" w:after="0"/>
        <w:rPr>
          <w:rFonts w:cs="Times New Roman"/>
          <w:color w:val="000000" w:themeColor="text1"/>
        </w:rPr>
      </w:pPr>
      <w:bookmarkStart w:id="29" w:name="_Toc155789332"/>
      <w:bookmarkStart w:id="30" w:name="_Toc76223590"/>
      <w:bookmarkStart w:id="31" w:name="_Toc177216853"/>
      <w:bookmarkStart w:id="32" w:name="_Toc76218396"/>
      <w:bookmarkStart w:id="33" w:name="_Toc76800867"/>
      <w:r>
        <w:rPr>
          <w:rFonts w:cs="Times New Roman"/>
          <w:color w:val="000000" w:themeColor="text1"/>
        </w:rPr>
        <w:t>5</w:t>
      </w:r>
      <w:r>
        <w:rPr>
          <w:rFonts w:cs="Times New Roman"/>
          <w:color w:val="000000" w:themeColor="text1"/>
        </w:rPr>
        <w:t>、环境影响报告书的主要结论</w:t>
      </w:r>
      <w:bookmarkEnd w:id="29"/>
      <w:bookmarkEnd w:id="30"/>
      <w:bookmarkEnd w:id="31"/>
      <w:bookmarkEnd w:id="32"/>
      <w:bookmarkEnd w:id="33"/>
    </w:p>
    <w:p w:rsidR="00644456" w:rsidRDefault="008031C4">
      <w:pPr>
        <w:pStyle w:val="-"/>
        <w:adjustRightInd w:val="0"/>
        <w:snapToGrid w:val="0"/>
        <w:ind w:firstLine="480"/>
        <w:rPr>
          <w:rFonts w:cs="Times New Roman"/>
          <w:color w:val="000000" w:themeColor="text1"/>
        </w:rPr>
        <w:sectPr w:rsidR="00644456">
          <w:pgSz w:w="11905" w:h="16838"/>
          <w:pgMar w:top="1440" w:right="1440" w:bottom="1440" w:left="1440" w:header="850" w:footer="992" w:gutter="0"/>
          <w:pgNumType w:fmt="upperRoman" w:start="1"/>
          <w:cols w:space="0"/>
          <w:docGrid w:linePitch="312"/>
        </w:sectPr>
      </w:pPr>
      <w:r>
        <w:rPr>
          <w:rFonts w:cs="Times New Roman"/>
          <w:color w:val="000000" w:themeColor="text1"/>
        </w:rPr>
        <w:t>本项目符合国家现行产业政策，拟采用的生产工艺及设备先进、成熟、可靠，符合</w:t>
      </w:r>
      <w:r>
        <w:rPr>
          <w:rFonts w:cs="Times New Roman"/>
          <w:color w:val="000000" w:themeColor="text1"/>
        </w:rPr>
        <w:lastRenderedPageBreak/>
        <w:t>清洁生产要求；项目采取的污染防治措施成熟可靠且技术经济可行，排放污染物能够达到国家规定的标准要求，对评价区域环境质量的影响不明显。项目环境风险影响处于可接受水平，风险防范措施及应急预案切实可行。只要严格落实环境影响报告书提出的环保对策及措施，严格执行</w:t>
      </w:r>
      <w:r>
        <w:rPr>
          <w:rFonts w:cs="Times New Roman"/>
          <w:color w:val="000000" w:themeColor="text1"/>
        </w:rPr>
        <w:t>“</w:t>
      </w:r>
      <w:r>
        <w:rPr>
          <w:rFonts w:cs="Times New Roman"/>
          <w:color w:val="000000" w:themeColor="text1"/>
        </w:rPr>
        <w:t>三同时</w:t>
      </w:r>
      <w:r>
        <w:rPr>
          <w:rFonts w:cs="Times New Roman"/>
          <w:color w:val="000000" w:themeColor="text1"/>
        </w:rPr>
        <w:t>”</w:t>
      </w:r>
      <w:r>
        <w:rPr>
          <w:rFonts w:cs="Times New Roman"/>
          <w:color w:val="000000" w:themeColor="text1"/>
        </w:rPr>
        <w:t>制度，确保项目污染物达标排放，认真落实环境风险的防范措施及应急预案，则本项目从环保角度可行。</w:t>
      </w:r>
    </w:p>
    <w:p w:rsidR="00644456" w:rsidRDefault="00644456">
      <w:pPr>
        <w:widowControl/>
        <w:jc w:val="left"/>
        <w:rPr>
          <w:rFonts w:cs="Times New Roman"/>
          <w:color w:val="000000" w:themeColor="text1"/>
          <w:sz w:val="24"/>
        </w:rPr>
      </w:pPr>
    </w:p>
    <w:p w:rsidR="00644456" w:rsidRDefault="008031C4">
      <w:pPr>
        <w:pStyle w:val="1"/>
        <w:numPr>
          <w:ilvl w:val="0"/>
          <w:numId w:val="0"/>
        </w:numPr>
      </w:pPr>
      <w:bookmarkStart w:id="34" w:name="_Toc177216854"/>
      <w:bookmarkStart w:id="35" w:name="_Toc155789333"/>
      <w:r>
        <w:rPr>
          <w:rFonts w:hint="eastAsia"/>
        </w:rPr>
        <w:t>第</w:t>
      </w:r>
      <w:r>
        <w:rPr>
          <w:rFonts w:hint="eastAsia"/>
        </w:rPr>
        <w:t xml:space="preserve"> 1 </w:t>
      </w:r>
      <w:r>
        <w:rPr>
          <w:rFonts w:hint="eastAsia"/>
        </w:rPr>
        <w:t>章</w:t>
      </w:r>
      <w:r>
        <w:rPr>
          <w:rFonts w:hint="eastAsia"/>
        </w:rPr>
        <w:t xml:space="preserve"> </w:t>
      </w:r>
      <w:r>
        <w:t>总论</w:t>
      </w:r>
      <w:bookmarkEnd w:id="34"/>
      <w:bookmarkEnd w:id="35"/>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36" w:name="_Toc177216855"/>
      <w:bookmarkStart w:id="37" w:name="_Toc155789334"/>
      <w:r>
        <w:rPr>
          <w:rFonts w:cs="Times New Roman" w:hint="eastAsia"/>
          <w:color w:val="000000" w:themeColor="text1"/>
        </w:rPr>
        <w:t>1.1</w:t>
      </w:r>
      <w:r>
        <w:rPr>
          <w:rFonts w:cs="Times New Roman"/>
          <w:color w:val="000000" w:themeColor="text1"/>
        </w:rPr>
        <w:t>评价目的和原则</w:t>
      </w:r>
      <w:bookmarkEnd w:id="36"/>
      <w:bookmarkEnd w:id="37"/>
    </w:p>
    <w:p w:rsidR="00644456" w:rsidRDefault="008031C4">
      <w:pPr>
        <w:pStyle w:val="3"/>
        <w:numPr>
          <w:ilvl w:val="2"/>
          <w:numId w:val="0"/>
        </w:numPr>
        <w:ind w:firstLineChars="200" w:firstLine="482"/>
      </w:pPr>
      <w:r>
        <w:rPr>
          <w:rFonts w:hint="eastAsia"/>
        </w:rPr>
        <w:t>1.1.1</w:t>
      </w:r>
      <w:r>
        <w:t>评价目的</w:t>
      </w:r>
    </w:p>
    <w:p w:rsidR="00644456" w:rsidRDefault="008031C4">
      <w:pPr>
        <w:pStyle w:val="-"/>
        <w:snapToGrid w:val="0"/>
        <w:ind w:firstLine="480"/>
        <w:rPr>
          <w:rFonts w:cs="Times New Roman"/>
          <w:color w:val="000000" w:themeColor="text1"/>
        </w:rPr>
      </w:pPr>
      <w:r>
        <w:rPr>
          <w:rFonts w:cs="Times New Roman" w:hint="eastAsia"/>
          <w:color w:val="000000" w:themeColor="text1"/>
        </w:rPr>
        <w:t>根据有关环境影响评价技术导则及环境保护管理部门的要求，在进行了现场踏勘、现场资料收集的基础上，通过对本次拟建项目的生产工艺、污染物排放、治理措施进行分析，分析项目是否符合产业政策，预测拟建项目投产后对环境产生的影响程度和范围，同时论证环保措施的可行性。从环境保护角度分析工程可行性，为管理部门决策、为建设单位环境管理提供科学依据</w:t>
      </w:r>
      <w:r>
        <w:rPr>
          <w:rFonts w:cs="Times New Roman"/>
          <w:color w:val="000000" w:themeColor="text1"/>
        </w:rPr>
        <w:t>。因此，本次评价将针对这些环境影响问题，并结合本项目的特点，坚持以下原则，达到以下目的：</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color w:val="000000" w:themeColor="text1"/>
        </w:rPr>
        <w:t>1</w:t>
      </w:r>
      <w:r>
        <w:rPr>
          <w:rFonts w:cs="Times New Roman"/>
          <w:color w:val="000000" w:themeColor="text1"/>
        </w:rPr>
        <w:t>）实现项目建设与当地自然、社会、经济、环境保护的持续协调发展，即按可持续发展战略指导本项目的建设；</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color w:val="000000" w:themeColor="text1"/>
        </w:rPr>
        <w:t>2</w:t>
      </w:r>
      <w:r>
        <w:rPr>
          <w:rFonts w:cs="Times New Roman"/>
          <w:color w:val="000000" w:themeColor="text1"/>
        </w:rPr>
        <w:t>）结合</w:t>
      </w:r>
      <w:r>
        <w:rPr>
          <w:rFonts w:cs="Times New Roman" w:hint="eastAsia"/>
          <w:color w:val="000000" w:themeColor="text1"/>
        </w:rPr>
        <w:t>喀什市以及疏勒县</w:t>
      </w:r>
      <w:r>
        <w:rPr>
          <w:rFonts w:cs="Times New Roman"/>
          <w:color w:val="000000" w:themeColor="text1"/>
        </w:rPr>
        <w:t>发展总体规划、环境保护规划、环境功能规划，从环境保护角度论证项目工程内容及选址的可行性和合理性；</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color w:val="000000" w:themeColor="text1"/>
        </w:rPr>
        <w:t>3</w:t>
      </w:r>
      <w:r>
        <w:rPr>
          <w:rFonts w:cs="Times New Roman"/>
          <w:color w:val="000000" w:themeColor="text1"/>
        </w:rPr>
        <w:t>）环评中坚持</w:t>
      </w:r>
      <w:r>
        <w:rPr>
          <w:rFonts w:cs="Times New Roman"/>
          <w:color w:val="000000" w:themeColor="text1"/>
        </w:rPr>
        <w:t>“</w:t>
      </w:r>
      <w:r>
        <w:rPr>
          <w:rFonts w:cs="Times New Roman"/>
          <w:color w:val="000000" w:themeColor="text1"/>
        </w:rPr>
        <w:t>达标排放、总量控制、清洁生产</w:t>
      </w:r>
      <w:r>
        <w:rPr>
          <w:rFonts w:cs="Times New Roman"/>
          <w:color w:val="000000" w:themeColor="text1"/>
        </w:rPr>
        <w:t>”</w:t>
      </w:r>
      <w:r>
        <w:rPr>
          <w:rFonts w:cs="Times New Roman"/>
          <w:color w:val="000000" w:themeColor="text1"/>
        </w:rPr>
        <w:t>的原则，保证本项目建设实施后，不加重该区域的环境污染程度；</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color w:val="000000" w:themeColor="text1"/>
        </w:rPr>
        <w:t>4</w:t>
      </w:r>
      <w:r>
        <w:rPr>
          <w:rFonts w:cs="Times New Roman"/>
          <w:color w:val="000000" w:themeColor="text1"/>
        </w:rPr>
        <w:t>）从经济、技术角度论证项目污染防治措施的可行性；</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color w:val="000000" w:themeColor="text1"/>
        </w:rPr>
        <w:t>5</w:t>
      </w:r>
      <w:r>
        <w:rPr>
          <w:rFonts w:cs="Times New Roman"/>
          <w:color w:val="000000" w:themeColor="text1"/>
        </w:rPr>
        <w:t>）预测本项目建成投产后，对周围环境的影响程度和范围；在此基础上提出周围卫生防护要求；</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color w:val="000000" w:themeColor="text1"/>
        </w:rPr>
        <w:t>6</w:t>
      </w:r>
      <w:r>
        <w:rPr>
          <w:rFonts w:cs="Times New Roman"/>
          <w:color w:val="000000" w:themeColor="text1"/>
        </w:rPr>
        <w:t>）针对项目特性进行环境风险分析，提出风险防范措施，明确项目环境风险影响的接受水平；</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color w:val="000000" w:themeColor="text1"/>
        </w:rPr>
        <w:t>7</w:t>
      </w:r>
      <w:r>
        <w:rPr>
          <w:rFonts w:cs="Times New Roman"/>
          <w:color w:val="000000" w:themeColor="text1"/>
        </w:rPr>
        <w:t>）通过本项目建设后生产能力及工艺水平情况，对项目建设后污染物排放情况及总量控制污染物排放水平</w:t>
      </w:r>
      <w:r>
        <w:rPr>
          <w:rFonts w:cs="Times New Roman" w:hint="eastAsia"/>
          <w:color w:val="000000" w:themeColor="text1"/>
        </w:rPr>
        <w:t>做</w:t>
      </w:r>
      <w:r>
        <w:rPr>
          <w:rFonts w:cs="Times New Roman"/>
          <w:color w:val="000000" w:themeColor="text1"/>
        </w:rPr>
        <w:t>了分析。</w:t>
      </w:r>
    </w:p>
    <w:p w:rsidR="00644456" w:rsidRDefault="008031C4">
      <w:pPr>
        <w:pStyle w:val="3"/>
        <w:numPr>
          <w:ilvl w:val="2"/>
          <w:numId w:val="0"/>
        </w:numPr>
        <w:ind w:firstLineChars="200" w:firstLine="482"/>
      </w:pPr>
      <w:r>
        <w:rPr>
          <w:rFonts w:hint="eastAsia"/>
        </w:rPr>
        <w:t>1.1.2</w:t>
      </w:r>
      <w:r>
        <w:t>评价原则</w:t>
      </w:r>
    </w:p>
    <w:p w:rsidR="00644456" w:rsidRDefault="008031C4">
      <w:pPr>
        <w:pStyle w:val="-"/>
        <w:ind w:firstLine="480"/>
        <w:rPr>
          <w:rFonts w:cs="Times New Roman"/>
          <w:color w:val="000000" w:themeColor="text1"/>
        </w:rPr>
      </w:pPr>
      <w:r>
        <w:rPr>
          <w:rFonts w:cs="Times New Roman"/>
          <w:color w:val="000000" w:themeColor="text1"/>
        </w:rPr>
        <w:t>根据建设项目的工程特点和项目所在地的环境状况及环境保护的政策法规，本项目环境评价工作应体现以下原则：</w:t>
      </w:r>
    </w:p>
    <w:p w:rsidR="00644456" w:rsidRDefault="008031C4">
      <w:pPr>
        <w:pStyle w:val="-"/>
        <w:ind w:firstLine="482"/>
        <w:rPr>
          <w:rFonts w:cs="Times New Roman"/>
          <w:color w:val="000000" w:themeColor="text1"/>
        </w:rPr>
      </w:pPr>
      <w:r>
        <w:rPr>
          <w:rFonts w:cs="Times New Roman"/>
          <w:b/>
          <w:bCs/>
          <w:color w:val="000000" w:themeColor="text1"/>
        </w:rPr>
        <w:t>依法评价原则：</w:t>
      </w:r>
      <w:r>
        <w:rPr>
          <w:rFonts w:cs="Times New Roman"/>
          <w:color w:val="000000" w:themeColor="text1"/>
        </w:rPr>
        <w:t>贯彻执行我国环境保护相关法律法规、标准、政策和规划等，优化项目建设，服务环境管理；</w:t>
      </w:r>
    </w:p>
    <w:p w:rsidR="00644456" w:rsidRDefault="008031C4">
      <w:pPr>
        <w:pStyle w:val="-"/>
        <w:ind w:firstLine="482"/>
        <w:rPr>
          <w:rFonts w:cs="Times New Roman"/>
          <w:color w:val="000000" w:themeColor="text1"/>
        </w:rPr>
      </w:pPr>
      <w:r>
        <w:rPr>
          <w:rFonts w:cs="Times New Roman"/>
          <w:b/>
          <w:bCs/>
          <w:color w:val="000000" w:themeColor="text1"/>
        </w:rPr>
        <w:t>科学评价原则：</w:t>
      </w:r>
      <w:r>
        <w:rPr>
          <w:rFonts w:cs="Times New Roman"/>
          <w:color w:val="000000" w:themeColor="text1"/>
        </w:rPr>
        <w:t>规范环境影响评价方法，科学分析项目建设对环境质量的影响；</w:t>
      </w:r>
    </w:p>
    <w:p w:rsidR="00644456" w:rsidRDefault="008031C4">
      <w:pPr>
        <w:pStyle w:val="-"/>
        <w:snapToGrid w:val="0"/>
        <w:ind w:firstLine="482"/>
        <w:rPr>
          <w:rFonts w:cs="Times New Roman"/>
          <w:color w:val="000000" w:themeColor="text1"/>
        </w:rPr>
      </w:pPr>
      <w:r>
        <w:rPr>
          <w:rFonts w:cs="Times New Roman"/>
          <w:b/>
          <w:bCs/>
          <w:color w:val="000000" w:themeColor="text1"/>
        </w:rPr>
        <w:t>突出重点原则：</w:t>
      </w:r>
      <w:r>
        <w:rPr>
          <w:rFonts w:cs="Times New Roman"/>
          <w:color w:val="000000" w:themeColor="text1"/>
        </w:rPr>
        <w:t>根据建设项目的工程内容及其特点，明确与环境要素间的作用</w:t>
      </w:r>
      <w:r>
        <w:rPr>
          <w:rFonts w:cs="Times New Roman"/>
          <w:color w:val="000000" w:themeColor="text1"/>
        </w:rPr>
        <w:lastRenderedPageBreak/>
        <w:t>效应关系，充分利用符合时效的数据资料及成果，对建设项目主要环境影响予以重点分析和评价。</w:t>
      </w:r>
    </w:p>
    <w:p w:rsidR="00644456" w:rsidRDefault="008031C4">
      <w:pPr>
        <w:pStyle w:val="3"/>
        <w:numPr>
          <w:ilvl w:val="2"/>
          <w:numId w:val="0"/>
        </w:numPr>
        <w:ind w:firstLineChars="200" w:firstLine="482"/>
      </w:pPr>
      <w:r>
        <w:rPr>
          <w:rFonts w:hint="eastAsia"/>
        </w:rPr>
        <w:t>1.1.3</w:t>
      </w:r>
      <w:r>
        <w:rPr>
          <w:rFonts w:hint="eastAsia"/>
        </w:rPr>
        <w:t>评价时段</w:t>
      </w:r>
    </w:p>
    <w:p w:rsidR="00644456" w:rsidRDefault="008031C4">
      <w:pPr>
        <w:pStyle w:val="-"/>
        <w:snapToGrid w:val="0"/>
        <w:ind w:firstLine="480"/>
        <w:rPr>
          <w:rFonts w:cs="Times New Roman"/>
          <w:color w:val="000000" w:themeColor="text1"/>
        </w:rPr>
      </w:pPr>
      <w:r>
        <w:rPr>
          <w:rFonts w:cs="Times New Roman" w:hint="eastAsia"/>
          <w:color w:val="000000" w:themeColor="text1"/>
        </w:rPr>
        <w:t>本项目位于疏勒高新技术产业开发区规划范围内，所占用地为园区规划的工业用地，本项目在施工期工程量较小，对外环境的影响不大，且施工期的影响随着施工期的结束而随之消失，项目的环境问题主要发生在项目运行阶段。因此，本次评价主要以项目运行时段的评价为主，对施工期环境影响进行简要分析。</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38" w:name="_Toc155789335"/>
      <w:bookmarkStart w:id="39" w:name="_Toc177216856"/>
      <w:r>
        <w:rPr>
          <w:rFonts w:cs="Times New Roman" w:hint="eastAsia"/>
          <w:color w:val="000000" w:themeColor="text1"/>
        </w:rPr>
        <w:t>1.2</w:t>
      </w:r>
      <w:r>
        <w:rPr>
          <w:rFonts w:cs="Times New Roman"/>
          <w:color w:val="000000" w:themeColor="text1"/>
        </w:rPr>
        <w:t>编制依据</w:t>
      </w:r>
      <w:bookmarkEnd w:id="38"/>
      <w:bookmarkEnd w:id="39"/>
    </w:p>
    <w:p w:rsidR="00644456" w:rsidRDefault="008031C4">
      <w:pPr>
        <w:pStyle w:val="3"/>
        <w:numPr>
          <w:ilvl w:val="2"/>
          <w:numId w:val="0"/>
        </w:numPr>
        <w:ind w:firstLineChars="200" w:firstLine="482"/>
      </w:pPr>
      <w:r>
        <w:rPr>
          <w:rFonts w:hint="eastAsia"/>
        </w:rPr>
        <w:t>1.2.1</w:t>
      </w:r>
      <w:r>
        <w:t>法律法规</w:t>
      </w:r>
    </w:p>
    <w:p w:rsidR="00644456" w:rsidRDefault="008031C4">
      <w:pPr>
        <w:pStyle w:val="-"/>
        <w:snapToGrid w:val="0"/>
        <w:ind w:firstLine="480"/>
        <w:rPr>
          <w:rFonts w:cs="Times New Roman"/>
          <w:color w:val="000000" w:themeColor="text1"/>
        </w:rPr>
      </w:pPr>
      <w:r>
        <w:rPr>
          <w:rFonts w:cs="Times New Roman"/>
          <w:color w:val="000000" w:themeColor="text1"/>
        </w:rPr>
        <w:t>（</w:t>
      </w:r>
      <w:r>
        <w:rPr>
          <w:rFonts w:cs="Times New Roman"/>
          <w:color w:val="000000" w:themeColor="text1"/>
        </w:rPr>
        <w:t>1</w:t>
      </w:r>
      <w:r>
        <w:rPr>
          <w:rFonts w:cs="Times New Roman"/>
          <w:color w:val="000000" w:themeColor="text1"/>
        </w:rPr>
        <w:t>）《中华人民共和国环境保护法》，</w:t>
      </w:r>
      <w:r>
        <w:rPr>
          <w:rFonts w:cs="Times New Roman"/>
          <w:color w:val="000000" w:themeColor="text1"/>
        </w:rPr>
        <w:t>2015</w:t>
      </w:r>
      <w:r>
        <w:rPr>
          <w:rFonts w:cs="Times New Roman"/>
          <w:color w:val="000000" w:themeColor="text1"/>
        </w:rPr>
        <w:t>年</w:t>
      </w:r>
      <w:r>
        <w:rPr>
          <w:rFonts w:cs="Times New Roman"/>
          <w:color w:val="000000" w:themeColor="text1"/>
        </w:rPr>
        <w:t>1</w:t>
      </w:r>
      <w:r>
        <w:rPr>
          <w:rFonts w:cs="Times New Roman"/>
          <w:color w:val="000000" w:themeColor="text1"/>
        </w:rPr>
        <w:t>月</w:t>
      </w:r>
      <w:r>
        <w:rPr>
          <w:rFonts w:cs="Times New Roman"/>
          <w:color w:val="000000" w:themeColor="text1"/>
        </w:rPr>
        <w:t>1</w:t>
      </w:r>
      <w:r>
        <w:rPr>
          <w:rFonts w:cs="Times New Roman"/>
          <w:color w:val="000000" w:themeColor="text1"/>
        </w:rPr>
        <w:t>日施行；</w:t>
      </w:r>
    </w:p>
    <w:p w:rsidR="00644456" w:rsidRDefault="008031C4">
      <w:pPr>
        <w:pStyle w:val="-"/>
        <w:snapToGrid w:val="0"/>
        <w:ind w:firstLine="480"/>
        <w:rPr>
          <w:rFonts w:cs="Times New Roman"/>
          <w:color w:val="000000" w:themeColor="text1"/>
        </w:rPr>
      </w:pPr>
      <w:r>
        <w:rPr>
          <w:rFonts w:cs="Times New Roman"/>
          <w:color w:val="000000" w:themeColor="text1"/>
        </w:rPr>
        <w:t>（</w:t>
      </w:r>
      <w:r>
        <w:rPr>
          <w:rFonts w:cs="Times New Roman"/>
          <w:color w:val="000000" w:themeColor="text1"/>
        </w:rPr>
        <w:t>2</w:t>
      </w:r>
      <w:r>
        <w:rPr>
          <w:rFonts w:cs="Times New Roman"/>
          <w:color w:val="000000" w:themeColor="text1"/>
        </w:rPr>
        <w:t>）《中华人民共和国环境影响评价法》，</w:t>
      </w:r>
      <w:r>
        <w:rPr>
          <w:rFonts w:cs="Times New Roman"/>
          <w:color w:val="000000" w:themeColor="text1"/>
        </w:rPr>
        <w:t>2018</w:t>
      </w:r>
      <w:r>
        <w:rPr>
          <w:rFonts w:cs="Times New Roman"/>
          <w:color w:val="000000" w:themeColor="text1"/>
        </w:rPr>
        <w:t>年</w:t>
      </w:r>
      <w:r>
        <w:rPr>
          <w:rFonts w:cs="Times New Roman"/>
          <w:color w:val="000000" w:themeColor="text1"/>
        </w:rPr>
        <w:t>12</w:t>
      </w:r>
      <w:r>
        <w:rPr>
          <w:rFonts w:cs="Times New Roman"/>
          <w:color w:val="000000" w:themeColor="text1"/>
        </w:rPr>
        <w:t>月</w:t>
      </w:r>
      <w:r>
        <w:rPr>
          <w:rFonts w:cs="Times New Roman"/>
          <w:color w:val="000000" w:themeColor="text1"/>
        </w:rPr>
        <w:t>29</w:t>
      </w:r>
      <w:r>
        <w:rPr>
          <w:rFonts w:cs="Times New Roman"/>
          <w:color w:val="000000" w:themeColor="text1"/>
        </w:rPr>
        <w:t>日修正；</w:t>
      </w:r>
    </w:p>
    <w:p w:rsidR="00644456" w:rsidRDefault="008031C4">
      <w:pPr>
        <w:pStyle w:val="-"/>
        <w:snapToGrid w:val="0"/>
        <w:ind w:firstLine="480"/>
        <w:rPr>
          <w:rFonts w:cs="Times New Roman"/>
          <w:color w:val="000000" w:themeColor="text1"/>
        </w:rPr>
      </w:pPr>
      <w:r>
        <w:rPr>
          <w:rFonts w:cs="Times New Roman"/>
          <w:color w:val="000000" w:themeColor="text1"/>
        </w:rPr>
        <w:t>（</w:t>
      </w:r>
      <w:r>
        <w:rPr>
          <w:rFonts w:cs="Times New Roman"/>
          <w:color w:val="000000" w:themeColor="text1"/>
        </w:rPr>
        <w:t>3</w:t>
      </w:r>
      <w:r>
        <w:rPr>
          <w:rFonts w:cs="Times New Roman"/>
          <w:color w:val="000000" w:themeColor="text1"/>
        </w:rPr>
        <w:t>）《中华人民共和国大气污染防治法》，</w:t>
      </w:r>
      <w:r>
        <w:rPr>
          <w:rFonts w:cs="Times New Roman"/>
          <w:color w:val="000000" w:themeColor="text1"/>
        </w:rPr>
        <w:t>2018</w:t>
      </w:r>
      <w:r>
        <w:rPr>
          <w:rFonts w:cs="Times New Roman"/>
          <w:color w:val="000000" w:themeColor="text1"/>
        </w:rPr>
        <w:t>年</w:t>
      </w:r>
      <w:r>
        <w:rPr>
          <w:rFonts w:cs="Times New Roman"/>
          <w:color w:val="000000" w:themeColor="text1"/>
        </w:rPr>
        <w:t>10</w:t>
      </w:r>
      <w:r>
        <w:rPr>
          <w:rFonts w:cs="Times New Roman"/>
          <w:color w:val="000000" w:themeColor="text1"/>
        </w:rPr>
        <w:t>月</w:t>
      </w:r>
      <w:r>
        <w:rPr>
          <w:rFonts w:cs="Times New Roman"/>
          <w:color w:val="000000" w:themeColor="text1"/>
        </w:rPr>
        <w:t>26</w:t>
      </w:r>
      <w:r>
        <w:rPr>
          <w:rFonts w:cs="Times New Roman"/>
          <w:color w:val="000000" w:themeColor="text1"/>
        </w:rPr>
        <w:t>日修订；</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4</w:t>
      </w:r>
      <w:r>
        <w:rPr>
          <w:rFonts w:cs="Times New Roman"/>
          <w:color w:val="000000" w:themeColor="text1"/>
        </w:rPr>
        <w:t>）《中华人民共和国水法》，</w:t>
      </w:r>
      <w:r>
        <w:rPr>
          <w:rFonts w:cs="Times New Roman"/>
          <w:color w:val="000000" w:themeColor="text1"/>
        </w:rPr>
        <w:t>2016</w:t>
      </w:r>
      <w:r>
        <w:rPr>
          <w:rFonts w:cs="Times New Roman"/>
          <w:color w:val="000000" w:themeColor="text1"/>
        </w:rPr>
        <w:t>年</w:t>
      </w:r>
      <w:r>
        <w:rPr>
          <w:rFonts w:cs="Times New Roman"/>
          <w:color w:val="000000" w:themeColor="text1"/>
        </w:rPr>
        <w:t>9</w:t>
      </w:r>
      <w:r>
        <w:rPr>
          <w:rFonts w:cs="Times New Roman"/>
          <w:color w:val="000000" w:themeColor="text1"/>
        </w:rPr>
        <w:t>月</w:t>
      </w:r>
      <w:r>
        <w:rPr>
          <w:rFonts w:cs="Times New Roman"/>
          <w:color w:val="000000" w:themeColor="text1"/>
        </w:rPr>
        <w:t>1</w:t>
      </w:r>
      <w:r>
        <w:rPr>
          <w:rFonts w:cs="Times New Roman"/>
          <w:color w:val="000000" w:themeColor="text1"/>
        </w:rPr>
        <w:t>日施行；</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5</w:t>
      </w:r>
      <w:r>
        <w:rPr>
          <w:rFonts w:cs="Times New Roman"/>
          <w:color w:val="000000" w:themeColor="text1"/>
        </w:rPr>
        <w:t>）《中华人民共和国水污染防治法》，</w:t>
      </w:r>
      <w:r>
        <w:rPr>
          <w:rFonts w:cs="Times New Roman"/>
          <w:color w:val="000000" w:themeColor="text1"/>
        </w:rPr>
        <w:t>2018</w:t>
      </w:r>
      <w:r>
        <w:rPr>
          <w:rFonts w:cs="Times New Roman"/>
          <w:color w:val="000000" w:themeColor="text1"/>
        </w:rPr>
        <w:t>年</w:t>
      </w:r>
      <w:r>
        <w:rPr>
          <w:rFonts w:cs="Times New Roman"/>
          <w:color w:val="000000" w:themeColor="text1"/>
        </w:rPr>
        <w:t>1</w:t>
      </w:r>
      <w:r>
        <w:rPr>
          <w:rFonts w:cs="Times New Roman"/>
          <w:color w:val="000000" w:themeColor="text1"/>
        </w:rPr>
        <w:t>月</w:t>
      </w:r>
      <w:r>
        <w:rPr>
          <w:rFonts w:cs="Times New Roman"/>
          <w:color w:val="000000" w:themeColor="text1"/>
        </w:rPr>
        <w:t>1</w:t>
      </w:r>
      <w:r>
        <w:rPr>
          <w:rFonts w:cs="Times New Roman"/>
          <w:color w:val="000000" w:themeColor="text1"/>
        </w:rPr>
        <w:t>日起施行；</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6</w:t>
      </w:r>
      <w:r>
        <w:rPr>
          <w:rFonts w:cs="Times New Roman"/>
          <w:color w:val="000000" w:themeColor="text1"/>
        </w:rPr>
        <w:t>）《中华人民共和国噪声污染防治法》，</w:t>
      </w:r>
      <w:r w:rsidRPr="008031C4">
        <w:rPr>
          <w:rFonts w:cs="Times New Roman" w:hint="eastAsia"/>
          <w:color w:val="FF0000"/>
        </w:rPr>
        <w:t>2022</w:t>
      </w:r>
      <w:r w:rsidRPr="008031C4">
        <w:rPr>
          <w:rFonts w:cs="Times New Roman" w:hint="eastAsia"/>
          <w:color w:val="FF0000"/>
        </w:rPr>
        <w:t>年</w:t>
      </w:r>
      <w:r w:rsidRPr="008031C4">
        <w:rPr>
          <w:rFonts w:cs="Times New Roman" w:hint="eastAsia"/>
          <w:color w:val="FF0000"/>
        </w:rPr>
        <w:t>6</w:t>
      </w:r>
      <w:r w:rsidRPr="008031C4">
        <w:rPr>
          <w:rFonts w:cs="Times New Roman" w:hint="eastAsia"/>
          <w:color w:val="FF0000"/>
        </w:rPr>
        <w:t>月</w:t>
      </w:r>
      <w:r w:rsidRPr="008031C4">
        <w:rPr>
          <w:rFonts w:cs="Times New Roman" w:hint="eastAsia"/>
          <w:color w:val="FF0000"/>
        </w:rPr>
        <w:t>5</w:t>
      </w:r>
      <w:r w:rsidRPr="008031C4">
        <w:rPr>
          <w:rFonts w:cs="Times New Roman" w:hint="eastAsia"/>
          <w:color w:val="FF0000"/>
        </w:rPr>
        <w:t>日起施行</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7</w:t>
      </w:r>
      <w:r>
        <w:rPr>
          <w:rFonts w:cs="Times New Roman"/>
          <w:color w:val="000000" w:themeColor="text1"/>
        </w:rPr>
        <w:t>）《中华人民共和国固体废物污染环境防治法》，自</w:t>
      </w:r>
      <w:r>
        <w:rPr>
          <w:rFonts w:cs="Times New Roman"/>
          <w:color w:val="000000" w:themeColor="text1"/>
        </w:rPr>
        <w:t>2020</w:t>
      </w:r>
      <w:r>
        <w:rPr>
          <w:rFonts w:cs="Times New Roman"/>
          <w:color w:val="000000" w:themeColor="text1"/>
        </w:rPr>
        <w:t>年</w:t>
      </w:r>
      <w:r>
        <w:rPr>
          <w:rFonts w:cs="Times New Roman"/>
          <w:color w:val="000000" w:themeColor="text1"/>
        </w:rPr>
        <w:t>9</w:t>
      </w:r>
      <w:r>
        <w:rPr>
          <w:rFonts w:cs="Times New Roman"/>
          <w:color w:val="000000" w:themeColor="text1"/>
        </w:rPr>
        <w:t>月</w:t>
      </w:r>
      <w:r>
        <w:rPr>
          <w:rFonts w:cs="Times New Roman"/>
          <w:color w:val="000000" w:themeColor="text1"/>
        </w:rPr>
        <w:t>1</w:t>
      </w:r>
      <w:r>
        <w:rPr>
          <w:rFonts w:cs="Times New Roman"/>
          <w:color w:val="000000" w:themeColor="text1"/>
        </w:rPr>
        <w:t>日起施行；</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8</w:t>
      </w:r>
      <w:r>
        <w:rPr>
          <w:rFonts w:cs="Times New Roman"/>
          <w:color w:val="000000" w:themeColor="text1"/>
        </w:rPr>
        <w:t>）《中华人民共和国土壤污染环境防治法》，自</w:t>
      </w:r>
      <w:r>
        <w:rPr>
          <w:rFonts w:cs="Times New Roman"/>
          <w:color w:val="000000" w:themeColor="text1"/>
        </w:rPr>
        <w:t>2019</w:t>
      </w:r>
      <w:r>
        <w:rPr>
          <w:rFonts w:cs="Times New Roman"/>
          <w:color w:val="000000" w:themeColor="text1"/>
        </w:rPr>
        <w:t>年</w:t>
      </w:r>
      <w:r>
        <w:rPr>
          <w:rFonts w:cs="Times New Roman"/>
          <w:color w:val="000000" w:themeColor="text1"/>
        </w:rPr>
        <w:t>1</w:t>
      </w:r>
      <w:r>
        <w:rPr>
          <w:rFonts w:cs="Times New Roman"/>
          <w:color w:val="000000" w:themeColor="text1"/>
        </w:rPr>
        <w:t>月</w:t>
      </w:r>
      <w:r>
        <w:rPr>
          <w:rFonts w:cs="Times New Roman"/>
          <w:color w:val="000000" w:themeColor="text1"/>
        </w:rPr>
        <w:t>1</w:t>
      </w:r>
      <w:r>
        <w:rPr>
          <w:rFonts w:cs="Times New Roman"/>
          <w:color w:val="000000" w:themeColor="text1"/>
        </w:rPr>
        <w:t>日施行；</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9</w:t>
      </w:r>
      <w:r>
        <w:rPr>
          <w:rFonts w:cs="Times New Roman"/>
          <w:color w:val="000000" w:themeColor="text1"/>
        </w:rPr>
        <w:t>）《中华人民共和国清洁生产促进法》，</w:t>
      </w:r>
      <w:r>
        <w:rPr>
          <w:rFonts w:cs="Times New Roman"/>
          <w:color w:val="000000" w:themeColor="text1"/>
        </w:rPr>
        <w:t>2016</w:t>
      </w:r>
      <w:r>
        <w:rPr>
          <w:rFonts w:cs="Times New Roman"/>
          <w:color w:val="000000" w:themeColor="text1"/>
        </w:rPr>
        <w:t>年</w:t>
      </w:r>
      <w:r>
        <w:rPr>
          <w:rFonts w:cs="Times New Roman"/>
          <w:color w:val="000000" w:themeColor="text1"/>
        </w:rPr>
        <w:t>7</w:t>
      </w:r>
      <w:r>
        <w:rPr>
          <w:rFonts w:cs="Times New Roman"/>
          <w:color w:val="000000" w:themeColor="text1"/>
        </w:rPr>
        <w:t>月</w:t>
      </w:r>
      <w:r>
        <w:rPr>
          <w:rFonts w:cs="Times New Roman"/>
          <w:color w:val="000000" w:themeColor="text1"/>
        </w:rPr>
        <w:t>1</w:t>
      </w:r>
      <w:r>
        <w:rPr>
          <w:rFonts w:cs="Times New Roman"/>
          <w:color w:val="000000" w:themeColor="text1"/>
        </w:rPr>
        <w:t>日施行；</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10</w:t>
      </w:r>
      <w:r>
        <w:rPr>
          <w:rFonts w:cs="Times New Roman"/>
          <w:color w:val="000000" w:themeColor="text1"/>
        </w:rPr>
        <w:t>）《中华人民共和国土地管理法》，</w:t>
      </w:r>
      <w:r>
        <w:rPr>
          <w:rFonts w:cs="Times New Roman"/>
          <w:color w:val="000000" w:themeColor="text1"/>
        </w:rPr>
        <w:t>2004</w:t>
      </w:r>
      <w:r>
        <w:rPr>
          <w:rFonts w:cs="Times New Roman"/>
          <w:color w:val="000000" w:themeColor="text1"/>
        </w:rPr>
        <w:t>年</w:t>
      </w:r>
      <w:r>
        <w:rPr>
          <w:rFonts w:cs="Times New Roman"/>
          <w:color w:val="000000" w:themeColor="text1"/>
        </w:rPr>
        <w:t>8</w:t>
      </w:r>
      <w:r>
        <w:rPr>
          <w:rFonts w:cs="Times New Roman"/>
          <w:color w:val="000000" w:themeColor="text1"/>
        </w:rPr>
        <w:t>月</w:t>
      </w:r>
      <w:r>
        <w:rPr>
          <w:rFonts w:cs="Times New Roman"/>
          <w:color w:val="000000" w:themeColor="text1"/>
        </w:rPr>
        <w:t>28</w:t>
      </w:r>
      <w:r>
        <w:rPr>
          <w:rFonts w:cs="Times New Roman"/>
          <w:color w:val="000000" w:themeColor="text1"/>
        </w:rPr>
        <w:t>日；</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11</w:t>
      </w:r>
      <w:r>
        <w:rPr>
          <w:rFonts w:cs="Times New Roman"/>
          <w:color w:val="000000" w:themeColor="text1"/>
        </w:rPr>
        <w:t>）《中华人民共和国节约能源法》，</w:t>
      </w:r>
      <w:r>
        <w:rPr>
          <w:rFonts w:cs="Times New Roman"/>
          <w:color w:val="000000" w:themeColor="text1"/>
        </w:rPr>
        <w:t>2016</w:t>
      </w:r>
      <w:r>
        <w:rPr>
          <w:rFonts w:cs="Times New Roman"/>
          <w:color w:val="000000" w:themeColor="text1"/>
        </w:rPr>
        <w:t>年</w:t>
      </w:r>
      <w:r>
        <w:rPr>
          <w:rFonts w:cs="Times New Roman"/>
          <w:color w:val="000000" w:themeColor="text1"/>
        </w:rPr>
        <w:t>7</w:t>
      </w:r>
      <w:r>
        <w:rPr>
          <w:rFonts w:cs="Times New Roman"/>
          <w:color w:val="000000" w:themeColor="text1"/>
        </w:rPr>
        <w:t>月</w:t>
      </w:r>
      <w:r>
        <w:rPr>
          <w:rFonts w:cs="Times New Roman"/>
          <w:color w:val="000000" w:themeColor="text1"/>
        </w:rPr>
        <w:t>2</w:t>
      </w:r>
      <w:r>
        <w:rPr>
          <w:rFonts w:cs="Times New Roman"/>
          <w:color w:val="000000" w:themeColor="text1"/>
        </w:rPr>
        <w:t>日修改施行；</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12</w:t>
      </w:r>
      <w:r>
        <w:rPr>
          <w:rFonts w:cs="Times New Roman"/>
          <w:color w:val="000000" w:themeColor="text1"/>
        </w:rPr>
        <w:t>）《中华人民共和国循环经济促进法》，</w:t>
      </w:r>
      <w:r>
        <w:rPr>
          <w:rFonts w:cs="Times New Roman"/>
          <w:color w:val="000000" w:themeColor="text1"/>
        </w:rPr>
        <w:t>2018</w:t>
      </w:r>
      <w:r>
        <w:rPr>
          <w:rFonts w:cs="Times New Roman"/>
          <w:color w:val="000000" w:themeColor="text1"/>
        </w:rPr>
        <w:t>年</w:t>
      </w:r>
      <w:r>
        <w:rPr>
          <w:rFonts w:cs="Times New Roman"/>
          <w:color w:val="000000" w:themeColor="text1"/>
        </w:rPr>
        <w:t>12</w:t>
      </w:r>
      <w:r>
        <w:rPr>
          <w:rFonts w:cs="Times New Roman"/>
          <w:color w:val="000000" w:themeColor="text1"/>
        </w:rPr>
        <w:t>月</w:t>
      </w:r>
      <w:r>
        <w:rPr>
          <w:rFonts w:cs="Times New Roman"/>
          <w:color w:val="000000" w:themeColor="text1"/>
        </w:rPr>
        <w:t>29</w:t>
      </w:r>
      <w:r>
        <w:rPr>
          <w:rFonts w:cs="Times New Roman"/>
          <w:color w:val="000000" w:themeColor="text1"/>
        </w:rPr>
        <w:t>日修正；</w:t>
      </w:r>
    </w:p>
    <w:p w:rsidR="00644456" w:rsidRDefault="008031C4">
      <w:pPr>
        <w:pStyle w:val="-mhj"/>
        <w:ind w:firstLine="480"/>
        <w:rPr>
          <w:rFonts w:cs="Times New Roman"/>
          <w:color w:val="000000" w:themeColor="text1"/>
        </w:rPr>
      </w:pPr>
      <w:r>
        <w:rPr>
          <w:rFonts w:cs="Times New Roman"/>
          <w:color w:val="000000" w:themeColor="text1"/>
        </w:rPr>
        <w:t>（</w:t>
      </w:r>
      <w:r>
        <w:rPr>
          <w:rFonts w:cs="Times New Roman"/>
          <w:color w:val="000000" w:themeColor="text1"/>
        </w:rPr>
        <w:t>13</w:t>
      </w:r>
      <w:r>
        <w:rPr>
          <w:rFonts w:cs="Times New Roman"/>
          <w:color w:val="000000" w:themeColor="text1"/>
        </w:rPr>
        <w:t>）《中华人民共和国安全生产法》（</w:t>
      </w:r>
      <w:r>
        <w:rPr>
          <w:rFonts w:cs="Times New Roman"/>
          <w:color w:val="000000" w:themeColor="text1"/>
        </w:rPr>
        <w:t>2020</w:t>
      </w:r>
      <w:r>
        <w:rPr>
          <w:rFonts w:cs="Times New Roman"/>
          <w:color w:val="000000" w:themeColor="text1"/>
        </w:rPr>
        <w:t>年修正，</w:t>
      </w:r>
      <w:r>
        <w:rPr>
          <w:rFonts w:cs="Times New Roman"/>
          <w:color w:val="000000" w:themeColor="text1"/>
        </w:rPr>
        <w:t>2020.11.25</w:t>
      </w:r>
      <w:r>
        <w:rPr>
          <w:rFonts w:cs="Times New Roman"/>
          <w:color w:val="000000" w:themeColor="text1"/>
        </w:rPr>
        <w:t>起施行）；</w:t>
      </w:r>
    </w:p>
    <w:p w:rsidR="00644456" w:rsidRDefault="008031C4">
      <w:pPr>
        <w:pStyle w:val="-mhj"/>
        <w:ind w:firstLine="480"/>
        <w:rPr>
          <w:rFonts w:cs="Times New Roman"/>
          <w:color w:val="000000" w:themeColor="text1"/>
        </w:rPr>
      </w:pPr>
      <w:r>
        <w:rPr>
          <w:rFonts w:cs="Times New Roman"/>
          <w:color w:val="000000" w:themeColor="text1"/>
        </w:rPr>
        <w:t>（</w:t>
      </w:r>
      <w:r>
        <w:rPr>
          <w:rFonts w:cs="Times New Roman"/>
          <w:color w:val="000000" w:themeColor="text1"/>
        </w:rPr>
        <w:t>14</w:t>
      </w:r>
      <w:r>
        <w:rPr>
          <w:rFonts w:cs="Times New Roman"/>
          <w:color w:val="000000" w:themeColor="text1"/>
        </w:rPr>
        <w:t>）《地下水管理条例》（国务院令第</w:t>
      </w:r>
      <w:r>
        <w:rPr>
          <w:rFonts w:cs="Times New Roman"/>
          <w:color w:val="000000" w:themeColor="text1"/>
        </w:rPr>
        <w:t>748</w:t>
      </w:r>
      <w:r>
        <w:rPr>
          <w:rFonts w:cs="Times New Roman"/>
          <w:color w:val="000000" w:themeColor="text1"/>
        </w:rPr>
        <w:t>号）。</w:t>
      </w:r>
    </w:p>
    <w:p w:rsidR="00644456" w:rsidRDefault="008031C4">
      <w:pPr>
        <w:pStyle w:val="3"/>
        <w:numPr>
          <w:ilvl w:val="2"/>
          <w:numId w:val="0"/>
        </w:numPr>
        <w:ind w:firstLineChars="200" w:firstLine="482"/>
      </w:pPr>
      <w:r>
        <w:rPr>
          <w:rFonts w:hint="eastAsia"/>
        </w:rPr>
        <w:t>1.2.2</w:t>
      </w:r>
      <w:r>
        <w:t>部门规章</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1</w:t>
      </w:r>
      <w:r>
        <w:rPr>
          <w:rFonts w:cs="Times New Roman"/>
          <w:color w:val="000000" w:themeColor="text1"/>
        </w:rPr>
        <w:t>）《建设项目环境影响评价分类管理名录（</w:t>
      </w:r>
      <w:r>
        <w:rPr>
          <w:rFonts w:cs="Times New Roman"/>
          <w:color w:val="000000" w:themeColor="text1"/>
        </w:rPr>
        <w:t>2021</w:t>
      </w:r>
      <w:r>
        <w:rPr>
          <w:rFonts w:cs="Times New Roman"/>
          <w:color w:val="000000" w:themeColor="text1"/>
        </w:rPr>
        <w:t>年版）》，生态环境部令第</w:t>
      </w:r>
      <w:r>
        <w:rPr>
          <w:rFonts w:cs="Times New Roman"/>
          <w:color w:val="000000" w:themeColor="text1"/>
        </w:rPr>
        <w:t>16</w:t>
      </w:r>
      <w:r>
        <w:rPr>
          <w:rFonts w:cs="Times New Roman"/>
          <w:color w:val="000000" w:themeColor="text1"/>
        </w:rPr>
        <w:t>号，</w:t>
      </w:r>
      <w:r>
        <w:rPr>
          <w:rFonts w:cs="Times New Roman"/>
          <w:color w:val="000000" w:themeColor="text1"/>
        </w:rPr>
        <w:t>2021.1.1</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2</w:t>
      </w:r>
      <w:r>
        <w:rPr>
          <w:rFonts w:cs="Times New Roman"/>
          <w:color w:val="000000" w:themeColor="text1"/>
        </w:rPr>
        <w:t>）《建设项目竣工环境保护验收暂行办法》，国环规环评</w:t>
      </w:r>
      <w:r>
        <w:rPr>
          <w:rFonts w:cs="Times New Roman"/>
          <w:color w:val="000000" w:themeColor="text1"/>
        </w:rPr>
        <w:t>[2017]4</w:t>
      </w:r>
      <w:r>
        <w:rPr>
          <w:rFonts w:cs="Times New Roman"/>
          <w:color w:val="000000" w:themeColor="text1"/>
        </w:rPr>
        <w:t>号，</w:t>
      </w:r>
      <w:r>
        <w:rPr>
          <w:rFonts w:cs="Times New Roman"/>
          <w:color w:val="000000" w:themeColor="text1"/>
        </w:rPr>
        <w:t>2017.11.22</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3</w:t>
      </w:r>
      <w:r>
        <w:rPr>
          <w:rFonts w:cs="Times New Roman"/>
          <w:color w:val="000000" w:themeColor="text1"/>
        </w:rPr>
        <w:t>）《关于进一步加强环境影响评价管理防范环境风险的通知》，环发</w:t>
      </w:r>
      <w:r>
        <w:rPr>
          <w:rFonts w:cs="Times New Roman" w:hint="eastAsia"/>
          <w:color w:val="000000" w:themeColor="text1"/>
        </w:rPr>
        <w:t>〔</w:t>
      </w:r>
      <w:r>
        <w:rPr>
          <w:rFonts w:cs="Times New Roman"/>
          <w:color w:val="000000" w:themeColor="text1"/>
        </w:rPr>
        <w:t>2012</w:t>
      </w:r>
      <w:r>
        <w:rPr>
          <w:rFonts w:cs="Times New Roman" w:hint="eastAsia"/>
          <w:color w:val="000000" w:themeColor="text1"/>
        </w:rPr>
        <w:t>〕</w:t>
      </w:r>
      <w:r>
        <w:rPr>
          <w:rFonts w:cs="Times New Roman"/>
          <w:color w:val="000000" w:themeColor="text1"/>
        </w:rPr>
        <w:t>77</w:t>
      </w:r>
      <w:r>
        <w:rPr>
          <w:rFonts w:cs="Times New Roman"/>
          <w:color w:val="000000" w:themeColor="text1"/>
        </w:rPr>
        <w:t>号，</w:t>
      </w:r>
      <w:r>
        <w:rPr>
          <w:rFonts w:cs="Times New Roman"/>
          <w:color w:val="000000" w:themeColor="text1"/>
        </w:rPr>
        <w:t>2012.7.3</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lastRenderedPageBreak/>
        <w:t>（</w:t>
      </w:r>
      <w:r>
        <w:rPr>
          <w:rFonts w:cs="Times New Roman"/>
          <w:color w:val="000000" w:themeColor="text1"/>
        </w:rPr>
        <w:t>4</w:t>
      </w:r>
      <w:r>
        <w:rPr>
          <w:rFonts w:cs="Times New Roman"/>
          <w:color w:val="000000" w:themeColor="text1"/>
        </w:rPr>
        <w:t>）《关于统筹和加强应对气候变化与生态环境保护相关工作的指导意见》，环综合</w:t>
      </w:r>
      <w:r>
        <w:rPr>
          <w:rFonts w:cs="Times New Roman"/>
          <w:color w:val="000000" w:themeColor="text1"/>
        </w:rPr>
        <w:t>[2021]4</w:t>
      </w:r>
      <w:r>
        <w:rPr>
          <w:rFonts w:cs="Times New Roman"/>
          <w:color w:val="000000" w:themeColor="text1"/>
        </w:rPr>
        <w:t>号，</w:t>
      </w:r>
      <w:r>
        <w:rPr>
          <w:rFonts w:cs="Times New Roman"/>
          <w:color w:val="000000" w:themeColor="text1"/>
        </w:rPr>
        <w:t>2021.1.11</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5</w:t>
      </w:r>
      <w:r>
        <w:rPr>
          <w:rFonts w:cs="Times New Roman"/>
          <w:color w:val="000000" w:themeColor="text1"/>
        </w:rPr>
        <w:t>）</w:t>
      </w:r>
      <w:r>
        <w:rPr>
          <w:rFonts w:cs="Times New Roman" w:hint="eastAsia"/>
          <w:color w:val="000000" w:themeColor="text1"/>
        </w:rPr>
        <w:t>《国务院关于加快发展循环经济的若干意见》（国发〔</w:t>
      </w:r>
      <w:r>
        <w:rPr>
          <w:rFonts w:cs="Times New Roman" w:hint="eastAsia"/>
          <w:color w:val="000000" w:themeColor="text1"/>
        </w:rPr>
        <w:t>2005</w:t>
      </w:r>
      <w:r>
        <w:rPr>
          <w:rFonts w:cs="Times New Roman" w:hint="eastAsia"/>
          <w:color w:val="000000" w:themeColor="text1"/>
        </w:rPr>
        <w:t>〕</w:t>
      </w:r>
      <w:r>
        <w:rPr>
          <w:rFonts w:cs="Times New Roman" w:hint="eastAsia"/>
          <w:color w:val="000000" w:themeColor="text1"/>
        </w:rPr>
        <w:t>22</w:t>
      </w:r>
      <w:r>
        <w:rPr>
          <w:rFonts w:cs="Times New Roman" w:hint="eastAsia"/>
          <w:color w:val="000000" w:themeColor="text1"/>
        </w:rPr>
        <w:t>号）</w:t>
      </w:r>
      <w:r>
        <w:rPr>
          <w:rFonts w:cs="Times New Roman" w:hint="eastAsia"/>
          <w:color w:val="000000" w:themeColor="text1"/>
        </w:rPr>
        <w:t>2</w:t>
      </w:r>
      <w:r>
        <w:rPr>
          <w:rFonts w:cs="Times New Roman"/>
          <w:color w:val="000000" w:themeColor="text1"/>
        </w:rPr>
        <w:t>005.11.2</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6</w:t>
      </w:r>
      <w:r>
        <w:rPr>
          <w:rFonts w:cs="Times New Roman"/>
          <w:color w:val="000000" w:themeColor="text1"/>
        </w:rPr>
        <w:t>）《突发环境事件应急管理办法》，原环境保护部部令第</w:t>
      </w:r>
      <w:r>
        <w:rPr>
          <w:rFonts w:cs="Times New Roman"/>
          <w:color w:val="000000" w:themeColor="text1"/>
        </w:rPr>
        <w:t>34</w:t>
      </w:r>
      <w:r>
        <w:rPr>
          <w:rFonts w:cs="Times New Roman"/>
          <w:color w:val="000000" w:themeColor="text1"/>
        </w:rPr>
        <w:t>号，</w:t>
      </w:r>
      <w:r>
        <w:rPr>
          <w:rFonts w:cs="Times New Roman"/>
          <w:color w:val="000000" w:themeColor="text1"/>
        </w:rPr>
        <w:t>2015.6.5</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7</w:t>
      </w:r>
      <w:r>
        <w:rPr>
          <w:rFonts w:cs="Times New Roman"/>
          <w:color w:val="000000" w:themeColor="text1"/>
        </w:rPr>
        <w:t>）《环境保护综合名录（</w:t>
      </w:r>
      <w:r>
        <w:rPr>
          <w:rFonts w:cs="Times New Roman"/>
          <w:color w:val="000000" w:themeColor="text1"/>
        </w:rPr>
        <w:t>2021</w:t>
      </w:r>
      <w:r>
        <w:rPr>
          <w:rFonts w:cs="Times New Roman"/>
          <w:color w:val="000000" w:themeColor="text1"/>
        </w:rPr>
        <w:t>年版）》，环办综合函</w:t>
      </w:r>
      <w:r>
        <w:rPr>
          <w:rFonts w:cs="Times New Roman" w:hint="eastAsia"/>
          <w:color w:val="000000" w:themeColor="text1"/>
        </w:rPr>
        <w:t>〔</w:t>
      </w:r>
      <w:r>
        <w:rPr>
          <w:rFonts w:cs="Times New Roman"/>
          <w:color w:val="000000" w:themeColor="text1"/>
        </w:rPr>
        <w:t>2021</w:t>
      </w:r>
      <w:r>
        <w:rPr>
          <w:rFonts w:cs="Times New Roman" w:hint="eastAsia"/>
          <w:color w:val="000000" w:themeColor="text1"/>
        </w:rPr>
        <w:t>〕</w:t>
      </w:r>
      <w:r>
        <w:rPr>
          <w:rFonts w:cs="Times New Roman"/>
          <w:color w:val="000000" w:themeColor="text1"/>
        </w:rPr>
        <w:t>495</w:t>
      </w:r>
      <w:r>
        <w:rPr>
          <w:rFonts w:cs="Times New Roman"/>
          <w:color w:val="000000" w:themeColor="text1"/>
        </w:rPr>
        <w:t>号，</w:t>
      </w:r>
      <w:r>
        <w:rPr>
          <w:rFonts w:cs="Times New Roman"/>
          <w:color w:val="000000" w:themeColor="text1"/>
        </w:rPr>
        <w:t>2021.11.2</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8</w:t>
      </w:r>
      <w:r>
        <w:rPr>
          <w:rFonts w:cs="Times New Roman"/>
          <w:color w:val="000000" w:themeColor="text1"/>
        </w:rPr>
        <w:t>）《市场准入负面清单（</w:t>
      </w:r>
      <w:r>
        <w:rPr>
          <w:rFonts w:cs="Times New Roman"/>
          <w:color w:val="000000" w:themeColor="text1"/>
        </w:rPr>
        <w:t>2022</w:t>
      </w:r>
      <w:r>
        <w:rPr>
          <w:rFonts w:cs="Times New Roman"/>
          <w:color w:val="000000" w:themeColor="text1"/>
        </w:rPr>
        <w:t>年版）》，发改体改规</w:t>
      </w:r>
      <w:r>
        <w:rPr>
          <w:rFonts w:cs="Times New Roman"/>
          <w:color w:val="000000" w:themeColor="text1"/>
        </w:rPr>
        <w:t>[2022]397</w:t>
      </w:r>
      <w:r>
        <w:rPr>
          <w:rFonts w:cs="Times New Roman"/>
          <w:color w:val="000000" w:themeColor="text1"/>
        </w:rPr>
        <w:t>号；</w:t>
      </w:r>
      <w:r>
        <w:rPr>
          <w:rFonts w:cs="Times New Roman"/>
          <w:color w:val="000000" w:themeColor="text1"/>
        </w:rPr>
        <w:t>2022.3.29</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9</w:t>
      </w:r>
      <w:r>
        <w:rPr>
          <w:rFonts w:cs="Times New Roman"/>
          <w:color w:val="000000" w:themeColor="text1"/>
        </w:rPr>
        <w:t>）《关于强化建设项目环境影响评价事中事后监管的实施意见》，环环评</w:t>
      </w:r>
      <w:r>
        <w:rPr>
          <w:rFonts w:cs="Times New Roman"/>
          <w:color w:val="000000" w:themeColor="text1"/>
        </w:rPr>
        <w:t>[2018]11</w:t>
      </w:r>
      <w:r>
        <w:rPr>
          <w:rFonts w:cs="Times New Roman"/>
          <w:color w:val="000000" w:themeColor="text1"/>
        </w:rPr>
        <w:t>号，</w:t>
      </w:r>
      <w:r>
        <w:rPr>
          <w:rFonts w:cs="Times New Roman"/>
          <w:color w:val="000000" w:themeColor="text1"/>
        </w:rPr>
        <w:t>2018.1.25</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10</w:t>
      </w:r>
      <w:r>
        <w:rPr>
          <w:rFonts w:cs="Times New Roman"/>
          <w:color w:val="000000" w:themeColor="text1"/>
        </w:rPr>
        <w:t>）《环境影响评价公众参与办法》，生态环境部令第</w:t>
      </w:r>
      <w:r>
        <w:rPr>
          <w:rFonts w:cs="Times New Roman"/>
          <w:color w:val="000000" w:themeColor="text1"/>
        </w:rPr>
        <w:t>4</w:t>
      </w:r>
      <w:r>
        <w:rPr>
          <w:rFonts w:cs="Times New Roman"/>
          <w:color w:val="000000" w:themeColor="text1"/>
        </w:rPr>
        <w:t>号，</w:t>
      </w:r>
      <w:r>
        <w:rPr>
          <w:rFonts w:cs="Times New Roman"/>
          <w:color w:val="000000" w:themeColor="text1"/>
        </w:rPr>
        <w:t>2019.1.1</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11</w:t>
      </w:r>
      <w:r>
        <w:rPr>
          <w:rFonts w:cs="Times New Roman"/>
          <w:color w:val="000000" w:themeColor="text1"/>
        </w:rPr>
        <w:t>）《关于以改善环境质量为核心加强环境影响评价管理的通知》，环环评</w:t>
      </w:r>
      <w:r>
        <w:rPr>
          <w:rFonts w:cs="Times New Roman"/>
          <w:color w:val="000000" w:themeColor="text1"/>
        </w:rPr>
        <w:t>[2016]150</w:t>
      </w:r>
      <w:r>
        <w:rPr>
          <w:rFonts w:cs="Times New Roman"/>
          <w:color w:val="000000" w:themeColor="text1"/>
        </w:rPr>
        <w:t>号，环境保护部办公厅，</w:t>
      </w:r>
      <w:r>
        <w:rPr>
          <w:rFonts w:cs="Times New Roman"/>
          <w:color w:val="000000" w:themeColor="text1"/>
        </w:rPr>
        <w:t>2016.10.26</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12</w:t>
      </w:r>
      <w:r>
        <w:rPr>
          <w:rFonts w:cs="Times New Roman"/>
          <w:color w:val="000000" w:themeColor="text1"/>
        </w:rPr>
        <w:t>）《产业结构调整指导目录（</w:t>
      </w:r>
      <w:r>
        <w:rPr>
          <w:rFonts w:cs="Times New Roman"/>
          <w:color w:val="000000" w:themeColor="text1"/>
        </w:rPr>
        <w:t>2024</w:t>
      </w:r>
      <w:r>
        <w:rPr>
          <w:rFonts w:cs="Times New Roman"/>
          <w:color w:val="000000" w:themeColor="text1"/>
        </w:rPr>
        <w:t>年本）》，</w:t>
      </w:r>
      <w:r>
        <w:rPr>
          <w:rFonts w:cs="Times New Roman" w:hint="eastAsia"/>
          <w:color w:val="000000" w:themeColor="text1"/>
        </w:rPr>
        <w:t>中华人民共和国国家发展和改革委员会令第</w:t>
      </w:r>
      <w:r>
        <w:rPr>
          <w:rFonts w:cs="Times New Roman" w:hint="eastAsia"/>
          <w:color w:val="000000" w:themeColor="text1"/>
        </w:rPr>
        <w:t>7</w:t>
      </w:r>
      <w:r>
        <w:rPr>
          <w:rFonts w:cs="Times New Roman" w:hint="eastAsia"/>
          <w:color w:val="000000" w:themeColor="text1"/>
        </w:rPr>
        <w:t>号</w:t>
      </w:r>
      <w:r>
        <w:rPr>
          <w:rFonts w:cs="Times New Roman"/>
          <w:color w:val="000000" w:themeColor="text1"/>
        </w:rPr>
        <w:t>，</w:t>
      </w:r>
      <w:r>
        <w:rPr>
          <w:rFonts w:cs="Times New Roman"/>
          <w:color w:val="000000" w:themeColor="text1"/>
        </w:rPr>
        <w:t>2023.12.27</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13</w:t>
      </w:r>
      <w:r>
        <w:rPr>
          <w:rFonts w:cs="Times New Roman"/>
          <w:color w:val="000000" w:themeColor="text1"/>
        </w:rPr>
        <w:t>）《企业环境信息依法披露管理办法》，环境保护部部令第</w:t>
      </w:r>
      <w:r>
        <w:rPr>
          <w:rFonts w:cs="Times New Roman"/>
          <w:color w:val="000000" w:themeColor="text1"/>
        </w:rPr>
        <w:t>24</w:t>
      </w:r>
      <w:r>
        <w:rPr>
          <w:rFonts w:cs="Times New Roman"/>
          <w:color w:val="000000" w:themeColor="text1"/>
        </w:rPr>
        <w:t>号，</w:t>
      </w:r>
      <w:r>
        <w:rPr>
          <w:rFonts w:cs="Times New Roman"/>
          <w:color w:val="000000" w:themeColor="text1"/>
        </w:rPr>
        <w:t>2022.2.8</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14</w:t>
      </w:r>
      <w:r>
        <w:rPr>
          <w:rFonts w:cs="Times New Roman"/>
          <w:color w:val="000000" w:themeColor="text1"/>
        </w:rPr>
        <w:t>）关于印发《</w:t>
      </w:r>
      <w:r>
        <w:rPr>
          <w:rFonts w:cs="Times New Roman"/>
          <w:color w:val="000000" w:themeColor="text1"/>
        </w:rPr>
        <w:t>“</w:t>
      </w:r>
      <w:r>
        <w:rPr>
          <w:rFonts w:cs="Times New Roman"/>
          <w:color w:val="000000" w:themeColor="text1"/>
        </w:rPr>
        <w:t>十四五</w:t>
      </w:r>
      <w:r>
        <w:rPr>
          <w:rFonts w:cs="Times New Roman"/>
          <w:color w:val="000000" w:themeColor="text1"/>
        </w:rPr>
        <w:t>”</w:t>
      </w:r>
      <w:r>
        <w:rPr>
          <w:rFonts w:cs="Times New Roman"/>
          <w:color w:val="000000" w:themeColor="text1"/>
        </w:rPr>
        <w:t>环境影响评价与排污许可工作实施方案》的通知，环环评</w:t>
      </w:r>
      <w:r>
        <w:rPr>
          <w:rFonts w:cs="Times New Roman"/>
          <w:color w:val="000000" w:themeColor="text1"/>
        </w:rPr>
        <w:t>[2022]26</w:t>
      </w:r>
      <w:r>
        <w:rPr>
          <w:rFonts w:cs="Times New Roman"/>
          <w:color w:val="000000" w:themeColor="text1"/>
        </w:rPr>
        <w:t>号，</w:t>
      </w:r>
      <w:r>
        <w:rPr>
          <w:rFonts w:cs="Times New Roman"/>
          <w:color w:val="000000" w:themeColor="text1"/>
        </w:rPr>
        <w:t>2022.4.2</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15</w:t>
      </w:r>
      <w:r>
        <w:rPr>
          <w:rFonts w:cs="Times New Roman"/>
          <w:color w:val="000000" w:themeColor="text1"/>
        </w:rPr>
        <w:t>）《国家危险废物名录（</w:t>
      </w:r>
      <w:r>
        <w:rPr>
          <w:rFonts w:cs="Times New Roman"/>
          <w:color w:val="000000" w:themeColor="text1"/>
        </w:rPr>
        <w:t>2021</w:t>
      </w:r>
      <w:r>
        <w:rPr>
          <w:rFonts w:cs="Times New Roman"/>
          <w:color w:val="000000" w:themeColor="text1"/>
        </w:rPr>
        <w:t>年版）》，生态环境部令第</w:t>
      </w:r>
      <w:r>
        <w:rPr>
          <w:rFonts w:cs="Times New Roman"/>
          <w:color w:val="000000" w:themeColor="text1"/>
        </w:rPr>
        <w:t>15</w:t>
      </w:r>
      <w:r>
        <w:rPr>
          <w:rFonts w:cs="Times New Roman"/>
          <w:color w:val="000000" w:themeColor="text1"/>
        </w:rPr>
        <w:t>号，</w:t>
      </w:r>
      <w:r>
        <w:rPr>
          <w:rFonts w:cs="Times New Roman"/>
          <w:color w:val="000000" w:themeColor="text1"/>
        </w:rPr>
        <w:t>2020.11.27</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16</w:t>
      </w:r>
      <w:r>
        <w:rPr>
          <w:rFonts w:cs="Times New Roman"/>
          <w:color w:val="000000" w:themeColor="text1"/>
        </w:rPr>
        <w:t>）《关于推进危险废物环境管理信息化有关工作的通知》，环办固体函</w:t>
      </w:r>
      <w:r>
        <w:rPr>
          <w:rFonts w:cs="Times New Roman" w:hint="eastAsia"/>
          <w:color w:val="000000" w:themeColor="text1"/>
        </w:rPr>
        <w:t>〔</w:t>
      </w:r>
      <w:r>
        <w:rPr>
          <w:rFonts w:cs="Times New Roman"/>
          <w:color w:val="000000" w:themeColor="text1"/>
        </w:rPr>
        <w:t>2020</w:t>
      </w:r>
      <w:r>
        <w:rPr>
          <w:rFonts w:cs="Times New Roman" w:hint="eastAsia"/>
          <w:color w:val="000000" w:themeColor="text1"/>
        </w:rPr>
        <w:t>〕</w:t>
      </w:r>
      <w:r>
        <w:rPr>
          <w:rFonts w:cs="Times New Roman"/>
          <w:color w:val="000000" w:themeColor="text1"/>
        </w:rPr>
        <w:t>733</w:t>
      </w:r>
      <w:r>
        <w:rPr>
          <w:rFonts w:cs="Times New Roman"/>
          <w:color w:val="000000" w:themeColor="text1"/>
        </w:rPr>
        <w:t>号，</w:t>
      </w:r>
      <w:r>
        <w:rPr>
          <w:rFonts w:cs="Times New Roman"/>
          <w:color w:val="000000" w:themeColor="text1"/>
        </w:rPr>
        <w:t>2020.12.31</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17</w:t>
      </w:r>
      <w:r>
        <w:rPr>
          <w:rFonts w:cs="Times New Roman"/>
          <w:color w:val="000000" w:themeColor="text1"/>
        </w:rPr>
        <w:t>）《危险废物转移管理办法》，生态环境部令第</w:t>
      </w:r>
      <w:r>
        <w:rPr>
          <w:rFonts w:cs="Times New Roman"/>
          <w:color w:val="000000" w:themeColor="text1"/>
        </w:rPr>
        <w:t>23</w:t>
      </w:r>
      <w:r>
        <w:rPr>
          <w:rFonts w:cs="Times New Roman"/>
          <w:color w:val="000000" w:themeColor="text1"/>
        </w:rPr>
        <w:t>号，</w:t>
      </w:r>
      <w:r>
        <w:rPr>
          <w:rFonts w:cs="Times New Roman"/>
          <w:color w:val="000000" w:themeColor="text1"/>
        </w:rPr>
        <w:t>2021.11.30</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18</w:t>
      </w:r>
      <w:r>
        <w:rPr>
          <w:rFonts w:cs="Times New Roman"/>
          <w:color w:val="000000" w:themeColor="text1"/>
        </w:rPr>
        <w:t>）《固定污染源排污许可分类管理名录（</w:t>
      </w:r>
      <w:r>
        <w:rPr>
          <w:rFonts w:cs="Times New Roman"/>
          <w:color w:val="000000" w:themeColor="text1"/>
        </w:rPr>
        <w:t>2019</w:t>
      </w:r>
      <w:r>
        <w:rPr>
          <w:rFonts w:cs="Times New Roman"/>
          <w:color w:val="000000" w:themeColor="text1"/>
        </w:rPr>
        <w:t>年版）》，生态环境</w:t>
      </w:r>
      <w:r>
        <w:rPr>
          <w:rFonts w:cs="Times New Roman" w:hint="eastAsia"/>
          <w:color w:val="000000" w:themeColor="text1"/>
        </w:rPr>
        <w:t>部</w:t>
      </w:r>
      <w:r>
        <w:rPr>
          <w:rFonts w:cs="Times New Roman"/>
          <w:color w:val="000000" w:themeColor="text1"/>
        </w:rPr>
        <w:t>令第</w:t>
      </w:r>
      <w:r>
        <w:rPr>
          <w:rFonts w:cs="Times New Roman"/>
          <w:color w:val="000000" w:themeColor="text1"/>
        </w:rPr>
        <w:t>11</w:t>
      </w:r>
      <w:r>
        <w:rPr>
          <w:rFonts w:cs="Times New Roman"/>
          <w:color w:val="000000" w:themeColor="text1"/>
        </w:rPr>
        <w:t>号，</w:t>
      </w:r>
      <w:r>
        <w:rPr>
          <w:rFonts w:cs="Times New Roman"/>
          <w:color w:val="000000" w:themeColor="text1"/>
        </w:rPr>
        <w:t>2019.12.20</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19</w:t>
      </w:r>
      <w:r>
        <w:rPr>
          <w:rFonts w:cs="Times New Roman"/>
          <w:color w:val="000000" w:themeColor="text1"/>
        </w:rPr>
        <w:t>）《关于做好环境影响评价制度与排污许可制衔接相关工作的通知》，环办环评</w:t>
      </w:r>
      <w:r>
        <w:rPr>
          <w:rFonts w:cs="Times New Roman"/>
          <w:color w:val="000000" w:themeColor="text1"/>
        </w:rPr>
        <w:t>[2017]84</w:t>
      </w:r>
      <w:r>
        <w:rPr>
          <w:rFonts w:cs="Times New Roman"/>
          <w:color w:val="000000" w:themeColor="text1"/>
        </w:rPr>
        <w:t>号，</w:t>
      </w:r>
      <w:r>
        <w:rPr>
          <w:rFonts w:cs="Times New Roman"/>
          <w:color w:val="000000" w:themeColor="text1"/>
        </w:rPr>
        <w:t>2017.11.14</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20</w:t>
      </w:r>
      <w:r>
        <w:rPr>
          <w:rFonts w:cs="Times New Roman"/>
          <w:color w:val="000000" w:themeColor="text1"/>
        </w:rPr>
        <w:t>）《关于加强企业环境信用体系建设的指导意见》，环发</w:t>
      </w:r>
      <w:r>
        <w:rPr>
          <w:rFonts w:cs="Times New Roman" w:hint="eastAsia"/>
          <w:color w:val="000000" w:themeColor="text1"/>
        </w:rPr>
        <w:t>〔</w:t>
      </w:r>
      <w:r>
        <w:rPr>
          <w:rFonts w:cs="Times New Roman"/>
          <w:color w:val="000000" w:themeColor="text1"/>
        </w:rPr>
        <w:t>2015</w:t>
      </w:r>
      <w:r>
        <w:rPr>
          <w:rFonts w:cs="Times New Roman" w:hint="eastAsia"/>
          <w:color w:val="000000" w:themeColor="text1"/>
        </w:rPr>
        <w:t>〕</w:t>
      </w:r>
      <w:r>
        <w:rPr>
          <w:rFonts w:cs="Times New Roman"/>
          <w:color w:val="000000" w:themeColor="text1"/>
        </w:rPr>
        <w:t>161</w:t>
      </w:r>
      <w:r>
        <w:rPr>
          <w:rFonts w:cs="Times New Roman"/>
          <w:color w:val="000000" w:themeColor="text1"/>
        </w:rPr>
        <w:t>号，</w:t>
      </w:r>
      <w:r>
        <w:rPr>
          <w:rFonts w:cs="Times New Roman"/>
          <w:color w:val="000000" w:themeColor="text1"/>
        </w:rPr>
        <w:t>2015.12.10</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21</w:t>
      </w:r>
      <w:r>
        <w:rPr>
          <w:rFonts w:cs="Times New Roman"/>
          <w:color w:val="000000" w:themeColor="text1"/>
        </w:rPr>
        <w:t>）《排污许可管理办法（试行）》，生态环境部令第</w:t>
      </w:r>
      <w:r>
        <w:rPr>
          <w:rFonts w:cs="Times New Roman"/>
          <w:color w:val="000000" w:themeColor="text1"/>
        </w:rPr>
        <w:t>48</w:t>
      </w:r>
      <w:r>
        <w:rPr>
          <w:rFonts w:cs="Times New Roman"/>
          <w:color w:val="000000" w:themeColor="text1"/>
        </w:rPr>
        <w:t>号，</w:t>
      </w:r>
      <w:r>
        <w:rPr>
          <w:rFonts w:cs="Times New Roman"/>
          <w:color w:val="000000" w:themeColor="text1"/>
        </w:rPr>
        <w:t>2018.1.10</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22</w:t>
      </w:r>
      <w:r>
        <w:rPr>
          <w:rFonts w:cs="Times New Roman"/>
          <w:color w:val="000000" w:themeColor="text1"/>
        </w:rPr>
        <w:t>）关于印发《企业事业单位突发环境事件应急预案备案管理办法（试行）》的通知，环发</w:t>
      </w:r>
      <w:r>
        <w:rPr>
          <w:rFonts w:cs="Times New Roman" w:hint="eastAsia"/>
          <w:color w:val="000000" w:themeColor="text1"/>
        </w:rPr>
        <w:t>〔</w:t>
      </w:r>
      <w:r>
        <w:rPr>
          <w:rFonts w:cs="Times New Roman"/>
          <w:color w:val="000000" w:themeColor="text1"/>
        </w:rPr>
        <w:t>2015</w:t>
      </w:r>
      <w:r>
        <w:rPr>
          <w:rFonts w:cs="Times New Roman" w:hint="eastAsia"/>
          <w:color w:val="000000" w:themeColor="text1"/>
        </w:rPr>
        <w:t>〕</w:t>
      </w:r>
      <w:r>
        <w:rPr>
          <w:rFonts w:cs="Times New Roman"/>
          <w:color w:val="000000" w:themeColor="text1"/>
        </w:rPr>
        <w:t>4</w:t>
      </w:r>
      <w:r>
        <w:rPr>
          <w:rFonts w:cs="Times New Roman"/>
          <w:color w:val="000000" w:themeColor="text1"/>
        </w:rPr>
        <w:t>号，</w:t>
      </w:r>
      <w:r>
        <w:rPr>
          <w:rFonts w:cs="Times New Roman"/>
          <w:color w:val="000000" w:themeColor="text1"/>
        </w:rPr>
        <w:t>2015.1.9</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23</w:t>
      </w:r>
      <w:r>
        <w:rPr>
          <w:rFonts w:cs="Times New Roman"/>
          <w:color w:val="000000" w:themeColor="text1"/>
        </w:rPr>
        <w:t>）关于印发《地下水污染防治实施方案的通知》，环土壤</w:t>
      </w:r>
      <w:r>
        <w:rPr>
          <w:rFonts w:cs="Times New Roman"/>
          <w:color w:val="000000" w:themeColor="text1"/>
        </w:rPr>
        <w:t>[2019]25</w:t>
      </w:r>
      <w:r>
        <w:rPr>
          <w:rFonts w:cs="Times New Roman"/>
          <w:color w:val="000000" w:themeColor="text1"/>
        </w:rPr>
        <w:t>号，</w:t>
      </w:r>
      <w:r>
        <w:rPr>
          <w:rFonts w:cs="Times New Roman"/>
          <w:color w:val="000000" w:themeColor="text1"/>
        </w:rPr>
        <w:t>2019.3.28</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lastRenderedPageBreak/>
        <w:t>（</w:t>
      </w:r>
      <w:r>
        <w:rPr>
          <w:rFonts w:cs="Times New Roman"/>
          <w:color w:val="000000" w:themeColor="text1"/>
        </w:rPr>
        <w:t>24</w:t>
      </w:r>
      <w:r>
        <w:rPr>
          <w:rFonts w:cs="Times New Roman"/>
          <w:color w:val="000000" w:themeColor="text1"/>
        </w:rPr>
        <w:t>）《地下水污染源防渗技术指南（试行）》，环办土壤函</w:t>
      </w:r>
      <w:r>
        <w:rPr>
          <w:rFonts w:cs="Times New Roman" w:hint="eastAsia"/>
          <w:color w:val="000000" w:themeColor="text1"/>
        </w:rPr>
        <w:t>〔</w:t>
      </w:r>
      <w:r>
        <w:rPr>
          <w:rFonts w:cs="Times New Roman"/>
          <w:color w:val="000000" w:themeColor="text1"/>
        </w:rPr>
        <w:t>2020</w:t>
      </w:r>
      <w:r>
        <w:rPr>
          <w:rFonts w:cs="Times New Roman" w:hint="eastAsia"/>
          <w:color w:val="000000" w:themeColor="text1"/>
        </w:rPr>
        <w:t>〕</w:t>
      </w:r>
      <w:r>
        <w:rPr>
          <w:rFonts w:cs="Times New Roman"/>
          <w:color w:val="000000" w:themeColor="text1"/>
        </w:rPr>
        <w:t>72</w:t>
      </w:r>
      <w:r>
        <w:rPr>
          <w:rFonts w:cs="Times New Roman"/>
          <w:color w:val="000000" w:themeColor="text1"/>
        </w:rPr>
        <w:t>号，</w:t>
      </w:r>
      <w:r>
        <w:rPr>
          <w:rFonts w:cs="Times New Roman"/>
          <w:color w:val="000000" w:themeColor="text1"/>
        </w:rPr>
        <w:t>2020.2.20</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28</w:t>
      </w:r>
      <w:r>
        <w:rPr>
          <w:rFonts w:cs="Times New Roman"/>
          <w:color w:val="000000" w:themeColor="text1"/>
        </w:rPr>
        <w:t>）</w:t>
      </w:r>
      <w:r>
        <w:rPr>
          <w:rFonts w:cs="Times New Roman" w:hint="eastAsia"/>
          <w:color w:val="000000" w:themeColor="text1"/>
        </w:rPr>
        <w:t>关于印发《“十四五”环境影响评价与排污许可工作实施方案》的通知</w:t>
      </w:r>
      <w:r>
        <w:rPr>
          <w:rFonts w:cs="Times New Roman"/>
          <w:color w:val="000000" w:themeColor="text1"/>
        </w:rPr>
        <w:t>，环环评</w:t>
      </w:r>
      <w:r>
        <w:rPr>
          <w:rFonts w:cs="Times New Roman"/>
          <w:color w:val="000000" w:themeColor="text1"/>
        </w:rPr>
        <w:t>[2022]26</w:t>
      </w:r>
      <w:r>
        <w:rPr>
          <w:rFonts w:cs="Times New Roman"/>
          <w:color w:val="000000" w:themeColor="text1"/>
        </w:rPr>
        <w:t>号，</w:t>
      </w:r>
      <w:r>
        <w:rPr>
          <w:rFonts w:cs="Times New Roman"/>
          <w:color w:val="000000" w:themeColor="text1"/>
        </w:rPr>
        <w:t>2022.4.1</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25</w:t>
      </w:r>
      <w:r>
        <w:rPr>
          <w:rFonts w:cs="Times New Roman"/>
          <w:color w:val="000000" w:themeColor="text1"/>
        </w:rPr>
        <w:t>）《减污降碳协同增效实施方案》，环综合</w:t>
      </w:r>
      <w:r>
        <w:rPr>
          <w:rFonts w:cs="Times New Roman"/>
          <w:color w:val="000000" w:themeColor="text1"/>
        </w:rPr>
        <w:t>[2022]42</w:t>
      </w:r>
      <w:r>
        <w:rPr>
          <w:rFonts w:cs="Times New Roman"/>
          <w:color w:val="000000" w:themeColor="text1"/>
        </w:rPr>
        <w:t>号，</w:t>
      </w:r>
      <w:r>
        <w:rPr>
          <w:rFonts w:cs="Times New Roman"/>
          <w:color w:val="000000" w:themeColor="text1"/>
        </w:rPr>
        <w:t>2022.6.10</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26</w:t>
      </w:r>
      <w:r>
        <w:rPr>
          <w:rFonts w:cs="Times New Roman"/>
          <w:color w:val="000000" w:themeColor="text1"/>
        </w:rPr>
        <w:t>）</w:t>
      </w:r>
      <w:r>
        <w:rPr>
          <w:rFonts w:cs="Times New Roman" w:hint="eastAsia"/>
          <w:color w:val="000000" w:themeColor="text1"/>
        </w:rPr>
        <w:t>关于发布《排放源统计调查产排污核算方法和系数手册》的公告</w:t>
      </w:r>
      <w:r>
        <w:rPr>
          <w:rFonts w:cs="Times New Roman"/>
          <w:color w:val="000000" w:themeColor="text1"/>
        </w:rPr>
        <w:t>，生态环境部公告</w:t>
      </w:r>
      <w:r>
        <w:rPr>
          <w:rFonts w:cs="Times New Roman"/>
          <w:color w:val="000000" w:themeColor="text1"/>
        </w:rPr>
        <w:t>2021</w:t>
      </w:r>
      <w:r>
        <w:rPr>
          <w:rFonts w:cs="Times New Roman"/>
          <w:color w:val="000000" w:themeColor="text1"/>
        </w:rPr>
        <w:t>年第</w:t>
      </w:r>
      <w:r>
        <w:rPr>
          <w:rFonts w:cs="Times New Roman"/>
          <w:color w:val="000000" w:themeColor="text1"/>
        </w:rPr>
        <w:t>24</w:t>
      </w:r>
      <w:r>
        <w:rPr>
          <w:rFonts w:cs="Times New Roman"/>
          <w:color w:val="000000" w:themeColor="text1"/>
        </w:rPr>
        <w:t>号，</w:t>
      </w:r>
      <w:r>
        <w:rPr>
          <w:rFonts w:cs="Times New Roman"/>
          <w:color w:val="000000" w:themeColor="text1"/>
        </w:rPr>
        <w:t>2021.6.11</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27</w:t>
      </w:r>
      <w:r>
        <w:rPr>
          <w:rFonts w:cs="Times New Roman"/>
          <w:color w:val="000000" w:themeColor="text1"/>
        </w:rPr>
        <w:t>）关于印发《环评与排污许可监管行动计划（</w:t>
      </w:r>
      <w:r>
        <w:rPr>
          <w:rFonts w:cs="Times New Roman"/>
          <w:color w:val="000000" w:themeColor="text1"/>
        </w:rPr>
        <w:t>2021-2023</w:t>
      </w:r>
      <w:r>
        <w:rPr>
          <w:rFonts w:cs="Times New Roman"/>
          <w:color w:val="000000" w:themeColor="text1"/>
        </w:rPr>
        <w:t>）》《生态环境部</w:t>
      </w:r>
      <w:r>
        <w:rPr>
          <w:rFonts w:cs="Times New Roman"/>
          <w:color w:val="000000" w:themeColor="text1"/>
        </w:rPr>
        <w:t>2021</w:t>
      </w:r>
      <w:r>
        <w:rPr>
          <w:rFonts w:cs="Times New Roman"/>
          <w:color w:val="000000" w:themeColor="text1"/>
        </w:rPr>
        <w:t>年度环评与排污许可监管工作方案》的通知，环办环评函</w:t>
      </w:r>
      <w:r>
        <w:rPr>
          <w:rFonts w:cs="Times New Roman" w:hint="eastAsia"/>
          <w:color w:val="000000" w:themeColor="text1"/>
        </w:rPr>
        <w:t>〔</w:t>
      </w:r>
      <w:r>
        <w:rPr>
          <w:rFonts w:cs="Times New Roman"/>
          <w:color w:val="000000" w:themeColor="text1"/>
        </w:rPr>
        <w:t>2020</w:t>
      </w:r>
      <w:r>
        <w:rPr>
          <w:rFonts w:cs="Times New Roman" w:hint="eastAsia"/>
          <w:color w:val="000000" w:themeColor="text1"/>
        </w:rPr>
        <w:t>〕</w:t>
      </w:r>
      <w:r>
        <w:rPr>
          <w:rFonts w:cs="Times New Roman"/>
          <w:color w:val="000000" w:themeColor="text1"/>
        </w:rPr>
        <w:t>463</w:t>
      </w:r>
      <w:r>
        <w:rPr>
          <w:rFonts w:cs="Times New Roman"/>
          <w:color w:val="000000" w:themeColor="text1"/>
        </w:rPr>
        <w:t>号，</w:t>
      </w:r>
      <w:r>
        <w:rPr>
          <w:rFonts w:cs="Times New Roman"/>
          <w:color w:val="000000" w:themeColor="text1"/>
        </w:rPr>
        <w:t>2020.10.29</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28</w:t>
      </w:r>
      <w:r>
        <w:rPr>
          <w:rFonts w:cs="Times New Roman"/>
          <w:color w:val="000000" w:themeColor="text1"/>
        </w:rPr>
        <w:t>）《环境监管重点单位名录管理办法》，生态环境部令第</w:t>
      </w:r>
      <w:r>
        <w:rPr>
          <w:rFonts w:cs="Times New Roman"/>
          <w:color w:val="000000" w:themeColor="text1"/>
        </w:rPr>
        <w:t>27</w:t>
      </w:r>
      <w:r>
        <w:rPr>
          <w:rFonts w:cs="Times New Roman"/>
          <w:color w:val="000000" w:themeColor="text1"/>
        </w:rPr>
        <w:t>号，</w:t>
      </w:r>
      <w:r>
        <w:rPr>
          <w:rFonts w:cs="Times New Roman"/>
          <w:color w:val="000000" w:themeColor="text1"/>
        </w:rPr>
        <w:t>2022.12.1</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29</w:t>
      </w:r>
      <w:r>
        <w:rPr>
          <w:rFonts w:cs="Times New Roman"/>
          <w:color w:val="000000" w:themeColor="text1"/>
        </w:rPr>
        <w:t>）《产业发展与转移指导目录（</w:t>
      </w:r>
      <w:r>
        <w:rPr>
          <w:rFonts w:cs="Times New Roman"/>
          <w:color w:val="000000" w:themeColor="text1"/>
        </w:rPr>
        <w:t>2018</w:t>
      </w:r>
      <w:r>
        <w:rPr>
          <w:rFonts w:cs="Times New Roman"/>
          <w:color w:val="000000" w:themeColor="text1"/>
        </w:rPr>
        <w:t>年本）》，工业和信息化部，</w:t>
      </w:r>
      <w:r>
        <w:rPr>
          <w:rFonts w:cs="Times New Roman"/>
          <w:color w:val="000000" w:themeColor="text1"/>
        </w:rPr>
        <w:t>2018.12.30</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30</w:t>
      </w:r>
      <w:r>
        <w:rPr>
          <w:rFonts w:cs="Times New Roman"/>
          <w:color w:val="000000" w:themeColor="text1"/>
        </w:rPr>
        <w:t>）国家发展改革委商务部关于印发《市场准入负面清单（</w:t>
      </w:r>
      <w:r>
        <w:rPr>
          <w:rFonts w:cs="Times New Roman"/>
          <w:color w:val="000000" w:themeColor="text1"/>
        </w:rPr>
        <w:t>2022</w:t>
      </w:r>
      <w:r>
        <w:rPr>
          <w:rFonts w:cs="Times New Roman"/>
          <w:color w:val="000000" w:themeColor="text1"/>
        </w:rPr>
        <w:t>年版）》的通知，发改体改规</w:t>
      </w:r>
      <w:r>
        <w:rPr>
          <w:rFonts w:cs="Times New Roman"/>
          <w:color w:val="000000" w:themeColor="text1"/>
        </w:rPr>
        <w:t>[2022]397</w:t>
      </w:r>
      <w:r>
        <w:rPr>
          <w:rFonts w:cs="Times New Roman"/>
          <w:color w:val="000000" w:themeColor="text1"/>
        </w:rPr>
        <w:t>号，</w:t>
      </w:r>
      <w:r>
        <w:rPr>
          <w:rFonts w:cs="Times New Roman"/>
          <w:color w:val="000000" w:themeColor="text1"/>
        </w:rPr>
        <w:t>2022.5.7</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31</w:t>
      </w:r>
      <w:r>
        <w:rPr>
          <w:rFonts w:cs="Times New Roman"/>
          <w:color w:val="000000" w:themeColor="text1"/>
        </w:rPr>
        <w:t>）《战略性新兴产业重点产品和服务指导目录（</w:t>
      </w:r>
      <w:r>
        <w:rPr>
          <w:rFonts w:cs="Times New Roman"/>
          <w:color w:val="000000" w:themeColor="text1"/>
        </w:rPr>
        <w:t>2016</w:t>
      </w:r>
      <w:r>
        <w:rPr>
          <w:rFonts w:cs="Times New Roman"/>
          <w:color w:val="000000" w:themeColor="text1"/>
        </w:rPr>
        <w:t>版）》，国家发展改革委，</w:t>
      </w:r>
      <w:r>
        <w:rPr>
          <w:rFonts w:cs="Times New Roman"/>
          <w:color w:val="000000" w:themeColor="text1"/>
        </w:rPr>
        <w:t>2017.1.25</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32</w:t>
      </w:r>
      <w:r>
        <w:rPr>
          <w:rFonts w:cs="Times New Roman"/>
          <w:color w:val="000000" w:themeColor="text1"/>
        </w:rPr>
        <w:t>）《中共中央国务院关于完整准确全面贯彻新发展理念做好碳达峰碳中和工作的意见》，中发</w:t>
      </w:r>
      <w:r>
        <w:rPr>
          <w:rFonts w:cs="Times New Roman" w:hint="eastAsia"/>
          <w:color w:val="000000" w:themeColor="text1"/>
        </w:rPr>
        <w:t>〔</w:t>
      </w:r>
      <w:r>
        <w:rPr>
          <w:rFonts w:cs="Times New Roman"/>
          <w:color w:val="000000" w:themeColor="text1"/>
        </w:rPr>
        <w:t>2021</w:t>
      </w:r>
      <w:r>
        <w:rPr>
          <w:rFonts w:cs="Times New Roman" w:hint="eastAsia"/>
          <w:color w:val="000000" w:themeColor="text1"/>
        </w:rPr>
        <w:t>〕</w:t>
      </w:r>
      <w:r>
        <w:rPr>
          <w:rFonts w:cs="Times New Roman"/>
          <w:color w:val="000000" w:themeColor="text1"/>
        </w:rPr>
        <w:t>36</w:t>
      </w:r>
      <w:r>
        <w:rPr>
          <w:rFonts w:cs="Times New Roman"/>
          <w:color w:val="000000" w:themeColor="text1"/>
        </w:rPr>
        <w:t>号，</w:t>
      </w:r>
      <w:r>
        <w:rPr>
          <w:rFonts w:cs="Times New Roman"/>
          <w:color w:val="000000" w:themeColor="text1"/>
        </w:rPr>
        <w:t>2021.9.22</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33</w:t>
      </w:r>
      <w:r>
        <w:rPr>
          <w:rFonts w:cs="Times New Roman"/>
          <w:color w:val="000000" w:themeColor="text1"/>
        </w:rPr>
        <w:t>）《国务院关于印发</w:t>
      </w:r>
      <w:r>
        <w:rPr>
          <w:rFonts w:cs="Times New Roman"/>
          <w:color w:val="000000" w:themeColor="text1"/>
        </w:rPr>
        <w:t>2030</w:t>
      </w:r>
      <w:r>
        <w:rPr>
          <w:rFonts w:cs="Times New Roman"/>
          <w:color w:val="000000" w:themeColor="text1"/>
        </w:rPr>
        <w:t>年前碳达峰行动方案的通知》，国发</w:t>
      </w:r>
      <w:r>
        <w:rPr>
          <w:rFonts w:cs="Times New Roman" w:hint="eastAsia"/>
          <w:color w:val="000000" w:themeColor="text1"/>
        </w:rPr>
        <w:t>〔</w:t>
      </w:r>
      <w:r>
        <w:rPr>
          <w:rFonts w:cs="Times New Roman"/>
          <w:color w:val="000000" w:themeColor="text1"/>
        </w:rPr>
        <w:t>2021</w:t>
      </w:r>
      <w:r>
        <w:rPr>
          <w:rFonts w:cs="Times New Roman" w:hint="eastAsia"/>
          <w:color w:val="000000" w:themeColor="text1"/>
        </w:rPr>
        <w:t>〕</w:t>
      </w:r>
      <w:r>
        <w:rPr>
          <w:rFonts w:cs="Times New Roman"/>
          <w:color w:val="000000" w:themeColor="text1"/>
        </w:rPr>
        <w:t>23</w:t>
      </w:r>
      <w:r>
        <w:rPr>
          <w:rFonts w:cs="Times New Roman"/>
          <w:color w:val="000000" w:themeColor="text1"/>
        </w:rPr>
        <w:t>号，</w:t>
      </w:r>
      <w:r>
        <w:rPr>
          <w:rFonts w:cs="Times New Roman"/>
          <w:color w:val="000000" w:themeColor="text1"/>
        </w:rPr>
        <w:t>2021.10.24</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34</w:t>
      </w:r>
      <w:r>
        <w:rPr>
          <w:rFonts w:cs="Times New Roman"/>
          <w:color w:val="000000" w:themeColor="text1"/>
        </w:rPr>
        <w:t>）《工业和信息化部国家发展改革委生态环境部关于印发工业领域碳达峰实施方案的通知》，工信联部节</w:t>
      </w:r>
      <w:r>
        <w:rPr>
          <w:rFonts w:cs="Times New Roman"/>
          <w:color w:val="000000" w:themeColor="text1"/>
        </w:rPr>
        <w:t>[2022]88</w:t>
      </w:r>
      <w:r>
        <w:rPr>
          <w:rFonts w:cs="Times New Roman"/>
          <w:color w:val="000000" w:themeColor="text1"/>
        </w:rPr>
        <w:t>号，</w:t>
      </w:r>
      <w:r>
        <w:rPr>
          <w:rFonts w:cs="Times New Roman"/>
          <w:color w:val="000000" w:themeColor="text1"/>
        </w:rPr>
        <w:t>2022.7.7</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35</w:t>
      </w:r>
      <w:r>
        <w:rPr>
          <w:rFonts w:cs="Times New Roman"/>
          <w:color w:val="000000" w:themeColor="text1"/>
        </w:rPr>
        <w:t>）</w:t>
      </w:r>
      <w:r>
        <w:rPr>
          <w:rFonts w:cs="Times New Roman" w:hint="eastAsia"/>
          <w:color w:val="000000" w:themeColor="text1"/>
        </w:rPr>
        <w:t>关于印发《主要污染物总量减排核算技术指南（</w:t>
      </w:r>
      <w:r>
        <w:rPr>
          <w:rFonts w:cs="Times New Roman" w:hint="eastAsia"/>
          <w:color w:val="000000" w:themeColor="text1"/>
        </w:rPr>
        <w:t>2022</w:t>
      </w:r>
      <w:r>
        <w:rPr>
          <w:rFonts w:cs="Times New Roman" w:hint="eastAsia"/>
          <w:color w:val="000000" w:themeColor="text1"/>
        </w:rPr>
        <w:t>年修订）》的通知</w:t>
      </w:r>
      <w:r>
        <w:rPr>
          <w:rFonts w:cs="Times New Roman"/>
          <w:color w:val="000000" w:themeColor="text1"/>
        </w:rPr>
        <w:t>，环办综合函</w:t>
      </w:r>
      <w:r>
        <w:rPr>
          <w:rFonts w:cs="Times New Roman" w:hint="eastAsia"/>
          <w:color w:val="000000" w:themeColor="text1"/>
        </w:rPr>
        <w:t>〔</w:t>
      </w:r>
      <w:r>
        <w:rPr>
          <w:rFonts w:cs="Times New Roman"/>
          <w:color w:val="000000" w:themeColor="text1"/>
        </w:rPr>
        <w:t>2022</w:t>
      </w:r>
      <w:r>
        <w:rPr>
          <w:rFonts w:cs="Times New Roman" w:hint="eastAsia"/>
          <w:color w:val="000000" w:themeColor="text1"/>
        </w:rPr>
        <w:t>〕</w:t>
      </w:r>
      <w:r>
        <w:rPr>
          <w:rFonts w:cs="Times New Roman"/>
          <w:color w:val="000000" w:themeColor="text1"/>
        </w:rPr>
        <w:t>350</w:t>
      </w:r>
      <w:r>
        <w:rPr>
          <w:rFonts w:cs="Times New Roman"/>
          <w:color w:val="000000" w:themeColor="text1"/>
        </w:rPr>
        <w:t>号，</w:t>
      </w:r>
      <w:r>
        <w:rPr>
          <w:rFonts w:cs="Times New Roman"/>
          <w:color w:val="000000" w:themeColor="text1"/>
        </w:rPr>
        <w:t>2022.9.21</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37</w:t>
      </w:r>
      <w:r>
        <w:rPr>
          <w:rFonts w:cs="Times New Roman"/>
          <w:color w:val="000000" w:themeColor="text1"/>
        </w:rPr>
        <w:t>）《关于加强规划环境影响评价与建设项目环境影响评价联动工作的意见》，环发</w:t>
      </w:r>
      <w:r>
        <w:rPr>
          <w:rFonts w:cs="Times New Roman" w:hint="eastAsia"/>
          <w:color w:val="000000" w:themeColor="text1"/>
        </w:rPr>
        <w:t>〔</w:t>
      </w:r>
      <w:r>
        <w:rPr>
          <w:rFonts w:cs="Times New Roman"/>
          <w:color w:val="000000" w:themeColor="text1"/>
        </w:rPr>
        <w:t>2015</w:t>
      </w:r>
      <w:r>
        <w:rPr>
          <w:rFonts w:cs="Times New Roman" w:hint="eastAsia"/>
          <w:color w:val="000000" w:themeColor="text1"/>
        </w:rPr>
        <w:t>〕</w:t>
      </w:r>
      <w:r>
        <w:rPr>
          <w:rFonts w:cs="Times New Roman"/>
          <w:color w:val="000000" w:themeColor="text1"/>
        </w:rPr>
        <w:t>178</w:t>
      </w:r>
      <w:r>
        <w:rPr>
          <w:rFonts w:cs="Times New Roman"/>
          <w:color w:val="000000" w:themeColor="text1"/>
        </w:rPr>
        <w:t>号，</w:t>
      </w:r>
      <w:r>
        <w:rPr>
          <w:rFonts w:cs="Times New Roman"/>
          <w:color w:val="000000" w:themeColor="text1"/>
        </w:rPr>
        <w:t>2016.1.4</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3</w:t>
      </w:r>
      <w:r>
        <w:rPr>
          <w:rFonts w:cs="Times New Roman"/>
          <w:color w:val="000000" w:themeColor="text1"/>
        </w:rPr>
        <w:t>8</w:t>
      </w:r>
      <w:r>
        <w:rPr>
          <w:rFonts w:cs="Times New Roman" w:hint="eastAsia"/>
          <w:color w:val="000000" w:themeColor="text1"/>
        </w:rPr>
        <w:t>）《危险废物经营许可证管理办法》（中华人民共和国国务院令第</w:t>
      </w:r>
      <w:r>
        <w:rPr>
          <w:rFonts w:cs="Times New Roman" w:hint="eastAsia"/>
          <w:color w:val="000000" w:themeColor="text1"/>
        </w:rPr>
        <w:t>408</w:t>
      </w:r>
      <w:r>
        <w:rPr>
          <w:rFonts w:cs="Times New Roman" w:hint="eastAsia"/>
          <w:color w:val="000000" w:themeColor="text1"/>
        </w:rPr>
        <w:t>号</w:t>
      </w:r>
      <w:r>
        <w:rPr>
          <w:rFonts w:cs="Times New Roman" w:hint="eastAsia"/>
          <w:color w:val="000000" w:themeColor="text1"/>
        </w:rPr>
        <w:t>2004.5.30</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3</w:t>
      </w:r>
      <w:r>
        <w:rPr>
          <w:rFonts w:cs="Times New Roman"/>
          <w:color w:val="000000" w:themeColor="text1"/>
        </w:rPr>
        <w:t>9</w:t>
      </w:r>
      <w:r>
        <w:rPr>
          <w:rFonts w:cs="Times New Roman" w:hint="eastAsia"/>
          <w:color w:val="000000" w:themeColor="text1"/>
        </w:rPr>
        <w:t>）《关于发布〈危险废物经营单位审查和许可指南〉的公告》（</w:t>
      </w:r>
      <w:r>
        <w:rPr>
          <w:rFonts w:cs="Times New Roman" w:hint="eastAsia"/>
          <w:color w:val="000000" w:themeColor="text1"/>
        </w:rPr>
        <w:t>2009</w:t>
      </w:r>
      <w:r>
        <w:rPr>
          <w:rFonts w:cs="Times New Roman" w:hint="eastAsia"/>
          <w:color w:val="000000" w:themeColor="text1"/>
        </w:rPr>
        <w:t>年第</w:t>
      </w:r>
      <w:r>
        <w:rPr>
          <w:rFonts w:cs="Times New Roman" w:hint="eastAsia"/>
          <w:color w:val="000000" w:themeColor="text1"/>
        </w:rPr>
        <w:t>65</w:t>
      </w:r>
      <w:r>
        <w:rPr>
          <w:rFonts w:cs="Times New Roman" w:hint="eastAsia"/>
          <w:color w:val="000000" w:themeColor="text1"/>
        </w:rPr>
        <w:t>号</w:t>
      </w:r>
      <w:r>
        <w:rPr>
          <w:rFonts w:cs="Times New Roman" w:hint="eastAsia"/>
          <w:color w:val="000000" w:themeColor="text1"/>
        </w:rPr>
        <w:t>2009.12.10</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lastRenderedPageBreak/>
        <w:t>（</w:t>
      </w:r>
      <w:r>
        <w:rPr>
          <w:rFonts w:cs="Times New Roman" w:hint="eastAsia"/>
          <w:color w:val="000000" w:themeColor="text1"/>
        </w:rPr>
        <w:t>4</w:t>
      </w:r>
      <w:r>
        <w:rPr>
          <w:rFonts w:cs="Times New Roman"/>
          <w:color w:val="000000" w:themeColor="text1"/>
        </w:rPr>
        <w:t>0</w:t>
      </w:r>
      <w:r>
        <w:rPr>
          <w:rFonts w:cs="Times New Roman" w:hint="eastAsia"/>
          <w:color w:val="000000" w:themeColor="text1"/>
        </w:rPr>
        <w:t>）关于修改《危险废物经营单位审查和许可指南》部分条款的公告（环保部公告</w:t>
      </w:r>
      <w:r>
        <w:rPr>
          <w:rFonts w:cs="Times New Roman" w:hint="eastAsia"/>
          <w:color w:val="000000" w:themeColor="text1"/>
        </w:rPr>
        <w:t>2016</w:t>
      </w:r>
      <w:r>
        <w:rPr>
          <w:rFonts w:cs="Times New Roman" w:hint="eastAsia"/>
          <w:color w:val="000000" w:themeColor="text1"/>
        </w:rPr>
        <w:t>年第</w:t>
      </w:r>
      <w:r>
        <w:rPr>
          <w:rFonts w:cs="Times New Roman" w:hint="eastAsia"/>
          <w:color w:val="000000" w:themeColor="text1"/>
        </w:rPr>
        <w:t>65</w:t>
      </w:r>
      <w:r>
        <w:rPr>
          <w:rFonts w:cs="Times New Roman" w:hint="eastAsia"/>
          <w:color w:val="000000" w:themeColor="text1"/>
        </w:rPr>
        <w:t>号</w:t>
      </w:r>
      <w:r>
        <w:rPr>
          <w:rFonts w:cs="Times New Roman" w:hint="eastAsia"/>
          <w:color w:val="000000" w:themeColor="text1"/>
        </w:rPr>
        <w:t>2016.10.22</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4</w:t>
      </w:r>
      <w:r>
        <w:rPr>
          <w:rFonts w:cs="Times New Roman"/>
          <w:color w:val="000000" w:themeColor="text1"/>
        </w:rPr>
        <w:t>1</w:t>
      </w:r>
      <w:r>
        <w:rPr>
          <w:rFonts w:cs="Times New Roman" w:hint="eastAsia"/>
          <w:color w:val="000000" w:themeColor="text1"/>
        </w:rPr>
        <w:t>）关于发布《危险废物经营单位记录和报告经营情况指南》的公告（原环境保护部公告</w:t>
      </w:r>
      <w:r>
        <w:rPr>
          <w:rFonts w:cs="Times New Roman" w:hint="eastAsia"/>
          <w:color w:val="000000" w:themeColor="text1"/>
        </w:rPr>
        <w:t>2009</w:t>
      </w:r>
      <w:r>
        <w:rPr>
          <w:rFonts w:cs="Times New Roman" w:hint="eastAsia"/>
          <w:color w:val="000000" w:themeColor="text1"/>
        </w:rPr>
        <w:t>年第</w:t>
      </w:r>
      <w:r>
        <w:rPr>
          <w:rFonts w:cs="Times New Roman" w:hint="eastAsia"/>
          <w:color w:val="000000" w:themeColor="text1"/>
        </w:rPr>
        <w:t>55</w:t>
      </w:r>
      <w:r>
        <w:rPr>
          <w:rFonts w:cs="Times New Roman" w:hint="eastAsia"/>
          <w:color w:val="000000" w:themeColor="text1"/>
        </w:rPr>
        <w:t>号）；</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4</w:t>
      </w:r>
      <w:r>
        <w:rPr>
          <w:rFonts w:cs="Times New Roman"/>
          <w:color w:val="000000" w:themeColor="text1"/>
        </w:rPr>
        <w:t>2</w:t>
      </w:r>
      <w:r>
        <w:rPr>
          <w:rFonts w:cs="Times New Roman" w:hint="eastAsia"/>
          <w:color w:val="000000" w:themeColor="text1"/>
        </w:rPr>
        <w:t>）《国务院办公厅关于印发强化危险废物监管和利用处置能力改革实施方案的通知》（国办函〔</w:t>
      </w:r>
      <w:r>
        <w:rPr>
          <w:rFonts w:cs="Times New Roman" w:hint="eastAsia"/>
          <w:color w:val="000000" w:themeColor="text1"/>
        </w:rPr>
        <w:t>2021</w:t>
      </w:r>
      <w:r>
        <w:rPr>
          <w:rFonts w:cs="Times New Roman" w:hint="eastAsia"/>
          <w:color w:val="000000" w:themeColor="text1"/>
        </w:rPr>
        <w:t>〕</w:t>
      </w:r>
      <w:r>
        <w:rPr>
          <w:rFonts w:cs="Times New Roman" w:hint="eastAsia"/>
          <w:color w:val="000000" w:themeColor="text1"/>
        </w:rPr>
        <w:t>47</w:t>
      </w:r>
      <w:r>
        <w:rPr>
          <w:rFonts w:cs="Times New Roman" w:hint="eastAsia"/>
          <w:color w:val="000000" w:themeColor="text1"/>
        </w:rPr>
        <w:t>号</w:t>
      </w:r>
      <w:r>
        <w:rPr>
          <w:rFonts w:cs="Times New Roman" w:hint="eastAsia"/>
          <w:color w:val="000000" w:themeColor="text1"/>
        </w:rPr>
        <w:t>2021.5.25</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4</w:t>
      </w:r>
      <w:r>
        <w:rPr>
          <w:rFonts w:cs="Times New Roman"/>
          <w:color w:val="000000" w:themeColor="text1"/>
        </w:rPr>
        <w:t>3</w:t>
      </w:r>
      <w:r>
        <w:rPr>
          <w:rFonts w:cs="Times New Roman" w:hint="eastAsia"/>
          <w:color w:val="000000" w:themeColor="text1"/>
        </w:rPr>
        <w:t>）《关于推进危险废物环境管理信息化有关工作的通知》（环办固体函〔</w:t>
      </w:r>
      <w:r>
        <w:rPr>
          <w:rFonts w:cs="Times New Roman" w:hint="eastAsia"/>
          <w:color w:val="000000" w:themeColor="text1"/>
        </w:rPr>
        <w:t>2020</w:t>
      </w:r>
      <w:r>
        <w:rPr>
          <w:rFonts w:cs="Times New Roman" w:hint="eastAsia"/>
          <w:color w:val="000000" w:themeColor="text1"/>
        </w:rPr>
        <w:t>〕</w:t>
      </w:r>
      <w:r>
        <w:rPr>
          <w:rFonts w:cs="Times New Roman" w:hint="eastAsia"/>
          <w:color w:val="000000" w:themeColor="text1"/>
        </w:rPr>
        <w:t>733</w:t>
      </w:r>
      <w:r>
        <w:rPr>
          <w:rFonts w:cs="Times New Roman" w:hint="eastAsia"/>
          <w:color w:val="000000" w:themeColor="text1"/>
        </w:rPr>
        <w:t>号</w:t>
      </w:r>
      <w:r>
        <w:rPr>
          <w:rFonts w:cs="Times New Roman" w:hint="eastAsia"/>
          <w:color w:val="000000" w:themeColor="text1"/>
        </w:rPr>
        <w:t>2020.12.29</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4</w:t>
      </w:r>
      <w:r>
        <w:rPr>
          <w:rFonts w:cs="Times New Roman"/>
          <w:color w:val="000000" w:themeColor="text1"/>
        </w:rPr>
        <w:t>4</w:t>
      </w:r>
      <w:r>
        <w:rPr>
          <w:rFonts w:cs="Times New Roman" w:hint="eastAsia"/>
          <w:color w:val="000000" w:themeColor="text1"/>
        </w:rPr>
        <w:t>）关于印发《危险废物规范化管理指标体系》的通知（环办〔</w:t>
      </w:r>
      <w:r>
        <w:rPr>
          <w:rFonts w:cs="Times New Roman" w:hint="eastAsia"/>
          <w:color w:val="000000" w:themeColor="text1"/>
        </w:rPr>
        <w:t>2015</w:t>
      </w:r>
      <w:r>
        <w:rPr>
          <w:rFonts w:cs="Times New Roman" w:hint="eastAsia"/>
          <w:color w:val="000000" w:themeColor="text1"/>
        </w:rPr>
        <w:t>〕</w:t>
      </w:r>
      <w:r>
        <w:rPr>
          <w:rFonts w:cs="Times New Roman" w:hint="eastAsia"/>
          <w:color w:val="000000" w:themeColor="text1"/>
        </w:rPr>
        <w:t>99</w:t>
      </w:r>
      <w:r>
        <w:rPr>
          <w:rFonts w:cs="Times New Roman" w:hint="eastAsia"/>
          <w:color w:val="000000" w:themeColor="text1"/>
        </w:rPr>
        <w:t>号</w:t>
      </w:r>
      <w:r>
        <w:rPr>
          <w:rFonts w:cs="Times New Roman" w:hint="eastAsia"/>
          <w:color w:val="000000" w:themeColor="text1"/>
        </w:rPr>
        <w:t>2015.10.26</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4</w:t>
      </w:r>
      <w:r>
        <w:rPr>
          <w:rFonts w:cs="Times New Roman"/>
          <w:color w:val="000000" w:themeColor="text1"/>
        </w:rPr>
        <w:t>5</w:t>
      </w:r>
      <w:r>
        <w:rPr>
          <w:rFonts w:cs="Times New Roman" w:hint="eastAsia"/>
          <w:color w:val="000000" w:themeColor="text1"/>
        </w:rPr>
        <w:t>）关于发布《危险废物经营单位编制应急预案指南》的公告（国家环保总局公告</w:t>
      </w:r>
      <w:r>
        <w:rPr>
          <w:rFonts w:cs="Times New Roman" w:hint="eastAsia"/>
          <w:color w:val="000000" w:themeColor="text1"/>
        </w:rPr>
        <w:t>2007</w:t>
      </w:r>
      <w:r>
        <w:rPr>
          <w:rFonts w:cs="Times New Roman" w:hint="eastAsia"/>
          <w:color w:val="000000" w:themeColor="text1"/>
        </w:rPr>
        <w:t>年第</w:t>
      </w:r>
      <w:r>
        <w:rPr>
          <w:rFonts w:cs="Times New Roman" w:hint="eastAsia"/>
          <w:color w:val="000000" w:themeColor="text1"/>
        </w:rPr>
        <w:t>48</w:t>
      </w:r>
      <w:r>
        <w:rPr>
          <w:rFonts w:cs="Times New Roman" w:hint="eastAsia"/>
          <w:color w:val="000000" w:themeColor="text1"/>
        </w:rPr>
        <w:t>号</w:t>
      </w:r>
      <w:r>
        <w:rPr>
          <w:rFonts w:cs="Times New Roman" w:hint="eastAsia"/>
          <w:color w:val="000000" w:themeColor="text1"/>
        </w:rPr>
        <w:t>2007.7.4</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4</w:t>
      </w:r>
      <w:r>
        <w:rPr>
          <w:rFonts w:cs="Times New Roman"/>
          <w:color w:val="000000" w:themeColor="text1"/>
        </w:rPr>
        <w:t>6</w:t>
      </w:r>
      <w:r>
        <w:rPr>
          <w:rFonts w:cs="Times New Roman" w:hint="eastAsia"/>
          <w:color w:val="000000" w:themeColor="text1"/>
        </w:rPr>
        <w:t>）《废矿物油综合利用行业规范条件公告管理暂行办法》（</w:t>
      </w:r>
      <w:r w:rsidR="00CC5C74">
        <w:rPr>
          <w:rFonts w:cs="Times New Roman" w:hint="eastAsia"/>
          <w:color w:val="000000" w:themeColor="text1"/>
        </w:rPr>
        <w:t>中华人民共和国工业和信息化部</w:t>
      </w:r>
      <w:r>
        <w:rPr>
          <w:rFonts w:cs="Times New Roman" w:hint="eastAsia"/>
          <w:color w:val="000000" w:themeColor="text1"/>
        </w:rPr>
        <w:t>公告</w:t>
      </w:r>
      <w:r>
        <w:rPr>
          <w:rFonts w:cs="Times New Roman" w:hint="eastAsia"/>
          <w:color w:val="000000" w:themeColor="text1"/>
        </w:rPr>
        <w:t>2015</w:t>
      </w:r>
      <w:r>
        <w:rPr>
          <w:rFonts w:cs="Times New Roman" w:hint="eastAsia"/>
          <w:color w:val="000000" w:themeColor="text1"/>
        </w:rPr>
        <w:t>年第</w:t>
      </w:r>
      <w:r>
        <w:rPr>
          <w:rFonts w:cs="Times New Roman" w:hint="eastAsia"/>
          <w:color w:val="000000" w:themeColor="text1"/>
        </w:rPr>
        <w:t>79</w:t>
      </w:r>
      <w:r>
        <w:rPr>
          <w:rFonts w:cs="Times New Roman" w:hint="eastAsia"/>
          <w:color w:val="000000" w:themeColor="text1"/>
        </w:rPr>
        <w:t>号）；</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4</w:t>
      </w:r>
      <w:r>
        <w:rPr>
          <w:rFonts w:cs="Times New Roman"/>
          <w:color w:val="000000" w:themeColor="text1"/>
        </w:rPr>
        <w:t>7</w:t>
      </w:r>
      <w:r>
        <w:rPr>
          <w:rFonts w:cs="Times New Roman" w:hint="eastAsia"/>
          <w:color w:val="000000" w:themeColor="text1"/>
        </w:rPr>
        <w:t>）《废矿物油综合利用行业规范条件》（</w:t>
      </w:r>
      <w:r w:rsidR="00CC5C74">
        <w:rPr>
          <w:rFonts w:cs="Times New Roman" w:hint="eastAsia"/>
          <w:color w:val="000000" w:themeColor="text1"/>
        </w:rPr>
        <w:t>中华人民共和国工业和信息化部</w:t>
      </w:r>
      <w:r>
        <w:rPr>
          <w:rFonts w:cs="Times New Roman" w:hint="eastAsia"/>
          <w:color w:val="000000" w:themeColor="text1"/>
        </w:rPr>
        <w:t>公告</w:t>
      </w:r>
      <w:r>
        <w:rPr>
          <w:rFonts w:cs="Times New Roman" w:hint="eastAsia"/>
          <w:color w:val="000000" w:themeColor="text1"/>
        </w:rPr>
        <w:t>2015</w:t>
      </w:r>
      <w:r>
        <w:rPr>
          <w:rFonts w:cs="Times New Roman" w:hint="eastAsia"/>
          <w:color w:val="000000" w:themeColor="text1"/>
        </w:rPr>
        <w:t>年第</w:t>
      </w:r>
      <w:r>
        <w:rPr>
          <w:rFonts w:cs="Times New Roman" w:hint="eastAsia"/>
          <w:color w:val="000000" w:themeColor="text1"/>
        </w:rPr>
        <w:t>79</w:t>
      </w:r>
      <w:r>
        <w:rPr>
          <w:rFonts w:cs="Times New Roman" w:hint="eastAsia"/>
          <w:color w:val="000000" w:themeColor="text1"/>
        </w:rPr>
        <w:t>号）；</w:t>
      </w:r>
    </w:p>
    <w:p w:rsidR="00644456" w:rsidRDefault="008031C4">
      <w:pPr>
        <w:pStyle w:val="3"/>
        <w:numPr>
          <w:ilvl w:val="2"/>
          <w:numId w:val="0"/>
        </w:numPr>
        <w:ind w:firstLineChars="200" w:firstLine="482"/>
      </w:pPr>
      <w:r>
        <w:rPr>
          <w:rFonts w:hint="eastAsia"/>
        </w:rPr>
        <w:t>1.2.3</w:t>
      </w:r>
      <w:r>
        <w:t>地方政策法规</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hint="eastAsia"/>
          <w:color w:val="000000" w:themeColor="text1"/>
        </w:rPr>
        <w:t>）《新疆维吾尔自治区环境保护管理条例》，新疆维吾尔自治区第十三届人民代表大会常务委员会第六次会议，</w:t>
      </w:r>
      <w:r>
        <w:rPr>
          <w:rFonts w:cs="Times New Roman" w:hint="eastAsia"/>
          <w:color w:val="000000" w:themeColor="text1"/>
        </w:rPr>
        <w:t>2018.9.21</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2</w:t>
      </w:r>
      <w:r>
        <w:rPr>
          <w:rFonts w:cs="Times New Roman" w:hint="eastAsia"/>
          <w:color w:val="000000" w:themeColor="text1"/>
        </w:rPr>
        <w:t>）《新疆维吾尔自治区大气污染防治条例》，新疆维吾尔自治区第十三届人民代表大会常务委员会第七次会议，</w:t>
      </w:r>
      <w:r>
        <w:rPr>
          <w:rFonts w:cs="Times New Roman" w:hint="eastAsia"/>
          <w:color w:val="000000" w:themeColor="text1"/>
        </w:rPr>
        <w:t>2019.1.1</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3</w:t>
      </w:r>
      <w:r>
        <w:rPr>
          <w:rFonts w:cs="Times New Roman" w:hint="eastAsia"/>
          <w:color w:val="000000" w:themeColor="text1"/>
        </w:rPr>
        <w:t>）《新疆维吾尔自治区危险废物污染环境防治办法》，新疆维吾尔自治区人民政府令第</w:t>
      </w:r>
      <w:r>
        <w:rPr>
          <w:rFonts w:cs="Times New Roman" w:hint="eastAsia"/>
          <w:color w:val="000000" w:themeColor="text1"/>
        </w:rPr>
        <w:t>163</w:t>
      </w:r>
      <w:r>
        <w:rPr>
          <w:rFonts w:cs="Times New Roman" w:hint="eastAsia"/>
          <w:color w:val="000000" w:themeColor="text1"/>
        </w:rPr>
        <w:t>号，</w:t>
      </w:r>
      <w:r>
        <w:rPr>
          <w:rFonts w:cs="Times New Roman" w:hint="eastAsia"/>
          <w:color w:val="000000" w:themeColor="text1"/>
        </w:rPr>
        <w:t>2010.5.1</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4</w:t>
      </w:r>
      <w:r>
        <w:rPr>
          <w:rFonts w:cs="Times New Roman" w:hint="eastAsia"/>
          <w:color w:val="000000" w:themeColor="text1"/>
        </w:rPr>
        <w:t>）《关于重点区域执行大气污染物特别排放限值的公告》，新疆维吾尔自治区环境保护厅</w:t>
      </w:r>
      <w:r>
        <w:rPr>
          <w:rFonts w:cs="Times New Roman" w:hint="eastAsia"/>
          <w:color w:val="000000" w:themeColor="text1"/>
        </w:rPr>
        <w:t>2016</w:t>
      </w:r>
      <w:r>
        <w:rPr>
          <w:rFonts w:cs="Times New Roman" w:hint="eastAsia"/>
          <w:color w:val="000000" w:themeColor="text1"/>
        </w:rPr>
        <w:t>年第</w:t>
      </w:r>
      <w:r>
        <w:rPr>
          <w:rFonts w:cs="Times New Roman" w:hint="eastAsia"/>
          <w:color w:val="000000" w:themeColor="text1"/>
        </w:rPr>
        <w:t>45</w:t>
      </w:r>
      <w:r>
        <w:rPr>
          <w:rFonts w:cs="Times New Roman" w:hint="eastAsia"/>
          <w:color w:val="000000" w:themeColor="text1"/>
        </w:rPr>
        <w:t>号，</w:t>
      </w:r>
      <w:r>
        <w:rPr>
          <w:rFonts w:cs="Times New Roman" w:hint="eastAsia"/>
          <w:color w:val="000000" w:themeColor="text1"/>
        </w:rPr>
        <w:t>2016.8.25</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5</w:t>
      </w:r>
      <w:r>
        <w:rPr>
          <w:rFonts w:cs="Times New Roman" w:hint="eastAsia"/>
          <w:color w:val="000000" w:themeColor="text1"/>
        </w:rPr>
        <w:t>）《中国新疆水功能区划》，原新疆维吾尔自治区环保局，</w:t>
      </w:r>
      <w:r>
        <w:rPr>
          <w:rFonts w:cs="Times New Roman" w:hint="eastAsia"/>
          <w:color w:val="000000" w:themeColor="text1"/>
        </w:rPr>
        <w:t>2003</w:t>
      </w:r>
      <w:r>
        <w:rPr>
          <w:rFonts w:cs="Times New Roman" w:hint="eastAsia"/>
          <w:color w:val="000000" w:themeColor="text1"/>
        </w:rPr>
        <w:t>年；</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6</w:t>
      </w:r>
      <w:r>
        <w:rPr>
          <w:rFonts w:cs="Times New Roman" w:hint="eastAsia"/>
          <w:color w:val="000000" w:themeColor="text1"/>
        </w:rPr>
        <w:t>）关于印发《自治区打赢蓝天保卫战三年行动计划（</w:t>
      </w:r>
      <w:r>
        <w:rPr>
          <w:rFonts w:cs="Times New Roman" w:hint="eastAsia"/>
          <w:color w:val="000000" w:themeColor="text1"/>
        </w:rPr>
        <w:t>2018-2020</w:t>
      </w:r>
      <w:r>
        <w:rPr>
          <w:rFonts w:cs="Times New Roman" w:hint="eastAsia"/>
          <w:color w:val="000000" w:themeColor="text1"/>
        </w:rPr>
        <w:t>年）》的通知，新政发〔</w:t>
      </w:r>
      <w:r>
        <w:rPr>
          <w:rFonts w:cs="Times New Roman" w:hint="eastAsia"/>
          <w:color w:val="000000" w:themeColor="text1"/>
        </w:rPr>
        <w:t>2018</w:t>
      </w:r>
      <w:r>
        <w:rPr>
          <w:rFonts w:cs="Times New Roman" w:hint="eastAsia"/>
          <w:color w:val="000000" w:themeColor="text1"/>
        </w:rPr>
        <w:t>〕</w:t>
      </w:r>
      <w:r>
        <w:rPr>
          <w:rFonts w:cs="Times New Roman" w:hint="eastAsia"/>
          <w:color w:val="000000" w:themeColor="text1"/>
        </w:rPr>
        <w:t>66</w:t>
      </w:r>
      <w:r>
        <w:rPr>
          <w:rFonts w:cs="Times New Roman" w:hint="eastAsia"/>
          <w:color w:val="000000" w:themeColor="text1"/>
        </w:rPr>
        <w:t>号，</w:t>
      </w:r>
      <w:r>
        <w:rPr>
          <w:rFonts w:cs="Times New Roman" w:hint="eastAsia"/>
          <w:color w:val="000000" w:themeColor="text1"/>
        </w:rPr>
        <w:t>2018.9.27</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7</w:t>
      </w:r>
      <w:r>
        <w:rPr>
          <w:rFonts w:cs="Times New Roman" w:hint="eastAsia"/>
          <w:color w:val="000000" w:themeColor="text1"/>
        </w:rPr>
        <w:t>）《新疆维吾尔自治区土壤污染防治工作方案》，新政发〔</w:t>
      </w:r>
      <w:r>
        <w:rPr>
          <w:rFonts w:cs="Times New Roman" w:hint="eastAsia"/>
          <w:color w:val="000000" w:themeColor="text1"/>
        </w:rPr>
        <w:t>2017</w:t>
      </w:r>
      <w:r>
        <w:rPr>
          <w:rFonts w:cs="Times New Roman" w:hint="eastAsia"/>
          <w:color w:val="000000" w:themeColor="text1"/>
        </w:rPr>
        <w:t>〕</w:t>
      </w:r>
      <w:r>
        <w:rPr>
          <w:rFonts w:cs="Times New Roman" w:hint="eastAsia"/>
          <w:color w:val="000000" w:themeColor="text1"/>
        </w:rPr>
        <w:t>25</w:t>
      </w:r>
      <w:r>
        <w:rPr>
          <w:rFonts w:cs="Times New Roman" w:hint="eastAsia"/>
          <w:color w:val="000000" w:themeColor="text1"/>
        </w:rPr>
        <w:t>号，</w:t>
      </w:r>
      <w:r>
        <w:rPr>
          <w:rFonts w:cs="Times New Roman" w:hint="eastAsia"/>
          <w:color w:val="000000" w:themeColor="text1"/>
        </w:rPr>
        <w:t>2017.3.1</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8</w:t>
      </w:r>
      <w:r>
        <w:rPr>
          <w:rFonts w:cs="Times New Roman" w:hint="eastAsia"/>
          <w:color w:val="000000" w:themeColor="text1"/>
        </w:rPr>
        <w:t>）《新疆维吾尔自治区水污染防治工作方案》，新政发〔</w:t>
      </w:r>
      <w:r>
        <w:rPr>
          <w:rFonts w:cs="Times New Roman" w:hint="eastAsia"/>
          <w:color w:val="000000" w:themeColor="text1"/>
        </w:rPr>
        <w:t>2016</w:t>
      </w:r>
      <w:r>
        <w:rPr>
          <w:rFonts w:cs="Times New Roman" w:hint="eastAsia"/>
          <w:color w:val="000000" w:themeColor="text1"/>
        </w:rPr>
        <w:t>〕</w:t>
      </w:r>
      <w:r>
        <w:rPr>
          <w:rFonts w:cs="Times New Roman" w:hint="eastAsia"/>
          <w:color w:val="000000" w:themeColor="text1"/>
        </w:rPr>
        <w:t>21</w:t>
      </w:r>
      <w:r>
        <w:rPr>
          <w:rFonts w:cs="Times New Roman" w:hint="eastAsia"/>
          <w:color w:val="000000" w:themeColor="text1"/>
        </w:rPr>
        <w:t>号，</w:t>
      </w:r>
      <w:r>
        <w:rPr>
          <w:rFonts w:cs="Times New Roman" w:hint="eastAsia"/>
          <w:color w:val="000000" w:themeColor="text1"/>
        </w:rPr>
        <w:t>2016.1.29</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lastRenderedPageBreak/>
        <w:t>（</w:t>
      </w:r>
      <w:r>
        <w:rPr>
          <w:rFonts w:cs="Times New Roman" w:hint="eastAsia"/>
          <w:color w:val="000000" w:themeColor="text1"/>
        </w:rPr>
        <w:t>9</w:t>
      </w:r>
      <w:r>
        <w:rPr>
          <w:rFonts w:cs="Times New Roman" w:hint="eastAsia"/>
          <w:color w:val="000000" w:themeColor="text1"/>
        </w:rPr>
        <w:t>）《关于印发〈新疆维吾尔自治区新建化工项目准入条件（试行）〉的通知》，新工信石化</w:t>
      </w:r>
      <w:r>
        <w:rPr>
          <w:rFonts w:cs="Times New Roman" w:hint="eastAsia"/>
          <w:color w:val="000000" w:themeColor="text1"/>
        </w:rPr>
        <w:t>[2021]1</w:t>
      </w:r>
      <w:r>
        <w:rPr>
          <w:rFonts w:cs="Times New Roman" w:hint="eastAsia"/>
          <w:color w:val="000000" w:themeColor="text1"/>
        </w:rPr>
        <w:t>号，</w:t>
      </w:r>
      <w:r>
        <w:rPr>
          <w:rFonts w:cs="Times New Roman" w:hint="eastAsia"/>
          <w:color w:val="000000" w:themeColor="text1"/>
        </w:rPr>
        <w:t>2021.12.20</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10</w:t>
      </w:r>
      <w:r>
        <w:rPr>
          <w:rFonts w:cs="Times New Roman" w:hint="eastAsia"/>
          <w:color w:val="000000" w:themeColor="text1"/>
        </w:rPr>
        <w:t>）《关于加强沙区建设项目环境影响评价工作的通知》（新环环评发〔</w:t>
      </w:r>
      <w:r>
        <w:rPr>
          <w:rFonts w:cs="Times New Roman" w:hint="eastAsia"/>
          <w:color w:val="000000" w:themeColor="text1"/>
        </w:rPr>
        <w:t>2020</w:t>
      </w:r>
      <w:r>
        <w:rPr>
          <w:rFonts w:cs="Times New Roman" w:hint="eastAsia"/>
          <w:color w:val="000000" w:themeColor="text1"/>
        </w:rPr>
        <w:t>〕</w:t>
      </w:r>
      <w:r>
        <w:rPr>
          <w:rFonts w:cs="Times New Roman" w:hint="eastAsia"/>
          <w:color w:val="000000" w:themeColor="text1"/>
        </w:rPr>
        <w:t>138</w:t>
      </w:r>
      <w:r>
        <w:rPr>
          <w:rFonts w:cs="Times New Roman" w:hint="eastAsia"/>
          <w:color w:val="000000" w:themeColor="text1"/>
        </w:rPr>
        <w:t>号）；</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11</w:t>
      </w:r>
      <w:r>
        <w:rPr>
          <w:rFonts w:cs="Times New Roman" w:hint="eastAsia"/>
          <w:color w:val="000000" w:themeColor="text1"/>
        </w:rPr>
        <w:t>）《新疆维吾尔自治区“三线一单”生态环境分区管控方案》，新政发〔</w:t>
      </w:r>
      <w:r>
        <w:rPr>
          <w:rFonts w:cs="Times New Roman" w:hint="eastAsia"/>
          <w:color w:val="000000" w:themeColor="text1"/>
        </w:rPr>
        <w:t>2021</w:t>
      </w:r>
      <w:r>
        <w:rPr>
          <w:rFonts w:cs="Times New Roman" w:hint="eastAsia"/>
          <w:color w:val="000000" w:themeColor="text1"/>
        </w:rPr>
        <w:t>〕</w:t>
      </w:r>
      <w:r>
        <w:rPr>
          <w:rFonts w:cs="Times New Roman" w:hint="eastAsia"/>
          <w:color w:val="000000" w:themeColor="text1"/>
        </w:rPr>
        <w:t>18</w:t>
      </w:r>
      <w:r>
        <w:rPr>
          <w:rFonts w:cs="Times New Roman" w:hint="eastAsia"/>
          <w:color w:val="000000" w:themeColor="text1"/>
        </w:rPr>
        <w:t>号，</w:t>
      </w:r>
      <w:r>
        <w:rPr>
          <w:rFonts w:cs="Times New Roman" w:hint="eastAsia"/>
          <w:color w:val="000000" w:themeColor="text1"/>
        </w:rPr>
        <w:t>2021.2.21</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12</w:t>
      </w:r>
      <w:r>
        <w:rPr>
          <w:rFonts w:cs="Times New Roman" w:hint="eastAsia"/>
          <w:color w:val="000000" w:themeColor="text1"/>
        </w:rPr>
        <w:t>）《喀什地区生态环境保护“十四五”规划》（喀署办发〔</w:t>
      </w:r>
      <w:r>
        <w:rPr>
          <w:rFonts w:cs="Times New Roman" w:hint="eastAsia"/>
          <w:color w:val="000000" w:themeColor="text1"/>
        </w:rPr>
        <w:t>2022</w:t>
      </w:r>
      <w:r>
        <w:rPr>
          <w:rFonts w:cs="Times New Roman" w:hint="eastAsia"/>
          <w:color w:val="000000" w:themeColor="text1"/>
        </w:rPr>
        <w:t>〕</w:t>
      </w:r>
      <w:r>
        <w:rPr>
          <w:rFonts w:cs="Times New Roman" w:hint="eastAsia"/>
          <w:color w:val="000000" w:themeColor="text1"/>
        </w:rPr>
        <w:t>23</w:t>
      </w:r>
      <w:r>
        <w:rPr>
          <w:rFonts w:cs="Times New Roman" w:hint="eastAsia"/>
          <w:color w:val="000000" w:themeColor="text1"/>
        </w:rPr>
        <w:t>号）；</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13</w:t>
      </w:r>
      <w:r>
        <w:rPr>
          <w:rFonts w:cs="Times New Roman" w:hint="eastAsia"/>
          <w:color w:val="000000" w:themeColor="text1"/>
        </w:rPr>
        <w:t>）《自治区减污降碳协同增效实施方案的通知》，新环气候发〔</w:t>
      </w:r>
      <w:r>
        <w:rPr>
          <w:rFonts w:cs="Times New Roman" w:hint="eastAsia"/>
          <w:color w:val="000000" w:themeColor="text1"/>
        </w:rPr>
        <w:t>2023</w:t>
      </w:r>
      <w:r>
        <w:rPr>
          <w:rFonts w:cs="Times New Roman" w:hint="eastAsia"/>
          <w:color w:val="000000" w:themeColor="text1"/>
        </w:rPr>
        <w:t>〕</w:t>
      </w:r>
      <w:r>
        <w:rPr>
          <w:rFonts w:cs="Times New Roman" w:hint="eastAsia"/>
          <w:color w:val="000000" w:themeColor="text1"/>
        </w:rPr>
        <w:t>19</w:t>
      </w:r>
      <w:r>
        <w:rPr>
          <w:rFonts w:cs="Times New Roman" w:hint="eastAsia"/>
          <w:color w:val="000000" w:themeColor="text1"/>
        </w:rPr>
        <w:t>号，</w:t>
      </w:r>
      <w:r>
        <w:rPr>
          <w:rFonts w:cs="Times New Roman" w:hint="eastAsia"/>
          <w:color w:val="000000" w:themeColor="text1"/>
        </w:rPr>
        <w:t>2023.7.12</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color w:val="000000" w:themeColor="text1"/>
        </w:rPr>
        <w:t>4</w:t>
      </w:r>
      <w:r>
        <w:rPr>
          <w:rFonts w:cs="Times New Roman" w:hint="eastAsia"/>
          <w:color w:val="000000" w:themeColor="text1"/>
        </w:rPr>
        <w:t>）《新疆维吾尔自治区七大片区“三线一单”生态环境分区管控要求》（</w:t>
      </w:r>
      <w:r>
        <w:rPr>
          <w:rFonts w:cs="Times New Roman" w:hint="eastAsia"/>
          <w:color w:val="000000" w:themeColor="text1"/>
        </w:rPr>
        <w:t>2021</w:t>
      </w:r>
      <w:r>
        <w:rPr>
          <w:rFonts w:cs="Times New Roman" w:hint="eastAsia"/>
          <w:color w:val="000000" w:themeColor="text1"/>
        </w:rPr>
        <w:t>年版）（新环环评发〔</w:t>
      </w:r>
      <w:r>
        <w:rPr>
          <w:rFonts w:cs="Times New Roman" w:hint="eastAsia"/>
          <w:color w:val="000000" w:themeColor="text1"/>
        </w:rPr>
        <w:t>2021</w:t>
      </w:r>
      <w:r>
        <w:rPr>
          <w:rFonts w:cs="Times New Roman" w:hint="eastAsia"/>
          <w:color w:val="000000" w:themeColor="text1"/>
        </w:rPr>
        <w:t>〕</w:t>
      </w:r>
      <w:r>
        <w:rPr>
          <w:rFonts w:cs="Times New Roman" w:hint="eastAsia"/>
          <w:color w:val="000000" w:themeColor="text1"/>
        </w:rPr>
        <w:t>162</w:t>
      </w:r>
      <w:r>
        <w:rPr>
          <w:rFonts w:cs="Times New Roman" w:hint="eastAsia"/>
          <w:color w:val="000000" w:themeColor="text1"/>
        </w:rPr>
        <w:t>号）；</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color w:val="000000" w:themeColor="text1"/>
        </w:rPr>
        <w:t>5</w:t>
      </w:r>
      <w:r>
        <w:rPr>
          <w:rFonts w:cs="Times New Roman" w:hint="eastAsia"/>
          <w:color w:val="000000" w:themeColor="text1"/>
        </w:rPr>
        <w:t>）关于印发《喀什地区“三线一单”生态环境分区管控方案（</w:t>
      </w:r>
      <w:r>
        <w:rPr>
          <w:rFonts w:cs="Times New Roman" w:hint="eastAsia"/>
          <w:color w:val="000000" w:themeColor="text1"/>
        </w:rPr>
        <w:t>2023</w:t>
      </w:r>
      <w:r>
        <w:rPr>
          <w:rFonts w:cs="Times New Roman" w:hint="eastAsia"/>
          <w:color w:val="000000" w:themeColor="text1"/>
        </w:rPr>
        <w:t>年版）修改单》的通知</w:t>
      </w:r>
      <w:r>
        <w:rPr>
          <w:rFonts w:cs="Times New Roman" w:hint="eastAsia"/>
          <w:color w:val="000000" w:themeColor="text1"/>
        </w:rPr>
        <w:t>2</w:t>
      </w:r>
      <w:r>
        <w:rPr>
          <w:rFonts w:cs="Times New Roman"/>
          <w:color w:val="000000" w:themeColor="text1"/>
        </w:rPr>
        <w:t>024.7.26</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color w:val="000000" w:themeColor="text1"/>
        </w:rPr>
        <w:t>6</w:t>
      </w:r>
      <w:r>
        <w:rPr>
          <w:rFonts w:cs="Times New Roman" w:hint="eastAsia"/>
          <w:color w:val="000000" w:themeColor="text1"/>
        </w:rPr>
        <w:t>）关于印发《新疆维吾尔自治区工业炉窑大气污染综合治理实施方案》的通知（新大气发〔</w:t>
      </w:r>
      <w:r>
        <w:rPr>
          <w:rFonts w:cs="Times New Roman" w:hint="eastAsia"/>
          <w:color w:val="000000" w:themeColor="text1"/>
        </w:rPr>
        <w:t>2019</w:t>
      </w:r>
      <w:r>
        <w:rPr>
          <w:rFonts w:cs="Times New Roman" w:hint="eastAsia"/>
          <w:color w:val="000000" w:themeColor="text1"/>
        </w:rPr>
        <w:t>〕</w:t>
      </w:r>
      <w:r>
        <w:rPr>
          <w:rFonts w:cs="Times New Roman" w:hint="eastAsia"/>
          <w:color w:val="000000" w:themeColor="text1"/>
        </w:rPr>
        <w:t>127</w:t>
      </w:r>
      <w:r>
        <w:rPr>
          <w:rFonts w:cs="Times New Roman" w:hint="eastAsia"/>
          <w:color w:val="000000" w:themeColor="text1"/>
        </w:rPr>
        <w:t>号）。</w:t>
      </w:r>
    </w:p>
    <w:p w:rsidR="00644456" w:rsidRDefault="008031C4">
      <w:pPr>
        <w:pStyle w:val="3"/>
        <w:numPr>
          <w:ilvl w:val="2"/>
          <w:numId w:val="0"/>
        </w:numPr>
        <w:ind w:firstLineChars="200" w:firstLine="482"/>
      </w:pPr>
      <w:r>
        <w:rPr>
          <w:rFonts w:hint="eastAsia"/>
        </w:rPr>
        <w:t>1.2.4</w:t>
      </w:r>
      <w:r>
        <w:t>导则及技术规范</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hint="eastAsia"/>
          <w:color w:val="000000" w:themeColor="text1"/>
        </w:rPr>
        <w:t>）</w:t>
      </w:r>
      <w:r>
        <w:rPr>
          <w:rFonts w:cs="Times New Roman" w:hint="eastAsia"/>
          <w:color w:val="000000" w:themeColor="text1"/>
        </w:rPr>
        <w:tab/>
      </w:r>
      <w:r>
        <w:rPr>
          <w:rFonts w:cs="Times New Roman" w:hint="eastAsia"/>
          <w:color w:val="000000" w:themeColor="text1"/>
        </w:rPr>
        <w:t>《环境影响评价技术导则总纲》（</w:t>
      </w:r>
      <w:r>
        <w:rPr>
          <w:rFonts w:cs="Times New Roman" w:hint="eastAsia"/>
          <w:color w:val="000000" w:themeColor="text1"/>
        </w:rPr>
        <w:t>HJ2.1-2016</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2</w:t>
      </w:r>
      <w:r>
        <w:rPr>
          <w:rFonts w:cs="Times New Roman" w:hint="eastAsia"/>
          <w:color w:val="000000" w:themeColor="text1"/>
        </w:rPr>
        <w:t>）</w:t>
      </w:r>
      <w:r>
        <w:rPr>
          <w:rFonts w:cs="Times New Roman" w:hint="eastAsia"/>
          <w:color w:val="000000" w:themeColor="text1"/>
        </w:rPr>
        <w:tab/>
      </w:r>
      <w:r>
        <w:rPr>
          <w:rFonts w:cs="Times New Roman" w:hint="eastAsia"/>
          <w:color w:val="000000" w:themeColor="text1"/>
        </w:rPr>
        <w:t>《环境影响评价技术导则大气环境》（</w:t>
      </w:r>
      <w:r>
        <w:rPr>
          <w:rFonts w:cs="Times New Roman" w:hint="eastAsia"/>
          <w:color w:val="000000" w:themeColor="text1"/>
        </w:rPr>
        <w:t>HJ2.2-2018</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3</w:t>
      </w:r>
      <w:r>
        <w:rPr>
          <w:rFonts w:cs="Times New Roman" w:hint="eastAsia"/>
          <w:color w:val="000000" w:themeColor="text1"/>
        </w:rPr>
        <w:t>）</w:t>
      </w:r>
      <w:r>
        <w:rPr>
          <w:rFonts w:cs="Times New Roman" w:hint="eastAsia"/>
          <w:color w:val="000000" w:themeColor="text1"/>
        </w:rPr>
        <w:tab/>
      </w:r>
      <w:r>
        <w:rPr>
          <w:rFonts w:cs="Times New Roman" w:hint="eastAsia"/>
          <w:color w:val="000000" w:themeColor="text1"/>
        </w:rPr>
        <w:t>《环境影响评价技术导则地表水环境》（</w:t>
      </w:r>
      <w:r>
        <w:rPr>
          <w:rFonts w:cs="Times New Roman" w:hint="eastAsia"/>
          <w:color w:val="000000" w:themeColor="text1"/>
        </w:rPr>
        <w:t>HJ2.3-2018</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4</w:t>
      </w:r>
      <w:r>
        <w:rPr>
          <w:rFonts w:cs="Times New Roman" w:hint="eastAsia"/>
          <w:color w:val="000000" w:themeColor="text1"/>
        </w:rPr>
        <w:t>）</w:t>
      </w:r>
      <w:r>
        <w:rPr>
          <w:rFonts w:cs="Times New Roman" w:hint="eastAsia"/>
          <w:color w:val="000000" w:themeColor="text1"/>
        </w:rPr>
        <w:tab/>
      </w:r>
      <w:r>
        <w:rPr>
          <w:rFonts w:cs="Times New Roman" w:hint="eastAsia"/>
          <w:color w:val="000000" w:themeColor="text1"/>
        </w:rPr>
        <w:t>《环境影响评价技术导则地下水环境》（</w:t>
      </w:r>
      <w:r>
        <w:rPr>
          <w:rFonts w:cs="Times New Roman" w:hint="eastAsia"/>
          <w:color w:val="000000" w:themeColor="text1"/>
        </w:rPr>
        <w:t>HJ610-2016</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5</w:t>
      </w:r>
      <w:r>
        <w:rPr>
          <w:rFonts w:cs="Times New Roman" w:hint="eastAsia"/>
          <w:color w:val="000000" w:themeColor="text1"/>
        </w:rPr>
        <w:t>）</w:t>
      </w:r>
      <w:r>
        <w:rPr>
          <w:rFonts w:cs="Times New Roman" w:hint="eastAsia"/>
          <w:color w:val="000000" w:themeColor="text1"/>
        </w:rPr>
        <w:tab/>
      </w:r>
      <w:r>
        <w:rPr>
          <w:rFonts w:cs="Times New Roman" w:hint="eastAsia"/>
          <w:color w:val="000000" w:themeColor="text1"/>
        </w:rPr>
        <w:t>《环境影响评价技术导则声环境》（</w:t>
      </w:r>
      <w:r>
        <w:rPr>
          <w:rFonts w:cs="Times New Roman" w:hint="eastAsia"/>
          <w:color w:val="000000" w:themeColor="text1"/>
        </w:rPr>
        <w:t>HJ2.4-2021</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6</w:t>
      </w:r>
      <w:r>
        <w:rPr>
          <w:rFonts w:cs="Times New Roman" w:hint="eastAsia"/>
          <w:color w:val="000000" w:themeColor="text1"/>
        </w:rPr>
        <w:t>）</w:t>
      </w:r>
      <w:r>
        <w:rPr>
          <w:rFonts w:cs="Times New Roman" w:hint="eastAsia"/>
          <w:color w:val="000000" w:themeColor="text1"/>
        </w:rPr>
        <w:tab/>
      </w:r>
      <w:r>
        <w:rPr>
          <w:rFonts w:cs="Times New Roman" w:hint="eastAsia"/>
          <w:color w:val="000000" w:themeColor="text1"/>
        </w:rPr>
        <w:t>《环境影响评价技术导则生态影响》</w:t>
      </w:r>
      <w:r>
        <w:rPr>
          <w:rFonts w:cs="Times New Roman" w:hint="eastAsia"/>
          <w:color w:val="000000" w:themeColor="text1"/>
        </w:rPr>
        <w:t>(HJ19-2022)</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7</w:t>
      </w:r>
      <w:r>
        <w:rPr>
          <w:rFonts w:cs="Times New Roman" w:hint="eastAsia"/>
          <w:color w:val="000000" w:themeColor="text1"/>
        </w:rPr>
        <w:t>）</w:t>
      </w:r>
      <w:r>
        <w:rPr>
          <w:rFonts w:cs="Times New Roman" w:hint="eastAsia"/>
          <w:color w:val="000000" w:themeColor="text1"/>
        </w:rPr>
        <w:tab/>
      </w:r>
      <w:r>
        <w:rPr>
          <w:rFonts w:cs="Times New Roman" w:hint="eastAsia"/>
          <w:color w:val="000000" w:themeColor="text1"/>
        </w:rPr>
        <w:t>《建设项目环境风险评价技术导则》（</w:t>
      </w:r>
      <w:r>
        <w:rPr>
          <w:rFonts w:cs="Times New Roman" w:hint="eastAsia"/>
          <w:color w:val="000000" w:themeColor="text1"/>
        </w:rPr>
        <w:t>HJ169-2018</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8</w:t>
      </w:r>
      <w:r>
        <w:rPr>
          <w:rFonts w:cs="Times New Roman" w:hint="eastAsia"/>
          <w:color w:val="000000" w:themeColor="text1"/>
        </w:rPr>
        <w:t>）</w:t>
      </w:r>
      <w:r>
        <w:rPr>
          <w:rFonts w:cs="Times New Roman" w:hint="eastAsia"/>
          <w:color w:val="000000" w:themeColor="text1"/>
        </w:rPr>
        <w:tab/>
      </w:r>
      <w:r>
        <w:rPr>
          <w:rFonts w:cs="Times New Roman" w:hint="eastAsia"/>
          <w:color w:val="000000" w:themeColor="text1"/>
        </w:rPr>
        <w:t>《大气有害物质无组织排放卫生防护距离推导技术导则》（</w:t>
      </w:r>
      <w:r>
        <w:rPr>
          <w:rFonts w:cs="Times New Roman" w:hint="eastAsia"/>
          <w:color w:val="000000" w:themeColor="text1"/>
        </w:rPr>
        <w:t>GB/T39499-2020</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9</w:t>
      </w:r>
      <w:r>
        <w:rPr>
          <w:rFonts w:cs="Times New Roman" w:hint="eastAsia"/>
          <w:color w:val="000000" w:themeColor="text1"/>
        </w:rPr>
        <w:t>）</w:t>
      </w:r>
      <w:r>
        <w:rPr>
          <w:rFonts w:cs="Times New Roman" w:hint="eastAsia"/>
          <w:color w:val="000000" w:themeColor="text1"/>
        </w:rPr>
        <w:tab/>
      </w:r>
      <w:r>
        <w:rPr>
          <w:rFonts w:cs="Times New Roman" w:hint="eastAsia"/>
          <w:color w:val="000000" w:themeColor="text1"/>
        </w:rPr>
        <w:t>《环境影响评价技术导则土壤环境（试行）》（</w:t>
      </w:r>
      <w:r>
        <w:rPr>
          <w:rFonts w:cs="Times New Roman" w:hint="eastAsia"/>
          <w:color w:val="000000" w:themeColor="text1"/>
        </w:rPr>
        <w:t>HJ964-2018</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10</w:t>
      </w:r>
      <w:r>
        <w:rPr>
          <w:rFonts w:cs="Times New Roman" w:hint="eastAsia"/>
          <w:color w:val="000000" w:themeColor="text1"/>
        </w:rPr>
        <w:t>）</w:t>
      </w:r>
      <w:r>
        <w:rPr>
          <w:rFonts w:cs="Times New Roman" w:hint="eastAsia"/>
          <w:color w:val="000000" w:themeColor="text1"/>
        </w:rPr>
        <w:tab/>
      </w:r>
      <w:r>
        <w:rPr>
          <w:rFonts w:cs="Times New Roman" w:hint="eastAsia"/>
          <w:color w:val="000000" w:themeColor="text1"/>
        </w:rPr>
        <w:t>《污染源源强核算技术指南准则》（</w:t>
      </w:r>
      <w:r>
        <w:rPr>
          <w:rFonts w:cs="Times New Roman" w:hint="eastAsia"/>
          <w:color w:val="000000" w:themeColor="text1"/>
        </w:rPr>
        <w:t>HJ884-2018</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11</w:t>
      </w:r>
      <w:r>
        <w:rPr>
          <w:rFonts w:cs="Times New Roman" w:hint="eastAsia"/>
          <w:color w:val="000000" w:themeColor="text1"/>
        </w:rPr>
        <w:t>）</w:t>
      </w:r>
      <w:r>
        <w:rPr>
          <w:rFonts w:cs="Times New Roman" w:hint="eastAsia"/>
          <w:color w:val="000000" w:themeColor="text1"/>
        </w:rPr>
        <w:tab/>
      </w:r>
      <w:r>
        <w:rPr>
          <w:rFonts w:cs="Times New Roman" w:hint="eastAsia"/>
          <w:color w:val="000000" w:themeColor="text1"/>
        </w:rPr>
        <w:t>《建设项目危险废物环境影响评价指南》（</w:t>
      </w:r>
      <w:r>
        <w:rPr>
          <w:rFonts w:cs="Times New Roman" w:hint="eastAsia"/>
          <w:color w:val="000000" w:themeColor="text1"/>
        </w:rPr>
        <w:t>2017</w:t>
      </w:r>
      <w:r>
        <w:rPr>
          <w:rFonts w:cs="Times New Roman" w:hint="eastAsia"/>
          <w:color w:val="000000" w:themeColor="text1"/>
        </w:rPr>
        <w:t>年第</w:t>
      </w:r>
      <w:r>
        <w:rPr>
          <w:rFonts w:cs="Times New Roman" w:hint="eastAsia"/>
          <w:color w:val="000000" w:themeColor="text1"/>
        </w:rPr>
        <w:t>43</w:t>
      </w:r>
      <w:r>
        <w:rPr>
          <w:rFonts w:cs="Times New Roman" w:hint="eastAsia"/>
          <w:color w:val="000000" w:themeColor="text1"/>
        </w:rPr>
        <w:t>号）；</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12</w:t>
      </w:r>
      <w:r>
        <w:rPr>
          <w:rFonts w:cs="Times New Roman" w:hint="eastAsia"/>
          <w:color w:val="000000" w:themeColor="text1"/>
        </w:rPr>
        <w:t>）</w:t>
      </w:r>
      <w:r>
        <w:rPr>
          <w:rFonts w:cs="Times New Roman" w:hint="eastAsia"/>
          <w:color w:val="000000" w:themeColor="text1"/>
        </w:rPr>
        <w:tab/>
      </w:r>
      <w:r>
        <w:rPr>
          <w:rFonts w:cs="Times New Roman" w:hint="eastAsia"/>
          <w:color w:val="000000" w:themeColor="text1"/>
        </w:rPr>
        <w:t>《危险废物收集贮存运输技术规范》（</w:t>
      </w:r>
      <w:r>
        <w:rPr>
          <w:rFonts w:cs="Times New Roman" w:hint="eastAsia"/>
          <w:color w:val="000000" w:themeColor="text1"/>
        </w:rPr>
        <w:t>HJ2025-2012</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13</w:t>
      </w:r>
      <w:r>
        <w:rPr>
          <w:rFonts w:cs="Times New Roman" w:hint="eastAsia"/>
          <w:color w:val="000000" w:themeColor="text1"/>
        </w:rPr>
        <w:t>）</w:t>
      </w:r>
      <w:r>
        <w:rPr>
          <w:rFonts w:cs="Times New Roman" w:hint="eastAsia"/>
          <w:color w:val="000000" w:themeColor="text1"/>
        </w:rPr>
        <w:tab/>
      </w:r>
      <w:r>
        <w:rPr>
          <w:rFonts w:cs="Times New Roman" w:hint="eastAsia"/>
          <w:color w:val="000000" w:themeColor="text1"/>
        </w:rPr>
        <w:t>《排污许可证申请与核发技术规范总则》（</w:t>
      </w:r>
      <w:r>
        <w:rPr>
          <w:rFonts w:cs="Times New Roman" w:hint="eastAsia"/>
          <w:color w:val="000000" w:themeColor="text1"/>
        </w:rPr>
        <w:t>HJ942-2018</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lastRenderedPageBreak/>
        <w:t>（</w:t>
      </w:r>
      <w:r>
        <w:rPr>
          <w:rFonts w:cs="Times New Roman" w:hint="eastAsia"/>
          <w:color w:val="000000" w:themeColor="text1"/>
        </w:rPr>
        <w:t>14</w:t>
      </w:r>
      <w:r>
        <w:rPr>
          <w:rFonts w:cs="Times New Roman" w:hint="eastAsia"/>
          <w:color w:val="000000" w:themeColor="text1"/>
        </w:rPr>
        <w:t>）</w:t>
      </w:r>
      <w:r>
        <w:rPr>
          <w:rFonts w:cs="Times New Roman" w:hint="eastAsia"/>
          <w:color w:val="000000" w:themeColor="text1"/>
        </w:rPr>
        <w:tab/>
      </w:r>
      <w:r>
        <w:rPr>
          <w:rFonts w:cs="Times New Roman" w:hint="eastAsia"/>
          <w:color w:val="000000" w:themeColor="text1"/>
        </w:rPr>
        <w:t>《排污单位自行监测技术指南总则》（</w:t>
      </w:r>
      <w:r>
        <w:rPr>
          <w:rFonts w:cs="Times New Roman" w:hint="eastAsia"/>
          <w:color w:val="000000" w:themeColor="text1"/>
        </w:rPr>
        <w:t>HJ819-2017</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color w:val="000000" w:themeColor="text1"/>
        </w:rPr>
        <w:t>5</w:t>
      </w:r>
      <w:r>
        <w:rPr>
          <w:rFonts w:cs="Times New Roman" w:hint="eastAsia"/>
          <w:color w:val="000000" w:themeColor="text1"/>
        </w:rPr>
        <w:t>）《危险废物鉴别技术规范》（</w:t>
      </w:r>
      <w:r>
        <w:rPr>
          <w:rFonts w:cs="Times New Roman" w:hint="eastAsia"/>
          <w:color w:val="000000" w:themeColor="text1"/>
        </w:rPr>
        <w:t>HJ/T298-2019</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color w:val="000000" w:themeColor="text1"/>
        </w:rPr>
        <w:t>6</w:t>
      </w:r>
      <w:r>
        <w:rPr>
          <w:rFonts w:cs="Times New Roman" w:hint="eastAsia"/>
          <w:color w:val="000000" w:themeColor="text1"/>
        </w:rPr>
        <w:t>）《危险废物贮存污染控制标准》（</w:t>
      </w:r>
      <w:r>
        <w:rPr>
          <w:rFonts w:cs="Times New Roman" w:hint="eastAsia"/>
          <w:color w:val="000000" w:themeColor="text1"/>
        </w:rPr>
        <w:t>GB18597-2001</w:t>
      </w:r>
      <w:r>
        <w:rPr>
          <w:rFonts w:cs="Times New Roman" w:hint="eastAsia"/>
          <w:color w:val="000000" w:themeColor="text1"/>
        </w:rPr>
        <w:t>）及</w:t>
      </w:r>
      <w:r>
        <w:rPr>
          <w:rFonts w:cs="Times New Roman" w:hint="eastAsia"/>
          <w:color w:val="000000" w:themeColor="text1"/>
        </w:rPr>
        <w:t>2013</w:t>
      </w:r>
      <w:r>
        <w:rPr>
          <w:rFonts w:cs="Times New Roman" w:hint="eastAsia"/>
          <w:color w:val="000000" w:themeColor="text1"/>
        </w:rPr>
        <w:t>修改单（环保部公告，公告</w:t>
      </w:r>
      <w:r>
        <w:rPr>
          <w:rFonts w:cs="Times New Roman" w:hint="eastAsia"/>
          <w:color w:val="000000" w:themeColor="text1"/>
        </w:rPr>
        <w:t>2013</w:t>
      </w:r>
      <w:r>
        <w:rPr>
          <w:rFonts w:cs="Times New Roman" w:hint="eastAsia"/>
          <w:color w:val="000000" w:themeColor="text1"/>
        </w:rPr>
        <w:t>年</w:t>
      </w:r>
      <w:r>
        <w:rPr>
          <w:rFonts w:cs="Times New Roman" w:hint="eastAsia"/>
          <w:color w:val="000000" w:themeColor="text1"/>
        </w:rPr>
        <w:t>36</w:t>
      </w:r>
      <w:r>
        <w:rPr>
          <w:rFonts w:cs="Times New Roman" w:hint="eastAsia"/>
          <w:color w:val="000000" w:themeColor="text1"/>
        </w:rPr>
        <w:t>号）；</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color w:val="000000" w:themeColor="text1"/>
        </w:rPr>
        <w:t>7</w:t>
      </w:r>
      <w:r>
        <w:rPr>
          <w:rFonts w:cs="Times New Roman" w:hint="eastAsia"/>
          <w:color w:val="000000" w:themeColor="text1"/>
        </w:rPr>
        <w:t>）《危险废物收集贮存运输技术规范》（</w:t>
      </w:r>
      <w:r>
        <w:rPr>
          <w:rFonts w:cs="Times New Roman" w:hint="eastAsia"/>
          <w:color w:val="000000" w:themeColor="text1"/>
        </w:rPr>
        <w:t>HJ5025-2012</w:t>
      </w:r>
      <w:r>
        <w:rPr>
          <w:rFonts w:cs="Times New Roman" w:hint="eastAsia"/>
          <w:color w:val="000000" w:themeColor="text1"/>
        </w:rPr>
        <w:t>）</w:t>
      </w:r>
      <w:r>
        <w:rPr>
          <w:rFonts w:cs="Times New Roman" w:hint="eastAsia"/>
          <w:color w:val="000000" w:themeColor="text1"/>
        </w:rPr>
        <w:t>2013.3.1</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color w:val="000000" w:themeColor="text1"/>
        </w:rPr>
        <w:t>8</w:t>
      </w:r>
      <w:r>
        <w:rPr>
          <w:rFonts w:cs="Times New Roman" w:hint="eastAsia"/>
          <w:color w:val="000000" w:themeColor="text1"/>
        </w:rPr>
        <w:t>）《危险废物储运单元编码要求》（</w:t>
      </w:r>
      <w:r>
        <w:rPr>
          <w:rFonts w:cs="Times New Roman" w:hint="eastAsia"/>
          <w:color w:val="000000" w:themeColor="text1"/>
        </w:rPr>
        <w:t>GB/T38920-2020</w:t>
      </w:r>
      <w:r>
        <w:rPr>
          <w:rFonts w:cs="Times New Roman" w:hint="eastAsia"/>
          <w:color w:val="000000" w:themeColor="text1"/>
        </w:rPr>
        <w:t>）</w:t>
      </w:r>
      <w:r>
        <w:rPr>
          <w:rFonts w:cs="Times New Roman" w:hint="eastAsia"/>
          <w:color w:val="000000" w:themeColor="text1"/>
        </w:rPr>
        <w:t>2020.12.1</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color w:val="000000" w:themeColor="text1"/>
        </w:rPr>
        <w:t>9</w:t>
      </w:r>
      <w:r>
        <w:rPr>
          <w:rFonts w:cs="Times New Roman" w:hint="eastAsia"/>
          <w:color w:val="000000" w:themeColor="text1"/>
        </w:rPr>
        <w:t>）《废矿物油回收利用污染控制技术规划》（</w:t>
      </w:r>
      <w:r>
        <w:rPr>
          <w:rFonts w:cs="Times New Roman" w:hint="eastAsia"/>
          <w:color w:val="000000" w:themeColor="text1"/>
        </w:rPr>
        <w:t>HJ607-2011</w:t>
      </w:r>
      <w:r>
        <w:rPr>
          <w:rFonts w:cs="Times New Roman" w:hint="eastAsia"/>
          <w:color w:val="000000" w:themeColor="text1"/>
        </w:rPr>
        <w:t>）</w:t>
      </w:r>
      <w:r>
        <w:rPr>
          <w:rFonts w:cs="Times New Roman" w:hint="eastAsia"/>
          <w:color w:val="000000" w:themeColor="text1"/>
        </w:rPr>
        <w:t>2011.7.1</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2</w:t>
      </w:r>
      <w:r>
        <w:rPr>
          <w:rFonts w:cs="Times New Roman"/>
          <w:color w:val="000000" w:themeColor="text1"/>
        </w:rPr>
        <w:t>0</w:t>
      </w:r>
      <w:r>
        <w:rPr>
          <w:rFonts w:cs="Times New Roman" w:hint="eastAsia"/>
          <w:color w:val="000000" w:themeColor="text1"/>
        </w:rPr>
        <w:t>）《排污许可证申请与核发技术规范废弃资源加工业》（</w:t>
      </w:r>
      <w:r>
        <w:rPr>
          <w:rFonts w:cs="Times New Roman" w:hint="eastAsia"/>
          <w:color w:val="000000" w:themeColor="text1"/>
        </w:rPr>
        <w:t>HJ1034-2019</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2</w:t>
      </w:r>
      <w:r>
        <w:rPr>
          <w:rFonts w:cs="Times New Roman"/>
          <w:color w:val="000000" w:themeColor="text1"/>
        </w:rPr>
        <w:t>1</w:t>
      </w:r>
      <w:r>
        <w:rPr>
          <w:rFonts w:cs="Times New Roman" w:hint="eastAsia"/>
          <w:color w:val="000000" w:themeColor="text1"/>
        </w:rPr>
        <w:t>）《关于在南疆四地州深度贫困地区实施〈环境影响评价技术导则大气环境（</w:t>
      </w:r>
      <w:r>
        <w:rPr>
          <w:rFonts w:cs="Times New Roman" w:hint="eastAsia"/>
          <w:color w:val="000000" w:themeColor="text1"/>
        </w:rPr>
        <w:t>HJ202-2018</w:t>
      </w:r>
      <w:r>
        <w:rPr>
          <w:rFonts w:cs="Times New Roman" w:hint="eastAsia"/>
          <w:color w:val="000000" w:themeColor="text1"/>
        </w:rPr>
        <w:t>）〉差别化政策有关事宜的复函》（环办环评函〔</w:t>
      </w:r>
      <w:r>
        <w:rPr>
          <w:rFonts w:cs="Times New Roman" w:hint="eastAsia"/>
          <w:color w:val="000000" w:themeColor="text1"/>
        </w:rPr>
        <w:t>2019</w:t>
      </w:r>
      <w:r>
        <w:rPr>
          <w:rFonts w:cs="Times New Roman" w:hint="eastAsia"/>
          <w:color w:val="000000" w:themeColor="text1"/>
        </w:rPr>
        <w:t>〕</w:t>
      </w:r>
      <w:r>
        <w:rPr>
          <w:rFonts w:cs="Times New Roman" w:hint="eastAsia"/>
          <w:color w:val="000000" w:themeColor="text1"/>
        </w:rPr>
        <w:t>590</w:t>
      </w:r>
      <w:r>
        <w:rPr>
          <w:rFonts w:cs="Times New Roman" w:hint="eastAsia"/>
          <w:color w:val="000000" w:themeColor="text1"/>
        </w:rPr>
        <w:t>号）；</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2</w:t>
      </w:r>
      <w:r>
        <w:rPr>
          <w:rFonts w:cs="Times New Roman"/>
          <w:color w:val="000000" w:themeColor="text1"/>
        </w:rPr>
        <w:t>2</w:t>
      </w:r>
      <w:r>
        <w:rPr>
          <w:rFonts w:cs="Times New Roman" w:hint="eastAsia"/>
          <w:color w:val="000000" w:themeColor="text1"/>
        </w:rPr>
        <w:t>）《废润滑油回收与再生利用技术导则》（</w:t>
      </w:r>
      <w:r>
        <w:rPr>
          <w:rFonts w:cs="Times New Roman" w:hint="eastAsia"/>
          <w:color w:val="000000" w:themeColor="text1"/>
        </w:rPr>
        <w:t>GB/T17145-1997</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2</w:t>
      </w:r>
      <w:r>
        <w:rPr>
          <w:rFonts w:cs="Times New Roman"/>
          <w:color w:val="000000" w:themeColor="text1"/>
        </w:rPr>
        <w:t>3</w:t>
      </w:r>
      <w:r>
        <w:rPr>
          <w:rFonts w:cs="Times New Roman" w:hint="eastAsia"/>
          <w:color w:val="000000" w:themeColor="text1"/>
        </w:rPr>
        <w:t>）《排污单位自行监测技术指南</w:t>
      </w:r>
      <w:r>
        <w:rPr>
          <w:rFonts w:cs="Times New Roman" w:hint="eastAsia"/>
          <w:color w:val="000000" w:themeColor="text1"/>
        </w:rPr>
        <w:t xml:space="preserve"> </w:t>
      </w:r>
      <w:r>
        <w:rPr>
          <w:rFonts w:cs="Times New Roman" w:hint="eastAsia"/>
          <w:color w:val="000000" w:themeColor="text1"/>
        </w:rPr>
        <w:t>工业固体废物和危险废物治理》（</w:t>
      </w:r>
      <w:r>
        <w:rPr>
          <w:rFonts w:cs="Times New Roman" w:hint="eastAsia"/>
          <w:color w:val="000000" w:themeColor="text1"/>
        </w:rPr>
        <w:t>HJ 1250-2022</w:t>
      </w:r>
      <w:r>
        <w:rPr>
          <w:rFonts w:cs="Times New Roman" w:hint="eastAsia"/>
          <w:color w:val="000000" w:themeColor="text1"/>
        </w:rPr>
        <w:t>）；</w:t>
      </w:r>
    </w:p>
    <w:p w:rsidR="008031C4" w:rsidRPr="008031C4" w:rsidRDefault="008031C4">
      <w:pPr>
        <w:pStyle w:val="-"/>
        <w:ind w:firstLine="480"/>
        <w:rPr>
          <w:rFonts w:cs="Times New Roman"/>
          <w:color w:val="FF0000"/>
        </w:rPr>
      </w:pPr>
      <w:r w:rsidRPr="008031C4">
        <w:rPr>
          <w:rFonts w:cs="Times New Roman" w:hint="eastAsia"/>
          <w:color w:val="FF0000"/>
        </w:rPr>
        <w:t>（</w:t>
      </w:r>
      <w:r w:rsidRPr="008031C4">
        <w:rPr>
          <w:rFonts w:cs="Times New Roman" w:hint="eastAsia"/>
          <w:color w:val="FF0000"/>
        </w:rPr>
        <w:t>2</w:t>
      </w:r>
      <w:r w:rsidRPr="008031C4">
        <w:rPr>
          <w:rFonts w:cs="Times New Roman"/>
          <w:color w:val="FF0000"/>
        </w:rPr>
        <w:t>4</w:t>
      </w:r>
      <w:r w:rsidRPr="008031C4">
        <w:rPr>
          <w:rFonts w:cs="Times New Roman" w:hint="eastAsia"/>
          <w:color w:val="FF0000"/>
        </w:rPr>
        <w:t>）《排污许可证申请与核发技术规范</w:t>
      </w:r>
      <w:r w:rsidRPr="008031C4">
        <w:rPr>
          <w:rFonts w:cs="Times New Roman" w:hint="eastAsia"/>
          <w:color w:val="FF0000"/>
        </w:rPr>
        <w:t xml:space="preserve"> </w:t>
      </w:r>
      <w:r w:rsidRPr="008031C4">
        <w:rPr>
          <w:rFonts w:cs="Times New Roman" w:hint="eastAsia"/>
          <w:color w:val="FF0000"/>
        </w:rPr>
        <w:t>工业固体废物和危险废物治理》（</w:t>
      </w:r>
      <w:r w:rsidRPr="008031C4">
        <w:rPr>
          <w:rFonts w:cs="Times New Roman" w:hint="eastAsia"/>
          <w:color w:val="FF0000"/>
        </w:rPr>
        <w:t>HJ 1033-2019</w:t>
      </w:r>
      <w:r w:rsidRPr="008031C4">
        <w:rPr>
          <w:rFonts w:cs="Times New Roman" w:hint="eastAsia"/>
          <w:color w:val="FF0000"/>
        </w:rPr>
        <w:t>）。</w:t>
      </w:r>
    </w:p>
    <w:p w:rsidR="00644456" w:rsidRDefault="008031C4">
      <w:pPr>
        <w:pStyle w:val="3"/>
        <w:numPr>
          <w:ilvl w:val="2"/>
          <w:numId w:val="0"/>
        </w:numPr>
        <w:ind w:firstLineChars="200" w:firstLine="482"/>
      </w:pPr>
      <w:r>
        <w:rPr>
          <w:rFonts w:hint="eastAsia"/>
        </w:rPr>
        <w:t>1.2.5</w:t>
      </w:r>
      <w:r>
        <w:rPr>
          <w:rFonts w:hint="eastAsia"/>
        </w:rPr>
        <w:t>有关规划文件</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color w:val="000000" w:themeColor="text1"/>
        </w:rPr>
        <w:t>1</w:t>
      </w:r>
      <w:r>
        <w:rPr>
          <w:rFonts w:cs="Times New Roman" w:hint="eastAsia"/>
          <w:color w:val="000000" w:themeColor="text1"/>
        </w:rPr>
        <w:t>）《新疆维吾尔自治区国民经济和社会发展第十四个五年规划和</w:t>
      </w:r>
      <w:r>
        <w:rPr>
          <w:rFonts w:cs="Times New Roman" w:hint="eastAsia"/>
          <w:color w:val="000000" w:themeColor="text1"/>
        </w:rPr>
        <w:t>2035</w:t>
      </w:r>
      <w:r>
        <w:rPr>
          <w:rFonts w:cs="Times New Roman" w:hint="eastAsia"/>
          <w:color w:val="000000" w:themeColor="text1"/>
        </w:rPr>
        <w:t>年远景目标纲要》；</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color w:val="000000" w:themeColor="text1"/>
        </w:rPr>
        <w:t>2</w:t>
      </w:r>
      <w:r>
        <w:rPr>
          <w:rFonts w:cs="Times New Roman" w:hint="eastAsia"/>
          <w:color w:val="000000" w:themeColor="text1"/>
        </w:rPr>
        <w:t>）《新疆维吾尔自治区主体功能区规划》；</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color w:val="000000" w:themeColor="text1"/>
        </w:rPr>
        <w:t>3</w:t>
      </w:r>
      <w:r>
        <w:rPr>
          <w:rFonts w:cs="Times New Roman" w:hint="eastAsia"/>
          <w:color w:val="000000" w:themeColor="text1"/>
        </w:rPr>
        <w:t>）《新疆生态环境保护“十四五”规划》；</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color w:val="000000" w:themeColor="text1"/>
        </w:rPr>
        <w:t>5</w:t>
      </w:r>
      <w:r>
        <w:rPr>
          <w:rFonts w:cs="Times New Roman" w:hint="eastAsia"/>
          <w:color w:val="000000" w:themeColor="text1"/>
        </w:rPr>
        <w:t>）《喀什国民经济和社会发展“十四五”规划及</w:t>
      </w:r>
      <w:r>
        <w:rPr>
          <w:rFonts w:cs="Times New Roman" w:hint="eastAsia"/>
          <w:color w:val="000000" w:themeColor="text1"/>
        </w:rPr>
        <w:t>2035</w:t>
      </w:r>
      <w:r>
        <w:rPr>
          <w:rFonts w:cs="Times New Roman" w:hint="eastAsia"/>
          <w:color w:val="000000" w:themeColor="text1"/>
        </w:rPr>
        <w:t>年远景目标》；</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color w:val="000000" w:themeColor="text1"/>
        </w:rPr>
        <w:t>6</w:t>
      </w:r>
      <w:r>
        <w:rPr>
          <w:rFonts w:cs="Times New Roman" w:hint="eastAsia"/>
          <w:color w:val="000000" w:themeColor="text1"/>
        </w:rPr>
        <w:t>）《疏勒高新技术产业开发区“多规合一”总体规划（</w:t>
      </w:r>
      <w:r>
        <w:rPr>
          <w:rFonts w:cs="Times New Roman" w:hint="eastAsia"/>
          <w:color w:val="000000" w:themeColor="text1"/>
        </w:rPr>
        <w:t>2021-2035</w:t>
      </w:r>
      <w:r>
        <w:rPr>
          <w:rFonts w:cs="Times New Roman" w:hint="eastAsia"/>
          <w:color w:val="000000" w:themeColor="text1"/>
        </w:rPr>
        <w:t>年）》。</w:t>
      </w:r>
    </w:p>
    <w:p w:rsidR="00644456" w:rsidRDefault="008031C4">
      <w:pPr>
        <w:pStyle w:val="3"/>
        <w:numPr>
          <w:ilvl w:val="2"/>
          <w:numId w:val="0"/>
        </w:numPr>
        <w:ind w:firstLineChars="200" w:firstLine="482"/>
      </w:pPr>
      <w:r>
        <w:rPr>
          <w:rFonts w:hint="eastAsia"/>
        </w:rPr>
        <w:t>1.2.6</w:t>
      </w:r>
      <w:r>
        <w:t>项目依据</w:t>
      </w:r>
    </w:p>
    <w:p w:rsidR="00644456" w:rsidRDefault="008031C4">
      <w:pPr>
        <w:pStyle w:val="-"/>
        <w:numPr>
          <w:ilvl w:val="0"/>
          <w:numId w:val="4"/>
        </w:numPr>
        <w:snapToGrid w:val="0"/>
        <w:ind w:firstLine="480"/>
        <w:rPr>
          <w:rFonts w:cs="Times New Roman"/>
          <w:color w:val="000000" w:themeColor="text1"/>
        </w:rPr>
      </w:pPr>
      <w:r>
        <w:rPr>
          <w:rFonts w:cs="Times New Roman"/>
          <w:color w:val="000000" w:themeColor="text1"/>
        </w:rPr>
        <w:t>本项目环境影响评价工作委托书；</w:t>
      </w:r>
    </w:p>
    <w:p w:rsidR="00644456" w:rsidRDefault="008031C4">
      <w:pPr>
        <w:pStyle w:val="-"/>
        <w:numPr>
          <w:ilvl w:val="0"/>
          <w:numId w:val="4"/>
        </w:numPr>
        <w:snapToGrid w:val="0"/>
        <w:ind w:firstLine="480"/>
        <w:rPr>
          <w:rFonts w:cs="Times New Roman"/>
          <w:color w:val="000000" w:themeColor="text1"/>
        </w:rPr>
      </w:pPr>
      <w:r>
        <w:rPr>
          <w:rFonts w:cs="Times New Roman" w:hint="eastAsia"/>
          <w:color w:val="000000" w:themeColor="text1"/>
        </w:rPr>
        <w:t>新疆维吾尔自治区投资项目备案证</w:t>
      </w:r>
      <w:r>
        <w:rPr>
          <w:rFonts w:cs="Times New Roman"/>
          <w:color w:val="000000" w:themeColor="text1"/>
        </w:rPr>
        <w:t>（</w:t>
      </w:r>
      <w:r>
        <w:rPr>
          <w:rFonts w:cs="Times New Roman" w:hint="eastAsia"/>
          <w:color w:val="000000" w:themeColor="text1"/>
        </w:rPr>
        <w:t>备案号：</w:t>
      </w:r>
      <w:r>
        <w:rPr>
          <w:rFonts w:cs="Times New Roman"/>
          <w:color w:val="000000" w:themeColor="text1"/>
        </w:rPr>
        <w:t>2405291785653100000058</w:t>
      </w:r>
      <w:r>
        <w:rPr>
          <w:rFonts w:cs="Times New Roman"/>
          <w:color w:val="000000" w:themeColor="text1"/>
        </w:rPr>
        <w:t>）；</w:t>
      </w:r>
    </w:p>
    <w:p w:rsidR="00644456" w:rsidRDefault="008031C4">
      <w:pPr>
        <w:pStyle w:val="-"/>
        <w:snapToGrid w:val="0"/>
        <w:ind w:firstLine="480"/>
        <w:rPr>
          <w:rFonts w:cs="Times New Roman"/>
          <w:color w:val="000000" w:themeColor="text1"/>
        </w:rPr>
      </w:pPr>
      <w:r>
        <w:rPr>
          <w:rFonts w:cs="Times New Roman"/>
          <w:color w:val="000000" w:themeColor="text1"/>
        </w:rPr>
        <w:t>（</w:t>
      </w:r>
      <w:r>
        <w:rPr>
          <w:rFonts w:cs="Times New Roman"/>
          <w:color w:val="000000" w:themeColor="text1"/>
        </w:rPr>
        <w:t>3</w:t>
      </w:r>
      <w:r>
        <w:rPr>
          <w:rFonts w:cs="Times New Roman"/>
          <w:color w:val="000000" w:themeColor="text1"/>
        </w:rPr>
        <w:t>）建设单位提供</w:t>
      </w:r>
      <w:r>
        <w:rPr>
          <w:rFonts w:cs="Times New Roman" w:hint="eastAsia"/>
          <w:color w:val="000000" w:themeColor="text1"/>
        </w:rPr>
        <w:t>的其他</w:t>
      </w:r>
      <w:r>
        <w:rPr>
          <w:rFonts w:cs="Times New Roman"/>
          <w:color w:val="000000" w:themeColor="text1"/>
        </w:rPr>
        <w:t>相关基础资料。</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40" w:name="_Toc177216857"/>
      <w:bookmarkStart w:id="41" w:name="_Toc155789336"/>
      <w:r>
        <w:rPr>
          <w:rFonts w:cs="Times New Roman" w:hint="eastAsia"/>
          <w:color w:val="000000" w:themeColor="text1"/>
        </w:rPr>
        <w:t>1.3</w:t>
      </w:r>
      <w:r>
        <w:rPr>
          <w:rFonts w:cs="Times New Roman" w:hint="eastAsia"/>
          <w:color w:val="000000" w:themeColor="text1"/>
        </w:rPr>
        <w:t>国家产业政策符合性</w:t>
      </w:r>
      <w:bookmarkEnd w:id="40"/>
      <w:bookmarkEnd w:id="41"/>
    </w:p>
    <w:p w:rsidR="00644456" w:rsidRDefault="008031C4">
      <w:pPr>
        <w:pStyle w:val="3"/>
        <w:numPr>
          <w:ilvl w:val="2"/>
          <w:numId w:val="0"/>
        </w:numPr>
        <w:ind w:firstLineChars="200" w:firstLine="482"/>
      </w:pPr>
      <w:r>
        <w:rPr>
          <w:rFonts w:hint="eastAsia"/>
        </w:rPr>
        <w:t>1.3.1</w:t>
      </w:r>
      <w:r>
        <w:rPr>
          <w:rFonts w:hint="eastAsia"/>
        </w:rPr>
        <w:t>与《产业结构调整指导目录（</w:t>
      </w:r>
      <w:r>
        <w:rPr>
          <w:rFonts w:hint="eastAsia"/>
        </w:rPr>
        <w:t>20</w:t>
      </w:r>
      <w:r>
        <w:t>24</w:t>
      </w:r>
      <w:r>
        <w:rPr>
          <w:rFonts w:hint="eastAsia"/>
        </w:rPr>
        <w:t>年本）》符合性</w:t>
      </w:r>
    </w:p>
    <w:p w:rsidR="00644456" w:rsidRDefault="008031C4">
      <w:pPr>
        <w:snapToGrid w:val="0"/>
        <w:spacing w:line="360" w:lineRule="auto"/>
        <w:ind w:firstLine="482"/>
        <w:rPr>
          <w:rFonts w:cs="Times New Roman"/>
          <w:color w:val="000000" w:themeColor="text1"/>
          <w:sz w:val="24"/>
          <w:szCs w:val="24"/>
        </w:rPr>
      </w:pPr>
      <w:r>
        <w:rPr>
          <w:rFonts w:cs="Times New Roman" w:hint="eastAsia"/>
          <w:color w:val="000000" w:themeColor="text1"/>
          <w:sz w:val="24"/>
          <w:szCs w:val="24"/>
        </w:rPr>
        <w:t>查询《国民经济行业分类》（</w:t>
      </w:r>
      <w:r>
        <w:rPr>
          <w:rFonts w:cs="Times New Roman" w:hint="eastAsia"/>
          <w:color w:val="000000" w:themeColor="text1"/>
          <w:sz w:val="24"/>
          <w:szCs w:val="24"/>
        </w:rPr>
        <w:t>GB/T 4754-2017</w:t>
      </w:r>
      <w:r>
        <w:rPr>
          <w:rFonts w:cs="Times New Roman" w:hint="eastAsia"/>
          <w:color w:val="000000" w:themeColor="text1"/>
          <w:sz w:val="24"/>
          <w:szCs w:val="24"/>
        </w:rPr>
        <w:t>），本项目属于“</w:t>
      </w:r>
      <w:r>
        <w:rPr>
          <w:rFonts w:cs="Times New Roman" w:hint="eastAsia"/>
          <w:color w:val="000000" w:themeColor="text1"/>
          <w:sz w:val="24"/>
          <w:szCs w:val="24"/>
        </w:rPr>
        <w:t>77</w:t>
      </w:r>
      <w:r>
        <w:rPr>
          <w:rFonts w:cs="Times New Roman" w:hint="eastAsia"/>
          <w:color w:val="000000" w:themeColor="text1"/>
          <w:sz w:val="24"/>
          <w:szCs w:val="24"/>
        </w:rPr>
        <w:t>生态保护和环境治理业”中的“危险废物治理”，代码为</w:t>
      </w:r>
      <w:r>
        <w:rPr>
          <w:rFonts w:cs="Times New Roman" w:hint="eastAsia"/>
          <w:color w:val="000000" w:themeColor="text1"/>
          <w:sz w:val="24"/>
          <w:szCs w:val="24"/>
        </w:rPr>
        <w:t>N7724</w:t>
      </w:r>
      <w:r>
        <w:rPr>
          <w:rFonts w:cs="Times New Roman"/>
          <w:color w:val="000000" w:themeColor="text1"/>
          <w:sz w:val="24"/>
          <w:szCs w:val="24"/>
        </w:rPr>
        <w:t>，</w:t>
      </w:r>
      <w:r>
        <w:rPr>
          <w:rFonts w:cs="Times New Roman"/>
          <w:b/>
          <w:bCs/>
          <w:color w:val="000000" w:themeColor="text1"/>
          <w:sz w:val="24"/>
          <w:szCs w:val="24"/>
        </w:rPr>
        <w:t>属于《产业结构调整指导目</w:t>
      </w:r>
      <w:r>
        <w:rPr>
          <w:rFonts w:cs="Times New Roman"/>
          <w:b/>
          <w:bCs/>
          <w:color w:val="000000" w:themeColor="text1"/>
          <w:sz w:val="24"/>
          <w:szCs w:val="24"/>
        </w:rPr>
        <w:lastRenderedPageBreak/>
        <w:t>录（</w:t>
      </w:r>
      <w:r>
        <w:rPr>
          <w:rFonts w:cs="Times New Roman"/>
          <w:b/>
          <w:bCs/>
          <w:color w:val="000000" w:themeColor="text1"/>
          <w:sz w:val="24"/>
          <w:szCs w:val="24"/>
        </w:rPr>
        <w:t>2024</w:t>
      </w:r>
      <w:r>
        <w:rPr>
          <w:rFonts w:cs="Times New Roman"/>
          <w:b/>
          <w:bCs/>
          <w:color w:val="000000" w:themeColor="text1"/>
          <w:sz w:val="24"/>
          <w:szCs w:val="24"/>
        </w:rPr>
        <w:t>年本）》中</w:t>
      </w:r>
      <w:r>
        <w:rPr>
          <w:rFonts w:cs="Times New Roman" w:hint="eastAsia"/>
          <w:b/>
          <w:bCs/>
          <w:color w:val="000000" w:themeColor="text1"/>
          <w:sz w:val="24"/>
          <w:szCs w:val="24"/>
        </w:rPr>
        <w:t>鼓励类四十二、环境保护与资源节约综合利用、危险废弃物处置：危险废物（医疗废物）无害化处置和高效利用技术设备开发制造、利用处置中心建设和（或）运营”；</w:t>
      </w:r>
      <w:r>
        <w:rPr>
          <w:rFonts w:cs="Times New Roman" w:hint="eastAsia"/>
          <w:color w:val="000000" w:themeColor="text1"/>
          <w:sz w:val="24"/>
          <w:szCs w:val="24"/>
        </w:rPr>
        <w:t>本项目建成后主要为喀什市疏勒县及周边区域服务，符合《危险废物污染防治技术政策》中鼓励重点城市建设区域性的废矿物油回收设施，为所在区域的废矿物油产生者提供服务的要求。</w:t>
      </w:r>
    </w:p>
    <w:p w:rsidR="00644456" w:rsidRDefault="008031C4">
      <w:pPr>
        <w:snapToGrid w:val="0"/>
        <w:spacing w:line="360" w:lineRule="auto"/>
        <w:ind w:firstLine="482"/>
        <w:rPr>
          <w:rFonts w:cs="Times New Roman"/>
          <w:color w:val="000000" w:themeColor="text1"/>
          <w:sz w:val="24"/>
          <w:szCs w:val="24"/>
        </w:rPr>
      </w:pPr>
      <w:r>
        <w:rPr>
          <w:rFonts w:cs="Times New Roman" w:hint="eastAsia"/>
          <w:color w:val="000000" w:themeColor="text1"/>
          <w:sz w:val="24"/>
          <w:szCs w:val="24"/>
        </w:rPr>
        <w:t>同时，项目经新疆维吾尔自治区投资项目备案证已于</w:t>
      </w:r>
      <w:r>
        <w:rPr>
          <w:rFonts w:cs="Times New Roman" w:hint="eastAsia"/>
          <w:color w:val="000000" w:themeColor="text1"/>
          <w:sz w:val="24"/>
          <w:szCs w:val="24"/>
        </w:rPr>
        <w:t>202</w:t>
      </w:r>
      <w:r>
        <w:rPr>
          <w:rFonts w:cs="Times New Roman"/>
          <w:color w:val="000000" w:themeColor="text1"/>
          <w:sz w:val="24"/>
          <w:szCs w:val="24"/>
        </w:rPr>
        <w:t>4</w:t>
      </w:r>
      <w:r>
        <w:rPr>
          <w:rFonts w:cs="Times New Roman" w:hint="eastAsia"/>
          <w:color w:val="000000" w:themeColor="text1"/>
          <w:sz w:val="24"/>
          <w:szCs w:val="24"/>
        </w:rPr>
        <w:t>年</w:t>
      </w:r>
      <w:r>
        <w:rPr>
          <w:rFonts w:cs="Times New Roman"/>
          <w:color w:val="000000" w:themeColor="text1"/>
          <w:sz w:val="24"/>
          <w:szCs w:val="24"/>
        </w:rPr>
        <w:t>5</w:t>
      </w:r>
      <w:r>
        <w:rPr>
          <w:rFonts w:cs="Times New Roman" w:hint="eastAsia"/>
          <w:color w:val="000000" w:themeColor="text1"/>
          <w:sz w:val="24"/>
          <w:szCs w:val="24"/>
        </w:rPr>
        <w:t>月</w:t>
      </w:r>
      <w:r>
        <w:rPr>
          <w:rFonts w:cs="Times New Roman"/>
          <w:color w:val="000000" w:themeColor="text1"/>
          <w:sz w:val="24"/>
          <w:szCs w:val="24"/>
        </w:rPr>
        <w:t>29</w:t>
      </w:r>
      <w:r>
        <w:rPr>
          <w:rFonts w:cs="Times New Roman" w:hint="eastAsia"/>
          <w:color w:val="000000" w:themeColor="text1"/>
          <w:sz w:val="24"/>
          <w:szCs w:val="24"/>
        </w:rPr>
        <w:t>日予以备案（备案号：</w:t>
      </w:r>
      <w:r>
        <w:rPr>
          <w:rFonts w:cs="Times New Roman"/>
          <w:b/>
          <w:bCs/>
          <w:color w:val="000000" w:themeColor="text1"/>
          <w:sz w:val="24"/>
          <w:szCs w:val="24"/>
        </w:rPr>
        <w:t>2405291785653100000058</w:t>
      </w:r>
      <w:r>
        <w:rPr>
          <w:rFonts w:cs="Times New Roman" w:hint="eastAsia"/>
          <w:color w:val="000000" w:themeColor="text1"/>
          <w:sz w:val="24"/>
          <w:szCs w:val="24"/>
        </w:rPr>
        <w:t>）（见附件</w:t>
      </w:r>
      <w:r>
        <w:rPr>
          <w:rFonts w:cs="Times New Roman" w:hint="eastAsia"/>
          <w:color w:val="000000" w:themeColor="text1"/>
          <w:sz w:val="24"/>
          <w:szCs w:val="24"/>
        </w:rPr>
        <w:t>1</w:t>
      </w:r>
      <w:r>
        <w:rPr>
          <w:rFonts w:cs="Times New Roman" w:hint="eastAsia"/>
          <w:color w:val="000000" w:themeColor="text1"/>
          <w:sz w:val="24"/>
          <w:szCs w:val="24"/>
        </w:rPr>
        <w:t>）</w:t>
      </w:r>
      <w:r>
        <w:rPr>
          <w:rFonts w:cs="Times New Roman"/>
          <w:snapToGrid w:val="0"/>
          <w:color w:val="000000" w:themeColor="text1"/>
          <w:sz w:val="24"/>
          <w:szCs w:val="24"/>
        </w:rPr>
        <w:t>。</w:t>
      </w:r>
    </w:p>
    <w:p w:rsidR="00644456" w:rsidRDefault="008031C4">
      <w:pPr>
        <w:pStyle w:val="-"/>
        <w:snapToGrid w:val="0"/>
        <w:ind w:firstLine="482"/>
        <w:rPr>
          <w:rFonts w:cs="Times New Roman"/>
          <w:b/>
          <w:color w:val="000000" w:themeColor="text1"/>
          <w:szCs w:val="24"/>
        </w:rPr>
      </w:pPr>
      <w:r>
        <w:rPr>
          <w:rFonts w:cs="Times New Roman" w:hint="eastAsia"/>
          <w:b/>
          <w:color w:val="000000" w:themeColor="text1"/>
          <w:szCs w:val="24"/>
        </w:rPr>
        <w:t>因此，本项目符合《产业结构调整指导目录（</w:t>
      </w:r>
      <w:r>
        <w:rPr>
          <w:rFonts w:cs="Times New Roman" w:hint="eastAsia"/>
          <w:b/>
          <w:color w:val="000000" w:themeColor="text1"/>
          <w:szCs w:val="24"/>
        </w:rPr>
        <w:t>20</w:t>
      </w:r>
      <w:r>
        <w:rPr>
          <w:rFonts w:cs="Times New Roman"/>
          <w:b/>
          <w:color w:val="000000" w:themeColor="text1"/>
          <w:szCs w:val="24"/>
        </w:rPr>
        <w:t>24</w:t>
      </w:r>
      <w:r>
        <w:rPr>
          <w:rFonts w:cs="Times New Roman" w:hint="eastAsia"/>
          <w:b/>
          <w:color w:val="000000" w:themeColor="text1"/>
          <w:szCs w:val="24"/>
        </w:rPr>
        <w:t>年本）》相关要求与国家现行产业政策</w:t>
      </w:r>
      <w:r>
        <w:rPr>
          <w:rFonts w:cs="Times New Roman"/>
          <w:b/>
          <w:color w:val="000000" w:themeColor="text1"/>
          <w:szCs w:val="24"/>
        </w:rPr>
        <w:t>。</w:t>
      </w:r>
    </w:p>
    <w:p w:rsidR="00644456" w:rsidRDefault="008031C4">
      <w:pPr>
        <w:pStyle w:val="3"/>
        <w:numPr>
          <w:ilvl w:val="2"/>
          <w:numId w:val="0"/>
        </w:numPr>
        <w:ind w:firstLineChars="200" w:firstLine="482"/>
      </w:pPr>
      <w:r>
        <w:rPr>
          <w:rFonts w:hint="eastAsia"/>
        </w:rPr>
        <w:t>1.3.2</w:t>
      </w:r>
      <w:r>
        <w:rPr>
          <w:rFonts w:hint="eastAsia"/>
        </w:rPr>
        <w:t>与生产工艺装备和产品政策符合性</w:t>
      </w:r>
    </w:p>
    <w:p w:rsidR="00644456" w:rsidRDefault="008031C4">
      <w:pPr>
        <w:pStyle w:val="1f7"/>
      </w:pPr>
      <w:r>
        <w:rPr>
          <w:rFonts w:hint="eastAsia"/>
        </w:rPr>
        <w:t>经核对《部分工业行业淘汰落后生产工艺装备和产品指导目录（</w:t>
      </w:r>
      <w:r>
        <w:rPr>
          <w:rFonts w:hint="eastAsia"/>
        </w:rPr>
        <w:t>2010</w:t>
      </w:r>
      <w:r>
        <w:rPr>
          <w:rFonts w:hint="eastAsia"/>
        </w:rPr>
        <w:t>年本）》（工产业</w:t>
      </w:r>
      <w:r>
        <w:rPr>
          <w:rFonts w:hint="eastAsia"/>
        </w:rPr>
        <w:t>[2010]</w:t>
      </w:r>
      <w:r>
        <w:rPr>
          <w:rFonts w:hint="eastAsia"/>
        </w:rPr>
        <w:t>第</w:t>
      </w:r>
      <w:r>
        <w:rPr>
          <w:rFonts w:hint="eastAsia"/>
        </w:rPr>
        <w:t>122</w:t>
      </w:r>
      <w:r>
        <w:rPr>
          <w:rFonts w:hint="eastAsia"/>
        </w:rPr>
        <w:t>号）、《高耗能落后机电设备（产品）淘汰目录（第一批）》（工节〔</w:t>
      </w:r>
      <w:r>
        <w:rPr>
          <w:rFonts w:hint="eastAsia"/>
        </w:rPr>
        <w:t>2009</w:t>
      </w:r>
      <w:r>
        <w:rPr>
          <w:rFonts w:hint="eastAsia"/>
        </w:rPr>
        <w:t>〕第</w:t>
      </w:r>
      <w:r>
        <w:rPr>
          <w:rFonts w:hint="eastAsia"/>
        </w:rPr>
        <w:t>67</w:t>
      </w:r>
      <w:r>
        <w:rPr>
          <w:rFonts w:hint="eastAsia"/>
        </w:rPr>
        <w:t>号）、《高耗能落后机电设备（产品）淘汰目录（第二批）》（中华人民共和国工业和信息化部公告，</w:t>
      </w:r>
      <w:r>
        <w:rPr>
          <w:rFonts w:hint="eastAsia"/>
        </w:rPr>
        <w:t>2012</w:t>
      </w:r>
      <w:r>
        <w:rPr>
          <w:rFonts w:hint="eastAsia"/>
        </w:rPr>
        <w:t>年第</w:t>
      </w:r>
      <w:r>
        <w:rPr>
          <w:rFonts w:hint="eastAsia"/>
        </w:rPr>
        <w:t>14</w:t>
      </w:r>
      <w:r>
        <w:rPr>
          <w:rFonts w:hint="eastAsia"/>
        </w:rPr>
        <w:t>号）、《高耗能落后机电设备（产品）淘汰目录（第三批）》（中华人民共和国工业和信息化部公告，</w:t>
      </w:r>
      <w:r>
        <w:rPr>
          <w:rFonts w:hint="eastAsia"/>
        </w:rPr>
        <w:t>2014</w:t>
      </w:r>
      <w:r>
        <w:rPr>
          <w:rFonts w:hint="eastAsia"/>
        </w:rPr>
        <w:t>年第</w:t>
      </w:r>
      <w:r>
        <w:rPr>
          <w:rFonts w:hint="eastAsia"/>
        </w:rPr>
        <w:t>16</w:t>
      </w:r>
      <w:r>
        <w:rPr>
          <w:rFonts w:hint="eastAsia"/>
        </w:rPr>
        <w:t>号）、《高耗能落后机电设备（产品）淘汰目录（第四批）》（节能与综合利用司）、《淘汰落后生产能力、工艺和产品的目录（第三批）》（国家经贸委令第</w:t>
      </w:r>
      <w:r>
        <w:rPr>
          <w:rFonts w:hint="eastAsia"/>
        </w:rPr>
        <w:t>32</w:t>
      </w:r>
      <w:r>
        <w:rPr>
          <w:rFonts w:hint="eastAsia"/>
        </w:rPr>
        <w:t>号，</w:t>
      </w:r>
      <w:r>
        <w:rPr>
          <w:rFonts w:hint="eastAsia"/>
        </w:rPr>
        <w:t>2002</w:t>
      </w:r>
      <w:r>
        <w:rPr>
          <w:rFonts w:hint="eastAsia"/>
        </w:rPr>
        <w:t>年</w:t>
      </w:r>
      <w:r>
        <w:rPr>
          <w:rFonts w:hint="eastAsia"/>
        </w:rPr>
        <w:t>6</w:t>
      </w:r>
      <w:r>
        <w:rPr>
          <w:rFonts w:hint="eastAsia"/>
        </w:rPr>
        <w:t>月）、《淘汰落后生产能力、工艺和产品的目录（第二批）》（国家经贸委令第</w:t>
      </w:r>
      <w:r>
        <w:rPr>
          <w:rFonts w:hint="eastAsia"/>
        </w:rPr>
        <w:t>16</w:t>
      </w:r>
      <w:r>
        <w:rPr>
          <w:rFonts w:hint="eastAsia"/>
        </w:rPr>
        <w:t>号，</w:t>
      </w:r>
      <w:r>
        <w:rPr>
          <w:rFonts w:hint="eastAsia"/>
        </w:rPr>
        <w:t>1999</w:t>
      </w:r>
      <w:r>
        <w:rPr>
          <w:rFonts w:hint="eastAsia"/>
        </w:rPr>
        <w:t>年</w:t>
      </w:r>
      <w:r>
        <w:rPr>
          <w:rFonts w:hint="eastAsia"/>
        </w:rPr>
        <w:t>12</w:t>
      </w:r>
      <w:r>
        <w:rPr>
          <w:rFonts w:hint="eastAsia"/>
        </w:rPr>
        <w:t>月）、《淘汰落后生产能力、工艺和产品的目录（第一批）》（国家经贸委令第</w:t>
      </w:r>
      <w:r>
        <w:rPr>
          <w:rFonts w:hint="eastAsia"/>
        </w:rPr>
        <w:t>6</w:t>
      </w:r>
      <w:r>
        <w:rPr>
          <w:rFonts w:hint="eastAsia"/>
        </w:rPr>
        <w:t>号，</w:t>
      </w:r>
      <w:r>
        <w:rPr>
          <w:rFonts w:hint="eastAsia"/>
        </w:rPr>
        <w:t>1999</w:t>
      </w:r>
      <w:r>
        <w:rPr>
          <w:rFonts w:hint="eastAsia"/>
        </w:rPr>
        <w:t>年</w:t>
      </w:r>
      <w:r>
        <w:rPr>
          <w:rFonts w:hint="eastAsia"/>
        </w:rPr>
        <w:t>1</w:t>
      </w:r>
      <w:r>
        <w:rPr>
          <w:rFonts w:hint="eastAsia"/>
        </w:rPr>
        <w:t>月）、《关于公布第一批严重污染环境（大气）的淘汰工艺与设备名录的通知》（国经贸资〔</w:t>
      </w:r>
      <w:r>
        <w:rPr>
          <w:rFonts w:hint="eastAsia"/>
        </w:rPr>
        <w:t>1997</w:t>
      </w:r>
      <w:r>
        <w:rPr>
          <w:rFonts w:hint="eastAsia"/>
        </w:rPr>
        <w:t>〕</w:t>
      </w:r>
      <w:r>
        <w:rPr>
          <w:rFonts w:hint="eastAsia"/>
        </w:rPr>
        <w:t>367</w:t>
      </w:r>
      <w:r>
        <w:rPr>
          <w:rFonts w:hint="eastAsia"/>
        </w:rPr>
        <w:t>号）等有关文件，本项目所用的设备等设备均不属于淘汰落后类设备，项目产品不属于淘汰类产品。因此，本项目符合国家生产工艺装备和产品政策要求。</w:t>
      </w:r>
    </w:p>
    <w:p w:rsidR="00644456" w:rsidRDefault="008031C4">
      <w:pPr>
        <w:pStyle w:val="1f7"/>
      </w:pPr>
      <w:r>
        <w:rPr>
          <w:rFonts w:hint="eastAsia"/>
        </w:rPr>
        <w:t>综上分析，本项目属于《产业结构调整指导目录（</w:t>
      </w:r>
      <w:r>
        <w:rPr>
          <w:rFonts w:hint="eastAsia"/>
        </w:rPr>
        <w:t>20</w:t>
      </w:r>
      <w:r>
        <w:t>24</w:t>
      </w:r>
      <w:r>
        <w:rPr>
          <w:rFonts w:hint="eastAsia"/>
        </w:rPr>
        <w:t>年本）》中鼓励类项目，项目所用的设备不属于《产业结构调整指导目录（</w:t>
      </w:r>
      <w:r>
        <w:rPr>
          <w:rFonts w:hint="eastAsia"/>
        </w:rPr>
        <w:t>20</w:t>
      </w:r>
      <w:r>
        <w:t>24</w:t>
      </w:r>
      <w:r>
        <w:rPr>
          <w:rFonts w:hint="eastAsia"/>
        </w:rPr>
        <w:t>年本）》中限制、淘汰落后设备，项目产品润滑油等不属于淘汰类产品。项目经疏勒县发展和改革委员会审核备案，符合当前国家产业政策。</w:t>
      </w:r>
    </w:p>
    <w:p w:rsidR="00644456" w:rsidRDefault="008031C4">
      <w:pPr>
        <w:pStyle w:val="3"/>
        <w:numPr>
          <w:ilvl w:val="2"/>
          <w:numId w:val="0"/>
        </w:numPr>
        <w:ind w:firstLineChars="200" w:firstLine="482"/>
      </w:pPr>
      <w:r>
        <w:rPr>
          <w:rFonts w:hint="eastAsia"/>
        </w:rPr>
        <w:t>1.3.3</w:t>
      </w:r>
      <w:r>
        <w:rPr>
          <w:rFonts w:hint="eastAsia"/>
        </w:rPr>
        <w:t>与《新疆维吾尔自治区重点行业环境准入条件（修订）》相符性分析</w:t>
      </w:r>
    </w:p>
    <w:p w:rsidR="00644456" w:rsidRDefault="00644456">
      <w:pPr>
        <w:pStyle w:val="1f7"/>
        <w:sectPr w:rsidR="00644456">
          <w:headerReference w:type="default" r:id="rId12"/>
          <w:footerReference w:type="even" r:id="rId13"/>
          <w:footerReference w:type="default" r:id="rId14"/>
          <w:pgSz w:w="11906" w:h="16838"/>
          <w:pgMar w:top="1389" w:right="1588" w:bottom="1389" w:left="1588" w:header="851" w:footer="992" w:gutter="0"/>
          <w:pgNumType w:start="1"/>
          <w:cols w:space="720"/>
          <w:docGrid w:linePitch="312"/>
        </w:sectPr>
      </w:pP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lastRenderedPageBreak/>
        <w:t>表</w:t>
      </w:r>
      <w:r>
        <w:rPr>
          <w:rFonts w:ascii="Times New Roman" w:eastAsia="宋体" w:hAnsi="Times New Roman" w:cs="Times New Roman" w:hint="eastAsia"/>
          <w:b/>
          <w:color w:val="000000" w:themeColor="text1"/>
          <w:sz w:val="24"/>
        </w:rPr>
        <w:t>1.</w:t>
      </w:r>
      <w:r>
        <w:rPr>
          <w:rFonts w:ascii="Times New Roman" w:eastAsia="宋体" w:hAnsi="Times New Roman" w:cs="Times New Roman"/>
          <w:b/>
          <w:color w:val="000000" w:themeColor="text1"/>
          <w:sz w:val="24"/>
        </w:rPr>
        <w:t>3</w:t>
      </w:r>
      <w:r>
        <w:rPr>
          <w:rFonts w:ascii="Times New Roman" w:eastAsia="宋体" w:hAnsi="Times New Roman" w:cs="Times New Roman" w:hint="eastAsia"/>
          <w:b/>
          <w:color w:val="000000" w:themeColor="text1"/>
          <w:sz w:val="24"/>
        </w:rPr>
        <w:t xml:space="preserve">-1 </w:t>
      </w:r>
      <w:r>
        <w:rPr>
          <w:rFonts w:ascii="Times New Roman" w:eastAsia="宋体" w:hAnsi="Times New Roman" w:cs="Times New Roman" w:hint="eastAsia"/>
          <w:b/>
          <w:color w:val="000000" w:themeColor="text1"/>
          <w:sz w:val="24"/>
        </w:rPr>
        <w:t>与《新疆维吾尔自治区重点行业环境准入条件（修订）》相符性分析表</w:t>
      </w:r>
    </w:p>
    <w:tbl>
      <w:tblPr>
        <w:tblStyle w:val="affff4"/>
        <w:tblW w:w="0" w:type="auto"/>
        <w:tblLook w:val="04A0" w:firstRow="1" w:lastRow="0" w:firstColumn="1" w:lastColumn="0" w:noHBand="0" w:noVBand="1"/>
      </w:tblPr>
      <w:tblGrid>
        <w:gridCol w:w="704"/>
        <w:gridCol w:w="6521"/>
        <w:gridCol w:w="5953"/>
        <w:gridCol w:w="872"/>
      </w:tblGrid>
      <w:tr w:rsidR="00644456">
        <w:tc>
          <w:tcPr>
            <w:tcW w:w="7225" w:type="dxa"/>
            <w:gridSpan w:val="2"/>
            <w:vAlign w:val="center"/>
          </w:tcPr>
          <w:p w:rsidR="00644456" w:rsidRDefault="008031C4">
            <w:pPr>
              <w:jc w:val="center"/>
              <w:rPr>
                <w:rFonts w:cs="Times New Roman"/>
                <w:color w:val="000000" w:themeColor="text1"/>
                <w:kern w:val="0"/>
              </w:rPr>
            </w:pPr>
            <w:r>
              <w:rPr>
                <w:rFonts w:cs="Times New Roman" w:hint="eastAsia"/>
                <w:color w:val="000000" w:themeColor="text1"/>
                <w:kern w:val="0"/>
              </w:rPr>
              <w:t>具体要求</w:t>
            </w:r>
          </w:p>
        </w:tc>
        <w:tc>
          <w:tcPr>
            <w:tcW w:w="5953"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本项目情况</w:t>
            </w:r>
          </w:p>
        </w:tc>
        <w:tc>
          <w:tcPr>
            <w:tcW w:w="872"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相符性</w:t>
            </w:r>
          </w:p>
        </w:tc>
      </w:tr>
      <w:tr w:rsidR="00644456">
        <w:tc>
          <w:tcPr>
            <w:tcW w:w="704"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总体要求</w:t>
            </w:r>
          </w:p>
        </w:tc>
        <w:tc>
          <w:tcPr>
            <w:tcW w:w="6521"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建设单位须依法、依规组织编制环境影响评价文件，并报具有审批权限的环境保护主管部门审批。</w:t>
            </w:r>
          </w:p>
        </w:tc>
        <w:tc>
          <w:tcPr>
            <w:tcW w:w="5953"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本报告为环境影响评价文件，报新疆维吾尔自治区生态环境厅审批。</w:t>
            </w:r>
          </w:p>
        </w:tc>
        <w:tc>
          <w:tcPr>
            <w:tcW w:w="872"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tc>
          <w:tcPr>
            <w:tcW w:w="704" w:type="dxa"/>
            <w:vMerge/>
            <w:vAlign w:val="center"/>
          </w:tcPr>
          <w:p w:rsidR="00644456" w:rsidRDefault="00644456">
            <w:pPr>
              <w:jc w:val="center"/>
              <w:rPr>
                <w:rFonts w:cs="Times New Roman"/>
                <w:color w:val="000000" w:themeColor="text1"/>
                <w:kern w:val="0"/>
              </w:rPr>
            </w:pPr>
          </w:p>
        </w:tc>
        <w:tc>
          <w:tcPr>
            <w:tcW w:w="6521"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建设项目须符合国家、自治区相关法律法规、产业政策要求，采用的工艺、技术和设备应符合《产业结构调整指导目录》、《产业转移指导目录》、《市场准入负面清单草案（试点版）》和《关于促进新疆工业通信业和信息化发展的若干政策意见》等相关要求，不得采用国家和自治区淘汰或禁止使用的工艺、技术和设备。</w:t>
            </w:r>
          </w:p>
        </w:tc>
        <w:tc>
          <w:tcPr>
            <w:tcW w:w="5953"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对照《产业结构调整指导目录（</w:t>
            </w:r>
            <w:r>
              <w:rPr>
                <w:rFonts w:cs="Times New Roman" w:hint="eastAsia"/>
                <w:color w:val="000000" w:themeColor="text1"/>
                <w:kern w:val="0"/>
              </w:rPr>
              <w:t>2024</w:t>
            </w:r>
            <w:r>
              <w:rPr>
                <w:rFonts w:cs="Times New Roman" w:hint="eastAsia"/>
                <w:color w:val="000000" w:themeColor="text1"/>
                <w:kern w:val="0"/>
              </w:rPr>
              <w:t>年本）》中“四十二、环境保护与资源节约综合利用”，本项目的建设与“三废”综合利用与治理技术、危险废物（医疗废物）无害化处置和高效利用技术设备开发制造、利用处置中心建设和（或）运营相符，属于鼓励类建设项目。项目不涉及《产业转移指导目录（</w:t>
            </w:r>
            <w:r>
              <w:rPr>
                <w:rFonts w:cs="Times New Roman" w:hint="eastAsia"/>
                <w:color w:val="000000" w:themeColor="text1"/>
                <w:kern w:val="0"/>
              </w:rPr>
              <w:t>2018</w:t>
            </w:r>
            <w:r>
              <w:rPr>
                <w:rFonts w:cs="Times New Roman" w:hint="eastAsia"/>
                <w:color w:val="000000" w:themeColor="text1"/>
                <w:kern w:val="0"/>
              </w:rPr>
              <w:t>年本）》、《市场准入负面清单草案（试点版）》和《关于促进新疆工业通信业和信息化发展的若干政策意见》中淘汰或禁止使用的工艺、技术和设备。</w:t>
            </w:r>
          </w:p>
        </w:tc>
        <w:tc>
          <w:tcPr>
            <w:tcW w:w="872"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tc>
          <w:tcPr>
            <w:tcW w:w="704" w:type="dxa"/>
            <w:vMerge/>
            <w:vAlign w:val="center"/>
          </w:tcPr>
          <w:p w:rsidR="00644456" w:rsidRDefault="00644456">
            <w:pPr>
              <w:jc w:val="center"/>
              <w:rPr>
                <w:rFonts w:cs="Times New Roman"/>
                <w:color w:val="000000" w:themeColor="text1"/>
                <w:kern w:val="0"/>
              </w:rPr>
            </w:pPr>
          </w:p>
        </w:tc>
        <w:tc>
          <w:tcPr>
            <w:tcW w:w="6521"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一切开发建设活动应符合国家、自治区主体功能区规划、自治区和各地颁布实施的生态环境功能区划和生态红线规划、国民经济发展规划、产业发展规划、城乡总体规划、土地利用规划等相关规划及重点生态功能区负面清单要求，符合区域或产业规划环评要求。</w:t>
            </w:r>
          </w:p>
        </w:tc>
        <w:tc>
          <w:tcPr>
            <w:tcW w:w="5953"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符合国家、自治区主体功能区规划、国民经济发展规划、生态环境保护规范以及“十四五”工业绿色发展规划、“十四五”原材料工业发展规划、“十四五”土壤、地下水和农村生态环境保护规划、“十四五”时期“无废城市”建设工作方案等要求，遵守《新疆生态环境功能区划》。</w:t>
            </w:r>
          </w:p>
        </w:tc>
        <w:tc>
          <w:tcPr>
            <w:tcW w:w="872"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tc>
          <w:tcPr>
            <w:tcW w:w="704" w:type="dxa"/>
            <w:vMerge/>
            <w:vAlign w:val="center"/>
          </w:tcPr>
          <w:p w:rsidR="00644456" w:rsidRDefault="00644456">
            <w:pPr>
              <w:jc w:val="center"/>
              <w:rPr>
                <w:rFonts w:cs="Times New Roman"/>
                <w:color w:val="000000" w:themeColor="text1"/>
                <w:kern w:val="0"/>
              </w:rPr>
            </w:pPr>
          </w:p>
        </w:tc>
        <w:tc>
          <w:tcPr>
            <w:tcW w:w="6521"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禁止在自然保护区、世界自然遗产地、风景名胜区、森林公园、地质公园、重要湿地、饮用水水源保护区等重点保护区域内及其它法律法规禁止的区域进行污染环境的任何开发活动。</w:t>
            </w:r>
          </w:p>
        </w:tc>
        <w:tc>
          <w:tcPr>
            <w:tcW w:w="5953"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本项目选址位于齐鲁生态钢城中的化工产业聚集区，不在禁止区域范围内。</w:t>
            </w:r>
          </w:p>
        </w:tc>
        <w:tc>
          <w:tcPr>
            <w:tcW w:w="872"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tc>
          <w:tcPr>
            <w:tcW w:w="704" w:type="dxa"/>
            <w:vMerge/>
            <w:vAlign w:val="center"/>
          </w:tcPr>
          <w:p w:rsidR="00644456" w:rsidRDefault="00644456">
            <w:pPr>
              <w:jc w:val="center"/>
              <w:rPr>
                <w:rFonts w:cs="Times New Roman"/>
                <w:color w:val="000000" w:themeColor="text1"/>
                <w:kern w:val="0"/>
              </w:rPr>
            </w:pPr>
          </w:p>
        </w:tc>
        <w:tc>
          <w:tcPr>
            <w:tcW w:w="6521"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遵循“谁开发谁保护，谁利用谁补偿”的原则，矿产资源开发项目要制定生态环境保护方案及生态修复方案并严格组织实施。</w:t>
            </w:r>
          </w:p>
        </w:tc>
        <w:tc>
          <w:tcPr>
            <w:tcW w:w="5953"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本项目属于危废处置行业，不涉及矿产资源开发。</w:t>
            </w:r>
          </w:p>
        </w:tc>
        <w:tc>
          <w:tcPr>
            <w:tcW w:w="872"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tc>
          <w:tcPr>
            <w:tcW w:w="704" w:type="dxa"/>
            <w:vMerge/>
            <w:vAlign w:val="center"/>
          </w:tcPr>
          <w:p w:rsidR="00644456" w:rsidRDefault="00644456">
            <w:pPr>
              <w:jc w:val="center"/>
              <w:rPr>
                <w:rFonts w:cs="Times New Roman"/>
                <w:color w:val="000000" w:themeColor="text1"/>
                <w:kern w:val="0"/>
              </w:rPr>
            </w:pPr>
          </w:p>
        </w:tc>
        <w:tc>
          <w:tcPr>
            <w:tcW w:w="6521"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建设项目用地原则上不得占用基本农田，确需占用基本农田的建设项目须符合《中华人民共和国基本农田保护条例》中相关要求，占用耕地、林地或草地的建设项目须按照国家、自治区相关补偿要求进行补偿。</w:t>
            </w:r>
          </w:p>
        </w:tc>
        <w:tc>
          <w:tcPr>
            <w:tcW w:w="5953"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本项目位于园区规划三类工业用地，不涉及基本农田、耕地、林地或草地占用。</w:t>
            </w:r>
          </w:p>
        </w:tc>
        <w:tc>
          <w:tcPr>
            <w:tcW w:w="872"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tc>
          <w:tcPr>
            <w:tcW w:w="704" w:type="dxa"/>
            <w:vMerge/>
            <w:vAlign w:val="center"/>
          </w:tcPr>
          <w:p w:rsidR="00644456" w:rsidRDefault="00644456">
            <w:pPr>
              <w:jc w:val="center"/>
              <w:rPr>
                <w:rFonts w:cs="Times New Roman"/>
                <w:color w:val="000000" w:themeColor="text1"/>
                <w:kern w:val="0"/>
              </w:rPr>
            </w:pPr>
          </w:p>
        </w:tc>
        <w:tc>
          <w:tcPr>
            <w:tcW w:w="6521"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新建、改建、扩建工业项目原则上应布置于由县级及以上人民政府批准建立、环境保护基础设施完善的产业园区、工业聚集区或规划矿区。选址和厂区布置不合理的现有污染企业应根据相关要求，通过“搬迁、转产、停产”等方式进行限期调整，退城进园。</w:t>
            </w:r>
          </w:p>
        </w:tc>
        <w:tc>
          <w:tcPr>
            <w:tcW w:w="5953"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本项目位于齐鲁生态钢城中的化工产业聚集区，选址符合园区产业布局及用地要求；</w:t>
            </w:r>
          </w:p>
        </w:tc>
        <w:tc>
          <w:tcPr>
            <w:tcW w:w="872"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tc>
          <w:tcPr>
            <w:tcW w:w="704" w:type="dxa"/>
            <w:vMerge/>
            <w:vAlign w:val="center"/>
          </w:tcPr>
          <w:p w:rsidR="00644456" w:rsidRDefault="00644456">
            <w:pPr>
              <w:jc w:val="center"/>
              <w:rPr>
                <w:rFonts w:cs="Times New Roman"/>
                <w:color w:val="000000" w:themeColor="text1"/>
                <w:kern w:val="0"/>
              </w:rPr>
            </w:pPr>
          </w:p>
        </w:tc>
        <w:tc>
          <w:tcPr>
            <w:tcW w:w="6521"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按照国家和自治区排污许可制规定，按期持证排污、按证排污，不得</w:t>
            </w:r>
            <w:r>
              <w:rPr>
                <w:rFonts w:cs="Times New Roman" w:hint="eastAsia"/>
                <w:color w:val="000000" w:themeColor="text1"/>
                <w:kern w:val="0"/>
              </w:rPr>
              <w:lastRenderedPageBreak/>
              <w:t>无证排污。新增污染物排放总量的建设项目必须落实污染物排放总量指标来源和污染物排放总量控制要求。总量指标需要交易的按照《新疆维吾尔自治区排污权有偿使用和交易工作实施细则（试行）》中相关要求进行。未按要求完成污染物总量削减任务的企业、流域或区域，不得建设新增相应污染物排放量的建设项目。</w:t>
            </w:r>
          </w:p>
        </w:tc>
        <w:tc>
          <w:tcPr>
            <w:tcW w:w="5953"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lastRenderedPageBreak/>
              <w:t>本次评价已提出项目运营前应依法取得排污许可证，按证排污。</w:t>
            </w:r>
          </w:p>
        </w:tc>
        <w:tc>
          <w:tcPr>
            <w:tcW w:w="872"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tc>
          <w:tcPr>
            <w:tcW w:w="704" w:type="dxa"/>
            <w:vMerge/>
            <w:vAlign w:val="center"/>
          </w:tcPr>
          <w:p w:rsidR="00644456" w:rsidRDefault="00644456">
            <w:pPr>
              <w:jc w:val="center"/>
              <w:rPr>
                <w:rFonts w:cs="Times New Roman"/>
                <w:color w:val="000000" w:themeColor="text1"/>
                <w:kern w:val="0"/>
              </w:rPr>
            </w:pPr>
          </w:p>
        </w:tc>
        <w:tc>
          <w:tcPr>
            <w:tcW w:w="6521"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存在环境风险的建设项目，提出有效的环境风险防范措施及环境风险应急预案编制原则和要求，纳入区域环境风险应急联动机制。各类工业园区和工业聚集区应设立环境应急管理机构，编制环境风险应急预案，并具备环境风险应急救援能力。</w:t>
            </w:r>
          </w:p>
        </w:tc>
        <w:tc>
          <w:tcPr>
            <w:tcW w:w="5953"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本报告已经提出相应的环境风险防控体系，企业需按照《建设项目环境风险评价技术导则》、《企业事业单位突发环境事件应急预案备案管理办法（试行）》（环发〔</w:t>
            </w:r>
            <w:r>
              <w:rPr>
                <w:rFonts w:cs="Times New Roman" w:hint="eastAsia"/>
                <w:color w:val="000000" w:themeColor="text1"/>
                <w:kern w:val="0"/>
              </w:rPr>
              <w:t>2015</w:t>
            </w:r>
            <w:r>
              <w:rPr>
                <w:rFonts w:cs="Times New Roman" w:hint="eastAsia"/>
                <w:color w:val="000000" w:themeColor="text1"/>
                <w:kern w:val="0"/>
              </w:rPr>
              <w:t>〕</w:t>
            </w:r>
            <w:r>
              <w:rPr>
                <w:rFonts w:cs="Times New Roman" w:hint="eastAsia"/>
                <w:color w:val="000000" w:themeColor="text1"/>
                <w:kern w:val="0"/>
              </w:rPr>
              <w:t>4</w:t>
            </w:r>
            <w:r>
              <w:rPr>
                <w:rFonts w:cs="Times New Roman" w:hint="eastAsia"/>
                <w:color w:val="000000" w:themeColor="text1"/>
                <w:kern w:val="0"/>
              </w:rPr>
              <w:t>号）等文件的要求编制突发环境事件应急预案，成立应急组织机构等要求，在落实各项风险防范措施后，可以有效降低事故发生的概率。同时建立与园区对接、联动的风险防范体系，提高应急处置能力。</w:t>
            </w:r>
          </w:p>
        </w:tc>
        <w:tc>
          <w:tcPr>
            <w:tcW w:w="872"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tc>
          <w:tcPr>
            <w:tcW w:w="704" w:type="dxa"/>
            <w:vMerge/>
            <w:vAlign w:val="center"/>
          </w:tcPr>
          <w:p w:rsidR="00644456" w:rsidRDefault="00644456">
            <w:pPr>
              <w:jc w:val="center"/>
              <w:rPr>
                <w:rFonts w:cs="Times New Roman"/>
                <w:color w:val="000000" w:themeColor="text1"/>
                <w:kern w:val="0"/>
              </w:rPr>
            </w:pPr>
          </w:p>
        </w:tc>
        <w:tc>
          <w:tcPr>
            <w:tcW w:w="6521"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建设项目清洁生产水平须达到国家清洁生产标准的国际先进、国内领先水平或满足清洁生产评价指标体系中的清洁生产企业要求。无国家清洁生产标准和清洁生产评价指标体系的建设项目，其生产工艺与装备要求、资源能源利用指标、污染物产生指标、废物回收利用指标、环境管理要求等各项指标水平须达到国内同行业现有企业先进水平。</w:t>
            </w:r>
          </w:p>
        </w:tc>
        <w:tc>
          <w:tcPr>
            <w:tcW w:w="5953"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根据后文分析，本项目生产工艺、设备装置、污染治理技术、清洁生产水平等应达到同行业国内先进水平。</w:t>
            </w:r>
          </w:p>
        </w:tc>
        <w:tc>
          <w:tcPr>
            <w:tcW w:w="872"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tc>
          <w:tcPr>
            <w:tcW w:w="704" w:type="dxa"/>
            <w:vMerge/>
            <w:vAlign w:val="center"/>
          </w:tcPr>
          <w:p w:rsidR="00644456" w:rsidRDefault="00644456">
            <w:pPr>
              <w:jc w:val="center"/>
              <w:rPr>
                <w:rFonts w:cs="Times New Roman"/>
                <w:color w:val="000000" w:themeColor="text1"/>
                <w:kern w:val="0"/>
              </w:rPr>
            </w:pPr>
          </w:p>
        </w:tc>
        <w:tc>
          <w:tcPr>
            <w:tcW w:w="6521"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鼓励合理利用资源、能源。尽可能采用天然气（煤层气、页岩气）、焦炉煤气、太阳能等清洁能源，生产过程中产生的余热、余气、余压须合理利用。采用天然气作原料的应符合天然气利用政策，高污染燃料的使用应符合本通则及其他相关政策要求。按照“清污分流、一水多用、循环使用”的原则，加强节水和统筹用水的管理。鼓励矿井水、中水利用，严格限制使用地下水，最大限度提高水的复用率，减少外排量或实现零排放。</w:t>
            </w:r>
          </w:p>
        </w:tc>
        <w:tc>
          <w:tcPr>
            <w:tcW w:w="5953"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本项目主要使用清洁能源天然气和电。本项目由市政管网供水，不涉及地下水使用；符合“清污分流、一水多用、循环使用”的原则。</w:t>
            </w:r>
          </w:p>
        </w:tc>
        <w:tc>
          <w:tcPr>
            <w:tcW w:w="872"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bl>
    <w:p w:rsidR="00644456" w:rsidRDefault="00644456">
      <w:pPr>
        <w:pStyle w:val="1f7"/>
      </w:pPr>
    </w:p>
    <w:p w:rsidR="00644456" w:rsidRDefault="00644456">
      <w:pPr>
        <w:pStyle w:val="1f7"/>
      </w:pPr>
    </w:p>
    <w:p w:rsidR="00644456" w:rsidRDefault="00644456">
      <w:pPr>
        <w:pStyle w:val="20"/>
        <w:snapToGrid w:val="0"/>
        <w:spacing w:beforeLines="0" w:before="0" w:afterLines="0" w:after="0"/>
        <w:ind w:firstLine="560"/>
        <w:rPr>
          <w:rFonts w:cs="Times New Roman"/>
          <w:color w:val="000000" w:themeColor="text1"/>
        </w:rPr>
        <w:sectPr w:rsidR="00644456">
          <w:pgSz w:w="16838" w:h="11906" w:orient="landscape"/>
          <w:pgMar w:top="1588" w:right="1389" w:bottom="1588" w:left="1389" w:header="851" w:footer="992" w:gutter="0"/>
          <w:pgNumType w:start="1"/>
          <w:cols w:space="720"/>
          <w:docGrid w:linePitch="312"/>
        </w:sectPr>
      </w:pPr>
      <w:bookmarkStart w:id="42" w:name="_Toc155789337"/>
      <w:bookmarkStart w:id="43" w:name="_Toc57377986"/>
      <w:bookmarkStart w:id="44" w:name="_Toc177216858"/>
    </w:p>
    <w:p w:rsidR="00644456" w:rsidRDefault="008031C4">
      <w:pPr>
        <w:pStyle w:val="20"/>
        <w:numPr>
          <w:ilvl w:val="1"/>
          <w:numId w:val="0"/>
        </w:numPr>
        <w:snapToGrid w:val="0"/>
        <w:spacing w:beforeLines="0" w:before="0" w:afterLines="0" w:after="0"/>
        <w:ind w:firstLine="560"/>
        <w:rPr>
          <w:rFonts w:cs="Times New Roman"/>
          <w:color w:val="000000" w:themeColor="text1"/>
        </w:rPr>
      </w:pPr>
      <w:r>
        <w:rPr>
          <w:rFonts w:cs="Times New Roman" w:hint="eastAsia"/>
          <w:color w:val="000000" w:themeColor="text1"/>
        </w:rPr>
        <w:lastRenderedPageBreak/>
        <w:t>1.4</w:t>
      </w:r>
      <w:r>
        <w:rPr>
          <w:rFonts w:cs="Times New Roman"/>
          <w:color w:val="000000" w:themeColor="text1"/>
        </w:rPr>
        <w:t>规划符合性分析</w:t>
      </w:r>
      <w:bookmarkEnd w:id="42"/>
      <w:bookmarkEnd w:id="43"/>
      <w:bookmarkEnd w:id="44"/>
    </w:p>
    <w:p w:rsidR="00644456" w:rsidRDefault="008031C4">
      <w:pPr>
        <w:pStyle w:val="3"/>
        <w:numPr>
          <w:ilvl w:val="2"/>
          <w:numId w:val="0"/>
        </w:numPr>
        <w:ind w:firstLineChars="200" w:firstLine="482"/>
      </w:pPr>
      <w:r>
        <w:rPr>
          <w:rFonts w:hint="eastAsia"/>
        </w:rPr>
        <w:t>1.4.1</w:t>
      </w:r>
      <w:r>
        <w:rPr>
          <w:rFonts w:hint="eastAsia"/>
        </w:rPr>
        <w:t>与相关产业发展规划的符合性</w:t>
      </w:r>
    </w:p>
    <w:p w:rsidR="00644456" w:rsidRDefault="008031C4">
      <w:pPr>
        <w:snapToGrid w:val="0"/>
        <w:spacing w:line="360" w:lineRule="auto"/>
        <w:ind w:firstLine="480"/>
        <w:rPr>
          <w:rFonts w:cs="Times New Roman"/>
          <w:b/>
          <w:bCs/>
          <w:color w:val="000000" w:themeColor="text1"/>
          <w:sz w:val="24"/>
          <w:szCs w:val="24"/>
        </w:rPr>
      </w:pPr>
      <w:r>
        <w:rPr>
          <w:rFonts w:cs="Times New Roman" w:hint="eastAsia"/>
          <w:b/>
          <w:bCs/>
          <w:color w:val="000000" w:themeColor="text1"/>
          <w:sz w:val="24"/>
          <w:szCs w:val="24"/>
        </w:rPr>
        <w:t>1</w:t>
      </w:r>
      <w:r>
        <w:rPr>
          <w:rFonts w:cs="Times New Roman" w:hint="eastAsia"/>
          <w:b/>
          <w:bCs/>
          <w:color w:val="000000" w:themeColor="text1"/>
          <w:sz w:val="24"/>
          <w:szCs w:val="24"/>
        </w:rPr>
        <w:t>、与《新疆维吾尔自治区国民经济和社会发展第十四个五年规划和</w:t>
      </w:r>
      <w:r>
        <w:rPr>
          <w:rFonts w:cs="Times New Roman" w:hint="eastAsia"/>
          <w:b/>
          <w:bCs/>
          <w:color w:val="000000" w:themeColor="text1"/>
          <w:sz w:val="24"/>
          <w:szCs w:val="24"/>
        </w:rPr>
        <w:t>2035</w:t>
      </w:r>
      <w:r>
        <w:rPr>
          <w:rFonts w:cs="Times New Roman" w:hint="eastAsia"/>
          <w:b/>
          <w:bCs/>
          <w:color w:val="000000" w:themeColor="text1"/>
          <w:sz w:val="24"/>
          <w:szCs w:val="24"/>
        </w:rPr>
        <w:t>年远景目标纲要》符合性分析</w:t>
      </w:r>
    </w:p>
    <w:p w:rsidR="00644456" w:rsidRDefault="008031C4">
      <w:pPr>
        <w:snapToGrid w:val="0"/>
        <w:spacing w:line="360" w:lineRule="auto"/>
        <w:ind w:firstLine="482"/>
        <w:rPr>
          <w:rFonts w:cs="Times New Roman"/>
          <w:color w:val="000000" w:themeColor="text1"/>
          <w:sz w:val="24"/>
          <w:szCs w:val="24"/>
        </w:rPr>
      </w:pPr>
      <w:r>
        <w:rPr>
          <w:rFonts w:cs="Times New Roman" w:hint="eastAsia"/>
          <w:color w:val="000000" w:themeColor="text1"/>
          <w:sz w:val="24"/>
          <w:szCs w:val="24"/>
        </w:rPr>
        <w:t>根据《新疆维吾尔自治区国民经济和社会发展第十四个五年规划和</w:t>
      </w:r>
      <w:r>
        <w:rPr>
          <w:rFonts w:cs="Times New Roman" w:hint="eastAsia"/>
          <w:color w:val="000000" w:themeColor="text1"/>
          <w:sz w:val="24"/>
          <w:szCs w:val="24"/>
        </w:rPr>
        <w:t>2035</w:t>
      </w:r>
      <w:r>
        <w:rPr>
          <w:rFonts w:cs="Times New Roman" w:hint="eastAsia"/>
          <w:color w:val="000000" w:themeColor="text1"/>
          <w:sz w:val="24"/>
          <w:szCs w:val="24"/>
        </w:rPr>
        <w:t>年远景目标纲要》：</w:t>
      </w:r>
    </w:p>
    <w:p w:rsidR="00644456" w:rsidRDefault="008031C4">
      <w:pPr>
        <w:snapToGrid w:val="0"/>
        <w:spacing w:line="360" w:lineRule="auto"/>
        <w:ind w:firstLine="482"/>
        <w:rPr>
          <w:rFonts w:cs="Times New Roman"/>
          <w:b/>
          <w:bCs/>
          <w:color w:val="000000" w:themeColor="text1"/>
          <w:sz w:val="24"/>
          <w:szCs w:val="24"/>
        </w:rPr>
      </w:pPr>
      <w:r>
        <w:rPr>
          <w:rFonts w:cs="Times New Roman" w:hint="eastAsia"/>
          <w:color w:val="000000" w:themeColor="text1"/>
          <w:sz w:val="24"/>
          <w:szCs w:val="24"/>
        </w:rPr>
        <w:t>第三篇</w:t>
      </w:r>
      <w:r>
        <w:rPr>
          <w:rFonts w:cs="Times New Roman"/>
          <w:color w:val="000000" w:themeColor="text1"/>
          <w:sz w:val="24"/>
          <w:szCs w:val="24"/>
        </w:rPr>
        <w:t>  </w:t>
      </w:r>
      <w:r>
        <w:rPr>
          <w:rFonts w:cs="Times New Roman" w:hint="eastAsia"/>
          <w:color w:val="000000" w:themeColor="text1"/>
          <w:sz w:val="24"/>
          <w:szCs w:val="24"/>
        </w:rPr>
        <w:t>大力发展节能环保产业。加快高效新型换热以及冷却技术和装备产业化、规模化生产应用。大力推广应用污染防治技术。</w:t>
      </w:r>
      <w:r>
        <w:rPr>
          <w:rFonts w:cs="Times New Roman" w:hint="eastAsia"/>
          <w:b/>
          <w:bCs/>
          <w:color w:val="000000" w:themeColor="text1"/>
          <w:sz w:val="24"/>
          <w:szCs w:val="24"/>
        </w:rPr>
        <w:t>加强资源化处理和利用</w:t>
      </w:r>
      <w:r>
        <w:rPr>
          <w:rFonts w:cs="Times New Roman" w:hint="eastAsia"/>
          <w:color w:val="000000" w:themeColor="text1"/>
          <w:sz w:val="24"/>
          <w:szCs w:val="24"/>
        </w:rPr>
        <w:t>，推动旧件拆解、清洗、装配、检测等再制造产业发展。</w:t>
      </w:r>
    </w:p>
    <w:p w:rsidR="00644456" w:rsidRDefault="008031C4">
      <w:pPr>
        <w:snapToGrid w:val="0"/>
        <w:spacing w:line="360" w:lineRule="auto"/>
        <w:ind w:firstLine="482"/>
        <w:rPr>
          <w:rFonts w:cs="Times New Roman"/>
          <w:color w:val="000000" w:themeColor="text1"/>
          <w:sz w:val="24"/>
          <w:szCs w:val="24"/>
        </w:rPr>
      </w:pPr>
      <w:r>
        <w:rPr>
          <w:rFonts w:cs="Times New Roman" w:hint="eastAsia"/>
          <w:color w:val="000000" w:themeColor="text1"/>
          <w:sz w:val="24"/>
          <w:szCs w:val="24"/>
        </w:rPr>
        <w:t>本项目属于废矿物油的再生利用工程，废矿物油不仅可以多次反复循环再生利用，对节能环保，发展循环经济都是一举多得的好事，属于十四五重点推动的行业及目标，加强资源化处理和利用，符合规划要求。</w:t>
      </w:r>
    </w:p>
    <w:p w:rsidR="00644456" w:rsidRDefault="008031C4">
      <w:pPr>
        <w:snapToGrid w:val="0"/>
        <w:spacing w:line="360" w:lineRule="auto"/>
        <w:ind w:firstLine="480"/>
        <w:rPr>
          <w:rFonts w:cs="Times New Roman"/>
          <w:b/>
          <w:bCs/>
          <w:color w:val="000000" w:themeColor="text1"/>
          <w:sz w:val="24"/>
          <w:szCs w:val="24"/>
        </w:rPr>
      </w:pPr>
      <w:r>
        <w:rPr>
          <w:rFonts w:cs="Times New Roman" w:hint="eastAsia"/>
          <w:b/>
          <w:bCs/>
          <w:color w:val="000000" w:themeColor="text1"/>
          <w:sz w:val="24"/>
          <w:szCs w:val="24"/>
        </w:rPr>
        <w:t>2</w:t>
      </w:r>
      <w:r>
        <w:rPr>
          <w:rFonts w:cs="Times New Roman" w:hint="eastAsia"/>
          <w:b/>
          <w:bCs/>
          <w:color w:val="000000" w:themeColor="text1"/>
          <w:sz w:val="24"/>
          <w:szCs w:val="24"/>
        </w:rPr>
        <w:t>、与</w:t>
      </w:r>
      <w:r>
        <w:rPr>
          <w:rFonts w:cs="Times New Roman"/>
          <w:b/>
          <w:bCs/>
          <w:color w:val="000000" w:themeColor="text1"/>
          <w:sz w:val="24"/>
          <w:szCs w:val="24"/>
        </w:rPr>
        <w:t>《</w:t>
      </w:r>
      <w:r>
        <w:rPr>
          <w:rFonts w:cs="Times New Roman" w:hint="eastAsia"/>
          <w:b/>
          <w:bCs/>
          <w:color w:val="000000" w:themeColor="text1"/>
          <w:sz w:val="24"/>
          <w:szCs w:val="24"/>
        </w:rPr>
        <w:t>喀什地区国民经济和社会发展第十四个五年规划和</w:t>
      </w:r>
      <w:r>
        <w:rPr>
          <w:rFonts w:cs="Times New Roman" w:hint="eastAsia"/>
          <w:b/>
          <w:bCs/>
          <w:color w:val="000000" w:themeColor="text1"/>
          <w:sz w:val="24"/>
          <w:szCs w:val="24"/>
        </w:rPr>
        <w:t>2035</w:t>
      </w:r>
      <w:r>
        <w:rPr>
          <w:rFonts w:cs="Times New Roman" w:hint="eastAsia"/>
          <w:b/>
          <w:bCs/>
          <w:color w:val="000000" w:themeColor="text1"/>
          <w:sz w:val="24"/>
          <w:szCs w:val="24"/>
        </w:rPr>
        <w:t>年远景目标纲要</w:t>
      </w:r>
      <w:r>
        <w:rPr>
          <w:rFonts w:cs="Times New Roman"/>
          <w:b/>
          <w:bCs/>
          <w:color w:val="000000" w:themeColor="text1"/>
          <w:sz w:val="24"/>
          <w:szCs w:val="24"/>
        </w:rPr>
        <w:t>》</w:t>
      </w:r>
      <w:r>
        <w:rPr>
          <w:rFonts w:cs="Times New Roman" w:hint="eastAsia"/>
          <w:b/>
          <w:bCs/>
          <w:color w:val="000000" w:themeColor="text1"/>
          <w:sz w:val="24"/>
          <w:szCs w:val="24"/>
        </w:rPr>
        <w:t>符合性分析</w:t>
      </w:r>
    </w:p>
    <w:p w:rsidR="00644456" w:rsidRDefault="008031C4">
      <w:pPr>
        <w:snapToGrid w:val="0"/>
        <w:spacing w:line="360" w:lineRule="auto"/>
        <w:ind w:firstLine="482"/>
        <w:rPr>
          <w:rFonts w:cs="Times New Roman"/>
          <w:b/>
          <w:bCs/>
          <w:color w:val="000000" w:themeColor="text1"/>
          <w:sz w:val="24"/>
          <w:szCs w:val="24"/>
        </w:rPr>
      </w:pPr>
      <w:r>
        <w:rPr>
          <w:rFonts w:cs="Times New Roman" w:hint="eastAsia"/>
          <w:color w:val="000000" w:themeColor="text1"/>
          <w:sz w:val="24"/>
          <w:szCs w:val="24"/>
        </w:rPr>
        <w:t>根据</w:t>
      </w:r>
      <w:r>
        <w:rPr>
          <w:rFonts w:cs="Times New Roman"/>
          <w:b/>
          <w:bCs/>
          <w:color w:val="000000" w:themeColor="text1"/>
          <w:sz w:val="24"/>
          <w:szCs w:val="24"/>
        </w:rPr>
        <w:t>《</w:t>
      </w:r>
      <w:r>
        <w:rPr>
          <w:rFonts w:cs="Times New Roman" w:hint="eastAsia"/>
          <w:b/>
          <w:bCs/>
          <w:color w:val="000000" w:themeColor="text1"/>
          <w:sz w:val="24"/>
          <w:szCs w:val="24"/>
        </w:rPr>
        <w:t>喀什地区国民经济和社会发展第十四个五年规划和</w:t>
      </w:r>
      <w:r>
        <w:rPr>
          <w:rFonts w:cs="Times New Roman" w:hint="eastAsia"/>
          <w:b/>
          <w:bCs/>
          <w:color w:val="000000" w:themeColor="text1"/>
          <w:sz w:val="24"/>
          <w:szCs w:val="24"/>
        </w:rPr>
        <w:t>2035</w:t>
      </w:r>
      <w:r>
        <w:rPr>
          <w:rFonts w:cs="Times New Roman" w:hint="eastAsia"/>
          <w:b/>
          <w:bCs/>
          <w:color w:val="000000" w:themeColor="text1"/>
          <w:sz w:val="24"/>
          <w:szCs w:val="24"/>
        </w:rPr>
        <w:t>年远景目标纲要</w:t>
      </w:r>
      <w:r>
        <w:rPr>
          <w:rFonts w:cs="Times New Roman"/>
          <w:b/>
          <w:bCs/>
          <w:color w:val="000000" w:themeColor="text1"/>
          <w:sz w:val="24"/>
          <w:szCs w:val="24"/>
        </w:rPr>
        <w:t>》</w:t>
      </w:r>
      <w:r>
        <w:rPr>
          <w:rFonts w:cs="Times New Roman" w:hint="eastAsia"/>
          <w:color w:val="000000" w:themeColor="text1"/>
          <w:sz w:val="24"/>
          <w:szCs w:val="24"/>
        </w:rPr>
        <w:t>：加快工业废渣和建筑废物资源化利用，发展水泥和路面材料等新材料。加大废旧家电回收利用，发展家电零配件。加强废旧汽车拆解回收利用，发展汽车配件。推动报废电子信息产品回收利用，发展电子产品部件。</w:t>
      </w:r>
      <w:r>
        <w:rPr>
          <w:rFonts w:cs="Times New Roman" w:hint="eastAsia"/>
          <w:b/>
          <w:bCs/>
          <w:color w:val="000000" w:themeColor="text1"/>
          <w:sz w:val="24"/>
          <w:szCs w:val="24"/>
        </w:rPr>
        <w:t>提高废旧铅酸电池回收利用，发展再生制造产品，发展节能环保产业。</w:t>
      </w:r>
      <w:r>
        <w:rPr>
          <w:rFonts w:cs="Times New Roman" w:hint="eastAsia"/>
          <w:color w:val="000000" w:themeColor="text1"/>
          <w:sz w:val="24"/>
          <w:szCs w:val="24"/>
        </w:rPr>
        <w:t>推进污水处理设施制造业发展，建设中小型平流式溶气气浮机、地埋式一体化污水处理设备、玻璃钢式和栅栏式污水处理设备、污水管制造项目。</w:t>
      </w:r>
    </w:p>
    <w:p w:rsidR="00644456" w:rsidRDefault="008031C4">
      <w:pPr>
        <w:snapToGrid w:val="0"/>
        <w:spacing w:line="360" w:lineRule="auto"/>
        <w:ind w:firstLine="482"/>
        <w:rPr>
          <w:rFonts w:cs="Times New Roman"/>
          <w:b/>
          <w:bCs/>
          <w:color w:val="000000" w:themeColor="text1"/>
          <w:sz w:val="24"/>
          <w:szCs w:val="24"/>
        </w:rPr>
      </w:pPr>
      <w:r>
        <w:rPr>
          <w:rFonts w:cs="Times New Roman" w:hint="eastAsia"/>
          <w:color w:val="000000" w:themeColor="text1"/>
          <w:sz w:val="24"/>
          <w:szCs w:val="24"/>
        </w:rPr>
        <w:t>本项目属于废矿油的再生利用工程，有效促进了废油再生利用的良性发展。采用“减压蒸馏</w:t>
      </w:r>
      <w:r>
        <w:rPr>
          <w:rFonts w:cs="Times New Roman" w:hint="eastAsia"/>
          <w:color w:val="000000" w:themeColor="text1"/>
          <w:sz w:val="24"/>
          <w:szCs w:val="24"/>
        </w:rPr>
        <w:t>+</w:t>
      </w:r>
      <w:r>
        <w:rPr>
          <w:rFonts w:cs="Times New Roman" w:hint="eastAsia"/>
          <w:color w:val="000000" w:themeColor="text1"/>
          <w:sz w:val="24"/>
          <w:szCs w:val="24"/>
        </w:rPr>
        <w:t>溶剂精制”工艺，废润滑油再生后获得润滑油基础油、再生尾油及燃料油三种产品，</w:t>
      </w:r>
      <w:r>
        <w:rPr>
          <w:rFonts w:cs="Times New Roman" w:hint="eastAsia"/>
          <w:b/>
          <w:bCs/>
          <w:color w:val="000000" w:themeColor="text1"/>
          <w:sz w:val="24"/>
          <w:szCs w:val="24"/>
        </w:rPr>
        <w:t>本项目位于疏勒高新技术产业开发区</w:t>
      </w:r>
      <w:r>
        <w:rPr>
          <w:rFonts w:cs="Times New Roman"/>
          <w:b/>
          <w:bCs/>
          <w:color w:val="000000" w:themeColor="text1"/>
          <w:sz w:val="24"/>
          <w:szCs w:val="24"/>
        </w:rPr>
        <w:t>，</w:t>
      </w:r>
      <w:r>
        <w:rPr>
          <w:rFonts w:cs="Times New Roman" w:hint="eastAsia"/>
          <w:b/>
          <w:bCs/>
          <w:color w:val="000000" w:themeColor="text1"/>
          <w:sz w:val="24"/>
          <w:szCs w:val="24"/>
        </w:rPr>
        <w:t>位于化工产业聚集区，本项目的建设有利于行业升级，项目符合规划要求</w:t>
      </w:r>
      <w:r>
        <w:rPr>
          <w:rFonts w:cs="Times New Roman"/>
          <w:b/>
          <w:bCs/>
          <w:color w:val="000000" w:themeColor="text1"/>
          <w:sz w:val="24"/>
          <w:szCs w:val="24"/>
        </w:rPr>
        <w:t>。</w:t>
      </w:r>
    </w:p>
    <w:p w:rsidR="00644456" w:rsidRDefault="008031C4">
      <w:pPr>
        <w:snapToGrid w:val="0"/>
        <w:spacing w:line="360" w:lineRule="auto"/>
        <w:ind w:firstLine="480"/>
        <w:rPr>
          <w:rFonts w:cs="Times New Roman"/>
          <w:b/>
          <w:bCs/>
          <w:color w:val="000000" w:themeColor="text1"/>
          <w:sz w:val="24"/>
          <w:szCs w:val="24"/>
        </w:rPr>
      </w:pPr>
      <w:r>
        <w:rPr>
          <w:rFonts w:cs="Times New Roman"/>
          <w:b/>
          <w:bCs/>
          <w:color w:val="000000" w:themeColor="text1"/>
          <w:sz w:val="24"/>
          <w:szCs w:val="24"/>
        </w:rPr>
        <w:t>3</w:t>
      </w:r>
      <w:r>
        <w:rPr>
          <w:rFonts w:cs="Times New Roman" w:hint="eastAsia"/>
          <w:b/>
          <w:bCs/>
          <w:color w:val="000000" w:themeColor="text1"/>
          <w:sz w:val="24"/>
          <w:szCs w:val="24"/>
        </w:rPr>
        <w:t>、与《自治区危险废物处置利用设施建设布局指导意见》符合性分析</w:t>
      </w:r>
    </w:p>
    <w:p w:rsidR="00644456" w:rsidRDefault="008031C4">
      <w:pPr>
        <w:snapToGrid w:val="0"/>
        <w:spacing w:line="360" w:lineRule="auto"/>
        <w:ind w:firstLine="482"/>
        <w:rPr>
          <w:rFonts w:cs="Times New Roman"/>
          <w:color w:val="000000" w:themeColor="text1"/>
          <w:sz w:val="24"/>
          <w:szCs w:val="24"/>
        </w:rPr>
      </w:pPr>
      <w:r>
        <w:rPr>
          <w:rFonts w:cs="Times New Roman" w:hint="eastAsia"/>
          <w:color w:val="000000" w:themeColor="text1"/>
          <w:sz w:val="24"/>
          <w:szCs w:val="24"/>
        </w:rPr>
        <w:t>新疆维吾尔自治区人民政府办公厅于</w:t>
      </w:r>
      <w:r>
        <w:rPr>
          <w:rFonts w:cs="Times New Roman" w:hint="eastAsia"/>
          <w:color w:val="000000" w:themeColor="text1"/>
          <w:sz w:val="24"/>
          <w:szCs w:val="24"/>
        </w:rPr>
        <w:t>2018</w:t>
      </w:r>
      <w:r>
        <w:rPr>
          <w:rFonts w:cs="Times New Roman" w:hint="eastAsia"/>
          <w:color w:val="000000" w:themeColor="text1"/>
          <w:sz w:val="24"/>
          <w:szCs w:val="24"/>
        </w:rPr>
        <w:t>年</w:t>
      </w:r>
      <w:r>
        <w:rPr>
          <w:rFonts w:cs="Times New Roman" w:hint="eastAsia"/>
          <w:color w:val="000000" w:themeColor="text1"/>
          <w:sz w:val="24"/>
          <w:szCs w:val="24"/>
        </w:rPr>
        <w:t>9</w:t>
      </w:r>
      <w:r>
        <w:rPr>
          <w:rFonts w:cs="Times New Roman" w:hint="eastAsia"/>
          <w:color w:val="000000" w:themeColor="text1"/>
          <w:sz w:val="24"/>
          <w:szCs w:val="24"/>
        </w:rPr>
        <w:t>月</w:t>
      </w:r>
      <w:r>
        <w:rPr>
          <w:rFonts w:cs="Times New Roman" w:hint="eastAsia"/>
          <w:color w:val="000000" w:themeColor="text1"/>
          <w:sz w:val="24"/>
          <w:szCs w:val="24"/>
        </w:rPr>
        <w:t>20</w:t>
      </w:r>
      <w:r>
        <w:rPr>
          <w:rFonts w:cs="Times New Roman" w:hint="eastAsia"/>
          <w:color w:val="000000" w:themeColor="text1"/>
          <w:sz w:val="24"/>
          <w:szCs w:val="24"/>
        </w:rPr>
        <w:t>日印发《自治区危险废物处置利用设施建设布局指导意见》，本项目与该指导意见的符合性见表</w:t>
      </w:r>
      <w:r>
        <w:rPr>
          <w:rFonts w:cs="Times New Roman" w:hint="eastAsia"/>
          <w:color w:val="000000" w:themeColor="text1"/>
          <w:sz w:val="24"/>
          <w:szCs w:val="24"/>
        </w:rPr>
        <w:t>1.4-1</w:t>
      </w:r>
      <w:r>
        <w:rPr>
          <w:rFonts w:cs="Times New Roman" w:hint="eastAsia"/>
          <w:color w:val="000000" w:themeColor="text1"/>
          <w:sz w:val="24"/>
          <w:szCs w:val="24"/>
        </w:rPr>
        <w:t>。</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1.4-1</w:t>
      </w:r>
      <w:r>
        <w:rPr>
          <w:rFonts w:ascii="Times New Roman" w:eastAsia="宋体" w:hAnsi="Times New Roman" w:cs="Times New Roman" w:hint="eastAsia"/>
          <w:b/>
          <w:color w:val="000000" w:themeColor="text1"/>
          <w:sz w:val="24"/>
        </w:rPr>
        <w:t>本项目与《自治区危险废物处置利用设施建设布局指导意见》的符合性</w:t>
      </w:r>
    </w:p>
    <w:tbl>
      <w:tblPr>
        <w:tblStyle w:val="affff4"/>
        <w:tblW w:w="0" w:type="auto"/>
        <w:tblLook w:val="04A0" w:firstRow="1" w:lastRow="0" w:firstColumn="1" w:lastColumn="0" w:noHBand="0" w:noVBand="1"/>
      </w:tblPr>
      <w:tblGrid>
        <w:gridCol w:w="704"/>
        <w:gridCol w:w="851"/>
        <w:gridCol w:w="3677"/>
        <w:gridCol w:w="2560"/>
        <w:gridCol w:w="928"/>
      </w:tblGrid>
      <w:tr w:rsidR="00644456">
        <w:tc>
          <w:tcPr>
            <w:tcW w:w="70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序号</w:t>
            </w:r>
          </w:p>
        </w:tc>
        <w:tc>
          <w:tcPr>
            <w:tcW w:w="851"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项目</w:t>
            </w:r>
          </w:p>
        </w:tc>
        <w:tc>
          <w:tcPr>
            <w:tcW w:w="367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规范要求</w:t>
            </w:r>
          </w:p>
        </w:tc>
        <w:tc>
          <w:tcPr>
            <w:tcW w:w="2560"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本项目情况</w:t>
            </w:r>
          </w:p>
        </w:tc>
        <w:tc>
          <w:tcPr>
            <w:tcW w:w="928"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符合性</w:t>
            </w:r>
          </w:p>
        </w:tc>
      </w:tr>
      <w:tr w:rsidR="00644456">
        <w:tc>
          <w:tcPr>
            <w:tcW w:w="70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1</w:t>
            </w:r>
          </w:p>
        </w:tc>
        <w:tc>
          <w:tcPr>
            <w:tcW w:w="851"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基本</w:t>
            </w:r>
          </w:p>
          <w:p w:rsidR="00644456" w:rsidRDefault="008031C4">
            <w:pPr>
              <w:jc w:val="center"/>
              <w:rPr>
                <w:rFonts w:cs="Times New Roman"/>
                <w:color w:val="000000" w:themeColor="text1"/>
                <w:kern w:val="0"/>
              </w:rPr>
            </w:pPr>
            <w:r>
              <w:rPr>
                <w:rFonts w:cs="Times New Roman" w:hint="eastAsia"/>
                <w:color w:val="000000" w:themeColor="text1"/>
                <w:kern w:val="0"/>
              </w:rPr>
              <w:lastRenderedPageBreak/>
              <w:t>原则</w:t>
            </w:r>
          </w:p>
        </w:tc>
        <w:tc>
          <w:tcPr>
            <w:tcW w:w="367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lastRenderedPageBreak/>
              <w:t>就近布置。以危险废物重点生产区域</w:t>
            </w:r>
            <w:r>
              <w:rPr>
                <w:rFonts w:cs="Times New Roman" w:hint="eastAsia"/>
                <w:color w:val="000000" w:themeColor="text1"/>
                <w:kern w:val="0"/>
              </w:rPr>
              <w:lastRenderedPageBreak/>
              <w:t>为单元，结合各类危险废物产生量、处置利用量及其变化趋势，布局建设一批危险废物处置利用设施，实现危险废物就近处置利用。统筹建设专业化、规模化、综合性危险废物处理处置设施，为重点区域危险废物处置利用提供兜底和应急保障；</w:t>
            </w:r>
          </w:p>
        </w:tc>
        <w:tc>
          <w:tcPr>
            <w:tcW w:w="2560"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lastRenderedPageBreak/>
              <w:t>项目位于疏勒高新技术产</w:t>
            </w:r>
            <w:r>
              <w:rPr>
                <w:rFonts w:cs="Times New Roman" w:hint="eastAsia"/>
                <w:color w:val="000000" w:themeColor="text1"/>
                <w:kern w:val="0"/>
              </w:rPr>
              <w:lastRenderedPageBreak/>
              <w:t>业开发区，项目主要为疏勒县及周边的企业服务，对其生产中产生的废润滑油进行集中收集再生利用，项目建设可实现项目周边区域的废润滑油的就近利用</w:t>
            </w:r>
          </w:p>
        </w:tc>
        <w:tc>
          <w:tcPr>
            <w:tcW w:w="928"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lastRenderedPageBreak/>
              <w:t>符合</w:t>
            </w:r>
          </w:p>
        </w:tc>
      </w:tr>
      <w:tr w:rsidR="00644456">
        <w:tc>
          <w:tcPr>
            <w:tcW w:w="704"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2</w:t>
            </w:r>
          </w:p>
        </w:tc>
        <w:tc>
          <w:tcPr>
            <w:tcW w:w="851"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主要</w:t>
            </w:r>
          </w:p>
          <w:p w:rsidR="00644456" w:rsidRDefault="008031C4">
            <w:pPr>
              <w:jc w:val="center"/>
              <w:rPr>
                <w:rFonts w:cs="Times New Roman"/>
                <w:color w:val="000000" w:themeColor="text1"/>
                <w:kern w:val="0"/>
              </w:rPr>
            </w:pPr>
            <w:r>
              <w:rPr>
                <w:rFonts w:cs="Times New Roman" w:hint="eastAsia"/>
                <w:color w:val="000000" w:themeColor="text1"/>
                <w:kern w:val="0"/>
              </w:rPr>
              <w:t>指标</w:t>
            </w:r>
          </w:p>
        </w:tc>
        <w:tc>
          <w:tcPr>
            <w:tcW w:w="367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市场引领，总量控制。坚持政府主导、市场引领、企业主体，积极引导和鼓励社会资本参与危险废物处置利用设施建设和运营。对有一定回收利用介质，能通过市场调动企业回收利用积极性的危险废物，以企业为主体推进处置利用设施建设；</w:t>
            </w:r>
          </w:p>
        </w:tc>
        <w:tc>
          <w:tcPr>
            <w:tcW w:w="2560"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本项目由喀什正启节能环保科技有限公司自筹资金建设，对废润滑油进行再生利用。</w:t>
            </w:r>
          </w:p>
        </w:tc>
        <w:tc>
          <w:tcPr>
            <w:tcW w:w="928"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tc>
          <w:tcPr>
            <w:tcW w:w="704" w:type="dxa"/>
            <w:vMerge/>
            <w:vAlign w:val="center"/>
          </w:tcPr>
          <w:p w:rsidR="00644456" w:rsidRDefault="00644456">
            <w:pPr>
              <w:jc w:val="center"/>
              <w:rPr>
                <w:rFonts w:cs="Times New Roman"/>
                <w:color w:val="000000" w:themeColor="text1"/>
                <w:kern w:val="0"/>
              </w:rPr>
            </w:pPr>
          </w:p>
        </w:tc>
        <w:tc>
          <w:tcPr>
            <w:tcW w:w="851" w:type="dxa"/>
            <w:vMerge/>
            <w:vAlign w:val="center"/>
          </w:tcPr>
          <w:p w:rsidR="00644456" w:rsidRDefault="00644456">
            <w:pPr>
              <w:jc w:val="center"/>
              <w:rPr>
                <w:rFonts w:cs="Times New Roman"/>
                <w:color w:val="000000" w:themeColor="text1"/>
                <w:kern w:val="0"/>
              </w:rPr>
            </w:pPr>
          </w:p>
        </w:tc>
        <w:tc>
          <w:tcPr>
            <w:tcW w:w="367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到</w:t>
            </w:r>
            <w:r>
              <w:rPr>
                <w:rFonts w:cs="Times New Roman" w:hint="eastAsia"/>
                <w:color w:val="000000" w:themeColor="text1"/>
                <w:kern w:val="0"/>
              </w:rPr>
              <w:t>2020</w:t>
            </w:r>
            <w:r>
              <w:rPr>
                <w:rFonts w:cs="Times New Roman" w:hint="eastAsia"/>
                <w:color w:val="000000" w:themeColor="text1"/>
                <w:kern w:val="0"/>
              </w:rPr>
              <w:t>年底，全区危险废物集中处置利用能力达到</w:t>
            </w:r>
            <w:r>
              <w:rPr>
                <w:rFonts w:cs="Times New Roman" w:hint="eastAsia"/>
                <w:color w:val="000000" w:themeColor="text1"/>
                <w:kern w:val="0"/>
              </w:rPr>
              <w:t>200</w:t>
            </w:r>
            <w:r>
              <w:rPr>
                <w:rFonts w:cs="Times New Roman" w:hint="eastAsia"/>
                <w:color w:val="000000" w:themeColor="text1"/>
                <w:kern w:val="0"/>
              </w:rPr>
              <w:t>万吨</w:t>
            </w:r>
            <w:r>
              <w:rPr>
                <w:rFonts w:cs="Times New Roman" w:hint="eastAsia"/>
                <w:color w:val="000000" w:themeColor="text1"/>
                <w:kern w:val="0"/>
              </w:rPr>
              <w:t>/</w:t>
            </w:r>
            <w:r>
              <w:rPr>
                <w:rFonts w:cs="Times New Roman" w:hint="eastAsia"/>
                <w:color w:val="000000" w:themeColor="text1"/>
                <w:kern w:val="0"/>
              </w:rPr>
              <w:t>年；到</w:t>
            </w:r>
            <w:r>
              <w:rPr>
                <w:rFonts w:cs="Times New Roman" w:hint="eastAsia"/>
                <w:color w:val="000000" w:themeColor="text1"/>
                <w:kern w:val="0"/>
              </w:rPr>
              <w:t>2023</w:t>
            </w:r>
            <w:r>
              <w:rPr>
                <w:rFonts w:cs="Times New Roman" w:hint="eastAsia"/>
                <w:color w:val="000000" w:themeColor="text1"/>
                <w:kern w:val="0"/>
              </w:rPr>
              <w:t>，全区危险废物处置利用能力达到</w:t>
            </w:r>
            <w:r>
              <w:rPr>
                <w:rFonts w:cs="Times New Roman" w:hint="eastAsia"/>
                <w:color w:val="000000" w:themeColor="text1"/>
                <w:kern w:val="0"/>
              </w:rPr>
              <w:t>230</w:t>
            </w:r>
            <w:r>
              <w:rPr>
                <w:rFonts w:cs="Times New Roman" w:hint="eastAsia"/>
                <w:color w:val="000000" w:themeColor="text1"/>
                <w:kern w:val="0"/>
              </w:rPr>
              <w:t>万吨</w:t>
            </w:r>
            <w:r>
              <w:rPr>
                <w:rFonts w:cs="Times New Roman" w:hint="eastAsia"/>
                <w:color w:val="000000" w:themeColor="text1"/>
                <w:kern w:val="0"/>
              </w:rPr>
              <w:t>/</w:t>
            </w:r>
            <w:r>
              <w:rPr>
                <w:rFonts w:cs="Times New Roman" w:hint="eastAsia"/>
                <w:color w:val="000000" w:themeColor="text1"/>
                <w:kern w:val="0"/>
              </w:rPr>
              <w:t>年。</w:t>
            </w:r>
          </w:p>
        </w:tc>
        <w:tc>
          <w:tcPr>
            <w:tcW w:w="2560"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本项目处理规模为</w:t>
            </w:r>
            <w:r>
              <w:rPr>
                <w:rFonts w:cs="Times New Roman" w:hint="eastAsia"/>
                <w:color w:val="000000" w:themeColor="text1"/>
                <w:kern w:val="0"/>
              </w:rPr>
              <w:t>3</w:t>
            </w:r>
            <w:r>
              <w:rPr>
                <w:rFonts w:cs="Times New Roman" w:hint="eastAsia"/>
                <w:color w:val="000000" w:themeColor="text1"/>
                <w:kern w:val="0"/>
              </w:rPr>
              <w:t>万</w:t>
            </w:r>
            <w:r>
              <w:rPr>
                <w:rFonts w:cs="Times New Roman" w:hint="eastAsia"/>
                <w:color w:val="000000" w:themeColor="text1"/>
                <w:kern w:val="0"/>
              </w:rPr>
              <w:t>t/a</w:t>
            </w:r>
            <w:r>
              <w:rPr>
                <w:rFonts w:cs="Times New Roman" w:hint="eastAsia"/>
                <w:color w:val="000000" w:themeColor="text1"/>
                <w:kern w:val="0"/>
              </w:rPr>
              <w:t>，项目建成可促进全区危险废物处置能力的建设</w:t>
            </w:r>
          </w:p>
        </w:tc>
        <w:tc>
          <w:tcPr>
            <w:tcW w:w="928"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tc>
          <w:tcPr>
            <w:tcW w:w="704"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3</w:t>
            </w:r>
          </w:p>
        </w:tc>
        <w:tc>
          <w:tcPr>
            <w:tcW w:w="851"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选址</w:t>
            </w:r>
          </w:p>
          <w:p w:rsidR="00644456" w:rsidRDefault="008031C4">
            <w:pPr>
              <w:jc w:val="center"/>
              <w:rPr>
                <w:rFonts w:cs="Times New Roman"/>
                <w:color w:val="000000" w:themeColor="text1"/>
                <w:kern w:val="0"/>
              </w:rPr>
            </w:pPr>
            <w:r>
              <w:rPr>
                <w:rFonts w:cs="Times New Roman" w:hint="eastAsia"/>
                <w:color w:val="000000" w:themeColor="text1"/>
                <w:kern w:val="0"/>
              </w:rPr>
              <w:t>和规</w:t>
            </w:r>
          </w:p>
          <w:p w:rsidR="00644456" w:rsidRDefault="008031C4">
            <w:pPr>
              <w:jc w:val="center"/>
              <w:rPr>
                <w:rFonts w:cs="Times New Roman"/>
                <w:color w:val="000000" w:themeColor="text1"/>
                <w:kern w:val="0"/>
              </w:rPr>
            </w:pPr>
            <w:r>
              <w:rPr>
                <w:rFonts w:cs="Times New Roman" w:hint="eastAsia"/>
                <w:color w:val="000000" w:themeColor="text1"/>
                <w:kern w:val="0"/>
              </w:rPr>
              <w:t>模意</w:t>
            </w:r>
          </w:p>
          <w:p w:rsidR="00644456" w:rsidRDefault="008031C4">
            <w:pPr>
              <w:jc w:val="center"/>
              <w:rPr>
                <w:rFonts w:cs="Times New Roman"/>
                <w:color w:val="000000" w:themeColor="text1"/>
                <w:kern w:val="0"/>
              </w:rPr>
            </w:pPr>
            <w:r>
              <w:rPr>
                <w:rFonts w:cs="Times New Roman" w:hint="eastAsia"/>
                <w:color w:val="000000" w:themeColor="text1"/>
                <w:kern w:val="0"/>
              </w:rPr>
              <w:t>见</w:t>
            </w:r>
          </w:p>
        </w:tc>
        <w:tc>
          <w:tcPr>
            <w:tcW w:w="367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危险废物处置利用设施选址应符合城市总体规划、环境保护专业规划和当地大气污染防治、水资源保护、自然生态保护要求，综合考虑危险废物处置利用设施的服务区域、交通、土地利用现状、基础设施状况、运输距离及公众意见等，以及区域工程地质和水文地质条件，最终的厂址还应通过环境影响和环境风险评价确定</w:t>
            </w:r>
          </w:p>
        </w:tc>
        <w:tc>
          <w:tcPr>
            <w:tcW w:w="2560"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项目位于疏勒高新技术产业开发区，符合相关规划疏勒县规划要求，本项目环评结论符合要求，选址合理</w:t>
            </w:r>
          </w:p>
        </w:tc>
        <w:tc>
          <w:tcPr>
            <w:tcW w:w="928"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tc>
          <w:tcPr>
            <w:tcW w:w="704" w:type="dxa"/>
            <w:vMerge/>
            <w:vAlign w:val="center"/>
          </w:tcPr>
          <w:p w:rsidR="00644456" w:rsidRDefault="00644456">
            <w:pPr>
              <w:jc w:val="center"/>
              <w:rPr>
                <w:rFonts w:cs="Times New Roman"/>
                <w:color w:val="000000" w:themeColor="text1"/>
                <w:kern w:val="0"/>
              </w:rPr>
            </w:pPr>
          </w:p>
        </w:tc>
        <w:tc>
          <w:tcPr>
            <w:tcW w:w="851" w:type="dxa"/>
            <w:vMerge/>
            <w:vAlign w:val="center"/>
          </w:tcPr>
          <w:p w:rsidR="00644456" w:rsidRDefault="00644456">
            <w:pPr>
              <w:jc w:val="center"/>
              <w:rPr>
                <w:rFonts w:cs="Times New Roman"/>
                <w:color w:val="000000" w:themeColor="text1"/>
                <w:kern w:val="0"/>
              </w:rPr>
            </w:pPr>
          </w:p>
        </w:tc>
        <w:tc>
          <w:tcPr>
            <w:tcW w:w="367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实行处置能力区域总量控制，鼓励合理适度竞争，防止垄断和产能过剩。现有、已建（包括已办理完相关环评审批手续并在建）某类危险废物处置利用设施能够满足近远期危险废物处置利用需求或已经达到地州、市区域此类危险废物产生量的</w:t>
            </w:r>
            <w:r>
              <w:rPr>
                <w:rFonts w:cs="Times New Roman" w:hint="eastAsia"/>
                <w:color w:val="000000" w:themeColor="text1"/>
                <w:kern w:val="0"/>
              </w:rPr>
              <w:t>1.3</w:t>
            </w:r>
            <w:r>
              <w:rPr>
                <w:rFonts w:cs="Times New Roman" w:hint="eastAsia"/>
                <w:color w:val="000000" w:themeColor="text1"/>
                <w:kern w:val="0"/>
              </w:rPr>
              <w:t>倍时，严格控制区域内新建同种类型的危险废物处置设施（采用国家鼓励的先进工艺、以“等量替换”或“减量置换”代替已有落后工艺产能、提升全区工艺水平的项目除外）；</w:t>
            </w:r>
          </w:p>
        </w:tc>
        <w:tc>
          <w:tcPr>
            <w:tcW w:w="2560"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根据喀什地区生态环境局疏勒县分区出具的《关于喀什正启节能环保科技有限公司废矿物油再生与利用项目落户征求意见的复函》以及喀什地区生态环境局出具的《关于征求化工项目落地意见建议的函的复函》：在符合该园区产业布局的前提下，无意见，本项目符合要求。</w:t>
            </w:r>
          </w:p>
        </w:tc>
        <w:tc>
          <w:tcPr>
            <w:tcW w:w="928"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tc>
          <w:tcPr>
            <w:tcW w:w="70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4</w:t>
            </w:r>
          </w:p>
        </w:tc>
        <w:tc>
          <w:tcPr>
            <w:tcW w:w="851"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布局</w:t>
            </w:r>
          </w:p>
          <w:p w:rsidR="00644456" w:rsidRDefault="008031C4">
            <w:pPr>
              <w:jc w:val="center"/>
              <w:rPr>
                <w:rFonts w:cs="Times New Roman"/>
                <w:color w:val="000000" w:themeColor="text1"/>
                <w:kern w:val="0"/>
              </w:rPr>
            </w:pPr>
            <w:r>
              <w:rPr>
                <w:rFonts w:cs="Times New Roman" w:hint="eastAsia"/>
                <w:color w:val="000000" w:themeColor="text1"/>
                <w:kern w:val="0"/>
              </w:rPr>
              <w:t>意见</w:t>
            </w:r>
          </w:p>
        </w:tc>
        <w:tc>
          <w:tcPr>
            <w:tcW w:w="367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对可资源化回收利用的危险废物产生量大且现有处置利用能力不足的区域，鼓励引导社会资本加快危险废物资源化处置利用设施建设，处置能力不足的危险废物处置利用设施建设。在准东经济技术开发区、农七师五五工业园区，昌吉州、哈密市、巴州、阿克苏地区、克拉玛依市、奎</w:t>
            </w:r>
            <w:r>
              <w:rPr>
                <w:rFonts w:cs="Times New Roman" w:hint="eastAsia"/>
                <w:color w:val="000000" w:themeColor="text1"/>
                <w:kern w:val="0"/>
              </w:rPr>
              <w:t>-</w:t>
            </w:r>
            <w:r>
              <w:rPr>
                <w:rFonts w:cs="Times New Roman" w:hint="eastAsia"/>
                <w:color w:val="000000" w:themeColor="text1"/>
                <w:kern w:val="0"/>
              </w:rPr>
              <w:t>独</w:t>
            </w:r>
            <w:r>
              <w:rPr>
                <w:rFonts w:cs="Times New Roman" w:hint="eastAsia"/>
                <w:color w:val="000000" w:themeColor="text1"/>
                <w:kern w:val="0"/>
              </w:rPr>
              <w:t>-</w:t>
            </w:r>
            <w:r>
              <w:rPr>
                <w:rFonts w:cs="Times New Roman" w:hint="eastAsia"/>
                <w:color w:val="000000" w:themeColor="text1"/>
                <w:kern w:val="0"/>
              </w:rPr>
              <w:t>乌区域、石河子市等区域形成危险废物资源化回收利用能力废有机溶剂</w:t>
            </w:r>
            <w:r>
              <w:rPr>
                <w:rFonts w:cs="Times New Roman" w:hint="eastAsia"/>
                <w:color w:val="000000" w:themeColor="text1"/>
                <w:kern w:val="0"/>
              </w:rPr>
              <w:t>50-65</w:t>
            </w:r>
            <w:r>
              <w:rPr>
                <w:rFonts w:cs="Times New Roman" w:hint="eastAsia"/>
                <w:color w:val="000000" w:themeColor="text1"/>
                <w:kern w:val="0"/>
              </w:rPr>
              <w:t>万吨</w:t>
            </w:r>
            <w:r>
              <w:rPr>
                <w:rFonts w:cs="Times New Roman" w:hint="eastAsia"/>
                <w:color w:val="000000" w:themeColor="text1"/>
                <w:kern w:val="0"/>
              </w:rPr>
              <w:t>/</w:t>
            </w:r>
            <w:r>
              <w:rPr>
                <w:rFonts w:cs="Times New Roman" w:hint="eastAsia"/>
                <w:color w:val="000000" w:themeColor="text1"/>
                <w:kern w:val="0"/>
              </w:rPr>
              <w:t>年、电解铝大修渣</w:t>
            </w:r>
            <w:r>
              <w:rPr>
                <w:rFonts w:cs="Times New Roman" w:hint="eastAsia"/>
                <w:color w:val="000000" w:themeColor="text1"/>
                <w:kern w:val="0"/>
              </w:rPr>
              <w:t>3-4.5</w:t>
            </w:r>
            <w:r>
              <w:rPr>
                <w:rFonts w:cs="Times New Roman" w:hint="eastAsia"/>
                <w:color w:val="000000" w:themeColor="text1"/>
                <w:kern w:val="0"/>
              </w:rPr>
              <w:t>万吨</w:t>
            </w:r>
            <w:r>
              <w:rPr>
                <w:rFonts w:cs="Times New Roman" w:hint="eastAsia"/>
                <w:color w:val="000000" w:themeColor="text1"/>
                <w:kern w:val="0"/>
              </w:rPr>
              <w:t>/</w:t>
            </w:r>
            <w:r>
              <w:rPr>
                <w:rFonts w:cs="Times New Roman" w:hint="eastAsia"/>
                <w:color w:val="000000" w:themeColor="text1"/>
                <w:kern w:val="0"/>
              </w:rPr>
              <w:t>年、铝灰</w:t>
            </w:r>
            <w:r>
              <w:rPr>
                <w:rFonts w:cs="Times New Roman" w:hint="eastAsia"/>
                <w:color w:val="000000" w:themeColor="text1"/>
                <w:kern w:val="0"/>
              </w:rPr>
              <w:t>20</w:t>
            </w:r>
            <w:r>
              <w:rPr>
                <w:rFonts w:cs="Times New Roman" w:hint="eastAsia"/>
                <w:color w:val="000000" w:themeColor="text1"/>
                <w:kern w:val="0"/>
              </w:rPr>
              <w:t>万吨</w:t>
            </w:r>
            <w:r>
              <w:rPr>
                <w:rFonts w:cs="Times New Roman" w:hint="eastAsia"/>
                <w:color w:val="000000" w:themeColor="text1"/>
                <w:kern w:val="0"/>
              </w:rPr>
              <w:t>/</w:t>
            </w:r>
            <w:r>
              <w:rPr>
                <w:rFonts w:cs="Times New Roman" w:hint="eastAsia"/>
                <w:color w:val="000000" w:themeColor="text1"/>
                <w:kern w:val="0"/>
              </w:rPr>
              <w:t>年、废冶炼渣</w:t>
            </w:r>
            <w:r>
              <w:rPr>
                <w:rFonts w:cs="Times New Roman" w:hint="eastAsia"/>
                <w:color w:val="000000" w:themeColor="text1"/>
                <w:kern w:val="0"/>
              </w:rPr>
              <w:t>8</w:t>
            </w:r>
            <w:r>
              <w:rPr>
                <w:rFonts w:cs="Times New Roman" w:hint="eastAsia"/>
                <w:color w:val="000000" w:themeColor="text1"/>
                <w:kern w:val="0"/>
              </w:rPr>
              <w:t>万吨</w:t>
            </w:r>
            <w:r>
              <w:rPr>
                <w:rFonts w:cs="Times New Roman" w:hint="eastAsia"/>
                <w:color w:val="000000" w:themeColor="text1"/>
                <w:kern w:val="0"/>
              </w:rPr>
              <w:t>/</w:t>
            </w:r>
          </w:p>
        </w:tc>
        <w:tc>
          <w:tcPr>
            <w:tcW w:w="2560"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本项目位于喀什地区，目前喀什地区的废矿物油的资源化利用能力不足，本项目的建设可促进喀什地区的废矿物油的再生利用能力的建设</w:t>
            </w:r>
          </w:p>
        </w:tc>
        <w:tc>
          <w:tcPr>
            <w:tcW w:w="928"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bl>
    <w:p w:rsidR="00644456" w:rsidRDefault="008031C4">
      <w:pPr>
        <w:pStyle w:val="1f7"/>
      </w:pPr>
      <w:r>
        <w:rPr>
          <w:rFonts w:hint="eastAsia"/>
        </w:rPr>
        <w:lastRenderedPageBreak/>
        <w:t>由以上对比分析可以看出，项目建设符合《自治区危险废物处置利用设施建设布局指导意见》的要求。</w:t>
      </w:r>
    </w:p>
    <w:p w:rsidR="00644456" w:rsidRDefault="008031C4">
      <w:pPr>
        <w:snapToGrid w:val="0"/>
        <w:spacing w:line="360" w:lineRule="auto"/>
        <w:ind w:firstLine="480"/>
        <w:rPr>
          <w:rFonts w:cs="Times New Roman"/>
          <w:b/>
          <w:bCs/>
          <w:color w:val="000000" w:themeColor="text1"/>
          <w:sz w:val="24"/>
          <w:szCs w:val="24"/>
        </w:rPr>
      </w:pPr>
      <w:r>
        <w:rPr>
          <w:rFonts w:cs="Times New Roman" w:hint="eastAsia"/>
          <w:b/>
          <w:bCs/>
          <w:color w:val="000000" w:themeColor="text1"/>
          <w:sz w:val="24"/>
          <w:szCs w:val="24"/>
        </w:rPr>
        <w:t>4</w:t>
      </w:r>
      <w:r>
        <w:rPr>
          <w:rFonts w:cs="Times New Roman" w:hint="eastAsia"/>
          <w:b/>
          <w:bCs/>
          <w:color w:val="000000" w:themeColor="text1"/>
          <w:sz w:val="24"/>
          <w:szCs w:val="24"/>
        </w:rPr>
        <w:t>、与《喀什地区危险废物收集利用处置设施建设投资引导性公告》符合性分析</w:t>
      </w:r>
    </w:p>
    <w:p w:rsidR="00644456" w:rsidRDefault="008031C4">
      <w:pPr>
        <w:pStyle w:val="1f7"/>
      </w:pPr>
      <w:r>
        <w:rPr>
          <w:rFonts w:hint="eastAsia"/>
        </w:rPr>
        <w:t>2024</w:t>
      </w:r>
      <w:r>
        <w:rPr>
          <w:rFonts w:hint="eastAsia"/>
        </w:rPr>
        <w:t>年</w:t>
      </w:r>
      <w:r>
        <w:rPr>
          <w:rFonts w:hint="eastAsia"/>
        </w:rPr>
        <w:t>08</w:t>
      </w:r>
      <w:r>
        <w:rPr>
          <w:rFonts w:hint="eastAsia"/>
        </w:rPr>
        <w:t>月</w:t>
      </w:r>
      <w:r>
        <w:rPr>
          <w:rFonts w:hint="eastAsia"/>
        </w:rPr>
        <w:t>06</w:t>
      </w:r>
      <w:r>
        <w:rPr>
          <w:rFonts w:hint="eastAsia"/>
        </w:rPr>
        <w:t>日喀什地区生态环境局发布《喀什地区危险废物收集利用处置设施建设投资引导性公告》：</w:t>
      </w:r>
    </w:p>
    <w:p w:rsidR="00644456" w:rsidRDefault="008031C4">
      <w:pPr>
        <w:pStyle w:val="1f7"/>
      </w:pPr>
      <w:r>
        <w:rPr>
          <w:rFonts w:hint="eastAsia"/>
        </w:rPr>
        <w:t>全地区危险废物收集（</w:t>
      </w:r>
      <w:r>
        <w:rPr>
          <w:rFonts w:hint="eastAsia"/>
        </w:rPr>
        <w:t>HW08</w:t>
      </w:r>
      <w:r>
        <w:rPr>
          <w:rFonts w:hint="eastAsia"/>
        </w:rPr>
        <w:t>废矿物油与含矿物油废物</w:t>
      </w:r>
      <w:r>
        <w:rPr>
          <w:rFonts w:hint="eastAsia"/>
        </w:rPr>
        <w:t>900-214-08</w:t>
      </w:r>
      <w:r>
        <w:rPr>
          <w:rFonts w:hint="eastAsia"/>
        </w:rPr>
        <w:t>、</w:t>
      </w:r>
      <w:r>
        <w:rPr>
          <w:rFonts w:hint="eastAsia"/>
        </w:rPr>
        <w:t>HW31</w:t>
      </w:r>
      <w:r>
        <w:rPr>
          <w:rFonts w:hint="eastAsia"/>
        </w:rPr>
        <w:t>含铅废物</w:t>
      </w:r>
      <w:r>
        <w:rPr>
          <w:rFonts w:hint="eastAsia"/>
        </w:rPr>
        <w:t>900-052-31</w:t>
      </w:r>
      <w:r>
        <w:rPr>
          <w:rFonts w:hint="eastAsia"/>
        </w:rPr>
        <w:t>）、医疗废物处置、危险废物利用（</w:t>
      </w:r>
      <w:r>
        <w:rPr>
          <w:rFonts w:hint="eastAsia"/>
        </w:rPr>
        <w:t>HW31</w:t>
      </w:r>
      <w:r>
        <w:rPr>
          <w:rFonts w:hint="eastAsia"/>
        </w:rPr>
        <w:t>含铅废物</w:t>
      </w:r>
      <w:r>
        <w:rPr>
          <w:rFonts w:hint="eastAsia"/>
        </w:rPr>
        <w:t>900-052-31</w:t>
      </w:r>
      <w:r>
        <w:rPr>
          <w:rFonts w:hint="eastAsia"/>
        </w:rPr>
        <w:t>）总能力已高于对应危险废物产生总量，基本形成危险废物收集、贮存、转运和处置利用体系，产能有较大富余，存在低水平和同质化竞争现象。</w:t>
      </w:r>
    </w:p>
    <w:p w:rsidR="00644456" w:rsidRDefault="008031C4">
      <w:pPr>
        <w:pStyle w:val="1f7"/>
      </w:pPr>
      <w:r>
        <w:rPr>
          <w:rFonts w:hint="eastAsia"/>
        </w:rPr>
        <w:t>鼓励石化、化工、有色金属冶炼、钢铁冶炼等大型企业根据需要自行配套建设高标准危险废物自行利用处置设施和改造提升现有设施能力；鼓励大型企业集团共享危险废物利用处置设施；鼓励现有危险废物利用处置项目提标升级改造，提升产业链深加工水平；同时鼓励危险废物收集单位就近选择本地或疆内企业进行处置利用。</w:t>
      </w:r>
    </w:p>
    <w:p w:rsidR="00644456" w:rsidRDefault="008031C4">
      <w:pPr>
        <w:pStyle w:val="1f7"/>
      </w:pPr>
      <w:r>
        <w:rPr>
          <w:rFonts w:hint="eastAsia"/>
        </w:rPr>
        <w:t>本项目采用本项目各装置通过分散型控制系统（</w:t>
      </w:r>
      <w:r>
        <w:rPr>
          <w:rFonts w:hint="eastAsia"/>
        </w:rPr>
        <w:t>DCS</w:t>
      </w:r>
      <w:r>
        <w:rPr>
          <w:rFonts w:hint="eastAsia"/>
        </w:rPr>
        <w:t>）及其他子系统，实现在控制室对生产装置、公用工程及辅助设施的集中操作、监视、控制和管理。</w:t>
      </w:r>
    </w:p>
    <w:p w:rsidR="00644456" w:rsidRDefault="008031C4">
      <w:pPr>
        <w:pStyle w:val="1f7"/>
        <w:ind w:firstLine="482"/>
        <w:rPr>
          <w:b/>
          <w:bCs/>
        </w:rPr>
      </w:pPr>
      <w:r>
        <w:rPr>
          <w:rFonts w:hint="eastAsia"/>
          <w:b/>
          <w:bCs/>
        </w:rPr>
        <w:t>根据喀什地区生态环境局疏勒县分区出具的《关于喀什正启节能环保科技有限公司废矿物油再生与利用项目落户征求意见的复函》以及喀什地区生态环境局出具的《关于征求化工项目落地意见建议的函的复函》：在符合该园区产业布局的前提下，无意见，本项目符合要求。</w:t>
      </w:r>
    </w:p>
    <w:p w:rsidR="00644456" w:rsidRDefault="008031C4">
      <w:pPr>
        <w:snapToGrid w:val="0"/>
        <w:spacing w:line="360" w:lineRule="auto"/>
        <w:ind w:firstLine="480"/>
        <w:rPr>
          <w:rFonts w:cs="Times New Roman"/>
          <w:b/>
          <w:bCs/>
          <w:color w:val="000000" w:themeColor="text1"/>
          <w:sz w:val="24"/>
          <w:szCs w:val="24"/>
        </w:rPr>
      </w:pPr>
      <w:r>
        <w:rPr>
          <w:rFonts w:cs="Times New Roman"/>
          <w:b/>
          <w:bCs/>
          <w:color w:val="000000" w:themeColor="text1"/>
          <w:sz w:val="24"/>
          <w:szCs w:val="24"/>
        </w:rPr>
        <w:t>5</w:t>
      </w:r>
      <w:r>
        <w:rPr>
          <w:rFonts w:cs="Times New Roman" w:hint="eastAsia"/>
          <w:b/>
          <w:bCs/>
          <w:color w:val="000000" w:themeColor="text1"/>
          <w:sz w:val="24"/>
          <w:szCs w:val="24"/>
        </w:rPr>
        <w:t>、与《新疆维吾尔自治区新建化工项目准入条件的（试行）》符合性分析</w:t>
      </w:r>
    </w:p>
    <w:p w:rsidR="00644456" w:rsidRDefault="008031C4">
      <w:pPr>
        <w:pStyle w:val="1f7"/>
      </w:pPr>
      <w:r>
        <w:rPr>
          <w:rFonts w:hint="eastAsia"/>
        </w:rPr>
        <w:t>《准入条件》指出：严禁新建国家《产业结构调整指导目录》、自治区《禁止、控制、限制危险化学品目录》中淘汰类、禁止类危险化学品化工项目。按照国家《产业结构调整指导目录》限制类产业及自治区《禁止、控制、限制危险化学品目录》控制和限制类危险化学品要求，严格控制过剩行业新增产能。坚决遏制“两高”项目盲目发展。</w:t>
      </w:r>
    </w:p>
    <w:p w:rsidR="00644456" w:rsidRDefault="008031C4">
      <w:pPr>
        <w:pStyle w:val="1f7"/>
      </w:pPr>
      <w:r>
        <w:rPr>
          <w:rFonts w:hint="eastAsia"/>
        </w:rPr>
        <w:t>严格执行生态保护红线、永久基本农田管控要求，禁止新（改、扩）建化工项目违规占生态保护红线和永久基本农田。在塔里木河、伊犁河、额尔齐斯河干流及主要支流岸线</w:t>
      </w:r>
      <w:r>
        <w:rPr>
          <w:rFonts w:hint="eastAsia"/>
        </w:rPr>
        <w:t>1</w:t>
      </w:r>
      <w:r>
        <w:rPr>
          <w:rFonts w:hint="eastAsia"/>
        </w:rPr>
        <w:t>公里范围内，严格禁止新建、扩建化工项目，不得布局新的化工园区（含化工集中区）。</w:t>
      </w:r>
    </w:p>
    <w:p w:rsidR="00644456" w:rsidRDefault="008031C4">
      <w:pPr>
        <w:pStyle w:val="1f7"/>
      </w:pPr>
      <w:r>
        <w:rPr>
          <w:rFonts w:hint="eastAsia"/>
        </w:rPr>
        <w:lastRenderedPageBreak/>
        <w:t>城市建成区、重点流域内已建成投产化工企业和危险化学品生产企业应加快退城入园，搬入化工园区前企业不应实施改扩建工程扩大生产规模。</w:t>
      </w:r>
    </w:p>
    <w:p w:rsidR="00644456" w:rsidRDefault="008031C4">
      <w:pPr>
        <w:pStyle w:val="1f7"/>
      </w:pPr>
      <w:r>
        <w:rPr>
          <w:rFonts w:hint="eastAsia"/>
        </w:rPr>
        <w:t>新（改、扩）建化工项目应符合“三线一单”生态环境分区管控要求，并符合园区产业定位、园区规划及规划环评要求，按照有关要求设置合理的环境防护距离，环境保护距离内不得有居民区、学校、医院等环境敏感目标。新（改、扩）建化工项目应按照国家及自治区相关排放标准，采取有效措施，从严控制特征污染物的逸散与排放，无组织排放应达到相应排放标准，严禁生产废水直接外排，产生的生化污泥或盐泥等固体废物要按照国家及自治区相关标准收集、贮存、运输、利用和处置。</w:t>
      </w:r>
    </w:p>
    <w:p w:rsidR="00644456" w:rsidRPr="008031C4" w:rsidRDefault="008031C4">
      <w:pPr>
        <w:pStyle w:val="1f7"/>
        <w:ind w:firstLine="482"/>
        <w:rPr>
          <w:b/>
          <w:bCs/>
          <w:color w:val="FF0000"/>
        </w:rPr>
      </w:pPr>
      <w:r w:rsidRPr="008031C4">
        <w:rPr>
          <w:rFonts w:hint="eastAsia"/>
          <w:b/>
          <w:bCs/>
          <w:color w:val="FF0000"/>
        </w:rPr>
        <w:t>本项目不属于《产业结构调整指导目录》、自治区《禁止、控制、限制危险化学品目录》中淘汰类、禁止类危险化学品化工项目。对照《喀什地区“三线一单”生态环境分区管控方案》，本项目选址与喀什地区疏勒县生态保护红线、环境质量底线、资源利用上线和生态环境分区管控方案相协调。</w:t>
      </w:r>
    </w:p>
    <w:p w:rsidR="00644456" w:rsidRDefault="008031C4">
      <w:pPr>
        <w:pStyle w:val="1f7"/>
        <w:ind w:firstLine="482"/>
        <w:rPr>
          <w:b/>
          <w:bCs/>
        </w:rPr>
      </w:pPr>
      <w:r>
        <w:rPr>
          <w:rFonts w:hint="eastAsia"/>
          <w:b/>
          <w:bCs/>
        </w:rPr>
        <w:t>6</w:t>
      </w:r>
      <w:r>
        <w:rPr>
          <w:rFonts w:hint="eastAsia"/>
          <w:b/>
          <w:bCs/>
        </w:rPr>
        <w:t>、与《关于加强高耗能、高排放建设项目生态环境源头防控的指导意见》符合性分析</w:t>
      </w:r>
    </w:p>
    <w:p w:rsidR="00644456" w:rsidRDefault="008031C4">
      <w:pPr>
        <w:pStyle w:val="1f7"/>
      </w:pPr>
      <w:r>
        <w:rPr>
          <w:rFonts w:hint="eastAsia"/>
        </w:rPr>
        <w:t>根据生态环境部《关于加强高耗能、高排放建设项目生态环境源头防控的指导意见》环环评〔</w:t>
      </w:r>
      <w:r>
        <w:rPr>
          <w:rFonts w:hint="eastAsia"/>
        </w:rPr>
        <w:t>2021</w:t>
      </w:r>
      <w:r>
        <w:rPr>
          <w:rFonts w:hint="eastAsia"/>
        </w:rPr>
        <w:t>〕</w:t>
      </w:r>
      <w:r>
        <w:rPr>
          <w:rFonts w:hint="eastAsia"/>
        </w:rPr>
        <w:t>45</w:t>
      </w:r>
      <w:r>
        <w:rPr>
          <w:rFonts w:hint="eastAsia"/>
        </w:rPr>
        <w:t>号“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p w:rsidR="00644456" w:rsidRDefault="008031C4">
      <w:pPr>
        <w:pStyle w:val="1f7"/>
      </w:pPr>
      <w:r>
        <w:rPr>
          <w:rFonts w:hint="eastAsia"/>
        </w:rPr>
        <w:t>本项目属于废矿物油的再生利用，属于危险废物利用，亦属于废弃资源再生利用行业，不属于指导意见中的“两高”项目。</w:t>
      </w:r>
    </w:p>
    <w:p w:rsidR="00644456" w:rsidRDefault="008031C4">
      <w:pPr>
        <w:pStyle w:val="3"/>
        <w:numPr>
          <w:ilvl w:val="2"/>
          <w:numId w:val="0"/>
        </w:numPr>
        <w:ind w:firstLineChars="200" w:firstLine="482"/>
      </w:pPr>
      <w:r>
        <w:rPr>
          <w:rFonts w:hint="eastAsia"/>
        </w:rPr>
        <w:t>1.4.2</w:t>
      </w:r>
      <w:r>
        <w:rPr>
          <w:rFonts w:hint="eastAsia"/>
        </w:rPr>
        <w:t>与行业规范符合性</w:t>
      </w:r>
    </w:p>
    <w:p w:rsidR="00644456" w:rsidRDefault="008031C4">
      <w:pPr>
        <w:snapToGrid w:val="0"/>
        <w:spacing w:line="360" w:lineRule="auto"/>
        <w:ind w:firstLine="480"/>
        <w:rPr>
          <w:rFonts w:cs="Times New Roman"/>
          <w:b/>
          <w:bCs/>
          <w:color w:val="000000" w:themeColor="text1"/>
          <w:sz w:val="24"/>
          <w:szCs w:val="24"/>
        </w:rPr>
      </w:pPr>
      <w:r>
        <w:rPr>
          <w:rFonts w:cs="Times New Roman"/>
          <w:b/>
          <w:bCs/>
          <w:color w:val="000000" w:themeColor="text1"/>
          <w:sz w:val="24"/>
          <w:szCs w:val="24"/>
        </w:rPr>
        <w:t>1</w:t>
      </w:r>
      <w:r>
        <w:rPr>
          <w:rFonts w:cs="Times New Roman" w:hint="eastAsia"/>
          <w:b/>
          <w:bCs/>
          <w:color w:val="000000" w:themeColor="text1"/>
          <w:sz w:val="24"/>
          <w:szCs w:val="24"/>
        </w:rPr>
        <w:t>、与《废润滑油回收与再生利用技术导则》相符性分析</w:t>
      </w:r>
    </w:p>
    <w:p w:rsidR="00644456" w:rsidRDefault="008031C4">
      <w:pPr>
        <w:pStyle w:val="1f7"/>
      </w:pPr>
      <w:r>
        <w:rPr>
          <w:rFonts w:hint="eastAsia"/>
        </w:rPr>
        <w:t>本项目与《废润滑油回收与再生利用技术导则》的相符性分析表</w:t>
      </w:r>
      <w:r>
        <w:rPr>
          <w:rFonts w:hint="eastAsia"/>
        </w:rPr>
        <w:t>1.4-3</w:t>
      </w:r>
      <w:r>
        <w:rPr>
          <w:rFonts w:hint="eastAsia"/>
        </w:rPr>
        <w:t>。</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1.4-3</w:t>
      </w:r>
      <w:r>
        <w:rPr>
          <w:rFonts w:ascii="Times New Roman" w:eastAsia="宋体" w:hAnsi="Times New Roman" w:cs="Times New Roman" w:hint="eastAsia"/>
          <w:b/>
          <w:color w:val="000000" w:themeColor="text1"/>
          <w:sz w:val="24"/>
        </w:rPr>
        <w:t>与《废润滑油回收与再生利用技术导则》的符合性分析</w:t>
      </w:r>
    </w:p>
    <w:tbl>
      <w:tblPr>
        <w:tblStyle w:val="affff4"/>
        <w:tblW w:w="0" w:type="auto"/>
        <w:tblLook w:val="04A0" w:firstRow="1" w:lastRow="0" w:firstColumn="1" w:lastColumn="0" w:noHBand="0" w:noVBand="1"/>
      </w:tblPr>
      <w:tblGrid>
        <w:gridCol w:w="704"/>
        <w:gridCol w:w="709"/>
        <w:gridCol w:w="3544"/>
        <w:gridCol w:w="2976"/>
        <w:gridCol w:w="787"/>
      </w:tblGrid>
      <w:tr w:rsidR="00644456">
        <w:tc>
          <w:tcPr>
            <w:tcW w:w="70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序号</w:t>
            </w:r>
          </w:p>
        </w:tc>
        <w:tc>
          <w:tcPr>
            <w:tcW w:w="709"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项目</w:t>
            </w: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规范要求</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本项目情况</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符合性</w:t>
            </w:r>
          </w:p>
        </w:tc>
      </w:tr>
      <w:tr w:rsidR="00644456">
        <w:tc>
          <w:tcPr>
            <w:tcW w:w="70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lastRenderedPageBreak/>
              <w:t>1</w:t>
            </w:r>
          </w:p>
        </w:tc>
        <w:tc>
          <w:tcPr>
            <w:tcW w:w="709"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再生与利用</w:t>
            </w: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废油再生厂必须具备的条件：（</w:t>
            </w:r>
            <w:r>
              <w:rPr>
                <w:rFonts w:cs="Times New Roman" w:hint="eastAsia"/>
                <w:color w:val="000000" w:themeColor="text1"/>
                <w:kern w:val="0"/>
              </w:rPr>
              <w:t>1</w:t>
            </w:r>
            <w:r>
              <w:rPr>
                <w:rFonts w:cs="Times New Roman" w:hint="eastAsia"/>
                <w:color w:val="000000" w:themeColor="text1"/>
                <w:kern w:val="0"/>
              </w:rPr>
              <w:t>）有合理的再生设备和生产工艺流程；（</w:t>
            </w:r>
            <w:r>
              <w:rPr>
                <w:rFonts w:cs="Times New Roman" w:hint="eastAsia"/>
                <w:color w:val="000000" w:themeColor="text1"/>
                <w:kern w:val="0"/>
              </w:rPr>
              <w:t>2</w:t>
            </w:r>
            <w:r>
              <w:rPr>
                <w:rFonts w:cs="Times New Roman" w:hint="eastAsia"/>
                <w:color w:val="000000" w:themeColor="text1"/>
                <w:kern w:val="0"/>
              </w:rPr>
              <w:t>）有专职技术人员和生产工艺流程；（</w:t>
            </w:r>
            <w:r>
              <w:rPr>
                <w:rFonts w:cs="Times New Roman" w:hint="eastAsia"/>
                <w:color w:val="000000" w:themeColor="text1"/>
                <w:kern w:val="0"/>
              </w:rPr>
              <w:t>3</w:t>
            </w:r>
            <w:r>
              <w:rPr>
                <w:rFonts w:cs="Times New Roman" w:hint="eastAsia"/>
                <w:color w:val="000000" w:themeColor="text1"/>
                <w:kern w:val="0"/>
              </w:rPr>
              <w:t>）再生油的质量，应符合国家油品标准规定的各项理化性能和使用性能要求，再生后作为内燃机油使用的还应通过发动机（台架）试验评定；（</w:t>
            </w:r>
            <w:r>
              <w:rPr>
                <w:rFonts w:cs="Times New Roman" w:hint="eastAsia"/>
                <w:color w:val="000000" w:themeColor="text1"/>
                <w:kern w:val="0"/>
              </w:rPr>
              <w:t>4</w:t>
            </w:r>
            <w:r>
              <w:rPr>
                <w:rFonts w:cs="Times New Roman" w:hint="eastAsia"/>
                <w:color w:val="000000" w:themeColor="text1"/>
                <w:kern w:val="0"/>
              </w:rPr>
              <w:t>）具有符合要求的三废治理设施和安全消防设施。对生产过程中排放的废气和废水废渣的处理要符合</w:t>
            </w:r>
            <w:r>
              <w:rPr>
                <w:rFonts w:cs="Times New Roman" w:hint="eastAsia"/>
                <w:color w:val="000000" w:themeColor="text1"/>
                <w:kern w:val="0"/>
              </w:rPr>
              <w:t>GB16297</w:t>
            </w:r>
            <w:r>
              <w:rPr>
                <w:rFonts w:cs="Times New Roman" w:hint="eastAsia"/>
                <w:color w:val="000000" w:themeColor="text1"/>
                <w:kern w:val="0"/>
              </w:rPr>
              <w:t>、</w:t>
            </w:r>
            <w:r>
              <w:rPr>
                <w:rFonts w:cs="Times New Roman" w:hint="eastAsia"/>
                <w:color w:val="000000" w:themeColor="text1"/>
                <w:kern w:val="0"/>
              </w:rPr>
              <w:t>GB8978</w:t>
            </w:r>
            <w:r>
              <w:rPr>
                <w:rFonts w:cs="Times New Roman" w:hint="eastAsia"/>
                <w:color w:val="000000" w:themeColor="text1"/>
                <w:kern w:val="0"/>
              </w:rPr>
              <w:t>及其他相应环保要求。严禁对环境的二次污染；（</w:t>
            </w:r>
            <w:r>
              <w:rPr>
                <w:rFonts w:cs="Times New Roman" w:hint="eastAsia"/>
                <w:color w:val="000000" w:themeColor="text1"/>
                <w:kern w:val="0"/>
              </w:rPr>
              <w:t>5</w:t>
            </w:r>
            <w:r>
              <w:rPr>
                <w:rFonts w:cs="Times New Roman" w:hint="eastAsia"/>
                <w:color w:val="000000" w:themeColor="text1"/>
                <w:kern w:val="0"/>
              </w:rPr>
              <w:t>）废油再生厂在生产过程中所产生的废渣、废液等，应进行综合利用，不能综合利用的应按环保部分规定妥善处理，达标排放。</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本项目采用“减压蒸馏</w:t>
            </w:r>
            <w:r>
              <w:rPr>
                <w:rFonts w:cs="Times New Roman" w:hint="eastAsia"/>
                <w:color w:val="000000" w:themeColor="text1"/>
                <w:kern w:val="0"/>
              </w:rPr>
              <w:t>+</w:t>
            </w:r>
            <w:r>
              <w:rPr>
                <w:rFonts w:cs="Times New Roman" w:hint="eastAsia"/>
                <w:color w:val="000000" w:themeColor="text1"/>
                <w:kern w:val="0"/>
              </w:rPr>
              <w:t>溶剂精制”工艺，项目配置专职技术人员，废润滑油再生后得到润滑油基础油、再生尾油及少量的燃料油，再生基础油、再生尾油符合中国物资再生协会标准《再生润滑油基础油》（</w:t>
            </w:r>
            <w:r>
              <w:rPr>
                <w:rFonts w:cs="Times New Roman" w:hint="eastAsia"/>
                <w:color w:val="000000" w:themeColor="text1"/>
                <w:kern w:val="0"/>
              </w:rPr>
              <w:t>T/CRRA0901-2018</w:t>
            </w:r>
            <w:r>
              <w:rPr>
                <w:rFonts w:cs="Times New Roman" w:hint="eastAsia"/>
                <w:color w:val="000000" w:themeColor="text1"/>
                <w:kern w:val="0"/>
              </w:rPr>
              <w:t>）质量标准；燃料油符合石油化工行业</w:t>
            </w:r>
          </w:p>
          <w:p w:rsidR="00644456" w:rsidRDefault="008031C4">
            <w:pPr>
              <w:jc w:val="center"/>
              <w:rPr>
                <w:rFonts w:cs="Times New Roman"/>
                <w:color w:val="000000" w:themeColor="text1"/>
                <w:kern w:val="0"/>
              </w:rPr>
            </w:pPr>
            <w:r>
              <w:rPr>
                <w:rFonts w:cs="Times New Roman" w:hint="eastAsia"/>
                <w:color w:val="000000" w:themeColor="text1"/>
                <w:kern w:val="0"/>
              </w:rPr>
              <w:t>业标准《燃料油》（</w:t>
            </w:r>
            <w:r>
              <w:rPr>
                <w:rFonts w:cs="Times New Roman" w:hint="eastAsia"/>
                <w:color w:val="000000" w:themeColor="text1"/>
                <w:kern w:val="0"/>
              </w:rPr>
              <w:t>SH/T0356-1996</w:t>
            </w:r>
            <w:r>
              <w:rPr>
                <w:rFonts w:cs="Times New Roman" w:hint="eastAsia"/>
                <w:color w:val="000000" w:themeColor="text1"/>
                <w:kern w:val="0"/>
              </w:rPr>
              <w:t>）质量标准，产品符合各自的质量标准后外售给综合利用；生产过程产生的废气及废水均配置了相应的治理设施，均可实现达标排放；生产中产生的污泥委托资质单位进行进一步的处理。</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bl>
    <w:p w:rsidR="00644456" w:rsidRDefault="008031C4">
      <w:pPr>
        <w:snapToGrid w:val="0"/>
        <w:spacing w:line="360" w:lineRule="auto"/>
        <w:ind w:firstLine="480"/>
        <w:rPr>
          <w:rFonts w:cs="Times New Roman"/>
          <w:b/>
          <w:bCs/>
          <w:color w:val="000000" w:themeColor="text1"/>
          <w:sz w:val="24"/>
          <w:szCs w:val="24"/>
        </w:rPr>
      </w:pPr>
      <w:r>
        <w:rPr>
          <w:rFonts w:cs="Times New Roman"/>
          <w:b/>
          <w:bCs/>
          <w:color w:val="000000" w:themeColor="text1"/>
          <w:sz w:val="24"/>
          <w:szCs w:val="24"/>
        </w:rPr>
        <w:t>2</w:t>
      </w:r>
      <w:r>
        <w:rPr>
          <w:rFonts w:cs="Times New Roman" w:hint="eastAsia"/>
          <w:b/>
          <w:bCs/>
          <w:color w:val="000000" w:themeColor="text1"/>
          <w:sz w:val="24"/>
          <w:szCs w:val="24"/>
        </w:rPr>
        <w:t>、与《废矿物油回收利用污染控制技术规范》相符性分析</w:t>
      </w:r>
    </w:p>
    <w:p w:rsidR="00644456" w:rsidRDefault="008031C4">
      <w:pPr>
        <w:pStyle w:val="1f7"/>
      </w:pPr>
      <w:r>
        <w:rPr>
          <w:rFonts w:hint="eastAsia"/>
        </w:rPr>
        <w:t>本项目与《废矿物油回收利用污染控制技术规范》（</w:t>
      </w:r>
      <w:r>
        <w:rPr>
          <w:rFonts w:hint="eastAsia"/>
        </w:rPr>
        <w:t>HJ607-2011</w:t>
      </w:r>
      <w:r>
        <w:rPr>
          <w:rFonts w:hint="eastAsia"/>
        </w:rPr>
        <w:t>）相关要求相符性见表</w:t>
      </w:r>
      <w:r>
        <w:rPr>
          <w:rFonts w:hint="eastAsia"/>
        </w:rPr>
        <w:t>1.4-4</w:t>
      </w:r>
      <w:r>
        <w:rPr>
          <w:rFonts w:hint="eastAsia"/>
        </w:rPr>
        <w:t>。</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1.4-4</w:t>
      </w:r>
      <w:r>
        <w:rPr>
          <w:rFonts w:ascii="Times New Roman" w:eastAsia="宋体" w:hAnsi="Times New Roman" w:cs="Times New Roman" w:hint="eastAsia"/>
          <w:b/>
          <w:color w:val="000000" w:themeColor="text1"/>
          <w:sz w:val="24"/>
        </w:rPr>
        <w:t>与《废矿物油回收利用污染控制技术规范》的符合性分析</w:t>
      </w:r>
    </w:p>
    <w:tbl>
      <w:tblPr>
        <w:tblStyle w:val="affff4"/>
        <w:tblW w:w="0" w:type="auto"/>
        <w:tblLook w:val="04A0" w:firstRow="1" w:lastRow="0" w:firstColumn="1" w:lastColumn="0" w:noHBand="0" w:noVBand="1"/>
      </w:tblPr>
      <w:tblGrid>
        <w:gridCol w:w="562"/>
        <w:gridCol w:w="851"/>
        <w:gridCol w:w="3685"/>
        <w:gridCol w:w="2835"/>
        <w:gridCol w:w="787"/>
      </w:tblGrid>
      <w:tr w:rsidR="00644456">
        <w:tc>
          <w:tcPr>
            <w:tcW w:w="562"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序号</w:t>
            </w:r>
          </w:p>
        </w:tc>
        <w:tc>
          <w:tcPr>
            <w:tcW w:w="851"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项目</w:t>
            </w:r>
          </w:p>
        </w:tc>
        <w:tc>
          <w:tcPr>
            <w:tcW w:w="368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规范要求</w:t>
            </w:r>
          </w:p>
        </w:tc>
        <w:tc>
          <w:tcPr>
            <w:tcW w:w="283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本项目情况</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符合性</w:t>
            </w:r>
          </w:p>
        </w:tc>
      </w:tr>
      <w:tr w:rsidR="00644456">
        <w:tc>
          <w:tcPr>
            <w:tcW w:w="562"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1</w:t>
            </w:r>
          </w:p>
        </w:tc>
        <w:tc>
          <w:tcPr>
            <w:tcW w:w="851"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危险废物分类及标签要求</w:t>
            </w:r>
          </w:p>
        </w:tc>
        <w:tc>
          <w:tcPr>
            <w:tcW w:w="368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应在废矿物油包装容器的适当位置</w:t>
            </w:r>
          </w:p>
          <w:p w:rsidR="00644456" w:rsidRDefault="008031C4">
            <w:pPr>
              <w:jc w:val="center"/>
              <w:rPr>
                <w:rFonts w:cs="Times New Roman"/>
                <w:color w:val="000000" w:themeColor="text1"/>
                <w:kern w:val="0"/>
              </w:rPr>
            </w:pPr>
            <w:r>
              <w:rPr>
                <w:rFonts w:cs="Times New Roman" w:hint="eastAsia"/>
                <w:color w:val="000000" w:themeColor="text1"/>
                <w:kern w:val="0"/>
              </w:rPr>
              <w:t>粘贴废矿物油标签，标签应清晰易</w:t>
            </w:r>
          </w:p>
          <w:p w:rsidR="00644456" w:rsidRDefault="008031C4">
            <w:pPr>
              <w:jc w:val="center"/>
              <w:rPr>
                <w:rFonts w:cs="Times New Roman"/>
                <w:color w:val="000000" w:themeColor="text1"/>
                <w:kern w:val="0"/>
              </w:rPr>
            </w:pPr>
            <w:r>
              <w:rPr>
                <w:rFonts w:cs="Times New Roman" w:hint="eastAsia"/>
                <w:color w:val="000000" w:themeColor="text1"/>
                <w:kern w:val="0"/>
              </w:rPr>
              <w:t>读，不应人为遮盖或污染。</w:t>
            </w:r>
          </w:p>
        </w:tc>
        <w:tc>
          <w:tcPr>
            <w:tcW w:w="283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回收的废润滑油均在外包装桶上粘贴了符合规范要求的标签。</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tc>
          <w:tcPr>
            <w:tcW w:w="562"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2</w:t>
            </w:r>
          </w:p>
        </w:tc>
        <w:tc>
          <w:tcPr>
            <w:tcW w:w="851"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收集污染控制</w:t>
            </w:r>
          </w:p>
          <w:p w:rsidR="00644456" w:rsidRDefault="008031C4">
            <w:pPr>
              <w:jc w:val="center"/>
              <w:rPr>
                <w:rFonts w:cs="Times New Roman"/>
                <w:color w:val="000000" w:themeColor="text1"/>
                <w:kern w:val="0"/>
              </w:rPr>
            </w:pPr>
            <w:r>
              <w:rPr>
                <w:rFonts w:cs="Times New Roman" w:hint="eastAsia"/>
                <w:color w:val="000000" w:themeColor="text1"/>
                <w:kern w:val="0"/>
              </w:rPr>
              <w:t>技术要求</w:t>
            </w:r>
          </w:p>
        </w:tc>
        <w:tc>
          <w:tcPr>
            <w:tcW w:w="368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废矿物油收集容器应完好无损，没有腐蚀、污染、损毁或其他能导致其使用效能减弱的缺陷。</w:t>
            </w:r>
          </w:p>
        </w:tc>
        <w:tc>
          <w:tcPr>
            <w:tcW w:w="283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本项目收集废润滑油的容器完好无损，无腐蚀、污染及损毁情况存在。</w:t>
            </w:r>
          </w:p>
        </w:tc>
        <w:tc>
          <w:tcPr>
            <w:tcW w:w="787" w:type="dxa"/>
            <w:vAlign w:val="center"/>
          </w:tcPr>
          <w:p w:rsidR="00644456" w:rsidRDefault="008031C4">
            <w:pPr>
              <w:jc w:val="center"/>
              <w:rPr>
                <w:rFonts w:cs="Times New Roman"/>
                <w:color w:val="000000" w:themeColor="text1"/>
                <w:kern w:val="0"/>
              </w:rPr>
            </w:pPr>
            <w:r>
              <w:rPr>
                <w:rFonts w:ascii="宋体" w:cs="宋体" w:hint="eastAsia"/>
                <w:kern w:val="0"/>
                <w:szCs w:val="21"/>
              </w:rPr>
              <w:t>符合</w:t>
            </w:r>
          </w:p>
        </w:tc>
      </w:tr>
      <w:tr w:rsidR="00644456">
        <w:tc>
          <w:tcPr>
            <w:tcW w:w="562" w:type="dxa"/>
            <w:vMerge/>
            <w:vAlign w:val="center"/>
          </w:tcPr>
          <w:p w:rsidR="00644456" w:rsidRDefault="00644456">
            <w:pPr>
              <w:jc w:val="center"/>
              <w:rPr>
                <w:rFonts w:cs="Times New Roman"/>
                <w:color w:val="000000" w:themeColor="text1"/>
                <w:kern w:val="0"/>
              </w:rPr>
            </w:pPr>
          </w:p>
        </w:tc>
        <w:tc>
          <w:tcPr>
            <w:tcW w:w="851" w:type="dxa"/>
            <w:vMerge/>
            <w:vAlign w:val="center"/>
          </w:tcPr>
          <w:p w:rsidR="00644456" w:rsidRDefault="00644456">
            <w:pPr>
              <w:jc w:val="center"/>
              <w:rPr>
                <w:rFonts w:cs="Times New Roman"/>
                <w:color w:val="000000" w:themeColor="text1"/>
                <w:kern w:val="0"/>
              </w:rPr>
            </w:pPr>
          </w:p>
        </w:tc>
        <w:tc>
          <w:tcPr>
            <w:tcW w:w="368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废矿物油收集过程产生的废旧容器应按照危险废物进行处置，仍可转作他用的，应经过消除污染的处理。</w:t>
            </w:r>
          </w:p>
        </w:tc>
        <w:tc>
          <w:tcPr>
            <w:tcW w:w="283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本项目收集过程中产生的废旧容器经消除污染后再转作他用。</w:t>
            </w:r>
          </w:p>
        </w:tc>
        <w:tc>
          <w:tcPr>
            <w:tcW w:w="787" w:type="dxa"/>
            <w:vAlign w:val="center"/>
          </w:tcPr>
          <w:p w:rsidR="00644456" w:rsidRDefault="008031C4">
            <w:pPr>
              <w:jc w:val="center"/>
              <w:rPr>
                <w:rFonts w:cs="Times New Roman"/>
                <w:color w:val="000000" w:themeColor="text1"/>
                <w:kern w:val="0"/>
              </w:rPr>
            </w:pPr>
            <w:r>
              <w:rPr>
                <w:rFonts w:ascii="宋体" w:cs="宋体" w:hint="eastAsia"/>
                <w:kern w:val="0"/>
                <w:szCs w:val="21"/>
              </w:rPr>
              <w:t>符合</w:t>
            </w:r>
          </w:p>
        </w:tc>
      </w:tr>
      <w:tr w:rsidR="00644456">
        <w:tc>
          <w:tcPr>
            <w:tcW w:w="562" w:type="dxa"/>
            <w:vMerge/>
            <w:vAlign w:val="center"/>
          </w:tcPr>
          <w:p w:rsidR="00644456" w:rsidRDefault="00644456">
            <w:pPr>
              <w:jc w:val="center"/>
              <w:rPr>
                <w:rFonts w:cs="Times New Roman"/>
                <w:color w:val="000000" w:themeColor="text1"/>
                <w:kern w:val="0"/>
              </w:rPr>
            </w:pPr>
          </w:p>
        </w:tc>
        <w:tc>
          <w:tcPr>
            <w:tcW w:w="851" w:type="dxa"/>
            <w:vMerge/>
            <w:vAlign w:val="center"/>
          </w:tcPr>
          <w:p w:rsidR="00644456" w:rsidRDefault="00644456">
            <w:pPr>
              <w:jc w:val="center"/>
              <w:rPr>
                <w:rFonts w:cs="Times New Roman"/>
                <w:color w:val="000000" w:themeColor="text1"/>
                <w:kern w:val="0"/>
              </w:rPr>
            </w:pPr>
          </w:p>
        </w:tc>
        <w:tc>
          <w:tcPr>
            <w:tcW w:w="368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废矿物油应在产生源收集，不宜在产生源收集的应设置专用设施集中收集</w:t>
            </w:r>
          </w:p>
        </w:tc>
        <w:tc>
          <w:tcPr>
            <w:tcW w:w="283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本项目作为废润滑油的集中再生利用设施，主要回收产生单位已收集到的废润滑油。</w:t>
            </w:r>
          </w:p>
        </w:tc>
        <w:tc>
          <w:tcPr>
            <w:tcW w:w="787" w:type="dxa"/>
            <w:vAlign w:val="center"/>
          </w:tcPr>
          <w:p w:rsidR="00644456" w:rsidRDefault="008031C4">
            <w:pPr>
              <w:jc w:val="center"/>
              <w:rPr>
                <w:rFonts w:cs="Times New Roman"/>
                <w:color w:val="000000" w:themeColor="text1"/>
                <w:kern w:val="0"/>
              </w:rPr>
            </w:pPr>
            <w:r>
              <w:rPr>
                <w:rFonts w:ascii="宋体" w:cs="宋体" w:hint="eastAsia"/>
                <w:kern w:val="0"/>
                <w:szCs w:val="21"/>
              </w:rPr>
              <w:t>符合</w:t>
            </w:r>
          </w:p>
        </w:tc>
      </w:tr>
      <w:tr w:rsidR="00644456">
        <w:tc>
          <w:tcPr>
            <w:tcW w:w="562" w:type="dxa"/>
            <w:vMerge/>
            <w:vAlign w:val="center"/>
          </w:tcPr>
          <w:p w:rsidR="00644456" w:rsidRDefault="00644456">
            <w:pPr>
              <w:jc w:val="center"/>
              <w:rPr>
                <w:rFonts w:cs="Times New Roman"/>
                <w:color w:val="000000" w:themeColor="text1"/>
                <w:kern w:val="0"/>
              </w:rPr>
            </w:pPr>
          </w:p>
        </w:tc>
        <w:tc>
          <w:tcPr>
            <w:tcW w:w="851" w:type="dxa"/>
            <w:vMerge/>
            <w:vAlign w:val="center"/>
          </w:tcPr>
          <w:p w:rsidR="00644456" w:rsidRDefault="00644456">
            <w:pPr>
              <w:jc w:val="center"/>
              <w:rPr>
                <w:rFonts w:cs="Times New Roman"/>
                <w:color w:val="000000" w:themeColor="text1"/>
                <w:kern w:val="0"/>
              </w:rPr>
            </w:pPr>
          </w:p>
        </w:tc>
        <w:tc>
          <w:tcPr>
            <w:tcW w:w="368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废矿物油收集过程产生的含油棉、含</w:t>
            </w:r>
          </w:p>
          <w:p w:rsidR="00644456" w:rsidRDefault="008031C4">
            <w:pPr>
              <w:jc w:val="center"/>
              <w:rPr>
                <w:rFonts w:cs="Times New Roman"/>
                <w:color w:val="000000" w:themeColor="text1"/>
                <w:kern w:val="0"/>
              </w:rPr>
            </w:pPr>
            <w:r>
              <w:rPr>
                <w:rFonts w:cs="Times New Roman" w:hint="eastAsia"/>
                <w:color w:val="000000" w:themeColor="text1"/>
                <w:kern w:val="0"/>
              </w:rPr>
              <w:t>油毡等含废矿物油废物应一并收集。</w:t>
            </w:r>
          </w:p>
        </w:tc>
        <w:tc>
          <w:tcPr>
            <w:tcW w:w="283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本项目不直接在废润滑油的产生点进行收集，主要回收产生单位已收集到的废润滑油。</w:t>
            </w:r>
          </w:p>
        </w:tc>
        <w:tc>
          <w:tcPr>
            <w:tcW w:w="787" w:type="dxa"/>
            <w:vAlign w:val="center"/>
          </w:tcPr>
          <w:p w:rsidR="00644456" w:rsidRDefault="008031C4">
            <w:pPr>
              <w:jc w:val="center"/>
              <w:rPr>
                <w:rFonts w:cs="Times New Roman"/>
                <w:color w:val="000000" w:themeColor="text1"/>
                <w:kern w:val="0"/>
              </w:rPr>
            </w:pPr>
            <w:r>
              <w:rPr>
                <w:rFonts w:ascii="宋体" w:cs="宋体" w:hint="eastAsia"/>
                <w:kern w:val="0"/>
                <w:szCs w:val="21"/>
              </w:rPr>
              <w:t>符合</w:t>
            </w:r>
          </w:p>
        </w:tc>
      </w:tr>
      <w:tr w:rsidR="00644456">
        <w:tc>
          <w:tcPr>
            <w:tcW w:w="562"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3</w:t>
            </w:r>
          </w:p>
        </w:tc>
        <w:tc>
          <w:tcPr>
            <w:tcW w:w="851"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贮存污染控制技术要求</w:t>
            </w:r>
          </w:p>
        </w:tc>
        <w:tc>
          <w:tcPr>
            <w:tcW w:w="368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废矿物油贮存污染控制应符合</w:t>
            </w:r>
            <w:r>
              <w:rPr>
                <w:rFonts w:cs="Times New Roman" w:hint="eastAsia"/>
                <w:color w:val="000000" w:themeColor="text1"/>
                <w:kern w:val="0"/>
              </w:rPr>
              <w:t>GB18597</w:t>
            </w:r>
            <w:r>
              <w:rPr>
                <w:rFonts w:cs="Times New Roman" w:hint="eastAsia"/>
                <w:color w:val="000000" w:themeColor="text1"/>
                <w:kern w:val="0"/>
              </w:rPr>
              <w:t>中的有关规定。</w:t>
            </w:r>
          </w:p>
        </w:tc>
        <w:tc>
          <w:tcPr>
            <w:tcW w:w="283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本项目按照废润滑油贮存污染控制符合</w:t>
            </w:r>
            <w:r>
              <w:rPr>
                <w:rFonts w:cs="Times New Roman" w:hint="eastAsia"/>
                <w:color w:val="000000" w:themeColor="text1"/>
                <w:kern w:val="0"/>
              </w:rPr>
              <w:t>GB18597</w:t>
            </w:r>
            <w:r>
              <w:rPr>
                <w:rFonts w:cs="Times New Roman" w:hint="eastAsia"/>
                <w:color w:val="000000" w:themeColor="text1"/>
                <w:kern w:val="0"/>
              </w:rPr>
              <w:t>中的相关规定。</w:t>
            </w:r>
          </w:p>
        </w:tc>
        <w:tc>
          <w:tcPr>
            <w:tcW w:w="787" w:type="dxa"/>
            <w:vAlign w:val="center"/>
          </w:tcPr>
          <w:p w:rsidR="00644456" w:rsidRDefault="008031C4">
            <w:pPr>
              <w:jc w:val="center"/>
              <w:rPr>
                <w:rFonts w:cs="Times New Roman"/>
                <w:color w:val="000000" w:themeColor="text1"/>
                <w:kern w:val="0"/>
              </w:rPr>
            </w:pPr>
            <w:r>
              <w:rPr>
                <w:rFonts w:ascii="宋体" w:cs="宋体" w:hint="eastAsia"/>
                <w:kern w:val="0"/>
                <w:szCs w:val="21"/>
              </w:rPr>
              <w:t>符合</w:t>
            </w:r>
          </w:p>
        </w:tc>
      </w:tr>
      <w:tr w:rsidR="00644456">
        <w:tc>
          <w:tcPr>
            <w:tcW w:w="562" w:type="dxa"/>
            <w:vMerge/>
            <w:vAlign w:val="center"/>
          </w:tcPr>
          <w:p w:rsidR="00644456" w:rsidRDefault="00644456">
            <w:pPr>
              <w:jc w:val="center"/>
              <w:rPr>
                <w:rFonts w:cs="Times New Roman"/>
                <w:color w:val="000000" w:themeColor="text1"/>
                <w:kern w:val="0"/>
              </w:rPr>
            </w:pPr>
          </w:p>
        </w:tc>
        <w:tc>
          <w:tcPr>
            <w:tcW w:w="851" w:type="dxa"/>
            <w:vMerge/>
            <w:vAlign w:val="center"/>
          </w:tcPr>
          <w:p w:rsidR="00644456" w:rsidRDefault="00644456">
            <w:pPr>
              <w:jc w:val="center"/>
              <w:rPr>
                <w:rFonts w:cs="Times New Roman"/>
                <w:color w:val="000000" w:themeColor="text1"/>
                <w:kern w:val="0"/>
              </w:rPr>
            </w:pPr>
          </w:p>
        </w:tc>
        <w:tc>
          <w:tcPr>
            <w:tcW w:w="368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废矿物油贮存设施的设计、建设除符合危险废物贮存设计原则外，还应符合有关消防和危险品贮存设计规范。</w:t>
            </w:r>
          </w:p>
        </w:tc>
        <w:tc>
          <w:tcPr>
            <w:tcW w:w="283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本项目按照有关消防和危险品贮存的设计规范进行建设，并符合消防和危险品贮存设计的相关要求。</w:t>
            </w:r>
          </w:p>
        </w:tc>
        <w:tc>
          <w:tcPr>
            <w:tcW w:w="787" w:type="dxa"/>
            <w:vAlign w:val="center"/>
          </w:tcPr>
          <w:p w:rsidR="00644456" w:rsidRDefault="008031C4">
            <w:pPr>
              <w:jc w:val="center"/>
              <w:rPr>
                <w:rFonts w:cs="Times New Roman"/>
                <w:color w:val="000000" w:themeColor="text1"/>
                <w:kern w:val="0"/>
              </w:rPr>
            </w:pPr>
            <w:r>
              <w:rPr>
                <w:rFonts w:ascii="宋体" w:cs="宋体" w:hint="eastAsia"/>
                <w:kern w:val="0"/>
                <w:szCs w:val="21"/>
              </w:rPr>
              <w:t>符合</w:t>
            </w:r>
          </w:p>
        </w:tc>
      </w:tr>
      <w:tr w:rsidR="00644456">
        <w:tc>
          <w:tcPr>
            <w:tcW w:w="562" w:type="dxa"/>
            <w:vMerge/>
            <w:vAlign w:val="center"/>
          </w:tcPr>
          <w:p w:rsidR="00644456" w:rsidRDefault="00644456">
            <w:pPr>
              <w:jc w:val="center"/>
              <w:rPr>
                <w:rFonts w:cs="Times New Roman"/>
                <w:color w:val="000000" w:themeColor="text1"/>
                <w:kern w:val="0"/>
              </w:rPr>
            </w:pPr>
          </w:p>
        </w:tc>
        <w:tc>
          <w:tcPr>
            <w:tcW w:w="851" w:type="dxa"/>
            <w:vMerge/>
            <w:vAlign w:val="center"/>
          </w:tcPr>
          <w:p w:rsidR="00644456" w:rsidRDefault="00644456">
            <w:pPr>
              <w:jc w:val="center"/>
              <w:rPr>
                <w:rFonts w:cs="Times New Roman"/>
                <w:color w:val="000000" w:themeColor="text1"/>
                <w:kern w:val="0"/>
              </w:rPr>
            </w:pPr>
          </w:p>
        </w:tc>
        <w:tc>
          <w:tcPr>
            <w:tcW w:w="368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废矿物油贮存设施应远离火源，并避</w:t>
            </w:r>
          </w:p>
          <w:p w:rsidR="00644456" w:rsidRDefault="008031C4">
            <w:pPr>
              <w:jc w:val="center"/>
              <w:rPr>
                <w:rFonts w:cs="Times New Roman"/>
                <w:color w:val="000000" w:themeColor="text1"/>
                <w:kern w:val="0"/>
              </w:rPr>
            </w:pPr>
            <w:r>
              <w:rPr>
                <w:rFonts w:cs="Times New Roman" w:hint="eastAsia"/>
                <w:color w:val="000000" w:themeColor="text1"/>
                <w:kern w:val="0"/>
              </w:rPr>
              <w:t>免高温和阳光直射</w:t>
            </w:r>
          </w:p>
        </w:tc>
        <w:tc>
          <w:tcPr>
            <w:tcW w:w="283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本项目废润滑油采用专用的储罐进行储存，远离火源。</w:t>
            </w:r>
          </w:p>
        </w:tc>
        <w:tc>
          <w:tcPr>
            <w:tcW w:w="787" w:type="dxa"/>
            <w:vAlign w:val="center"/>
          </w:tcPr>
          <w:p w:rsidR="00644456" w:rsidRDefault="008031C4">
            <w:pPr>
              <w:jc w:val="center"/>
              <w:rPr>
                <w:rFonts w:cs="Times New Roman"/>
                <w:color w:val="000000" w:themeColor="text1"/>
                <w:kern w:val="0"/>
              </w:rPr>
            </w:pPr>
            <w:r>
              <w:rPr>
                <w:rFonts w:ascii="宋体" w:cs="宋体" w:hint="eastAsia"/>
                <w:kern w:val="0"/>
                <w:szCs w:val="21"/>
              </w:rPr>
              <w:t>符合</w:t>
            </w:r>
          </w:p>
        </w:tc>
      </w:tr>
      <w:tr w:rsidR="00644456">
        <w:tc>
          <w:tcPr>
            <w:tcW w:w="562" w:type="dxa"/>
            <w:vMerge/>
            <w:vAlign w:val="center"/>
          </w:tcPr>
          <w:p w:rsidR="00644456" w:rsidRDefault="00644456">
            <w:pPr>
              <w:jc w:val="center"/>
              <w:rPr>
                <w:rFonts w:cs="Times New Roman"/>
                <w:color w:val="000000" w:themeColor="text1"/>
                <w:kern w:val="0"/>
              </w:rPr>
            </w:pPr>
          </w:p>
        </w:tc>
        <w:tc>
          <w:tcPr>
            <w:tcW w:w="851" w:type="dxa"/>
            <w:vMerge/>
            <w:vAlign w:val="center"/>
          </w:tcPr>
          <w:p w:rsidR="00644456" w:rsidRDefault="00644456">
            <w:pPr>
              <w:jc w:val="center"/>
              <w:rPr>
                <w:rFonts w:cs="Times New Roman"/>
                <w:color w:val="000000" w:themeColor="text1"/>
                <w:kern w:val="0"/>
              </w:rPr>
            </w:pPr>
          </w:p>
        </w:tc>
        <w:tc>
          <w:tcPr>
            <w:tcW w:w="368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废矿物油应使用专用设施贮存，贮存前应进行检验，不应与不相容的废物混合，实行分类存放。</w:t>
            </w:r>
          </w:p>
        </w:tc>
        <w:tc>
          <w:tcPr>
            <w:tcW w:w="283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本项目采用专用的储罐进行贮存，在进厂时均进行了专业的检验，按照相容原则进行分类存放。</w:t>
            </w:r>
          </w:p>
        </w:tc>
        <w:tc>
          <w:tcPr>
            <w:tcW w:w="787" w:type="dxa"/>
            <w:vAlign w:val="center"/>
          </w:tcPr>
          <w:p w:rsidR="00644456" w:rsidRDefault="008031C4">
            <w:pPr>
              <w:jc w:val="center"/>
              <w:rPr>
                <w:rFonts w:cs="Times New Roman"/>
                <w:color w:val="000000" w:themeColor="text1"/>
                <w:kern w:val="0"/>
              </w:rPr>
            </w:pPr>
            <w:r>
              <w:rPr>
                <w:rFonts w:ascii="宋体" w:cs="宋体" w:hint="eastAsia"/>
                <w:kern w:val="0"/>
                <w:szCs w:val="21"/>
              </w:rPr>
              <w:t>符合</w:t>
            </w:r>
          </w:p>
        </w:tc>
      </w:tr>
      <w:tr w:rsidR="00644456">
        <w:tc>
          <w:tcPr>
            <w:tcW w:w="562" w:type="dxa"/>
            <w:vMerge/>
            <w:vAlign w:val="center"/>
          </w:tcPr>
          <w:p w:rsidR="00644456" w:rsidRDefault="00644456">
            <w:pPr>
              <w:jc w:val="center"/>
              <w:rPr>
                <w:rFonts w:cs="Times New Roman"/>
                <w:color w:val="000000" w:themeColor="text1"/>
                <w:kern w:val="0"/>
              </w:rPr>
            </w:pPr>
          </w:p>
        </w:tc>
        <w:tc>
          <w:tcPr>
            <w:tcW w:w="851" w:type="dxa"/>
            <w:vMerge/>
            <w:vAlign w:val="center"/>
          </w:tcPr>
          <w:p w:rsidR="00644456" w:rsidRDefault="00644456">
            <w:pPr>
              <w:jc w:val="center"/>
              <w:rPr>
                <w:rFonts w:cs="Times New Roman"/>
                <w:color w:val="000000" w:themeColor="text1"/>
                <w:kern w:val="0"/>
              </w:rPr>
            </w:pPr>
          </w:p>
        </w:tc>
        <w:tc>
          <w:tcPr>
            <w:tcW w:w="368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废矿物油贮存设施内地面应做防渗处理，并建设废矿物油收集和导流系统，用于收集不慎泄漏的废矿物油。</w:t>
            </w:r>
          </w:p>
        </w:tc>
        <w:tc>
          <w:tcPr>
            <w:tcW w:w="283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本项目储罐区、固废贮存区均设置地面防渗处理，在储罐区设置了围堰</w:t>
            </w:r>
          </w:p>
        </w:tc>
        <w:tc>
          <w:tcPr>
            <w:tcW w:w="787" w:type="dxa"/>
            <w:vAlign w:val="center"/>
          </w:tcPr>
          <w:p w:rsidR="00644456" w:rsidRDefault="008031C4">
            <w:pPr>
              <w:jc w:val="center"/>
              <w:rPr>
                <w:rFonts w:cs="Times New Roman"/>
                <w:color w:val="000000" w:themeColor="text1"/>
                <w:kern w:val="0"/>
              </w:rPr>
            </w:pPr>
            <w:r>
              <w:rPr>
                <w:rFonts w:ascii="宋体" w:cs="宋体" w:hint="eastAsia"/>
                <w:kern w:val="0"/>
                <w:szCs w:val="21"/>
              </w:rPr>
              <w:t>符合</w:t>
            </w:r>
          </w:p>
        </w:tc>
      </w:tr>
      <w:tr w:rsidR="00644456">
        <w:tc>
          <w:tcPr>
            <w:tcW w:w="562" w:type="dxa"/>
            <w:vMerge/>
            <w:vAlign w:val="center"/>
          </w:tcPr>
          <w:p w:rsidR="00644456" w:rsidRDefault="00644456">
            <w:pPr>
              <w:jc w:val="center"/>
              <w:rPr>
                <w:rFonts w:cs="Times New Roman"/>
                <w:color w:val="000000" w:themeColor="text1"/>
                <w:kern w:val="0"/>
              </w:rPr>
            </w:pPr>
          </w:p>
        </w:tc>
        <w:tc>
          <w:tcPr>
            <w:tcW w:w="851" w:type="dxa"/>
            <w:vMerge/>
            <w:vAlign w:val="center"/>
          </w:tcPr>
          <w:p w:rsidR="00644456" w:rsidRDefault="00644456">
            <w:pPr>
              <w:jc w:val="center"/>
              <w:rPr>
                <w:rFonts w:cs="Times New Roman"/>
                <w:color w:val="000000" w:themeColor="text1"/>
                <w:kern w:val="0"/>
              </w:rPr>
            </w:pPr>
          </w:p>
        </w:tc>
        <w:tc>
          <w:tcPr>
            <w:tcW w:w="368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废矿物油容器盛装液体废矿物油时，应留有足够的膨胀余量，预留容积应不少于总容积的</w:t>
            </w:r>
            <w:r>
              <w:rPr>
                <w:rFonts w:cs="Times New Roman" w:hint="eastAsia"/>
                <w:color w:val="000000" w:themeColor="text1"/>
                <w:kern w:val="0"/>
              </w:rPr>
              <w:t>5%</w:t>
            </w:r>
            <w:r>
              <w:rPr>
                <w:rFonts w:cs="Times New Roman" w:hint="eastAsia"/>
                <w:color w:val="000000" w:themeColor="text1"/>
                <w:kern w:val="0"/>
              </w:rPr>
              <w:t>。</w:t>
            </w:r>
          </w:p>
        </w:tc>
        <w:tc>
          <w:tcPr>
            <w:tcW w:w="283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本项目废润滑油的盛装均按照规范进行盛装，项目储罐有效液位按最高液位的</w:t>
            </w:r>
            <w:r>
              <w:rPr>
                <w:rFonts w:cs="Times New Roman" w:hint="eastAsia"/>
                <w:color w:val="000000" w:themeColor="text1"/>
                <w:kern w:val="0"/>
              </w:rPr>
              <w:t>90%</w:t>
            </w:r>
            <w:r>
              <w:rPr>
                <w:rFonts w:cs="Times New Roman" w:hint="eastAsia"/>
                <w:color w:val="000000" w:themeColor="text1"/>
                <w:kern w:val="0"/>
              </w:rPr>
              <w:t>进行控制。</w:t>
            </w:r>
          </w:p>
        </w:tc>
        <w:tc>
          <w:tcPr>
            <w:tcW w:w="787" w:type="dxa"/>
            <w:vAlign w:val="center"/>
          </w:tcPr>
          <w:p w:rsidR="00644456" w:rsidRDefault="008031C4">
            <w:pPr>
              <w:jc w:val="center"/>
              <w:rPr>
                <w:rFonts w:cs="Times New Roman"/>
                <w:color w:val="000000" w:themeColor="text1"/>
                <w:kern w:val="0"/>
              </w:rPr>
            </w:pPr>
            <w:r>
              <w:rPr>
                <w:rFonts w:ascii="宋体" w:cs="宋体" w:hint="eastAsia"/>
                <w:kern w:val="0"/>
                <w:szCs w:val="21"/>
              </w:rPr>
              <w:t>符合</w:t>
            </w:r>
          </w:p>
        </w:tc>
      </w:tr>
      <w:tr w:rsidR="00644456">
        <w:tc>
          <w:tcPr>
            <w:tcW w:w="562" w:type="dxa"/>
            <w:vMerge/>
            <w:vAlign w:val="center"/>
          </w:tcPr>
          <w:p w:rsidR="00644456" w:rsidRDefault="00644456">
            <w:pPr>
              <w:jc w:val="center"/>
              <w:rPr>
                <w:rFonts w:cs="Times New Roman"/>
                <w:color w:val="000000" w:themeColor="text1"/>
                <w:kern w:val="0"/>
              </w:rPr>
            </w:pPr>
          </w:p>
        </w:tc>
        <w:tc>
          <w:tcPr>
            <w:tcW w:w="851" w:type="dxa"/>
            <w:vMerge/>
            <w:vAlign w:val="center"/>
          </w:tcPr>
          <w:p w:rsidR="00644456" w:rsidRDefault="00644456">
            <w:pPr>
              <w:jc w:val="center"/>
              <w:rPr>
                <w:rFonts w:cs="Times New Roman"/>
                <w:color w:val="000000" w:themeColor="text1"/>
                <w:kern w:val="0"/>
              </w:rPr>
            </w:pPr>
          </w:p>
        </w:tc>
        <w:tc>
          <w:tcPr>
            <w:tcW w:w="368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已盛装废矿物油的容器应密封，贮油</w:t>
            </w:r>
          </w:p>
          <w:p w:rsidR="00644456" w:rsidRDefault="008031C4">
            <w:pPr>
              <w:jc w:val="center"/>
              <w:rPr>
                <w:rFonts w:cs="Times New Roman"/>
                <w:color w:val="000000" w:themeColor="text1"/>
                <w:kern w:val="0"/>
              </w:rPr>
            </w:pPr>
            <w:r>
              <w:rPr>
                <w:rFonts w:cs="Times New Roman" w:hint="eastAsia"/>
                <w:color w:val="000000" w:themeColor="text1"/>
                <w:kern w:val="0"/>
              </w:rPr>
              <w:t>油罐应设置呼吸孔，防止气体膨胀，并安装防护罩，防止杂质落入。</w:t>
            </w:r>
          </w:p>
        </w:tc>
        <w:tc>
          <w:tcPr>
            <w:tcW w:w="283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本项目油罐均密封，贮油油罐设置呼吸阀，并安装防护罩。</w:t>
            </w:r>
          </w:p>
        </w:tc>
        <w:tc>
          <w:tcPr>
            <w:tcW w:w="787" w:type="dxa"/>
            <w:vAlign w:val="center"/>
          </w:tcPr>
          <w:p w:rsidR="00644456" w:rsidRDefault="008031C4">
            <w:pPr>
              <w:jc w:val="center"/>
              <w:rPr>
                <w:rFonts w:cs="Times New Roman"/>
                <w:color w:val="000000" w:themeColor="text1"/>
                <w:kern w:val="0"/>
              </w:rPr>
            </w:pPr>
            <w:r>
              <w:rPr>
                <w:rFonts w:ascii="宋体" w:cs="宋体" w:hint="eastAsia"/>
                <w:kern w:val="0"/>
                <w:szCs w:val="21"/>
              </w:rPr>
              <w:t>符合</w:t>
            </w:r>
          </w:p>
        </w:tc>
      </w:tr>
      <w:tr w:rsidR="00644456">
        <w:tc>
          <w:tcPr>
            <w:tcW w:w="562"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4</w:t>
            </w:r>
          </w:p>
        </w:tc>
        <w:tc>
          <w:tcPr>
            <w:tcW w:w="851"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利用和处置术要求</w:t>
            </w:r>
          </w:p>
        </w:tc>
        <w:tc>
          <w:tcPr>
            <w:tcW w:w="368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不应使用硫酸</w:t>
            </w:r>
            <w:r>
              <w:rPr>
                <w:rFonts w:cs="Times New Roman" w:hint="eastAsia"/>
                <w:color w:val="000000" w:themeColor="text1"/>
                <w:kern w:val="0"/>
              </w:rPr>
              <w:t>/</w:t>
            </w:r>
            <w:r>
              <w:rPr>
                <w:rFonts w:cs="Times New Roman" w:hint="eastAsia"/>
                <w:color w:val="000000" w:themeColor="text1"/>
                <w:kern w:val="0"/>
              </w:rPr>
              <w:t>白土法再生废矿物油。</w:t>
            </w:r>
          </w:p>
        </w:tc>
        <w:tc>
          <w:tcPr>
            <w:tcW w:w="283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本项目不采用淘汰的硫酸</w:t>
            </w:r>
            <w:r>
              <w:rPr>
                <w:rFonts w:cs="Times New Roman" w:hint="eastAsia"/>
                <w:color w:val="000000" w:themeColor="text1"/>
                <w:kern w:val="0"/>
              </w:rPr>
              <w:t>/</w:t>
            </w:r>
            <w:r>
              <w:rPr>
                <w:rFonts w:cs="Times New Roman" w:hint="eastAsia"/>
                <w:color w:val="000000" w:themeColor="text1"/>
                <w:kern w:val="0"/>
              </w:rPr>
              <w:t>白土法再生废矿物油。</w:t>
            </w:r>
          </w:p>
        </w:tc>
        <w:tc>
          <w:tcPr>
            <w:tcW w:w="787" w:type="dxa"/>
            <w:vAlign w:val="center"/>
          </w:tcPr>
          <w:p w:rsidR="00644456" w:rsidRDefault="008031C4">
            <w:pPr>
              <w:jc w:val="center"/>
              <w:rPr>
                <w:rFonts w:cs="Times New Roman"/>
                <w:color w:val="000000" w:themeColor="text1"/>
                <w:kern w:val="0"/>
              </w:rPr>
            </w:pPr>
            <w:r>
              <w:rPr>
                <w:rFonts w:ascii="宋体" w:cs="宋体" w:hint="eastAsia"/>
                <w:kern w:val="0"/>
                <w:szCs w:val="21"/>
              </w:rPr>
              <w:t>符合</w:t>
            </w:r>
          </w:p>
        </w:tc>
      </w:tr>
      <w:tr w:rsidR="00644456">
        <w:tc>
          <w:tcPr>
            <w:tcW w:w="562" w:type="dxa"/>
            <w:vMerge/>
            <w:vAlign w:val="center"/>
          </w:tcPr>
          <w:p w:rsidR="00644456" w:rsidRDefault="00644456">
            <w:pPr>
              <w:jc w:val="center"/>
              <w:rPr>
                <w:rFonts w:cs="Times New Roman"/>
                <w:color w:val="000000" w:themeColor="text1"/>
                <w:kern w:val="0"/>
              </w:rPr>
            </w:pPr>
          </w:p>
        </w:tc>
        <w:tc>
          <w:tcPr>
            <w:tcW w:w="851" w:type="dxa"/>
            <w:vMerge/>
            <w:vAlign w:val="center"/>
          </w:tcPr>
          <w:p w:rsidR="00644456" w:rsidRDefault="00644456">
            <w:pPr>
              <w:jc w:val="center"/>
              <w:rPr>
                <w:rFonts w:cs="Times New Roman"/>
                <w:color w:val="000000" w:themeColor="text1"/>
                <w:kern w:val="0"/>
              </w:rPr>
            </w:pPr>
          </w:p>
        </w:tc>
        <w:tc>
          <w:tcPr>
            <w:tcW w:w="368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废矿物油利用和处置的方式主要有再生利用、焚烧处置和填埋处置，应根据含油率、粘度、倾点、闪点、色度等指标合理选择利用和处置方式。</w:t>
            </w:r>
          </w:p>
        </w:tc>
        <w:tc>
          <w:tcPr>
            <w:tcW w:w="283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本项目对废润滑油采取再生利用方式。</w:t>
            </w:r>
          </w:p>
        </w:tc>
        <w:tc>
          <w:tcPr>
            <w:tcW w:w="787" w:type="dxa"/>
            <w:vAlign w:val="center"/>
          </w:tcPr>
          <w:p w:rsidR="00644456" w:rsidRDefault="008031C4">
            <w:pPr>
              <w:jc w:val="center"/>
              <w:rPr>
                <w:rFonts w:cs="Times New Roman"/>
                <w:color w:val="000000" w:themeColor="text1"/>
                <w:kern w:val="0"/>
              </w:rPr>
            </w:pPr>
            <w:r>
              <w:rPr>
                <w:rFonts w:ascii="宋体" w:cs="宋体" w:hint="eastAsia"/>
                <w:kern w:val="0"/>
                <w:szCs w:val="21"/>
              </w:rPr>
              <w:t>符合</w:t>
            </w:r>
          </w:p>
        </w:tc>
      </w:tr>
      <w:tr w:rsidR="00644456">
        <w:tc>
          <w:tcPr>
            <w:tcW w:w="562" w:type="dxa"/>
            <w:vMerge/>
            <w:vAlign w:val="center"/>
          </w:tcPr>
          <w:p w:rsidR="00644456" w:rsidRDefault="00644456">
            <w:pPr>
              <w:jc w:val="center"/>
              <w:rPr>
                <w:rFonts w:cs="Times New Roman"/>
                <w:color w:val="000000" w:themeColor="text1"/>
                <w:kern w:val="0"/>
              </w:rPr>
            </w:pPr>
          </w:p>
        </w:tc>
        <w:tc>
          <w:tcPr>
            <w:tcW w:w="851" w:type="dxa"/>
            <w:vMerge/>
            <w:vAlign w:val="center"/>
          </w:tcPr>
          <w:p w:rsidR="00644456" w:rsidRDefault="00644456">
            <w:pPr>
              <w:jc w:val="center"/>
              <w:rPr>
                <w:rFonts w:cs="Times New Roman"/>
                <w:color w:val="000000" w:themeColor="text1"/>
                <w:kern w:val="0"/>
              </w:rPr>
            </w:pPr>
          </w:p>
        </w:tc>
        <w:tc>
          <w:tcPr>
            <w:tcW w:w="368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废矿物油的再生利用宜采用沉降、过滤、蒸馏、精制和催化裂解工艺，可根据废矿物油的污染程度和再生产品质量要求进行工艺选择。</w:t>
            </w:r>
          </w:p>
        </w:tc>
        <w:tc>
          <w:tcPr>
            <w:tcW w:w="283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本项目再生采用了“减压蒸馏</w:t>
            </w:r>
            <w:r>
              <w:rPr>
                <w:rFonts w:cs="Times New Roman" w:hint="eastAsia"/>
                <w:color w:val="000000" w:themeColor="text1"/>
                <w:kern w:val="0"/>
              </w:rPr>
              <w:t>+</w:t>
            </w:r>
            <w:r>
              <w:rPr>
                <w:rFonts w:cs="Times New Roman" w:hint="eastAsia"/>
                <w:color w:val="000000" w:themeColor="text1"/>
                <w:kern w:val="0"/>
              </w:rPr>
              <w:t>溶剂精制”工艺，符合现有政策，确保产品质量要求。</w:t>
            </w:r>
          </w:p>
        </w:tc>
        <w:tc>
          <w:tcPr>
            <w:tcW w:w="787" w:type="dxa"/>
            <w:vAlign w:val="center"/>
          </w:tcPr>
          <w:p w:rsidR="00644456" w:rsidRDefault="008031C4">
            <w:pPr>
              <w:jc w:val="center"/>
              <w:rPr>
                <w:rFonts w:cs="Times New Roman"/>
                <w:color w:val="000000" w:themeColor="text1"/>
                <w:kern w:val="0"/>
              </w:rPr>
            </w:pPr>
            <w:r>
              <w:rPr>
                <w:rFonts w:ascii="宋体" w:cs="宋体" w:hint="eastAsia"/>
                <w:kern w:val="0"/>
                <w:szCs w:val="21"/>
              </w:rPr>
              <w:t>符合</w:t>
            </w:r>
          </w:p>
        </w:tc>
      </w:tr>
      <w:tr w:rsidR="00644456">
        <w:tc>
          <w:tcPr>
            <w:tcW w:w="562" w:type="dxa"/>
            <w:vMerge/>
            <w:vAlign w:val="center"/>
          </w:tcPr>
          <w:p w:rsidR="00644456" w:rsidRDefault="00644456">
            <w:pPr>
              <w:jc w:val="center"/>
              <w:rPr>
                <w:rFonts w:cs="Times New Roman"/>
                <w:color w:val="000000" w:themeColor="text1"/>
                <w:kern w:val="0"/>
              </w:rPr>
            </w:pPr>
          </w:p>
        </w:tc>
        <w:tc>
          <w:tcPr>
            <w:tcW w:w="851" w:type="dxa"/>
            <w:vMerge/>
            <w:vAlign w:val="center"/>
          </w:tcPr>
          <w:p w:rsidR="00644456" w:rsidRDefault="00644456">
            <w:pPr>
              <w:jc w:val="center"/>
              <w:rPr>
                <w:rFonts w:cs="Times New Roman"/>
                <w:color w:val="000000" w:themeColor="text1"/>
                <w:kern w:val="0"/>
              </w:rPr>
            </w:pPr>
          </w:p>
        </w:tc>
        <w:tc>
          <w:tcPr>
            <w:tcW w:w="368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废矿物油再生利用产品应进行主要指标的检测，确保再生产品质量。</w:t>
            </w:r>
          </w:p>
        </w:tc>
        <w:tc>
          <w:tcPr>
            <w:tcW w:w="283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本项目再生利用生产的产品均要进行主要指标的检测。</w:t>
            </w:r>
          </w:p>
        </w:tc>
        <w:tc>
          <w:tcPr>
            <w:tcW w:w="787" w:type="dxa"/>
            <w:vAlign w:val="center"/>
          </w:tcPr>
          <w:p w:rsidR="00644456" w:rsidRDefault="008031C4">
            <w:pPr>
              <w:jc w:val="center"/>
              <w:rPr>
                <w:rFonts w:cs="Times New Roman"/>
                <w:color w:val="000000" w:themeColor="text1"/>
                <w:kern w:val="0"/>
              </w:rPr>
            </w:pPr>
            <w:r>
              <w:rPr>
                <w:rFonts w:ascii="宋体" w:cs="宋体" w:hint="eastAsia"/>
                <w:kern w:val="0"/>
                <w:szCs w:val="21"/>
              </w:rPr>
              <w:t>符合</w:t>
            </w:r>
          </w:p>
        </w:tc>
      </w:tr>
      <w:tr w:rsidR="00644456">
        <w:tc>
          <w:tcPr>
            <w:tcW w:w="562" w:type="dxa"/>
            <w:vMerge/>
            <w:vAlign w:val="center"/>
          </w:tcPr>
          <w:p w:rsidR="00644456" w:rsidRDefault="00644456">
            <w:pPr>
              <w:jc w:val="center"/>
              <w:rPr>
                <w:rFonts w:cs="Times New Roman"/>
                <w:color w:val="000000" w:themeColor="text1"/>
                <w:kern w:val="0"/>
              </w:rPr>
            </w:pPr>
          </w:p>
        </w:tc>
        <w:tc>
          <w:tcPr>
            <w:tcW w:w="851" w:type="dxa"/>
            <w:vMerge/>
            <w:vAlign w:val="center"/>
          </w:tcPr>
          <w:p w:rsidR="00644456" w:rsidRDefault="00644456">
            <w:pPr>
              <w:jc w:val="center"/>
              <w:rPr>
                <w:rFonts w:cs="Times New Roman"/>
                <w:color w:val="000000" w:themeColor="text1"/>
                <w:kern w:val="0"/>
              </w:rPr>
            </w:pPr>
          </w:p>
        </w:tc>
        <w:tc>
          <w:tcPr>
            <w:tcW w:w="368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废矿物油再生利用产生的含油白土</w:t>
            </w:r>
          </w:p>
          <w:p w:rsidR="00644456" w:rsidRDefault="008031C4">
            <w:pPr>
              <w:jc w:val="center"/>
              <w:rPr>
                <w:rFonts w:cs="Times New Roman"/>
                <w:color w:val="000000" w:themeColor="text1"/>
                <w:kern w:val="0"/>
              </w:rPr>
            </w:pPr>
            <w:r>
              <w:rPr>
                <w:rFonts w:cs="Times New Roman" w:hint="eastAsia"/>
                <w:color w:val="000000" w:themeColor="text1"/>
                <w:kern w:val="0"/>
              </w:rPr>
              <w:t>宜使用蒸汽提取或焙烧分馏处理。</w:t>
            </w:r>
          </w:p>
        </w:tc>
        <w:tc>
          <w:tcPr>
            <w:tcW w:w="283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本项目产生的危险废物依托有危废处理资质的单位处置。</w:t>
            </w:r>
          </w:p>
        </w:tc>
        <w:tc>
          <w:tcPr>
            <w:tcW w:w="787" w:type="dxa"/>
            <w:vAlign w:val="center"/>
          </w:tcPr>
          <w:p w:rsidR="00644456" w:rsidRDefault="008031C4">
            <w:pPr>
              <w:jc w:val="center"/>
              <w:rPr>
                <w:rFonts w:cs="Times New Roman"/>
                <w:color w:val="000000" w:themeColor="text1"/>
                <w:kern w:val="0"/>
              </w:rPr>
            </w:pPr>
            <w:r>
              <w:rPr>
                <w:rFonts w:ascii="宋体" w:cs="宋体" w:hint="eastAsia"/>
                <w:kern w:val="0"/>
                <w:szCs w:val="21"/>
              </w:rPr>
              <w:t>符合</w:t>
            </w:r>
          </w:p>
        </w:tc>
      </w:tr>
      <w:tr w:rsidR="00644456">
        <w:tc>
          <w:tcPr>
            <w:tcW w:w="562"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5</w:t>
            </w:r>
          </w:p>
        </w:tc>
        <w:tc>
          <w:tcPr>
            <w:tcW w:w="851"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利用和处置污染控制技术要求</w:t>
            </w:r>
          </w:p>
        </w:tc>
        <w:tc>
          <w:tcPr>
            <w:tcW w:w="368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废矿物油经营单位应对废矿物油在</w:t>
            </w:r>
          </w:p>
          <w:p w:rsidR="00644456" w:rsidRDefault="008031C4">
            <w:pPr>
              <w:jc w:val="center"/>
              <w:rPr>
                <w:rFonts w:cs="Times New Roman"/>
                <w:color w:val="000000" w:themeColor="text1"/>
                <w:kern w:val="0"/>
              </w:rPr>
            </w:pPr>
            <w:r>
              <w:rPr>
                <w:rFonts w:cs="Times New Roman" w:hint="eastAsia"/>
                <w:color w:val="000000" w:themeColor="text1"/>
                <w:kern w:val="0"/>
              </w:rPr>
              <w:t>利用和处置过程中排放的废气、废水</w:t>
            </w:r>
          </w:p>
          <w:p w:rsidR="00644456" w:rsidRDefault="008031C4">
            <w:pPr>
              <w:jc w:val="center"/>
              <w:rPr>
                <w:rFonts w:cs="Times New Roman"/>
                <w:color w:val="000000" w:themeColor="text1"/>
                <w:kern w:val="0"/>
              </w:rPr>
            </w:pPr>
            <w:r>
              <w:rPr>
                <w:rFonts w:cs="Times New Roman" w:hint="eastAsia"/>
                <w:color w:val="000000" w:themeColor="text1"/>
                <w:kern w:val="0"/>
              </w:rPr>
              <w:t>和场地进行定期监测。</w:t>
            </w:r>
          </w:p>
        </w:tc>
        <w:tc>
          <w:tcPr>
            <w:tcW w:w="283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将按照规范要求定期进行监测</w:t>
            </w:r>
          </w:p>
        </w:tc>
        <w:tc>
          <w:tcPr>
            <w:tcW w:w="787" w:type="dxa"/>
            <w:vAlign w:val="center"/>
          </w:tcPr>
          <w:p w:rsidR="00644456" w:rsidRDefault="008031C4">
            <w:pPr>
              <w:jc w:val="center"/>
              <w:rPr>
                <w:rFonts w:cs="Times New Roman"/>
                <w:color w:val="000000" w:themeColor="text1"/>
                <w:kern w:val="0"/>
              </w:rPr>
            </w:pPr>
            <w:r>
              <w:rPr>
                <w:rFonts w:ascii="宋体" w:cs="宋体" w:hint="eastAsia"/>
                <w:kern w:val="0"/>
                <w:szCs w:val="21"/>
              </w:rPr>
              <w:t>符合</w:t>
            </w:r>
          </w:p>
        </w:tc>
      </w:tr>
      <w:tr w:rsidR="00644456">
        <w:tc>
          <w:tcPr>
            <w:tcW w:w="562" w:type="dxa"/>
            <w:vMerge/>
            <w:vAlign w:val="center"/>
          </w:tcPr>
          <w:p w:rsidR="00644456" w:rsidRDefault="00644456">
            <w:pPr>
              <w:jc w:val="center"/>
              <w:rPr>
                <w:rFonts w:cs="Times New Roman"/>
                <w:color w:val="000000" w:themeColor="text1"/>
                <w:kern w:val="0"/>
              </w:rPr>
            </w:pPr>
          </w:p>
        </w:tc>
        <w:tc>
          <w:tcPr>
            <w:tcW w:w="851" w:type="dxa"/>
            <w:vMerge/>
            <w:vAlign w:val="center"/>
          </w:tcPr>
          <w:p w:rsidR="00644456" w:rsidRDefault="00644456">
            <w:pPr>
              <w:jc w:val="center"/>
              <w:rPr>
                <w:rFonts w:cs="Times New Roman"/>
                <w:color w:val="000000" w:themeColor="text1"/>
                <w:kern w:val="0"/>
              </w:rPr>
            </w:pPr>
          </w:p>
        </w:tc>
        <w:tc>
          <w:tcPr>
            <w:tcW w:w="368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废矿物油利用和处置过程中排放的</w:t>
            </w:r>
          </w:p>
          <w:p w:rsidR="00644456" w:rsidRDefault="008031C4">
            <w:pPr>
              <w:jc w:val="center"/>
              <w:rPr>
                <w:rFonts w:cs="Times New Roman"/>
                <w:color w:val="000000" w:themeColor="text1"/>
                <w:kern w:val="0"/>
              </w:rPr>
            </w:pPr>
            <w:r>
              <w:rPr>
                <w:rFonts w:cs="Times New Roman" w:hint="eastAsia"/>
                <w:color w:val="000000" w:themeColor="text1"/>
                <w:kern w:val="0"/>
              </w:rPr>
              <w:t>废水、废气、噪声应符合相关要求。</w:t>
            </w:r>
          </w:p>
        </w:tc>
        <w:tc>
          <w:tcPr>
            <w:tcW w:w="283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本项目对于生产过程中排放的废水、废气、噪声均按照规范要求采取了相应的环保措施，以达到达标排放的目的</w:t>
            </w:r>
          </w:p>
        </w:tc>
        <w:tc>
          <w:tcPr>
            <w:tcW w:w="787" w:type="dxa"/>
            <w:vAlign w:val="center"/>
          </w:tcPr>
          <w:p w:rsidR="00644456" w:rsidRDefault="008031C4">
            <w:pPr>
              <w:jc w:val="center"/>
              <w:rPr>
                <w:rFonts w:cs="Times New Roman"/>
                <w:color w:val="000000" w:themeColor="text1"/>
                <w:kern w:val="0"/>
              </w:rPr>
            </w:pPr>
            <w:r>
              <w:rPr>
                <w:rFonts w:ascii="宋体" w:cs="宋体" w:hint="eastAsia"/>
                <w:kern w:val="0"/>
                <w:szCs w:val="21"/>
              </w:rPr>
              <w:t>符合</w:t>
            </w:r>
          </w:p>
        </w:tc>
      </w:tr>
      <w:tr w:rsidR="00644456">
        <w:tc>
          <w:tcPr>
            <w:tcW w:w="562"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6</w:t>
            </w:r>
          </w:p>
        </w:tc>
        <w:tc>
          <w:tcPr>
            <w:tcW w:w="851"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管理要求</w:t>
            </w:r>
          </w:p>
        </w:tc>
        <w:tc>
          <w:tcPr>
            <w:tcW w:w="368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废矿物油经营单位应按照《危险废物经营单位记录和报告经营情况指南》建立废矿物油经营情况记录和报告制度。</w:t>
            </w:r>
          </w:p>
        </w:tc>
        <w:tc>
          <w:tcPr>
            <w:tcW w:w="2835" w:type="dxa"/>
            <w:vAlign w:val="center"/>
          </w:tcPr>
          <w:p w:rsidR="00644456" w:rsidRPr="008031C4" w:rsidRDefault="008031C4">
            <w:pPr>
              <w:jc w:val="center"/>
              <w:rPr>
                <w:rFonts w:cs="Times New Roman"/>
                <w:color w:val="FF0000"/>
                <w:kern w:val="0"/>
              </w:rPr>
            </w:pPr>
            <w:r w:rsidRPr="008031C4">
              <w:rPr>
                <w:rFonts w:cs="Times New Roman" w:hint="eastAsia"/>
                <w:color w:val="FF0000"/>
                <w:kern w:val="0"/>
              </w:rPr>
              <w:t>建设单位将按照规范建立经营情况记录和报告制度。</w:t>
            </w:r>
          </w:p>
        </w:tc>
        <w:tc>
          <w:tcPr>
            <w:tcW w:w="787" w:type="dxa"/>
            <w:vAlign w:val="center"/>
          </w:tcPr>
          <w:p w:rsidR="00644456" w:rsidRDefault="008031C4">
            <w:pPr>
              <w:jc w:val="center"/>
              <w:rPr>
                <w:rFonts w:cs="Times New Roman"/>
                <w:color w:val="000000" w:themeColor="text1"/>
                <w:kern w:val="0"/>
              </w:rPr>
            </w:pPr>
            <w:r>
              <w:rPr>
                <w:rFonts w:ascii="宋体" w:cs="宋体" w:hint="eastAsia"/>
                <w:kern w:val="0"/>
                <w:szCs w:val="21"/>
              </w:rPr>
              <w:t>符合</w:t>
            </w:r>
          </w:p>
        </w:tc>
      </w:tr>
      <w:tr w:rsidR="00644456">
        <w:tc>
          <w:tcPr>
            <w:tcW w:w="562" w:type="dxa"/>
            <w:vMerge/>
            <w:vAlign w:val="center"/>
          </w:tcPr>
          <w:p w:rsidR="00644456" w:rsidRDefault="00644456">
            <w:pPr>
              <w:jc w:val="center"/>
              <w:rPr>
                <w:rFonts w:cs="Times New Roman"/>
                <w:color w:val="000000" w:themeColor="text1"/>
                <w:kern w:val="0"/>
              </w:rPr>
            </w:pPr>
          </w:p>
        </w:tc>
        <w:tc>
          <w:tcPr>
            <w:tcW w:w="851" w:type="dxa"/>
            <w:vMerge/>
            <w:vAlign w:val="center"/>
          </w:tcPr>
          <w:p w:rsidR="00644456" w:rsidRDefault="00644456">
            <w:pPr>
              <w:jc w:val="center"/>
              <w:rPr>
                <w:rFonts w:cs="Times New Roman"/>
                <w:color w:val="000000" w:themeColor="text1"/>
                <w:kern w:val="0"/>
              </w:rPr>
            </w:pPr>
          </w:p>
        </w:tc>
        <w:tc>
          <w:tcPr>
            <w:tcW w:w="368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废矿物油产生单位和废矿物油经营单位应建立环境保护管理责任制度，设置环境保护部门或专（兼）职人员，负责监督废矿物油收集、贮存、运输、利用和处置过程中的环境保护及相关管理工作。</w:t>
            </w:r>
          </w:p>
        </w:tc>
        <w:tc>
          <w:tcPr>
            <w:tcW w:w="2835" w:type="dxa"/>
            <w:vAlign w:val="center"/>
          </w:tcPr>
          <w:p w:rsidR="00644456" w:rsidRPr="008031C4" w:rsidRDefault="008031C4">
            <w:pPr>
              <w:jc w:val="center"/>
              <w:rPr>
                <w:rFonts w:cs="Times New Roman"/>
                <w:color w:val="FF0000"/>
                <w:kern w:val="0"/>
              </w:rPr>
            </w:pPr>
            <w:r w:rsidRPr="008031C4">
              <w:rPr>
                <w:rFonts w:cs="Times New Roman" w:hint="eastAsia"/>
                <w:color w:val="FF0000"/>
                <w:kern w:val="0"/>
              </w:rPr>
              <w:t>建设单位将建立环境保护管理责任制度，设置环境保护部门或专（兼）职人员。</w:t>
            </w:r>
          </w:p>
        </w:tc>
        <w:tc>
          <w:tcPr>
            <w:tcW w:w="787" w:type="dxa"/>
            <w:vAlign w:val="center"/>
          </w:tcPr>
          <w:p w:rsidR="00644456" w:rsidRDefault="008031C4">
            <w:pPr>
              <w:jc w:val="center"/>
              <w:rPr>
                <w:rFonts w:cs="Times New Roman"/>
                <w:color w:val="000000" w:themeColor="text1"/>
                <w:kern w:val="0"/>
              </w:rPr>
            </w:pPr>
            <w:r>
              <w:rPr>
                <w:rFonts w:ascii="宋体" w:cs="宋体" w:hint="eastAsia"/>
                <w:kern w:val="0"/>
                <w:szCs w:val="21"/>
              </w:rPr>
              <w:t>符合</w:t>
            </w:r>
          </w:p>
        </w:tc>
      </w:tr>
      <w:tr w:rsidR="00644456">
        <w:tc>
          <w:tcPr>
            <w:tcW w:w="562" w:type="dxa"/>
            <w:vMerge/>
            <w:vAlign w:val="center"/>
          </w:tcPr>
          <w:p w:rsidR="00644456" w:rsidRDefault="00644456">
            <w:pPr>
              <w:jc w:val="center"/>
              <w:rPr>
                <w:rFonts w:cs="Times New Roman"/>
                <w:color w:val="000000" w:themeColor="text1"/>
                <w:kern w:val="0"/>
              </w:rPr>
            </w:pPr>
          </w:p>
        </w:tc>
        <w:tc>
          <w:tcPr>
            <w:tcW w:w="851" w:type="dxa"/>
            <w:vMerge/>
            <w:vAlign w:val="center"/>
          </w:tcPr>
          <w:p w:rsidR="00644456" w:rsidRDefault="00644456">
            <w:pPr>
              <w:jc w:val="center"/>
              <w:rPr>
                <w:rFonts w:cs="Times New Roman"/>
                <w:color w:val="000000" w:themeColor="text1"/>
                <w:kern w:val="0"/>
              </w:rPr>
            </w:pPr>
          </w:p>
        </w:tc>
        <w:tc>
          <w:tcPr>
            <w:tcW w:w="3685"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废矿物油经营单位应按照《危险废物经营单位编制应急预案指南》建立污染预防机制和环境污染事故应急预案制度。</w:t>
            </w:r>
          </w:p>
        </w:tc>
        <w:tc>
          <w:tcPr>
            <w:tcW w:w="2835" w:type="dxa"/>
            <w:vAlign w:val="center"/>
          </w:tcPr>
          <w:p w:rsidR="00644456" w:rsidRPr="008031C4" w:rsidRDefault="008031C4">
            <w:pPr>
              <w:jc w:val="center"/>
              <w:rPr>
                <w:rFonts w:cs="Times New Roman"/>
                <w:color w:val="FF0000"/>
                <w:kern w:val="0"/>
              </w:rPr>
            </w:pPr>
            <w:r w:rsidRPr="008031C4">
              <w:rPr>
                <w:rFonts w:cs="Times New Roman" w:hint="eastAsia"/>
                <w:color w:val="FF0000"/>
                <w:kern w:val="0"/>
              </w:rPr>
              <w:t>项目建成后，建设单位将及时编制突发环境风险应急预案。</w:t>
            </w:r>
          </w:p>
        </w:tc>
        <w:tc>
          <w:tcPr>
            <w:tcW w:w="787" w:type="dxa"/>
            <w:vAlign w:val="center"/>
          </w:tcPr>
          <w:p w:rsidR="00644456" w:rsidRDefault="008031C4">
            <w:pPr>
              <w:jc w:val="center"/>
              <w:rPr>
                <w:rFonts w:cs="Times New Roman"/>
                <w:color w:val="000000" w:themeColor="text1"/>
                <w:kern w:val="0"/>
              </w:rPr>
            </w:pPr>
            <w:r>
              <w:rPr>
                <w:rFonts w:ascii="宋体" w:cs="宋体" w:hint="eastAsia"/>
                <w:kern w:val="0"/>
                <w:szCs w:val="21"/>
              </w:rPr>
              <w:t>符合</w:t>
            </w:r>
          </w:p>
        </w:tc>
      </w:tr>
    </w:tbl>
    <w:p w:rsidR="00644456" w:rsidRDefault="008031C4">
      <w:pPr>
        <w:snapToGrid w:val="0"/>
        <w:spacing w:line="360" w:lineRule="auto"/>
        <w:ind w:firstLine="480"/>
        <w:rPr>
          <w:rFonts w:cs="Times New Roman"/>
          <w:b/>
          <w:bCs/>
          <w:color w:val="000000" w:themeColor="text1"/>
          <w:sz w:val="24"/>
          <w:szCs w:val="24"/>
        </w:rPr>
      </w:pPr>
      <w:r>
        <w:rPr>
          <w:rFonts w:cs="Times New Roman"/>
          <w:b/>
          <w:bCs/>
          <w:color w:val="000000" w:themeColor="text1"/>
          <w:sz w:val="24"/>
          <w:szCs w:val="24"/>
        </w:rPr>
        <w:lastRenderedPageBreak/>
        <w:t>3</w:t>
      </w:r>
      <w:r>
        <w:rPr>
          <w:rFonts w:cs="Times New Roman" w:hint="eastAsia"/>
          <w:b/>
          <w:bCs/>
          <w:color w:val="000000" w:themeColor="text1"/>
          <w:sz w:val="24"/>
          <w:szCs w:val="24"/>
        </w:rPr>
        <w:t>、与《废矿物油综合利用行业规范条件》相符性分析</w:t>
      </w:r>
    </w:p>
    <w:p w:rsidR="00644456" w:rsidRDefault="008031C4">
      <w:pPr>
        <w:pStyle w:val="1f7"/>
      </w:pPr>
      <w:r>
        <w:rPr>
          <w:rFonts w:hint="eastAsia"/>
        </w:rPr>
        <w:t>根据《废矿物油综合利用行业规范条件》相关规定，本项目与其相符性见表</w:t>
      </w:r>
      <w:r>
        <w:rPr>
          <w:rFonts w:hint="eastAsia"/>
        </w:rPr>
        <w:t>1.4-5</w:t>
      </w:r>
      <w:r>
        <w:rPr>
          <w:rFonts w:hint="eastAsia"/>
        </w:rPr>
        <w:t>。</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1.4-5</w:t>
      </w:r>
      <w:r>
        <w:rPr>
          <w:rFonts w:ascii="Times New Roman" w:eastAsia="宋体" w:hAnsi="Times New Roman" w:cs="Times New Roman" w:hint="eastAsia"/>
          <w:b/>
          <w:color w:val="000000" w:themeColor="text1"/>
          <w:sz w:val="24"/>
        </w:rPr>
        <w:t>与《废矿物油综合利用行业规范条件》的符合性分析</w:t>
      </w:r>
    </w:p>
    <w:tbl>
      <w:tblPr>
        <w:tblStyle w:val="affff4"/>
        <w:tblW w:w="0" w:type="auto"/>
        <w:tblLook w:val="04A0" w:firstRow="1" w:lastRow="0" w:firstColumn="1" w:lastColumn="0" w:noHBand="0" w:noVBand="1"/>
      </w:tblPr>
      <w:tblGrid>
        <w:gridCol w:w="704"/>
        <w:gridCol w:w="709"/>
        <w:gridCol w:w="3544"/>
        <w:gridCol w:w="2976"/>
        <w:gridCol w:w="787"/>
      </w:tblGrid>
      <w:tr w:rsidR="00644456" w:rsidTr="008031C4">
        <w:tc>
          <w:tcPr>
            <w:tcW w:w="70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序号</w:t>
            </w:r>
          </w:p>
        </w:tc>
        <w:tc>
          <w:tcPr>
            <w:tcW w:w="709"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项目</w:t>
            </w: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规范要求</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本项目情况</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符合性</w:t>
            </w:r>
          </w:p>
        </w:tc>
      </w:tr>
      <w:tr w:rsidR="00644456" w:rsidTr="008031C4">
        <w:tc>
          <w:tcPr>
            <w:tcW w:w="70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1</w:t>
            </w:r>
          </w:p>
        </w:tc>
        <w:tc>
          <w:tcPr>
            <w:tcW w:w="709"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总则</w:t>
            </w: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二）本规范条件所称废矿物油综合利用，指对各种工矿机械、车辆、船舶和航空运输等设备在使用过程中产生的功效降低或失去功效的废矿物油，通过采用各种分离工序，获得达到或接近工业用油品质的润滑油基础油、柴油等油品。</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本项目废润滑油采用“减压蒸馏</w:t>
            </w:r>
            <w:r>
              <w:rPr>
                <w:rFonts w:cs="Times New Roman" w:hint="eastAsia"/>
                <w:color w:val="000000" w:themeColor="text1"/>
                <w:kern w:val="0"/>
              </w:rPr>
              <w:t>+</w:t>
            </w:r>
            <w:r>
              <w:rPr>
                <w:rFonts w:cs="Times New Roman" w:hint="eastAsia"/>
                <w:color w:val="000000" w:themeColor="text1"/>
                <w:kern w:val="0"/>
              </w:rPr>
              <w:t>溶剂精制”工艺进行处理，得到再生基础油、再生尾油和燃料油，</w:t>
            </w:r>
          </w:p>
          <w:p w:rsidR="00644456" w:rsidRDefault="008031C4">
            <w:pPr>
              <w:jc w:val="center"/>
              <w:rPr>
                <w:rFonts w:cs="Times New Roman"/>
                <w:color w:val="000000" w:themeColor="text1"/>
                <w:kern w:val="0"/>
              </w:rPr>
            </w:pPr>
            <w:r>
              <w:rPr>
                <w:rFonts w:cs="Times New Roman" w:hint="eastAsia"/>
                <w:color w:val="000000" w:themeColor="text1"/>
                <w:kern w:val="0"/>
              </w:rPr>
              <w:t>其中再生基础油、再生尾油符合中国物资再生协会标准《再生润滑油基础油》（</w:t>
            </w:r>
            <w:r>
              <w:rPr>
                <w:rFonts w:cs="Times New Roman" w:hint="eastAsia"/>
                <w:color w:val="000000" w:themeColor="text1"/>
                <w:kern w:val="0"/>
              </w:rPr>
              <w:t>T/CRRA0901-2018</w:t>
            </w:r>
            <w:r>
              <w:rPr>
                <w:rFonts w:cs="Times New Roman" w:hint="eastAsia"/>
                <w:color w:val="000000" w:themeColor="text1"/>
                <w:kern w:val="0"/>
              </w:rPr>
              <w:t>）质量标准；燃料油符合石油化工行业标准《燃料油》（</w:t>
            </w:r>
            <w:r>
              <w:rPr>
                <w:rFonts w:cs="Times New Roman" w:hint="eastAsia"/>
                <w:color w:val="000000" w:themeColor="text1"/>
                <w:kern w:val="0"/>
              </w:rPr>
              <w:t>SH/T0356-1996</w:t>
            </w:r>
            <w:r>
              <w:rPr>
                <w:rFonts w:cs="Times New Roman" w:hint="eastAsia"/>
                <w:color w:val="000000" w:themeColor="text1"/>
                <w:kern w:val="0"/>
              </w:rPr>
              <w:t>）质量标准。</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rsidTr="008031C4">
        <w:tc>
          <w:tcPr>
            <w:tcW w:w="704"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2</w:t>
            </w:r>
          </w:p>
        </w:tc>
        <w:tc>
          <w:tcPr>
            <w:tcW w:w="709"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企业的设立和布局</w:t>
            </w: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（三）新建、改扩建的废矿物油综合利用项目应当符合国家相关的法律法规，采用符合节能和环保要求的技术与生产装备</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本项目建设符合国家现行产业、法律法规，采取的技术及生产装备符合《废矿物油回收利用污染控制技术规范》（</w:t>
            </w:r>
            <w:r>
              <w:rPr>
                <w:rFonts w:cs="Times New Roman" w:hint="eastAsia"/>
                <w:color w:val="000000" w:themeColor="text1"/>
                <w:kern w:val="0"/>
              </w:rPr>
              <w:t>HJ607-2011</w:t>
            </w:r>
            <w:r>
              <w:rPr>
                <w:rFonts w:cs="Times New Roman" w:hint="eastAsia"/>
                <w:color w:val="000000" w:themeColor="text1"/>
                <w:kern w:val="0"/>
              </w:rPr>
              <w:t>）中提倡的再生利用工艺。</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rsidTr="008031C4">
        <w:tc>
          <w:tcPr>
            <w:tcW w:w="704" w:type="dxa"/>
            <w:vMerge/>
            <w:vAlign w:val="center"/>
          </w:tcPr>
          <w:p w:rsidR="00644456" w:rsidRDefault="00644456">
            <w:pPr>
              <w:jc w:val="center"/>
              <w:rPr>
                <w:rFonts w:cs="Times New Roman"/>
                <w:color w:val="000000" w:themeColor="text1"/>
                <w:kern w:val="0"/>
              </w:rPr>
            </w:pPr>
          </w:p>
        </w:tc>
        <w:tc>
          <w:tcPr>
            <w:tcW w:w="709" w:type="dxa"/>
            <w:vMerge/>
            <w:vAlign w:val="center"/>
          </w:tcPr>
          <w:p w:rsidR="00644456" w:rsidRDefault="00644456">
            <w:pPr>
              <w:jc w:val="center"/>
              <w:rPr>
                <w:rFonts w:cs="Times New Roman"/>
                <w:color w:val="000000" w:themeColor="text1"/>
                <w:kern w:val="0"/>
              </w:rPr>
            </w:pP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（四）废矿物油综合利用企业应根据废矿物油产生的数量、种类、分布、转移等因素合理布局。鼓励废矿物油综合利用企业无害化处置、规模化生产、资源化利用。</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本项目属于废润滑油的资源回收再利用项目。</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rsidTr="008031C4">
        <w:tc>
          <w:tcPr>
            <w:tcW w:w="704" w:type="dxa"/>
            <w:vMerge/>
            <w:vAlign w:val="center"/>
          </w:tcPr>
          <w:p w:rsidR="00644456" w:rsidRDefault="00644456">
            <w:pPr>
              <w:jc w:val="center"/>
              <w:rPr>
                <w:rFonts w:cs="Times New Roman"/>
                <w:color w:val="000000" w:themeColor="text1"/>
                <w:kern w:val="0"/>
              </w:rPr>
            </w:pPr>
          </w:p>
        </w:tc>
        <w:tc>
          <w:tcPr>
            <w:tcW w:w="709" w:type="dxa"/>
            <w:vMerge/>
            <w:vAlign w:val="center"/>
          </w:tcPr>
          <w:p w:rsidR="00644456" w:rsidRDefault="00644456">
            <w:pPr>
              <w:jc w:val="center"/>
              <w:rPr>
                <w:rFonts w:cs="Times New Roman"/>
                <w:color w:val="000000" w:themeColor="text1"/>
                <w:kern w:val="0"/>
              </w:rPr>
            </w:pP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（五）废矿物油综合利用企业厂区应为集中、独立的整块场地，实施了必要的防渗处理，生产区与办公区、生活区分开。</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本项目按照相关的规范要求进行分区防渗，生产区与生活区分开。</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rsidTr="008031C4">
        <w:tc>
          <w:tcPr>
            <w:tcW w:w="704" w:type="dxa"/>
            <w:vMerge/>
            <w:vAlign w:val="center"/>
          </w:tcPr>
          <w:p w:rsidR="00644456" w:rsidRDefault="00644456">
            <w:pPr>
              <w:jc w:val="center"/>
              <w:rPr>
                <w:rFonts w:cs="Times New Roman"/>
                <w:color w:val="000000" w:themeColor="text1"/>
                <w:kern w:val="0"/>
              </w:rPr>
            </w:pPr>
          </w:p>
        </w:tc>
        <w:tc>
          <w:tcPr>
            <w:tcW w:w="709" w:type="dxa"/>
            <w:vMerge/>
            <w:vAlign w:val="center"/>
          </w:tcPr>
          <w:p w:rsidR="00644456" w:rsidRDefault="00644456">
            <w:pPr>
              <w:jc w:val="center"/>
              <w:rPr>
                <w:rFonts w:cs="Times New Roman"/>
                <w:color w:val="000000" w:themeColor="text1"/>
                <w:kern w:val="0"/>
              </w:rPr>
            </w:pP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六）自然保护区、生态功能保护区、风景名胜区、森林公园、饮用水水源保护区内，城市市区及周边、居民区、疗养地、旅游景点等地点不得建立废矿物油综合利用企业；在上述地点已建的企业应根据该区域规划要求，依法通过搬迁、转产等方式逐步退出。</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本项目周围区域无自然保护区、集中式饮用水保护区、居住区等环境敏感点。</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rsidTr="008031C4">
        <w:tc>
          <w:tcPr>
            <w:tcW w:w="704"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3</w:t>
            </w:r>
          </w:p>
        </w:tc>
        <w:tc>
          <w:tcPr>
            <w:tcW w:w="709"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生产</w:t>
            </w:r>
          </w:p>
          <w:p w:rsidR="00644456" w:rsidRDefault="008031C4">
            <w:pPr>
              <w:jc w:val="center"/>
              <w:rPr>
                <w:rFonts w:cs="Times New Roman"/>
                <w:color w:val="000000" w:themeColor="text1"/>
                <w:kern w:val="0"/>
              </w:rPr>
            </w:pPr>
            <w:r>
              <w:rPr>
                <w:rFonts w:cs="Times New Roman" w:hint="eastAsia"/>
                <w:color w:val="000000" w:themeColor="text1"/>
                <w:kern w:val="0"/>
              </w:rPr>
              <w:t>经营</w:t>
            </w:r>
          </w:p>
          <w:p w:rsidR="00644456" w:rsidRDefault="008031C4">
            <w:pPr>
              <w:jc w:val="center"/>
              <w:rPr>
                <w:rFonts w:cs="Times New Roman"/>
                <w:color w:val="000000" w:themeColor="text1"/>
                <w:kern w:val="0"/>
              </w:rPr>
            </w:pPr>
            <w:r>
              <w:rPr>
                <w:rFonts w:cs="Times New Roman" w:hint="eastAsia"/>
                <w:color w:val="000000" w:themeColor="text1"/>
                <w:kern w:val="0"/>
              </w:rPr>
              <w:t>规模</w:t>
            </w:r>
          </w:p>
        </w:tc>
        <w:tc>
          <w:tcPr>
            <w:tcW w:w="3544" w:type="dxa"/>
            <w:vAlign w:val="center"/>
          </w:tcPr>
          <w:p w:rsidR="00644456" w:rsidRDefault="008031C4" w:rsidP="008031C4">
            <w:pPr>
              <w:jc w:val="center"/>
              <w:rPr>
                <w:rFonts w:cs="Times New Roman"/>
                <w:color w:val="000000" w:themeColor="text1"/>
                <w:kern w:val="0"/>
              </w:rPr>
            </w:pPr>
            <w:r>
              <w:rPr>
                <w:rFonts w:cs="Times New Roman" w:hint="eastAsia"/>
                <w:color w:val="000000" w:themeColor="text1"/>
                <w:kern w:val="0"/>
              </w:rPr>
              <w:t>（七）新建、改扩建企业单个建设项目年处置能力不得低于</w:t>
            </w:r>
            <w:r>
              <w:rPr>
                <w:rFonts w:cs="Times New Roman" w:hint="eastAsia"/>
                <w:color w:val="000000" w:themeColor="text1"/>
                <w:kern w:val="0"/>
              </w:rPr>
              <w:t>3</w:t>
            </w:r>
            <w:r>
              <w:rPr>
                <w:rFonts w:cs="Times New Roman" w:hint="eastAsia"/>
                <w:color w:val="000000" w:themeColor="text1"/>
                <w:kern w:val="0"/>
              </w:rPr>
              <w:t>万吨。</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本项目为新建项目，处置能力</w:t>
            </w:r>
            <w:r>
              <w:rPr>
                <w:rFonts w:cs="Times New Roman" w:hint="eastAsia"/>
                <w:color w:val="000000" w:themeColor="text1"/>
                <w:kern w:val="0"/>
              </w:rPr>
              <w:t>3</w:t>
            </w:r>
            <w:r>
              <w:rPr>
                <w:rFonts w:cs="Times New Roman" w:hint="eastAsia"/>
                <w:color w:val="000000" w:themeColor="text1"/>
                <w:kern w:val="0"/>
              </w:rPr>
              <w:t>万</w:t>
            </w:r>
            <w:r>
              <w:rPr>
                <w:rFonts w:cs="Times New Roman" w:hint="eastAsia"/>
                <w:color w:val="000000" w:themeColor="text1"/>
                <w:kern w:val="0"/>
              </w:rPr>
              <w:t>t/a</w:t>
            </w:r>
            <w:r>
              <w:rPr>
                <w:rFonts w:cs="Times New Roman" w:hint="eastAsia"/>
                <w:color w:val="000000" w:themeColor="text1"/>
                <w:kern w:val="0"/>
              </w:rPr>
              <w:t>的废润滑油再生利用装置，满足规模要求</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rsidTr="008031C4">
        <w:tc>
          <w:tcPr>
            <w:tcW w:w="704" w:type="dxa"/>
            <w:vMerge/>
            <w:vAlign w:val="center"/>
          </w:tcPr>
          <w:p w:rsidR="00644456" w:rsidRDefault="00644456">
            <w:pPr>
              <w:jc w:val="center"/>
              <w:rPr>
                <w:rFonts w:cs="Times New Roman"/>
                <w:color w:val="000000" w:themeColor="text1"/>
                <w:kern w:val="0"/>
              </w:rPr>
            </w:pPr>
          </w:p>
        </w:tc>
        <w:tc>
          <w:tcPr>
            <w:tcW w:w="709" w:type="dxa"/>
            <w:vMerge/>
            <w:vAlign w:val="center"/>
          </w:tcPr>
          <w:p w:rsidR="00644456" w:rsidRDefault="00644456">
            <w:pPr>
              <w:jc w:val="center"/>
              <w:rPr>
                <w:rFonts w:cs="Times New Roman"/>
                <w:color w:val="000000" w:themeColor="text1"/>
                <w:kern w:val="0"/>
              </w:rPr>
            </w:pP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（八）废矿物油综合利用企业应当具备与处置能力相适应的生产设备、检测设备、实验设备、公用工程设施及生产辅助设施。</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本项目生产设施处理能力为</w:t>
            </w:r>
            <w:r>
              <w:rPr>
                <w:rFonts w:cs="Times New Roman" w:hint="eastAsia"/>
                <w:color w:val="000000" w:themeColor="text1"/>
                <w:kern w:val="0"/>
              </w:rPr>
              <w:t>3</w:t>
            </w:r>
            <w:r>
              <w:rPr>
                <w:rFonts w:cs="Times New Roman" w:hint="eastAsia"/>
                <w:color w:val="000000" w:themeColor="text1"/>
                <w:kern w:val="0"/>
              </w:rPr>
              <w:t>万</w:t>
            </w:r>
            <w:r>
              <w:rPr>
                <w:rFonts w:cs="Times New Roman" w:hint="eastAsia"/>
                <w:color w:val="000000" w:themeColor="text1"/>
                <w:kern w:val="0"/>
              </w:rPr>
              <w:t>t/a</w:t>
            </w:r>
            <w:r>
              <w:rPr>
                <w:rFonts w:cs="Times New Roman" w:hint="eastAsia"/>
                <w:color w:val="000000" w:themeColor="text1"/>
                <w:kern w:val="0"/>
              </w:rPr>
              <w:t>。并配套建设相应的检测设备、公用工程及生产辅助设施等。</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rsidTr="008031C4">
        <w:tc>
          <w:tcPr>
            <w:tcW w:w="704" w:type="dxa"/>
            <w:vMerge/>
            <w:vAlign w:val="center"/>
          </w:tcPr>
          <w:p w:rsidR="00644456" w:rsidRDefault="00644456">
            <w:pPr>
              <w:jc w:val="center"/>
              <w:rPr>
                <w:rFonts w:cs="Times New Roman"/>
                <w:color w:val="000000" w:themeColor="text1"/>
                <w:kern w:val="0"/>
              </w:rPr>
            </w:pPr>
          </w:p>
        </w:tc>
        <w:tc>
          <w:tcPr>
            <w:tcW w:w="709" w:type="dxa"/>
            <w:vMerge/>
            <w:vAlign w:val="center"/>
          </w:tcPr>
          <w:p w:rsidR="00644456" w:rsidRDefault="00644456">
            <w:pPr>
              <w:jc w:val="center"/>
              <w:rPr>
                <w:rFonts w:cs="Times New Roman"/>
                <w:color w:val="000000" w:themeColor="text1"/>
                <w:kern w:val="0"/>
              </w:rPr>
            </w:pP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（九）鼓励对废矿物油进行集中处置和利用，形成规模效应，提高污染控制水平。对达不到年处置能力规模要求的废矿物油综合利用企业，引导其</w:t>
            </w:r>
            <w:r>
              <w:rPr>
                <w:rFonts w:cs="Times New Roman" w:hint="eastAsia"/>
                <w:color w:val="000000" w:themeColor="text1"/>
                <w:kern w:val="0"/>
              </w:rPr>
              <w:lastRenderedPageBreak/>
              <w:t>合并、转产。</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lastRenderedPageBreak/>
              <w:t>根据市场调研，项目周边废矿物油货源充足有保障，可达到年处理能力不低于</w:t>
            </w:r>
            <w:r>
              <w:rPr>
                <w:rFonts w:cs="Times New Roman" w:hint="eastAsia"/>
                <w:color w:val="000000" w:themeColor="text1"/>
                <w:kern w:val="0"/>
              </w:rPr>
              <w:t>3</w:t>
            </w:r>
            <w:r>
              <w:rPr>
                <w:rFonts w:cs="Times New Roman" w:hint="eastAsia"/>
                <w:color w:val="000000" w:themeColor="text1"/>
                <w:kern w:val="0"/>
              </w:rPr>
              <w:t>万</w:t>
            </w:r>
            <w:r>
              <w:rPr>
                <w:rFonts w:cs="Times New Roman" w:hint="eastAsia"/>
                <w:color w:val="000000" w:themeColor="text1"/>
                <w:kern w:val="0"/>
              </w:rPr>
              <w:t>t</w:t>
            </w:r>
            <w:r>
              <w:rPr>
                <w:rFonts w:cs="Times New Roman" w:hint="eastAsia"/>
                <w:color w:val="000000" w:themeColor="text1"/>
                <w:kern w:val="0"/>
              </w:rPr>
              <w:t>的要求。</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rsidTr="008031C4">
        <w:tc>
          <w:tcPr>
            <w:tcW w:w="704"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4</w:t>
            </w:r>
          </w:p>
        </w:tc>
        <w:tc>
          <w:tcPr>
            <w:tcW w:w="709"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资源</w:t>
            </w:r>
          </w:p>
          <w:p w:rsidR="00644456" w:rsidRDefault="008031C4">
            <w:pPr>
              <w:jc w:val="center"/>
              <w:rPr>
                <w:rFonts w:cs="Times New Roman"/>
                <w:color w:val="000000" w:themeColor="text1"/>
                <w:kern w:val="0"/>
              </w:rPr>
            </w:pPr>
            <w:r>
              <w:rPr>
                <w:rFonts w:cs="Times New Roman" w:hint="eastAsia"/>
                <w:color w:val="000000" w:themeColor="text1"/>
                <w:kern w:val="0"/>
              </w:rPr>
              <w:t>回收</w:t>
            </w:r>
          </w:p>
          <w:p w:rsidR="00644456" w:rsidRDefault="008031C4">
            <w:pPr>
              <w:jc w:val="center"/>
              <w:rPr>
                <w:rFonts w:cs="Times New Roman"/>
                <w:color w:val="000000" w:themeColor="text1"/>
                <w:kern w:val="0"/>
              </w:rPr>
            </w:pPr>
            <w:r>
              <w:rPr>
                <w:rFonts w:cs="Times New Roman" w:hint="eastAsia"/>
                <w:color w:val="000000" w:themeColor="text1"/>
                <w:kern w:val="0"/>
              </w:rPr>
              <w:t>利用</w:t>
            </w: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十）在废矿物油综合利用过程中，应对其有益组分进行充分利用，对废矿物油再生提炼产生的废气、废渣、废水应当进行无害化处理。不具备处理条件的废矿物油综合利用企业，应委托其他具有相关资质的企业进行处理，不得擅自丢弃、倾倒、焚烧和填埋。</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本项目再生利用得到的主要产品为再生基础油、再生尾油和燃料油，外售下游厂家。产生的废气经净化装置处理后通过</w:t>
            </w:r>
            <w:r>
              <w:rPr>
                <w:rFonts w:cs="Times New Roman" w:hint="eastAsia"/>
                <w:color w:val="000000" w:themeColor="text1"/>
                <w:kern w:val="0"/>
              </w:rPr>
              <w:t>15</w:t>
            </w:r>
            <w:r>
              <w:rPr>
                <w:rFonts w:cs="Times New Roman" w:hint="eastAsia"/>
                <w:color w:val="000000" w:themeColor="text1"/>
                <w:kern w:val="0"/>
              </w:rPr>
              <w:t>米排气筒高空达标排放；废水、固体废弃物经收集、暂存后，依托有资质的企业处置。</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rsidTr="008031C4">
        <w:tc>
          <w:tcPr>
            <w:tcW w:w="704" w:type="dxa"/>
            <w:vMerge/>
            <w:vAlign w:val="center"/>
          </w:tcPr>
          <w:p w:rsidR="00644456" w:rsidRDefault="00644456">
            <w:pPr>
              <w:jc w:val="center"/>
              <w:rPr>
                <w:rFonts w:cs="Times New Roman"/>
                <w:color w:val="000000" w:themeColor="text1"/>
                <w:kern w:val="0"/>
              </w:rPr>
            </w:pPr>
          </w:p>
        </w:tc>
        <w:tc>
          <w:tcPr>
            <w:tcW w:w="709" w:type="dxa"/>
            <w:vMerge/>
            <w:vAlign w:val="center"/>
          </w:tcPr>
          <w:p w:rsidR="00644456" w:rsidRDefault="00644456">
            <w:pPr>
              <w:jc w:val="center"/>
              <w:rPr>
                <w:rFonts w:cs="Times New Roman"/>
                <w:color w:val="000000" w:themeColor="text1"/>
                <w:kern w:val="0"/>
              </w:rPr>
            </w:pP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（十一）废矿物油的收集、贮存、运输、利用和处置过程要符合《废矿物油回收利用污染控制技术规范》（</w:t>
            </w:r>
            <w:r>
              <w:rPr>
                <w:rFonts w:cs="Times New Roman" w:hint="eastAsia"/>
                <w:color w:val="000000" w:themeColor="text1"/>
                <w:kern w:val="0"/>
              </w:rPr>
              <w:t>HJ607-2011</w:t>
            </w:r>
            <w:r>
              <w:rPr>
                <w:rFonts w:cs="Times New Roman" w:hint="eastAsia"/>
                <w:color w:val="000000" w:themeColor="text1"/>
                <w:kern w:val="0"/>
              </w:rPr>
              <w:t>）要求</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具体见表</w:t>
            </w:r>
            <w:r>
              <w:rPr>
                <w:rFonts w:cs="Times New Roman" w:hint="eastAsia"/>
                <w:color w:val="000000" w:themeColor="text1"/>
                <w:kern w:val="0"/>
              </w:rPr>
              <w:t>3.1-17</w:t>
            </w:r>
            <w:r>
              <w:rPr>
                <w:rFonts w:cs="Times New Roman" w:hint="eastAsia"/>
                <w:color w:val="000000" w:themeColor="text1"/>
                <w:kern w:val="0"/>
              </w:rPr>
              <w:t>与《废矿物油回收利用污染控制技术规范》（</w:t>
            </w:r>
            <w:r>
              <w:rPr>
                <w:rFonts w:cs="Times New Roman" w:hint="eastAsia"/>
                <w:color w:val="000000" w:themeColor="text1"/>
                <w:kern w:val="0"/>
              </w:rPr>
              <w:t>HJ607-2011</w:t>
            </w:r>
            <w:r>
              <w:rPr>
                <w:rFonts w:cs="Times New Roman" w:hint="eastAsia"/>
                <w:color w:val="000000" w:themeColor="text1"/>
                <w:kern w:val="0"/>
              </w:rPr>
              <w:t>）符合性分析</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rsidTr="008031C4">
        <w:tc>
          <w:tcPr>
            <w:tcW w:w="704"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5</w:t>
            </w:r>
          </w:p>
        </w:tc>
        <w:tc>
          <w:tcPr>
            <w:tcW w:w="709"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工艺、装备</w:t>
            </w:r>
          </w:p>
          <w:p w:rsidR="00644456" w:rsidRDefault="008031C4">
            <w:pPr>
              <w:jc w:val="center"/>
              <w:rPr>
                <w:rFonts w:cs="Times New Roman"/>
                <w:color w:val="000000" w:themeColor="text1"/>
                <w:kern w:val="0"/>
              </w:rPr>
            </w:pPr>
            <w:r>
              <w:rPr>
                <w:rFonts w:cs="Times New Roman" w:hint="eastAsia"/>
                <w:color w:val="000000" w:themeColor="text1"/>
                <w:kern w:val="0"/>
              </w:rPr>
              <w:t>及能耗</w:t>
            </w: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（十二）新建、改扩建废矿物油综合利用企业应当采用符合国家要求的节能、环保技术、安全成熟的先进工艺及设备。</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本项目拟选工艺为“减压蒸馏</w:t>
            </w:r>
            <w:r>
              <w:rPr>
                <w:rFonts w:cs="Times New Roman" w:hint="eastAsia"/>
                <w:color w:val="000000" w:themeColor="text1"/>
                <w:kern w:val="0"/>
              </w:rPr>
              <w:t>+</w:t>
            </w:r>
            <w:r>
              <w:rPr>
                <w:rFonts w:cs="Times New Roman" w:hint="eastAsia"/>
                <w:color w:val="000000" w:themeColor="text1"/>
                <w:kern w:val="0"/>
              </w:rPr>
              <w:t>溶剂精制”，具有节能、环保、安全等特点。</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rsidTr="008031C4">
        <w:tc>
          <w:tcPr>
            <w:tcW w:w="704" w:type="dxa"/>
            <w:vMerge/>
            <w:vAlign w:val="center"/>
          </w:tcPr>
          <w:p w:rsidR="00644456" w:rsidRDefault="00644456">
            <w:pPr>
              <w:jc w:val="center"/>
              <w:rPr>
                <w:rFonts w:cs="Times New Roman"/>
                <w:color w:val="000000" w:themeColor="text1"/>
                <w:kern w:val="0"/>
              </w:rPr>
            </w:pPr>
          </w:p>
        </w:tc>
        <w:tc>
          <w:tcPr>
            <w:tcW w:w="709" w:type="dxa"/>
            <w:vMerge/>
            <w:vAlign w:val="center"/>
          </w:tcPr>
          <w:p w:rsidR="00644456" w:rsidRDefault="00644456">
            <w:pPr>
              <w:jc w:val="center"/>
              <w:rPr>
                <w:rFonts w:cs="Times New Roman"/>
                <w:color w:val="000000" w:themeColor="text1"/>
                <w:kern w:val="0"/>
              </w:rPr>
            </w:pP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（十三）提炼再生润滑油基础油的蒸馏工序推荐采用高真空蒸馏，包括分子蒸馏、薄膜蒸发、减压蒸馏等方法。</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本项目蒸馏方法为减压蒸馏</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rsidTr="008031C4">
        <w:tc>
          <w:tcPr>
            <w:tcW w:w="704" w:type="dxa"/>
            <w:vMerge/>
            <w:vAlign w:val="center"/>
          </w:tcPr>
          <w:p w:rsidR="00644456" w:rsidRDefault="00644456">
            <w:pPr>
              <w:jc w:val="center"/>
              <w:rPr>
                <w:rFonts w:cs="Times New Roman"/>
                <w:color w:val="000000" w:themeColor="text1"/>
                <w:kern w:val="0"/>
              </w:rPr>
            </w:pPr>
          </w:p>
        </w:tc>
        <w:tc>
          <w:tcPr>
            <w:tcW w:w="709" w:type="dxa"/>
            <w:vMerge/>
            <w:vAlign w:val="center"/>
          </w:tcPr>
          <w:p w:rsidR="00644456" w:rsidRDefault="00644456">
            <w:pPr>
              <w:jc w:val="center"/>
              <w:rPr>
                <w:rFonts w:cs="Times New Roman"/>
                <w:color w:val="000000" w:themeColor="text1"/>
                <w:kern w:val="0"/>
              </w:rPr>
            </w:pP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（十四）再生润滑油基础油的后精制工序鼓励采用溶剂精制或加氢精制，严禁使用国家明令淘汰的硫酸精制等强酸精制工艺。</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本项目拟选精制工艺为溶剂精制（</w:t>
            </w:r>
            <w:r>
              <w:rPr>
                <w:rFonts w:cs="Times New Roman" w:hint="eastAsia"/>
                <w:color w:val="000000" w:themeColor="text1"/>
                <w:kern w:val="0"/>
              </w:rPr>
              <w:t>NMP</w:t>
            </w:r>
            <w:r>
              <w:rPr>
                <w:rFonts w:cs="Times New Roman" w:hint="eastAsia"/>
                <w:color w:val="000000" w:themeColor="text1"/>
                <w:kern w:val="0"/>
              </w:rPr>
              <w:t>），为国家鼓励采用的精制工艺。</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rsidTr="008031C4">
        <w:tc>
          <w:tcPr>
            <w:tcW w:w="704"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6</w:t>
            </w:r>
          </w:p>
        </w:tc>
        <w:tc>
          <w:tcPr>
            <w:tcW w:w="709"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环境</w:t>
            </w:r>
          </w:p>
          <w:p w:rsidR="00644456" w:rsidRDefault="008031C4">
            <w:pPr>
              <w:jc w:val="center"/>
              <w:rPr>
                <w:rFonts w:cs="Times New Roman"/>
                <w:color w:val="000000" w:themeColor="text1"/>
                <w:kern w:val="0"/>
              </w:rPr>
            </w:pPr>
            <w:r>
              <w:rPr>
                <w:rFonts w:cs="Times New Roman" w:hint="eastAsia"/>
                <w:color w:val="000000" w:themeColor="text1"/>
                <w:kern w:val="0"/>
              </w:rPr>
              <w:t>保护</w:t>
            </w: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十八）新建、改扩建废矿物油综合利用项目要严格执行《中华人民共和国环境影响评价法》，依法向环境保护行政主管部门报批环境评价文件。按照环境保护“三同时”的要求，建设与项目相配套的环境保护设施，编制环境风险应急预案，并依法申请项目竣工环境保护验收。</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本项目在建设过程中将严格落实环保设施“三同时”制度，编制环境风险应急预案，项目建成后将依法组织进行竣工环保验收。</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rsidTr="008031C4">
        <w:tc>
          <w:tcPr>
            <w:tcW w:w="704" w:type="dxa"/>
            <w:vMerge/>
            <w:vAlign w:val="center"/>
          </w:tcPr>
          <w:p w:rsidR="00644456" w:rsidRDefault="00644456">
            <w:pPr>
              <w:jc w:val="center"/>
              <w:rPr>
                <w:rFonts w:cs="Times New Roman"/>
                <w:color w:val="000000" w:themeColor="text1"/>
                <w:kern w:val="0"/>
              </w:rPr>
            </w:pPr>
          </w:p>
        </w:tc>
        <w:tc>
          <w:tcPr>
            <w:tcW w:w="709" w:type="dxa"/>
            <w:vMerge/>
            <w:vAlign w:val="center"/>
          </w:tcPr>
          <w:p w:rsidR="00644456" w:rsidRDefault="00644456">
            <w:pPr>
              <w:jc w:val="center"/>
              <w:rPr>
                <w:rFonts w:cs="Times New Roman"/>
                <w:color w:val="000000" w:themeColor="text1"/>
                <w:kern w:val="0"/>
              </w:rPr>
            </w:pP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（十九）废矿物油综合利用项目应当同步配套尾气净化处理装置。尾气排放必须达到《大气污染物综合排放标准》、《恶臭污染物排放标准》。</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本项目废气经净化装置处理达到《大气污染物综合排放标准》等相关标准限值后，通过</w:t>
            </w:r>
            <w:r>
              <w:rPr>
                <w:rFonts w:cs="Times New Roman"/>
                <w:color w:val="000000" w:themeColor="text1"/>
                <w:kern w:val="0"/>
              </w:rPr>
              <w:t>15</w:t>
            </w:r>
            <w:r>
              <w:rPr>
                <w:rFonts w:cs="Times New Roman" w:hint="eastAsia"/>
                <w:color w:val="000000" w:themeColor="text1"/>
                <w:kern w:val="0"/>
              </w:rPr>
              <w:t>米排气</w:t>
            </w:r>
          </w:p>
          <w:p w:rsidR="00644456" w:rsidRDefault="008031C4">
            <w:pPr>
              <w:jc w:val="center"/>
              <w:rPr>
                <w:rFonts w:cs="Times New Roman"/>
                <w:color w:val="000000" w:themeColor="text1"/>
                <w:kern w:val="0"/>
              </w:rPr>
            </w:pPr>
            <w:r>
              <w:rPr>
                <w:rFonts w:cs="Times New Roman" w:hint="eastAsia"/>
                <w:color w:val="000000" w:themeColor="text1"/>
                <w:kern w:val="0"/>
              </w:rPr>
              <w:t>筒高空排放。</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rsidTr="008031C4">
        <w:tc>
          <w:tcPr>
            <w:tcW w:w="704" w:type="dxa"/>
            <w:vMerge/>
            <w:vAlign w:val="center"/>
          </w:tcPr>
          <w:p w:rsidR="00644456" w:rsidRDefault="00644456">
            <w:pPr>
              <w:jc w:val="center"/>
              <w:rPr>
                <w:rFonts w:cs="Times New Roman"/>
                <w:color w:val="000000" w:themeColor="text1"/>
                <w:kern w:val="0"/>
              </w:rPr>
            </w:pPr>
          </w:p>
        </w:tc>
        <w:tc>
          <w:tcPr>
            <w:tcW w:w="709" w:type="dxa"/>
            <w:vMerge/>
            <w:vAlign w:val="center"/>
          </w:tcPr>
          <w:p w:rsidR="00644456" w:rsidRDefault="00644456">
            <w:pPr>
              <w:jc w:val="center"/>
              <w:rPr>
                <w:rFonts w:cs="Times New Roman"/>
                <w:color w:val="000000" w:themeColor="text1"/>
                <w:kern w:val="0"/>
              </w:rPr>
            </w:pP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二十）废矿物油综合利用项目必须建有废水处理装置或委托有废水处理资质的企业进行处理，鼓励实现废水循环利用；厂区内管网建设要做到清污分流、雨污分流；有废水处理设施的企业应建立事故应急池；废水排放应当达到《污水综合排放标准》。</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本项目生产过程中产生的含油废水经过厂区的污水处理设施处理后，最终进入园区污水处理厂处理，厂区内实施“清污分流、雨污分流”，且在厂内设置事故池。</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rsidTr="008031C4">
        <w:tc>
          <w:tcPr>
            <w:tcW w:w="704" w:type="dxa"/>
            <w:vMerge/>
            <w:vAlign w:val="center"/>
          </w:tcPr>
          <w:p w:rsidR="00644456" w:rsidRDefault="00644456">
            <w:pPr>
              <w:jc w:val="center"/>
              <w:rPr>
                <w:rFonts w:cs="Times New Roman"/>
                <w:color w:val="000000" w:themeColor="text1"/>
                <w:kern w:val="0"/>
              </w:rPr>
            </w:pPr>
          </w:p>
        </w:tc>
        <w:tc>
          <w:tcPr>
            <w:tcW w:w="709" w:type="dxa"/>
            <w:vMerge/>
            <w:vAlign w:val="center"/>
          </w:tcPr>
          <w:p w:rsidR="00644456" w:rsidRDefault="00644456">
            <w:pPr>
              <w:jc w:val="center"/>
              <w:rPr>
                <w:rFonts w:cs="Times New Roman"/>
                <w:color w:val="000000" w:themeColor="text1"/>
                <w:kern w:val="0"/>
              </w:rPr>
            </w:pP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二十一）废矿物油综合利用项目必须建有废渣贮存设施，废渣自行处理的，处理设施必须与主体项目同时设计、同时施工、同时投产使用；废渣委托处理的，受托企业必须具有该类废物处理的经营资质和能力，鼓励废渣循环利用</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本项目生产过程中产生的废渣分类收集、暂存后，委托有资质的企业处置。</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rsidTr="008031C4">
        <w:tc>
          <w:tcPr>
            <w:tcW w:w="704" w:type="dxa"/>
            <w:vMerge/>
            <w:vAlign w:val="center"/>
          </w:tcPr>
          <w:p w:rsidR="00644456" w:rsidRDefault="00644456">
            <w:pPr>
              <w:jc w:val="center"/>
              <w:rPr>
                <w:rFonts w:cs="Times New Roman"/>
                <w:color w:val="000000" w:themeColor="text1"/>
                <w:kern w:val="0"/>
              </w:rPr>
            </w:pPr>
          </w:p>
        </w:tc>
        <w:tc>
          <w:tcPr>
            <w:tcW w:w="709" w:type="dxa"/>
            <w:vMerge/>
            <w:vAlign w:val="center"/>
          </w:tcPr>
          <w:p w:rsidR="00644456" w:rsidRDefault="00644456">
            <w:pPr>
              <w:jc w:val="center"/>
              <w:rPr>
                <w:rFonts w:cs="Times New Roman"/>
                <w:color w:val="000000" w:themeColor="text1"/>
                <w:kern w:val="0"/>
              </w:rPr>
            </w:pP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（二十二）对于废矿物油处置设备中噪音污染大的须采取降噪和隔音措施，噪音污染防治应当达到《工业企业厂界环境噪声排放标准》</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对废矿物油处置设备中噪音污染大的（如泵、风机、冷却塔等）采取降噪和隔音措施，确保厂界达标。</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rsidTr="008031C4">
        <w:tc>
          <w:tcPr>
            <w:tcW w:w="704"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7</w:t>
            </w:r>
          </w:p>
        </w:tc>
        <w:tc>
          <w:tcPr>
            <w:tcW w:w="709"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产品质量和职业教育</w:t>
            </w: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（二十三）废矿物油综合利用企业应当设立独立的质量检验部门和专职检验人员，健全质量检验管理制度、保证检验数据完整，并且具有鉴定合格、符合使用期限的检验、检测设备</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本项目设有独立的质量检验部门和专职检验人员，满足生产需要</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rsidTr="008031C4">
        <w:tc>
          <w:tcPr>
            <w:tcW w:w="704" w:type="dxa"/>
            <w:vMerge/>
            <w:vAlign w:val="center"/>
          </w:tcPr>
          <w:p w:rsidR="00644456" w:rsidRDefault="00644456">
            <w:pPr>
              <w:jc w:val="center"/>
              <w:rPr>
                <w:rFonts w:cs="Times New Roman"/>
                <w:color w:val="000000" w:themeColor="text1"/>
                <w:kern w:val="0"/>
              </w:rPr>
            </w:pPr>
          </w:p>
        </w:tc>
        <w:tc>
          <w:tcPr>
            <w:tcW w:w="709" w:type="dxa"/>
            <w:vMerge/>
            <w:vAlign w:val="center"/>
          </w:tcPr>
          <w:p w:rsidR="00644456" w:rsidRDefault="00644456">
            <w:pPr>
              <w:jc w:val="center"/>
              <w:rPr>
                <w:rFonts w:cs="Times New Roman"/>
                <w:color w:val="000000" w:themeColor="text1"/>
                <w:kern w:val="0"/>
              </w:rPr>
            </w:pP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（二十六）废矿物油综合利用企业应建立职业教育培训管理制度及职工教育档案。工程技术人员、生产工人应定期接受培训，做到持证上岗。</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本项目建成后将建立相应的岗前、生产以及安全培训、健康管理制度，并认真落实。</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rsidTr="008031C4">
        <w:tc>
          <w:tcPr>
            <w:tcW w:w="704"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8</w:t>
            </w:r>
          </w:p>
        </w:tc>
        <w:tc>
          <w:tcPr>
            <w:tcW w:w="709"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安全</w:t>
            </w:r>
          </w:p>
          <w:p w:rsidR="00644456" w:rsidRDefault="008031C4">
            <w:pPr>
              <w:jc w:val="center"/>
              <w:rPr>
                <w:rFonts w:cs="Times New Roman"/>
                <w:color w:val="000000" w:themeColor="text1"/>
                <w:kern w:val="0"/>
              </w:rPr>
            </w:pPr>
            <w:r>
              <w:rPr>
                <w:rFonts w:cs="Times New Roman" w:hint="eastAsia"/>
                <w:color w:val="000000" w:themeColor="text1"/>
                <w:kern w:val="0"/>
              </w:rPr>
              <w:t>生产</w:t>
            </w: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二十九）废矿物油综合利用企业应有安全防护与防治措施，配备符合国家标准的安全防护器材与设备，避免在生产过程中造成人员伤害。对可能产生粉尘、有毒有害气体的作业区，应配备职业病防护设施，保证工作场所符合国家职业卫生标准</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严格按照本项目安全评价结论及要求落实员工安全防护、生产安全防范措施，降低安全风险。</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rsidTr="008031C4">
        <w:tc>
          <w:tcPr>
            <w:tcW w:w="704" w:type="dxa"/>
            <w:vMerge/>
            <w:vAlign w:val="center"/>
          </w:tcPr>
          <w:p w:rsidR="00644456" w:rsidRDefault="00644456">
            <w:pPr>
              <w:jc w:val="center"/>
              <w:rPr>
                <w:rFonts w:cs="Times New Roman"/>
                <w:color w:val="000000" w:themeColor="text1"/>
                <w:kern w:val="0"/>
              </w:rPr>
            </w:pPr>
          </w:p>
        </w:tc>
        <w:tc>
          <w:tcPr>
            <w:tcW w:w="709" w:type="dxa"/>
            <w:vMerge/>
            <w:vAlign w:val="center"/>
          </w:tcPr>
          <w:p w:rsidR="00644456" w:rsidRDefault="00644456">
            <w:pPr>
              <w:jc w:val="center"/>
              <w:rPr>
                <w:rFonts w:cs="Times New Roman"/>
                <w:color w:val="000000" w:themeColor="text1"/>
                <w:kern w:val="0"/>
              </w:rPr>
            </w:pP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（三十一）生产区、装卸区、原料、产品及其他危险化学品存放区应严格执行国家和行业相关法律法规，并按相关标准规范要求设置警示标志。</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本项目建成后将按要求对生产区、储罐区、贮存区等区域设置警示标志，并严格按照国家相关法律法规进行管理</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bl>
    <w:p w:rsidR="00644456" w:rsidRDefault="008031C4">
      <w:pPr>
        <w:pStyle w:val="3"/>
        <w:numPr>
          <w:ilvl w:val="2"/>
          <w:numId w:val="0"/>
        </w:numPr>
        <w:ind w:firstLineChars="200" w:firstLine="482"/>
      </w:pPr>
      <w:r>
        <w:rPr>
          <w:rFonts w:hint="eastAsia"/>
        </w:rPr>
        <w:t>1.4.3</w:t>
      </w:r>
      <w:r>
        <w:rPr>
          <w:rFonts w:hint="eastAsia"/>
        </w:rPr>
        <w:t>与园区规划及规划环评符合性</w:t>
      </w:r>
    </w:p>
    <w:p w:rsidR="00644456" w:rsidRDefault="008031C4">
      <w:pPr>
        <w:snapToGrid w:val="0"/>
        <w:spacing w:line="360" w:lineRule="auto"/>
        <w:ind w:firstLine="480"/>
        <w:rPr>
          <w:rFonts w:cs="Times New Roman"/>
          <w:b/>
          <w:bCs/>
          <w:color w:val="000000" w:themeColor="text1"/>
          <w:sz w:val="24"/>
          <w:szCs w:val="24"/>
        </w:rPr>
      </w:pPr>
      <w:r>
        <w:rPr>
          <w:rFonts w:cs="Times New Roman"/>
          <w:b/>
          <w:bCs/>
          <w:color w:val="000000" w:themeColor="text1"/>
          <w:sz w:val="24"/>
          <w:szCs w:val="24"/>
        </w:rPr>
        <w:t>1</w:t>
      </w:r>
      <w:r>
        <w:rPr>
          <w:rFonts w:cs="Times New Roman" w:hint="eastAsia"/>
          <w:b/>
          <w:bCs/>
          <w:color w:val="000000" w:themeColor="text1"/>
          <w:sz w:val="24"/>
          <w:szCs w:val="24"/>
        </w:rPr>
        <w:t>、与《疏勒高新技术产业开发区“多规合一”总体规划（</w:t>
      </w:r>
      <w:r>
        <w:rPr>
          <w:rFonts w:cs="Times New Roman" w:hint="eastAsia"/>
          <w:b/>
          <w:bCs/>
          <w:color w:val="000000" w:themeColor="text1"/>
          <w:sz w:val="24"/>
          <w:szCs w:val="24"/>
        </w:rPr>
        <w:t>2021-2035</w:t>
      </w:r>
      <w:r>
        <w:rPr>
          <w:rFonts w:cs="Times New Roman" w:hint="eastAsia"/>
          <w:b/>
          <w:bCs/>
          <w:color w:val="000000" w:themeColor="text1"/>
          <w:sz w:val="24"/>
          <w:szCs w:val="24"/>
        </w:rPr>
        <w:t>年）》符合性分析</w:t>
      </w:r>
    </w:p>
    <w:p w:rsidR="00644456" w:rsidRDefault="008031C4">
      <w:pPr>
        <w:pStyle w:val="1f7"/>
      </w:pPr>
      <w:r>
        <w:rPr>
          <w:rFonts w:hint="eastAsia"/>
        </w:rPr>
        <w:t>疏勒南疆齐鲁工业园区自</w:t>
      </w:r>
      <w:r>
        <w:rPr>
          <w:rFonts w:hint="eastAsia"/>
        </w:rPr>
        <w:t>2005</w:t>
      </w:r>
      <w:r>
        <w:rPr>
          <w:rFonts w:hint="eastAsia"/>
        </w:rPr>
        <w:t>年开始筹建，并组建了疏勒南疆齐鲁工业园管理委员会；新疆维吾尔自治区人民政府以新政函〔</w:t>
      </w:r>
      <w:r>
        <w:rPr>
          <w:rFonts w:hint="eastAsia"/>
        </w:rPr>
        <w:t>2011</w:t>
      </w:r>
      <w:r>
        <w:rPr>
          <w:rFonts w:hint="eastAsia"/>
        </w:rPr>
        <w:t>〕</w:t>
      </w:r>
      <w:r>
        <w:rPr>
          <w:rFonts w:hint="eastAsia"/>
        </w:rPr>
        <w:t>320</w:t>
      </w:r>
      <w:r>
        <w:rPr>
          <w:rFonts w:hint="eastAsia"/>
        </w:rPr>
        <w:t>号同意设立疏勒南疆齐鲁工业园区为自治区级园区，规划面积</w:t>
      </w:r>
      <w:r>
        <w:rPr>
          <w:rFonts w:hint="eastAsia"/>
        </w:rPr>
        <w:t>9.7</w:t>
      </w:r>
      <w:r>
        <w:rPr>
          <w:rFonts w:hint="eastAsia"/>
        </w:rPr>
        <w:t>平方公里；随着喀什地区提出《喀什“一市两县”同城发展建设规划》，将疏勒县纳入了“一市两县”同城发展的规划之内，疏勒县委、县政府根据同城规划中疏勒县突出科技的思路，将南疆齐鲁工业园、山东物流园和齐鲁生态钢城进行统一的整合和规划，新疆维吾尔自治区人民政府以新政函〔</w:t>
      </w:r>
      <w:r>
        <w:rPr>
          <w:rFonts w:hint="eastAsia"/>
        </w:rPr>
        <w:t>2015</w:t>
      </w:r>
      <w:r>
        <w:rPr>
          <w:rFonts w:hint="eastAsia"/>
        </w:rPr>
        <w:t>〕</w:t>
      </w:r>
      <w:r>
        <w:rPr>
          <w:rFonts w:hint="eastAsia"/>
        </w:rPr>
        <w:t>200</w:t>
      </w:r>
      <w:r>
        <w:rPr>
          <w:rFonts w:hint="eastAsia"/>
        </w:rPr>
        <w:t>号同意设立疏勒高新技术产业开发区，疏勒南疆齐鲁工业园管理委员会委托编制了《疏勒高新技术产业开发区总体规划（</w:t>
      </w:r>
      <w:r>
        <w:rPr>
          <w:rFonts w:hint="eastAsia"/>
        </w:rPr>
        <w:t>2016</w:t>
      </w:r>
      <w:r>
        <w:rPr>
          <w:rFonts w:hint="eastAsia"/>
        </w:rPr>
        <w:t>—</w:t>
      </w:r>
      <w:r>
        <w:rPr>
          <w:rFonts w:hint="eastAsia"/>
        </w:rPr>
        <w:t>2030</w:t>
      </w:r>
      <w:r>
        <w:rPr>
          <w:rFonts w:hint="eastAsia"/>
        </w:rPr>
        <w:t>）》（以下简称“上版规划”），规划总面积</w:t>
      </w:r>
      <w:r>
        <w:rPr>
          <w:rFonts w:hint="eastAsia"/>
        </w:rPr>
        <w:t>53.67km</w:t>
      </w:r>
      <w:r>
        <w:rPr>
          <w:rFonts w:hint="eastAsia"/>
          <w:vertAlign w:val="superscript"/>
        </w:rPr>
        <w:t>2</w:t>
      </w:r>
      <w:r>
        <w:rPr>
          <w:rFonts w:hint="eastAsia"/>
        </w:rPr>
        <w:t>，采用“一区三园”的模式，其中南疆齐鲁工业园规划面积</w:t>
      </w:r>
      <w:r>
        <w:rPr>
          <w:rFonts w:hint="eastAsia"/>
        </w:rPr>
        <w:t>3.37km</w:t>
      </w:r>
      <w:r>
        <w:rPr>
          <w:rFonts w:hint="eastAsia"/>
          <w:vertAlign w:val="superscript"/>
        </w:rPr>
        <w:t>2</w:t>
      </w:r>
      <w:r>
        <w:rPr>
          <w:rFonts w:hint="eastAsia"/>
        </w:rPr>
        <w:t>，山东物流园规划面积</w:t>
      </w:r>
      <w:r>
        <w:rPr>
          <w:rFonts w:hint="eastAsia"/>
        </w:rPr>
        <w:t>23.37km</w:t>
      </w:r>
      <w:r>
        <w:rPr>
          <w:rFonts w:hint="eastAsia"/>
          <w:vertAlign w:val="superscript"/>
        </w:rPr>
        <w:t>2</w:t>
      </w:r>
      <w:r>
        <w:rPr>
          <w:rFonts w:hint="eastAsia"/>
          <w:vertAlign w:val="superscript"/>
        </w:rPr>
        <w:t>（</w:t>
      </w:r>
      <w:r>
        <w:rPr>
          <w:rFonts w:hint="eastAsia"/>
        </w:rPr>
        <w:t>包括仓储贸易加工区</w:t>
      </w:r>
      <w:r>
        <w:rPr>
          <w:rFonts w:hint="eastAsia"/>
        </w:rPr>
        <w:t>16.26km2</w:t>
      </w:r>
      <w:r>
        <w:rPr>
          <w:rFonts w:hint="eastAsia"/>
        </w:rPr>
        <w:t>及加工区</w:t>
      </w:r>
      <w:r>
        <w:rPr>
          <w:rFonts w:hint="eastAsia"/>
        </w:rPr>
        <w:t>7.11km</w:t>
      </w:r>
      <w:r>
        <w:rPr>
          <w:rFonts w:hint="eastAsia"/>
          <w:vertAlign w:val="superscript"/>
        </w:rPr>
        <w:t>2</w:t>
      </w:r>
      <w:r>
        <w:rPr>
          <w:rFonts w:hint="eastAsia"/>
          <w:vertAlign w:val="superscript"/>
        </w:rPr>
        <w:t>）</w:t>
      </w:r>
      <w:r>
        <w:rPr>
          <w:rFonts w:hint="eastAsia"/>
        </w:rPr>
        <w:t>，</w:t>
      </w:r>
      <w:bookmarkStart w:id="45" w:name="_Hlk179280439"/>
      <w:r>
        <w:rPr>
          <w:rFonts w:hint="eastAsia"/>
        </w:rPr>
        <w:t>齐鲁生态钢城</w:t>
      </w:r>
      <w:bookmarkEnd w:id="45"/>
      <w:r>
        <w:rPr>
          <w:rFonts w:hint="eastAsia"/>
        </w:rPr>
        <w:t>规划面积</w:t>
      </w:r>
      <w:r>
        <w:rPr>
          <w:rFonts w:hint="eastAsia"/>
        </w:rPr>
        <w:t>26.93km</w:t>
      </w:r>
      <w:r>
        <w:rPr>
          <w:rFonts w:hint="eastAsia"/>
          <w:vertAlign w:val="superscript"/>
        </w:rPr>
        <w:t>2</w:t>
      </w:r>
      <w:r>
        <w:rPr>
          <w:rFonts w:hint="eastAsia"/>
        </w:rPr>
        <w:t>。</w:t>
      </w:r>
    </w:p>
    <w:p w:rsidR="00644456" w:rsidRDefault="008031C4">
      <w:pPr>
        <w:pStyle w:val="1f7"/>
      </w:pPr>
      <w:r>
        <w:rPr>
          <w:rFonts w:hint="eastAsia"/>
        </w:rPr>
        <w:t>根据《</w:t>
      </w:r>
      <w:bookmarkStart w:id="46" w:name="_Hlk179279577"/>
      <w:r>
        <w:rPr>
          <w:rFonts w:hint="eastAsia"/>
        </w:rPr>
        <w:t>疏勒高新技术产业开发区</w:t>
      </w:r>
      <w:bookmarkEnd w:id="46"/>
      <w:r>
        <w:rPr>
          <w:rFonts w:hint="eastAsia"/>
        </w:rPr>
        <w:t>“多规合一”总体规划（</w:t>
      </w:r>
      <w:r>
        <w:rPr>
          <w:rFonts w:hint="eastAsia"/>
        </w:rPr>
        <w:t>2021-2035</w:t>
      </w:r>
      <w:r>
        <w:rPr>
          <w:rFonts w:hint="eastAsia"/>
        </w:rPr>
        <w:t>年）》（规划目前暂未获批），其中</w:t>
      </w:r>
      <w:bookmarkStart w:id="47" w:name="_Hlk179280428"/>
      <w:r>
        <w:rPr>
          <w:rFonts w:hint="eastAsia"/>
        </w:rPr>
        <w:t>齐鲁生态钢城产业</w:t>
      </w:r>
      <w:bookmarkEnd w:id="47"/>
      <w:r>
        <w:rPr>
          <w:rFonts w:hint="eastAsia"/>
        </w:rPr>
        <w:t>规划为新能源及生物工程区、钢铁产业</w:t>
      </w:r>
      <w:r>
        <w:rPr>
          <w:rFonts w:hint="eastAsia"/>
        </w:rPr>
        <w:lastRenderedPageBreak/>
        <w:t>区、电镀产业区、</w:t>
      </w:r>
      <w:r>
        <w:rPr>
          <w:rFonts w:hint="eastAsia"/>
          <w:b/>
          <w:bCs/>
        </w:rPr>
        <w:t>化工产业聚集区</w:t>
      </w:r>
      <w:r>
        <w:rPr>
          <w:rFonts w:hint="eastAsia"/>
        </w:rPr>
        <w:t>、畜牧产业区。</w:t>
      </w:r>
    </w:p>
    <w:p w:rsidR="00644456" w:rsidRDefault="008031C4">
      <w:pPr>
        <w:pStyle w:val="1f7"/>
      </w:pPr>
      <w:r>
        <w:rPr>
          <w:rFonts w:hint="eastAsia"/>
        </w:rPr>
        <w:t>本项目选址位于齐鲁生态钢城中的化工产业聚集区，齐鲁生态钢城积聚建材优势产业，发展特色建材，同时引入以绿色金属表面处理为龙头的绿色化工产业，发展相关全链产业，打造以</w:t>
      </w:r>
      <w:r>
        <w:rPr>
          <w:rFonts w:hint="eastAsia"/>
          <w:b/>
          <w:bCs/>
        </w:rPr>
        <w:t>循环经济、绿色发展为特色的现代综合产业园区</w:t>
      </w:r>
      <w:r>
        <w:rPr>
          <w:rFonts w:hint="eastAsia"/>
        </w:rPr>
        <w:t>。总规划用地规模为</w:t>
      </w:r>
      <w:r>
        <w:rPr>
          <w:rFonts w:hint="eastAsia"/>
        </w:rPr>
        <w:t>27.22km</w:t>
      </w:r>
      <w:r>
        <w:rPr>
          <w:rFonts w:hint="eastAsia"/>
        </w:rPr>
        <w:t>²，其中建设用地面积</w:t>
      </w:r>
      <w:r>
        <w:rPr>
          <w:rFonts w:hint="eastAsia"/>
        </w:rPr>
        <w:t>21.38km</w:t>
      </w:r>
      <w:r>
        <w:rPr>
          <w:rFonts w:hint="eastAsia"/>
        </w:rPr>
        <w:t>²。</w:t>
      </w:r>
    </w:p>
    <w:p w:rsidR="00644456" w:rsidRDefault="008031C4">
      <w:pPr>
        <w:pStyle w:val="1f7"/>
        <w:ind w:firstLine="482"/>
        <w:rPr>
          <w:b/>
          <w:bCs/>
        </w:rPr>
      </w:pPr>
      <w:r>
        <w:rPr>
          <w:rFonts w:hint="eastAsia"/>
          <w:b/>
          <w:bCs/>
        </w:rPr>
        <w:t>本项目位于化工产业聚集区，用地属于三类工业用地，废水经本项目处理达标后，进入园区生态钢城污水处理厂再次处理后，回用于园区道路清扫和绿化灌溉。</w:t>
      </w:r>
    </w:p>
    <w:p w:rsidR="00644456" w:rsidRDefault="008031C4">
      <w:pPr>
        <w:pStyle w:val="1f7"/>
      </w:pPr>
      <w:r>
        <w:rPr>
          <w:rFonts w:hint="eastAsia"/>
        </w:rPr>
        <w:t>本项目属于废矿物油再生，符合《疏勒高新技术产业开发区“多规合一”总体规划（</w:t>
      </w:r>
      <w:r>
        <w:rPr>
          <w:rFonts w:hint="eastAsia"/>
        </w:rPr>
        <w:t>2021-2035</w:t>
      </w:r>
      <w:r>
        <w:rPr>
          <w:rFonts w:hint="eastAsia"/>
        </w:rPr>
        <w:t>年）》。</w:t>
      </w:r>
      <w:r>
        <w:rPr>
          <w:rFonts w:hint="eastAsia"/>
          <w:b/>
          <w:bCs/>
        </w:rPr>
        <w:t>根据疏勒南疆齐鲁工业园区党工委</w:t>
      </w:r>
      <w:r>
        <w:rPr>
          <w:rFonts w:hint="eastAsia"/>
          <w:b/>
          <w:bCs/>
        </w:rPr>
        <w:t>2</w:t>
      </w:r>
      <w:r>
        <w:rPr>
          <w:b/>
          <w:bCs/>
        </w:rPr>
        <w:t>024</w:t>
      </w:r>
      <w:r>
        <w:rPr>
          <w:rFonts w:hint="eastAsia"/>
          <w:b/>
          <w:bCs/>
        </w:rPr>
        <w:t>年第十八次会议纪要，喀什正启节能环保科技有限公司废矿物油再生与利用项目计划落户齐鲁生态钢城纬二路以南，幸福路以东，新疆维实生物科技有限公司以西宗地。已征求住建、商工信、自然资源、发改、水利、招商中心等部门意见，均无意见。建议将该项目提交县规委会办公室会议研究，会议研究决定原则同意。</w:t>
      </w:r>
    </w:p>
    <w:p w:rsidR="00644456" w:rsidRDefault="008031C4">
      <w:pPr>
        <w:snapToGrid w:val="0"/>
        <w:spacing w:line="360" w:lineRule="auto"/>
        <w:ind w:firstLine="480"/>
        <w:rPr>
          <w:rFonts w:cs="Times New Roman"/>
          <w:b/>
          <w:bCs/>
          <w:color w:val="000000" w:themeColor="text1"/>
          <w:sz w:val="24"/>
          <w:szCs w:val="24"/>
        </w:rPr>
      </w:pPr>
      <w:r>
        <w:rPr>
          <w:rFonts w:cs="Times New Roman" w:hint="eastAsia"/>
          <w:b/>
          <w:bCs/>
          <w:color w:val="000000" w:themeColor="text1"/>
          <w:sz w:val="24"/>
          <w:szCs w:val="24"/>
        </w:rPr>
        <w:t>2</w:t>
      </w:r>
      <w:r>
        <w:rPr>
          <w:rFonts w:cs="Times New Roman" w:hint="eastAsia"/>
          <w:b/>
          <w:bCs/>
          <w:color w:val="000000" w:themeColor="text1"/>
          <w:sz w:val="24"/>
          <w:szCs w:val="24"/>
        </w:rPr>
        <w:t>、与《疏勒高新技术产业开发区“多规合一”总体规划（</w:t>
      </w:r>
      <w:r>
        <w:rPr>
          <w:rFonts w:cs="Times New Roman" w:hint="eastAsia"/>
          <w:b/>
          <w:bCs/>
          <w:color w:val="000000" w:themeColor="text1"/>
          <w:sz w:val="24"/>
          <w:szCs w:val="24"/>
        </w:rPr>
        <w:t>2021-2035</w:t>
      </w:r>
      <w:r>
        <w:rPr>
          <w:rFonts w:cs="Times New Roman" w:hint="eastAsia"/>
          <w:b/>
          <w:bCs/>
          <w:color w:val="000000" w:themeColor="text1"/>
          <w:sz w:val="24"/>
          <w:szCs w:val="24"/>
        </w:rPr>
        <w:t>年）环境影响报告书》及其审查意见符合性分析</w:t>
      </w:r>
    </w:p>
    <w:p w:rsidR="00644456" w:rsidRDefault="008031C4">
      <w:pPr>
        <w:spacing w:line="360" w:lineRule="auto"/>
        <w:ind w:firstLine="480"/>
        <w:rPr>
          <w:rFonts w:cs="Times New Roman"/>
          <w:b/>
          <w:bCs/>
          <w:color w:val="000000" w:themeColor="text1"/>
          <w:sz w:val="24"/>
          <w:szCs w:val="24"/>
        </w:rPr>
      </w:pPr>
      <w:r>
        <w:rPr>
          <w:rFonts w:cs="Times New Roman"/>
          <w:b/>
          <w:bCs/>
          <w:color w:val="000000" w:themeColor="text1"/>
          <w:sz w:val="24"/>
          <w:szCs w:val="24"/>
        </w:rPr>
        <w:t>（</w:t>
      </w:r>
      <w:r>
        <w:rPr>
          <w:rFonts w:cs="Times New Roman"/>
          <w:b/>
          <w:bCs/>
          <w:color w:val="000000" w:themeColor="text1"/>
          <w:sz w:val="24"/>
          <w:szCs w:val="24"/>
        </w:rPr>
        <w:t>1</w:t>
      </w:r>
      <w:r>
        <w:rPr>
          <w:rFonts w:cs="Times New Roman"/>
          <w:b/>
          <w:bCs/>
          <w:color w:val="000000" w:themeColor="text1"/>
          <w:sz w:val="24"/>
          <w:szCs w:val="24"/>
        </w:rPr>
        <w:t>）与园区规划及环评、环评批复要求符合性</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fldChar w:fldCharType="begin"/>
      </w:r>
      <w:r>
        <w:rPr>
          <w:rFonts w:ascii="Times New Roman" w:eastAsia="宋体" w:hAnsi="Times New Roman" w:cs="Times New Roman" w:hint="eastAsia"/>
          <w:b/>
          <w:color w:val="000000" w:themeColor="text1"/>
          <w:sz w:val="24"/>
        </w:rPr>
        <w:instrText xml:space="preserve"> STYLEREF 1 \s </w:instrText>
      </w:r>
      <w:r>
        <w:rPr>
          <w:rFonts w:ascii="Times New Roman" w:eastAsia="宋体" w:hAnsi="Times New Roman" w:cs="Times New Roman" w:hint="eastAsia"/>
          <w:b/>
          <w:color w:val="000000" w:themeColor="text1"/>
          <w:sz w:val="24"/>
        </w:rPr>
        <w:fldChar w:fldCharType="separate"/>
      </w:r>
      <w:r>
        <w:rPr>
          <w:rFonts w:ascii="Times New Roman" w:eastAsia="宋体" w:hAnsi="Times New Roman" w:cs="Times New Roman" w:hint="eastAsia"/>
          <w:b/>
          <w:color w:val="000000" w:themeColor="text1"/>
          <w:sz w:val="24"/>
        </w:rPr>
        <w:t>1</w:t>
      </w:r>
      <w:r>
        <w:rPr>
          <w:rFonts w:ascii="Times New Roman" w:eastAsia="宋体" w:hAnsi="Times New Roman" w:cs="Times New Roman" w:hint="eastAsia"/>
          <w:b/>
          <w:color w:val="000000" w:themeColor="text1"/>
          <w:sz w:val="24"/>
        </w:rPr>
        <w:fldChar w:fldCharType="end"/>
      </w:r>
      <w:r>
        <w:rPr>
          <w:rFonts w:ascii="Times New Roman" w:eastAsia="宋体" w:hAnsi="Times New Roman" w:cs="Times New Roman" w:hint="eastAsia"/>
          <w:b/>
          <w:color w:val="000000" w:themeColor="text1"/>
          <w:sz w:val="24"/>
        </w:rPr>
        <w:t>.4</w:t>
      </w:r>
      <w:r>
        <w:rPr>
          <w:rFonts w:ascii="Times New Roman" w:eastAsia="宋体" w:hAnsi="Times New Roman" w:cs="Times New Roman" w:hint="eastAsia"/>
          <w:b/>
          <w:color w:val="000000" w:themeColor="text1"/>
          <w:sz w:val="24"/>
        </w:rPr>
        <w:noBreakHyphen/>
        <w:t>6</w:t>
      </w:r>
      <w:r>
        <w:rPr>
          <w:rFonts w:ascii="Times New Roman" w:eastAsia="宋体" w:hAnsi="Times New Roman" w:cs="Times New Roman" w:hint="eastAsia"/>
          <w:b/>
          <w:color w:val="000000" w:themeColor="text1"/>
          <w:sz w:val="24"/>
        </w:rPr>
        <w:t>项目与园区规划及规划环评、环评批复要求比较一览表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075"/>
        <w:gridCol w:w="4973"/>
        <w:gridCol w:w="1891"/>
        <w:gridCol w:w="791"/>
      </w:tblGrid>
      <w:tr w:rsidR="00644456">
        <w:trPr>
          <w:jc w:val="center"/>
        </w:trPr>
        <w:tc>
          <w:tcPr>
            <w:tcW w:w="616"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color w:val="000000" w:themeColor="text1"/>
                <w:szCs w:val="18"/>
              </w:rPr>
              <w:t>对策措施及优化建议</w:t>
            </w:r>
          </w:p>
        </w:tc>
        <w:tc>
          <w:tcPr>
            <w:tcW w:w="2848" w:type="pct"/>
            <w:shd w:val="clear" w:color="auto" w:fill="auto"/>
            <w:vAlign w:val="center"/>
          </w:tcPr>
          <w:p w:rsidR="00644456" w:rsidRDefault="008031C4">
            <w:pPr>
              <w:jc w:val="center"/>
              <w:rPr>
                <w:rFonts w:cs="Times New Roman"/>
                <w:color w:val="000000" w:themeColor="text1"/>
                <w:kern w:val="0"/>
              </w:rPr>
            </w:pPr>
            <w:r>
              <w:rPr>
                <w:rFonts w:cs="Times New Roman"/>
                <w:color w:val="000000" w:themeColor="text1"/>
                <w:kern w:val="0"/>
                <w:szCs w:val="18"/>
              </w:rPr>
              <w:t>园区规划及环评、环评批复要求</w:t>
            </w:r>
          </w:p>
        </w:tc>
        <w:tc>
          <w:tcPr>
            <w:tcW w:w="1083" w:type="pct"/>
            <w:shd w:val="clear" w:color="auto" w:fill="auto"/>
            <w:vAlign w:val="center"/>
          </w:tcPr>
          <w:p w:rsidR="00644456" w:rsidRDefault="008031C4">
            <w:pPr>
              <w:jc w:val="center"/>
              <w:rPr>
                <w:rFonts w:cs="Times New Roman"/>
                <w:color w:val="000000" w:themeColor="text1"/>
                <w:kern w:val="0"/>
              </w:rPr>
            </w:pPr>
            <w:r>
              <w:rPr>
                <w:rFonts w:cs="Times New Roman"/>
                <w:color w:val="000000" w:themeColor="text1"/>
                <w:kern w:val="0"/>
                <w:szCs w:val="18"/>
              </w:rPr>
              <w:t>本项目相应措施</w:t>
            </w:r>
          </w:p>
        </w:tc>
        <w:tc>
          <w:tcPr>
            <w:tcW w:w="453"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color w:val="000000" w:themeColor="text1"/>
                <w:szCs w:val="18"/>
              </w:rPr>
              <w:t>符合性分析</w:t>
            </w:r>
          </w:p>
        </w:tc>
      </w:tr>
      <w:tr w:rsidR="00644456">
        <w:trPr>
          <w:jc w:val="center"/>
        </w:trPr>
        <w:tc>
          <w:tcPr>
            <w:tcW w:w="616" w:type="pct"/>
            <w:vMerge w:val="restart"/>
            <w:shd w:val="clear" w:color="auto" w:fill="auto"/>
            <w:vAlign w:val="center"/>
          </w:tcPr>
          <w:p w:rsidR="00644456" w:rsidRDefault="008031C4">
            <w:pPr>
              <w:pStyle w:val="TableParagraph"/>
              <w:jc w:val="center"/>
              <w:rPr>
                <w:rFonts w:cs="Times New Roman"/>
                <w:color w:val="000000" w:themeColor="text1"/>
                <w:szCs w:val="18"/>
              </w:rPr>
            </w:pPr>
            <w:r>
              <w:rPr>
                <w:rFonts w:cs="Times New Roman"/>
                <w:color w:val="000000" w:themeColor="text1"/>
                <w:szCs w:val="18"/>
              </w:rPr>
              <w:t>避免和减缓环境影响对策措施</w:t>
            </w:r>
          </w:p>
        </w:tc>
        <w:tc>
          <w:tcPr>
            <w:tcW w:w="2848" w:type="pct"/>
            <w:shd w:val="clear" w:color="auto" w:fill="auto"/>
            <w:vAlign w:val="center"/>
          </w:tcPr>
          <w:p w:rsidR="00644456" w:rsidRDefault="008031C4">
            <w:pPr>
              <w:jc w:val="left"/>
              <w:rPr>
                <w:rFonts w:cs="Times New Roman"/>
                <w:color w:val="000000" w:themeColor="text1"/>
                <w:kern w:val="0"/>
              </w:rPr>
            </w:pPr>
            <w:r>
              <w:rPr>
                <w:rFonts w:cs="Times New Roman"/>
                <w:color w:val="000000" w:themeColor="text1"/>
                <w:kern w:val="0"/>
              </w:rPr>
              <w:t>废水处理措施：</w:t>
            </w:r>
          </w:p>
          <w:p w:rsidR="00644456" w:rsidRDefault="008031C4">
            <w:pPr>
              <w:jc w:val="left"/>
              <w:rPr>
                <w:rFonts w:cs="Times New Roman"/>
                <w:color w:val="000000" w:themeColor="text1"/>
                <w:kern w:val="0"/>
              </w:rPr>
            </w:pPr>
            <w:r>
              <w:rPr>
                <w:rFonts w:cs="Times New Roman" w:hint="eastAsia"/>
                <w:color w:val="000000" w:themeColor="text1"/>
                <w:kern w:val="0"/>
              </w:rPr>
              <w:t>尽快落实生态钢城的中水回用问题，同时提高企业生产水回用率、规范节水管理、优化用水结构、鼓励非常规水源和考核用水效率，减少园区新鲜水用水量，可缓解区域用水压力。</w:t>
            </w:r>
          </w:p>
          <w:p w:rsidR="00644456" w:rsidRDefault="008031C4">
            <w:pPr>
              <w:pStyle w:val="af"/>
            </w:pPr>
            <w:r>
              <w:rPr>
                <w:rFonts w:hint="eastAsia"/>
              </w:rPr>
              <w:t>污水处理厂出水水质满足《城镇污水处理厂污染物排放标准》（</w:t>
            </w:r>
            <w:r>
              <w:rPr>
                <w:rFonts w:hint="eastAsia"/>
              </w:rPr>
              <w:t>GB18918</w:t>
            </w:r>
            <w:r>
              <w:rPr>
                <w:rFonts w:hint="eastAsia"/>
              </w:rPr>
              <w:t>—</w:t>
            </w:r>
            <w:r>
              <w:rPr>
                <w:rFonts w:hint="eastAsia"/>
              </w:rPr>
              <w:t>2002</w:t>
            </w:r>
            <w:r>
              <w:rPr>
                <w:rFonts w:hint="eastAsia"/>
              </w:rPr>
              <w:t>）的一级标准的</w:t>
            </w:r>
            <w:r>
              <w:rPr>
                <w:rFonts w:hint="eastAsia"/>
              </w:rPr>
              <w:t>A</w:t>
            </w:r>
            <w:r>
              <w:rPr>
                <w:rFonts w:hint="eastAsia"/>
              </w:rPr>
              <w:t>标准或者中水回用水质标准，规划中未提出中水回用以及中水回用执行的标准。</w:t>
            </w:r>
          </w:p>
        </w:tc>
        <w:tc>
          <w:tcPr>
            <w:tcW w:w="1083" w:type="pct"/>
            <w:shd w:val="clear" w:color="auto" w:fill="auto"/>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本项目废水经本项目处理达标后，进入园区生态钢城污水处理厂再次处理后，回用于园区道路清扫和绿化灌溉，</w:t>
            </w:r>
          </w:p>
        </w:tc>
        <w:tc>
          <w:tcPr>
            <w:tcW w:w="453"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color w:val="000000" w:themeColor="text1"/>
                <w:szCs w:val="18"/>
              </w:rPr>
              <w:t>符合</w:t>
            </w:r>
          </w:p>
        </w:tc>
      </w:tr>
      <w:tr w:rsidR="00644456">
        <w:trPr>
          <w:jc w:val="center"/>
        </w:trPr>
        <w:tc>
          <w:tcPr>
            <w:tcW w:w="616" w:type="pct"/>
            <w:vMerge/>
            <w:shd w:val="clear" w:color="auto" w:fill="auto"/>
            <w:vAlign w:val="center"/>
          </w:tcPr>
          <w:p w:rsidR="00644456" w:rsidRDefault="00644456">
            <w:pPr>
              <w:pStyle w:val="TableParagraph"/>
              <w:jc w:val="center"/>
              <w:rPr>
                <w:rFonts w:cs="Times New Roman"/>
                <w:color w:val="000000" w:themeColor="text1"/>
                <w:szCs w:val="18"/>
              </w:rPr>
            </w:pPr>
          </w:p>
        </w:tc>
        <w:tc>
          <w:tcPr>
            <w:tcW w:w="2848" w:type="pct"/>
            <w:shd w:val="clear" w:color="auto" w:fill="auto"/>
            <w:vAlign w:val="center"/>
          </w:tcPr>
          <w:p w:rsidR="00644456" w:rsidRDefault="008031C4">
            <w:pPr>
              <w:jc w:val="left"/>
              <w:rPr>
                <w:rFonts w:cs="Times New Roman"/>
                <w:color w:val="000000" w:themeColor="text1"/>
                <w:kern w:val="0"/>
              </w:rPr>
            </w:pPr>
            <w:r>
              <w:rPr>
                <w:rFonts w:cs="Times New Roman"/>
                <w:color w:val="000000" w:themeColor="text1"/>
                <w:kern w:val="0"/>
              </w:rPr>
              <w:t>废气治理措施：</w:t>
            </w:r>
          </w:p>
          <w:p w:rsidR="00644456" w:rsidRDefault="008031C4">
            <w:pPr>
              <w:jc w:val="left"/>
              <w:rPr>
                <w:rFonts w:cs="Times New Roman"/>
                <w:color w:val="000000" w:themeColor="text1"/>
                <w:kern w:val="0"/>
              </w:rPr>
            </w:pPr>
            <w:r>
              <w:rPr>
                <w:rFonts w:cs="Times New Roman" w:hint="eastAsia"/>
                <w:color w:val="000000" w:themeColor="text1"/>
                <w:kern w:val="0"/>
              </w:rPr>
              <w:t>项目环评需充分分析论证建设项目本身颗粒物的产生、排放、治理环节等，且应充分考虑秋冬季采暖期易产生煤烟型污染等因素，严格建设项目环境准入，统筹好大气污染防治工作。</w:t>
            </w:r>
          </w:p>
          <w:p w:rsidR="00644456" w:rsidRDefault="008031C4">
            <w:pPr>
              <w:jc w:val="left"/>
              <w:rPr>
                <w:rFonts w:cs="Times New Roman"/>
                <w:color w:val="000000" w:themeColor="text1"/>
                <w:kern w:val="0"/>
              </w:rPr>
            </w:pPr>
            <w:r>
              <w:rPr>
                <w:rFonts w:cs="Times New Roman" w:hint="eastAsia"/>
                <w:color w:val="000000" w:themeColor="text1"/>
                <w:kern w:val="0"/>
              </w:rPr>
              <w:t>园区要求入园企业逐步开展节能减排工作，园区应要求后期入驻企业禁止自建与《关于深入打好污染防治攻坚战的实施方案》相关要求不符的分散燃煤锅炉。入园企业建设项目环评需落实二氧化硫及氮氧化物的区域削减方案。</w:t>
            </w:r>
          </w:p>
          <w:p w:rsidR="00644456" w:rsidRDefault="008031C4">
            <w:pPr>
              <w:pStyle w:val="af"/>
            </w:pPr>
            <w:r>
              <w:rPr>
                <w:rFonts w:hint="eastAsia"/>
              </w:rPr>
              <w:t>设置“能效准入门槛”和“污染物排放绩效准入门槛”</w:t>
            </w:r>
            <w:r>
              <w:rPr>
                <w:rFonts w:hint="eastAsia"/>
              </w:rPr>
              <w:lastRenderedPageBreak/>
              <w:t>，提高产业准入门槛。对不符合国家产业政策、国家明令淘汰和禁止建设的项目不予批准；对环境污染严重、污染物排放不能达标、没有总量指标、未通过环境影响评价的项目不予批准开工建设</w:t>
            </w:r>
          </w:p>
        </w:tc>
        <w:tc>
          <w:tcPr>
            <w:tcW w:w="1083" w:type="pct"/>
            <w:shd w:val="clear" w:color="auto" w:fill="auto"/>
            <w:vAlign w:val="center"/>
          </w:tcPr>
          <w:p w:rsidR="00644456" w:rsidRDefault="008031C4">
            <w:pPr>
              <w:jc w:val="center"/>
              <w:rPr>
                <w:rFonts w:cs="Times New Roman"/>
                <w:color w:val="000000" w:themeColor="text1"/>
                <w:kern w:val="0"/>
              </w:rPr>
            </w:pPr>
            <w:r>
              <w:rPr>
                <w:rFonts w:cs="Times New Roman" w:hint="eastAsia"/>
                <w:color w:val="000000" w:themeColor="text1"/>
                <w:kern w:val="0"/>
              </w:rPr>
              <w:lastRenderedPageBreak/>
              <w:t>本项目排放的大气污染物经处理后均能达标排放，对外环境影响较小，不涉及燃煤污染，不会改变项目所在区域的大气环境功能。</w:t>
            </w:r>
          </w:p>
        </w:tc>
        <w:tc>
          <w:tcPr>
            <w:tcW w:w="453"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color w:val="000000" w:themeColor="text1"/>
                <w:szCs w:val="18"/>
              </w:rPr>
              <w:t>符合</w:t>
            </w:r>
          </w:p>
        </w:tc>
      </w:tr>
      <w:tr w:rsidR="00644456">
        <w:trPr>
          <w:jc w:val="center"/>
        </w:trPr>
        <w:tc>
          <w:tcPr>
            <w:tcW w:w="616" w:type="pct"/>
            <w:vMerge/>
            <w:shd w:val="clear" w:color="auto" w:fill="auto"/>
            <w:vAlign w:val="center"/>
          </w:tcPr>
          <w:p w:rsidR="00644456" w:rsidRDefault="00644456">
            <w:pPr>
              <w:pStyle w:val="TableParagraph"/>
              <w:jc w:val="center"/>
              <w:rPr>
                <w:rFonts w:cs="Times New Roman"/>
                <w:color w:val="000000" w:themeColor="text1"/>
                <w:szCs w:val="18"/>
              </w:rPr>
            </w:pPr>
          </w:p>
        </w:tc>
        <w:tc>
          <w:tcPr>
            <w:tcW w:w="2848" w:type="pct"/>
            <w:shd w:val="clear" w:color="auto" w:fill="auto"/>
            <w:vAlign w:val="center"/>
          </w:tcPr>
          <w:p w:rsidR="00644456" w:rsidRDefault="008031C4">
            <w:pPr>
              <w:jc w:val="left"/>
              <w:rPr>
                <w:rFonts w:cs="Times New Roman"/>
                <w:color w:val="000000" w:themeColor="text1"/>
                <w:kern w:val="0"/>
              </w:rPr>
            </w:pPr>
            <w:r>
              <w:rPr>
                <w:rFonts w:cs="Times New Roman" w:hint="eastAsia"/>
                <w:color w:val="000000" w:themeColor="text1"/>
                <w:kern w:val="0"/>
              </w:rPr>
              <w:t>坚持源头把关的原则，对各种机电产品选型时，除满足工艺要求外，还必须考虑其具有良好的声学特征（高效低噪），或设计时建议厂方配套提供降噪设备。</w:t>
            </w:r>
          </w:p>
          <w:p w:rsidR="00644456" w:rsidRDefault="008031C4">
            <w:pPr>
              <w:pStyle w:val="af"/>
            </w:pPr>
            <w:r>
              <w:rPr>
                <w:rFonts w:hint="eastAsia"/>
              </w:rPr>
              <w:t>对各种工业噪声源分别采用隔声、吸声和消声等措施，必要时应设置隔声带，以降低其源强，减少对周围环境的影响。</w:t>
            </w:r>
          </w:p>
        </w:tc>
        <w:tc>
          <w:tcPr>
            <w:tcW w:w="1083" w:type="pct"/>
            <w:shd w:val="clear" w:color="auto" w:fill="auto"/>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本项目按照要求进行隔声、吸声和消声等措施，根据预测厂界噪声达标</w:t>
            </w:r>
          </w:p>
        </w:tc>
        <w:tc>
          <w:tcPr>
            <w:tcW w:w="453" w:type="pct"/>
            <w:shd w:val="clear" w:color="auto" w:fill="auto"/>
            <w:vAlign w:val="center"/>
          </w:tcPr>
          <w:p w:rsidR="00644456" w:rsidRDefault="00644456">
            <w:pPr>
              <w:pStyle w:val="TableParagraph"/>
              <w:jc w:val="center"/>
              <w:rPr>
                <w:rFonts w:cs="Times New Roman"/>
                <w:color w:val="000000" w:themeColor="text1"/>
                <w:szCs w:val="18"/>
              </w:rPr>
            </w:pPr>
          </w:p>
        </w:tc>
      </w:tr>
      <w:tr w:rsidR="00644456">
        <w:trPr>
          <w:jc w:val="center"/>
        </w:trPr>
        <w:tc>
          <w:tcPr>
            <w:tcW w:w="616" w:type="pct"/>
            <w:vMerge/>
            <w:shd w:val="clear" w:color="auto" w:fill="auto"/>
            <w:vAlign w:val="center"/>
          </w:tcPr>
          <w:p w:rsidR="00644456" w:rsidRDefault="00644456">
            <w:pPr>
              <w:pStyle w:val="TableParagraph"/>
              <w:jc w:val="center"/>
              <w:rPr>
                <w:rFonts w:cs="Times New Roman"/>
                <w:color w:val="000000" w:themeColor="text1"/>
                <w:szCs w:val="18"/>
              </w:rPr>
            </w:pPr>
          </w:p>
        </w:tc>
        <w:tc>
          <w:tcPr>
            <w:tcW w:w="2848" w:type="pct"/>
            <w:shd w:val="clear" w:color="auto" w:fill="auto"/>
            <w:vAlign w:val="center"/>
          </w:tcPr>
          <w:p w:rsidR="00644456" w:rsidRDefault="008031C4">
            <w:pPr>
              <w:pStyle w:val="TableParagraph"/>
              <w:jc w:val="left"/>
              <w:rPr>
                <w:rFonts w:cs="Times New Roman"/>
                <w:color w:val="000000" w:themeColor="text1"/>
                <w:szCs w:val="18"/>
              </w:rPr>
            </w:pPr>
            <w:r>
              <w:rPr>
                <w:rFonts w:cs="Times New Roman"/>
                <w:color w:val="000000" w:themeColor="text1"/>
                <w:szCs w:val="18"/>
              </w:rPr>
              <w:t>固废处置：</w:t>
            </w:r>
            <w:r>
              <w:rPr>
                <w:rFonts w:cs="Times New Roman" w:hint="eastAsia"/>
                <w:color w:val="000000" w:themeColor="text1"/>
                <w:szCs w:val="18"/>
              </w:rPr>
              <w:t>工业垃圾由企业按处理标准自行处理，园区一般工业固体废物可进行资源化利用，无毒无害工业垃圾危害性不大，本次评价建议上述固体废物优先考虑综合利用，不能综合利用的工业固体废物进入疏勒高新技术产业开发区固废填埋场。</w:t>
            </w:r>
          </w:p>
          <w:p w:rsidR="00644456" w:rsidRDefault="008031C4">
            <w:pPr>
              <w:pStyle w:val="TableParagraph"/>
              <w:jc w:val="left"/>
              <w:rPr>
                <w:rFonts w:cs="Times New Roman"/>
                <w:color w:val="000000" w:themeColor="text1"/>
                <w:szCs w:val="18"/>
              </w:rPr>
            </w:pPr>
            <w:r>
              <w:rPr>
                <w:rFonts w:cs="Times New Roman" w:hint="eastAsia"/>
                <w:color w:val="000000" w:themeColor="text1"/>
                <w:szCs w:val="18"/>
              </w:rPr>
              <w:t>对于工业园区内各生产企业如有危险废物产生的，各企业应严格按《危险废物贮存污染控制标准》（</w:t>
            </w:r>
            <w:r>
              <w:rPr>
                <w:rFonts w:cs="Times New Roman" w:hint="eastAsia"/>
                <w:color w:val="000000" w:themeColor="text1"/>
                <w:szCs w:val="18"/>
              </w:rPr>
              <w:t>GB18597-2023</w:t>
            </w:r>
            <w:r>
              <w:rPr>
                <w:rFonts w:cs="Times New Roman" w:hint="eastAsia"/>
                <w:color w:val="000000" w:themeColor="text1"/>
                <w:szCs w:val="18"/>
              </w:rPr>
              <w:t>）执行，贮存设施应设置警示标志，做好地面防渗工程，避免雨淋对地下水影响，满足危险废物临时贮存要求。收集后运往有资质的危险废物处置场所，使危险固体废物得到综合利用或妥善处置。</w:t>
            </w:r>
          </w:p>
        </w:tc>
        <w:tc>
          <w:tcPr>
            <w:tcW w:w="1083"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本项目对产生的固体废物采取的处置措施安全有效，不会对周围环境产生二次污染。</w:t>
            </w:r>
          </w:p>
        </w:tc>
        <w:tc>
          <w:tcPr>
            <w:tcW w:w="453"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color w:val="000000" w:themeColor="text1"/>
                <w:szCs w:val="18"/>
              </w:rPr>
              <w:t>符合</w:t>
            </w:r>
          </w:p>
        </w:tc>
      </w:tr>
    </w:tbl>
    <w:p w:rsidR="00644456" w:rsidRDefault="008031C4">
      <w:pPr>
        <w:spacing w:line="360" w:lineRule="auto"/>
        <w:ind w:firstLine="480"/>
        <w:rPr>
          <w:rFonts w:cs="Times New Roman"/>
          <w:b/>
          <w:bCs/>
          <w:color w:val="000000" w:themeColor="text1"/>
          <w:sz w:val="24"/>
          <w:szCs w:val="24"/>
        </w:rPr>
      </w:pPr>
      <w:r>
        <w:rPr>
          <w:rFonts w:cs="Times New Roman" w:hint="eastAsia"/>
          <w:b/>
          <w:bCs/>
          <w:color w:val="000000" w:themeColor="text1"/>
          <w:sz w:val="24"/>
          <w:szCs w:val="24"/>
        </w:rPr>
        <w:t>根据上述分析：本项目符合《疏勒高新技术产业开发区“多规合一”总体规划（</w:t>
      </w:r>
      <w:r>
        <w:rPr>
          <w:rFonts w:cs="Times New Roman" w:hint="eastAsia"/>
          <w:b/>
          <w:bCs/>
          <w:color w:val="000000" w:themeColor="text1"/>
          <w:sz w:val="24"/>
          <w:szCs w:val="24"/>
        </w:rPr>
        <w:t>2021-2035</w:t>
      </w:r>
      <w:r>
        <w:rPr>
          <w:rFonts w:cs="Times New Roman" w:hint="eastAsia"/>
          <w:b/>
          <w:bCs/>
          <w:color w:val="000000" w:themeColor="text1"/>
          <w:sz w:val="24"/>
          <w:szCs w:val="24"/>
        </w:rPr>
        <w:t>年）环境影响报告书》及审查意见规划相关控制要求。</w:t>
      </w:r>
    </w:p>
    <w:p w:rsidR="00644456" w:rsidRDefault="008031C4">
      <w:pPr>
        <w:spacing w:line="360" w:lineRule="auto"/>
        <w:ind w:firstLine="480"/>
        <w:rPr>
          <w:rFonts w:cs="Times New Roman"/>
          <w:b/>
          <w:bCs/>
          <w:color w:val="000000" w:themeColor="text1"/>
          <w:sz w:val="24"/>
          <w:szCs w:val="24"/>
        </w:rPr>
      </w:pPr>
      <w:r>
        <w:rPr>
          <w:rFonts w:cs="Times New Roman"/>
          <w:b/>
          <w:bCs/>
          <w:color w:val="000000" w:themeColor="text1"/>
          <w:sz w:val="24"/>
          <w:szCs w:val="24"/>
        </w:rPr>
        <w:t>（</w:t>
      </w:r>
      <w:r>
        <w:rPr>
          <w:rFonts w:cs="Times New Roman"/>
          <w:b/>
          <w:bCs/>
          <w:color w:val="000000" w:themeColor="text1"/>
          <w:sz w:val="24"/>
          <w:szCs w:val="24"/>
        </w:rPr>
        <w:t>2</w:t>
      </w:r>
      <w:r>
        <w:rPr>
          <w:rFonts w:cs="Times New Roman"/>
          <w:b/>
          <w:bCs/>
          <w:color w:val="000000" w:themeColor="text1"/>
          <w:sz w:val="24"/>
          <w:szCs w:val="24"/>
        </w:rPr>
        <w:t>）</w:t>
      </w:r>
      <w:r>
        <w:rPr>
          <w:rFonts w:cs="Times New Roman" w:hint="eastAsia"/>
          <w:b/>
          <w:bCs/>
          <w:color w:val="000000" w:themeColor="text1"/>
          <w:sz w:val="24"/>
          <w:szCs w:val="24"/>
        </w:rPr>
        <w:t>规划环评环境准入的符合性</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fldChar w:fldCharType="begin"/>
      </w:r>
      <w:r>
        <w:rPr>
          <w:rFonts w:ascii="Times New Roman" w:eastAsia="宋体" w:hAnsi="Times New Roman" w:cs="Times New Roman" w:hint="eastAsia"/>
          <w:b/>
          <w:color w:val="000000" w:themeColor="text1"/>
          <w:sz w:val="24"/>
        </w:rPr>
        <w:instrText xml:space="preserve"> STYLEREF 1 \s </w:instrText>
      </w:r>
      <w:r>
        <w:rPr>
          <w:rFonts w:ascii="Times New Roman" w:eastAsia="宋体" w:hAnsi="Times New Roman" w:cs="Times New Roman" w:hint="eastAsia"/>
          <w:b/>
          <w:color w:val="000000" w:themeColor="text1"/>
          <w:sz w:val="24"/>
        </w:rPr>
        <w:fldChar w:fldCharType="separate"/>
      </w:r>
      <w:r>
        <w:rPr>
          <w:rFonts w:ascii="Times New Roman" w:eastAsia="宋体" w:hAnsi="Times New Roman" w:cs="Times New Roman" w:hint="eastAsia"/>
          <w:b/>
          <w:color w:val="000000" w:themeColor="text1"/>
          <w:sz w:val="24"/>
        </w:rPr>
        <w:t>1</w:t>
      </w:r>
      <w:r>
        <w:rPr>
          <w:rFonts w:ascii="Times New Roman" w:eastAsia="宋体" w:hAnsi="Times New Roman" w:cs="Times New Roman" w:hint="eastAsia"/>
          <w:b/>
          <w:color w:val="000000" w:themeColor="text1"/>
          <w:sz w:val="24"/>
        </w:rPr>
        <w:fldChar w:fldCharType="end"/>
      </w:r>
      <w:r>
        <w:rPr>
          <w:rFonts w:ascii="Times New Roman" w:eastAsia="宋体" w:hAnsi="Times New Roman" w:cs="Times New Roman" w:hint="eastAsia"/>
          <w:b/>
          <w:color w:val="000000" w:themeColor="text1"/>
          <w:sz w:val="24"/>
        </w:rPr>
        <w:t>.4</w:t>
      </w:r>
      <w:r>
        <w:rPr>
          <w:rFonts w:ascii="Times New Roman" w:eastAsia="宋体" w:hAnsi="Times New Roman" w:cs="Times New Roman" w:hint="eastAsia"/>
          <w:b/>
          <w:color w:val="000000" w:themeColor="text1"/>
          <w:sz w:val="24"/>
        </w:rPr>
        <w:noBreakHyphen/>
        <w:t>7</w:t>
      </w:r>
      <w:r>
        <w:rPr>
          <w:rFonts w:ascii="Times New Roman" w:eastAsia="宋体" w:hAnsi="Times New Roman" w:cs="Times New Roman" w:hint="eastAsia"/>
          <w:b/>
          <w:color w:val="000000" w:themeColor="text1"/>
          <w:sz w:val="24"/>
        </w:rPr>
        <w:t>项目与规划环评环境准入的符合性比较一览表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4952"/>
        <w:gridCol w:w="2382"/>
        <w:gridCol w:w="829"/>
      </w:tblGrid>
      <w:tr w:rsidR="00644456">
        <w:trPr>
          <w:jc w:val="center"/>
        </w:trPr>
        <w:tc>
          <w:tcPr>
            <w:tcW w:w="325"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序号</w:t>
            </w:r>
          </w:p>
        </w:tc>
        <w:tc>
          <w:tcPr>
            <w:tcW w:w="2836"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原则要求</w:t>
            </w:r>
          </w:p>
        </w:tc>
        <w:tc>
          <w:tcPr>
            <w:tcW w:w="1364"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color w:val="000000" w:themeColor="text1"/>
                <w:szCs w:val="18"/>
              </w:rPr>
              <w:t>本项目</w:t>
            </w:r>
          </w:p>
        </w:tc>
        <w:tc>
          <w:tcPr>
            <w:tcW w:w="475"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color w:val="000000" w:themeColor="text1"/>
                <w:szCs w:val="18"/>
              </w:rPr>
              <w:t>符合性分析</w:t>
            </w:r>
          </w:p>
        </w:tc>
      </w:tr>
      <w:tr w:rsidR="00644456">
        <w:trPr>
          <w:jc w:val="center"/>
        </w:trPr>
        <w:tc>
          <w:tcPr>
            <w:tcW w:w="325"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1</w:t>
            </w:r>
          </w:p>
        </w:tc>
        <w:tc>
          <w:tcPr>
            <w:tcW w:w="2836"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坚决遏制高耗能高排放低水平项目盲目发展。严把高耗能高排放低水平项目准入关口，严格落实污染物排放区域削减要求，对不符合规定的项目坚决停批停建。依法依规淘汰落后产能和化解过剩产能。大气污染防治重点区域严禁新增钢铁、水泥熟料、平板玻璃、煤化工产能，严控新增炼油产能，其他地区钢铁、水泥熟料、平板玻璃、炼油、电解铝等新建、扩建项目严格实施产能等量或减量置换要求。</w:t>
            </w:r>
          </w:p>
        </w:tc>
        <w:tc>
          <w:tcPr>
            <w:tcW w:w="1364"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本项目不属于高耗能高排放低水平项目，本项目位于化工产业聚集区，符合园区规划的产业定位。</w:t>
            </w:r>
          </w:p>
        </w:tc>
        <w:tc>
          <w:tcPr>
            <w:tcW w:w="475"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符合</w:t>
            </w:r>
          </w:p>
        </w:tc>
      </w:tr>
      <w:tr w:rsidR="00644456">
        <w:trPr>
          <w:jc w:val="center"/>
        </w:trPr>
        <w:tc>
          <w:tcPr>
            <w:tcW w:w="325"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2</w:t>
            </w:r>
          </w:p>
        </w:tc>
        <w:tc>
          <w:tcPr>
            <w:tcW w:w="2836"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严守生态保护红线，加强空间管控。</w:t>
            </w:r>
          </w:p>
        </w:tc>
        <w:tc>
          <w:tcPr>
            <w:tcW w:w="1364"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本项目不涉及生态保护红线</w:t>
            </w:r>
          </w:p>
        </w:tc>
        <w:tc>
          <w:tcPr>
            <w:tcW w:w="475"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符合</w:t>
            </w:r>
          </w:p>
        </w:tc>
      </w:tr>
      <w:tr w:rsidR="00644456">
        <w:trPr>
          <w:jc w:val="center"/>
        </w:trPr>
        <w:tc>
          <w:tcPr>
            <w:tcW w:w="325"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3</w:t>
            </w:r>
          </w:p>
        </w:tc>
        <w:tc>
          <w:tcPr>
            <w:tcW w:w="2836"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鼓励引进项目和优先发展项目：（</w:t>
            </w:r>
            <w:r>
              <w:rPr>
                <w:rFonts w:cs="Times New Roman" w:hint="eastAsia"/>
                <w:color w:val="000000" w:themeColor="text1"/>
                <w:szCs w:val="18"/>
              </w:rPr>
              <w:t>1</w:t>
            </w:r>
            <w:r>
              <w:rPr>
                <w:rFonts w:cs="Times New Roman" w:hint="eastAsia"/>
                <w:color w:val="000000" w:themeColor="text1"/>
                <w:szCs w:val="18"/>
              </w:rPr>
              <w:t>）符合疏勒高新技术产业开发区总体规划、产业发展规划、环保规划的。并应按照其性质分类入区。（</w:t>
            </w:r>
            <w:r>
              <w:rPr>
                <w:rFonts w:cs="Times New Roman" w:hint="eastAsia"/>
                <w:color w:val="000000" w:themeColor="text1"/>
                <w:szCs w:val="18"/>
              </w:rPr>
              <w:t>2</w:t>
            </w:r>
            <w:r>
              <w:rPr>
                <w:rFonts w:cs="Times New Roman" w:hint="eastAsia"/>
                <w:color w:val="000000" w:themeColor="text1"/>
                <w:szCs w:val="18"/>
              </w:rPr>
              <w:t>）符合国家产业政策。（</w:t>
            </w:r>
            <w:r>
              <w:rPr>
                <w:rFonts w:cs="Times New Roman" w:hint="eastAsia"/>
                <w:color w:val="000000" w:themeColor="text1"/>
                <w:szCs w:val="18"/>
              </w:rPr>
              <w:t>3</w:t>
            </w:r>
            <w:r>
              <w:rPr>
                <w:rFonts w:cs="Times New Roman" w:hint="eastAsia"/>
                <w:color w:val="000000" w:themeColor="text1"/>
                <w:szCs w:val="18"/>
              </w:rPr>
              <w:t>）以规划的主导产业为中心，符合“循环经济”理念，有助于加长主导行业产业链的以及有助于形成区域内部循环经济产业链的。（</w:t>
            </w:r>
            <w:r>
              <w:rPr>
                <w:rFonts w:cs="Times New Roman" w:hint="eastAsia"/>
                <w:color w:val="000000" w:themeColor="text1"/>
                <w:szCs w:val="18"/>
              </w:rPr>
              <w:t>4</w:t>
            </w:r>
            <w:r>
              <w:rPr>
                <w:rFonts w:cs="Times New Roman" w:hint="eastAsia"/>
                <w:color w:val="000000" w:themeColor="text1"/>
                <w:szCs w:val="18"/>
              </w:rPr>
              <w:t>）对国家已经颁布清洁生产标准行业，引入项目应达到二级标准以上；国家尚未颁布清洁生产标准的行业，引入项目应达到国内同行业清洁生产先进水平以上。（</w:t>
            </w:r>
            <w:r>
              <w:rPr>
                <w:rFonts w:cs="Times New Roman" w:hint="eastAsia"/>
                <w:color w:val="000000" w:themeColor="text1"/>
                <w:szCs w:val="18"/>
              </w:rPr>
              <w:t>5</w:t>
            </w:r>
            <w:r>
              <w:rPr>
                <w:rFonts w:cs="Times New Roman" w:hint="eastAsia"/>
                <w:color w:val="000000" w:themeColor="text1"/>
                <w:szCs w:val="18"/>
              </w:rPr>
              <w:t>）投资强度、单位用地产出、容积率、产值能耗、产值水耗等指标须达到产业园</w:t>
            </w:r>
            <w:r>
              <w:rPr>
                <w:rFonts w:cs="Times New Roman" w:hint="eastAsia"/>
                <w:color w:val="000000" w:themeColor="text1"/>
                <w:szCs w:val="18"/>
              </w:rPr>
              <w:lastRenderedPageBreak/>
              <w:t>区环境指标体系规定要求的；（</w:t>
            </w:r>
            <w:r>
              <w:rPr>
                <w:rFonts w:cs="Times New Roman" w:hint="eastAsia"/>
                <w:color w:val="000000" w:themeColor="text1"/>
                <w:szCs w:val="18"/>
              </w:rPr>
              <w:t>6</w:t>
            </w:r>
            <w:r>
              <w:rPr>
                <w:rFonts w:cs="Times New Roman" w:hint="eastAsia"/>
                <w:color w:val="000000" w:themeColor="text1"/>
                <w:szCs w:val="18"/>
              </w:rPr>
              <w:t>）环境保护、节能降耗、安全生产等防护措施需符合国家有关规定要求，</w:t>
            </w:r>
          </w:p>
        </w:tc>
        <w:tc>
          <w:tcPr>
            <w:tcW w:w="1364" w:type="pct"/>
            <w:vMerge w:val="restar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lastRenderedPageBreak/>
              <w:t>本项目位于化工产业聚集区，本项目属于废矿物油再生，不属于限制和禁止引进的项目和行业，本项目清洁生产已达国内先进水平</w:t>
            </w:r>
          </w:p>
        </w:tc>
        <w:tc>
          <w:tcPr>
            <w:tcW w:w="475"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符合</w:t>
            </w:r>
          </w:p>
        </w:tc>
      </w:tr>
      <w:tr w:rsidR="00644456">
        <w:trPr>
          <w:jc w:val="center"/>
        </w:trPr>
        <w:tc>
          <w:tcPr>
            <w:tcW w:w="325"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4</w:t>
            </w:r>
          </w:p>
        </w:tc>
        <w:tc>
          <w:tcPr>
            <w:tcW w:w="2836"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限制和禁止引进的项目和行业：对于达不到进园企业要求的建设项目不支持进入。主要体现为：①不符合园区产业定位、污染排放较大的行业；②水耗、高物耗、高能耗的项目，水的重复利用率低于</w:t>
            </w:r>
            <w:r>
              <w:rPr>
                <w:rFonts w:cs="Times New Roman" w:hint="eastAsia"/>
                <w:color w:val="000000" w:themeColor="text1"/>
                <w:szCs w:val="18"/>
              </w:rPr>
              <w:t>75%</w:t>
            </w:r>
            <w:r>
              <w:rPr>
                <w:rFonts w:cs="Times New Roman" w:hint="eastAsia"/>
                <w:color w:val="000000" w:themeColor="text1"/>
                <w:szCs w:val="18"/>
              </w:rPr>
              <w:t>的项目；③废水含难降解的有机物、“三致”污染物、重金属等物质含量高及盐分含量较高的项目；废水经预处理达不到污水处理厂接纳标准的项目；④工艺废气中含有难处理的、有毒有害物质的项目；⑤采用落后的生产工艺或生产设备，不符合国家同期相关产业政策、达不到规模经济的以及不符合园区产业定位的项目入园。</w:t>
            </w:r>
          </w:p>
        </w:tc>
        <w:tc>
          <w:tcPr>
            <w:tcW w:w="1364" w:type="pct"/>
            <w:vMerge/>
            <w:shd w:val="clear" w:color="auto" w:fill="auto"/>
            <w:vAlign w:val="center"/>
          </w:tcPr>
          <w:p w:rsidR="00644456" w:rsidRDefault="00644456">
            <w:pPr>
              <w:pStyle w:val="TableParagraph"/>
              <w:jc w:val="center"/>
              <w:rPr>
                <w:rFonts w:cs="Times New Roman"/>
                <w:color w:val="000000" w:themeColor="text1"/>
                <w:szCs w:val="18"/>
              </w:rPr>
            </w:pPr>
          </w:p>
        </w:tc>
        <w:tc>
          <w:tcPr>
            <w:tcW w:w="475"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符合</w:t>
            </w:r>
          </w:p>
        </w:tc>
      </w:tr>
      <w:tr w:rsidR="00644456">
        <w:trPr>
          <w:jc w:val="center"/>
        </w:trPr>
        <w:tc>
          <w:tcPr>
            <w:tcW w:w="325"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color w:val="000000" w:themeColor="text1"/>
                <w:szCs w:val="18"/>
              </w:rPr>
              <w:t>5</w:t>
            </w:r>
          </w:p>
        </w:tc>
        <w:tc>
          <w:tcPr>
            <w:tcW w:w="2836"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入园企业完善突发环境事件应急预案的编制及日常演练工作，制定地下水环境污染事件联动机制，做好各预案衔接工作，防止因污水泄漏影响地下水环境质量事件的发生</w:t>
            </w:r>
          </w:p>
        </w:tc>
        <w:tc>
          <w:tcPr>
            <w:tcW w:w="1364"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本项目建成后将要求完成应急预案及演练工作</w:t>
            </w:r>
          </w:p>
        </w:tc>
        <w:tc>
          <w:tcPr>
            <w:tcW w:w="475"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符合</w:t>
            </w:r>
          </w:p>
        </w:tc>
      </w:tr>
    </w:tbl>
    <w:p w:rsidR="00644456" w:rsidRDefault="008031C4">
      <w:pPr>
        <w:spacing w:line="360" w:lineRule="auto"/>
        <w:ind w:firstLine="480"/>
        <w:rPr>
          <w:rFonts w:cs="Times New Roman"/>
          <w:b/>
          <w:bCs/>
          <w:color w:val="000000" w:themeColor="text1"/>
          <w:sz w:val="24"/>
          <w:szCs w:val="24"/>
        </w:rPr>
      </w:pPr>
      <w:r>
        <w:rPr>
          <w:rFonts w:cs="Times New Roman" w:hint="eastAsia"/>
          <w:b/>
          <w:bCs/>
          <w:color w:val="000000" w:themeColor="text1"/>
          <w:sz w:val="24"/>
          <w:szCs w:val="24"/>
        </w:rPr>
        <w:t>根据分析，本项目符合《疏勒高新技术产业开发区“多规合一”总体规划（</w:t>
      </w:r>
      <w:r>
        <w:rPr>
          <w:rFonts w:cs="Times New Roman" w:hint="eastAsia"/>
          <w:b/>
          <w:bCs/>
          <w:color w:val="000000" w:themeColor="text1"/>
          <w:sz w:val="24"/>
          <w:szCs w:val="24"/>
        </w:rPr>
        <w:t>2021-2035</w:t>
      </w:r>
      <w:r>
        <w:rPr>
          <w:rFonts w:cs="Times New Roman" w:hint="eastAsia"/>
          <w:b/>
          <w:bCs/>
          <w:color w:val="000000" w:themeColor="text1"/>
          <w:sz w:val="24"/>
          <w:szCs w:val="24"/>
        </w:rPr>
        <w:t>年）环境影响报告书》的环境准入要求</w:t>
      </w:r>
      <w:r>
        <w:rPr>
          <w:rFonts w:cs="Times New Roman"/>
          <w:b/>
          <w:bCs/>
          <w:color w:val="000000" w:themeColor="text1"/>
          <w:sz w:val="24"/>
          <w:szCs w:val="24"/>
        </w:rPr>
        <w:t>。</w:t>
      </w:r>
    </w:p>
    <w:p w:rsidR="00644456" w:rsidRDefault="008031C4">
      <w:pPr>
        <w:snapToGrid w:val="0"/>
        <w:spacing w:line="360" w:lineRule="auto"/>
        <w:ind w:firstLine="480"/>
        <w:rPr>
          <w:rFonts w:cs="Times New Roman"/>
          <w:b/>
          <w:bCs/>
          <w:color w:val="000000" w:themeColor="text1"/>
          <w:sz w:val="24"/>
          <w:szCs w:val="24"/>
        </w:rPr>
      </w:pPr>
      <w:r>
        <w:rPr>
          <w:rFonts w:cs="Times New Roman"/>
          <w:b/>
          <w:bCs/>
          <w:color w:val="000000" w:themeColor="text1"/>
          <w:sz w:val="24"/>
          <w:szCs w:val="24"/>
        </w:rPr>
        <w:t>3</w:t>
      </w:r>
      <w:r>
        <w:rPr>
          <w:rFonts w:cs="Times New Roman" w:hint="eastAsia"/>
          <w:b/>
          <w:bCs/>
          <w:color w:val="000000" w:themeColor="text1"/>
          <w:sz w:val="24"/>
          <w:szCs w:val="24"/>
        </w:rPr>
        <w:t>、与《疏勒高新技术产业开发区（化工产业集聚区）总体规划（</w:t>
      </w:r>
      <w:r>
        <w:rPr>
          <w:rFonts w:cs="Times New Roman" w:hint="eastAsia"/>
          <w:b/>
          <w:bCs/>
          <w:color w:val="000000" w:themeColor="text1"/>
          <w:sz w:val="24"/>
          <w:szCs w:val="24"/>
        </w:rPr>
        <w:t>2022</w:t>
      </w:r>
      <w:r>
        <w:rPr>
          <w:rFonts w:cs="Times New Roman" w:hint="eastAsia"/>
          <w:b/>
          <w:bCs/>
          <w:color w:val="000000" w:themeColor="text1"/>
          <w:sz w:val="24"/>
          <w:szCs w:val="24"/>
        </w:rPr>
        <w:t>年</w:t>
      </w:r>
      <w:r>
        <w:rPr>
          <w:rFonts w:cs="Times New Roman" w:hint="eastAsia"/>
          <w:b/>
          <w:bCs/>
          <w:color w:val="000000" w:themeColor="text1"/>
          <w:sz w:val="24"/>
          <w:szCs w:val="24"/>
        </w:rPr>
        <w:t>-2035</w:t>
      </w:r>
      <w:r>
        <w:rPr>
          <w:rFonts w:cs="Times New Roman" w:hint="eastAsia"/>
          <w:b/>
          <w:bCs/>
          <w:color w:val="000000" w:themeColor="text1"/>
          <w:sz w:val="24"/>
          <w:szCs w:val="24"/>
        </w:rPr>
        <w:t>年）环境影响报告书》及其审查意见符合性分析</w:t>
      </w:r>
    </w:p>
    <w:p w:rsidR="00644456" w:rsidRDefault="008031C4">
      <w:pPr>
        <w:spacing w:line="360" w:lineRule="auto"/>
        <w:ind w:firstLine="480"/>
        <w:rPr>
          <w:rFonts w:cs="Times New Roman"/>
          <w:b/>
          <w:bCs/>
          <w:color w:val="000000" w:themeColor="text1"/>
          <w:sz w:val="24"/>
          <w:szCs w:val="24"/>
        </w:rPr>
      </w:pPr>
      <w:r>
        <w:rPr>
          <w:rFonts w:cs="Times New Roman"/>
          <w:b/>
          <w:bCs/>
          <w:color w:val="000000" w:themeColor="text1"/>
          <w:sz w:val="24"/>
          <w:szCs w:val="24"/>
        </w:rPr>
        <w:t>（</w:t>
      </w:r>
      <w:r>
        <w:rPr>
          <w:rFonts w:cs="Times New Roman"/>
          <w:b/>
          <w:bCs/>
          <w:color w:val="000000" w:themeColor="text1"/>
          <w:sz w:val="24"/>
          <w:szCs w:val="24"/>
        </w:rPr>
        <w:t>1</w:t>
      </w:r>
      <w:r>
        <w:rPr>
          <w:rFonts w:cs="Times New Roman"/>
          <w:b/>
          <w:bCs/>
          <w:color w:val="000000" w:themeColor="text1"/>
          <w:sz w:val="24"/>
          <w:szCs w:val="24"/>
        </w:rPr>
        <w:t>）与园区规划及环评、环评批复要求符合性</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fldChar w:fldCharType="begin"/>
      </w:r>
      <w:r>
        <w:rPr>
          <w:rFonts w:ascii="Times New Roman" w:eastAsia="宋体" w:hAnsi="Times New Roman" w:cs="Times New Roman" w:hint="eastAsia"/>
          <w:b/>
          <w:color w:val="000000" w:themeColor="text1"/>
          <w:sz w:val="24"/>
        </w:rPr>
        <w:instrText xml:space="preserve"> STYLEREF 1 \s </w:instrText>
      </w:r>
      <w:r>
        <w:rPr>
          <w:rFonts w:ascii="Times New Roman" w:eastAsia="宋体" w:hAnsi="Times New Roman" w:cs="Times New Roman" w:hint="eastAsia"/>
          <w:b/>
          <w:color w:val="000000" w:themeColor="text1"/>
          <w:sz w:val="24"/>
        </w:rPr>
        <w:fldChar w:fldCharType="separate"/>
      </w:r>
      <w:r>
        <w:rPr>
          <w:rFonts w:ascii="Times New Roman" w:eastAsia="宋体" w:hAnsi="Times New Roman" w:cs="Times New Roman" w:hint="eastAsia"/>
          <w:b/>
          <w:color w:val="000000" w:themeColor="text1"/>
          <w:sz w:val="24"/>
        </w:rPr>
        <w:t>1</w:t>
      </w:r>
      <w:r>
        <w:rPr>
          <w:rFonts w:ascii="Times New Roman" w:eastAsia="宋体" w:hAnsi="Times New Roman" w:cs="Times New Roman" w:hint="eastAsia"/>
          <w:b/>
          <w:color w:val="000000" w:themeColor="text1"/>
          <w:sz w:val="24"/>
        </w:rPr>
        <w:fldChar w:fldCharType="end"/>
      </w:r>
      <w:r>
        <w:rPr>
          <w:rFonts w:ascii="Times New Roman" w:eastAsia="宋体" w:hAnsi="Times New Roman" w:cs="Times New Roman" w:hint="eastAsia"/>
          <w:b/>
          <w:color w:val="000000" w:themeColor="text1"/>
          <w:sz w:val="24"/>
        </w:rPr>
        <w:t>.4</w:t>
      </w:r>
      <w:r>
        <w:rPr>
          <w:rFonts w:ascii="Times New Roman" w:eastAsia="宋体" w:hAnsi="Times New Roman" w:cs="Times New Roman" w:hint="eastAsia"/>
          <w:b/>
          <w:color w:val="000000" w:themeColor="text1"/>
          <w:sz w:val="24"/>
        </w:rPr>
        <w:noBreakHyphen/>
        <w:t>8</w:t>
      </w:r>
      <w:r>
        <w:rPr>
          <w:rFonts w:ascii="Times New Roman" w:eastAsia="宋体" w:hAnsi="Times New Roman" w:cs="Times New Roman" w:hint="eastAsia"/>
          <w:b/>
          <w:color w:val="000000" w:themeColor="text1"/>
          <w:sz w:val="24"/>
        </w:rPr>
        <w:t>项目与园区规划及规划环评、环评批复要求比较一览表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09"/>
        <w:gridCol w:w="5954"/>
        <w:gridCol w:w="1276"/>
        <w:gridCol w:w="791"/>
      </w:tblGrid>
      <w:tr w:rsidR="00644456">
        <w:trPr>
          <w:jc w:val="center"/>
        </w:trPr>
        <w:tc>
          <w:tcPr>
            <w:tcW w:w="406"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color w:val="000000" w:themeColor="text1"/>
                <w:szCs w:val="18"/>
              </w:rPr>
              <w:t>对策措施及优化建议</w:t>
            </w:r>
          </w:p>
        </w:tc>
        <w:tc>
          <w:tcPr>
            <w:tcW w:w="3410" w:type="pct"/>
            <w:shd w:val="clear" w:color="auto" w:fill="auto"/>
            <w:vAlign w:val="center"/>
          </w:tcPr>
          <w:p w:rsidR="00644456" w:rsidRDefault="008031C4">
            <w:pPr>
              <w:jc w:val="center"/>
              <w:rPr>
                <w:rFonts w:cs="Times New Roman"/>
                <w:color w:val="000000" w:themeColor="text1"/>
                <w:kern w:val="0"/>
              </w:rPr>
            </w:pPr>
            <w:r>
              <w:rPr>
                <w:rFonts w:cs="Times New Roman"/>
                <w:color w:val="000000" w:themeColor="text1"/>
                <w:kern w:val="0"/>
                <w:szCs w:val="18"/>
              </w:rPr>
              <w:t>园区规划及环评、环评批复要求</w:t>
            </w:r>
          </w:p>
        </w:tc>
        <w:tc>
          <w:tcPr>
            <w:tcW w:w="731" w:type="pct"/>
            <w:shd w:val="clear" w:color="auto" w:fill="auto"/>
            <w:vAlign w:val="center"/>
          </w:tcPr>
          <w:p w:rsidR="00644456" w:rsidRDefault="008031C4">
            <w:pPr>
              <w:jc w:val="center"/>
              <w:rPr>
                <w:rFonts w:cs="Times New Roman"/>
                <w:color w:val="000000" w:themeColor="text1"/>
                <w:kern w:val="0"/>
              </w:rPr>
            </w:pPr>
            <w:r>
              <w:rPr>
                <w:rFonts w:cs="Times New Roman"/>
                <w:color w:val="000000" w:themeColor="text1"/>
                <w:kern w:val="0"/>
                <w:szCs w:val="18"/>
              </w:rPr>
              <w:t>本项目相应措施</w:t>
            </w:r>
          </w:p>
        </w:tc>
        <w:tc>
          <w:tcPr>
            <w:tcW w:w="453"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color w:val="000000" w:themeColor="text1"/>
                <w:szCs w:val="18"/>
              </w:rPr>
              <w:t>符合性分析</w:t>
            </w:r>
          </w:p>
        </w:tc>
      </w:tr>
      <w:tr w:rsidR="00644456">
        <w:trPr>
          <w:jc w:val="center"/>
        </w:trPr>
        <w:tc>
          <w:tcPr>
            <w:tcW w:w="406" w:type="pct"/>
            <w:vMerge w:val="restart"/>
            <w:shd w:val="clear" w:color="auto" w:fill="auto"/>
            <w:vAlign w:val="center"/>
          </w:tcPr>
          <w:p w:rsidR="00644456" w:rsidRDefault="008031C4">
            <w:pPr>
              <w:pStyle w:val="TableParagraph"/>
              <w:jc w:val="center"/>
              <w:rPr>
                <w:rFonts w:cs="Times New Roman"/>
                <w:color w:val="000000" w:themeColor="text1"/>
                <w:szCs w:val="18"/>
              </w:rPr>
            </w:pPr>
            <w:r>
              <w:rPr>
                <w:rFonts w:cs="Times New Roman"/>
                <w:color w:val="000000" w:themeColor="text1"/>
                <w:szCs w:val="18"/>
              </w:rPr>
              <w:t>避免和减缓环境影响对策措施</w:t>
            </w:r>
          </w:p>
        </w:tc>
        <w:tc>
          <w:tcPr>
            <w:tcW w:w="3410" w:type="pct"/>
            <w:shd w:val="clear" w:color="auto" w:fill="auto"/>
            <w:vAlign w:val="center"/>
          </w:tcPr>
          <w:p w:rsidR="00644456" w:rsidRDefault="008031C4">
            <w:pPr>
              <w:rPr>
                <w:rFonts w:cs="Times New Roman"/>
                <w:color w:val="000000" w:themeColor="text1"/>
                <w:kern w:val="0"/>
              </w:rPr>
            </w:pPr>
            <w:r>
              <w:rPr>
                <w:rFonts w:cs="Times New Roman" w:hint="eastAsia"/>
                <w:color w:val="000000" w:themeColor="text1"/>
                <w:kern w:val="0"/>
              </w:rPr>
              <w:t>（</w:t>
            </w:r>
            <w:r>
              <w:rPr>
                <w:rFonts w:cs="Times New Roman" w:hint="eastAsia"/>
                <w:color w:val="000000" w:themeColor="text1"/>
                <w:kern w:val="0"/>
              </w:rPr>
              <w:t>1</w:t>
            </w:r>
            <w:r>
              <w:rPr>
                <w:rFonts w:cs="Times New Roman" w:hint="eastAsia"/>
                <w:color w:val="000000" w:themeColor="text1"/>
                <w:kern w:val="0"/>
              </w:rPr>
              <w:t>）污水处理厂出水水质满足《城镇污水处理厂污染物排放标准》（</w:t>
            </w:r>
            <w:r>
              <w:rPr>
                <w:rFonts w:cs="Times New Roman" w:hint="eastAsia"/>
                <w:color w:val="000000" w:themeColor="text1"/>
                <w:kern w:val="0"/>
              </w:rPr>
              <w:t>GB18918</w:t>
            </w:r>
            <w:r>
              <w:rPr>
                <w:rFonts w:cs="Times New Roman" w:hint="eastAsia"/>
                <w:color w:val="000000" w:themeColor="text1"/>
                <w:kern w:val="0"/>
              </w:rPr>
              <w:t>—</w:t>
            </w:r>
            <w:r>
              <w:rPr>
                <w:rFonts w:cs="Times New Roman" w:hint="eastAsia"/>
                <w:color w:val="000000" w:themeColor="text1"/>
                <w:kern w:val="0"/>
              </w:rPr>
              <w:t>2002</w:t>
            </w:r>
            <w:r>
              <w:rPr>
                <w:rFonts w:cs="Times New Roman" w:hint="eastAsia"/>
                <w:color w:val="000000" w:themeColor="text1"/>
                <w:kern w:val="0"/>
              </w:rPr>
              <w:t>）的一级标准的</w:t>
            </w:r>
            <w:r>
              <w:rPr>
                <w:rFonts w:cs="Times New Roman" w:hint="eastAsia"/>
                <w:color w:val="000000" w:themeColor="text1"/>
                <w:kern w:val="0"/>
              </w:rPr>
              <w:t>A</w:t>
            </w:r>
            <w:r>
              <w:rPr>
                <w:rFonts w:cs="Times New Roman" w:hint="eastAsia"/>
                <w:color w:val="000000" w:themeColor="text1"/>
                <w:kern w:val="0"/>
              </w:rPr>
              <w:t>标准或者中水回用水质标准，作为企业回用时应执行《城市污水再生利用工业用水水质》（</w:t>
            </w:r>
            <w:r>
              <w:rPr>
                <w:rFonts w:cs="Times New Roman" w:hint="eastAsia"/>
                <w:color w:val="000000" w:themeColor="text1"/>
                <w:kern w:val="0"/>
              </w:rPr>
              <w:t>GB/T19923-2005</w:t>
            </w:r>
            <w:r>
              <w:rPr>
                <w:rFonts w:cs="Times New Roman" w:hint="eastAsia"/>
                <w:color w:val="000000" w:themeColor="text1"/>
                <w:kern w:val="0"/>
              </w:rPr>
              <w:t>）标准，用于园区绿化及荒漠灌溉时还应满足《城市污水再生利用绿地灌溉水质》（</w:t>
            </w:r>
            <w:r>
              <w:rPr>
                <w:rFonts w:cs="Times New Roman" w:hint="eastAsia"/>
                <w:color w:val="000000" w:themeColor="text1"/>
                <w:kern w:val="0"/>
              </w:rPr>
              <w:t>GB/T25499-2010</w:t>
            </w:r>
            <w:r>
              <w:rPr>
                <w:rFonts w:cs="Times New Roman" w:hint="eastAsia"/>
                <w:color w:val="000000" w:themeColor="text1"/>
                <w:kern w:val="0"/>
              </w:rPr>
              <w:t>）中的相关要求。</w:t>
            </w:r>
          </w:p>
          <w:p w:rsidR="00644456" w:rsidRDefault="008031C4">
            <w:pPr>
              <w:rPr>
                <w:rFonts w:cs="Times New Roman"/>
                <w:color w:val="000000" w:themeColor="text1"/>
                <w:kern w:val="0"/>
              </w:rPr>
            </w:pPr>
            <w:r>
              <w:rPr>
                <w:rFonts w:cs="Times New Roman" w:hint="eastAsia"/>
                <w:color w:val="000000" w:themeColor="text1"/>
                <w:kern w:val="0"/>
              </w:rPr>
              <w:t>（</w:t>
            </w:r>
            <w:r>
              <w:rPr>
                <w:rFonts w:cs="Times New Roman" w:hint="eastAsia"/>
                <w:color w:val="000000" w:themeColor="text1"/>
                <w:kern w:val="0"/>
              </w:rPr>
              <w:t>2</w:t>
            </w:r>
            <w:r>
              <w:rPr>
                <w:rFonts w:cs="Times New Roman" w:hint="eastAsia"/>
                <w:color w:val="000000" w:themeColor="text1"/>
                <w:kern w:val="0"/>
              </w:rPr>
              <w:t>）园区排水体制采用不完全分流制。雨、雪水就近排入边沟、边渠。对于企业内部危险化学品较多的化工企业，如对初期雨水不进行收集，极易造成污染，因此，环评要求，对于危险化学品较多的化工企业应对初期雨水进行收集处理。</w:t>
            </w:r>
          </w:p>
          <w:p w:rsidR="00644456" w:rsidRDefault="008031C4">
            <w:pPr>
              <w:rPr>
                <w:rFonts w:cs="Times New Roman"/>
                <w:color w:val="000000" w:themeColor="text1"/>
                <w:kern w:val="0"/>
              </w:rPr>
            </w:pPr>
            <w:r>
              <w:rPr>
                <w:rFonts w:cs="Times New Roman" w:hint="eastAsia"/>
                <w:color w:val="000000" w:themeColor="text1"/>
                <w:kern w:val="0"/>
              </w:rPr>
              <w:t>（</w:t>
            </w:r>
            <w:r>
              <w:rPr>
                <w:rFonts w:cs="Times New Roman" w:hint="eastAsia"/>
                <w:color w:val="000000" w:themeColor="text1"/>
                <w:kern w:val="0"/>
              </w:rPr>
              <w:t>3</w:t>
            </w:r>
            <w:r>
              <w:rPr>
                <w:rFonts w:cs="Times New Roman" w:hint="eastAsia"/>
                <w:color w:val="000000" w:themeColor="text1"/>
                <w:kern w:val="0"/>
              </w:rPr>
              <w:t>）喀什地区水资源较紧张，园区尽可能提高中水工业回用率。</w:t>
            </w:r>
          </w:p>
          <w:p w:rsidR="00644456" w:rsidRDefault="008031C4">
            <w:pPr>
              <w:rPr>
                <w:rFonts w:cs="Times New Roman"/>
                <w:color w:val="000000" w:themeColor="text1"/>
                <w:kern w:val="0"/>
              </w:rPr>
            </w:pPr>
            <w:r>
              <w:rPr>
                <w:rFonts w:cs="Times New Roman" w:hint="eastAsia"/>
                <w:color w:val="000000" w:themeColor="text1"/>
                <w:kern w:val="0"/>
              </w:rPr>
              <w:t>（</w:t>
            </w:r>
            <w:r>
              <w:rPr>
                <w:rFonts w:cs="Times New Roman" w:hint="eastAsia"/>
                <w:color w:val="000000" w:themeColor="text1"/>
                <w:kern w:val="0"/>
              </w:rPr>
              <w:t>4</w:t>
            </w:r>
            <w:r>
              <w:rPr>
                <w:rFonts w:cs="Times New Roman" w:hint="eastAsia"/>
                <w:color w:val="000000" w:themeColor="text1"/>
                <w:kern w:val="0"/>
              </w:rPr>
              <w:t>）污水处理厂或污水处理设施附近应修建应急事故池，事故池容积按照白天时间里最大来水量的</w:t>
            </w:r>
            <w:r>
              <w:rPr>
                <w:rFonts w:cs="Times New Roman" w:hint="eastAsia"/>
                <w:color w:val="000000" w:themeColor="text1"/>
                <w:kern w:val="0"/>
              </w:rPr>
              <w:t>80%</w:t>
            </w:r>
            <w:r>
              <w:rPr>
                <w:rFonts w:cs="Times New Roman" w:hint="eastAsia"/>
                <w:color w:val="000000" w:themeColor="text1"/>
                <w:kern w:val="0"/>
              </w:rPr>
              <w:t>计算。</w:t>
            </w:r>
          </w:p>
          <w:p w:rsidR="00644456" w:rsidRDefault="008031C4">
            <w:pPr>
              <w:rPr>
                <w:rFonts w:cs="Times New Roman"/>
                <w:color w:val="000000" w:themeColor="text1"/>
                <w:kern w:val="0"/>
              </w:rPr>
            </w:pPr>
            <w:r>
              <w:rPr>
                <w:rFonts w:cs="Times New Roman" w:hint="eastAsia"/>
                <w:color w:val="000000" w:themeColor="text1"/>
                <w:kern w:val="0"/>
              </w:rPr>
              <w:t>（</w:t>
            </w:r>
            <w:r>
              <w:rPr>
                <w:rFonts w:cs="Times New Roman" w:hint="eastAsia"/>
                <w:color w:val="000000" w:themeColor="text1"/>
                <w:kern w:val="0"/>
              </w:rPr>
              <w:t>5</w:t>
            </w:r>
            <w:r>
              <w:rPr>
                <w:rFonts w:cs="Times New Roman" w:hint="eastAsia"/>
                <w:color w:val="000000" w:themeColor="text1"/>
                <w:kern w:val="0"/>
              </w:rPr>
              <w:t>）为防止污染地下水，针对入园项目工程工艺特点，园区企业应依据《环境影响评价技术导则地下水环境》（</w:t>
            </w:r>
            <w:r>
              <w:rPr>
                <w:rFonts w:cs="Times New Roman" w:hint="eastAsia"/>
                <w:color w:val="000000" w:themeColor="text1"/>
                <w:kern w:val="0"/>
              </w:rPr>
              <w:t>HJ610</w:t>
            </w:r>
            <w:r>
              <w:rPr>
                <w:rFonts w:cs="Times New Roman" w:hint="eastAsia"/>
                <w:color w:val="000000" w:themeColor="text1"/>
                <w:kern w:val="0"/>
              </w:rPr>
              <w:t>–</w:t>
            </w:r>
            <w:r>
              <w:rPr>
                <w:rFonts w:cs="Times New Roman" w:hint="eastAsia"/>
                <w:color w:val="000000" w:themeColor="text1"/>
                <w:kern w:val="0"/>
              </w:rPr>
              <w:t>2016</w:t>
            </w:r>
            <w:r>
              <w:rPr>
                <w:rFonts w:cs="Times New Roman" w:hint="eastAsia"/>
                <w:color w:val="000000" w:themeColor="text1"/>
                <w:kern w:val="0"/>
              </w:rPr>
              <w:t>）“</w:t>
            </w:r>
            <w:r>
              <w:rPr>
                <w:rFonts w:cs="Times New Roman" w:hint="eastAsia"/>
                <w:color w:val="000000" w:themeColor="text1"/>
                <w:kern w:val="0"/>
              </w:rPr>
              <w:t>11.2.2</w:t>
            </w:r>
            <w:r>
              <w:rPr>
                <w:rFonts w:cs="Times New Roman" w:hint="eastAsia"/>
                <w:color w:val="000000" w:themeColor="text1"/>
                <w:kern w:val="0"/>
              </w:rPr>
              <w:t>分区防控措施”，《危险废物贮存污染控制标准》（</w:t>
            </w:r>
            <w:r>
              <w:rPr>
                <w:rFonts w:cs="Times New Roman" w:hint="eastAsia"/>
                <w:color w:val="000000" w:themeColor="text1"/>
                <w:kern w:val="0"/>
              </w:rPr>
              <w:t>GB18597-2023</w:t>
            </w:r>
            <w:r>
              <w:rPr>
                <w:rFonts w:cs="Times New Roman" w:hint="eastAsia"/>
                <w:color w:val="000000" w:themeColor="text1"/>
                <w:kern w:val="0"/>
              </w:rPr>
              <w:t>）和《一般工业固体废物贮存和填埋污染控制标准》（</w:t>
            </w:r>
            <w:r>
              <w:rPr>
                <w:rFonts w:cs="Times New Roman" w:hint="eastAsia"/>
                <w:color w:val="000000" w:themeColor="text1"/>
                <w:kern w:val="0"/>
              </w:rPr>
              <w:t>GB18599-2020</w:t>
            </w:r>
            <w:r>
              <w:rPr>
                <w:rFonts w:cs="Times New Roman" w:hint="eastAsia"/>
                <w:color w:val="000000" w:themeColor="text1"/>
                <w:kern w:val="0"/>
              </w:rPr>
              <w:t>）中相关要求做好防渗的要求。（</w:t>
            </w:r>
            <w:r>
              <w:rPr>
                <w:rFonts w:cs="Times New Roman" w:hint="eastAsia"/>
                <w:color w:val="000000" w:themeColor="text1"/>
                <w:kern w:val="0"/>
              </w:rPr>
              <w:t>6</w:t>
            </w:r>
            <w:r>
              <w:rPr>
                <w:rFonts w:cs="Times New Roman" w:hint="eastAsia"/>
                <w:color w:val="000000" w:themeColor="text1"/>
                <w:kern w:val="0"/>
              </w:rPr>
              <w:t>）区内企业全部地面应采取地坪硬化防渗措施，确保防渗系数小于</w:t>
            </w:r>
            <w:r>
              <w:rPr>
                <w:rFonts w:cs="Times New Roman" w:hint="eastAsia"/>
                <w:color w:val="000000" w:themeColor="text1"/>
                <w:kern w:val="0"/>
              </w:rPr>
              <w:t>10</w:t>
            </w:r>
            <w:r>
              <w:rPr>
                <w:rFonts w:cs="Times New Roman" w:hint="eastAsia"/>
                <w:color w:val="000000" w:themeColor="text1"/>
                <w:kern w:val="0"/>
                <w:vertAlign w:val="superscript"/>
              </w:rPr>
              <w:t>-7</w:t>
            </w:r>
            <w:r>
              <w:rPr>
                <w:rFonts w:cs="Times New Roman" w:hint="eastAsia"/>
                <w:color w:val="000000" w:themeColor="text1"/>
                <w:kern w:val="0"/>
              </w:rPr>
              <w:t>cm/s</w:t>
            </w:r>
            <w:r>
              <w:rPr>
                <w:rFonts w:cs="Times New Roman" w:hint="eastAsia"/>
                <w:color w:val="000000" w:themeColor="text1"/>
                <w:kern w:val="0"/>
              </w:rPr>
              <w:t>，杜绝淋滤水渗入地下。</w:t>
            </w:r>
          </w:p>
          <w:p w:rsidR="00644456" w:rsidRDefault="008031C4">
            <w:pPr>
              <w:rPr>
                <w:rFonts w:cs="Times New Roman"/>
                <w:color w:val="000000" w:themeColor="text1"/>
                <w:kern w:val="0"/>
              </w:rPr>
            </w:pPr>
            <w:r>
              <w:rPr>
                <w:rFonts w:cs="Times New Roman" w:hint="eastAsia"/>
                <w:color w:val="000000" w:themeColor="text1"/>
                <w:kern w:val="0"/>
              </w:rPr>
              <w:t>（</w:t>
            </w:r>
            <w:r>
              <w:rPr>
                <w:rFonts w:cs="Times New Roman" w:hint="eastAsia"/>
                <w:color w:val="000000" w:themeColor="text1"/>
                <w:kern w:val="0"/>
              </w:rPr>
              <w:t>7</w:t>
            </w:r>
            <w:r>
              <w:rPr>
                <w:rFonts w:cs="Times New Roman" w:hint="eastAsia"/>
                <w:color w:val="000000" w:themeColor="text1"/>
                <w:kern w:val="0"/>
              </w:rPr>
              <w:t>）规划区废水输送、排放管道、污水处理设施必须采取严格防渗措施，或管道采用地上形式敷设，并做好日常检查、维修工作，</w:t>
            </w:r>
            <w:r>
              <w:rPr>
                <w:rFonts w:cs="Times New Roman" w:hint="eastAsia"/>
                <w:color w:val="000000" w:themeColor="text1"/>
                <w:kern w:val="0"/>
              </w:rPr>
              <w:lastRenderedPageBreak/>
              <w:t>杜绝跑冒滴漏现象的发生。</w:t>
            </w:r>
          </w:p>
          <w:p w:rsidR="00644456" w:rsidRDefault="008031C4">
            <w:pPr>
              <w:rPr>
                <w:rFonts w:cs="Times New Roman"/>
                <w:color w:val="000000" w:themeColor="text1"/>
                <w:kern w:val="0"/>
              </w:rPr>
            </w:pPr>
            <w:r>
              <w:rPr>
                <w:rFonts w:cs="Times New Roman" w:hint="eastAsia"/>
                <w:color w:val="000000" w:themeColor="text1"/>
                <w:kern w:val="0"/>
              </w:rPr>
              <w:t>（</w:t>
            </w:r>
            <w:r>
              <w:rPr>
                <w:rFonts w:cs="Times New Roman"/>
                <w:color w:val="000000" w:themeColor="text1"/>
                <w:kern w:val="0"/>
              </w:rPr>
              <w:t>8</w:t>
            </w:r>
            <w:r>
              <w:rPr>
                <w:rFonts w:cs="Times New Roman" w:hint="eastAsia"/>
                <w:color w:val="000000" w:themeColor="text1"/>
                <w:kern w:val="0"/>
              </w:rPr>
              <w:t>）企业厂区、各类废水池、事故池、污水处理厂贮水池均应作为重点防渗区，并进行防腐处理，保证其渗透系数小于</w:t>
            </w:r>
            <w:r>
              <w:rPr>
                <w:rFonts w:cs="Times New Roman" w:hint="eastAsia"/>
                <w:color w:val="000000" w:themeColor="text1"/>
                <w:kern w:val="0"/>
              </w:rPr>
              <w:t>10</w:t>
            </w:r>
            <w:r>
              <w:rPr>
                <w:rFonts w:cs="Times New Roman" w:hint="eastAsia"/>
                <w:color w:val="000000" w:themeColor="text1"/>
                <w:kern w:val="0"/>
                <w:vertAlign w:val="superscript"/>
              </w:rPr>
              <w:t>-11</w:t>
            </w:r>
            <w:r>
              <w:rPr>
                <w:rFonts w:cs="Times New Roman" w:hint="eastAsia"/>
                <w:color w:val="000000" w:themeColor="text1"/>
                <w:kern w:val="0"/>
              </w:rPr>
              <w:t>cm/s</w:t>
            </w:r>
            <w:r>
              <w:rPr>
                <w:rFonts w:cs="Times New Roman" w:hint="eastAsia"/>
                <w:color w:val="000000" w:themeColor="text1"/>
                <w:kern w:val="0"/>
              </w:rPr>
              <w:t>。</w:t>
            </w:r>
          </w:p>
          <w:p w:rsidR="00644456" w:rsidRDefault="008031C4">
            <w:pPr>
              <w:rPr>
                <w:rFonts w:cs="Times New Roman"/>
                <w:color w:val="000000" w:themeColor="text1"/>
                <w:kern w:val="0"/>
              </w:rPr>
            </w:pPr>
            <w:r>
              <w:rPr>
                <w:rFonts w:cs="Times New Roman" w:hint="eastAsia"/>
                <w:color w:val="000000" w:themeColor="text1"/>
                <w:kern w:val="0"/>
              </w:rPr>
              <w:t>（</w:t>
            </w:r>
            <w:r>
              <w:rPr>
                <w:rFonts w:cs="Times New Roman"/>
                <w:color w:val="000000" w:themeColor="text1"/>
                <w:kern w:val="0"/>
              </w:rPr>
              <w:t>8</w:t>
            </w:r>
            <w:r>
              <w:rPr>
                <w:rFonts w:cs="Times New Roman" w:hint="eastAsia"/>
                <w:color w:val="000000" w:themeColor="text1"/>
                <w:kern w:val="0"/>
              </w:rPr>
              <w:t>）设置环保监测系统：地下水监控井，在项目运行期间，定期测定地下水中各种污染组分的含量，及时发现问题，防止排放的污染物对周边地下水的污染。</w:t>
            </w:r>
          </w:p>
          <w:p w:rsidR="00644456" w:rsidRDefault="008031C4">
            <w:pPr>
              <w:rPr>
                <w:rFonts w:cs="Times New Roman"/>
                <w:color w:val="000000" w:themeColor="text1"/>
                <w:kern w:val="0"/>
              </w:rPr>
            </w:pPr>
            <w:r>
              <w:rPr>
                <w:rFonts w:cs="Times New Roman" w:hint="eastAsia"/>
                <w:color w:val="000000" w:themeColor="text1"/>
                <w:kern w:val="0"/>
              </w:rPr>
              <w:t>（</w:t>
            </w:r>
            <w:r>
              <w:rPr>
                <w:rFonts w:cs="Times New Roman"/>
                <w:color w:val="000000" w:themeColor="text1"/>
                <w:kern w:val="0"/>
              </w:rPr>
              <w:t>9</w:t>
            </w:r>
            <w:r>
              <w:rPr>
                <w:rFonts w:cs="Times New Roman" w:hint="eastAsia"/>
                <w:color w:val="000000" w:themeColor="text1"/>
                <w:kern w:val="0"/>
              </w:rPr>
              <w:t>）危险废物堆放场所基础必须防渗，防渗层为至少</w:t>
            </w:r>
            <w:r>
              <w:rPr>
                <w:rFonts w:cs="Times New Roman" w:hint="eastAsia"/>
                <w:color w:val="000000" w:themeColor="text1"/>
                <w:kern w:val="0"/>
              </w:rPr>
              <w:t>1m</w:t>
            </w:r>
            <w:r>
              <w:rPr>
                <w:rFonts w:cs="Times New Roman" w:hint="eastAsia"/>
                <w:color w:val="000000" w:themeColor="text1"/>
                <w:kern w:val="0"/>
              </w:rPr>
              <w:t>厚粘土层（渗透系数≤</w:t>
            </w:r>
            <w:r>
              <w:rPr>
                <w:rFonts w:cs="Times New Roman" w:hint="eastAsia"/>
                <w:color w:val="000000" w:themeColor="text1"/>
                <w:kern w:val="0"/>
              </w:rPr>
              <w:t>10</w:t>
            </w:r>
            <w:r>
              <w:rPr>
                <w:rFonts w:cs="Times New Roman" w:hint="eastAsia"/>
                <w:color w:val="000000" w:themeColor="text1"/>
                <w:kern w:val="0"/>
                <w:vertAlign w:val="superscript"/>
              </w:rPr>
              <w:t>-7</w:t>
            </w:r>
            <w:r>
              <w:rPr>
                <w:rFonts w:cs="Times New Roman" w:hint="eastAsia"/>
                <w:color w:val="000000" w:themeColor="text1"/>
                <w:kern w:val="0"/>
              </w:rPr>
              <w:t>cm/s</w:t>
            </w:r>
            <w:r>
              <w:rPr>
                <w:rFonts w:cs="Times New Roman" w:hint="eastAsia"/>
                <w:color w:val="000000" w:themeColor="text1"/>
                <w:kern w:val="0"/>
              </w:rPr>
              <w:t>），或</w:t>
            </w:r>
            <w:r>
              <w:rPr>
                <w:rFonts w:cs="Times New Roman" w:hint="eastAsia"/>
                <w:color w:val="000000" w:themeColor="text1"/>
                <w:kern w:val="0"/>
              </w:rPr>
              <w:t>2mm</w:t>
            </w:r>
            <w:r>
              <w:rPr>
                <w:rFonts w:cs="Times New Roman" w:hint="eastAsia"/>
                <w:color w:val="000000" w:themeColor="text1"/>
                <w:kern w:val="0"/>
              </w:rPr>
              <w:t>厚高密度聚乙烯，或至少</w:t>
            </w:r>
            <w:r>
              <w:rPr>
                <w:rFonts w:cs="Times New Roman" w:hint="eastAsia"/>
                <w:color w:val="000000" w:themeColor="text1"/>
                <w:kern w:val="0"/>
              </w:rPr>
              <w:t>2mm</w:t>
            </w:r>
            <w:r>
              <w:rPr>
                <w:rFonts w:cs="Times New Roman" w:hint="eastAsia"/>
                <w:color w:val="000000" w:themeColor="text1"/>
                <w:kern w:val="0"/>
              </w:rPr>
              <w:t>厚的其他人工材料，渗透系数≤</w:t>
            </w:r>
            <w:r>
              <w:rPr>
                <w:rFonts w:cs="Times New Roman" w:hint="eastAsia"/>
                <w:color w:val="000000" w:themeColor="text1"/>
                <w:kern w:val="0"/>
              </w:rPr>
              <w:t>10-10cm/s</w:t>
            </w:r>
            <w:r>
              <w:rPr>
                <w:rFonts w:cs="Times New Roman" w:hint="eastAsia"/>
                <w:color w:val="000000" w:themeColor="text1"/>
                <w:kern w:val="0"/>
              </w:rPr>
              <w:t>。</w:t>
            </w:r>
          </w:p>
          <w:p w:rsidR="00644456" w:rsidRDefault="008031C4">
            <w:pPr>
              <w:pStyle w:val="af"/>
              <w:jc w:val="both"/>
            </w:pPr>
            <w:r>
              <w:rPr>
                <w:rFonts w:hint="eastAsia"/>
                <w:color w:val="000000" w:themeColor="text1"/>
                <w:kern w:val="0"/>
              </w:rPr>
              <w:t>（</w:t>
            </w:r>
            <w:r>
              <w:rPr>
                <w:color w:val="000000" w:themeColor="text1"/>
                <w:kern w:val="0"/>
              </w:rPr>
              <w:t>10</w:t>
            </w:r>
            <w:r>
              <w:rPr>
                <w:rFonts w:hint="eastAsia"/>
                <w:color w:val="000000" w:themeColor="text1"/>
                <w:kern w:val="0"/>
              </w:rPr>
              <w:t>）根据实际调查结果，生态钢城内现状入驻企业较少，导致现状水厂及污水处理厂均无法正常运行，考虑拟建、在建企业建设进度及后期市场发展需求，本次评价建议根据园区开发时序及企业入驻率适当扩建生态钢城污水处理厂。</w:t>
            </w:r>
          </w:p>
        </w:tc>
        <w:tc>
          <w:tcPr>
            <w:tcW w:w="731" w:type="pct"/>
            <w:shd w:val="clear" w:color="auto" w:fill="auto"/>
            <w:vAlign w:val="center"/>
          </w:tcPr>
          <w:p w:rsidR="00644456" w:rsidRDefault="008031C4">
            <w:pPr>
              <w:jc w:val="center"/>
              <w:rPr>
                <w:rFonts w:cs="Times New Roman"/>
                <w:color w:val="000000" w:themeColor="text1"/>
                <w:kern w:val="0"/>
              </w:rPr>
            </w:pPr>
            <w:r>
              <w:rPr>
                <w:rFonts w:cs="Times New Roman" w:hint="eastAsia"/>
                <w:color w:val="000000" w:themeColor="text1"/>
                <w:kern w:val="0"/>
              </w:rPr>
              <w:lastRenderedPageBreak/>
              <w:t>本项目废水经本项目处理达标后，进入园区生态钢城污水处理厂再次处理后，回用于园区道路清扫和绿化灌溉，项目厂区内设置初期雨水池，并且按照要求对厂区范围进行分区防渗</w:t>
            </w:r>
          </w:p>
        </w:tc>
        <w:tc>
          <w:tcPr>
            <w:tcW w:w="453"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color w:val="000000" w:themeColor="text1"/>
                <w:szCs w:val="18"/>
              </w:rPr>
              <w:t>符合</w:t>
            </w:r>
          </w:p>
        </w:tc>
      </w:tr>
      <w:tr w:rsidR="00644456">
        <w:trPr>
          <w:jc w:val="center"/>
        </w:trPr>
        <w:tc>
          <w:tcPr>
            <w:tcW w:w="406" w:type="pct"/>
            <w:vMerge/>
            <w:shd w:val="clear" w:color="auto" w:fill="auto"/>
            <w:vAlign w:val="center"/>
          </w:tcPr>
          <w:p w:rsidR="00644456" w:rsidRDefault="00644456">
            <w:pPr>
              <w:pStyle w:val="TableParagraph"/>
              <w:jc w:val="center"/>
              <w:rPr>
                <w:rFonts w:cs="Times New Roman"/>
                <w:color w:val="000000" w:themeColor="text1"/>
                <w:szCs w:val="18"/>
              </w:rPr>
            </w:pPr>
          </w:p>
        </w:tc>
        <w:tc>
          <w:tcPr>
            <w:tcW w:w="3410" w:type="pct"/>
            <w:shd w:val="clear" w:color="auto" w:fill="auto"/>
            <w:vAlign w:val="center"/>
          </w:tcPr>
          <w:p w:rsidR="00644456" w:rsidRDefault="008031C4">
            <w:pPr>
              <w:rPr>
                <w:rFonts w:cs="Times New Roman"/>
                <w:color w:val="000000" w:themeColor="text1"/>
                <w:kern w:val="0"/>
              </w:rPr>
            </w:pPr>
            <w:r>
              <w:rPr>
                <w:rFonts w:cs="Times New Roman" w:hint="eastAsia"/>
                <w:color w:val="000000" w:themeColor="text1"/>
                <w:kern w:val="0"/>
              </w:rPr>
              <w:t>（</w:t>
            </w:r>
            <w:r>
              <w:rPr>
                <w:rFonts w:cs="Times New Roman"/>
                <w:color w:val="000000" w:themeColor="text1"/>
                <w:kern w:val="0"/>
              </w:rPr>
              <w:t>1</w:t>
            </w:r>
            <w:r>
              <w:rPr>
                <w:rFonts w:cs="Times New Roman" w:hint="eastAsia"/>
                <w:color w:val="000000" w:themeColor="text1"/>
                <w:kern w:val="0"/>
              </w:rPr>
              <w:t>）设置“能效准入门槛”和“污染物排放绩效准入门槛”，提高产业准入门槛。对不符合国家产业政策、国家明令淘汰和禁止建设的项目不予批准；对环境污染严重、污染物排放不能达标、没有总量指标、未通过环境影响评价的项目不予批准开工建设。</w:t>
            </w:r>
          </w:p>
          <w:p w:rsidR="00644456" w:rsidRDefault="008031C4">
            <w:pPr>
              <w:rPr>
                <w:rFonts w:cs="Times New Roman"/>
                <w:color w:val="000000" w:themeColor="text1"/>
                <w:kern w:val="0"/>
              </w:rPr>
            </w:pPr>
            <w:r>
              <w:rPr>
                <w:rFonts w:cs="Times New Roman" w:hint="eastAsia"/>
                <w:color w:val="000000" w:themeColor="text1"/>
                <w:kern w:val="0"/>
              </w:rPr>
              <w:t>（</w:t>
            </w:r>
            <w:r>
              <w:rPr>
                <w:rFonts w:cs="Times New Roman"/>
                <w:color w:val="000000" w:themeColor="text1"/>
                <w:kern w:val="0"/>
              </w:rPr>
              <w:t>2</w:t>
            </w:r>
            <w:r>
              <w:rPr>
                <w:rFonts w:cs="Times New Roman" w:hint="eastAsia"/>
                <w:color w:val="000000" w:themeColor="text1"/>
                <w:kern w:val="0"/>
              </w:rPr>
              <w:t>）采用清洁能源，实施建筑节能和推广采暖供热系统节能措施，鼓励入园单位采用节能工艺，增加可利用资源的回收量，降低消耗。</w:t>
            </w:r>
          </w:p>
          <w:p w:rsidR="00644456" w:rsidRDefault="008031C4">
            <w:pPr>
              <w:rPr>
                <w:rFonts w:cs="Times New Roman"/>
                <w:color w:val="000000" w:themeColor="text1"/>
                <w:kern w:val="0"/>
              </w:rPr>
            </w:pPr>
            <w:r>
              <w:rPr>
                <w:rFonts w:cs="Times New Roman" w:hint="eastAsia"/>
                <w:color w:val="000000" w:themeColor="text1"/>
                <w:kern w:val="0"/>
              </w:rPr>
              <w:t>（</w:t>
            </w:r>
            <w:r>
              <w:rPr>
                <w:rFonts w:cs="Times New Roman"/>
                <w:color w:val="000000" w:themeColor="text1"/>
                <w:kern w:val="0"/>
              </w:rPr>
              <w:t>3</w:t>
            </w:r>
            <w:r>
              <w:rPr>
                <w:rFonts w:cs="Times New Roman" w:hint="eastAsia"/>
                <w:color w:val="000000" w:themeColor="text1"/>
                <w:kern w:val="0"/>
              </w:rPr>
              <w:t>）加强颗粒物污染防治。加强工艺过程除尘设施配置，全面控制工业烟尘、粉尘排放。大型料堆场建立密闭料仓与传送装置。</w:t>
            </w:r>
          </w:p>
          <w:p w:rsidR="00644456" w:rsidRDefault="008031C4">
            <w:pPr>
              <w:rPr>
                <w:rFonts w:cs="Times New Roman"/>
                <w:color w:val="000000" w:themeColor="text1"/>
                <w:kern w:val="0"/>
              </w:rPr>
            </w:pPr>
            <w:r>
              <w:rPr>
                <w:rFonts w:cs="Times New Roman" w:hint="eastAsia"/>
                <w:color w:val="000000" w:themeColor="text1"/>
                <w:kern w:val="0"/>
              </w:rPr>
              <w:t>（</w:t>
            </w:r>
            <w:r>
              <w:rPr>
                <w:rFonts w:cs="Times New Roman"/>
                <w:color w:val="000000" w:themeColor="text1"/>
                <w:kern w:val="0"/>
              </w:rPr>
              <w:t>4</w:t>
            </w:r>
            <w:r>
              <w:rPr>
                <w:rFonts w:cs="Times New Roman" w:hint="eastAsia"/>
                <w:color w:val="000000" w:themeColor="text1"/>
                <w:kern w:val="0"/>
              </w:rPr>
              <w:t>）推进排放有毒废气企业的环境监管，对重点排放企业实施强制性清洁生产审核；把有毒空气污染物排放控制作为环境影响评价审批的重要内容，明确控制措施和应急对策。</w:t>
            </w:r>
          </w:p>
          <w:p w:rsidR="00644456" w:rsidRDefault="008031C4">
            <w:pPr>
              <w:rPr>
                <w:rFonts w:cs="Times New Roman"/>
                <w:color w:val="000000" w:themeColor="text1"/>
                <w:kern w:val="0"/>
              </w:rPr>
            </w:pPr>
            <w:r>
              <w:rPr>
                <w:rFonts w:cs="Times New Roman" w:hint="eastAsia"/>
                <w:color w:val="000000" w:themeColor="text1"/>
                <w:kern w:val="0"/>
              </w:rPr>
              <w:t>（</w:t>
            </w:r>
            <w:r>
              <w:rPr>
                <w:rFonts w:cs="Times New Roman"/>
                <w:color w:val="000000" w:themeColor="text1"/>
                <w:kern w:val="0"/>
              </w:rPr>
              <w:t>5</w:t>
            </w:r>
            <w:r>
              <w:rPr>
                <w:rFonts w:cs="Times New Roman" w:hint="eastAsia"/>
                <w:color w:val="000000" w:themeColor="text1"/>
                <w:kern w:val="0"/>
              </w:rPr>
              <w:t>）全面开展挥发性有机物排放摸底调查工作，建立有机化工等重点企业挥发性有机物重点监管企业名录，掌握挥发性有机物行业和区域分布特征，推荐重点企业挥发性有机物控制。</w:t>
            </w:r>
          </w:p>
          <w:p w:rsidR="00644456" w:rsidRDefault="008031C4">
            <w:pPr>
              <w:rPr>
                <w:rFonts w:cs="Times New Roman"/>
                <w:color w:val="000000" w:themeColor="text1"/>
                <w:kern w:val="0"/>
              </w:rPr>
            </w:pPr>
            <w:r>
              <w:rPr>
                <w:rFonts w:cs="Times New Roman" w:hint="eastAsia"/>
                <w:color w:val="000000" w:themeColor="text1"/>
                <w:kern w:val="0"/>
              </w:rPr>
              <w:t>（</w:t>
            </w:r>
            <w:r>
              <w:rPr>
                <w:rFonts w:cs="Times New Roman"/>
                <w:color w:val="000000" w:themeColor="text1"/>
                <w:kern w:val="0"/>
              </w:rPr>
              <w:t>6</w:t>
            </w:r>
            <w:r>
              <w:rPr>
                <w:rFonts w:cs="Times New Roman" w:hint="eastAsia"/>
                <w:color w:val="000000" w:themeColor="text1"/>
                <w:kern w:val="0"/>
              </w:rPr>
              <w:t>）扩大在线监测范围。对污染物排放未达标，未完成限期治理任务的单位和企业一律实行停产整顿，不予审批新建和改扩建项目；对没有污染防治设施或污染防治设施建而未用、达不到环保要求的项目一律不得开工生产。</w:t>
            </w:r>
          </w:p>
          <w:p w:rsidR="00644456" w:rsidRDefault="008031C4">
            <w:pPr>
              <w:rPr>
                <w:rFonts w:cs="Times New Roman"/>
                <w:color w:val="000000" w:themeColor="text1"/>
                <w:kern w:val="0"/>
              </w:rPr>
            </w:pPr>
            <w:r>
              <w:rPr>
                <w:rFonts w:cs="Times New Roman" w:hint="eastAsia"/>
                <w:color w:val="000000" w:themeColor="text1"/>
                <w:kern w:val="0"/>
              </w:rPr>
              <w:t>（</w:t>
            </w:r>
            <w:r>
              <w:rPr>
                <w:rFonts w:cs="Times New Roman"/>
                <w:color w:val="000000" w:themeColor="text1"/>
                <w:kern w:val="0"/>
              </w:rPr>
              <w:t>7</w:t>
            </w:r>
            <w:r>
              <w:rPr>
                <w:rFonts w:cs="Times New Roman" w:hint="eastAsia"/>
                <w:color w:val="000000" w:themeColor="text1"/>
                <w:kern w:val="0"/>
              </w:rPr>
              <w:t>）提升企业装备水平，严格控制跑冒滴漏。原料、中间产品与成品应密闭储存，对于实际蒸汽压大于</w:t>
            </w:r>
            <w:r>
              <w:rPr>
                <w:rFonts w:cs="Times New Roman" w:hint="eastAsia"/>
                <w:color w:val="000000" w:themeColor="text1"/>
                <w:kern w:val="0"/>
              </w:rPr>
              <w:t>2.8kpa</w:t>
            </w:r>
            <w:r>
              <w:rPr>
                <w:rFonts w:cs="Times New Roman" w:hint="eastAsia"/>
                <w:color w:val="000000" w:themeColor="text1"/>
                <w:kern w:val="0"/>
              </w:rPr>
              <w:t>、容积大于</w:t>
            </w:r>
            <w:r>
              <w:rPr>
                <w:rFonts w:cs="Times New Roman" w:hint="eastAsia"/>
                <w:color w:val="000000" w:themeColor="text1"/>
                <w:kern w:val="0"/>
              </w:rPr>
              <w:t>100m</w:t>
            </w:r>
            <w:r>
              <w:rPr>
                <w:rFonts w:cs="Times New Roman" w:hint="eastAsia"/>
                <w:color w:val="000000" w:themeColor="text1"/>
                <w:kern w:val="0"/>
                <w:vertAlign w:val="superscript"/>
              </w:rPr>
              <w:t>3</w:t>
            </w:r>
            <w:r>
              <w:rPr>
                <w:rFonts w:cs="Times New Roman" w:hint="eastAsia"/>
                <w:color w:val="000000" w:themeColor="text1"/>
                <w:kern w:val="0"/>
              </w:rPr>
              <w:t>的液体储罐，采用高效密闭方式的浮顶罐或安装密闭排气系统进行净化处理。排放挥发性有机物的生产工序要在密闭空间或设备中实施，产生的含挥发性废气需进行净化处理，净化效率应不低于</w:t>
            </w:r>
            <w:r>
              <w:rPr>
                <w:rFonts w:cs="Times New Roman" w:hint="eastAsia"/>
                <w:color w:val="000000" w:themeColor="text1"/>
                <w:kern w:val="0"/>
              </w:rPr>
              <w:t>90%</w:t>
            </w:r>
            <w:r>
              <w:rPr>
                <w:rFonts w:cs="Times New Roman" w:hint="eastAsia"/>
                <w:color w:val="000000" w:themeColor="text1"/>
                <w:kern w:val="0"/>
              </w:rPr>
              <w:t>。逐步开展排放有毒、恶臭等挥发性有机物的有机化工企业在线连续监测系统的建设，并与环境保护管理部门联网。</w:t>
            </w:r>
          </w:p>
          <w:p w:rsidR="00644456" w:rsidRDefault="008031C4">
            <w:pPr>
              <w:rPr>
                <w:rFonts w:cs="Times New Roman"/>
                <w:color w:val="000000" w:themeColor="text1"/>
                <w:kern w:val="0"/>
              </w:rPr>
            </w:pPr>
            <w:r>
              <w:rPr>
                <w:rFonts w:cs="Times New Roman" w:hint="eastAsia"/>
                <w:color w:val="000000" w:themeColor="text1"/>
                <w:kern w:val="0"/>
              </w:rPr>
              <w:t>（</w:t>
            </w:r>
            <w:r>
              <w:rPr>
                <w:rFonts w:cs="Times New Roman"/>
                <w:color w:val="000000" w:themeColor="text1"/>
                <w:kern w:val="0"/>
              </w:rPr>
              <w:t>8</w:t>
            </w:r>
            <w:r>
              <w:rPr>
                <w:rFonts w:cs="Times New Roman" w:hint="eastAsia"/>
                <w:color w:val="000000" w:themeColor="text1"/>
                <w:kern w:val="0"/>
              </w:rPr>
              <w:t>）严格落实建设项目环境保护“三同时”制度，所有建设项目达到国家环保标准后方可投产运行。对批建不符、不落实“三同时”制度、超标排污等情况依法停产整顿。</w:t>
            </w:r>
          </w:p>
          <w:p w:rsidR="00644456" w:rsidRDefault="008031C4">
            <w:pPr>
              <w:pStyle w:val="af"/>
              <w:jc w:val="both"/>
            </w:pPr>
            <w:r>
              <w:rPr>
                <w:rFonts w:hint="eastAsia"/>
                <w:color w:val="000000" w:themeColor="text1"/>
                <w:kern w:val="0"/>
              </w:rPr>
              <w:t>（</w:t>
            </w:r>
            <w:r>
              <w:rPr>
                <w:color w:val="000000" w:themeColor="text1"/>
                <w:kern w:val="0"/>
              </w:rPr>
              <w:t>9</w:t>
            </w:r>
            <w:r>
              <w:rPr>
                <w:rFonts w:hint="eastAsia"/>
                <w:color w:val="000000" w:themeColor="text1"/>
                <w:kern w:val="0"/>
              </w:rPr>
              <w:t>）工艺废气要集中收集后通过烟气收集设施引至室外经排气筒集中排放。</w:t>
            </w:r>
          </w:p>
        </w:tc>
        <w:tc>
          <w:tcPr>
            <w:tcW w:w="731" w:type="pct"/>
            <w:shd w:val="clear" w:color="auto" w:fill="auto"/>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本项目排放的大气污染物经处理后均能达标排放，对外环境影响较小，不涉及燃煤污染，不会改变项目所在区域的大气环境功能。</w:t>
            </w:r>
          </w:p>
        </w:tc>
        <w:tc>
          <w:tcPr>
            <w:tcW w:w="453"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color w:val="000000" w:themeColor="text1"/>
                <w:szCs w:val="18"/>
              </w:rPr>
              <w:t>符合</w:t>
            </w:r>
          </w:p>
        </w:tc>
      </w:tr>
      <w:tr w:rsidR="00644456">
        <w:trPr>
          <w:jc w:val="center"/>
        </w:trPr>
        <w:tc>
          <w:tcPr>
            <w:tcW w:w="406" w:type="pct"/>
            <w:vMerge/>
            <w:shd w:val="clear" w:color="auto" w:fill="auto"/>
            <w:vAlign w:val="center"/>
          </w:tcPr>
          <w:p w:rsidR="00644456" w:rsidRDefault="00644456">
            <w:pPr>
              <w:pStyle w:val="TableParagraph"/>
              <w:jc w:val="center"/>
              <w:rPr>
                <w:rFonts w:cs="Times New Roman"/>
                <w:color w:val="000000" w:themeColor="text1"/>
                <w:szCs w:val="18"/>
              </w:rPr>
            </w:pPr>
          </w:p>
        </w:tc>
        <w:tc>
          <w:tcPr>
            <w:tcW w:w="3410" w:type="pct"/>
            <w:shd w:val="clear" w:color="auto" w:fill="auto"/>
            <w:vAlign w:val="center"/>
          </w:tcPr>
          <w:p w:rsidR="00644456" w:rsidRDefault="008031C4">
            <w:pPr>
              <w:rPr>
                <w:rFonts w:cs="Times New Roman"/>
                <w:color w:val="000000" w:themeColor="text1"/>
                <w:kern w:val="0"/>
              </w:rPr>
            </w:pPr>
            <w:r>
              <w:rPr>
                <w:rFonts w:cs="Times New Roman" w:hint="eastAsia"/>
                <w:color w:val="000000" w:themeColor="text1"/>
                <w:kern w:val="0"/>
              </w:rPr>
              <w:t>（</w:t>
            </w:r>
            <w:r>
              <w:rPr>
                <w:rFonts w:cs="Times New Roman"/>
                <w:color w:val="000000" w:themeColor="text1"/>
                <w:kern w:val="0"/>
              </w:rPr>
              <w:t>1</w:t>
            </w:r>
            <w:r>
              <w:rPr>
                <w:rFonts w:cs="Times New Roman" w:hint="eastAsia"/>
                <w:color w:val="000000" w:themeColor="text1"/>
                <w:kern w:val="0"/>
              </w:rPr>
              <w:t>）工业噪声</w:t>
            </w:r>
          </w:p>
          <w:p w:rsidR="00644456" w:rsidRDefault="008031C4">
            <w:pPr>
              <w:rPr>
                <w:rFonts w:cs="Times New Roman"/>
                <w:color w:val="000000" w:themeColor="text1"/>
                <w:kern w:val="0"/>
              </w:rPr>
            </w:pPr>
            <w:r>
              <w:rPr>
                <w:rFonts w:cs="Times New Roman" w:hint="eastAsia"/>
                <w:color w:val="000000" w:themeColor="text1"/>
                <w:kern w:val="0"/>
              </w:rPr>
              <w:t>①坚持源头把关的原则，对各种机电产品选型时，除满足工艺要求外，还必须考虑其具有良好的声学特征（高效低噪），或设计时建议厂方配套提供降噪设备。</w:t>
            </w:r>
          </w:p>
          <w:p w:rsidR="00644456" w:rsidRDefault="008031C4">
            <w:pPr>
              <w:rPr>
                <w:rFonts w:cs="Times New Roman"/>
                <w:color w:val="000000" w:themeColor="text1"/>
                <w:kern w:val="0"/>
              </w:rPr>
            </w:pPr>
            <w:r>
              <w:rPr>
                <w:rFonts w:cs="Times New Roman" w:hint="eastAsia"/>
                <w:color w:val="000000" w:themeColor="text1"/>
                <w:kern w:val="0"/>
              </w:rPr>
              <w:t>②对各种工业噪声源分别采用隔声、吸声和消声等措施，必要时应设置隔声带，以降低其源强，减少对周围环境的影响。</w:t>
            </w:r>
          </w:p>
          <w:p w:rsidR="00644456" w:rsidRDefault="008031C4">
            <w:pPr>
              <w:rPr>
                <w:rFonts w:cs="Times New Roman"/>
                <w:color w:val="000000" w:themeColor="text1"/>
                <w:kern w:val="0"/>
              </w:rPr>
            </w:pPr>
            <w:r>
              <w:rPr>
                <w:rFonts w:cs="Times New Roman" w:hint="eastAsia"/>
                <w:color w:val="000000" w:themeColor="text1"/>
                <w:kern w:val="0"/>
              </w:rPr>
              <w:lastRenderedPageBreak/>
              <w:t>③总图布置应充分考虑高噪声设备的影响，将其布置在远离厂界处，以保证厂界和敏感目标噪声达标。</w:t>
            </w:r>
          </w:p>
          <w:p w:rsidR="00644456" w:rsidRDefault="008031C4">
            <w:pPr>
              <w:rPr>
                <w:rFonts w:cs="Times New Roman"/>
                <w:color w:val="000000" w:themeColor="text1"/>
                <w:kern w:val="0"/>
              </w:rPr>
            </w:pPr>
            <w:r>
              <w:rPr>
                <w:rFonts w:cs="Times New Roman" w:hint="eastAsia"/>
                <w:color w:val="000000" w:themeColor="text1"/>
                <w:kern w:val="0"/>
              </w:rPr>
              <w:t>④加强厂区绿化，特别是在有高噪声设备处和厂界之间应设置绿化带，利用树木的吸声、消声作用减小厂界噪声。</w:t>
            </w:r>
          </w:p>
          <w:p w:rsidR="00644456" w:rsidRDefault="008031C4">
            <w:pPr>
              <w:rPr>
                <w:rFonts w:cs="Times New Roman"/>
                <w:color w:val="000000" w:themeColor="text1"/>
                <w:kern w:val="0"/>
              </w:rPr>
            </w:pPr>
            <w:r>
              <w:rPr>
                <w:rFonts w:cs="Times New Roman" w:hint="eastAsia"/>
                <w:color w:val="000000" w:themeColor="text1"/>
                <w:kern w:val="0"/>
              </w:rPr>
              <w:t>（</w:t>
            </w:r>
            <w:r>
              <w:rPr>
                <w:rFonts w:cs="Times New Roman"/>
                <w:color w:val="000000" w:themeColor="text1"/>
                <w:kern w:val="0"/>
              </w:rPr>
              <w:t>2</w:t>
            </w:r>
            <w:r>
              <w:rPr>
                <w:rFonts w:cs="Times New Roman" w:hint="eastAsia"/>
                <w:color w:val="000000" w:themeColor="text1"/>
                <w:kern w:val="0"/>
              </w:rPr>
              <w:t>）交通噪声</w:t>
            </w:r>
          </w:p>
          <w:p w:rsidR="00644456" w:rsidRDefault="008031C4">
            <w:pPr>
              <w:rPr>
                <w:rFonts w:cs="Times New Roman"/>
                <w:color w:val="000000" w:themeColor="text1"/>
                <w:kern w:val="0"/>
              </w:rPr>
            </w:pPr>
            <w:r>
              <w:rPr>
                <w:rFonts w:cs="Times New Roman" w:hint="eastAsia"/>
                <w:color w:val="000000" w:themeColor="text1"/>
                <w:kern w:val="0"/>
              </w:rPr>
              <w:t>车辆增加和道路通行不畅，是引起交通噪声污染的主要原因，而交通噪声又直接影响到区域声环境质量的下降。主要控制措施有：</w:t>
            </w:r>
          </w:p>
          <w:p w:rsidR="00644456" w:rsidRDefault="008031C4">
            <w:pPr>
              <w:rPr>
                <w:rFonts w:cs="Times New Roman"/>
                <w:color w:val="000000" w:themeColor="text1"/>
                <w:kern w:val="0"/>
              </w:rPr>
            </w:pPr>
            <w:r>
              <w:rPr>
                <w:rFonts w:cs="Times New Roman" w:hint="eastAsia"/>
                <w:color w:val="000000" w:themeColor="text1"/>
                <w:kern w:val="0"/>
              </w:rPr>
              <w:t>①园区道路两侧种植绿化防护林带。绿化带具有防噪、防尘、水土保持、改善生态环境和美化环境等综合功能，园区应尽可能利用空地，有计划地进行绿化，尽量种植常绿、密集、宽厚的林带。所选用的树种、株距、行距的确定等应考虑吸声、降尘的要求。</w:t>
            </w:r>
          </w:p>
          <w:p w:rsidR="00644456" w:rsidRDefault="008031C4">
            <w:pPr>
              <w:rPr>
                <w:rFonts w:cs="Times New Roman"/>
                <w:color w:val="000000" w:themeColor="text1"/>
                <w:kern w:val="0"/>
              </w:rPr>
            </w:pPr>
            <w:r>
              <w:rPr>
                <w:rFonts w:cs="Times New Roman" w:hint="eastAsia"/>
                <w:color w:val="000000" w:themeColor="text1"/>
                <w:kern w:val="0"/>
              </w:rPr>
              <w:t>②控制车辆噪声源强，降低车辆行驶噪声。</w:t>
            </w:r>
          </w:p>
          <w:p w:rsidR="00644456" w:rsidRDefault="008031C4">
            <w:pPr>
              <w:rPr>
                <w:rFonts w:cs="Times New Roman"/>
                <w:color w:val="000000" w:themeColor="text1"/>
                <w:kern w:val="0"/>
              </w:rPr>
            </w:pPr>
            <w:r>
              <w:rPr>
                <w:rFonts w:cs="Times New Roman" w:hint="eastAsia"/>
                <w:color w:val="000000" w:themeColor="text1"/>
                <w:kern w:val="0"/>
              </w:rPr>
              <w:t>③加强路面保养，减少车辆颠簸振动噪声。</w:t>
            </w:r>
          </w:p>
          <w:p w:rsidR="00644456" w:rsidRDefault="008031C4">
            <w:pPr>
              <w:pStyle w:val="af"/>
              <w:jc w:val="both"/>
            </w:pPr>
            <w:r>
              <w:rPr>
                <w:rFonts w:hint="eastAsia"/>
                <w:color w:val="000000" w:themeColor="text1"/>
                <w:kern w:val="0"/>
              </w:rPr>
              <w:t>④加强交通管理，保持区域道路通畅和良好的交通秩序。</w:t>
            </w:r>
          </w:p>
        </w:tc>
        <w:tc>
          <w:tcPr>
            <w:tcW w:w="731" w:type="pct"/>
            <w:shd w:val="clear" w:color="auto" w:fill="auto"/>
            <w:vAlign w:val="center"/>
          </w:tcPr>
          <w:p w:rsidR="00644456" w:rsidRDefault="008031C4">
            <w:pPr>
              <w:jc w:val="center"/>
              <w:rPr>
                <w:rFonts w:cs="Times New Roman"/>
                <w:color w:val="000000" w:themeColor="text1"/>
                <w:kern w:val="0"/>
              </w:rPr>
            </w:pPr>
            <w:r>
              <w:rPr>
                <w:rFonts w:cs="Times New Roman" w:hint="eastAsia"/>
                <w:color w:val="000000" w:themeColor="text1"/>
                <w:kern w:val="0"/>
              </w:rPr>
              <w:lastRenderedPageBreak/>
              <w:t>本项目按照要求进行隔声、吸声和消声等措施，根据预测厂界噪声达标</w:t>
            </w:r>
          </w:p>
        </w:tc>
        <w:tc>
          <w:tcPr>
            <w:tcW w:w="453" w:type="pct"/>
            <w:shd w:val="clear" w:color="auto" w:fill="auto"/>
            <w:vAlign w:val="center"/>
          </w:tcPr>
          <w:p w:rsidR="00644456" w:rsidRDefault="00644456">
            <w:pPr>
              <w:pStyle w:val="TableParagraph"/>
              <w:jc w:val="center"/>
              <w:rPr>
                <w:rFonts w:cs="Times New Roman"/>
                <w:color w:val="000000" w:themeColor="text1"/>
                <w:szCs w:val="18"/>
              </w:rPr>
            </w:pPr>
          </w:p>
        </w:tc>
      </w:tr>
      <w:tr w:rsidR="00644456">
        <w:trPr>
          <w:jc w:val="center"/>
        </w:trPr>
        <w:tc>
          <w:tcPr>
            <w:tcW w:w="406" w:type="pct"/>
            <w:vMerge/>
            <w:shd w:val="clear" w:color="auto" w:fill="auto"/>
            <w:vAlign w:val="center"/>
          </w:tcPr>
          <w:p w:rsidR="00644456" w:rsidRDefault="00644456">
            <w:pPr>
              <w:pStyle w:val="TableParagraph"/>
              <w:jc w:val="center"/>
              <w:rPr>
                <w:rFonts w:cs="Times New Roman"/>
                <w:color w:val="000000" w:themeColor="text1"/>
                <w:szCs w:val="18"/>
              </w:rPr>
            </w:pPr>
          </w:p>
        </w:tc>
        <w:tc>
          <w:tcPr>
            <w:tcW w:w="3410" w:type="pct"/>
            <w:shd w:val="clear" w:color="auto" w:fill="auto"/>
            <w:vAlign w:val="center"/>
          </w:tcPr>
          <w:p w:rsidR="00644456" w:rsidRDefault="008031C4">
            <w:pPr>
              <w:pStyle w:val="TableParagraph"/>
              <w:rPr>
                <w:rFonts w:cs="Times New Roman"/>
                <w:color w:val="000000" w:themeColor="text1"/>
                <w:szCs w:val="18"/>
              </w:rPr>
            </w:pPr>
            <w:r>
              <w:rPr>
                <w:rFonts w:cs="Times New Roman" w:hint="eastAsia"/>
                <w:color w:val="000000" w:themeColor="text1"/>
                <w:kern w:val="0"/>
              </w:rPr>
              <w:t>（</w:t>
            </w:r>
            <w:r>
              <w:rPr>
                <w:rFonts w:cs="Times New Roman"/>
                <w:color w:val="000000" w:themeColor="text1"/>
                <w:kern w:val="0"/>
              </w:rPr>
              <w:t>1</w:t>
            </w:r>
            <w:r>
              <w:rPr>
                <w:rFonts w:cs="Times New Roman" w:hint="eastAsia"/>
                <w:color w:val="000000" w:themeColor="text1"/>
                <w:kern w:val="0"/>
              </w:rPr>
              <w:t>）</w:t>
            </w:r>
            <w:r>
              <w:rPr>
                <w:rFonts w:cs="Times New Roman" w:hint="eastAsia"/>
                <w:color w:val="000000" w:themeColor="text1"/>
                <w:szCs w:val="18"/>
              </w:rPr>
              <w:t>生活垃圾</w:t>
            </w:r>
          </w:p>
          <w:p w:rsidR="00644456" w:rsidRDefault="008031C4">
            <w:pPr>
              <w:pStyle w:val="TableParagraph"/>
              <w:rPr>
                <w:rFonts w:cs="Times New Roman"/>
                <w:color w:val="000000" w:themeColor="text1"/>
                <w:szCs w:val="18"/>
              </w:rPr>
            </w:pPr>
            <w:r>
              <w:rPr>
                <w:rFonts w:cs="Times New Roman" w:hint="eastAsia"/>
                <w:color w:val="000000" w:themeColor="text1"/>
                <w:szCs w:val="18"/>
              </w:rPr>
              <w:t>本规划中提出园区生活垃圾通过园区垃圾箱和垃圾转运站收集后送往生态钢城内生活垃圾处理站，剩余部分送至疏勒县生活垃圾卫生填埋场进行填埋处理。</w:t>
            </w:r>
          </w:p>
          <w:p w:rsidR="00644456" w:rsidRDefault="008031C4">
            <w:pPr>
              <w:pStyle w:val="TableParagraph"/>
              <w:rPr>
                <w:rFonts w:cs="Times New Roman"/>
                <w:color w:val="000000" w:themeColor="text1"/>
                <w:szCs w:val="18"/>
              </w:rPr>
            </w:pPr>
            <w:r>
              <w:rPr>
                <w:rFonts w:cs="Times New Roman" w:hint="eastAsia"/>
                <w:color w:val="000000" w:themeColor="text1"/>
                <w:kern w:val="0"/>
              </w:rPr>
              <w:t>（</w:t>
            </w:r>
            <w:r>
              <w:rPr>
                <w:rFonts w:cs="Times New Roman"/>
                <w:color w:val="000000" w:themeColor="text1"/>
                <w:kern w:val="0"/>
              </w:rPr>
              <w:t>2</w:t>
            </w:r>
            <w:r>
              <w:rPr>
                <w:rFonts w:cs="Times New Roman" w:hint="eastAsia"/>
                <w:color w:val="000000" w:themeColor="text1"/>
                <w:kern w:val="0"/>
              </w:rPr>
              <w:t>）</w:t>
            </w:r>
            <w:r>
              <w:rPr>
                <w:rFonts w:cs="Times New Roman" w:hint="eastAsia"/>
                <w:color w:val="000000" w:themeColor="text1"/>
                <w:szCs w:val="18"/>
              </w:rPr>
              <w:t>一般固体废物</w:t>
            </w:r>
          </w:p>
          <w:p w:rsidR="00644456" w:rsidRDefault="008031C4">
            <w:pPr>
              <w:pStyle w:val="TableParagraph"/>
              <w:rPr>
                <w:rFonts w:cs="Times New Roman"/>
                <w:color w:val="000000" w:themeColor="text1"/>
                <w:szCs w:val="18"/>
              </w:rPr>
            </w:pPr>
            <w:r>
              <w:rPr>
                <w:rFonts w:cs="Times New Roman" w:hint="eastAsia"/>
                <w:color w:val="000000" w:themeColor="text1"/>
                <w:szCs w:val="18"/>
              </w:rPr>
              <w:t>工业垃圾由企业按处理标准自行处理，园区一般工业固体废物可进行资源化利用，无毒无害工业垃圾危害性不大，本次评价建议上述固体废物优先考虑综合利用，不能综合利用的工业固体废物进入疏勒高新技术产业开发区固废填埋场。</w:t>
            </w:r>
          </w:p>
          <w:p w:rsidR="00644456" w:rsidRDefault="008031C4">
            <w:pPr>
              <w:pStyle w:val="TableParagraph"/>
              <w:rPr>
                <w:rFonts w:cs="Times New Roman"/>
                <w:color w:val="000000" w:themeColor="text1"/>
                <w:szCs w:val="18"/>
              </w:rPr>
            </w:pPr>
            <w:r>
              <w:rPr>
                <w:rFonts w:cs="Times New Roman" w:hint="eastAsia"/>
                <w:color w:val="000000" w:themeColor="text1"/>
                <w:kern w:val="0"/>
              </w:rPr>
              <w:t>（</w:t>
            </w:r>
            <w:r>
              <w:rPr>
                <w:rFonts w:cs="Times New Roman"/>
                <w:color w:val="000000" w:themeColor="text1"/>
                <w:kern w:val="0"/>
              </w:rPr>
              <w:t>3</w:t>
            </w:r>
            <w:r>
              <w:rPr>
                <w:rFonts w:cs="Times New Roman" w:hint="eastAsia"/>
                <w:color w:val="000000" w:themeColor="text1"/>
                <w:kern w:val="0"/>
              </w:rPr>
              <w:t>）</w:t>
            </w:r>
            <w:r>
              <w:rPr>
                <w:rFonts w:cs="Times New Roman" w:hint="eastAsia"/>
                <w:color w:val="000000" w:themeColor="text1"/>
                <w:szCs w:val="18"/>
              </w:rPr>
              <w:t>危险废物</w:t>
            </w:r>
          </w:p>
          <w:p w:rsidR="00644456" w:rsidRDefault="008031C4">
            <w:pPr>
              <w:pStyle w:val="TableParagraph"/>
              <w:rPr>
                <w:rFonts w:cs="Times New Roman"/>
                <w:color w:val="000000" w:themeColor="text1"/>
                <w:szCs w:val="18"/>
              </w:rPr>
            </w:pPr>
            <w:r>
              <w:rPr>
                <w:rFonts w:cs="Times New Roman" w:hint="eastAsia"/>
                <w:color w:val="000000" w:themeColor="text1"/>
                <w:szCs w:val="18"/>
              </w:rPr>
              <w:t>对于工业园区内各生产企业如有危险废物产生的，各企业应严格按《危险废物贮存污染控制标准》（</w:t>
            </w:r>
            <w:r>
              <w:rPr>
                <w:rFonts w:cs="Times New Roman" w:hint="eastAsia"/>
                <w:color w:val="000000" w:themeColor="text1"/>
                <w:szCs w:val="18"/>
              </w:rPr>
              <w:t>GB18597-2023</w:t>
            </w:r>
            <w:r>
              <w:rPr>
                <w:rFonts w:cs="Times New Roman" w:hint="eastAsia"/>
                <w:color w:val="000000" w:themeColor="text1"/>
                <w:szCs w:val="18"/>
              </w:rPr>
              <w:t>）执行，贮存设施应设置警示标志，做好地面防渗工程，避免雨淋对地下水影响，满足危险废物临时贮存要求。收集后运往有资质的危险废物处置场所，使危险固体废物得到综合利用或妥善处置。</w:t>
            </w:r>
          </w:p>
        </w:tc>
        <w:tc>
          <w:tcPr>
            <w:tcW w:w="731"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本项目对产生的固体废物采取的处置措施安全有效，不会对周围环境产生二次污染。</w:t>
            </w:r>
          </w:p>
        </w:tc>
        <w:tc>
          <w:tcPr>
            <w:tcW w:w="453"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color w:val="000000" w:themeColor="text1"/>
                <w:szCs w:val="18"/>
              </w:rPr>
              <w:t>符合</w:t>
            </w:r>
          </w:p>
        </w:tc>
      </w:tr>
    </w:tbl>
    <w:p w:rsidR="00644456" w:rsidRDefault="008031C4">
      <w:pPr>
        <w:spacing w:line="360" w:lineRule="auto"/>
        <w:ind w:firstLine="480"/>
        <w:rPr>
          <w:rFonts w:cs="Times New Roman"/>
          <w:b/>
          <w:bCs/>
          <w:color w:val="000000" w:themeColor="text1"/>
          <w:sz w:val="24"/>
          <w:szCs w:val="24"/>
        </w:rPr>
      </w:pPr>
      <w:r>
        <w:rPr>
          <w:rFonts w:cs="Times New Roman" w:hint="eastAsia"/>
          <w:b/>
          <w:bCs/>
          <w:color w:val="000000" w:themeColor="text1"/>
          <w:sz w:val="24"/>
          <w:szCs w:val="24"/>
        </w:rPr>
        <w:t>根据上述分析：本项目符合《疏勒高新技术产业开发区（化工产业集聚区）总体规划（</w:t>
      </w:r>
      <w:r>
        <w:rPr>
          <w:rFonts w:cs="Times New Roman" w:hint="eastAsia"/>
          <w:b/>
          <w:bCs/>
          <w:color w:val="000000" w:themeColor="text1"/>
          <w:sz w:val="24"/>
          <w:szCs w:val="24"/>
        </w:rPr>
        <w:t>2022</w:t>
      </w:r>
      <w:r>
        <w:rPr>
          <w:rFonts w:cs="Times New Roman" w:hint="eastAsia"/>
          <w:b/>
          <w:bCs/>
          <w:color w:val="000000" w:themeColor="text1"/>
          <w:sz w:val="24"/>
          <w:szCs w:val="24"/>
        </w:rPr>
        <w:t>年</w:t>
      </w:r>
      <w:r>
        <w:rPr>
          <w:rFonts w:cs="Times New Roman" w:hint="eastAsia"/>
          <w:b/>
          <w:bCs/>
          <w:color w:val="000000" w:themeColor="text1"/>
          <w:sz w:val="24"/>
          <w:szCs w:val="24"/>
        </w:rPr>
        <w:t>-2035</w:t>
      </w:r>
      <w:r>
        <w:rPr>
          <w:rFonts w:cs="Times New Roman" w:hint="eastAsia"/>
          <w:b/>
          <w:bCs/>
          <w:color w:val="000000" w:themeColor="text1"/>
          <w:sz w:val="24"/>
          <w:szCs w:val="24"/>
        </w:rPr>
        <w:t>年）环境影响报告书》及审查意见规划相关控制要求。</w:t>
      </w:r>
    </w:p>
    <w:p w:rsidR="00644456" w:rsidRDefault="008031C4">
      <w:pPr>
        <w:spacing w:line="360" w:lineRule="auto"/>
        <w:ind w:firstLine="480"/>
        <w:rPr>
          <w:rFonts w:cs="Times New Roman"/>
          <w:b/>
          <w:bCs/>
          <w:color w:val="000000" w:themeColor="text1"/>
          <w:sz w:val="24"/>
          <w:szCs w:val="24"/>
        </w:rPr>
      </w:pPr>
      <w:r>
        <w:rPr>
          <w:rFonts w:cs="Times New Roman"/>
          <w:b/>
          <w:bCs/>
          <w:color w:val="000000" w:themeColor="text1"/>
          <w:sz w:val="24"/>
          <w:szCs w:val="24"/>
        </w:rPr>
        <w:t>（</w:t>
      </w:r>
      <w:r>
        <w:rPr>
          <w:rFonts w:cs="Times New Roman"/>
          <w:b/>
          <w:bCs/>
          <w:color w:val="000000" w:themeColor="text1"/>
          <w:sz w:val="24"/>
          <w:szCs w:val="24"/>
        </w:rPr>
        <w:t>2</w:t>
      </w:r>
      <w:r>
        <w:rPr>
          <w:rFonts w:cs="Times New Roman"/>
          <w:b/>
          <w:bCs/>
          <w:color w:val="000000" w:themeColor="text1"/>
          <w:sz w:val="24"/>
          <w:szCs w:val="24"/>
        </w:rPr>
        <w:t>）</w:t>
      </w:r>
      <w:r>
        <w:rPr>
          <w:rFonts w:cs="Times New Roman" w:hint="eastAsia"/>
          <w:b/>
          <w:bCs/>
          <w:color w:val="000000" w:themeColor="text1"/>
          <w:sz w:val="24"/>
          <w:szCs w:val="24"/>
        </w:rPr>
        <w:t>规划环评环境准入的符合性</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fldChar w:fldCharType="begin"/>
      </w:r>
      <w:r>
        <w:rPr>
          <w:rFonts w:ascii="Times New Roman" w:eastAsia="宋体" w:hAnsi="Times New Roman" w:cs="Times New Roman" w:hint="eastAsia"/>
          <w:b/>
          <w:color w:val="000000" w:themeColor="text1"/>
          <w:sz w:val="24"/>
        </w:rPr>
        <w:instrText xml:space="preserve"> STYLEREF 1 \s </w:instrText>
      </w:r>
      <w:r>
        <w:rPr>
          <w:rFonts w:ascii="Times New Roman" w:eastAsia="宋体" w:hAnsi="Times New Roman" w:cs="Times New Roman" w:hint="eastAsia"/>
          <w:b/>
          <w:color w:val="000000" w:themeColor="text1"/>
          <w:sz w:val="24"/>
        </w:rPr>
        <w:fldChar w:fldCharType="separate"/>
      </w:r>
      <w:r>
        <w:rPr>
          <w:rFonts w:ascii="Times New Roman" w:eastAsia="宋体" w:hAnsi="Times New Roman" w:cs="Times New Roman" w:hint="eastAsia"/>
          <w:b/>
          <w:color w:val="000000" w:themeColor="text1"/>
          <w:sz w:val="24"/>
        </w:rPr>
        <w:t>1</w:t>
      </w:r>
      <w:r>
        <w:rPr>
          <w:rFonts w:ascii="Times New Roman" w:eastAsia="宋体" w:hAnsi="Times New Roman" w:cs="Times New Roman" w:hint="eastAsia"/>
          <w:b/>
          <w:color w:val="000000" w:themeColor="text1"/>
          <w:sz w:val="24"/>
        </w:rPr>
        <w:fldChar w:fldCharType="end"/>
      </w:r>
      <w:r>
        <w:rPr>
          <w:rFonts w:ascii="Times New Roman" w:eastAsia="宋体" w:hAnsi="Times New Roman" w:cs="Times New Roman" w:hint="eastAsia"/>
          <w:b/>
          <w:color w:val="000000" w:themeColor="text1"/>
          <w:sz w:val="24"/>
        </w:rPr>
        <w:t>.4</w:t>
      </w:r>
      <w:r>
        <w:rPr>
          <w:rFonts w:ascii="Times New Roman" w:eastAsia="宋体" w:hAnsi="Times New Roman" w:cs="Times New Roman" w:hint="eastAsia"/>
          <w:b/>
          <w:color w:val="000000" w:themeColor="text1"/>
          <w:sz w:val="24"/>
        </w:rPr>
        <w:noBreakHyphen/>
        <w:t>9</w:t>
      </w:r>
      <w:r>
        <w:rPr>
          <w:rFonts w:ascii="Times New Roman" w:eastAsia="宋体" w:hAnsi="Times New Roman" w:cs="Times New Roman" w:hint="eastAsia"/>
          <w:b/>
          <w:color w:val="000000" w:themeColor="text1"/>
          <w:sz w:val="24"/>
        </w:rPr>
        <w:t>项目与规划环评环境准入的符合性比较一览表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0"/>
        <w:gridCol w:w="6095"/>
        <w:gridCol w:w="1096"/>
        <w:gridCol w:w="829"/>
      </w:tblGrid>
      <w:tr w:rsidR="00644456">
        <w:trPr>
          <w:jc w:val="center"/>
        </w:trPr>
        <w:tc>
          <w:tcPr>
            <w:tcW w:w="406"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序号</w:t>
            </w:r>
          </w:p>
        </w:tc>
        <w:tc>
          <w:tcPr>
            <w:tcW w:w="3491"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原则要求</w:t>
            </w:r>
          </w:p>
        </w:tc>
        <w:tc>
          <w:tcPr>
            <w:tcW w:w="628"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color w:val="000000" w:themeColor="text1"/>
                <w:szCs w:val="18"/>
              </w:rPr>
              <w:t>本项目</w:t>
            </w:r>
          </w:p>
        </w:tc>
        <w:tc>
          <w:tcPr>
            <w:tcW w:w="475"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color w:val="000000" w:themeColor="text1"/>
                <w:szCs w:val="18"/>
              </w:rPr>
              <w:t>符合性分析</w:t>
            </w:r>
          </w:p>
        </w:tc>
      </w:tr>
      <w:tr w:rsidR="00644456">
        <w:trPr>
          <w:jc w:val="center"/>
        </w:trPr>
        <w:tc>
          <w:tcPr>
            <w:tcW w:w="406"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1</w:t>
            </w:r>
          </w:p>
        </w:tc>
        <w:tc>
          <w:tcPr>
            <w:tcW w:w="3491" w:type="pct"/>
            <w:shd w:val="clear" w:color="auto" w:fill="auto"/>
            <w:vAlign w:val="center"/>
          </w:tcPr>
          <w:p w:rsidR="00644456" w:rsidRDefault="008031C4">
            <w:pPr>
              <w:pStyle w:val="TableParagraph"/>
              <w:jc w:val="left"/>
              <w:rPr>
                <w:rFonts w:cs="Times New Roman"/>
                <w:color w:val="000000" w:themeColor="text1"/>
                <w:szCs w:val="18"/>
              </w:rPr>
            </w:pPr>
            <w:r>
              <w:rPr>
                <w:rFonts w:cs="Times New Roman" w:hint="eastAsia"/>
                <w:color w:val="000000" w:themeColor="text1"/>
                <w:szCs w:val="18"/>
              </w:rPr>
              <w:t>坚决遏制“两高”行业盲目发展，优化园区产业结构、规划布局和实施时序，坚持绿色发展。结合区域实际及上位规划，依据所在产业区块功能及环保要求，合理确定园区产业结构和布局；进一步论证发展化工材料，农药、医药、精细化工的条件及规模。通过调整能源消费结构、加强资源循环利用，统筹协调推进经济和社会发展各领域，深入开展应对气候变化工作，切实增强控制温室气体排放能力。促进经济绿色低碳可持续发展、引导化工产业向绿色低碳方向转型，推动减污降碳协同管控。同时综合考虑园区企业现状情况及环境管理要求，加强环境影响评价事中事后监管，进一步督促园区企业认真执行环境影响评价制度、排污许可制度和环保验收“三同时”制度，及时发现、查处“未</w:t>
            </w:r>
          </w:p>
          <w:p w:rsidR="00644456" w:rsidRDefault="008031C4">
            <w:pPr>
              <w:pStyle w:val="TableParagraph"/>
              <w:jc w:val="left"/>
              <w:rPr>
                <w:rFonts w:cs="Times New Roman"/>
                <w:color w:val="000000" w:themeColor="text1"/>
                <w:szCs w:val="18"/>
              </w:rPr>
            </w:pPr>
            <w:r>
              <w:rPr>
                <w:rFonts w:cs="Times New Roman" w:hint="eastAsia"/>
                <w:color w:val="000000" w:themeColor="text1"/>
                <w:szCs w:val="18"/>
              </w:rPr>
              <w:t>批先建”“未验先投”等环境违法违规行为。针对山东物流园、南疆齐鲁工业园内不符合《新疆维吾尔自治区重点行业环境准入条件</w:t>
            </w:r>
            <w:r>
              <w:rPr>
                <w:rFonts w:cs="Times New Roman" w:hint="eastAsia"/>
                <w:color w:val="000000" w:themeColor="text1"/>
                <w:szCs w:val="18"/>
              </w:rPr>
              <w:lastRenderedPageBreak/>
              <w:t>（修订）》选址要求的化工企业提出逐步搬迁进本化工区的解决化调整园区的产业规模和布局，严格入园产业和项目的环境准入。严格按照规划产业布局入驻企业，结合区域发展定位、开发布局、生态环境保护目标，实行入园企业环保准入审核制度，不符合产业政策、行业准入条件、生态环境准入清单及自治区明令禁止的项目一律不得入驻园区。严格落实引进项目的生产工艺、设备、污染治理技术，以及单位产品能耗、物耗、污染物排放和资源利用率均需达到同行业国内先进水平要求，积极推进产业技术进步和园区循环化建设。园区水资源利用不得突破批准的水资源利用上线指标，土地资源利用不得突破国土空间规划确定的城镇开发边界。</w:t>
            </w:r>
          </w:p>
        </w:tc>
        <w:tc>
          <w:tcPr>
            <w:tcW w:w="628"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lastRenderedPageBreak/>
              <w:t>本项目不属于高耗能高排放低水平项目，本项目位于化工产业聚集区，符合园区规划的产业定位。</w:t>
            </w:r>
          </w:p>
        </w:tc>
        <w:tc>
          <w:tcPr>
            <w:tcW w:w="475"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符合</w:t>
            </w:r>
          </w:p>
        </w:tc>
      </w:tr>
      <w:tr w:rsidR="00644456">
        <w:trPr>
          <w:jc w:val="center"/>
        </w:trPr>
        <w:tc>
          <w:tcPr>
            <w:tcW w:w="406"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2</w:t>
            </w:r>
          </w:p>
        </w:tc>
        <w:tc>
          <w:tcPr>
            <w:tcW w:w="3491" w:type="pct"/>
            <w:shd w:val="clear" w:color="auto" w:fill="auto"/>
            <w:vAlign w:val="center"/>
          </w:tcPr>
          <w:p w:rsidR="00644456" w:rsidRDefault="008031C4">
            <w:pPr>
              <w:pStyle w:val="TableParagraph"/>
              <w:jc w:val="left"/>
              <w:rPr>
                <w:rFonts w:cs="Times New Roman"/>
                <w:color w:val="000000" w:themeColor="text1"/>
                <w:szCs w:val="18"/>
              </w:rPr>
            </w:pPr>
            <w:r>
              <w:rPr>
                <w:rFonts w:cs="Times New Roman" w:hint="eastAsia"/>
                <w:color w:val="000000" w:themeColor="text1"/>
                <w:szCs w:val="18"/>
              </w:rPr>
              <w:t>禁止引入《市场准入负面清单（</w:t>
            </w:r>
            <w:r>
              <w:rPr>
                <w:rFonts w:cs="Times New Roman" w:hint="eastAsia"/>
                <w:color w:val="000000" w:themeColor="text1"/>
                <w:szCs w:val="18"/>
              </w:rPr>
              <w:t>2019</w:t>
            </w:r>
            <w:r>
              <w:rPr>
                <w:rFonts w:cs="Times New Roman" w:hint="eastAsia"/>
                <w:color w:val="000000" w:themeColor="text1"/>
                <w:szCs w:val="18"/>
              </w:rPr>
              <w:t>年版）》禁止准入类事项；除国家规划项目外，凡属于新增产能“三高”项目均不允许在全疆新（改、扩）建。</w:t>
            </w:r>
          </w:p>
        </w:tc>
        <w:tc>
          <w:tcPr>
            <w:tcW w:w="628"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本项目不涉及</w:t>
            </w:r>
          </w:p>
        </w:tc>
        <w:tc>
          <w:tcPr>
            <w:tcW w:w="475"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符合</w:t>
            </w:r>
          </w:p>
        </w:tc>
      </w:tr>
      <w:tr w:rsidR="00644456">
        <w:trPr>
          <w:jc w:val="center"/>
        </w:trPr>
        <w:tc>
          <w:tcPr>
            <w:tcW w:w="406"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3</w:t>
            </w:r>
          </w:p>
        </w:tc>
        <w:tc>
          <w:tcPr>
            <w:tcW w:w="3491" w:type="pct"/>
            <w:shd w:val="clear" w:color="auto" w:fill="auto"/>
            <w:vAlign w:val="center"/>
          </w:tcPr>
          <w:p w:rsidR="00644456" w:rsidRDefault="008031C4">
            <w:pPr>
              <w:pStyle w:val="TableParagraph"/>
              <w:jc w:val="left"/>
              <w:rPr>
                <w:rFonts w:cs="Times New Roman"/>
                <w:color w:val="000000" w:themeColor="text1"/>
                <w:szCs w:val="18"/>
              </w:rPr>
            </w:pPr>
            <w:r>
              <w:rPr>
                <w:rFonts w:cs="Times New Roman" w:hint="eastAsia"/>
                <w:color w:val="000000" w:themeColor="text1"/>
                <w:szCs w:val="18"/>
              </w:rPr>
              <w:t>主导产业：精细化工</w:t>
            </w:r>
          </w:p>
          <w:p w:rsidR="00644456" w:rsidRDefault="008031C4">
            <w:pPr>
              <w:pStyle w:val="TableParagraph"/>
              <w:jc w:val="left"/>
              <w:rPr>
                <w:rFonts w:cs="Times New Roman"/>
                <w:color w:val="000000" w:themeColor="text1"/>
                <w:szCs w:val="18"/>
              </w:rPr>
            </w:pPr>
            <w:r>
              <w:rPr>
                <w:rFonts w:cs="Times New Roman" w:hint="eastAsia"/>
                <w:color w:val="000000" w:themeColor="text1"/>
                <w:szCs w:val="18"/>
              </w:rPr>
              <w:t>1.1.2</w:t>
            </w:r>
            <w:r>
              <w:rPr>
                <w:rFonts w:cs="Times New Roman" w:hint="eastAsia"/>
                <w:color w:val="000000" w:themeColor="text1"/>
                <w:szCs w:val="18"/>
              </w:rPr>
              <w:t>禁止</w:t>
            </w:r>
            <w:r>
              <w:rPr>
                <w:rFonts w:cs="Times New Roman" w:hint="eastAsia"/>
                <w:color w:val="000000" w:themeColor="text1"/>
                <w:szCs w:val="18"/>
              </w:rPr>
              <w:t>200</w:t>
            </w:r>
            <w:r>
              <w:rPr>
                <w:rFonts w:cs="Times New Roman" w:hint="eastAsia"/>
                <w:color w:val="000000" w:themeColor="text1"/>
                <w:szCs w:val="18"/>
              </w:rPr>
              <w:t>万吨</w:t>
            </w:r>
            <w:r>
              <w:rPr>
                <w:rFonts w:cs="Times New Roman" w:hint="eastAsia"/>
                <w:color w:val="000000" w:themeColor="text1"/>
                <w:szCs w:val="18"/>
              </w:rPr>
              <w:t>/</w:t>
            </w:r>
            <w:r>
              <w:rPr>
                <w:rFonts w:cs="Times New Roman" w:hint="eastAsia"/>
                <w:color w:val="000000" w:themeColor="text1"/>
                <w:szCs w:val="18"/>
              </w:rPr>
              <w:t>年及以下常减压装置（青海格尔木、新疆泽普装置除外），采用明火高温加热方式生产油品的釜式蒸馏装置，废旧橡胶和塑料土法炼油工艺，焦油间歇法生产沥青，</w:t>
            </w:r>
            <w:r>
              <w:rPr>
                <w:rFonts w:cs="Times New Roman" w:hint="eastAsia"/>
                <w:color w:val="000000" w:themeColor="text1"/>
                <w:szCs w:val="18"/>
              </w:rPr>
              <w:t>2.5</w:t>
            </w:r>
            <w:r>
              <w:rPr>
                <w:rFonts w:cs="Times New Roman" w:hint="eastAsia"/>
                <w:color w:val="000000" w:themeColor="text1"/>
                <w:szCs w:val="18"/>
              </w:rPr>
              <w:t>万吨</w:t>
            </w:r>
            <w:r>
              <w:rPr>
                <w:rFonts w:cs="Times New Roman" w:hint="eastAsia"/>
                <w:color w:val="000000" w:themeColor="text1"/>
                <w:szCs w:val="18"/>
              </w:rPr>
              <w:t>/</w:t>
            </w:r>
            <w:r>
              <w:rPr>
                <w:rFonts w:cs="Times New Roman" w:hint="eastAsia"/>
                <w:color w:val="000000" w:themeColor="text1"/>
                <w:szCs w:val="18"/>
              </w:rPr>
              <w:t>年及以下的单套粗（轻）苯精制装置，</w:t>
            </w:r>
            <w:r>
              <w:rPr>
                <w:rFonts w:cs="Times New Roman" w:hint="eastAsia"/>
                <w:color w:val="000000" w:themeColor="text1"/>
                <w:szCs w:val="18"/>
              </w:rPr>
              <w:t>5</w:t>
            </w:r>
            <w:r>
              <w:rPr>
                <w:rFonts w:cs="Times New Roman" w:hint="eastAsia"/>
                <w:color w:val="000000" w:themeColor="text1"/>
                <w:szCs w:val="18"/>
              </w:rPr>
              <w:t>万吨</w:t>
            </w:r>
            <w:r>
              <w:rPr>
                <w:rFonts w:cs="Times New Roman" w:hint="eastAsia"/>
                <w:color w:val="000000" w:themeColor="text1"/>
                <w:szCs w:val="18"/>
              </w:rPr>
              <w:t>/</w:t>
            </w:r>
            <w:r>
              <w:rPr>
                <w:rFonts w:cs="Times New Roman" w:hint="eastAsia"/>
                <w:color w:val="000000" w:themeColor="text1"/>
                <w:szCs w:val="18"/>
              </w:rPr>
              <w:t>年及以下的单套煤焦油加工装置；</w:t>
            </w:r>
            <w:r>
              <w:rPr>
                <w:rFonts w:cs="Times New Roman" w:hint="eastAsia"/>
                <w:color w:val="000000" w:themeColor="text1"/>
                <w:szCs w:val="18"/>
              </w:rPr>
              <w:t>10</w:t>
            </w:r>
            <w:r>
              <w:rPr>
                <w:rFonts w:cs="Times New Roman" w:hint="eastAsia"/>
                <w:color w:val="000000" w:themeColor="text1"/>
                <w:szCs w:val="18"/>
              </w:rPr>
              <w:t>万吨</w:t>
            </w:r>
            <w:r>
              <w:rPr>
                <w:rFonts w:cs="Times New Roman" w:hint="eastAsia"/>
                <w:color w:val="000000" w:themeColor="text1"/>
                <w:szCs w:val="18"/>
              </w:rPr>
              <w:t>/</w:t>
            </w:r>
            <w:r>
              <w:rPr>
                <w:rFonts w:cs="Times New Roman" w:hint="eastAsia"/>
                <w:color w:val="000000" w:themeColor="text1"/>
                <w:szCs w:val="18"/>
              </w:rPr>
              <w:t>年以下的硫铁矿制酸和硫磺制酸（边远地区除外），平炉氧化法高锰酸钾，隔膜法烧碱生产装置（作为废盐综合利用的可以保留），平炉法和大锅蒸发法硫化碱生产工艺，芒硝法硅酸钠（泡花碱）生产工艺，间歇焦炭法二硫化碳工艺；单台产能</w:t>
            </w:r>
            <w:r>
              <w:rPr>
                <w:rFonts w:cs="Times New Roman" w:hint="eastAsia"/>
                <w:color w:val="000000" w:themeColor="text1"/>
                <w:szCs w:val="18"/>
              </w:rPr>
              <w:t>5000</w:t>
            </w:r>
            <w:r>
              <w:rPr>
                <w:rFonts w:cs="Times New Roman" w:hint="eastAsia"/>
                <w:color w:val="000000" w:themeColor="text1"/>
                <w:szCs w:val="18"/>
              </w:rPr>
              <w:t>吨</w:t>
            </w:r>
            <w:r>
              <w:rPr>
                <w:rFonts w:cs="Times New Roman" w:hint="eastAsia"/>
                <w:color w:val="000000" w:themeColor="text1"/>
                <w:szCs w:val="18"/>
              </w:rPr>
              <w:t>/</w:t>
            </w:r>
            <w:r>
              <w:rPr>
                <w:rFonts w:cs="Times New Roman" w:hint="eastAsia"/>
                <w:color w:val="000000" w:themeColor="text1"/>
                <w:szCs w:val="18"/>
              </w:rPr>
              <w:t>年以下和不符合准入条件的黄磷生产装置，有钙焙烧铬化合物生产装置，单线产能</w:t>
            </w:r>
            <w:r>
              <w:rPr>
                <w:rFonts w:cs="Times New Roman" w:hint="eastAsia"/>
                <w:color w:val="000000" w:themeColor="text1"/>
                <w:szCs w:val="18"/>
              </w:rPr>
              <w:t>3000</w:t>
            </w:r>
            <w:r>
              <w:rPr>
                <w:rFonts w:cs="Times New Roman" w:hint="eastAsia"/>
                <w:color w:val="000000" w:themeColor="text1"/>
                <w:szCs w:val="18"/>
              </w:rPr>
              <w:t>吨</w:t>
            </w:r>
            <w:r>
              <w:rPr>
                <w:rFonts w:cs="Times New Roman" w:hint="eastAsia"/>
                <w:color w:val="000000" w:themeColor="text1"/>
                <w:szCs w:val="18"/>
              </w:rPr>
              <w:t>/</w:t>
            </w:r>
            <w:r>
              <w:rPr>
                <w:rFonts w:cs="Times New Roman" w:hint="eastAsia"/>
                <w:color w:val="000000" w:themeColor="text1"/>
                <w:szCs w:val="18"/>
              </w:rPr>
              <w:t>年以下普通级硫酸钡、氢氧化钡、氯化钡、硝酸钡生产装置，产能</w:t>
            </w:r>
            <w:r>
              <w:rPr>
                <w:rFonts w:cs="Times New Roman" w:hint="eastAsia"/>
                <w:color w:val="000000" w:themeColor="text1"/>
                <w:szCs w:val="18"/>
              </w:rPr>
              <w:t>1</w:t>
            </w:r>
            <w:r>
              <w:rPr>
                <w:rFonts w:cs="Times New Roman" w:hint="eastAsia"/>
                <w:color w:val="000000" w:themeColor="text1"/>
                <w:szCs w:val="18"/>
              </w:rPr>
              <w:t>万吨</w:t>
            </w:r>
            <w:r>
              <w:rPr>
                <w:rFonts w:cs="Times New Roman" w:hint="eastAsia"/>
                <w:color w:val="000000" w:themeColor="text1"/>
                <w:szCs w:val="18"/>
              </w:rPr>
              <w:t>/</w:t>
            </w:r>
            <w:r>
              <w:rPr>
                <w:rFonts w:cs="Times New Roman" w:hint="eastAsia"/>
                <w:color w:val="000000" w:themeColor="text1"/>
                <w:szCs w:val="18"/>
              </w:rPr>
              <w:t>年以下氯酸钠生产装置，单台炉容量小于</w:t>
            </w:r>
            <w:r>
              <w:rPr>
                <w:rFonts w:cs="Times New Roman" w:hint="eastAsia"/>
                <w:color w:val="000000" w:themeColor="text1"/>
                <w:szCs w:val="18"/>
              </w:rPr>
              <w:t>12500</w:t>
            </w:r>
            <w:r>
              <w:rPr>
                <w:rFonts w:cs="Times New Roman" w:hint="eastAsia"/>
                <w:color w:val="000000" w:themeColor="text1"/>
                <w:szCs w:val="18"/>
              </w:rPr>
              <w:t>千伏安的电石炉及开放式电石炉，高汞催化剂（氯化汞含量</w:t>
            </w:r>
            <w:r>
              <w:rPr>
                <w:rFonts w:cs="Times New Roman" w:hint="eastAsia"/>
                <w:color w:val="000000" w:themeColor="text1"/>
                <w:szCs w:val="18"/>
              </w:rPr>
              <w:t>6.5%</w:t>
            </w:r>
            <w:r>
              <w:rPr>
                <w:rFonts w:cs="Times New Roman" w:hint="eastAsia"/>
                <w:color w:val="000000" w:themeColor="text1"/>
                <w:szCs w:val="18"/>
              </w:rPr>
              <w:t>以上）和使用高汞催化剂的乙炔法聚氯乙烯生产装置，使用汞或汞化合物的甲醇钠、甲醇钾、乙醇钠、乙醇钾、聚氨酯、乙醛、烧碱、生物杀虫剂和局部抗菌剂生产装置，氨钠法及氰熔体氰化钠生产工艺；单线产能</w:t>
            </w:r>
            <w:r>
              <w:rPr>
                <w:rFonts w:cs="Times New Roman" w:hint="eastAsia"/>
                <w:color w:val="000000" w:themeColor="text1"/>
                <w:szCs w:val="18"/>
              </w:rPr>
              <w:t>1</w:t>
            </w:r>
            <w:r>
              <w:rPr>
                <w:rFonts w:cs="Times New Roman" w:hint="eastAsia"/>
                <w:color w:val="000000" w:themeColor="text1"/>
                <w:szCs w:val="18"/>
              </w:rPr>
              <w:t>万吨</w:t>
            </w:r>
            <w:r>
              <w:rPr>
                <w:rFonts w:cs="Times New Roman" w:hint="eastAsia"/>
                <w:color w:val="000000" w:themeColor="text1"/>
                <w:szCs w:val="18"/>
              </w:rPr>
              <w:t>/</w:t>
            </w:r>
            <w:r>
              <w:rPr>
                <w:rFonts w:cs="Times New Roman" w:hint="eastAsia"/>
                <w:color w:val="000000" w:themeColor="text1"/>
                <w:szCs w:val="18"/>
              </w:rPr>
              <w:t>年以下三聚磷酸钠、</w:t>
            </w:r>
            <w:r>
              <w:rPr>
                <w:rFonts w:cs="Times New Roman" w:hint="eastAsia"/>
                <w:color w:val="000000" w:themeColor="text1"/>
                <w:szCs w:val="18"/>
              </w:rPr>
              <w:t>0.5</w:t>
            </w:r>
            <w:r>
              <w:rPr>
                <w:rFonts w:cs="Times New Roman" w:hint="eastAsia"/>
                <w:color w:val="000000" w:themeColor="text1"/>
                <w:szCs w:val="18"/>
              </w:rPr>
              <w:t>万吨</w:t>
            </w:r>
            <w:r>
              <w:rPr>
                <w:rFonts w:cs="Times New Roman" w:hint="eastAsia"/>
                <w:color w:val="000000" w:themeColor="text1"/>
                <w:szCs w:val="18"/>
              </w:rPr>
              <w:t>/</w:t>
            </w:r>
            <w:r>
              <w:rPr>
                <w:rFonts w:cs="Times New Roman" w:hint="eastAsia"/>
                <w:color w:val="000000" w:themeColor="text1"/>
                <w:szCs w:val="18"/>
              </w:rPr>
              <w:t>年以下六偏磷酸钠、</w:t>
            </w:r>
            <w:r>
              <w:rPr>
                <w:rFonts w:cs="Times New Roman" w:hint="eastAsia"/>
                <w:color w:val="000000" w:themeColor="text1"/>
                <w:szCs w:val="18"/>
              </w:rPr>
              <w:t>0.5</w:t>
            </w:r>
            <w:r>
              <w:rPr>
                <w:rFonts w:cs="Times New Roman" w:hint="eastAsia"/>
                <w:color w:val="000000" w:themeColor="text1"/>
                <w:szCs w:val="18"/>
              </w:rPr>
              <w:t>万吨</w:t>
            </w:r>
            <w:r>
              <w:rPr>
                <w:rFonts w:cs="Times New Roman" w:hint="eastAsia"/>
                <w:color w:val="000000" w:themeColor="text1"/>
                <w:szCs w:val="18"/>
              </w:rPr>
              <w:t>/</w:t>
            </w:r>
            <w:r>
              <w:rPr>
                <w:rFonts w:cs="Times New Roman" w:hint="eastAsia"/>
                <w:color w:val="000000" w:themeColor="text1"/>
                <w:szCs w:val="18"/>
              </w:rPr>
              <w:t>年以下三氯化磷、</w:t>
            </w:r>
            <w:r>
              <w:rPr>
                <w:rFonts w:cs="Times New Roman" w:hint="eastAsia"/>
                <w:color w:val="000000" w:themeColor="text1"/>
                <w:szCs w:val="18"/>
              </w:rPr>
              <w:t>3</w:t>
            </w:r>
            <w:r>
              <w:rPr>
                <w:rFonts w:cs="Times New Roman" w:hint="eastAsia"/>
                <w:color w:val="000000" w:themeColor="text1"/>
                <w:szCs w:val="18"/>
              </w:rPr>
              <w:t>万吨</w:t>
            </w:r>
            <w:r>
              <w:rPr>
                <w:rFonts w:cs="Times New Roman" w:hint="eastAsia"/>
                <w:color w:val="000000" w:themeColor="text1"/>
                <w:szCs w:val="18"/>
              </w:rPr>
              <w:t>/</w:t>
            </w:r>
            <w:r>
              <w:rPr>
                <w:rFonts w:cs="Times New Roman" w:hint="eastAsia"/>
                <w:color w:val="000000" w:themeColor="text1"/>
                <w:szCs w:val="18"/>
              </w:rPr>
              <w:t>年以下饲料磷酸氢钙、</w:t>
            </w:r>
            <w:r>
              <w:rPr>
                <w:rFonts w:cs="Times New Roman" w:hint="eastAsia"/>
                <w:color w:val="000000" w:themeColor="text1"/>
                <w:szCs w:val="18"/>
              </w:rPr>
              <w:t>5000</w:t>
            </w:r>
            <w:r>
              <w:rPr>
                <w:rFonts w:cs="Times New Roman" w:hint="eastAsia"/>
                <w:color w:val="000000" w:themeColor="text1"/>
                <w:szCs w:val="18"/>
              </w:rPr>
              <w:t>吨</w:t>
            </w:r>
            <w:r>
              <w:rPr>
                <w:rFonts w:cs="Times New Roman" w:hint="eastAsia"/>
                <w:color w:val="000000" w:themeColor="text1"/>
                <w:szCs w:val="18"/>
              </w:rPr>
              <w:t>/</w:t>
            </w:r>
            <w:r>
              <w:rPr>
                <w:rFonts w:cs="Times New Roman" w:hint="eastAsia"/>
                <w:color w:val="000000" w:themeColor="text1"/>
                <w:szCs w:val="18"/>
              </w:rPr>
              <w:t>年以下工艺技术落后和污染严重的氢氟酸、</w:t>
            </w:r>
            <w:r>
              <w:rPr>
                <w:rFonts w:cs="Times New Roman" w:hint="eastAsia"/>
                <w:color w:val="000000" w:themeColor="text1"/>
                <w:szCs w:val="18"/>
              </w:rPr>
              <w:t>5000</w:t>
            </w:r>
            <w:r>
              <w:rPr>
                <w:rFonts w:cs="Times New Roman" w:hint="eastAsia"/>
                <w:color w:val="000000" w:themeColor="text1"/>
                <w:szCs w:val="18"/>
              </w:rPr>
              <w:t>吨</w:t>
            </w:r>
            <w:r>
              <w:rPr>
                <w:rFonts w:cs="Times New Roman" w:hint="eastAsia"/>
                <w:color w:val="000000" w:themeColor="text1"/>
                <w:szCs w:val="18"/>
              </w:rPr>
              <w:t>/</w:t>
            </w:r>
            <w:r>
              <w:rPr>
                <w:rFonts w:cs="Times New Roman" w:hint="eastAsia"/>
                <w:color w:val="000000" w:themeColor="text1"/>
                <w:szCs w:val="18"/>
              </w:rPr>
              <w:t>年以下湿法氟化铝及敞开式结晶氟盐生产装置；单线产能</w:t>
            </w:r>
            <w:r>
              <w:rPr>
                <w:rFonts w:cs="Times New Roman" w:hint="eastAsia"/>
                <w:color w:val="000000" w:themeColor="text1"/>
                <w:szCs w:val="18"/>
              </w:rPr>
              <w:t>0.3</w:t>
            </w:r>
            <w:r>
              <w:rPr>
                <w:rFonts w:cs="Times New Roman" w:hint="eastAsia"/>
                <w:color w:val="000000" w:themeColor="text1"/>
                <w:szCs w:val="18"/>
              </w:rPr>
              <w:t>万吨</w:t>
            </w:r>
            <w:r>
              <w:rPr>
                <w:rFonts w:cs="Times New Roman" w:hint="eastAsia"/>
                <w:color w:val="000000" w:themeColor="text1"/>
                <w:szCs w:val="18"/>
              </w:rPr>
              <w:t>/</w:t>
            </w:r>
            <w:r>
              <w:rPr>
                <w:rFonts w:cs="Times New Roman" w:hint="eastAsia"/>
                <w:color w:val="000000" w:themeColor="text1"/>
                <w:szCs w:val="18"/>
              </w:rPr>
              <w:t>年以下氰化钠（</w:t>
            </w:r>
            <w:r>
              <w:rPr>
                <w:rFonts w:cs="Times New Roman" w:hint="eastAsia"/>
                <w:color w:val="000000" w:themeColor="text1"/>
                <w:szCs w:val="18"/>
              </w:rPr>
              <w:t>100%</w:t>
            </w:r>
            <w:r>
              <w:rPr>
                <w:rFonts w:cs="Times New Roman" w:hint="eastAsia"/>
                <w:color w:val="000000" w:themeColor="text1"/>
                <w:szCs w:val="18"/>
              </w:rPr>
              <w:t>氰化钠）、</w:t>
            </w:r>
            <w:r>
              <w:rPr>
                <w:rFonts w:cs="Times New Roman" w:hint="eastAsia"/>
                <w:color w:val="000000" w:themeColor="text1"/>
                <w:szCs w:val="18"/>
              </w:rPr>
              <w:t>1</w:t>
            </w:r>
            <w:r>
              <w:rPr>
                <w:rFonts w:cs="Times New Roman" w:hint="eastAsia"/>
                <w:color w:val="000000" w:themeColor="text1"/>
                <w:szCs w:val="18"/>
              </w:rPr>
              <w:t>万吨</w:t>
            </w:r>
            <w:r>
              <w:rPr>
                <w:rFonts w:cs="Times New Roman" w:hint="eastAsia"/>
                <w:color w:val="000000" w:themeColor="text1"/>
                <w:szCs w:val="18"/>
              </w:rPr>
              <w:t>/</w:t>
            </w:r>
            <w:r>
              <w:rPr>
                <w:rFonts w:cs="Times New Roman" w:hint="eastAsia"/>
                <w:color w:val="000000" w:themeColor="text1"/>
                <w:szCs w:val="18"/>
              </w:rPr>
              <w:t>年以下氢氧化钾、</w:t>
            </w:r>
            <w:r>
              <w:rPr>
                <w:rFonts w:cs="Times New Roman" w:hint="eastAsia"/>
                <w:color w:val="000000" w:themeColor="text1"/>
                <w:szCs w:val="18"/>
              </w:rPr>
              <w:t>1.5</w:t>
            </w:r>
            <w:r>
              <w:rPr>
                <w:rFonts w:cs="Times New Roman" w:hint="eastAsia"/>
                <w:color w:val="000000" w:themeColor="text1"/>
                <w:szCs w:val="18"/>
              </w:rPr>
              <w:t>万吨</w:t>
            </w:r>
            <w:r>
              <w:rPr>
                <w:rFonts w:cs="Times New Roman" w:hint="eastAsia"/>
                <w:color w:val="000000" w:themeColor="text1"/>
                <w:szCs w:val="18"/>
              </w:rPr>
              <w:t>/</w:t>
            </w:r>
            <w:r>
              <w:rPr>
                <w:rFonts w:cs="Times New Roman" w:hint="eastAsia"/>
                <w:color w:val="000000" w:themeColor="text1"/>
                <w:szCs w:val="18"/>
              </w:rPr>
              <w:t>年以下普通级白炭黑、</w:t>
            </w:r>
            <w:r>
              <w:rPr>
                <w:rFonts w:cs="Times New Roman" w:hint="eastAsia"/>
                <w:color w:val="000000" w:themeColor="text1"/>
                <w:szCs w:val="18"/>
              </w:rPr>
              <w:t>2</w:t>
            </w:r>
            <w:r>
              <w:rPr>
                <w:rFonts w:cs="Times New Roman" w:hint="eastAsia"/>
                <w:color w:val="000000" w:themeColor="text1"/>
                <w:szCs w:val="18"/>
              </w:rPr>
              <w:t>万吨</w:t>
            </w:r>
            <w:r>
              <w:rPr>
                <w:rFonts w:cs="Times New Roman" w:hint="eastAsia"/>
                <w:color w:val="000000" w:themeColor="text1"/>
                <w:szCs w:val="18"/>
              </w:rPr>
              <w:t>/</w:t>
            </w:r>
            <w:r>
              <w:rPr>
                <w:rFonts w:cs="Times New Roman" w:hint="eastAsia"/>
                <w:color w:val="000000" w:themeColor="text1"/>
                <w:szCs w:val="18"/>
              </w:rPr>
              <w:t>年以下普通级碳酸钙、</w:t>
            </w:r>
            <w:r>
              <w:rPr>
                <w:rFonts w:cs="Times New Roman" w:hint="eastAsia"/>
                <w:color w:val="000000" w:themeColor="text1"/>
                <w:szCs w:val="18"/>
              </w:rPr>
              <w:t>10</w:t>
            </w:r>
            <w:r>
              <w:rPr>
                <w:rFonts w:cs="Times New Roman" w:hint="eastAsia"/>
                <w:color w:val="000000" w:themeColor="text1"/>
                <w:szCs w:val="18"/>
              </w:rPr>
              <w:t>万吨</w:t>
            </w:r>
            <w:r>
              <w:rPr>
                <w:rFonts w:cs="Times New Roman" w:hint="eastAsia"/>
                <w:color w:val="000000" w:themeColor="text1"/>
                <w:szCs w:val="18"/>
              </w:rPr>
              <w:t>/</w:t>
            </w:r>
            <w:r>
              <w:rPr>
                <w:rFonts w:cs="Times New Roman" w:hint="eastAsia"/>
                <w:color w:val="000000" w:themeColor="text1"/>
                <w:szCs w:val="18"/>
              </w:rPr>
              <w:t>年以下普通级无水硫酸钠（盐业联产及副产除外）、</w:t>
            </w:r>
            <w:r>
              <w:rPr>
                <w:rFonts w:cs="Times New Roman" w:hint="eastAsia"/>
                <w:color w:val="000000" w:themeColor="text1"/>
                <w:szCs w:val="18"/>
              </w:rPr>
              <w:t>0.3</w:t>
            </w:r>
            <w:r>
              <w:rPr>
                <w:rFonts w:cs="Times New Roman" w:hint="eastAsia"/>
                <w:color w:val="000000" w:themeColor="text1"/>
                <w:szCs w:val="18"/>
              </w:rPr>
              <w:t>万吨</w:t>
            </w:r>
            <w:r>
              <w:rPr>
                <w:rFonts w:cs="Times New Roman" w:hint="eastAsia"/>
                <w:color w:val="000000" w:themeColor="text1"/>
                <w:szCs w:val="18"/>
              </w:rPr>
              <w:t>/</w:t>
            </w:r>
            <w:r>
              <w:rPr>
                <w:rFonts w:cs="Times New Roman" w:hint="eastAsia"/>
                <w:color w:val="000000" w:themeColor="text1"/>
                <w:szCs w:val="18"/>
              </w:rPr>
              <w:t>年以下碳酸锂和氢氧化锂、</w:t>
            </w:r>
            <w:r>
              <w:rPr>
                <w:rFonts w:cs="Times New Roman" w:hint="eastAsia"/>
                <w:color w:val="000000" w:themeColor="text1"/>
                <w:szCs w:val="18"/>
              </w:rPr>
              <w:t>2</w:t>
            </w:r>
            <w:r>
              <w:rPr>
                <w:rFonts w:cs="Times New Roman" w:hint="eastAsia"/>
                <w:color w:val="000000" w:themeColor="text1"/>
                <w:szCs w:val="18"/>
              </w:rPr>
              <w:t>万吨</w:t>
            </w:r>
            <w:r>
              <w:rPr>
                <w:rFonts w:cs="Times New Roman" w:hint="eastAsia"/>
                <w:color w:val="000000" w:themeColor="text1"/>
                <w:szCs w:val="18"/>
              </w:rPr>
              <w:t>/</w:t>
            </w:r>
            <w:r>
              <w:rPr>
                <w:rFonts w:cs="Times New Roman" w:hint="eastAsia"/>
                <w:color w:val="000000" w:themeColor="text1"/>
                <w:szCs w:val="18"/>
              </w:rPr>
              <w:t>年以下普通级碳酸钡、</w:t>
            </w:r>
            <w:r>
              <w:rPr>
                <w:rFonts w:cs="Times New Roman" w:hint="eastAsia"/>
                <w:color w:val="000000" w:themeColor="text1"/>
                <w:szCs w:val="18"/>
              </w:rPr>
              <w:t>1.5</w:t>
            </w:r>
            <w:r>
              <w:rPr>
                <w:rFonts w:cs="Times New Roman" w:hint="eastAsia"/>
                <w:color w:val="000000" w:themeColor="text1"/>
                <w:szCs w:val="18"/>
              </w:rPr>
              <w:t>万吨</w:t>
            </w:r>
            <w:r>
              <w:rPr>
                <w:rFonts w:cs="Times New Roman" w:hint="eastAsia"/>
                <w:color w:val="000000" w:themeColor="text1"/>
                <w:szCs w:val="18"/>
              </w:rPr>
              <w:t>/</w:t>
            </w:r>
            <w:r>
              <w:rPr>
                <w:rFonts w:cs="Times New Roman" w:hint="eastAsia"/>
                <w:color w:val="000000" w:themeColor="text1"/>
                <w:szCs w:val="18"/>
              </w:rPr>
              <w:t>年以下普通级碳酸锶生产装置；半水煤气氨水液相脱硫、天然气常压间歇转化工艺制合成氨、一氧化碳常压变化及全中温变换（高温变换）工艺、没有配套硫磺回收装置的湿法脱硫工艺，没有配套建设吹风气余热回收、造气炉渣综合利用装置的固定层间歇式煤气化装置，没有配套工艺冷凝液水解解析装置的尿素生产设施；钠法百草枯生产工艺，敌百虫碱法敌敌畏生产工艺，小包装（</w:t>
            </w:r>
            <w:r>
              <w:rPr>
                <w:rFonts w:cs="Times New Roman" w:hint="eastAsia"/>
                <w:color w:val="000000" w:themeColor="text1"/>
                <w:szCs w:val="18"/>
              </w:rPr>
              <w:t>1</w:t>
            </w:r>
            <w:r>
              <w:rPr>
                <w:rFonts w:cs="Times New Roman" w:hint="eastAsia"/>
                <w:color w:val="000000" w:themeColor="text1"/>
                <w:szCs w:val="18"/>
              </w:rPr>
              <w:t>公斤及以下）农药产品手工包（灌）装工艺及设备，雷蒙机法生产农药粉剂，以六氯苯为原料生产五氯酚（钠）装置；用火直接加热的涂料用树脂、四氯化碳溶剂法制取氯化橡胶生产工艺，</w:t>
            </w:r>
            <w:r>
              <w:rPr>
                <w:rFonts w:cs="Times New Roman" w:hint="eastAsia"/>
                <w:color w:val="000000" w:themeColor="text1"/>
                <w:szCs w:val="18"/>
              </w:rPr>
              <w:t>100</w:t>
            </w:r>
            <w:r>
              <w:rPr>
                <w:rFonts w:cs="Times New Roman" w:hint="eastAsia"/>
                <w:color w:val="000000" w:themeColor="text1"/>
                <w:szCs w:val="18"/>
              </w:rPr>
              <w:t>吨</w:t>
            </w:r>
            <w:r>
              <w:rPr>
                <w:rFonts w:cs="Times New Roman" w:hint="eastAsia"/>
                <w:color w:val="000000" w:themeColor="text1"/>
                <w:szCs w:val="18"/>
              </w:rPr>
              <w:t>/</w:t>
            </w:r>
            <w:r>
              <w:rPr>
                <w:rFonts w:cs="Times New Roman" w:hint="eastAsia"/>
                <w:color w:val="000000" w:themeColor="text1"/>
                <w:szCs w:val="18"/>
              </w:rPr>
              <w:t>年以下皂素（含水解物）生产装置，盐酸酸解法皂素生产工艺及污染物排放不能达标的皂素生产装置，铁粉还原法工艺（</w:t>
            </w:r>
            <w:r>
              <w:rPr>
                <w:rFonts w:cs="Times New Roman" w:hint="eastAsia"/>
                <w:color w:val="000000" w:themeColor="text1"/>
                <w:szCs w:val="18"/>
              </w:rPr>
              <w:t>4,4-</w:t>
            </w:r>
            <w:r>
              <w:rPr>
                <w:rFonts w:cs="Times New Roman" w:hint="eastAsia"/>
                <w:color w:val="000000" w:themeColor="text1"/>
                <w:szCs w:val="18"/>
              </w:rPr>
              <w:t>二氨基二苯乙烯</w:t>
            </w:r>
            <w:r>
              <w:rPr>
                <w:rFonts w:cs="Times New Roman" w:hint="eastAsia"/>
                <w:color w:val="000000" w:themeColor="text1"/>
                <w:szCs w:val="18"/>
              </w:rPr>
              <w:t>-</w:t>
            </w:r>
            <w:r>
              <w:rPr>
                <w:rFonts w:cs="Times New Roman" w:hint="eastAsia"/>
                <w:color w:val="000000" w:themeColor="text1"/>
                <w:szCs w:val="18"/>
              </w:rPr>
              <w:t>二磺酸</w:t>
            </w:r>
            <w:r>
              <w:rPr>
                <w:rFonts w:cs="Times New Roman" w:hint="eastAsia"/>
                <w:color w:val="000000" w:themeColor="text1"/>
                <w:szCs w:val="18"/>
              </w:rPr>
              <w:t>[DSD</w:t>
            </w:r>
            <w:r>
              <w:rPr>
                <w:rFonts w:cs="Times New Roman" w:hint="eastAsia"/>
                <w:color w:val="000000" w:themeColor="text1"/>
                <w:szCs w:val="18"/>
              </w:rPr>
              <w:t>酸</w:t>
            </w:r>
            <w:r>
              <w:rPr>
                <w:rFonts w:cs="Times New Roman" w:hint="eastAsia"/>
                <w:color w:val="000000" w:themeColor="text1"/>
                <w:szCs w:val="18"/>
              </w:rPr>
              <w:t>]</w:t>
            </w:r>
            <w:r>
              <w:rPr>
                <w:rFonts w:cs="Times New Roman" w:hint="eastAsia"/>
                <w:color w:val="000000" w:themeColor="text1"/>
                <w:szCs w:val="18"/>
              </w:rPr>
              <w:t>、</w:t>
            </w:r>
            <w:r>
              <w:rPr>
                <w:rFonts w:cs="Times New Roman" w:hint="eastAsia"/>
                <w:color w:val="000000" w:themeColor="text1"/>
                <w:szCs w:val="18"/>
              </w:rPr>
              <w:t>2-</w:t>
            </w:r>
            <w:r>
              <w:rPr>
                <w:rFonts w:cs="Times New Roman" w:hint="eastAsia"/>
                <w:color w:val="000000" w:themeColor="text1"/>
                <w:szCs w:val="18"/>
              </w:rPr>
              <w:t>氨基</w:t>
            </w:r>
            <w:r>
              <w:rPr>
                <w:rFonts w:cs="Times New Roman" w:hint="eastAsia"/>
                <w:color w:val="000000" w:themeColor="text1"/>
                <w:szCs w:val="18"/>
              </w:rPr>
              <w:t>-4-</w:t>
            </w:r>
            <w:r>
              <w:rPr>
                <w:rFonts w:cs="Times New Roman" w:hint="eastAsia"/>
                <w:color w:val="000000" w:themeColor="text1"/>
                <w:szCs w:val="18"/>
              </w:rPr>
              <w:t>甲基</w:t>
            </w:r>
            <w:r>
              <w:rPr>
                <w:rFonts w:cs="Times New Roman" w:hint="eastAsia"/>
                <w:color w:val="000000" w:themeColor="text1"/>
                <w:szCs w:val="18"/>
              </w:rPr>
              <w:t>-5-</w:t>
            </w:r>
            <w:r>
              <w:rPr>
                <w:rFonts w:cs="Times New Roman" w:hint="eastAsia"/>
                <w:color w:val="000000" w:themeColor="text1"/>
                <w:szCs w:val="18"/>
              </w:rPr>
              <w:t>氯苯磺酸</w:t>
            </w:r>
            <w:r>
              <w:rPr>
                <w:rFonts w:cs="Times New Roman" w:hint="eastAsia"/>
                <w:color w:val="000000" w:themeColor="text1"/>
                <w:szCs w:val="18"/>
              </w:rPr>
              <w:t>[CLT</w:t>
            </w:r>
            <w:r>
              <w:rPr>
                <w:rFonts w:cs="Times New Roman" w:hint="eastAsia"/>
                <w:color w:val="000000" w:themeColor="text1"/>
                <w:szCs w:val="18"/>
              </w:rPr>
              <w:t>酸</w:t>
            </w:r>
            <w:r>
              <w:rPr>
                <w:rFonts w:cs="Times New Roman" w:hint="eastAsia"/>
                <w:color w:val="000000" w:themeColor="text1"/>
                <w:szCs w:val="18"/>
              </w:rPr>
              <w:t>]</w:t>
            </w:r>
            <w:r>
              <w:rPr>
                <w:rFonts w:cs="Times New Roman" w:hint="eastAsia"/>
                <w:color w:val="000000" w:themeColor="text1"/>
                <w:szCs w:val="18"/>
              </w:rPr>
              <w:t>、</w:t>
            </w:r>
            <w:r>
              <w:rPr>
                <w:rFonts w:cs="Times New Roman" w:hint="eastAsia"/>
                <w:color w:val="000000" w:themeColor="text1"/>
                <w:szCs w:val="18"/>
              </w:rPr>
              <w:t>1-</w:t>
            </w:r>
            <w:r>
              <w:rPr>
                <w:rFonts w:cs="Times New Roman" w:hint="eastAsia"/>
                <w:color w:val="000000" w:themeColor="text1"/>
                <w:szCs w:val="18"/>
              </w:rPr>
              <w:t>氨基</w:t>
            </w:r>
            <w:r>
              <w:rPr>
                <w:rFonts w:cs="Times New Roman" w:hint="eastAsia"/>
                <w:color w:val="000000" w:themeColor="text1"/>
                <w:szCs w:val="18"/>
              </w:rPr>
              <w:t>-8-</w:t>
            </w:r>
            <w:r>
              <w:rPr>
                <w:rFonts w:cs="Times New Roman" w:hint="eastAsia"/>
                <w:color w:val="000000" w:themeColor="text1"/>
                <w:szCs w:val="18"/>
              </w:rPr>
              <w:t>萘酚</w:t>
            </w:r>
            <w:r>
              <w:rPr>
                <w:rFonts w:cs="Times New Roman" w:hint="eastAsia"/>
                <w:color w:val="000000" w:themeColor="text1"/>
                <w:szCs w:val="18"/>
              </w:rPr>
              <w:t>-3,6-</w:t>
            </w:r>
            <w:r>
              <w:rPr>
                <w:rFonts w:cs="Times New Roman" w:hint="eastAsia"/>
                <w:color w:val="000000" w:themeColor="text1"/>
                <w:szCs w:val="18"/>
              </w:rPr>
              <w:t>二磺酸</w:t>
            </w:r>
            <w:r>
              <w:rPr>
                <w:rFonts w:cs="Times New Roman" w:hint="eastAsia"/>
                <w:color w:val="000000" w:themeColor="text1"/>
                <w:szCs w:val="18"/>
              </w:rPr>
              <w:t>[H</w:t>
            </w:r>
            <w:r>
              <w:rPr>
                <w:rFonts w:cs="Times New Roman" w:hint="eastAsia"/>
                <w:color w:val="000000" w:themeColor="text1"/>
                <w:szCs w:val="18"/>
              </w:rPr>
              <w:t>酸</w:t>
            </w:r>
            <w:r>
              <w:rPr>
                <w:rFonts w:cs="Times New Roman" w:hint="eastAsia"/>
                <w:color w:val="000000" w:themeColor="text1"/>
                <w:szCs w:val="18"/>
              </w:rPr>
              <w:t>]</w:t>
            </w:r>
            <w:r>
              <w:rPr>
                <w:rFonts w:cs="Times New Roman" w:hint="eastAsia"/>
                <w:color w:val="000000" w:themeColor="text1"/>
                <w:szCs w:val="18"/>
              </w:rPr>
              <w:t>三种产品暂缓执行）；</w:t>
            </w:r>
            <w:r>
              <w:rPr>
                <w:rFonts w:cs="Times New Roman" w:hint="eastAsia"/>
                <w:color w:val="000000" w:themeColor="text1"/>
                <w:szCs w:val="18"/>
              </w:rPr>
              <w:t>50</w:t>
            </w:r>
            <w:r>
              <w:rPr>
                <w:rFonts w:cs="Times New Roman" w:hint="eastAsia"/>
                <w:color w:val="000000" w:themeColor="text1"/>
                <w:szCs w:val="18"/>
              </w:rPr>
              <w:t>万条</w:t>
            </w:r>
            <w:r>
              <w:rPr>
                <w:rFonts w:cs="Times New Roman" w:hint="eastAsia"/>
                <w:color w:val="000000" w:themeColor="text1"/>
                <w:szCs w:val="18"/>
              </w:rPr>
              <w:t>/</w:t>
            </w:r>
            <w:r>
              <w:rPr>
                <w:rFonts w:cs="Times New Roman" w:hint="eastAsia"/>
                <w:color w:val="000000" w:themeColor="text1"/>
                <w:szCs w:val="18"/>
              </w:rPr>
              <w:t>年及以下的斜交轮胎和以天然棉帘子布为骨架的轮胎、</w:t>
            </w:r>
            <w:r>
              <w:rPr>
                <w:rFonts w:cs="Times New Roman" w:hint="eastAsia"/>
                <w:color w:val="000000" w:themeColor="text1"/>
                <w:szCs w:val="18"/>
              </w:rPr>
              <w:t>1.5</w:t>
            </w:r>
            <w:r>
              <w:rPr>
                <w:rFonts w:cs="Times New Roman" w:hint="eastAsia"/>
                <w:color w:val="000000" w:themeColor="text1"/>
                <w:szCs w:val="18"/>
              </w:rPr>
              <w:t>万吨</w:t>
            </w:r>
            <w:r>
              <w:rPr>
                <w:rFonts w:cs="Times New Roman" w:hint="eastAsia"/>
                <w:color w:val="000000" w:themeColor="text1"/>
                <w:szCs w:val="18"/>
              </w:rPr>
              <w:t>/</w:t>
            </w:r>
            <w:r>
              <w:rPr>
                <w:rFonts w:cs="Times New Roman" w:hint="eastAsia"/>
                <w:color w:val="000000" w:themeColor="text1"/>
                <w:szCs w:val="18"/>
              </w:rPr>
              <w:t>年及以下的干法造粒炭黑</w:t>
            </w:r>
            <w:r>
              <w:rPr>
                <w:rFonts w:cs="Times New Roman" w:hint="eastAsia"/>
                <w:color w:val="000000" w:themeColor="text1"/>
                <w:szCs w:val="18"/>
              </w:rPr>
              <w:lastRenderedPageBreak/>
              <w:t>（特种炭黑和半补强炭黑除外）、</w:t>
            </w:r>
            <w:r>
              <w:rPr>
                <w:rFonts w:cs="Times New Roman" w:hint="eastAsia"/>
                <w:color w:val="000000" w:themeColor="text1"/>
                <w:szCs w:val="18"/>
              </w:rPr>
              <w:t>3</w:t>
            </w:r>
            <w:r>
              <w:rPr>
                <w:rFonts w:cs="Times New Roman" w:hint="eastAsia"/>
                <w:color w:val="000000" w:themeColor="text1"/>
                <w:szCs w:val="18"/>
              </w:rPr>
              <w:t>亿只</w:t>
            </w:r>
            <w:r>
              <w:rPr>
                <w:rFonts w:cs="Times New Roman" w:hint="eastAsia"/>
                <w:color w:val="000000" w:themeColor="text1"/>
                <w:szCs w:val="18"/>
              </w:rPr>
              <w:t>/</w:t>
            </w:r>
            <w:r>
              <w:rPr>
                <w:rFonts w:cs="Times New Roman" w:hint="eastAsia"/>
                <w:color w:val="000000" w:themeColor="text1"/>
                <w:szCs w:val="18"/>
              </w:rPr>
              <w:t>年以下的天然胶乳安全套，橡胶硫化促进剂</w:t>
            </w:r>
            <w:r>
              <w:rPr>
                <w:rFonts w:cs="Times New Roman" w:hint="eastAsia"/>
                <w:color w:val="000000" w:themeColor="text1"/>
                <w:szCs w:val="18"/>
              </w:rPr>
              <w:t>N-</w:t>
            </w:r>
            <w:r>
              <w:rPr>
                <w:rFonts w:cs="Times New Roman" w:hint="eastAsia"/>
                <w:color w:val="000000" w:themeColor="text1"/>
                <w:szCs w:val="18"/>
              </w:rPr>
              <w:t>氧联二（</w:t>
            </w:r>
            <w:r>
              <w:rPr>
                <w:rFonts w:cs="Times New Roman" w:hint="eastAsia"/>
                <w:color w:val="000000" w:themeColor="text1"/>
                <w:szCs w:val="18"/>
              </w:rPr>
              <w:t>1,2-</w:t>
            </w:r>
            <w:r>
              <w:rPr>
                <w:rFonts w:cs="Times New Roman" w:hint="eastAsia"/>
                <w:color w:val="000000" w:themeColor="text1"/>
                <w:szCs w:val="18"/>
              </w:rPr>
              <w:t>亚乙基）</w:t>
            </w:r>
            <w:r>
              <w:rPr>
                <w:rFonts w:cs="Times New Roman" w:hint="eastAsia"/>
                <w:color w:val="000000" w:themeColor="text1"/>
                <w:szCs w:val="18"/>
              </w:rPr>
              <w:t>-2-</w:t>
            </w:r>
            <w:r>
              <w:rPr>
                <w:rFonts w:cs="Times New Roman" w:hint="eastAsia"/>
                <w:color w:val="000000" w:themeColor="text1"/>
                <w:szCs w:val="18"/>
              </w:rPr>
              <w:t>苯并噻唑次磺酰胺（</w:t>
            </w:r>
            <w:r>
              <w:rPr>
                <w:rFonts w:cs="Times New Roman" w:hint="eastAsia"/>
                <w:color w:val="000000" w:themeColor="text1"/>
                <w:szCs w:val="18"/>
              </w:rPr>
              <w:t>NOBS</w:t>
            </w:r>
            <w:r>
              <w:rPr>
                <w:rFonts w:cs="Times New Roman" w:hint="eastAsia"/>
                <w:color w:val="000000" w:themeColor="text1"/>
                <w:szCs w:val="18"/>
              </w:rPr>
              <w:t>）和橡胶防老剂</w:t>
            </w:r>
            <w:r>
              <w:rPr>
                <w:rFonts w:cs="Times New Roman" w:hint="eastAsia"/>
                <w:color w:val="000000" w:themeColor="text1"/>
                <w:szCs w:val="18"/>
              </w:rPr>
              <w:t>D</w:t>
            </w:r>
            <w:r>
              <w:rPr>
                <w:rFonts w:cs="Times New Roman" w:hint="eastAsia"/>
                <w:color w:val="000000" w:themeColor="text1"/>
                <w:szCs w:val="18"/>
              </w:rPr>
              <w:t>生产装置；氯氟烃（</w:t>
            </w:r>
            <w:r>
              <w:rPr>
                <w:rFonts w:cs="Times New Roman" w:hint="eastAsia"/>
                <w:color w:val="000000" w:themeColor="text1"/>
                <w:szCs w:val="18"/>
              </w:rPr>
              <w:t>CFCs</w:t>
            </w:r>
            <w:r>
              <w:rPr>
                <w:rFonts w:cs="Times New Roman" w:hint="eastAsia"/>
                <w:color w:val="000000" w:themeColor="text1"/>
                <w:szCs w:val="18"/>
              </w:rPr>
              <w:t>）、含氢氯氟烃（</w:t>
            </w:r>
            <w:r>
              <w:rPr>
                <w:rFonts w:cs="Times New Roman" w:hint="eastAsia"/>
                <w:color w:val="000000" w:themeColor="text1"/>
                <w:szCs w:val="18"/>
              </w:rPr>
              <w:t>HCFCs</w:t>
            </w:r>
            <w:r>
              <w:rPr>
                <w:rFonts w:cs="Times New Roman" w:hint="eastAsia"/>
                <w:color w:val="000000" w:themeColor="text1"/>
                <w:szCs w:val="18"/>
              </w:rPr>
              <w:t>，作为自身下游化工产品的原料且不对外销售的除外），用于清洗的</w:t>
            </w:r>
            <w:r>
              <w:rPr>
                <w:rFonts w:cs="Times New Roman" w:hint="eastAsia"/>
                <w:color w:val="000000" w:themeColor="text1"/>
                <w:szCs w:val="18"/>
              </w:rPr>
              <w:t>1,1,1-</w:t>
            </w:r>
            <w:r>
              <w:rPr>
                <w:rFonts w:cs="Times New Roman" w:hint="eastAsia"/>
                <w:color w:val="000000" w:themeColor="text1"/>
                <w:szCs w:val="18"/>
              </w:rPr>
              <w:t>三氯乙烷（甲基氯仿），主产四氯化碳（</w:t>
            </w:r>
            <w:r>
              <w:rPr>
                <w:rFonts w:cs="Times New Roman" w:hint="eastAsia"/>
                <w:color w:val="000000" w:themeColor="text1"/>
                <w:szCs w:val="18"/>
              </w:rPr>
              <w:t>CTC</w:t>
            </w:r>
            <w:r>
              <w:rPr>
                <w:rFonts w:cs="Times New Roman" w:hint="eastAsia"/>
                <w:color w:val="000000" w:themeColor="text1"/>
                <w:szCs w:val="18"/>
              </w:rPr>
              <w:t>）、以四氯化碳（</w:t>
            </w:r>
            <w:r>
              <w:rPr>
                <w:rFonts w:cs="Times New Roman" w:hint="eastAsia"/>
                <w:color w:val="000000" w:themeColor="text1"/>
                <w:szCs w:val="18"/>
              </w:rPr>
              <w:t>CTC</w:t>
            </w:r>
            <w:r>
              <w:rPr>
                <w:rFonts w:cs="Times New Roman" w:hint="eastAsia"/>
                <w:color w:val="000000" w:themeColor="text1"/>
                <w:szCs w:val="18"/>
              </w:rPr>
              <w:t>）为加工助剂的所有产品，以</w:t>
            </w:r>
            <w:r>
              <w:rPr>
                <w:rFonts w:cs="Times New Roman" w:hint="eastAsia"/>
                <w:color w:val="000000" w:themeColor="text1"/>
                <w:szCs w:val="18"/>
              </w:rPr>
              <w:t>PFOA</w:t>
            </w:r>
            <w:r>
              <w:rPr>
                <w:rFonts w:cs="Times New Roman" w:hint="eastAsia"/>
                <w:color w:val="000000" w:themeColor="text1"/>
                <w:szCs w:val="18"/>
              </w:rPr>
              <w:t>为加工助剂的含氟聚合物生产工艺，含滴滴涕的涂料、采用滴滴涕为原料非封闭生产三氯杀螨醇生产装置（根据国家履行国际公约总体计划要求进行淘汰）；</w:t>
            </w:r>
          </w:p>
        </w:tc>
        <w:tc>
          <w:tcPr>
            <w:tcW w:w="628"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lastRenderedPageBreak/>
              <w:t>本项目位于化工产业聚集区，本项目属于废矿物油再生，不属于以上禁止引入企业</w:t>
            </w:r>
          </w:p>
        </w:tc>
        <w:tc>
          <w:tcPr>
            <w:tcW w:w="475" w:type="pct"/>
            <w:shd w:val="clear" w:color="auto" w:fill="auto"/>
            <w:vAlign w:val="center"/>
          </w:tcPr>
          <w:p w:rsidR="00644456" w:rsidRDefault="008031C4">
            <w:pPr>
              <w:pStyle w:val="TableParagraph"/>
              <w:jc w:val="center"/>
              <w:rPr>
                <w:rFonts w:cs="Times New Roman"/>
                <w:color w:val="000000" w:themeColor="text1"/>
                <w:szCs w:val="18"/>
              </w:rPr>
            </w:pPr>
            <w:r>
              <w:rPr>
                <w:rFonts w:cs="Times New Roman" w:hint="eastAsia"/>
                <w:color w:val="000000" w:themeColor="text1"/>
                <w:szCs w:val="18"/>
              </w:rPr>
              <w:t>符合</w:t>
            </w:r>
          </w:p>
        </w:tc>
      </w:tr>
    </w:tbl>
    <w:p w:rsidR="00644456" w:rsidRDefault="008031C4">
      <w:pPr>
        <w:spacing w:line="360" w:lineRule="auto"/>
        <w:ind w:firstLine="480"/>
        <w:rPr>
          <w:rFonts w:cs="Times New Roman"/>
          <w:b/>
          <w:bCs/>
          <w:color w:val="000000" w:themeColor="text1"/>
          <w:sz w:val="24"/>
          <w:szCs w:val="24"/>
        </w:rPr>
      </w:pPr>
      <w:r>
        <w:rPr>
          <w:rFonts w:cs="Times New Roman" w:hint="eastAsia"/>
          <w:b/>
          <w:bCs/>
          <w:color w:val="000000" w:themeColor="text1"/>
          <w:sz w:val="24"/>
          <w:szCs w:val="24"/>
        </w:rPr>
        <w:t>根据分析，本项目符合《疏勒高新技术产业开发区（化工产业集聚区）总体规划（</w:t>
      </w:r>
      <w:r>
        <w:rPr>
          <w:rFonts w:cs="Times New Roman" w:hint="eastAsia"/>
          <w:b/>
          <w:bCs/>
          <w:color w:val="000000" w:themeColor="text1"/>
          <w:sz w:val="24"/>
          <w:szCs w:val="24"/>
        </w:rPr>
        <w:t>2022</w:t>
      </w:r>
      <w:r>
        <w:rPr>
          <w:rFonts w:cs="Times New Roman" w:hint="eastAsia"/>
          <w:b/>
          <w:bCs/>
          <w:color w:val="000000" w:themeColor="text1"/>
          <w:sz w:val="24"/>
          <w:szCs w:val="24"/>
        </w:rPr>
        <w:t>年</w:t>
      </w:r>
      <w:r>
        <w:rPr>
          <w:rFonts w:cs="Times New Roman" w:hint="eastAsia"/>
          <w:b/>
          <w:bCs/>
          <w:color w:val="000000" w:themeColor="text1"/>
          <w:sz w:val="24"/>
          <w:szCs w:val="24"/>
        </w:rPr>
        <w:t>-2035</w:t>
      </w:r>
      <w:r>
        <w:rPr>
          <w:rFonts w:cs="Times New Roman" w:hint="eastAsia"/>
          <w:b/>
          <w:bCs/>
          <w:color w:val="000000" w:themeColor="text1"/>
          <w:sz w:val="24"/>
          <w:szCs w:val="24"/>
        </w:rPr>
        <w:t>年）环境影响报告书》的环境准入要求</w:t>
      </w:r>
      <w:r>
        <w:rPr>
          <w:rFonts w:cs="Times New Roman"/>
          <w:b/>
          <w:bCs/>
          <w:color w:val="000000" w:themeColor="text1"/>
          <w:sz w:val="24"/>
          <w:szCs w:val="24"/>
        </w:rPr>
        <w:t>。</w:t>
      </w:r>
    </w:p>
    <w:p w:rsidR="00644456" w:rsidRDefault="008031C4">
      <w:pPr>
        <w:pStyle w:val="3"/>
        <w:numPr>
          <w:ilvl w:val="2"/>
          <w:numId w:val="0"/>
        </w:numPr>
        <w:ind w:firstLineChars="200" w:firstLine="482"/>
      </w:pPr>
      <w:r>
        <w:rPr>
          <w:rFonts w:hint="eastAsia"/>
        </w:rPr>
        <w:t>1.4.4</w:t>
      </w:r>
      <w:r>
        <w:rPr>
          <w:rFonts w:hint="eastAsia"/>
        </w:rPr>
        <w:t>与生态环境保护规划的符合性分析</w:t>
      </w:r>
    </w:p>
    <w:p w:rsidR="00644456" w:rsidRDefault="008031C4">
      <w:pPr>
        <w:pStyle w:val="affffffffc"/>
        <w:ind w:firstLine="482"/>
        <w:rPr>
          <w:rFonts w:cs="Times New Roman"/>
          <w:b/>
          <w:bCs/>
          <w:color w:val="000000" w:themeColor="text1"/>
        </w:rPr>
      </w:pPr>
      <w:r>
        <w:rPr>
          <w:rFonts w:cs="Times New Roman" w:hint="eastAsia"/>
          <w:b/>
          <w:bCs/>
          <w:color w:val="000000" w:themeColor="text1"/>
        </w:rPr>
        <w:t>1</w:t>
      </w:r>
      <w:r>
        <w:rPr>
          <w:rFonts w:cs="Times New Roman" w:hint="eastAsia"/>
          <w:b/>
          <w:bCs/>
          <w:color w:val="000000" w:themeColor="text1"/>
        </w:rPr>
        <w:t>、与《新疆生态环境保护“十四五”规划》符合性分析</w:t>
      </w:r>
    </w:p>
    <w:p w:rsidR="00644456" w:rsidRDefault="008031C4">
      <w:pPr>
        <w:pStyle w:val="affffffffc"/>
        <w:rPr>
          <w:rFonts w:cs="Times New Roman"/>
          <w:color w:val="000000" w:themeColor="text1"/>
        </w:rPr>
      </w:pPr>
      <w:r>
        <w:rPr>
          <w:rFonts w:cs="Times New Roman" w:hint="eastAsia"/>
          <w:color w:val="000000" w:themeColor="text1"/>
        </w:rPr>
        <w:t>《新疆生态环境保护“十四五”规划》中，第三章第二节持续优化产业结构，推进产业转型升级。坚持高质量发展与严格环境准入标准相结合，坚持淘汰落后与鼓励先进相结合，支持产业发展向产业链中下游、价值链中高端迈进，坚持推进产业结构优化调整。强化产业集聚发展。结合重点区域大气污染防治，能耗总量和强度“双控”目标，立足各地产业园区（开发区）自身优势和比较优势，结合“三线一单”和规划环评要求，进一步优化园区产业布局，明确产业定位，因地制宜发展特色产业，培育打造制造业高质量发展示范园区。</w:t>
      </w:r>
    </w:p>
    <w:p w:rsidR="00644456" w:rsidRDefault="008031C4">
      <w:pPr>
        <w:pStyle w:val="affffffffc"/>
        <w:ind w:firstLine="482"/>
        <w:rPr>
          <w:rFonts w:cs="Times New Roman"/>
          <w:b/>
          <w:bCs/>
          <w:color w:val="000000" w:themeColor="text1"/>
        </w:rPr>
      </w:pPr>
      <w:r>
        <w:rPr>
          <w:rFonts w:cs="Times New Roman" w:hint="eastAsia"/>
          <w:b/>
          <w:bCs/>
          <w:color w:val="000000" w:themeColor="text1"/>
        </w:rPr>
        <w:t>本项目属于废矿物油再生，属于化工产业聚集区主导发展行业，符合《新疆生态环境保护“十四五”规划》。</w:t>
      </w:r>
    </w:p>
    <w:p w:rsidR="00644456" w:rsidRDefault="008031C4">
      <w:pPr>
        <w:pStyle w:val="affffffffc"/>
        <w:ind w:firstLine="482"/>
        <w:rPr>
          <w:rFonts w:cs="Times New Roman"/>
          <w:b/>
          <w:bCs/>
          <w:color w:val="000000" w:themeColor="text1"/>
        </w:rPr>
      </w:pPr>
      <w:r>
        <w:rPr>
          <w:rFonts w:cs="Times New Roman" w:hint="eastAsia"/>
          <w:b/>
          <w:bCs/>
          <w:color w:val="000000" w:themeColor="text1"/>
        </w:rPr>
        <w:t>2</w:t>
      </w:r>
      <w:r>
        <w:rPr>
          <w:rFonts w:cs="Times New Roman" w:hint="eastAsia"/>
          <w:b/>
          <w:bCs/>
          <w:color w:val="000000" w:themeColor="text1"/>
        </w:rPr>
        <w:t>、与《喀什地区生态环境保护“十四五”规划》符合性分析</w:t>
      </w:r>
    </w:p>
    <w:p w:rsidR="00644456" w:rsidRDefault="008031C4">
      <w:pPr>
        <w:pStyle w:val="affffffffc"/>
        <w:ind w:firstLine="482"/>
        <w:rPr>
          <w:rFonts w:cs="Times New Roman"/>
          <w:b/>
          <w:bCs/>
          <w:color w:val="000000" w:themeColor="text1"/>
        </w:rPr>
      </w:pPr>
      <w:r>
        <w:rPr>
          <w:rFonts w:cs="Times New Roman" w:hint="eastAsia"/>
          <w:b/>
          <w:bCs/>
          <w:color w:val="000000" w:themeColor="text1"/>
        </w:rPr>
        <w:t>《喀什地区生态环境保护“十四五”规划》提出：</w:t>
      </w:r>
    </w:p>
    <w:p w:rsidR="00644456" w:rsidRDefault="008031C4">
      <w:pPr>
        <w:pStyle w:val="affffffffc"/>
        <w:rPr>
          <w:rFonts w:cs="Times New Roman"/>
          <w:color w:val="000000" w:themeColor="text1"/>
        </w:rPr>
      </w:pPr>
      <w:r>
        <w:rPr>
          <w:rFonts w:cs="Times New Roman" w:hint="eastAsia"/>
          <w:color w:val="000000" w:themeColor="text1"/>
        </w:rPr>
        <w:t>完善绿色发展机制。实施最严格的生态保护制度。坚决遏制“两高”项目盲目发展，严格执行能源、矿产资源开发自治区政府“一支笔”审批制度、环境保护“一票否决”制度，落实“三线一单”生态环境分区管控要求，守住生态保护红线、环境质量底线和资源利用上线，实施生态环境准入清单管控。落实最严格的水资源管理制度，科学确定水资源承载能力，严格实行区域用水总量和强度控制，强化节水约束性指标管理。强化地下水超采治理。</w:t>
      </w:r>
    </w:p>
    <w:p w:rsidR="00644456" w:rsidRDefault="008031C4">
      <w:pPr>
        <w:pStyle w:val="affffffffc"/>
        <w:rPr>
          <w:rFonts w:cs="Times New Roman"/>
          <w:color w:val="000000" w:themeColor="text1"/>
        </w:rPr>
      </w:pPr>
      <w:r>
        <w:rPr>
          <w:rFonts w:cs="Times New Roman" w:hint="eastAsia"/>
          <w:color w:val="000000" w:themeColor="text1"/>
        </w:rPr>
        <w:t>推进产业转型升级。坚持高质量发展与严格环境准入标准相结合，坚持淘汰落后与鼓励先进相结合，支持产业发展向产业链中下游、价值链中高端迈进，坚持推进产业结构优化调整。全力推动节能环保产业发展，引导产业向绿色生产、清洁生产、循环生产转变，加快推进产业转型升级。支持企业实施智能化改造升级，推动</w:t>
      </w:r>
      <w:r>
        <w:rPr>
          <w:rFonts w:cs="Times New Roman" w:hint="eastAsia"/>
          <w:color w:val="000000" w:themeColor="text1"/>
        </w:rPr>
        <w:lastRenderedPageBreak/>
        <w:t>有色金属、钢铁、建材、农副产品加工等传统产业改进工艺、节能降耗、提质增效，促进传统产业绿色化、智能化、高端化发展。</w:t>
      </w:r>
    </w:p>
    <w:p w:rsidR="00644456" w:rsidRDefault="008031C4">
      <w:pPr>
        <w:pStyle w:val="affffffffc"/>
        <w:rPr>
          <w:rFonts w:cs="Times New Roman"/>
          <w:color w:val="000000" w:themeColor="text1"/>
        </w:rPr>
      </w:pPr>
      <w:r>
        <w:rPr>
          <w:rFonts w:cs="Times New Roman" w:hint="eastAsia"/>
          <w:color w:val="000000" w:themeColor="text1"/>
        </w:rPr>
        <w:t>强化产业集聚发展。结合各县市能耗总量和强度“双控”目标，立足产业园区（开发区）自身优势和比较优势，结合“三线一单”和规划环评要求，进一步优化园区产业布局，明确产业定位，因地制宜发展特色产业，培育打造制造业高质量发展示范园区。推进企业入园，严格园区准入标准，完善和落实园区环境管理制度，加强环境风险防范。鼓励和支持社会资本参与园区发展，加快智慧园区建设，补齐环境保护基础设施短板，完善园区“三废”综合利用等配套设施建设。</w:t>
      </w:r>
    </w:p>
    <w:p w:rsidR="00644456" w:rsidRDefault="008031C4">
      <w:pPr>
        <w:pStyle w:val="affffffffc"/>
        <w:ind w:firstLine="482"/>
        <w:rPr>
          <w:rFonts w:cs="Times New Roman"/>
          <w:b/>
          <w:bCs/>
          <w:color w:val="000000" w:themeColor="text1"/>
        </w:rPr>
      </w:pPr>
      <w:r>
        <w:rPr>
          <w:rFonts w:cs="Times New Roman" w:hint="eastAsia"/>
          <w:b/>
          <w:bCs/>
          <w:color w:val="000000" w:themeColor="text1"/>
        </w:rPr>
        <w:t>本项目属于废矿物油再生，本项目废水经自建污水处理站处理后排入园区生态钢城污水处理厂处理达到《城镇污水处理厂污染物排放标准》（</w:t>
      </w:r>
      <w:r>
        <w:rPr>
          <w:rFonts w:cs="Times New Roman" w:hint="eastAsia"/>
          <w:b/>
          <w:bCs/>
          <w:color w:val="000000" w:themeColor="text1"/>
        </w:rPr>
        <w:t>GB18918-2002</w:t>
      </w:r>
      <w:r>
        <w:rPr>
          <w:rFonts w:cs="Times New Roman" w:hint="eastAsia"/>
          <w:b/>
          <w:bCs/>
          <w:color w:val="000000" w:themeColor="text1"/>
        </w:rPr>
        <w:t>）中一级</w:t>
      </w:r>
      <w:r>
        <w:rPr>
          <w:rFonts w:cs="Times New Roman" w:hint="eastAsia"/>
          <w:b/>
          <w:bCs/>
          <w:color w:val="000000" w:themeColor="text1"/>
        </w:rPr>
        <w:t>A</w:t>
      </w:r>
      <w:r>
        <w:rPr>
          <w:rFonts w:cs="Times New Roman" w:hint="eastAsia"/>
          <w:b/>
          <w:bCs/>
          <w:color w:val="000000" w:themeColor="text1"/>
        </w:rPr>
        <w:t>标准，同时满足《城市污水再生利用城市杂用水水质》（</w:t>
      </w:r>
      <w:r>
        <w:rPr>
          <w:rFonts w:cs="Times New Roman" w:hint="eastAsia"/>
          <w:b/>
          <w:bCs/>
          <w:color w:val="000000" w:themeColor="text1"/>
        </w:rPr>
        <w:t>GB/T18920-2020</w:t>
      </w:r>
      <w:r>
        <w:rPr>
          <w:rFonts w:cs="Times New Roman" w:hint="eastAsia"/>
          <w:b/>
          <w:bCs/>
          <w:color w:val="000000" w:themeColor="text1"/>
        </w:rPr>
        <w:t>）（城市绿化、道路清扫）、《城市污水再生利用绿地灌溉水质》</w:t>
      </w:r>
      <w:r>
        <w:rPr>
          <w:rFonts w:cs="Times New Roman" w:hint="eastAsia"/>
          <w:b/>
          <w:bCs/>
          <w:color w:val="000000" w:themeColor="text1"/>
        </w:rPr>
        <w:t>(GB/T25499-2010)</w:t>
      </w:r>
      <w:r>
        <w:rPr>
          <w:rFonts w:cs="Times New Roman" w:hint="eastAsia"/>
          <w:b/>
          <w:bCs/>
          <w:color w:val="000000" w:themeColor="text1"/>
        </w:rPr>
        <w:t>（限制性绿地）标准限值后，尾水经园区尾水管网进入齐鲁生态钢城人工湖暂存，回用于园区道路清扫、绿化灌溉，不外排。</w:t>
      </w:r>
    </w:p>
    <w:p w:rsidR="00644456" w:rsidRDefault="008031C4">
      <w:pPr>
        <w:pStyle w:val="affffffffc"/>
        <w:ind w:firstLine="482"/>
        <w:rPr>
          <w:rFonts w:cs="Times New Roman"/>
          <w:b/>
          <w:bCs/>
          <w:color w:val="000000" w:themeColor="text1"/>
        </w:rPr>
      </w:pPr>
      <w:r>
        <w:rPr>
          <w:rFonts w:cs="Times New Roman" w:hint="eastAsia"/>
          <w:b/>
          <w:bCs/>
          <w:color w:val="000000" w:themeColor="text1"/>
        </w:rPr>
        <w:t>本项目采用天然气、电等清洁能源。</w:t>
      </w:r>
    </w:p>
    <w:p w:rsidR="00644456" w:rsidRDefault="008031C4">
      <w:pPr>
        <w:pStyle w:val="3"/>
        <w:numPr>
          <w:ilvl w:val="2"/>
          <w:numId w:val="0"/>
        </w:numPr>
        <w:ind w:firstLineChars="200" w:firstLine="482"/>
      </w:pPr>
      <w:r>
        <w:rPr>
          <w:rFonts w:hint="eastAsia"/>
        </w:rPr>
        <w:t>1.4.5</w:t>
      </w:r>
      <w:r>
        <w:rPr>
          <w:rFonts w:hint="eastAsia"/>
        </w:rPr>
        <w:t>项目与大气污染防治等相关规划符合性分析</w:t>
      </w:r>
    </w:p>
    <w:p w:rsidR="00644456" w:rsidRDefault="008031C4">
      <w:pPr>
        <w:pStyle w:val="affffffffc"/>
        <w:rPr>
          <w:rFonts w:cs="Times New Roman"/>
          <w:color w:val="000000" w:themeColor="text1"/>
        </w:rPr>
      </w:pPr>
      <w:r>
        <w:rPr>
          <w:rFonts w:cs="Times New Roman"/>
          <w:color w:val="000000" w:themeColor="text1"/>
        </w:rPr>
        <w:t>本项目与《大气污染防治行动计划（国发〔</w:t>
      </w:r>
      <w:r>
        <w:rPr>
          <w:rFonts w:cs="Times New Roman"/>
          <w:color w:val="000000" w:themeColor="text1"/>
        </w:rPr>
        <w:t>2013</w:t>
      </w:r>
      <w:r>
        <w:rPr>
          <w:rFonts w:cs="Times New Roman"/>
          <w:color w:val="000000" w:themeColor="text1"/>
        </w:rPr>
        <w:t>〕</w:t>
      </w:r>
      <w:r>
        <w:rPr>
          <w:rFonts w:cs="Times New Roman"/>
          <w:color w:val="000000" w:themeColor="text1"/>
        </w:rPr>
        <w:t>37</w:t>
      </w:r>
      <w:r>
        <w:rPr>
          <w:rFonts w:cs="Times New Roman"/>
          <w:color w:val="000000" w:themeColor="text1"/>
        </w:rPr>
        <w:t>号）》《关于加强高耗能、高排放建设项目生态环境源头防控的指导意见》（环环评（</w:t>
      </w:r>
      <w:r>
        <w:rPr>
          <w:rFonts w:cs="Times New Roman"/>
          <w:color w:val="000000" w:themeColor="text1"/>
        </w:rPr>
        <w:t>2021</w:t>
      </w:r>
      <w:r>
        <w:rPr>
          <w:rFonts w:cs="Times New Roman"/>
          <w:color w:val="000000" w:themeColor="text1"/>
        </w:rPr>
        <w:t>）</w:t>
      </w:r>
      <w:r>
        <w:rPr>
          <w:rFonts w:cs="Times New Roman"/>
          <w:color w:val="000000" w:themeColor="text1"/>
        </w:rPr>
        <w:t>45</w:t>
      </w:r>
      <w:r>
        <w:rPr>
          <w:rFonts w:cs="Times New Roman"/>
          <w:color w:val="000000" w:themeColor="text1"/>
        </w:rPr>
        <w:t>号）</w:t>
      </w:r>
      <w:r>
        <w:rPr>
          <w:rFonts w:cs="Times New Roman" w:hint="eastAsia"/>
          <w:color w:val="000000" w:themeColor="text1"/>
        </w:rPr>
        <w:t>、</w:t>
      </w:r>
      <w:r>
        <w:rPr>
          <w:rFonts w:cs="Times New Roman"/>
          <w:color w:val="000000" w:themeColor="text1"/>
        </w:rPr>
        <w:t>《国务院关于印发打赢蓝天保卫战三年行动计划的通知》</w:t>
      </w:r>
      <w:r>
        <w:rPr>
          <w:rFonts w:cs="Times New Roman" w:hint="eastAsia"/>
          <w:color w:val="000000" w:themeColor="text1"/>
        </w:rPr>
        <w:t>等</w:t>
      </w:r>
      <w:r>
        <w:rPr>
          <w:rFonts w:cs="Times New Roman"/>
          <w:color w:val="000000" w:themeColor="text1"/>
        </w:rPr>
        <w:t>的符合性如下：</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1.4-10</w:t>
      </w:r>
      <w:r>
        <w:rPr>
          <w:rFonts w:ascii="Times New Roman" w:eastAsia="宋体" w:hAnsi="Times New Roman" w:cs="Times New Roman" w:hint="eastAsia"/>
          <w:b/>
          <w:color w:val="000000" w:themeColor="text1"/>
          <w:sz w:val="24"/>
        </w:rPr>
        <w:t>与大气污染防治等相关规划符合性</w:t>
      </w:r>
    </w:p>
    <w:tbl>
      <w:tblPr>
        <w:tblW w:w="513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44"/>
        <w:gridCol w:w="4936"/>
        <w:gridCol w:w="2255"/>
        <w:gridCol w:w="747"/>
      </w:tblGrid>
      <w:tr w:rsidR="00644456">
        <w:trPr>
          <w:trHeight w:val="271"/>
          <w:jc w:val="center"/>
        </w:trPr>
        <w:tc>
          <w:tcPr>
            <w:tcW w:w="677" w:type="pct"/>
            <w:tcBorders>
              <w:top w:val="single" w:sz="12" w:space="0" w:color="auto"/>
              <w:left w:val="nil"/>
              <w:bottom w:val="single" w:sz="6" w:space="0" w:color="auto"/>
              <w:right w:val="single" w:sz="4" w:space="0" w:color="auto"/>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大气污染防治规划文件</w:t>
            </w:r>
          </w:p>
        </w:tc>
        <w:tc>
          <w:tcPr>
            <w:tcW w:w="2688" w:type="pct"/>
            <w:tcBorders>
              <w:top w:val="single" w:sz="12" w:space="0" w:color="auto"/>
              <w:left w:val="single" w:sz="4" w:space="0" w:color="auto"/>
              <w:bottom w:val="single" w:sz="6" w:space="0" w:color="auto"/>
              <w:right w:val="single" w:sz="6" w:space="0" w:color="auto"/>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规划要求</w:t>
            </w:r>
          </w:p>
        </w:tc>
        <w:tc>
          <w:tcPr>
            <w:tcW w:w="1228" w:type="pct"/>
            <w:tcBorders>
              <w:top w:val="single" w:sz="12" w:space="0" w:color="auto"/>
              <w:left w:val="single" w:sz="6" w:space="0" w:color="auto"/>
              <w:bottom w:val="single" w:sz="6" w:space="0" w:color="auto"/>
              <w:right w:val="single" w:sz="4" w:space="0" w:color="auto"/>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本项目情况</w:t>
            </w:r>
          </w:p>
        </w:tc>
        <w:tc>
          <w:tcPr>
            <w:tcW w:w="407" w:type="pct"/>
            <w:tcBorders>
              <w:top w:val="single" w:sz="12" w:space="0" w:color="auto"/>
              <w:left w:val="single" w:sz="4" w:space="0" w:color="auto"/>
              <w:bottom w:val="single" w:sz="6" w:space="0" w:color="auto"/>
              <w:right w:val="nil"/>
            </w:tcBorders>
            <w:vAlign w:val="center"/>
          </w:tcPr>
          <w:p w:rsidR="00644456" w:rsidRDefault="008031C4">
            <w:pPr>
              <w:autoSpaceDE w:val="0"/>
              <w:autoSpaceDN w:val="0"/>
              <w:snapToGrid w:val="0"/>
              <w:ind w:leftChars="-20" w:left="-42" w:rightChars="-20" w:right="-42"/>
              <w:jc w:val="center"/>
              <w:rPr>
                <w:color w:val="000000" w:themeColor="text1"/>
                <w:szCs w:val="21"/>
              </w:rPr>
            </w:pPr>
            <w:r>
              <w:rPr>
                <w:rFonts w:hint="eastAsia"/>
                <w:color w:val="000000" w:themeColor="text1"/>
                <w:szCs w:val="21"/>
              </w:rPr>
              <w:t>符合性</w:t>
            </w:r>
          </w:p>
        </w:tc>
      </w:tr>
      <w:tr w:rsidR="00644456">
        <w:trPr>
          <w:trHeight w:val="898"/>
          <w:jc w:val="center"/>
        </w:trPr>
        <w:tc>
          <w:tcPr>
            <w:tcW w:w="677" w:type="pct"/>
            <w:vMerge w:val="restart"/>
            <w:tcBorders>
              <w:top w:val="single" w:sz="6" w:space="0" w:color="auto"/>
              <w:left w:val="nil"/>
              <w:right w:val="single" w:sz="4" w:space="0" w:color="auto"/>
            </w:tcBorders>
            <w:vAlign w:val="center"/>
          </w:tcPr>
          <w:p w:rsidR="00644456" w:rsidRDefault="008031C4">
            <w:pPr>
              <w:autoSpaceDE w:val="0"/>
              <w:autoSpaceDN w:val="0"/>
              <w:snapToGrid w:val="0"/>
              <w:jc w:val="center"/>
              <w:rPr>
                <w:color w:val="000000" w:themeColor="text1"/>
                <w:szCs w:val="21"/>
              </w:rPr>
            </w:pPr>
            <w:r>
              <w:rPr>
                <w:color w:val="000000" w:themeColor="text1"/>
                <w:szCs w:val="21"/>
              </w:rPr>
              <w:t>《大气污染防治行动计划》（国发〔</w:t>
            </w:r>
            <w:r>
              <w:rPr>
                <w:color w:val="000000" w:themeColor="text1"/>
                <w:szCs w:val="21"/>
              </w:rPr>
              <w:t>2013</w:t>
            </w:r>
            <w:r>
              <w:rPr>
                <w:color w:val="000000" w:themeColor="text1"/>
                <w:szCs w:val="21"/>
              </w:rPr>
              <w:t>〕</w:t>
            </w:r>
            <w:r>
              <w:rPr>
                <w:color w:val="000000" w:themeColor="text1"/>
                <w:szCs w:val="21"/>
              </w:rPr>
              <w:t>37</w:t>
            </w:r>
            <w:r>
              <w:rPr>
                <w:color w:val="000000" w:themeColor="text1"/>
                <w:szCs w:val="21"/>
              </w:rPr>
              <w:t>号）</w:t>
            </w: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autoSpaceDE w:val="0"/>
              <w:autoSpaceDN w:val="0"/>
              <w:ind w:leftChars="-20" w:left="-42" w:rightChars="-20" w:right="-42"/>
              <w:jc w:val="left"/>
              <w:rPr>
                <w:color w:val="000000" w:themeColor="text1"/>
                <w:szCs w:val="21"/>
              </w:rPr>
            </w:pPr>
            <w:r>
              <w:rPr>
                <w:color w:val="000000" w:themeColor="text1"/>
                <w:szCs w:val="21"/>
              </w:rPr>
              <w:t>（一）加强工业企业大气污染综合治理。全面整治燃煤小锅炉。在供热供气管网不能覆盖的地区，改用电、新能源或洁净煤，推广应用高效节能环保型锅炉。</w:t>
            </w:r>
          </w:p>
        </w:tc>
        <w:tc>
          <w:tcPr>
            <w:tcW w:w="1228" w:type="pct"/>
            <w:tcBorders>
              <w:top w:val="single" w:sz="6" w:space="0" w:color="auto"/>
              <w:left w:val="single" w:sz="6" w:space="0" w:color="auto"/>
              <w:bottom w:val="single" w:sz="6" w:space="0" w:color="auto"/>
              <w:right w:val="single" w:sz="4" w:space="0" w:color="auto"/>
            </w:tcBorders>
            <w:vAlign w:val="center"/>
          </w:tcPr>
          <w:p w:rsidR="00644456" w:rsidRDefault="008031C4">
            <w:pPr>
              <w:autoSpaceDE w:val="0"/>
              <w:autoSpaceDN w:val="0"/>
              <w:ind w:leftChars="-20" w:left="-42" w:rightChars="-20" w:right="-42"/>
              <w:jc w:val="center"/>
              <w:rPr>
                <w:color w:val="000000" w:themeColor="text1"/>
                <w:szCs w:val="21"/>
              </w:rPr>
            </w:pPr>
            <w:r>
              <w:rPr>
                <w:rFonts w:hint="eastAsia"/>
                <w:color w:val="000000" w:themeColor="text1"/>
                <w:szCs w:val="21"/>
              </w:rPr>
              <w:t>本项目以电、天然气作为能源，不涉及燃煤锅炉。</w:t>
            </w: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jc w:val="center"/>
              <w:rPr>
                <w:color w:val="000000" w:themeColor="text1"/>
                <w:szCs w:val="21"/>
              </w:rPr>
            </w:pPr>
            <w:r>
              <w:rPr>
                <w:color w:val="000000" w:themeColor="text1"/>
                <w:szCs w:val="21"/>
              </w:rPr>
              <w:t>符合</w:t>
            </w:r>
          </w:p>
        </w:tc>
      </w:tr>
      <w:tr w:rsidR="00644456">
        <w:trPr>
          <w:trHeight w:val="611"/>
          <w:jc w:val="center"/>
        </w:trPr>
        <w:tc>
          <w:tcPr>
            <w:tcW w:w="677" w:type="pct"/>
            <w:vMerge/>
            <w:tcBorders>
              <w:left w:val="nil"/>
              <w:right w:val="single" w:sz="4" w:space="0" w:color="auto"/>
            </w:tcBorders>
            <w:vAlign w:val="center"/>
          </w:tcPr>
          <w:p w:rsidR="00644456" w:rsidRDefault="00644456">
            <w:pPr>
              <w:autoSpaceDE w:val="0"/>
              <w:autoSpaceDN w:val="0"/>
              <w:snapToGrid w:val="0"/>
              <w:jc w:val="center"/>
              <w:rPr>
                <w:color w:val="000000" w:themeColor="text1"/>
                <w:szCs w:val="21"/>
              </w:rPr>
            </w:pP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autoSpaceDE w:val="0"/>
              <w:autoSpaceDN w:val="0"/>
              <w:ind w:leftChars="-20" w:left="-42" w:rightChars="-20" w:right="-42"/>
              <w:jc w:val="left"/>
              <w:rPr>
                <w:color w:val="000000" w:themeColor="text1"/>
                <w:szCs w:val="21"/>
              </w:rPr>
            </w:pPr>
            <w:r>
              <w:rPr>
                <w:color w:val="000000" w:themeColor="text1"/>
                <w:szCs w:val="21"/>
              </w:rPr>
              <w:t>（二）深化面源污染治理。大型煤堆、料堆要实现封闭储存或建设防风抑尘设施。</w:t>
            </w:r>
          </w:p>
        </w:tc>
        <w:tc>
          <w:tcPr>
            <w:tcW w:w="1228" w:type="pct"/>
            <w:tcBorders>
              <w:top w:val="single" w:sz="6" w:space="0" w:color="auto"/>
              <w:left w:val="single" w:sz="6" w:space="0" w:color="auto"/>
              <w:bottom w:val="single" w:sz="6" w:space="0" w:color="auto"/>
              <w:right w:val="single" w:sz="4" w:space="0" w:color="auto"/>
            </w:tcBorders>
            <w:vAlign w:val="center"/>
          </w:tcPr>
          <w:p w:rsidR="00644456" w:rsidRDefault="008031C4">
            <w:pPr>
              <w:autoSpaceDE w:val="0"/>
              <w:autoSpaceDN w:val="0"/>
              <w:ind w:leftChars="-20" w:left="-42" w:rightChars="-20" w:right="-42"/>
              <w:jc w:val="center"/>
              <w:rPr>
                <w:color w:val="000000" w:themeColor="text1"/>
                <w:szCs w:val="21"/>
              </w:rPr>
            </w:pPr>
            <w:r>
              <w:rPr>
                <w:rFonts w:hint="eastAsia"/>
                <w:color w:val="000000" w:themeColor="text1"/>
                <w:szCs w:val="21"/>
              </w:rPr>
              <w:t>本项目不涉及堆场等设施。</w:t>
            </w: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jc w:val="center"/>
              <w:rPr>
                <w:color w:val="000000" w:themeColor="text1"/>
                <w:szCs w:val="21"/>
              </w:rPr>
            </w:pPr>
            <w:r>
              <w:rPr>
                <w:color w:val="000000" w:themeColor="text1"/>
                <w:szCs w:val="21"/>
              </w:rPr>
              <w:t>符合</w:t>
            </w:r>
          </w:p>
        </w:tc>
      </w:tr>
      <w:tr w:rsidR="00644456">
        <w:trPr>
          <w:trHeight w:val="611"/>
          <w:jc w:val="center"/>
        </w:trPr>
        <w:tc>
          <w:tcPr>
            <w:tcW w:w="677" w:type="pct"/>
            <w:vMerge/>
            <w:tcBorders>
              <w:left w:val="nil"/>
              <w:right w:val="single" w:sz="4" w:space="0" w:color="auto"/>
            </w:tcBorders>
            <w:vAlign w:val="center"/>
          </w:tcPr>
          <w:p w:rsidR="00644456" w:rsidRDefault="00644456">
            <w:pPr>
              <w:autoSpaceDE w:val="0"/>
              <w:autoSpaceDN w:val="0"/>
              <w:snapToGrid w:val="0"/>
              <w:jc w:val="center"/>
              <w:rPr>
                <w:color w:val="000000" w:themeColor="text1"/>
                <w:szCs w:val="21"/>
              </w:rPr>
            </w:pP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autoSpaceDE w:val="0"/>
              <w:autoSpaceDN w:val="0"/>
              <w:ind w:leftChars="-20" w:left="-42" w:rightChars="-20" w:right="-42"/>
              <w:jc w:val="left"/>
              <w:rPr>
                <w:color w:val="000000" w:themeColor="text1"/>
                <w:szCs w:val="21"/>
              </w:rPr>
            </w:pPr>
            <w:r>
              <w:rPr>
                <w:rFonts w:hint="eastAsia"/>
                <w:color w:val="000000" w:themeColor="text1"/>
                <w:szCs w:val="21"/>
              </w:rPr>
              <w:t>（三）企业是大气污染治理的责任主体，要按照环保规范要求，加强内部管理，增加资金投入，采用先进的生产工艺和治理技术，确保达标排放，甚至达到“零排放”；要自觉履行环境保护的社会责任，接受社会监督。</w:t>
            </w:r>
          </w:p>
        </w:tc>
        <w:tc>
          <w:tcPr>
            <w:tcW w:w="1228" w:type="pct"/>
            <w:tcBorders>
              <w:top w:val="single" w:sz="6" w:space="0" w:color="auto"/>
              <w:left w:val="single" w:sz="6" w:space="0" w:color="auto"/>
              <w:bottom w:val="single" w:sz="6" w:space="0" w:color="auto"/>
              <w:right w:val="single" w:sz="4" w:space="0" w:color="auto"/>
            </w:tcBorders>
            <w:vAlign w:val="center"/>
          </w:tcPr>
          <w:p w:rsidR="00644456" w:rsidRDefault="008031C4">
            <w:pPr>
              <w:autoSpaceDE w:val="0"/>
              <w:autoSpaceDN w:val="0"/>
              <w:ind w:leftChars="-20" w:left="-42" w:rightChars="-20" w:right="-42"/>
              <w:jc w:val="center"/>
              <w:rPr>
                <w:color w:val="000000" w:themeColor="text1"/>
                <w:szCs w:val="21"/>
              </w:rPr>
            </w:pPr>
            <w:r>
              <w:rPr>
                <w:rFonts w:hint="eastAsia"/>
                <w:color w:val="000000" w:themeColor="text1"/>
                <w:szCs w:val="21"/>
              </w:rPr>
              <w:t>本项目采用先进的生产工艺和符合规范要求的环保设施，可确保污染物稳定达标排放</w:t>
            </w: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jc w:val="center"/>
              <w:rPr>
                <w:color w:val="000000" w:themeColor="text1"/>
                <w:szCs w:val="21"/>
              </w:rPr>
            </w:pPr>
            <w:r>
              <w:rPr>
                <w:rFonts w:hint="eastAsia"/>
                <w:color w:val="000000" w:themeColor="text1"/>
                <w:szCs w:val="21"/>
              </w:rPr>
              <w:t>符合</w:t>
            </w:r>
          </w:p>
        </w:tc>
      </w:tr>
      <w:tr w:rsidR="00644456">
        <w:trPr>
          <w:trHeight w:val="611"/>
          <w:jc w:val="center"/>
        </w:trPr>
        <w:tc>
          <w:tcPr>
            <w:tcW w:w="677" w:type="pct"/>
            <w:vMerge w:val="restart"/>
            <w:tcBorders>
              <w:left w:val="nil"/>
              <w:right w:val="single" w:sz="4" w:space="0" w:color="auto"/>
            </w:tcBorders>
            <w:vAlign w:val="center"/>
          </w:tcPr>
          <w:p w:rsidR="00644456" w:rsidRDefault="008031C4">
            <w:pPr>
              <w:autoSpaceDE w:val="0"/>
              <w:autoSpaceDN w:val="0"/>
              <w:snapToGrid w:val="0"/>
              <w:jc w:val="center"/>
              <w:rPr>
                <w:color w:val="000000" w:themeColor="text1"/>
                <w:szCs w:val="21"/>
              </w:rPr>
            </w:pPr>
            <w:r>
              <w:rPr>
                <w:color w:val="000000" w:themeColor="text1"/>
                <w:szCs w:val="21"/>
              </w:rPr>
              <w:t>《关于加强高耗能、高排放建</w:t>
            </w:r>
            <w:r>
              <w:rPr>
                <w:color w:val="000000" w:themeColor="text1"/>
                <w:szCs w:val="21"/>
              </w:rPr>
              <w:lastRenderedPageBreak/>
              <w:t>设项目生态环境源头防控的指导意见》（环环评（</w:t>
            </w:r>
            <w:r>
              <w:rPr>
                <w:color w:val="000000" w:themeColor="text1"/>
                <w:szCs w:val="21"/>
              </w:rPr>
              <w:t>2021</w:t>
            </w:r>
            <w:r>
              <w:rPr>
                <w:color w:val="000000" w:themeColor="text1"/>
                <w:szCs w:val="21"/>
              </w:rPr>
              <w:t>）</w:t>
            </w:r>
            <w:r>
              <w:rPr>
                <w:color w:val="000000" w:themeColor="text1"/>
                <w:szCs w:val="21"/>
              </w:rPr>
              <w:t>45</w:t>
            </w:r>
            <w:r>
              <w:rPr>
                <w:color w:val="000000" w:themeColor="text1"/>
                <w:szCs w:val="21"/>
              </w:rPr>
              <w:t>号）</w:t>
            </w: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autoSpaceDE w:val="0"/>
              <w:autoSpaceDN w:val="0"/>
              <w:ind w:leftChars="-20" w:left="-42" w:rightChars="-20" w:right="-42"/>
              <w:jc w:val="left"/>
              <w:rPr>
                <w:color w:val="000000" w:themeColor="text1"/>
                <w:szCs w:val="21"/>
              </w:rPr>
            </w:pPr>
            <w:r>
              <w:rPr>
                <w:color w:val="000000" w:themeColor="text1"/>
                <w:szCs w:val="21"/>
              </w:rPr>
              <w:lastRenderedPageBreak/>
              <w:t>（三）严把建设项目环境准入关。新建、改建、扩建</w:t>
            </w:r>
            <w:r>
              <w:rPr>
                <w:rFonts w:hint="eastAsia"/>
                <w:color w:val="000000" w:themeColor="text1"/>
                <w:szCs w:val="21"/>
              </w:rPr>
              <w:t>“两高”</w:t>
            </w:r>
            <w:r>
              <w:rPr>
                <w:color w:val="000000" w:themeColor="text1"/>
                <w:szCs w:val="21"/>
              </w:rPr>
              <w:t>项目须符合生态环境保护法律法规和相关法定规划，满足重点污染物排放总量控制、碳排放达峰</w:t>
            </w:r>
            <w:r>
              <w:rPr>
                <w:color w:val="000000" w:themeColor="text1"/>
                <w:szCs w:val="21"/>
              </w:rPr>
              <w:lastRenderedPageBreak/>
              <w:t>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1228" w:type="pct"/>
            <w:tcBorders>
              <w:top w:val="single" w:sz="6" w:space="0" w:color="auto"/>
              <w:left w:val="single" w:sz="6" w:space="0" w:color="auto"/>
              <w:bottom w:val="single" w:sz="6" w:space="0" w:color="auto"/>
              <w:right w:val="single" w:sz="4" w:space="0" w:color="auto"/>
            </w:tcBorders>
            <w:vAlign w:val="center"/>
          </w:tcPr>
          <w:p w:rsidR="00644456" w:rsidRDefault="008031C4">
            <w:pPr>
              <w:autoSpaceDE w:val="0"/>
              <w:autoSpaceDN w:val="0"/>
              <w:ind w:leftChars="-20" w:left="-42" w:rightChars="-20" w:right="-42"/>
              <w:jc w:val="center"/>
              <w:rPr>
                <w:color w:val="000000" w:themeColor="text1"/>
                <w:szCs w:val="21"/>
              </w:rPr>
            </w:pPr>
            <w:r>
              <w:rPr>
                <w:rFonts w:hint="eastAsia"/>
                <w:color w:val="000000" w:themeColor="text1"/>
                <w:szCs w:val="21"/>
              </w:rPr>
              <w:lastRenderedPageBreak/>
              <w:t>本项目位于疏勒高新技术产业开发区化工产业聚集区，</w:t>
            </w:r>
            <w:r>
              <w:rPr>
                <w:color w:val="000000" w:themeColor="text1"/>
                <w:szCs w:val="21"/>
              </w:rPr>
              <w:t>符合生态环境</w:t>
            </w:r>
            <w:r>
              <w:rPr>
                <w:color w:val="000000" w:themeColor="text1"/>
                <w:szCs w:val="21"/>
              </w:rPr>
              <w:lastRenderedPageBreak/>
              <w:t>保护法律法规和相关法定规划，满足重点污染物排放总量控制、碳排放达峰目标、生态环境准入清单、相关规划环评和相应行业建设项目环境准入条件、环评文件审批原则要求。</w:t>
            </w: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jc w:val="center"/>
              <w:rPr>
                <w:color w:val="000000" w:themeColor="text1"/>
                <w:szCs w:val="21"/>
              </w:rPr>
            </w:pPr>
            <w:r>
              <w:rPr>
                <w:rFonts w:hint="eastAsia"/>
                <w:color w:val="000000" w:themeColor="text1"/>
                <w:szCs w:val="21"/>
              </w:rPr>
              <w:lastRenderedPageBreak/>
              <w:t>符合</w:t>
            </w:r>
          </w:p>
        </w:tc>
      </w:tr>
      <w:tr w:rsidR="00644456">
        <w:trPr>
          <w:trHeight w:val="611"/>
          <w:jc w:val="center"/>
        </w:trPr>
        <w:tc>
          <w:tcPr>
            <w:tcW w:w="677" w:type="pct"/>
            <w:vMerge/>
            <w:tcBorders>
              <w:left w:val="nil"/>
              <w:right w:val="single" w:sz="4" w:space="0" w:color="auto"/>
            </w:tcBorders>
            <w:vAlign w:val="center"/>
          </w:tcPr>
          <w:p w:rsidR="00644456" w:rsidRDefault="00644456">
            <w:pPr>
              <w:adjustRightInd w:val="0"/>
              <w:snapToGrid w:val="0"/>
              <w:ind w:firstLine="512"/>
              <w:jc w:val="center"/>
              <w:rPr>
                <w:rFonts w:eastAsiaTheme="minorEastAsia" w:hAnsiTheme="minorEastAsia"/>
                <w:color w:val="000000" w:themeColor="text1"/>
                <w:spacing w:val="8"/>
                <w:szCs w:val="21"/>
              </w:rPr>
            </w:pP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autoSpaceDE w:val="0"/>
              <w:autoSpaceDN w:val="0"/>
              <w:snapToGrid w:val="0"/>
              <w:jc w:val="left"/>
              <w:rPr>
                <w:color w:val="000000" w:themeColor="text1"/>
                <w:szCs w:val="21"/>
              </w:rPr>
            </w:pPr>
            <w:r>
              <w:rPr>
                <w:rFonts w:hint="eastAsia"/>
                <w:color w:val="000000" w:themeColor="text1"/>
                <w:szCs w:val="21"/>
              </w:rPr>
              <w:t>（四）落实区域削减要求。新建</w:t>
            </w:r>
            <w:r>
              <w:rPr>
                <w:color w:val="000000" w:themeColor="text1"/>
                <w:szCs w:val="21"/>
              </w:rPr>
              <w:t>“</w:t>
            </w:r>
            <w:r>
              <w:rPr>
                <w:rFonts w:hint="eastAsia"/>
                <w:color w:val="000000" w:themeColor="text1"/>
                <w:szCs w:val="21"/>
              </w:rPr>
              <w:t>两高</w:t>
            </w:r>
            <w:r>
              <w:rPr>
                <w:color w:val="000000" w:themeColor="text1"/>
                <w:szCs w:val="21"/>
              </w:rPr>
              <w:t>”</w:t>
            </w:r>
            <w:r>
              <w:rPr>
                <w:rFonts w:hint="eastAsia"/>
                <w:color w:val="000000" w:themeColor="text1"/>
                <w:szCs w:val="21"/>
              </w:rPr>
              <w:t>项目应按照《关于加强重点行业建设项目区域削减措施监督管理的通知》要求，依据区域环境质量改善目标，制定配套区域污染物削减方案，采取有效的污染物区域削减措施，腾出足够的环境容量。国家大气污染防治重点区域（以下称重点区域）内新建耗煤项目还应严格按规定采取煤炭消费减量替代措施，不得使用高污染燃料作为煤炭减量替代措施。</w:t>
            </w:r>
          </w:p>
        </w:tc>
        <w:tc>
          <w:tcPr>
            <w:tcW w:w="1228" w:type="pct"/>
            <w:tcBorders>
              <w:top w:val="single" w:sz="6" w:space="0" w:color="auto"/>
              <w:left w:val="single" w:sz="6" w:space="0" w:color="auto"/>
              <w:bottom w:val="single" w:sz="6" w:space="0" w:color="auto"/>
              <w:right w:val="single" w:sz="4" w:space="0" w:color="auto"/>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项目废气污染物排放等量削减，废水进入园区污水处理厂，化学需氧量、氨氮指标已计入园区污水处理厂。</w:t>
            </w: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jc w:val="center"/>
              <w:rPr>
                <w:color w:val="000000" w:themeColor="text1"/>
                <w:szCs w:val="21"/>
              </w:rPr>
            </w:pPr>
            <w:r>
              <w:rPr>
                <w:rFonts w:hint="eastAsia"/>
                <w:color w:val="000000" w:themeColor="text1"/>
                <w:szCs w:val="21"/>
              </w:rPr>
              <w:t>符合</w:t>
            </w:r>
          </w:p>
        </w:tc>
      </w:tr>
      <w:tr w:rsidR="00644456">
        <w:trPr>
          <w:trHeight w:val="611"/>
          <w:jc w:val="center"/>
        </w:trPr>
        <w:tc>
          <w:tcPr>
            <w:tcW w:w="677" w:type="pct"/>
            <w:vMerge/>
            <w:tcBorders>
              <w:left w:val="nil"/>
              <w:right w:val="single" w:sz="4" w:space="0" w:color="auto"/>
            </w:tcBorders>
            <w:vAlign w:val="center"/>
          </w:tcPr>
          <w:p w:rsidR="00644456" w:rsidRDefault="00644456">
            <w:pPr>
              <w:adjustRightInd w:val="0"/>
              <w:snapToGrid w:val="0"/>
              <w:ind w:firstLine="512"/>
              <w:jc w:val="center"/>
              <w:rPr>
                <w:rFonts w:eastAsiaTheme="minorEastAsia" w:hAnsiTheme="minorEastAsia"/>
                <w:color w:val="000000" w:themeColor="text1"/>
                <w:spacing w:val="8"/>
                <w:szCs w:val="21"/>
              </w:rPr>
            </w:pP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autoSpaceDE w:val="0"/>
              <w:autoSpaceDN w:val="0"/>
              <w:snapToGrid w:val="0"/>
              <w:jc w:val="left"/>
              <w:rPr>
                <w:color w:val="000000" w:themeColor="text1"/>
                <w:szCs w:val="21"/>
              </w:rPr>
            </w:pPr>
            <w:r>
              <w:rPr>
                <w:rFonts w:hint="eastAsia"/>
                <w:color w:val="000000" w:themeColor="text1"/>
                <w:szCs w:val="21"/>
              </w:rPr>
              <w:t>（六）提升清洁生产和污染防治水平。新建、扩建</w:t>
            </w:r>
            <w:r>
              <w:rPr>
                <w:color w:val="000000" w:themeColor="text1"/>
                <w:szCs w:val="21"/>
              </w:rPr>
              <w:t>“</w:t>
            </w:r>
            <w:r>
              <w:rPr>
                <w:rFonts w:hint="eastAsia"/>
                <w:color w:val="000000" w:themeColor="text1"/>
                <w:szCs w:val="21"/>
              </w:rPr>
              <w:t>两高</w:t>
            </w:r>
            <w:r>
              <w:rPr>
                <w:color w:val="000000" w:themeColor="text1"/>
                <w:szCs w:val="21"/>
              </w:rPr>
              <w:t>”</w:t>
            </w:r>
            <w:r>
              <w:rPr>
                <w:rFonts w:hint="eastAsia"/>
                <w:color w:val="000000" w:themeColor="text1"/>
                <w:szCs w:val="21"/>
              </w:rPr>
              <w:t>项目应采用先进适用的工艺技术和装备，单位产品物耗、能耗、水耗等达到清洁生产先进水平，依法制定并严格落实防治土壤与地下水污染的措施。国家或地方已出台超低排放要求的</w:t>
            </w:r>
            <w:r>
              <w:rPr>
                <w:color w:val="000000" w:themeColor="text1"/>
                <w:szCs w:val="21"/>
              </w:rPr>
              <w:t>“</w:t>
            </w:r>
            <w:r>
              <w:rPr>
                <w:rFonts w:hint="eastAsia"/>
                <w:color w:val="000000" w:themeColor="text1"/>
                <w:szCs w:val="21"/>
              </w:rPr>
              <w:t>两高</w:t>
            </w:r>
            <w:r>
              <w:rPr>
                <w:color w:val="000000" w:themeColor="text1"/>
                <w:szCs w:val="21"/>
              </w:rPr>
              <w:t>”</w:t>
            </w:r>
            <w:r>
              <w:rPr>
                <w:rFonts w:hint="eastAsia"/>
                <w:color w:val="000000" w:themeColor="text1"/>
                <w:szCs w:val="21"/>
              </w:rPr>
              <w:t>行业建设项目应满足超低排放要求。鼓励使用清洁燃料，重点区域建设项目原则上不新建燃煤自备锅炉。鼓励重点区域高炉</w:t>
            </w:r>
            <w:r>
              <w:rPr>
                <w:color w:val="000000" w:themeColor="text1"/>
                <w:szCs w:val="21"/>
              </w:rPr>
              <w:t>-</w:t>
            </w:r>
            <w:r>
              <w:rPr>
                <w:rFonts w:hint="eastAsia"/>
                <w:color w:val="000000" w:themeColor="text1"/>
                <w:szCs w:val="21"/>
              </w:rPr>
              <w:t>转炉长流程钢铁企业转型为电炉短流程企业。大宗物料优先采用铁路、管道或水路运输，短途接驳优先使用新能源车辆运输。</w:t>
            </w:r>
          </w:p>
        </w:tc>
        <w:tc>
          <w:tcPr>
            <w:tcW w:w="1228" w:type="pct"/>
            <w:tcBorders>
              <w:top w:val="single" w:sz="6" w:space="0" w:color="auto"/>
              <w:left w:val="single" w:sz="6" w:space="0" w:color="auto"/>
              <w:bottom w:val="single" w:sz="6" w:space="0" w:color="auto"/>
              <w:right w:val="single" w:sz="4" w:space="0" w:color="auto"/>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项目采用先进适用的工艺技术和装备，单位产品物耗、能耗、水耗等达到清洁生产先进水平，已依法制定并严格落实防治土壤与地下水污染的措施。本项目使用电、天然气等清洁燃料，不涉及燃煤使用。本项目不属于炼钢项目。本项目主要物料主要采用公路运输。</w:t>
            </w: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jc w:val="center"/>
              <w:rPr>
                <w:color w:val="000000" w:themeColor="text1"/>
                <w:szCs w:val="21"/>
              </w:rPr>
            </w:pPr>
            <w:r>
              <w:rPr>
                <w:rFonts w:hint="eastAsia"/>
                <w:color w:val="000000" w:themeColor="text1"/>
                <w:szCs w:val="21"/>
              </w:rPr>
              <w:t>符合</w:t>
            </w:r>
          </w:p>
        </w:tc>
      </w:tr>
      <w:tr w:rsidR="00644456">
        <w:trPr>
          <w:trHeight w:val="269"/>
          <w:jc w:val="center"/>
        </w:trPr>
        <w:tc>
          <w:tcPr>
            <w:tcW w:w="677" w:type="pct"/>
            <w:vMerge/>
            <w:tcBorders>
              <w:left w:val="nil"/>
              <w:right w:val="single" w:sz="4" w:space="0" w:color="auto"/>
            </w:tcBorders>
            <w:vAlign w:val="center"/>
          </w:tcPr>
          <w:p w:rsidR="00644456" w:rsidRDefault="00644456">
            <w:pPr>
              <w:adjustRightInd w:val="0"/>
              <w:snapToGrid w:val="0"/>
              <w:ind w:firstLine="512"/>
              <w:jc w:val="center"/>
              <w:rPr>
                <w:rFonts w:eastAsiaTheme="minorEastAsia" w:hAnsiTheme="minorEastAsia"/>
                <w:color w:val="000000" w:themeColor="text1"/>
                <w:spacing w:val="8"/>
                <w:szCs w:val="21"/>
                <w:u w:val="single"/>
              </w:rPr>
            </w:pP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autoSpaceDE w:val="0"/>
              <w:autoSpaceDN w:val="0"/>
              <w:snapToGrid w:val="0"/>
              <w:jc w:val="left"/>
              <w:rPr>
                <w:color w:val="000000" w:themeColor="text1"/>
                <w:szCs w:val="21"/>
              </w:rPr>
            </w:pPr>
            <w:r>
              <w:rPr>
                <w:rFonts w:hint="eastAsia"/>
                <w:color w:val="000000" w:themeColor="text1"/>
                <w:szCs w:val="21"/>
              </w:rPr>
              <w:t>（七）将碳排放影响评价纳入环境影响评价体系。各级生态环境部门和行政审批部门应积极推进</w:t>
            </w:r>
            <w:r>
              <w:rPr>
                <w:color w:val="000000" w:themeColor="text1"/>
                <w:szCs w:val="21"/>
              </w:rPr>
              <w:t>“</w:t>
            </w:r>
            <w:r>
              <w:rPr>
                <w:rFonts w:hint="eastAsia"/>
                <w:color w:val="000000" w:themeColor="text1"/>
                <w:szCs w:val="21"/>
              </w:rPr>
              <w:t>两高</w:t>
            </w:r>
            <w:r>
              <w:rPr>
                <w:color w:val="000000" w:themeColor="text1"/>
                <w:szCs w:val="21"/>
              </w:rPr>
              <w:t>”</w:t>
            </w:r>
            <w:r>
              <w:rPr>
                <w:rFonts w:hint="eastAsia"/>
                <w:color w:val="000000" w:themeColor="text1"/>
                <w:szCs w:val="21"/>
              </w:rPr>
              <w:t>项目环评开展试点工作，衔接落实有关区域和行业碳达峰行动方案、清洁能源替代、清洁运输、煤炭消费总量控制等政策要求。在环评工作中，统筹开展污染物和碳排放的源项识别、源强核算、减污降碳措施可行性论证及方案比选，提出协同控制最优方案。鼓励有条件的地区、企业探索实施减污降碳协同治理和碳捕集、封存、综合利用工程试点、示范。</w:t>
            </w:r>
          </w:p>
        </w:tc>
        <w:tc>
          <w:tcPr>
            <w:tcW w:w="1228" w:type="pct"/>
            <w:tcBorders>
              <w:top w:val="single" w:sz="6" w:space="0" w:color="auto"/>
              <w:left w:val="single" w:sz="6" w:space="0" w:color="auto"/>
              <w:bottom w:val="single" w:sz="6" w:space="0" w:color="auto"/>
              <w:right w:val="single" w:sz="4" w:space="0" w:color="auto"/>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本项目已将碳排放影响评价纳入环境影响评价报告。</w:t>
            </w: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jc w:val="center"/>
              <w:rPr>
                <w:color w:val="000000" w:themeColor="text1"/>
                <w:szCs w:val="21"/>
              </w:rPr>
            </w:pPr>
            <w:r>
              <w:rPr>
                <w:rFonts w:hint="eastAsia"/>
                <w:color w:val="000000" w:themeColor="text1"/>
                <w:szCs w:val="21"/>
              </w:rPr>
              <w:t>符合</w:t>
            </w:r>
          </w:p>
        </w:tc>
      </w:tr>
      <w:tr w:rsidR="00644456">
        <w:trPr>
          <w:trHeight w:val="552"/>
          <w:jc w:val="center"/>
        </w:trPr>
        <w:tc>
          <w:tcPr>
            <w:tcW w:w="677" w:type="pct"/>
            <w:vMerge w:val="restart"/>
            <w:tcBorders>
              <w:top w:val="single" w:sz="6" w:space="0" w:color="auto"/>
              <w:left w:val="nil"/>
              <w:right w:val="single" w:sz="4" w:space="0" w:color="auto"/>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《国务院关于印发打赢蓝天保卫战三年行动计划的通知》</w:t>
            </w:r>
            <w:r>
              <w:rPr>
                <w:color w:val="000000" w:themeColor="text1"/>
                <w:szCs w:val="21"/>
              </w:rPr>
              <w:t>（国发〔</w:t>
            </w:r>
            <w:r>
              <w:rPr>
                <w:color w:val="000000" w:themeColor="text1"/>
                <w:szCs w:val="21"/>
              </w:rPr>
              <w:t>201</w:t>
            </w:r>
            <w:r>
              <w:rPr>
                <w:rFonts w:hint="eastAsia"/>
                <w:color w:val="000000" w:themeColor="text1"/>
                <w:szCs w:val="21"/>
              </w:rPr>
              <w:t>8</w:t>
            </w:r>
            <w:r>
              <w:rPr>
                <w:color w:val="000000" w:themeColor="text1"/>
                <w:szCs w:val="21"/>
              </w:rPr>
              <w:t>〕</w:t>
            </w:r>
            <w:r>
              <w:rPr>
                <w:rFonts w:hint="eastAsia"/>
                <w:color w:val="000000" w:themeColor="text1"/>
                <w:szCs w:val="21"/>
              </w:rPr>
              <w:t>22</w:t>
            </w:r>
            <w:r>
              <w:rPr>
                <w:color w:val="000000" w:themeColor="text1"/>
                <w:szCs w:val="21"/>
              </w:rPr>
              <w:t>号）</w:t>
            </w: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autoSpaceDE w:val="0"/>
              <w:autoSpaceDN w:val="0"/>
              <w:snapToGrid w:val="0"/>
              <w:jc w:val="left"/>
              <w:rPr>
                <w:color w:val="000000" w:themeColor="text1"/>
                <w:szCs w:val="21"/>
              </w:rPr>
            </w:pPr>
            <w:r>
              <w:rPr>
                <w:rFonts w:hint="eastAsia"/>
                <w:color w:val="000000" w:themeColor="text1"/>
                <w:szCs w:val="21"/>
              </w:rPr>
              <w:t>（四）优化产业布局。</w:t>
            </w:r>
          </w:p>
          <w:p w:rsidR="00644456" w:rsidRDefault="008031C4">
            <w:pPr>
              <w:autoSpaceDE w:val="0"/>
              <w:autoSpaceDN w:val="0"/>
              <w:jc w:val="left"/>
              <w:rPr>
                <w:color w:val="000000" w:themeColor="text1"/>
                <w:szCs w:val="21"/>
              </w:rPr>
            </w:pPr>
            <w:r>
              <w:rPr>
                <w:rFonts w:hint="eastAsia"/>
                <w:color w:val="000000" w:themeColor="text1"/>
                <w:szCs w:val="21"/>
              </w:rPr>
              <w:t>修订完善高耗能、高污染和资源型行业准入条件，环境空气质量未达标城市应制订更严格的产业准入门槛。积极推行区域、规划环境影响评价，新、改、扩建钢铁、石化、化工、焦化、建材、有色等项目的环境影响评价，应满足区域、规划环评要求。</w:t>
            </w:r>
          </w:p>
        </w:tc>
        <w:tc>
          <w:tcPr>
            <w:tcW w:w="1228" w:type="pct"/>
            <w:tcBorders>
              <w:top w:val="single" w:sz="6" w:space="0" w:color="auto"/>
              <w:left w:val="single" w:sz="6" w:space="0" w:color="auto"/>
              <w:bottom w:val="single" w:sz="6" w:space="0" w:color="auto"/>
              <w:right w:val="single" w:sz="4" w:space="0" w:color="auto"/>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本项目所在区域环境空气质量达标，满足规划环评的要求。</w:t>
            </w: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snapToGrid w:val="0"/>
              <w:jc w:val="center"/>
              <w:rPr>
                <w:color w:val="000000" w:themeColor="text1"/>
                <w:szCs w:val="21"/>
              </w:rPr>
            </w:pPr>
            <w:r>
              <w:rPr>
                <w:color w:val="000000" w:themeColor="text1"/>
                <w:szCs w:val="21"/>
              </w:rPr>
              <w:t>符合</w:t>
            </w:r>
          </w:p>
        </w:tc>
      </w:tr>
      <w:tr w:rsidR="00644456">
        <w:trPr>
          <w:trHeight w:val="271"/>
          <w:jc w:val="center"/>
        </w:trPr>
        <w:tc>
          <w:tcPr>
            <w:tcW w:w="677" w:type="pct"/>
            <w:vMerge/>
            <w:tcBorders>
              <w:left w:val="nil"/>
              <w:right w:val="single" w:sz="4" w:space="0" w:color="auto"/>
            </w:tcBorders>
            <w:vAlign w:val="center"/>
          </w:tcPr>
          <w:p w:rsidR="00644456" w:rsidRDefault="00644456">
            <w:pPr>
              <w:autoSpaceDE w:val="0"/>
              <w:autoSpaceDN w:val="0"/>
              <w:snapToGrid w:val="0"/>
              <w:jc w:val="center"/>
              <w:rPr>
                <w:color w:val="000000" w:themeColor="text1"/>
                <w:szCs w:val="21"/>
              </w:rPr>
            </w:pP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autoSpaceDE w:val="0"/>
              <w:autoSpaceDN w:val="0"/>
              <w:snapToGrid w:val="0"/>
              <w:jc w:val="left"/>
              <w:rPr>
                <w:color w:val="000000" w:themeColor="text1"/>
                <w:szCs w:val="21"/>
              </w:rPr>
            </w:pPr>
            <w:r>
              <w:rPr>
                <w:rFonts w:hint="eastAsia"/>
                <w:color w:val="000000" w:themeColor="text1"/>
                <w:szCs w:val="21"/>
              </w:rPr>
              <w:t>（五）严控“两高”行业产能。</w:t>
            </w:r>
          </w:p>
        </w:tc>
        <w:tc>
          <w:tcPr>
            <w:tcW w:w="1228" w:type="pct"/>
            <w:tcBorders>
              <w:top w:val="single" w:sz="6" w:space="0" w:color="auto"/>
              <w:left w:val="single" w:sz="6" w:space="0" w:color="auto"/>
              <w:bottom w:val="single" w:sz="6" w:space="0" w:color="auto"/>
              <w:right w:val="single" w:sz="4" w:space="0" w:color="auto"/>
            </w:tcBorders>
            <w:vAlign w:val="center"/>
          </w:tcPr>
          <w:p w:rsidR="00644456" w:rsidRDefault="008031C4">
            <w:pPr>
              <w:autoSpaceDE w:val="0"/>
              <w:autoSpaceDN w:val="0"/>
              <w:snapToGrid w:val="0"/>
              <w:ind w:leftChars="-20" w:left="-42" w:rightChars="-20" w:right="-42"/>
              <w:jc w:val="center"/>
              <w:rPr>
                <w:color w:val="000000" w:themeColor="text1"/>
                <w:szCs w:val="21"/>
              </w:rPr>
            </w:pPr>
            <w:r>
              <w:rPr>
                <w:rFonts w:hint="eastAsia"/>
                <w:color w:val="000000" w:themeColor="text1"/>
                <w:szCs w:val="21"/>
              </w:rPr>
              <w:t>本项目不属于两高项目。</w:t>
            </w: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snapToGrid w:val="0"/>
              <w:jc w:val="center"/>
              <w:rPr>
                <w:color w:val="000000" w:themeColor="text1"/>
                <w:szCs w:val="21"/>
              </w:rPr>
            </w:pPr>
            <w:r>
              <w:rPr>
                <w:color w:val="000000" w:themeColor="text1"/>
                <w:szCs w:val="21"/>
              </w:rPr>
              <w:t>符合</w:t>
            </w:r>
          </w:p>
        </w:tc>
      </w:tr>
      <w:tr w:rsidR="00644456">
        <w:trPr>
          <w:trHeight w:val="271"/>
          <w:jc w:val="center"/>
        </w:trPr>
        <w:tc>
          <w:tcPr>
            <w:tcW w:w="677" w:type="pct"/>
            <w:vMerge/>
            <w:tcBorders>
              <w:left w:val="nil"/>
              <w:right w:val="single" w:sz="4" w:space="0" w:color="auto"/>
            </w:tcBorders>
            <w:vAlign w:val="center"/>
          </w:tcPr>
          <w:p w:rsidR="00644456" w:rsidRDefault="00644456">
            <w:pPr>
              <w:autoSpaceDE w:val="0"/>
              <w:autoSpaceDN w:val="0"/>
              <w:snapToGrid w:val="0"/>
              <w:jc w:val="center"/>
              <w:rPr>
                <w:color w:val="000000" w:themeColor="text1"/>
                <w:szCs w:val="21"/>
              </w:rPr>
            </w:pP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autoSpaceDE w:val="0"/>
              <w:autoSpaceDN w:val="0"/>
              <w:snapToGrid w:val="0"/>
              <w:ind w:leftChars="-20" w:left="-42" w:rightChars="-20" w:right="-42"/>
              <w:jc w:val="left"/>
              <w:rPr>
                <w:color w:val="000000" w:themeColor="text1"/>
                <w:szCs w:val="21"/>
              </w:rPr>
            </w:pPr>
            <w:r>
              <w:rPr>
                <w:rFonts w:hint="eastAsia"/>
                <w:color w:val="000000" w:themeColor="text1"/>
                <w:szCs w:val="21"/>
              </w:rPr>
              <w:t>（六）强化“散乱污”企业综合整治。</w:t>
            </w:r>
          </w:p>
          <w:p w:rsidR="00644456" w:rsidRDefault="008031C4">
            <w:pPr>
              <w:autoSpaceDE w:val="0"/>
              <w:autoSpaceDN w:val="0"/>
              <w:snapToGrid w:val="0"/>
              <w:ind w:leftChars="-20" w:left="-42" w:rightChars="-20" w:right="-42"/>
              <w:jc w:val="left"/>
              <w:rPr>
                <w:color w:val="000000" w:themeColor="text1"/>
                <w:szCs w:val="21"/>
              </w:rPr>
            </w:pPr>
            <w:r>
              <w:rPr>
                <w:rFonts w:hint="eastAsia"/>
                <w:color w:val="000000" w:themeColor="text1"/>
                <w:szCs w:val="21"/>
              </w:rPr>
              <w:t>全面开展“散乱污”企业及集群综合整治行动。根据产业政策、产业布局规划，以及土地、环保、质量、安全、能耗等要求，制定“散乱污”企业及集群整治标准。</w:t>
            </w:r>
          </w:p>
        </w:tc>
        <w:tc>
          <w:tcPr>
            <w:tcW w:w="1228" w:type="pct"/>
            <w:tcBorders>
              <w:top w:val="single" w:sz="6" w:space="0" w:color="auto"/>
              <w:left w:val="single" w:sz="6" w:space="0" w:color="auto"/>
              <w:bottom w:val="single" w:sz="6" w:space="0" w:color="auto"/>
              <w:right w:val="single" w:sz="4" w:space="0" w:color="auto"/>
            </w:tcBorders>
            <w:vAlign w:val="center"/>
          </w:tcPr>
          <w:p w:rsidR="00644456" w:rsidRDefault="008031C4">
            <w:pPr>
              <w:autoSpaceDE w:val="0"/>
              <w:autoSpaceDN w:val="0"/>
              <w:snapToGrid w:val="0"/>
              <w:ind w:leftChars="-20" w:left="-42" w:rightChars="-20" w:right="-42"/>
              <w:jc w:val="center"/>
              <w:rPr>
                <w:color w:val="000000" w:themeColor="text1"/>
                <w:szCs w:val="21"/>
              </w:rPr>
            </w:pPr>
            <w:r>
              <w:rPr>
                <w:rFonts w:hint="eastAsia"/>
                <w:color w:val="000000" w:themeColor="text1"/>
                <w:szCs w:val="21"/>
              </w:rPr>
              <w:t>本项目整个生产工序</w:t>
            </w:r>
            <w:r>
              <w:rPr>
                <w:color w:val="000000" w:themeColor="text1"/>
                <w:szCs w:val="21"/>
              </w:rPr>
              <w:t>布置在封闭的厂房内。</w:t>
            </w:r>
            <w:r>
              <w:rPr>
                <w:rFonts w:hint="eastAsia"/>
                <w:color w:val="000000" w:themeColor="text1"/>
                <w:szCs w:val="21"/>
              </w:rPr>
              <w:t>不属于“散乱污”企业。</w:t>
            </w: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adjustRightInd w:val="0"/>
              <w:snapToGrid w:val="0"/>
              <w:jc w:val="center"/>
              <w:rPr>
                <w:color w:val="000000" w:themeColor="text1"/>
                <w:szCs w:val="21"/>
              </w:rPr>
            </w:pPr>
            <w:r>
              <w:rPr>
                <w:color w:val="000000" w:themeColor="text1"/>
                <w:szCs w:val="21"/>
              </w:rPr>
              <w:t>符合</w:t>
            </w:r>
          </w:p>
        </w:tc>
      </w:tr>
      <w:tr w:rsidR="00644456">
        <w:trPr>
          <w:trHeight w:val="271"/>
          <w:jc w:val="center"/>
        </w:trPr>
        <w:tc>
          <w:tcPr>
            <w:tcW w:w="677" w:type="pct"/>
            <w:vMerge/>
            <w:tcBorders>
              <w:left w:val="nil"/>
              <w:right w:val="single" w:sz="4" w:space="0" w:color="auto"/>
            </w:tcBorders>
            <w:vAlign w:val="center"/>
          </w:tcPr>
          <w:p w:rsidR="00644456" w:rsidRDefault="00644456">
            <w:pPr>
              <w:autoSpaceDE w:val="0"/>
              <w:autoSpaceDN w:val="0"/>
              <w:snapToGrid w:val="0"/>
              <w:jc w:val="center"/>
              <w:rPr>
                <w:color w:val="000000" w:themeColor="text1"/>
                <w:szCs w:val="21"/>
              </w:rPr>
            </w:pP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autoSpaceDE w:val="0"/>
              <w:autoSpaceDN w:val="0"/>
              <w:adjustRightInd w:val="0"/>
              <w:snapToGrid w:val="0"/>
              <w:jc w:val="left"/>
              <w:rPr>
                <w:color w:val="000000" w:themeColor="text1"/>
                <w:szCs w:val="21"/>
              </w:rPr>
            </w:pPr>
            <w:r>
              <w:rPr>
                <w:rFonts w:hint="eastAsia"/>
                <w:color w:val="000000" w:themeColor="text1"/>
                <w:szCs w:val="21"/>
              </w:rPr>
              <w:t>（七）深化工业污染治理。持续推进工业污染源全面达标排放。</w:t>
            </w:r>
          </w:p>
        </w:tc>
        <w:tc>
          <w:tcPr>
            <w:tcW w:w="1228" w:type="pct"/>
            <w:tcBorders>
              <w:top w:val="single" w:sz="6" w:space="0" w:color="auto"/>
              <w:left w:val="single" w:sz="6" w:space="0" w:color="auto"/>
              <w:bottom w:val="single" w:sz="6" w:space="0" w:color="auto"/>
              <w:right w:val="single" w:sz="4" w:space="0" w:color="auto"/>
            </w:tcBorders>
            <w:vAlign w:val="center"/>
          </w:tcPr>
          <w:p w:rsidR="00644456" w:rsidRDefault="008031C4">
            <w:pPr>
              <w:autoSpaceDE w:val="0"/>
              <w:autoSpaceDN w:val="0"/>
              <w:snapToGrid w:val="0"/>
              <w:ind w:leftChars="-20" w:left="-42" w:rightChars="-20" w:right="-42"/>
              <w:jc w:val="center"/>
              <w:rPr>
                <w:color w:val="000000" w:themeColor="text1"/>
                <w:szCs w:val="21"/>
              </w:rPr>
            </w:pPr>
            <w:r>
              <w:rPr>
                <w:rFonts w:hint="eastAsia"/>
                <w:color w:val="000000" w:themeColor="text1"/>
                <w:szCs w:val="21"/>
              </w:rPr>
              <w:t>本项目整个生产工序</w:t>
            </w:r>
            <w:r>
              <w:rPr>
                <w:color w:val="000000" w:themeColor="text1"/>
                <w:szCs w:val="21"/>
              </w:rPr>
              <w:t>布置在封闭的厂房内。</w:t>
            </w:r>
            <w:r>
              <w:rPr>
                <w:rFonts w:hint="eastAsia"/>
                <w:color w:val="000000" w:themeColor="text1"/>
                <w:szCs w:val="21"/>
              </w:rPr>
              <w:t>工业污染源全面达标排放。</w:t>
            </w: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snapToGrid w:val="0"/>
              <w:jc w:val="center"/>
              <w:rPr>
                <w:color w:val="000000" w:themeColor="text1"/>
                <w:szCs w:val="21"/>
              </w:rPr>
            </w:pPr>
            <w:r>
              <w:rPr>
                <w:color w:val="000000" w:themeColor="text1"/>
                <w:szCs w:val="21"/>
              </w:rPr>
              <w:t>符合</w:t>
            </w:r>
          </w:p>
        </w:tc>
      </w:tr>
      <w:tr w:rsidR="00644456">
        <w:trPr>
          <w:trHeight w:val="271"/>
          <w:jc w:val="center"/>
        </w:trPr>
        <w:tc>
          <w:tcPr>
            <w:tcW w:w="677" w:type="pct"/>
            <w:vMerge/>
            <w:tcBorders>
              <w:left w:val="nil"/>
              <w:right w:val="single" w:sz="4" w:space="0" w:color="auto"/>
            </w:tcBorders>
            <w:vAlign w:val="center"/>
          </w:tcPr>
          <w:p w:rsidR="00644456" w:rsidRDefault="00644456">
            <w:pPr>
              <w:autoSpaceDE w:val="0"/>
              <w:autoSpaceDN w:val="0"/>
              <w:snapToGrid w:val="0"/>
              <w:jc w:val="center"/>
              <w:rPr>
                <w:color w:val="000000" w:themeColor="text1"/>
                <w:szCs w:val="21"/>
              </w:rPr>
            </w:pP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autoSpaceDE w:val="0"/>
              <w:autoSpaceDN w:val="0"/>
              <w:adjustRightInd w:val="0"/>
              <w:snapToGrid w:val="0"/>
              <w:jc w:val="left"/>
              <w:rPr>
                <w:color w:val="000000" w:themeColor="text1"/>
                <w:szCs w:val="21"/>
              </w:rPr>
            </w:pPr>
            <w:r>
              <w:rPr>
                <w:color w:val="000000" w:themeColor="text1"/>
                <w:szCs w:val="21"/>
              </w:rPr>
              <w:t>开展燃煤锅炉综合整治。加大燃煤小锅炉淘汰力度。县级及以上城市建成区基本淘汰每小时</w:t>
            </w:r>
            <w:r>
              <w:rPr>
                <w:color w:val="000000" w:themeColor="text1"/>
                <w:szCs w:val="21"/>
              </w:rPr>
              <w:t>10</w:t>
            </w:r>
            <w:r>
              <w:rPr>
                <w:color w:val="000000" w:themeColor="text1"/>
                <w:szCs w:val="21"/>
              </w:rPr>
              <w:t>蒸吨及以下燃煤锅炉及茶水炉、经营性炉灶、储粮烘干设备等燃煤设施，原则上不再新建每小时</w:t>
            </w:r>
            <w:r>
              <w:rPr>
                <w:color w:val="000000" w:themeColor="text1"/>
                <w:szCs w:val="21"/>
              </w:rPr>
              <w:t>35</w:t>
            </w:r>
            <w:r>
              <w:rPr>
                <w:color w:val="000000" w:themeColor="text1"/>
                <w:szCs w:val="21"/>
              </w:rPr>
              <w:t>蒸吨以下的燃煤锅炉，其他地区原则上不再新建每小时</w:t>
            </w:r>
            <w:r>
              <w:rPr>
                <w:color w:val="000000" w:themeColor="text1"/>
                <w:szCs w:val="21"/>
              </w:rPr>
              <w:t>10</w:t>
            </w:r>
            <w:r>
              <w:rPr>
                <w:color w:val="000000" w:themeColor="text1"/>
                <w:szCs w:val="21"/>
              </w:rPr>
              <w:t>蒸吨以下的燃煤锅炉。环境空气质量未达标城市应进一步加大淘汰力度。重点区域基本淘汰每小时</w:t>
            </w:r>
            <w:r>
              <w:rPr>
                <w:color w:val="000000" w:themeColor="text1"/>
                <w:szCs w:val="21"/>
              </w:rPr>
              <w:t>35</w:t>
            </w:r>
            <w:r>
              <w:rPr>
                <w:color w:val="000000" w:themeColor="text1"/>
                <w:szCs w:val="21"/>
              </w:rPr>
              <w:t>蒸吨以下燃煤锅炉，每小时</w:t>
            </w:r>
            <w:r>
              <w:rPr>
                <w:color w:val="000000" w:themeColor="text1"/>
                <w:szCs w:val="21"/>
              </w:rPr>
              <w:t>65</w:t>
            </w:r>
            <w:r>
              <w:rPr>
                <w:color w:val="000000" w:themeColor="text1"/>
                <w:szCs w:val="21"/>
              </w:rPr>
              <w:t>蒸吨及以上燃煤锅炉全部完成节能和超低排放改造；燃气锅炉基本完成低氮改造；城市建成区生物质锅炉实施超低排放改造</w:t>
            </w:r>
            <w:r>
              <w:rPr>
                <w:rFonts w:hint="eastAsia"/>
                <w:color w:val="000000" w:themeColor="text1"/>
                <w:szCs w:val="21"/>
              </w:rPr>
              <w:t>。</w:t>
            </w:r>
          </w:p>
        </w:tc>
        <w:tc>
          <w:tcPr>
            <w:tcW w:w="1228" w:type="pct"/>
            <w:tcBorders>
              <w:top w:val="single" w:sz="6" w:space="0" w:color="auto"/>
              <w:left w:val="single" w:sz="6" w:space="0" w:color="auto"/>
              <w:bottom w:val="single" w:sz="6" w:space="0" w:color="auto"/>
              <w:right w:val="single" w:sz="4" w:space="0" w:color="auto"/>
            </w:tcBorders>
            <w:vAlign w:val="center"/>
          </w:tcPr>
          <w:p w:rsidR="00644456" w:rsidRDefault="008031C4">
            <w:pPr>
              <w:autoSpaceDE w:val="0"/>
              <w:autoSpaceDN w:val="0"/>
              <w:snapToGrid w:val="0"/>
              <w:ind w:leftChars="-20" w:left="-42" w:rightChars="-20" w:right="-42"/>
              <w:jc w:val="center"/>
              <w:rPr>
                <w:color w:val="000000" w:themeColor="text1"/>
                <w:szCs w:val="21"/>
              </w:rPr>
            </w:pPr>
            <w:r>
              <w:rPr>
                <w:rFonts w:hint="eastAsia"/>
                <w:color w:val="000000" w:themeColor="text1"/>
                <w:szCs w:val="21"/>
              </w:rPr>
              <w:t>本项目不涉及燃煤锅炉。</w:t>
            </w: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snapToGrid w:val="0"/>
              <w:jc w:val="center"/>
              <w:rPr>
                <w:color w:val="000000" w:themeColor="text1"/>
                <w:szCs w:val="21"/>
              </w:rPr>
            </w:pPr>
            <w:r>
              <w:rPr>
                <w:color w:val="000000" w:themeColor="text1"/>
                <w:szCs w:val="21"/>
              </w:rPr>
              <w:t>符合</w:t>
            </w:r>
          </w:p>
        </w:tc>
      </w:tr>
      <w:tr w:rsidR="00644456">
        <w:trPr>
          <w:trHeight w:val="271"/>
          <w:jc w:val="center"/>
        </w:trPr>
        <w:tc>
          <w:tcPr>
            <w:tcW w:w="677" w:type="pct"/>
            <w:vMerge w:val="restart"/>
            <w:tcBorders>
              <w:left w:val="nil"/>
              <w:right w:val="single" w:sz="4" w:space="0" w:color="auto"/>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《新疆维吾尔自治区大气污染防治条例》新疆维吾尔自治区第十三届人民</w:t>
            </w:r>
          </w:p>
          <w:p w:rsidR="00644456" w:rsidRDefault="008031C4">
            <w:pPr>
              <w:autoSpaceDE w:val="0"/>
              <w:autoSpaceDN w:val="0"/>
              <w:snapToGrid w:val="0"/>
              <w:jc w:val="center"/>
              <w:rPr>
                <w:color w:val="000000" w:themeColor="text1"/>
                <w:szCs w:val="21"/>
              </w:rPr>
            </w:pPr>
            <w:r>
              <w:rPr>
                <w:rFonts w:hint="eastAsia"/>
                <w:color w:val="000000" w:themeColor="text1"/>
                <w:szCs w:val="21"/>
              </w:rPr>
              <w:t>代表大会常务委员会第七次会议</w:t>
            </w: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widowControl/>
              <w:jc w:val="center"/>
              <w:rPr>
                <w:color w:val="000000" w:themeColor="text1"/>
                <w:szCs w:val="21"/>
              </w:rPr>
            </w:pPr>
            <w:r>
              <w:rPr>
                <w:rFonts w:cs="Times New Roman"/>
                <w:color w:val="000000"/>
                <w:kern w:val="0"/>
                <w:szCs w:val="21"/>
                <w:lang w:bidi="ar"/>
              </w:rPr>
              <w:t>禁止在自治区行政区域内引进能（水）耗不符合相关国家标准中准入值要求且污染物排放和环境风险防控不符合国家（地方）标准及有关产业准入条件的高污染（排放）、高能（水）耗、高环境风险的工业项目。</w:t>
            </w:r>
          </w:p>
        </w:tc>
        <w:tc>
          <w:tcPr>
            <w:tcW w:w="1228" w:type="pct"/>
            <w:tcBorders>
              <w:top w:val="single" w:sz="6" w:space="0" w:color="auto"/>
              <w:left w:val="single" w:sz="6" w:space="0" w:color="auto"/>
              <w:bottom w:val="single" w:sz="6" w:space="0" w:color="auto"/>
              <w:right w:val="single" w:sz="4" w:space="0" w:color="auto"/>
            </w:tcBorders>
            <w:vAlign w:val="center"/>
          </w:tcPr>
          <w:p w:rsidR="00644456" w:rsidRDefault="008031C4">
            <w:pPr>
              <w:autoSpaceDE w:val="0"/>
              <w:autoSpaceDN w:val="0"/>
              <w:snapToGrid w:val="0"/>
              <w:ind w:leftChars="-20" w:left="-42" w:rightChars="-20" w:right="-42"/>
              <w:jc w:val="center"/>
              <w:rPr>
                <w:color w:val="000000" w:themeColor="text1"/>
                <w:szCs w:val="21"/>
              </w:rPr>
            </w:pPr>
            <w:r>
              <w:rPr>
                <w:rFonts w:cs="Times New Roman"/>
                <w:color w:val="000000"/>
                <w:kern w:val="0"/>
                <w:szCs w:val="21"/>
                <w:lang w:bidi="ar"/>
              </w:rPr>
              <w:t>项目用电由园区电网供应。项目污染物排放量较小，对环境影响较小，不属于高污染、高能耗、高环境风险的项目。</w:t>
            </w: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r w:rsidR="00644456">
        <w:trPr>
          <w:trHeight w:val="271"/>
          <w:jc w:val="center"/>
        </w:trPr>
        <w:tc>
          <w:tcPr>
            <w:tcW w:w="677" w:type="pct"/>
            <w:vMerge/>
            <w:tcBorders>
              <w:left w:val="nil"/>
              <w:right w:val="single" w:sz="4" w:space="0" w:color="auto"/>
            </w:tcBorders>
            <w:vAlign w:val="center"/>
          </w:tcPr>
          <w:p w:rsidR="00644456" w:rsidRDefault="00644456">
            <w:pPr>
              <w:autoSpaceDE w:val="0"/>
              <w:autoSpaceDN w:val="0"/>
              <w:snapToGrid w:val="0"/>
              <w:jc w:val="center"/>
              <w:rPr>
                <w:color w:val="000000" w:themeColor="text1"/>
                <w:szCs w:val="21"/>
              </w:rPr>
            </w:pP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widowControl/>
              <w:adjustRightInd w:val="0"/>
              <w:snapToGrid w:val="0"/>
              <w:jc w:val="center"/>
              <w:rPr>
                <w:rFonts w:cs="Times New Roman"/>
                <w:color w:val="000000"/>
                <w:kern w:val="0"/>
                <w:szCs w:val="21"/>
                <w:lang w:bidi="ar"/>
              </w:rPr>
            </w:pPr>
            <w:r>
              <w:rPr>
                <w:rFonts w:cs="Times New Roman"/>
                <w:color w:val="000000"/>
                <w:kern w:val="0"/>
                <w:szCs w:val="21"/>
                <w:lang w:bidi="ar"/>
              </w:rPr>
              <w:t>禁止新建、改建、扩建列入淘汰类目录的高污染工业项目。禁止使用列入淘汰类目录的工艺、设备、产品。</w:t>
            </w:r>
          </w:p>
        </w:tc>
        <w:tc>
          <w:tcPr>
            <w:tcW w:w="1228" w:type="pct"/>
            <w:tcBorders>
              <w:top w:val="single" w:sz="6" w:space="0" w:color="auto"/>
              <w:left w:val="single" w:sz="6" w:space="0" w:color="auto"/>
              <w:bottom w:val="single" w:sz="6" w:space="0" w:color="auto"/>
              <w:right w:val="single" w:sz="4" w:space="0" w:color="auto"/>
            </w:tcBorders>
            <w:vAlign w:val="center"/>
          </w:tcPr>
          <w:p w:rsidR="00644456" w:rsidRDefault="008031C4">
            <w:pPr>
              <w:autoSpaceDE w:val="0"/>
              <w:autoSpaceDN w:val="0"/>
              <w:snapToGrid w:val="0"/>
              <w:ind w:leftChars="-20" w:left="-42" w:rightChars="-20" w:right="-42"/>
              <w:jc w:val="center"/>
              <w:rPr>
                <w:rFonts w:cs="Times New Roman"/>
                <w:color w:val="000000"/>
                <w:kern w:val="0"/>
                <w:szCs w:val="21"/>
                <w:lang w:bidi="ar"/>
              </w:rPr>
            </w:pPr>
            <w:r>
              <w:rPr>
                <w:rFonts w:cs="Times New Roman"/>
                <w:color w:val="000000"/>
                <w:kern w:val="0"/>
                <w:szCs w:val="21"/>
                <w:lang w:bidi="ar"/>
              </w:rPr>
              <w:t>本项目生产工艺、设备、产品属于鼓励类。</w:t>
            </w: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r w:rsidR="00644456">
        <w:trPr>
          <w:trHeight w:val="271"/>
          <w:jc w:val="center"/>
        </w:trPr>
        <w:tc>
          <w:tcPr>
            <w:tcW w:w="677" w:type="pct"/>
            <w:vMerge/>
            <w:tcBorders>
              <w:left w:val="nil"/>
              <w:right w:val="single" w:sz="4" w:space="0" w:color="auto"/>
            </w:tcBorders>
            <w:vAlign w:val="center"/>
          </w:tcPr>
          <w:p w:rsidR="00644456" w:rsidRDefault="00644456">
            <w:pPr>
              <w:autoSpaceDE w:val="0"/>
              <w:autoSpaceDN w:val="0"/>
              <w:snapToGrid w:val="0"/>
              <w:jc w:val="center"/>
              <w:rPr>
                <w:color w:val="000000" w:themeColor="text1"/>
                <w:szCs w:val="21"/>
              </w:rPr>
            </w:pP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widowControl/>
              <w:jc w:val="center"/>
              <w:rPr>
                <w:rFonts w:cs="Times New Roman"/>
                <w:color w:val="000000"/>
                <w:kern w:val="0"/>
                <w:szCs w:val="21"/>
                <w:lang w:bidi="ar"/>
              </w:rPr>
            </w:pPr>
            <w:r>
              <w:rPr>
                <w:rFonts w:cs="Times New Roman"/>
                <w:color w:val="000000"/>
                <w:kern w:val="0"/>
                <w:szCs w:val="21"/>
                <w:lang w:bidi="ar"/>
              </w:rPr>
              <w:t>县级以上人民政府应当鼓励产业集聚发展，按照主体功能区划合理规划工业园区的布局，引导工业企业入驻工业园区。</w:t>
            </w:r>
          </w:p>
        </w:tc>
        <w:tc>
          <w:tcPr>
            <w:tcW w:w="1228" w:type="pct"/>
            <w:tcBorders>
              <w:top w:val="single" w:sz="6" w:space="0" w:color="auto"/>
              <w:left w:val="single" w:sz="6" w:space="0" w:color="auto"/>
              <w:bottom w:val="single" w:sz="6" w:space="0" w:color="auto"/>
              <w:right w:val="single" w:sz="4" w:space="0" w:color="auto"/>
            </w:tcBorders>
            <w:vAlign w:val="center"/>
          </w:tcPr>
          <w:p w:rsidR="00644456" w:rsidRDefault="008031C4">
            <w:pPr>
              <w:autoSpaceDE w:val="0"/>
              <w:autoSpaceDN w:val="0"/>
              <w:snapToGrid w:val="0"/>
              <w:ind w:leftChars="-20" w:left="-42" w:rightChars="-20" w:right="-42"/>
              <w:jc w:val="center"/>
              <w:rPr>
                <w:rFonts w:cs="Times New Roman"/>
                <w:color w:val="000000"/>
                <w:kern w:val="0"/>
                <w:szCs w:val="21"/>
                <w:lang w:bidi="ar"/>
              </w:rPr>
            </w:pPr>
            <w:r>
              <w:rPr>
                <w:rFonts w:cs="Times New Roman"/>
                <w:color w:val="000000"/>
                <w:kern w:val="0"/>
                <w:szCs w:val="21"/>
                <w:lang w:bidi="ar"/>
              </w:rPr>
              <w:t>项目位于</w:t>
            </w:r>
            <w:r>
              <w:rPr>
                <w:rFonts w:cs="Times New Roman" w:hint="eastAsia"/>
                <w:color w:val="000000"/>
                <w:kern w:val="0"/>
                <w:szCs w:val="21"/>
                <w:lang w:bidi="ar"/>
              </w:rPr>
              <w:t>化工产业聚集区</w:t>
            </w:r>
            <w:r>
              <w:rPr>
                <w:rFonts w:cs="Times New Roman"/>
                <w:color w:val="000000"/>
                <w:kern w:val="0"/>
                <w:szCs w:val="21"/>
                <w:lang w:bidi="ar"/>
              </w:rPr>
              <w:t>，符合园区产业布局，用地类型属于工业用地。</w:t>
            </w: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r w:rsidR="00644456">
        <w:trPr>
          <w:trHeight w:val="271"/>
          <w:jc w:val="center"/>
        </w:trPr>
        <w:tc>
          <w:tcPr>
            <w:tcW w:w="677" w:type="pct"/>
            <w:vMerge w:val="restart"/>
            <w:tcBorders>
              <w:left w:val="nil"/>
              <w:right w:val="single" w:sz="4" w:space="0" w:color="auto"/>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《关于深入打好污染防治攻坚战的实施方案》</w:t>
            </w: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坚决遏制高耗能高排放低水平项目盲目发展。严把高耗能高排放低水平项目准入关口，严格落实污染物排放区域削减要求，对不符合规定的项目坚决停批停建。依法依规淘汰落后产能和化解过剩产能。大气污染防治重点区域严禁新增钢铁、水泥熟料、平板玻璃、煤化工产能，严控新增炼油产能，其他地区钢铁、水泥熟料、平板玻璃、炼油、电解铝等新建、扩建项目严格实施产能等量或减量置换要求</w:t>
            </w:r>
          </w:p>
        </w:tc>
        <w:tc>
          <w:tcPr>
            <w:tcW w:w="1228" w:type="pct"/>
            <w:vMerge w:val="restart"/>
            <w:tcBorders>
              <w:top w:val="single" w:sz="6" w:space="0" w:color="auto"/>
              <w:left w:val="single" w:sz="6" w:space="0" w:color="auto"/>
              <w:right w:val="single" w:sz="4" w:space="0" w:color="auto"/>
            </w:tcBorders>
            <w:vAlign w:val="center"/>
          </w:tcPr>
          <w:p w:rsidR="00644456" w:rsidRDefault="008031C4">
            <w:pPr>
              <w:autoSpaceDE w:val="0"/>
              <w:autoSpaceDN w:val="0"/>
              <w:snapToGrid w:val="0"/>
              <w:ind w:leftChars="-20" w:left="-42" w:rightChars="-20" w:right="-42"/>
              <w:jc w:val="center"/>
              <w:rPr>
                <w:rFonts w:cs="Times New Roman"/>
                <w:color w:val="000000"/>
                <w:kern w:val="0"/>
                <w:szCs w:val="21"/>
                <w:lang w:bidi="ar"/>
              </w:rPr>
            </w:pPr>
            <w:r>
              <w:rPr>
                <w:rFonts w:cs="Times New Roman" w:hint="eastAsia"/>
                <w:color w:val="000000"/>
                <w:kern w:val="0"/>
                <w:szCs w:val="21"/>
                <w:lang w:bidi="ar"/>
              </w:rPr>
              <w:t>本项目不属于高耗能高排放低水平项目，本项目位于喀什地区疏勒县化工聚集区，项目产生的废气经净化装置处理后通过</w:t>
            </w:r>
            <w:r>
              <w:rPr>
                <w:rFonts w:cs="Times New Roman" w:hint="eastAsia"/>
                <w:color w:val="000000"/>
                <w:kern w:val="0"/>
                <w:szCs w:val="21"/>
                <w:lang w:bidi="ar"/>
              </w:rPr>
              <w:t>15</w:t>
            </w:r>
            <w:r>
              <w:rPr>
                <w:rFonts w:cs="Times New Roman" w:hint="eastAsia"/>
                <w:color w:val="000000"/>
                <w:kern w:val="0"/>
                <w:szCs w:val="21"/>
                <w:lang w:bidi="ar"/>
              </w:rPr>
              <w:t>米排气筒高空达标排放。</w:t>
            </w: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r w:rsidR="00644456">
        <w:trPr>
          <w:trHeight w:val="271"/>
          <w:jc w:val="center"/>
        </w:trPr>
        <w:tc>
          <w:tcPr>
            <w:tcW w:w="677" w:type="pct"/>
            <w:vMerge/>
            <w:tcBorders>
              <w:left w:val="nil"/>
              <w:right w:val="single" w:sz="4" w:space="0" w:color="auto"/>
            </w:tcBorders>
            <w:vAlign w:val="center"/>
          </w:tcPr>
          <w:p w:rsidR="00644456" w:rsidRDefault="00644456">
            <w:pPr>
              <w:autoSpaceDE w:val="0"/>
              <w:autoSpaceDN w:val="0"/>
              <w:snapToGrid w:val="0"/>
              <w:jc w:val="center"/>
              <w:rPr>
                <w:color w:val="000000" w:themeColor="text1"/>
                <w:szCs w:val="21"/>
              </w:rPr>
            </w:pP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着力打好重污染天气消除攻坚战。聚焦采暖期重污染天气治理，加大重点区域、重点行业结构调整和污染治理力度。强化兵地联防联控联治，加大力度推动“乌—昌—石”“奎—独—乌”和其他大气污染防治重点区域环境空气质量持续改善。对现有排放企业和自备电厂，对标国际国内最新标准和可行性技术，进行提标改造升级。采暖期除弥补大电网时段性负荷缺口等特殊情形，停运没有改造完的自备电厂，鼓励自备电厂所在企业使用网上“绿电”。重点行业企业纳入重污染天气绩效分级，制定“一厂一策”应急减排清单，实现应纳尽纳；引导重点企业在秋冬季安排停产检修计划，减少冬季和采暖期排放。持续推进集中供热，充分发挥大型煤电机组供热能力。推进重点行业深度治理，实施全工况脱硫脱硝提标改造，加大无组织排放治理力度，深度开展工业炉窑综合整治，全面提升电解铝、活性炭、硅冶炼、纯碱、电石、聚氯乙烯、石化等行业</w:t>
            </w:r>
            <w:r>
              <w:rPr>
                <w:rFonts w:cs="Times New Roman" w:hint="eastAsia"/>
                <w:color w:val="000000"/>
                <w:kern w:val="0"/>
                <w:szCs w:val="21"/>
                <w:lang w:bidi="ar"/>
              </w:rPr>
              <w:lastRenderedPageBreak/>
              <w:t>污染治理水平，</w:t>
            </w:r>
            <w:r>
              <w:rPr>
                <w:rFonts w:cs="Times New Roman" w:hint="eastAsia"/>
                <w:color w:val="000000"/>
                <w:kern w:val="0"/>
                <w:szCs w:val="21"/>
                <w:lang w:bidi="ar"/>
              </w:rPr>
              <w:t>2022</w:t>
            </w:r>
            <w:r>
              <w:rPr>
                <w:rFonts w:cs="Times New Roman" w:hint="eastAsia"/>
                <w:color w:val="000000"/>
                <w:kern w:val="0"/>
                <w:szCs w:val="21"/>
                <w:lang w:bidi="ar"/>
              </w:rPr>
              <w:t>年底前完成“乌—昌—石”区域企业全工况脱硫脱硝提标改造。推进燃气锅炉低氮燃烧改造和</w:t>
            </w:r>
            <w:r>
              <w:rPr>
                <w:rFonts w:cs="Times New Roman" w:hint="eastAsia"/>
                <w:color w:val="000000"/>
                <w:kern w:val="0"/>
                <w:szCs w:val="21"/>
                <w:lang w:bidi="ar"/>
              </w:rPr>
              <w:t>65</w:t>
            </w:r>
            <w:r>
              <w:rPr>
                <w:rFonts w:cs="Times New Roman" w:hint="eastAsia"/>
                <w:color w:val="000000"/>
                <w:kern w:val="0"/>
                <w:szCs w:val="21"/>
                <w:lang w:bidi="ar"/>
              </w:rPr>
              <w:t>蒸吨</w:t>
            </w:r>
            <w:r>
              <w:rPr>
                <w:rFonts w:cs="Times New Roman" w:hint="eastAsia"/>
                <w:color w:val="000000"/>
                <w:kern w:val="0"/>
                <w:szCs w:val="21"/>
                <w:lang w:bidi="ar"/>
              </w:rPr>
              <w:t>/</w:t>
            </w:r>
            <w:r>
              <w:rPr>
                <w:rFonts w:cs="Times New Roman" w:hint="eastAsia"/>
                <w:color w:val="000000"/>
                <w:kern w:val="0"/>
                <w:szCs w:val="21"/>
                <w:lang w:bidi="ar"/>
              </w:rPr>
              <w:t>小时及以上燃煤锅炉超低排放改造，到</w:t>
            </w:r>
            <w:r>
              <w:rPr>
                <w:rFonts w:cs="Times New Roman" w:hint="eastAsia"/>
                <w:color w:val="000000"/>
                <w:kern w:val="0"/>
                <w:szCs w:val="21"/>
                <w:lang w:bidi="ar"/>
              </w:rPr>
              <w:t>2024</w:t>
            </w:r>
            <w:r>
              <w:rPr>
                <w:rFonts w:cs="Times New Roman" w:hint="eastAsia"/>
                <w:color w:val="000000"/>
                <w:kern w:val="0"/>
                <w:szCs w:val="21"/>
                <w:lang w:bidi="ar"/>
              </w:rPr>
              <w:t>年县级及以上城市建成区基本淘汰</w:t>
            </w:r>
            <w:r>
              <w:rPr>
                <w:rFonts w:cs="Times New Roman" w:hint="eastAsia"/>
                <w:color w:val="000000"/>
                <w:kern w:val="0"/>
                <w:szCs w:val="21"/>
                <w:lang w:bidi="ar"/>
              </w:rPr>
              <w:t>35</w:t>
            </w:r>
            <w:r>
              <w:rPr>
                <w:rFonts w:cs="Times New Roman" w:hint="eastAsia"/>
                <w:color w:val="000000"/>
                <w:kern w:val="0"/>
                <w:szCs w:val="21"/>
                <w:lang w:bidi="ar"/>
              </w:rPr>
              <w:t>蒸吨</w:t>
            </w:r>
            <w:r>
              <w:rPr>
                <w:rFonts w:cs="Times New Roman" w:hint="eastAsia"/>
                <w:color w:val="000000"/>
                <w:kern w:val="0"/>
                <w:szCs w:val="21"/>
                <w:lang w:bidi="ar"/>
              </w:rPr>
              <w:t>/</w:t>
            </w:r>
            <w:r>
              <w:rPr>
                <w:rFonts w:cs="Times New Roman" w:hint="eastAsia"/>
                <w:color w:val="000000"/>
                <w:kern w:val="0"/>
                <w:szCs w:val="21"/>
                <w:lang w:bidi="ar"/>
              </w:rPr>
              <w:t>小时及以下的燃煤锅炉，“乌—昌—石”区域基本淘汰</w:t>
            </w:r>
            <w:r>
              <w:rPr>
                <w:rFonts w:cs="Times New Roman" w:hint="eastAsia"/>
                <w:color w:val="000000"/>
                <w:kern w:val="0"/>
                <w:szCs w:val="21"/>
                <w:lang w:bidi="ar"/>
              </w:rPr>
              <w:t>65</w:t>
            </w:r>
            <w:r>
              <w:rPr>
                <w:rFonts w:cs="Times New Roman" w:hint="eastAsia"/>
                <w:color w:val="000000"/>
                <w:kern w:val="0"/>
                <w:szCs w:val="21"/>
                <w:lang w:bidi="ar"/>
              </w:rPr>
              <w:t>蒸吨</w:t>
            </w:r>
            <w:r>
              <w:rPr>
                <w:rFonts w:cs="Times New Roman" w:hint="eastAsia"/>
                <w:color w:val="000000"/>
                <w:kern w:val="0"/>
                <w:szCs w:val="21"/>
                <w:lang w:bidi="ar"/>
              </w:rPr>
              <w:t>/</w:t>
            </w:r>
            <w:r>
              <w:rPr>
                <w:rFonts w:cs="Times New Roman" w:hint="eastAsia"/>
                <w:color w:val="000000"/>
                <w:kern w:val="0"/>
                <w:szCs w:val="21"/>
                <w:lang w:bidi="ar"/>
              </w:rPr>
              <w:t>小时以下燃煤锅炉。到</w:t>
            </w:r>
            <w:r>
              <w:rPr>
                <w:rFonts w:cs="Times New Roman" w:hint="eastAsia"/>
                <w:color w:val="000000"/>
                <w:kern w:val="0"/>
                <w:szCs w:val="21"/>
                <w:lang w:bidi="ar"/>
              </w:rPr>
              <w:t>2025</w:t>
            </w:r>
            <w:r>
              <w:rPr>
                <w:rFonts w:cs="Times New Roman" w:hint="eastAsia"/>
                <w:color w:val="000000"/>
                <w:kern w:val="0"/>
                <w:szCs w:val="21"/>
                <w:lang w:bidi="ar"/>
              </w:rPr>
              <w:t>年自治区地（州、市）首府所在城市重污染天数比率控制在</w:t>
            </w:r>
            <w:r>
              <w:rPr>
                <w:rFonts w:cs="Times New Roman" w:hint="eastAsia"/>
                <w:color w:val="000000"/>
                <w:kern w:val="0"/>
                <w:szCs w:val="21"/>
                <w:lang w:bidi="ar"/>
              </w:rPr>
              <w:t>1.1%</w:t>
            </w:r>
            <w:r>
              <w:rPr>
                <w:rFonts w:cs="Times New Roman" w:hint="eastAsia"/>
                <w:color w:val="000000"/>
                <w:kern w:val="0"/>
                <w:szCs w:val="21"/>
                <w:lang w:bidi="ar"/>
              </w:rPr>
              <w:t>以内，兵团石河子、五家渠两城市重污染天数比率控制在</w:t>
            </w:r>
            <w:r>
              <w:rPr>
                <w:rFonts w:cs="Times New Roman" w:hint="eastAsia"/>
                <w:color w:val="000000"/>
                <w:kern w:val="0"/>
                <w:szCs w:val="21"/>
                <w:lang w:bidi="ar"/>
              </w:rPr>
              <w:t>9.0%</w:t>
            </w:r>
            <w:r>
              <w:rPr>
                <w:rFonts w:cs="Times New Roman" w:hint="eastAsia"/>
                <w:color w:val="000000"/>
                <w:kern w:val="0"/>
                <w:szCs w:val="21"/>
                <w:lang w:bidi="ar"/>
              </w:rPr>
              <w:t>以内。进一步加强对“乌—昌—石”区域大气污染治理的统筹协调，自治区人民政府每月召开一次“乌—昌—石”等重点区域大气污染防治工作调度会。除国家规定新增原料用能不纳入能源消费总量控制的项目和列入国家规划的项目外，“乌—昌—石”等重点区域不再新建、扩建使用煤炭项目。打造“乌—昌—石”绿色用能示范区，在“乌—昌—石”周边建设“清洁高效先进节能煤电</w:t>
            </w:r>
            <w:r>
              <w:rPr>
                <w:rFonts w:cs="Times New Roman" w:hint="eastAsia"/>
                <w:color w:val="000000"/>
                <w:kern w:val="0"/>
                <w:szCs w:val="21"/>
                <w:lang w:bidi="ar"/>
              </w:rPr>
              <w:t>+</w:t>
            </w:r>
            <w:r>
              <w:rPr>
                <w:rFonts w:cs="Times New Roman" w:hint="eastAsia"/>
                <w:color w:val="000000"/>
                <w:kern w:val="0"/>
                <w:szCs w:val="21"/>
                <w:lang w:bidi="ar"/>
              </w:rPr>
              <w:t>新能源”的大型能源基地，推动准东、准北区域以新能源为基础、以清洁高效先进节能煤电为支撑的大型能源基地建设，依托超高压输电通道输送清洁能源高占比电力至“乌—昌—石”区域，逐步替代燃煤自备电厂供电；加快乌鲁木齐市达坂城区新能源基地建设，加快达坂城等抽水蓄能电站建设，推进调峰、调频储能电站建设。强化钢铁、有色金属、化工等行业执行重污染天气应急减排措施监督检查；建立和完善重污染天气兵地联合应急预案、预报预警应急机制和会商联动机制。“乌—昌—石”区域内可能影响相邻行政区域大气环境的项目，兵地间、城市间必须相互征求意见。</w:t>
            </w:r>
          </w:p>
        </w:tc>
        <w:tc>
          <w:tcPr>
            <w:tcW w:w="1228" w:type="pct"/>
            <w:vMerge/>
            <w:tcBorders>
              <w:left w:val="single" w:sz="6" w:space="0" w:color="auto"/>
              <w:bottom w:val="single" w:sz="6" w:space="0" w:color="auto"/>
              <w:right w:val="single" w:sz="4" w:space="0" w:color="auto"/>
            </w:tcBorders>
            <w:vAlign w:val="center"/>
          </w:tcPr>
          <w:p w:rsidR="00644456" w:rsidRDefault="00644456">
            <w:pPr>
              <w:autoSpaceDE w:val="0"/>
              <w:autoSpaceDN w:val="0"/>
              <w:snapToGrid w:val="0"/>
              <w:ind w:leftChars="-20" w:left="-42" w:rightChars="-20" w:right="-42"/>
              <w:jc w:val="center"/>
              <w:rPr>
                <w:rFonts w:cs="Times New Roman"/>
                <w:color w:val="000000"/>
                <w:kern w:val="0"/>
                <w:szCs w:val="21"/>
                <w:lang w:bidi="ar"/>
              </w:rPr>
            </w:pP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r w:rsidR="00644456">
        <w:trPr>
          <w:trHeight w:val="271"/>
          <w:jc w:val="center"/>
        </w:trPr>
        <w:tc>
          <w:tcPr>
            <w:tcW w:w="677" w:type="pct"/>
            <w:tcBorders>
              <w:left w:val="nil"/>
              <w:right w:val="single" w:sz="4" w:space="0" w:color="auto"/>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《新疆维吾尔自治区大气污染防治条例》（</w:t>
            </w:r>
            <w:r>
              <w:rPr>
                <w:rFonts w:hint="eastAsia"/>
                <w:color w:val="000000" w:themeColor="text1"/>
                <w:szCs w:val="21"/>
              </w:rPr>
              <w:t>2018</w:t>
            </w:r>
            <w:r>
              <w:rPr>
                <w:rFonts w:hint="eastAsia"/>
                <w:color w:val="000000" w:themeColor="text1"/>
                <w:szCs w:val="21"/>
              </w:rPr>
              <w:t>年</w:t>
            </w:r>
            <w:r>
              <w:rPr>
                <w:rFonts w:hint="eastAsia"/>
                <w:color w:val="000000" w:themeColor="text1"/>
                <w:szCs w:val="21"/>
              </w:rPr>
              <w:t>11</w:t>
            </w:r>
            <w:r>
              <w:rPr>
                <w:rFonts w:hint="eastAsia"/>
                <w:color w:val="000000" w:themeColor="text1"/>
                <w:szCs w:val="21"/>
              </w:rPr>
              <w:t>月</w:t>
            </w:r>
            <w:r>
              <w:rPr>
                <w:rFonts w:hint="eastAsia"/>
                <w:color w:val="000000" w:themeColor="text1"/>
                <w:szCs w:val="21"/>
              </w:rPr>
              <w:t>30</w:t>
            </w:r>
            <w:r>
              <w:rPr>
                <w:rFonts w:hint="eastAsia"/>
                <w:color w:val="000000" w:themeColor="text1"/>
                <w:szCs w:val="21"/>
              </w:rPr>
              <w:t>日）</w:t>
            </w: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鼓励和支持清洁能源的开发利用，引导企业开展清洁能源替代，减少煤炭生产、使用、转化过程中的大气污染物排放。”、第二十四条“在集中供热未覆盖的区域，鼓励使用清洁能源替代，推广使用高效节能环保型锅炉。”；第二十九条“县级以上人民政府应当鼓励产业集聚发展，按照主体功能区划合理规划工业园区的布局，引导工业企业入驻工业园区。”的要求</w:t>
            </w:r>
          </w:p>
        </w:tc>
        <w:tc>
          <w:tcPr>
            <w:tcW w:w="1228" w:type="pct"/>
            <w:tcBorders>
              <w:top w:val="single" w:sz="6" w:space="0" w:color="auto"/>
              <w:left w:val="single" w:sz="6" w:space="0" w:color="auto"/>
              <w:bottom w:val="single" w:sz="6" w:space="0" w:color="auto"/>
              <w:right w:val="single" w:sz="4" w:space="0" w:color="auto"/>
            </w:tcBorders>
            <w:vAlign w:val="center"/>
          </w:tcPr>
          <w:p w:rsidR="00644456" w:rsidRDefault="008031C4">
            <w:pPr>
              <w:autoSpaceDE w:val="0"/>
              <w:autoSpaceDN w:val="0"/>
              <w:snapToGrid w:val="0"/>
              <w:ind w:leftChars="-20" w:left="-42" w:rightChars="-20" w:right="-42"/>
              <w:jc w:val="center"/>
              <w:rPr>
                <w:rFonts w:cs="Times New Roman"/>
                <w:color w:val="000000"/>
                <w:kern w:val="0"/>
                <w:szCs w:val="21"/>
                <w:lang w:bidi="ar"/>
              </w:rPr>
            </w:pPr>
            <w:r>
              <w:rPr>
                <w:rFonts w:cs="Times New Roman" w:hint="eastAsia"/>
                <w:color w:val="000000"/>
                <w:kern w:val="0"/>
                <w:szCs w:val="21"/>
                <w:lang w:bidi="ar"/>
              </w:rPr>
              <w:t>项目位于化工产业聚集区，本项目采用清洁能源天然气、电作为能源，</w:t>
            </w:r>
          </w:p>
          <w:p w:rsidR="00644456" w:rsidRDefault="00644456">
            <w:pPr>
              <w:autoSpaceDE w:val="0"/>
              <w:autoSpaceDN w:val="0"/>
              <w:snapToGrid w:val="0"/>
              <w:ind w:leftChars="-20" w:left="-42" w:rightChars="-20" w:right="-42"/>
              <w:jc w:val="center"/>
              <w:rPr>
                <w:rFonts w:cs="Times New Roman"/>
                <w:color w:val="000000"/>
                <w:kern w:val="0"/>
                <w:szCs w:val="21"/>
                <w:lang w:bidi="ar"/>
              </w:rPr>
            </w:pP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r w:rsidR="00644456">
        <w:trPr>
          <w:trHeight w:val="271"/>
          <w:jc w:val="center"/>
        </w:trPr>
        <w:tc>
          <w:tcPr>
            <w:tcW w:w="677" w:type="pct"/>
            <w:vMerge w:val="restart"/>
            <w:tcBorders>
              <w:left w:val="nil"/>
              <w:right w:val="single" w:sz="4" w:space="0" w:color="auto"/>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《挥发性有机物无组织排放控制标准》（</w:t>
            </w:r>
            <w:r>
              <w:rPr>
                <w:rFonts w:hint="eastAsia"/>
                <w:color w:val="000000" w:themeColor="text1"/>
                <w:szCs w:val="21"/>
              </w:rPr>
              <w:t>GB 37822-2019</w:t>
            </w:r>
            <w:r>
              <w:rPr>
                <w:rFonts w:hint="eastAsia"/>
                <w:color w:val="000000" w:themeColor="text1"/>
                <w:szCs w:val="21"/>
              </w:rPr>
              <w:t>）</w:t>
            </w: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液态</w:t>
            </w:r>
            <w:r>
              <w:rPr>
                <w:rFonts w:cs="Times New Roman" w:hint="eastAsia"/>
                <w:color w:val="000000"/>
                <w:kern w:val="0"/>
                <w:szCs w:val="21"/>
                <w:lang w:bidi="ar"/>
              </w:rPr>
              <w:t>VOCs</w:t>
            </w:r>
            <w:r>
              <w:rPr>
                <w:rFonts w:cs="Times New Roman" w:hint="eastAsia"/>
                <w:color w:val="000000"/>
                <w:kern w:val="0"/>
                <w:szCs w:val="21"/>
                <w:lang w:bidi="ar"/>
              </w:rPr>
              <w:t>物料应采用密闭管道输送，挥发性有机液体应采用底部装载方式，装载时应满足下列规定之一：</w:t>
            </w:r>
            <w:r>
              <w:rPr>
                <w:rFonts w:cs="Times New Roman" w:hint="eastAsia"/>
                <w:color w:val="000000"/>
                <w:kern w:val="0"/>
                <w:szCs w:val="21"/>
                <w:lang w:bidi="ar"/>
              </w:rPr>
              <w:t>a</w:t>
            </w:r>
            <w:r>
              <w:rPr>
                <w:rFonts w:cs="Times New Roman" w:hint="eastAsia"/>
                <w:color w:val="000000"/>
                <w:kern w:val="0"/>
                <w:szCs w:val="21"/>
                <w:lang w:bidi="ar"/>
              </w:rPr>
              <w:t>）排放的废气应收集处理并满足相关行业排放标准的要求（无行业排放标准的应满足</w:t>
            </w:r>
            <w:r>
              <w:rPr>
                <w:rFonts w:cs="Times New Roman" w:hint="eastAsia"/>
                <w:color w:val="000000"/>
                <w:kern w:val="0"/>
                <w:szCs w:val="21"/>
                <w:lang w:bidi="ar"/>
              </w:rPr>
              <w:t>GB 16297</w:t>
            </w:r>
            <w:r>
              <w:rPr>
                <w:rFonts w:cs="Times New Roman" w:hint="eastAsia"/>
                <w:color w:val="000000"/>
                <w:kern w:val="0"/>
                <w:szCs w:val="21"/>
                <w:lang w:bidi="ar"/>
              </w:rPr>
              <w:t>的要求），或者处理效率不低于</w:t>
            </w:r>
            <w:r>
              <w:rPr>
                <w:rFonts w:cs="Times New Roman" w:hint="eastAsia"/>
                <w:color w:val="000000"/>
                <w:kern w:val="0"/>
                <w:szCs w:val="21"/>
                <w:lang w:bidi="ar"/>
              </w:rPr>
              <w:t>90%</w:t>
            </w:r>
            <w:r>
              <w:rPr>
                <w:rFonts w:cs="Times New Roman" w:hint="eastAsia"/>
                <w:color w:val="000000"/>
                <w:kern w:val="0"/>
                <w:szCs w:val="21"/>
                <w:lang w:bidi="ar"/>
              </w:rPr>
              <w:t>；</w:t>
            </w:r>
            <w:r>
              <w:rPr>
                <w:rFonts w:cs="Times New Roman" w:hint="eastAsia"/>
                <w:color w:val="000000"/>
                <w:kern w:val="0"/>
                <w:szCs w:val="21"/>
                <w:lang w:bidi="ar"/>
              </w:rPr>
              <w:t>b</w:t>
            </w:r>
            <w:r>
              <w:rPr>
                <w:rFonts w:cs="Times New Roman" w:hint="eastAsia"/>
                <w:color w:val="000000"/>
                <w:kern w:val="0"/>
                <w:szCs w:val="21"/>
                <w:lang w:bidi="ar"/>
              </w:rPr>
              <w:t>）排放的废气连接至气相平衡系统。</w:t>
            </w:r>
          </w:p>
        </w:tc>
        <w:tc>
          <w:tcPr>
            <w:tcW w:w="1228" w:type="pct"/>
            <w:tcBorders>
              <w:top w:val="single" w:sz="6" w:space="0" w:color="auto"/>
              <w:left w:val="single" w:sz="6" w:space="0" w:color="auto"/>
              <w:bottom w:val="single" w:sz="6" w:space="0" w:color="auto"/>
              <w:right w:val="single" w:sz="4" w:space="0" w:color="auto"/>
            </w:tcBorders>
            <w:vAlign w:val="center"/>
          </w:tcPr>
          <w:p w:rsidR="00644456" w:rsidRDefault="008031C4">
            <w:pPr>
              <w:autoSpaceDE w:val="0"/>
              <w:autoSpaceDN w:val="0"/>
              <w:snapToGrid w:val="0"/>
              <w:ind w:leftChars="-20" w:left="-42" w:rightChars="-20" w:right="-42"/>
              <w:jc w:val="center"/>
              <w:rPr>
                <w:rFonts w:cs="Times New Roman"/>
                <w:color w:val="000000"/>
                <w:kern w:val="0"/>
                <w:szCs w:val="21"/>
                <w:lang w:bidi="ar"/>
              </w:rPr>
            </w:pPr>
            <w:r>
              <w:rPr>
                <w:rFonts w:cs="Times New Roman" w:hint="eastAsia"/>
                <w:color w:val="000000"/>
                <w:kern w:val="0"/>
                <w:szCs w:val="21"/>
                <w:lang w:bidi="ar"/>
              </w:rPr>
              <w:t>本项目属于危废处置行业，原料</w:t>
            </w:r>
            <w:r>
              <w:rPr>
                <w:rFonts w:cs="Times New Roman" w:hint="eastAsia"/>
                <w:color w:val="000000"/>
                <w:kern w:val="0"/>
                <w:szCs w:val="21"/>
                <w:lang w:bidi="ar"/>
              </w:rPr>
              <w:t>HW08</w:t>
            </w:r>
            <w:r>
              <w:rPr>
                <w:rFonts w:cs="Times New Roman" w:hint="eastAsia"/>
                <w:color w:val="000000"/>
                <w:kern w:val="0"/>
                <w:szCs w:val="21"/>
                <w:lang w:bidi="ar"/>
              </w:rPr>
              <w:t>类液态危废等暂存过程会产生</w:t>
            </w:r>
            <w:r>
              <w:rPr>
                <w:rFonts w:cs="Times New Roman" w:hint="eastAsia"/>
                <w:color w:val="000000"/>
                <w:kern w:val="0"/>
                <w:szCs w:val="21"/>
                <w:lang w:bidi="ar"/>
              </w:rPr>
              <w:t>VOCs</w:t>
            </w:r>
            <w:r>
              <w:rPr>
                <w:rFonts w:cs="Times New Roman" w:hint="eastAsia"/>
                <w:color w:val="000000"/>
                <w:kern w:val="0"/>
                <w:szCs w:val="21"/>
                <w:lang w:bidi="ar"/>
              </w:rPr>
              <w:t>，生产过程均使用密闭管道输送</w:t>
            </w: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r w:rsidR="00644456">
        <w:trPr>
          <w:trHeight w:val="271"/>
          <w:jc w:val="center"/>
        </w:trPr>
        <w:tc>
          <w:tcPr>
            <w:tcW w:w="677" w:type="pct"/>
            <w:vMerge/>
            <w:tcBorders>
              <w:left w:val="nil"/>
              <w:right w:val="single" w:sz="4" w:space="0" w:color="auto"/>
            </w:tcBorders>
            <w:vAlign w:val="center"/>
          </w:tcPr>
          <w:p w:rsidR="00644456" w:rsidRDefault="00644456">
            <w:pPr>
              <w:autoSpaceDE w:val="0"/>
              <w:autoSpaceDN w:val="0"/>
              <w:snapToGrid w:val="0"/>
              <w:jc w:val="center"/>
              <w:rPr>
                <w:color w:val="000000" w:themeColor="text1"/>
                <w:szCs w:val="21"/>
              </w:rPr>
            </w:pP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物料投加：液态</w:t>
            </w:r>
            <w:r>
              <w:rPr>
                <w:rFonts w:cs="Times New Roman" w:hint="eastAsia"/>
                <w:color w:val="000000"/>
                <w:kern w:val="0"/>
                <w:szCs w:val="21"/>
                <w:lang w:bidi="ar"/>
              </w:rPr>
              <w:t>VOCs</w:t>
            </w:r>
            <w:r>
              <w:rPr>
                <w:rFonts w:cs="Times New Roman" w:hint="eastAsia"/>
                <w:color w:val="000000"/>
                <w:kern w:val="0"/>
                <w:szCs w:val="21"/>
                <w:lang w:bidi="ar"/>
              </w:rPr>
              <w:t>物料应采用密闭管道输送方式或采用高位槽（罐）、桶泵等给料方式密闭投加。无法密闭投加的，应在密闭空间内操作，或进行局部气体收集，废气应排至</w:t>
            </w:r>
            <w:r>
              <w:rPr>
                <w:rFonts w:cs="Times New Roman" w:hint="eastAsia"/>
                <w:color w:val="000000"/>
                <w:kern w:val="0"/>
                <w:szCs w:val="21"/>
                <w:lang w:bidi="ar"/>
              </w:rPr>
              <w:t>VOCs</w:t>
            </w:r>
            <w:r>
              <w:rPr>
                <w:rFonts w:cs="Times New Roman" w:hint="eastAsia"/>
                <w:color w:val="000000"/>
                <w:kern w:val="0"/>
                <w:szCs w:val="21"/>
                <w:lang w:bidi="ar"/>
              </w:rPr>
              <w:t>废气收集处理系统。</w:t>
            </w:r>
          </w:p>
        </w:tc>
        <w:tc>
          <w:tcPr>
            <w:tcW w:w="1228" w:type="pct"/>
            <w:tcBorders>
              <w:top w:val="single" w:sz="6" w:space="0" w:color="auto"/>
              <w:left w:val="single" w:sz="6" w:space="0" w:color="auto"/>
              <w:bottom w:val="single" w:sz="6" w:space="0" w:color="auto"/>
              <w:right w:val="single" w:sz="4" w:space="0" w:color="auto"/>
            </w:tcBorders>
            <w:vAlign w:val="center"/>
          </w:tcPr>
          <w:p w:rsidR="00644456" w:rsidRDefault="008031C4">
            <w:pPr>
              <w:autoSpaceDE w:val="0"/>
              <w:autoSpaceDN w:val="0"/>
              <w:snapToGrid w:val="0"/>
              <w:ind w:leftChars="-20" w:left="-42" w:rightChars="-20" w:right="-42"/>
              <w:jc w:val="center"/>
              <w:rPr>
                <w:rFonts w:cs="Times New Roman"/>
                <w:color w:val="000000"/>
                <w:kern w:val="0"/>
                <w:szCs w:val="21"/>
                <w:lang w:bidi="ar"/>
              </w:rPr>
            </w:pPr>
            <w:r>
              <w:rPr>
                <w:rFonts w:cs="Times New Roman" w:hint="eastAsia"/>
                <w:color w:val="000000"/>
                <w:kern w:val="0"/>
                <w:szCs w:val="21"/>
                <w:lang w:bidi="ar"/>
              </w:rPr>
              <w:t>本项目原料</w:t>
            </w:r>
            <w:r>
              <w:rPr>
                <w:rFonts w:cs="Times New Roman" w:hint="eastAsia"/>
                <w:color w:val="000000"/>
                <w:kern w:val="0"/>
                <w:szCs w:val="21"/>
                <w:lang w:bidi="ar"/>
              </w:rPr>
              <w:t>HW08</w:t>
            </w:r>
            <w:r>
              <w:rPr>
                <w:rFonts w:cs="Times New Roman" w:hint="eastAsia"/>
                <w:color w:val="000000"/>
                <w:kern w:val="0"/>
                <w:szCs w:val="21"/>
                <w:lang w:bidi="ar"/>
              </w:rPr>
              <w:t>类液态危废产品等均采用密闭管道输送方式。</w:t>
            </w: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r w:rsidR="00644456">
        <w:trPr>
          <w:trHeight w:val="271"/>
          <w:jc w:val="center"/>
        </w:trPr>
        <w:tc>
          <w:tcPr>
            <w:tcW w:w="677" w:type="pct"/>
            <w:vMerge/>
            <w:tcBorders>
              <w:left w:val="nil"/>
              <w:right w:val="single" w:sz="4" w:space="0" w:color="auto"/>
            </w:tcBorders>
            <w:vAlign w:val="center"/>
          </w:tcPr>
          <w:p w:rsidR="00644456" w:rsidRDefault="00644456">
            <w:pPr>
              <w:autoSpaceDE w:val="0"/>
              <w:autoSpaceDN w:val="0"/>
              <w:snapToGrid w:val="0"/>
              <w:jc w:val="center"/>
              <w:rPr>
                <w:color w:val="000000" w:themeColor="text1"/>
                <w:szCs w:val="21"/>
              </w:rPr>
            </w:pP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企业中载有气态</w:t>
            </w:r>
            <w:r>
              <w:rPr>
                <w:rFonts w:cs="Times New Roman" w:hint="eastAsia"/>
                <w:color w:val="000000"/>
                <w:kern w:val="0"/>
                <w:szCs w:val="21"/>
                <w:lang w:bidi="ar"/>
              </w:rPr>
              <w:t>VOCs</w:t>
            </w:r>
            <w:r>
              <w:rPr>
                <w:rFonts w:cs="Times New Roman" w:hint="eastAsia"/>
                <w:color w:val="000000"/>
                <w:kern w:val="0"/>
                <w:szCs w:val="21"/>
                <w:lang w:bidi="ar"/>
              </w:rPr>
              <w:t>物料、液态</w:t>
            </w:r>
            <w:r>
              <w:rPr>
                <w:rFonts w:cs="Times New Roman" w:hint="eastAsia"/>
                <w:color w:val="000000"/>
                <w:kern w:val="0"/>
                <w:szCs w:val="21"/>
                <w:lang w:bidi="ar"/>
              </w:rPr>
              <w:t>VOCs</w:t>
            </w:r>
            <w:r>
              <w:rPr>
                <w:rFonts w:cs="Times New Roman" w:hint="eastAsia"/>
                <w:color w:val="000000"/>
                <w:kern w:val="0"/>
                <w:szCs w:val="21"/>
                <w:lang w:bidi="ar"/>
              </w:rPr>
              <w:t>物料的设备与管线组件的密封点≥</w:t>
            </w:r>
            <w:r>
              <w:rPr>
                <w:rFonts w:cs="Times New Roman" w:hint="eastAsia"/>
                <w:color w:val="000000"/>
                <w:kern w:val="0"/>
                <w:szCs w:val="21"/>
                <w:lang w:bidi="ar"/>
              </w:rPr>
              <w:t>2000</w:t>
            </w:r>
            <w:r>
              <w:rPr>
                <w:rFonts w:cs="Times New Roman" w:hint="eastAsia"/>
                <w:color w:val="000000"/>
                <w:kern w:val="0"/>
                <w:szCs w:val="21"/>
                <w:lang w:bidi="ar"/>
              </w:rPr>
              <w:t>个，应开展泄漏检测与修复工作。</w:t>
            </w:r>
          </w:p>
        </w:tc>
        <w:tc>
          <w:tcPr>
            <w:tcW w:w="1228" w:type="pct"/>
            <w:tcBorders>
              <w:top w:val="single" w:sz="6" w:space="0" w:color="auto"/>
              <w:left w:val="single" w:sz="6" w:space="0" w:color="auto"/>
              <w:bottom w:val="single" w:sz="6" w:space="0" w:color="auto"/>
              <w:right w:val="single" w:sz="4" w:space="0" w:color="auto"/>
            </w:tcBorders>
            <w:vAlign w:val="center"/>
          </w:tcPr>
          <w:p w:rsidR="00644456" w:rsidRDefault="008031C4">
            <w:pPr>
              <w:autoSpaceDE w:val="0"/>
              <w:autoSpaceDN w:val="0"/>
              <w:snapToGrid w:val="0"/>
              <w:ind w:leftChars="-20" w:left="-42" w:rightChars="-20" w:right="-42"/>
              <w:jc w:val="center"/>
              <w:rPr>
                <w:rFonts w:cs="Times New Roman"/>
                <w:color w:val="000000"/>
                <w:kern w:val="0"/>
                <w:szCs w:val="21"/>
                <w:lang w:bidi="ar"/>
              </w:rPr>
            </w:pPr>
            <w:r>
              <w:rPr>
                <w:rFonts w:cs="Times New Roman" w:hint="eastAsia"/>
                <w:color w:val="000000"/>
                <w:kern w:val="0"/>
                <w:szCs w:val="21"/>
                <w:lang w:bidi="ar"/>
              </w:rPr>
              <w:t>本评价报告已经提出企业密封点若≥</w:t>
            </w:r>
            <w:r>
              <w:rPr>
                <w:rFonts w:cs="Times New Roman" w:hint="eastAsia"/>
                <w:color w:val="000000"/>
                <w:kern w:val="0"/>
                <w:szCs w:val="21"/>
                <w:lang w:bidi="ar"/>
              </w:rPr>
              <w:t>2000</w:t>
            </w:r>
            <w:r>
              <w:rPr>
                <w:rFonts w:cs="Times New Roman" w:hint="eastAsia"/>
                <w:color w:val="000000"/>
                <w:kern w:val="0"/>
                <w:szCs w:val="21"/>
                <w:lang w:bidi="ar"/>
              </w:rPr>
              <w:t>个，应定期开展</w:t>
            </w:r>
            <w:r>
              <w:rPr>
                <w:rFonts w:cs="Times New Roman" w:hint="eastAsia"/>
                <w:color w:val="000000"/>
                <w:kern w:val="0"/>
                <w:szCs w:val="21"/>
                <w:lang w:bidi="ar"/>
              </w:rPr>
              <w:t>LDAR</w:t>
            </w:r>
            <w:r>
              <w:rPr>
                <w:rFonts w:cs="Times New Roman" w:hint="eastAsia"/>
                <w:color w:val="000000"/>
                <w:kern w:val="0"/>
                <w:szCs w:val="21"/>
                <w:lang w:bidi="ar"/>
              </w:rPr>
              <w:t>工作，加强备用泵、在用泵、调节阀、搅拌器、</w:t>
            </w:r>
            <w:r>
              <w:rPr>
                <w:rFonts w:cs="Times New Roman" w:hint="eastAsia"/>
                <w:color w:val="000000"/>
                <w:kern w:val="0"/>
                <w:szCs w:val="21"/>
                <w:lang w:bidi="ar"/>
              </w:rPr>
              <w:lastRenderedPageBreak/>
              <w:t>开口管线等检测工作</w:t>
            </w: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lastRenderedPageBreak/>
              <w:t>符合</w:t>
            </w:r>
          </w:p>
        </w:tc>
      </w:tr>
      <w:tr w:rsidR="00644456">
        <w:trPr>
          <w:trHeight w:val="271"/>
          <w:jc w:val="center"/>
        </w:trPr>
        <w:tc>
          <w:tcPr>
            <w:tcW w:w="677" w:type="pct"/>
            <w:vMerge w:val="restart"/>
            <w:tcBorders>
              <w:left w:val="nil"/>
              <w:right w:val="single" w:sz="4" w:space="0" w:color="auto"/>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《挥发性有机物（</w:t>
            </w:r>
            <w:r>
              <w:rPr>
                <w:rFonts w:hint="eastAsia"/>
                <w:color w:val="000000" w:themeColor="text1"/>
                <w:szCs w:val="21"/>
              </w:rPr>
              <w:t>VOCs</w:t>
            </w:r>
            <w:r>
              <w:rPr>
                <w:rFonts w:hint="eastAsia"/>
                <w:color w:val="000000" w:themeColor="text1"/>
                <w:szCs w:val="21"/>
              </w:rPr>
              <w:t>）污染防治技术政策》</w:t>
            </w: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对泵、压缩机、阀门、法兰等易发生泄漏的设备与管线组件，制定泄漏检测与修复（</w:t>
            </w:r>
            <w:r>
              <w:rPr>
                <w:rFonts w:cs="Times New Roman" w:hint="eastAsia"/>
                <w:color w:val="000000"/>
                <w:kern w:val="0"/>
                <w:szCs w:val="21"/>
                <w:lang w:bidi="ar"/>
              </w:rPr>
              <w:t>LDAR</w:t>
            </w:r>
            <w:r>
              <w:rPr>
                <w:rFonts w:cs="Times New Roman" w:hint="eastAsia"/>
                <w:color w:val="000000"/>
                <w:kern w:val="0"/>
                <w:szCs w:val="21"/>
                <w:lang w:bidi="ar"/>
              </w:rPr>
              <w:t>）计划，定期检测、及时修复，防止或减少跑、冒、滴、漏现象。</w:t>
            </w:r>
          </w:p>
        </w:tc>
        <w:tc>
          <w:tcPr>
            <w:tcW w:w="1228" w:type="pct"/>
            <w:tcBorders>
              <w:top w:val="single" w:sz="6" w:space="0" w:color="auto"/>
              <w:left w:val="single" w:sz="6" w:space="0" w:color="auto"/>
              <w:bottom w:val="single" w:sz="6" w:space="0" w:color="auto"/>
              <w:right w:val="single" w:sz="4" w:space="0" w:color="auto"/>
            </w:tcBorders>
            <w:vAlign w:val="center"/>
          </w:tcPr>
          <w:p w:rsidR="00644456" w:rsidRDefault="008031C4">
            <w:pPr>
              <w:autoSpaceDE w:val="0"/>
              <w:autoSpaceDN w:val="0"/>
              <w:snapToGrid w:val="0"/>
              <w:ind w:leftChars="-20" w:left="-42" w:rightChars="-20" w:right="-42"/>
              <w:jc w:val="center"/>
              <w:rPr>
                <w:rFonts w:cs="Times New Roman"/>
                <w:color w:val="000000"/>
                <w:kern w:val="0"/>
                <w:szCs w:val="21"/>
                <w:lang w:bidi="ar"/>
              </w:rPr>
            </w:pPr>
            <w:r>
              <w:rPr>
                <w:rFonts w:cs="Times New Roman" w:hint="eastAsia"/>
                <w:color w:val="000000"/>
                <w:kern w:val="0"/>
                <w:szCs w:val="21"/>
                <w:lang w:bidi="ar"/>
              </w:rPr>
              <w:t>本评价报告已经提出企业密封点若≥</w:t>
            </w:r>
            <w:r>
              <w:rPr>
                <w:rFonts w:cs="Times New Roman" w:hint="eastAsia"/>
                <w:color w:val="000000"/>
                <w:kern w:val="0"/>
                <w:szCs w:val="21"/>
                <w:lang w:bidi="ar"/>
              </w:rPr>
              <w:t>2000</w:t>
            </w:r>
            <w:r>
              <w:rPr>
                <w:rFonts w:cs="Times New Roman" w:hint="eastAsia"/>
                <w:color w:val="000000"/>
                <w:kern w:val="0"/>
                <w:szCs w:val="21"/>
                <w:lang w:bidi="ar"/>
              </w:rPr>
              <w:t>个，应定期开展</w:t>
            </w:r>
            <w:r>
              <w:rPr>
                <w:rFonts w:cs="Times New Roman" w:hint="eastAsia"/>
                <w:color w:val="000000"/>
                <w:kern w:val="0"/>
                <w:szCs w:val="21"/>
                <w:lang w:bidi="ar"/>
              </w:rPr>
              <w:t>LDAR</w:t>
            </w:r>
            <w:r>
              <w:rPr>
                <w:rFonts w:cs="Times New Roman" w:hint="eastAsia"/>
                <w:color w:val="000000"/>
                <w:kern w:val="0"/>
                <w:szCs w:val="21"/>
                <w:lang w:bidi="ar"/>
              </w:rPr>
              <w:t>工作，加强备用泵、在用泵、调节阀、搅拌器、开口管线等检测工作，并建立密封点档案和泄漏检测与修复计划。</w:t>
            </w: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r w:rsidR="00644456">
        <w:trPr>
          <w:trHeight w:val="271"/>
          <w:jc w:val="center"/>
        </w:trPr>
        <w:tc>
          <w:tcPr>
            <w:tcW w:w="677" w:type="pct"/>
            <w:vMerge/>
            <w:tcBorders>
              <w:left w:val="nil"/>
              <w:right w:val="single" w:sz="4" w:space="0" w:color="auto"/>
            </w:tcBorders>
            <w:vAlign w:val="center"/>
          </w:tcPr>
          <w:p w:rsidR="00644456" w:rsidRDefault="00644456">
            <w:pPr>
              <w:autoSpaceDE w:val="0"/>
              <w:autoSpaceDN w:val="0"/>
              <w:snapToGrid w:val="0"/>
              <w:jc w:val="center"/>
              <w:rPr>
                <w:color w:val="000000" w:themeColor="text1"/>
                <w:szCs w:val="21"/>
              </w:rPr>
            </w:pP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废水收集和处理过程产生的含</w:t>
            </w:r>
            <w:r>
              <w:rPr>
                <w:rFonts w:cs="Times New Roman" w:hint="eastAsia"/>
                <w:color w:val="000000"/>
                <w:kern w:val="0"/>
                <w:szCs w:val="21"/>
                <w:lang w:bidi="ar"/>
              </w:rPr>
              <w:t>VOCs</w:t>
            </w:r>
            <w:r>
              <w:rPr>
                <w:rFonts w:cs="Times New Roman" w:hint="eastAsia"/>
                <w:color w:val="000000"/>
                <w:kern w:val="0"/>
                <w:szCs w:val="21"/>
                <w:lang w:bidi="ar"/>
              </w:rPr>
              <w:t>废气经收集处理后达标排放。</w:t>
            </w:r>
          </w:p>
        </w:tc>
        <w:tc>
          <w:tcPr>
            <w:tcW w:w="1228" w:type="pct"/>
            <w:tcBorders>
              <w:top w:val="single" w:sz="6" w:space="0" w:color="auto"/>
              <w:left w:val="single" w:sz="6" w:space="0" w:color="auto"/>
              <w:bottom w:val="single" w:sz="6" w:space="0" w:color="auto"/>
              <w:right w:val="single" w:sz="4" w:space="0" w:color="auto"/>
            </w:tcBorders>
            <w:vAlign w:val="center"/>
          </w:tcPr>
          <w:p w:rsidR="00644456" w:rsidRDefault="008031C4">
            <w:pPr>
              <w:autoSpaceDE w:val="0"/>
              <w:autoSpaceDN w:val="0"/>
              <w:snapToGrid w:val="0"/>
              <w:ind w:leftChars="-20" w:left="-42" w:rightChars="-20" w:right="-42"/>
              <w:jc w:val="center"/>
              <w:rPr>
                <w:rFonts w:cs="Times New Roman"/>
                <w:color w:val="000000"/>
                <w:kern w:val="0"/>
                <w:szCs w:val="21"/>
                <w:lang w:bidi="ar"/>
              </w:rPr>
            </w:pPr>
            <w:r>
              <w:rPr>
                <w:rFonts w:cs="Times New Roman" w:hint="eastAsia"/>
                <w:color w:val="000000"/>
                <w:kern w:val="0"/>
                <w:szCs w:val="21"/>
                <w:lang w:bidi="ar"/>
              </w:rPr>
              <w:t>对蒸馏、精馏及溶剂回收过程产生的不凝气进行收集，收集后的废气采用“碱液喷淋</w:t>
            </w:r>
            <w:r>
              <w:rPr>
                <w:rFonts w:cs="Times New Roman" w:hint="eastAsia"/>
                <w:color w:val="000000"/>
                <w:kern w:val="0"/>
                <w:szCs w:val="21"/>
                <w:lang w:bidi="ar"/>
              </w:rPr>
              <w:t>+</w:t>
            </w:r>
            <w:r>
              <w:rPr>
                <w:rFonts w:cs="Times New Roman" w:hint="eastAsia"/>
                <w:color w:val="000000"/>
                <w:kern w:val="0"/>
                <w:szCs w:val="21"/>
                <w:lang w:bidi="ar"/>
              </w:rPr>
              <w:t>干式过滤</w:t>
            </w:r>
            <w:r>
              <w:rPr>
                <w:rFonts w:cs="Times New Roman" w:hint="eastAsia"/>
                <w:color w:val="000000"/>
                <w:kern w:val="0"/>
                <w:szCs w:val="21"/>
                <w:lang w:bidi="ar"/>
              </w:rPr>
              <w:t>+</w:t>
            </w:r>
            <w:r>
              <w:rPr>
                <w:rFonts w:cs="Times New Roman" w:hint="eastAsia"/>
                <w:color w:val="000000"/>
                <w:kern w:val="0"/>
                <w:szCs w:val="21"/>
                <w:lang w:bidi="ar"/>
              </w:rPr>
              <w:t>高温氧化”进行净化处理，净化后的废气通过</w:t>
            </w:r>
            <w:r>
              <w:rPr>
                <w:rFonts w:cs="Times New Roman" w:hint="eastAsia"/>
                <w:color w:val="000000"/>
                <w:kern w:val="0"/>
                <w:szCs w:val="21"/>
                <w:lang w:bidi="ar"/>
              </w:rPr>
              <w:t>15m</w:t>
            </w:r>
            <w:r>
              <w:rPr>
                <w:rFonts w:cs="Times New Roman" w:hint="eastAsia"/>
                <w:color w:val="000000"/>
                <w:kern w:val="0"/>
                <w:szCs w:val="21"/>
                <w:lang w:bidi="ar"/>
              </w:rPr>
              <w:t>高的排气筒排放，风机风量</w:t>
            </w:r>
            <w:r>
              <w:rPr>
                <w:rFonts w:cs="Times New Roman" w:hint="eastAsia"/>
                <w:color w:val="000000"/>
                <w:kern w:val="0"/>
                <w:szCs w:val="21"/>
                <w:lang w:bidi="ar"/>
              </w:rPr>
              <w:t>12000Nm3/h</w:t>
            </w:r>
            <w:r>
              <w:rPr>
                <w:rFonts w:cs="Times New Roman" w:hint="eastAsia"/>
                <w:color w:val="000000"/>
                <w:kern w:val="0"/>
                <w:szCs w:val="21"/>
                <w:lang w:bidi="ar"/>
              </w:rPr>
              <w:t>。</w:t>
            </w: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r w:rsidR="00644456">
        <w:trPr>
          <w:trHeight w:val="271"/>
          <w:jc w:val="center"/>
        </w:trPr>
        <w:tc>
          <w:tcPr>
            <w:tcW w:w="677" w:type="pct"/>
            <w:vMerge/>
            <w:tcBorders>
              <w:left w:val="nil"/>
              <w:right w:val="single" w:sz="4" w:space="0" w:color="auto"/>
            </w:tcBorders>
            <w:vAlign w:val="center"/>
          </w:tcPr>
          <w:p w:rsidR="00644456" w:rsidRDefault="00644456">
            <w:pPr>
              <w:autoSpaceDE w:val="0"/>
              <w:autoSpaceDN w:val="0"/>
              <w:snapToGrid w:val="0"/>
              <w:jc w:val="center"/>
              <w:rPr>
                <w:color w:val="000000" w:themeColor="text1"/>
                <w:szCs w:val="21"/>
              </w:rPr>
            </w:pP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油类（燃油、溶剂等）储罐宜采用高效密封的内（外）浮顶罐，当采用固定顶罐时，通过密闭排气系统将含</w:t>
            </w:r>
            <w:r>
              <w:rPr>
                <w:rFonts w:cs="Times New Roman" w:hint="eastAsia"/>
                <w:color w:val="000000"/>
                <w:kern w:val="0"/>
                <w:szCs w:val="21"/>
                <w:lang w:bidi="ar"/>
              </w:rPr>
              <w:t>VOCs</w:t>
            </w:r>
            <w:r>
              <w:rPr>
                <w:rFonts w:cs="Times New Roman" w:hint="eastAsia"/>
                <w:color w:val="000000"/>
                <w:kern w:val="0"/>
                <w:szCs w:val="21"/>
                <w:lang w:bidi="ar"/>
              </w:rPr>
              <w:t>气体输送至回收设备。</w:t>
            </w:r>
          </w:p>
        </w:tc>
        <w:tc>
          <w:tcPr>
            <w:tcW w:w="1228" w:type="pct"/>
            <w:tcBorders>
              <w:top w:val="single" w:sz="6" w:space="0" w:color="auto"/>
              <w:left w:val="single" w:sz="6" w:space="0" w:color="auto"/>
              <w:bottom w:val="single" w:sz="6" w:space="0" w:color="auto"/>
              <w:right w:val="single" w:sz="4" w:space="0" w:color="auto"/>
            </w:tcBorders>
            <w:vAlign w:val="center"/>
          </w:tcPr>
          <w:p w:rsidR="00644456" w:rsidRDefault="008031C4">
            <w:pPr>
              <w:autoSpaceDE w:val="0"/>
              <w:autoSpaceDN w:val="0"/>
              <w:snapToGrid w:val="0"/>
              <w:ind w:leftChars="-20" w:left="-42" w:rightChars="-20" w:right="-42"/>
              <w:jc w:val="center"/>
              <w:rPr>
                <w:rFonts w:cs="Times New Roman"/>
                <w:color w:val="000000"/>
                <w:kern w:val="0"/>
                <w:szCs w:val="21"/>
                <w:lang w:bidi="ar"/>
              </w:rPr>
            </w:pPr>
            <w:r>
              <w:rPr>
                <w:rFonts w:cs="Times New Roman" w:hint="eastAsia"/>
                <w:color w:val="000000"/>
                <w:kern w:val="0"/>
                <w:szCs w:val="21"/>
                <w:lang w:bidi="ar"/>
              </w:rPr>
              <w:t>本项目均采用固定顶罐，通过密闭排气系统将含</w:t>
            </w:r>
            <w:r>
              <w:rPr>
                <w:rFonts w:cs="Times New Roman" w:hint="eastAsia"/>
                <w:color w:val="000000"/>
                <w:kern w:val="0"/>
                <w:szCs w:val="21"/>
                <w:lang w:bidi="ar"/>
              </w:rPr>
              <w:t>VOCs</w:t>
            </w:r>
            <w:r>
              <w:rPr>
                <w:rFonts w:cs="Times New Roman" w:hint="eastAsia"/>
                <w:color w:val="000000"/>
                <w:kern w:val="0"/>
                <w:szCs w:val="21"/>
                <w:lang w:bidi="ar"/>
              </w:rPr>
              <w:t>气体输送至回收设备。</w:t>
            </w: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r w:rsidR="00644456">
        <w:trPr>
          <w:trHeight w:val="271"/>
          <w:jc w:val="center"/>
        </w:trPr>
        <w:tc>
          <w:tcPr>
            <w:tcW w:w="677" w:type="pct"/>
            <w:vMerge/>
            <w:tcBorders>
              <w:left w:val="nil"/>
              <w:right w:val="single" w:sz="4" w:space="0" w:color="auto"/>
            </w:tcBorders>
            <w:vAlign w:val="center"/>
          </w:tcPr>
          <w:p w:rsidR="00644456" w:rsidRDefault="00644456">
            <w:pPr>
              <w:autoSpaceDE w:val="0"/>
              <w:autoSpaceDN w:val="0"/>
              <w:snapToGrid w:val="0"/>
              <w:jc w:val="center"/>
              <w:rPr>
                <w:color w:val="000000" w:themeColor="text1"/>
                <w:szCs w:val="21"/>
              </w:rPr>
            </w:pP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鼓励企业自行开展</w:t>
            </w:r>
            <w:r>
              <w:rPr>
                <w:rFonts w:cs="Times New Roman" w:hint="eastAsia"/>
                <w:color w:val="000000"/>
                <w:kern w:val="0"/>
                <w:szCs w:val="21"/>
                <w:lang w:bidi="ar"/>
              </w:rPr>
              <w:t>VOCs</w:t>
            </w:r>
            <w:r>
              <w:rPr>
                <w:rFonts w:cs="Times New Roman" w:hint="eastAsia"/>
                <w:color w:val="000000"/>
                <w:kern w:val="0"/>
                <w:szCs w:val="21"/>
                <w:lang w:bidi="ar"/>
              </w:rPr>
              <w:t>监测，并及时主动向当地环保行政主管部门报送监测结果</w:t>
            </w:r>
          </w:p>
        </w:tc>
        <w:tc>
          <w:tcPr>
            <w:tcW w:w="1228" w:type="pct"/>
            <w:tcBorders>
              <w:top w:val="single" w:sz="6" w:space="0" w:color="auto"/>
              <w:left w:val="single" w:sz="6" w:space="0" w:color="auto"/>
              <w:bottom w:val="single" w:sz="6" w:space="0" w:color="auto"/>
              <w:right w:val="single" w:sz="4" w:space="0" w:color="auto"/>
            </w:tcBorders>
            <w:vAlign w:val="center"/>
          </w:tcPr>
          <w:p w:rsidR="00644456" w:rsidRDefault="008031C4">
            <w:pPr>
              <w:autoSpaceDE w:val="0"/>
              <w:autoSpaceDN w:val="0"/>
              <w:snapToGrid w:val="0"/>
              <w:ind w:leftChars="-20" w:left="-42" w:rightChars="-20" w:right="-42"/>
              <w:jc w:val="center"/>
              <w:rPr>
                <w:rFonts w:cs="Times New Roman"/>
                <w:color w:val="000000"/>
                <w:kern w:val="0"/>
                <w:szCs w:val="21"/>
                <w:lang w:bidi="ar"/>
              </w:rPr>
            </w:pPr>
            <w:r>
              <w:rPr>
                <w:rFonts w:cs="Times New Roman" w:hint="eastAsia"/>
                <w:color w:val="000000"/>
                <w:kern w:val="0"/>
                <w:szCs w:val="21"/>
                <w:lang w:bidi="ar"/>
              </w:rPr>
              <w:t>本评价报告中已经提出在项目建成运行后，企业应定期开展</w:t>
            </w:r>
            <w:r>
              <w:rPr>
                <w:rFonts w:cs="Times New Roman" w:hint="eastAsia"/>
                <w:color w:val="000000"/>
                <w:kern w:val="0"/>
                <w:szCs w:val="21"/>
                <w:lang w:bidi="ar"/>
              </w:rPr>
              <w:t>VOCs</w:t>
            </w:r>
            <w:r>
              <w:rPr>
                <w:rFonts w:cs="Times New Roman" w:hint="eastAsia"/>
                <w:color w:val="000000"/>
                <w:kern w:val="0"/>
                <w:szCs w:val="21"/>
                <w:lang w:bidi="ar"/>
              </w:rPr>
              <w:t>监测，并上报行政主管部门。</w:t>
            </w: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r w:rsidR="00644456">
        <w:trPr>
          <w:trHeight w:val="271"/>
          <w:jc w:val="center"/>
        </w:trPr>
        <w:tc>
          <w:tcPr>
            <w:tcW w:w="677" w:type="pct"/>
            <w:vMerge/>
            <w:tcBorders>
              <w:left w:val="nil"/>
              <w:right w:val="single" w:sz="4" w:space="0" w:color="auto"/>
            </w:tcBorders>
            <w:vAlign w:val="center"/>
          </w:tcPr>
          <w:p w:rsidR="00644456" w:rsidRDefault="00644456">
            <w:pPr>
              <w:autoSpaceDE w:val="0"/>
              <w:autoSpaceDN w:val="0"/>
              <w:snapToGrid w:val="0"/>
              <w:jc w:val="center"/>
              <w:rPr>
                <w:color w:val="000000" w:themeColor="text1"/>
                <w:szCs w:val="21"/>
              </w:rPr>
            </w:pPr>
          </w:p>
        </w:tc>
        <w:tc>
          <w:tcPr>
            <w:tcW w:w="2688" w:type="pct"/>
            <w:tcBorders>
              <w:top w:val="single" w:sz="6" w:space="0" w:color="auto"/>
              <w:left w:val="single" w:sz="4" w:space="0" w:color="auto"/>
              <w:bottom w:val="single" w:sz="6" w:space="0" w:color="auto"/>
              <w:right w:val="single" w:sz="6" w:space="0" w:color="auto"/>
            </w:tcBorders>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企业应建立健全</w:t>
            </w:r>
            <w:r>
              <w:rPr>
                <w:rFonts w:cs="Times New Roman" w:hint="eastAsia"/>
                <w:color w:val="000000"/>
                <w:kern w:val="0"/>
                <w:szCs w:val="21"/>
                <w:lang w:bidi="ar"/>
              </w:rPr>
              <w:t>VOCs</w:t>
            </w:r>
            <w:r>
              <w:rPr>
                <w:rFonts w:cs="Times New Roman" w:hint="eastAsia"/>
                <w:color w:val="000000"/>
                <w:kern w:val="0"/>
                <w:szCs w:val="21"/>
                <w:lang w:bidi="ar"/>
              </w:rPr>
              <w:t>治理设施的运行维护规程和台账等日常管理制度，并根据工艺要求定期对各类设备、电气、自控仪表等进行检修维护，确保设施的稳定运行。</w:t>
            </w:r>
          </w:p>
        </w:tc>
        <w:tc>
          <w:tcPr>
            <w:tcW w:w="1228" w:type="pct"/>
            <w:tcBorders>
              <w:top w:val="single" w:sz="6" w:space="0" w:color="auto"/>
              <w:left w:val="single" w:sz="6" w:space="0" w:color="auto"/>
              <w:bottom w:val="single" w:sz="6" w:space="0" w:color="auto"/>
              <w:right w:val="single" w:sz="4" w:space="0" w:color="auto"/>
            </w:tcBorders>
            <w:vAlign w:val="center"/>
          </w:tcPr>
          <w:p w:rsidR="00644456" w:rsidRDefault="008031C4">
            <w:pPr>
              <w:autoSpaceDE w:val="0"/>
              <w:autoSpaceDN w:val="0"/>
              <w:snapToGrid w:val="0"/>
              <w:ind w:leftChars="-20" w:left="-42" w:rightChars="-20" w:right="-42"/>
              <w:jc w:val="center"/>
              <w:rPr>
                <w:rFonts w:cs="Times New Roman"/>
                <w:color w:val="000000"/>
                <w:kern w:val="0"/>
                <w:szCs w:val="21"/>
                <w:lang w:bidi="ar"/>
              </w:rPr>
            </w:pPr>
            <w:r>
              <w:rPr>
                <w:rFonts w:cs="Times New Roman" w:hint="eastAsia"/>
                <w:color w:val="000000"/>
                <w:kern w:val="0"/>
                <w:szCs w:val="21"/>
                <w:lang w:bidi="ar"/>
              </w:rPr>
              <w:t>本评价报告中已经提出在项目建成运行后，企业应建立健全台账管理、定期检修维护各类设备。</w:t>
            </w:r>
          </w:p>
        </w:tc>
        <w:tc>
          <w:tcPr>
            <w:tcW w:w="407" w:type="pct"/>
            <w:tcBorders>
              <w:top w:val="single" w:sz="6" w:space="0" w:color="auto"/>
              <w:left w:val="single" w:sz="4" w:space="0" w:color="auto"/>
              <w:bottom w:val="single" w:sz="6" w:space="0" w:color="auto"/>
              <w:right w:val="nil"/>
            </w:tcBorders>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bl>
    <w:p w:rsidR="00644456" w:rsidRDefault="008031C4">
      <w:pPr>
        <w:pStyle w:val="affffffffc"/>
        <w:ind w:firstLine="482"/>
        <w:rPr>
          <w:rFonts w:cs="Times New Roman"/>
          <w:b/>
          <w:bCs/>
          <w:color w:val="000000" w:themeColor="text1"/>
        </w:rPr>
      </w:pPr>
      <w:r>
        <w:rPr>
          <w:rFonts w:cs="Times New Roman" w:hint="eastAsia"/>
          <w:b/>
          <w:bCs/>
          <w:color w:val="000000" w:themeColor="text1"/>
        </w:rPr>
        <w:t>综上，</w:t>
      </w:r>
      <w:r>
        <w:rPr>
          <w:rFonts w:cs="Times New Roman"/>
          <w:b/>
          <w:bCs/>
          <w:color w:val="000000" w:themeColor="text1"/>
        </w:rPr>
        <w:t>本项目与《大气污染防治行动计划（国发〔</w:t>
      </w:r>
      <w:r>
        <w:rPr>
          <w:rFonts w:cs="Times New Roman"/>
          <w:b/>
          <w:bCs/>
          <w:color w:val="000000" w:themeColor="text1"/>
        </w:rPr>
        <w:t>2013</w:t>
      </w:r>
      <w:r>
        <w:rPr>
          <w:rFonts w:cs="Times New Roman"/>
          <w:b/>
          <w:bCs/>
          <w:color w:val="000000" w:themeColor="text1"/>
        </w:rPr>
        <w:t>〕</w:t>
      </w:r>
      <w:r>
        <w:rPr>
          <w:rFonts w:cs="Times New Roman"/>
          <w:b/>
          <w:bCs/>
          <w:color w:val="000000" w:themeColor="text1"/>
        </w:rPr>
        <w:t>37</w:t>
      </w:r>
      <w:r>
        <w:rPr>
          <w:rFonts w:cs="Times New Roman"/>
          <w:b/>
          <w:bCs/>
          <w:color w:val="000000" w:themeColor="text1"/>
        </w:rPr>
        <w:t>号）》《关于加强高耗能、高排放建设项目生态环境源头防控的指导意见》（环环评（</w:t>
      </w:r>
      <w:r>
        <w:rPr>
          <w:rFonts w:cs="Times New Roman"/>
          <w:b/>
          <w:bCs/>
          <w:color w:val="000000" w:themeColor="text1"/>
        </w:rPr>
        <w:t>2021</w:t>
      </w:r>
      <w:r>
        <w:rPr>
          <w:rFonts w:cs="Times New Roman"/>
          <w:b/>
          <w:bCs/>
          <w:color w:val="000000" w:themeColor="text1"/>
        </w:rPr>
        <w:t>）</w:t>
      </w:r>
      <w:r>
        <w:rPr>
          <w:rFonts w:cs="Times New Roman"/>
          <w:b/>
          <w:bCs/>
          <w:color w:val="000000" w:themeColor="text1"/>
        </w:rPr>
        <w:t>45</w:t>
      </w:r>
      <w:r>
        <w:rPr>
          <w:rFonts w:cs="Times New Roman"/>
          <w:b/>
          <w:bCs/>
          <w:color w:val="000000" w:themeColor="text1"/>
        </w:rPr>
        <w:t>号）</w:t>
      </w:r>
      <w:r>
        <w:rPr>
          <w:rFonts w:cs="Times New Roman" w:hint="eastAsia"/>
          <w:b/>
          <w:bCs/>
          <w:color w:val="000000" w:themeColor="text1"/>
        </w:rPr>
        <w:t>、</w:t>
      </w:r>
      <w:r>
        <w:rPr>
          <w:rFonts w:cs="Times New Roman"/>
          <w:b/>
          <w:bCs/>
          <w:color w:val="000000" w:themeColor="text1"/>
        </w:rPr>
        <w:t>《国务院关于印发打赢蓝天保卫战三年行动计划的通知》</w:t>
      </w:r>
      <w:r>
        <w:rPr>
          <w:rFonts w:cs="Times New Roman" w:hint="eastAsia"/>
          <w:b/>
          <w:bCs/>
          <w:color w:val="000000" w:themeColor="text1"/>
        </w:rPr>
        <w:t>等的相关要求相符</w:t>
      </w:r>
      <w:r>
        <w:rPr>
          <w:rFonts w:cs="Times New Roman"/>
          <w:b/>
          <w:bCs/>
          <w:color w:val="000000" w:themeColor="text1"/>
        </w:rPr>
        <w:t>。</w:t>
      </w:r>
    </w:p>
    <w:p w:rsidR="00644456" w:rsidRDefault="008031C4">
      <w:pPr>
        <w:pStyle w:val="3"/>
        <w:numPr>
          <w:ilvl w:val="2"/>
          <w:numId w:val="0"/>
        </w:numPr>
        <w:ind w:firstLineChars="200" w:firstLine="482"/>
      </w:pPr>
      <w:r>
        <w:rPr>
          <w:rFonts w:hint="eastAsia"/>
        </w:rPr>
        <w:t>1.4.6</w:t>
      </w:r>
      <w:r>
        <w:rPr>
          <w:rFonts w:hint="eastAsia"/>
        </w:rPr>
        <w:t>项目与水污染防治行动计划符合性分析</w:t>
      </w:r>
    </w:p>
    <w:p w:rsidR="00644456" w:rsidRDefault="008031C4">
      <w:pPr>
        <w:pStyle w:val="affffffffc"/>
        <w:rPr>
          <w:rFonts w:cs="Times New Roman"/>
          <w:color w:val="000000" w:themeColor="text1"/>
        </w:rPr>
      </w:pPr>
      <w:r>
        <w:rPr>
          <w:rFonts w:cs="Times New Roman" w:hint="eastAsia"/>
          <w:color w:val="000000" w:themeColor="text1"/>
        </w:rPr>
        <w:t>项目与《水污染防治行动计划》（国发〔</w:t>
      </w:r>
      <w:r>
        <w:rPr>
          <w:rFonts w:cs="Times New Roman"/>
          <w:color w:val="000000" w:themeColor="text1"/>
        </w:rPr>
        <w:t>2015</w:t>
      </w:r>
      <w:r>
        <w:rPr>
          <w:rFonts w:cs="Times New Roman" w:hint="eastAsia"/>
          <w:color w:val="000000" w:themeColor="text1"/>
        </w:rPr>
        <w:t>〕</w:t>
      </w:r>
      <w:r>
        <w:rPr>
          <w:rFonts w:cs="Times New Roman"/>
          <w:color w:val="000000" w:themeColor="text1"/>
        </w:rPr>
        <w:t>17</w:t>
      </w:r>
      <w:r>
        <w:rPr>
          <w:rFonts w:cs="Times New Roman" w:hint="eastAsia"/>
          <w:color w:val="000000" w:themeColor="text1"/>
        </w:rPr>
        <w:t>号）、《“十四五”土壤、地下水和农村生态环境保护规划》（环土壤</w:t>
      </w:r>
      <w:r>
        <w:rPr>
          <w:rFonts w:cs="Times New Roman" w:hint="eastAsia"/>
          <w:color w:val="000000" w:themeColor="text1"/>
        </w:rPr>
        <w:t>[2021]120</w:t>
      </w:r>
      <w:r>
        <w:rPr>
          <w:rFonts w:cs="Times New Roman" w:hint="eastAsia"/>
          <w:color w:val="000000" w:themeColor="text1"/>
        </w:rPr>
        <w:t>号）、《地下水管理条例》（中华人民共和国国务院令第</w:t>
      </w:r>
      <w:r>
        <w:rPr>
          <w:rFonts w:cs="Times New Roman" w:hint="eastAsia"/>
          <w:color w:val="000000" w:themeColor="text1"/>
        </w:rPr>
        <w:t>748</w:t>
      </w:r>
      <w:r>
        <w:rPr>
          <w:rFonts w:cs="Times New Roman" w:hint="eastAsia"/>
          <w:color w:val="000000" w:themeColor="text1"/>
        </w:rPr>
        <w:t>号）等符合性如下：</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1.4-11</w:t>
      </w:r>
      <w:r>
        <w:rPr>
          <w:rFonts w:ascii="Times New Roman" w:eastAsia="宋体" w:hAnsi="Times New Roman" w:cs="Times New Roman" w:hint="eastAsia"/>
          <w:b/>
          <w:color w:val="000000" w:themeColor="text1"/>
          <w:sz w:val="24"/>
        </w:rPr>
        <w:t>与水污染防治行动计划符合性</w:t>
      </w:r>
    </w:p>
    <w:tbl>
      <w:tblPr>
        <w:tblW w:w="5132"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64"/>
        <w:gridCol w:w="4887"/>
        <w:gridCol w:w="1936"/>
        <w:gridCol w:w="995"/>
      </w:tblGrid>
      <w:tr w:rsidR="00644456">
        <w:trPr>
          <w:trHeight w:val="271"/>
          <w:jc w:val="center"/>
        </w:trPr>
        <w:tc>
          <w:tcPr>
            <w:tcW w:w="743" w:type="pc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项目</w:t>
            </w:r>
          </w:p>
        </w:tc>
        <w:tc>
          <w:tcPr>
            <w:tcW w:w="2660" w:type="pc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规划要求</w:t>
            </w:r>
          </w:p>
        </w:tc>
        <w:tc>
          <w:tcPr>
            <w:tcW w:w="1054" w:type="pc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本项目情况</w:t>
            </w:r>
          </w:p>
        </w:tc>
        <w:tc>
          <w:tcPr>
            <w:tcW w:w="542" w:type="pc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符合性</w:t>
            </w:r>
          </w:p>
        </w:tc>
      </w:tr>
      <w:tr w:rsidR="00644456">
        <w:trPr>
          <w:trHeight w:val="2027"/>
          <w:jc w:val="center"/>
        </w:trPr>
        <w:tc>
          <w:tcPr>
            <w:tcW w:w="743" w:type="pct"/>
            <w:vMerge w:val="restar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lastRenderedPageBreak/>
              <w:t>水污染防治行动计划（国发〔</w:t>
            </w:r>
            <w:r>
              <w:rPr>
                <w:color w:val="000000" w:themeColor="text1"/>
                <w:szCs w:val="21"/>
              </w:rPr>
              <w:t>2015</w:t>
            </w:r>
            <w:r>
              <w:rPr>
                <w:rFonts w:hint="eastAsia"/>
                <w:color w:val="000000" w:themeColor="text1"/>
                <w:szCs w:val="21"/>
              </w:rPr>
              <w:t>〕</w:t>
            </w:r>
            <w:r>
              <w:rPr>
                <w:color w:val="000000" w:themeColor="text1"/>
                <w:szCs w:val="21"/>
              </w:rPr>
              <w:t>17</w:t>
            </w:r>
            <w:r>
              <w:rPr>
                <w:rFonts w:hint="eastAsia"/>
                <w:color w:val="000000" w:themeColor="text1"/>
                <w:szCs w:val="21"/>
              </w:rPr>
              <w:t>号）</w:t>
            </w:r>
          </w:p>
        </w:tc>
        <w:tc>
          <w:tcPr>
            <w:tcW w:w="2660" w:type="pct"/>
            <w:vAlign w:val="center"/>
          </w:tcPr>
          <w:p w:rsidR="00644456" w:rsidRDefault="008031C4">
            <w:pPr>
              <w:autoSpaceDE w:val="0"/>
              <w:autoSpaceDN w:val="0"/>
              <w:jc w:val="left"/>
              <w:rPr>
                <w:color w:val="000000" w:themeColor="text1"/>
                <w:szCs w:val="21"/>
              </w:rPr>
            </w:pPr>
            <w:r>
              <w:rPr>
                <w:rFonts w:hint="eastAsia"/>
                <w:color w:val="000000" w:themeColor="text1"/>
                <w:szCs w:val="21"/>
              </w:rPr>
              <w:t>（一）狠抓工业污染防治。取缔“十小”企业。全面排查装备水平低、环保设施差的小型工业企业。</w:t>
            </w:r>
            <w:r>
              <w:rPr>
                <w:color w:val="000000" w:themeColor="text1"/>
                <w:szCs w:val="21"/>
              </w:rPr>
              <w:t>2016</w:t>
            </w:r>
            <w:r>
              <w:rPr>
                <w:rFonts w:hint="eastAsia"/>
                <w:color w:val="000000" w:themeColor="text1"/>
                <w:szCs w:val="21"/>
              </w:rPr>
              <w:t>年底前，按照水污染防治法律法规要求，全部取缔不符合国家产业政策的小型造纸、制革、印染、染料、炼焦、炼硫、炼砷、炼油、电镀、农药等严重污染水环境的生产项目。</w:t>
            </w:r>
          </w:p>
        </w:tc>
        <w:tc>
          <w:tcPr>
            <w:tcW w:w="1054" w:type="pct"/>
            <w:vAlign w:val="center"/>
          </w:tcPr>
          <w:p w:rsidR="00644456" w:rsidRDefault="008031C4">
            <w:pPr>
              <w:autoSpaceDE w:val="0"/>
              <w:autoSpaceDN w:val="0"/>
              <w:snapToGrid w:val="0"/>
              <w:rPr>
                <w:color w:val="000000" w:themeColor="text1"/>
                <w:szCs w:val="21"/>
              </w:rPr>
            </w:pPr>
            <w:r>
              <w:rPr>
                <w:rFonts w:hint="eastAsia"/>
                <w:color w:val="000000" w:themeColor="text1"/>
                <w:szCs w:val="21"/>
              </w:rPr>
              <w:t>项目不属于“十小”企业。</w:t>
            </w:r>
          </w:p>
        </w:tc>
        <w:tc>
          <w:tcPr>
            <w:tcW w:w="542" w:type="pc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r w:rsidR="00644456">
        <w:trPr>
          <w:trHeight w:val="271"/>
          <w:jc w:val="center"/>
        </w:trPr>
        <w:tc>
          <w:tcPr>
            <w:tcW w:w="0" w:type="auto"/>
            <w:vMerge/>
            <w:vAlign w:val="center"/>
          </w:tcPr>
          <w:p w:rsidR="00644456" w:rsidRDefault="00644456">
            <w:pPr>
              <w:autoSpaceDE w:val="0"/>
              <w:autoSpaceDN w:val="0"/>
              <w:snapToGrid w:val="0"/>
              <w:jc w:val="center"/>
              <w:rPr>
                <w:color w:val="000000" w:themeColor="text1"/>
                <w:szCs w:val="21"/>
              </w:rPr>
            </w:pPr>
          </w:p>
        </w:tc>
        <w:tc>
          <w:tcPr>
            <w:tcW w:w="2660" w:type="pct"/>
            <w:vAlign w:val="center"/>
          </w:tcPr>
          <w:p w:rsidR="00644456" w:rsidRDefault="008031C4">
            <w:pPr>
              <w:autoSpaceDE w:val="0"/>
              <w:autoSpaceDN w:val="0"/>
              <w:adjustRightInd w:val="0"/>
              <w:snapToGrid w:val="0"/>
              <w:jc w:val="left"/>
              <w:rPr>
                <w:color w:val="000000" w:themeColor="text1"/>
                <w:szCs w:val="21"/>
              </w:rPr>
            </w:pPr>
            <w:r>
              <w:rPr>
                <w:rFonts w:hint="eastAsia"/>
                <w:color w:val="000000" w:themeColor="text1"/>
                <w:szCs w:val="21"/>
              </w:rPr>
              <w:t>（六）优化空间布局。合理确定发展布局、结构和规模。充分考虑水资源、水环境承载能力，以水定城、以水定地、以水定人、以水定产。重大项目原则上布局在优化开发区和重点开发区，并符合城乡规划和土地利用总体规划。</w:t>
            </w:r>
            <w:r>
              <w:rPr>
                <w:color w:val="000000" w:themeColor="text1"/>
                <w:szCs w:val="21"/>
              </w:rPr>
              <w:t>……</w:t>
            </w:r>
            <w:r>
              <w:rPr>
                <w:rFonts w:hint="eastAsia"/>
                <w:color w:val="000000" w:themeColor="text1"/>
                <w:szCs w:val="21"/>
              </w:rPr>
              <w:t>，严格控制缺水地区、水污染严重地区和敏感区域高耗水、高污染行业发展，新建、改建、扩建重点行业建设项目实行主要污染物排放减量置换。七大重点流域干流沿岸，要严格控制石油加工、化学原料和化学制品制造、医药制造、化学纤维制造、有色金属冶炼、纺织印染等项目环境风险，合理布局生产装置及危险化学品仓储等设施。</w:t>
            </w:r>
          </w:p>
        </w:tc>
        <w:tc>
          <w:tcPr>
            <w:tcW w:w="1054" w:type="pc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项目所在区域不属于水污染严重地区和敏感区域；项目不属于高耗水企业、高污染行业，不在严格控制发展之列。</w:t>
            </w:r>
          </w:p>
        </w:tc>
        <w:tc>
          <w:tcPr>
            <w:tcW w:w="542" w:type="pct"/>
            <w:vAlign w:val="center"/>
          </w:tcPr>
          <w:p w:rsidR="00644456" w:rsidRDefault="008031C4">
            <w:pPr>
              <w:autoSpaceDE w:val="0"/>
              <w:autoSpaceDN w:val="0"/>
              <w:adjustRightInd w:val="0"/>
              <w:snapToGrid w:val="0"/>
              <w:jc w:val="center"/>
              <w:rPr>
                <w:color w:val="000000" w:themeColor="text1"/>
                <w:szCs w:val="21"/>
              </w:rPr>
            </w:pPr>
            <w:r>
              <w:rPr>
                <w:rFonts w:hint="eastAsia"/>
                <w:color w:val="000000" w:themeColor="text1"/>
                <w:szCs w:val="21"/>
              </w:rPr>
              <w:t>符合</w:t>
            </w:r>
          </w:p>
        </w:tc>
      </w:tr>
      <w:tr w:rsidR="00644456">
        <w:trPr>
          <w:trHeight w:val="271"/>
          <w:jc w:val="center"/>
        </w:trPr>
        <w:tc>
          <w:tcPr>
            <w:tcW w:w="0" w:type="auto"/>
            <w:vMerge w:val="restar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《“十四五”土壤、地下水和农村生态环境保护规划》（环土壤</w:t>
            </w:r>
            <w:r>
              <w:rPr>
                <w:rFonts w:hint="eastAsia"/>
                <w:color w:val="000000" w:themeColor="text1"/>
                <w:szCs w:val="21"/>
              </w:rPr>
              <w:t>[2021]120</w:t>
            </w:r>
            <w:r>
              <w:rPr>
                <w:rFonts w:hint="eastAsia"/>
                <w:color w:val="000000" w:themeColor="text1"/>
                <w:szCs w:val="21"/>
              </w:rPr>
              <w:t>号）</w:t>
            </w:r>
          </w:p>
        </w:tc>
        <w:tc>
          <w:tcPr>
            <w:tcW w:w="2660" w:type="pct"/>
            <w:vAlign w:val="center"/>
          </w:tcPr>
          <w:p w:rsidR="00644456" w:rsidRDefault="008031C4">
            <w:pPr>
              <w:autoSpaceDE w:val="0"/>
              <w:autoSpaceDN w:val="0"/>
              <w:snapToGrid w:val="0"/>
              <w:jc w:val="left"/>
              <w:rPr>
                <w:color w:val="000000" w:themeColor="text1"/>
                <w:szCs w:val="21"/>
              </w:rPr>
            </w:pPr>
            <w:r>
              <w:rPr>
                <w:color w:val="000000" w:themeColor="text1"/>
                <w:szCs w:val="21"/>
              </w:rPr>
              <w:t>落实地下水防渗和监测措施。督促</w:t>
            </w:r>
            <w:r>
              <w:rPr>
                <w:color w:val="000000" w:themeColor="text1"/>
                <w:szCs w:val="21"/>
              </w:rPr>
              <w:t>“</w:t>
            </w:r>
            <w:r>
              <w:rPr>
                <w:color w:val="000000" w:themeColor="text1"/>
                <w:szCs w:val="21"/>
              </w:rPr>
              <w:t>一企一库</w:t>
            </w:r>
            <w:r>
              <w:rPr>
                <w:color w:val="000000" w:themeColor="text1"/>
                <w:szCs w:val="21"/>
              </w:rPr>
              <w:t>”“</w:t>
            </w:r>
            <w:r>
              <w:rPr>
                <w:color w:val="000000" w:themeColor="text1"/>
                <w:szCs w:val="21"/>
              </w:rPr>
              <w:t>两场两区</w:t>
            </w:r>
            <w:r>
              <w:rPr>
                <w:color w:val="000000" w:themeColor="text1"/>
                <w:szCs w:val="21"/>
              </w:rPr>
              <w:t>”</w:t>
            </w:r>
            <w:r>
              <w:rPr>
                <w:color w:val="000000" w:themeColor="text1"/>
                <w:szCs w:val="21"/>
              </w:rPr>
              <w:t>采取防渗漏措施，按要求建设地下水环境监测井，开展地下水环境自行监测。指导地下水污染防治重点排污单位优先开展地下水污染渗漏排查，针对存在问题的设施，采取污染防渗改造措施。地方生态环境部门开展地下水污染防治重点排污单位周边地下水环境监测。</w:t>
            </w:r>
          </w:p>
        </w:tc>
        <w:tc>
          <w:tcPr>
            <w:tcW w:w="1054" w:type="pct"/>
            <w:vMerge w:val="restart"/>
            <w:vAlign w:val="center"/>
          </w:tcPr>
          <w:p w:rsidR="00644456" w:rsidRDefault="008031C4">
            <w:pPr>
              <w:autoSpaceDE w:val="0"/>
              <w:autoSpaceDN w:val="0"/>
              <w:spacing w:line="260" w:lineRule="exact"/>
              <w:rPr>
                <w:color w:val="000000" w:themeColor="text1"/>
                <w:szCs w:val="21"/>
              </w:rPr>
            </w:pPr>
            <w:r>
              <w:rPr>
                <w:color w:val="000000" w:themeColor="text1"/>
                <w:szCs w:val="21"/>
              </w:rPr>
              <w:t>项目生产废水均</w:t>
            </w:r>
            <w:r>
              <w:rPr>
                <w:rFonts w:hint="eastAsia"/>
                <w:color w:val="000000" w:themeColor="text1"/>
                <w:szCs w:val="21"/>
              </w:rPr>
              <w:t>合理处置</w:t>
            </w:r>
            <w:r>
              <w:rPr>
                <w:color w:val="000000" w:themeColor="text1"/>
                <w:szCs w:val="21"/>
              </w:rPr>
              <w:t>。</w:t>
            </w:r>
            <w:r>
              <w:rPr>
                <w:rFonts w:hint="eastAsia"/>
                <w:color w:val="000000" w:themeColor="text1"/>
                <w:szCs w:val="21"/>
              </w:rPr>
              <w:t>项目危废暂存间、污水处理站等均进行了重点防渗处理，</w:t>
            </w:r>
            <w:r>
              <w:rPr>
                <w:color w:val="000000" w:themeColor="text1"/>
                <w:szCs w:val="21"/>
              </w:rPr>
              <w:t>等效黏土防渗层厚度</w:t>
            </w:r>
            <w:r>
              <w:rPr>
                <w:color w:val="000000" w:themeColor="text1"/>
                <w:szCs w:val="21"/>
              </w:rPr>
              <w:t>≥</w:t>
            </w:r>
            <w:r w:rsidR="00E159BB">
              <w:rPr>
                <w:color w:val="000000" w:themeColor="text1"/>
                <w:szCs w:val="21"/>
              </w:rPr>
              <w:t>6</w:t>
            </w:r>
            <w:r>
              <w:rPr>
                <w:color w:val="000000" w:themeColor="text1"/>
                <w:szCs w:val="21"/>
              </w:rPr>
              <w:t>，渗透系数</w:t>
            </w:r>
            <w:r>
              <w:rPr>
                <w:color w:val="000000" w:themeColor="text1"/>
                <w:szCs w:val="21"/>
              </w:rPr>
              <w:t>≤1×10</w:t>
            </w:r>
            <w:r>
              <w:rPr>
                <w:color w:val="000000" w:themeColor="text1"/>
                <w:szCs w:val="21"/>
                <w:vertAlign w:val="superscript"/>
              </w:rPr>
              <w:t>-7</w:t>
            </w:r>
            <w:r>
              <w:rPr>
                <w:color w:val="000000" w:themeColor="text1"/>
                <w:szCs w:val="21"/>
              </w:rPr>
              <w:t>m/s</w:t>
            </w:r>
            <w:r>
              <w:rPr>
                <w:color w:val="000000" w:themeColor="text1"/>
                <w:szCs w:val="21"/>
              </w:rPr>
              <w:t>。</w:t>
            </w:r>
            <w:r>
              <w:rPr>
                <w:rFonts w:hint="eastAsia"/>
                <w:color w:val="000000" w:themeColor="text1"/>
                <w:szCs w:val="21"/>
              </w:rPr>
              <w:t>本项目在上、下游分别设置有</w:t>
            </w:r>
            <w:r>
              <w:rPr>
                <w:rFonts w:hint="eastAsia"/>
                <w:color w:val="000000" w:themeColor="text1"/>
                <w:szCs w:val="21"/>
              </w:rPr>
              <w:t>1</w:t>
            </w:r>
            <w:r>
              <w:rPr>
                <w:rFonts w:hint="eastAsia"/>
                <w:color w:val="000000" w:themeColor="text1"/>
                <w:szCs w:val="21"/>
              </w:rPr>
              <w:t>口地下水监测井，定期对地下水开展监测。</w:t>
            </w:r>
          </w:p>
        </w:tc>
        <w:tc>
          <w:tcPr>
            <w:tcW w:w="542" w:type="pc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r w:rsidR="00644456">
        <w:trPr>
          <w:trHeight w:val="271"/>
          <w:jc w:val="center"/>
        </w:trPr>
        <w:tc>
          <w:tcPr>
            <w:tcW w:w="0" w:type="auto"/>
            <w:vMerge/>
            <w:vAlign w:val="center"/>
          </w:tcPr>
          <w:p w:rsidR="00644456" w:rsidRDefault="00644456">
            <w:pPr>
              <w:autoSpaceDE w:val="0"/>
              <w:autoSpaceDN w:val="0"/>
              <w:snapToGrid w:val="0"/>
              <w:jc w:val="center"/>
              <w:rPr>
                <w:color w:val="000000" w:themeColor="text1"/>
                <w:szCs w:val="21"/>
              </w:rPr>
            </w:pPr>
          </w:p>
        </w:tc>
        <w:tc>
          <w:tcPr>
            <w:tcW w:w="2660" w:type="pct"/>
            <w:vAlign w:val="center"/>
          </w:tcPr>
          <w:p w:rsidR="00644456" w:rsidRDefault="008031C4">
            <w:pPr>
              <w:autoSpaceDE w:val="0"/>
              <w:autoSpaceDN w:val="0"/>
              <w:adjustRightInd w:val="0"/>
              <w:snapToGrid w:val="0"/>
              <w:jc w:val="left"/>
              <w:rPr>
                <w:color w:val="000000" w:themeColor="text1"/>
                <w:szCs w:val="21"/>
              </w:rPr>
            </w:pPr>
            <w:r>
              <w:rPr>
                <w:color w:val="000000" w:themeColor="text1"/>
                <w:szCs w:val="21"/>
              </w:rPr>
              <w:t>实施地下水污染风险管控。针对存在地下水污染的化工产业为主导的工业集聚区、危险废物处置场和生活垃圾填埋场等，实施地下水污染风险管控，阻止污染扩散，加强风险管控后期环境监管。试点开展废弃矿井地下水污染防治、原地浸矿地下水污染风险管控，探索油气采出水回注地下水污染防治措施。</w:t>
            </w:r>
          </w:p>
        </w:tc>
        <w:tc>
          <w:tcPr>
            <w:tcW w:w="1054" w:type="pct"/>
            <w:vMerge/>
            <w:vAlign w:val="center"/>
          </w:tcPr>
          <w:p w:rsidR="00644456" w:rsidRDefault="00644456">
            <w:pPr>
              <w:autoSpaceDE w:val="0"/>
              <w:autoSpaceDN w:val="0"/>
              <w:snapToGrid w:val="0"/>
              <w:jc w:val="center"/>
              <w:rPr>
                <w:color w:val="000000" w:themeColor="text1"/>
                <w:szCs w:val="21"/>
              </w:rPr>
            </w:pPr>
          </w:p>
        </w:tc>
        <w:tc>
          <w:tcPr>
            <w:tcW w:w="542" w:type="pct"/>
            <w:vAlign w:val="center"/>
          </w:tcPr>
          <w:p w:rsidR="00644456" w:rsidRDefault="008031C4">
            <w:pPr>
              <w:autoSpaceDE w:val="0"/>
              <w:autoSpaceDN w:val="0"/>
              <w:adjustRightInd w:val="0"/>
              <w:snapToGrid w:val="0"/>
              <w:jc w:val="center"/>
              <w:rPr>
                <w:color w:val="000000" w:themeColor="text1"/>
                <w:szCs w:val="21"/>
              </w:rPr>
            </w:pPr>
            <w:r>
              <w:rPr>
                <w:rFonts w:hint="eastAsia"/>
                <w:color w:val="000000" w:themeColor="text1"/>
                <w:szCs w:val="21"/>
              </w:rPr>
              <w:t>符合</w:t>
            </w:r>
          </w:p>
        </w:tc>
      </w:tr>
      <w:tr w:rsidR="00644456">
        <w:trPr>
          <w:trHeight w:val="2491"/>
          <w:jc w:val="center"/>
        </w:trPr>
        <w:tc>
          <w:tcPr>
            <w:tcW w:w="0" w:type="auto"/>
            <w:vMerge w:val="restar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《地下水管理条例》（中华人民共和国国务院令第</w:t>
            </w:r>
            <w:r>
              <w:rPr>
                <w:rFonts w:hint="eastAsia"/>
                <w:color w:val="000000" w:themeColor="text1"/>
                <w:szCs w:val="21"/>
              </w:rPr>
              <w:t>748</w:t>
            </w:r>
            <w:r>
              <w:rPr>
                <w:rFonts w:hint="eastAsia"/>
                <w:color w:val="000000" w:themeColor="text1"/>
                <w:szCs w:val="21"/>
              </w:rPr>
              <w:t>号）</w:t>
            </w:r>
          </w:p>
        </w:tc>
        <w:tc>
          <w:tcPr>
            <w:tcW w:w="2660" w:type="pct"/>
            <w:vAlign w:val="center"/>
          </w:tcPr>
          <w:p w:rsidR="00644456" w:rsidRDefault="008031C4">
            <w:pPr>
              <w:autoSpaceDE w:val="0"/>
              <w:autoSpaceDN w:val="0"/>
              <w:jc w:val="left"/>
              <w:rPr>
                <w:color w:val="000000" w:themeColor="text1"/>
                <w:szCs w:val="21"/>
              </w:rPr>
            </w:pPr>
            <w:r>
              <w:rPr>
                <w:rFonts w:hint="eastAsia"/>
                <w:color w:val="000000" w:themeColor="text1"/>
                <w:szCs w:val="21"/>
              </w:rPr>
              <w:t>第四十条　禁止下列污染或者可能污染地下水的行为：</w:t>
            </w:r>
          </w:p>
          <w:p w:rsidR="00644456" w:rsidRDefault="008031C4">
            <w:pPr>
              <w:autoSpaceDE w:val="0"/>
              <w:autoSpaceDN w:val="0"/>
              <w:jc w:val="left"/>
              <w:rPr>
                <w:color w:val="000000" w:themeColor="text1"/>
                <w:szCs w:val="21"/>
              </w:rPr>
            </w:pPr>
            <w:r>
              <w:rPr>
                <w:rFonts w:hint="eastAsia"/>
                <w:color w:val="000000" w:themeColor="text1"/>
                <w:szCs w:val="21"/>
              </w:rPr>
              <w:t>（一）利用渗井、渗坑、裂隙、溶洞以及私设暗管等逃避监管的方式排放水污染物；</w:t>
            </w:r>
          </w:p>
          <w:p w:rsidR="00644456" w:rsidRDefault="008031C4">
            <w:pPr>
              <w:autoSpaceDE w:val="0"/>
              <w:autoSpaceDN w:val="0"/>
              <w:jc w:val="left"/>
              <w:rPr>
                <w:color w:val="000000" w:themeColor="text1"/>
                <w:szCs w:val="21"/>
              </w:rPr>
            </w:pPr>
            <w:r>
              <w:rPr>
                <w:rFonts w:hint="eastAsia"/>
                <w:color w:val="000000" w:themeColor="text1"/>
                <w:szCs w:val="21"/>
              </w:rPr>
              <w:t>（三）利用无防渗漏措施的沟渠、坑塘等输送或者贮存含有毒污染物的废水、含病原体的污水和其他废弃物；</w:t>
            </w:r>
          </w:p>
          <w:p w:rsidR="00644456" w:rsidRDefault="008031C4">
            <w:pPr>
              <w:autoSpaceDE w:val="0"/>
              <w:autoSpaceDN w:val="0"/>
              <w:jc w:val="left"/>
              <w:rPr>
                <w:color w:val="000000" w:themeColor="text1"/>
                <w:szCs w:val="21"/>
              </w:rPr>
            </w:pPr>
            <w:r>
              <w:rPr>
                <w:rFonts w:hint="eastAsia"/>
                <w:color w:val="000000" w:themeColor="text1"/>
                <w:szCs w:val="21"/>
              </w:rPr>
              <w:t>（四）法律、法规禁止的其他污染或者可能污染地下水的行为。</w:t>
            </w:r>
          </w:p>
        </w:tc>
        <w:tc>
          <w:tcPr>
            <w:tcW w:w="1054" w:type="pct"/>
            <w:vMerge w:val="restart"/>
            <w:vAlign w:val="center"/>
          </w:tcPr>
          <w:p w:rsidR="00644456" w:rsidRDefault="008031C4">
            <w:pPr>
              <w:autoSpaceDE w:val="0"/>
              <w:autoSpaceDN w:val="0"/>
              <w:snapToGrid w:val="0"/>
              <w:rPr>
                <w:color w:val="000000" w:themeColor="text1"/>
                <w:szCs w:val="21"/>
              </w:rPr>
            </w:pPr>
            <w:r>
              <w:rPr>
                <w:color w:val="000000" w:themeColor="text1"/>
                <w:szCs w:val="21"/>
              </w:rPr>
              <w:t>项目生产废水均</w:t>
            </w:r>
            <w:r>
              <w:rPr>
                <w:rFonts w:hint="eastAsia"/>
                <w:color w:val="000000" w:themeColor="text1"/>
                <w:szCs w:val="21"/>
              </w:rPr>
              <w:t>合理处置</w:t>
            </w:r>
            <w:r>
              <w:rPr>
                <w:color w:val="000000" w:themeColor="text1"/>
                <w:szCs w:val="21"/>
              </w:rPr>
              <w:t>。</w:t>
            </w:r>
            <w:r>
              <w:rPr>
                <w:rFonts w:hint="eastAsia"/>
                <w:color w:val="000000" w:themeColor="text1"/>
                <w:szCs w:val="21"/>
              </w:rPr>
              <w:t>项目危废暂存间、污水处理站等均进行了重点防渗处理，</w:t>
            </w:r>
            <w:r>
              <w:rPr>
                <w:color w:val="000000" w:themeColor="text1"/>
                <w:szCs w:val="21"/>
              </w:rPr>
              <w:t>等效黏土防渗层厚度</w:t>
            </w:r>
            <w:r>
              <w:rPr>
                <w:color w:val="000000" w:themeColor="text1"/>
                <w:szCs w:val="21"/>
              </w:rPr>
              <w:t>≥</w:t>
            </w:r>
            <w:r w:rsidR="00E159BB">
              <w:rPr>
                <w:color w:val="000000" w:themeColor="text1"/>
                <w:szCs w:val="21"/>
              </w:rPr>
              <w:t>6</w:t>
            </w:r>
            <w:r>
              <w:rPr>
                <w:color w:val="000000" w:themeColor="text1"/>
                <w:szCs w:val="21"/>
              </w:rPr>
              <w:t>，渗透系数</w:t>
            </w:r>
            <w:r>
              <w:rPr>
                <w:color w:val="000000" w:themeColor="text1"/>
                <w:szCs w:val="21"/>
              </w:rPr>
              <w:t>≤1×10</w:t>
            </w:r>
            <w:r>
              <w:rPr>
                <w:color w:val="000000" w:themeColor="text1"/>
                <w:szCs w:val="21"/>
                <w:vertAlign w:val="superscript"/>
              </w:rPr>
              <w:t>-7</w:t>
            </w:r>
            <w:r>
              <w:rPr>
                <w:color w:val="000000" w:themeColor="text1"/>
                <w:szCs w:val="21"/>
              </w:rPr>
              <w:t>m/s</w:t>
            </w:r>
            <w:r>
              <w:rPr>
                <w:color w:val="000000" w:themeColor="text1"/>
                <w:szCs w:val="21"/>
              </w:rPr>
              <w:t>。</w:t>
            </w:r>
            <w:r>
              <w:rPr>
                <w:rFonts w:hint="eastAsia"/>
                <w:color w:val="000000" w:themeColor="text1"/>
                <w:szCs w:val="21"/>
              </w:rPr>
              <w:t>本项目在上、下游分别设置有</w:t>
            </w:r>
            <w:r>
              <w:rPr>
                <w:rFonts w:hint="eastAsia"/>
                <w:color w:val="000000" w:themeColor="text1"/>
                <w:szCs w:val="21"/>
              </w:rPr>
              <w:t>1</w:t>
            </w:r>
            <w:r>
              <w:rPr>
                <w:rFonts w:hint="eastAsia"/>
                <w:color w:val="000000" w:themeColor="text1"/>
                <w:szCs w:val="21"/>
              </w:rPr>
              <w:t>口地下水监测井，定期对地下水开展监测。</w:t>
            </w:r>
          </w:p>
        </w:tc>
        <w:tc>
          <w:tcPr>
            <w:tcW w:w="542" w:type="pc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r w:rsidR="00644456">
        <w:trPr>
          <w:trHeight w:val="1122"/>
          <w:jc w:val="center"/>
        </w:trPr>
        <w:tc>
          <w:tcPr>
            <w:tcW w:w="0" w:type="auto"/>
            <w:vMerge/>
            <w:vAlign w:val="center"/>
          </w:tcPr>
          <w:p w:rsidR="00644456" w:rsidRDefault="00644456">
            <w:pPr>
              <w:autoSpaceDE w:val="0"/>
              <w:autoSpaceDN w:val="0"/>
              <w:snapToGrid w:val="0"/>
              <w:jc w:val="center"/>
              <w:rPr>
                <w:color w:val="000000" w:themeColor="text1"/>
                <w:szCs w:val="21"/>
              </w:rPr>
            </w:pPr>
          </w:p>
        </w:tc>
        <w:tc>
          <w:tcPr>
            <w:tcW w:w="2660" w:type="pct"/>
            <w:vAlign w:val="center"/>
          </w:tcPr>
          <w:p w:rsidR="00644456" w:rsidRDefault="008031C4">
            <w:pPr>
              <w:autoSpaceDE w:val="0"/>
              <w:autoSpaceDN w:val="0"/>
              <w:snapToGrid w:val="0"/>
              <w:jc w:val="left"/>
              <w:rPr>
                <w:color w:val="000000" w:themeColor="text1"/>
                <w:szCs w:val="21"/>
              </w:rPr>
            </w:pPr>
            <w:r>
              <w:rPr>
                <w:color w:val="000000" w:themeColor="text1"/>
                <w:szCs w:val="21"/>
              </w:rPr>
              <w:t>第四十一条企业事业单位和其他生产经营者应当采取下列措施，防止地下水污染：</w:t>
            </w:r>
          </w:p>
          <w:p w:rsidR="00644456" w:rsidRDefault="008031C4">
            <w:pPr>
              <w:autoSpaceDE w:val="0"/>
              <w:autoSpaceDN w:val="0"/>
              <w:snapToGrid w:val="0"/>
              <w:jc w:val="left"/>
              <w:rPr>
                <w:color w:val="000000" w:themeColor="text1"/>
                <w:szCs w:val="21"/>
              </w:rPr>
            </w:pPr>
            <w:r>
              <w:rPr>
                <w:color w:val="000000" w:themeColor="text1"/>
                <w:szCs w:val="21"/>
              </w:rPr>
              <w:t>（二）化学品生产企业以及工业集聚区、矿山开采区、尾矿库、危险废物处置场、垃圾填埋场等的运营、管理单位，应当采取防渗漏等措施，并建设地下水水质监测井进行监测</w:t>
            </w:r>
            <w:r>
              <w:rPr>
                <w:rFonts w:hint="eastAsia"/>
                <w:color w:val="000000" w:themeColor="text1"/>
                <w:szCs w:val="21"/>
              </w:rPr>
              <w:t>。</w:t>
            </w:r>
          </w:p>
        </w:tc>
        <w:tc>
          <w:tcPr>
            <w:tcW w:w="1054" w:type="pct"/>
            <w:vMerge/>
            <w:vAlign w:val="center"/>
          </w:tcPr>
          <w:p w:rsidR="00644456" w:rsidRDefault="00644456">
            <w:pPr>
              <w:autoSpaceDE w:val="0"/>
              <w:autoSpaceDN w:val="0"/>
              <w:snapToGrid w:val="0"/>
              <w:ind w:leftChars="-20" w:left="-42" w:rightChars="-20" w:right="-42"/>
              <w:jc w:val="left"/>
              <w:rPr>
                <w:color w:val="000000" w:themeColor="text1"/>
                <w:szCs w:val="21"/>
              </w:rPr>
            </w:pPr>
          </w:p>
        </w:tc>
        <w:tc>
          <w:tcPr>
            <w:tcW w:w="542" w:type="pc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r w:rsidR="00644456">
        <w:trPr>
          <w:trHeight w:val="1122"/>
          <w:jc w:val="center"/>
        </w:trPr>
        <w:tc>
          <w:tcPr>
            <w:tcW w:w="0" w:type="auto"/>
            <w:vMerge/>
            <w:vAlign w:val="center"/>
          </w:tcPr>
          <w:p w:rsidR="00644456" w:rsidRDefault="00644456">
            <w:pPr>
              <w:autoSpaceDE w:val="0"/>
              <w:autoSpaceDN w:val="0"/>
              <w:snapToGrid w:val="0"/>
              <w:jc w:val="center"/>
              <w:rPr>
                <w:color w:val="000000" w:themeColor="text1"/>
                <w:szCs w:val="21"/>
              </w:rPr>
            </w:pPr>
          </w:p>
        </w:tc>
        <w:tc>
          <w:tcPr>
            <w:tcW w:w="2660" w:type="pct"/>
            <w:vAlign w:val="center"/>
          </w:tcPr>
          <w:p w:rsidR="00644456" w:rsidRDefault="008031C4">
            <w:pPr>
              <w:autoSpaceDE w:val="0"/>
              <w:autoSpaceDN w:val="0"/>
              <w:adjustRightInd w:val="0"/>
              <w:snapToGrid w:val="0"/>
              <w:jc w:val="left"/>
              <w:rPr>
                <w:color w:val="000000" w:themeColor="text1"/>
                <w:szCs w:val="21"/>
              </w:rPr>
            </w:pPr>
            <w:r>
              <w:rPr>
                <w:rFonts w:hint="eastAsia"/>
                <w:color w:val="000000" w:themeColor="text1"/>
                <w:szCs w:val="21"/>
              </w:rPr>
              <w:t>第四十一条　企业事业单位和其他生产经营者应当采取下列措施，防止地下水污染：</w:t>
            </w:r>
          </w:p>
          <w:p w:rsidR="00644456" w:rsidRDefault="008031C4">
            <w:pPr>
              <w:autoSpaceDE w:val="0"/>
              <w:autoSpaceDN w:val="0"/>
              <w:snapToGrid w:val="0"/>
              <w:ind w:leftChars="-20" w:left="-42" w:rightChars="-20" w:right="-42"/>
              <w:jc w:val="left"/>
              <w:rPr>
                <w:color w:val="000000" w:themeColor="text1"/>
                <w:szCs w:val="21"/>
              </w:rPr>
            </w:pPr>
            <w:r>
              <w:rPr>
                <w:rFonts w:hint="eastAsia"/>
                <w:color w:val="000000" w:themeColor="text1"/>
                <w:szCs w:val="21"/>
              </w:rPr>
              <w:t>（五）法律、法规规定应当采取的其他防止地下水污染的措施。</w:t>
            </w:r>
          </w:p>
        </w:tc>
        <w:tc>
          <w:tcPr>
            <w:tcW w:w="1054" w:type="pct"/>
            <w:vMerge/>
            <w:vAlign w:val="center"/>
          </w:tcPr>
          <w:p w:rsidR="00644456" w:rsidRDefault="00644456">
            <w:pPr>
              <w:autoSpaceDE w:val="0"/>
              <w:autoSpaceDN w:val="0"/>
              <w:snapToGrid w:val="0"/>
              <w:ind w:leftChars="-20" w:left="-42" w:rightChars="-20" w:right="-42"/>
              <w:jc w:val="left"/>
              <w:rPr>
                <w:color w:val="000000" w:themeColor="text1"/>
                <w:szCs w:val="21"/>
              </w:rPr>
            </w:pPr>
          </w:p>
        </w:tc>
        <w:tc>
          <w:tcPr>
            <w:tcW w:w="542" w:type="pc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r w:rsidR="00644456">
        <w:trPr>
          <w:trHeight w:val="1122"/>
          <w:jc w:val="center"/>
        </w:trPr>
        <w:tc>
          <w:tcPr>
            <w:tcW w:w="0" w:type="auto"/>
            <w:vMerge w:val="restar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《关于印发新疆维吾尔自治区水污染防治工作方案的通知》（新政发〔</w:t>
            </w:r>
            <w:r>
              <w:rPr>
                <w:rFonts w:hint="eastAsia"/>
                <w:color w:val="000000" w:themeColor="text1"/>
                <w:szCs w:val="21"/>
              </w:rPr>
              <w:t>2016</w:t>
            </w:r>
            <w:r>
              <w:rPr>
                <w:rFonts w:hint="eastAsia"/>
                <w:color w:val="000000" w:themeColor="text1"/>
                <w:szCs w:val="21"/>
              </w:rPr>
              <w:t>〕</w:t>
            </w:r>
            <w:r>
              <w:rPr>
                <w:rFonts w:hint="eastAsia"/>
                <w:color w:val="000000" w:themeColor="text1"/>
                <w:szCs w:val="21"/>
              </w:rPr>
              <w:t>21</w:t>
            </w:r>
            <w:r>
              <w:rPr>
                <w:rFonts w:hint="eastAsia"/>
                <w:color w:val="000000" w:themeColor="text1"/>
                <w:szCs w:val="21"/>
              </w:rPr>
              <w:t>号）</w:t>
            </w:r>
          </w:p>
        </w:tc>
        <w:tc>
          <w:tcPr>
            <w:tcW w:w="2660" w:type="pct"/>
            <w:vAlign w:val="center"/>
          </w:tcPr>
          <w:p w:rsidR="00644456" w:rsidRDefault="008031C4">
            <w:pPr>
              <w:autoSpaceDE w:val="0"/>
              <w:autoSpaceDN w:val="0"/>
              <w:adjustRightInd w:val="0"/>
              <w:snapToGrid w:val="0"/>
              <w:jc w:val="left"/>
              <w:rPr>
                <w:color w:val="000000" w:themeColor="text1"/>
                <w:szCs w:val="21"/>
              </w:rPr>
            </w:pPr>
            <w:r>
              <w:rPr>
                <w:rFonts w:hint="eastAsia"/>
                <w:color w:val="000000" w:themeColor="text1"/>
                <w:szCs w:val="21"/>
              </w:rPr>
              <w:t>取缔“十小”企业。</w:t>
            </w:r>
            <w:r>
              <w:rPr>
                <w:rFonts w:hint="eastAsia"/>
                <w:color w:val="000000" w:themeColor="text1"/>
                <w:szCs w:val="21"/>
              </w:rPr>
              <w:t>2016</w:t>
            </w:r>
            <w:r>
              <w:rPr>
                <w:rFonts w:hint="eastAsia"/>
                <w:color w:val="000000" w:themeColor="text1"/>
                <w:szCs w:val="21"/>
              </w:rPr>
              <w:t>年底前，各级人民政府要全面排查装备水平低、环保设施差的小型工业企业，对水环境影响较大的“低、小、散”落后企业、加工点、作坊开展专项整治，对不符合水污染防治法律法规和国家产业政策的小型造纸、制革、印染、染料、炼焦、炼硫、炼砷、炼油、电镀、农药等严重污染水环境的生产项目列出清单，并依法全部取缔</w:t>
            </w:r>
          </w:p>
        </w:tc>
        <w:tc>
          <w:tcPr>
            <w:tcW w:w="1054" w:type="pct"/>
            <w:vAlign w:val="center"/>
          </w:tcPr>
          <w:p w:rsidR="00644456" w:rsidRDefault="008031C4">
            <w:pPr>
              <w:autoSpaceDE w:val="0"/>
              <w:autoSpaceDN w:val="0"/>
              <w:snapToGrid w:val="0"/>
              <w:ind w:leftChars="-20" w:left="-42" w:rightChars="-20" w:right="-42"/>
              <w:jc w:val="left"/>
              <w:rPr>
                <w:color w:val="000000" w:themeColor="text1"/>
                <w:szCs w:val="21"/>
              </w:rPr>
            </w:pPr>
            <w:r>
              <w:rPr>
                <w:rFonts w:hint="eastAsia"/>
                <w:color w:val="000000" w:themeColor="text1"/>
                <w:szCs w:val="21"/>
              </w:rPr>
              <w:t>本项目不属于“十小”企业</w:t>
            </w:r>
          </w:p>
        </w:tc>
        <w:tc>
          <w:tcPr>
            <w:tcW w:w="542" w:type="pc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r w:rsidR="00644456">
        <w:trPr>
          <w:trHeight w:val="1122"/>
          <w:jc w:val="center"/>
        </w:trPr>
        <w:tc>
          <w:tcPr>
            <w:tcW w:w="0" w:type="auto"/>
            <w:vMerge/>
            <w:vAlign w:val="center"/>
          </w:tcPr>
          <w:p w:rsidR="00644456" w:rsidRDefault="00644456">
            <w:pPr>
              <w:autoSpaceDE w:val="0"/>
              <w:autoSpaceDN w:val="0"/>
              <w:snapToGrid w:val="0"/>
              <w:jc w:val="center"/>
              <w:rPr>
                <w:color w:val="000000" w:themeColor="text1"/>
                <w:szCs w:val="21"/>
              </w:rPr>
            </w:pPr>
          </w:p>
        </w:tc>
        <w:tc>
          <w:tcPr>
            <w:tcW w:w="2660" w:type="pct"/>
            <w:vAlign w:val="center"/>
          </w:tcPr>
          <w:p w:rsidR="00644456" w:rsidRDefault="008031C4">
            <w:pPr>
              <w:autoSpaceDE w:val="0"/>
              <w:autoSpaceDN w:val="0"/>
              <w:adjustRightInd w:val="0"/>
              <w:snapToGrid w:val="0"/>
              <w:jc w:val="left"/>
              <w:rPr>
                <w:color w:val="000000" w:themeColor="text1"/>
                <w:szCs w:val="21"/>
              </w:rPr>
            </w:pPr>
            <w:r>
              <w:rPr>
                <w:rFonts w:hint="eastAsia"/>
                <w:color w:val="000000" w:themeColor="text1"/>
                <w:szCs w:val="21"/>
              </w:rPr>
              <w:t>新建污染企业应进入相应的工业集聚区。工业集聚区内工业废水必须经预处理达到集中处理要求，方可进入污水集中处理设施。工业集聚区已经建成的集中污染处理处置设施要正常稳定运行。各类工业集聚区对于现有不符合环保要求的晾晒池、蒸发塘等应立即清理整顿。新建、升级工业集聚区应同步规划、建设污水、垃圾集中处理等污染治理设施</w:t>
            </w:r>
          </w:p>
        </w:tc>
        <w:tc>
          <w:tcPr>
            <w:tcW w:w="1054" w:type="pct"/>
            <w:vAlign w:val="center"/>
          </w:tcPr>
          <w:p w:rsidR="00644456" w:rsidRDefault="008031C4">
            <w:pPr>
              <w:autoSpaceDE w:val="0"/>
              <w:autoSpaceDN w:val="0"/>
              <w:snapToGrid w:val="0"/>
              <w:ind w:leftChars="-20" w:left="-42" w:rightChars="-20" w:right="-42"/>
              <w:jc w:val="left"/>
              <w:rPr>
                <w:color w:val="000000" w:themeColor="text1"/>
                <w:szCs w:val="21"/>
              </w:rPr>
            </w:pPr>
            <w:r w:rsidRPr="008031C4">
              <w:rPr>
                <w:rFonts w:hint="eastAsia"/>
                <w:color w:val="FF0000"/>
                <w:szCs w:val="21"/>
              </w:rPr>
              <w:t>本项目位于疏勒高新技术产业开发区，废水经自建污水处理站处理后进入管网</w:t>
            </w:r>
          </w:p>
        </w:tc>
        <w:tc>
          <w:tcPr>
            <w:tcW w:w="542" w:type="pc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r w:rsidR="00644456">
        <w:trPr>
          <w:trHeight w:val="1122"/>
          <w:jc w:val="center"/>
        </w:trPr>
        <w:tc>
          <w:tcPr>
            <w:tcW w:w="0" w:type="auto"/>
            <w:vMerge/>
            <w:vAlign w:val="center"/>
          </w:tcPr>
          <w:p w:rsidR="00644456" w:rsidRDefault="00644456">
            <w:pPr>
              <w:autoSpaceDE w:val="0"/>
              <w:autoSpaceDN w:val="0"/>
              <w:snapToGrid w:val="0"/>
              <w:jc w:val="center"/>
              <w:rPr>
                <w:color w:val="000000" w:themeColor="text1"/>
                <w:szCs w:val="21"/>
              </w:rPr>
            </w:pPr>
          </w:p>
        </w:tc>
        <w:tc>
          <w:tcPr>
            <w:tcW w:w="2660" w:type="pct"/>
            <w:vAlign w:val="center"/>
          </w:tcPr>
          <w:p w:rsidR="00644456" w:rsidRDefault="008031C4">
            <w:pPr>
              <w:autoSpaceDE w:val="0"/>
              <w:autoSpaceDN w:val="0"/>
              <w:adjustRightInd w:val="0"/>
              <w:snapToGrid w:val="0"/>
              <w:jc w:val="left"/>
              <w:rPr>
                <w:color w:val="000000" w:themeColor="text1"/>
                <w:szCs w:val="21"/>
              </w:rPr>
            </w:pPr>
            <w:r>
              <w:rPr>
                <w:rFonts w:hint="eastAsia"/>
                <w:color w:val="000000" w:themeColor="text1"/>
                <w:szCs w:val="21"/>
              </w:rPr>
              <w:t>鼓励发展节水高效现代农业、低耗水高新技术产业以及生态保护型旅游业，严格控制缺水地区、水污染严重地区和敏感区域高耗水、高污染行业发展，新建、改建、扩建重点行业建设项目实行主要污染物排放减量置换。伊犁河流域、额尔齐斯河流域、额敏河流域沿岸，要严格控制石油加工、煤化工、化学原料和化学制品制造、医药制造、化学纤维制造、有色金属冶炼、纺织印染等项目环境风险，合理布局生产装置及危险化学品仓储等设施。</w:t>
            </w:r>
          </w:p>
        </w:tc>
        <w:tc>
          <w:tcPr>
            <w:tcW w:w="1054" w:type="pct"/>
            <w:vAlign w:val="center"/>
          </w:tcPr>
          <w:p w:rsidR="00644456" w:rsidRDefault="008031C4">
            <w:pPr>
              <w:autoSpaceDE w:val="0"/>
              <w:autoSpaceDN w:val="0"/>
              <w:snapToGrid w:val="0"/>
              <w:ind w:leftChars="-20" w:left="-42" w:rightChars="-20" w:right="-42"/>
              <w:jc w:val="left"/>
              <w:rPr>
                <w:color w:val="000000" w:themeColor="text1"/>
                <w:szCs w:val="21"/>
              </w:rPr>
            </w:pPr>
            <w:r>
              <w:rPr>
                <w:rFonts w:hint="eastAsia"/>
                <w:color w:val="000000" w:themeColor="text1"/>
                <w:szCs w:val="21"/>
              </w:rPr>
              <w:t>本项目属于园区主导产业，鼓励入园企业，本项目不属于伊犁河流域、额尔齐斯河流域、额敏河流域沿岸</w:t>
            </w:r>
          </w:p>
        </w:tc>
        <w:tc>
          <w:tcPr>
            <w:tcW w:w="542" w:type="pc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bl>
    <w:p w:rsidR="00644456" w:rsidRDefault="008031C4">
      <w:pPr>
        <w:pStyle w:val="affffffffc"/>
        <w:ind w:firstLine="482"/>
        <w:rPr>
          <w:rFonts w:cs="Times New Roman"/>
          <w:b/>
          <w:bCs/>
          <w:color w:val="000000" w:themeColor="text1"/>
        </w:rPr>
      </w:pPr>
      <w:r>
        <w:rPr>
          <w:rFonts w:cs="Times New Roman" w:hint="eastAsia"/>
          <w:b/>
          <w:bCs/>
          <w:color w:val="000000" w:themeColor="text1"/>
        </w:rPr>
        <w:t>综上，本项目与《水污染防治行动计划》（国发〔</w:t>
      </w:r>
      <w:r>
        <w:rPr>
          <w:rFonts w:cs="Times New Roman"/>
          <w:b/>
          <w:bCs/>
          <w:color w:val="000000" w:themeColor="text1"/>
        </w:rPr>
        <w:t>2015</w:t>
      </w:r>
      <w:r>
        <w:rPr>
          <w:rFonts w:cs="Times New Roman" w:hint="eastAsia"/>
          <w:b/>
          <w:bCs/>
          <w:color w:val="000000" w:themeColor="text1"/>
        </w:rPr>
        <w:t>〕</w:t>
      </w:r>
      <w:r>
        <w:rPr>
          <w:rFonts w:cs="Times New Roman"/>
          <w:b/>
          <w:bCs/>
          <w:color w:val="000000" w:themeColor="text1"/>
        </w:rPr>
        <w:t>17</w:t>
      </w:r>
      <w:r>
        <w:rPr>
          <w:rFonts w:cs="Times New Roman" w:hint="eastAsia"/>
          <w:b/>
          <w:bCs/>
          <w:color w:val="000000" w:themeColor="text1"/>
        </w:rPr>
        <w:t>号）、《“十四五”土壤、地下水和农村生态环境保护规划》（环土壤</w:t>
      </w:r>
      <w:r>
        <w:rPr>
          <w:rFonts w:cs="Times New Roman" w:hint="eastAsia"/>
          <w:b/>
          <w:bCs/>
          <w:color w:val="000000" w:themeColor="text1"/>
        </w:rPr>
        <w:t>[2021]120</w:t>
      </w:r>
      <w:r>
        <w:rPr>
          <w:rFonts w:cs="Times New Roman" w:hint="eastAsia"/>
          <w:b/>
          <w:bCs/>
          <w:color w:val="000000" w:themeColor="text1"/>
        </w:rPr>
        <w:t>号）、《地下水管理条例》（中华人民共和国国务院令第</w:t>
      </w:r>
      <w:r>
        <w:rPr>
          <w:rFonts w:cs="Times New Roman" w:hint="eastAsia"/>
          <w:b/>
          <w:bCs/>
          <w:color w:val="000000" w:themeColor="text1"/>
        </w:rPr>
        <w:t>748</w:t>
      </w:r>
      <w:r>
        <w:rPr>
          <w:rFonts w:cs="Times New Roman" w:hint="eastAsia"/>
          <w:b/>
          <w:bCs/>
          <w:color w:val="000000" w:themeColor="text1"/>
        </w:rPr>
        <w:t>号）等相符。</w:t>
      </w:r>
    </w:p>
    <w:p w:rsidR="00644456" w:rsidRDefault="008031C4">
      <w:pPr>
        <w:pStyle w:val="3"/>
        <w:numPr>
          <w:ilvl w:val="2"/>
          <w:numId w:val="0"/>
        </w:numPr>
        <w:ind w:firstLineChars="200" w:firstLine="482"/>
      </w:pPr>
      <w:r>
        <w:rPr>
          <w:rFonts w:hint="eastAsia"/>
        </w:rPr>
        <w:t>1.4.7</w:t>
      </w:r>
      <w:r>
        <w:rPr>
          <w:rFonts w:hint="eastAsia"/>
        </w:rPr>
        <w:t>项目与土壤污染防治行动计划符合性分析</w:t>
      </w:r>
    </w:p>
    <w:p w:rsidR="00644456" w:rsidRDefault="008031C4">
      <w:pPr>
        <w:pStyle w:val="affffffffc"/>
        <w:rPr>
          <w:rFonts w:cs="Times New Roman"/>
          <w:color w:val="000000" w:themeColor="text1"/>
        </w:rPr>
      </w:pPr>
      <w:r>
        <w:rPr>
          <w:rFonts w:cs="Times New Roman" w:hint="eastAsia"/>
          <w:color w:val="000000" w:themeColor="text1"/>
        </w:rPr>
        <w:t>项目与《土壤污染防治行动计划》（国发〔</w:t>
      </w:r>
      <w:r>
        <w:rPr>
          <w:rFonts w:cs="Times New Roman"/>
          <w:color w:val="000000" w:themeColor="text1"/>
        </w:rPr>
        <w:t>2016</w:t>
      </w:r>
      <w:r>
        <w:rPr>
          <w:rFonts w:cs="Times New Roman" w:hint="eastAsia"/>
          <w:color w:val="000000" w:themeColor="text1"/>
        </w:rPr>
        <w:t>〕</w:t>
      </w:r>
      <w:r>
        <w:rPr>
          <w:rFonts w:cs="Times New Roman"/>
          <w:color w:val="000000" w:themeColor="text1"/>
        </w:rPr>
        <w:t>31</w:t>
      </w:r>
      <w:r>
        <w:rPr>
          <w:rFonts w:cs="Times New Roman" w:hint="eastAsia"/>
          <w:color w:val="000000" w:themeColor="text1"/>
        </w:rPr>
        <w:t>号）、《“十四五”土壤、地下水和农村生态环境保护规划》（环土壤</w:t>
      </w:r>
      <w:r>
        <w:rPr>
          <w:rFonts w:cs="Times New Roman" w:hint="eastAsia"/>
          <w:color w:val="000000" w:themeColor="text1"/>
        </w:rPr>
        <w:t>[2021]120</w:t>
      </w:r>
      <w:r>
        <w:rPr>
          <w:rFonts w:cs="Times New Roman" w:hint="eastAsia"/>
          <w:color w:val="000000" w:themeColor="text1"/>
        </w:rPr>
        <w:t>号）等符合性如下：</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1.4-12</w:t>
      </w:r>
      <w:r>
        <w:rPr>
          <w:rFonts w:ascii="Times New Roman" w:eastAsia="宋体" w:hAnsi="Times New Roman" w:cs="Times New Roman" w:hint="eastAsia"/>
          <w:b/>
          <w:color w:val="000000" w:themeColor="text1"/>
          <w:sz w:val="24"/>
        </w:rPr>
        <w:t>与土壤污染防治行动计划符合性</w:t>
      </w:r>
    </w:p>
    <w:tbl>
      <w:tblPr>
        <w:tblW w:w="505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52"/>
        <w:gridCol w:w="4413"/>
        <w:gridCol w:w="2277"/>
        <w:gridCol w:w="893"/>
      </w:tblGrid>
      <w:tr w:rsidR="00644456">
        <w:trPr>
          <w:trHeight w:val="271"/>
          <w:jc w:val="center"/>
        </w:trPr>
        <w:tc>
          <w:tcPr>
            <w:tcW w:w="804" w:type="pct"/>
            <w:vAlign w:val="center"/>
          </w:tcPr>
          <w:p w:rsidR="00644456" w:rsidRDefault="008031C4">
            <w:pPr>
              <w:autoSpaceDE w:val="0"/>
              <w:autoSpaceDN w:val="0"/>
              <w:snapToGrid w:val="0"/>
              <w:jc w:val="center"/>
              <w:rPr>
                <w:color w:val="000000" w:themeColor="text1"/>
                <w:szCs w:val="21"/>
              </w:rPr>
            </w:pPr>
            <w:r>
              <w:rPr>
                <w:color w:val="000000" w:themeColor="text1"/>
                <w:szCs w:val="21"/>
              </w:rPr>
              <w:t>项目</w:t>
            </w:r>
          </w:p>
        </w:tc>
        <w:tc>
          <w:tcPr>
            <w:tcW w:w="2442" w:type="pct"/>
            <w:vAlign w:val="center"/>
          </w:tcPr>
          <w:p w:rsidR="00644456" w:rsidRDefault="008031C4">
            <w:pPr>
              <w:autoSpaceDE w:val="0"/>
              <w:autoSpaceDN w:val="0"/>
              <w:snapToGrid w:val="0"/>
              <w:jc w:val="center"/>
              <w:rPr>
                <w:color w:val="000000" w:themeColor="text1"/>
                <w:szCs w:val="21"/>
              </w:rPr>
            </w:pPr>
            <w:r>
              <w:rPr>
                <w:color w:val="000000" w:themeColor="text1"/>
                <w:szCs w:val="21"/>
              </w:rPr>
              <w:t>规划要求</w:t>
            </w:r>
          </w:p>
        </w:tc>
        <w:tc>
          <w:tcPr>
            <w:tcW w:w="1260" w:type="pct"/>
            <w:vAlign w:val="center"/>
          </w:tcPr>
          <w:p w:rsidR="00644456" w:rsidRDefault="008031C4">
            <w:pPr>
              <w:autoSpaceDE w:val="0"/>
              <w:autoSpaceDN w:val="0"/>
              <w:snapToGrid w:val="0"/>
              <w:jc w:val="center"/>
              <w:rPr>
                <w:color w:val="000000" w:themeColor="text1"/>
                <w:szCs w:val="21"/>
              </w:rPr>
            </w:pPr>
            <w:r>
              <w:rPr>
                <w:color w:val="000000" w:themeColor="text1"/>
                <w:szCs w:val="21"/>
              </w:rPr>
              <w:t>本项目情况</w:t>
            </w:r>
          </w:p>
        </w:tc>
        <w:tc>
          <w:tcPr>
            <w:tcW w:w="494" w:type="pct"/>
            <w:vAlign w:val="center"/>
          </w:tcPr>
          <w:p w:rsidR="00644456" w:rsidRDefault="008031C4">
            <w:pPr>
              <w:autoSpaceDE w:val="0"/>
              <w:autoSpaceDN w:val="0"/>
              <w:snapToGrid w:val="0"/>
              <w:jc w:val="center"/>
              <w:rPr>
                <w:color w:val="000000" w:themeColor="text1"/>
                <w:szCs w:val="21"/>
              </w:rPr>
            </w:pPr>
            <w:r>
              <w:rPr>
                <w:color w:val="000000" w:themeColor="text1"/>
                <w:szCs w:val="21"/>
              </w:rPr>
              <w:t>符合性</w:t>
            </w:r>
          </w:p>
        </w:tc>
      </w:tr>
      <w:tr w:rsidR="00644456">
        <w:trPr>
          <w:trHeight w:val="271"/>
          <w:jc w:val="center"/>
        </w:trPr>
        <w:tc>
          <w:tcPr>
            <w:tcW w:w="804" w:type="pct"/>
            <w:vMerge w:val="restart"/>
            <w:vAlign w:val="center"/>
          </w:tcPr>
          <w:p w:rsidR="00644456" w:rsidRDefault="008031C4">
            <w:pPr>
              <w:autoSpaceDE w:val="0"/>
              <w:autoSpaceDN w:val="0"/>
              <w:snapToGrid w:val="0"/>
              <w:jc w:val="center"/>
              <w:rPr>
                <w:color w:val="000000" w:themeColor="text1"/>
                <w:szCs w:val="21"/>
              </w:rPr>
            </w:pPr>
            <w:r>
              <w:rPr>
                <w:color w:val="000000" w:themeColor="text1"/>
                <w:szCs w:val="21"/>
              </w:rPr>
              <w:t>土壤污染防治行动计划</w:t>
            </w:r>
            <w:r>
              <w:rPr>
                <w:color w:val="000000" w:themeColor="text1"/>
                <w:szCs w:val="21"/>
              </w:rPr>
              <w:t>“</w:t>
            </w:r>
            <w:r>
              <w:rPr>
                <w:color w:val="000000" w:themeColor="text1"/>
                <w:szCs w:val="21"/>
              </w:rPr>
              <w:t>国发〔</w:t>
            </w:r>
            <w:r>
              <w:rPr>
                <w:color w:val="000000" w:themeColor="text1"/>
                <w:szCs w:val="21"/>
              </w:rPr>
              <w:t>2016</w:t>
            </w:r>
            <w:r>
              <w:rPr>
                <w:color w:val="000000" w:themeColor="text1"/>
                <w:szCs w:val="21"/>
              </w:rPr>
              <w:t>〕</w:t>
            </w:r>
            <w:r>
              <w:rPr>
                <w:color w:val="000000" w:themeColor="text1"/>
                <w:szCs w:val="21"/>
              </w:rPr>
              <w:t>31</w:t>
            </w:r>
            <w:r>
              <w:rPr>
                <w:color w:val="000000" w:themeColor="text1"/>
                <w:szCs w:val="21"/>
              </w:rPr>
              <w:t>号</w:t>
            </w:r>
            <w:r>
              <w:rPr>
                <w:color w:val="000000" w:themeColor="text1"/>
                <w:szCs w:val="21"/>
              </w:rPr>
              <w:t>”</w:t>
            </w:r>
          </w:p>
        </w:tc>
        <w:tc>
          <w:tcPr>
            <w:tcW w:w="2442" w:type="pct"/>
            <w:vAlign w:val="center"/>
          </w:tcPr>
          <w:p w:rsidR="00644456" w:rsidRDefault="008031C4">
            <w:pPr>
              <w:autoSpaceDE w:val="0"/>
              <w:autoSpaceDN w:val="0"/>
              <w:snapToGrid w:val="0"/>
              <w:jc w:val="left"/>
              <w:rPr>
                <w:color w:val="000000" w:themeColor="text1"/>
                <w:szCs w:val="21"/>
              </w:rPr>
            </w:pPr>
            <w:r>
              <w:rPr>
                <w:color w:val="000000" w:themeColor="text1"/>
                <w:szCs w:val="21"/>
              </w:rPr>
              <w:t>（八）切实加大保护力度。</w:t>
            </w:r>
          </w:p>
          <w:p w:rsidR="00644456" w:rsidRDefault="008031C4">
            <w:pPr>
              <w:autoSpaceDE w:val="0"/>
              <w:autoSpaceDN w:val="0"/>
              <w:snapToGrid w:val="0"/>
              <w:jc w:val="left"/>
              <w:rPr>
                <w:color w:val="000000" w:themeColor="text1"/>
                <w:szCs w:val="21"/>
              </w:rPr>
            </w:pPr>
            <w:r>
              <w:rPr>
                <w:color w:val="000000" w:themeColor="text1"/>
                <w:szCs w:val="21"/>
              </w:rPr>
              <w:t>防控企业污染。严格控制在优先保护类耕地集中区域新建有色金属冶炼、石油加工、化工、焦化、电镀、制革等行业企业，现有相关行业企业要采用新技术、新工艺，加快提标升级改造步伐。</w:t>
            </w:r>
          </w:p>
        </w:tc>
        <w:tc>
          <w:tcPr>
            <w:tcW w:w="1260" w:type="pct"/>
            <w:vAlign w:val="center"/>
          </w:tcPr>
          <w:p w:rsidR="00644456" w:rsidRDefault="008031C4">
            <w:pPr>
              <w:autoSpaceDE w:val="0"/>
              <w:autoSpaceDN w:val="0"/>
              <w:snapToGrid w:val="0"/>
              <w:rPr>
                <w:color w:val="000000" w:themeColor="text1"/>
                <w:szCs w:val="21"/>
              </w:rPr>
            </w:pPr>
            <w:r>
              <w:rPr>
                <w:rFonts w:hint="eastAsia"/>
                <w:color w:val="000000" w:themeColor="text1"/>
                <w:szCs w:val="21"/>
              </w:rPr>
              <w:t>项目位于疏勒高新技术产业开发区，</w:t>
            </w:r>
            <w:r>
              <w:rPr>
                <w:color w:val="000000" w:themeColor="text1"/>
                <w:szCs w:val="21"/>
              </w:rPr>
              <w:t>项目</w:t>
            </w:r>
            <w:r>
              <w:rPr>
                <w:rFonts w:hint="eastAsia"/>
                <w:color w:val="000000" w:themeColor="text1"/>
                <w:szCs w:val="21"/>
              </w:rPr>
              <w:t>周边</w:t>
            </w:r>
            <w:r>
              <w:rPr>
                <w:color w:val="000000" w:themeColor="text1"/>
                <w:szCs w:val="21"/>
              </w:rPr>
              <w:t>不涉及优先保护类耕地集中区域。</w:t>
            </w:r>
          </w:p>
        </w:tc>
        <w:tc>
          <w:tcPr>
            <w:tcW w:w="494" w:type="pct"/>
            <w:vAlign w:val="center"/>
          </w:tcPr>
          <w:p w:rsidR="00644456" w:rsidRDefault="008031C4">
            <w:pPr>
              <w:autoSpaceDE w:val="0"/>
              <w:autoSpaceDN w:val="0"/>
              <w:snapToGrid w:val="0"/>
              <w:jc w:val="center"/>
              <w:rPr>
                <w:color w:val="000000" w:themeColor="text1"/>
                <w:szCs w:val="21"/>
              </w:rPr>
            </w:pPr>
            <w:r>
              <w:rPr>
                <w:color w:val="000000" w:themeColor="text1"/>
                <w:szCs w:val="21"/>
              </w:rPr>
              <w:t>符合</w:t>
            </w:r>
          </w:p>
        </w:tc>
      </w:tr>
      <w:tr w:rsidR="00644456">
        <w:trPr>
          <w:trHeight w:val="271"/>
          <w:jc w:val="center"/>
        </w:trPr>
        <w:tc>
          <w:tcPr>
            <w:tcW w:w="804" w:type="pct"/>
            <w:vMerge/>
            <w:vAlign w:val="center"/>
          </w:tcPr>
          <w:p w:rsidR="00644456" w:rsidRDefault="00644456">
            <w:pPr>
              <w:autoSpaceDE w:val="0"/>
              <w:autoSpaceDN w:val="0"/>
              <w:snapToGrid w:val="0"/>
              <w:jc w:val="center"/>
              <w:rPr>
                <w:color w:val="000000" w:themeColor="text1"/>
                <w:szCs w:val="21"/>
              </w:rPr>
            </w:pPr>
          </w:p>
        </w:tc>
        <w:tc>
          <w:tcPr>
            <w:tcW w:w="2442" w:type="pct"/>
            <w:vAlign w:val="center"/>
          </w:tcPr>
          <w:p w:rsidR="00644456" w:rsidRDefault="008031C4">
            <w:pPr>
              <w:autoSpaceDE w:val="0"/>
              <w:autoSpaceDN w:val="0"/>
              <w:adjustRightInd w:val="0"/>
              <w:snapToGrid w:val="0"/>
              <w:jc w:val="left"/>
              <w:rPr>
                <w:color w:val="000000" w:themeColor="text1"/>
                <w:szCs w:val="21"/>
              </w:rPr>
            </w:pPr>
            <w:r>
              <w:rPr>
                <w:color w:val="000000" w:themeColor="text1"/>
                <w:szCs w:val="21"/>
              </w:rPr>
              <w:t>（十六）防范建设用地新增污染。</w:t>
            </w:r>
          </w:p>
          <w:p w:rsidR="00644456" w:rsidRDefault="008031C4">
            <w:pPr>
              <w:autoSpaceDE w:val="0"/>
              <w:autoSpaceDN w:val="0"/>
              <w:adjustRightInd w:val="0"/>
              <w:snapToGrid w:val="0"/>
              <w:jc w:val="left"/>
              <w:rPr>
                <w:color w:val="000000" w:themeColor="text1"/>
                <w:szCs w:val="21"/>
              </w:rPr>
            </w:pPr>
            <w:r>
              <w:rPr>
                <w:color w:val="000000" w:themeColor="text1"/>
                <w:szCs w:val="21"/>
              </w:rPr>
              <w:t>排放重点污染物的建设项目，在开展环境影响评价时，要增加对土壤环境影响的评价内容，并提出防范土壤污染的具体措施；需要建设的</w:t>
            </w:r>
            <w:r>
              <w:rPr>
                <w:color w:val="000000" w:themeColor="text1"/>
                <w:szCs w:val="21"/>
              </w:rPr>
              <w:lastRenderedPageBreak/>
              <w:t>土壤污染防治设施，要与主体工程同时设计、同时施工、同时投产使用；有关环境保护部门要做好有关措施落实情况的监督管理工作。</w:t>
            </w:r>
          </w:p>
        </w:tc>
        <w:tc>
          <w:tcPr>
            <w:tcW w:w="1260" w:type="pct"/>
            <w:vAlign w:val="center"/>
          </w:tcPr>
          <w:p w:rsidR="00644456" w:rsidRDefault="008031C4">
            <w:pPr>
              <w:autoSpaceDE w:val="0"/>
              <w:autoSpaceDN w:val="0"/>
              <w:adjustRightInd w:val="0"/>
              <w:snapToGrid w:val="0"/>
              <w:jc w:val="center"/>
              <w:rPr>
                <w:color w:val="000000" w:themeColor="text1"/>
                <w:szCs w:val="21"/>
              </w:rPr>
            </w:pPr>
            <w:r>
              <w:rPr>
                <w:rFonts w:hint="eastAsia"/>
                <w:color w:val="000000" w:themeColor="text1"/>
                <w:szCs w:val="21"/>
              </w:rPr>
              <w:lastRenderedPageBreak/>
              <w:t>项目不排放重点污染物。</w:t>
            </w:r>
          </w:p>
        </w:tc>
        <w:tc>
          <w:tcPr>
            <w:tcW w:w="494" w:type="pct"/>
            <w:vAlign w:val="center"/>
          </w:tcPr>
          <w:p w:rsidR="00644456" w:rsidRDefault="008031C4">
            <w:pPr>
              <w:autoSpaceDE w:val="0"/>
              <w:autoSpaceDN w:val="0"/>
              <w:adjustRightInd w:val="0"/>
              <w:snapToGrid w:val="0"/>
              <w:jc w:val="center"/>
              <w:rPr>
                <w:color w:val="000000" w:themeColor="text1"/>
                <w:szCs w:val="21"/>
              </w:rPr>
            </w:pPr>
            <w:r>
              <w:rPr>
                <w:color w:val="000000" w:themeColor="text1"/>
                <w:szCs w:val="21"/>
              </w:rPr>
              <w:t>符合</w:t>
            </w:r>
          </w:p>
        </w:tc>
      </w:tr>
      <w:tr w:rsidR="00644456">
        <w:trPr>
          <w:trHeight w:val="271"/>
          <w:jc w:val="center"/>
        </w:trPr>
        <w:tc>
          <w:tcPr>
            <w:tcW w:w="804" w:type="pct"/>
            <w:vMerge/>
            <w:vAlign w:val="center"/>
          </w:tcPr>
          <w:p w:rsidR="00644456" w:rsidRDefault="00644456">
            <w:pPr>
              <w:widowControl/>
              <w:jc w:val="left"/>
              <w:rPr>
                <w:bCs/>
                <w:color w:val="000000" w:themeColor="text1"/>
                <w:szCs w:val="21"/>
              </w:rPr>
            </w:pPr>
          </w:p>
        </w:tc>
        <w:tc>
          <w:tcPr>
            <w:tcW w:w="2442" w:type="pct"/>
            <w:vAlign w:val="center"/>
          </w:tcPr>
          <w:p w:rsidR="00644456" w:rsidRDefault="008031C4">
            <w:pPr>
              <w:autoSpaceDE w:val="0"/>
              <w:autoSpaceDN w:val="0"/>
              <w:snapToGrid w:val="0"/>
              <w:jc w:val="left"/>
              <w:rPr>
                <w:color w:val="000000" w:themeColor="text1"/>
                <w:szCs w:val="21"/>
              </w:rPr>
            </w:pPr>
            <w:r>
              <w:rPr>
                <w:color w:val="000000" w:themeColor="text1"/>
                <w:szCs w:val="21"/>
              </w:rPr>
              <w:t>（十七）强化空间布局管控。</w:t>
            </w:r>
            <w:r>
              <w:rPr>
                <w:color w:val="000000" w:themeColor="text1"/>
                <w:szCs w:val="21"/>
              </w:rPr>
              <w:t>……</w:t>
            </w:r>
            <w:r>
              <w:rPr>
                <w:color w:val="000000" w:themeColor="text1"/>
                <w:szCs w:val="21"/>
              </w:rPr>
              <w:t>严格执行相关行业企业布局选址要求，禁止在居民区、学校、医疗和养老机构等周边新建有色金属冶炼、焦化等行业企业；</w:t>
            </w:r>
            <w:r>
              <w:rPr>
                <w:color w:val="000000" w:themeColor="text1"/>
                <w:szCs w:val="21"/>
              </w:rPr>
              <w:t>……</w:t>
            </w:r>
          </w:p>
        </w:tc>
        <w:tc>
          <w:tcPr>
            <w:tcW w:w="1260" w:type="pct"/>
            <w:vAlign w:val="center"/>
          </w:tcPr>
          <w:p w:rsidR="00644456" w:rsidRDefault="008031C4">
            <w:pPr>
              <w:autoSpaceDE w:val="0"/>
              <w:autoSpaceDN w:val="0"/>
              <w:snapToGrid w:val="0"/>
              <w:jc w:val="center"/>
              <w:rPr>
                <w:color w:val="000000" w:themeColor="text1"/>
                <w:szCs w:val="21"/>
              </w:rPr>
            </w:pPr>
            <w:r>
              <w:rPr>
                <w:color w:val="000000" w:themeColor="text1"/>
                <w:szCs w:val="21"/>
              </w:rPr>
              <w:t>项目位于</w:t>
            </w:r>
            <w:r>
              <w:rPr>
                <w:rFonts w:hint="eastAsia"/>
                <w:color w:val="000000" w:themeColor="text1"/>
                <w:szCs w:val="21"/>
              </w:rPr>
              <w:t>疏勒高新技术产业开发区</w:t>
            </w:r>
            <w:r>
              <w:rPr>
                <w:color w:val="000000" w:themeColor="text1"/>
                <w:szCs w:val="21"/>
              </w:rPr>
              <w:t>，选址不在居民区、学校、医疗和养老机构等周边</w:t>
            </w:r>
            <w:r>
              <w:rPr>
                <w:rFonts w:hint="eastAsia"/>
                <w:color w:val="000000" w:themeColor="text1"/>
                <w:szCs w:val="21"/>
              </w:rPr>
              <w:t>；本项目不属于</w:t>
            </w:r>
            <w:r>
              <w:rPr>
                <w:color w:val="000000" w:themeColor="text1"/>
                <w:szCs w:val="21"/>
              </w:rPr>
              <w:t>有色金属冶炼、焦化等行业</w:t>
            </w:r>
            <w:r>
              <w:rPr>
                <w:rFonts w:hint="eastAsia"/>
                <w:color w:val="000000" w:themeColor="text1"/>
                <w:szCs w:val="21"/>
              </w:rPr>
              <w:t>。</w:t>
            </w:r>
          </w:p>
        </w:tc>
        <w:tc>
          <w:tcPr>
            <w:tcW w:w="494" w:type="pct"/>
            <w:vAlign w:val="center"/>
          </w:tcPr>
          <w:p w:rsidR="00644456" w:rsidRDefault="008031C4">
            <w:pPr>
              <w:autoSpaceDE w:val="0"/>
              <w:autoSpaceDN w:val="0"/>
              <w:snapToGrid w:val="0"/>
              <w:jc w:val="center"/>
              <w:rPr>
                <w:color w:val="000000" w:themeColor="text1"/>
                <w:szCs w:val="21"/>
              </w:rPr>
            </w:pPr>
            <w:r>
              <w:rPr>
                <w:color w:val="000000" w:themeColor="text1"/>
                <w:szCs w:val="21"/>
              </w:rPr>
              <w:t>符合</w:t>
            </w:r>
          </w:p>
        </w:tc>
      </w:tr>
      <w:tr w:rsidR="00644456">
        <w:trPr>
          <w:trHeight w:val="271"/>
          <w:jc w:val="center"/>
        </w:trPr>
        <w:tc>
          <w:tcPr>
            <w:tcW w:w="804" w:type="pct"/>
            <w:vMerge/>
            <w:vAlign w:val="center"/>
          </w:tcPr>
          <w:p w:rsidR="00644456" w:rsidRDefault="00644456">
            <w:pPr>
              <w:widowControl/>
              <w:jc w:val="left"/>
              <w:rPr>
                <w:rFonts w:ascii="宋体" w:hAnsi="宋体"/>
                <w:bCs/>
                <w:color w:val="000000" w:themeColor="text1"/>
                <w:szCs w:val="21"/>
              </w:rPr>
            </w:pPr>
          </w:p>
        </w:tc>
        <w:tc>
          <w:tcPr>
            <w:tcW w:w="2442" w:type="pct"/>
            <w:vAlign w:val="center"/>
          </w:tcPr>
          <w:p w:rsidR="00644456" w:rsidRDefault="008031C4">
            <w:pPr>
              <w:autoSpaceDE w:val="0"/>
              <w:autoSpaceDN w:val="0"/>
              <w:snapToGrid w:val="0"/>
              <w:jc w:val="left"/>
              <w:rPr>
                <w:color w:val="000000" w:themeColor="text1"/>
                <w:szCs w:val="21"/>
              </w:rPr>
            </w:pPr>
            <w:r>
              <w:rPr>
                <w:color w:val="000000" w:themeColor="text1"/>
                <w:szCs w:val="21"/>
              </w:rPr>
              <w:t>（十八）严控工矿污染。</w:t>
            </w:r>
          </w:p>
          <w:p w:rsidR="00644456" w:rsidRDefault="008031C4">
            <w:pPr>
              <w:autoSpaceDE w:val="0"/>
              <w:autoSpaceDN w:val="0"/>
              <w:snapToGrid w:val="0"/>
              <w:jc w:val="left"/>
              <w:rPr>
                <w:color w:val="000000" w:themeColor="text1"/>
                <w:szCs w:val="21"/>
              </w:rPr>
            </w:pPr>
            <w:r>
              <w:rPr>
                <w:color w:val="000000" w:themeColor="text1"/>
                <w:szCs w:val="21"/>
              </w:rPr>
              <w:t>（</w:t>
            </w:r>
            <w:r>
              <w:rPr>
                <w:color w:val="000000" w:themeColor="text1"/>
                <w:szCs w:val="21"/>
              </w:rPr>
              <w:t>3</w:t>
            </w:r>
            <w:r>
              <w:rPr>
                <w:color w:val="000000" w:themeColor="text1"/>
                <w:szCs w:val="21"/>
              </w:rPr>
              <w:t>）加强涉重金属行业污染防控。严格执行重金属污染物排放标准并落实相关总量控制指标，</w:t>
            </w:r>
            <w:r>
              <w:rPr>
                <w:color w:val="000000" w:themeColor="text1"/>
                <w:szCs w:val="21"/>
              </w:rPr>
              <w:t>……</w:t>
            </w:r>
            <w:r>
              <w:rPr>
                <w:color w:val="000000" w:themeColor="text1"/>
                <w:szCs w:val="21"/>
              </w:rPr>
              <w:t>。</w:t>
            </w:r>
          </w:p>
        </w:tc>
        <w:tc>
          <w:tcPr>
            <w:tcW w:w="1260" w:type="pct"/>
            <w:vAlign w:val="center"/>
          </w:tcPr>
          <w:p w:rsidR="00644456" w:rsidRDefault="008031C4">
            <w:pPr>
              <w:autoSpaceDE w:val="0"/>
              <w:autoSpaceDN w:val="0"/>
              <w:snapToGrid w:val="0"/>
              <w:jc w:val="center"/>
              <w:rPr>
                <w:color w:val="000000" w:themeColor="text1"/>
                <w:szCs w:val="21"/>
              </w:rPr>
            </w:pPr>
            <w:r>
              <w:rPr>
                <w:color w:val="000000" w:themeColor="text1"/>
                <w:szCs w:val="21"/>
              </w:rPr>
              <w:t>项目不排放重金属污染物</w:t>
            </w:r>
            <w:r>
              <w:rPr>
                <w:rFonts w:hint="eastAsia"/>
                <w:color w:val="000000" w:themeColor="text1"/>
                <w:szCs w:val="21"/>
              </w:rPr>
              <w:t>。</w:t>
            </w:r>
          </w:p>
        </w:tc>
        <w:tc>
          <w:tcPr>
            <w:tcW w:w="494" w:type="pct"/>
            <w:vAlign w:val="center"/>
          </w:tcPr>
          <w:p w:rsidR="00644456" w:rsidRDefault="008031C4">
            <w:pPr>
              <w:autoSpaceDE w:val="0"/>
              <w:autoSpaceDN w:val="0"/>
              <w:snapToGrid w:val="0"/>
              <w:jc w:val="center"/>
              <w:rPr>
                <w:color w:val="000000" w:themeColor="text1"/>
                <w:szCs w:val="21"/>
              </w:rPr>
            </w:pPr>
            <w:r>
              <w:rPr>
                <w:color w:val="000000" w:themeColor="text1"/>
                <w:szCs w:val="21"/>
              </w:rPr>
              <w:t>符合</w:t>
            </w:r>
          </w:p>
        </w:tc>
      </w:tr>
      <w:tr w:rsidR="00644456">
        <w:trPr>
          <w:trHeight w:val="271"/>
          <w:jc w:val="center"/>
        </w:trPr>
        <w:tc>
          <w:tcPr>
            <w:tcW w:w="804" w:type="pct"/>
            <w:vMerge/>
            <w:vAlign w:val="center"/>
          </w:tcPr>
          <w:p w:rsidR="00644456" w:rsidRDefault="00644456">
            <w:pPr>
              <w:widowControl/>
              <w:jc w:val="left"/>
              <w:rPr>
                <w:rFonts w:ascii="宋体" w:hAnsi="宋体"/>
                <w:bCs/>
                <w:color w:val="000000" w:themeColor="text1"/>
                <w:szCs w:val="21"/>
              </w:rPr>
            </w:pPr>
          </w:p>
        </w:tc>
        <w:tc>
          <w:tcPr>
            <w:tcW w:w="2442" w:type="pct"/>
            <w:vAlign w:val="center"/>
          </w:tcPr>
          <w:p w:rsidR="00644456" w:rsidRDefault="008031C4">
            <w:pPr>
              <w:autoSpaceDE w:val="0"/>
              <w:autoSpaceDN w:val="0"/>
              <w:snapToGrid w:val="0"/>
              <w:jc w:val="left"/>
              <w:rPr>
                <w:color w:val="000000" w:themeColor="text1"/>
                <w:szCs w:val="21"/>
              </w:rPr>
            </w:pPr>
            <w:r>
              <w:rPr>
                <w:color w:val="000000" w:themeColor="text1"/>
                <w:szCs w:val="21"/>
              </w:rPr>
              <w:t>（</w:t>
            </w:r>
            <w:r>
              <w:rPr>
                <w:color w:val="000000" w:themeColor="text1"/>
                <w:szCs w:val="21"/>
              </w:rPr>
              <w:t>4</w:t>
            </w:r>
            <w:r>
              <w:rPr>
                <w:color w:val="000000" w:themeColor="text1"/>
                <w:szCs w:val="21"/>
              </w:rPr>
              <w:t>）加强工业废物处理处置。全面整治尾矿、煤矸石、工业副产石膏、粉煤灰、赤泥、冶炼渣、电石渣、铬渣、砷渣以及脱硫、脱硝、除尘产生固体废物的堆存场所，完善防扬散、防流失、防渗漏等设施，制定整治方案并有序实施。加强工业固体废物综合利用。</w:t>
            </w:r>
          </w:p>
        </w:tc>
        <w:tc>
          <w:tcPr>
            <w:tcW w:w="1260" w:type="pc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本项目工程具备完善的一般工业固废和危险废物收集，处理方案，可确保规范收集和处理，去向明确</w:t>
            </w:r>
          </w:p>
        </w:tc>
        <w:tc>
          <w:tcPr>
            <w:tcW w:w="494" w:type="pct"/>
            <w:vAlign w:val="center"/>
          </w:tcPr>
          <w:p w:rsidR="00644456" w:rsidRDefault="008031C4">
            <w:pPr>
              <w:autoSpaceDE w:val="0"/>
              <w:autoSpaceDN w:val="0"/>
              <w:snapToGrid w:val="0"/>
              <w:jc w:val="center"/>
              <w:rPr>
                <w:color w:val="000000" w:themeColor="text1"/>
                <w:szCs w:val="21"/>
              </w:rPr>
            </w:pPr>
            <w:r>
              <w:rPr>
                <w:color w:val="000000" w:themeColor="text1"/>
                <w:szCs w:val="21"/>
              </w:rPr>
              <w:t>符合</w:t>
            </w:r>
          </w:p>
        </w:tc>
      </w:tr>
      <w:tr w:rsidR="00644456">
        <w:trPr>
          <w:trHeight w:val="271"/>
          <w:jc w:val="center"/>
        </w:trPr>
        <w:tc>
          <w:tcPr>
            <w:tcW w:w="804" w:type="pc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《“十四五”土壤、地下水和农村生态环境保护规划》（环土壤</w:t>
            </w:r>
            <w:r>
              <w:rPr>
                <w:rFonts w:hint="eastAsia"/>
                <w:color w:val="000000" w:themeColor="text1"/>
                <w:szCs w:val="21"/>
              </w:rPr>
              <w:t>[2021]120</w:t>
            </w:r>
            <w:r>
              <w:rPr>
                <w:rFonts w:hint="eastAsia"/>
                <w:color w:val="000000" w:themeColor="text1"/>
                <w:szCs w:val="21"/>
              </w:rPr>
              <w:t>号）</w:t>
            </w:r>
          </w:p>
        </w:tc>
        <w:tc>
          <w:tcPr>
            <w:tcW w:w="2442" w:type="pct"/>
            <w:vAlign w:val="center"/>
          </w:tcPr>
          <w:p w:rsidR="00644456" w:rsidRDefault="008031C4">
            <w:pPr>
              <w:autoSpaceDE w:val="0"/>
              <w:autoSpaceDN w:val="0"/>
              <w:snapToGrid w:val="0"/>
              <w:jc w:val="left"/>
              <w:rPr>
                <w:color w:val="000000" w:themeColor="text1"/>
                <w:szCs w:val="21"/>
              </w:rPr>
            </w:pPr>
            <w:r>
              <w:rPr>
                <w:color w:val="000000" w:themeColor="text1"/>
                <w:szCs w:val="21"/>
              </w:rPr>
              <w:t>推动实施绿色化改造。鼓励土壤污染重点监管单位因地制宜实施管道化、密闭化改造，重点区域防腐防渗改造，以及物料、污水管线架空建设和改造。聚焦重有色金属采选和冶炼、涉重金属无机化工等重点行业，鼓励企业实施清洁生产改造，进一步减少污染物排放。</w:t>
            </w:r>
          </w:p>
        </w:tc>
        <w:tc>
          <w:tcPr>
            <w:tcW w:w="1260" w:type="pc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本项目生产工序位于封闭的厂房内，液体物料采用封闭管道进行输送，同时对危废暂存间、污水处理站等区域进行了重点防渗防腐处理。</w:t>
            </w:r>
          </w:p>
        </w:tc>
        <w:tc>
          <w:tcPr>
            <w:tcW w:w="494" w:type="pc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r w:rsidR="00644456">
        <w:trPr>
          <w:trHeight w:val="271"/>
          <w:jc w:val="center"/>
        </w:trPr>
        <w:tc>
          <w:tcPr>
            <w:tcW w:w="804" w:type="pct"/>
            <w:vMerge w:val="restar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《关于印发新疆维吾尔自治区土壤污染防治工作方案的通知》（新政发〔</w:t>
            </w:r>
            <w:r>
              <w:rPr>
                <w:rFonts w:hint="eastAsia"/>
                <w:color w:val="000000" w:themeColor="text1"/>
                <w:szCs w:val="21"/>
              </w:rPr>
              <w:t>2017</w:t>
            </w:r>
            <w:r>
              <w:rPr>
                <w:rFonts w:hint="eastAsia"/>
                <w:color w:val="000000" w:themeColor="text1"/>
                <w:szCs w:val="21"/>
              </w:rPr>
              <w:t>〕</w:t>
            </w:r>
            <w:r>
              <w:rPr>
                <w:rFonts w:hint="eastAsia"/>
                <w:color w:val="000000" w:themeColor="text1"/>
                <w:szCs w:val="21"/>
              </w:rPr>
              <w:t>25</w:t>
            </w:r>
            <w:r>
              <w:rPr>
                <w:rFonts w:hint="eastAsia"/>
                <w:color w:val="000000" w:themeColor="text1"/>
                <w:szCs w:val="21"/>
              </w:rPr>
              <w:t>号）</w:t>
            </w:r>
          </w:p>
        </w:tc>
        <w:tc>
          <w:tcPr>
            <w:tcW w:w="2442" w:type="pct"/>
            <w:vAlign w:val="center"/>
          </w:tcPr>
          <w:p w:rsidR="00644456" w:rsidRDefault="008031C4">
            <w:pPr>
              <w:autoSpaceDE w:val="0"/>
              <w:autoSpaceDN w:val="0"/>
              <w:snapToGrid w:val="0"/>
              <w:jc w:val="left"/>
              <w:rPr>
                <w:color w:val="000000" w:themeColor="text1"/>
                <w:szCs w:val="21"/>
              </w:rPr>
            </w:pPr>
            <w:r>
              <w:rPr>
                <w:rFonts w:hint="eastAsia"/>
                <w:color w:val="000000" w:themeColor="text1"/>
                <w:szCs w:val="21"/>
              </w:rPr>
              <w:t>（十四）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1260" w:type="pc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本项目包括土壤环境影响评价内容</w:t>
            </w:r>
          </w:p>
        </w:tc>
        <w:tc>
          <w:tcPr>
            <w:tcW w:w="494" w:type="pc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r w:rsidR="00644456">
        <w:trPr>
          <w:trHeight w:val="271"/>
          <w:jc w:val="center"/>
        </w:trPr>
        <w:tc>
          <w:tcPr>
            <w:tcW w:w="804" w:type="pct"/>
            <w:vMerge/>
            <w:vAlign w:val="center"/>
          </w:tcPr>
          <w:p w:rsidR="00644456" w:rsidRDefault="00644456">
            <w:pPr>
              <w:autoSpaceDE w:val="0"/>
              <w:autoSpaceDN w:val="0"/>
              <w:snapToGrid w:val="0"/>
              <w:jc w:val="center"/>
              <w:rPr>
                <w:color w:val="000000" w:themeColor="text1"/>
                <w:szCs w:val="21"/>
              </w:rPr>
            </w:pPr>
          </w:p>
        </w:tc>
        <w:tc>
          <w:tcPr>
            <w:tcW w:w="2442" w:type="pct"/>
            <w:vAlign w:val="center"/>
          </w:tcPr>
          <w:p w:rsidR="00644456" w:rsidRDefault="008031C4">
            <w:pPr>
              <w:autoSpaceDE w:val="0"/>
              <w:autoSpaceDN w:val="0"/>
              <w:snapToGrid w:val="0"/>
              <w:jc w:val="left"/>
              <w:rPr>
                <w:color w:val="000000" w:themeColor="text1"/>
                <w:szCs w:val="21"/>
              </w:rPr>
            </w:pPr>
            <w:r>
              <w:rPr>
                <w:rFonts w:hint="eastAsia"/>
                <w:color w:val="000000" w:themeColor="text1"/>
                <w:szCs w:val="21"/>
              </w:rPr>
              <w:t>（十五）强化空间布局管控。严格执行相关行业企业布局选址要求，禁止在居民区、学校、医疗和养老机构等周边新建土壤环境重点监管行业企业</w:t>
            </w:r>
          </w:p>
        </w:tc>
        <w:tc>
          <w:tcPr>
            <w:tcW w:w="1260" w:type="pc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本项目周边不涉及居民区、学校、医疗和养老机构等环境敏感目标</w:t>
            </w:r>
          </w:p>
        </w:tc>
        <w:tc>
          <w:tcPr>
            <w:tcW w:w="494" w:type="pc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r w:rsidR="00644456">
        <w:trPr>
          <w:trHeight w:val="271"/>
          <w:jc w:val="center"/>
        </w:trPr>
        <w:tc>
          <w:tcPr>
            <w:tcW w:w="804" w:type="pct"/>
            <w:vMerge/>
            <w:vAlign w:val="center"/>
          </w:tcPr>
          <w:p w:rsidR="00644456" w:rsidRDefault="00644456">
            <w:pPr>
              <w:autoSpaceDE w:val="0"/>
              <w:autoSpaceDN w:val="0"/>
              <w:snapToGrid w:val="0"/>
              <w:jc w:val="center"/>
              <w:rPr>
                <w:color w:val="000000" w:themeColor="text1"/>
                <w:szCs w:val="21"/>
              </w:rPr>
            </w:pPr>
          </w:p>
        </w:tc>
        <w:tc>
          <w:tcPr>
            <w:tcW w:w="2442" w:type="pct"/>
            <w:vAlign w:val="center"/>
          </w:tcPr>
          <w:p w:rsidR="00644456" w:rsidRDefault="008031C4">
            <w:pPr>
              <w:autoSpaceDE w:val="0"/>
              <w:autoSpaceDN w:val="0"/>
              <w:snapToGrid w:val="0"/>
              <w:jc w:val="left"/>
              <w:rPr>
                <w:color w:val="000000" w:themeColor="text1"/>
                <w:szCs w:val="21"/>
              </w:rPr>
            </w:pPr>
            <w:r>
              <w:rPr>
                <w:rFonts w:hint="eastAsia"/>
                <w:color w:val="000000" w:themeColor="text1"/>
                <w:szCs w:val="21"/>
              </w:rPr>
              <w:t>（十六）严控工矿业污染源。</w:t>
            </w:r>
            <w:r>
              <w:rPr>
                <w:rFonts w:hint="eastAsia"/>
                <w:color w:val="000000" w:themeColor="text1"/>
                <w:szCs w:val="21"/>
              </w:rPr>
              <w:t>6</w:t>
            </w:r>
            <w:r>
              <w:rPr>
                <w:rFonts w:hint="eastAsia"/>
                <w:color w:val="000000" w:themeColor="text1"/>
                <w:szCs w:val="21"/>
              </w:rPr>
              <w:t>．加强工业废物处理处置。完善防扬散、防流失、防渗漏等设施，制定整治方案并有序实施</w:t>
            </w:r>
          </w:p>
        </w:tc>
        <w:tc>
          <w:tcPr>
            <w:tcW w:w="1260" w:type="pc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本项目工程具备完善的一般工业固废和危险废物收集，处理方案，可确保规范收集和处理，去向明确</w:t>
            </w:r>
          </w:p>
        </w:tc>
        <w:tc>
          <w:tcPr>
            <w:tcW w:w="494" w:type="pct"/>
            <w:vAlign w:val="center"/>
          </w:tcPr>
          <w:p w:rsidR="00644456" w:rsidRDefault="008031C4">
            <w:pPr>
              <w:autoSpaceDE w:val="0"/>
              <w:autoSpaceDN w:val="0"/>
              <w:snapToGrid w:val="0"/>
              <w:jc w:val="center"/>
              <w:rPr>
                <w:color w:val="000000" w:themeColor="text1"/>
                <w:szCs w:val="21"/>
              </w:rPr>
            </w:pPr>
            <w:r>
              <w:rPr>
                <w:rFonts w:hint="eastAsia"/>
                <w:color w:val="000000" w:themeColor="text1"/>
                <w:szCs w:val="21"/>
              </w:rPr>
              <w:t>符合</w:t>
            </w:r>
          </w:p>
        </w:tc>
      </w:tr>
    </w:tbl>
    <w:p w:rsidR="00644456" w:rsidRDefault="008031C4">
      <w:pPr>
        <w:pStyle w:val="affffffffc"/>
        <w:ind w:firstLine="482"/>
        <w:rPr>
          <w:rFonts w:cs="Times New Roman"/>
          <w:b/>
          <w:bCs/>
          <w:color w:val="000000" w:themeColor="text1"/>
        </w:rPr>
      </w:pPr>
      <w:r>
        <w:rPr>
          <w:rFonts w:cs="Times New Roman" w:hint="eastAsia"/>
          <w:b/>
          <w:bCs/>
          <w:color w:val="000000" w:themeColor="text1"/>
        </w:rPr>
        <w:t>综上，本项目与《土壤污染防治行动计划》（国发〔</w:t>
      </w:r>
      <w:r>
        <w:rPr>
          <w:rFonts w:cs="Times New Roman"/>
          <w:b/>
          <w:bCs/>
          <w:color w:val="000000" w:themeColor="text1"/>
        </w:rPr>
        <w:t>2016</w:t>
      </w:r>
      <w:r>
        <w:rPr>
          <w:rFonts w:cs="Times New Roman" w:hint="eastAsia"/>
          <w:b/>
          <w:bCs/>
          <w:color w:val="000000" w:themeColor="text1"/>
        </w:rPr>
        <w:t>〕</w:t>
      </w:r>
      <w:r>
        <w:rPr>
          <w:rFonts w:cs="Times New Roman"/>
          <w:b/>
          <w:bCs/>
          <w:color w:val="000000" w:themeColor="text1"/>
        </w:rPr>
        <w:t>31</w:t>
      </w:r>
      <w:r>
        <w:rPr>
          <w:rFonts w:cs="Times New Roman" w:hint="eastAsia"/>
          <w:b/>
          <w:bCs/>
          <w:color w:val="000000" w:themeColor="text1"/>
        </w:rPr>
        <w:t>号）、《“十四五”土壤、地下水和农村生态环境保护规划》（环土壤</w:t>
      </w:r>
      <w:r>
        <w:rPr>
          <w:rFonts w:cs="Times New Roman" w:hint="eastAsia"/>
          <w:b/>
          <w:bCs/>
          <w:color w:val="000000" w:themeColor="text1"/>
        </w:rPr>
        <w:t>[2021]120</w:t>
      </w:r>
      <w:r>
        <w:rPr>
          <w:rFonts w:cs="Times New Roman" w:hint="eastAsia"/>
          <w:b/>
          <w:bCs/>
          <w:color w:val="000000" w:themeColor="text1"/>
        </w:rPr>
        <w:t>号）等相符。</w:t>
      </w:r>
    </w:p>
    <w:p w:rsidR="00644456" w:rsidRDefault="008031C4">
      <w:pPr>
        <w:pStyle w:val="3"/>
        <w:numPr>
          <w:ilvl w:val="2"/>
          <w:numId w:val="0"/>
        </w:numPr>
        <w:ind w:firstLineChars="200" w:firstLine="482"/>
      </w:pPr>
      <w:r>
        <w:rPr>
          <w:rFonts w:hint="eastAsia"/>
        </w:rPr>
        <w:t>1.4.8</w:t>
      </w:r>
      <w:r>
        <w:rPr>
          <w:rFonts w:hint="eastAsia"/>
        </w:rPr>
        <w:t>与危废处置相关规范要求符合性分析</w:t>
      </w:r>
    </w:p>
    <w:p w:rsidR="00644456" w:rsidRDefault="008031C4">
      <w:pPr>
        <w:pStyle w:val="affffffffc"/>
        <w:ind w:firstLine="482"/>
        <w:rPr>
          <w:rFonts w:cs="Times New Roman"/>
          <w:b/>
          <w:bCs/>
          <w:color w:val="000000" w:themeColor="text1"/>
        </w:rPr>
      </w:pPr>
      <w:r>
        <w:rPr>
          <w:rFonts w:cs="Times New Roman" w:hint="eastAsia"/>
          <w:b/>
          <w:bCs/>
          <w:color w:val="000000" w:themeColor="text1"/>
        </w:rPr>
        <w:t>1</w:t>
      </w:r>
      <w:r>
        <w:rPr>
          <w:rFonts w:cs="Times New Roman" w:hint="eastAsia"/>
          <w:b/>
          <w:bCs/>
          <w:color w:val="000000" w:themeColor="text1"/>
        </w:rPr>
        <w:t>、与《强化危险废物监管和利用处置能力改革实施方案》（国办函〔</w:t>
      </w:r>
      <w:r>
        <w:rPr>
          <w:rFonts w:cs="Times New Roman" w:hint="eastAsia"/>
          <w:b/>
          <w:bCs/>
          <w:color w:val="000000" w:themeColor="text1"/>
        </w:rPr>
        <w:t>2021</w:t>
      </w:r>
      <w:r>
        <w:rPr>
          <w:rFonts w:cs="Times New Roman" w:hint="eastAsia"/>
          <w:b/>
          <w:bCs/>
          <w:color w:val="000000" w:themeColor="text1"/>
        </w:rPr>
        <w:t>〕</w:t>
      </w:r>
      <w:r>
        <w:rPr>
          <w:rFonts w:cs="Times New Roman" w:hint="eastAsia"/>
          <w:b/>
          <w:bCs/>
          <w:color w:val="000000" w:themeColor="text1"/>
        </w:rPr>
        <w:t>47</w:t>
      </w:r>
      <w:r>
        <w:rPr>
          <w:rFonts w:cs="Times New Roman" w:hint="eastAsia"/>
          <w:b/>
          <w:bCs/>
          <w:color w:val="000000" w:themeColor="text1"/>
        </w:rPr>
        <w:t>号）相符性分析</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1.4-</w:t>
      </w:r>
      <w:r>
        <w:rPr>
          <w:rFonts w:ascii="Times New Roman" w:eastAsia="宋体" w:hAnsi="Times New Roman" w:cs="Times New Roman"/>
          <w:b/>
          <w:color w:val="000000" w:themeColor="text1"/>
          <w:sz w:val="24"/>
        </w:rPr>
        <w:t>13</w:t>
      </w:r>
      <w:r>
        <w:rPr>
          <w:rFonts w:ascii="Times New Roman" w:eastAsia="宋体" w:hAnsi="Times New Roman" w:cs="Times New Roman" w:hint="eastAsia"/>
          <w:b/>
          <w:color w:val="000000" w:themeColor="text1"/>
          <w:sz w:val="24"/>
        </w:rPr>
        <w:t xml:space="preserve"> </w:t>
      </w:r>
      <w:r>
        <w:rPr>
          <w:rFonts w:ascii="Times New Roman" w:eastAsia="宋体" w:hAnsi="Times New Roman" w:cs="Times New Roman" w:hint="eastAsia"/>
          <w:b/>
          <w:color w:val="000000" w:themeColor="text1"/>
          <w:sz w:val="24"/>
        </w:rPr>
        <w:t>与国办函〔</w:t>
      </w:r>
      <w:r>
        <w:rPr>
          <w:rFonts w:ascii="Times New Roman" w:eastAsia="宋体" w:hAnsi="Times New Roman" w:cs="Times New Roman" w:hint="eastAsia"/>
          <w:b/>
          <w:color w:val="000000" w:themeColor="text1"/>
          <w:sz w:val="24"/>
        </w:rPr>
        <w:t>2021</w:t>
      </w:r>
      <w:r>
        <w:rPr>
          <w:rFonts w:ascii="Times New Roman" w:eastAsia="宋体" w:hAnsi="Times New Roman" w:cs="Times New Roman" w:hint="eastAsia"/>
          <w:b/>
          <w:color w:val="000000" w:themeColor="text1"/>
          <w:sz w:val="24"/>
        </w:rPr>
        <w:t>〕</w:t>
      </w:r>
      <w:r>
        <w:rPr>
          <w:rFonts w:ascii="Times New Roman" w:eastAsia="宋体" w:hAnsi="Times New Roman" w:cs="Times New Roman" w:hint="eastAsia"/>
          <w:b/>
          <w:color w:val="000000" w:themeColor="text1"/>
          <w:sz w:val="24"/>
        </w:rPr>
        <w:t>47</w:t>
      </w:r>
      <w:r>
        <w:rPr>
          <w:rFonts w:ascii="Times New Roman" w:eastAsia="宋体" w:hAnsi="Times New Roman" w:cs="Times New Roman" w:hint="eastAsia"/>
          <w:b/>
          <w:color w:val="000000" w:themeColor="text1"/>
          <w:sz w:val="24"/>
        </w:rPr>
        <w:t>号相符性分析</w:t>
      </w:r>
    </w:p>
    <w:tbl>
      <w:tblPr>
        <w:tblStyle w:val="affff4"/>
        <w:tblW w:w="0" w:type="auto"/>
        <w:tblLook w:val="04A0" w:firstRow="1" w:lastRow="0" w:firstColumn="1" w:lastColumn="0" w:noHBand="0" w:noVBand="1"/>
      </w:tblPr>
      <w:tblGrid>
        <w:gridCol w:w="704"/>
        <w:gridCol w:w="709"/>
        <w:gridCol w:w="3969"/>
        <w:gridCol w:w="2693"/>
        <w:gridCol w:w="645"/>
      </w:tblGrid>
      <w:tr w:rsidR="00644456">
        <w:tc>
          <w:tcPr>
            <w:tcW w:w="704"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lastRenderedPageBreak/>
              <w:t>序号</w:t>
            </w:r>
          </w:p>
        </w:tc>
        <w:tc>
          <w:tcPr>
            <w:tcW w:w="4678" w:type="dxa"/>
            <w:gridSpan w:val="2"/>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具体要求</w:t>
            </w:r>
          </w:p>
        </w:tc>
        <w:tc>
          <w:tcPr>
            <w:tcW w:w="2693"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本项目情况</w:t>
            </w:r>
          </w:p>
        </w:tc>
        <w:tc>
          <w:tcPr>
            <w:tcW w:w="645"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相符性</w:t>
            </w:r>
          </w:p>
        </w:tc>
      </w:tr>
      <w:tr w:rsidR="00644456">
        <w:tc>
          <w:tcPr>
            <w:tcW w:w="704"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1</w:t>
            </w:r>
          </w:p>
        </w:tc>
        <w:tc>
          <w:tcPr>
            <w:tcW w:w="709"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二、完善危险废物监管体制机制</w:t>
            </w:r>
          </w:p>
        </w:tc>
        <w:tc>
          <w:tcPr>
            <w:tcW w:w="3969"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危险废物产生、收集、贮存、运输、利用、处置企业的主要负责人（法定代表人、实际控制人）是危险废物污染环境防治和安全生产第一责任人，严格落实危险废物污染环境防治和安全生产法律法规制度。危险废物相关企业依法及时公开危险废物污染环境防治信息，依法依规投保环境污染责任保险</w:t>
            </w:r>
          </w:p>
        </w:tc>
        <w:tc>
          <w:tcPr>
            <w:tcW w:w="2693"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本次评价已按照《企业事业单位环境信息公开办法》、《企业环境信息依法披露管理办法》等文件要求提出，企业运营过程中应及时披露环境信息。</w:t>
            </w:r>
          </w:p>
        </w:tc>
        <w:tc>
          <w:tcPr>
            <w:tcW w:w="645"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符合</w:t>
            </w:r>
          </w:p>
        </w:tc>
      </w:tr>
      <w:tr w:rsidR="00644456">
        <w:tc>
          <w:tcPr>
            <w:tcW w:w="704"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2</w:t>
            </w:r>
          </w:p>
        </w:tc>
        <w:tc>
          <w:tcPr>
            <w:tcW w:w="709"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三、强化危险废物源头管控</w:t>
            </w:r>
          </w:p>
        </w:tc>
        <w:tc>
          <w:tcPr>
            <w:tcW w:w="3969"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新改扩建项目要依法开展环境影响评价，严格危险废物污染环境防治设施“三同时”管理。……。依法落实工业危险废物排污许可制度。推进危险废物规范化环境管理。</w:t>
            </w:r>
          </w:p>
        </w:tc>
        <w:tc>
          <w:tcPr>
            <w:tcW w:w="2693"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本项目严格落实“三同时”管理，本次评价已提出项目运营前应依法取得排污许可证，按证排污。</w:t>
            </w:r>
          </w:p>
        </w:tc>
        <w:tc>
          <w:tcPr>
            <w:tcW w:w="645"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符合</w:t>
            </w:r>
          </w:p>
        </w:tc>
      </w:tr>
      <w:tr w:rsidR="00644456">
        <w:tc>
          <w:tcPr>
            <w:tcW w:w="704"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3</w:t>
            </w:r>
          </w:p>
        </w:tc>
        <w:tc>
          <w:tcPr>
            <w:tcW w:w="709"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四、强化危险废物收集转运等过程监管</w:t>
            </w:r>
          </w:p>
        </w:tc>
        <w:tc>
          <w:tcPr>
            <w:tcW w:w="3969"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强化危险废物环境执法，将其作为生态环境保护综合执法重要内容。严厉打击非法排放、倾倒、收集、贮存、转移、利用、处置危险废物等环境违法犯罪行为，实施生态环境损害赔偿制度，强化行政执法与刑事司法、检察公益诉讼的协调联动。</w:t>
            </w:r>
          </w:p>
        </w:tc>
        <w:tc>
          <w:tcPr>
            <w:tcW w:w="2693"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项目运营后企业严格执行危险废物经营许可、转移等管理制度，落实《危险废物收集贮存运输技术规范》（</w:t>
            </w:r>
            <w:r>
              <w:rPr>
                <w:rFonts w:cs="Times New Roman" w:hint="eastAsia"/>
                <w:color w:val="000000"/>
                <w:kern w:val="0"/>
                <w:szCs w:val="21"/>
                <w:lang w:bidi="ar"/>
              </w:rPr>
              <w:t>HJ 2025-2012</w:t>
            </w:r>
            <w:r>
              <w:rPr>
                <w:rFonts w:cs="Times New Roman" w:hint="eastAsia"/>
                <w:color w:val="000000"/>
                <w:kern w:val="0"/>
                <w:szCs w:val="21"/>
                <w:lang w:bidi="ar"/>
              </w:rPr>
              <w:t>）、《危险废物贮存污染控制标准》（</w:t>
            </w:r>
            <w:r>
              <w:rPr>
                <w:rFonts w:cs="Times New Roman" w:hint="eastAsia"/>
                <w:color w:val="000000"/>
                <w:kern w:val="0"/>
                <w:szCs w:val="21"/>
                <w:lang w:bidi="ar"/>
              </w:rPr>
              <w:t>GB 18597-</w:t>
            </w:r>
            <w:r>
              <w:rPr>
                <w:rFonts w:hint="eastAsia"/>
              </w:rPr>
              <w:t xml:space="preserve"> </w:t>
            </w:r>
            <w:r>
              <w:rPr>
                <w:rFonts w:cs="Times New Roman" w:hint="eastAsia"/>
                <w:color w:val="000000"/>
                <w:kern w:val="0"/>
                <w:szCs w:val="21"/>
                <w:lang w:bidi="ar"/>
              </w:rPr>
              <w:t>2023</w:t>
            </w:r>
            <w:r>
              <w:rPr>
                <w:rFonts w:cs="Times New Roman" w:hint="eastAsia"/>
                <w:color w:val="000000"/>
                <w:kern w:val="0"/>
                <w:szCs w:val="21"/>
                <w:lang w:bidi="ar"/>
              </w:rPr>
              <w:t>）、《危险废物识别标志设置技术规范》（</w:t>
            </w:r>
            <w:r>
              <w:rPr>
                <w:rFonts w:cs="Times New Roman" w:hint="eastAsia"/>
                <w:color w:val="000000"/>
                <w:kern w:val="0"/>
                <w:szCs w:val="21"/>
                <w:lang w:bidi="ar"/>
              </w:rPr>
              <w:t>HJ 1276-2022</w:t>
            </w:r>
            <w:r>
              <w:rPr>
                <w:rFonts w:cs="Times New Roman" w:hint="eastAsia"/>
                <w:color w:val="000000"/>
                <w:kern w:val="0"/>
                <w:szCs w:val="21"/>
                <w:lang w:bidi="ar"/>
              </w:rPr>
              <w:t>）、《危险废物转移管理办法》等文件要求。</w:t>
            </w:r>
          </w:p>
        </w:tc>
        <w:tc>
          <w:tcPr>
            <w:tcW w:w="645"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符合</w:t>
            </w:r>
          </w:p>
        </w:tc>
      </w:tr>
    </w:tbl>
    <w:p w:rsidR="00644456" w:rsidRDefault="008031C4">
      <w:pPr>
        <w:pStyle w:val="affffffffc"/>
        <w:ind w:firstLine="482"/>
        <w:rPr>
          <w:rFonts w:cs="Times New Roman"/>
          <w:b/>
          <w:bCs/>
          <w:color w:val="000000" w:themeColor="text1"/>
        </w:rPr>
      </w:pPr>
      <w:r>
        <w:rPr>
          <w:rFonts w:cs="Times New Roman" w:hint="eastAsia"/>
          <w:b/>
          <w:bCs/>
          <w:color w:val="000000" w:themeColor="text1"/>
        </w:rPr>
        <w:t>2</w:t>
      </w:r>
      <w:r>
        <w:rPr>
          <w:rFonts w:cs="Times New Roman" w:hint="eastAsia"/>
          <w:b/>
          <w:bCs/>
          <w:color w:val="000000" w:themeColor="text1"/>
        </w:rPr>
        <w:t>、与《关于进一步加强危险废物规范化环境管理有关工作的通知》（环办固体〔</w:t>
      </w:r>
      <w:r>
        <w:rPr>
          <w:rFonts w:cs="Times New Roman" w:hint="eastAsia"/>
          <w:b/>
          <w:bCs/>
          <w:color w:val="000000" w:themeColor="text1"/>
        </w:rPr>
        <w:t>2023</w:t>
      </w:r>
      <w:r>
        <w:rPr>
          <w:rFonts w:cs="Times New Roman" w:hint="eastAsia"/>
          <w:b/>
          <w:bCs/>
          <w:color w:val="000000" w:themeColor="text1"/>
        </w:rPr>
        <w:t>〕</w:t>
      </w:r>
      <w:r>
        <w:rPr>
          <w:rFonts w:cs="Times New Roman" w:hint="eastAsia"/>
          <w:b/>
          <w:bCs/>
          <w:color w:val="000000" w:themeColor="text1"/>
        </w:rPr>
        <w:t>17</w:t>
      </w:r>
      <w:r>
        <w:rPr>
          <w:rFonts w:cs="Times New Roman" w:hint="eastAsia"/>
          <w:b/>
          <w:bCs/>
          <w:color w:val="000000" w:themeColor="text1"/>
        </w:rPr>
        <w:t>号）相符性分析</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1.4-</w:t>
      </w:r>
      <w:r>
        <w:rPr>
          <w:rFonts w:ascii="Times New Roman" w:eastAsia="宋体" w:hAnsi="Times New Roman" w:cs="Times New Roman"/>
          <w:b/>
          <w:color w:val="000000" w:themeColor="text1"/>
          <w:sz w:val="24"/>
        </w:rPr>
        <w:t>14</w:t>
      </w:r>
      <w:r>
        <w:rPr>
          <w:rFonts w:ascii="Times New Roman" w:eastAsia="宋体" w:hAnsi="Times New Roman" w:cs="Times New Roman" w:hint="eastAsia"/>
          <w:b/>
          <w:color w:val="000000" w:themeColor="text1"/>
          <w:sz w:val="24"/>
        </w:rPr>
        <w:t xml:space="preserve"> </w:t>
      </w:r>
      <w:r>
        <w:rPr>
          <w:rFonts w:ascii="Times New Roman" w:eastAsia="宋体" w:hAnsi="Times New Roman" w:cs="Times New Roman" w:hint="eastAsia"/>
          <w:b/>
          <w:color w:val="000000" w:themeColor="text1"/>
          <w:sz w:val="24"/>
        </w:rPr>
        <w:t>与环办固体〔</w:t>
      </w:r>
      <w:r>
        <w:rPr>
          <w:rFonts w:ascii="Times New Roman" w:eastAsia="宋体" w:hAnsi="Times New Roman" w:cs="Times New Roman" w:hint="eastAsia"/>
          <w:b/>
          <w:color w:val="000000" w:themeColor="text1"/>
          <w:sz w:val="24"/>
        </w:rPr>
        <w:t>2023</w:t>
      </w:r>
      <w:r>
        <w:rPr>
          <w:rFonts w:ascii="Times New Roman" w:eastAsia="宋体" w:hAnsi="Times New Roman" w:cs="Times New Roman" w:hint="eastAsia"/>
          <w:b/>
          <w:color w:val="000000" w:themeColor="text1"/>
          <w:sz w:val="24"/>
        </w:rPr>
        <w:t>〕</w:t>
      </w:r>
      <w:r>
        <w:rPr>
          <w:rFonts w:ascii="Times New Roman" w:eastAsia="宋体" w:hAnsi="Times New Roman" w:cs="Times New Roman" w:hint="eastAsia"/>
          <w:b/>
          <w:color w:val="000000" w:themeColor="text1"/>
          <w:sz w:val="24"/>
        </w:rPr>
        <w:t>17</w:t>
      </w:r>
      <w:r>
        <w:rPr>
          <w:rFonts w:ascii="Times New Roman" w:eastAsia="宋体" w:hAnsi="Times New Roman" w:cs="Times New Roman" w:hint="eastAsia"/>
          <w:b/>
          <w:color w:val="000000" w:themeColor="text1"/>
          <w:sz w:val="24"/>
        </w:rPr>
        <w:t>号相符性分</w:t>
      </w:r>
    </w:p>
    <w:tbl>
      <w:tblPr>
        <w:tblStyle w:val="affff4"/>
        <w:tblW w:w="0" w:type="auto"/>
        <w:tblLook w:val="04A0" w:firstRow="1" w:lastRow="0" w:firstColumn="1" w:lastColumn="0" w:noHBand="0" w:noVBand="1"/>
      </w:tblPr>
      <w:tblGrid>
        <w:gridCol w:w="846"/>
        <w:gridCol w:w="3969"/>
        <w:gridCol w:w="3118"/>
        <w:gridCol w:w="787"/>
      </w:tblGrid>
      <w:tr w:rsidR="00644456">
        <w:tc>
          <w:tcPr>
            <w:tcW w:w="846"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序号</w:t>
            </w:r>
          </w:p>
        </w:tc>
        <w:tc>
          <w:tcPr>
            <w:tcW w:w="3969"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具体要求</w:t>
            </w:r>
          </w:p>
        </w:tc>
        <w:tc>
          <w:tcPr>
            <w:tcW w:w="3118"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本项目情况</w:t>
            </w:r>
          </w:p>
        </w:tc>
        <w:tc>
          <w:tcPr>
            <w:tcW w:w="787"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相符性</w:t>
            </w:r>
          </w:p>
        </w:tc>
      </w:tr>
      <w:tr w:rsidR="00644456">
        <w:tc>
          <w:tcPr>
            <w:tcW w:w="846"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1</w:t>
            </w:r>
          </w:p>
        </w:tc>
        <w:tc>
          <w:tcPr>
            <w:tcW w:w="3969"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四）实行电子标签，规范源头管理。全面统一危险废物电子标签标志二维码。鼓励其他危险废物产生单位应用电子标签、电子管理台账等信息化措施。鼓励持有危险废物经营许可证的单位为危险废物产生单位提供延伸服务，协助其生成并领取电子标签、建立电子管理台账等。</w:t>
            </w:r>
          </w:p>
        </w:tc>
        <w:tc>
          <w:tcPr>
            <w:tcW w:w="3118"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本项目产生的危废统一使用电子标签标志二维码，企业配有专业技术人员，可以协助产废单位生成并领取电子标签、建立电子管理台账等。</w:t>
            </w:r>
          </w:p>
        </w:tc>
        <w:tc>
          <w:tcPr>
            <w:tcW w:w="787"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符合</w:t>
            </w:r>
          </w:p>
        </w:tc>
      </w:tr>
      <w:tr w:rsidR="00644456">
        <w:tc>
          <w:tcPr>
            <w:tcW w:w="846"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2</w:t>
            </w:r>
          </w:p>
        </w:tc>
        <w:tc>
          <w:tcPr>
            <w:tcW w:w="3969"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五）运行电子联单，规范转移跟踪。全面实行全国统一编号的危险废物电子转移联单。转移的危险废物包装容器具有电子标签的，应与电子转移联单关联。鼓励持证单位在自有危险废物运输车辆安装车载卫星定位、视频监控等设备。</w:t>
            </w:r>
          </w:p>
        </w:tc>
        <w:tc>
          <w:tcPr>
            <w:tcW w:w="3118"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本项目产生的危废实行全国统一编号的危险废物电子转移联单，接收产废单位危废前，核实转移联单相关信息真实性、准确性。本项目拟处置的危废委外运输，首选安装车载卫星定位、视频监控等设备的车辆</w:t>
            </w:r>
          </w:p>
        </w:tc>
        <w:tc>
          <w:tcPr>
            <w:tcW w:w="787"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符合</w:t>
            </w:r>
          </w:p>
        </w:tc>
      </w:tr>
      <w:tr w:rsidR="00644456">
        <w:tc>
          <w:tcPr>
            <w:tcW w:w="846"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3</w:t>
            </w:r>
          </w:p>
        </w:tc>
        <w:tc>
          <w:tcPr>
            <w:tcW w:w="3969"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（六）推行电子证照，规范末端管理。持证单位应按国家关于制定危险废物电子经营情况记录簿的要求，建立与国家固废</w:t>
            </w:r>
            <w:r>
              <w:rPr>
                <w:rFonts w:cs="Times New Roman" w:hint="eastAsia"/>
                <w:color w:val="000000"/>
                <w:kern w:val="0"/>
                <w:szCs w:val="21"/>
                <w:lang w:bidi="ar"/>
              </w:rPr>
              <w:lastRenderedPageBreak/>
              <w:t>系统实时对接的电子经营情况记录簿，应用电子地磅、电子标签等加强信息化管理，并分别于每月</w:t>
            </w:r>
            <w:r>
              <w:rPr>
                <w:rFonts w:cs="Times New Roman" w:hint="eastAsia"/>
                <w:color w:val="000000"/>
                <w:kern w:val="0"/>
                <w:szCs w:val="21"/>
                <w:lang w:bidi="ar"/>
              </w:rPr>
              <w:t>15</w:t>
            </w:r>
            <w:r>
              <w:rPr>
                <w:rFonts w:cs="Times New Roman" w:hint="eastAsia"/>
                <w:color w:val="000000"/>
                <w:kern w:val="0"/>
                <w:szCs w:val="21"/>
                <w:lang w:bidi="ar"/>
              </w:rPr>
              <w:t>日和每年</w:t>
            </w:r>
            <w:r>
              <w:rPr>
                <w:rFonts w:cs="Times New Roman" w:hint="eastAsia"/>
                <w:color w:val="000000"/>
                <w:kern w:val="0"/>
                <w:szCs w:val="21"/>
                <w:lang w:bidi="ar"/>
              </w:rPr>
              <w:t>1</w:t>
            </w:r>
            <w:r>
              <w:rPr>
                <w:rFonts w:cs="Times New Roman" w:hint="eastAsia"/>
                <w:color w:val="000000"/>
                <w:kern w:val="0"/>
                <w:szCs w:val="21"/>
                <w:lang w:bidi="ar"/>
              </w:rPr>
              <w:t>月底前通过国家固废系统汇总报告上月度和上年度经营情况。鼓励持证单位在危险废物相关重点环节和关键节点应用视频监控。</w:t>
            </w:r>
          </w:p>
        </w:tc>
        <w:tc>
          <w:tcPr>
            <w:tcW w:w="3118"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lastRenderedPageBreak/>
              <w:t>本项目属于危废处置行业，本次评价已提出企业应建立与国家固废系统实时对接的电子经营</w:t>
            </w:r>
            <w:r>
              <w:rPr>
                <w:rFonts w:cs="Times New Roman" w:hint="eastAsia"/>
                <w:color w:val="000000"/>
                <w:kern w:val="0"/>
                <w:szCs w:val="21"/>
                <w:lang w:bidi="ar"/>
              </w:rPr>
              <w:lastRenderedPageBreak/>
              <w:t>情况记录簿，应用电子地磅、电子标签等加强信息化管理，并分别于每月</w:t>
            </w:r>
            <w:r>
              <w:rPr>
                <w:rFonts w:cs="Times New Roman" w:hint="eastAsia"/>
                <w:color w:val="000000"/>
                <w:kern w:val="0"/>
                <w:szCs w:val="21"/>
                <w:lang w:bidi="ar"/>
              </w:rPr>
              <w:t>15</w:t>
            </w:r>
            <w:r>
              <w:rPr>
                <w:rFonts w:cs="Times New Roman" w:hint="eastAsia"/>
                <w:color w:val="000000"/>
                <w:kern w:val="0"/>
                <w:szCs w:val="21"/>
                <w:lang w:bidi="ar"/>
              </w:rPr>
              <w:t>日和每年</w:t>
            </w:r>
            <w:r>
              <w:rPr>
                <w:rFonts w:cs="Times New Roman" w:hint="eastAsia"/>
                <w:color w:val="000000"/>
                <w:kern w:val="0"/>
                <w:szCs w:val="21"/>
                <w:lang w:bidi="ar"/>
              </w:rPr>
              <w:t>1</w:t>
            </w:r>
            <w:r>
              <w:rPr>
                <w:rFonts w:cs="Times New Roman" w:hint="eastAsia"/>
                <w:color w:val="000000"/>
                <w:kern w:val="0"/>
                <w:szCs w:val="21"/>
                <w:lang w:bidi="ar"/>
              </w:rPr>
              <w:t>月底前通过国家固废系统汇总报告上月度和上年度经营情况。固态危废库、液态危废罐区、装卸区、生产车间等关键节点设有视频监控。</w:t>
            </w:r>
          </w:p>
        </w:tc>
        <w:tc>
          <w:tcPr>
            <w:tcW w:w="787"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lastRenderedPageBreak/>
              <w:t>符合</w:t>
            </w:r>
          </w:p>
        </w:tc>
      </w:tr>
    </w:tbl>
    <w:p w:rsidR="00644456" w:rsidRDefault="008031C4">
      <w:pPr>
        <w:pStyle w:val="affffffffc"/>
        <w:ind w:firstLine="482"/>
        <w:rPr>
          <w:rFonts w:cs="Times New Roman"/>
          <w:b/>
          <w:bCs/>
          <w:color w:val="000000" w:themeColor="text1"/>
        </w:rPr>
      </w:pPr>
      <w:r>
        <w:rPr>
          <w:rFonts w:cs="Times New Roman" w:hint="eastAsia"/>
          <w:b/>
          <w:bCs/>
          <w:color w:val="000000" w:themeColor="text1"/>
        </w:rPr>
        <w:t>3</w:t>
      </w:r>
      <w:r>
        <w:rPr>
          <w:rFonts w:cs="Times New Roman" w:hint="eastAsia"/>
          <w:b/>
          <w:bCs/>
          <w:color w:val="000000" w:themeColor="text1"/>
        </w:rPr>
        <w:t>、与《危险废物经营许可证管理办法》相符性分析</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b/>
          <w:color w:val="000000" w:themeColor="text1"/>
          <w:sz w:val="24"/>
        </w:rPr>
        <w:t>1.4-15</w:t>
      </w:r>
      <w:r>
        <w:rPr>
          <w:rFonts w:ascii="Times New Roman" w:eastAsia="宋体" w:hAnsi="Times New Roman" w:cs="Times New Roman" w:hint="eastAsia"/>
          <w:b/>
          <w:color w:val="000000" w:themeColor="text1"/>
          <w:sz w:val="24"/>
        </w:rPr>
        <w:t>与《危险废物经营许可证管理办法》相符性分析</w:t>
      </w:r>
    </w:p>
    <w:tbl>
      <w:tblPr>
        <w:tblStyle w:val="affff4"/>
        <w:tblW w:w="0" w:type="auto"/>
        <w:tblLook w:val="04A0" w:firstRow="1" w:lastRow="0" w:firstColumn="1" w:lastColumn="0" w:noHBand="0" w:noVBand="1"/>
      </w:tblPr>
      <w:tblGrid>
        <w:gridCol w:w="846"/>
        <w:gridCol w:w="3969"/>
        <w:gridCol w:w="3118"/>
        <w:gridCol w:w="787"/>
      </w:tblGrid>
      <w:tr w:rsidR="00644456">
        <w:tc>
          <w:tcPr>
            <w:tcW w:w="846"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序号</w:t>
            </w:r>
          </w:p>
        </w:tc>
        <w:tc>
          <w:tcPr>
            <w:tcW w:w="3969"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具体要求</w:t>
            </w:r>
          </w:p>
        </w:tc>
        <w:tc>
          <w:tcPr>
            <w:tcW w:w="3118"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本项目情况</w:t>
            </w:r>
          </w:p>
        </w:tc>
        <w:tc>
          <w:tcPr>
            <w:tcW w:w="787"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相符性</w:t>
            </w:r>
          </w:p>
        </w:tc>
      </w:tr>
      <w:tr w:rsidR="00644456">
        <w:tc>
          <w:tcPr>
            <w:tcW w:w="846"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1</w:t>
            </w:r>
          </w:p>
        </w:tc>
        <w:tc>
          <w:tcPr>
            <w:tcW w:w="3969"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有</w:t>
            </w:r>
            <w:r>
              <w:rPr>
                <w:rFonts w:cs="Times New Roman" w:hint="eastAsia"/>
                <w:color w:val="000000"/>
                <w:kern w:val="0"/>
                <w:szCs w:val="21"/>
                <w:lang w:bidi="ar"/>
              </w:rPr>
              <w:t>3</w:t>
            </w:r>
            <w:r>
              <w:rPr>
                <w:rFonts w:cs="Times New Roman" w:hint="eastAsia"/>
                <w:color w:val="000000"/>
                <w:kern w:val="0"/>
                <w:szCs w:val="21"/>
                <w:lang w:bidi="ar"/>
              </w:rPr>
              <w:t>名以上环境工程专业或者相关专业中级以上职称，并有</w:t>
            </w:r>
            <w:r>
              <w:rPr>
                <w:rFonts w:cs="Times New Roman" w:hint="eastAsia"/>
                <w:color w:val="000000"/>
                <w:kern w:val="0"/>
                <w:szCs w:val="21"/>
                <w:lang w:bidi="ar"/>
              </w:rPr>
              <w:t>3</w:t>
            </w:r>
            <w:r>
              <w:rPr>
                <w:rFonts w:cs="Times New Roman" w:hint="eastAsia"/>
                <w:color w:val="000000"/>
                <w:kern w:val="0"/>
                <w:szCs w:val="21"/>
                <w:lang w:bidi="ar"/>
              </w:rPr>
              <w:t>年以上固体废物污染治理经历的技术人员。</w:t>
            </w:r>
          </w:p>
        </w:tc>
        <w:tc>
          <w:tcPr>
            <w:tcW w:w="3118"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满足要求。</w:t>
            </w:r>
          </w:p>
        </w:tc>
        <w:tc>
          <w:tcPr>
            <w:tcW w:w="787"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符合</w:t>
            </w:r>
          </w:p>
        </w:tc>
      </w:tr>
      <w:tr w:rsidR="00644456">
        <w:tc>
          <w:tcPr>
            <w:tcW w:w="846" w:type="dxa"/>
            <w:vAlign w:val="center"/>
          </w:tcPr>
          <w:p w:rsidR="00644456" w:rsidRDefault="008031C4">
            <w:pPr>
              <w:widowControl/>
              <w:jc w:val="center"/>
              <w:rPr>
                <w:rFonts w:cs="Times New Roman"/>
                <w:color w:val="000000"/>
                <w:kern w:val="0"/>
                <w:szCs w:val="21"/>
                <w:lang w:bidi="ar"/>
              </w:rPr>
            </w:pPr>
            <w:r>
              <w:rPr>
                <w:rFonts w:cs="Times New Roman"/>
                <w:color w:val="000000"/>
                <w:kern w:val="0"/>
                <w:szCs w:val="21"/>
                <w:lang w:bidi="ar"/>
              </w:rPr>
              <w:t>2</w:t>
            </w:r>
          </w:p>
        </w:tc>
        <w:tc>
          <w:tcPr>
            <w:tcW w:w="3969"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有符合国务院交通主管部门有关危险货物运输安全要求的运输工具。</w:t>
            </w:r>
          </w:p>
        </w:tc>
        <w:tc>
          <w:tcPr>
            <w:tcW w:w="3118"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本项目危险废物采用公路运输，委托有运输资质的单位承担运输。</w:t>
            </w:r>
          </w:p>
        </w:tc>
        <w:tc>
          <w:tcPr>
            <w:tcW w:w="787"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符合</w:t>
            </w:r>
          </w:p>
        </w:tc>
      </w:tr>
      <w:tr w:rsidR="00644456">
        <w:tc>
          <w:tcPr>
            <w:tcW w:w="846"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3</w:t>
            </w:r>
          </w:p>
        </w:tc>
        <w:tc>
          <w:tcPr>
            <w:tcW w:w="3969"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有符合国家或者地方环境保护标准和安全要求的包装工具，中转和临时存放设施、设备以及经验收合格的贮存设施、设备。</w:t>
            </w:r>
          </w:p>
        </w:tc>
        <w:tc>
          <w:tcPr>
            <w:tcW w:w="3118"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本项目液态危废、固态危废均设有贮存设施，满足</w:t>
            </w:r>
            <w:r>
              <w:rPr>
                <w:rFonts w:cs="Times New Roman" w:hint="eastAsia"/>
                <w:color w:val="000000"/>
                <w:kern w:val="0"/>
                <w:szCs w:val="21"/>
                <w:lang w:bidi="ar"/>
              </w:rPr>
              <w:t>GB 18597-2023</w:t>
            </w:r>
            <w:r>
              <w:rPr>
                <w:rFonts w:cs="Times New Roman" w:hint="eastAsia"/>
                <w:color w:val="000000"/>
                <w:kern w:val="0"/>
                <w:szCs w:val="21"/>
                <w:lang w:bidi="ar"/>
              </w:rPr>
              <w:t>要求。</w:t>
            </w:r>
          </w:p>
        </w:tc>
        <w:tc>
          <w:tcPr>
            <w:tcW w:w="787"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符合</w:t>
            </w:r>
          </w:p>
        </w:tc>
      </w:tr>
      <w:tr w:rsidR="00644456">
        <w:tc>
          <w:tcPr>
            <w:tcW w:w="846"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4</w:t>
            </w:r>
          </w:p>
        </w:tc>
        <w:tc>
          <w:tcPr>
            <w:tcW w:w="3969"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有符合国家或者省、自治区、直辖市危险废物处置设施建设规划，符合国家或者地方环境保护标准和安全要求的处置设施、设备和配套的污染防治设施；其中，医疗废物集中处置设施，还应当符合国家有关医疗废物处置的卫生标准和要求。</w:t>
            </w:r>
          </w:p>
        </w:tc>
        <w:tc>
          <w:tcPr>
            <w:tcW w:w="3118"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本项目不涉及医疗危废的处置，符合规划要求，符合国家、自治区环境保护标准和安全要求的处置设施、设备和配套的污染防治设施。</w:t>
            </w:r>
          </w:p>
        </w:tc>
        <w:tc>
          <w:tcPr>
            <w:tcW w:w="787"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符合</w:t>
            </w:r>
          </w:p>
        </w:tc>
      </w:tr>
      <w:tr w:rsidR="00644456">
        <w:tc>
          <w:tcPr>
            <w:tcW w:w="846"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5</w:t>
            </w:r>
          </w:p>
        </w:tc>
        <w:tc>
          <w:tcPr>
            <w:tcW w:w="3969"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有与所经营的危险废物类别相适应的处置技术和工艺。</w:t>
            </w:r>
          </w:p>
        </w:tc>
        <w:tc>
          <w:tcPr>
            <w:tcW w:w="3118"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对照</w:t>
            </w:r>
            <w:r>
              <w:rPr>
                <w:rFonts w:cs="Times New Roman" w:hint="eastAsia"/>
                <w:color w:val="000000"/>
                <w:kern w:val="0"/>
                <w:szCs w:val="21"/>
                <w:lang w:bidi="ar"/>
              </w:rPr>
              <w:t>GB/T 41961-2022</w:t>
            </w:r>
            <w:r>
              <w:rPr>
                <w:rFonts w:cs="Times New Roman" w:hint="eastAsia"/>
                <w:color w:val="000000"/>
                <w:kern w:val="0"/>
                <w:szCs w:val="21"/>
                <w:lang w:bidi="ar"/>
              </w:rPr>
              <w:t>等文件，本项目选取的工艺满足要求</w:t>
            </w:r>
          </w:p>
        </w:tc>
        <w:tc>
          <w:tcPr>
            <w:tcW w:w="787"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符合</w:t>
            </w:r>
          </w:p>
        </w:tc>
      </w:tr>
      <w:tr w:rsidR="00644456">
        <w:tc>
          <w:tcPr>
            <w:tcW w:w="846" w:type="dxa"/>
            <w:vAlign w:val="center"/>
          </w:tcPr>
          <w:p w:rsidR="00644456" w:rsidRDefault="008031C4">
            <w:pPr>
              <w:widowControl/>
              <w:jc w:val="center"/>
              <w:rPr>
                <w:rFonts w:cs="Times New Roman"/>
                <w:color w:val="000000"/>
                <w:kern w:val="0"/>
                <w:szCs w:val="21"/>
                <w:lang w:bidi="ar"/>
              </w:rPr>
            </w:pPr>
            <w:r>
              <w:rPr>
                <w:rFonts w:cs="Times New Roman"/>
                <w:color w:val="000000"/>
                <w:kern w:val="0"/>
                <w:szCs w:val="21"/>
                <w:lang w:bidi="ar"/>
              </w:rPr>
              <w:t>6</w:t>
            </w:r>
          </w:p>
        </w:tc>
        <w:tc>
          <w:tcPr>
            <w:tcW w:w="3969"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有保证危险废物经营安全的规章制度、污染防治措施和事故应急救援措施。</w:t>
            </w:r>
          </w:p>
        </w:tc>
        <w:tc>
          <w:tcPr>
            <w:tcW w:w="3118"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项目建成后，企业有保证危险废物经营安全的规章制度、污染防治措施和事故应急救援措施</w:t>
            </w:r>
          </w:p>
        </w:tc>
        <w:tc>
          <w:tcPr>
            <w:tcW w:w="787"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符合</w:t>
            </w:r>
          </w:p>
        </w:tc>
      </w:tr>
      <w:tr w:rsidR="00644456">
        <w:tc>
          <w:tcPr>
            <w:tcW w:w="846"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7</w:t>
            </w:r>
          </w:p>
        </w:tc>
        <w:tc>
          <w:tcPr>
            <w:tcW w:w="3969"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以填埋方式处置危险废物的，应当依法取得填埋场所的土地使用权。</w:t>
            </w:r>
          </w:p>
        </w:tc>
        <w:tc>
          <w:tcPr>
            <w:tcW w:w="3118"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本项目采用回收工艺，不涉及填埋</w:t>
            </w:r>
          </w:p>
        </w:tc>
        <w:tc>
          <w:tcPr>
            <w:tcW w:w="787"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符合</w:t>
            </w:r>
          </w:p>
        </w:tc>
      </w:tr>
    </w:tbl>
    <w:p w:rsidR="00644456" w:rsidRDefault="008031C4">
      <w:pPr>
        <w:snapToGrid w:val="0"/>
        <w:spacing w:line="360" w:lineRule="auto"/>
        <w:ind w:firstLine="480"/>
        <w:rPr>
          <w:rFonts w:cs="Times New Roman"/>
          <w:b/>
          <w:bCs/>
          <w:color w:val="000000" w:themeColor="text1"/>
          <w:sz w:val="24"/>
          <w:szCs w:val="24"/>
        </w:rPr>
      </w:pPr>
      <w:r>
        <w:rPr>
          <w:rFonts w:cs="Times New Roman"/>
          <w:b/>
          <w:bCs/>
          <w:color w:val="000000" w:themeColor="text1"/>
          <w:sz w:val="24"/>
          <w:szCs w:val="24"/>
        </w:rPr>
        <w:t>4</w:t>
      </w:r>
      <w:r>
        <w:rPr>
          <w:rFonts w:cs="Times New Roman" w:hint="eastAsia"/>
          <w:b/>
          <w:bCs/>
          <w:color w:val="000000" w:themeColor="text1"/>
          <w:sz w:val="24"/>
          <w:szCs w:val="24"/>
        </w:rPr>
        <w:t>、与《危险废物污染防治技术政策》相符性分析</w:t>
      </w:r>
    </w:p>
    <w:p w:rsidR="00644456" w:rsidRDefault="008031C4">
      <w:pPr>
        <w:pStyle w:val="1f7"/>
      </w:pPr>
      <w:r>
        <w:rPr>
          <w:rFonts w:hint="eastAsia"/>
        </w:rPr>
        <w:t>根据国家环保部环发〔</w:t>
      </w:r>
      <w:r>
        <w:rPr>
          <w:rFonts w:hint="eastAsia"/>
        </w:rPr>
        <w:t>2001</w:t>
      </w:r>
      <w:r>
        <w:rPr>
          <w:rFonts w:hint="eastAsia"/>
        </w:rPr>
        <w:t>〕</w:t>
      </w:r>
      <w:r>
        <w:rPr>
          <w:rFonts w:hint="eastAsia"/>
        </w:rPr>
        <w:t>199</w:t>
      </w:r>
      <w:r>
        <w:rPr>
          <w:rFonts w:hint="eastAsia"/>
        </w:rPr>
        <w:t>号发布的《危险废物污染防治技术政策》，相符性分析表</w:t>
      </w:r>
      <w:r>
        <w:rPr>
          <w:rFonts w:hint="eastAsia"/>
        </w:rPr>
        <w:t>1.4-</w:t>
      </w:r>
      <w:r>
        <w:t>16</w:t>
      </w:r>
      <w:r>
        <w:rPr>
          <w:rFonts w:hint="eastAsia"/>
        </w:rPr>
        <w:t>。</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1.4-</w:t>
      </w:r>
      <w:r>
        <w:rPr>
          <w:rFonts w:ascii="Times New Roman" w:eastAsia="宋体" w:hAnsi="Times New Roman" w:cs="Times New Roman"/>
          <w:b/>
          <w:color w:val="000000" w:themeColor="text1"/>
          <w:sz w:val="24"/>
        </w:rPr>
        <w:t>16</w:t>
      </w:r>
      <w:r>
        <w:rPr>
          <w:rFonts w:ascii="Times New Roman" w:eastAsia="宋体" w:hAnsi="Times New Roman" w:cs="Times New Roman" w:hint="eastAsia"/>
          <w:b/>
          <w:color w:val="000000" w:themeColor="text1"/>
          <w:sz w:val="24"/>
        </w:rPr>
        <w:t>与《危险废物污染防治技术政策》的符合性分析</w:t>
      </w:r>
    </w:p>
    <w:tbl>
      <w:tblPr>
        <w:tblStyle w:val="affff4"/>
        <w:tblW w:w="0" w:type="auto"/>
        <w:tblLook w:val="04A0" w:firstRow="1" w:lastRow="0" w:firstColumn="1" w:lastColumn="0" w:noHBand="0" w:noVBand="1"/>
      </w:tblPr>
      <w:tblGrid>
        <w:gridCol w:w="704"/>
        <w:gridCol w:w="709"/>
        <w:gridCol w:w="3544"/>
        <w:gridCol w:w="2976"/>
        <w:gridCol w:w="787"/>
      </w:tblGrid>
      <w:tr w:rsidR="00644456">
        <w:tc>
          <w:tcPr>
            <w:tcW w:w="70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序号</w:t>
            </w:r>
          </w:p>
        </w:tc>
        <w:tc>
          <w:tcPr>
            <w:tcW w:w="709"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项目</w:t>
            </w: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规范要求</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本项目情况</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符合性</w:t>
            </w:r>
          </w:p>
        </w:tc>
      </w:tr>
      <w:tr w:rsidR="00644456">
        <w:tc>
          <w:tcPr>
            <w:tcW w:w="704"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1</w:t>
            </w:r>
          </w:p>
        </w:tc>
        <w:tc>
          <w:tcPr>
            <w:tcW w:w="709" w:type="dxa"/>
            <w:vMerge w:val="restart"/>
            <w:vAlign w:val="center"/>
          </w:tcPr>
          <w:p w:rsidR="00644456" w:rsidRDefault="008031C4">
            <w:pPr>
              <w:jc w:val="center"/>
              <w:rPr>
                <w:rFonts w:cs="Times New Roman"/>
                <w:color w:val="000000" w:themeColor="text1"/>
                <w:kern w:val="0"/>
              </w:rPr>
            </w:pPr>
            <w:r>
              <w:rPr>
                <w:rFonts w:cs="Times New Roman" w:hint="eastAsia"/>
                <w:color w:val="000000" w:themeColor="text1"/>
                <w:kern w:val="0"/>
              </w:rPr>
              <w:t>废矿物油的污染防治</w:t>
            </w:r>
          </w:p>
        </w:tc>
        <w:tc>
          <w:tcPr>
            <w:tcW w:w="3544"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鼓励建立废矿物油收集体系，禁止将废矿物油任意抛洒、掩埋或倒入下水道以及用作建筑脱模油，禁止继续使用硫酸</w:t>
            </w:r>
            <w:r>
              <w:rPr>
                <w:rFonts w:cs="Times New Roman" w:hint="eastAsia"/>
                <w:color w:val="000000" w:themeColor="text1"/>
                <w:kern w:val="0"/>
              </w:rPr>
              <w:t>/</w:t>
            </w:r>
            <w:r>
              <w:rPr>
                <w:rFonts w:cs="Times New Roman" w:hint="eastAsia"/>
                <w:color w:val="000000" w:themeColor="text1"/>
                <w:kern w:val="0"/>
              </w:rPr>
              <w:t>白土法再生废矿物油。</w:t>
            </w:r>
          </w:p>
        </w:tc>
        <w:tc>
          <w:tcPr>
            <w:tcW w:w="2976"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本项目为废润滑油的集中再生利用设施，可有助于疏勒县及周边区域实现废润滑油的收集系统的建设；项目采用“减压蒸馏</w:t>
            </w:r>
            <w:r>
              <w:rPr>
                <w:rFonts w:cs="Times New Roman" w:hint="eastAsia"/>
                <w:color w:val="000000" w:themeColor="text1"/>
                <w:kern w:val="0"/>
              </w:rPr>
              <w:t>+</w:t>
            </w:r>
            <w:r>
              <w:rPr>
                <w:rFonts w:cs="Times New Roman" w:hint="eastAsia"/>
                <w:color w:val="000000" w:themeColor="text1"/>
                <w:kern w:val="0"/>
              </w:rPr>
              <w:t>溶剂精制”工艺，不属于国家禁止使用的淘汰工艺</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r w:rsidR="00644456">
        <w:tc>
          <w:tcPr>
            <w:tcW w:w="704" w:type="dxa"/>
            <w:vMerge/>
            <w:vAlign w:val="center"/>
          </w:tcPr>
          <w:p w:rsidR="00644456" w:rsidRDefault="00644456">
            <w:pPr>
              <w:jc w:val="center"/>
              <w:rPr>
                <w:rFonts w:cs="Times New Roman"/>
                <w:color w:val="000000" w:themeColor="text1"/>
                <w:kern w:val="0"/>
              </w:rPr>
            </w:pPr>
          </w:p>
        </w:tc>
        <w:tc>
          <w:tcPr>
            <w:tcW w:w="709" w:type="dxa"/>
            <w:vMerge/>
            <w:vAlign w:val="center"/>
          </w:tcPr>
          <w:p w:rsidR="00644456" w:rsidRDefault="00644456">
            <w:pPr>
              <w:jc w:val="center"/>
              <w:rPr>
                <w:rFonts w:cs="Times New Roman"/>
                <w:color w:val="000000" w:themeColor="text1"/>
                <w:kern w:val="0"/>
              </w:rPr>
            </w:pPr>
          </w:p>
        </w:tc>
        <w:tc>
          <w:tcPr>
            <w:tcW w:w="3544" w:type="dxa"/>
            <w:vAlign w:val="center"/>
          </w:tcPr>
          <w:p w:rsidR="00644456" w:rsidRDefault="008031C4">
            <w:pPr>
              <w:autoSpaceDE w:val="0"/>
              <w:autoSpaceDN w:val="0"/>
              <w:adjustRightInd w:val="0"/>
              <w:jc w:val="center"/>
              <w:rPr>
                <w:rFonts w:cs="Times New Roman"/>
                <w:color w:val="000000" w:themeColor="text1"/>
                <w:kern w:val="0"/>
              </w:rPr>
            </w:pPr>
            <w:r>
              <w:rPr>
                <w:rFonts w:cs="Times New Roman" w:hint="eastAsia"/>
                <w:color w:val="000000" w:themeColor="text1"/>
                <w:kern w:val="0"/>
              </w:rPr>
              <w:t>废矿物油的管理应遵循《废润滑油回收与再生利用技术导则》等有关规定，鼓励采用无酸废油再生技术，采用新的油水分离设施或活性酶对废油进行回收利用，鼓励重点城市建设区域性的废矿物油回收设施，为所在区域的废矿物油产生者提供服务</w:t>
            </w:r>
          </w:p>
        </w:tc>
        <w:tc>
          <w:tcPr>
            <w:tcW w:w="2976" w:type="dxa"/>
            <w:vAlign w:val="center"/>
          </w:tcPr>
          <w:p w:rsidR="00644456" w:rsidRDefault="008031C4">
            <w:pPr>
              <w:autoSpaceDE w:val="0"/>
              <w:autoSpaceDN w:val="0"/>
              <w:adjustRightInd w:val="0"/>
              <w:jc w:val="center"/>
              <w:rPr>
                <w:rFonts w:cs="Times New Roman"/>
                <w:color w:val="000000" w:themeColor="text1"/>
                <w:kern w:val="0"/>
              </w:rPr>
            </w:pPr>
            <w:r>
              <w:rPr>
                <w:rFonts w:cs="Times New Roman" w:hint="eastAsia"/>
                <w:color w:val="000000" w:themeColor="text1"/>
                <w:kern w:val="0"/>
              </w:rPr>
              <w:t>本项目采用“减压蒸馏</w:t>
            </w:r>
            <w:r>
              <w:rPr>
                <w:rFonts w:cs="Times New Roman"/>
                <w:color w:val="000000" w:themeColor="text1"/>
                <w:kern w:val="0"/>
              </w:rPr>
              <w:t>+</w:t>
            </w:r>
            <w:r>
              <w:rPr>
                <w:rFonts w:cs="Times New Roman" w:hint="eastAsia"/>
                <w:color w:val="000000" w:themeColor="text1"/>
                <w:kern w:val="0"/>
              </w:rPr>
              <w:t>溶剂精制”再生工艺，属于无酸废油再生技术，同时项目的建设可为疏勒县及周边区域废润滑油的产生者提供服务。</w:t>
            </w:r>
          </w:p>
        </w:tc>
        <w:tc>
          <w:tcPr>
            <w:tcW w:w="787" w:type="dxa"/>
            <w:vAlign w:val="center"/>
          </w:tcPr>
          <w:p w:rsidR="00644456" w:rsidRDefault="008031C4">
            <w:pPr>
              <w:jc w:val="center"/>
              <w:rPr>
                <w:rFonts w:cs="Times New Roman"/>
                <w:color w:val="000000" w:themeColor="text1"/>
                <w:kern w:val="0"/>
              </w:rPr>
            </w:pPr>
            <w:r>
              <w:rPr>
                <w:rFonts w:cs="Times New Roman" w:hint="eastAsia"/>
                <w:color w:val="000000" w:themeColor="text1"/>
                <w:kern w:val="0"/>
              </w:rPr>
              <w:t>符合</w:t>
            </w:r>
          </w:p>
        </w:tc>
      </w:tr>
    </w:tbl>
    <w:p w:rsidR="00644456" w:rsidRDefault="008031C4">
      <w:pPr>
        <w:pStyle w:val="3"/>
        <w:numPr>
          <w:ilvl w:val="2"/>
          <w:numId w:val="0"/>
        </w:numPr>
        <w:ind w:firstLineChars="200" w:firstLine="482"/>
      </w:pPr>
      <w:bookmarkStart w:id="48" w:name="_Toc44241468"/>
      <w:r>
        <w:rPr>
          <w:rFonts w:hint="eastAsia"/>
        </w:rPr>
        <w:t>1.4.9</w:t>
      </w:r>
      <w:r>
        <w:rPr>
          <w:rFonts w:hint="eastAsia"/>
        </w:rPr>
        <w:t>与“生态分区管控”相关文件的符合性分析</w:t>
      </w:r>
    </w:p>
    <w:p w:rsidR="00644456" w:rsidRDefault="008031C4">
      <w:pPr>
        <w:pStyle w:val="affffffffc"/>
        <w:ind w:firstLine="482"/>
        <w:rPr>
          <w:rFonts w:cs="Times New Roman"/>
          <w:b/>
          <w:bCs/>
          <w:color w:val="000000" w:themeColor="text1"/>
        </w:rPr>
      </w:pPr>
      <w:r>
        <w:rPr>
          <w:rFonts w:cs="Times New Roman" w:hint="eastAsia"/>
          <w:b/>
          <w:bCs/>
          <w:color w:val="000000" w:themeColor="text1"/>
        </w:rPr>
        <w:t>1</w:t>
      </w:r>
      <w:r>
        <w:rPr>
          <w:rFonts w:cs="Times New Roman" w:hint="eastAsia"/>
          <w:b/>
          <w:bCs/>
          <w:color w:val="000000" w:themeColor="text1"/>
        </w:rPr>
        <w:t>、与《新疆维吾尔自治区“三线一单”生态环境分区管控方案》（新政发〔</w:t>
      </w:r>
      <w:r>
        <w:rPr>
          <w:rFonts w:cs="Times New Roman" w:hint="eastAsia"/>
          <w:b/>
          <w:bCs/>
          <w:color w:val="000000" w:themeColor="text1"/>
        </w:rPr>
        <w:t>2021</w:t>
      </w:r>
      <w:r>
        <w:rPr>
          <w:rFonts w:cs="Times New Roman" w:hint="eastAsia"/>
          <w:b/>
          <w:bCs/>
          <w:color w:val="000000" w:themeColor="text1"/>
        </w:rPr>
        <w:t>〕</w:t>
      </w:r>
      <w:r>
        <w:rPr>
          <w:rFonts w:cs="Times New Roman" w:hint="eastAsia"/>
          <w:b/>
          <w:bCs/>
          <w:color w:val="000000" w:themeColor="text1"/>
        </w:rPr>
        <w:t>18</w:t>
      </w:r>
      <w:r>
        <w:rPr>
          <w:rFonts w:cs="Times New Roman" w:hint="eastAsia"/>
          <w:b/>
          <w:bCs/>
          <w:color w:val="000000" w:themeColor="text1"/>
        </w:rPr>
        <w:t>号）的符合性分析</w:t>
      </w:r>
    </w:p>
    <w:p w:rsidR="00644456" w:rsidRDefault="008031C4">
      <w:pPr>
        <w:pStyle w:val="affffffffc"/>
        <w:rPr>
          <w:rFonts w:cs="Times New Roman"/>
          <w:color w:val="000000" w:themeColor="text1"/>
        </w:rPr>
      </w:pPr>
      <w:r>
        <w:rPr>
          <w:rFonts w:cs="Times New Roman" w:hint="eastAsia"/>
          <w:color w:val="000000" w:themeColor="text1"/>
        </w:rPr>
        <w:t>项目与《新疆维吾尔自治区“三线一单”生态环境分区管控方案》（新政发〔</w:t>
      </w:r>
      <w:r>
        <w:rPr>
          <w:rFonts w:cs="Times New Roman" w:hint="eastAsia"/>
          <w:color w:val="000000" w:themeColor="text1"/>
        </w:rPr>
        <w:t>2021</w:t>
      </w:r>
      <w:r>
        <w:rPr>
          <w:rFonts w:cs="Times New Roman" w:hint="eastAsia"/>
          <w:color w:val="000000" w:themeColor="text1"/>
        </w:rPr>
        <w:t>〕</w:t>
      </w:r>
      <w:r>
        <w:rPr>
          <w:rFonts w:cs="Times New Roman" w:hint="eastAsia"/>
          <w:color w:val="000000" w:themeColor="text1"/>
        </w:rPr>
        <w:t>18</w:t>
      </w:r>
      <w:r>
        <w:rPr>
          <w:rFonts w:cs="Times New Roman" w:hint="eastAsia"/>
          <w:color w:val="000000" w:themeColor="text1"/>
        </w:rPr>
        <w:t>号）的符合性见下。</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1.4-1</w:t>
      </w:r>
      <w:r>
        <w:rPr>
          <w:rFonts w:ascii="Times New Roman" w:eastAsia="宋体" w:hAnsi="Times New Roman" w:cs="Times New Roman"/>
          <w:b/>
          <w:color w:val="000000" w:themeColor="text1"/>
          <w:sz w:val="24"/>
        </w:rPr>
        <w:t>7</w:t>
      </w:r>
      <w:r>
        <w:rPr>
          <w:rFonts w:ascii="Times New Roman" w:eastAsia="宋体" w:hAnsi="Times New Roman" w:cs="Times New Roman" w:hint="eastAsia"/>
          <w:b/>
          <w:color w:val="000000" w:themeColor="text1"/>
          <w:sz w:val="24"/>
        </w:rPr>
        <w:t>与新疆维吾尔自治区“三线一单”符合性分析一览表</w:t>
      </w:r>
    </w:p>
    <w:tbl>
      <w:tblPr>
        <w:tblStyle w:val="affff4"/>
        <w:tblW w:w="0" w:type="auto"/>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47"/>
        <w:gridCol w:w="3506"/>
        <w:gridCol w:w="3544"/>
        <w:gridCol w:w="708"/>
      </w:tblGrid>
      <w:tr w:rsidR="00644456">
        <w:trPr>
          <w:trHeight w:val="338"/>
          <w:jc w:val="center"/>
        </w:trPr>
        <w:tc>
          <w:tcPr>
            <w:tcW w:w="4253" w:type="dxa"/>
            <w:gridSpan w:val="2"/>
            <w:vAlign w:val="center"/>
          </w:tcPr>
          <w:p w:rsidR="00644456" w:rsidRDefault="008031C4">
            <w:pPr>
              <w:widowControl/>
              <w:jc w:val="center"/>
              <w:rPr>
                <w:rFonts w:cs="Times New Roman"/>
                <w:b/>
                <w:bCs/>
                <w:color w:val="000000"/>
                <w:szCs w:val="21"/>
              </w:rPr>
            </w:pPr>
            <w:r>
              <w:rPr>
                <w:rFonts w:cs="Times New Roman"/>
                <w:b/>
                <w:bCs/>
                <w:color w:val="000000"/>
                <w:szCs w:val="21"/>
              </w:rPr>
              <w:t>内容</w:t>
            </w:r>
          </w:p>
        </w:tc>
        <w:tc>
          <w:tcPr>
            <w:tcW w:w="3544" w:type="dxa"/>
            <w:vAlign w:val="center"/>
          </w:tcPr>
          <w:p w:rsidR="00644456" w:rsidRDefault="008031C4">
            <w:pPr>
              <w:widowControl/>
              <w:jc w:val="center"/>
              <w:rPr>
                <w:rFonts w:cs="Times New Roman"/>
                <w:b/>
                <w:bCs/>
                <w:color w:val="000000"/>
                <w:szCs w:val="21"/>
              </w:rPr>
            </w:pPr>
            <w:r>
              <w:rPr>
                <w:rFonts w:cs="Times New Roman"/>
                <w:b/>
                <w:bCs/>
                <w:color w:val="000000"/>
                <w:szCs w:val="21"/>
              </w:rPr>
              <w:t>本项目工程概况</w:t>
            </w:r>
          </w:p>
        </w:tc>
        <w:tc>
          <w:tcPr>
            <w:tcW w:w="708" w:type="dxa"/>
            <w:vAlign w:val="center"/>
          </w:tcPr>
          <w:p w:rsidR="00644456" w:rsidRDefault="008031C4">
            <w:pPr>
              <w:widowControl/>
              <w:jc w:val="center"/>
              <w:rPr>
                <w:rFonts w:cs="Times New Roman"/>
                <w:b/>
                <w:bCs/>
                <w:color w:val="000000"/>
                <w:szCs w:val="21"/>
              </w:rPr>
            </w:pPr>
            <w:r>
              <w:rPr>
                <w:rFonts w:cs="Times New Roman"/>
                <w:b/>
                <w:bCs/>
                <w:color w:val="000000"/>
                <w:szCs w:val="21"/>
              </w:rPr>
              <w:t>符合性</w:t>
            </w:r>
          </w:p>
        </w:tc>
      </w:tr>
      <w:tr w:rsidR="00644456">
        <w:trPr>
          <w:trHeight w:val="338"/>
          <w:jc w:val="center"/>
        </w:trPr>
        <w:tc>
          <w:tcPr>
            <w:tcW w:w="747" w:type="dxa"/>
            <w:vAlign w:val="center"/>
          </w:tcPr>
          <w:p w:rsidR="00644456" w:rsidRDefault="008031C4">
            <w:pPr>
              <w:widowControl/>
              <w:jc w:val="center"/>
              <w:rPr>
                <w:rFonts w:cs="Times New Roman"/>
                <w:color w:val="000000"/>
                <w:szCs w:val="21"/>
              </w:rPr>
            </w:pPr>
            <w:r>
              <w:rPr>
                <w:rFonts w:cs="Times New Roman"/>
                <w:color w:val="000000"/>
                <w:kern w:val="0"/>
                <w:szCs w:val="21"/>
                <w:lang w:bidi="ar"/>
              </w:rPr>
              <w:t>生态保护红线</w:t>
            </w:r>
          </w:p>
        </w:tc>
        <w:tc>
          <w:tcPr>
            <w:tcW w:w="3506" w:type="dxa"/>
            <w:vAlign w:val="center"/>
          </w:tcPr>
          <w:p w:rsidR="00644456" w:rsidRDefault="008031C4">
            <w:pPr>
              <w:widowControl/>
              <w:jc w:val="center"/>
              <w:rPr>
                <w:rFonts w:cs="Times New Roman"/>
                <w:color w:val="000000"/>
                <w:szCs w:val="21"/>
              </w:rPr>
            </w:pPr>
            <w:r>
              <w:rPr>
                <w:rFonts w:cs="Times New Roman"/>
                <w:color w:val="000000"/>
                <w:kern w:val="0"/>
                <w:szCs w:val="21"/>
                <w:lang w:bidi="ar"/>
              </w:rPr>
              <w:t>按照</w:t>
            </w:r>
            <w:r>
              <w:rPr>
                <w:rFonts w:cs="Times New Roman"/>
                <w:color w:val="000000"/>
                <w:kern w:val="0"/>
                <w:szCs w:val="21"/>
                <w:lang w:bidi="ar"/>
              </w:rPr>
              <w:t>“</w:t>
            </w:r>
            <w:r>
              <w:rPr>
                <w:rFonts w:cs="Times New Roman"/>
                <w:color w:val="000000"/>
                <w:kern w:val="0"/>
                <w:szCs w:val="21"/>
                <w:lang w:bidi="ar"/>
              </w:rPr>
              <w:t>生态功能不降低、面积不减少、性质不改变</w:t>
            </w:r>
            <w:r>
              <w:rPr>
                <w:rFonts w:cs="Times New Roman"/>
                <w:color w:val="000000"/>
                <w:kern w:val="0"/>
                <w:szCs w:val="21"/>
                <w:lang w:bidi="ar"/>
              </w:rPr>
              <w:t>”</w:t>
            </w:r>
            <w:r>
              <w:rPr>
                <w:rFonts w:cs="Times New Roman"/>
                <w:color w:val="000000"/>
                <w:kern w:val="0"/>
                <w:szCs w:val="21"/>
                <w:lang w:bidi="ar"/>
              </w:rPr>
              <w:t>的基本要求</w:t>
            </w:r>
            <w:r>
              <w:rPr>
                <w:rFonts w:cs="Times New Roman" w:hint="eastAsia"/>
                <w:color w:val="000000"/>
                <w:kern w:val="0"/>
                <w:szCs w:val="21"/>
                <w:lang w:bidi="ar"/>
              </w:rPr>
              <w:t>，</w:t>
            </w:r>
            <w:r>
              <w:rPr>
                <w:rFonts w:cs="Times New Roman"/>
                <w:color w:val="000000"/>
                <w:kern w:val="0"/>
                <w:szCs w:val="21"/>
                <w:lang w:bidi="ar"/>
              </w:rPr>
              <w:t>对划定的生态保护红线实施严格管控，保障和维护国家生态安全的底线和生命线</w:t>
            </w:r>
            <w:r>
              <w:rPr>
                <w:rFonts w:cs="Times New Roman" w:hint="eastAsia"/>
                <w:color w:val="000000"/>
                <w:kern w:val="0"/>
                <w:szCs w:val="21"/>
                <w:lang w:bidi="ar"/>
              </w:rPr>
              <w:t>。</w:t>
            </w:r>
          </w:p>
          <w:p w:rsidR="00644456" w:rsidRDefault="00644456">
            <w:pPr>
              <w:widowControl/>
              <w:jc w:val="center"/>
              <w:rPr>
                <w:rFonts w:cs="Times New Roman"/>
                <w:color w:val="000000"/>
                <w:szCs w:val="21"/>
              </w:rPr>
            </w:pPr>
          </w:p>
        </w:tc>
        <w:tc>
          <w:tcPr>
            <w:tcW w:w="3544" w:type="dxa"/>
            <w:vAlign w:val="center"/>
          </w:tcPr>
          <w:p w:rsidR="00644456" w:rsidRDefault="008031C4">
            <w:pPr>
              <w:widowControl/>
              <w:jc w:val="center"/>
              <w:rPr>
                <w:rFonts w:cs="Times New Roman"/>
                <w:color w:val="000000"/>
                <w:szCs w:val="21"/>
              </w:rPr>
            </w:pPr>
            <w:r>
              <w:rPr>
                <w:rFonts w:cs="Times New Roman"/>
                <w:color w:val="000000"/>
                <w:kern w:val="0"/>
                <w:szCs w:val="21"/>
                <w:lang w:bidi="ar"/>
              </w:rPr>
              <w:t>项目占地不涉及自然保护区、森林公园、风景名胜区、世界文化自然遗产、地质公园等禁止开发的区域。也不在《新疆维吾尔自治区</w:t>
            </w:r>
            <w:r>
              <w:rPr>
                <w:rFonts w:cs="Times New Roman"/>
                <w:color w:val="000000"/>
                <w:kern w:val="0"/>
                <w:szCs w:val="21"/>
                <w:lang w:bidi="ar"/>
              </w:rPr>
              <w:t>“</w:t>
            </w:r>
            <w:r>
              <w:rPr>
                <w:rFonts w:cs="Times New Roman"/>
                <w:color w:val="000000"/>
                <w:kern w:val="0"/>
                <w:szCs w:val="21"/>
                <w:lang w:bidi="ar"/>
              </w:rPr>
              <w:t>三线一单</w:t>
            </w:r>
            <w:r>
              <w:rPr>
                <w:rFonts w:cs="Times New Roman"/>
                <w:color w:val="000000"/>
                <w:kern w:val="0"/>
                <w:szCs w:val="21"/>
                <w:lang w:bidi="ar"/>
              </w:rPr>
              <w:t>”</w:t>
            </w:r>
            <w:r>
              <w:rPr>
                <w:rFonts w:cs="Times New Roman"/>
                <w:color w:val="000000"/>
                <w:kern w:val="0"/>
                <w:szCs w:val="21"/>
                <w:lang w:bidi="ar"/>
              </w:rPr>
              <w:t>生态环境分区管控方案》中的优先保护单元。本项目占地面积小，项目建成后不会恶化区域生态环境现状，满足生态保护红线及《新疆维吾尔自治区</w:t>
            </w:r>
            <w:r>
              <w:rPr>
                <w:rFonts w:cs="Times New Roman"/>
                <w:color w:val="000000"/>
                <w:kern w:val="0"/>
                <w:szCs w:val="21"/>
                <w:lang w:bidi="ar"/>
              </w:rPr>
              <w:t>“</w:t>
            </w:r>
            <w:r>
              <w:rPr>
                <w:rFonts w:cs="Times New Roman"/>
                <w:color w:val="000000"/>
                <w:kern w:val="0"/>
                <w:szCs w:val="21"/>
                <w:lang w:bidi="ar"/>
              </w:rPr>
              <w:t>三线一单</w:t>
            </w:r>
            <w:r>
              <w:rPr>
                <w:rFonts w:cs="Times New Roman"/>
                <w:color w:val="000000"/>
                <w:kern w:val="0"/>
                <w:szCs w:val="21"/>
                <w:lang w:bidi="ar"/>
              </w:rPr>
              <w:t>”</w:t>
            </w:r>
            <w:r>
              <w:rPr>
                <w:rFonts w:cs="Times New Roman"/>
                <w:color w:val="000000"/>
                <w:kern w:val="0"/>
                <w:szCs w:val="21"/>
                <w:lang w:bidi="ar"/>
              </w:rPr>
              <w:t>生态环境分区管控方案》要求。</w:t>
            </w:r>
          </w:p>
        </w:tc>
        <w:tc>
          <w:tcPr>
            <w:tcW w:w="708" w:type="dxa"/>
            <w:vAlign w:val="center"/>
          </w:tcPr>
          <w:p w:rsidR="00644456" w:rsidRDefault="008031C4">
            <w:pPr>
              <w:widowControl/>
              <w:jc w:val="center"/>
              <w:rPr>
                <w:rFonts w:cs="Times New Roman"/>
                <w:color w:val="000000"/>
                <w:szCs w:val="21"/>
              </w:rPr>
            </w:pPr>
            <w:r>
              <w:rPr>
                <w:rFonts w:cs="Times New Roman"/>
                <w:color w:val="000000"/>
                <w:szCs w:val="21"/>
              </w:rPr>
              <w:t>符合</w:t>
            </w:r>
          </w:p>
        </w:tc>
      </w:tr>
      <w:tr w:rsidR="00644456">
        <w:trPr>
          <w:trHeight w:val="338"/>
          <w:jc w:val="center"/>
        </w:trPr>
        <w:tc>
          <w:tcPr>
            <w:tcW w:w="747" w:type="dxa"/>
            <w:vAlign w:val="center"/>
          </w:tcPr>
          <w:p w:rsidR="00644456" w:rsidRDefault="008031C4">
            <w:pPr>
              <w:widowControl/>
              <w:jc w:val="center"/>
              <w:rPr>
                <w:rFonts w:cs="Times New Roman"/>
                <w:color w:val="000000"/>
                <w:szCs w:val="21"/>
              </w:rPr>
            </w:pPr>
            <w:r>
              <w:rPr>
                <w:rFonts w:cs="Times New Roman"/>
                <w:color w:val="000000"/>
                <w:kern w:val="0"/>
                <w:szCs w:val="21"/>
                <w:lang w:bidi="ar"/>
              </w:rPr>
              <w:t>资源利用上线</w:t>
            </w:r>
          </w:p>
        </w:tc>
        <w:tc>
          <w:tcPr>
            <w:tcW w:w="3506" w:type="dxa"/>
            <w:vAlign w:val="center"/>
          </w:tcPr>
          <w:p w:rsidR="00644456" w:rsidRDefault="008031C4">
            <w:pPr>
              <w:widowControl/>
              <w:jc w:val="center"/>
              <w:rPr>
                <w:rFonts w:cs="Times New Roman"/>
                <w:color w:val="000000"/>
                <w:szCs w:val="21"/>
              </w:rPr>
            </w:pPr>
            <w:r>
              <w:rPr>
                <w:rFonts w:cs="Times New Roman"/>
                <w:color w:val="000000"/>
                <w:kern w:val="0"/>
                <w:szCs w:val="21"/>
                <w:lang w:bidi="ar"/>
              </w:rPr>
              <w:t>强化节约集约利用，持续提升资源能源利用效率，水资源、土地资源、能源消耗等达到国家、自治区下达的总量和强度控制目标。加快区域低碳发展，积极推动乌鲁木齐市、昌吉市、伊宁市、和田市等</w:t>
            </w:r>
            <w:r>
              <w:rPr>
                <w:rFonts w:cs="Times New Roman"/>
                <w:color w:val="000000"/>
                <w:kern w:val="0"/>
                <w:szCs w:val="21"/>
                <w:lang w:bidi="ar"/>
              </w:rPr>
              <w:t>4</w:t>
            </w:r>
            <w:r>
              <w:rPr>
                <w:rFonts w:cs="Times New Roman"/>
                <w:color w:val="000000"/>
                <w:kern w:val="0"/>
                <w:szCs w:val="21"/>
                <w:lang w:bidi="ar"/>
              </w:rPr>
              <w:t>个国家级低碳试点城市发挥低碳试点示范和引领作用。</w:t>
            </w:r>
          </w:p>
        </w:tc>
        <w:tc>
          <w:tcPr>
            <w:tcW w:w="3544" w:type="dxa"/>
            <w:vAlign w:val="center"/>
          </w:tcPr>
          <w:p w:rsidR="00644456" w:rsidRDefault="008031C4">
            <w:pPr>
              <w:widowControl/>
              <w:jc w:val="center"/>
              <w:rPr>
                <w:rFonts w:cs="Times New Roman"/>
                <w:color w:val="000000"/>
                <w:szCs w:val="21"/>
              </w:rPr>
            </w:pPr>
            <w:r>
              <w:rPr>
                <w:rFonts w:cs="Times New Roman"/>
                <w:color w:val="000000"/>
                <w:kern w:val="0"/>
                <w:szCs w:val="21"/>
                <w:lang w:bidi="ar"/>
              </w:rPr>
              <w:t>本项目用电由园区电网供应，项目用水为园区供水管网接入，项目在营运过程中消耗一定的资源，项目对区域资源消耗量相对于区域资源利用总量较少，符合资源利用上线要求。</w:t>
            </w:r>
          </w:p>
        </w:tc>
        <w:tc>
          <w:tcPr>
            <w:tcW w:w="708" w:type="dxa"/>
            <w:vAlign w:val="center"/>
          </w:tcPr>
          <w:p w:rsidR="00644456" w:rsidRDefault="008031C4">
            <w:pPr>
              <w:widowControl/>
              <w:jc w:val="center"/>
              <w:rPr>
                <w:rFonts w:cs="Times New Roman"/>
                <w:color w:val="000000"/>
                <w:szCs w:val="21"/>
              </w:rPr>
            </w:pPr>
            <w:r>
              <w:rPr>
                <w:rFonts w:cs="Times New Roman"/>
                <w:color w:val="000000"/>
                <w:szCs w:val="21"/>
              </w:rPr>
              <w:t>符合</w:t>
            </w:r>
          </w:p>
        </w:tc>
      </w:tr>
      <w:tr w:rsidR="00644456">
        <w:trPr>
          <w:trHeight w:val="338"/>
          <w:jc w:val="center"/>
        </w:trPr>
        <w:tc>
          <w:tcPr>
            <w:tcW w:w="747" w:type="dxa"/>
            <w:vAlign w:val="center"/>
          </w:tcPr>
          <w:p w:rsidR="00644456" w:rsidRDefault="008031C4">
            <w:pPr>
              <w:widowControl/>
              <w:jc w:val="center"/>
              <w:rPr>
                <w:rFonts w:cs="Times New Roman"/>
                <w:color w:val="000000"/>
                <w:szCs w:val="21"/>
              </w:rPr>
            </w:pPr>
            <w:r>
              <w:rPr>
                <w:rFonts w:cs="Times New Roman"/>
                <w:color w:val="000000"/>
                <w:kern w:val="0"/>
                <w:szCs w:val="21"/>
                <w:lang w:bidi="ar"/>
              </w:rPr>
              <w:t>环境</w:t>
            </w:r>
          </w:p>
          <w:p w:rsidR="00644456" w:rsidRDefault="008031C4">
            <w:pPr>
              <w:widowControl/>
              <w:jc w:val="center"/>
              <w:rPr>
                <w:rFonts w:cs="Times New Roman"/>
                <w:color w:val="000000"/>
                <w:szCs w:val="21"/>
              </w:rPr>
            </w:pPr>
            <w:r>
              <w:rPr>
                <w:rFonts w:cs="Times New Roman"/>
                <w:color w:val="000000"/>
                <w:kern w:val="0"/>
                <w:szCs w:val="21"/>
                <w:lang w:bidi="ar"/>
              </w:rPr>
              <w:t>质量</w:t>
            </w:r>
          </w:p>
          <w:p w:rsidR="00644456" w:rsidRDefault="008031C4">
            <w:pPr>
              <w:widowControl/>
              <w:jc w:val="center"/>
              <w:rPr>
                <w:rFonts w:cs="Times New Roman"/>
                <w:color w:val="000000"/>
                <w:kern w:val="0"/>
                <w:szCs w:val="21"/>
                <w:lang w:bidi="ar"/>
              </w:rPr>
            </w:pPr>
            <w:r>
              <w:rPr>
                <w:rFonts w:cs="Times New Roman"/>
                <w:color w:val="000000"/>
                <w:kern w:val="0"/>
                <w:szCs w:val="21"/>
                <w:lang w:bidi="ar"/>
              </w:rPr>
              <w:t>底线</w:t>
            </w:r>
          </w:p>
        </w:tc>
        <w:tc>
          <w:tcPr>
            <w:tcW w:w="3506" w:type="dxa"/>
            <w:vAlign w:val="center"/>
          </w:tcPr>
          <w:p w:rsidR="00644456" w:rsidRDefault="008031C4">
            <w:pPr>
              <w:widowControl/>
              <w:jc w:val="center"/>
              <w:rPr>
                <w:rFonts w:cs="Times New Roman"/>
                <w:color w:val="000000"/>
                <w:szCs w:val="21"/>
              </w:rPr>
            </w:pPr>
            <w:r>
              <w:rPr>
                <w:rFonts w:cs="Times New Roman"/>
                <w:color w:val="000000"/>
                <w:kern w:val="0"/>
                <w:szCs w:val="21"/>
                <w:lang w:bidi="ar"/>
              </w:rPr>
              <w:t>全区水环境质量持续改善，受污染地表水体得到有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tc>
        <w:tc>
          <w:tcPr>
            <w:tcW w:w="3544" w:type="dxa"/>
            <w:vAlign w:val="center"/>
          </w:tcPr>
          <w:p w:rsidR="00644456" w:rsidRDefault="008031C4">
            <w:pPr>
              <w:widowControl/>
              <w:rPr>
                <w:rFonts w:cs="Times New Roman"/>
                <w:szCs w:val="21"/>
              </w:rPr>
            </w:pPr>
            <w:r>
              <w:rPr>
                <w:rFonts w:cs="Times New Roman" w:hint="eastAsia"/>
                <w:szCs w:val="21"/>
              </w:rPr>
              <w:t>本项目废水经本项目处理达标后，进入园区生态钢城污水处理厂再次处理后，回用于园区道路清扫和绿化灌溉，不涉及地下水采集</w:t>
            </w:r>
          </w:p>
        </w:tc>
        <w:tc>
          <w:tcPr>
            <w:tcW w:w="708" w:type="dxa"/>
            <w:vAlign w:val="center"/>
          </w:tcPr>
          <w:p w:rsidR="00644456" w:rsidRDefault="008031C4">
            <w:pPr>
              <w:widowControl/>
              <w:jc w:val="center"/>
              <w:rPr>
                <w:rFonts w:cs="Times New Roman"/>
                <w:color w:val="000000"/>
                <w:szCs w:val="21"/>
              </w:rPr>
            </w:pPr>
            <w:r>
              <w:rPr>
                <w:rFonts w:cs="Times New Roman"/>
                <w:color w:val="000000"/>
                <w:szCs w:val="21"/>
              </w:rPr>
              <w:t>符合</w:t>
            </w:r>
          </w:p>
        </w:tc>
      </w:tr>
      <w:tr w:rsidR="00644456">
        <w:trPr>
          <w:trHeight w:val="338"/>
          <w:jc w:val="center"/>
        </w:trPr>
        <w:tc>
          <w:tcPr>
            <w:tcW w:w="4253" w:type="dxa"/>
            <w:gridSpan w:val="2"/>
            <w:vAlign w:val="center"/>
          </w:tcPr>
          <w:p w:rsidR="00644456" w:rsidRDefault="008031C4">
            <w:pPr>
              <w:widowControl/>
              <w:jc w:val="center"/>
              <w:rPr>
                <w:rFonts w:cs="Times New Roman"/>
                <w:color w:val="000000"/>
                <w:szCs w:val="21"/>
              </w:rPr>
            </w:pPr>
            <w:r>
              <w:rPr>
                <w:rFonts w:cs="Times New Roman"/>
                <w:color w:val="000000"/>
                <w:kern w:val="0"/>
                <w:szCs w:val="21"/>
                <w:lang w:bidi="ar"/>
              </w:rPr>
              <w:t>生态环境准入清单</w:t>
            </w:r>
            <w:r>
              <w:rPr>
                <w:rFonts w:cs="Times New Roman" w:hint="eastAsia"/>
                <w:color w:val="000000"/>
                <w:kern w:val="0"/>
                <w:szCs w:val="21"/>
                <w:lang w:bidi="ar"/>
              </w:rPr>
              <w:t>。</w:t>
            </w:r>
          </w:p>
        </w:tc>
        <w:tc>
          <w:tcPr>
            <w:tcW w:w="3544" w:type="dxa"/>
            <w:vAlign w:val="center"/>
          </w:tcPr>
          <w:p w:rsidR="00644456" w:rsidRDefault="008031C4">
            <w:pPr>
              <w:widowControl/>
              <w:jc w:val="center"/>
              <w:rPr>
                <w:rFonts w:cs="Times New Roman"/>
                <w:szCs w:val="21"/>
              </w:rPr>
            </w:pPr>
            <w:r>
              <w:rPr>
                <w:rFonts w:cs="Times New Roman"/>
                <w:kern w:val="0"/>
                <w:szCs w:val="21"/>
                <w:lang w:bidi="ar"/>
              </w:rPr>
              <w:t>本项目未列入《新疆重点生态功能区产业准入负面清单》中限制类和禁止</w:t>
            </w:r>
            <w:r>
              <w:rPr>
                <w:rFonts w:cs="Times New Roman"/>
                <w:kern w:val="0"/>
                <w:szCs w:val="21"/>
                <w:lang w:bidi="ar"/>
              </w:rPr>
              <w:lastRenderedPageBreak/>
              <w:t>类。</w:t>
            </w:r>
          </w:p>
        </w:tc>
        <w:tc>
          <w:tcPr>
            <w:tcW w:w="708" w:type="dxa"/>
            <w:vAlign w:val="center"/>
          </w:tcPr>
          <w:p w:rsidR="00644456" w:rsidRDefault="008031C4">
            <w:pPr>
              <w:widowControl/>
              <w:jc w:val="center"/>
              <w:rPr>
                <w:rFonts w:cs="Times New Roman"/>
                <w:color w:val="000000"/>
                <w:szCs w:val="21"/>
              </w:rPr>
            </w:pPr>
            <w:r>
              <w:rPr>
                <w:rFonts w:cs="Times New Roman"/>
                <w:color w:val="000000"/>
                <w:szCs w:val="21"/>
              </w:rPr>
              <w:lastRenderedPageBreak/>
              <w:t>符合</w:t>
            </w:r>
          </w:p>
        </w:tc>
      </w:tr>
    </w:tbl>
    <w:p w:rsidR="00644456" w:rsidRDefault="008031C4">
      <w:pPr>
        <w:pStyle w:val="affffffffc"/>
        <w:ind w:firstLine="482"/>
        <w:rPr>
          <w:rFonts w:cs="Times New Roman"/>
          <w:b/>
          <w:bCs/>
          <w:color w:val="000000" w:themeColor="text1"/>
        </w:rPr>
      </w:pPr>
      <w:r>
        <w:rPr>
          <w:rFonts w:cs="Times New Roman" w:hint="eastAsia"/>
          <w:b/>
          <w:bCs/>
          <w:color w:val="000000" w:themeColor="text1"/>
        </w:rPr>
        <w:t>综上，项目与《新疆维吾尔自治区“三线一单”生态环境分区管控方案》中的相关要求相符。</w:t>
      </w:r>
    </w:p>
    <w:p w:rsidR="00644456" w:rsidRDefault="008031C4">
      <w:pPr>
        <w:pStyle w:val="affffffffc"/>
        <w:ind w:firstLine="482"/>
        <w:rPr>
          <w:rFonts w:cs="Times New Roman"/>
          <w:b/>
          <w:bCs/>
          <w:color w:val="000000" w:themeColor="text1"/>
        </w:rPr>
      </w:pPr>
      <w:r>
        <w:rPr>
          <w:rFonts w:cs="Times New Roman" w:hint="eastAsia"/>
          <w:b/>
          <w:bCs/>
          <w:color w:val="000000" w:themeColor="text1"/>
        </w:rPr>
        <w:t>2</w:t>
      </w:r>
      <w:r>
        <w:rPr>
          <w:rFonts w:cs="Times New Roman" w:hint="eastAsia"/>
          <w:b/>
          <w:bCs/>
          <w:color w:val="000000" w:themeColor="text1"/>
        </w:rPr>
        <w:t>、与《新疆维吾尔自治区七大片区“三线一单”生态环境分区管控要求》（新政发〔</w:t>
      </w:r>
      <w:r>
        <w:rPr>
          <w:rFonts w:cs="Times New Roman" w:hint="eastAsia"/>
          <w:b/>
          <w:bCs/>
          <w:color w:val="000000" w:themeColor="text1"/>
        </w:rPr>
        <w:t>2021</w:t>
      </w:r>
      <w:r>
        <w:rPr>
          <w:rFonts w:cs="Times New Roman" w:hint="eastAsia"/>
          <w:b/>
          <w:bCs/>
          <w:color w:val="000000" w:themeColor="text1"/>
        </w:rPr>
        <w:t>〕</w:t>
      </w:r>
      <w:r>
        <w:rPr>
          <w:rFonts w:cs="Times New Roman" w:hint="eastAsia"/>
          <w:b/>
          <w:bCs/>
          <w:color w:val="000000" w:themeColor="text1"/>
        </w:rPr>
        <w:t>162</w:t>
      </w:r>
      <w:r>
        <w:rPr>
          <w:rFonts w:cs="Times New Roman" w:hint="eastAsia"/>
          <w:b/>
          <w:bCs/>
          <w:color w:val="000000" w:themeColor="text1"/>
        </w:rPr>
        <w:t>号）的符合性分析</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1-1</w:t>
      </w:r>
      <w:r>
        <w:rPr>
          <w:rFonts w:ascii="Times New Roman" w:eastAsia="宋体" w:hAnsi="Times New Roman" w:cs="Times New Roman"/>
          <w:b/>
          <w:color w:val="000000" w:themeColor="text1"/>
          <w:sz w:val="24"/>
        </w:rPr>
        <w:t>8</w:t>
      </w:r>
      <w:r>
        <w:rPr>
          <w:rFonts w:ascii="Times New Roman" w:eastAsia="宋体" w:hAnsi="Times New Roman" w:cs="Times New Roman" w:hint="eastAsia"/>
          <w:b/>
          <w:color w:val="000000" w:themeColor="text1"/>
          <w:sz w:val="24"/>
        </w:rPr>
        <w:t>新疆维吾尔自治区七大片区“三线一单”符合性分析一览表</w:t>
      </w:r>
    </w:p>
    <w:tbl>
      <w:tblPr>
        <w:tblStyle w:val="affff4"/>
        <w:tblW w:w="0" w:type="auto"/>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09"/>
        <w:gridCol w:w="3969"/>
        <w:gridCol w:w="2977"/>
        <w:gridCol w:w="855"/>
      </w:tblGrid>
      <w:tr w:rsidR="00644456">
        <w:trPr>
          <w:trHeight w:val="89"/>
          <w:jc w:val="center"/>
        </w:trPr>
        <w:tc>
          <w:tcPr>
            <w:tcW w:w="4678" w:type="dxa"/>
            <w:gridSpan w:val="2"/>
            <w:vAlign w:val="center"/>
          </w:tcPr>
          <w:p w:rsidR="00644456" w:rsidRDefault="008031C4">
            <w:pPr>
              <w:widowControl/>
              <w:jc w:val="center"/>
              <w:rPr>
                <w:rFonts w:cs="Times New Roman"/>
                <w:b/>
                <w:bCs/>
                <w:color w:val="000000"/>
                <w:szCs w:val="21"/>
              </w:rPr>
            </w:pPr>
            <w:r>
              <w:rPr>
                <w:rFonts w:cs="Times New Roman"/>
                <w:b/>
                <w:bCs/>
                <w:color w:val="000000"/>
                <w:szCs w:val="21"/>
              </w:rPr>
              <w:t>内容</w:t>
            </w:r>
          </w:p>
        </w:tc>
        <w:tc>
          <w:tcPr>
            <w:tcW w:w="2977" w:type="dxa"/>
            <w:vAlign w:val="center"/>
          </w:tcPr>
          <w:p w:rsidR="00644456" w:rsidRDefault="008031C4">
            <w:pPr>
              <w:widowControl/>
              <w:jc w:val="center"/>
              <w:rPr>
                <w:rFonts w:cs="Times New Roman"/>
                <w:b/>
                <w:bCs/>
                <w:color w:val="000000"/>
                <w:szCs w:val="21"/>
              </w:rPr>
            </w:pPr>
            <w:r>
              <w:rPr>
                <w:rFonts w:cs="Times New Roman"/>
                <w:b/>
                <w:bCs/>
                <w:color w:val="000000"/>
                <w:szCs w:val="21"/>
              </w:rPr>
              <w:t>本项目工程概况</w:t>
            </w:r>
          </w:p>
        </w:tc>
        <w:tc>
          <w:tcPr>
            <w:tcW w:w="855" w:type="dxa"/>
            <w:vAlign w:val="center"/>
          </w:tcPr>
          <w:p w:rsidR="00644456" w:rsidRDefault="008031C4">
            <w:pPr>
              <w:widowControl/>
              <w:jc w:val="center"/>
              <w:rPr>
                <w:rFonts w:cs="Times New Roman"/>
                <w:b/>
                <w:bCs/>
                <w:color w:val="000000"/>
                <w:szCs w:val="21"/>
              </w:rPr>
            </w:pPr>
            <w:r>
              <w:rPr>
                <w:rFonts w:cs="Times New Roman"/>
                <w:b/>
                <w:bCs/>
                <w:color w:val="000000"/>
                <w:szCs w:val="21"/>
              </w:rPr>
              <w:t>符合性</w:t>
            </w:r>
          </w:p>
        </w:tc>
      </w:tr>
      <w:tr w:rsidR="00644456">
        <w:trPr>
          <w:trHeight w:val="338"/>
          <w:jc w:val="center"/>
        </w:trPr>
        <w:tc>
          <w:tcPr>
            <w:tcW w:w="709" w:type="dxa"/>
            <w:vAlign w:val="center"/>
          </w:tcPr>
          <w:p w:rsidR="00644456" w:rsidRDefault="008031C4">
            <w:pPr>
              <w:widowControl/>
              <w:jc w:val="center"/>
              <w:rPr>
                <w:rFonts w:cs="Times New Roman"/>
                <w:color w:val="000000"/>
                <w:szCs w:val="21"/>
              </w:rPr>
            </w:pPr>
            <w:r>
              <w:rPr>
                <w:rFonts w:cs="Times New Roman"/>
                <w:color w:val="000000"/>
                <w:kern w:val="0"/>
                <w:szCs w:val="21"/>
                <w:lang w:bidi="ar"/>
              </w:rPr>
              <w:t>空间</w:t>
            </w:r>
          </w:p>
          <w:p w:rsidR="00644456" w:rsidRDefault="008031C4">
            <w:pPr>
              <w:widowControl/>
              <w:jc w:val="center"/>
              <w:rPr>
                <w:rFonts w:cs="Times New Roman"/>
                <w:color w:val="000000"/>
                <w:szCs w:val="21"/>
              </w:rPr>
            </w:pPr>
            <w:r>
              <w:rPr>
                <w:rFonts w:cs="Times New Roman"/>
                <w:color w:val="000000"/>
                <w:kern w:val="0"/>
                <w:szCs w:val="21"/>
                <w:lang w:bidi="ar"/>
              </w:rPr>
              <w:t>布局</w:t>
            </w:r>
          </w:p>
          <w:p w:rsidR="00644456" w:rsidRDefault="008031C4">
            <w:pPr>
              <w:widowControl/>
              <w:jc w:val="center"/>
              <w:rPr>
                <w:rFonts w:cs="Times New Roman"/>
                <w:color w:val="000000"/>
                <w:szCs w:val="21"/>
              </w:rPr>
            </w:pPr>
            <w:r>
              <w:rPr>
                <w:rFonts w:cs="Times New Roman"/>
                <w:color w:val="000000"/>
                <w:kern w:val="0"/>
                <w:szCs w:val="21"/>
                <w:lang w:bidi="ar"/>
              </w:rPr>
              <w:t>约束</w:t>
            </w:r>
          </w:p>
        </w:tc>
        <w:tc>
          <w:tcPr>
            <w:tcW w:w="3969" w:type="dxa"/>
            <w:vAlign w:val="center"/>
          </w:tcPr>
          <w:p w:rsidR="00644456" w:rsidRDefault="008031C4">
            <w:pPr>
              <w:widowControl/>
              <w:jc w:val="center"/>
              <w:rPr>
                <w:rFonts w:cs="Times New Roman"/>
                <w:color w:val="000000"/>
                <w:szCs w:val="21"/>
              </w:rPr>
            </w:pPr>
            <w:r>
              <w:rPr>
                <w:rFonts w:cs="Times New Roman"/>
                <w:color w:val="000000"/>
                <w:kern w:val="0"/>
                <w:szCs w:val="21"/>
                <w:lang w:bidi="ar"/>
              </w:rPr>
              <w:t>严格执行国家、自治区产业政策和环境准入要求，严禁</w:t>
            </w:r>
            <w:r>
              <w:rPr>
                <w:rFonts w:cs="Times New Roman"/>
                <w:color w:val="000000"/>
                <w:kern w:val="0"/>
                <w:szCs w:val="21"/>
                <w:lang w:bidi="ar"/>
              </w:rPr>
              <w:t>“</w:t>
            </w:r>
            <w:r>
              <w:rPr>
                <w:rFonts w:cs="Times New Roman"/>
                <w:color w:val="000000"/>
                <w:kern w:val="0"/>
                <w:szCs w:val="21"/>
                <w:lang w:bidi="ar"/>
              </w:rPr>
              <w:t>三高</w:t>
            </w:r>
            <w:r>
              <w:rPr>
                <w:rFonts w:cs="Times New Roman"/>
                <w:color w:val="000000"/>
                <w:kern w:val="0"/>
                <w:szCs w:val="21"/>
                <w:lang w:bidi="ar"/>
              </w:rPr>
              <w:t>”</w:t>
            </w:r>
            <w:r>
              <w:rPr>
                <w:rFonts w:cs="Times New Roman"/>
                <w:color w:val="000000"/>
                <w:kern w:val="0"/>
                <w:szCs w:val="21"/>
                <w:lang w:bidi="ar"/>
              </w:rPr>
              <w:t>项目进新疆，坚决遏制</w:t>
            </w:r>
            <w:r>
              <w:rPr>
                <w:rFonts w:cs="Times New Roman"/>
                <w:color w:val="000000"/>
                <w:kern w:val="0"/>
                <w:szCs w:val="21"/>
                <w:lang w:bidi="ar"/>
              </w:rPr>
              <w:t>“</w:t>
            </w:r>
            <w:r>
              <w:rPr>
                <w:rFonts w:cs="Times New Roman"/>
                <w:color w:val="000000"/>
                <w:kern w:val="0"/>
                <w:szCs w:val="21"/>
                <w:lang w:bidi="ar"/>
              </w:rPr>
              <w:t>两高</w:t>
            </w:r>
            <w:r>
              <w:rPr>
                <w:rFonts w:cs="Times New Roman"/>
                <w:color w:val="000000"/>
                <w:kern w:val="0"/>
                <w:szCs w:val="21"/>
                <w:lang w:bidi="ar"/>
              </w:rPr>
              <w:t>”</w:t>
            </w:r>
            <w:r>
              <w:rPr>
                <w:rFonts w:cs="Times New Roman"/>
                <w:color w:val="000000"/>
                <w:kern w:val="0"/>
                <w:szCs w:val="21"/>
                <w:lang w:bidi="ar"/>
              </w:rPr>
              <w:t>项目盲目发展。不得在水源涵养区、饮用水水源保护区内和河流、湖泊、水库周围建设重化工、涉重金属等工业污染项目。</w:t>
            </w:r>
          </w:p>
        </w:tc>
        <w:tc>
          <w:tcPr>
            <w:tcW w:w="2977" w:type="dxa"/>
            <w:vAlign w:val="center"/>
          </w:tcPr>
          <w:p w:rsidR="00644456" w:rsidRDefault="008031C4">
            <w:pPr>
              <w:widowControl/>
              <w:jc w:val="center"/>
              <w:rPr>
                <w:rFonts w:cs="Times New Roman"/>
                <w:color w:val="000000"/>
                <w:szCs w:val="21"/>
              </w:rPr>
            </w:pPr>
            <w:r>
              <w:rPr>
                <w:rFonts w:cs="Times New Roman"/>
                <w:color w:val="000000"/>
                <w:kern w:val="0"/>
                <w:szCs w:val="21"/>
                <w:lang w:bidi="ar"/>
              </w:rPr>
              <w:t>本项目严格执行国家、自治区产业政策和环境准入要求</w:t>
            </w:r>
            <w:r>
              <w:rPr>
                <w:rFonts w:cs="Times New Roman" w:hint="eastAsia"/>
                <w:color w:val="000000"/>
                <w:kern w:val="0"/>
                <w:szCs w:val="21"/>
                <w:lang w:bidi="ar"/>
              </w:rPr>
              <w:t>；本项目属于</w:t>
            </w:r>
            <w:r>
              <w:rPr>
                <w:rFonts w:cs="Times New Roman"/>
                <w:color w:val="000000"/>
                <w:kern w:val="0"/>
                <w:szCs w:val="21"/>
                <w:lang w:bidi="ar"/>
              </w:rPr>
              <w:t>三高</w:t>
            </w:r>
            <w:r>
              <w:rPr>
                <w:rFonts w:cs="Times New Roman"/>
                <w:color w:val="000000"/>
                <w:kern w:val="0"/>
                <w:szCs w:val="21"/>
                <w:lang w:bidi="ar"/>
              </w:rPr>
              <w:t>”</w:t>
            </w:r>
            <w:r>
              <w:rPr>
                <w:rFonts w:cs="Times New Roman" w:hint="eastAsia"/>
                <w:color w:val="000000"/>
                <w:kern w:val="0"/>
                <w:szCs w:val="21"/>
                <w:lang w:bidi="ar"/>
              </w:rPr>
              <w:t>、</w:t>
            </w:r>
            <w:r>
              <w:rPr>
                <w:rFonts w:cs="Times New Roman"/>
                <w:color w:val="000000"/>
                <w:kern w:val="0"/>
                <w:szCs w:val="21"/>
                <w:lang w:bidi="ar"/>
              </w:rPr>
              <w:t>“</w:t>
            </w:r>
            <w:r>
              <w:rPr>
                <w:rFonts w:cs="Times New Roman"/>
                <w:color w:val="000000"/>
                <w:kern w:val="0"/>
                <w:szCs w:val="21"/>
                <w:lang w:bidi="ar"/>
              </w:rPr>
              <w:t>两高</w:t>
            </w:r>
            <w:r>
              <w:rPr>
                <w:rFonts w:cs="Times New Roman"/>
                <w:color w:val="000000"/>
                <w:kern w:val="0"/>
                <w:szCs w:val="21"/>
                <w:lang w:bidi="ar"/>
              </w:rPr>
              <w:t>”</w:t>
            </w:r>
            <w:r>
              <w:rPr>
                <w:rFonts w:cs="Times New Roman"/>
                <w:color w:val="000000"/>
                <w:kern w:val="0"/>
                <w:szCs w:val="21"/>
                <w:lang w:bidi="ar"/>
              </w:rPr>
              <w:t>；项目位于</w:t>
            </w:r>
            <w:r>
              <w:rPr>
                <w:rFonts w:cs="Times New Roman" w:hint="eastAsia"/>
                <w:color w:val="000000"/>
                <w:kern w:val="0"/>
                <w:szCs w:val="21"/>
                <w:lang w:bidi="ar"/>
              </w:rPr>
              <w:t>疏勒高新技术产业开发区</w:t>
            </w:r>
            <w:r>
              <w:rPr>
                <w:rFonts w:cs="Times New Roman"/>
                <w:color w:val="000000"/>
                <w:kern w:val="0"/>
                <w:szCs w:val="21"/>
                <w:lang w:bidi="ar"/>
              </w:rPr>
              <w:t>，项目区周边无水源涵养区、饮用水水源保护区内和河流、湖泊、水库等。</w:t>
            </w:r>
          </w:p>
        </w:tc>
        <w:tc>
          <w:tcPr>
            <w:tcW w:w="855" w:type="dxa"/>
            <w:vAlign w:val="center"/>
          </w:tcPr>
          <w:p w:rsidR="00644456" w:rsidRDefault="008031C4">
            <w:pPr>
              <w:widowControl/>
              <w:jc w:val="center"/>
              <w:rPr>
                <w:rFonts w:cs="Times New Roman"/>
                <w:color w:val="000000"/>
                <w:szCs w:val="21"/>
              </w:rPr>
            </w:pPr>
            <w:r>
              <w:rPr>
                <w:rFonts w:cs="Times New Roman"/>
                <w:color w:val="000000"/>
                <w:szCs w:val="21"/>
              </w:rPr>
              <w:t>符合</w:t>
            </w:r>
          </w:p>
        </w:tc>
      </w:tr>
      <w:tr w:rsidR="00644456">
        <w:trPr>
          <w:trHeight w:val="338"/>
          <w:jc w:val="center"/>
        </w:trPr>
        <w:tc>
          <w:tcPr>
            <w:tcW w:w="709" w:type="dxa"/>
            <w:vAlign w:val="center"/>
          </w:tcPr>
          <w:p w:rsidR="00644456" w:rsidRDefault="008031C4">
            <w:pPr>
              <w:widowControl/>
              <w:jc w:val="center"/>
              <w:rPr>
                <w:rFonts w:cs="Times New Roman"/>
                <w:color w:val="000000"/>
                <w:szCs w:val="21"/>
              </w:rPr>
            </w:pPr>
            <w:r>
              <w:rPr>
                <w:rFonts w:cs="Times New Roman"/>
                <w:color w:val="000000"/>
                <w:kern w:val="0"/>
                <w:szCs w:val="21"/>
                <w:lang w:bidi="ar"/>
              </w:rPr>
              <w:t>污染</w:t>
            </w:r>
          </w:p>
          <w:p w:rsidR="00644456" w:rsidRDefault="008031C4">
            <w:pPr>
              <w:widowControl/>
              <w:jc w:val="center"/>
              <w:rPr>
                <w:rFonts w:cs="Times New Roman"/>
                <w:color w:val="000000"/>
                <w:szCs w:val="21"/>
              </w:rPr>
            </w:pPr>
            <w:r>
              <w:rPr>
                <w:rFonts w:cs="Times New Roman"/>
                <w:color w:val="000000"/>
                <w:kern w:val="0"/>
                <w:szCs w:val="21"/>
                <w:lang w:bidi="ar"/>
              </w:rPr>
              <w:t>物排</w:t>
            </w:r>
          </w:p>
          <w:p w:rsidR="00644456" w:rsidRDefault="008031C4">
            <w:pPr>
              <w:widowControl/>
              <w:jc w:val="center"/>
              <w:rPr>
                <w:rFonts w:cs="Times New Roman"/>
                <w:color w:val="000000"/>
                <w:szCs w:val="21"/>
              </w:rPr>
            </w:pPr>
            <w:r>
              <w:rPr>
                <w:rFonts w:cs="Times New Roman"/>
                <w:color w:val="000000"/>
                <w:kern w:val="0"/>
                <w:szCs w:val="21"/>
                <w:lang w:bidi="ar"/>
              </w:rPr>
              <w:t>放管</w:t>
            </w:r>
          </w:p>
          <w:p w:rsidR="00644456" w:rsidRDefault="008031C4">
            <w:pPr>
              <w:widowControl/>
              <w:jc w:val="center"/>
              <w:rPr>
                <w:rFonts w:cs="Times New Roman"/>
                <w:color w:val="000000"/>
                <w:szCs w:val="21"/>
              </w:rPr>
            </w:pPr>
            <w:r>
              <w:rPr>
                <w:rFonts w:cs="Times New Roman"/>
                <w:color w:val="000000"/>
                <w:kern w:val="0"/>
                <w:szCs w:val="21"/>
                <w:lang w:bidi="ar"/>
              </w:rPr>
              <w:t>控</w:t>
            </w:r>
          </w:p>
        </w:tc>
        <w:tc>
          <w:tcPr>
            <w:tcW w:w="3969" w:type="dxa"/>
            <w:vAlign w:val="center"/>
          </w:tcPr>
          <w:p w:rsidR="00644456" w:rsidRDefault="008031C4">
            <w:pPr>
              <w:widowControl/>
              <w:jc w:val="center"/>
              <w:rPr>
                <w:rFonts w:cs="Times New Roman"/>
                <w:color w:val="000000"/>
                <w:kern w:val="0"/>
                <w:szCs w:val="21"/>
                <w:lang w:bidi="ar"/>
              </w:rPr>
            </w:pPr>
            <w:r>
              <w:rPr>
                <w:rFonts w:cs="Times New Roman"/>
                <w:color w:val="000000"/>
                <w:kern w:val="0"/>
                <w:szCs w:val="21"/>
                <w:lang w:bidi="ar"/>
              </w:rPr>
              <w:t>深入开展燃煤锅炉污染综合整治，深化工业炉窑综合治理。加强</w:t>
            </w:r>
            <w:r>
              <w:rPr>
                <w:rFonts w:cs="Times New Roman"/>
                <w:color w:val="000000"/>
                <w:kern w:val="0"/>
                <w:szCs w:val="21"/>
                <w:lang w:bidi="ar"/>
              </w:rPr>
              <w:t>“</w:t>
            </w:r>
            <w:r>
              <w:rPr>
                <w:rFonts w:cs="Times New Roman"/>
                <w:color w:val="000000"/>
                <w:kern w:val="0"/>
                <w:szCs w:val="21"/>
                <w:lang w:bidi="ar"/>
              </w:rPr>
              <w:t>散乱污</w:t>
            </w:r>
            <w:r>
              <w:rPr>
                <w:rFonts w:cs="Times New Roman"/>
                <w:color w:val="000000"/>
                <w:kern w:val="0"/>
                <w:szCs w:val="21"/>
                <w:lang w:bidi="ar"/>
              </w:rPr>
              <w:t>”</w:t>
            </w:r>
            <w:r>
              <w:rPr>
                <w:rFonts w:cs="Times New Roman"/>
                <w:color w:val="000000"/>
                <w:kern w:val="0"/>
                <w:szCs w:val="21"/>
                <w:lang w:bidi="ar"/>
              </w:rPr>
              <w:t>企业综合整治。减少水污染物排放，持续改善水环境质量。不断提高工业用水重复利用率。</w:t>
            </w:r>
          </w:p>
        </w:tc>
        <w:tc>
          <w:tcPr>
            <w:tcW w:w="2977"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本项目不涉及燃煤锅炉，本项目废水经本项目处理达标后，进入园区生态钢城污水处理厂再次处理后，回用于园区道路清扫和绿化灌溉</w:t>
            </w:r>
          </w:p>
        </w:tc>
        <w:tc>
          <w:tcPr>
            <w:tcW w:w="855" w:type="dxa"/>
            <w:vAlign w:val="center"/>
          </w:tcPr>
          <w:p w:rsidR="00644456" w:rsidRDefault="008031C4">
            <w:pPr>
              <w:widowControl/>
              <w:jc w:val="center"/>
              <w:rPr>
                <w:rFonts w:cs="Times New Roman"/>
                <w:color w:val="000000"/>
                <w:szCs w:val="21"/>
              </w:rPr>
            </w:pPr>
            <w:r>
              <w:rPr>
                <w:rFonts w:cs="Times New Roman"/>
                <w:color w:val="000000"/>
                <w:szCs w:val="21"/>
              </w:rPr>
              <w:t>符合</w:t>
            </w:r>
          </w:p>
        </w:tc>
      </w:tr>
      <w:tr w:rsidR="00644456">
        <w:trPr>
          <w:trHeight w:val="338"/>
          <w:jc w:val="center"/>
        </w:trPr>
        <w:tc>
          <w:tcPr>
            <w:tcW w:w="709" w:type="dxa"/>
            <w:vAlign w:val="center"/>
          </w:tcPr>
          <w:p w:rsidR="00644456" w:rsidRDefault="008031C4">
            <w:pPr>
              <w:widowControl/>
              <w:jc w:val="center"/>
              <w:rPr>
                <w:rFonts w:cs="Times New Roman"/>
                <w:color w:val="000000"/>
                <w:szCs w:val="21"/>
              </w:rPr>
            </w:pPr>
            <w:r>
              <w:rPr>
                <w:rFonts w:cs="Times New Roman"/>
                <w:color w:val="000000"/>
                <w:kern w:val="0"/>
                <w:szCs w:val="21"/>
                <w:lang w:bidi="ar"/>
              </w:rPr>
              <w:t>环境</w:t>
            </w:r>
          </w:p>
          <w:p w:rsidR="00644456" w:rsidRDefault="008031C4">
            <w:pPr>
              <w:widowControl/>
              <w:jc w:val="center"/>
              <w:rPr>
                <w:rFonts w:cs="Times New Roman"/>
                <w:color w:val="000000"/>
                <w:szCs w:val="21"/>
              </w:rPr>
            </w:pPr>
            <w:r>
              <w:rPr>
                <w:rFonts w:cs="Times New Roman"/>
                <w:color w:val="000000"/>
                <w:kern w:val="0"/>
                <w:szCs w:val="21"/>
                <w:lang w:bidi="ar"/>
              </w:rPr>
              <w:t>风险</w:t>
            </w:r>
          </w:p>
          <w:p w:rsidR="00644456" w:rsidRDefault="008031C4">
            <w:pPr>
              <w:widowControl/>
              <w:jc w:val="center"/>
              <w:rPr>
                <w:rFonts w:cs="Times New Roman"/>
                <w:color w:val="000000"/>
                <w:kern w:val="0"/>
                <w:szCs w:val="21"/>
                <w:lang w:bidi="ar"/>
              </w:rPr>
            </w:pPr>
            <w:r>
              <w:rPr>
                <w:rFonts w:cs="Times New Roman"/>
                <w:color w:val="000000"/>
                <w:kern w:val="0"/>
                <w:szCs w:val="21"/>
                <w:lang w:bidi="ar"/>
              </w:rPr>
              <w:t>防控</w:t>
            </w:r>
          </w:p>
        </w:tc>
        <w:tc>
          <w:tcPr>
            <w:tcW w:w="3969" w:type="dxa"/>
            <w:vAlign w:val="center"/>
          </w:tcPr>
          <w:p w:rsidR="00644456" w:rsidRDefault="008031C4">
            <w:pPr>
              <w:widowControl/>
              <w:jc w:val="center"/>
              <w:rPr>
                <w:rFonts w:cs="Times New Roman"/>
                <w:color w:val="000000"/>
                <w:szCs w:val="21"/>
              </w:rPr>
            </w:pPr>
            <w:r>
              <w:rPr>
                <w:rFonts w:cs="Times New Roman"/>
                <w:color w:val="000000"/>
                <w:kern w:val="0"/>
                <w:szCs w:val="21"/>
                <w:lang w:bidi="ar"/>
              </w:rPr>
              <w:t>禁止在化工园区外新建、扩建危险化学品生产项目。严格落实危险废物处置相关要求。加强重点流域水环境风险管控，保障水环境安全。</w:t>
            </w:r>
          </w:p>
        </w:tc>
        <w:tc>
          <w:tcPr>
            <w:tcW w:w="2977" w:type="dxa"/>
            <w:vAlign w:val="center"/>
          </w:tcPr>
          <w:p w:rsidR="00644456" w:rsidRDefault="008031C4">
            <w:pPr>
              <w:widowControl/>
              <w:jc w:val="center"/>
              <w:rPr>
                <w:rFonts w:cs="Times New Roman"/>
                <w:color w:val="000000"/>
                <w:szCs w:val="21"/>
              </w:rPr>
            </w:pPr>
            <w:r>
              <w:rPr>
                <w:rFonts w:cs="Times New Roman" w:hint="eastAsia"/>
                <w:color w:val="000000"/>
                <w:szCs w:val="21"/>
              </w:rPr>
              <w:t>本项目属于化工项目，选址位于化工园区。</w:t>
            </w:r>
          </w:p>
        </w:tc>
        <w:tc>
          <w:tcPr>
            <w:tcW w:w="855" w:type="dxa"/>
            <w:vAlign w:val="center"/>
          </w:tcPr>
          <w:p w:rsidR="00644456" w:rsidRDefault="008031C4">
            <w:pPr>
              <w:widowControl/>
              <w:jc w:val="center"/>
              <w:rPr>
                <w:rFonts w:cs="Times New Roman"/>
                <w:color w:val="000000"/>
                <w:szCs w:val="21"/>
              </w:rPr>
            </w:pPr>
            <w:r>
              <w:rPr>
                <w:rFonts w:cs="Times New Roman"/>
                <w:color w:val="000000"/>
                <w:szCs w:val="21"/>
              </w:rPr>
              <w:t>符合</w:t>
            </w:r>
          </w:p>
        </w:tc>
      </w:tr>
      <w:tr w:rsidR="00644456">
        <w:trPr>
          <w:trHeight w:val="338"/>
          <w:jc w:val="center"/>
        </w:trPr>
        <w:tc>
          <w:tcPr>
            <w:tcW w:w="709" w:type="dxa"/>
            <w:vAlign w:val="center"/>
          </w:tcPr>
          <w:p w:rsidR="00644456" w:rsidRDefault="008031C4">
            <w:pPr>
              <w:widowControl/>
              <w:jc w:val="center"/>
              <w:rPr>
                <w:rFonts w:cs="Times New Roman"/>
                <w:color w:val="000000"/>
                <w:szCs w:val="21"/>
              </w:rPr>
            </w:pPr>
            <w:r>
              <w:rPr>
                <w:rFonts w:cs="Times New Roman"/>
                <w:color w:val="000000"/>
                <w:kern w:val="0"/>
                <w:szCs w:val="21"/>
                <w:lang w:bidi="ar"/>
              </w:rPr>
              <w:t>资源</w:t>
            </w:r>
          </w:p>
          <w:p w:rsidR="00644456" w:rsidRDefault="008031C4">
            <w:pPr>
              <w:widowControl/>
              <w:jc w:val="center"/>
              <w:rPr>
                <w:rFonts w:cs="Times New Roman"/>
                <w:color w:val="000000"/>
                <w:szCs w:val="21"/>
              </w:rPr>
            </w:pPr>
            <w:r>
              <w:rPr>
                <w:rFonts w:cs="Times New Roman"/>
                <w:color w:val="000000"/>
                <w:kern w:val="0"/>
                <w:szCs w:val="21"/>
                <w:lang w:bidi="ar"/>
              </w:rPr>
              <w:t>利用</w:t>
            </w:r>
          </w:p>
          <w:p w:rsidR="00644456" w:rsidRDefault="008031C4">
            <w:pPr>
              <w:widowControl/>
              <w:jc w:val="center"/>
              <w:rPr>
                <w:rFonts w:cs="Times New Roman"/>
                <w:color w:val="000000"/>
                <w:szCs w:val="21"/>
              </w:rPr>
            </w:pPr>
            <w:r>
              <w:rPr>
                <w:rFonts w:cs="Times New Roman"/>
                <w:color w:val="000000"/>
                <w:kern w:val="0"/>
                <w:szCs w:val="21"/>
                <w:lang w:bidi="ar"/>
              </w:rPr>
              <w:t>效率</w:t>
            </w:r>
          </w:p>
          <w:p w:rsidR="00644456" w:rsidRDefault="008031C4">
            <w:pPr>
              <w:widowControl/>
              <w:jc w:val="center"/>
              <w:rPr>
                <w:rFonts w:cs="Times New Roman"/>
                <w:color w:val="000000"/>
                <w:szCs w:val="21"/>
              </w:rPr>
            </w:pPr>
            <w:r>
              <w:rPr>
                <w:rFonts w:cs="Times New Roman"/>
                <w:color w:val="000000"/>
                <w:kern w:val="0"/>
                <w:szCs w:val="21"/>
                <w:lang w:bidi="ar"/>
              </w:rPr>
              <w:t>要求</w:t>
            </w:r>
          </w:p>
          <w:p w:rsidR="00644456" w:rsidRDefault="00644456">
            <w:pPr>
              <w:widowControl/>
              <w:jc w:val="center"/>
              <w:rPr>
                <w:rFonts w:cs="Times New Roman"/>
                <w:color w:val="000000"/>
                <w:kern w:val="0"/>
                <w:szCs w:val="21"/>
                <w:lang w:bidi="ar"/>
              </w:rPr>
            </w:pPr>
          </w:p>
        </w:tc>
        <w:tc>
          <w:tcPr>
            <w:tcW w:w="3969" w:type="dxa"/>
            <w:vAlign w:val="center"/>
          </w:tcPr>
          <w:p w:rsidR="00644456" w:rsidRDefault="008031C4">
            <w:pPr>
              <w:widowControl/>
              <w:jc w:val="center"/>
              <w:rPr>
                <w:rFonts w:cs="Times New Roman"/>
                <w:color w:val="000000"/>
                <w:szCs w:val="21"/>
              </w:rPr>
            </w:pPr>
            <w:r>
              <w:rPr>
                <w:rFonts w:cs="Times New Roman"/>
                <w:color w:val="000000"/>
                <w:kern w:val="0"/>
                <w:szCs w:val="21"/>
                <w:lang w:bidi="ar"/>
              </w:rPr>
              <w:t>优化能源结构，控制煤炭等化石能源使用量，鼓励使用清洁能源，协同推进减污降碳。全面实施节水工程，合理开发利用水资源，提升水资源利用效率，保障生态用水，严防地下水超采。</w:t>
            </w:r>
          </w:p>
        </w:tc>
        <w:tc>
          <w:tcPr>
            <w:tcW w:w="2977" w:type="dxa"/>
            <w:vAlign w:val="center"/>
          </w:tcPr>
          <w:p w:rsidR="00644456" w:rsidRDefault="008031C4">
            <w:pPr>
              <w:widowControl/>
              <w:jc w:val="center"/>
              <w:rPr>
                <w:rFonts w:cs="Times New Roman"/>
                <w:color w:val="000000"/>
                <w:szCs w:val="21"/>
              </w:rPr>
            </w:pPr>
            <w:r>
              <w:rPr>
                <w:rFonts w:cs="Times New Roman" w:hint="eastAsia"/>
                <w:color w:val="000000"/>
                <w:szCs w:val="21"/>
              </w:rPr>
              <w:t>本项目使用天然气、电能源，</w:t>
            </w:r>
            <w:r>
              <w:rPr>
                <w:rFonts w:cs="Times New Roman" w:hint="eastAsia"/>
                <w:color w:val="000000"/>
                <w:kern w:val="0"/>
                <w:szCs w:val="21"/>
                <w:lang w:bidi="ar"/>
              </w:rPr>
              <w:t>本项目废水经本项目处理达标后，进入园区生态钢城污水处理厂再次处理后，回用于园区道路清扫和绿化灌溉</w:t>
            </w:r>
          </w:p>
        </w:tc>
        <w:tc>
          <w:tcPr>
            <w:tcW w:w="855" w:type="dxa"/>
            <w:vAlign w:val="center"/>
          </w:tcPr>
          <w:p w:rsidR="00644456" w:rsidRDefault="008031C4">
            <w:pPr>
              <w:widowControl/>
              <w:jc w:val="center"/>
              <w:rPr>
                <w:rFonts w:cs="Times New Roman"/>
                <w:color w:val="000000"/>
                <w:szCs w:val="21"/>
              </w:rPr>
            </w:pPr>
            <w:r>
              <w:rPr>
                <w:rFonts w:cs="Times New Roman"/>
                <w:color w:val="000000"/>
                <w:szCs w:val="21"/>
              </w:rPr>
              <w:t>符合</w:t>
            </w:r>
          </w:p>
        </w:tc>
      </w:tr>
      <w:tr w:rsidR="00644456">
        <w:trPr>
          <w:trHeight w:val="338"/>
          <w:jc w:val="center"/>
        </w:trPr>
        <w:tc>
          <w:tcPr>
            <w:tcW w:w="709"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南疆三</w:t>
            </w:r>
          </w:p>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地州片</w:t>
            </w:r>
          </w:p>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区</w:t>
            </w:r>
          </w:p>
        </w:tc>
        <w:tc>
          <w:tcPr>
            <w:tcW w:w="3969" w:type="dxa"/>
            <w:vAlign w:val="center"/>
          </w:tcPr>
          <w:p w:rsidR="00644456" w:rsidRDefault="008031C4">
            <w:pPr>
              <w:widowControl/>
              <w:jc w:val="center"/>
              <w:rPr>
                <w:rFonts w:cs="Times New Roman"/>
                <w:color w:val="000000"/>
                <w:kern w:val="0"/>
                <w:szCs w:val="21"/>
                <w:lang w:bidi="ar"/>
              </w:rPr>
            </w:pPr>
            <w:r>
              <w:rPr>
                <w:rFonts w:cs="Times New Roman" w:hint="eastAsia"/>
                <w:color w:val="000000"/>
                <w:kern w:val="0"/>
                <w:szCs w:val="21"/>
                <w:lang w:bidi="ar"/>
              </w:rPr>
              <w:t>加强绿洲边缘生态保护与修复，统筹推进山水林田湖草沙治理，禁止樵采喀什三角洲荒漠、绿洲区荒漠植被，禁止砍伐玉龙喀什河、喀拉喀什河、叶尔羌河、和田河等河流沿岸天然林，保护绿洲和绿色走廊。控制东昆仑山一阿尔金山山前绿洲、叶尔羌河流域绿洲、和田河流域绿洲、喀什</w:t>
            </w:r>
            <w:r>
              <w:rPr>
                <w:rFonts w:cs="Times New Roman" w:hint="eastAsia"/>
                <w:color w:val="000000"/>
                <w:kern w:val="0"/>
                <w:szCs w:val="21"/>
                <w:lang w:bidi="ar"/>
              </w:rPr>
              <w:t>-</w:t>
            </w:r>
            <w:r>
              <w:rPr>
                <w:rFonts w:cs="Times New Roman" w:hint="eastAsia"/>
                <w:color w:val="000000"/>
                <w:kern w:val="0"/>
                <w:szCs w:val="21"/>
                <w:lang w:bidi="ar"/>
              </w:rPr>
              <w:t>阿图什绿洲的农业用水量，提高水土资源利用效率，大力推行节水改造，维护叶尔羌河、和田河等河流下游基本生态用水。</w:t>
            </w:r>
          </w:p>
        </w:tc>
        <w:tc>
          <w:tcPr>
            <w:tcW w:w="2977" w:type="dxa"/>
            <w:vAlign w:val="center"/>
          </w:tcPr>
          <w:p w:rsidR="00644456" w:rsidRDefault="008031C4">
            <w:pPr>
              <w:widowControl/>
              <w:jc w:val="center"/>
              <w:rPr>
                <w:rFonts w:cs="Times New Roman"/>
                <w:color w:val="000000"/>
                <w:szCs w:val="21"/>
              </w:rPr>
            </w:pPr>
            <w:r>
              <w:rPr>
                <w:rFonts w:cs="Times New Roman" w:hint="eastAsia"/>
                <w:color w:val="000000"/>
                <w:szCs w:val="21"/>
              </w:rPr>
              <w:t>本项目不涉及</w:t>
            </w:r>
          </w:p>
        </w:tc>
        <w:tc>
          <w:tcPr>
            <w:tcW w:w="855" w:type="dxa"/>
            <w:vAlign w:val="center"/>
          </w:tcPr>
          <w:p w:rsidR="00644456" w:rsidRDefault="008031C4">
            <w:pPr>
              <w:widowControl/>
              <w:jc w:val="center"/>
              <w:rPr>
                <w:rFonts w:cs="Times New Roman"/>
                <w:color w:val="000000"/>
                <w:szCs w:val="21"/>
              </w:rPr>
            </w:pPr>
            <w:r>
              <w:rPr>
                <w:rFonts w:cs="Times New Roman"/>
                <w:color w:val="000000"/>
                <w:szCs w:val="21"/>
              </w:rPr>
              <w:t>符合</w:t>
            </w:r>
          </w:p>
        </w:tc>
      </w:tr>
    </w:tbl>
    <w:p w:rsidR="00644456" w:rsidRDefault="008031C4">
      <w:pPr>
        <w:widowControl/>
        <w:adjustRightInd w:val="0"/>
        <w:snapToGrid w:val="0"/>
        <w:spacing w:line="360" w:lineRule="auto"/>
        <w:ind w:firstLineChars="200" w:firstLine="482"/>
        <w:jc w:val="left"/>
        <w:rPr>
          <w:rFonts w:cs="Times New Roman"/>
          <w:color w:val="000000"/>
          <w:sz w:val="24"/>
          <w:szCs w:val="24"/>
        </w:rPr>
      </w:pPr>
      <w:r>
        <w:rPr>
          <w:rFonts w:cs="Times New Roman" w:hint="eastAsia"/>
          <w:b/>
          <w:bCs/>
          <w:color w:val="000000"/>
          <w:kern w:val="0"/>
          <w:sz w:val="24"/>
          <w:szCs w:val="24"/>
          <w:lang w:bidi="ar"/>
        </w:rPr>
        <w:t>3</w:t>
      </w:r>
      <w:r>
        <w:rPr>
          <w:rFonts w:cs="Times New Roman" w:hint="eastAsia"/>
          <w:b/>
          <w:bCs/>
          <w:color w:val="000000"/>
          <w:kern w:val="0"/>
          <w:sz w:val="24"/>
          <w:szCs w:val="24"/>
          <w:lang w:bidi="ar"/>
        </w:rPr>
        <w:t>、</w:t>
      </w:r>
      <w:r>
        <w:rPr>
          <w:rFonts w:cs="Times New Roman" w:hint="eastAsia"/>
          <w:b/>
          <w:bCs/>
          <w:sz w:val="24"/>
        </w:rPr>
        <w:t>项目与《喀什地区“三线一单”生态环境分区管控方案》（</w:t>
      </w:r>
      <w:r>
        <w:rPr>
          <w:rFonts w:cs="Times New Roman" w:hint="eastAsia"/>
          <w:b/>
          <w:bCs/>
          <w:sz w:val="24"/>
        </w:rPr>
        <w:t>2023</w:t>
      </w:r>
      <w:r>
        <w:rPr>
          <w:rFonts w:cs="Times New Roman" w:hint="eastAsia"/>
          <w:b/>
          <w:bCs/>
          <w:sz w:val="24"/>
        </w:rPr>
        <w:t>年版）符合性</w:t>
      </w:r>
    </w:p>
    <w:p w:rsidR="00644456" w:rsidRDefault="008031C4">
      <w:pPr>
        <w:autoSpaceDE w:val="0"/>
        <w:autoSpaceDN w:val="0"/>
        <w:adjustRightInd w:val="0"/>
        <w:snapToGrid w:val="0"/>
        <w:spacing w:line="360" w:lineRule="auto"/>
        <w:ind w:firstLineChars="200" w:firstLine="480"/>
        <w:rPr>
          <w:rFonts w:cs="Times New Roman"/>
          <w:sz w:val="24"/>
        </w:rPr>
      </w:pPr>
      <w:r>
        <w:rPr>
          <w:rFonts w:cs="Times New Roman"/>
          <w:sz w:val="24"/>
        </w:rPr>
        <w:t>2024</w:t>
      </w:r>
      <w:r>
        <w:rPr>
          <w:rFonts w:cs="Times New Roman" w:hint="eastAsia"/>
          <w:sz w:val="24"/>
        </w:rPr>
        <w:t>年</w:t>
      </w:r>
      <w:r>
        <w:rPr>
          <w:rFonts w:cs="Times New Roman"/>
          <w:sz w:val="24"/>
        </w:rPr>
        <w:t>7</w:t>
      </w:r>
      <w:r>
        <w:rPr>
          <w:rFonts w:cs="Times New Roman" w:hint="eastAsia"/>
          <w:sz w:val="24"/>
        </w:rPr>
        <w:t>月</w:t>
      </w:r>
      <w:r>
        <w:rPr>
          <w:rFonts w:cs="Times New Roman"/>
          <w:sz w:val="24"/>
        </w:rPr>
        <w:t>26</w:t>
      </w:r>
      <w:r>
        <w:rPr>
          <w:rFonts w:cs="Times New Roman" w:hint="eastAsia"/>
          <w:sz w:val="24"/>
        </w:rPr>
        <w:t>日</w:t>
      </w:r>
      <w:r>
        <w:rPr>
          <w:rFonts w:cs="Times New Roman"/>
          <w:sz w:val="24"/>
        </w:rPr>
        <w:t> </w:t>
      </w:r>
      <w:r>
        <w:rPr>
          <w:rFonts w:cs="Times New Roman"/>
          <w:sz w:val="24"/>
        </w:rPr>
        <w:t>，</w:t>
      </w:r>
      <w:r>
        <w:rPr>
          <w:rFonts w:cs="Times New Roman" w:hint="eastAsia"/>
          <w:sz w:val="24"/>
        </w:rPr>
        <w:t>喀什地区生态环境局公布关于印发《喀什地区“三线一单”生态环境分区管控方案（</w:t>
      </w:r>
      <w:r>
        <w:rPr>
          <w:rFonts w:cs="Times New Roman" w:hint="eastAsia"/>
          <w:sz w:val="24"/>
        </w:rPr>
        <w:t>2023</w:t>
      </w:r>
      <w:r>
        <w:rPr>
          <w:rFonts w:cs="Times New Roman" w:hint="eastAsia"/>
          <w:sz w:val="24"/>
        </w:rPr>
        <w:t>年版）修改单》的通知</w:t>
      </w:r>
      <w:r>
        <w:rPr>
          <w:rFonts w:cs="Times New Roman"/>
          <w:sz w:val="24"/>
        </w:rPr>
        <w:t>，</w:t>
      </w:r>
      <w:r>
        <w:rPr>
          <w:rFonts w:cs="Times New Roman" w:hint="eastAsia"/>
          <w:sz w:val="24"/>
        </w:rPr>
        <w:t>将“（四）划分环境管控单元”中“喀什地区共划定</w:t>
      </w:r>
      <w:r>
        <w:rPr>
          <w:rFonts w:cs="Times New Roman" w:hint="eastAsia"/>
          <w:sz w:val="24"/>
        </w:rPr>
        <w:t>125</w:t>
      </w:r>
      <w:r>
        <w:rPr>
          <w:rFonts w:cs="Times New Roman" w:hint="eastAsia"/>
          <w:sz w:val="24"/>
        </w:rPr>
        <w:t>个环境管控单元，分为优先保护、重点管控和一般管控</w:t>
      </w:r>
      <w:r>
        <w:rPr>
          <w:rFonts w:cs="Times New Roman" w:hint="eastAsia"/>
          <w:sz w:val="24"/>
        </w:rPr>
        <w:lastRenderedPageBreak/>
        <w:t>三类”修改为“喀什地区共划定</w:t>
      </w:r>
      <w:r>
        <w:rPr>
          <w:rFonts w:cs="Times New Roman" w:hint="eastAsia"/>
          <w:sz w:val="24"/>
        </w:rPr>
        <w:t>116</w:t>
      </w:r>
      <w:r>
        <w:rPr>
          <w:rFonts w:cs="Times New Roman" w:hint="eastAsia"/>
          <w:sz w:val="24"/>
        </w:rPr>
        <w:t>个环境管控单元，分为优先保护、重点管控和一般管控三类”</w:t>
      </w:r>
      <w:r>
        <w:rPr>
          <w:rFonts w:cs="Times New Roman"/>
          <w:sz w:val="24"/>
        </w:rPr>
        <w:t>。</w:t>
      </w:r>
    </w:p>
    <w:p w:rsidR="00644456" w:rsidRDefault="008031C4">
      <w:pPr>
        <w:autoSpaceDE w:val="0"/>
        <w:autoSpaceDN w:val="0"/>
        <w:adjustRightInd w:val="0"/>
        <w:snapToGrid w:val="0"/>
        <w:spacing w:line="360" w:lineRule="auto"/>
        <w:ind w:firstLineChars="200" w:firstLine="482"/>
        <w:rPr>
          <w:rFonts w:cs="Times New Roman"/>
          <w:sz w:val="24"/>
        </w:rPr>
      </w:pPr>
      <w:r>
        <w:rPr>
          <w:rFonts w:cs="Times New Roman" w:hint="eastAsia"/>
          <w:b/>
          <w:bCs/>
          <w:sz w:val="24"/>
        </w:rPr>
        <w:t>本项目位于喀什地区疏勒县，本项目位于疏勒县重点管控单元（管控单元名称：疏勒高新技术产业开发区，管控单元类别：重点管控单元，管控单元编号：</w:t>
      </w:r>
      <w:r>
        <w:rPr>
          <w:rFonts w:cs="Times New Roman" w:hint="eastAsia"/>
          <w:b/>
          <w:bCs/>
          <w:sz w:val="24"/>
        </w:rPr>
        <w:t>ZH65312220009</w:t>
      </w:r>
      <w:r>
        <w:rPr>
          <w:rFonts w:cs="Times New Roman" w:hint="eastAsia"/>
          <w:b/>
          <w:bCs/>
          <w:sz w:val="24"/>
        </w:rPr>
        <w:t>），详见项目与喀什地区环境管控单元位置关系图，</w:t>
      </w:r>
      <w:r>
        <w:rPr>
          <w:rFonts w:cs="Times New Roman" w:hint="eastAsia"/>
          <w:sz w:val="24"/>
        </w:rPr>
        <w:t>与喀什地区生态环境准入清单相符性详见下表。</w:t>
      </w:r>
    </w:p>
    <w:p w:rsidR="00644456" w:rsidRDefault="008031C4">
      <w:pPr>
        <w:widowControl/>
        <w:adjustRightInd w:val="0"/>
        <w:snapToGrid w:val="0"/>
        <w:spacing w:line="360" w:lineRule="auto"/>
        <w:ind w:firstLineChars="200" w:firstLine="480"/>
        <w:jc w:val="left"/>
        <w:rPr>
          <w:rFonts w:cs="Times New Roman"/>
          <w:color w:val="000000"/>
          <w:sz w:val="24"/>
          <w:szCs w:val="24"/>
        </w:rPr>
      </w:pPr>
      <w:r>
        <w:rPr>
          <w:rFonts w:cs="Times New Roman"/>
          <w:color w:val="000000"/>
          <w:kern w:val="0"/>
          <w:sz w:val="24"/>
          <w:szCs w:val="24"/>
          <w:lang w:bidi="ar"/>
        </w:rPr>
        <w:t>本项目与其符合情况见下表</w:t>
      </w:r>
      <w:r>
        <w:rPr>
          <w:rFonts w:cs="Times New Roman"/>
          <w:color w:val="000000"/>
          <w:kern w:val="0"/>
          <w:sz w:val="24"/>
          <w:szCs w:val="24"/>
          <w:lang w:bidi="ar"/>
        </w:rPr>
        <w:t>1</w:t>
      </w:r>
      <w:r>
        <w:rPr>
          <w:rFonts w:cs="Times New Roman" w:hint="eastAsia"/>
          <w:color w:val="000000"/>
          <w:kern w:val="0"/>
          <w:sz w:val="24"/>
          <w:szCs w:val="24"/>
          <w:lang w:bidi="ar"/>
        </w:rPr>
        <w:t>.4</w:t>
      </w:r>
      <w:r>
        <w:rPr>
          <w:rFonts w:cs="Times New Roman"/>
          <w:color w:val="000000"/>
          <w:kern w:val="0"/>
          <w:sz w:val="24"/>
          <w:szCs w:val="24"/>
          <w:lang w:bidi="ar"/>
        </w:rPr>
        <w:t>-</w:t>
      </w:r>
      <w:r>
        <w:rPr>
          <w:rFonts w:cs="Times New Roman" w:hint="eastAsia"/>
          <w:color w:val="000000"/>
          <w:kern w:val="0"/>
          <w:sz w:val="24"/>
          <w:szCs w:val="24"/>
          <w:lang w:bidi="ar"/>
        </w:rPr>
        <w:t>1</w:t>
      </w:r>
      <w:r>
        <w:rPr>
          <w:rFonts w:cs="Times New Roman"/>
          <w:color w:val="000000"/>
          <w:kern w:val="0"/>
          <w:sz w:val="24"/>
          <w:szCs w:val="24"/>
          <w:lang w:bidi="ar"/>
        </w:rPr>
        <w:t>9</w:t>
      </w:r>
      <w:r>
        <w:rPr>
          <w:rFonts w:cs="Times New Roman"/>
          <w:color w:val="000000"/>
          <w:kern w:val="0"/>
          <w:sz w:val="24"/>
          <w:szCs w:val="24"/>
          <w:lang w:bidi="ar"/>
        </w:rPr>
        <w:t>。</w:t>
      </w:r>
    </w:p>
    <w:p w:rsidR="00644456" w:rsidRDefault="00644456">
      <w:pPr>
        <w:ind w:firstLine="562"/>
        <w:jc w:val="center"/>
        <w:rPr>
          <w:rFonts w:cs="Times New Roman"/>
          <w:color w:val="000000" w:themeColor="text1"/>
          <w:sz w:val="28"/>
        </w:rPr>
      </w:pPr>
    </w:p>
    <w:p w:rsidR="00644456" w:rsidRDefault="00644456">
      <w:pPr>
        <w:pStyle w:val="3f3"/>
        <w:adjustRightInd w:val="0"/>
        <w:snapToGrid w:val="0"/>
        <w:spacing w:line="240" w:lineRule="auto"/>
        <w:ind w:firstLineChars="0" w:firstLine="0"/>
        <w:jc w:val="center"/>
        <w:rPr>
          <w:rFonts w:ascii="Times New Roman" w:hAnsi="Times New Roman"/>
          <w:b/>
          <w:color w:val="000000" w:themeColor="text1"/>
        </w:rPr>
        <w:sectPr w:rsidR="00644456">
          <w:pgSz w:w="11906" w:h="16838"/>
          <w:pgMar w:top="1389" w:right="1588" w:bottom="1389" w:left="1588" w:header="851" w:footer="992" w:gutter="0"/>
          <w:pgNumType w:start="1"/>
          <w:cols w:space="720"/>
          <w:docGrid w:linePitch="312"/>
        </w:sectPr>
      </w:pP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lastRenderedPageBreak/>
        <w:t>表</w:t>
      </w:r>
      <w:r>
        <w:rPr>
          <w:rFonts w:ascii="Times New Roman" w:eastAsia="宋体" w:hAnsi="Times New Roman" w:cs="Times New Roman" w:hint="eastAsia"/>
          <w:b/>
          <w:color w:val="000000" w:themeColor="text1"/>
          <w:sz w:val="24"/>
        </w:rPr>
        <w:fldChar w:fldCharType="begin"/>
      </w:r>
      <w:r>
        <w:rPr>
          <w:rFonts w:ascii="Times New Roman" w:eastAsia="宋体" w:hAnsi="Times New Roman" w:cs="Times New Roman" w:hint="eastAsia"/>
          <w:b/>
          <w:color w:val="000000" w:themeColor="text1"/>
          <w:sz w:val="24"/>
        </w:rPr>
        <w:instrText xml:space="preserve"> STYLEREF 1 \s </w:instrText>
      </w:r>
      <w:r>
        <w:rPr>
          <w:rFonts w:ascii="Times New Roman" w:eastAsia="宋体" w:hAnsi="Times New Roman" w:cs="Times New Roman" w:hint="eastAsia"/>
          <w:b/>
          <w:color w:val="000000" w:themeColor="text1"/>
          <w:sz w:val="24"/>
        </w:rPr>
        <w:fldChar w:fldCharType="separate"/>
      </w:r>
      <w:r>
        <w:rPr>
          <w:rFonts w:ascii="Times New Roman" w:eastAsia="宋体" w:hAnsi="Times New Roman" w:cs="Times New Roman" w:hint="eastAsia"/>
          <w:b/>
          <w:color w:val="000000" w:themeColor="text1"/>
          <w:sz w:val="24"/>
        </w:rPr>
        <w:t>1</w:t>
      </w:r>
      <w:r>
        <w:rPr>
          <w:rFonts w:ascii="Times New Roman" w:eastAsia="宋体" w:hAnsi="Times New Roman" w:cs="Times New Roman" w:hint="eastAsia"/>
          <w:b/>
          <w:color w:val="000000" w:themeColor="text1"/>
          <w:sz w:val="24"/>
        </w:rPr>
        <w:fldChar w:fldCharType="end"/>
      </w:r>
      <w:r>
        <w:rPr>
          <w:rFonts w:ascii="Times New Roman" w:eastAsia="宋体" w:hAnsi="Times New Roman" w:cs="Times New Roman" w:hint="eastAsia"/>
          <w:b/>
          <w:color w:val="000000" w:themeColor="text1"/>
          <w:sz w:val="24"/>
        </w:rPr>
        <w:t>.4</w:t>
      </w:r>
      <w:r>
        <w:rPr>
          <w:rFonts w:ascii="Times New Roman" w:eastAsia="宋体" w:hAnsi="Times New Roman" w:cs="Times New Roman" w:hint="eastAsia"/>
          <w:b/>
          <w:color w:val="000000" w:themeColor="text1"/>
          <w:sz w:val="24"/>
        </w:rPr>
        <w:noBreakHyphen/>
        <w:t>1</w:t>
      </w:r>
      <w:r>
        <w:rPr>
          <w:rFonts w:ascii="Times New Roman" w:eastAsia="宋体" w:hAnsi="Times New Roman" w:cs="Times New Roman"/>
          <w:b/>
          <w:color w:val="000000" w:themeColor="text1"/>
          <w:sz w:val="24"/>
        </w:rPr>
        <w:t>9</w:t>
      </w:r>
      <w:r>
        <w:rPr>
          <w:rFonts w:ascii="Times New Roman" w:eastAsia="宋体" w:hAnsi="Times New Roman" w:cs="Times New Roman" w:hint="eastAsia"/>
          <w:b/>
          <w:color w:val="000000" w:themeColor="text1"/>
          <w:sz w:val="24"/>
        </w:rPr>
        <w:t>项目与《喀什地区“三线一单”生态环境分区管控方案》相关符合性分析表</w:t>
      </w:r>
    </w:p>
    <w:tbl>
      <w:tblPr>
        <w:tblW w:w="4999" w:type="pct"/>
        <w:jc w:val="center"/>
        <w:tblBorders>
          <w:top w:val="single" w:sz="12" w:space="0" w:color="auto"/>
          <w:bottom w:val="single" w:sz="12"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999"/>
        <w:gridCol w:w="6567"/>
        <w:gridCol w:w="714"/>
        <w:gridCol w:w="3712"/>
        <w:gridCol w:w="1572"/>
        <w:gridCol w:w="595"/>
      </w:tblGrid>
      <w:tr w:rsidR="00644456">
        <w:trPr>
          <w:trHeight w:val="340"/>
          <w:jc w:val="center"/>
        </w:trPr>
        <w:tc>
          <w:tcPr>
            <w:tcW w:w="353" w:type="pct"/>
            <w:vAlign w:val="center"/>
          </w:tcPr>
          <w:p w:rsidR="00644456" w:rsidRDefault="008031C4">
            <w:pPr>
              <w:widowControl/>
              <w:adjustRightInd w:val="0"/>
              <w:snapToGrid w:val="0"/>
              <w:spacing w:line="240" w:lineRule="atLeast"/>
              <w:jc w:val="center"/>
              <w:rPr>
                <w:rFonts w:cs="Times New Roman"/>
              </w:rPr>
            </w:pPr>
            <w:r>
              <w:rPr>
                <w:rFonts w:cs="Times New Roman"/>
              </w:rPr>
              <w:t>环境管控单元类别</w:t>
            </w:r>
          </w:p>
        </w:tc>
        <w:tc>
          <w:tcPr>
            <w:tcW w:w="2319" w:type="pct"/>
            <w:vAlign w:val="center"/>
          </w:tcPr>
          <w:p w:rsidR="00644456" w:rsidRDefault="008031C4">
            <w:pPr>
              <w:widowControl/>
              <w:adjustRightInd w:val="0"/>
              <w:snapToGrid w:val="0"/>
              <w:spacing w:line="240" w:lineRule="atLeast"/>
              <w:jc w:val="center"/>
              <w:rPr>
                <w:rFonts w:cs="Times New Roman"/>
              </w:rPr>
            </w:pPr>
            <w:r>
              <w:rPr>
                <w:rFonts w:cs="Times New Roman"/>
              </w:rPr>
              <w:t>单元特点及要素属性</w:t>
            </w:r>
          </w:p>
        </w:tc>
        <w:tc>
          <w:tcPr>
            <w:tcW w:w="1563" w:type="pct"/>
            <w:gridSpan w:val="2"/>
            <w:vAlign w:val="center"/>
          </w:tcPr>
          <w:p w:rsidR="00644456" w:rsidRDefault="008031C4">
            <w:pPr>
              <w:widowControl/>
              <w:adjustRightInd w:val="0"/>
              <w:snapToGrid w:val="0"/>
              <w:spacing w:line="240" w:lineRule="atLeast"/>
              <w:jc w:val="center"/>
              <w:rPr>
                <w:rFonts w:cs="Times New Roman"/>
              </w:rPr>
            </w:pPr>
            <w:r>
              <w:rPr>
                <w:rFonts w:cs="Times New Roman"/>
              </w:rPr>
              <w:t>管控要求</w:t>
            </w:r>
          </w:p>
        </w:tc>
        <w:tc>
          <w:tcPr>
            <w:tcW w:w="555" w:type="pct"/>
            <w:vAlign w:val="center"/>
          </w:tcPr>
          <w:p w:rsidR="00644456" w:rsidRDefault="008031C4">
            <w:pPr>
              <w:widowControl/>
              <w:adjustRightInd w:val="0"/>
              <w:snapToGrid w:val="0"/>
              <w:spacing w:line="240" w:lineRule="atLeast"/>
              <w:jc w:val="center"/>
              <w:rPr>
                <w:rFonts w:cs="Times New Roman"/>
              </w:rPr>
            </w:pPr>
            <w:r>
              <w:rPr>
                <w:rFonts w:cs="Times New Roman"/>
              </w:rPr>
              <w:t>本项目</w:t>
            </w:r>
          </w:p>
        </w:tc>
        <w:tc>
          <w:tcPr>
            <w:tcW w:w="210" w:type="pct"/>
            <w:vAlign w:val="center"/>
          </w:tcPr>
          <w:p w:rsidR="00644456" w:rsidRDefault="008031C4">
            <w:pPr>
              <w:widowControl/>
              <w:adjustRightInd w:val="0"/>
              <w:snapToGrid w:val="0"/>
              <w:spacing w:line="240" w:lineRule="atLeast"/>
              <w:jc w:val="center"/>
              <w:rPr>
                <w:rFonts w:cs="Times New Roman"/>
              </w:rPr>
            </w:pPr>
            <w:r>
              <w:rPr>
                <w:rFonts w:cs="Times New Roman"/>
              </w:rPr>
              <w:t>相符性</w:t>
            </w:r>
          </w:p>
        </w:tc>
      </w:tr>
      <w:tr w:rsidR="00644456">
        <w:trPr>
          <w:trHeight w:val="340"/>
          <w:jc w:val="center"/>
        </w:trPr>
        <w:tc>
          <w:tcPr>
            <w:tcW w:w="353" w:type="pct"/>
            <w:vMerge w:val="restart"/>
            <w:vAlign w:val="center"/>
          </w:tcPr>
          <w:p w:rsidR="00644456" w:rsidRDefault="008031C4">
            <w:pPr>
              <w:widowControl/>
              <w:adjustRightInd w:val="0"/>
              <w:snapToGrid w:val="0"/>
              <w:spacing w:line="240" w:lineRule="atLeast"/>
              <w:jc w:val="center"/>
              <w:rPr>
                <w:rFonts w:cs="Times New Roman"/>
              </w:rPr>
            </w:pPr>
            <w:bookmarkStart w:id="49" w:name="_Hlk164847973"/>
            <w:r>
              <w:rPr>
                <w:rFonts w:cs="Times New Roman"/>
              </w:rPr>
              <w:t>重点管控单元</w:t>
            </w:r>
            <w:r>
              <w:rPr>
                <w:rFonts w:cs="Times New Roman"/>
              </w:rPr>
              <w:t>ZH65420220002</w:t>
            </w:r>
          </w:p>
        </w:tc>
        <w:tc>
          <w:tcPr>
            <w:tcW w:w="2319" w:type="pct"/>
            <w:vAlign w:val="center"/>
          </w:tcPr>
          <w:p w:rsidR="00644456" w:rsidRDefault="008031C4">
            <w:pPr>
              <w:widowControl/>
              <w:adjustRightInd w:val="0"/>
              <w:snapToGrid w:val="0"/>
              <w:spacing w:line="240" w:lineRule="atLeast"/>
              <w:jc w:val="center"/>
              <w:rPr>
                <w:rFonts w:cs="Times New Roman"/>
              </w:rPr>
            </w:pPr>
            <w:r>
              <w:rPr>
                <w:rFonts w:cs="Times New Roman"/>
              </w:rPr>
              <w:t>单元特点：</w:t>
            </w:r>
            <w:r>
              <w:rPr>
                <w:rFonts w:cs="Times New Roman" w:hint="eastAsia"/>
              </w:rPr>
              <w:t>①该单元涉及疏勒高新技术产业开发区，其中包括南疆齐鲁工业园、山东物流园仓储贸易区、建材加工区和生态钢城产业园。②疏勒高新技术产业开发区重点发展：农副产品、建材加工、中医药加工、精细化工、物流商贸、机械加工、矿石冶炼、涉农产业、钢铁冶炼、仓储物流、新能源新材料制造、食品加</w:t>
            </w:r>
          </w:p>
          <w:p w:rsidR="00644456" w:rsidRDefault="008031C4">
            <w:pPr>
              <w:widowControl/>
              <w:adjustRightInd w:val="0"/>
              <w:snapToGrid w:val="0"/>
              <w:spacing w:line="240" w:lineRule="atLeast"/>
              <w:jc w:val="center"/>
              <w:rPr>
                <w:rFonts w:cs="Times New Roman"/>
              </w:rPr>
            </w:pPr>
            <w:r>
              <w:rPr>
                <w:rFonts w:cs="Times New Roman" w:hint="eastAsia"/>
              </w:rPr>
              <w:t>工、纺织服装、电子制造、塑料制品加工、钢铁精深加工、绿色有机食品制造、新型绿色建材、生物医药、装备制造、电子信息、临空经济、进口油气资源加工、化工新材料、再制造、科技服务业、软件和信息技术服务、节能环保服务、金融服务、商务及生活服务、畜禽产品加工、冷冻储藏、药品保健生产、污水处理、</w:t>
            </w:r>
          </w:p>
          <w:p w:rsidR="00644456" w:rsidRDefault="008031C4">
            <w:pPr>
              <w:widowControl/>
              <w:adjustRightInd w:val="0"/>
              <w:snapToGrid w:val="0"/>
              <w:spacing w:line="240" w:lineRule="atLeast"/>
              <w:jc w:val="center"/>
              <w:rPr>
                <w:rFonts w:cs="Times New Roman"/>
              </w:rPr>
            </w:pPr>
            <w:r>
              <w:rPr>
                <w:rFonts w:cs="Times New Roman" w:hint="eastAsia"/>
              </w:rPr>
              <w:t>轻工制造、装配式构件制造、塑胶制造等产业；③南疆齐鲁工业园涉及建设用地污染风险重点管控企业：新疆科健建材有限公司；④山东物流园仓储贸易区涉及建设用地污染风险重点管控企业：喀什天强建材有限公司；⑤建材加工区涉及建设用地污染风险重点管控企业：疏勒县西北润滑油科技有限公司（部分）。</w:t>
            </w:r>
          </w:p>
        </w:tc>
        <w:tc>
          <w:tcPr>
            <w:tcW w:w="252" w:type="pct"/>
            <w:vAlign w:val="center"/>
          </w:tcPr>
          <w:p w:rsidR="00644456" w:rsidRDefault="008031C4">
            <w:pPr>
              <w:widowControl/>
              <w:adjustRightInd w:val="0"/>
              <w:snapToGrid w:val="0"/>
              <w:spacing w:line="240" w:lineRule="atLeast"/>
              <w:jc w:val="center"/>
              <w:rPr>
                <w:rFonts w:cs="Times New Roman"/>
              </w:rPr>
            </w:pPr>
            <w:r>
              <w:rPr>
                <w:rFonts w:cs="Times New Roman"/>
              </w:rPr>
              <w:t>空间布局约束</w:t>
            </w:r>
          </w:p>
        </w:tc>
        <w:tc>
          <w:tcPr>
            <w:tcW w:w="1311" w:type="pct"/>
            <w:vAlign w:val="center"/>
          </w:tcPr>
          <w:p w:rsidR="00644456" w:rsidRDefault="008031C4">
            <w:pPr>
              <w:widowControl/>
              <w:adjustRightInd w:val="0"/>
              <w:snapToGrid w:val="0"/>
              <w:spacing w:line="240" w:lineRule="atLeast"/>
              <w:rPr>
                <w:rFonts w:cs="Times New Roman"/>
              </w:rPr>
            </w:pPr>
            <w:r>
              <w:rPr>
                <w:rFonts w:cs="Times New Roman" w:hint="eastAsia"/>
              </w:rPr>
              <w:t>1.</w:t>
            </w:r>
            <w:r>
              <w:rPr>
                <w:rFonts w:cs="Times New Roman" w:hint="eastAsia"/>
              </w:rPr>
              <w:t>执行喀什地区总体管控要求中“</w:t>
            </w:r>
            <w:r>
              <w:rPr>
                <w:rFonts w:cs="Times New Roman" w:hint="eastAsia"/>
              </w:rPr>
              <w:t>A1.3-1</w:t>
            </w:r>
            <w:r>
              <w:rPr>
                <w:rFonts w:cs="Times New Roman" w:hint="eastAsia"/>
              </w:rPr>
              <w:t>、</w:t>
            </w:r>
            <w:r>
              <w:rPr>
                <w:rFonts w:cs="Times New Roman" w:hint="eastAsia"/>
              </w:rPr>
              <w:t>A1.3-3</w:t>
            </w:r>
            <w:r>
              <w:rPr>
                <w:rFonts w:cs="Times New Roman" w:hint="eastAsia"/>
              </w:rPr>
              <w:t>、</w:t>
            </w:r>
            <w:r>
              <w:rPr>
                <w:rFonts w:cs="Times New Roman" w:hint="eastAsia"/>
              </w:rPr>
              <w:t>A1.3-7</w:t>
            </w:r>
            <w:r>
              <w:rPr>
                <w:rFonts w:cs="Times New Roman" w:hint="eastAsia"/>
              </w:rPr>
              <w:t>、</w:t>
            </w:r>
            <w:r>
              <w:rPr>
                <w:rFonts w:cs="Times New Roman" w:hint="eastAsia"/>
              </w:rPr>
              <w:t>A1.4-1</w:t>
            </w:r>
            <w:r>
              <w:rPr>
                <w:rFonts w:cs="Times New Roman" w:hint="eastAsia"/>
              </w:rPr>
              <w:t>、</w:t>
            </w:r>
          </w:p>
          <w:p w:rsidR="00644456" w:rsidRDefault="008031C4">
            <w:pPr>
              <w:widowControl/>
              <w:adjustRightInd w:val="0"/>
              <w:snapToGrid w:val="0"/>
              <w:spacing w:line="240" w:lineRule="atLeast"/>
              <w:rPr>
                <w:rFonts w:cs="Times New Roman"/>
              </w:rPr>
            </w:pPr>
            <w:r>
              <w:rPr>
                <w:rFonts w:cs="Times New Roman" w:hint="eastAsia"/>
              </w:rPr>
              <w:t>A1.4-2</w:t>
            </w:r>
            <w:r>
              <w:rPr>
                <w:rFonts w:cs="Times New Roman" w:hint="eastAsia"/>
              </w:rPr>
              <w:t>”的相关要求。</w:t>
            </w:r>
          </w:p>
          <w:p w:rsidR="00644456" w:rsidRDefault="008031C4">
            <w:pPr>
              <w:widowControl/>
              <w:adjustRightInd w:val="0"/>
              <w:snapToGrid w:val="0"/>
              <w:spacing w:line="240" w:lineRule="atLeast"/>
              <w:rPr>
                <w:rFonts w:cs="Times New Roman"/>
              </w:rPr>
            </w:pPr>
            <w:r>
              <w:rPr>
                <w:rFonts w:cs="Times New Roman" w:hint="eastAsia"/>
              </w:rPr>
              <w:t>2.</w:t>
            </w:r>
            <w:r>
              <w:rPr>
                <w:rFonts w:cs="Times New Roman" w:hint="eastAsia"/>
              </w:rPr>
              <w:t>执行喀什地区重点环境管控单元分类管控要求中“</w:t>
            </w:r>
            <w:r>
              <w:rPr>
                <w:rFonts w:cs="Times New Roman" w:hint="eastAsia"/>
              </w:rPr>
              <w:t>A1.3-8</w:t>
            </w:r>
            <w:r>
              <w:rPr>
                <w:rFonts w:cs="Times New Roman" w:hint="eastAsia"/>
              </w:rPr>
              <w:t>、</w:t>
            </w:r>
            <w:r>
              <w:rPr>
                <w:rFonts w:cs="Times New Roman" w:hint="eastAsia"/>
              </w:rPr>
              <w:t>A6.1-1</w:t>
            </w:r>
            <w:r>
              <w:rPr>
                <w:rFonts w:cs="Times New Roman" w:hint="eastAsia"/>
              </w:rPr>
              <w:t>、</w:t>
            </w:r>
          </w:p>
          <w:p w:rsidR="00644456" w:rsidRDefault="008031C4">
            <w:pPr>
              <w:widowControl/>
              <w:adjustRightInd w:val="0"/>
              <w:snapToGrid w:val="0"/>
              <w:spacing w:line="240" w:lineRule="atLeast"/>
              <w:rPr>
                <w:rFonts w:cs="Times New Roman"/>
              </w:rPr>
            </w:pPr>
            <w:r>
              <w:rPr>
                <w:rFonts w:cs="Times New Roman" w:hint="eastAsia"/>
              </w:rPr>
              <w:t>A6.1-3</w:t>
            </w:r>
            <w:r>
              <w:rPr>
                <w:rFonts w:cs="Times New Roman" w:hint="eastAsia"/>
              </w:rPr>
              <w:t>、</w:t>
            </w:r>
            <w:r>
              <w:rPr>
                <w:rFonts w:cs="Times New Roman" w:hint="eastAsia"/>
              </w:rPr>
              <w:t>A6.1-5</w:t>
            </w:r>
            <w:r>
              <w:rPr>
                <w:rFonts w:cs="Times New Roman" w:hint="eastAsia"/>
              </w:rPr>
              <w:t>”的相关要求。</w:t>
            </w:r>
          </w:p>
          <w:p w:rsidR="00644456" w:rsidRDefault="008031C4">
            <w:pPr>
              <w:widowControl/>
              <w:adjustRightInd w:val="0"/>
              <w:snapToGrid w:val="0"/>
              <w:spacing w:line="240" w:lineRule="atLeast"/>
              <w:rPr>
                <w:rFonts w:cs="Times New Roman"/>
              </w:rPr>
            </w:pPr>
            <w:r>
              <w:rPr>
                <w:rFonts w:cs="Times New Roman" w:hint="eastAsia"/>
              </w:rPr>
              <w:t>3.</w:t>
            </w:r>
            <w:r>
              <w:rPr>
                <w:rFonts w:cs="Times New Roman" w:hint="eastAsia"/>
              </w:rPr>
              <w:t>严格入园产业准入。坚持“以水定产、以水定量”，按照规划产业布局入驻企业，结合区域发展定位、开发布局、生态环境保护目标，实行入园企业环保准入审核制度，不符合产业政</w:t>
            </w:r>
            <w:r>
              <w:rPr>
                <w:rFonts w:cs="Times New Roman" w:hint="eastAsia"/>
              </w:rPr>
              <w:t>.</w:t>
            </w:r>
            <w:r>
              <w:rPr>
                <w:rFonts w:cs="Times New Roman" w:hint="eastAsia"/>
              </w:rPr>
              <w:t>策、行业准入条件、生态环境准入清单及自治区明令禁止的“三高”项目一律不得入驻园区。</w:t>
            </w:r>
          </w:p>
        </w:tc>
        <w:tc>
          <w:tcPr>
            <w:tcW w:w="555" w:type="pct"/>
            <w:vAlign w:val="center"/>
          </w:tcPr>
          <w:p w:rsidR="00644456" w:rsidRDefault="008031C4">
            <w:pPr>
              <w:widowControl/>
              <w:adjustRightInd w:val="0"/>
              <w:snapToGrid w:val="0"/>
              <w:spacing w:line="240" w:lineRule="atLeast"/>
              <w:jc w:val="center"/>
              <w:rPr>
                <w:rFonts w:cs="Times New Roman"/>
              </w:rPr>
            </w:pPr>
            <w:r>
              <w:rPr>
                <w:rFonts w:cs="Times New Roman"/>
              </w:rPr>
              <w:t>本项目</w:t>
            </w:r>
            <w:r>
              <w:rPr>
                <w:rFonts w:cs="Times New Roman"/>
                <w:szCs w:val="21"/>
              </w:rPr>
              <w:t>属于</w:t>
            </w:r>
            <w:r>
              <w:rPr>
                <w:rFonts w:cs="Times New Roman" w:hint="eastAsia"/>
                <w:szCs w:val="21"/>
              </w:rPr>
              <w:t>废矿物油再生</w:t>
            </w:r>
            <w:r>
              <w:rPr>
                <w:rFonts w:cs="Times New Roman"/>
                <w:szCs w:val="21"/>
              </w:rPr>
              <w:t>，</w:t>
            </w:r>
            <w:r>
              <w:rPr>
                <w:rFonts w:cs="Times New Roman"/>
              </w:rPr>
              <w:t>属于园区重点发展行业。</w:t>
            </w:r>
          </w:p>
        </w:tc>
        <w:tc>
          <w:tcPr>
            <w:tcW w:w="210" w:type="pct"/>
            <w:vAlign w:val="center"/>
          </w:tcPr>
          <w:p w:rsidR="00644456" w:rsidRDefault="008031C4">
            <w:pPr>
              <w:widowControl/>
              <w:adjustRightInd w:val="0"/>
              <w:snapToGrid w:val="0"/>
              <w:spacing w:line="240" w:lineRule="atLeast"/>
              <w:jc w:val="center"/>
              <w:rPr>
                <w:rFonts w:cs="Times New Roman"/>
              </w:rPr>
            </w:pPr>
            <w:r>
              <w:rPr>
                <w:rFonts w:cs="Times New Roman"/>
              </w:rPr>
              <w:t>相符</w:t>
            </w:r>
          </w:p>
        </w:tc>
      </w:tr>
      <w:tr w:rsidR="00644456">
        <w:trPr>
          <w:trHeight w:val="340"/>
          <w:jc w:val="center"/>
        </w:trPr>
        <w:tc>
          <w:tcPr>
            <w:tcW w:w="353" w:type="pct"/>
            <w:vMerge/>
            <w:vAlign w:val="center"/>
          </w:tcPr>
          <w:p w:rsidR="00644456" w:rsidRDefault="00644456">
            <w:pPr>
              <w:widowControl/>
              <w:adjustRightInd w:val="0"/>
              <w:snapToGrid w:val="0"/>
              <w:spacing w:line="240" w:lineRule="atLeast"/>
              <w:jc w:val="center"/>
              <w:rPr>
                <w:rFonts w:cs="Times New Roman"/>
              </w:rPr>
            </w:pPr>
          </w:p>
        </w:tc>
        <w:tc>
          <w:tcPr>
            <w:tcW w:w="2319" w:type="pct"/>
            <w:vMerge w:val="restart"/>
            <w:vAlign w:val="center"/>
          </w:tcPr>
          <w:p w:rsidR="00644456" w:rsidRDefault="008031C4">
            <w:pPr>
              <w:widowControl/>
              <w:adjustRightInd w:val="0"/>
              <w:snapToGrid w:val="0"/>
              <w:spacing w:line="240" w:lineRule="atLeast"/>
              <w:jc w:val="center"/>
              <w:rPr>
                <w:rFonts w:cs="Times New Roman"/>
              </w:rPr>
            </w:pPr>
            <w:r>
              <w:rPr>
                <w:rFonts w:cs="Times New Roman"/>
              </w:rPr>
              <w:t>要素属性：</w:t>
            </w:r>
            <w:r>
              <w:rPr>
                <w:rFonts w:cs="Times New Roman" w:hint="eastAsia"/>
              </w:rPr>
              <w:t>大气环境高排放重点管控区、水环境工业污染重点管控区（部分）、建设用地污染风险重点管控区（部分）</w:t>
            </w:r>
          </w:p>
        </w:tc>
        <w:tc>
          <w:tcPr>
            <w:tcW w:w="252" w:type="pct"/>
            <w:vAlign w:val="center"/>
          </w:tcPr>
          <w:p w:rsidR="00644456" w:rsidRDefault="008031C4">
            <w:pPr>
              <w:widowControl/>
              <w:adjustRightInd w:val="0"/>
              <w:snapToGrid w:val="0"/>
              <w:spacing w:line="240" w:lineRule="atLeast"/>
              <w:jc w:val="center"/>
              <w:rPr>
                <w:rFonts w:cs="Times New Roman"/>
              </w:rPr>
            </w:pPr>
            <w:r>
              <w:rPr>
                <w:rFonts w:cs="Times New Roman"/>
              </w:rPr>
              <w:t>污染物排放管控</w:t>
            </w:r>
          </w:p>
        </w:tc>
        <w:tc>
          <w:tcPr>
            <w:tcW w:w="1311" w:type="pct"/>
            <w:vAlign w:val="center"/>
          </w:tcPr>
          <w:p w:rsidR="00644456" w:rsidRDefault="008031C4">
            <w:pPr>
              <w:widowControl/>
              <w:adjustRightInd w:val="0"/>
              <w:snapToGrid w:val="0"/>
              <w:spacing w:line="240" w:lineRule="atLeast"/>
              <w:rPr>
                <w:rFonts w:cs="Times New Roman"/>
              </w:rPr>
            </w:pPr>
            <w:r>
              <w:rPr>
                <w:rFonts w:cs="Times New Roman" w:hint="eastAsia"/>
              </w:rPr>
              <w:t>1.</w:t>
            </w:r>
            <w:r>
              <w:rPr>
                <w:rFonts w:cs="Times New Roman" w:hint="eastAsia"/>
              </w:rPr>
              <w:t>执行喀什地区总体管控要求中“</w:t>
            </w:r>
            <w:r>
              <w:rPr>
                <w:rFonts w:cs="Times New Roman" w:hint="eastAsia"/>
              </w:rPr>
              <w:t>A2.1-1</w:t>
            </w:r>
            <w:r>
              <w:rPr>
                <w:rFonts w:cs="Times New Roman" w:hint="eastAsia"/>
              </w:rPr>
              <w:t>、</w:t>
            </w:r>
            <w:r>
              <w:rPr>
                <w:rFonts w:cs="Times New Roman" w:hint="eastAsia"/>
              </w:rPr>
              <w:t>A2.1-2</w:t>
            </w:r>
            <w:r>
              <w:rPr>
                <w:rFonts w:cs="Times New Roman" w:hint="eastAsia"/>
              </w:rPr>
              <w:t>、</w:t>
            </w:r>
            <w:r>
              <w:rPr>
                <w:rFonts w:cs="Times New Roman" w:hint="eastAsia"/>
              </w:rPr>
              <w:t>A2.1-3</w:t>
            </w:r>
            <w:r>
              <w:rPr>
                <w:rFonts w:cs="Times New Roman" w:hint="eastAsia"/>
              </w:rPr>
              <w:t>、</w:t>
            </w:r>
            <w:r>
              <w:rPr>
                <w:rFonts w:cs="Times New Roman" w:hint="eastAsia"/>
              </w:rPr>
              <w:t>A2.1-4</w:t>
            </w:r>
            <w:r>
              <w:rPr>
                <w:rFonts w:cs="Times New Roman" w:hint="eastAsia"/>
              </w:rPr>
              <w:t>、</w:t>
            </w:r>
          </w:p>
          <w:p w:rsidR="00644456" w:rsidRDefault="008031C4">
            <w:pPr>
              <w:widowControl/>
              <w:adjustRightInd w:val="0"/>
              <w:snapToGrid w:val="0"/>
              <w:spacing w:line="240" w:lineRule="atLeast"/>
              <w:rPr>
                <w:rFonts w:cs="Times New Roman"/>
              </w:rPr>
            </w:pPr>
            <w:r>
              <w:rPr>
                <w:rFonts w:cs="Times New Roman" w:hint="eastAsia"/>
              </w:rPr>
              <w:t>A2.1-5</w:t>
            </w:r>
            <w:r>
              <w:rPr>
                <w:rFonts w:cs="Times New Roman" w:hint="eastAsia"/>
              </w:rPr>
              <w:t>、</w:t>
            </w:r>
            <w:r>
              <w:rPr>
                <w:rFonts w:cs="Times New Roman" w:hint="eastAsia"/>
              </w:rPr>
              <w:t>A2.1-6</w:t>
            </w:r>
            <w:r>
              <w:rPr>
                <w:rFonts w:cs="Times New Roman" w:hint="eastAsia"/>
              </w:rPr>
              <w:t>、</w:t>
            </w:r>
            <w:r>
              <w:rPr>
                <w:rFonts w:cs="Times New Roman" w:hint="eastAsia"/>
              </w:rPr>
              <w:t>A2.1-7</w:t>
            </w:r>
            <w:r>
              <w:rPr>
                <w:rFonts w:cs="Times New Roman" w:hint="eastAsia"/>
              </w:rPr>
              <w:t>、</w:t>
            </w:r>
            <w:r>
              <w:rPr>
                <w:rFonts w:cs="Times New Roman" w:hint="eastAsia"/>
              </w:rPr>
              <w:t>A2.2-1</w:t>
            </w:r>
            <w:r>
              <w:rPr>
                <w:rFonts w:cs="Times New Roman" w:hint="eastAsia"/>
              </w:rPr>
              <w:t>、</w:t>
            </w:r>
            <w:r>
              <w:rPr>
                <w:rFonts w:cs="Times New Roman" w:hint="eastAsia"/>
              </w:rPr>
              <w:t>A2.3-1</w:t>
            </w:r>
            <w:r>
              <w:rPr>
                <w:rFonts w:cs="Times New Roman" w:hint="eastAsia"/>
              </w:rPr>
              <w:t>、</w:t>
            </w:r>
            <w:r>
              <w:rPr>
                <w:rFonts w:cs="Times New Roman" w:hint="eastAsia"/>
              </w:rPr>
              <w:t>A2.3-2</w:t>
            </w:r>
            <w:r>
              <w:rPr>
                <w:rFonts w:cs="Times New Roman" w:hint="eastAsia"/>
              </w:rPr>
              <w:t>、</w:t>
            </w:r>
            <w:r>
              <w:rPr>
                <w:rFonts w:cs="Times New Roman" w:hint="eastAsia"/>
              </w:rPr>
              <w:t>A2.3-9</w:t>
            </w:r>
            <w:r>
              <w:rPr>
                <w:rFonts w:cs="Times New Roman" w:hint="eastAsia"/>
              </w:rPr>
              <w:t>、</w:t>
            </w:r>
            <w:r>
              <w:rPr>
                <w:rFonts w:cs="Times New Roman" w:hint="eastAsia"/>
              </w:rPr>
              <w:t>A2.4-1</w:t>
            </w:r>
            <w:r>
              <w:rPr>
                <w:rFonts w:cs="Times New Roman" w:hint="eastAsia"/>
              </w:rPr>
              <w:t>、</w:t>
            </w:r>
          </w:p>
          <w:p w:rsidR="00644456" w:rsidRDefault="008031C4">
            <w:pPr>
              <w:widowControl/>
              <w:adjustRightInd w:val="0"/>
              <w:snapToGrid w:val="0"/>
              <w:spacing w:line="240" w:lineRule="atLeast"/>
              <w:rPr>
                <w:rFonts w:cs="Times New Roman"/>
              </w:rPr>
            </w:pPr>
            <w:r>
              <w:rPr>
                <w:rFonts w:cs="Times New Roman" w:hint="eastAsia"/>
              </w:rPr>
              <w:t>A2.4-4</w:t>
            </w:r>
            <w:r>
              <w:rPr>
                <w:rFonts w:cs="Times New Roman" w:hint="eastAsia"/>
              </w:rPr>
              <w:t>”的相关要求。</w:t>
            </w:r>
          </w:p>
          <w:p w:rsidR="00644456" w:rsidRDefault="008031C4">
            <w:pPr>
              <w:widowControl/>
              <w:adjustRightInd w:val="0"/>
              <w:snapToGrid w:val="0"/>
              <w:spacing w:line="240" w:lineRule="atLeast"/>
              <w:rPr>
                <w:rFonts w:cs="Times New Roman"/>
              </w:rPr>
            </w:pPr>
            <w:r>
              <w:rPr>
                <w:rFonts w:cs="Times New Roman" w:hint="eastAsia"/>
              </w:rPr>
              <w:t>2.</w:t>
            </w:r>
            <w:r>
              <w:rPr>
                <w:rFonts w:cs="Times New Roman" w:hint="eastAsia"/>
              </w:rPr>
              <w:t>执行喀什地区重点环境管控单元分类管控要求中“</w:t>
            </w:r>
            <w:r>
              <w:rPr>
                <w:rFonts w:cs="Times New Roman" w:hint="eastAsia"/>
              </w:rPr>
              <w:t>A6.2</w:t>
            </w:r>
            <w:r>
              <w:rPr>
                <w:rFonts w:cs="Times New Roman" w:hint="eastAsia"/>
              </w:rPr>
              <w:t>”的相关要求</w:t>
            </w:r>
          </w:p>
          <w:p w:rsidR="00644456" w:rsidRDefault="008031C4">
            <w:pPr>
              <w:widowControl/>
              <w:adjustRightInd w:val="0"/>
              <w:snapToGrid w:val="0"/>
              <w:spacing w:line="240" w:lineRule="atLeast"/>
              <w:rPr>
                <w:rFonts w:cs="Times New Roman"/>
              </w:rPr>
            </w:pPr>
            <w:r>
              <w:rPr>
                <w:rFonts w:cs="Times New Roman" w:hint="eastAsia"/>
              </w:rPr>
              <w:t>求。</w:t>
            </w:r>
          </w:p>
          <w:p w:rsidR="00644456" w:rsidRDefault="008031C4">
            <w:pPr>
              <w:widowControl/>
              <w:adjustRightInd w:val="0"/>
              <w:snapToGrid w:val="0"/>
              <w:spacing w:line="240" w:lineRule="atLeast"/>
              <w:rPr>
                <w:rFonts w:cs="Times New Roman"/>
              </w:rPr>
            </w:pPr>
            <w:r>
              <w:rPr>
                <w:rFonts w:cs="Times New Roman" w:hint="eastAsia"/>
              </w:rPr>
              <w:t>3.</w:t>
            </w:r>
            <w:r>
              <w:rPr>
                <w:rFonts w:cs="Times New Roman" w:hint="eastAsia"/>
              </w:rPr>
              <w:t>严禁园区企业将废水、废渣排入排孜阿瓦提河。</w:t>
            </w:r>
          </w:p>
          <w:p w:rsidR="00644456" w:rsidRDefault="008031C4">
            <w:pPr>
              <w:widowControl/>
              <w:adjustRightInd w:val="0"/>
              <w:snapToGrid w:val="0"/>
              <w:spacing w:line="240" w:lineRule="atLeast"/>
              <w:rPr>
                <w:rFonts w:cs="Times New Roman"/>
              </w:rPr>
            </w:pPr>
            <w:r>
              <w:rPr>
                <w:rFonts w:cs="Times New Roman" w:hint="eastAsia"/>
              </w:rPr>
              <w:t>4.</w:t>
            </w:r>
            <w:r>
              <w:rPr>
                <w:rFonts w:cs="Times New Roman" w:hint="eastAsia"/>
              </w:rPr>
              <w:t>最大限度实现污水资源化、提高中水回用量，减少环境排污量。</w:t>
            </w:r>
          </w:p>
          <w:p w:rsidR="00644456" w:rsidRDefault="008031C4">
            <w:pPr>
              <w:widowControl/>
              <w:adjustRightInd w:val="0"/>
              <w:snapToGrid w:val="0"/>
              <w:spacing w:line="240" w:lineRule="atLeast"/>
              <w:rPr>
                <w:rFonts w:cs="Times New Roman"/>
              </w:rPr>
            </w:pPr>
            <w:r>
              <w:rPr>
                <w:rFonts w:cs="Times New Roman" w:hint="eastAsia"/>
              </w:rPr>
              <w:t>5.</w:t>
            </w:r>
            <w:r>
              <w:rPr>
                <w:rFonts w:cs="Times New Roman" w:hint="eastAsia"/>
              </w:rPr>
              <w:t>推行工业废弃物和生活垃圾分类处</w:t>
            </w:r>
            <w:r>
              <w:rPr>
                <w:rFonts w:cs="Times New Roman" w:hint="eastAsia"/>
              </w:rPr>
              <w:lastRenderedPageBreak/>
              <w:t>理。</w:t>
            </w:r>
          </w:p>
          <w:p w:rsidR="00644456" w:rsidRDefault="008031C4">
            <w:pPr>
              <w:widowControl/>
              <w:adjustRightInd w:val="0"/>
              <w:snapToGrid w:val="0"/>
              <w:spacing w:line="240" w:lineRule="atLeast"/>
              <w:rPr>
                <w:rFonts w:cs="Times New Roman"/>
              </w:rPr>
            </w:pPr>
            <w:r>
              <w:rPr>
                <w:rFonts w:cs="Times New Roman" w:hint="eastAsia"/>
              </w:rPr>
              <w:t>6.</w:t>
            </w:r>
            <w:r>
              <w:rPr>
                <w:rFonts w:cs="Times New Roman" w:hint="eastAsia"/>
              </w:rPr>
              <w:t>严禁工业和城市污水直接灌溉农田，避免排污影响农田的土壤环境，</w:t>
            </w:r>
          </w:p>
          <w:p w:rsidR="00644456" w:rsidRDefault="008031C4">
            <w:pPr>
              <w:adjustRightInd w:val="0"/>
              <w:snapToGrid w:val="0"/>
              <w:spacing w:line="240" w:lineRule="atLeast"/>
              <w:rPr>
                <w:rFonts w:cs="Times New Roman"/>
              </w:rPr>
            </w:pPr>
            <w:r>
              <w:rPr>
                <w:rFonts w:cs="Times New Roman" w:hint="eastAsia"/>
              </w:rPr>
              <w:t>导致耕地质量下降。</w:t>
            </w:r>
          </w:p>
        </w:tc>
        <w:tc>
          <w:tcPr>
            <w:tcW w:w="555" w:type="pct"/>
            <w:vAlign w:val="center"/>
          </w:tcPr>
          <w:p w:rsidR="00644456" w:rsidRDefault="008031C4">
            <w:pPr>
              <w:widowControl/>
              <w:adjustRightInd w:val="0"/>
              <w:snapToGrid w:val="0"/>
              <w:spacing w:line="240" w:lineRule="atLeast"/>
              <w:jc w:val="center"/>
              <w:rPr>
                <w:rFonts w:cs="Times New Roman"/>
              </w:rPr>
            </w:pPr>
            <w:r>
              <w:rPr>
                <w:rFonts w:cs="Times New Roman"/>
              </w:rPr>
              <w:lastRenderedPageBreak/>
              <w:t>项目大气污染物经环保设施处理后达标排放；污水排入园区污水管网，最终由</w:t>
            </w:r>
            <w:r>
              <w:rPr>
                <w:rFonts w:cs="Times New Roman" w:hint="eastAsia"/>
              </w:rPr>
              <w:t>园区</w:t>
            </w:r>
            <w:r>
              <w:rPr>
                <w:rFonts w:cs="Times New Roman"/>
              </w:rPr>
              <w:t>污水处理厂处置，固体废物按要求收集和处置</w:t>
            </w:r>
          </w:p>
        </w:tc>
        <w:tc>
          <w:tcPr>
            <w:tcW w:w="210" w:type="pct"/>
            <w:vAlign w:val="center"/>
          </w:tcPr>
          <w:p w:rsidR="00644456" w:rsidRDefault="008031C4">
            <w:pPr>
              <w:widowControl/>
              <w:adjustRightInd w:val="0"/>
              <w:snapToGrid w:val="0"/>
              <w:spacing w:line="240" w:lineRule="atLeast"/>
              <w:jc w:val="center"/>
              <w:rPr>
                <w:rFonts w:cs="Times New Roman"/>
              </w:rPr>
            </w:pPr>
            <w:r>
              <w:rPr>
                <w:rFonts w:cs="Times New Roman"/>
              </w:rPr>
              <w:t>相符</w:t>
            </w:r>
          </w:p>
        </w:tc>
      </w:tr>
      <w:tr w:rsidR="00644456">
        <w:trPr>
          <w:trHeight w:val="340"/>
          <w:jc w:val="center"/>
        </w:trPr>
        <w:tc>
          <w:tcPr>
            <w:tcW w:w="353" w:type="pct"/>
            <w:vMerge/>
            <w:vAlign w:val="center"/>
          </w:tcPr>
          <w:p w:rsidR="00644456" w:rsidRDefault="00644456">
            <w:pPr>
              <w:widowControl/>
              <w:adjustRightInd w:val="0"/>
              <w:snapToGrid w:val="0"/>
              <w:spacing w:line="240" w:lineRule="atLeast"/>
              <w:jc w:val="center"/>
              <w:rPr>
                <w:rFonts w:cs="Times New Roman"/>
              </w:rPr>
            </w:pPr>
          </w:p>
        </w:tc>
        <w:tc>
          <w:tcPr>
            <w:tcW w:w="2319" w:type="pct"/>
            <w:vMerge/>
            <w:vAlign w:val="center"/>
          </w:tcPr>
          <w:p w:rsidR="00644456" w:rsidRDefault="00644456">
            <w:pPr>
              <w:widowControl/>
              <w:adjustRightInd w:val="0"/>
              <w:snapToGrid w:val="0"/>
              <w:spacing w:line="240" w:lineRule="atLeast"/>
              <w:jc w:val="center"/>
              <w:rPr>
                <w:rFonts w:cs="Times New Roman"/>
              </w:rPr>
            </w:pPr>
          </w:p>
        </w:tc>
        <w:tc>
          <w:tcPr>
            <w:tcW w:w="252" w:type="pct"/>
            <w:vAlign w:val="center"/>
          </w:tcPr>
          <w:p w:rsidR="00644456" w:rsidRDefault="008031C4">
            <w:pPr>
              <w:widowControl/>
              <w:adjustRightInd w:val="0"/>
              <w:snapToGrid w:val="0"/>
              <w:spacing w:line="240" w:lineRule="atLeast"/>
              <w:jc w:val="center"/>
              <w:rPr>
                <w:rFonts w:cs="Times New Roman"/>
              </w:rPr>
            </w:pPr>
            <w:r>
              <w:rPr>
                <w:rFonts w:cs="Times New Roman"/>
              </w:rPr>
              <w:t>环境风险防控</w:t>
            </w:r>
          </w:p>
        </w:tc>
        <w:tc>
          <w:tcPr>
            <w:tcW w:w="1311" w:type="pct"/>
            <w:vAlign w:val="center"/>
          </w:tcPr>
          <w:p w:rsidR="00644456" w:rsidRDefault="008031C4">
            <w:pPr>
              <w:adjustRightInd w:val="0"/>
              <w:snapToGrid w:val="0"/>
              <w:spacing w:line="240" w:lineRule="atLeast"/>
              <w:rPr>
                <w:rFonts w:cs="Times New Roman"/>
              </w:rPr>
            </w:pPr>
            <w:r>
              <w:rPr>
                <w:rFonts w:cs="Times New Roman" w:hint="eastAsia"/>
              </w:rPr>
              <w:t>1.</w:t>
            </w:r>
            <w:r>
              <w:rPr>
                <w:rFonts w:cs="Times New Roman" w:hint="eastAsia"/>
              </w:rPr>
              <w:t>执行喀什地区重点环境管控单元分类管控要求中“</w:t>
            </w:r>
            <w:r>
              <w:rPr>
                <w:rFonts w:cs="Times New Roman" w:hint="eastAsia"/>
              </w:rPr>
              <w:t>A6.3</w:t>
            </w:r>
            <w:r>
              <w:rPr>
                <w:rFonts w:cs="Times New Roman" w:hint="eastAsia"/>
              </w:rPr>
              <w:t>”的相关要求。</w:t>
            </w:r>
          </w:p>
          <w:p w:rsidR="00644456" w:rsidRDefault="008031C4">
            <w:pPr>
              <w:adjustRightInd w:val="0"/>
              <w:snapToGrid w:val="0"/>
              <w:spacing w:line="240" w:lineRule="atLeast"/>
              <w:rPr>
                <w:rFonts w:cs="Times New Roman"/>
              </w:rPr>
            </w:pPr>
            <w:r>
              <w:rPr>
                <w:rFonts w:cs="Times New Roman" w:hint="eastAsia"/>
              </w:rPr>
              <w:t>2.</w:t>
            </w:r>
            <w:r>
              <w:rPr>
                <w:rFonts w:cs="Times New Roman" w:hint="eastAsia"/>
              </w:rPr>
              <w:t>加强对工业企业废气排放的监控力度。</w:t>
            </w:r>
          </w:p>
          <w:p w:rsidR="00644456" w:rsidRDefault="008031C4">
            <w:pPr>
              <w:adjustRightInd w:val="0"/>
              <w:snapToGrid w:val="0"/>
              <w:spacing w:line="240" w:lineRule="atLeast"/>
              <w:rPr>
                <w:rFonts w:cs="Times New Roman"/>
              </w:rPr>
            </w:pPr>
            <w:r>
              <w:rPr>
                <w:rFonts w:cs="Times New Roman" w:hint="eastAsia"/>
              </w:rPr>
              <w:t>3.</w:t>
            </w:r>
            <w:r>
              <w:rPr>
                <w:rFonts w:cs="Times New Roman" w:hint="eastAsia"/>
              </w:rPr>
              <w:t>对建设用地污染风险重点管控企业及土壤环境影响较大的企业开展</w:t>
            </w:r>
          </w:p>
          <w:p w:rsidR="00644456" w:rsidRDefault="008031C4">
            <w:pPr>
              <w:adjustRightInd w:val="0"/>
              <w:snapToGrid w:val="0"/>
              <w:spacing w:line="240" w:lineRule="atLeast"/>
              <w:rPr>
                <w:rFonts w:cs="Times New Roman"/>
              </w:rPr>
            </w:pPr>
            <w:r>
              <w:rPr>
                <w:rFonts w:cs="Times New Roman" w:hint="eastAsia"/>
              </w:rPr>
              <w:t>土壤监督性监测工作，重点监测对环境影响较大的特征污染物。</w:t>
            </w:r>
          </w:p>
        </w:tc>
        <w:tc>
          <w:tcPr>
            <w:tcW w:w="555" w:type="pct"/>
            <w:vAlign w:val="center"/>
          </w:tcPr>
          <w:p w:rsidR="00644456" w:rsidRDefault="008031C4">
            <w:pPr>
              <w:widowControl/>
              <w:adjustRightInd w:val="0"/>
              <w:snapToGrid w:val="0"/>
              <w:spacing w:line="240" w:lineRule="atLeast"/>
              <w:jc w:val="center"/>
              <w:rPr>
                <w:rFonts w:cs="Times New Roman"/>
              </w:rPr>
            </w:pPr>
            <w:r>
              <w:rPr>
                <w:rFonts w:cs="Times New Roman" w:hint="eastAsia"/>
              </w:rPr>
              <w:t>建设单位</w:t>
            </w:r>
            <w:r>
              <w:rPr>
                <w:rFonts w:cs="Times New Roman"/>
              </w:rPr>
              <w:t>严格按照相关要求管理，项目</w:t>
            </w:r>
            <w:r>
              <w:rPr>
                <w:rFonts w:cs="Times New Roman" w:hint="eastAsia"/>
              </w:rPr>
              <w:t>建成按照</w:t>
            </w:r>
            <w:r>
              <w:rPr>
                <w:rFonts w:cs="Times New Roman"/>
              </w:rPr>
              <w:t>项目突发环境事件应急预案报告</w:t>
            </w:r>
            <w:r>
              <w:rPr>
                <w:rFonts w:cs="Times New Roman" w:hint="eastAsia"/>
              </w:rPr>
              <w:t>，强化风险防控工作</w:t>
            </w:r>
            <w:r>
              <w:rPr>
                <w:rFonts w:cs="Times New Roman"/>
              </w:rPr>
              <w:t>。</w:t>
            </w:r>
          </w:p>
        </w:tc>
        <w:tc>
          <w:tcPr>
            <w:tcW w:w="210" w:type="pct"/>
            <w:vAlign w:val="center"/>
          </w:tcPr>
          <w:p w:rsidR="00644456" w:rsidRDefault="008031C4">
            <w:pPr>
              <w:widowControl/>
              <w:adjustRightInd w:val="0"/>
              <w:snapToGrid w:val="0"/>
              <w:spacing w:line="240" w:lineRule="atLeast"/>
              <w:jc w:val="center"/>
              <w:rPr>
                <w:rFonts w:cs="Times New Roman"/>
              </w:rPr>
            </w:pPr>
            <w:r>
              <w:rPr>
                <w:rFonts w:cs="Times New Roman"/>
              </w:rPr>
              <w:t>相符</w:t>
            </w:r>
          </w:p>
        </w:tc>
      </w:tr>
      <w:tr w:rsidR="00644456">
        <w:trPr>
          <w:trHeight w:val="340"/>
          <w:jc w:val="center"/>
        </w:trPr>
        <w:tc>
          <w:tcPr>
            <w:tcW w:w="353" w:type="pct"/>
            <w:vMerge/>
            <w:vAlign w:val="center"/>
          </w:tcPr>
          <w:p w:rsidR="00644456" w:rsidRDefault="00644456">
            <w:pPr>
              <w:widowControl/>
              <w:adjustRightInd w:val="0"/>
              <w:snapToGrid w:val="0"/>
              <w:spacing w:line="240" w:lineRule="atLeast"/>
              <w:jc w:val="center"/>
              <w:rPr>
                <w:rFonts w:cs="Times New Roman"/>
              </w:rPr>
            </w:pPr>
          </w:p>
        </w:tc>
        <w:tc>
          <w:tcPr>
            <w:tcW w:w="2319" w:type="pct"/>
            <w:vMerge/>
            <w:vAlign w:val="center"/>
          </w:tcPr>
          <w:p w:rsidR="00644456" w:rsidRDefault="00644456">
            <w:pPr>
              <w:widowControl/>
              <w:adjustRightInd w:val="0"/>
              <w:snapToGrid w:val="0"/>
              <w:spacing w:line="240" w:lineRule="atLeast"/>
              <w:jc w:val="center"/>
              <w:rPr>
                <w:rFonts w:cs="Times New Roman"/>
              </w:rPr>
            </w:pPr>
          </w:p>
        </w:tc>
        <w:tc>
          <w:tcPr>
            <w:tcW w:w="252" w:type="pct"/>
            <w:vAlign w:val="center"/>
          </w:tcPr>
          <w:p w:rsidR="00644456" w:rsidRDefault="008031C4">
            <w:pPr>
              <w:widowControl/>
              <w:adjustRightInd w:val="0"/>
              <w:snapToGrid w:val="0"/>
              <w:spacing w:line="240" w:lineRule="atLeast"/>
              <w:jc w:val="center"/>
              <w:rPr>
                <w:rFonts w:cs="Times New Roman"/>
              </w:rPr>
            </w:pPr>
            <w:r>
              <w:rPr>
                <w:rFonts w:cs="Times New Roman"/>
              </w:rPr>
              <w:t>资源利用效率</w:t>
            </w:r>
          </w:p>
        </w:tc>
        <w:tc>
          <w:tcPr>
            <w:tcW w:w="1311" w:type="pct"/>
            <w:vAlign w:val="center"/>
          </w:tcPr>
          <w:p w:rsidR="00644456" w:rsidRDefault="008031C4">
            <w:pPr>
              <w:adjustRightInd w:val="0"/>
              <w:snapToGrid w:val="0"/>
              <w:spacing w:line="240" w:lineRule="atLeast"/>
              <w:rPr>
                <w:rFonts w:cs="Times New Roman"/>
              </w:rPr>
            </w:pPr>
            <w:r>
              <w:rPr>
                <w:rFonts w:cs="Times New Roman" w:hint="eastAsia"/>
              </w:rPr>
              <w:t>1.</w:t>
            </w:r>
            <w:r>
              <w:rPr>
                <w:rFonts w:cs="Times New Roman" w:hint="eastAsia"/>
              </w:rPr>
              <w:t>执行喀什地区总体管控要求中“</w:t>
            </w:r>
            <w:r>
              <w:rPr>
                <w:rFonts w:cs="Times New Roman" w:hint="eastAsia"/>
              </w:rPr>
              <w:t>A4.1-2</w:t>
            </w:r>
            <w:r>
              <w:rPr>
                <w:rFonts w:cs="Times New Roman" w:hint="eastAsia"/>
              </w:rPr>
              <w:t>、</w:t>
            </w:r>
            <w:r>
              <w:rPr>
                <w:rFonts w:cs="Times New Roman" w:hint="eastAsia"/>
              </w:rPr>
              <w:t>A4.2-2</w:t>
            </w:r>
            <w:r>
              <w:rPr>
                <w:rFonts w:cs="Times New Roman" w:hint="eastAsia"/>
              </w:rPr>
              <w:t>”的相关要求。</w:t>
            </w:r>
          </w:p>
          <w:p w:rsidR="00644456" w:rsidRDefault="008031C4">
            <w:pPr>
              <w:adjustRightInd w:val="0"/>
              <w:snapToGrid w:val="0"/>
              <w:spacing w:line="240" w:lineRule="atLeast"/>
              <w:rPr>
                <w:rFonts w:cs="Times New Roman"/>
              </w:rPr>
            </w:pPr>
            <w:r>
              <w:rPr>
                <w:rFonts w:cs="Times New Roman" w:hint="eastAsia"/>
              </w:rPr>
              <w:t>2.</w:t>
            </w:r>
            <w:r>
              <w:rPr>
                <w:rFonts w:cs="Times New Roman" w:hint="eastAsia"/>
              </w:rPr>
              <w:t>执行喀什地区重点环境管控单元分类管控要求中“</w:t>
            </w:r>
            <w:r>
              <w:rPr>
                <w:rFonts w:cs="Times New Roman" w:hint="eastAsia"/>
              </w:rPr>
              <w:t>A6.4</w:t>
            </w:r>
            <w:r>
              <w:rPr>
                <w:rFonts w:cs="Times New Roman" w:hint="eastAsia"/>
              </w:rPr>
              <w:t>”的相关要求。</w:t>
            </w:r>
          </w:p>
        </w:tc>
        <w:tc>
          <w:tcPr>
            <w:tcW w:w="555" w:type="pct"/>
            <w:vAlign w:val="center"/>
          </w:tcPr>
          <w:p w:rsidR="00644456" w:rsidRDefault="008031C4">
            <w:pPr>
              <w:widowControl/>
              <w:adjustRightInd w:val="0"/>
              <w:snapToGrid w:val="0"/>
              <w:spacing w:line="240" w:lineRule="atLeast"/>
              <w:jc w:val="center"/>
              <w:rPr>
                <w:rFonts w:cs="Times New Roman"/>
              </w:rPr>
            </w:pPr>
            <w:r>
              <w:rPr>
                <w:rFonts w:cs="Times New Roman"/>
              </w:rPr>
              <w:t>项目主要使用能源为电能、天然气，项目生产过程合理利用资源，最大程度提高资源利用率。</w:t>
            </w:r>
          </w:p>
        </w:tc>
        <w:tc>
          <w:tcPr>
            <w:tcW w:w="210" w:type="pct"/>
            <w:vAlign w:val="center"/>
          </w:tcPr>
          <w:p w:rsidR="00644456" w:rsidRDefault="008031C4">
            <w:pPr>
              <w:widowControl/>
              <w:adjustRightInd w:val="0"/>
              <w:snapToGrid w:val="0"/>
              <w:spacing w:line="240" w:lineRule="atLeast"/>
              <w:jc w:val="center"/>
              <w:rPr>
                <w:rFonts w:cs="Times New Roman"/>
              </w:rPr>
            </w:pPr>
            <w:r>
              <w:rPr>
                <w:rFonts w:cs="Times New Roman"/>
              </w:rPr>
              <w:t>相符</w:t>
            </w:r>
          </w:p>
        </w:tc>
      </w:tr>
    </w:tbl>
    <w:bookmarkEnd w:id="49"/>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fldChar w:fldCharType="begin"/>
      </w:r>
      <w:r>
        <w:rPr>
          <w:rFonts w:ascii="Times New Roman" w:eastAsia="宋体" w:hAnsi="Times New Roman" w:cs="Times New Roman" w:hint="eastAsia"/>
          <w:b/>
          <w:color w:val="000000" w:themeColor="text1"/>
          <w:sz w:val="24"/>
        </w:rPr>
        <w:instrText xml:space="preserve"> STYLEREF 1 \s </w:instrText>
      </w:r>
      <w:r>
        <w:rPr>
          <w:rFonts w:ascii="Times New Roman" w:eastAsia="宋体" w:hAnsi="Times New Roman" w:cs="Times New Roman" w:hint="eastAsia"/>
          <w:b/>
          <w:color w:val="000000" w:themeColor="text1"/>
          <w:sz w:val="24"/>
        </w:rPr>
        <w:fldChar w:fldCharType="separate"/>
      </w:r>
      <w:r>
        <w:rPr>
          <w:rFonts w:ascii="Times New Roman" w:eastAsia="宋体" w:hAnsi="Times New Roman" w:cs="Times New Roman" w:hint="eastAsia"/>
          <w:b/>
          <w:color w:val="000000" w:themeColor="text1"/>
          <w:sz w:val="24"/>
        </w:rPr>
        <w:t>1</w:t>
      </w:r>
      <w:r>
        <w:rPr>
          <w:rFonts w:ascii="Times New Roman" w:eastAsia="宋体" w:hAnsi="Times New Roman" w:cs="Times New Roman" w:hint="eastAsia"/>
          <w:b/>
          <w:color w:val="000000" w:themeColor="text1"/>
          <w:sz w:val="24"/>
        </w:rPr>
        <w:fldChar w:fldCharType="end"/>
      </w:r>
      <w:r>
        <w:rPr>
          <w:rFonts w:ascii="Times New Roman" w:eastAsia="宋体" w:hAnsi="Times New Roman" w:cs="Times New Roman" w:hint="eastAsia"/>
          <w:b/>
          <w:color w:val="000000" w:themeColor="text1"/>
          <w:sz w:val="24"/>
        </w:rPr>
        <w:t>.4</w:t>
      </w:r>
      <w:r>
        <w:rPr>
          <w:rFonts w:ascii="Times New Roman" w:eastAsia="宋体" w:hAnsi="Times New Roman" w:cs="Times New Roman" w:hint="eastAsia"/>
          <w:b/>
          <w:color w:val="000000" w:themeColor="text1"/>
          <w:sz w:val="24"/>
        </w:rPr>
        <w:noBreakHyphen/>
      </w:r>
      <w:r>
        <w:rPr>
          <w:rFonts w:ascii="Times New Roman" w:eastAsia="宋体" w:hAnsi="Times New Roman" w:cs="Times New Roman"/>
          <w:b/>
          <w:color w:val="000000" w:themeColor="text1"/>
          <w:sz w:val="24"/>
        </w:rPr>
        <w:t>20</w:t>
      </w:r>
      <w:r>
        <w:rPr>
          <w:rFonts w:ascii="Times New Roman" w:eastAsia="宋体" w:hAnsi="Times New Roman" w:cs="Times New Roman" w:hint="eastAsia"/>
          <w:b/>
          <w:color w:val="000000" w:themeColor="text1"/>
          <w:sz w:val="24"/>
        </w:rPr>
        <w:t>项目与《喀什地区“三线一单”生态环境分区管控方案》相关符合性分析表（续）</w:t>
      </w:r>
    </w:p>
    <w:tbl>
      <w:tblPr>
        <w:tblStyle w:val="afff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134"/>
        <w:gridCol w:w="10348"/>
        <w:gridCol w:w="2568"/>
      </w:tblGrid>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序号</w:t>
            </w:r>
          </w:p>
        </w:tc>
        <w:tc>
          <w:tcPr>
            <w:tcW w:w="1034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方案要求</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符合性分析</w:t>
            </w:r>
          </w:p>
        </w:tc>
      </w:tr>
      <w:tr w:rsidR="00644456">
        <w:tc>
          <w:tcPr>
            <w:tcW w:w="14050" w:type="dxa"/>
            <w:gridSpan w:val="3"/>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喀什地区总体管控要求</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color w:val="000000" w:themeColor="text1"/>
              </w:rPr>
              <w:t>A1.3-1</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结合产业升级、结构调整和淘汰落后产能等政策措施，有序推进位于城市主城区的重污染企业搬迁改造。</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本项目符合政策，不属于城市主城区的重污染企业。</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color w:val="000000" w:themeColor="text1"/>
              </w:rPr>
              <w:t>A1.3-3</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完成城市建成区内现有钢铁、有色金属、造纸、印染、原料药制造、化工等污染较重的企业排查，编制现有高风险企业风险源清单，制定风险源转移、搬迁年度计划</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本项目不属于城市建成区。</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A1.3-7</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饮用水水源保护区内排放污染物的工业企业应拆除或关闭。</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本项目不涉及饮用水源保护区。</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color w:val="000000" w:themeColor="text1"/>
              </w:rPr>
              <w:t>A1.4-1</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一切开发建设活动应符合国家、自治区主体功能区规划、自治区和各地颁布实施的生态环境功能区规划、国民经济发展规划、产业发展规划、城乡总体规划、土地利用规划等相关规划及重点生态功能区负面清单要求，符合区域或产业规划环评要求。</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本项目位于喀什地区疏勒县，本项目位于疏勒县重点管控单元（管控单元名</w:t>
            </w:r>
            <w:r>
              <w:rPr>
                <w:rFonts w:cs="Times New Roman" w:hint="eastAsia"/>
                <w:color w:val="000000" w:themeColor="text1"/>
              </w:rPr>
              <w:lastRenderedPageBreak/>
              <w:t>称：疏勒高新技术产业开发区）符合区域规划等。</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color w:val="000000" w:themeColor="text1"/>
              </w:rPr>
              <w:lastRenderedPageBreak/>
              <w:t>A1.4-2</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所有新、改（扩）建项目，必须依据《建设项目环境影响评价分类管理名录》要求进行环境影响评价；未通过环境影响评价审批的，一律不准开工建设；</w:t>
            </w:r>
          </w:p>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违规建设的，要依法进行处罚</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本项目未开工建设，环评手续正在进行。</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color w:val="000000" w:themeColor="text1"/>
              </w:rPr>
              <w:t>A2.1-1</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工业园区的企业在产业环境政策，分区管制，分类管理，严格把关，从源头上控制新增污染源。</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本项目符合园区规划及要求，属于主导产业，按照要求进行污染物控制。</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color w:val="000000" w:themeColor="text1"/>
              </w:rPr>
              <w:t>A2.1-2</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着力推进重点行业达标整治，深入开展燃煤锅炉整治，必要时实行采暖季重点行业错峰生产，推动工业污染源全面达标排放。对布局分散、装备水平低、环保设施落后的小型工业企业进行全面排查，制定综合整改方案，实施分类治理。</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本项目不涉及燃煤锅炉，不属于小型企业。</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A2.1-3</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所有新、改（扩）建的化工、建材、有色金属冶炼等污染型项目要全部进入园区。</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本项目属于化工行业，选址位于化工聚集区。</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color w:val="000000" w:themeColor="text1"/>
              </w:rPr>
              <w:t>A2.1-4</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各县（市）、各园区、各企业要加强园区配套环保设施建设，做好污染防治工作。</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本项目严格按照要求进行配套环保设施建设，</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color w:val="000000" w:themeColor="text1"/>
              </w:rPr>
              <w:t>A2.1-5</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大力推动钢铁、建材、石化、化工等重点行业以及其他行业重点用能单位持续开展提高煤炭等能源利用效率的节能工作。</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本项目不涉及煤炭能源使用</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color w:val="000000" w:themeColor="text1"/>
              </w:rPr>
              <w:t>A2.1-6</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实施钢铁、水泥等行业超低排放改造，推进重点行业低氮燃烧、脱硫脱硝除尘提标改造及无组织排放治理。</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本项目属于钢铁水泥等超低排放改造</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color w:val="000000" w:themeColor="text1"/>
              </w:rPr>
              <w:t>A2.1-7</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县级及以上城市建成区加快淘汰</w:t>
            </w:r>
            <w:r>
              <w:rPr>
                <w:rFonts w:cs="Times New Roman" w:hint="eastAsia"/>
                <w:color w:val="000000" w:themeColor="text1"/>
              </w:rPr>
              <w:t>35</w:t>
            </w:r>
            <w:r>
              <w:rPr>
                <w:rFonts w:cs="Times New Roman" w:hint="eastAsia"/>
                <w:color w:val="000000" w:themeColor="text1"/>
              </w:rPr>
              <w:t>蒸吨</w:t>
            </w:r>
            <w:r>
              <w:rPr>
                <w:rFonts w:cs="Times New Roman" w:hint="eastAsia"/>
                <w:color w:val="000000" w:themeColor="text1"/>
              </w:rPr>
              <w:t>/</w:t>
            </w:r>
            <w:r>
              <w:rPr>
                <w:rFonts w:cs="Times New Roman" w:hint="eastAsia"/>
                <w:color w:val="000000" w:themeColor="text1"/>
              </w:rPr>
              <w:t>小时以下的燃煤锅炉，推动</w:t>
            </w:r>
            <w:r>
              <w:rPr>
                <w:rFonts w:cs="Times New Roman" w:hint="eastAsia"/>
                <w:color w:val="000000" w:themeColor="text1"/>
              </w:rPr>
              <w:t>65</w:t>
            </w:r>
            <w:r>
              <w:rPr>
                <w:rFonts w:cs="Times New Roman" w:hint="eastAsia"/>
                <w:color w:val="000000" w:themeColor="text1"/>
              </w:rPr>
              <w:t>蒸吨</w:t>
            </w:r>
            <w:r>
              <w:rPr>
                <w:rFonts w:cs="Times New Roman" w:hint="eastAsia"/>
                <w:color w:val="000000" w:themeColor="text1"/>
              </w:rPr>
              <w:t>/</w:t>
            </w:r>
            <w:r>
              <w:rPr>
                <w:rFonts w:cs="Times New Roman" w:hint="eastAsia"/>
                <w:color w:val="000000" w:themeColor="text1"/>
              </w:rPr>
              <w:t>小时以上燃煤锅炉实施超低排放改造，实施燃气锅炉低氮改造。加快淘汰落后产能及不达标工业炉窑，实施电、天然气等清洁能源替代或采用集中供热，推进工业炉窑的升级改造及无组织排放深度治理。现有规模化畜禽养殖场（小区）</w:t>
            </w:r>
          </w:p>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要根据污染防治需要，配套建设粪便污水贮存、处理、利用设施。</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本项目不涉及燃煤锅炉</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color w:val="000000" w:themeColor="text1"/>
              </w:rPr>
              <w:t>A2.2-1</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促进大气污染物与温室气体协同控制。在重点区域进一步转变生产和生活方式，重点领域产业结构升级、能源结构的优化和清洁高效利用、强化能效提升，通过加强能源资源节约，提升清洁能源比重，增加生态系统碳汇，降低单位</w:t>
            </w:r>
            <w:r>
              <w:rPr>
                <w:rFonts w:cs="Times New Roman" w:hint="eastAsia"/>
                <w:color w:val="000000" w:themeColor="text1"/>
              </w:rPr>
              <w:t>GDP</w:t>
            </w:r>
            <w:r>
              <w:rPr>
                <w:rFonts w:cs="Times New Roman" w:hint="eastAsia"/>
                <w:color w:val="000000" w:themeColor="text1"/>
              </w:rPr>
              <w:t>能耗，控制温室气体排放，促进大气污染物防治协同增效，持续推进空气质量改善。</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本项目工艺废气设置负压收集系统，对蒸馏、精馏及溶剂回收过程产生的不凝气进行收集，收集后的废气采用“碱液喷淋</w:t>
            </w:r>
            <w:r>
              <w:rPr>
                <w:rFonts w:cs="Times New Roman" w:hint="eastAsia"/>
                <w:color w:val="000000" w:themeColor="text1"/>
              </w:rPr>
              <w:t>+</w:t>
            </w:r>
            <w:r>
              <w:rPr>
                <w:rFonts w:cs="Times New Roman" w:hint="eastAsia"/>
                <w:color w:val="000000" w:themeColor="text1"/>
              </w:rPr>
              <w:t>干式过滤</w:t>
            </w:r>
            <w:r>
              <w:rPr>
                <w:rFonts w:cs="Times New Roman" w:hint="eastAsia"/>
                <w:color w:val="000000" w:themeColor="text1"/>
              </w:rPr>
              <w:t>+</w:t>
            </w:r>
            <w:r>
              <w:rPr>
                <w:rFonts w:cs="Times New Roman" w:hint="eastAsia"/>
                <w:color w:val="000000" w:themeColor="text1"/>
              </w:rPr>
              <w:t>高温氧化”进行净化处理，净化后的废气通过</w:t>
            </w:r>
            <w:r>
              <w:rPr>
                <w:rFonts w:cs="Times New Roman" w:hint="eastAsia"/>
                <w:color w:val="000000" w:themeColor="text1"/>
              </w:rPr>
              <w:t>15m</w:t>
            </w:r>
            <w:r>
              <w:rPr>
                <w:rFonts w:cs="Times New Roman" w:hint="eastAsia"/>
                <w:color w:val="000000" w:themeColor="text1"/>
              </w:rPr>
              <w:t>高的排气筒排放。</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color w:val="000000" w:themeColor="text1"/>
              </w:rPr>
              <w:lastRenderedPageBreak/>
              <w:t>A2.3-1</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加快城市热力和燃气管网建设，加快热电联产、集中供热、“煤改气”等工程建设；加快脱硫、脱硝、除尘改造；推进挥发性有机物污染治理。强化老旧汽柴油车等移动污染源治理，严格城市施工工地、道路扬尘污染源控制监管，从源头上降低污染排放</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本项目区域已有燃气管道，项目内采用天然气、电能源，罐区、装卸、装置废气：大气稀释扩散，罐体密封、密闭装卸、设备密封等措施</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A2.3-2</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推进工业园区生态化、循环化改造，加快经济技术开发区、边境合作区、循环经济产业园、工业园区等工业集聚区水污染集中治理设施建设。集聚区内工业废水必须经预处理达到集中处理要求，方可进入污水集中处理设施。新建、升级工业集聚区应同步规划、建设污水治理设施。</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本项目废水经项目处理达标后，进入园区生态钢城污水处理厂再次处理后，回用于园区道路清扫和绿化灌溉</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color w:val="000000" w:themeColor="text1"/>
              </w:rPr>
              <w:t>A2.3-9</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危险化学品生产企业、工业集聚区、尾矿库、矿山开采区、危险废物处置场、垃圾填埋场等地下水污染源及周边区域，逐步开展地下水环境状况调查评估，加强风险管控</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本项目设置地下水监测井，按要求进行跟踪监测</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color w:val="000000" w:themeColor="text1"/>
              </w:rPr>
              <w:t>A2.4-1</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推进有色金属、钢铁、建材、化工等行业采取清洁生产、提标改造、深度治理等综合措施。加强自备燃煤机组污染治理设施运行管控，确保按照超低排放标准运行。针对有色金属冶炼、水泥、砖瓦、石灰、耐火材料以及石油化工等行业，严格控制物料储存、输送及生产工艺过程无组织排放。重点涉气排放企业逐步取消烟气旁路，因安全生产无法取消的，安装在线监控系统。</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本项目不涉及燃煤能源使用，物料输送采用全密闭管道输送</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color w:val="000000" w:themeColor="text1"/>
              </w:rPr>
              <w:t>A2.4-4</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高耗能、高污染、高排放企业严格行业对标，不达标的企业限期整改，逾期未整改或经整改仍未达标的依法关停退出。</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本项目不属于高耗能、高污染、高排放企业</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color w:val="000000" w:themeColor="text1"/>
              </w:rPr>
              <w:t>A4.1-2</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实施最严格水资源管理，健全取用水总量控制指标体系制定并落实地区用水总量控制方案，合理分配农业、工业、生态和生活用水量，严格实施取水许可制度。加强工业水循环利用，促进再生水利用，加强城镇节水，大力发展农业节水。</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本项目采用园区管网水供给</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color w:val="000000" w:themeColor="text1"/>
              </w:rPr>
              <w:t>A4.2-2</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节约集约利用建设用地，提高建设用地利用水平</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本项目用地属于园区规划工业用地</w:t>
            </w:r>
          </w:p>
        </w:tc>
      </w:tr>
      <w:tr w:rsidR="00644456">
        <w:tc>
          <w:tcPr>
            <w:tcW w:w="14050" w:type="dxa"/>
            <w:gridSpan w:val="3"/>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行喀什地区重点环境管控单元分类管控要求</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color w:val="000000" w:themeColor="text1"/>
              </w:rPr>
              <w:t>A6.1-1</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大气环境高排放重点管控区：禁止引进国家和自治区明令禁止或淘汰的产业及工艺，及园区规划外的项目。</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本项目不属于国家和自治区明令禁止或淘汰的产业及工艺，本项目位于工业园内</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A6.1-3</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工业污染重点管控区：强化工业集聚区污染防治，加快推进工业集聚区（园区）污水集中处理设施建设，加强配套管网建设。推进生态园区建设和循环化改造，完善再生水回用系统，不断提高工业用水重复利用率。对污</w:t>
            </w:r>
            <w:r>
              <w:rPr>
                <w:rFonts w:cs="Times New Roman" w:hint="eastAsia"/>
                <w:color w:val="000000" w:themeColor="text1"/>
              </w:rPr>
              <w:lastRenderedPageBreak/>
              <w:t>染排放不达标的企业责令停止超标排污，采取限期整改、停产治理等措施，确保全面稳定达标排放</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lastRenderedPageBreak/>
              <w:t>本项目废水经项目处理达标后，进入园区生态钢城</w:t>
            </w:r>
            <w:r>
              <w:rPr>
                <w:rFonts w:cs="Times New Roman" w:hint="eastAsia"/>
                <w:color w:val="000000" w:themeColor="text1"/>
              </w:rPr>
              <w:lastRenderedPageBreak/>
              <w:t>污水处理厂再次处理后，回用于园区道路清扫和绿化灌溉</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color w:val="000000" w:themeColor="text1"/>
              </w:rPr>
              <w:lastRenderedPageBreak/>
              <w:t>A6.1-5</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严格建设用地土壤污染风险管控和修复名录内地块的准入管理。未依法完成土壤污染状况调查和风险评估的地块，不得开工建设与风险管控和修复无关的项目。从严管控农药、化工等行业的重度污染地块规划用途，确需开发利用的，鼓励用于拓展生态空间。完成重点地区危险化学品生产企业搬迁改造，推进腾退地块风险管控和修复。</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本项目选址为园区规划空地，不属于建设用地土壤污染风险管控和修复名录内地块</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color w:val="000000" w:themeColor="text1"/>
              </w:rPr>
              <w:t>A6.2</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A6.2-1</w:t>
            </w:r>
            <w:r>
              <w:rPr>
                <w:rFonts w:cs="Times New Roman" w:hint="eastAsia"/>
                <w:color w:val="000000" w:themeColor="text1"/>
              </w:rPr>
              <w:t>加大综合治理力度，严格控制污染物排放，专项整治重污染行业，新、改扩建项目污染排放满足国家要求。</w:t>
            </w:r>
          </w:p>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A6.2-2</w:t>
            </w:r>
            <w:r>
              <w:rPr>
                <w:rFonts w:cs="Times New Roman" w:hint="eastAsia"/>
                <w:color w:val="000000" w:themeColor="text1"/>
              </w:rPr>
              <w:t>加强工业臭气异味治理，开展无异味企业建设，加强垃圾处理、污水处理各环节和畜禽养殖场臭气异味控制，提升恶臭治理水平。</w:t>
            </w:r>
          </w:p>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A6.2-3</w:t>
            </w:r>
            <w:r>
              <w:rPr>
                <w:rFonts w:cs="Times New Roman" w:hint="eastAsia"/>
                <w:color w:val="000000" w:themeColor="text1"/>
              </w:rPr>
              <w:t>推进扬尘精细化管控。全面推行绿色施工，城市建成区建筑工地扬尘防控标准化管理全覆盖；加强城市道路清扫保洁和洒水抑尘，渣土车实施硬覆</w:t>
            </w:r>
          </w:p>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盖；推进低尘机械化作业水平，控制道路扬尘污染；强化非道路移动源综合治理。</w:t>
            </w:r>
          </w:p>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A6.2-4</w:t>
            </w:r>
            <w:r>
              <w:rPr>
                <w:rFonts w:cs="Times New Roman" w:hint="eastAsia"/>
                <w:color w:val="000000" w:themeColor="text1"/>
              </w:rPr>
              <w:t>加强重金属污染源头防控，减少使用高镉、高砷或高铊的矿石原料。加大重有色金属冶炼行业企业生产工艺设备清洁生产改造力度，积极推动竖罐炼锌设备替代改造和铜冶炼转炉吹炼工艺提升改造。电石法（聚）氯乙烯生产企业生产每吨聚氯乙烯用汞量不得超过</w:t>
            </w:r>
            <w:r>
              <w:rPr>
                <w:rFonts w:cs="Times New Roman" w:hint="eastAsia"/>
                <w:color w:val="000000" w:themeColor="text1"/>
              </w:rPr>
              <w:t>49.14</w:t>
            </w:r>
            <w:r>
              <w:rPr>
                <w:rFonts w:cs="Times New Roman" w:hint="eastAsia"/>
                <w:color w:val="000000" w:themeColor="text1"/>
              </w:rPr>
              <w:t>克，并确保持续稳中有降。</w:t>
            </w:r>
          </w:p>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A6.2-5</w:t>
            </w:r>
            <w:r>
              <w:rPr>
                <w:rFonts w:cs="Times New Roman" w:hint="eastAsia"/>
                <w:color w:val="000000" w:themeColor="text1"/>
              </w:rPr>
              <w:t>开展重有色金属冶炼、钢铁等典型涉铊企业废水治理设施除铊升级改造，严格执行车间或者设施废水排放口达标要求。</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本项目属于废矿物油再生利用，不涉及重金属，项目污染物排放满足国家要求</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color w:val="000000" w:themeColor="text1"/>
              </w:rPr>
              <w:t>A6.3</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A6.3-1</w:t>
            </w:r>
            <w:r>
              <w:rPr>
                <w:rFonts w:cs="Times New Roman" w:hint="eastAsia"/>
                <w:color w:val="000000" w:themeColor="text1"/>
              </w:rPr>
              <w:t>涉及有毒有害、易燃易爆物质新建、改扩建项目，严控准入要求。</w:t>
            </w:r>
          </w:p>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A6.3-2</w:t>
            </w:r>
            <w:r>
              <w:rPr>
                <w:rFonts w:cs="Times New Roman" w:hint="eastAsia"/>
                <w:color w:val="000000" w:themeColor="text1"/>
              </w:rPr>
              <w:t>加强“散乱污”企业环境风险防控。</w:t>
            </w:r>
          </w:p>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A6.3-3</w:t>
            </w:r>
            <w:r>
              <w:rPr>
                <w:rFonts w:cs="Times New Roman" w:hint="eastAsia"/>
                <w:color w:val="000000" w:themeColor="text1"/>
              </w:rPr>
              <w:t>严禁将生活垃圾直接用作肥料，禁止处理不达标的污泥进入耕地；禁止直接排放、倾倒、使用污泥、清淤底泥、尾矿（渣）、工业废物、危险废物、</w:t>
            </w:r>
          </w:p>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医疗废物等可能对土壤造成污染的固体废物。</w:t>
            </w:r>
          </w:p>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A6.3-4</w:t>
            </w:r>
            <w:r>
              <w:rPr>
                <w:rFonts w:cs="Times New Roman" w:hint="eastAsia"/>
                <w:color w:val="000000" w:themeColor="text1"/>
              </w:rPr>
              <w:t>定期评估邻近环境敏感区的工业企业、工业集聚区环境和健康风险。强化工业集聚区企业环境风险防范设施设备建设和正常运行监管，加强重点环境风险管控企业应急预案制定，加强风险防控体系建设。</w:t>
            </w:r>
          </w:p>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A6.3-5</w:t>
            </w:r>
            <w:r>
              <w:rPr>
                <w:rFonts w:cs="Times New Roman" w:hint="eastAsia"/>
                <w:color w:val="000000" w:themeColor="text1"/>
              </w:rPr>
              <w:t>建立土壤污染隐患排查制度，确保持续有效防止有毒有害物质渗漏、流失、扬散；应按相关规范编制突发环境事件应急预案，建立完善突发环境事件应急响应机制；制定、实施自行监测方案。加强对地块的环境风险防控管理，涉重金属、持久性有机物等有毒有害污染物工业企业退出用地，须经评估、</w:t>
            </w:r>
          </w:p>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治理，满足后续相应用地土壤环境质量要求。</w:t>
            </w:r>
          </w:p>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A6.3-6</w:t>
            </w:r>
            <w:r>
              <w:rPr>
                <w:rFonts w:cs="Times New Roman" w:hint="eastAsia"/>
                <w:color w:val="000000" w:themeColor="text1"/>
              </w:rPr>
              <w:t>新（改、扩）建涉及有毒有害物质可能造成土壤污染的建设项目，应提出并落实土壤和地下水污染防治</w:t>
            </w:r>
            <w:r>
              <w:rPr>
                <w:rFonts w:cs="Times New Roman" w:hint="eastAsia"/>
                <w:color w:val="000000" w:themeColor="text1"/>
              </w:rPr>
              <w:lastRenderedPageBreak/>
              <w:t>要求。</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lastRenderedPageBreak/>
              <w:t>本项目符合园区规划，本项目按照要求进行设置风险防控体系，并且落实土壤和地下水污染防治措施</w:t>
            </w:r>
          </w:p>
        </w:tc>
      </w:tr>
      <w:tr w:rsidR="00644456">
        <w:tc>
          <w:tcPr>
            <w:tcW w:w="1134"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color w:val="000000" w:themeColor="text1"/>
              </w:rPr>
              <w:t>A6.4</w:t>
            </w:r>
          </w:p>
        </w:tc>
        <w:tc>
          <w:tcPr>
            <w:tcW w:w="10348" w:type="dxa"/>
            <w:vAlign w:val="center"/>
          </w:tcPr>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A6.4-1</w:t>
            </w:r>
            <w:r>
              <w:rPr>
                <w:rFonts w:cs="Times New Roman" w:hint="eastAsia"/>
                <w:color w:val="000000" w:themeColor="text1"/>
              </w:rPr>
              <w:t>调整优化能源结构，构建清洁低碳高效能源体系，提高能源利用效率，加快清洁能源替代利用。</w:t>
            </w:r>
          </w:p>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A6.4-2</w:t>
            </w:r>
            <w:r>
              <w:rPr>
                <w:rFonts w:cs="Times New Roman" w:hint="eastAsia"/>
                <w:color w:val="000000" w:themeColor="text1"/>
              </w:rPr>
              <w:t>全面推进农业节水、工业节水技术改造，严格控制高耗水、高污染工业，严格节水措施，加强循环利用，大力通过节水、退地减水等措施缓解水资源供需矛盾。</w:t>
            </w:r>
          </w:p>
          <w:p w:rsidR="00644456" w:rsidRDefault="008031C4">
            <w:pPr>
              <w:widowControl/>
              <w:adjustRightInd w:val="0"/>
              <w:snapToGrid w:val="0"/>
              <w:spacing w:line="240" w:lineRule="atLeast"/>
              <w:jc w:val="left"/>
              <w:rPr>
                <w:rFonts w:cs="Times New Roman"/>
                <w:color w:val="000000" w:themeColor="text1"/>
              </w:rPr>
            </w:pPr>
            <w:r>
              <w:rPr>
                <w:rFonts w:cs="Times New Roman" w:hint="eastAsia"/>
                <w:color w:val="000000" w:themeColor="text1"/>
              </w:rPr>
              <w:t>A6.4-3</w:t>
            </w:r>
            <w:r>
              <w:rPr>
                <w:rFonts w:cs="Times New Roman" w:hint="eastAsia"/>
                <w:color w:val="000000" w:themeColor="text1"/>
              </w:rPr>
              <w:t>加强工业园区土地资源利用效率，规划工业园区时，注意与城镇规划的衔接、优化布局，保持与城镇规划边界的合理距离。</w:t>
            </w:r>
          </w:p>
        </w:tc>
        <w:tc>
          <w:tcPr>
            <w:tcW w:w="2568" w:type="dxa"/>
            <w:vAlign w:val="center"/>
          </w:tcPr>
          <w:p w:rsidR="00644456" w:rsidRDefault="008031C4">
            <w:pPr>
              <w:widowControl/>
              <w:adjustRightInd w:val="0"/>
              <w:snapToGrid w:val="0"/>
              <w:spacing w:line="240" w:lineRule="atLeast"/>
              <w:jc w:val="center"/>
              <w:rPr>
                <w:rFonts w:cs="Times New Roman"/>
                <w:color w:val="000000" w:themeColor="text1"/>
              </w:rPr>
            </w:pPr>
            <w:r>
              <w:rPr>
                <w:rFonts w:cs="Times New Roman" w:hint="eastAsia"/>
                <w:color w:val="000000" w:themeColor="text1"/>
              </w:rPr>
              <w:t>本项目采用电以及天然气清洁能源，不属于高耗水、高污染工业</w:t>
            </w:r>
          </w:p>
        </w:tc>
      </w:tr>
    </w:tbl>
    <w:p w:rsidR="00644456" w:rsidRDefault="008031C4">
      <w:pPr>
        <w:widowControl/>
        <w:adjustRightInd w:val="0"/>
        <w:snapToGrid w:val="0"/>
        <w:spacing w:line="360" w:lineRule="auto"/>
        <w:ind w:firstLineChars="200" w:firstLine="480"/>
        <w:jc w:val="left"/>
        <w:rPr>
          <w:rFonts w:cs="Times New Roman"/>
          <w:color w:val="000000"/>
          <w:kern w:val="0"/>
          <w:sz w:val="24"/>
          <w:szCs w:val="24"/>
          <w:lang w:bidi="ar"/>
        </w:rPr>
      </w:pPr>
      <w:r>
        <w:rPr>
          <w:rFonts w:cs="Times New Roman" w:hint="eastAsia"/>
          <w:color w:val="000000"/>
          <w:kern w:val="0"/>
          <w:sz w:val="24"/>
          <w:szCs w:val="24"/>
          <w:lang w:bidi="ar"/>
        </w:rPr>
        <w:t>本项目位于疏勒高新技术产业开发区齐鲁生态钢城化工产业聚集区，为重点管控单元。同时项目不在《关于印发新疆维吾尔自治区</w:t>
      </w:r>
      <w:r>
        <w:rPr>
          <w:rFonts w:cs="Times New Roman" w:hint="eastAsia"/>
          <w:color w:val="000000"/>
          <w:kern w:val="0"/>
          <w:sz w:val="24"/>
          <w:szCs w:val="24"/>
          <w:lang w:bidi="ar"/>
        </w:rPr>
        <w:t>28</w:t>
      </w:r>
      <w:r>
        <w:rPr>
          <w:rFonts w:cs="Times New Roman" w:hint="eastAsia"/>
          <w:color w:val="000000"/>
          <w:kern w:val="0"/>
          <w:sz w:val="24"/>
          <w:szCs w:val="24"/>
          <w:lang w:bidi="ar"/>
        </w:rPr>
        <w:t>个国家重点生态功能区县（市）和新疆维吾尔自治区</w:t>
      </w:r>
      <w:r>
        <w:rPr>
          <w:rFonts w:cs="Times New Roman" w:hint="eastAsia"/>
          <w:color w:val="000000"/>
          <w:kern w:val="0"/>
          <w:sz w:val="24"/>
          <w:szCs w:val="24"/>
          <w:lang w:bidi="ar"/>
        </w:rPr>
        <w:t>17</w:t>
      </w:r>
      <w:r>
        <w:rPr>
          <w:rFonts w:cs="Times New Roman" w:hint="eastAsia"/>
          <w:color w:val="000000"/>
          <w:kern w:val="0"/>
          <w:sz w:val="24"/>
          <w:szCs w:val="24"/>
          <w:lang w:bidi="ar"/>
        </w:rPr>
        <w:t>个新增纳入国家重点生态功能区县（市）产业准入负面清单（试行）》内，符合相关要求。</w:t>
      </w:r>
    </w:p>
    <w:p w:rsidR="00644456" w:rsidRDefault="008031C4">
      <w:pPr>
        <w:widowControl/>
        <w:adjustRightInd w:val="0"/>
        <w:snapToGrid w:val="0"/>
        <w:spacing w:line="360" w:lineRule="auto"/>
        <w:ind w:firstLineChars="200" w:firstLine="480"/>
        <w:jc w:val="left"/>
        <w:rPr>
          <w:rFonts w:cs="Times New Roman"/>
          <w:color w:val="000000"/>
          <w:kern w:val="0"/>
          <w:sz w:val="24"/>
          <w:szCs w:val="24"/>
          <w:lang w:bidi="ar"/>
        </w:rPr>
      </w:pPr>
      <w:r>
        <w:rPr>
          <w:rFonts w:cs="Times New Roman" w:hint="eastAsia"/>
          <w:color w:val="000000"/>
          <w:kern w:val="0"/>
          <w:sz w:val="24"/>
          <w:szCs w:val="24"/>
          <w:lang w:bidi="ar"/>
        </w:rPr>
        <w:t>综上所述，本项目的建设符合“三线一单”的管控要求。</w:t>
      </w:r>
    </w:p>
    <w:p w:rsidR="00644456" w:rsidRDefault="00644456">
      <w:pPr>
        <w:pStyle w:val="Default"/>
        <w:rPr>
          <w:rFonts w:ascii="Times New Roman" w:eastAsia="宋体" w:hAnsi="Times New Roman" w:cs="Times New Roman"/>
          <w:color w:val="000000" w:themeColor="text1"/>
        </w:rPr>
        <w:sectPr w:rsidR="00644456">
          <w:headerReference w:type="default" r:id="rId15"/>
          <w:pgSz w:w="16838" w:h="11906" w:orient="landscape"/>
          <w:pgMar w:top="1588" w:right="1389" w:bottom="1588" w:left="1389" w:header="851" w:footer="992" w:gutter="0"/>
          <w:cols w:space="720"/>
          <w:docGrid w:linePitch="312"/>
        </w:sectPr>
      </w:pPr>
    </w:p>
    <w:p w:rsidR="00644456" w:rsidRDefault="008031C4">
      <w:pPr>
        <w:pStyle w:val="3"/>
        <w:numPr>
          <w:ilvl w:val="2"/>
          <w:numId w:val="0"/>
        </w:numPr>
        <w:ind w:firstLineChars="200" w:firstLine="482"/>
      </w:pPr>
      <w:bookmarkStart w:id="50" w:name="_Toc57377987"/>
      <w:bookmarkEnd w:id="48"/>
      <w:r>
        <w:rPr>
          <w:rFonts w:hint="eastAsia"/>
        </w:rPr>
        <w:lastRenderedPageBreak/>
        <w:t>1.4.10</w:t>
      </w:r>
      <w:r>
        <w:rPr>
          <w:rFonts w:hint="eastAsia"/>
        </w:rPr>
        <w:t>规划符合小结</w:t>
      </w:r>
    </w:p>
    <w:p w:rsidR="00644456" w:rsidRDefault="008031C4">
      <w:pPr>
        <w:snapToGrid w:val="0"/>
        <w:spacing w:line="360" w:lineRule="auto"/>
        <w:ind w:firstLineChars="200" w:firstLine="480"/>
        <w:rPr>
          <w:rFonts w:cs="Times New Roman"/>
          <w:color w:val="000000" w:themeColor="text1"/>
          <w:sz w:val="24"/>
          <w:szCs w:val="24"/>
        </w:rPr>
      </w:pPr>
      <w:r>
        <w:rPr>
          <w:rFonts w:cs="Times New Roman" w:hint="eastAsia"/>
          <w:color w:val="000000" w:themeColor="text1"/>
          <w:sz w:val="24"/>
          <w:szCs w:val="24"/>
        </w:rPr>
        <w:t>本项目与《新疆维吾尔自治区国民经济和社会发展第十四个五年规划和</w:t>
      </w:r>
      <w:r>
        <w:rPr>
          <w:rFonts w:cs="Times New Roman" w:hint="eastAsia"/>
          <w:color w:val="000000" w:themeColor="text1"/>
          <w:sz w:val="24"/>
          <w:szCs w:val="24"/>
        </w:rPr>
        <w:t>2035</w:t>
      </w:r>
      <w:r>
        <w:rPr>
          <w:rFonts w:cs="Times New Roman" w:hint="eastAsia"/>
          <w:color w:val="000000" w:themeColor="text1"/>
          <w:sz w:val="24"/>
          <w:szCs w:val="24"/>
        </w:rPr>
        <w:t>年远景目标纲要》等区域工业发展规划相符；项目用地为工业用地，项目建设用地符合国土空间规划和用途管控要求。</w:t>
      </w:r>
      <w:r>
        <w:rPr>
          <w:rFonts w:cs="Times New Roman" w:hint="eastAsia"/>
          <w:b/>
          <w:bCs/>
          <w:color w:val="000000" w:themeColor="text1"/>
          <w:sz w:val="24"/>
          <w:szCs w:val="24"/>
        </w:rPr>
        <w:t>项目与疏勒高新技术产业开发区规划及规划环评、审查意见要求相符；项目与区域生态环境保护规划，大气、水、土壤、重金属污染防治等相关规划；项目与“三线一单”相关管控要求相符。</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51" w:name="_Toc177216859"/>
      <w:bookmarkStart w:id="52" w:name="_Toc155789338"/>
      <w:r>
        <w:rPr>
          <w:rFonts w:cs="Times New Roman" w:hint="eastAsia"/>
          <w:color w:val="000000" w:themeColor="text1"/>
        </w:rPr>
        <w:t>1.5</w:t>
      </w:r>
      <w:r>
        <w:rPr>
          <w:rFonts w:cs="Times New Roman"/>
          <w:color w:val="000000" w:themeColor="text1"/>
        </w:rPr>
        <w:t>选址环保合理性分析</w:t>
      </w:r>
      <w:bookmarkEnd w:id="50"/>
      <w:bookmarkEnd w:id="51"/>
      <w:bookmarkEnd w:id="52"/>
    </w:p>
    <w:p w:rsidR="00644456" w:rsidRDefault="008031C4">
      <w:pPr>
        <w:pStyle w:val="3"/>
        <w:numPr>
          <w:ilvl w:val="2"/>
          <w:numId w:val="0"/>
        </w:numPr>
        <w:ind w:firstLineChars="200" w:firstLine="482"/>
      </w:pPr>
      <w:r>
        <w:rPr>
          <w:rFonts w:hint="eastAsia"/>
        </w:rPr>
        <w:t>1.5.1</w:t>
      </w:r>
      <w:r>
        <w:t>项目</w:t>
      </w:r>
      <w:r>
        <w:rPr>
          <w:rFonts w:hint="eastAsia"/>
        </w:rPr>
        <w:t>水文水系及</w:t>
      </w:r>
      <w:r>
        <w:t>外环境关系</w:t>
      </w:r>
    </w:p>
    <w:p w:rsidR="00644456" w:rsidRDefault="008031C4">
      <w:pPr>
        <w:snapToGrid w:val="0"/>
        <w:spacing w:line="360" w:lineRule="auto"/>
        <w:ind w:firstLine="480"/>
        <w:rPr>
          <w:rFonts w:cs="Times New Roman"/>
          <w:b/>
          <w:bCs/>
          <w:color w:val="000000" w:themeColor="text1"/>
          <w:sz w:val="24"/>
          <w:szCs w:val="24"/>
        </w:rPr>
      </w:pPr>
      <w:r>
        <w:rPr>
          <w:rFonts w:cs="Times New Roman" w:hint="eastAsia"/>
          <w:b/>
          <w:bCs/>
          <w:color w:val="000000" w:themeColor="text1"/>
          <w:sz w:val="24"/>
          <w:szCs w:val="24"/>
        </w:rPr>
        <w:t>①项目区域水文水系分布</w:t>
      </w:r>
    </w:p>
    <w:p w:rsidR="00644456" w:rsidRDefault="008031C4">
      <w:pPr>
        <w:snapToGrid w:val="0"/>
        <w:spacing w:line="360" w:lineRule="auto"/>
        <w:ind w:firstLine="482"/>
        <w:rPr>
          <w:rFonts w:cs="Times New Roman"/>
          <w:color w:val="000000" w:themeColor="text1"/>
          <w:sz w:val="24"/>
          <w:szCs w:val="24"/>
        </w:rPr>
      </w:pPr>
      <w:r>
        <w:rPr>
          <w:rFonts w:cs="Times New Roman" w:hint="eastAsia"/>
          <w:color w:val="000000" w:themeColor="text1"/>
          <w:sz w:val="24"/>
          <w:szCs w:val="24"/>
        </w:rPr>
        <w:t>疏勒高新技术产业开发区（化工产业集聚区）周边无地表水体。</w:t>
      </w:r>
    </w:p>
    <w:p w:rsidR="00644456" w:rsidRDefault="008031C4">
      <w:pPr>
        <w:snapToGrid w:val="0"/>
        <w:spacing w:line="360" w:lineRule="auto"/>
        <w:ind w:firstLine="480"/>
        <w:rPr>
          <w:rFonts w:cs="Times New Roman"/>
          <w:b/>
          <w:bCs/>
          <w:color w:val="000000" w:themeColor="text1"/>
          <w:sz w:val="24"/>
          <w:szCs w:val="24"/>
        </w:rPr>
      </w:pPr>
      <w:r>
        <w:rPr>
          <w:rFonts w:cs="Times New Roman" w:hint="eastAsia"/>
          <w:b/>
          <w:bCs/>
          <w:color w:val="000000" w:themeColor="text1"/>
          <w:sz w:val="24"/>
          <w:szCs w:val="24"/>
        </w:rPr>
        <w:t>本项目废水经厂区内自建污水处理站处理达《污水综合排放标准》（</w:t>
      </w:r>
      <w:r>
        <w:rPr>
          <w:rFonts w:cs="Times New Roman" w:hint="eastAsia"/>
          <w:b/>
          <w:bCs/>
          <w:color w:val="000000" w:themeColor="text1"/>
          <w:sz w:val="24"/>
          <w:szCs w:val="24"/>
        </w:rPr>
        <w:t>GB8978-1996</w:t>
      </w:r>
      <w:r>
        <w:rPr>
          <w:rFonts w:cs="Times New Roman" w:hint="eastAsia"/>
          <w:b/>
          <w:bCs/>
          <w:color w:val="000000" w:themeColor="text1"/>
          <w:sz w:val="24"/>
          <w:szCs w:val="24"/>
        </w:rPr>
        <w:t>）三级标准，排入污水管网，最后进入生态钢城污水处理厂，本项目与地表河流无水力联系。</w:t>
      </w:r>
    </w:p>
    <w:p w:rsidR="00644456" w:rsidRDefault="008031C4">
      <w:pPr>
        <w:snapToGrid w:val="0"/>
        <w:spacing w:line="360" w:lineRule="auto"/>
        <w:ind w:firstLine="480"/>
        <w:rPr>
          <w:rFonts w:cs="Times New Roman"/>
          <w:b/>
          <w:bCs/>
          <w:color w:val="000000" w:themeColor="text1"/>
          <w:sz w:val="24"/>
          <w:szCs w:val="24"/>
        </w:rPr>
      </w:pPr>
      <w:r>
        <w:rPr>
          <w:rFonts w:cs="Times New Roman" w:hint="eastAsia"/>
          <w:b/>
          <w:bCs/>
          <w:color w:val="000000" w:themeColor="text1"/>
          <w:sz w:val="24"/>
          <w:szCs w:val="24"/>
        </w:rPr>
        <w:t>②项目外环境关系</w:t>
      </w:r>
    </w:p>
    <w:p w:rsidR="00644456" w:rsidRDefault="008031C4">
      <w:pPr>
        <w:snapToGrid w:val="0"/>
        <w:spacing w:line="360" w:lineRule="auto"/>
        <w:ind w:firstLine="480"/>
        <w:rPr>
          <w:rFonts w:cs="Times New Roman"/>
          <w:b/>
          <w:bCs/>
          <w:color w:val="000000" w:themeColor="text1"/>
          <w:sz w:val="24"/>
          <w:szCs w:val="24"/>
        </w:rPr>
      </w:pPr>
      <w:r>
        <w:rPr>
          <w:rFonts w:cs="Times New Roman"/>
          <w:b/>
          <w:bCs/>
          <w:color w:val="000000" w:themeColor="text1"/>
          <w:sz w:val="24"/>
          <w:szCs w:val="24"/>
        </w:rPr>
        <w:t>本项目</w:t>
      </w:r>
      <w:r>
        <w:rPr>
          <w:rFonts w:cs="Times New Roman" w:hint="eastAsia"/>
          <w:b/>
          <w:bCs/>
          <w:color w:val="000000" w:themeColor="text1"/>
          <w:sz w:val="24"/>
          <w:szCs w:val="24"/>
        </w:rPr>
        <w:t>选址于疏勒高新技术产业开发区齐鲁生态钢城化工产业聚集区</w:t>
      </w:r>
      <w:r>
        <w:rPr>
          <w:rFonts w:cs="Times New Roman"/>
          <w:b/>
          <w:bCs/>
          <w:color w:val="000000" w:themeColor="text1"/>
          <w:sz w:val="24"/>
          <w:szCs w:val="24"/>
        </w:rPr>
        <w:t>，项目所在地用地性质为规划的工业用地，</w:t>
      </w:r>
      <w:r>
        <w:rPr>
          <w:rFonts w:cs="Times New Roman" w:hint="eastAsia"/>
          <w:b/>
          <w:bCs/>
          <w:color w:val="000000" w:themeColor="text1"/>
          <w:sz w:val="24"/>
          <w:szCs w:val="24"/>
        </w:rPr>
        <w:t>现状为空地，四周均为工业企业及规划工业用地</w:t>
      </w:r>
      <w:r>
        <w:rPr>
          <w:rFonts w:cs="Times New Roman"/>
          <w:b/>
          <w:bCs/>
          <w:color w:val="000000" w:themeColor="text1"/>
          <w:sz w:val="24"/>
          <w:szCs w:val="24"/>
        </w:rPr>
        <w:t>。</w:t>
      </w:r>
    </w:p>
    <w:p w:rsidR="00644456" w:rsidRDefault="008031C4">
      <w:pPr>
        <w:tabs>
          <w:tab w:val="left" w:pos="0"/>
          <w:tab w:val="left" w:pos="540"/>
        </w:tabs>
        <w:adjustRightInd w:val="0"/>
        <w:snapToGrid w:val="0"/>
        <w:spacing w:line="360" w:lineRule="auto"/>
        <w:ind w:firstLineChars="200" w:firstLine="480"/>
        <w:rPr>
          <w:rFonts w:cs="Times New Roman"/>
          <w:color w:val="000000" w:themeColor="text1"/>
          <w:sz w:val="24"/>
          <w:szCs w:val="24"/>
        </w:rPr>
      </w:pPr>
      <w:r>
        <w:rPr>
          <w:rFonts w:cs="Times New Roman"/>
          <w:color w:val="000000" w:themeColor="text1"/>
          <w:sz w:val="24"/>
          <w:szCs w:val="24"/>
        </w:rPr>
        <w:t>项目区外环境关系见表</w:t>
      </w:r>
      <w:r>
        <w:rPr>
          <w:rFonts w:cs="Times New Roman" w:hint="eastAsia"/>
          <w:color w:val="000000" w:themeColor="text1"/>
          <w:sz w:val="24"/>
          <w:szCs w:val="24"/>
        </w:rPr>
        <w:t>1.</w:t>
      </w:r>
      <w:r>
        <w:rPr>
          <w:rFonts w:cs="Times New Roman"/>
          <w:color w:val="000000" w:themeColor="text1"/>
          <w:sz w:val="24"/>
          <w:szCs w:val="24"/>
        </w:rPr>
        <w:t>5</w:t>
      </w:r>
      <w:r>
        <w:rPr>
          <w:rFonts w:cs="Times New Roman" w:hint="eastAsia"/>
          <w:color w:val="000000" w:themeColor="text1"/>
          <w:sz w:val="24"/>
          <w:szCs w:val="24"/>
        </w:rPr>
        <w:t>-1</w:t>
      </w:r>
      <w:r>
        <w:rPr>
          <w:rFonts w:cs="Times New Roman"/>
          <w:color w:val="000000" w:themeColor="text1"/>
          <w:sz w:val="24"/>
          <w:szCs w:val="24"/>
        </w:rPr>
        <w:t>，主要外环境关系见附图。</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1.5-1</w:t>
      </w:r>
      <w:r>
        <w:rPr>
          <w:rFonts w:ascii="Times New Roman" w:eastAsia="宋体" w:hAnsi="Times New Roman" w:cs="Times New Roman" w:hint="eastAsia"/>
          <w:b/>
          <w:color w:val="000000" w:themeColor="text1"/>
          <w:sz w:val="24"/>
        </w:rPr>
        <w:t>项目主要外环境关系表</w:t>
      </w:r>
    </w:p>
    <w:tbl>
      <w:tblPr>
        <w:tblW w:w="9009"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15"/>
        <w:gridCol w:w="760"/>
        <w:gridCol w:w="1258"/>
        <w:gridCol w:w="2837"/>
        <w:gridCol w:w="709"/>
        <w:gridCol w:w="1276"/>
        <w:gridCol w:w="1354"/>
      </w:tblGrid>
      <w:tr w:rsidR="00644456">
        <w:trPr>
          <w:trHeight w:val="300"/>
          <w:jc w:val="center"/>
        </w:trPr>
        <w:tc>
          <w:tcPr>
            <w:tcW w:w="815" w:type="dxa"/>
            <w:vAlign w:val="center"/>
          </w:tcPr>
          <w:p w:rsidR="00644456" w:rsidRDefault="008031C4">
            <w:pPr>
              <w:spacing w:line="300" w:lineRule="exact"/>
              <w:jc w:val="center"/>
              <w:rPr>
                <w:b/>
                <w:color w:val="000000" w:themeColor="text1"/>
                <w:szCs w:val="21"/>
              </w:rPr>
            </w:pPr>
            <w:bookmarkStart w:id="53" w:name="_Hlk160628600"/>
            <w:r>
              <w:rPr>
                <w:b/>
                <w:color w:val="000000" w:themeColor="text1"/>
                <w:szCs w:val="21"/>
              </w:rPr>
              <w:t>序号</w:t>
            </w:r>
          </w:p>
        </w:tc>
        <w:tc>
          <w:tcPr>
            <w:tcW w:w="760" w:type="dxa"/>
            <w:vAlign w:val="center"/>
          </w:tcPr>
          <w:p w:rsidR="00644456" w:rsidRDefault="008031C4">
            <w:pPr>
              <w:spacing w:line="300" w:lineRule="exact"/>
              <w:jc w:val="center"/>
              <w:rPr>
                <w:b/>
                <w:color w:val="000000" w:themeColor="text1"/>
                <w:szCs w:val="21"/>
              </w:rPr>
            </w:pPr>
            <w:r>
              <w:rPr>
                <w:b/>
                <w:color w:val="000000" w:themeColor="text1"/>
                <w:szCs w:val="21"/>
              </w:rPr>
              <w:t>方位</w:t>
            </w:r>
          </w:p>
        </w:tc>
        <w:tc>
          <w:tcPr>
            <w:tcW w:w="1258" w:type="dxa"/>
            <w:vAlign w:val="center"/>
          </w:tcPr>
          <w:p w:rsidR="00644456" w:rsidRDefault="008031C4">
            <w:pPr>
              <w:spacing w:line="300" w:lineRule="exact"/>
              <w:jc w:val="center"/>
              <w:rPr>
                <w:b/>
                <w:color w:val="000000" w:themeColor="text1"/>
                <w:szCs w:val="21"/>
              </w:rPr>
            </w:pPr>
            <w:r>
              <w:rPr>
                <w:rFonts w:hint="eastAsia"/>
                <w:b/>
                <w:color w:val="000000" w:themeColor="text1"/>
                <w:szCs w:val="21"/>
              </w:rPr>
              <w:t>与项目红线</w:t>
            </w:r>
            <w:r>
              <w:rPr>
                <w:b/>
                <w:color w:val="000000" w:themeColor="text1"/>
                <w:szCs w:val="21"/>
              </w:rPr>
              <w:t>距离（</w:t>
            </w:r>
            <w:r>
              <w:rPr>
                <w:b/>
                <w:color w:val="000000" w:themeColor="text1"/>
                <w:szCs w:val="21"/>
              </w:rPr>
              <w:t>m</w:t>
            </w:r>
            <w:r>
              <w:rPr>
                <w:b/>
                <w:color w:val="000000" w:themeColor="text1"/>
                <w:szCs w:val="21"/>
              </w:rPr>
              <w:t>）</w:t>
            </w:r>
          </w:p>
        </w:tc>
        <w:tc>
          <w:tcPr>
            <w:tcW w:w="2837" w:type="dxa"/>
            <w:vAlign w:val="center"/>
          </w:tcPr>
          <w:p w:rsidR="00644456" w:rsidRDefault="008031C4">
            <w:pPr>
              <w:spacing w:line="300" w:lineRule="exact"/>
              <w:jc w:val="center"/>
              <w:rPr>
                <w:b/>
                <w:color w:val="000000" w:themeColor="text1"/>
                <w:szCs w:val="21"/>
              </w:rPr>
            </w:pPr>
            <w:r>
              <w:rPr>
                <w:b/>
                <w:color w:val="000000" w:themeColor="text1"/>
                <w:szCs w:val="21"/>
              </w:rPr>
              <w:t>名称</w:t>
            </w:r>
          </w:p>
        </w:tc>
        <w:tc>
          <w:tcPr>
            <w:tcW w:w="709" w:type="dxa"/>
            <w:vAlign w:val="center"/>
          </w:tcPr>
          <w:p w:rsidR="00644456" w:rsidRDefault="008031C4">
            <w:pPr>
              <w:spacing w:line="300" w:lineRule="exact"/>
              <w:jc w:val="center"/>
              <w:rPr>
                <w:b/>
                <w:color w:val="000000" w:themeColor="text1"/>
                <w:szCs w:val="21"/>
              </w:rPr>
            </w:pPr>
            <w:r>
              <w:rPr>
                <w:b/>
                <w:color w:val="000000" w:themeColor="text1"/>
                <w:szCs w:val="21"/>
              </w:rPr>
              <w:t>数量</w:t>
            </w:r>
          </w:p>
        </w:tc>
        <w:tc>
          <w:tcPr>
            <w:tcW w:w="1276" w:type="dxa"/>
            <w:vAlign w:val="center"/>
          </w:tcPr>
          <w:p w:rsidR="00644456" w:rsidRDefault="008031C4">
            <w:pPr>
              <w:spacing w:line="300" w:lineRule="exact"/>
              <w:jc w:val="center"/>
              <w:rPr>
                <w:b/>
                <w:color w:val="000000" w:themeColor="text1"/>
                <w:szCs w:val="21"/>
              </w:rPr>
            </w:pPr>
            <w:r>
              <w:rPr>
                <w:rFonts w:hint="eastAsia"/>
                <w:b/>
                <w:color w:val="000000" w:themeColor="text1"/>
                <w:szCs w:val="21"/>
              </w:rPr>
              <w:t>相对项目区高差</w:t>
            </w:r>
            <w:r>
              <w:rPr>
                <w:b/>
                <w:color w:val="000000" w:themeColor="text1"/>
                <w:szCs w:val="21"/>
              </w:rPr>
              <w:t>（</w:t>
            </w:r>
            <w:r>
              <w:rPr>
                <w:b/>
                <w:color w:val="000000" w:themeColor="text1"/>
                <w:szCs w:val="21"/>
              </w:rPr>
              <w:t>m</w:t>
            </w:r>
            <w:r>
              <w:rPr>
                <w:b/>
                <w:color w:val="000000" w:themeColor="text1"/>
                <w:szCs w:val="21"/>
              </w:rPr>
              <w:t>）</w:t>
            </w:r>
          </w:p>
        </w:tc>
        <w:tc>
          <w:tcPr>
            <w:tcW w:w="1354" w:type="dxa"/>
            <w:vAlign w:val="center"/>
          </w:tcPr>
          <w:p w:rsidR="00644456" w:rsidRDefault="008031C4">
            <w:pPr>
              <w:spacing w:line="300" w:lineRule="exact"/>
              <w:jc w:val="center"/>
              <w:rPr>
                <w:b/>
                <w:color w:val="000000" w:themeColor="text1"/>
                <w:szCs w:val="21"/>
              </w:rPr>
            </w:pPr>
            <w:r>
              <w:rPr>
                <w:b/>
                <w:color w:val="000000" w:themeColor="text1"/>
                <w:szCs w:val="21"/>
              </w:rPr>
              <w:t>备注</w:t>
            </w:r>
          </w:p>
        </w:tc>
      </w:tr>
      <w:tr w:rsidR="00644456">
        <w:trPr>
          <w:trHeight w:val="300"/>
          <w:jc w:val="center"/>
        </w:trPr>
        <w:tc>
          <w:tcPr>
            <w:tcW w:w="815" w:type="dxa"/>
            <w:vAlign w:val="center"/>
          </w:tcPr>
          <w:p w:rsidR="00644456" w:rsidRDefault="008031C4">
            <w:pPr>
              <w:spacing w:line="300" w:lineRule="exact"/>
              <w:jc w:val="center"/>
              <w:rPr>
                <w:color w:val="000000" w:themeColor="text1"/>
                <w:szCs w:val="21"/>
              </w:rPr>
            </w:pPr>
            <w:r>
              <w:rPr>
                <w:rFonts w:hint="eastAsia"/>
                <w:color w:val="000000" w:themeColor="text1"/>
                <w:szCs w:val="21"/>
              </w:rPr>
              <w:t>1</w:t>
            </w:r>
          </w:p>
        </w:tc>
        <w:tc>
          <w:tcPr>
            <w:tcW w:w="760" w:type="dxa"/>
            <w:vAlign w:val="center"/>
          </w:tcPr>
          <w:p w:rsidR="00644456" w:rsidRDefault="008031C4">
            <w:pPr>
              <w:spacing w:line="300" w:lineRule="exact"/>
              <w:jc w:val="center"/>
              <w:rPr>
                <w:color w:val="000000" w:themeColor="text1"/>
                <w:szCs w:val="21"/>
              </w:rPr>
            </w:pPr>
            <w:r>
              <w:rPr>
                <w:rFonts w:hint="eastAsia"/>
                <w:color w:val="000000" w:themeColor="text1"/>
                <w:szCs w:val="21"/>
              </w:rPr>
              <w:t>北面</w:t>
            </w:r>
          </w:p>
        </w:tc>
        <w:tc>
          <w:tcPr>
            <w:tcW w:w="1258" w:type="dxa"/>
            <w:vAlign w:val="center"/>
          </w:tcPr>
          <w:p w:rsidR="00644456" w:rsidRDefault="008031C4">
            <w:pPr>
              <w:spacing w:line="300" w:lineRule="exact"/>
              <w:jc w:val="center"/>
              <w:rPr>
                <w:color w:val="000000" w:themeColor="text1"/>
                <w:szCs w:val="21"/>
              </w:rPr>
            </w:pPr>
            <w:r>
              <w:rPr>
                <w:color w:val="000000" w:themeColor="text1"/>
                <w:szCs w:val="21"/>
              </w:rPr>
              <w:t>25</w:t>
            </w:r>
          </w:p>
        </w:tc>
        <w:tc>
          <w:tcPr>
            <w:tcW w:w="2837" w:type="dxa"/>
            <w:vAlign w:val="center"/>
          </w:tcPr>
          <w:p w:rsidR="00644456" w:rsidRDefault="008031C4">
            <w:pPr>
              <w:spacing w:line="300" w:lineRule="exact"/>
              <w:jc w:val="center"/>
              <w:rPr>
                <w:rFonts w:hAnsi="宋体"/>
                <w:color w:val="000000" w:themeColor="text1"/>
                <w:szCs w:val="21"/>
              </w:rPr>
            </w:pPr>
            <w:r>
              <w:rPr>
                <w:rFonts w:hAnsi="宋体" w:hint="eastAsia"/>
                <w:color w:val="000000" w:themeColor="text1"/>
                <w:szCs w:val="21"/>
              </w:rPr>
              <w:t>疏勒县表面处理生态工业园（化工园区）基础设施配套建设项目—电镀污水处理厂</w:t>
            </w:r>
          </w:p>
        </w:tc>
        <w:tc>
          <w:tcPr>
            <w:tcW w:w="709" w:type="dxa"/>
            <w:vAlign w:val="center"/>
          </w:tcPr>
          <w:p w:rsidR="00644456" w:rsidRDefault="008031C4">
            <w:pPr>
              <w:spacing w:line="300" w:lineRule="exact"/>
              <w:jc w:val="center"/>
              <w:rPr>
                <w:color w:val="000000" w:themeColor="text1"/>
                <w:szCs w:val="21"/>
              </w:rPr>
            </w:pPr>
            <w:r>
              <w:rPr>
                <w:rFonts w:hint="eastAsia"/>
                <w:color w:val="000000" w:themeColor="text1"/>
                <w:szCs w:val="21"/>
              </w:rPr>
              <w:t>1</w:t>
            </w:r>
          </w:p>
        </w:tc>
        <w:tc>
          <w:tcPr>
            <w:tcW w:w="1276" w:type="dxa"/>
            <w:vAlign w:val="center"/>
          </w:tcPr>
          <w:p w:rsidR="00644456" w:rsidRDefault="008031C4">
            <w:pPr>
              <w:spacing w:line="300" w:lineRule="exact"/>
              <w:jc w:val="center"/>
              <w:rPr>
                <w:color w:val="000000" w:themeColor="text1"/>
                <w:szCs w:val="21"/>
              </w:rPr>
            </w:pPr>
            <w:r>
              <w:rPr>
                <w:rFonts w:hint="eastAsia"/>
                <w:color w:val="000000" w:themeColor="text1"/>
                <w:szCs w:val="21"/>
              </w:rPr>
              <w:t>-</w:t>
            </w:r>
            <w:r>
              <w:rPr>
                <w:color w:val="000000" w:themeColor="text1"/>
                <w:szCs w:val="21"/>
              </w:rPr>
              <w:t>5</w:t>
            </w:r>
          </w:p>
        </w:tc>
        <w:tc>
          <w:tcPr>
            <w:tcW w:w="1354" w:type="dxa"/>
            <w:vAlign w:val="center"/>
          </w:tcPr>
          <w:p w:rsidR="00644456" w:rsidRDefault="008031C4">
            <w:pPr>
              <w:spacing w:line="300" w:lineRule="exact"/>
              <w:jc w:val="center"/>
              <w:rPr>
                <w:color w:val="000000" w:themeColor="text1"/>
                <w:szCs w:val="21"/>
              </w:rPr>
            </w:pPr>
            <w:r>
              <w:rPr>
                <w:rFonts w:hint="eastAsia"/>
                <w:color w:val="000000" w:themeColor="text1"/>
                <w:szCs w:val="21"/>
              </w:rPr>
              <w:t>污水处理厂</w:t>
            </w:r>
          </w:p>
        </w:tc>
      </w:tr>
      <w:tr w:rsidR="00644456">
        <w:trPr>
          <w:trHeight w:val="300"/>
          <w:jc w:val="center"/>
        </w:trPr>
        <w:tc>
          <w:tcPr>
            <w:tcW w:w="815" w:type="dxa"/>
            <w:vAlign w:val="center"/>
          </w:tcPr>
          <w:p w:rsidR="00644456" w:rsidRDefault="008031C4">
            <w:pPr>
              <w:spacing w:line="300" w:lineRule="exact"/>
              <w:jc w:val="center"/>
              <w:rPr>
                <w:color w:val="000000" w:themeColor="text1"/>
                <w:szCs w:val="21"/>
              </w:rPr>
            </w:pPr>
            <w:r>
              <w:rPr>
                <w:color w:val="000000" w:themeColor="text1"/>
                <w:szCs w:val="21"/>
              </w:rPr>
              <w:t>2</w:t>
            </w:r>
          </w:p>
        </w:tc>
        <w:tc>
          <w:tcPr>
            <w:tcW w:w="760" w:type="dxa"/>
            <w:vAlign w:val="center"/>
          </w:tcPr>
          <w:p w:rsidR="00644456" w:rsidRDefault="008031C4">
            <w:pPr>
              <w:spacing w:line="300" w:lineRule="exact"/>
              <w:jc w:val="center"/>
              <w:rPr>
                <w:color w:val="000000" w:themeColor="text1"/>
                <w:szCs w:val="21"/>
              </w:rPr>
            </w:pPr>
            <w:r>
              <w:rPr>
                <w:rFonts w:hint="eastAsia"/>
                <w:color w:val="000000" w:themeColor="text1"/>
                <w:szCs w:val="21"/>
              </w:rPr>
              <w:t>东南</w:t>
            </w:r>
          </w:p>
        </w:tc>
        <w:tc>
          <w:tcPr>
            <w:tcW w:w="1258" w:type="dxa"/>
            <w:vAlign w:val="center"/>
          </w:tcPr>
          <w:p w:rsidR="00644456" w:rsidRDefault="008031C4">
            <w:pPr>
              <w:spacing w:line="300" w:lineRule="exact"/>
              <w:jc w:val="center"/>
              <w:rPr>
                <w:color w:val="000000" w:themeColor="text1"/>
                <w:szCs w:val="21"/>
              </w:rPr>
            </w:pPr>
            <w:r>
              <w:rPr>
                <w:rFonts w:hint="eastAsia"/>
                <w:color w:val="000000" w:themeColor="text1"/>
                <w:szCs w:val="21"/>
              </w:rPr>
              <w:t>9</w:t>
            </w:r>
            <w:r>
              <w:rPr>
                <w:color w:val="000000" w:themeColor="text1"/>
                <w:szCs w:val="21"/>
              </w:rPr>
              <w:t>58</w:t>
            </w:r>
          </w:p>
        </w:tc>
        <w:tc>
          <w:tcPr>
            <w:tcW w:w="2837" w:type="dxa"/>
            <w:vAlign w:val="center"/>
          </w:tcPr>
          <w:p w:rsidR="00644456" w:rsidRDefault="008031C4">
            <w:pPr>
              <w:spacing w:line="300" w:lineRule="exact"/>
              <w:jc w:val="center"/>
              <w:rPr>
                <w:rFonts w:hAnsi="宋体"/>
                <w:color w:val="000000" w:themeColor="text1"/>
                <w:szCs w:val="21"/>
              </w:rPr>
            </w:pPr>
            <w:r>
              <w:rPr>
                <w:rFonts w:cs="Times New Roman" w:hint="eastAsia"/>
                <w:color w:val="000000"/>
                <w:kern w:val="0"/>
                <w:szCs w:val="21"/>
                <w:lang w:bidi="ar"/>
              </w:rPr>
              <w:t>山钢集团莱芜钢铁新疆有限公司</w:t>
            </w:r>
          </w:p>
        </w:tc>
        <w:tc>
          <w:tcPr>
            <w:tcW w:w="709" w:type="dxa"/>
            <w:vAlign w:val="center"/>
          </w:tcPr>
          <w:p w:rsidR="00644456" w:rsidRDefault="008031C4">
            <w:pPr>
              <w:spacing w:line="300" w:lineRule="exact"/>
              <w:jc w:val="center"/>
              <w:rPr>
                <w:color w:val="000000" w:themeColor="text1"/>
                <w:szCs w:val="21"/>
              </w:rPr>
            </w:pPr>
            <w:r>
              <w:rPr>
                <w:rFonts w:hint="eastAsia"/>
                <w:color w:val="000000" w:themeColor="text1"/>
                <w:szCs w:val="21"/>
              </w:rPr>
              <w:t>1</w:t>
            </w:r>
          </w:p>
        </w:tc>
        <w:tc>
          <w:tcPr>
            <w:tcW w:w="1276" w:type="dxa"/>
            <w:vAlign w:val="center"/>
          </w:tcPr>
          <w:p w:rsidR="00644456" w:rsidRDefault="008031C4">
            <w:pPr>
              <w:spacing w:line="300" w:lineRule="exact"/>
              <w:jc w:val="center"/>
              <w:rPr>
                <w:color w:val="000000" w:themeColor="text1"/>
                <w:szCs w:val="21"/>
              </w:rPr>
            </w:pPr>
            <w:r>
              <w:rPr>
                <w:rFonts w:hint="eastAsia"/>
                <w:color w:val="000000" w:themeColor="text1"/>
                <w:szCs w:val="21"/>
              </w:rPr>
              <w:t>+</w:t>
            </w:r>
            <w:r>
              <w:rPr>
                <w:color w:val="000000" w:themeColor="text1"/>
                <w:szCs w:val="21"/>
              </w:rPr>
              <w:t>5</w:t>
            </w:r>
          </w:p>
        </w:tc>
        <w:tc>
          <w:tcPr>
            <w:tcW w:w="1354" w:type="dxa"/>
            <w:vAlign w:val="center"/>
          </w:tcPr>
          <w:p w:rsidR="00644456" w:rsidRDefault="008031C4">
            <w:pPr>
              <w:jc w:val="center"/>
              <w:rPr>
                <w:color w:val="000000" w:themeColor="text1"/>
                <w:szCs w:val="21"/>
              </w:rPr>
            </w:pPr>
            <w:r>
              <w:rPr>
                <w:rFonts w:cs="Times New Roman" w:hint="eastAsia"/>
                <w:color w:val="000000"/>
                <w:kern w:val="0"/>
                <w:szCs w:val="21"/>
                <w:lang w:bidi="ar"/>
              </w:rPr>
              <w:t>棒材、线材生产</w:t>
            </w:r>
          </w:p>
        </w:tc>
      </w:tr>
      <w:tr w:rsidR="00644456">
        <w:trPr>
          <w:trHeight w:val="300"/>
          <w:jc w:val="center"/>
        </w:trPr>
        <w:tc>
          <w:tcPr>
            <w:tcW w:w="815" w:type="dxa"/>
            <w:vAlign w:val="center"/>
          </w:tcPr>
          <w:p w:rsidR="00644456" w:rsidRDefault="008031C4">
            <w:pPr>
              <w:spacing w:line="300" w:lineRule="exact"/>
              <w:jc w:val="center"/>
              <w:rPr>
                <w:color w:val="000000" w:themeColor="text1"/>
                <w:szCs w:val="21"/>
              </w:rPr>
            </w:pPr>
            <w:r>
              <w:rPr>
                <w:rFonts w:hint="eastAsia"/>
                <w:color w:val="000000" w:themeColor="text1"/>
                <w:szCs w:val="21"/>
              </w:rPr>
              <w:t>3</w:t>
            </w:r>
          </w:p>
        </w:tc>
        <w:tc>
          <w:tcPr>
            <w:tcW w:w="760" w:type="dxa"/>
            <w:vAlign w:val="center"/>
          </w:tcPr>
          <w:p w:rsidR="00644456" w:rsidRDefault="008031C4">
            <w:pPr>
              <w:spacing w:line="300" w:lineRule="exact"/>
              <w:jc w:val="center"/>
              <w:rPr>
                <w:color w:val="000000" w:themeColor="text1"/>
                <w:szCs w:val="21"/>
              </w:rPr>
            </w:pPr>
            <w:r>
              <w:rPr>
                <w:rFonts w:hint="eastAsia"/>
                <w:color w:val="000000" w:themeColor="text1"/>
                <w:szCs w:val="21"/>
              </w:rPr>
              <w:t>东北面</w:t>
            </w:r>
          </w:p>
        </w:tc>
        <w:tc>
          <w:tcPr>
            <w:tcW w:w="1258" w:type="dxa"/>
            <w:vAlign w:val="center"/>
          </w:tcPr>
          <w:p w:rsidR="00644456" w:rsidRDefault="008031C4">
            <w:pPr>
              <w:spacing w:line="300" w:lineRule="exact"/>
              <w:jc w:val="center"/>
              <w:rPr>
                <w:color w:val="000000" w:themeColor="text1"/>
                <w:szCs w:val="21"/>
              </w:rPr>
            </w:pPr>
            <w:r>
              <w:rPr>
                <w:rFonts w:hint="eastAsia"/>
                <w:color w:val="000000" w:themeColor="text1"/>
                <w:szCs w:val="21"/>
              </w:rPr>
              <w:t>2</w:t>
            </w:r>
            <w:r>
              <w:rPr>
                <w:color w:val="000000" w:themeColor="text1"/>
                <w:szCs w:val="21"/>
              </w:rPr>
              <w:t>150</w:t>
            </w:r>
          </w:p>
        </w:tc>
        <w:tc>
          <w:tcPr>
            <w:tcW w:w="2837" w:type="dxa"/>
            <w:vAlign w:val="center"/>
          </w:tcPr>
          <w:p w:rsidR="00644456" w:rsidRDefault="008031C4">
            <w:pPr>
              <w:spacing w:line="300" w:lineRule="exact"/>
              <w:jc w:val="center"/>
              <w:rPr>
                <w:rFonts w:hAnsi="宋体"/>
                <w:color w:val="000000" w:themeColor="text1"/>
                <w:szCs w:val="21"/>
              </w:rPr>
            </w:pPr>
            <w:r>
              <w:rPr>
                <w:rFonts w:hAnsi="宋体" w:hint="eastAsia"/>
                <w:color w:val="000000" w:themeColor="text1"/>
                <w:szCs w:val="21"/>
              </w:rPr>
              <w:t>居住区</w:t>
            </w:r>
          </w:p>
        </w:tc>
        <w:tc>
          <w:tcPr>
            <w:tcW w:w="709" w:type="dxa"/>
            <w:vAlign w:val="center"/>
          </w:tcPr>
          <w:p w:rsidR="00644456" w:rsidRDefault="008031C4">
            <w:pPr>
              <w:spacing w:line="300" w:lineRule="exact"/>
              <w:jc w:val="center"/>
              <w:rPr>
                <w:color w:val="000000" w:themeColor="text1"/>
                <w:szCs w:val="21"/>
              </w:rPr>
            </w:pPr>
            <w:r>
              <w:rPr>
                <w:rFonts w:hint="eastAsia"/>
                <w:color w:val="000000" w:themeColor="text1"/>
                <w:szCs w:val="21"/>
              </w:rPr>
              <w:t>1</w:t>
            </w:r>
          </w:p>
        </w:tc>
        <w:tc>
          <w:tcPr>
            <w:tcW w:w="1276" w:type="dxa"/>
            <w:vAlign w:val="center"/>
          </w:tcPr>
          <w:p w:rsidR="00644456" w:rsidRDefault="008031C4">
            <w:pPr>
              <w:spacing w:line="300" w:lineRule="exact"/>
              <w:jc w:val="center"/>
              <w:rPr>
                <w:color w:val="000000" w:themeColor="text1"/>
                <w:szCs w:val="21"/>
              </w:rPr>
            </w:pPr>
            <w:r>
              <w:rPr>
                <w:rFonts w:hint="eastAsia"/>
                <w:color w:val="000000" w:themeColor="text1"/>
                <w:szCs w:val="21"/>
              </w:rPr>
              <w:t>+</w:t>
            </w:r>
            <w:r>
              <w:rPr>
                <w:color w:val="000000" w:themeColor="text1"/>
                <w:szCs w:val="21"/>
              </w:rPr>
              <w:t>5</w:t>
            </w:r>
          </w:p>
        </w:tc>
        <w:tc>
          <w:tcPr>
            <w:tcW w:w="1354" w:type="dxa"/>
            <w:vAlign w:val="center"/>
          </w:tcPr>
          <w:p w:rsidR="00644456" w:rsidRDefault="008031C4">
            <w:pPr>
              <w:jc w:val="center"/>
              <w:rPr>
                <w:color w:val="000000" w:themeColor="text1"/>
                <w:szCs w:val="21"/>
              </w:rPr>
            </w:pPr>
            <w:r>
              <w:rPr>
                <w:rFonts w:hint="eastAsia"/>
                <w:color w:val="000000" w:themeColor="text1"/>
                <w:szCs w:val="21"/>
              </w:rPr>
              <w:t>6</w:t>
            </w:r>
            <w:r>
              <w:rPr>
                <w:color w:val="000000" w:themeColor="text1"/>
                <w:szCs w:val="21"/>
              </w:rPr>
              <w:t>00</w:t>
            </w:r>
            <w:r>
              <w:rPr>
                <w:rFonts w:hint="eastAsia"/>
                <w:color w:val="000000" w:themeColor="text1"/>
                <w:szCs w:val="21"/>
              </w:rPr>
              <w:t>人</w:t>
            </w:r>
          </w:p>
        </w:tc>
      </w:tr>
      <w:tr w:rsidR="00644456">
        <w:trPr>
          <w:trHeight w:val="300"/>
          <w:jc w:val="center"/>
        </w:trPr>
        <w:tc>
          <w:tcPr>
            <w:tcW w:w="815" w:type="dxa"/>
            <w:vAlign w:val="center"/>
          </w:tcPr>
          <w:p w:rsidR="00644456" w:rsidRDefault="008031C4">
            <w:pPr>
              <w:spacing w:line="300" w:lineRule="exact"/>
              <w:jc w:val="center"/>
              <w:rPr>
                <w:color w:val="000000" w:themeColor="text1"/>
                <w:szCs w:val="21"/>
              </w:rPr>
            </w:pPr>
            <w:r>
              <w:rPr>
                <w:rFonts w:hint="eastAsia"/>
                <w:color w:val="000000" w:themeColor="text1"/>
                <w:szCs w:val="21"/>
              </w:rPr>
              <w:t>4</w:t>
            </w:r>
          </w:p>
        </w:tc>
        <w:tc>
          <w:tcPr>
            <w:tcW w:w="760" w:type="dxa"/>
            <w:vAlign w:val="center"/>
          </w:tcPr>
          <w:p w:rsidR="00644456" w:rsidRDefault="008031C4">
            <w:pPr>
              <w:spacing w:line="300" w:lineRule="exact"/>
              <w:jc w:val="center"/>
              <w:rPr>
                <w:color w:val="000000" w:themeColor="text1"/>
                <w:szCs w:val="21"/>
              </w:rPr>
            </w:pPr>
            <w:r>
              <w:rPr>
                <w:rFonts w:hint="eastAsia"/>
                <w:color w:val="000000" w:themeColor="text1"/>
                <w:szCs w:val="21"/>
              </w:rPr>
              <w:t>西侧</w:t>
            </w:r>
          </w:p>
        </w:tc>
        <w:tc>
          <w:tcPr>
            <w:tcW w:w="1258" w:type="dxa"/>
            <w:vAlign w:val="center"/>
          </w:tcPr>
          <w:p w:rsidR="00644456" w:rsidRDefault="008031C4">
            <w:pPr>
              <w:spacing w:line="300" w:lineRule="exact"/>
              <w:jc w:val="center"/>
              <w:rPr>
                <w:color w:val="000000" w:themeColor="text1"/>
                <w:szCs w:val="21"/>
              </w:rPr>
            </w:pPr>
            <w:r>
              <w:rPr>
                <w:rFonts w:hint="eastAsia"/>
                <w:color w:val="000000" w:themeColor="text1"/>
                <w:szCs w:val="21"/>
              </w:rPr>
              <w:t>1</w:t>
            </w:r>
            <w:r>
              <w:rPr>
                <w:color w:val="000000" w:themeColor="text1"/>
                <w:szCs w:val="21"/>
              </w:rPr>
              <w:t>560</w:t>
            </w:r>
          </w:p>
        </w:tc>
        <w:tc>
          <w:tcPr>
            <w:tcW w:w="2837" w:type="dxa"/>
            <w:vAlign w:val="center"/>
          </w:tcPr>
          <w:p w:rsidR="00644456" w:rsidRDefault="008031C4">
            <w:pPr>
              <w:spacing w:line="300" w:lineRule="exact"/>
              <w:jc w:val="center"/>
              <w:rPr>
                <w:rFonts w:hAnsi="宋体"/>
                <w:color w:val="000000" w:themeColor="text1"/>
                <w:szCs w:val="21"/>
              </w:rPr>
            </w:pPr>
            <w:r>
              <w:rPr>
                <w:rFonts w:hAnsi="宋体" w:hint="eastAsia"/>
                <w:color w:val="000000" w:themeColor="text1"/>
                <w:szCs w:val="21"/>
              </w:rPr>
              <w:t>企业园区</w:t>
            </w:r>
          </w:p>
        </w:tc>
        <w:tc>
          <w:tcPr>
            <w:tcW w:w="709" w:type="dxa"/>
            <w:vAlign w:val="center"/>
          </w:tcPr>
          <w:p w:rsidR="00644456" w:rsidRDefault="008031C4">
            <w:pPr>
              <w:spacing w:line="300" w:lineRule="exact"/>
              <w:jc w:val="center"/>
              <w:rPr>
                <w:color w:val="000000" w:themeColor="text1"/>
                <w:szCs w:val="21"/>
              </w:rPr>
            </w:pPr>
            <w:r>
              <w:rPr>
                <w:rFonts w:hint="eastAsia"/>
                <w:color w:val="000000" w:themeColor="text1"/>
                <w:szCs w:val="21"/>
              </w:rPr>
              <w:t>1</w:t>
            </w:r>
          </w:p>
        </w:tc>
        <w:tc>
          <w:tcPr>
            <w:tcW w:w="1276" w:type="dxa"/>
            <w:vAlign w:val="center"/>
          </w:tcPr>
          <w:p w:rsidR="00644456" w:rsidRDefault="008031C4">
            <w:pPr>
              <w:spacing w:line="300" w:lineRule="exact"/>
              <w:jc w:val="center"/>
              <w:rPr>
                <w:color w:val="000000" w:themeColor="text1"/>
                <w:szCs w:val="21"/>
              </w:rPr>
            </w:pPr>
            <w:r>
              <w:rPr>
                <w:rFonts w:hint="eastAsia"/>
                <w:color w:val="000000" w:themeColor="text1"/>
                <w:szCs w:val="21"/>
              </w:rPr>
              <w:t>-</w:t>
            </w:r>
            <w:r>
              <w:rPr>
                <w:color w:val="000000" w:themeColor="text1"/>
                <w:szCs w:val="21"/>
              </w:rPr>
              <w:t>10</w:t>
            </w:r>
          </w:p>
        </w:tc>
        <w:tc>
          <w:tcPr>
            <w:tcW w:w="1354" w:type="dxa"/>
            <w:vAlign w:val="center"/>
          </w:tcPr>
          <w:p w:rsidR="00644456" w:rsidRDefault="008031C4">
            <w:pPr>
              <w:jc w:val="center"/>
              <w:rPr>
                <w:color w:val="000000" w:themeColor="text1"/>
                <w:szCs w:val="21"/>
              </w:rPr>
            </w:pPr>
            <w:r>
              <w:rPr>
                <w:rFonts w:hint="eastAsia"/>
                <w:color w:val="000000" w:themeColor="text1"/>
                <w:szCs w:val="21"/>
              </w:rPr>
              <w:t>金属表面处理园区</w:t>
            </w:r>
          </w:p>
        </w:tc>
      </w:tr>
      <w:tr w:rsidR="00644456">
        <w:trPr>
          <w:trHeight w:val="300"/>
          <w:jc w:val="center"/>
        </w:trPr>
        <w:tc>
          <w:tcPr>
            <w:tcW w:w="815" w:type="dxa"/>
            <w:vAlign w:val="center"/>
          </w:tcPr>
          <w:p w:rsidR="00644456" w:rsidRDefault="008031C4">
            <w:pPr>
              <w:spacing w:line="300" w:lineRule="exact"/>
              <w:jc w:val="center"/>
              <w:rPr>
                <w:color w:val="000000" w:themeColor="text1"/>
                <w:szCs w:val="21"/>
              </w:rPr>
            </w:pPr>
            <w:r>
              <w:rPr>
                <w:rFonts w:hint="eastAsia"/>
                <w:color w:val="000000" w:themeColor="text1"/>
                <w:szCs w:val="21"/>
              </w:rPr>
              <w:t>5</w:t>
            </w:r>
          </w:p>
        </w:tc>
        <w:tc>
          <w:tcPr>
            <w:tcW w:w="760" w:type="dxa"/>
            <w:vAlign w:val="center"/>
          </w:tcPr>
          <w:p w:rsidR="00644456" w:rsidRDefault="008031C4">
            <w:pPr>
              <w:spacing w:line="300" w:lineRule="exact"/>
              <w:jc w:val="center"/>
              <w:rPr>
                <w:color w:val="000000" w:themeColor="text1"/>
                <w:szCs w:val="21"/>
              </w:rPr>
            </w:pPr>
            <w:r>
              <w:rPr>
                <w:rFonts w:hint="eastAsia"/>
                <w:color w:val="000000" w:themeColor="text1"/>
                <w:szCs w:val="21"/>
              </w:rPr>
              <w:t>东侧</w:t>
            </w:r>
          </w:p>
        </w:tc>
        <w:tc>
          <w:tcPr>
            <w:tcW w:w="1258" w:type="dxa"/>
            <w:vAlign w:val="center"/>
          </w:tcPr>
          <w:p w:rsidR="00644456" w:rsidRDefault="008031C4">
            <w:pPr>
              <w:spacing w:line="300" w:lineRule="exact"/>
              <w:jc w:val="center"/>
              <w:rPr>
                <w:color w:val="000000" w:themeColor="text1"/>
                <w:szCs w:val="21"/>
              </w:rPr>
            </w:pPr>
            <w:r>
              <w:rPr>
                <w:rFonts w:hint="eastAsia"/>
                <w:color w:val="000000" w:themeColor="text1"/>
                <w:szCs w:val="21"/>
              </w:rPr>
              <w:t>40</w:t>
            </w:r>
          </w:p>
        </w:tc>
        <w:tc>
          <w:tcPr>
            <w:tcW w:w="2837" w:type="dxa"/>
            <w:vAlign w:val="center"/>
          </w:tcPr>
          <w:p w:rsidR="00644456" w:rsidRDefault="008031C4">
            <w:pPr>
              <w:spacing w:line="300" w:lineRule="exact"/>
              <w:jc w:val="center"/>
              <w:rPr>
                <w:rFonts w:hAnsi="宋体"/>
                <w:color w:val="000000" w:themeColor="text1"/>
                <w:szCs w:val="21"/>
              </w:rPr>
            </w:pPr>
            <w:r>
              <w:rPr>
                <w:rFonts w:hAnsi="宋体" w:hint="eastAsia"/>
                <w:color w:val="000000" w:themeColor="text1"/>
                <w:szCs w:val="21"/>
              </w:rPr>
              <w:t>新疆维实生物科技有限公司</w:t>
            </w:r>
          </w:p>
        </w:tc>
        <w:tc>
          <w:tcPr>
            <w:tcW w:w="709" w:type="dxa"/>
            <w:vAlign w:val="center"/>
          </w:tcPr>
          <w:p w:rsidR="00644456" w:rsidRDefault="008031C4">
            <w:pPr>
              <w:spacing w:line="300" w:lineRule="exact"/>
              <w:jc w:val="center"/>
              <w:rPr>
                <w:color w:val="000000" w:themeColor="text1"/>
                <w:szCs w:val="21"/>
              </w:rPr>
            </w:pPr>
            <w:r>
              <w:rPr>
                <w:rFonts w:hint="eastAsia"/>
                <w:color w:val="000000" w:themeColor="text1"/>
                <w:szCs w:val="21"/>
              </w:rPr>
              <w:t>1</w:t>
            </w:r>
          </w:p>
        </w:tc>
        <w:tc>
          <w:tcPr>
            <w:tcW w:w="1276" w:type="dxa"/>
            <w:vAlign w:val="center"/>
          </w:tcPr>
          <w:p w:rsidR="00644456" w:rsidRDefault="008031C4">
            <w:pPr>
              <w:spacing w:line="300" w:lineRule="exact"/>
              <w:jc w:val="center"/>
              <w:rPr>
                <w:color w:val="000000" w:themeColor="text1"/>
                <w:szCs w:val="21"/>
              </w:rPr>
            </w:pPr>
            <w:r>
              <w:rPr>
                <w:rFonts w:hint="eastAsia"/>
                <w:color w:val="000000" w:themeColor="text1"/>
                <w:szCs w:val="21"/>
              </w:rPr>
              <w:t>0</w:t>
            </w:r>
          </w:p>
        </w:tc>
        <w:tc>
          <w:tcPr>
            <w:tcW w:w="1354" w:type="dxa"/>
            <w:vAlign w:val="center"/>
          </w:tcPr>
          <w:p w:rsidR="00644456" w:rsidRDefault="008031C4">
            <w:pPr>
              <w:jc w:val="center"/>
              <w:rPr>
                <w:color w:val="000000" w:themeColor="text1"/>
                <w:szCs w:val="21"/>
              </w:rPr>
            </w:pPr>
            <w:r>
              <w:rPr>
                <w:rFonts w:hint="eastAsia"/>
                <w:color w:val="000000" w:themeColor="text1"/>
                <w:szCs w:val="21"/>
              </w:rPr>
              <w:t>化学原料</w:t>
            </w:r>
          </w:p>
        </w:tc>
      </w:tr>
    </w:tbl>
    <w:bookmarkEnd w:id="53"/>
    <w:p w:rsidR="00644456" w:rsidRDefault="008031C4">
      <w:pPr>
        <w:pStyle w:val="3"/>
        <w:numPr>
          <w:ilvl w:val="2"/>
          <w:numId w:val="0"/>
        </w:numPr>
        <w:ind w:firstLineChars="200" w:firstLine="482"/>
      </w:pPr>
      <w:r>
        <w:rPr>
          <w:rFonts w:hint="eastAsia"/>
        </w:rPr>
        <w:t>1.5.2</w:t>
      </w:r>
      <w:r>
        <w:t>项目选址合理性分析</w:t>
      </w:r>
    </w:p>
    <w:p w:rsidR="00644456" w:rsidRDefault="008031C4">
      <w:pPr>
        <w:pStyle w:val="affffffffc"/>
        <w:snapToGrid w:val="0"/>
        <w:rPr>
          <w:rFonts w:cs="Times New Roman"/>
          <w:color w:val="000000" w:themeColor="text1"/>
        </w:rPr>
      </w:pPr>
      <w:r>
        <w:rPr>
          <w:rFonts w:cs="Times New Roman" w:hint="eastAsia"/>
          <w:color w:val="000000" w:themeColor="text1"/>
        </w:rPr>
        <w:t>本项目位于疏勒高新技术产业开发区齐鲁生态钢城化工产业聚集区，土地利用性质为工业用地（三类工业用地）。现状为空地，根据疏勒县自然资源局出具的《规划设计条件书》：项目占地面积</w:t>
      </w:r>
      <w:r>
        <w:rPr>
          <w:rFonts w:cs="Times New Roman"/>
          <w:color w:val="000000" w:themeColor="text1"/>
        </w:rPr>
        <w:t>35240.</w:t>
      </w:r>
      <w:r>
        <w:rPr>
          <w:rFonts w:cs="Times New Roman" w:hint="eastAsia"/>
          <w:color w:val="000000" w:themeColor="text1"/>
        </w:rPr>
        <w:t>平方米，属于工业用地。</w:t>
      </w:r>
    </w:p>
    <w:p w:rsidR="00644456" w:rsidRDefault="008031C4">
      <w:pPr>
        <w:pStyle w:val="affffffffc"/>
        <w:snapToGrid w:val="0"/>
        <w:rPr>
          <w:rFonts w:cs="Times New Roman"/>
          <w:b/>
          <w:bCs/>
          <w:color w:val="000000" w:themeColor="text1"/>
        </w:rPr>
      </w:pPr>
      <w:r>
        <w:rPr>
          <w:rFonts w:cs="Times New Roman" w:hint="eastAsia"/>
          <w:color w:val="000000" w:themeColor="text1"/>
        </w:rPr>
        <w:lastRenderedPageBreak/>
        <w:t>根据《疏勒高新技术产业开发区总体规划图》：本项目位于疏勒高新技术产业开发区，</w:t>
      </w:r>
      <w:r>
        <w:rPr>
          <w:rFonts w:cs="Times New Roman" w:hint="eastAsia"/>
          <w:b/>
          <w:bCs/>
          <w:color w:val="000000" w:themeColor="text1"/>
        </w:rPr>
        <w:t>位于化工产业聚集区，属于规划工业用地，符合园区及城市规划</w:t>
      </w:r>
      <w:r>
        <w:rPr>
          <w:rFonts w:cs="Times New Roman"/>
          <w:b/>
          <w:bCs/>
          <w:color w:val="000000" w:themeColor="text1"/>
        </w:rPr>
        <w:t>。</w:t>
      </w:r>
    </w:p>
    <w:p w:rsidR="00644456" w:rsidRDefault="008031C4">
      <w:pPr>
        <w:pStyle w:val="3"/>
        <w:numPr>
          <w:ilvl w:val="2"/>
          <w:numId w:val="0"/>
        </w:numPr>
        <w:ind w:firstLineChars="200" w:firstLine="482"/>
      </w:pPr>
      <w:r>
        <w:rPr>
          <w:rFonts w:hint="eastAsia"/>
        </w:rPr>
        <w:t>1.5.3</w:t>
      </w:r>
      <w:r>
        <w:t>环境相容性分析</w:t>
      </w:r>
    </w:p>
    <w:p w:rsidR="00644456" w:rsidRDefault="008031C4">
      <w:pPr>
        <w:pStyle w:val="affffffffc"/>
        <w:snapToGrid w:val="0"/>
        <w:ind w:firstLine="482"/>
        <w:rPr>
          <w:rFonts w:cs="Times New Roman"/>
          <w:b/>
          <w:bCs/>
          <w:color w:val="000000" w:themeColor="text1"/>
        </w:rPr>
      </w:pPr>
      <w:bookmarkStart w:id="54" w:name="OLE_LINK18"/>
      <w:r>
        <w:rPr>
          <w:rFonts w:cs="Times New Roman" w:hint="eastAsia"/>
          <w:b/>
          <w:bCs/>
          <w:color w:val="000000" w:themeColor="text1"/>
        </w:rPr>
        <w:t>（</w:t>
      </w:r>
      <w:r>
        <w:rPr>
          <w:rFonts w:cs="Times New Roman" w:hint="eastAsia"/>
          <w:b/>
          <w:bCs/>
          <w:color w:val="000000" w:themeColor="text1"/>
        </w:rPr>
        <w:t>1</w:t>
      </w:r>
      <w:r>
        <w:rPr>
          <w:rFonts w:cs="Times New Roman" w:hint="eastAsia"/>
          <w:b/>
          <w:bCs/>
          <w:color w:val="000000" w:themeColor="text1"/>
        </w:rPr>
        <w:t>）环境制约情况</w:t>
      </w:r>
    </w:p>
    <w:p w:rsidR="00644456" w:rsidRDefault="008031C4">
      <w:pPr>
        <w:pStyle w:val="affffffffc"/>
        <w:snapToGrid w:val="0"/>
        <w:rPr>
          <w:rFonts w:cs="Times New Roman"/>
          <w:b/>
          <w:bCs/>
          <w:color w:val="000000" w:themeColor="text1"/>
        </w:rPr>
      </w:pPr>
      <w:r>
        <w:rPr>
          <w:rFonts w:cs="Times New Roman"/>
          <w:color w:val="000000" w:themeColor="text1"/>
        </w:rPr>
        <w:t>项目位于</w:t>
      </w:r>
      <w:r>
        <w:rPr>
          <w:rFonts w:cs="Times New Roman" w:hint="eastAsia"/>
          <w:color w:val="000000" w:themeColor="text1"/>
        </w:rPr>
        <w:t>疏勒高新技术产业开发区齐鲁生态钢城化工产业聚集区</w:t>
      </w:r>
      <w:r>
        <w:rPr>
          <w:rFonts w:cs="Times New Roman"/>
          <w:color w:val="000000" w:themeColor="text1"/>
        </w:rPr>
        <w:t>，评价范围不涉及国家公园、自然保护区、风景名胜区、世界文化和自然遗产地、集中式饮用水水源保护区；不涉及永久基本农田，不在生态保护红线范围内；不涉及重要的文教、医院、居住区、科研行政办公及文物保护单位，项目实施后区域大气环境仍满足《环境空气质量标准（</w:t>
      </w:r>
      <w:r>
        <w:rPr>
          <w:rFonts w:cs="Times New Roman"/>
          <w:color w:val="000000" w:themeColor="text1"/>
        </w:rPr>
        <w:t>GB3095-2012</w:t>
      </w:r>
      <w:r>
        <w:rPr>
          <w:rFonts w:cs="Times New Roman"/>
          <w:color w:val="000000" w:themeColor="text1"/>
        </w:rPr>
        <w:t>）》二级标准，</w:t>
      </w:r>
      <w:r>
        <w:rPr>
          <w:rFonts w:cs="Times New Roman" w:hint="eastAsia"/>
          <w:color w:val="000000" w:themeColor="text1"/>
        </w:rPr>
        <w:t>并且根据实地勘察，区域主要敏感点位于项目东北面（常年主导风向侧风向），</w:t>
      </w:r>
      <w:r>
        <w:rPr>
          <w:rFonts w:cs="Times New Roman"/>
          <w:color w:val="000000" w:themeColor="text1"/>
        </w:rPr>
        <w:t>地下水环境满足《地下水质量标准（</w:t>
      </w:r>
      <w:r>
        <w:rPr>
          <w:rFonts w:cs="Times New Roman"/>
          <w:color w:val="000000" w:themeColor="text1"/>
        </w:rPr>
        <w:t>GB/T14848-2017</w:t>
      </w:r>
      <w:r>
        <w:rPr>
          <w:rFonts w:cs="Times New Roman"/>
          <w:color w:val="000000" w:themeColor="text1"/>
        </w:rPr>
        <w:t>）》</w:t>
      </w:r>
      <w:r>
        <w:rPr>
          <w:rFonts w:cs="Times New Roman"/>
          <w:color w:val="000000" w:themeColor="text1"/>
        </w:rPr>
        <w:t>III</w:t>
      </w:r>
      <w:r>
        <w:rPr>
          <w:rFonts w:cs="Times New Roman"/>
          <w:color w:val="000000" w:themeColor="text1"/>
        </w:rPr>
        <w:t>类标准，声环境仍满足《声环境质量标准（</w:t>
      </w:r>
      <w:r>
        <w:rPr>
          <w:rFonts w:cs="Times New Roman"/>
          <w:color w:val="000000" w:themeColor="text1"/>
        </w:rPr>
        <w:t>GB3096-2008</w:t>
      </w:r>
      <w:r>
        <w:rPr>
          <w:rFonts w:cs="Times New Roman"/>
          <w:color w:val="000000" w:themeColor="text1"/>
        </w:rPr>
        <w:t>）》</w:t>
      </w:r>
      <w:r>
        <w:rPr>
          <w:rFonts w:cs="Times New Roman"/>
          <w:color w:val="000000" w:themeColor="text1"/>
        </w:rPr>
        <w:t>3</w:t>
      </w:r>
      <w:r>
        <w:rPr>
          <w:rFonts w:cs="Times New Roman"/>
          <w:color w:val="000000" w:themeColor="text1"/>
        </w:rPr>
        <w:t>类标准。项目生产废水经</w:t>
      </w:r>
      <w:r>
        <w:rPr>
          <w:rFonts w:cs="Times New Roman" w:hint="eastAsia"/>
          <w:color w:val="000000" w:themeColor="text1"/>
        </w:rPr>
        <w:t>自建污水处理站处理</w:t>
      </w:r>
      <w:r>
        <w:rPr>
          <w:rFonts w:cs="Times New Roman"/>
          <w:color w:val="000000" w:themeColor="text1"/>
        </w:rPr>
        <w:t>后经污水管网送至污水处理厂。</w:t>
      </w:r>
      <w:r>
        <w:rPr>
          <w:rFonts w:cs="Times New Roman"/>
          <w:b/>
          <w:bCs/>
          <w:color w:val="000000" w:themeColor="text1"/>
        </w:rPr>
        <w:t>因此，不存在明显的环境制约因素。</w:t>
      </w:r>
    </w:p>
    <w:p w:rsidR="00644456" w:rsidRDefault="008031C4">
      <w:pPr>
        <w:pStyle w:val="affffffffc"/>
        <w:snapToGrid w:val="0"/>
        <w:ind w:firstLine="482"/>
        <w:rPr>
          <w:rFonts w:cs="Times New Roman"/>
          <w:b/>
          <w:bCs/>
          <w:color w:val="000000" w:themeColor="text1"/>
        </w:rPr>
      </w:pPr>
      <w:r>
        <w:rPr>
          <w:rFonts w:cs="Times New Roman" w:hint="eastAsia"/>
          <w:b/>
          <w:bCs/>
          <w:color w:val="000000" w:themeColor="text1"/>
        </w:rPr>
        <w:t>（</w:t>
      </w:r>
      <w:r>
        <w:rPr>
          <w:rFonts w:cs="Times New Roman" w:hint="eastAsia"/>
          <w:b/>
          <w:bCs/>
          <w:color w:val="000000" w:themeColor="text1"/>
        </w:rPr>
        <w:t>2</w:t>
      </w:r>
      <w:r>
        <w:rPr>
          <w:rFonts w:cs="Times New Roman" w:hint="eastAsia"/>
          <w:b/>
          <w:bCs/>
          <w:color w:val="000000" w:themeColor="text1"/>
        </w:rPr>
        <w:t>）卫生防护距离</w:t>
      </w:r>
    </w:p>
    <w:p w:rsidR="00644456" w:rsidRDefault="008031C4">
      <w:pPr>
        <w:pStyle w:val="affffffffc"/>
        <w:snapToGrid w:val="0"/>
        <w:ind w:firstLine="482"/>
        <w:rPr>
          <w:rFonts w:cs="Times New Roman"/>
          <w:b/>
          <w:bCs/>
          <w:color w:val="000000" w:themeColor="text1"/>
        </w:rPr>
      </w:pPr>
      <w:r>
        <w:rPr>
          <w:rFonts w:cs="Times New Roman" w:hint="eastAsia"/>
          <w:b/>
          <w:bCs/>
          <w:color w:val="000000" w:themeColor="text1"/>
        </w:rPr>
        <w:t>本项目卫生防护距离</w:t>
      </w:r>
      <w:r w:rsidR="008B0FF7">
        <w:rPr>
          <w:rFonts w:cs="Times New Roman" w:hint="eastAsia"/>
          <w:b/>
          <w:bCs/>
          <w:color w:val="000000" w:themeColor="text1"/>
        </w:rPr>
        <w:t>：</w:t>
      </w:r>
      <w:r w:rsidR="008B0FF7" w:rsidRPr="008B0FF7">
        <w:rPr>
          <w:rFonts w:cs="Times New Roman" w:hint="eastAsia"/>
          <w:b/>
          <w:bCs/>
          <w:color w:val="000000" w:themeColor="text1"/>
        </w:rPr>
        <w:t>以储罐区、装卸区、装置区设置</w:t>
      </w:r>
      <w:r w:rsidR="008B0FF7" w:rsidRPr="008B0FF7">
        <w:rPr>
          <w:rFonts w:cs="Times New Roman" w:hint="eastAsia"/>
          <w:b/>
          <w:bCs/>
          <w:color w:val="000000" w:themeColor="text1"/>
        </w:rPr>
        <w:t>50m</w:t>
      </w:r>
      <w:r w:rsidR="008B0FF7" w:rsidRPr="008B0FF7">
        <w:rPr>
          <w:rFonts w:cs="Times New Roman" w:hint="eastAsia"/>
          <w:b/>
          <w:bCs/>
          <w:color w:val="000000" w:themeColor="text1"/>
        </w:rPr>
        <w:t>，污水处理区设置</w:t>
      </w:r>
      <w:r w:rsidR="008B0FF7" w:rsidRPr="008B0FF7">
        <w:rPr>
          <w:rFonts w:cs="Times New Roman" w:hint="eastAsia"/>
          <w:b/>
          <w:bCs/>
          <w:color w:val="000000" w:themeColor="text1"/>
        </w:rPr>
        <w:t>100m</w:t>
      </w:r>
      <w:r>
        <w:rPr>
          <w:rFonts w:cs="Times New Roman" w:hint="eastAsia"/>
          <w:b/>
          <w:bCs/>
          <w:color w:val="000000" w:themeColor="text1"/>
        </w:rPr>
        <w:t>所形成的包络线范围，卫生防护距离内无已建、在建、规划的居民、医院、学校、机关单位等敏感保护目标以及对环境空气有特殊要求的制药、食品等企业。</w:t>
      </w:r>
    </w:p>
    <w:p w:rsidR="00644456" w:rsidRDefault="008031C4">
      <w:pPr>
        <w:pStyle w:val="affffffffc"/>
        <w:snapToGrid w:val="0"/>
        <w:ind w:firstLine="482"/>
        <w:rPr>
          <w:rFonts w:cs="Times New Roman"/>
          <w:b/>
          <w:bCs/>
          <w:color w:val="000000" w:themeColor="text1"/>
        </w:rPr>
      </w:pPr>
      <w:r>
        <w:rPr>
          <w:rFonts w:cs="Times New Roman" w:hint="eastAsia"/>
          <w:b/>
          <w:bCs/>
          <w:color w:val="000000" w:themeColor="text1"/>
        </w:rPr>
        <w:t>（</w:t>
      </w:r>
      <w:r>
        <w:rPr>
          <w:rFonts w:cs="Times New Roman" w:hint="eastAsia"/>
          <w:b/>
          <w:bCs/>
          <w:color w:val="000000" w:themeColor="text1"/>
        </w:rPr>
        <w:t>3</w:t>
      </w:r>
      <w:r>
        <w:rPr>
          <w:rFonts w:cs="Times New Roman" w:hint="eastAsia"/>
          <w:b/>
          <w:bCs/>
          <w:color w:val="000000" w:themeColor="text1"/>
        </w:rPr>
        <w:t>）污染防治措施有效性</w:t>
      </w:r>
    </w:p>
    <w:p w:rsidR="00644456" w:rsidRDefault="008031C4">
      <w:pPr>
        <w:pStyle w:val="affffffffc"/>
        <w:snapToGrid w:val="0"/>
        <w:rPr>
          <w:rFonts w:cs="Times New Roman"/>
          <w:color w:val="000000" w:themeColor="text1"/>
        </w:rPr>
      </w:pPr>
      <w:r>
        <w:rPr>
          <w:rFonts w:cs="Times New Roman" w:hint="eastAsia"/>
          <w:color w:val="000000" w:themeColor="text1"/>
        </w:rPr>
        <w:t>生产废气设置处理能力为</w:t>
      </w:r>
      <w:r>
        <w:rPr>
          <w:rFonts w:cs="Times New Roman" w:hint="eastAsia"/>
          <w:color w:val="000000" w:themeColor="text1"/>
        </w:rPr>
        <w:t>1</w:t>
      </w:r>
      <w:r>
        <w:rPr>
          <w:rFonts w:cs="Times New Roman"/>
          <w:color w:val="000000" w:themeColor="text1"/>
        </w:rPr>
        <w:t>20</w:t>
      </w:r>
      <w:r>
        <w:rPr>
          <w:rFonts w:cs="Times New Roman" w:hint="eastAsia"/>
          <w:color w:val="000000" w:themeColor="text1"/>
        </w:rPr>
        <w:t>00m</w:t>
      </w:r>
      <w:r>
        <w:rPr>
          <w:rFonts w:cs="Times New Roman" w:hint="eastAsia"/>
          <w:color w:val="000000" w:themeColor="text1"/>
          <w:vertAlign w:val="superscript"/>
        </w:rPr>
        <w:t>3</w:t>
      </w:r>
      <w:r>
        <w:rPr>
          <w:rFonts w:cs="Times New Roman" w:hint="eastAsia"/>
          <w:color w:val="000000" w:themeColor="text1"/>
        </w:rPr>
        <w:t>/h</w:t>
      </w:r>
      <w:r>
        <w:rPr>
          <w:rFonts w:cs="Times New Roman" w:hint="eastAsia"/>
          <w:color w:val="000000" w:themeColor="text1"/>
        </w:rPr>
        <w:t>废气处理设施，采用“三级干式过滤</w:t>
      </w:r>
      <w:r>
        <w:rPr>
          <w:rFonts w:cs="Times New Roman" w:hint="eastAsia"/>
          <w:color w:val="000000" w:themeColor="text1"/>
        </w:rPr>
        <w:t>+</w:t>
      </w:r>
      <w:r>
        <w:rPr>
          <w:rFonts w:cs="Times New Roman" w:hint="eastAsia"/>
          <w:color w:val="000000" w:themeColor="text1"/>
        </w:rPr>
        <w:t>直燃式热氧化炉</w:t>
      </w:r>
      <w:r>
        <w:rPr>
          <w:rFonts w:cs="Times New Roman" w:hint="eastAsia"/>
          <w:color w:val="000000" w:themeColor="text1"/>
        </w:rPr>
        <w:t>+</w:t>
      </w:r>
      <w:r>
        <w:rPr>
          <w:rFonts w:cs="Times New Roman" w:hint="eastAsia"/>
          <w:color w:val="000000" w:themeColor="text1"/>
        </w:rPr>
        <w:t>烟气余热回收</w:t>
      </w:r>
      <w:r>
        <w:rPr>
          <w:rFonts w:cs="Times New Roman" w:hint="eastAsia"/>
          <w:color w:val="000000" w:themeColor="text1"/>
        </w:rPr>
        <w:t>+</w:t>
      </w:r>
      <w:r>
        <w:rPr>
          <w:rFonts w:cs="Times New Roman" w:hint="eastAsia"/>
          <w:color w:val="000000" w:themeColor="text1"/>
        </w:rPr>
        <w:t>二级碱液喷淋”处理工艺，以电为主要的动力源，废气经过处理后通过</w:t>
      </w:r>
      <w:r>
        <w:rPr>
          <w:rFonts w:cs="Times New Roman" w:hint="eastAsia"/>
          <w:color w:val="000000" w:themeColor="text1"/>
        </w:rPr>
        <w:t>1</w:t>
      </w:r>
      <w:r>
        <w:rPr>
          <w:rFonts w:cs="Times New Roman" w:hint="eastAsia"/>
          <w:color w:val="000000" w:themeColor="text1"/>
        </w:rPr>
        <w:t>根</w:t>
      </w:r>
      <w:r>
        <w:rPr>
          <w:rFonts w:cs="Times New Roman"/>
          <w:color w:val="000000" w:themeColor="text1"/>
        </w:rPr>
        <w:t>15</w:t>
      </w:r>
      <w:r>
        <w:rPr>
          <w:rFonts w:cs="Times New Roman" w:hint="eastAsia"/>
          <w:color w:val="000000" w:themeColor="text1"/>
        </w:rPr>
        <w:t>米高排气筒高空排放，满足《大气污染物综合排放标准》（</w:t>
      </w:r>
      <w:r>
        <w:rPr>
          <w:rFonts w:cs="Times New Roman" w:hint="eastAsia"/>
          <w:color w:val="000000" w:themeColor="text1"/>
        </w:rPr>
        <w:t>GB16297-1996</w:t>
      </w:r>
      <w:r>
        <w:rPr>
          <w:rFonts w:cs="Times New Roman" w:hint="eastAsia"/>
          <w:color w:val="000000" w:themeColor="text1"/>
        </w:rPr>
        <w:t>）及《恶臭污染物排放标准》，导热油锅炉采用低氮燃烧设置</w:t>
      </w:r>
      <w:r>
        <w:rPr>
          <w:rFonts w:cs="Times New Roman" w:hint="eastAsia"/>
          <w:color w:val="000000" w:themeColor="text1"/>
        </w:rPr>
        <w:t>1</w:t>
      </w:r>
      <w:r>
        <w:rPr>
          <w:rFonts w:cs="Times New Roman" w:hint="eastAsia"/>
          <w:color w:val="000000" w:themeColor="text1"/>
        </w:rPr>
        <w:t>根</w:t>
      </w:r>
      <w:r w:rsidR="00E159BB">
        <w:rPr>
          <w:rFonts w:cs="Times New Roman"/>
          <w:color w:val="000000" w:themeColor="text1"/>
        </w:rPr>
        <w:t>8</w:t>
      </w:r>
      <w:r>
        <w:rPr>
          <w:rFonts w:cs="Times New Roman" w:hint="eastAsia"/>
          <w:color w:val="000000" w:themeColor="text1"/>
        </w:rPr>
        <w:t>高排气筒，满足《锅炉大气污染物排放标准》（</w:t>
      </w:r>
      <w:r>
        <w:rPr>
          <w:rFonts w:cs="Times New Roman" w:hint="eastAsia"/>
          <w:color w:val="000000" w:themeColor="text1"/>
        </w:rPr>
        <w:t>GB13271-2014</w:t>
      </w:r>
      <w:r>
        <w:rPr>
          <w:rFonts w:cs="Times New Roman" w:hint="eastAsia"/>
          <w:color w:val="000000" w:themeColor="text1"/>
        </w:rPr>
        <w:t>）中规定的燃气锅炉标准限值。废水设置处理能力为</w:t>
      </w:r>
      <w:r>
        <w:rPr>
          <w:rFonts w:cs="Times New Roman"/>
          <w:color w:val="000000" w:themeColor="text1"/>
        </w:rPr>
        <w:t>200</w:t>
      </w:r>
      <w:r>
        <w:rPr>
          <w:rFonts w:cs="Times New Roman" w:hint="eastAsia"/>
          <w:color w:val="000000" w:themeColor="text1"/>
        </w:rPr>
        <w:t>m</w:t>
      </w:r>
      <w:r>
        <w:rPr>
          <w:rFonts w:cs="Times New Roman" w:hint="eastAsia"/>
          <w:color w:val="000000" w:themeColor="text1"/>
          <w:vertAlign w:val="superscript"/>
        </w:rPr>
        <w:t>3</w:t>
      </w:r>
      <w:r>
        <w:rPr>
          <w:rFonts w:cs="Times New Roman" w:hint="eastAsia"/>
          <w:color w:val="000000" w:themeColor="text1"/>
        </w:rPr>
        <w:t>/</w:t>
      </w:r>
      <w:r>
        <w:rPr>
          <w:rFonts w:cs="Times New Roman"/>
          <w:color w:val="000000" w:themeColor="text1"/>
        </w:rPr>
        <w:t>d</w:t>
      </w:r>
      <w:r>
        <w:rPr>
          <w:rFonts w:cs="Times New Roman" w:hint="eastAsia"/>
          <w:color w:val="000000" w:themeColor="text1"/>
        </w:rPr>
        <w:t>废水处理装置，采用电解气浮和生物处理相结合的二级污水处理工艺，处理后的废水通过管网排至生态钢城污水处理厂进行处理。</w:t>
      </w:r>
    </w:p>
    <w:p w:rsidR="00644456" w:rsidRDefault="008031C4">
      <w:pPr>
        <w:pStyle w:val="affffffffc"/>
        <w:snapToGrid w:val="0"/>
        <w:ind w:firstLine="482"/>
        <w:rPr>
          <w:rFonts w:cs="Times New Roman"/>
          <w:b/>
          <w:bCs/>
          <w:color w:val="000000" w:themeColor="text1"/>
        </w:rPr>
      </w:pPr>
      <w:r>
        <w:rPr>
          <w:rFonts w:cs="Times New Roman" w:hint="eastAsia"/>
          <w:b/>
          <w:bCs/>
          <w:color w:val="000000" w:themeColor="text1"/>
        </w:rPr>
        <w:t>根据预测本项目实施后对周边环境敏感点影响较小，项目所在区域环境可承受，不会影响疏勒高新技术产业开发区环境质量目标的实现。</w:t>
      </w:r>
    </w:p>
    <w:bookmarkEnd w:id="54"/>
    <w:p w:rsidR="00644456" w:rsidRDefault="008031C4">
      <w:pPr>
        <w:pStyle w:val="3"/>
        <w:numPr>
          <w:ilvl w:val="2"/>
          <w:numId w:val="0"/>
        </w:numPr>
        <w:ind w:firstLineChars="200" w:firstLine="482"/>
      </w:pPr>
      <w:r>
        <w:rPr>
          <w:rFonts w:hint="eastAsia"/>
        </w:rPr>
        <w:t>1.5.4</w:t>
      </w:r>
      <w:r>
        <w:t>选址合理性结论</w:t>
      </w:r>
    </w:p>
    <w:p w:rsidR="00644456" w:rsidRDefault="008031C4">
      <w:pPr>
        <w:adjustRightInd w:val="0"/>
        <w:snapToGrid w:val="0"/>
        <w:spacing w:line="360" w:lineRule="auto"/>
        <w:ind w:firstLine="482"/>
        <w:rPr>
          <w:rFonts w:cs="Times New Roman"/>
          <w:color w:val="000000" w:themeColor="text1"/>
          <w:sz w:val="24"/>
          <w:szCs w:val="24"/>
        </w:rPr>
      </w:pPr>
      <w:r>
        <w:rPr>
          <w:rFonts w:cs="Times New Roman" w:hint="eastAsia"/>
          <w:color w:val="000000" w:themeColor="text1"/>
          <w:sz w:val="24"/>
          <w:szCs w:val="24"/>
        </w:rPr>
        <w:t>项目评价范围内无明显环境制约因素；项目拟采取技术经济可行的污染治理措</w:t>
      </w:r>
      <w:r>
        <w:rPr>
          <w:rFonts w:cs="Times New Roman" w:hint="eastAsia"/>
          <w:color w:val="000000" w:themeColor="text1"/>
          <w:sz w:val="24"/>
          <w:szCs w:val="24"/>
        </w:rPr>
        <w:lastRenderedPageBreak/>
        <w:t>施及风险防范措施，以降低对项目周边环境敏感目标、周边土壤的环境污染及环境风险水平，确保污染物达标排放，减轻项目对区域的环境影响；根据环境影响预测分析，项目实施后不会改变区域环境功能现状。结合前节分析，本项目选址符合区域用地规划、产业布局和生态环境准入条件相关要求。</w:t>
      </w:r>
    </w:p>
    <w:p w:rsidR="00644456" w:rsidRDefault="008031C4">
      <w:pPr>
        <w:adjustRightInd w:val="0"/>
        <w:snapToGrid w:val="0"/>
        <w:spacing w:line="360" w:lineRule="auto"/>
        <w:ind w:firstLine="480"/>
        <w:rPr>
          <w:rFonts w:cs="Times New Roman"/>
          <w:b/>
          <w:bCs/>
          <w:color w:val="000000" w:themeColor="text1"/>
          <w:sz w:val="24"/>
          <w:szCs w:val="24"/>
        </w:rPr>
      </w:pPr>
      <w:r>
        <w:rPr>
          <w:rFonts w:cs="Times New Roman" w:hint="eastAsia"/>
          <w:b/>
          <w:bCs/>
          <w:color w:val="000000" w:themeColor="text1"/>
          <w:sz w:val="24"/>
          <w:szCs w:val="24"/>
        </w:rPr>
        <w:t>综上所述，本项目位于疏勒高新技术产业开发区齐鲁生态钢城化工产业聚集区，用地性质属于工业用地，项目与园区规划发展定位不相冲突，与周边企业相容，项目产生的污染物经治理后可达标排放。因此，周边无明显的环境制约因素，项目选址合理。</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55" w:name="_Toc177216860"/>
      <w:bookmarkStart w:id="56" w:name="_Toc155789339"/>
      <w:r>
        <w:rPr>
          <w:rFonts w:cs="Times New Roman" w:hint="eastAsia"/>
          <w:color w:val="000000" w:themeColor="text1"/>
        </w:rPr>
        <w:t>1.6</w:t>
      </w:r>
      <w:r>
        <w:rPr>
          <w:rFonts w:cs="Times New Roman"/>
          <w:color w:val="000000" w:themeColor="text1"/>
        </w:rPr>
        <w:t>评价重点及评价因子</w:t>
      </w:r>
      <w:bookmarkEnd w:id="55"/>
      <w:bookmarkEnd w:id="56"/>
    </w:p>
    <w:p w:rsidR="00644456" w:rsidRDefault="008031C4">
      <w:pPr>
        <w:pStyle w:val="3"/>
        <w:numPr>
          <w:ilvl w:val="2"/>
          <w:numId w:val="0"/>
        </w:numPr>
        <w:ind w:firstLineChars="200" w:firstLine="482"/>
      </w:pPr>
      <w:r>
        <w:rPr>
          <w:rFonts w:hint="eastAsia"/>
        </w:rPr>
        <w:t>1.6.1</w:t>
      </w:r>
      <w:r>
        <w:t>评价重点</w:t>
      </w:r>
    </w:p>
    <w:p w:rsidR="00644456" w:rsidRDefault="008031C4">
      <w:pPr>
        <w:spacing w:line="360" w:lineRule="auto"/>
        <w:ind w:firstLineChars="200" w:firstLine="480"/>
        <w:jc w:val="left"/>
        <w:rPr>
          <w:rFonts w:cs="Times New Roman"/>
          <w:color w:val="000000" w:themeColor="text1"/>
          <w:sz w:val="24"/>
          <w:szCs w:val="24"/>
        </w:rPr>
      </w:pPr>
      <w:r>
        <w:rPr>
          <w:rFonts w:cs="Times New Roman"/>
          <w:color w:val="000000" w:themeColor="text1"/>
          <w:sz w:val="24"/>
          <w:szCs w:val="24"/>
        </w:rPr>
        <w:t>通过收集建设项目有关资料，在进行工程分析的基础上，结合项目与区域各种环境因素制约条件、环境质量现状等，确定本次评价工作。</w:t>
      </w:r>
    </w:p>
    <w:p w:rsidR="00644456" w:rsidRDefault="008031C4">
      <w:pPr>
        <w:spacing w:line="360" w:lineRule="auto"/>
        <w:ind w:firstLineChars="200" w:firstLine="480"/>
        <w:jc w:val="left"/>
        <w:rPr>
          <w:rFonts w:cs="Times New Roman"/>
          <w:color w:val="000000" w:themeColor="text1"/>
          <w:sz w:val="24"/>
          <w:szCs w:val="24"/>
        </w:rPr>
      </w:pPr>
      <w:r>
        <w:rPr>
          <w:rFonts w:cs="Times New Roman"/>
          <w:color w:val="000000" w:themeColor="text1"/>
          <w:sz w:val="24"/>
          <w:szCs w:val="24"/>
        </w:rPr>
        <w:t>（</w:t>
      </w:r>
      <w:r>
        <w:rPr>
          <w:rFonts w:cs="Times New Roman"/>
          <w:color w:val="000000" w:themeColor="text1"/>
          <w:sz w:val="24"/>
          <w:szCs w:val="24"/>
        </w:rPr>
        <w:t>1</w:t>
      </w:r>
      <w:r>
        <w:rPr>
          <w:rFonts w:cs="Times New Roman"/>
          <w:color w:val="000000" w:themeColor="text1"/>
          <w:sz w:val="24"/>
          <w:szCs w:val="24"/>
        </w:rPr>
        <w:t>）项目的废气、废水的产生、治理及排放情况；</w:t>
      </w:r>
    </w:p>
    <w:p w:rsidR="00644456" w:rsidRDefault="008031C4">
      <w:pPr>
        <w:spacing w:line="360" w:lineRule="auto"/>
        <w:ind w:firstLineChars="200" w:firstLine="480"/>
        <w:jc w:val="left"/>
        <w:rPr>
          <w:rFonts w:cs="Times New Roman"/>
          <w:color w:val="000000" w:themeColor="text1"/>
          <w:sz w:val="24"/>
          <w:szCs w:val="24"/>
        </w:rPr>
      </w:pPr>
      <w:r>
        <w:rPr>
          <w:rFonts w:cs="Times New Roman"/>
          <w:color w:val="000000" w:themeColor="text1"/>
          <w:sz w:val="24"/>
          <w:szCs w:val="24"/>
        </w:rPr>
        <w:t>（</w:t>
      </w:r>
      <w:r>
        <w:rPr>
          <w:rFonts w:cs="Times New Roman"/>
          <w:color w:val="000000" w:themeColor="text1"/>
          <w:sz w:val="24"/>
          <w:szCs w:val="24"/>
        </w:rPr>
        <w:t>2</w:t>
      </w:r>
      <w:r>
        <w:rPr>
          <w:rFonts w:cs="Times New Roman"/>
          <w:color w:val="000000" w:themeColor="text1"/>
          <w:sz w:val="24"/>
          <w:szCs w:val="24"/>
        </w:rPr>
        <w:t>）工程建设对周围环境的可接受性分析；</w:t>
      </w:r>
    </w:p>
    <w:p w:rsidR="00644456" w:rsidRDefault="008031C4">
      <w:pPr>
        <w:spacing w:line="360" w:lineRule="auto"/>
        <w:ind w:firstLineChars="200" w:firstLine="480"/>
        <w:jc w:val="left"/>
        <w:rPr>
          <w:rFonts w:cs="Times New Roman"/>
          <w:color w:val="000000" w:themeColor="text1"/>
          <w:sz w:val="24"/>
          <w:szCs w:val="24"/>
        </w:rPr>
      </w:pPr>
      <w:r>
        <w:rPr>
          <w:rFonts w:cs="Times New Roman"/>
          <w:color w:val="000000" w:themeColor="text1"/>
          <w:sz w:val="24"/>
          <w:szCs w:val="24"/>
        </w:rPr>
        <w:t>（</w:t>
      </w:r>
      <w:r>
        <w:rPr>
          <w:rFonts w:cs="Times New Roman"/>
          <w:color w:val="000000" w:themeColor="text1"/>
          <w:sz w:val="24"/>
          <w:szCs w:val="24"/>
        </w:rPr>
        <w:t>3</w:t>
      </w:r>
      <w:r>
        <w:rPr>
          <w:rFonts w:cs="Times New Roman"/>
          <w:color w:val="000000" w:themeColor="text1"/>
          <w:sz w:val="24"/>
          <w:szCs w:val="24"/>
        </w:rPr>
        <w:t>）</w:t>
      </w:r>
      <w:r>
        <w:rPr>
          <w:rFonts w:cs="Times New Roman" w:hint="eastAsia"/>
          <w:color w:val="000000" w:themeColor="text1"/>
          <w:sz w:val="24"/>
          <w:szCs w:val="24"/>
        </w:rPr>
        <w:t>改造</w:t>
      </w:r>
      <w:r>
        <w:rPr>
          <w:rFonts w:cs="Times New Roman"/>
          <w:color w:val="000000" w:themeColor="text1"/>
          <w:sz w:val="24"/>
          <w:szCs w:val="24"/>
        </w:rPr>
        <w:t>工程污染物排放及控制措施有效性；</w:t>
      </w:r>
    </w:p>
    <w:p w:rsidR="00644456" w:rsidRDefault="008031C4">
      <w:pPr>
        <w:spacing w:line="360" w:lineRule="auto"/>
        <w:ind w:firstLineChars="200" w:firstLine="480"/>
        <w:jc w:val="left"/>
        <w:rPr>
          <w:rFonts w:cs="Times New Roman"/>
          <w:color w:val="000000" w:themeColor="text1"/>
          <w:sz w:val="24"/>
          <w:szCs w:val="24"/>
        </w:rPr>
      </w:pPr>
      <w:r>
        <w:rPr>
          <w:rFonts w:cs="Times New Roman"/>
          <w:color w:val="000000" w:themeColor="text1"/>
          <w:sz w:val="24"/>
          <w:szCs w:val="24"/>
        </w:rPr>
        <w:t>（</w:t>
      </w:r>
      <w:r>
        <w:rPr>
          <w:rFonts w:cs="Times New Roman"/>
          <w:color w:val="000000" w:themeColor="text1"/>
          <w:sz w:val="24"/>
          <w:szCs w:val="24"/>
        </w:rPr>
        <w:t>4</w:t>
      </w:r>
      <w:r>
        <w:rPr>
          <w:rFonts w:cs="Times New Roman"/>
          <w:color w:val="000000" w:themeColor="text1"/>
          <w:sz w:val="24"/>
          <w:szCs w:val="24"/>
        </w:rPr>
        <w:t>）项目环境风险事故分析，并提出相应的风险防范措施。</w:t>
      </w:r>
    </w:p>
    <w:p w:rsidR="00644456" w:rsidRDefault="008031C4">
      <w:pPr>
        <w:spacing w:line="360" w:lineRule="auto"/>
        <w:ind w:firstLineChars="200" w:firstLine="480"/>
        <w:jc w:val="left"/>
        <w:rPr>
          <w:rFonts w:cs="Times New Roman"/>
          <w:color w:val="000000" w:themeColor="text1"/>
        </w:rPr>
      </w:pPr>
      <w:r>
        <w:rPr>
          <w:rFonts w:cs="Times New Roman"/>
          <w:color w:val="000000" w:themeColor="text1"/>
          <w:sz w:val="24"/>
          <w:szCs w:val="24"/>
        </w:rPr>
        <w:t>以上四条作为评价重点，在工程分析方面，重点评价建设项目的工艺特征、清洁生产要求和污染防治措施。</w:t>
      </w:r>
    </w:p>
    <w:p w:rsidR="00644456" w:rsidRDefault="008031C4">
      <w:pPr>
        <w:pStyle w:val="3"/>
        <w:numPr>
          <w:ilvl w:val="2"/>
          <w:numId w:val="0"/>
        </w:numPr>
        <w:ind w:firstLineChars="200" w:firstLine="482"/>
      </w:pPr>
      <w:r>
        <w:rPr>
          <w:rFonts w:hint="eastAsia"/>
        </w:rPr>
        <w:t>1.6.2</w:t>
      </w:r>
      <w:r>
        <w:t>环境影响因素分析</w:t>
      </w:r>
    </w:p>
    <w:p w:rsidR="00644456" w:rsidRDefault="008031C4">
      <w:pPr>
        <w:spacing w:line="360" w:lineRule="auto"/>
        <w:ind w:firstLineChars="200" w:firstLine="480"/>
        <w:jc w:val="left"/>
        <w:rPr>
          <w:rFonts w:cs="Times New Roman"/>
          <w:color w:val="000000" w:themeColor="text1"/>
          <w:sz w:val="24"/>
          <w:szCs w:val="24"/>
        </w:rPr>
      </w:pPr>
      <w:r>
        <w:rPr>
          <w:rFonts w:cs="Times New Roman"/>
          <w:color w:val="000000" w:themeColor="text1"/>
          <w:sz w:val="24"/>
          <w:szCs w:val="24"/>
        </w:rPr>
        <w:t>1</w:t>
      </w:r>
      <w:r>
        <w:rPr>
          <w:rFonts w:cs="Times New Roman"/>
          <w:color w:val="000000" w:themeColor="text1"/>
          <w:sz w:val="24"/>
          <w:szCs w:val="24"/>
        </w:rPr>
        <w:t>、施工期</w:t>
      </w:r>
    </w:p>
    <w:p w:rsidR="00644456" w:rsidRDefault="008031C4">
      <w:pPr>
        <w:spacing w:line="360" w:lineRule="auto"/>
        <w:ind w:firstLineChars="200" w:firstLine="480"/>
        <w:jc w:val="left"/>
        <w:rPr>
          <w:rFonts w:cs="Times New Roman"/>
          <w:color w:val="000000" w:themeColor="text1"/>
          <w:sz w:val="24"/>
          <w:szCs w:val="24"/>
        </w:rPr>
      </w:pPr>
      <w:r>
        <w:rPr>
          <w:rFonts w:cs="Times New Roman"/>
          <w:color w:val="000000" w:themeColor="text1"/>
          <w:sz w:val="24"/>
          <w:szCs w:val="24"/>
        </w:rPr>
        <w:t>施工期影响主要为短期的、局部的影响，施工结束后大部分影响可恢复，对环境的主要影响如下：</w:t>
      </w:r>
    </w:p>
    <w:p w:rsidR="00644456" w:rsidRDefault="008031C4">
      <w:pPr>
        <w:spacing w:line="360" w:lineRule="auto"/>
        <w:ind w:firstLineChars="200" w:firstLine="480"/>
        <w:jc w:val="left"/>
        <w:rPr>
          <w:rFonts w:cs="Times New Roman"/>
          <w:color w:val="000000" w:themeColor="text1"/>
          <w:sz w:val="24"/>
          <w:szCs w:val="24"/>
        </w:rPr>
      </w:pPr>
      <w:r>
        <w:rPr>
          <w:rFonts w:cs="Times New Roman"/>
          <w:color w:val="000000" w:themeColor="text1"/>
          <w:sz w:val="24"/>
          <w:szCs w:val="24"/>
        </w:rPr>
        <w:t>（</w:t>
      </w:r>
      <w:r>
        <w:rPr>
          <w:rFonts w:cs="Times New Roman"/>
          <w:color w:val="000000" w:themeColor="text1"/>
          <w:sz w:val="24"/>
          <w:szCs w:val="24"/>
        </w:rPr>
        <w:t>1</w:t>
      </w:r>
      <w:r>
        <w:rPr>
          <w:rFonts w:cs="Times New Roman"/>
          <w:color w:val="000000" w:themeColor="text1"/>
          <w:sz w:val="24"/>
          <w:szCs w:val="24"/>
        </w:rPr>
        <w:t>）生态环境</w:t>
      </w:r>
    </w:p>
    <w:p w:rsidR="00644456" w:rsidRDefault="008031C4">
      <w:pPr>
        <w:spacing w:line="360" w:lineRule="auto"/>
        <w:ind w:firstLineChars="200" w:firstLine="480"/>
        <w:jc w:val="left"/>
        <w:rPr>
          <w:rFonts w:cs="Times New Roman"/>
          <w:color w:val="000000" w:themeColor="text1"/>
          <w:sz w:val="24"/>
          <w:szCs w:val="24"/>
        </w:rPr>
      </w:pPr>
      <w:r>
        <w:rPr>
          <w:rFonts w:cs="Times New Roman" w:hint="eastAsia"/>
          <w:color w:val="000000" w:themeColor="text1"/>
          <w:sz w:val="24"/>
          <w:szCs w:val="24"/>
        </w:rPr>
        <w:t>项目施工过程中造成</w:t>
      </w:r>
      <w:r>
        <w:rPr>
          <w:rFonts w:cs="Times New Roman"/>
          <w:color w:val="000000" w:themeColor="text1"/>
          <w:sz w:val="24"/>
          <w:szCs w:val="24"/>
        </w:rPr>
        <w:t>水土流失、地表扰动</w:t>
      </w:r>
      <w:r>
        <w:rPr>
          <w:rFonts w:cs="Times New Roman" w:hint="eastAsia"/>
          <w:color w:val="000000" w:themeColor="text1"/>
          <w:sz w:val="24"/>
          <w:szCs w:val="24"/>
        </w:rPr>
        <w:t>、植被破坏等生态环境问题。</w:t>
      </w:r>
    </w:p>
    <w:p w:rsidR="00644456" w:rsidRDefault="008031C4">
      <w:pPr>
        <w:spacing w:line="360" w:lineRule="auto"/>
        <w:ind w:firstLineChars="200" w:firstLine="480"/>
        <w:jc w:val="left"/>
        <w:rPr>
          <w:rFonts w:cs="Times New Roman"/>
          <w:color w:val="000000" w:themeColor="text1"/>
          <w:sz w:val="24"/>
          <w:szCs w:val="24"/>
        </w:rPr>
      </w:pPr>
      <w:r>
        <w:rPr>
          <w:rFonts w:cs="Times New Roman"/>
          <w:color w:val="000000" w:themeColor="text1"/>
          <w:sz w:val="24"/>
          <w:szCs w:val="24"/>
        </w:rPr>
        <w:t>（</w:t>
      </w:r>
      <w:r>
        <w:rPr>
          <w:rFonts w:cs="Times New Roman"/>
          <w:color w:val="000000" w:themeColor="text1"/>
          <w:sz w:val="24"/>
          <w:szCs w:val="24"/>
        </w:rPr>
        <w:t>2</w:t>
      </w:r>
      <w:r>
        <w:rPr>
          <w:rFonts w:cs="Times New Roman"/>
          <w:color w:val="000000" w:themeColor="text1"/>
          <w:sz w:val="24"/>
          <w:szCs w:val="24"/>
        </w:rPr>
        <w:t>）环境质量</w:t>
      </w:r>
    </w:p>
    <w:p w:rsidR="00644456" w:rsidRDefault="008031C4">
      <w:pPr>
        <w:spacing w:line="360" w:lineRule="auto"/>
        <w:ind w:firstLineChars="200" w:firstLine="480"/>
        <w:jc w:val="left"/>
        <w:rPr>
          <w:rFonts w:cs="Times New Roman"/>
          <w:color w:val="000000" w:themeColor="text1"/>
          <w:sz w:val="24"/>
          <w:szCs w:val="24"/>
        </w:rPr>
      </w:pPr>
      <w:r>
        <w:rPr>
          <w:rFonts w:cs="Times New Roman" w:hint="eastAsia"/>
          <w:color w:val="000000" w:themeColor="text1"/>
          <w:sz w:val="24"/>
          <w:szCs w:val="24"/>
        </w:rPr>
        <w:t>①</w:t>
      </w:r>
      <w:r>
        <w:rPr>
          <w:rFonts w:cs="Times New Roman"/>
          <w:color w:val="000000" w:themeColor="text1"/>
          <w:sz w:val="24"/>
          <w:szCs w:val="24"/>
        </w:rPr>
        <w:t>大气环境质量：主要是施工扬尘、</w:t>
      </w:r>
      <w:r>
        <w:rPr>
          <w:rFonts w:cs="Times New Roman" w:hint="eastAsia"/>
          <w:color w:val="000000" w:themeColor="text1"/>
          <w:sz w:val="24"/>
          <w:szCs w:val="24"/>
        </w:rPr>
        <w:t>交通运输扬尘、</w:t>
      </w:r>
      <w:r>
        <w:rPr>
          <w:rFonts w:cs="Times New Roman"/>
          <w:color w:val="000000" w:themeColor="text1"/>
          <w:sz w:val="24"/>
          <w:szCs w:val="24"/>
        </w:rPr>
        <w:t>汽车尾气及机械设备运转产生的废气。</w:t>
      </w:r>
    </w:p>
    <w:p w:rsidR="00644456" w:rsidRDefault="008031C4">
      <w:pPr>
        <w:spacing w:line="360" w:lineRule="auto"/>
        <w:ind w:firstLineChars="200" w:firstLine="480"/>
        <w:jc w:val="left"/>
        <w:rPr>
          <w:rFonts w:cs="Times New Roman"/>
          <w:color w:val="000000" w:themeColor="text1"/>
          <w:sz w:val="24"/>
          <w:szCs w:val="24"/>
        </w:rPr>
      </w:pPr>
      <w:r>
        <w:rPr>
          <w:rFonts w:cs="Times New Roman" w:hint="eastAsia"/>
          <w:color w:val="000000" w:themeColor="text1"/>
          <w:sz w:val="24"/>
          <w:szCs w:val="24"/>
        </w:rPr>
        <w:t>②</w:t>
      </w:r>
      <w:r>
        <w:rPr>
          <w:rFonts w:cs="Times New Roman"/>
          <w:color w:val="000000" w:themeColor="text1"/>
          <w:sz w:val="24"/>
          <w:szCs w:val="24"/>
        </w:rPr>
        <w:t>水环境质量：主要是</w:t>
      </w:r>
      <w:r>
        <w:rPr>
          <w:rFonts w:cs="Times New Roman" w:hint="eastAsia"/>
          <w:color w:val="000000" w:themeColor="text1"/>
          <w:sz w:val="24"/>
          <w:szCs w:val="24"/>
        </w:rPr>
        <w:t>施工废水</w:t>
      </w:r>
      <w:r>
        <w:rPr>
          <w:rFonts w:cs="Times New Roman"/>
          <w:color w:val="000000" w:themeColor="text1"/>
          <w:sz w:val="24"/>
          <w:szCs w:val="24"/>
        </w:rPr>
        <w:t>、生活污水。</w:t>
      </w:r>
    </w:p>
    <w:p w:rsidR="00644456" w:rsidRDefault="008031C4">
      <w:pPr>
        <w:spacing w:line="360" w:lineRule="auto"/>
        <w:ind w:firstLineChars="200" w:firstLine="480"/>
        <w:jc w:val="left"/>
        <w:rPr>
          <w:rFonts w:cs="Times New Roman"/>
          <w:color w:val="000000" w:themeColor="text1"/>
          <w:sz w:val="24"/>
          <w:szCs w:val="24"/>
        </w:rPr>
      </w:pPr>
      <w:r>
        <w:rPr>
          <w:rFonts w:cs="Times New Roman" w:hint="eastAsia"/>
          <w:color w:val="000000" w:themeColor="text1"/>
          <w:sz w:val="24"/>
          <w:szCs w:val="24"/>
        </w:rPr>
        <w:t>③</w:t>
      </w:r>
      <w:r>
        <w:rPr>
          <w:rFonts w:cs="Times New Roman"/>
          <w:color w:val="000000" w:themeColor="text1"/>
          <w:sz w:val="24"/>
          <w:szCs w:val="24"/>
        </w:rPr>
        <w:t>声环境质量：主要是施工设备噪声及车辆运输噪声。</w:t>
      </w:r>
    </w:p>
    <w:p w:rsidR="00644456" w:rsidRDefault="008031C4">
      <w:pPr>
        <w:spacing w:line="360" w:lineRule="auto"/>
        <w:ind w:firstLineChars="200" w:firstLine="480"/>
        <w:jc w:val="left"/>
        <w:rPr>
          <w:rFonts w:cs="Times New Roman"/>
          <w:color w:val="000000" w:themeColor="text1"/>
          <w:sz w:val="24"/>
          <w:szCs w:val="24"/>
        </w:rPr>
      </w:pPr>
      <w:r>
        <w:rPr>
          <w:rFonts w:cs="Times New Roman" w:hint="eastAsia"/>
          <w:color w:val="000000" w:themeColor="text1"/>
          <w:sz w:val="24"/>
          <w:szCs w:val="24"/>
        </w:rPr>
        <w:t>④</w:t>
      </w:r>
      <w:r>
        <w:rPr>
          <w:rFonts w:cs="Times New Roman"/>
          <w:color w:val="000000" w:themeColor="text1"/>
          <w:sz w:val="24"/>
          <w:szCs w:val="24"/>
        </w:rPr>
        <w:t>施工固废：主要为</w:t>
      </w:r>
      <w:r>
        <w:rPr>
          <w:rFonts w:cs="Times New Roman" w:hint="eastAsia"/>
          <w:color w:val="000000" w:themeColor="text1"/>
          <w:sz w:val="24"/>
          <w:szCs w:val="24"/>
        </w:rPr>
        <w:t>建筑垃圾及</w:t>
      </w:r>
      <w:r>
        <w:rPr>
          <w:rFonts w:cs="Times New Roman"/>
          <w:color w:val="000000" w:themeColor="text1"/>
          <w:sz w:val="24"/>
          <w:szCs w:val="24"/>
        </w:rPr>
        <w:t>施工人员生活垃圾等。</w:t>
      </w:r>
    </w:p>
    <w:p w:rsidR="00644456" w:rsidRDefault="008031C4">
      <w:pPr>
        <w:spacing w:line="360" w:lineRule="auto"/>
        <w:ind w:firstLineChars="200" w:firstLine="480"/>
        <w:jc w:val="left"/>
        <w:rPr>
          <w:rFonts w:cs="Times New Roman"/>
          <w:color w:val="000000" w:themeColor="text1"/>
          <w:sz w:val="24"/>
          <w:szCs w:val="24"/>
        </w:rPr>
      </w:pPr>
      <w:r>
        <w:rPr>
          <w:rFonts w:cs="Times New Roman"/>
          <w:color w:val="000000" w:themeColor="text1"/>
          <w:sz w:val="24"/>
          <w:szCs w:val="24"/>
        </w:rPr>
        <w:lastRenderedPageBreak/>
        <w:t>2</w:t>
      </w:r>
      <w:r>
        <w:rPr>
          <w:rFonts w:cs="Times New Roman"/>
          <w:color w:val="000000" w:themeColor="text1"/>
          <w:sz w:val="24"/>
          <w:szCs w:val="24"/>
        </w:rPr>
        <w:t>、营运期</w:t>
      </w:r>
    </w:p>
    <w:p w:rsidR="00644456" w:rsidRDefault="008031C4">
      <w:pPr>
        <w:spacing w:line="360" w:lineRule="auto"/>
        <w:ind w:firstLineChars="200" w:firstLine="480"/>
        <w:jc w:val="left"/>
        <w:rPr>
          <w:rFonts w:cs="Times New Roman"/>
          <w:color w:val="000000" w:themeColor="text1"/>
          <w:sz w:val="24"/>
          <w:szCs w:val="24"/>
        </w:rPr>
      </w:pPr>
      <w:r>
        <w:rPr>
          <w:rFonts w:cs="Times New Roman"/>
          <w:color w:val="000000" w:themeColor="text1"/>
          <w:sz w:val="24"/>
          <w:szCs w:val="24"/>
        </w:rPr>
        <w:t>本项目运营期对环境的主要影响如下：</w:t>
      </w:r>
    </w:p>
    <w:p w:rsidR="00644456" w:rsidRDefault="008031C4">
      <w:pPr>
        <w:spacing w:line="360" w:lineRule="auto"/>
        <w:ind w:firstLineChars="200" w:firstLine="480"/>
        <w:jc w:val="left"/>
        <w:rPr>
          <w:rFonts w:cs="Times New Roman"/>
          <w:color w:val="000000" w:themeColor="text1"/>
          <w:sz w:val="24"/>
          <w:szCs w:val="24"/>
        </w:rPr>
      </w:pPr>
      <w:r>
        <w:rPr>
          <w:rFonts w:cs="Times New Roman"/>
          <w:color w:val="000000" w:themeColor="text1"/>
          <w:sz w:val="24"/>
          <w:szCs w:val="24"/>
        </w:rPr>
        <w:t>（</w:t>
      </w:r>
      <w:r>
        <w:rPr>
          <w:rFonts w:cs="Times New Roman"/>
          <w:color w:val="000000" w:themeColor="text1"/>
          <w:sz w:val="24"/>
          <w:szCs w:val="24"/>
        </w:rPr>
        <w:t>1</w:t>
      </w:r>
      <w:r>
        <w:rPr>
          <w:rFonts w:cs="Times New Roman"/>
          <w:color w:val="000000" w:themeColor="text1"/>
          <w:sz w:val="24"/>
          <w:szCs w:val="24"/>
        </w:rPr>
        <w:t>）环境质量</w:t>
      </w:r>
    </w:p>
    <w:p w:rsidR="00644456" w:rsidRDefault="008031C4">
      <w:pPr>
        <w:spacing w:line="360" w:lineRule="auto"/>
        <w:ind w:firstLineChars="200" w:firstLine="480"/>
        <w:jc w:val="left"/>
        <w:rPr>
          <w:rFonts w:cs="Times New Roman"/>
          <w:color w:val="000000" w:themeColor="text1"/>
          <w:sz w:val="24"/>
          <w:szCs w:val="24"/>
        </w:rPr>
      </w:pPr>
      <w:r>
        <w:rPr>
          <w:rFonts w:cs="Times New Roman" w:hint="eastAsia"/>
          <w:color w:val="000000" w:themeColor="text1"/>
          <w:sz w:val="24"/>
          <w:szCs w:val="24"/>
        </w:rPr>
        <w:t>①</w:t>
      </w:r>
      <w:r>
        <w:rPr>
          <w:rFonts w:cs="Times New Roman"/>
          <w:color w:val="000000" w:themeColor="text1"/>
          <w:sz w:val="24"/>
          <w:szCs w:val="24"/>
        </w:rPr>
        <w:t>大气环境质量：项目</w:t>
      </w:r>
      <w:r>
        <w:rPr>
          <w:rFonts w:cs="Times New Roman" w:hint="eastAsia"/>
          <w:color w:val="000000" w:themeColor="text1"/>
          <w:sz w:val="24"/>
          <w:szCs w:val="24"/>
        </w:rPr>
        <w:t>生产过程中产生的非甲烷总烃、硫化氢、氨等污染物</w:t>
      </w:r>
      <w:r>
        <w:rPr>
          <w:rFonts w:cs="Times New Roman"/>
          <w:color w:val="000000" w:themeColor="text1"/>
          <w:sz w:val="24"/>
          <w:szCs w:val="24"/>
        </w:rPr>
        <w:t>对周围大气环境造成的影响。</w:t>
      </w:r>
    </w:p>
    <w:p w:rsidR="00644456" w:rsidRDefault="008031C4">
      <w:pPr>
        <w:spacing w:line="360" w:lineRule="auto"/>
        <w:ind w:firstLineChars="200" w:firstLine="480"/>
        <w:jc w:val="left"/>
        <w:rPr>
          <w:rFonts w:cs="Times New Roman"/>
          <w:color w:val="000000" w:themeColor="text1"/>
          <w:sz w:val="24"/>
          <w:szCs w:val="24"/>
        </w:rPr>
      </w:pPr>
      <w:r>
        <w:rPr>
          <w:rFonts w:cs="Times New Roman" w:hint="eastAsia"/>
          <w:color w:val="000000" w:themeColor="text1"/>
          <w:sz w:val="24"/>
          <w:szCs w:val="24"/>
        </w:rPr>
        <w:t>②</w:t>
      </w:r>
      <w:r>
        <w:rPr>
          <w:rFonts w:cs="Times New Roman"/>
          <w:color w:val="000000" w:themeColor="text1"/>
          <w:sz w:val="24"/>
          <w:szCs w:val="24"/>
        </w:rPr>
        <w:t>水环境质量：项目</w:t>
      </w:r>
      <w:r>
        <w:rPr>
          <w:rFonts w:cs="Times New Roman" w:hint="eastAsia"/>
          <w:color w:val="000000" w:themeColor="text1"/>
          <w:sz w:val="24"/>
          <w:szCs w:val="24"/>
        </w:rPr>
        <w:t>区生产废水及生活污水等对区域水环境造成的影响。</w:t>
      </w:r>
    </w:p>
    <w:p w:rsidR="00644456" w:rsidRDefault="008031C4">
      <w:pPr>
        <w:spacing w:line="360" w:lineRule="auto"/>
        <w:ind w:firstLineChars="200" w:firstLine="480"/>
        <w:jc w:val="left"/>
        <w:rPr>
          <w:rFonts w:cs="Times New Roman"/>
          <w:color w:val="000000" w:themeColor="text1"/>
          <w:sz w:val="24"/>
          <w:szCs w:val="24"/>
        </w:rPr>
      </w:pPr>
      <w:r>
        <w:rPr>
          <w:rFonts w:cs="Times New Roman" w:hint="eastAsia"/>
          <w:color w:val="000000" w:themeColor="text1"/>
          <w:sz w:val="24"/>
          <w:szCs w:val="24"/>
        </w:rPr>
        <w:t>③</w:t>
      </w:r>
      <w:r>
        <w:rPr>
          <w:rFonts w:cs="Times New Roman"/>
          <w:color w:val="000000" w:themeColor="text1"/>
          <w:sz w:val="24"/>
          <w:szCs w:val="24"/>
        </w:rPr>
        <w:t>声环境质量：项目</w:t>
      </w:r>
      <w:r>
        <w:rPr>
          <w:rFonts w:cs="Times New Roman" w:hint="eastAsia"/>
          <w:color w:val="000000" w:themeColor="text1"/>
          <w:sz w:val="24"/>
          <w:szCs w:val="24"/>
        </w:rPr>
        <w:t>风机、泵</w:t>
      </w:r>
      <w:r>
        <w:rPr>
          <w:rFonts w:cs="Times New Roman"/>
          <w:color w:val="000000" w:themeColor="text1"/>
          <w:sz w:val="24"/>
          <w:szCs w:val="24"/>
        </w:rPr>
        <w:t>等设备运行噪声及车辆运输噪声对周围声环境的影响。</w:t>
      </w:r>
    </w:p>
    <w:p w:rsidR="00644456" w:rsidRDefault="008031C4">
      <w:pPr>
        <w:spacing w:line="360" w:lineRule="auto"/>
        <w:ind w:firstLineChars="200" w:firstLine="480"/>
        <w:jc w:val="left"/>
        <w:rPr>
          <w:rFonts w:cs="Times New Roman"/>
          <w:color w:val="000000" w:themeColor="text1"/>
          <w:sz w:val="24"/>
          <w:szCs w:val="24"/>
        </w:rPr>
      </w:pPr>
      <w:r>
        <w:rPr>
          <w:rFonts w:cs="Times New Roman" w:hint="eastAsia"/>
          <w:color w:val="000000" w:themeColor="text1"/>
          <w:sz w:val="24"/>
          <w:szCs w:val="24"/>
        </w:rPr>
        <w:t>④</w:t>
      </w:r>
      <w:r>
        <w:rPr>
          <w:rFonts w:cs="Times New Roman"/>
          <w:color w:val="000000" w:themeColor="text1"/>
          <w:sz w:val="24"/>
          <w:szCs w:val="24"/>
        </w:rPr>
        <w:t>固废：</w:t>
      </w:r>
      <w:r>
        <w:rPr>
          <w:rFonts w:cs="Times New Roman" w:hint="eastAsia"/>
          <w:color w:val="000000" w:themeColor="text1"/>
          <w:sz w:val="24"/>
          <w:szCs w:val="24"/>
        </w:rPr>
        <w:t>危险废物、生活垃圾等</w:t>
      </w:r>
      <w:r>
        <w:rPr>
          <w:rFonts w:cs="Times New Roman"/>
          <w:color w:val="000000" w:themeColor="text1"/>
          <w:sz w:val="24"/>
          <w:szCs w:val="24"/>
        </w:rPr>
        <w:t>对周围环境的影响。</w:t>
      </w:r>
    </w:p>
    <w:p w:rsidR="00644456" w:rsidRDefault="008031C4">
      <w:pPr>
        <w:spacing w:line="360" w:lineRule="auto"/>
        <w:ind w:firstLineChars="200" w:firstLine="480"/>
        <w:jc w:val="left"/>
        <w:rPr>
          <w:rFonts w:cs="Times New Roman"/>
          <w:color w:val="000000" w:themeColor="text1"/>
          <w:sz w:val="24"/>
          <w:szCs w:val="24"/>
        </w:rPr>
      </w:pPr>
      <w:r>
        <w:rPr>
          <w:rFonts w:cs="Times New Roman"/>
          <w:color w:val="000000" w:themeColor="text1"/>
          <w:sz w:val="24"/>
          <w:szCs w:val="24"/>
        </w:rPr>
        <w:t>（</w:t>
      </w:r>
      <w:r>
        <w:rPr>
          <w:rFonts w:cs="Times New Roman"/>
          <w:color w:val="000000" w:themeColor="text1"/>
          <w:sz w:val="24"/>
          <w:szCs w:val="24"/>
        </w:rPr>
        <w:t>2</w:t>
      </w:r>
      <w:r>
        <w:rPr>
          <w:rFonts w:cs="Times New Roman"/>
          <w:color w:val="000000" w:themeColor="text1"/>
          <w:sz w:val="24"/>
          <w:szCs w:val="24"/>
        </w:rPr>
        <w:t>）生态环境</w:t>
      </w:r>
    </w:p>
    <w:p w:rsidR="00644456" w:rsidRDefault="008031C4">
      <w:pPr>
        <w:spacing w:line="360" w:lineRule="auto"/>
        <w:ind w:firstLineChars="200" w:firstLine="480"/>
        <w:jc w:val="left"/>
        <w:rPr>
          <w:rFonts w:cs="Times New Roman"/>
          <w:color w:val="000000" w:themeColor="text1"/>
          <w:sz w:val="24"/>
          <w:szCs w:val="24"/>
        </w:rPr>
      </w:pPr>
      <w:r>
        <w:rPr>
          <w:rFonts w:cs="Times New Roman"/>
          <w:color w:val="000000" w:themeColor="text1"/>
          <w:sz w:val="24"/>
          <w:szCs w:val="24"/>
        </w:rPr>
        <w:t>项目导致该区域生态环境</w:t>
      </w:r>
      <w:r>
        <w:rPr>
          <w:rFonts w:cs="Times New Roman" w:hint="eastAsia"/>
          <w:color w:val="000000" w:themeColor="text1"/>
          <w:sz w:val="24"/>
          <w:szCs w:val="24"/>
        </w:rPr>
        <w:t>发生</w:t>
      </w:r>
      <w:r>
        <w:rPr>
          <w:rFonts w:cs="Times New Roman"/>
          <w:color w:val="000000" w:themeColor="text1"/>
          <w:sz w:val="24"/>
          <w:szCs w:val="24"/>
        </w:rPr>
        <w:t>变化。</w:t>
      </w:r>
    </w:p>
    <w:p w:rsidR="00644456" w:rsidRDefault="008031C4">
      <w:pPr>
        <w:pStyle w:val="3"/>
        <w:numPr>
          <w:ilvl w:val="2"/>
          <w:numId w:val="0"/>
        </w:numPr>
        <w:ind w:firstLineChars="200" w:firstLine="482"/>
      </w:pPr>
      <w:r>
        <w:rPr>
          <w:rFonts w:hint="eastAsia"/>
        </w:rPr>
        <w:t>1.6.3</w:t>
      </w:r>
      <w:r>
        <w:t>评价因子</w:t>
      </w:r>
    </w:p>
    <w:p w:rsidR="00644456" w:rsidRDefault="008031C4">
      <w:pPr>
        <w:pStyle w:val="-"/>
        <w:ind w:firstLine="480"/>
        <w:rPr>
          <w:rFonts w:cs="Times New Roman"/>
          <w:color w:val="000000" w:themeColor="text1"/>
        </w:rPr>
      </w:pPr>
      <w:r>
        <w:rPr>
          <w:rFonts w:cs="Times New Roman"/>
          <w:color w:val="000000" w:themeColor="text1"/>
        </w:rPr>
        <w:t>根据工程分析，确定本项目的评价因子见下表。</w:t>
      </w:r>
    </w:p>
    <w:p w:rsidR="00644456" w:rsidRDefault="008031C4">
      <w:pPr>
        <w:pStyle w:val="af4"/>
        <w:jc w:val="center"/>
        <w:rPr>
          <w:rFonts w:ascii="Times New Roman" w:eastAsia="宋体" w:hAnsi="Times New Roman" w:cs="Times New Roman"/>
          <w:b/>
          <w:color w:val="000000" w:themeColor="text1"/>
          <w:sz w:val="24"/>
        </w:rPr>
      </w:pPr>
      <w:bookmarkStart w:id="57" w:name="_Ref76220234"/>
      <w:bookmarkStart w:id="58" w:name="_Ref76220228"/>
      <w:r>
        <w:rPr>
          <w:rFonts w:ascii="Times New Roman" w:eastAsia="宋体" w:hAnsi="Times New Roman" w:cs="Times New Roman" w:hint="eastAsia"/>
          <w:b/>
          <w:color w:val="000000" w:themeColor="text1"/>
          <w:sz w:val="24"/>
        </w:rPr>
        <w:t>表</w:t>
      </w:r>
      <w:bookmarkEnd w:id="57"/>
      <w:r>
        <w:rPr>
          <w:rFonts w:ascii="Times New Roman" w:eastAsia="宋体" w:hAnsi="Times New Roman" w:cs="Times New Roman" w:hint="eastAsia"/>
          <w:b/>
          <w:color w:val="000000" w:themeColor="text1"/>
          <w:sz w:val="24"/>
        </w:rPr>
        <w:t>1.6-1</w:t>
      </w:r>
      <w:r>
        <w:rPr>
          <w:rFonts w:ascii="Times New Roman" w:eastAsia="宋体" w:hAnsi="Times New Roman" w:cs="Times New Roman" w:hint="eastAsia"/>
          <w:b/>
          <w:color w:val="000000" w:themeColor="text1"/>
          <w:sz w:val="24"/>
        </w:rPr>
        <w:t>环境影响评价因子表</w:t>
      </w:r>
      <w:bookmarkEnd w:id="58"/>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95"/>
        <w:gridCol w:w="5118"/>
        <w:gridCol w:w="850"/>
        <w:gridCol w:w="2067"/>
      </w:tblGrid>
      <w:tr w:rsidR="00644456">
        <w:tc>
          <w:tcPr>
            <w:tcW w:w="398" w:type="pct"/>
            <w:vMerge w:val="restart"/>
            <w:shd w:val="clear" w:color="auto" w:fill="auto"/>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环境要素</w:t>
            </w:r>
          </w:p>
        </w:tc>
        <w:tc>
          <w:tcPr>
            <w:tcW w:w="2931" w:type="pct"/>
            <w:vMerge w:val="restart"/>
            <w:shd w:val="clear" w:color="auto" w:fill="auto"/>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现状评价因子</w:t>
            </w:r>
          </w:p>
        </w:tc>
        <w:tc>
          <w:tcPr>
            <w:tcW w:w="1671" w:type="pct"/>
            <w:gridSpan w:val="2"/>
            <w:vAlign w:val="center"/>
          </w:tcPr>
          <w:p w:rsidR="00644456" w:rsidRDefault="008031C4">
            <w:pPr>
              <w:adjustRightInd w:val="0"/>
              <w:snapToGrid w:val="0"/>
              <w:jc w:val="center"/>
              <w:rPr>
                <w:rFonts w:cs="Times New Roman"/>
                <w:b/>
                <w:color w:val="000000" w:themeColor="text1"/>
                <w:szCs w:val="21"/>
              </w:rPr>
            </w:pPr>
            <w:r>
              <w:rPr>
                <w:rFonts w:cs="Times New Roman" w:hint="eastAsia"/>
                <w:b/>
                <w:color w:val="000000" w:themeColor="text1"/>
                <w:szCs w:val="21"/>
              </w:rPr>
              <w:t>影响评价因子</w:t>
            </w:r>
          </w:p>
        </w:tc>
      </w:tr>
      <w:tr w:rsidR="00644456">
        <w:tc>
          <w:tcPr>
            <w:tcW w:w="398" w:type="pct"/>
            <w:vMerge/>
            <w:shd w:val="clear" w:color="auto" w:fill="auto"/>
            <w:vAlign w:val="center"/>
          </w:tcPr>
          <w:p w:rsidR="00644456" w:rsidRDefault="00644456">
            <w:pPr>
              <w:adjustRightInd w:val="0"/>
              <w:snapToGrid w:val="0"/>
              <w:jc w:val="center"/>
              <w:rPr>
                <w:rFonts w:cs="Times New Roman"/>
                <w:b/>
                <w:color w:val="000000" w:themeColor="text1"/>
                <w:szCs w:val="21"/>
              </w:rPr>
            </w:pPr>
          </w:p>
        </w:tc>
        <w:tc>
          <w:tcPr>
            <w:tcW w:w="2931" w:type="pct"/>
            <w:vMerge/>
            <w:shd w:val="clear" w:color="auto" w:fill="auto"/>
            <w:vAlign w:val="center"/>
          </w:tcPr>
          <w:p w:rsidR="00644456" w:rsidRDefault="00644456">
            <w:pPr>
              <w:adjustRightInd w:val="0"/>
              <w:snapToGrid w:val="0"/>
              <w:jc w:val="center"/>
              <w:rPr>
                <w:rFonts w:cs="Times New Roman"/>
                <w:b/>
                <w:color w:val="000000" w:themeColor="text1"/>
                <w:szCs w:val="21"/>
              </w:rPr>
            </w:pPr>
          </w:p>
        </w:tc>
        <w:tc>
          <w:tcPr>
            <w:tcW w:w="487" w:type="pct"/>
            <w:vAlign w:val="center"/>
          </w:tcPr>
          <w:p w:rsidR="00644456" w:rsidRDefault="008031C4">
            <w:pPr>
              <w:adjustRightInd w:val="0"/>
              <w:snapToGrid w:val="0"/>
              <w:jc w:val="center"/>
              <w:rPr>
                <w:rFonts w:cs="Times New Roman"/>
                <w:b/>
                <w:color w:val="000000" w:themeColor="text1"/>
                <w:szCs w:val="21"/>
              </w:rPr>
            </w:pPr>
            <w:r>
              <w:rPr>
                <w:rFonts w:cs="Times New Roman" w:hint="eastAsia"/>
                <w:b/>
                <w:color w:val="000000" w:themeColor="text1"/>
                <w:szCs w:val="21"/>
              </w:rPr>
              <w:t>施工期</w:t>
            </w:r>
          </w:p>
        </w:tc>
        <w:tc>
          <w:tcPr>
            <w:tcW w:w="1184" w:type="pct"/>
            <w:shd w:val="clear" w:color="auto" w:fill="auto"/>
            <w:vAlign w:val="center"/>
          </w:tcPr>
          <w:p w:rsidR="00644456" w:rsidRDefault="008031C4">
            <w:pPr>
              <w:adjustRightInd w:val="0"/>
              <w:snapToGrid w:val="0"/>
              <w:jc w:val="center"/>
              <w:rPr>
                <w:rFonts w:cs="Times New Roman"/>
                <w:b/>
                <w:color w:val="000000" w:themeColor="text1"/>
                <w:szCs w:val="21"/>
              </w:rPr>
            </w:pPr>
            <w:r>
              <w:rPr>
                <w:rFonts w:cs="Times New Roman" w:hint="eastAsia"/>
                <w:b/>
                <w:color w:val="000000" w:themeColor="text1"/>
                <w:szCs w:val="21"/>
              </w:rPr>
              <w:t>运营期</w:t>
            </w:r>
          </w:p>
        </w:tc>
      </w:tr>
      <w:tr w:rsidR="00644456">
        <w:trPr>
          <w:trHeight w:val="90"/>
        </w:trPr>
        <w:tc>
          <w:tcPr>
            <w:tcW w:w="398" w:type="pct"/>
            <w:shd w:val="clear" w:color="auto" w:fill="auto"/>
            <w:vAlign w:val="center"/>
          </w:tcPr>
          <w:p w:rsidR="00644456" w:rsidRDefault="008031C4">
            <w:pPr>
              <w:adjustRightInd w:val="0"/>
              <w:snapToGrid w:val="0"/>
              <w:jc w:val="center"/>
              <w:rPr>
                <w:rFonts w:cs="Times New Roman"/>
                <w:color w:val="000000" w:themeColor="text1"/>
                <w:szCs w:val="21"/>
              </w:rPr>
            </w:pPr>
            <w:bookmarkStart w:id="59" w:name="_Toc30373"/>
            <w:r>
              <w:rPr>
                <w:rFonts w:cs="Times New Roman"/>
                <w:color w:val="000000" w:themeColor="text1"/>
                <w:szCs w:val="21"/>
              </w:rPr>
              <w:t>环境空气</w:t>
            </w:r>
          </w:p>
        </w:tc>
        <w:tc>
          <w:tcPr>
            <w:tcW w:w="2931"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SO</w:t>
            </w:r>
            <w:r>
              <w:rPr>
                <w:rFonts w:cs="Times New Roman" w:hint="eastAsia"/>
                <w:color w:val="000000" w:themeColor="text1"/>
                <w:szCs w:val="21"/>
                <w:vertAlign w:val="subscript"/>
              </w:rPr>
              <w:t>2</w:t>
            </w:r>
            <w:r>
              <w:rPr>
                <w:rFonts w:cs="Times New Roman" w:hint="eastAsia"/>
                <w:color w:val="000000" w:themeColor="text1"/>
                <w:szCs w:val="21"/>
              </w:rPr>
              <w:t>、</w:t>
            </w:r>
            <w:r>
              <w:rPr>
                <w:rFonts w:cs="Times New Roman" w:hint="eastAsia"/>
                <w:color w:val="000000" w:themeColor="text1"/>
                <w:szCs w:val="21"/>
              </w:rPr>
              <w:t>NO</w:t>
            </w:r>
            <w:r>
              <w:rPr>
                <w:rFonts w:cs="Times New Roman" w:hint="eastAsia"/>
                <w:color w:val="000000" w:themeColor="text1"/>
                <w:szCs w:val="21"/>
                <w:vertAlign w:val="subscript"/>
              </w:rPr>
              <w:t>2</w:t>
            </w:r>
            <w:r>
              <w:rPr>
                <w:rFonts w:cs="Times New Roman" w:hint="eastAsia"/>
                <w:color w:val="000000" w:themeColor="text1"/>
                <w:szCs w:val="21"/>
              </w:rPr>
              <w:t>、</w:t>
            </w:r>
            <w:r>
              <w:rPr>
                <w:rFonts w:cs="Times New Roman" w:hint="eastAsia"/>
                <w:color w:val="000000" w:themeColor="text1"/>
                <w:szCs w:val="21"/>
              </w:rPr>
              <w:t>PM</w:t>
            </w:r>
            <w:r>
              <w:rPr>
                <w:rFonts w:cs="Times New Roman" w:hint="eastAsia"/>
                <w:color w:val="000000" w:themeColor="text1"/>
                <w:szCs w:val="21"/>
                <w:vertAlign w:val="subscript"/>
              </w:rPr>
              <w:t>10</w:t>
            </w:r>
            <w:r>
              <w:rPr>
                <w:rFonts w:cs="Times New Roman" w:hint="eastAsia"/>
                <w:color w:val="000000" w:themeColor="text1"/>
                <w:szCs w:val="21"/>
              </w:rPr>
              <w:t>、</w:t>
            </w:r>
            <w:r>
              <w:rPr>
                <w:rFonts w:cs="Times New Roman" w:hint="eastAsia"/>
                <w:color w:val="000000" w:themeColor="text1"/>
                <w:szCs w:val="21"/>
              </w:rPr>
              <w:t>PM</w:t>
            </w:r>
            <w:r>
              <w:rPr>
                <w:rFonts w:cs="Times New Roman" w:hint="eastAsia"/>
                <w:color w:val="000000" w:themeColor="text1"/>
                <w:szCs w:val="21"/>
                <w:vertAlign w:val="subscript"/>
              </w:rPr>
              <w:t>2.5</w:t>
            </w:r>
            <w:r>
              <w:rPr>
                <w:rFonts w:cs="Times New Roman" w:hint="eastAsia"/>
                <w:color w:val="000000" w:themeColor="text1"/>
                <w:szCs w:val="21"/>
              </w:rPr>
              <w:t>、</w:t>
            </w:r>
            <w:r>
              <w:rPr>
                <w:rFonts w:cs="Times New Roman" w:hint="eastAsia"/>
                <w:color w:val="000000" w:themeColor="text1"/>
                <w:szCs w:val="21"/>
              </w:rPr>
              <w:t>CO</w:t>
            </w:r>
            <w:r>
              <w:rPr>
                <w:rFonts w:cs="Times New Roman" w:hint="eastAsia"/>
                <w:color w:val="000000" w:themeColor="text1"/>
                <w:szCs w:val="21"/>
              </w:rPr>
              <w:t>、</w:t>
            </w:r>
            <w:r>
              <w:rPr>
                <w:rFonts w:cs="Times New Roman" w:hint="eastAsia"/>
                <w:color w:val="000000" w:themeColor="text1"/>
                <w:szCs w:val="21"/>
              </w:rPr>
              <w:t>O</w:t>
            </w:r>
            <w:r>
              <w:rPr>
                <w:rFonts w:cs="Times New Roman" w:hint="eastAsia"/>
                <w:color w:val="000000" w:themeColor="text1"/>
                <w:szCs w:val="21"/>
                <w:vertAlign w:val="subscript"/>
              </w:rPr>
              <w:t>3</w:t>
            </w:r>
            <w:r>
              <w:rPr>
                <w:rFonts w:cs="Times New Roman" w:hint="eastAsia"/>
                <w:color w:val="000000" w:themeColor="text1"/>
                <w:szCs w:val="21"/>
              </w:rPr>
              <w:t>、非甲烷总烃、硫化氢、氨</w:t>
            </w:r>
          </w:p>
        </w:tc>
        <w:tc>
          <w:tcPr>
            <w:tcW w:w="487" w:type="pct"/>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颗粒物</w:t>
            </w:r>
          </w:p>
        </w:tc>
        <w:tc>
          <w:tcPr>
            <w:tcW w:w="1184" w:type="pct"/>
            <w:shd w:val="clear" w:color="auto" w:fill="auto"/>
            <w:vAlign w:val="center"/>
          </w:tcPr>
          <w:p w:rsidR="00644456" w:rsidRDefault="008031C4">
            <w:pPr>
              <w:adjustRightInd w:val="0"/>
              <w:snapToGrid w:val="0"/>
              <w:jc w:val="center"/>
              <w:rPr>
                <w:rFonts w:cs="Times New Roman"/>
                <w:color w:val="000000" w:themeColor="text1"/>
                <w:szCs w:val="21"/>
              </w:rPr>
            </w:pPr>
            <w:r w:rsidRPr="008031C4">
              <w:rPr>
                <w:rFonts w:cs="Times New Roman" w:hint="eastAsia"/>
                <w:color w:val="FF0000"/>
                <w:szCs w:val="21"/>
              </w:rPr>
              <w:t>非甲烷总烃、硫化氢、氨、臭气浓度</w:t>
            </w:r>
          </w:p>
        </w:tc>
      </w:tr>
      <w:tr w:rsidR="00644456">
        <w:tc>
          <w:tcPr>
            <w:tcW w:w="39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地表水</w:t>
            </w:r>
          </w:p>
        </w:tc>
        <w:tc>
          <w:tcPr>
            <w:tcW w:w="2931" w:type="pct"/>
            <w:shd w:val="clear" w:color="auto" w:fill="auto"/>
            <w:vAlign w:val="center"/>
          </w:tcPr>
          <w:p w:rsidR="00644456" w:rsidRDefault="008031C4">
            <w:pPr>
              <w:adjustRightInd w:val="0"/>
              <w:snapToGrid w:val="0"/>
              <w:jc w:val="center"/>
              <w:rPr>
                <w:rFonts w:cs="Times New Roman"/>
                <w:snapToGrid w:val="0"/>
                <w:color w:val="000000" w:themeColor="text1"/>
                <w:szCs w:val="21"/>
              </w:rPr>
            </w:pPr>
            <w:r w:rsidRPr="008031C4">
              <w:rPr>
                <w:rFonts w:cs="Times New Roman" w:hint="eastAsia"/>
                <w:color w:val="FF0000"/>
                <w:szCs w:val="21"/>
              </w:rPr>
              <w:t>/</w:t>
            </w:r>
          </w:p>
        </w:tc>
        <w:tc>
          <w:tcPr>
            <w:tcW w:w="487" w:type="pct"/>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SS</w:t>
            </w:r>
          </w:p>
        </w:tc>
        <w:tc>
          <w:tcPr>
            <w:tcW w:w="118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COD</w:t>
            </w:r>
            <w:r>
              <w:rPr>
                <w:rFonts w:cs="Times New Roman" w:hint="eastAsia"/>
                <w:color w:val="000000" w:themeColor="text1"/>
                <w:szCs w:val="21"/>
              </w:rPr>
              <w:t>、</w:t>
            </w:r>
            <w:r>
              <w:rPr>
                <w:rFonts w:cs="Times New Roman" w:hint="eastAsia"/>
                <w:color w:val="000000" w:themeColor="text1"/>
                <w:szCs w:val="21"/>
              </w:rPr>
              <w:t>BOD</w:t>
            </w:r>
            <w:r>
              <w:rPr>
                <w:rFonts w:cs="Times New Roman" w:hint="eastAsia"/>
                <w:color w:val="000000" w:themeColor="text1"/>
                <w:szCs w:val="21"/>
                <w:vertAlign w:val="subscript"/>
              </w:rPr>
              <w:t>5</w:t>
            </w:r>
            <w:r>
              <w:rPr>
                <w:rFonts w:cs="Times New Roman" w:hint="eastAsia"/>
                <w:color w:val="000000" w:themeColor="text1"/>
                <w:szCs w:val="21"/>
              </w:rPr>
              <w:t>、</w:t>
            </w:r>
            <w:r>
              <w:rPr>
                <w:rFonts w:cs="Times New Roman" w:hint="eastAsia"/>
                <w:color w:val="000000" w:themeColor="text1"/>
                <w:szCs w:val="21"/>
              </w:rPr>
              <w:t>NH</w:t>
            </w:r>
            <w:r>
              <w:rPr>
                <w:rFonts w:cs="Times New Roman" w:hint="eastAsia"/>
                <w:color w:val="000000" w:themeColor="text1"/>
                <w:szCs w:val="21"/>
                <w:vertAlign w:val="subscript"/>
              </w:rPr>
              <w:t>3</w:t>
            </w:r>
            <w:r>
              <w:rPr>
                <w:rFonts w:cs="Times New Roman" w:hint="eastAsia"/>
                <w:color w:val="000000" w:themeColor="text1"/>
                <w:szCs w:val="21"/>
              </w:rPr>
              <w:t>-N</w:t>
            </w:r>
            <w:r>
              <w:rPr>
                <w:rFonts w:cs="Times New Roman" w:hint="eastAsia"/>
                <w:color w:val="000000" w:themeColor="text1"/>
                <w:szCs w:val="21"/>
              </w:rPr>
              <w:t>、</w:t>
            </w:r>
            <w:r>
              <w:rPr>
                <w:rFonts w:cs="Times New Roman" w:hint="eastAsia"/>
                <w:color w:val="000000" w:themeColor="text1"/>
                <w:szCs w:val="21"/>
              </w:rPr>
              <w:t>TN</w:t>
            </w:r>
            <w:r>
              <w:rPr>
                <w:rFonts w:cs="Times New Roman" w:hint="eastAsia"/>
                <w:color w:val="000000" w:themeColor="text1"/>
                <w:szCs w:val="21"/>
              </w:rPr>
              <w:t>、</w:t>
            </w:r>
            <w:r>
              <w:rPr>
                <w:rFonts w:cs="Times New Roman" w:hint="eastAsia"/>
                <w:color w:val="000000" w:themeColor="text1"/>
                <w:szCs w:val="21"/>
              </w:rPr>
              <w:t>TP</w:t>
            </w:r>
            <w:r>
              <w:rPr>
                <w:rFonts w:cs="Times New Roman" w:hint="eastAsia"/>
                <w:color w:val="000000" w:themeColor="text1"/>
                <w:szCs w:val="21"/>
              </w:rPr>
              <w:t>、</w:t>
            </w:r>
            <w:r>
              <w:rPr>
                <w:rFonts w:cs="Times New Roman" w:hint="eastAsia"/>
                <w:color w:val="000000" w:themeColor="text1"/>
                <w:szCs w:val="21"/>
              </w:rPr>
              <w:t>SS</w:t>
            </w:r>
            <w:r>
              <w:rPr>
                <w:rFonts w:cs="Times New Roman" w:hint="eastAsia"/>
                <w:color w:val="000000" w:themeColor="text1"/>
                <w:szCs w:val="21"/>
              </w:rPr>
              <w:t>、石油类</w:t>
            </w:r>
          </w:p>
        </w:tc>
      </w:tr>
      <w:tr w:rsidR="00644456">
        <w:tc>
          <w:tcPr>
            <w:tcW w:w="39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地下水</w:t>
            </w:r>
          </w:p>
        </w:tc>
        <w:tc>
          <w:tcPr>
            <w:tcW w:w="2931"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钾、钠、钙、镁、碳酸根、重碳酸根、</w:t>
            </w:r>
            <w:r>
              <w:rPr>
                <w:rFonts w:cs="Times New Roman" w:hint="eastAsia"/>
                <w:color w:val="000000" w:themeColor="text1"/>
                <w:szCs w:val="21"/>
              </w:rPr>
              <w:t>pH</w:t>
            </w:r>
            <w:r>
              <w:rPr>
                <w:rFonts w:cs="Times New Roman" w:hint="eastAsia"/>
                <w:color w:val="000000" w:themeColor="text1"/>
                <w:szCs w:val="21"/>
              </w:rPr>
              <w:t>、氨氮（以</w:t>
            </w:r>
            <w:r>
              <w:rPr>
                <w:rFonts w:cs="Times New Roman" w:hint="eastAsia"/>
                <w:color w:val="000000" w:themeColor="text1"/>
                <w:szCs w:val="21"/>
              </w:rPr>
              <w:t>N</w:t>
            </w:r>
            <w:r>
              <w:rPr>
                <w:rFonts w:cs="Times New Roman" w:hint="eastAsia"/>
                <w:color w:val="000000" w:themeColor="text1"/>
                <w:szCs w:val="21"/>
              </w:rPr>
              <w:t>计）、硝酸盐（以</w:t>
            </w:r>
            <w:r>
              <w:rPr>
                <w:rFonts w:cs="Times New Roman" w:hint="eastAsia"/>
                <w:color w:val="000000" w:themeColor="text1"/>
                <w:szCs w:val="21"/>
              </w:rPr>
              <w:t>N</w:t>
            </w:r>
            <w:r>
              <w:rPr>
                <w:rFonts w:cs="Times New Roman" w:hint="eastAsia"/>
                <w:color w:val="000000" w:themeColor="text1"/>
                <w:szCs w:val="21"/>
              </w:rPr>
              <w:t>计）、亚硝酸盐（以</w:t>
            </w:r>
            <w:r>
              <w:rPr>
                <w:rFonts w:cs="Times New Roman" w:hint="eastAsia"/>
                <w:color w:val="000000" w:themeColor="text1"/>
                <w:szCs w:val="21"/>
              </w:rPr>
              <w:t>N</w:t>
            </w:r>
            <w:r>
              <w:rPr>
                <w:rFonts w:cs="Times New Roman" w:hint="eastAsia"/>
                <w:color w:val="000000" w:themeColor="text1"/>
                <w:szCs w:val="21"/>
              </w:rPr>
              <w:t>计）、挥发性酚类（以苯酚计）、氰化物、砷、汞、铬（六价）、总硬度（以</w:t>
            </w:r>
            <w:r>
              <w:rPr>
                <w:rFonts w:cs="Times New Roman" w:hint="eastAsia"/>
                <w:color w:val="000000" w:themeColor="text1"/>
                <w:szCs w:val="21"/>
              </w:rPr>
              <w:t>CaCO</w:t>
            </w:r>
            <w:r>
              <w:rPr>
                <w:rFonts w:cs="Times New Roman" w:hint="eastAsia"/>
                <w:color w:val="000000" w:themeColor="text1"/>
                <w:szCs w:val="21"/>
                <w:vertAlign w:val="subscript"/>
              </w:rPr>
              <w:t>3</w:t>
            </w:r>
            <w:r>
              <w:rPr>
                <w:rFonts w:cs="Times New Roman" w:hint="eastAsia"/>
                <w:color w:val="000000" w:themeColor="text1"/>
                <w:szCs w:val="21"/>
              </w:rPr>
              <w:t>计）、铅、氟化物、镉、铁、锰、溶解性总固体、耗氧量（</w:t>
            </w:r>
            <w:r>
              <w:rPr>
                <w:rFonts w:cs="Times New Roman" w:hint="eastAsia"/>
                <w:color w:val="000000" w:themeColor="text1"/>
                <w:szCs w:val="21"/>
              </w:rPr>
              <w:t>COD</w:t>
            </w:r>
            <w:r>
              <w:rPr>
                <w:rFonts w:cs="Times New Roman" w:hint="eastAsia"/>
                <w:color w:val="000000" w:themeColor="text1"/>
                <w:szCs w:val="21"/>
                <w:vertAlign w:val="subscript"/>
              </w:rPr>
              <w:t>M</w:t>
            </w:r>
            <w:r>
              <w:rPr>
                <w:rFonts w:cs="Times New Roman" w:hint="eastAsia"/>
                <w:color w:val="000000" w:themeColor="text1"/>
                <w:szCs w:val="21"/>
              </w:rPr>
              <w:t>n</w:t>
            </w:r>
            <w:r>
              <w:rPr>
                <w:rFonts w:cs="Times New Roman" w:hint="eastAsia"/>
                <w:color w:val="000000" w:themeColor="text1"/>
                <w:szCs w:val="21"/>
              </w:rPr>
              <w:t>）、硫酸盐、氯化物、总大肠菌群、细菌总数、铜、锌、阴离子表面活性剂、总磷、钒、铝、硫化物、硒、石油类。</w:t>
            </w:r>
          </w:p>
        </w:tc>
        <w:tc>
          <w:tcPr>
            <w:tcW w:w="487" w:type="pct"/>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w:t>
            </w:r>
          </w:p>
        </w:tc>
        <w:tc>
          <w:tcPr>
            <w:tcW w:w="118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石油类</w:t>
            </w:r>
            <w:r w:rsidR="00381961">
              <w:rPr>
                <w:rFonts w:cs="Times New Roman" w:hint="eastAsia"/>
                <w:color w:val="000000" w:themeColor="text1"/>
                <w:szCs w:val="21"/>
              </w:rPr>
              <w:t>、硫化物</w:t>
            </w:r>
          </w:p>
        </w:tc>
      </w:tr>
      <w:tr w:rsidR="00644456">
        <w:tc>
          <w:tcPr>
            <w:tcW w:w="39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声环境</w:t>
            </w:r>
          </w:p>
        </w:tc>
        <w:tc>
          <w:tcPr>
            <w:tcW w:w="2931"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等效连续</w:t>
            </w:r>
            <w:r>
              <w:rPr>
                <w:rFonts w:cs="Times New Roman"/>
                <w:color w:val="000000" w:themeColor="text1"/>
                <w:szCs w:val="21"/>
              </w:rPr>
              <w:t>A</w:t>
            </w:r>
            <w:r>
              <w:rPr>
                <w:rFonts w:cs="Times New Roman"/>
                <w:color w:val="000000" w:themeColor="text1"/>
                <w:szCs w:val="21"/>
              </w:rPr>
              <w:t>声级</w:t>
            </w:r>
            <w:r>
              <w:rPr>
                <w:rFonts w:cs="Times New Roman"/>
                <w:color w:val="000000" w:themeColor="text1"/>
                <w:szCs w:val="21"/>
              </w:rPr>
              <w:t>Leq</w:t>
            </w:r>
            <w:r>
              <w:rPr>
                <w:rFonts w:cs="Times New Roman"/>
                <w:color w:val="000000" w:themeColor="text1"/>
                <w:szCs w:val="21"/>
              </w:rPr>
              <w:t>（</w:t>
            </w:r>
            <w:r>
              <w:rPr>
                <w:rFonts w:cs="Times New Roman"/>
                <w:color w:val="000000" w:themeColor="text1"/>
                <w:szCs w:val="21"/>
              </w:rPr>
              <w:t>A</w:t>
            </w:r>
            <w:r>
              <w:rPr>
                <w:rFonts w:cs="Times New Roman"/>
                <w:color w:val="000000" w:themeColor="text1"/>
                <w:szCs w:val="21"/>
              </w:rPr>
              <w:t>）</w:t>
            </w:r>
          </w:p>
        </w:tc>
        <w:tc>
          <w:tcPr>
            <w:tcW w:w="487" w:type="pct"/>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等效连续</w:t>
            </w:r>
            <w:r>
              <w:rPr>
                <w:rFonts w:cs="Times New Roman" w:hint="eastAsia"/>
                <w:color w:val="000000" w:themeColor="text1"/>
                <w:szCs w:val="21"/>
              </w:rPr>
              <w:t>A</w:t>
            </w:r>
            <w:r>
              <w:rPr>
                <w:rFonts w:cs="Times New Roman" w:hint="eastAsia"/>
                <w:color w:val="000000" w:themeColor="text1"/>
                <w:szCs w:val="21"/>
              </w:rPr>
              <w:t>声级</w:t>
            </w:r>
          </w:p>
        </w:tc>
        <w:tc>
          <w:tcPr>
            <w:tcW w:w="118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昼、夜等效连续</w:t>
            </w:r>
            <w:r>
              <w:rPr>
                <w:rFonts w:cs="Times New Roman" w:hint="eastAsia"/>
                <w:color w:val="000000" w:themeColor="text1"/>
                <w:szCs w:val="21"/>
              </w:rPr>
              <w:t>A</w:t>
            </w:r>
            <w:r>
              <w:rPr>
                <w:rFonts w:cs="Times New Roman" w:hint="eastAsia"/>
                <w:color w:val="000000" w:themeColor="text1"/>
                <w:szCs w:val="21"/>
              </w:rPr>
              <w:t>声级</w:t>
            </w:r>
          </w:p>
        </w:tc>
      </w:tr>
      <w:tr w:rsidR="00644456">
        <w:tc>
          <w:tcPr>
            <w:tcW w:w="39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土壤</w:t>
            </w:r>
          </w:p>
        </w:tc>
        <w:tc>
          <w:tcPr>
            <w:tcW w:w="2931"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砷、镉、铜、铅、汞、镍、四氯化碳、氯仿、氯甲烷、</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1-</w:t>
            </w:r>
            <w:r>
              <w:rPr>
                <w:rFonts w:cs="Times New Roman"/>
                <w:color w:val="000000" w:themeColor="text1"/>
                <w:szCs w:val="21"/>
              </w:rPr>
              <w:t>二氯乙烷、</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2-</w:t>
            </w:r>
            <w:r>
              <w:rPr>
                <w:rFonts w:cs="Times New Roman"/>
                <w:color w:val="000000" w:themeColor="text1"/>
                <w:szCs w:val="21"/>
              </w:rPr>
              <w:t>二氯乙烷、</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1-</w:t>
            </w:r>
            <w:r>
              <w:rPr>
                <w:rFonts w:cs="Times New Roman"/>
                <w:color w:val="000000" w:themeColor="text1"/>
                <w:szCs w:val="21"/>
              </w:rPr>
              <w:t>二氯乙烯、顺</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2-</w:t>
            </w:r>
            <w:r>
              <w:rPr>
                <w:rFonts w:cs="Times New Roman"/>
                <w:color w:val="000000" w:themeColor="text1"/>
                <w:szCs w:val="21"/>
              </w:rPr>
              <w:t>二氯乙烯、反</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2-</w:t>
            </w:r>
            <w:r>
              <w:rPr>
                <w:rFonts w:cs="Times New Roman"/>
                <w:color w:val="000000" w:themeColor="text1"/>
                <w:szCs w:val="21"/>
              </w:rPr>
              <w:t>二氯乙烯、二氯甲烷、</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2</w:t>
            </w:r>
            <w:r>
              <w:rPr>
                <w:rFonts w:cs="Times New Roman"/>
                <w:color w:val="000000" w:themeColor="text1"/>
                <w:szCs w:val="21"/>
              </w:rPr>
              <w:t>二氯丙烷、</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2-</w:t>
            </w:r>
            <w:r>
              <w:rPr>
                <w:rFonts w:cs="Times New Roman"/>
                <w:color w:val="000000" w:themeColor="text1"/>
                <w:szCs w:val="21"/>
              </w:rPr>
              <w:t>四氯乙烷、</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2</w:t>
            </w:r>
            <w:r>
              <w:rPr>
                <w:rFonts w:cs="Times New Roman"/>
                <w:color w:val="000000" w:themeColor="text1"/>
                <w:szCs w:val="21"/>
              </w:rPr>
              <w:t>，</w:t>
            </w:r>
            <w:r>
              <w:rPr>
                <w:rFonts w:cs="Times New Roman"/>
                <w:color w:val="000000" w:themeColor="text1"/>
                <w:szCs w:val="21"/>
              </w:rPr>
              <w:t>2-</w:t>
            </w:r>
            <w:r>
              <w:rPr>
                <w:rFonts w:cs="Times New Roman"/>
                <w:color w:val="000000" w:themeColor="text1"/>
                <w:szCs w:val="21"/>
              </w:rPr>
              <w:t>四氯乙烷、四氯乙烯、</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1-</w:t>
            </w:r>
            <w:r>
              <w:rPr>
                <w:rFonts w:cs="Times New Roman"/>
                <w:color w:val="000000" w:themeColor="text1"/>
                <w:szCs w:val="21"/>
              </w:rPr>
              <w:t>三氯乙烷、</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2-</w:t>
            </w:r>
            <w:r>
              <w:rPr>
                <w:rFonts w:cs="Times New Roman"/>
                <w:color w:val="000000" w:themeColor="text1"/>
                <w:szCs w:val="21"/>
              </w:rPr>
              <w:t>三氯乙烷、三氯乙烯、</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2</w:t>
            </w:r>
            <w:r>
              <w:rPr>
                <w:rFonts w:cs="Times New Roman"/>
                <w:color w:val="000000" w:themeColor="text1"/>
                <w:szCs w:val="21"/>
              </w:rPr>
              <w:t>，</w:t>
            </w:r>
            <w:r>
              <w:rPr>
                <w:rFonts w:cs="Times New Roman"/>
                <w:color w:val="000000" w:themeColor="text1"/>
                <w:szCs w:val="21"/>
              </w:rPr>
              <w:t>3-</w:t>
            </w:r>
            <w:r>
              <w:rPr>
                <w:rFonts w:cs="Times New Roman"/>
                <w:color w:val="000000" w:themeColor="text1"/>
                <w:szCs w:val="21"/>
              </w:rPr>
              <w:t>三氯丙烷、氯乙烯、苯、氯苯、</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2-</w:t>
            </w:r>
            <w:r>
              <w:rPr>
                <w:rFonts w:cs="Times New Roman"/>
                <w:color w:val="000000" w:themeColor="text1"/>
                <w:szCs w:val="21"/>
              </w:rPr>
              <w:t>二氯苯、</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4-</w:t>
            </w:r>
            <w:r>
              <w:rPr>
                <w:rFonts w:cs="Times New Roman"/>
                <w:color w:val="000000" w:themeColor="text1"/>
                <w:szCs w:val="21"/>
              </w:rPr>
              <w:t>二氯苯、乙苯、苯乙烯、甲苯、间二甲苯</w:t>
            </w:r>
            <w:r>
              <w:rPr>
                <w:rFonts w:cs="Times New Roman"/>
                <w:color w:val="000000" w:themeColor="text1"/>
                <w:szCs w:val="21"/>
              </w:rPr>
              <w:t>+</w:t>
            </w:r>
            <w:r>
              <w:rPr>
                <w:rFonts w:cs="Times New Roman"/>
                <w:color w:val="000000" w:themeColor="text1"/>
                <w:szCs w:val="21"/>
              </w:rPr>
              <w:t>对二甲苯、邻二甲苯、硝基苯、苯胺、</w:t>
            </w:r>
            <w:r>
              <w:rPr>
                <w:rFonts w:cs="Times New Roman"/>
                <w:color w:val="000000" w:themeColor="text1"/>
                <w:szCs w:val="21"/>
              </w:rPr>
              <w:t>2-</w:t>
            </w:r>
            <w:r>
              <w:rPr>
                <w:rFonts w:cs="Times New Roman"/>
                <w:color w:val="000000" w:themeColor="text1"/>
                <w:szCs w:val="21"/>
              </w:rPr>
              <w:t>氯酚、苯并【</w:t>
            </w:r>
            <w:r>
              <w:rPr>
                <w:rFonts w:cs="Times New Roman"/>
                <w:color w:val="000000" w:themeColor="text1"/>
                <w:szCs w:val="21"/>
              </w:rPr>
              <w:t>a</w:t>
            </w:r>
            <w:r>
              <w:rPr>
                <w:rFonts w:cs="Times New Roman"/>
                <w:color w:val="000000" w:themeColor="text1"/>
                <w:szCs w:val="21"/>
              </w:rPr>
              <w:t>】蒽、苯并【</w:t>
            </w:r>
            <w:r>
              <w:rPr>
                <w:rFonts w:cs="Times New Roman"/>
                <w:color w:val="000000" w:themeColor="text1"/>
                <w:szCs w:val="21"/>
              </w:rPr>
              <w:t>a</w:t>
            </w:r>
            <w:r>
              <w:rPr>
                <w:rFonts w:cs="Times New Roman"/>
                <w:color w:val="000000" w:themeColor="text1"/>
                <w:szCs w:val="21"/>
              </w:rPr>
              <w:t>】芘、苯并【</w:t>
            </w:r>
            <w:r>
              <w:rPr>
                <w:rFonts w:cs="Times New Roman"/>
                <w:color w:val="000000" w:themeColor="text1"/>
                <w:szCs w:val="21"/>
              </w:rPr>
              <w:t>b</w:t>
            </w:r>
            <w:r>
              <w:rPr>
                <w:rFonts w:cs="Times New Roman"/>
                <w:color w:val="000000" w:themeColor="text1"/>
                <w:szCs w:val="21"/>
              </w:rPr>
              <w:t>】荧蒽、苯并【</w:t>
            </w:r>
            <w:r>
              <w:rPr>
                <w:rFonts w:cs="Times New Roman"/>
                <w:color w:val="000000" w:themeColor="text1"/>
                <w:szCs w:val="21"/>
              </w:rPr>
              <w:t>k</w:t>
            </w:r>
            <w:r>
              <w:rPr>
                <w:rFonts w:cs="Times New Roman"/>
                <w:color w:val="000000" w:themeColor="text1"/>
                <w:szCs w:val="21"/>
              </w:rPr>
              <w:t>】荧蒽、䓛、二苯并【</w:t>
            </w:r>
            <w:r>
              <w:rPr>
                <w:rFonts w:cs="Times New Roman"/>
                <w:color w:val="000000" w:themeColor="text1"/>
                <w:szCs w:val="21"/>
              </w:rPr>
              <w:t>a</w:t>
            </w:r>
            <w:r>
              <w:rPr>
                <w:rFonts w:cs="Times New Roman"/>
                <w:color w:val="000000" w:themeColor="text1"/>
                <w:szCs w:val="21"/>
              </w:rPr>
              <w:t>，</w:t>
            </w:r>
            <w:r>
              <w:rPr>
                <w:rFonts w:cs="Times New Roman"/>
                <w:color w:val="000000" w:themeColor="text1"/>
                <w:szCs w:val="21"/>
              </w:rPr>
              <w:t>h</w:t>
            </w:r>
            <w:r>
              <w:rPr>
                <w:rFonts w:cs="Times New Roman"/>
                <w:color w:val="000000" w:themeColor="text1"/>
                <w:szCs w:val="21"/>
              </w:rPr>
              <w:t>】蒽、茚并【</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2</w:t>
            </w:r>
            <w:r>
              <w:rPr>
                <w:rFonts w:cs="Times New Roman"/>
                <w:color w:val="000000" w:themeColor="text1"/>
                <w:szCs w:val="21"/>
              </w:rPr>
              <w:t>，</w:t>
            </w:r>
            <w:r>
              <w:rPr>
                <w:rFonts w:cs="Times New Roman"/>
                <w:color w:val="000000" w:themeColor="text1"/>
                <w:szCs w:val="21"/>
              </w:rPr>
              <w:t>3-cd</w:t>
            </w:r>
            <w:r>
              <w:rPr>
                <w:rFonts w:cs="Times New Roman"/>
                <w:color w:val="000000" w:themeColor="text1"/>
                <w:szCs w:val="21"/>
              </w:rPr>
              <w:t>】芘、萘、</w:t>
            </w:r>
            <w:r>
              <w:rPr>
                <w:rFonts w:cs="Times New Roman"/>
                <w:color w:val="000000" w:themeColor="text1"/>
                <w:szCs w:val="21"/>
              </w:rPr>
              <w:t>pH</w:t>
            </w:r>
            <w:r>
              <w:rPr>
                <w:rFonts w:cs="Times New Roman"/>
                <w:color w:val="000000" w:themeColor="text1"/>
                <w:szCs w:val="21"/>
              </w:rPr>
              <w:t>；总铬、铬（六价）、石油烃（</w:t>
            </w:r>
            <w:r>
              <w:rPr>
                <w:rFonts w:cs="Times New Roman"/>
                <w:color w:val="000000" w:themeColor="text1"/>
                <w:szCs w:val="21"/>
              </w:rPr>
              <w:t>C</w:t>
            </w:r>
            <w:r>
              <w:rPr>
                <w:rFonts w:cs="Times New Roman"/>
                <w:color w:val="000000" w:themeColor="text1"/>
                <w:szCs w:val="21"/>
                <w:vertAlign w:val="subscript"/>
              </w:rPr>
              <w:t>10</w:t>
            </w:r>
            <w:r>
              <w:rPr>
                <w:rFonts w:cs="Times New Roman"/>
                <w:color w:val="000000" w:themeColor="text1"/>
                <w:szCs w:val="21"/>
              </w:rPr>
              <w:t>-C</w:t>
            </w:r>
            <w:r>
              <w:rPr>
                <w:rFonts w:cs="Times New Roman"/>
                <w:color w:val="000000" w:themeColor="text1"/>
                <w:szCs w:val="21"/>
                <w:vertAlign w:val="subscript"/>
              </w:rPr>
              <w:t>40</w:t>
            </w:r>
            <w:r>
              <w:rPr>
                <w:rFonts w:cs="Times New Roman"/>
                <w:color w:val="000000" w:themeColor="text1"/>
                <w:szCs w:val="21"/>
              </w:rPr>
              <w:t>）、铁、锌、锰、钒、钴。</w:t>
            </w:r>
          </w:p>
        </w:tc>
        <w:tc>
          <w:tcPr>
            <w:tcW w:w="487" w:type="pct"/>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w:t>
            </w:r>
          </w:p>
        </w:tc>
        <w:tc>
          <w:tcPr>
            <w:tcW w:w="118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石油烃</w:t>
            </w:r>
          </w:p>
        </w:tc>
      </w:tr>
      <w:tr w:rsidR="00644456">
        <w:tc>
          <w:tcPr>
            <w:tcW w:w="39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生态</w:t>
            </w:r>
          </w:p>
        </w:tc>
        <w:tc>
          <w:tcPr>
            <w:tcW w:w="2931"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土地利用、水土流失、植被破坏、物种生境、景观影响</w:t>
            </w:r>
            <w:r>
              <w:rPr>
                <w:rFonts w:cs="Times New Roman"/>
                <w:color w:val="000000" w:themeColor="text1"/>
                <w:szCs w:val="21"/>
              </w:rPr>
              <w:lastRenderedPageBreak/>
              <w:t>等</w:t>
            </w:r>
          </w:p>
        </w:tc>
        <w:tc>
          <w:tcPr>
            <w:tcW w:w="487" w:type="pct"/>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lastRenderedPageBreak/>
              <w:t>/</w:t>
            </w:r>
          </w:p>
        </w:tc>
        <w:tc>
          <w:tcPr>
            <w:tcW w:w="118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植物、土壤、动物等</w:t>
            </w:r>
          </w:p>
        </w:tc>
      </w:tr>
    </w:tbl>
    <w:p w:rsidR="00644456" w:rsidRDefault="008031C4">
      <w:pPr>
        <w:pStyle w:val="20"/>
        <w:numPr>
          <w:ilvl w:val="1"/>
          <w:numId w:val="0"/>
        </w:numPr>
        <w:adjustRightInd w:val="0"/>
        <w:snapToGrid w:val="0"/>
        <w:spacing w:beforeLines="0" w:before="0" w:afterLines="0" w:after="0"/>
        <w:ind w:firstLine="560"/>
        <w:rPr>
          <w:rFonts w:cs="Times New Roman"/>
          <w:color w:val="000000" w:themeColor="text1"/>
        </w:rPr>
      </w:pPr>
      <w:bookmarkStart w:id="60" w:name="_Toc177216861"/>
      <w:bookmarkStart w:id="61" w:name="_Toc155789340"/>
      <w:bookmarkEnd w:id="59"/>
      <w:r>
        <w:rPr>
          <w:rFonts w:cs="Times New Roman" w:hint="eastAsia"/>
          <w:color w:val="000000" w:themeColor="text1"/>
        </w:rPr>
        <w:t>1.7</w:t>
      </w:r>
      <w:r>
        <w:rPr>
          <w:rFonts w:cs="Times New Roman"/>
          <w:color w:val="000000" w:themeColor="text1"/>
        </w:rPr>
        <w:t>评价标准</w:t>
      </w:r>
      <w:bookmarkEnd w:id="60"/>
      <w:bookmarkEnd w:id="61"/>
    </w:p>
    <w:p w:rsidR="00644456" w:rsidRDefault="008031C4">
      <w:pPr>
        <w:pStyle w:val="-"/>
        <w:adjustRightInd w:val="0"/>
        <w:snapToGrid w:val="0"/>
        <w:ind w:firstLine="480"/>
        <w:rPr>
          <w:rFonts w:cs="Times New Roman"/>
          <w:color w:val="000000" w:themeColor="text1"/>
        </w:rPr>
      </w:pPr>
      <w:r>
        <w:rPr>
          <w:rFonts w:cs="Times New Roman"/>
          <w:color w:val="000000" w:themeColor="text1"/>
        </w:rPr>
        <w:t>依据区域地表水环境功能区划、环境空气功能区划，本项目执行如下标准：</w:t>
      </w:r>
    </w:p>
    <w:p w:rsidR="00644456" w:rsidRDefault="008031C4">
      <w:pPr>
        <w:pStyle w:val="3"/>
        <w:numPr>
          <w:ilvl w:val="2"/>
          <w:numId w:val="0"/>
        </w:numPr>
        <w:ind w:firstLineChars="200" w:firstLine="482"/>
      </w:pPr>
      <w:r>
        <w:rPr>
          <w:rFonts w:hint="eastAsia"/>
        </w:rPr>
        <w:t>1.7.1</w:t>
      </w:r>
      <w:r>
        <w:t>环境质量标准</w:t>
      </w:r>
    </w:p>
    <w:p w:rsidR="00644456" w:rsidRDefault="008031C4">
      <w:pPr>
        <w:pStyle w:val="-"/>
        <w:adjustRightInd w:val="0"/>
        <w:snapToGrid w:val="0"/>
        <w:ind w:firstLine="482"/>
        <w:rPr>
          <w:rFonts w:cs="Times New Roman"/>
          <w:b/>
          <w:bCs/>
          <w:color w:val="000000" w:themeColor="text1"/>
        </w:rPr>
      </w:pPr>
      <w:r>
        <w:rPr>
          <w:rFonts w:cs="Times New Roman"/>
          <w:b/>
          <w:bCs/>
          <w:color w:val="000000" w:themeColor="text1"/>
        </w:rPr>
        <w:t>1</w:t>
      </w:r>
      <w:r>
        <w:rPr>
          <w:rFonts w:cs="Times New Roman"/>
          <w:b/>
          <w:bCs/>
          <w:color w:val="000000" w:themeColor="text1"/>
        </w:rPr>
        <w:t>）环境空气</w:t>
      </w:r>
    </w:p>
    <w:p w:rsidR="00644456" w:rsidRDefault="008031C4">
      <w:pPr>
        <w:pStyle w:val="-"/>
        <w:adjustRightInd w:val="0"/>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hint="eastAsia"/>
          <w:color w:val="000000" w:themeColor="text1"/>
        </w:rPr>
        <w:t>）环境空气：项目所在地</w:t>
      </w:r>
      <w:r>
        <w:rPr>
          <w:rFonts w:cs="Times New Roman" w:hint="eastAsia"/>
          <w:color w:val="000000" w:themeColor="text1"/>
        </w:rPr>
        <w:t>SO</w:t>
      </w:r>
      <w:r>
        <w:rPr>
          <w:rFonts w:cs="Times New Roman" w:hint="eastAsia"/>
          <w:color w:val="000000" w:themeColor="text1"/>
          <w:vertAlign w:val="subscript"/>
        </w:rPr>
        <w:t>2</w:t>
      </w:r>
      <w:r>
        <w:rPr>
          <w:rFonts w:cs="Times New Roman" w:hint="eastAsia"/>
          <w:color w:val="000000" w:themeColor="text1"/>
        </w:rPr>
        <w:t>、</w:t>
      </w:r>
      <w:r>
        <w:rPr>
          <w:rFonts w:cs="Times New Roman" w:hint="eastAsia"/>
          <w:color w:val="000000" w:themeColor="text1"/>
        </w:rPr>
        <w:t>NO</w:t>
      </w:r>
      <w:r>
        <w:rPr>
          <w:rFonts w:cs="Times New Roman" w:hint="eastAsia"/>
          <w:color w:val="000000" w:themeColor="text1"/>
          <w:vertAlign w:val="subscript"/>
        </w:rPr>
        <w:t>2</w:t>
      </w:r>
      <w:r>
        <w:rPr>
          <w:rFonts w:cs="Times New Roman" w:hint="eastAsia"/>
          <w:color w:val="000000" w:themeColor="text1"/>
        </w:rPr>
        <w:t>、</w:t>
      </w:r>
      <w:r>
        <w:rPr>
          <w:rFonts w:cs="Times New Roman" w:hint="eastAsia"/>
          <w:color w:val="000000" w:themeColor="text1"/>
        </w:rPr>
        <w:t>PM</w:t>
      </w:r>
      <w:r>
        <w:rPr>
          <w:rFonts w:cs="Times New Roman" w:hint="eastAsia"/>
          <w:color w:val="000000" w:themeColor="text1"/>
          <w:vertAlign w:val="subscript"/>
        </w:rPr>
        <w:t>10</w:t>
      </w:r>
      <w:r>
        <w:rPr>
          <w:rFonts w:cs="Times New Roman" w:hint="eastAsia"/>
          <w:color w:val="000000" w:themeColor="text1"/>
        </w:rPr>
        <w:t>、</w:t>
      </w:r>
      <w:r>
        <w:rPr>
          <w:rFonts w:cs="Times New Roman" w:hint="eastAsia"/>
          <w:color w:val="000000" w:themeColor="text1"/>
        </w:rPr>
        <w:t>PM</w:t>
      </w:r>
      <w:r>
        <w:rPr>
          <w:rFonts w:cs="Times New Roman" w:hint="eastAsia"/>
          <w:color w:val="000000" w:themeColor="text1"/>
          <w:vertAlign w:val="subscript"/>
        </w:rPr>
        <w:t>2.5</w:t>
      </w:r>
      <w:r>
        <w:rPr>
          <w:rFonts w:cs="Times New Roman" w:hint="eastAsia"/>
          <w:color w:val="000000" w:themeColor="text1"/>
        </w:rPr>
        <w:t>、</w:t>
      </w:r>
      <w:r>
        <w:rPr>
          <w:rFonts w:cs="Times New Roman" w:hint="eastAsia"/>
          <w:color w:val="000000" w:themeColor="text1"/>
        </w:rPr>
        <w:t>O</w:t>
      </w:r>
      <w:r>
        <w:rPr>
          <w:rFonts w:cs="Times New Roman" w:hint="eastAsia"/>
          <w:color w:val="000000" w:themeColor="text1"/>
          <w:vertAlign w:val="subscript"/>
        </w:rPr>
        <w:t>3</w:t>
      </w:r>
      <w:r>
        <w:rPr>
          <w:rFonts w:cs="Times New Roman" w:hint="eastAsia"/>
          <w:color w:val="000000" w:themeColor="text1"/>
        </w:rPr>
        <w:t>、</w:t>
      </w:r>
      <w:r>
        <w:rPr>
          <w:rFonts w:cs="Times New Roman" w:hint="eastAsia"/>
          <w:color w:val="000000" w:themeColor="text1"/>
        </w:rPr>
        <w:t>CO</w:t>
      </w:r>
      <w:r>
        <w:rPr>
          <w:rFonts w:cs="Times New Roman" w:hint="eastAsia"/>
          <w:color w:val="000000" w:themeColor="text1"/>
        </w:rPr>
        <w:t>、</w:t>
      </w:r>
      <w:r>
        <w:rPr>
          <w:rFonts w:cs="Times New Roman" w:hint="eastAsia"/>
          <w:color w:val="000000" w:themeColor="text1"/>
        </w:rPr>
        <w:t>TSP</w:t>
      </w:r>
      <w:r>
        <w:rPr>
          <w:rFonts w:cs="Times New Roman" w:hint="eastAsia"/>
          <w:color w:val="000000" w:themeColor="text1"/>
        </w:rPr>
        <w:t>执行《环境空气质量标准》（</w:t>
      </w:r>
      <w:r>
        <w:rPr>
          <w:rFonts w:cs="Times New Roman" w:hint="eastAsia"/>
          <w:color w:val="000000" w:themeColor="text1"/>
        </w:rPr>
        <w:t>GB3095-2012</w:t>
      </w:r>
      <w:r>
        <w:rPr>
          <w:rFonts w:cs="Times New Roman" w:hint="eastAsia"/>
          <w:color w:val="000000" w:themeColor="text1"/>
        </w:rPr>
        <w:t>）中的二级标准，硫化氢、氨执行《环境影响评价技术导则—大气环境》（</w:t>
      </w:r>
      <w:r>
        <w:rPr>
          <w:rFonts w:cs="Times New Roman" w:hint="eastAsia"/>
          <w:color w:val="000000" w:themeColor="text1"/>
        </w:rPr>
        <w:t>HJ2.2-2018</w:t>
      </w:r>
      <w:r>
        <w:rPr>
          <w:rFonts w:cs="Times New Roman" w:hint="eastAsia"/>
          <w:color w:val="000000" w:themeColor="text1"/>
        </w:rPr>
        <w:t>）附录</w:t>
      </w:r>
      <w:r>
        <w:rPr>
          <w:rFonts w:cs="Times New Roman" w:hint="eastAsia"/>
          <w:color w:val="000000" w:themeColor="text1"/>
        </w:rPr>
        <w:t>D</w:t>
      </w:r>
      <w:r>
        <w:rPr>
          <w:rFonts w:cs="Times New Roman" w:hint="eastAsia"/>
          <w:color w:val="000000" w:themeColor="text1"/>
        </w:rPr>
        <w:t>中标准限值，非甲烷总烃参照国家环保局科技标准司《大气污染物综合排放标准详解》中浓度限值，具体浓度限值见表</w:t>
      </w:r>
      <w:r>
        <w:rPr>
          <w:rFonts w:cs="Times New Roman" w:hint="eastAsia"/>
          <w:color w:val="000000" w:themeColor="text1"/>
        </w:rPr>
        <w:t>1.7-1</w:t>
      </w:r>
      <w:r>
        <w:rPr>
          <w:rFonts w:cs="Times New Roman"/>
          <w:color w:val="000000" w:themeColor="text1"/>
        </w:rPr>
        <w:t>。</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1.7-1</w:t>
      </w:r>
      <w:r>
        <w:rPr>
          <w:rFonts w:ascii="Times New Roman" w:eastAsia="宋体" w:hAnsi="Times New Roman" w:cs="Times New Roman" w:hint="eastAsia"/>
          <w:b/>
          <w:color w:val="000000" w:themeColor="text1"/>
          <w:sz w:val="24"/>
        </w:rPr>
        <w:t>环境空气质量标准</w:t>
      </w:r>
    </w:p>
    <w:tbl>
      <w:tblPr>
        <w:tblpPr w:leftFromText="180" w:rightFromText="180" w:vertAnchor="text" w:tblpXSpec="center" w:tblpY="1"/>
        <w:tblOverlap w:val="neve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169"/>
        <w:gridCol w:w="1318"/>
        <w:gridCol w:w="2015"/>
        <w:gridCol w:w="1202"/>
        <w:gridCol w:w="3242"/>
      </w:tblGrid>
      <w:tr w:rsidR="00644456">
        <w:trPr>
          <w:cantSplit/>
          <w:tblHeader/>
          <w:jc w:val="center"/>
        </w:trPr>
        <w:tc>
          <w:tcPr>
            <w:tcW w:w="653" w:type="pct"/>
            <w:vMerge w:val="restart"/>
            <w:shd w:val="clear" w:color="auto" w:fill="auto"/>
            <w:vAlign w:val="center"/>
          </w:tcPr>
          <w:p w:rsidR="00644456" w:rsidRDefault="008031C4">
            <w:pPr>
              <w:jc w:val="center"/>
              <w:rPr>
                <w:rFonts w:cs="Times New Roman"/>
                <w:b/>
                <w:color w:val="000000" w:themeColor="text1"/>
                <w:szCs w:val="21"/>
              </w:rPr>
            </w:pPr>
            <w:r>
              <w:rPr>
                <w:rFonts w:cs="Times New Roman"/>
                <w:b/>
                <w:color w:val="000000" w:themeColor="text1"/>
                <w:szCs w:val="21"/>
              </w:rPr>
              <w:t>污染物</w:t>
            </w:r>
          </w:p>
        </w:tc>
        <w:tc>
          <w:tcPr>
            <w:tcW w:w="2534" w:type="pct"/>
            <w:gridSpan w:val="3"/>
            <w:shd w:val="clear" w:color="auto" w:fill="auto"/>
            <w:vAlign w:val="center"/>
          </w:tcPr>
          <w:p w:rsidR="00644456" w:rsidRDefault="008031C4">
            <w:pPr>
              <w:jc w:val="center"/>
              <w:rPr>
                <w:rFonts w:cs="Times New Roman"/>
                <w:b/>
                <w:color w:val="000000" w:themeColor="text1"/>
                <w:szCs w:val="21"/>
              </w:rPr>
            </w:pPr>
            <w:r>
              <w:rPr>
                <w:rFonts w:cs="Times New Roman"/>
                <w:b/>
                <w:color w:val="000000" w:themeColor="text1"/>
                <w:szCs w:val="21"/>
              </w:rPr>
              <w:t>各项污染物的浓度限值（</w:t>
            </w:r>
            <w:r>
              <w:rPr>
                <w:rFonts w:cs="Times New Roman"/>
                <w:b/>
                <w:color w:val="000000" w:themeColor="text1"/>
                <w:szCs w:val="21"/>
              </w:rPr>
              <w:t>μg/m</w:t>
            </w:r>
            <w:r>
              <w:rPr>
                <w:rFonts w:cs="Times New Roman"/>
                <w:b/>
                <w:color w:val="000000" w:themeColor="text1"/>
                <w:szCs w:val="21"/>
                <w:vertAlign w:val="superscript"/>
              </w:rPr>
              <w:t>3</w:t>
            </w:r>
            <w:r>
              <w:rPr>
                <w:rFonts w:cs="Times New Roman"/>
                <w:b/>
                <w:color w:val="000000" w:themeColor="text1"/>
                <w:szCs w:val="21"/>
              </w:rPr>
              <w:t>）</w:t>
            </w:r>
          </w:p>
        </w:tc>
        <w:tc>
          <w:tcPr>
            <w:tcW w:w="1811" w:type="pct"/>
            <w:vMerge w:val="restart"/>
            <w:shd w:val="clear" w:color="auto" w:fill="auto"/>
            <w:vAlign w:val="center"/>
          </w:tcPr>
          <w:p w:rsidR="00644456" w:rsidRDefault="008031C4">
            <w:pPr>
              <w:jc w:val="center"/>
              <w:rPr>
                <w:rFonts w:cs="Times New Roman"/>
                <w:b/>
                <w:color w:val="000000" w:themeColor="text1"/>
                <w:szCs w:val="21"/>
              </w:rPr>
            </w:pPr>
            <w:r>
              <w:rPr>
                <w:rFonts w:cs="Times New Roman"/>
                <w:b/>
                <w:color w:val="000000" w:themeColor="text1"/>
                <w:szCs w:val="21"/>
              </w:rPr>
              <w:t>依据</w:t>
            </w:r>
          </w:p>
        </w:tc>
      </w:tr>
      <w:tr w:rsidR="00644456">
        <w:trPr>
          <w:cantSplit/>
          <w:tblHeader/>
          <w:jc w:val="center"/>
        </w:trPr>
        <w:tc>
          <w:tcPr>
            <w:tcW w:w="653" w:type="pct"/>
            <w:vMerge/>
            <w:shd w:val="clear" w:color="auto" w:fill="auto"/>
            <w:vAlign w:val="center"/>
          </w:tcPr>
          <w:p w:rsidR="00644456" w:rsidRDefault="00644456">
            <w:pPr>
              <w:jc w:val="center"/>
              <w:rPr>
                <w:rFonts w:cs="Times New Roman"/>
                <w:b/>
                <w:color w:val="000000" w:themeColor="text1"/>
                <w:szCs w:val="21"/>
              </w:rPr>
            </w:pPr>
          </w:p>
        </w:tc>
        <w:tc>
          <w:tcPr>
            <w:tcW w:w="736" w:type="pct"/>
            <w:shd w:val="clear" w:color="auto" w:fill="auto"/>
            <w:vAlign w:val="center"/>
          </w:tcPr>
          <w:p w:rsidR="00644456" w:rsidRDefault="008031C4">
            <w:pPr>
              <w:jc w:val="center"/>
              <w:rPr>
                <w:rFonts w:cs="Times New Roman"/>
                <w:b/>
                <w:color w:val="000000" w:themeColor="text1"/>
                <w:szCs w:val="21"/>
              </w:rPr>
            </w:pPr>
            <w:r>
              <w:rPr>
                <w:rFonts w:cs="Times New Roman"/>
                <w:b/>
                <w:color w:val="000000" w:themeColor="text1"/>
                <w:szCs w:val="21"/>
              </w:rPr>
              <w:t>1</w:t>
            </w:r>
            <w:r>
              <w:rPr>
                <w:rFonts w:cs="Times New Roman"/>
                <w:b/>
                <w:color w:val="000000" w:themeColor="text1"/>
                <w:szCs w:val="21"/>
              </w:rPr>
              <w:t>小时平均</w:t>
            </w:r>
          </w:p>
        </w:tc>
        <w:tc>
          <w:tcPr>
            <w:tcW w:w="1126" w:type="pct"/>
            <w:shd w:val="clear" w:color="auto" w:fill="auto"/>
            <w:vAlign w:val="center"/>
          </w:tcPr>
          <w:p w:rsidR="00644456" w:rsidRDefault="008031C4">
            <w:pPr>
              <w:jc w:val="center"/>
              <w:rPr>
                <w:rFonts w:cs="Times New Roman"/>
                <w:b/>
                <w:color w:val="000000" w:themeColor="text1"/>
                <w:szCs w:val="21"/>
              </w:rPr>
            </w:pPr>
            <w:r>
              <w:rPr>
                <w:rFonts w:cs="Times New Roman"/>
                <w:b/>
                <w:color w:val="000000" w:themeColor="text1"/>
                <w:szCs w:val="21"/>
              </w:rPr>
              <w:t>日平均</w:t>
            </w:r>
          </w:p>
        </w:tc>
        <w:tc>
          <w:tcPr>
            <w:tcW w:w="672" w:type="pct"/>
            <w:shd w:val="clear" w:color="auto" w:fill="auto"/>
            <w:vAlign w:val="center"/>
          </w:tcPr>
          <w:p w:rsidR="00644456" w:rsidRDefault="008031C4">
            <w:pPr>
              <w:jc w:val="center"/>
              <w:rPr>
                <w:rFonts w:cs="Times New Roman"/>
                <w:b/>
                <w:color w:val="000000" w:themeColor="text1"/>
                <w:szCs w:val="21"/>
              </w:rPr>
            </w:pPr>
            <w:r>
              <w:rPr>
                <w:rFonts w:cs="Times New Roman"/>
                <w:b/>
                <w:color w:val="000000" w:themeColor="text1"/>
                <w:szCs w:val="21"/>
              </w:rPr>
              <w:t>年平均</w:t>
            </w:r>
          </w:p>
        </w:tc>
        <w:tc>
          <w:tcPr>
            <w:tcW w:w="1811" w:type="pct"/>
            <w:vMerge/>
            <w:shd w:val="clear" w:color="auto" w:fill="auto"/>
            <w:vAlign w:val="center"/>
          </w:tcPr>
          <w:p w:rsidR="00644456" w:rsidRDefault="00644456">
            <w:pPr>
              <w:jc w:val="center"/>
              <w:rPr>
                <w:rFonts w:cs="Times New Roman"/>
                <w:b/>
                <w:color w:val="000000" w:themeColor="text1"/>
                <w:szCs w:val="21"/>
              </w:rPr>
            </w:pPr>
          </w:p>
        </w:tc>
      </w:tr>
      <w:tr w:rsidR="00644456">
        <w:trPr>
          <w:cantSplit/>
          <w:jc w:val="center"/>
        </w:trPr>
        <w:tc>
          <w:tcPr>
            <w:tcW w:w="653"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SO</w:t>
            </w:r>
            <w:r>
              <w:rPr>
                <w:rFonts w:cs="Times New Roman"/>
                <w:color w:val="000000" w:themeColor="text1"/>
                <w:vertAlign w:val="subscript"/>
              </w:rPr>
              <w:t>2</w:t>
            </w:r>
          </w:p>
        </w:tc>
        <w:tc>
          <w:tcPr>
            <w:tcW w:w="736"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500</w:t>
            </w:r>
          </w:p>
        </w:tc>
        <w:tc>
          <w:tcPr>
            <w:tcW w:w="1126"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150</w:t>
            </w:r>
          </w:p>
        </w:tc>
        <w:tc>
          <w:tcPr>
            <w:tcW w:w="672"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60</w:t>
            </w:r>
          </w:p>
        </w:tc>
        <w:tc>
          <w:tcPr>
            <w:tcW w:w="1811" w:type="pct"/>
            <w:vMerge w:val="restart"/>
            <w:shd w:val="clear" w:color="auto" w:fill="auto"/>
            <w:vAlign w:val="center"/>
          </w:tcPr>
          <w:p w:rsidR="00644456" w:rsidRDefault="008031C4">
            <w:pPr>
              <w:jc w:val="center"/>
              <w:rPr>
                <w:rFonts w:cs="Times New Roman"/>
                <w:color w:val="000000" w:themeColor="text1"/>
              </w:rPr>
            </w:pPr>
            <w:r>
              <w:rPr>
                <w:rFonts w:cs="Times New Roman"/>
                <w:color w:val="000000" w:themeColor="text1"/>
              </w:rPr>
              <w:t>《环境空气质量标准》</w:t>
            </w:r>
          </w:p>
          <w:p w:rsidR="00644456" w:rsidRDefault="008031C4">
            <w:pPr>
              <w:jc w:val="center"/>
              <w:rPr>
                <w:rFonts w:cs="Times New Roman"/>
                <w:color w:val="000000" w:themeColor="text1"/>
              </w:rPr>
            </w:pPr>
            <w:r>
              <w:rPr>
                <w:rFonts w:cs="Times New Roman"/>
                <w:color w:val="000000" w:themeColor="text1"/>
              </w:rPr>
              <w:t>（</w:t>
            </w:r>
            <w:r>
              <w:rPr>
                <w:rFonts w:cs="Times New Roman"/>
                <w:color w:val="000000" w:themeColor="text1"/>
              </w:rPr>
              <w:t>GB3095-2012</w:t>
            </w:r>
            <w:r>
              <w:rPr>
                <w:rFonts w:cs="Times New Roman"/>
                <w:color w:val="000000" w:themeColor="text1"/>
              </w:rPr>
              <w:t>）二级标准</w:t>
            </w:r>
          </w:p>
        </w:tc>
      </w:tr>
      <w:tr w:rsidR="00644456">
        <w:trPr>
          <w:cantSplit/>
          <w:jc w:val="center"/>
        </w:trPr>
        <w:tc>
          <w:tcPr>
            <w:tcW w:w="653" w:type="pct"/>
            <w:shd w:val="clear" w:color="auto" w:fill="auto"/>
            <w:vAlign w:val="center"/>
          </w:tcPr>
          <w:p w:rsidR="00644456" w:rsidRDefault="008031C4">
            <w:pPr>
              <w:jc w:val="center"/>
              <w:rPr>
                <w:rFonts w:cs="Times New Roman"/>
                <w:color w:val="000000" w:themeColor="text1"/>
                <w:vertAlign w:val="subscript"/>
              </w:rPr>
            </w:pPr>
            <w:r>
              <w:rPr>
                <w:rFonts w:cs="Times New Roman"/>
                <w:color w:val="000000" w:themeColor="text1"/>
              </w:rPr>
              <w:t>NO</w:t>
            </w:r>
            <w:r>
              <w:rPr>
                <w:rFonts w:cs="Times New Roman"/>
                <w:color w:val="000000" w:themeColor="text1"/>
                <w:vertAlign w:val="subscript"/>
              </w:rPr>
              <w:t>2</w:t>
            </w:r>
          </w:p>
        </w:tc>
        <w:tc>
          <w:tcPr>
            <w:tcW w:w="736"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200</w:t>
            </w:r>
          </w:p>
        </w:tc>
        <w:tc>
          <w:tcPr>
            <w:tcW w:w="1126"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80</w:t>
            </w:r>
          </w:p>
        </w:tc>
        <w:tc>
          <w:tcPr>
            <w:tcW w:w="672"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40</w:t>
            </w:r>
          </w:p>
        </w:tc>
        <w:tc>
          <w:tcPr>
            <w:tcW w:w="1811" w:type="pct"/>
            <w:vMerge/>
            <w:shd w:val="clear" w:color="auto" w:fill="auto"/>
            <w:vAlign w:val="center"/>
          </w:tcPr>
          <w:p w:rsidR="00644456" w:rsidRDefault="00644456">
            <w:pPr>
              <w:jc w:val="center"/>
              <w:rPr>
                <w:rFonts w:cs="Times New Roman"/>
                <w:color w:val="000000" w:themeColor="text1"/>
              </w:rPr>
            </w:pPr>
          </w:p>
        </w:tc>
      </w:tr>
      <w:tr w:rsidR="00644456">
        <w:trPr>
          <w:cantSplit/>
          <w:jc w:val="center"/>
        </w:trPr>
        <w:tc>
          <w:tcPr>
            <w:tcW w:w="653"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NOx</w:t>
            </w:r>
          </w:p>
        </w:tc>
        <w:tc>
          <w:tcPr>
            <w:tcW w:w="736"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250</w:t>
            </w:r>
          </w:p>
        </w:tc>
        <w:tc>
          <w:tcPr>
            <w:tcW w:w="1126"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100</w:t>
            </w:r>
          </w:p>
        </w:tc>
        <w:tc>
          <w:tcPr>
            <w:tcW w:w="672"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50</w:t>
            </w:r>
          </w:p>
        </w:tc>
        <w:tc>
          <w:tcPr>
            <w:tcW w:w="1811" w:type="pct"/>
            <w:vMerge/>
            <w:shd w:val="clear" w:color="auto" w:fill="auto"/>
            <w:vAlign w:val="center"/>
          </w:tcPr>
          <w:p w:rsidR="00644456" w:rsidRDefault="00644456">
            <w:pPr>
              <w:jc w:val="center"/>
              <w:rPr>
                <w:rFonts w:cs="Times New Roman"/>
                <w:color w:val="000000" w:themeColor="text1"/>
              </w:rPr>
            </w:pPr>
          </w:p>
        </w:tc>
      </w:tr>
      <w:tr w:rsidR="00644456">
        <w:trPr>
          <w:cantSplit/>
          <w:trHeight w:val="215"/>
          <w:jc w:val="center"/>
        </w:trPr>
        <w:tc>
          <w:tcPr>
            <w:tcW w:w="653"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PM</w:t>
            </w:r>
            <w:r>
              <w:rPr>
                <w:rFonts w:cs="Times New Roman"/>
                <w:color w:val="000000" w:themeColor="text1"/>
                <w:vertAlign w:val="subscript"/>
              </w:rPr>
              <w:t>10</w:t>
            </w:r>
          </w:p>
        </w:tc>
        <w:tc>
          <w:tcPr>
            <w:tcW w:w="736"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w:t>
            </w:r>
          </w:p>
        </w:tc>
        <w:tc>
          <w:tcPr>
            <w:tcW w:w="1126"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150</w:t>
            </w:r>
          </w:p>
        </w:tc>
        <w:tc>
          <w:tcPr>
            <w:tcW w:w="672"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70</w:t>
            </w:r>
          </w:p>
        </w:tc>
        <w:tc>
          <w:tcPr>
            <w:tcW w:w="1811" w:type="pct"/>
            <w:vMerge/>
            <w:shd w:val="clear" w:color="auto" w:fill="auto"/>
            <w:vAlign w:val="center"/>
          </w:tcPr>
          <w:p w:rsidR="00644456" w:rsidRDefault="00644456">
            <w:pPr>
              <w:jc w:val="center"/>
              <w:rPr>
                <w:rFonts w:cs="Times New Roman"/>
                <w:color w:val="000000" w:themeColor="text1"/>
              </w:rPr>
            </w:pPr>
          </w:p>
        </w:tc>
      </w:tr>
      <w:tr w:rsidR="00644456">
        <w:trPr>
          <w:cantSplit/>
          <w:jc w:val="center"/>
        </w:trPr>
        <w:tc>
          <w:tcPr>
            <w:tcW w:w="653"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PM</w:t>
            </w:r>
            <w:r>
              <w:rPr>
                <w:rFonts w:cs="Times New Roman"/>
                <w:color w:val="000000" w:themeColor="text1"/>
                <w:vertAlign w:val="subscript"/>
              </w:rPr>
              <w:t>2.5</w:t>
            </w:r>
          </w:p>
        </w:tc>
        <w:tc>
          <w:tcPr>
            <w:tcW w:w="736"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w:t>
            </w:r>
          </w:p>
        </w:tc>
        <w:tc>
          <w:tcPr>
            <w:tcW w:w="1126"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75</w:t>
            </w:r>
          </w:p>
        </w:tc>
        <w:tc>
          <w:tcPr>
            <w:tcW w:w="672"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35</w:t>
            </w:r>
          </w:p>
        </w:tc>
        <w:tc>
          <w:tcPr>
            <w:tcW w:w="1811" w:type="pct"/>
            <w:vMerge/>
            <w:shd w:val="clear" w:color="auto" w:fill="auto"/>
            <w:vAlign w:val="center"/>
          </w:tcPr>
          <w:p w:rsidR="00644456" w:rsidRDefault="00644456">
            <w:pPr>
              <w:jc w:val="center"/>
              <w:rPr>
                <w:rFonts w:cs="Times New Roman"/>
                <w:color w:val="000000" w:themeColor="text1"/>
              </w:rPr>
            </w:pPr>
          </w:p>
        </w:tc>
      </w:tr>
      <w:tr w:rsidR="00644456">
        <w:trPr>
          <w:cantSplit/>
          <w:jc w:val="center"/>
        </w:trPr>
        <w:tc>
          <w:tcPr>
            <w:tcW w:w="653"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CO</w:t>
            </w:r>
          </w:p>
        </w:tc>
        <w:tc>
          <w:tcPr>
            <w:tcW w:w="736"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10000</w:t>
            </w:r>
          </w:p>
        </w:tc>
        <w:tc>
          <w:tcPr>
            <w:tcW w:w="1126"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4000</w:t>
            </w:r>
          </w:p>
        </w:tc>
        <w:tc>
          <w:tcPr>
            <w:tcW w:w="672"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w:t>
            </w:r>
          </w:p>
        </w:tc>
        <w:tc>
          <w:tcPr>
            <w:tcW w:w="1811" w:type="pct"/>
            <w:vMerge/>
            <w:shd w:val="clear" w:color="auto" w:fill="auto"/>
            <w:vAlign w:val="center"/>
          </w:tcPr>
          <w:p w:rsidR="00644456" w:rsidRDefault="00644456">
            <w:pPr>
              <w:jc w:val="center"/>
              <w:rPr>
                <w:rFonts w:cs="Times New Roman"/>
                <w:color w:val="000000" w:themeColor="text1"/>
              </w:rPr>
            </w:pPr>
          </w:p>
        </w:tc>
      </w:tr>
      <w:tr w:rsidR="00644456">
        <w:trPr>
          <w:cantSplit/>
          <w:jc w:val="center"/>
        </w:trPr>
        <w:tc>
          <w:tcPr>
            <w:tcW w:w="653" w:type="pct"/>
            <w:shd w:val="clear" w:color="auto" w:fill="auto"/>
            <w:vAlign w:val="center"/>
          </w:tcPr>
          <w:p w:rsidR="00644456" w:rsidRDefault="008031C4">
            <w:pPr>
              <w:jc w:val="center"/>
              <w:rPr>
                <w:rFonts w:cs="Times New Roman"/>
                <w:color w:val="000000" w:themeColor="text1"/>
                <w:vertAlign w:val="subscript"/>
              </w:rPr>
            </w:pPr>
            <w:r>
              <w:rPr>
                <w:rFonts w:cs="Times New Roman"/>
                <w:color w:val="000000" w:themeColor="text1"/>
              </w:rPr>
              <w:t>O</w:t>
            </w:r>
            <w:r>
              <w:rPr>
                <w:rFonts w:cs="Times New Roman"/>
                <w:color w:val="000000" w:themeColor="text1"/>
                <w:vertAlign w:val="subscript"/>
              </w:rPr>
              <w:t>3</w:t>
            </w:r>
          </w:p>
        </w:tc>
        <w:tc>
          <w:tcPr>
            <w:tcW w:w="736"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200</w:t>
            </w:r>
          </w:p>
        </w:tc>
        <w:tc>
          <w:tcPr>
            <w:tcW w:w="1126"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160</w:t>
            </w:r>
            <w:r>
              <w:rPr>
                <w:rFonts w:cs="Times New Roman"/>
                <w:color w:val="000000" w:themeColor="text1"/>
              </w:rPr>
              <w:t>（</w:t>
            </w:r>
            <w:r>
              <w:rPr>
                <w:rFonts w:cs="Times New Roman"/>
                <w:color w:val="000000" w:themeColor="text1"/>
              </w:rPr>
              <w:t>8</w:t>
            </w:r>
            <w:r>
              <w:rPr>
                <w:rFonts w:cs="Times New Roman"/>
                <w:color w:val="000000" w:themeColor="text1"/>
              </w:rPr>
              <w:t>小时平均）</w:t>
            </w:r>
          </w:p>
        </w:tc>
        <w:tc>
          <w:tcPr>
            <w:tcW w:w="672"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w:t>
            </w:r>
          </w:p>
        </w:tc>
        <w:tc>
          <w:tcPr>
            <w:tcW w:w="1811" w:type="pct"/>
            <w:vMerge/>
            <w:shd w:val="clear" w:color="auto" w:fill="auto"/>
            <w:vAlign w:val="center"/>
          </w:tcPr>
          <w:p w:rsidR="00644456" w:rsidRDefault="00644456">
            <w:pPr>
              <w:jc w:val="center"/>
              <w:rPr>
                <w:rFonts w:cs="Times New Roman"/>
                <w:color w:val="000000" w:themeColor="text1"/>
              </w:rPr>
            </w:pPr>
          </w:p>
        </w:tc>
      </w:tr>
      <w:tr w:rsidR="00644456">
        <w:trPr>
          <w:cantSplit/>
          <w:jc w:val="center"/>
        </w:trPr>
        <w:tc>
          <w:tcPr>
            <w:tcW w:w="653"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TSP</w:t>
            </w:r>
          </w:p>
        </w:tc>
        <w:tc>
          <w:tcPr>
            <w:tcW w:w="736"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w:t>
            </w:r>
          </w:p>
        </w:tc>
        <w:tc>
          <w:tcPr>
            <w:tcW w:w="1126"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300</w:t>
            </w:r>
          </w:p>
        </w:tc>
        <w:tc>
          <w:tcPr>
            <w:tcW w:w="672"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200</w:t>
            </w:r>
          </w:p>
        </w:tc>
        <w:tc>
          <w:tcPr>
            <w:tcW w:w="1811" w:type="pct"/>
            <w:vMerge/>
            <w:shd w:val="clear" w:color="auto" w:fill="auto"/>
            <w:vAlign w:val="center"/>
          </w:tcPr>
          <w:p w:rsidR="00644456" w:rsidRDefault="00644456">
            <w:pPr>
              <w:jc w:val="center"/>
              <w:rPr>
                <w:rFonts w:cs="Times New Roman"/>
                <w:color w:val="000000" w:themeColor="text1"/>
              </w:rPr>
            </w:pPr>
          </w:p>
        </w:tc>
      </w:tr>
      <w:tr w:rsidR="00644456">
        <w:trPr>
          <w:cantSplit/>
          <w:jc w:val="center"/>
        </w:trPr>
        <w:tc>
          <w:tcPr>
            <w:tcW w:w="653" w:type="pct"/>
            <w:shd w:val="clear" w:color="auto" w:fill="auto"/>
            <w:vAlign w:val="center"/>
          </w:tcPr>
          <w:p w:rsidR="00644456" w:rsidRDefault="008031C4">
            <w:pPr>
              <w:autoSpaceDE w:val="0"/>
              <w:autoSpaceDN w:val="0"/>
              <w:adjustRightInd w:val="0"/>
              <w:jc w:val="center"/>
              <w:rPr>
                <w:rFonts w:cs="Times New Roman"/>
                <w:color w:val="000000" w:themeColor="text1"/>
              </w:rPr>
            </w:pPr>
            <w:r>
              <w:rPr>
                <w:rFonts w:cs="Times New Roman" w:hint="eastAsia"/>
                <w:color w:val="000000" w:themeColor="text1"/>
              </w:rPr>
              <w:t>氨</w:t>
            </w:r>
          </w:p>
        </w:tc>
        <w:tc>
          <w:tcPr>
            <w:tcW w:w="736" w:type="pct"/>
            <w:shd w:val="clear" w:color="auto" w:fill="auto"/>
            <w:vAlign w:val="center"/>
          </w:tcPr>
          <w:p w:rsidR="00644456" w:rsidRDefault="008031C4">
            <w:pPr>
              <w:snapToGrid w:val="0"/>
              <w:jc w:val="center"/>
              <w:rPr>
                <w:rFonts w:cs="Times New Roman"/>
                <w:color w:val="000000" w:themeColor="text1"/>
                <w:kern w:val="0"/>
                <w:szCs w:val="21"/>
              </w:rPr>
            </w:pPr>
            <w:r>
              <w:rPr>
                <w:rFonts w:cs="Times New Roman"/>
                <w:color w:val="000000" w:themeColor="text1"/>
                <w:szCs w:val="21"/>
              </w:rPr>
              <w:t>200</w:t>
            </w:r>
          </w:p>
        </w:tc>
        <w:tc>
          <w:tcPr>
            <w:tcW w:w="1126" w:type="pct"/>
            <w:shd w:val="clear" w:color="auto" w:fill="auto"/>
            <w:vAlign w:val="center"/>
          </w:tcPr>
          <w:p w:rsidR="00644456" w:rsidRDefault="008031C4">
            <w:pPr>
              <w:snapToGrid w:val="0"/>
              <w:jc w:val="center"/>
              <w:rPr>
                <w:rFonts w:cs="Times New Roman"/>
                <w:color w:val="000000" w:themeColor="text1"/>
                <w:kern w:val="0"/>
                <w:szCs w:val="21"/>
              </w:rPr>
            </w:pPr>
            <w:r>
              <w:rPr>
                <w:rFonts w:cs="Times New Roman"/>
                <w:color w:val="000000" w:themeColor="text1"/>
              </w:rPr>
              <w:t>—</w:t>
            </w:r>
          </w:p>
        </w:tc>
        <w:tc>
          <w:tcPr>
            <w:tcW w:w="672" w:type="pct"/>
            <w:shd w:val="clear" w:color="auto" w:fill="auto"/>
            <w:vAlign w:val="center"/>
          </w:tcPr>
          <w:p w:rsidR="00644456" w:rsidRDefault="008031C4">
            <w:pPr>
              <w:snapToGrid w:val="0"/>
              <w:jc w:val="center"/>
              <w:rPr>
                <w:rFonts w:cs="Times New Roman"/>
                <w:color w:val="000000" w:themeColor="text1"/>
              </w:rPr>
            </w:pPr>
            <w:r>
              <w:rPr>
                <w:rFonts w:cs="Times New Roman"/>
                <w:color w:val="000000" w:themeColor="text1"/>
                <w:szCs w:val="21"/>
              </w:rPr>
              <w:t>—</w:t>
            </w:r>
          </w:p>
        </w:tc>
        <w:tc>
          <w:tcPr>
            <w:tcW w:w="1811" w:type="pct"/>
            <w:vMerge w:val="restart"/>
            <w:shd w:val="clear" w:color="auto" w:fill="auto"/>
            <w:vAlign w:val="center"/>
          </w:tcPr>
          <w:p w:rsidR="00644456" w:rsidRDefault="008031C4">
            <w:pPr>
              <w:jc w:val="center"/>
              <w:rPr>
                <w:rFonts w:cs="Times New Roman"/>
                <w:color w:val="000000" w:themeColor="text1"/>
              </w:rPr>
            </w:pPr>
            <w:r>
              <w:rPr>
                <w:rFonts w:cs="Times New Roman"/>
                <w:color w:val="000000" w:themeColor="text1"/>
                <w:szCs w:val="21"/>
              </w:rPr>
              <w:t>《环境影响评价技术导则大气环境》（</w:t>
            </w:r>
            <w:r>
              <w:rPr>
                <w:rFonts w:cs="Times New Roman"/>
                <w:color w:val="000000" w:themeColor="text1"/>
                <w:szCs w:val="21"/>
              </w:rPr>
              <w:t>HJ2.2-2018</w:t>
            </w:r>
            <w:r>
              <w:rPr>
                <w:rFonts w:cs="Times New Roman"/>
                <w:color w:val="000000" w:themeColor="text1"/>
                <w:szCs w:val="21"/>
              </w:rPr>
              <w:t>）附录</w:t>
            </w:r>
            <w:r>
              <w:rPr>
                <w:rFonts w:cs="Times New Roman"/>
                <w:color w:val="000000" w:themeColor="text1"/>
                <w:szCs w:val="21"/>
              </w:rPr>
              <w:t>D</w:t>
            </w:r>
            <w:r>
              <w:rPr>
                <w:rFonts w:cs="Times New Roman"/>
                <w:color w:val="000000" w:themeColor="text1"/>
                <w:szCs w:val="21"/>
              </w:rPr>
              <w:t>中的相关标准</w:t>
            </w:r>
          </w:p>
        </w:tc>
      </w:tr>
      <w:tr w:rsidR="00644456">
        <w:trPr>
          <w:cantSplit/>
          <w:jc w:val="center"/>
        </w:trPr>
        <w:tc>
          <w:tcPr>
            <w:tcW w:w="653" w:type="pct"/>
            <w:shd w:val="clear" w:color="auto" w:fill="auto"/>
            <w:vAlign w:val="center"/>
          </w:tcPr>
          <w:p w:rsidR="00644456" w:rsidRDefault="008031C4">
            <w:pPr>
              <w:autoSpaceDE w:val="0"/>
              <w:autoSpaceDN w:val="0"/>
              <w:adjustRightInd w:val="0"/>
              <w:jc w:val="center"/>
              <w:rPr>
                <w:rFonts w:cs="Times New Roman"/>
                <w:color w:val="000000" w:themeColor="text1"/>
              </w:rPr>
            </w:pPr>
            <w:r>
              <w:rPr>
                <w:rFonts w:cs="Times New Roman" w:hint="eastAsia"/>
                <w:color w:val="000000" w:themeColor="text1"/>
              </w:rPr>
              <w:t>硫化氢</w:t>
            </w:r>
          </w:p>
        </w:tc>
        <w:tc>
          <w:tcPr>
            <w:tcW w:w="736" w:type="pct"/>
            <w:shd w:val="clear" w:color="auto" w:fill="auto"/>
            <w:vAlign w:val="center"/>
          </w:tcPr>
          <w:p w:rsidR="00644456" w:rsidRDefault="008031C4">
            <w:pPr>
              <w:snapToGrid w:val="0"/>
              <w:jc w:val="center"/>
              <w:rPr>
                <w:rFonts w:cs="Times New Roman"/>
                <w:color w:val="000000" w:themeColor="text1"/>
                <w:kern w:val="0"/>
                <w:szCs w:val="21"/>
              </w:rPr>
            </w:pPr>
            <w:r>
              <w:rPr>
                <w:rFonts w:cs="Times New Roman"/>
                <w:color w:val="000000" w:themeColor="text1"/>
                <w:szCs w:val="21"/>
              </w:rPr>
              <w:t>10</w:t>
            </w:r>
          </w:p>
        </w:tc>
        <w:tc>
          <w:tcPr>
            <w:tcW w:w="1126" w:type="pct"/>
            <w:shd w:val="clear" w:color="auto" w:fill="auto"/>
            <w:vAlign w:val="center"/>
          </w:tcPr>
          <w:p w:rsidR="00644456" w:rsidRDefault="008031C4">
            <w:pPr>
              <w:snapToGrid w:val="0"/>
              <w:jc w:val="center"/>
              <w:rPr>
                <w:rFonts w:cs="Times New Roman"/>
                <w:color w:val="000000" w:themeColor="text1"/>
                <w:kern w:val="0"/>
                <w:szCs w:val="21"/>
              </w:rPr>
            </w:pPr>
            <w:r>
              <w:rPr>
                <w:rFonts w:cs="Times New Roman"/>
                <w:color w:val="000000" w:themeColor="text1"/>
              </w:rPr>
              <w:t>—</w:t>
            </w:r>
          </w:p>
        </w:tc>
        <w:tc>
          <w:tcPr>
            <w:tcW w:w="672" w:type="pct"/>
            <w:shd w:val="clear" w:color="auto" w:fill="auto"/>
            <w:vAlign w:val="center"/>
          </w:tcPr>
          <w:p w:rsidR="00644456" w:rsidRDefault="008031C4">
            <w:pPr>
              <w:snapToGrid w:val="0"/>
              <w:jc w:val="center"/>
              <w:rPr>
                <w:rFonts w:cs="Times New Roman"/>
                <w:color w:val="000000" w:themeColor="text1"/>
              </w:rPr>
            </w:pPr>
            <w:r>
              <w:rPr>
                <w:rFonts w:cs="Times New Roman"/>
                <w:color w:val="000000" w:themeColor="text1"/>
                <w:szCs w:val="21"/>
              </w:rPr>
              <w:t>—</w:t>
            </w:r>
          </w:p>
        </w:tc>
        <w:tc>
          <w:tcPr>
            <w:tcW w:w="1811" w:type="pct"/>
            <w:vMerge/>
            <w:shd w:val="clear" w:color="auto" w:fill="auto"/>
            <w:vAlign w:val="center"/>
          </w:tcPr>
          <w:p w:rsidR="00644456" w:rsidRDefault="00644456">
            <w:pPr>
              <w:jc w:val="center"/>
              <w:rPr>
                <w:rFonts w:cs="Times New Roman"/>
                <w:color w:val="000000" w:themeColor="text1"/>
              </w:rPr>
            </w:pPr>
          </w:p>
        </w:tc>
      </w:tr>
      <w:tr w:rsidR="00644456">
        <w:trPr>
          <w:cantSplit/>
          <w:jc w:val="center"/>
        </w:trPr>
        <w:tc>
          <w:tcPr>
            <w:tcW w:w="653" w:type="pct"/>
            <w:shd w:val="clear" w:color="auto" w:fill="auto"/>
            <w:vAlign w:val="center"/>
          </w:tcPr>
          <w:p w:rsidR="00644456" w:rsidRDefault="008031C4">
            <w:pPr>
              <w:autoSpaceDE w:val="0"/>
              <w:autoSpaceDN w:val="0"/>
              <w:adjustRightInd w:val="0"/>
              <w:jc w:val="center"/>
              <w:rPr>
                <w:rFonts w:cs="Times New Roman"/>
                <w:color w:val="000000" w:themeColor="text1"/>
              </w:rPr>
            </w:pPr>
            <w:r>
              <w:rPr>
                <w:rFonts w:cs="Times New Roman" w:hint="eastAsia"/>
                <w:color w:val="000000" w:themeColor="text1"/>
              </w:rPr>
              <w:t>非甲烷总烃</w:t>
            </w:r>
          </w:p>
        </w:tc>
        <w:tc>
          <w:tcPr>
            <w:tcW w:w="736" w:type="pct"/>
            <w:shd w:val="clear" w:color="auto" w:fill="auto"/>
            <w:vAlign w:val="center"/>
          </w:tcPr>
          <w:p w:rsidR="00644456" w:rsidRDefault="008031C4">
            <w:pPr>
              <w:snapToGrid w:val="0"/>
              <w:jc w:val="center"/>
              <w:rPr>
                <w:rFonts w:cs="Times New Roman"/>
                <w:color w:val="000000" w:themeColor="text1"/>
                <w:szCs w:val="21"/>
              </w:rPr>
            </w:pPr>
            <w:r>
              <w:rPr>
                <w:rFonts w:cs="Times New Roman"/>
                <w:color w:val="000000" w:themeColor="text1"/>
                <w:szCs w:val="21"/>
              </w:rPr>
              <w:t>2000</w:t>
            </w:r>
          </w:p>
        </w:tc>
        <w:tc>
          <w:tcPr>
            <w:tcW w:w="1126" w:type="pct"/>
            <w:shd w:val="clear" w:color="auto" w:fill="auto"/>
            <w:vAlign w:val="center"/>
          </w:tcPr>
          <w:p w:rsidR="00644456" w:rsidRDefault="00644456">
            <w:pPr>
              <w:snapToGrid w:val="0"/>
              <w:jc w:val="center"/>
              <w:rPr>
                <w:rFonts w:cs="Times New Roman"/>
                <w:color w:val="000000" w:themeColor="text1"/>
              </w:rPr>
            </w:pPr>
          </w:p>
        </w:tc>
        <w:tc>
          <w:tcPr>
            <w:tcW w:w="672" w:type="pct"/>
            <w:shd w:val="clear" w:color="auto" w:fill="auto"/>
            <w:vAlign w:val="center"/>
          </w:tcPr>
          <w:p w:rsidR="00644456" w:rsidRDefault="00644456">
            <w:pPr>
              <w:snapToGrid w:val="0"/>
              <w:jc w:val="center"/>
              <w:rPr>
                <w:rFonts w:cs="Times New Roman"/>
                <w:color w:val="000000" w:themeColor="text1"/>
                <w:szCs w:val="21"/>
              </w:rPr>
            </w:pPr>
          </w:p>
        </w:tc>
        <w:tc>
          <w:tcPr>
            <w:tcW w:w="1811" w:type="pct"/>
            <w:shd w:val="clear" w:color="auto" w:fill="auto"/>
            <w:vAlign w:val="center"/>
          </w:tcPr>
          <w:p w:rsidR="00644456" w:rsidRDefault="008031C4">
            <w:pPr>
              <w:jc w:val="center"/>
              <w:rPr>
                <w:rFonts w:cs="Times New Roman"/>
                <w:color w:val="000000" w:themeColor="text1"/>
              </w:rPr>
            </w:pPr>
            <w:r>
              <w:rPr>
                <w:rFonts w:cs="Times New Roman" w:hint="eastAsia"/>
                <w:color w:val="000000" w:themeColor="text1"/>
              </w:rPr>
              <w:t>国家环保局科技标准司《大气污染物综合排放标准详解》</w:t>
            </w:r>
          </w:p>
        </w:tc>
      </w:tr>
    </w:tbl>
    <w:p w:rsidR="00644456" w:rsidRDefault="008031C4">
      <w:pPr>
        <w:pStyle w:val="-"/>
        <w:ind w:firstLine="482"/>
        <w:rPr>
          <w:rFonts w:cs="Times New Roman"/>
          <w:b/>
          <w:bCs/>
          <w:color w:val="000000" w:themeColor="text1"/>
        </w:rPr>
      </w:pPr>
      <w:r>
        <w:rPr>
          <w:rFonts w:cs="Times New Roman"/>
          <w:b/>
          <w:bCs/>
          <w:color w:val="000000" w:themeColor="text1"/>
        </w:rPr>
        <w:t>2</w:t>
      </w:r>
      <w:r>
        <w:rPr>
          <w:rFonts w:cs="Times New Roman"/>
          <w:b/>
          <w:bCs/>
          <w:color w:val="000000" w:themeColor="text1"/>
        </w:rPr>
        <w:t>）地表水环境质量</w:t>
      </w:r>
    </w:p>
    <w:p w:rsidR="00644456" w:rsidRDefault="008031C4">
      <w:pPr>
        <w:pStyle w:val="-"/>
        <w:ind w:firstLine="480"/>
        <w:rPr>
          <w:rFonts w:cs="Times New Roman"/>
          <w:color w:val="000000" w:themeColor="text1"/>
        </w:rPr>
      </w:pPr>
      <w:r>
        <w:rPr>
          <w:rFonts w:cs="Times New Roman" w:hint="eastAsia"/>
          <w:color w:val="000000" w:themeColor="text1"/>
        </w:rPr>
        <w:t>本项目废水经自建污水处理站处理达标后排入生态钢城污水处理厂进一步处理后，回用于园区道路清扫和绿化灌溉，本项目周边无天然地表水体</w:t>
      </w:r>
      <w:r>
        <w:rPr>
          <w:rFonts w:cs="Times New Roman"/>
          <w:color w:val="000000" w:themeColor="text1"/>
        </w:rPr>
        <w:t>。</w:t>
      </w:r>
    </w:p>
    <w:p w:rsidR="00644456" w:rsidRDefault="008031C4">
      <w:pPr>
        <w:pStyle w:val="-"/>
        <w:ind w:firstLine="482"/>
        <w:rPr>
          <w:rFonts w:cs="Times New Roman"/>
          <w:b/>
          <w:bCs/>
          <w:color w:val="000000" w:themeColor="text1"/>
        </w:rPr>
      </w:pPr>
      <w:r>
        <w:rPr>
          <w:rFonts w:cs="Times New Roman"/>
          <w:b/>
          <w:bCs/>
          <w:color w:val="000000" w:themeColor="text1"/>
        </w:rPr>
        <w:t>3</w:t>
      </w:r>
      <w:r>
        <w:rPr>
          <w:rFonts w:cs="Times New Roman"/>
          <w:b/>
          <w:bCs/>
          <w:color w:val="000000" w:themeColor="text1"/>
        </w:rPr>
        <w:t>）声环境质量</w:t>
      </w:r>
    </w:p>
    <w:p w:rsidR="00644456" w:rsidRDefault="008031C4">
      <w:pPr>
        <w:pStyle w:val="-"/>
        <w:ind w:firstLine="480"/>
        <w:rPr>
          <w:rFonts w:cs="Times New Roman"/>
          <w:color w:val="000000" w:themeColor="text1"/>
        </w:rPr>
      </w:pPr>
      <w:r>
        <w:rPr>
          <w:rFonts w:cs="Times New Roman"/>
          <w:color w:val="000000" w:themeColor="text1"/>
        </w:rPr>
        <w:t>评价区声环境质量执行《声环境质量标准》（</w:t>
      </w:r>
      <w:r>
        <w:rPr>
          <w:rFonts w:cs="Times New Roman"/>
          <w:color w:val="000000" w:themeColor="text1"/>
        </w:rPr>
        <w:t>GB3096-2008</w:t>
      </w:r>
      <w:r>
        <w:rPr>
          <w:rFonts w:cs="Times New Roman"/>
          <w:color w:val="000000" w:themeColor="text1"/>
        </w:rPr>
        <w:t>）</w:t>
      </w:r>
      <w:r>
        <w:rPr>
          <w:rFonts w:cs="Times New Roman"/>
          <w:color w:val="000000" w:themeColor="text1"/>
        </w:rPr>
        <w:t>3</w:t>
      </w:r>
      <w:r>
        <w:rPr>
          <w:rFonts w:cs="Times New Roman"/>
          <w:color w:val="000000" w:themeColor="text1"/>
        </w:rPr>
        <w:t>类标准，具体标准限值见下表。</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1.7-3</w:t>
      </w:r>
      <w:r>
        <w:rPr>
          <w:rFonts w:ascii="Times New Roman" w:eastAsia="宋体" w:hAnsi="Times New Roman" w:cs="Times New Roman" w:hint="eastAsia"/>
          <w:b/>
          <w:color w:val="000000" w:themeColor="text1"/>
          <w:sz w:val="24"/>
        </w:rPr>
        <w:t>声环境质量标准</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86"/>
        <w:gridCol w:w="1585"/>
        <w:gridCol w:w="1830"/>
        <w:gridCol w:w="3729"/>
      </w:tblGrid>
      <w:tr w:rsidR="00644456">
        <w:trPr>
          <w:cantSplit/>
          <w:jc w:val="center"/>
        </w:trPr>
        <w:tc>
          <w:tcPr>
            <w:tcW w:w="908" w:type="pct"/>
            <w:vMerge w:val="restart"/>
            <w:shd w:val="clear" w:color="auto" w:fill="auto"/>
            <w:vAlign w:val="center"/>
          </w:tcPr>
          <w:p w:rsidR="00644456" w:rsidRDefault="008031C4">
            <w:pPr>
              <w:jc w:val="center"/>
              <w:rPr>
                <w:rFonts w:cs="Times New Roman"/>
                <w:b/>
                <w:color w:val="000000" w:themeColor="text1"/>
                <w:szCs w:val="21"/>
              </w:rPr>
            </w:pPr>
            <w:r>
              <w:rPr>
                <w:rFonts w:cs="Times New Roman"/>
                <w:b/>
                <w:color w:val="000000" w:themeColor="text1"/>
                <w:szCs w:val="21"/>
              </w:rPr>
              <w:t>类别</w:t>
            </w:r>
          </w:p>
        </w:tc>
        <w:tc>
          <w:tcPr>
            <w:tcW w:w="1956" w:type="pct"/>
            <w:gridSpan w:val="2"/>
            <w:shd w:val="clear" w:color="auto" w:fill="auto"/>
            <w:vAlign w:val="center"/>
          </w:tcPr>
          <w:p w:rsidR="00644456" w:rsidRDefault="008031C4">
            <w:pPr>
              <w:jc w:val="center"/>
              <w:rPr>
                <w:rFonts w:cs="Times New Roman"/>
                <w:b/>
                <w:color w:val="000000" w:themeColor="text1"/>
                <w:szCs w:val="21"/>
              </w:rPr>
            </w:pPr>
            <w:r>
              <w:rPr>
                <w:rFonts w:cs="Times New Roman"/>
                <w:b/>
                <w:color w:val="000000" w:themeColor="text1"/>
                <w:szCs w:val="21"/>
              </w:rPr>
              <w:t>标准值（</w:t>
            </w:r>
            <w:r>
              <w:rPr>
                <w:rFonts w:cs="Times New Roman"/>
                <w:b/>
                <w:color w:val="000000" w:themeColor="text1"/>
                <w:szCs w:val="21"/>
              </w:rPr>
              <w:t>LAeq</w:t>
            </w:r>
            <w:r>
              <w:rPr>
                <w:rFonts w:cs="Times New Roman"/>
                <w:b/>
                <w:color w:val="000000" w:themeColor="text1"/>
                <w:szCs w:val="21"/>
              </w:rPr>
              <w:t>：</w:t>
            </w:r>
            <w:r>
              <w:rPr>
                <w:rFonts w:cs="Times New Roman"/>
                <w:b/>
                <w:color w:val="000000" w:themeColor="text1"/>
                <w:szCs w:val="21"/>
              </w:rPr>
              <w:t>dB</w:t>
            </w:r>
            <w:r>
              <w:rPr>
                <w:rFonts w:cs="Times New Roman"/>
                <w:b/>
                <w:color w:val="000000" w:themeColor="text1"/>
                <w:szCs w:val="21"/>
              </w:rPr>
              <w:t>（</w:t>
            </w:r>
            <w:r>
              <w:rPr>
                <w:rFonts w:cs="Times New Roman"/>
                <w:b/>
                <w:color w:val="000000" w:themeColor="text1"/>
                <w:szCs w:val="21"/>
              </w:rPr>
              <w:t>A</w:t>
            </w:r>
            <w:r>
              <w:rPr>
                <w:rFonts w:cs="Times New Roman"/>
                <w:b/>
                <w:color w:val="000000" w:themeColor="text1"/>
                <w:szCs w:val="21"/>
              </w:rPr>
              <w:t>））</w:t>
            </w:r>
          </w:p>
        </w:tc>
        <w:tc>
          <w:tcPr>
            <w:tcW w:w="2136" w:type="pct"/>
            <w:vMerge w:val="restart"/>
            <w:shd w:val="clear" w:color="auto" w:fill="auto"/>
            <w:vAlign w:val="center"/>
          </w:tcPr>
          <w:p w:rsidR="00644456" w:rsidRDefault="008031C4">
            <w:pPr>
              <w:jc w:val="center"/>
              <w:rPr>
                <w:rFonts w:cs="Times New Roman"/>
                <w:b/>
                <w:color w:val="000000" w:themeColor="text1"/>
                <w:szCs w:val="21"/>
              </w:rPr>
            </w:pPr>
            <w:r>
              <w:rPr>
                <w:rFonts w:cs="Times New Roman"/>
                <w:b/>
                <w:color w:val="000000" w:themeColor="text1"/>
                <w:szCs w:val="21"/>
              </w:rPr>
              <w:t>依据</w:t>
            </w:r>
          </w:p>
        </w:tc>
      </w:tr>
      <w:tr w:rsidR="00644456">
        <w:trPr>
          <w:cantSplit/>
          <w:jc w:val="center"/>
        </w:trPr>
        <w:tc>
          <w:tcPr>
            <w:tcW w:w="908" w:type="pct"/>
            <w:vMerge/>
            <w:shd w:val="clear" w:color="auto" w:fill="auto"/>
            <w:vAlign w:val="center"/>
          </w:tcPr>
          <w:p w:rsidR="00644456" w:rsidRDefault="00644456">
            <w:pPr>
              <w:jc w:val="center"/>
              <w:rPr>
                <w:rFonts w:cs="Times New Roman"/>
                <w:b/>
                <w:color w:val="000000" w:themeColor="text1"/>
                <w:szCs w:val="21"/>
              </w:rPr>
            </w:pPr>
          </w:p>
        </w:tc>
        <w:tc>
          <w:tcPr>
            <w:tcW w:w="908" w:type="pct"/>
            <w:shd w:val="clear" w:color="auto" w:fill="auto"/>
            <w:vAlign w:val="center"/>
          </w:tcPr>
          <w:p w:rsidR="00644456" w:rsidRDefault="008031C4">
            <w:pPr>
              <w:jc w:val="center"/>
              <w:rPr>
                <w:rFonts w:cs="Times New Roman"/>
                <w:b/>
                <w:color w:val="000000" w:themeColor="text1"/>
                <w:szCs w:val="21"/>
              </w:rPr>
            </w:pPr>
            <w:r>
              <w:rPr>
                <w:rFonts w:cs="Times New Roman"/>
                <w:b/>
                <w:color w:val="000000" w:themeColor="text1"/>
                <w:szCs w:val="21"/>
              </w:rPr>
              <w:t>昼间</w:t>
            </w:r>
          </w:p>
        </w:tc>
        <w:tc>
          <w:tcPr>
            <w:tcW w:w="1048" w:type="pct"/>
            <w:shd w:val="clear" w:color="auto" w:fill="auto"/>
            <w:vAlign w:val="center"/>
          </w:tcPr>
          <w:p w:rsidR="00644456" w:rsidRDefault="008031C4">
            <w:pPr>
              <w:jc w:val="center"/>
              <w:rPr>
                <w:rFonts w:cs="Times New Roman"/>
                <w:b/>
                <w:color w:val="000000" w:themeColor="text1"/>
                <w:szCs w:val="21"/>
              </w:rPr>
            </w:pPr>
            <w:r>
              <w:rPr>
                <w:rFonts w:cs="Times New Roman"/>
                <w:b/>
                <w:color w:val="000000" w:themeColor="text1"/>
                <w:szCs w:val="21"/>
              </w:rPr>
              <w:t>夜间</w:t>
            </w:r>
          </w:p>
        </w:tc>
        <w:tc>
          <w:tcPr>
            <w:tcW w:w="2136" w:type="pct"/>
            <w:vMerge/>
            <w:shd w:val="clear" w:color="auto" w:fill="auto"/>
            <w:vAlign w:val="center"/>
          </w:tcPr>
          <w:p w:rsidR="00644456" w:rsidRDefault="00644456">
            <w:pPr>
              <w:jc w:val="center"/>
              <w:rPr>
                <w:rFonts w:cs="Times New Roman"/>
                <w:b/>
                <w:color w:val="000000" w:themeColor="text1"/>
                <w:szCs w:val="21"/>
              </w:rPr>
            </w:pPr>
          </w:p>
        </w:tc>
      </w:tr>
      <w:tr w:rsidR="00644456">
        <w:trPr>
          <w:cantSplit/>
          <w:jc w:val="center"/>
        </w:trPr>
        <w:tc>
          <w:tcPr>
            <w:tcW w:w="908" w:type="pct"/>
            <w:shd w:val="clear" w:color="auto" w:fill="auto"/>
            <w:vAlign w:val="center"/>
          </w:tcPr>
          <w:p w:rsidR="00644456" w:rsidRDefault="008031C4">
            <w:pPr>
              <w:jc w:val="center"/>
              <w:rPr>
                <w:rFonts w:cs="Times New Roman"/>
                <w:color w:val="000000" w:themeColor="text1"/>
                <w:szCs w:val="21"/>
              </w:rPr>
            </w:pPr>
            <w:r>
              <w:rPr>
                <w:rFonts w:cs="Times New Roman"/>
                <w:color w:val="000000" w:themeColor="text1"/>
                <w:szCs w:val="21"/>
              </w:rPr>
              <w:t>3</w:t>
            </w:r>
            <w:r>
              <w:rPr>
                <w:rFonts w:cs="Times New Roman"/>
                <w:color w:val="000000" w:themeColor="text1"/>
                <w:szCs w:val="21"/>
              </w:rPr>
              <w:t>类</w:t>
            </w:r>
          </w:p>
        </w:tc>
        <w:tc>
          <w:tcPr>
            <w:tcW w:w="908" w:type="pct"/>
            <w:shd w:val="clear" w:color="auto" w:fill="auto"/>
            <w:vAlign w:val="center"/>
          </w:tcPr>
          <w:p w:rsidR="00644456" w:rsidRDefault="008031C4">
            <w:pPr>
              <w:jc w:val="center"/>
              <w:rPr>
                <w:rFonts w:cs="Times New Roman"/>
                <w:color w:val="000000" w:themeColor="text1"/>
                <w:szCs w:val="21"/>
              </w:rPr>
            </w:pPr>
            <w:r>
              <w:rPr>
                <w:rFonts w:cs="Times New Roman"/>
                <w:color w:val="000000" w:themeColor="text1"/>
                <w:szCs w:val="21"/>
              </w:rPr>
              <w:t>65</w:t>
            </w:r>
          </w:p>
        </w:tc>
        <w:tc>
          <w:tcPr>
            <w:tcW w:w="1048" w:type="pct"/>
            <w:shd w:val="clear" w:color="auto" w:fill="auto"/>
            <w:vAlign w:val="center"/>
          </w:tcPr>
          <w:p w:rsidR="00644456" w:rsidRDefault="008031C4">
            <w:pPr>
              <w:jc w:val="center"/>
              <w:rPr>
                <w:rFonts w:cs="Times New Roman"/>
                <w:color w:val="000000" w:themeColor="text1"/>
                <w:szCs w:val="21"/>
              </w:rPr>
            </w:pPr>
            <w:r>
              <w:rPr>
                <w:rFonts w:cs="Times New Roman"/>
                <w:color w:val="000000" w:themeColor="text1"/>
                <w:szCs w:val="21"/>
              </w:rPr>
              <w:t>55</w:t>
            </w:r>
          </w:p>
        </w:tc>
        <w:tc>
          <w:tcPr>
            <w:tcW w:w="2136" w:type="pct"/>
            <w:shd w:val="clear" w:color="auto" w:fill="auto"/>
            <w:vAlign w:val="center"/>
          </w:tcPr>
          <w:p w:rsidR="00644456" w:rsidRDefault="008031C4">
            <w:pPr>
              <w:jc w:val="center"/>
              <w:rPr>
                <w:rFonts w:cs="Times New Roman"/>
                <w:color w:val="000000" w:themeColor="text1"/>
                <w:szCs w:val="21"/>
              </w:rPr>
            </w:pPr>
            <w:r>
              <w:rPr>
                <w:rFonts w:cs="Times New Roman"/>
                <w:color w:val="000000" w:themeColor="text1"/>
                <w:szCs w:val="21"/>
              </w:rPr>
              <w:t>《声环境质量标准》（</w:t>
            </w:r>
            <w:r>
              <w:rPr>
                <w:rFonts w:cs="Times New Roman"/>
                <w:color w:val="000000" w:themeColor="text1"/>
                <w:szCs w:val="21"/>
              </w:rPr>
              <w:t>GB3096-2008</w:t>
            </w:r>
            <w:r>
              <w:rPr>
                <w:rFonts w:cs="Times New Roman"/>
                <w:color w:val="000000" w:themeColor="text1"/>
                <w:szCs w:val="21"/>
              </w:rPr>
              <w:t>）</w:t>
            </w:r>
          </w:p>
        </w:tc>
      </w:tr>
    </w:tbl>
    <w:p w:rsidR="00644456" w:rsidRDefault="008031C4">
      <w:pPr>
        <w:pStyle w:val="-"/>
        <w:ind w:firstLine="482"/>
        <w:rPr>
          <w:rFonts w:cs="Times New Roman"/>
          <w:b/>
          <w:bCs/>
          <w:color w:val="000000" w:themeColor="text1"/>
        </w:rPr>
      </w:pPr>
      <w:r>
        <w:rPr>
          <w:rFonts w:cs="Times New Roman"/>
          <w:b/>
          <w:bCs/>
          <w:color w:val="000000" w:themeColor="text1"/>
        </w:rPr>
        <w:t>4</w:t>
      </w:r>
      <w:r>
        <w:rPr>
          <w:rFonts w:cs="Times New Roman"/>
          <w:b/>
          <w:bCs/>
          <w:color w:val="000000" w:themeColor="text1"/>
        </w:rPr>
        <w:t>）地下水环境质量</w:t>
      </w:r>
    </w:p>
    <w:p w:rsidR="00644456" w:rsidRDefault="008031C4">
      <w:pPr>
        <w:pStyle w:val="-"/>
        <w:ind w:firstLine="480"/>
        <w:rPr>
          <w:rFonts w:cs="Times New Roman"/>
          <w:b/>
          <w:color w:val="000000" w:themeColor="text1"/>
        </w:rPr>
      </w:pPr>
      <w:r>
        <w:rPr>
          <w:rFonts w:cs="Times New Roman"/>
          <w:color w:val="000000" w:themeColor="text1"/>
        </w:rPr>
        <w:t>评价区域地下水执行《地下水质量标准》（</w:t>
      </w:r>
      <w:r>
        <w:rPr>
          <w:rFonts w:cs="Times New Roman"/>
          <w:color w:val="000000" w:themeColor="text1"/>
        </w:rPr>
        <w:t>GB/T14848-2017</w:t>
      </w:r>
      <w:r>
        <w:rPr>
          <w:rFonts w:cs="Times New Roman"/>
          <w:color w:val="000000" w:themeColor="text1"/>
        </w:rPr>
        <w:t>）</w:t>
      </w:r>
      <w:r>
        <w:rPr>
          <w:rFonts w:cs="Times New Roman"/>
          <w:color w:val="000000" w:themeColor="text1"/>
        </w:rPr>
        <w:t>III</w:t>
      </w:r>
      <w:r>
        <w:rPr>
          <w:rFonts w:cs="Times New Roman"/>
          <w:color w:val="000000" w:themeColor="text1"/>
        </w:rPr>
        <w:t>类标准，具体</w:t>
      </w:r>
      <w:r>
        <w:rPr>
          <w:rFonts w:cs="Times New Roman"/>
          <w:color w:val="000000" w:themeColor="text1"/>
        </w:rPr>
        <w:lastRenderedPageBreak/>
        <w:t>标准限值见下表；</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1.7-4</w:t>
      </w:r>
      <w:r>
        <w:rPr>
          <w:rFonts w:ascii="Times New Roman" w:eastAsia="宋体" w:hAnsi="Times New Roman" w:cs="Times New Roman" w:hint="eastAsia"/>
          <w:b/>
          <w:color w:val="000000" w:themeColor="text1"/>
          <w:sz w:val="24"/>
        </w:rPr>
        <w:t>地下水质量标准</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819"/>
        <w:gridCol w:w="3638"/>
        <w:gridCol w:w="3489"/>
      </w:tblGrid>
      <w:tr w:rsidR="00644456">
        <w:trPr>
          <w:cantSplit/>
          <w:jc w:val="center"/>
        </w:trPr>
        <w:tc>
          <w:tcPr>
            <w:tcW w:w="1016" w:type="pct"/>
            <w:shd w:val="clear" w:color="auto" w:fill="auto"/>
            <w:vAlign w:val="center"/>
          </w:tcPr>
          <w:p w:rsidR="00644456" w:rsidRDefault="008031C4">
            <w:pPr>
              <w:autoSpaceDE w:val="0"/>
              <w:autoSpaceDN w:val="0"/>
              <w:adjustRightInd w:val="0"/>
              <w:ind w:firstLine="480"/>
              <w:jc w:val="center"/>
              <w:rPr>
                <w:rFonts w:cs="Times New Roman"/>
                <w:b/>
                <w:bCs/>
                <w:color w:val="000000" w:themeColor="text1"/>
                <w:kern w:val="0"/>
              </w:rPr>
            </w:pPr>
            <w:r>
              <w:rPr>
                <w:rFonts w:cs="Times New Roman"/>
                <w:b/>
                <w:bCs/>
                <w:color w:val="000000" w:themeColor="text1"/>
                <w:kern w:val="0"/>
              </w:rPr>
              <w:t>序号</w:t>
            </w:r>
          </w:p>
        </w:tc>
        <w:tc>
          <w:tcPr>
            <w:tcW w:w="2033" w:type="pct"/>
            <w:shd w:val="clear" w:color="auto" w:fill="auto"/>
            <w:vAlign w:val="center"/>
          </w:tcPr>
          <w:p w:rsidR="00644456" w:rsidRDefault="008031C4">
            <w:pPr>
              <w:autoSpaceDE w:val="0"/>
              <w:autoSpaceDN w:val="0"/>
              <w:adjustRightInd w:val="0"/>
              <w:ind w:firstLine="480"/>
              <w:jc w:val="center"/>
              <w:rPr>
                <w:rFonts w:cs="Times New Roman"/>
                <w:b/>
                <w:bCs/>
                <w:color w:val="000000" w:themeColor="text1"/>
                <w:kern w:val="0"/>
              </w:rPr>
            </w:pPr>
            <w:r>
              <w:rPr>
                <w:rFonts w:cs="Times New Roman"/>
                <w:b/>
                <w:bCs/>
                <w:color w:val="000000" w:themeColor="text1"/>
                <w:kern w:val="0"/>
              </w:rPr>
              <w:t>指标</w:t>
            </w:r>
          </w:p>
        </w:tc>
        <w:tc>
          <w:tcPr>
            <w:tcW w:w="1950" w:type="pct"/>
            <w:shd w:val="clear" w:color="auto" w:fill="auto"/>
            <w:vAlign w:val="center"/>
          </w:tcPr>
          <w:p w:rsidR="00644456" w:rsidRDefault="008031C4">
            <w:pPr>
              <w:autoSpaceDE w:val="0"/>
              <w:autoSpaceDN w:val="0"/>
              <w:adjustRightInd w:val="0"/>
              <w:ind w:firstLine="480"/>
              <w:jc w:val="center"/>
              <w:rPr>
                <w:rFonts w:cs="Times New Roman"/>
                <w:b/>
                <w:bCs/>
                <w:color w:val="000000" w:themeColor="text1"/>
                <w:kern w:val="0"/>
              </w:rPr>
            </w:pPr>
            <w:r>
              <w:rPr>
                <w:rFonts w:cs="Times New Roman"/>
                <w:b/>
                <w:bCs/>
                <w:color w:val="000000" w:themeColor="text1"/>
                <w:szCs w:val="21"/>
              </w:rPr>
              <w:t>标准限值（</w:t>
            </w:r>
            <w:r>
              <w:rPr>
                <w:rFonts w:cs="Times New Roman"/>
                <w:b/>
                <w:bCs/>
                <w:color w:val="000000" w:themeColor="text1"/>
                <w:szCs w:val="21"/>
              </w:rPr>
              <w:t>mg/L</w:t>
            </w:r>
            <w:r>
              <w:rPr>
                <w:rFonts w:cs="Times New Roman"/>
                <w:b/>
                <w:bCs/>
                <w:color w:val="000000" w:themeColor="text1"/>
                <w:szCs w:val="21"/>
              </w:rPr>
              <w:t>）</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1</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pH</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kern w:val="0"/>
              </w:rPr>
            </w:pPr>
            <w:r>
              <w:rPr>
                <w:rFonts w:cs="Times New Roman"/>
                <w:bCs/>
                <w:color w:val="000000" w:themeColor="text1"/>
                <w:szCs w:val="21"/>
              </w:rPr>
              <w:t>6.5</w:t>
            </w:r>
            <w:r>
              <w:rPr>
                <w:rFonts w:cs="Times New Roman"/>
                <w:bCs/>
                <w:color w:val="000000" w:themeColor="text1"/>
                <w:szCs w:val="21"/>
              </w:rPr>
              <w:t>～</w:t>
            </w:r>
            <w:r>
              <w:rPr>
                <w:rFonts w:cs="Times New Roman"/>
                <w:bCs/>
                <w:color w:val="000000" w:themeColor="text1"/>
                <w:szCs w:val="21"/>
              </w:rPr>
              <w:t>8.5</w:t>
            </w:r>
            <w:r>
              <w:rPr>
                <w:rFonts w:cs="Times New Roman"/>
                <w:bCs/>
                <w:color w:val="000000" w:themeColor="text1"/>
                <w:szCs w:val="21"/>
              </w:rPr>
              <w:t>（无量纲）</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2</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氨氮</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kern w:val="0"/>
              </w:rPr>
            </w:pPr>
            <w:r>
              <w:rPr>
                <w:rFonts w:cs="Times New Roman"/>
                <w:bCs/>
                <w:color w:val="000000" w:themeColor="text1"/>
                <w:szCs w:val="21"/>
              </w:rPr>
              <w:t>≤0.50</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3</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kern w:val="0"/>
                <w:szCs w:val="21"/>
              </w:rPr>
            </w:pPr>
            <w:r>
              <w:rPr>
                <w:rFonts w:cs="Times New Roman"/>
                <w:color w:val="000000" w:themeColor="text1"/>
                <w:szCs w:val="21"/>
              </w:rPr>
              <w:t>硝酸盐氮</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kern w:val="0"/>
              </w:rPr>
            </w:pPr>
            <w:r>
              <w:rPr>
                <w:rFonts w:cs="Times New Roman"/>
                <w:bCs/>
                <w:color w:val="000000" w:themeColor="text1"/>
                <w:szCs w:val="21"/>
              </w:rPr>
              <w:t>≤20.0</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4</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kern w:val="0"/>
                <w:szCs w:val="21"/>
              </w:rPr>
            </w:pPr>
            <w:r>
              <w:rPr>
                <w:rFonts w:cs="Times New Roman"/>
                <w:color w:val="000000" w:themeColor="text1"/>
                <w:szCs w:val="21"/>
              </w:rPr>
              <w:t>亚硝酸盐氮</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kern w:val="0"/>
              </w:rPr>
            </w:pPr>
            <w:r>
              <w:rPr>
                <w:rFonts w:cs="Times New Roman"/>
                <w:bCs/>
                <w:color w:val="000000" w:themeColor="text1"/>
                <w:szCs w:val="21"/>
              </w:rPr>
              <w:t>≤1.00</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5</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挥发性酚类</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kern w:val="0"/>
              </w:rPr>
            </w:pPr>
            <w:r>
              <w:rPr>
                <w:rFonts w:cs="Times New Roman"/>
                <w:bCs/>
                <w:color w:val="000000" w:themeColor="text1"/>
                <w:szCs w:val="21"/>
              </w:rPr>
              <w:t>≤</w:t>
            </w:r>
            <w:r>
              <w:rPr>
                <w:rFonts w:cs="Times New Roman"/>
                <w:bCs/>
                <w:color w:val="000000" w:themeColor="text1"/>
                <w:kern w:val="0"/>
              </w:rPr>
              <w:t>0.002</w:t>
            </w:r>
          </w:p>
        </w:tc>
      </w:tr>
      <w:tr w:rsidR="00644456">
        <w:trPr>
          <w:cantSplit/>
          <w:jc w:val="center"/>
        </w:trPr>
        <w:tc>
          <w:tcPr>
            <w:tcW w:w="1016" w:type="pct"/>
            <w:shd w:val="clear" w:color="auto" w:fill="auto"/>
            <w:vAlign w:val="center"/>
          </w:tcPr>
          <w:p w:rsidR="00644456" w:rsidRDefault="008031C4">
            <w:pPr>
              <w:widowControl/>
              <w:jc w:val="center"/>
              <w:textAlignment w:val="center"/>
              <w:rPr>
                <w:rFonts w:cs="Times New Roman"/>
                <w:color w:val="000000" w:themeColor="text1"/>
                <w:szCs w:val="21"/>
              </w:rPr>
            </w:pPr>
            <w:r>
              <w:rPr>
                <w:rFonts w:cs="Times New Roman"/>
                <w:color w:val="000000" w:themeColor="text1"/>
                <w:szCs w:val="21"/>
              </w:rPr>
              <w:t>6</w:t>
            </w:r>
          </w:p>
        </w:tc>
        <w:tc>
          <w:tcPr>
            <w:tcW w:w="2033" w:type="pct"/>
            <w:shd w:val="clear" w:color="auto" w:fill="auto"/>
            <w:vAlign w:val="center"/>
          </w:tcPr>
          <w:p w:rsidR="00644456" w:rsidRDefault="008031C4">
            <w:pPr>
              <w:widowControl/>
              <w:jc w:val="center"/>
              <w:textAlignment w:val="center"/>
              <w:rPr>
                <w:rFonts w:cs="Times New Roman"/>
                <w:color w:val="000000" w:themeColor="text1"/>
                <w:kern w:val="0"/>
                <w:szCs w:val="21"/>
              </w:rPr>
            </w:pPr>
            <w:r>
              <w:rPr>
                <w:rFonts w:cs="Times New Roman"/>
                <w:color w:val="000000" w:themeColor="text1"/>
                <w:szCs w:val="21"/>
              </w:rPr>
              <w:t>氰化物</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kern w:val="0"/>
              </w:rPr>
            </w:pPr>
            <w:r>
              <w:rPr>
                <w:rFonts w:cs="Times New Roman"/>
                <w:bCs/>
                <w:color w:val="000000" w:themeColor="text1"/>
                <w:szCs w:val="21"/>
              </w:rPr>
              <w:t>≤</w:t>
            </w:r>
            <w:r>
              <w:rPr>
                <w:rFonts w:cs="Times New Roman"/>
                <w:bCs/>
                <w:color w:val="000000" w:themeColor="text1"/>
                <w:kern w:val="0"/>
              </w:rPr>
              <w:t>0.05</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kern w:val="0"/>
                <w:szCs w:val="21"/>
              </w:rPr>
            </w:pPr>
            <w:r>
              <w:rPr>
                <w:rFonts w:cs="Times New Roman"/>
                <w:color w:val="000000" w:themeColor="text1"/>
                <w:kern w:val="0"/>
                <w:szCs w:val="21"/>
              </w:rPr>
              <w:t>7</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kern w:val="0"/>
                <w:szCs w:val="21"/>
              </w:rPr>
            </w:pPr>
            <w:r>
              <w:rPr>
                <w:rFonts w:cs="Times New Roman"/>
                <w:color w:val="000000" w:themeColor="text1"/>
                <w:kern w:val="0"/>
                <w:szCs w:val="21"/>
              </w:rPr>
              <w:t>总硬度</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kern w:val="0"/>
              </w:rPr>
            </w:pPr>
            <w:r>
              <w:rPr>
                <w:rFonts w:cs="Times New Roman"/>
                <w:bCs/>
                <w:color w:val="000000" w:themeColor="text1"/>
                <w:szCs w:val="21"/>
              </w:rPr>
              <w:t>≤</w:t>
            </w:r>
            <w:r>
              <w:rPr>
                <w:rFonts w:cs="Times New Roman"/>
                <w:bCs/>
                <w:color w:val="000000" w:themeColor="text1"/>
                <w:kern w:val="0"/>
              </w:rPr>
              <w:t>450</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8</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kern w:val="0"/>
                <w:szCs w:val="21"/>
              </w:rPr>
            </w:pPr>
            <w:r>
              <w:rPr>
                <w:rFonts w:cs="Times New Roman"/>
                <w:color w:val="000000" w:themeColor="text1"/>
                <w:szCs w:val="21"/>
              </w:rPr>
              <w:t>溶解性总固体</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szCs w:val="21"/>
              </w:rPr>
            </w:pPr>
            <w:r>
              <w:rPr>
                <w:rFonts w:cs="Times New Roman"/>
                <w:bCs/>
                <w:color w:val="000000" w:themeColor="text1"/>
                <w:szCs w:val="21"/>
              </w:rPr>
              <w:t>≤1000</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9</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kern w:val="0"/>
                <w:szCs w:val="21"/>
              </w:rPr>
            </w:pPr>
            <w:r>
              <w:rPr>
                <w:rFonts w:cs="Times New Roman"/>
                <w:color w:val="000000" w:themeColor="text1"/>
                <w:szCs w:val="21"/>
              </w:rPr>
              <w:t>耗氧量（以</w:t>
            </w:r>
            <w:r>
              <w:rPr>
                <w:rFonts w:cs="Times New Roman"/>
                <w:color w:val="000000" w:themeColor="text1"/>
                <w:szCs w:val="21"/>
              </w:rPr>
              <w:t>COD</w:t>
            </w:r>
            <w:r>
              <w:rPr>
                <w:rFonts w:cs="Times New Roman"/>
                <w:color w:val="000000" w:themeColor="text1"/>
                <w:szCs w:val="21"/>
                <w:vertAlign w:val="subscript"/>
              </w:rPr>
              <w:t>Mn</w:t>
            </w:r>
            <w:r>
              <w:rPr>
                <w:rFonts w:cs="Times New Roman"/>
                <w:color w:val="000000" w:themeColor="text1"/>
                <w:szCs w:val="21"/>
              </w:rPr>
              <w:t>计）</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kern w:val="0"/>
              </w:rPr>
            </w:pPr>
            <w:r>
              <w:rPr>
                <w:rFonts w:cs="Times New Roman"/>
                <w:bCs/>
                <w:color w:val="000000" w:themeColor="text1"/>
                <w:szCs w:val="21"/>
              </w:rPr>
              <w:t>≤</w:t>
            </w:r>
            <w:r>
              <w:rPr>
                <w:rFonts w:cs="Times New Roman"/>
                <w:bCs/>
                <w:color w:val="000000" w:themeColor="text1"/>
                <w:kern w:val="0"/>
              </w:rPr>
              <w:t>3.0</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10</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kern w:val="0"/>
                <w:szCs w:val="21"/>
              </w:rPr>
            </w:pPr>
            <w:r>
              <w:rPr>
                <w:rFonts w:cs="Times New Roman"/>
                <w:color w:val="000000" w:themeColor="text1"/>
                <w:szCs w:val="21"/>
              </w:rPr>
              <w:t>硫酸盐</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szCs w:val="21"/>
              </w:rPr>
            </w:pPr>
            <w:r>
              <w:rPr>
                <w:rFonts w:cs="Times New Roman"/>
                <w:bCs/>
                <w:color w:val="000000" w:themeColor="text1"/>
                <w:szCs w:val="21"/>
              </w:rPr>
              <w:t>≤250</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11</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kern w:val="0"/>
                <w:szCs w:val="21"/>
              </w:rPr>
            </w:pPr>
            <w:r>
              <w:rPr>
                <w:rFonts w:cs="Times New Roman"/>
                <w:color w:val="000000" w:themeColor="text1"/>
                <w:szCs w:val="21"/>
              </w:rPr>
              <w:t>氯化物</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szCs w:val="21"/>
              </w:rPr>
            </w:pPr>
            <w:r>
              <w:rPr>
                <w:rFonts w:cs="Times New Roman"/>
                <w:bCs/>
                <w:color w:val="000000" w:themeColor="text1"/>
                <w:szCs w:val="21"/>
              </w:rPr>
              <w:t>≤250</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12</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铁</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szCs w:val="21"/>
              </w:rPr>
            </w:pPr>
            <w:r>
              <w:rPr>
                <w:rFonts w:cs="Times New Roman"/>
                <w:bCs/>
                <w:color w:val="000000" w:themeColor="text1"/>
                <w:szCs w:val="21"/>
              </w:rPr>
              <w:t>≤0.3</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13</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锰</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szCs w:val="21"/>
              </w:rPr>
            </w:pPr>
            <w:r>
              <w:rPr>
                <w:rFonts w:cs="Times New Roman"/>
                <w:bCs/>
                <w:color w:val="000000" w:themeColor="text1"/>
                <w:szCs w:val="21"/>
              </w:rPr>
              <w:t>≤0.10</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14</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铜</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szCs w:val="21"/>
              </w:rPr>
            </w:pPr>
            <w:r>
              <w:rPr>
                <w:rFonts w:cs="Times New Roman"/>
                <w:bCs/>
                <w:color w:val="000000" w:themeColor="text1"/>
                <w:szCs w:val="21"/>
              </w:rPr>
              <w:t>≤1.00</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15</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锌</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szCs w:val="21"/>
              </w:rPr>
            </w:pPr>
            <w:r>
              <w:rPr>
                <w:rFonts w:cs="Times New Roman"/>
                <w:bCs/>
                <w:color w:val="000000" w:themeColor="text1"/>
                <w:szCs w:val="21"/>
              </w:rPr>
              <w:t>≤1.00</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16</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铅</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szCs w:val="21"/>
              </w:rPr>
            </w:pPr>
            <w:r>
              <w:rPr>
                <w:rFonts w:cs="Times New Roman"/>
                <w:bCs/>
                <w:color w:val="000000" w:themeColor="text1"/>
                <w:szCs w:val="21"/>
              </w:rPr>
              <w:t>≤0.01</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17</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汞</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szCs w:val="21"/>
              </w:rPr>
            </w:pPr>
            <w:r>
              <w:rPr>
                <w:rFonts w:cs="Times New Roman"/>
                <w:bCs/>
                <w:color w:val="000000" w:themeColor="text1"/>
                <w:szCs w:val="21"/>
              </w:rPr>
              <w:t>≤0.001</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18</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砷</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szCs w:val="21"/>
              </w:rPr>
            </w:pPr>
            <w:r>
              <w:rPr>
                <w:rFonts w:cs="Times New Roman"/>
                <w:bCs/>
                <w:color w:val="000000" w:themeColor="text1"/>
                <w:szCs w:val="21"/>
              </w:rPr>
              <w:t>≤0.01</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19</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镉</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szCs w:val="21"/>
              </w:rPr>
            </w:pPr>
            <w:r>
              <w:rPr>
                <w:rFonts w:cs="Times New Roman"/>
                <w:bCs/>
                <w:color w:val="000000" w:themeColor="text1"/>
                <w:szCs w:val="21"/>
              </w:rPr>
              <w:t>≤0.01</w:t>
            </w:r>
          </w:p>
        </w:tc>
      </w:tr>
      <w:tr w:rsidR="00644456">
        <w:trPr>
          <w:cantSplit/>
          <w:trHeight w:val="90"/>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20</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铬（六价）</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szCs w:val="21"/>
              </w:rPr>
            </w:pPr>
            <w:r>
              <w:rPr>
                <w:rFonts w:cs="Times New Roman"/>
                <w:bCs/>
                <w:color w:val="000000" w:themeColor="text1"/>
                <w:szCs w:val="21"/>
              </w:rPr>
              <w:t>≤0.005</w:t>
            </w:r>
          </w:p>
        </w:tc>
      </w:tr>
      <w:tr w:rsidR="00644456">
        <w:trPr>
          <w:cantSplit/>
          <w:trHeight w:val="90"/>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21</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kern w:val="0"/>
                <w:szCs w:val="21"/>
              </w:rPr>
            </w:pPr>
            <w:r>
              <w:rPr>
                <w:rFonts w:cs="Times New Roman"/>
                <w:color w:val="000000" w:themeColor="text1"/>
                <w:szCs w:val="21"/>
              </w:rPr>
              <w:t>总大肠菌群</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szCs w:val="21"/>
              </w:rPr>
            </w:pPr>
            <w:r>
              <w:rPr>
                <w:rFonts w:cs="Times New Roman"/>
                <w:bCs/>
                <w:color w:val="000000" w:themeColor="text1"/>
                <w:szCs w:val="21"/>
              </w:rPr>
              <w:t>≤3.0</w:t>
            </w:r>
            <w:r>
              <w:rPr>
                <w:rFonts w:cs="Times New Roman"/>
                <w:bCs/>
                <w:color w:val="000000" w:themeColor="text1"/>
                <w:szCs w:val="21"/>
              </w:rPr>
              <w:t>（</w:t>
            </w:r>
            <w:r>
              <w:rPr>
                <w:rFonts w:cs="Times New Roman"/>
                <w:bCs/>
                <w:color w:val="000000" w:themeColor="text1"/>
                <w:szCs w:val="21"/>
              </w:rPr>
              <w:t>MPN/100ML</w:t>
            </w:r>
            <w:r>
              <w:rPr>
                <w:rFonts w:cs="Times New Roman"/>
                <w:bCs/>
                <w:color w:val="000000" w:themeColor="text1"/>
                <w:szCs w:val="21"/>
              </w:rPr>
              <w:t>）</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22</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kern w:val="0"/>
                <w:szCs w:val="21"/>
              </w:rPr>
            </w:pPr>
            <w:r>
              <w:rPr>
                <w:rFonts w:cs="Times New Roman"/>
                <w:color w:val="000000" w:themeColor="text1"/>
                <w:szCs w:val="21"/>
              </w:rPr>
              <w:t>细菌总数</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szCs w:val="21"/>
              </w:rPr>
            </w:pPr>
            <w:r>
              <w:rPr>
                <w:rFonts w:cs="Times New Roman"/>
                <w:bCs/>
                <w:color w:val="000000" w:themeColor="text1"/>
                <w:szCs w:val="21"/>
              </w:rPr>
              <w:t>≤100</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23</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kern w:val="0"/>
                <w:szCs w:val="21"/>
              </w:rPr>
            </w:pPr>
            <w:r>
              <w:rPr>
                <w:rFonts w:cs="Times New Roman"/>
                <w:color w:val="000000" w:themeColor="text1"/>
                <w:szCs w:val="21"/>
              </w:rPr>
              <w:t>K</w:t>
            </w:r>
            <w:r>
              <w:rPr>
                <w:rFonts w:cs="Times New Roman"/>
                <w:color w:val="000000" w:themeColor="text1"/>
                <w:szCs w:val="21"/>
                <w:vertAlign w:val="superscript"/>
              </w:rPr>
              <w:t>+</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szCs w:val="21"/>
              </w:rPr>
            </w:pPr>
            <w:r>
              <w:rPr>
                <w:rFonts w:cs="Times New Roman"/>
                <w:bCs/>
                <w:color w:val="000000" w:themeColor="text1"/>
                <w:szCs w:val="21"/>
              </w:rPr>
              <w:t>/</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24</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kern w:val="0"/>
                <w:szCs w:val="21"/>
              </w:rPr>
            </w:pPr>
            <w:r>
              <w:rPr>
                <w:rFonts w:cs="Times New Roman"/>
                <w:color w:val="000000" w:themeColor="text1"/>
                <w:szCs w:val="21"/>
              </w:rPr>
              <w:t>Na</w:t>
            </w:r>
            <w:r>
              <w:rPr>
                <w:rFonts w:cs="Times New Roman"/>
                <w:color w:val="000000" w:themeColor="text1"/>
                <w:szCs w:val="21"/>
                <w:vertAlign w:val="superscript"/>
              </w:rPr>
              <w:t>+</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szCs w:val="21"/>
              </w:rPr>
            </w:pPr>
            <w:r>
              <w:rPr>
                <w:rFonts w:cs="Times New Roman"/>
                <w:bCs/>
                <w:color w:val="000000" w:themeColor="text1"/>
                <w:szCs w:val="21"/>
              </w:rPr>
              <w:t>≤200</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25</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kern w:val="0"/>
                <w:szCs w:val="21"/>
              </w:rPr>
            </w:pPr>
            <w:r>
              <w:rPr>
                <w:rFonts w:cs="Times New Roman"/>
                <w:color w:val="000000" w:themeColor="text1"/>
                <w:szCs w:val="21"/>
              </w:rPr>
              <w:t>Ca</w:t>
            </w:r>
            <w:r>
              <w:rPr>
                <w:rFonts w:cs="Times New Roman"/>
                <w:color w:val="000000" w:themeColor="text1"/>
                <w:szCs w:val="21"/>
                <w:vertAlign w:val="superscript"/>
              </w:rPr>
              <w:t>2+</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szCs w:val="21"/>
              </w:rPr>
            </w:pPr>
            <w:r>
              <w:rPr>
                <w:rFonts w:cs="Times New Roman"/>
                <w:bCs/>
                <w:color w:val="000000" w:themeColor="text1"/>
                <w:szCs w:val="21"/>
              </w:rPr>
              <w:t>/</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26</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kern w:val="0"/>
                <w:szCs w:val="21"/>
              </w:rPr>
            </w:pPr>
            <w:r>
              <w:rPr>
                <w:rFonts w:cs="Times New Roman"/>
                <w:color w:val="000000" w:themeColor="text1"/>
                <w:szCs w:val="21"/>
              </w:rPr>
              <w:t>Mg</w:t>
            </w:r>
            <w:r>
              <w:rPr>
                <w:rFonts w:cs="Times New Roman"/>
                <w:color w:val="000000" w:themeColor="text1"/>
                <w:szCs w:val="21"/>
                <w:vertAlign w:val="superscript"/>
              </w:rPr>
              <w:t>2+</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szCs w:val="21"/>
              </w:rPr>
            </w:pPr>
            <w:r>
              <w:rPr>
                <w:rFonts w:cs="Times New Roman"/>
                <w:bCs/>
                <w:color w:val="000000" w:themeColor="text1"/>
                <w:szCs w:val="21"/>
              </w:rPr>
              <w:t>/</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27</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kern w:val="0"/>
                <w:szCs w:val="21"/>
              </w:rPr>
            </w:pPr>
            <w:r>
              <w:rPr>
                <w:rFonts w:cs="Times New Roman"/>
                <w:color w:val="000000" w:themeColor="text1"/>
                <w:szCs w:val="21"/>
              </w:rPr>
              <w:t>CO</w:t>
            </w:r>
            <w:r>
              <w:rPr>
                <w:rFonts w:cs="Times New Roman"/>
                <w:color w:val="000000" w:themeColor="text1"/>
                <w:szCs w:val="21"/>
                <w:vertAlign w:val="subscript"/>
              </w:rPr>
              <w:t>3</w:t>
            </w:r>
            <w:r>
              <w:rPr>
                <w:rFonts w:cs="Times New Roman"/>
                <w:color w:val="000000" w:themeColor="text1"/>
                <w:szCs w:val="21"/>
                <w:vertAlign w:val="superscript"/>
              </w:rPr>
              <w:t>2-</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szCs w:val="21"/>
              </w:rPr>
            </w:pPr>
            <w:r>
              <w:rPr>
                <w:rFonts w:cs="Times New Roman"/>
                <w:bCs/>
                <w:color w:val="000000" w:themeColor="text1"/>
                <w:szCs w:val="21"/>
              </w:rPr>
              <w:t>/</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28</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kern w:val="0"/>
                <w:szCs w:val="21"/>
              </w:rPr>
            </w:pPr>
            <w:r>
              <w:rPr>
                <w:rFonts w:cs="Times New Roman"/>
                <w:color w:val="000000" w:themeColor="text1"/>
                <w:szCs w:val="21"/>
              </w:rPr>
              <w:t>HCO</w:t>
            </w:r>
            <w:r>
              <w:rPr>
                <w:rFonts w:cs="Times New Roman"/>
                <w:color w:val="000000" w:themeColor="text1"/>
                <w:szCs w:val="21"/>
                <w:vertAlign w:val="subscript"/>
              </w:rPr>
              <w:t>3</w:t>
            </w:r>
            <w:r>
              <w:rPr>
                <w:rFonts w:cs="Times New Roman"/>
                <w:color w:val="000000" w:themeColor="text1"/>
                <w:szCs w:val="21"/>
                <w:vertAlign w:val="superscript"/>
              </w:rPr>
              <w:t>-</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szCs w:val="21"/>
              </w:rPr>
            </w:pPr>
            <w:r>
              <w:rPr>
                <w:rFonts w:cs="Times New Roman"/>
                <w:bCs/>
                <w:color w:val="000000" w:themeColor="text1"/>
                <w:szCs w:val="21"/>
              </w:rPr>
              <w:t>/</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29</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kern w:val="0"/>
                <w:szCs w:val="21"/>
              </w:rPr>
            </w:pPr>
            <w:r>
              <w:rPr>
                <w:rFonts w:cs="Times New Roman"/>
                <w:color w:val="000000" w:themeColor="text1"/>
                <w:szCs w:val="21"/>
              </w:rPr>
              <w:t>Cl</w:t>
            </w:r>
            <w:r>
              <w:rPr>
                <w:rFonts w:cs="Times New Roman"/>
                <w:color w:val="000000" w:themeColor="text1"/>
                <w:szCs w:val="21"/>
                <w:vertAlign w:val="superscript"/>
              </w:rPr>
              <w:t>-</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szCs w:val="21"/>
              </w:rPr>
            </w:pPr>
            <w:r>
              <w:rPr>
                <w:rFonts w:cs="Times New Roman"/>
                <w:bCs/>
                <w:color w:val="000000" w:themeColor="text1"/>
                <w:szCs w:val="21"/>
              </w:rPr>
              <w:t>≤250</w:t>
            </w:r>
          </w:p>
        </w:tc>
      </w:tr>
      <w:tr w:rsidR="00644456">
        <w:trPr>
          <w:cantSplit/>
          <w:jc w:val="center"/>
        </w:trPr>
        <w:tc>
          <w:tcPr>
            <w:tcW w:w="1016" w:type="pct"/>
            <w:shd w:val="clear" w:color="auto" w:fill="auto"/>
            <w:vAlign w:val="center"/>
          </w:tcPr>
          <w:p w:rsidR="00644456" w:rsidRDefault="008031C4">
            <w:pPr>
              <w:autoSpaceDE w:val="0"/>
              <w:autoSpaceDN w:val="0"/>
              <w:adjustRightInd w:val="0"/>
              <w:jc w:val="center"/>
              <w:rPr>
                <w:rFonts w:cs="Times New Roman"/>
                <w:color w:val="000000" w:themeColor="text1"/>
                <w:szCs w:val="21"/>
              </w:rPr>
            </w:pPr>
            <w:r>
              <w:rPr>
                <w:rFonts w:cs="Times New Roman"/>
                <w:color w:val="000000" w:themeColor="text1"/>
                <w:szCs w:val="21"/>
              </w:rPr>
              <w:t>30</w:t>
            </w:r>
          </w:p>
        </w:tc>
        <w:tc>
          <w:tcPr>
            <w:tcW w:w="2033" w:type="pct"/>
            <w:shd w:val="clear" w:color="auto" w:fill="auto"/>
            <w:vAlign w:val="center"/>
          </w:tcPr>
          <w:p w:rsidR="00644456" w:rsidRDefault="008031C4">
            <w:pPr>
              <w:autoSpaceDE w:val="0"/>
              <w:autoSpaceDN w:val="0"/>
              <w:adjustRightInd w:val="0"/>
              <w:jc w:val="center"/>
              <w:rPr>
                <w:rFonts w:cs="Times New Roman"/>
                <w:color w:val="000000" w:themeColor="text1"/>
                <w:kern w:val="0"/>
                <w:szCs w:val="21"/>
              </w:rPr>
            </w:pPr>
            <w:r>
              <w:rPr>
                <w:rFonts w:cs="Times New Roman"/>
                <w:color w:val="000000" w:themeColor="text1"/>
                <w:szCs w:val="21"/>
              </w:rPr>
              <w:t>SO</w:t>
            </w:r>
            <w:r>
              <w:rPr>
                <w:rFonts w:cs="Times New Roman"/>
                <w:color w:val="000000" w:themeColor="text1"/>
                <w:szCs w:val="21"/>
                <w:vertAlign w:val="subscript"/>
              </w:rPr>
              <w:t>4</w:t>
            </w:r>
            <w:r>
              <w:rPr>
                <w:rFonts w:cs="Times New Roman"/>
                <w:color w:val="000000" w:themeColor="text1"/>
                <w:szCs w:val="21"/>
                <w:vertAlign w:val="superscript"/>
              </w:rPr>
              <w:t>2-</w:t>
            </w:r>
          </w:p>
        </w:tc>
        <w:tc>
          <w:tcPr>
            <w:tcW w:w="1950" w:type="pct"/>
            <w:shd w:val="clear" w:color="auto" w:fill="auto"/>
            <w:vAlign w:val="center"/>
          </w:tcPr>
          <w:p w:rsidR="00644456" w:rsidRDefault="008031C4">
            <w:pPr>
              <w:autoSpaceDE w:val="0"/>
              <w:autoSpaceDN w:val="0"/>
              <w:adjustRightInd w:val="0"/>
              <w:jc w:val="center"/>
              <w:rPr>
                <w:rFonts w:cs="Times New Roman"/>
                <w:bCs/>
                <w:color w:val="000000" w:themeColor="text1"/>
                <w:szCs w:val="21"/>
              </w:rPr>
            </w:pPr>
            <w:r>
              <w:rPr>
                <w:rFonts w:cs="Times New Roman"/>
                <w:bCs/>
                <w:color w:val="000000" w:themeColor="text1"/>
                <w:szCs w:val="21"/>
              </w:rPr>
              <w:t>≤250</w:t>
            </w:r>
          </w:p>
        </w:tc>
      </w:tr>
    </w:tbl>
    <w:p w:rsidR="00644456" w:rsidRDefault="008031C4">
      <w:pPr>
        <w:pStyle w:val="-"/>
        <w:numPr>
          <w:ilvl w:val="0"/>
          <w:numId w:val="5"/>
        </w:numPr>
        <w:ind w:firstLine="482"/>
        <w:rPr>
          <w:rFonts w:cs="Times New Roman"/>
          <w:b/>
          <w:bCs/>
          <w:color w:val="000000" w:themeColor="text1"/>
        </w:rPr>
      </w:pPr>
      <w:r>
        <w:rPr>
          <w:rFonts w:cs="Times New Roman"/>
          <w:b/>
          <w:bCs/>
          <w:color w:val="000000" w:themeColor="text1"/>
        </w:rPr>
        <w:t>土壤环境质量</w:t>
      </w:r>
    </w:p>
    <w:p w:rsidR="00644456" w:rsidRDefault="008031C4">
      <w:pPr>
        <w:pStyle w:val="-"/>
        <w:adjustRightInd w:val="0"/>
        <w:snapToGrid w:val="0"/>
        <w:ind w:firstLine="480"/>
        <w:rPr>
          <w:rFonts w:cs="Times New Roman"/>
          <w:bCs/>
          <w:color w:val="000000" w:themeColor="text1"/>
          <w:szCs w:val="21"/>
        </w:rPr>
      </w:pPr>
      <w:r>
        <w:rPr>
          <w:rFonts w:cs="Times New Roman" w:hint="eastAsia"/>
          <w:bCs/>
          <w:color w:val="000000" w:themeColor="text1"/>
          <w:szCs w:val="21"/>
        </w:rPr>
        <w:t>执行《土壤环境质量建设用地土壤污染风险管控标准》（试行）（</w:t>
      </w:r>
      <w:r>
        <w:rPr>
          <w:rFonts w:cs="Times New Roman" w:hint="eastAsia"/>
          <w:bCs/>
          <w:color w:val="000000" w:themeColor="text1"/>
          <w:szCs w:val="21"/>
        </w:rPr>
        <w:t>GB36600-2018</w:t>
      </w:r>
      <w:r>
        <w:rPr>
          <w:rFonts w:cs="Times New Roman" w:hint="eastAsia"/>
          <w:bCs/>
          <w:color w:val="000000" w:themeColor="text1"/>
          <w:szCs w:val="21"/>
        </w:rPr>
        <w:t>）表</w:t>
      </w:r>
      <w:r>
        <w:rPr>
          <w:rFonts w:cs="Times New Roman" w:hint="eastAsia"/>
          <w:bCs/>
          <w:color w:val="000000" w:themeColor="text1"/>
          <w:szCs w:val="21"/>
        </w:rPr>
        <w:t>1</w:t>
      </w:r>
      <w:r>
        <w:rPr>
          <w:rFonts w:cs="Times New Roman" w:hint="eastAsia"/>
          <w:bCs/>
          <w:color w:val="000000" w:themeColor="text1"/>
          <w:szCs w:val="21"/>
        </w:rPr>
        <w:t>和表</w:t>
      </w:r>
      <w:r>
        <w:rPr>
          <w:rFonts w:cs="Times New Roman" w:hint="eastAsia"/>
          <w:bCs/>
          <w:color w:val="000000" w:themeColor="text1"/>
          <w:szCs w:val="21"/>
        </w:rPr>
        <w:t>2</w:t>
      </w:r>
      <w:r>
        <w:rPr>
          <w:rFonts w:cs="Times New Roman" w:hint="eastAsia"/>
          <w:bCs/>
          <w:color w:val="000000" w:themeColor="text1"/>
          <w:szCs w:val="21"/>
        </w:rPr>
        <w:t>第二类用地筛选值标准，具体标准限值见表</w:t>
      </w:r>
      <w:r>
        <w:rPr>
          <w:rFonts w:cs="Times New Roman" w:hint="eastAsia"/>
          <w:bCs/>
          <w:color w:val="000000" w:themeColor="text1"/>
          <w:szCs w:val="21"/>
        </w:rPr>
        <w:t>1.7-</w:t>
      </w:r>
      <w:r>
        <w:rPr>
          <w:rFonts w:cs="Times New Roman"/>
          <w:bCs/>
          <w:color w:val="000000" w:themeColor="text1"/>
          <w:szCs w:val="21"/>
        </w:rPr>
        <w:t>5</w:t>
      </w:r>
      <w:r>
        <w:rPr>
          <w:rFonts w:cs="Times New Roman" w:hint="eastAsia"/>
          <w:bCs/>
          <w:color w:val="000000" w:themeColor="text1"/>
          <w:szCs w:val="21"/>
        </w:rPr>
        <w:t>。</w:t>
      </w:r>
    </w:p>
    <w:p w:rsidR="00644456" w:rsidRDefault="008031C4">
      <w:pPr>
        <w:pStyle w:val="-"/>
        <w:adjustRightInd w:val="0"/>
        <w:snapToGrid w:val="0"/>
        <w:ind w:firstLine="480"/>
        <w:rPr>
          <w:rFonts w:cs="Times New Roman"/>
          <w:b/>
          <w:bCs/>
          <w:color w:val="000000" w:themeColor="text1"/>
        </w:rPr>
      </w:pPr>
      <w:r>
        <w:rPr>
          <w:rFonts w:cs="Times New Roman" w:hint="eastAsia"/>
          <w:bCs/>
          <w:color w:val="000000" w:themeColor="text1"/>
          <w:szCs w:val="21"/>
        </w:rPr>
        <w:t>根据《关于印发〈全国土壤污染状况评价技术规定〉的通知》（环发〔</w:t>
      </w:r>
      <w:r>
        <w:rPr>
          <w:rFonts w:cs="Times New Roman" w:hint="eastAsia"/>
          <w:bCs/>
          <w:color w:val="000000" w:themeColor="text1"/>
          <w:szCs w:val="21"/>
        </w:rPr>
        <w:t>2008</w:t>
      </w:r>
      <w:r>
        <w:rPr>
          <w:rFonts w:cs="Times New Roman" w:hint="eastAsia"/>
          <w:bCs/>
          <w:color w:val="000000" w:themeColor="text1"/>
          <w:szCs w:val="21"/>
        </w:rPr>
        <w:t>〕</w:t>
      </w:r>
      <w:r>
        <w:rPr>
          <w:rFonts w:cs="Times New Roman" w:hint="eastAsia"/>
          <w:bCs/>
          <w:color w:val="000000" w:themeColor="text1"/>
          <w:szCs w:val="21"/>
        </w:rPr>
        <w:t>39</w:t>
      </w:r>
      <w:r>
        <w:rPr>
          <w:rFonts w:cs="Times New Roman" w:hint="eastAsia"/>
          <w:bCs/>
          <w:color w:val="000000" w:themeColor="text1"/>
          <w:szCs w:val="21"/>
        </w:rPr>
        <w:t>号），建设用地中锌的标准值为</w:t>
      </w:r>
      <w:r>
        <w:rPr>
          <w:rFonts w:cs="Times New Roman" w:hint="eastAsia"/>
          <w:bCs/>
          <w:color w:val="000000" w:themeColor="text1"/>
          <w:szCs w:val="21"/>
        </w:rPr>
        <w:t>720mg/kg</w:t>
      </w:r>
      <w:r>
        <w:rPr>
          <w:rFonts w:cs="Times New Roman"/>
          <w:color w:val="000000" w:themeColor="text1"/>
          <w:kern w:val="0"/>
          <w:szCs w:val="21"/>
        </w:rPr>
        <w:t>。</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1.7-5</w:t>
      </w:r>
      <w:r>
        <w:rPr>
          <w:rFonts w:ascii="Times New Roman" w:eastAsia="宋体" w:hAnsi="Times New Roman" w:cs="Times New Roman" w:hint="eastAsia"/>
          <w:b/>
          <w:color w:val="000000" w:themeColor="text1"/>
          <w:sz w:val="24"/>
        </w:rPr>
        <w:t>土壤环境质量建设用地土壤污染风险筛选值和管制值单位：</w:t>
      </w:r>
      <w:r>
        <w:rPr>
          <w:rFonts w:ascii="Times New Roman" w:eastAsia="宋体" w:hAnsi="Times New Roman" w:cs="Times New Roman" w:hint="eastAsia"/>
          <w:b/>
          <w:color w:val="000000" w:themeColor="text1"/>
          <w:sz w:val="24"/>
        </w:rPr>
        <w:t>mg/kg</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16"/>
        <w:gridCol w:w="1957"/>
        <w:gridCol w:w="1754"/>
        <w:gridCol w:w="1193"/>
        <w:gridCol w:w="1070"/>
        <w:gridCol w:w="1126"/>
        <w:gridCol w:w="1114"/>
      </w:tblGrid>
      <w:tr w:rsidR="00644456">
        <w:trPr>
          <w:jc w:val="center"/>
        </w:trPr>
        <w:tc>
          <w:tcPr>
            <w:tcW w:w="295" w:type="pct"/>
            <w:vMerge w:val="restart"/>
            <w:shd w:val="clear" w:color="auto" w:fill="auto"/>
            <w:vAlign w:val="center"/>
          </w:tcPr>
          <w:p w:rsidR="00644456" w:rsidRDefault="008031C4">
            <w:pPr>
              <w:adjustRightInd w:val="0"/>
              <w:snapToGrid w:val="0"/>
              <w:jc w:val="center"/>
              <w:rPr>
                <w:rFonts w:cs="Times New Roman"/>
                <w:b/>
                <w:bCs/>
                <w:color w:val="000000" w:themeColor="text1"/>
                <w:szCs w:val="21"/>
              </w:rPr>
            </w:pPr>
            <w:r>
              <w:rPr>
                <w:rFonts w:cs="Times New Roman"/>
                <w:b/>
                <w:bCs/>
                <w:color w:val="000000" w:themeColor="text1"/>
                <w:szCs w:val="21"/>
              </w:rPr>
              <w:t>序号</w:t>
            </w:r>
          </w:p>
        </w:tc>
        <w:tc>
          <w:tcPr>
            <w:tcW w:w="1120" w:type="pct"/>
            <w:vMerge w:val="restart"/>
            <w:shd w:val="clear" w:color="auto" w:fill="auto"/>
            <w:vAlign w:val="center"/>
          </w:tcPr>
          <w:p w:rsidR="00644456" w:rsidRDefault="008031C4">
            <w:pPr>
              <w:adjustRightInd w:val="0"/>
              <w:snapToGrid w:val="0"/>
              <w:jc w:val="center"/>
              <w:rPr>
                <w:rFonts w:cs="Times New Roman"/>
                <w:b/>
                <w:bCs/>
                <w:color w:val="000000" w:themeColor="text1"/>
                <w:szCs w:val="21"/>
              </w:rPr>
            </w:pPr>
            <w:r>
              <w:rPr>
                <w:rFonts w:cs="Times New Roman"/>
                <w:b/>
                <w:bCs/>
                <w:color w:val="000000" w:themeColor="text1"/>
                <w:szCs w:val="21"/>
              </w:rPr>
              <w:t>污染物项目</w:t>
            </w:r>
          </w:p>
        </w:tc>
        <w:tc>
          <w:tcPr>
            <w:tcW w:w="1004" w:type="pct"/>
            <w:vMerge w:val="restart"/>
            <w:shd w:val="clear" w:color="auto" w:fill="auto"/>
            <w:vAlign w:val="center"/>
          </w:tcPr>
          <w:p w:rsidR="00644456" w:rsidRDefault="008031C4">
            <w:pPr>
              <w:adjustRightInd w:val="0"/>
              <w:snapToGrid w:val="0"/>
              <w:jc w:val="center"/>
              <w:rPr>
                <w:rFonts w:cs="Times New Roman"/>
                <w:b/>
                <w:bCs/>
                <w:color w:val="000000" w:themeColor="text1"/>
                <w:szCs w:val="21"/>
              </w:rPr>
            </w:pPr>
            <w:r>
              <w:rPr>
                <w:rFonts w:cs="Times New Roman"/>
                <w:b/>
                <w:bCs/>
                <w:color w:val="000000" w:themeColor="text1"/>
                <w:szCs w:val="21"/>
              </w:rPr>
              <w:t>CAS</w:t>
            </w:r>
            <w:r>
              <w:rPr>
                <w:rFonts w:cs="Times New Roman"/>
                <w:b/>
                <w:bCs/>
                <w:color w:val="000000" w:themeColor="text1"/>
                <w:szCs w:val="21"/>
              </w:rPr>
              <w:t>编号</w:t>
            </w:r>
          </w:p>
        </w:tc>
        <w:tc>
          <w:tcPr>
            <w:tcW w:w="1296" w:type="pct"/>
            <w:gridSpan w:val="2"/>
            <w:shd w:val="clear" w:color="auto" w:fill="auto"/>
            <w:vAlign w:val="center"/>
          </w:tcPr>
          <w:p w:rsidR="00644456" w:rsidRDefault="008031C4">
            <w:pPr>
              <w:adjustRightInd w:val="0"/>
              <w:snapToGrid w:val="0"/>
              <w:jc w:val="center"/>
              <w:rPr>
                <w:rFonts w:cs="Times New Roman"/>
                <w:b/>
                <w:bCs/>
                <w:color w:val="000000" w:themeColor="text1"/>
                <w:szCs w:val="21"/>
              </w:rPr>
            </w:pPr>
            <w:r>
              <w:rPr>
                <w:rFonts w:cs="Times New Roman"/>
                <w:b/>
                <w:bCs/>
                <w:color w:val="000000" w:themeColor="text1"/>
                <w:szCs w:val="21"/>
              </w:rPr>
              <w:t>筛选值</w:t>
            </w:r>
          </w:p>
        </w:tc>
        <w:tc>
          <w:tcPr>
            <w:tcW w:w="1283" w:type="pct"/>
            <w:gridSpan w:val="2"/>
            <w:shd w:val="clear" w:color="auto" w:fill="auto"/>
            <w:vAlign w:val="center"/>
          </w:tcPr>
          <w:p w:rsidR="00644456" w:rsidRDefault="008031C4">
            <w:pPr>
              <w:adjustRightInd w:val="0"/>
              <w:snapToGrid w:val="0"/>
              <w:jc w:val="center"/>
              <w:rPr>
                <w:rFonts w:cs="Times New Roman"/>
                <w:b/>
                <w:bCs/>
                <w:color w:val="000000" w:themeColor="text1"/>
                <w:szCs w:val="21"/>
              </w:rPr>
            </w:pPr>
            <w:r>
              <w:rPr>
                <w:rFonts w:cs="Times New Roman"/>
                <w:b/>
                <w:bCs/>
                <w:color w:val="000000" w:themeColor="text1"/>
                <w:szCs w:val="21"/>
              </w:rPr>
              <w:t>管制值</w:t>
            </w:r>
          </w:p>
        </w:tc>
      </w:tr>
      <w:tr w:rsidR="00644456">
        <w:trPr>
          <w:jc w:val="center"/>
        </w:trPr>
        <w:tc>
          <w:tcPr>
            <w:tcW w:w="295" w:type="pct"/>
            <w:vMerge/>
            <w:shd w:val="clear" w:color="auto" w:fill="auto"/>
            <w:vAlign w:val="center"/>
          </w:tcPr>
          <w:p w:rsidR="00644456" w:rsidRDefault="00644456">
            <w:pPr>
              <w:adjustRightInd w:val="0"/>
              <w:snapToGrid w:val="0"/>
              <w:jc w:val="center"/>
              <w:rPr>
                <w:rFonts w:cs="Times New Roman"/>
                <w:b/>
                <w:bCs/>
                <w:color w:val="000000" w:themeColor="text1"/>
                <w:szCs w:val="21"/>
              </w:rPr>
            </w:pPr>
          </w:p>
        </w:tc>
        <w:tc>
          <w:tcPr>
            <w:tcW w:w="1120" w:type="pct"/>
            <w:vMerge/>
            <w:shd w:val="clear" w:color="auto" w:fill="auto"/>
            <w:vAlign w:val="center"/>
          </w:tcPr>
          <w:p w:rsidR="00644456" w:rsidRDefault="00644456">
            <w:pPr>
              <w:adjustRightInd w:val="0"/>
              <w:snapToGrid w:val="0"/>
              <w:jc w:val="center"/>
              <w:rPr>
                <w:rFonts w:cs="Times New Roman"/>
                <w:b/>
                <w:bCs/>
                <w:color w:val="000000" w:themeColor="text1"/>
                <w:szCs w:val="21"/>
              </w:rPr>
            </w:pPr>
          </w:p>
        </w:tc>
        <w:tc>
          <w:tcPr>
            <w:tcW w:w="1004" w:type="pct"/>
            <w:vMerge/>
            <w:shd w:val="clear" w:color="auto" w:fill="auto"/>
            <w:vAlign w:val="center"/>
          </w:tcPr>
          <w:p w:rsidR="00644456" w:rsidRDefault="00644456">
            <w:pPr>
              <w:adjustRightInd w:val="0"/>
              <w:snapToGrid w:val="0"/>
              <w:jc w:val="center"/>
              <w:rPr>
                <w:rFonts w:cs="Times New Roman"/>
                <w:b/>
                <w:bCs/>
                <w:color w:val="000000" w:themeColor="text1"/>
                <w:szCs w:val="21"/>
              </w:rPr>
            </w:pPr>
          </w:p>
        </w:tc>
        <w:tc>
          <w:tcPr>
            <w:tcW w:w="683" w:type="pct"/>
            <w:shd w:val="clear" w:color="auto" w:fill="auto"/>
            <w:vAlign w:val="center"/>
          </w:tcPr>
          <w:p w:rsidR="00644456" w:rsidRDefault="008031C4">
            <w:pPr>
              <w:adjustRightInd w:val="0"/>
              <w:snapToGrid w:val="0"/>
              <w:jc w:val="center"/>
              <w:rPr>
                <w:rFonts w:cs="Times New Roman"/>
                <w:b/>
                <w:bCs/>
                <w:color w:val="000000" w:themeColor="text1"/>
                <w:szCs w:val="21"/>
              </w:rPr>
            </w:pPr>
            <w:r>
              <w:rPr>
                <w:rFonts w:cs="Times New Roman"/>
                <w:b/>
                <w:bCs/>
                <w:color w:val="000000" w:themeColor="text1"/>
                <w:szCs w:val="21"/>
              </w:rPr>
              <w:t>第一类用地</w:t>
            </w:r>
          </w:p>
        </w:tc>
        <w:tc>
          <w:tcPr>
            <w:tcW w:w="613" w:type="pct"/>
            <w:shd w:val="clear" w:color="auto" w:fill="auto"/>
            <w:vAlign w:val="center"/>
          </w:tcPr>
          <w:p w:rsidR="00644456" w:rsidRDefault="008031C4">
            <w:pPr>
              <w:adjustRightInd w:val="0"/>
              <w:snapToGrid w:val="0"/>
              <w:jc w:val="center"/>
              <w:rPr>
                <w:rFonts w:cs="Times New Roman"/>
                <w:b/>
                <w:bCs/>
                <w:color w:val="000000" w:themeColor="text1"/>
                <w:szCs w:val="21"/>
              </w:rPr>
            </w:pPr>
            <w:r>
              <w:rPr>
                <w:rFonts w:cs="Times New Roman"/>
                <w:b/>
                <w:bCs/>
                <w:color w:val="000000" w:themeColor="text1"/>
                <w:szCs w:val="21"/>
              </w:rPr>
              <w:t>第二类用地</w:t>
            </w:r>
          </w:p>
        </w:tc>
        <w:tc>
          <w:tcPr>
            <w:tcW w:w="645" w:type="pct"/>
            <w:shd w:val="clear" w:color="auto" w:fill="auto"/>
            <w:vAlign w:val="center"/>
          </w:tcPr>
          <w:p w:rsidR="00644456" w:rsidRDefault="008031C4">
            <w:pPr>
              <w:adjustRightInd w:val="0"/>
              <w:snapToGrid w:val="0"/>
              <w:jc w:val="center"/>
              <w:rPr>
                <w:rFonts w:cs="Times New Roman"/>
                <w:b/>
                <w:bCs/>
                <w:color w:val="000000" w:themeColor="text1"/>
                <w:szCs w:val="21"/>
              </w:rPr>
            </w:pPr>
            <w:r>
              <w:rPr>
                <w:rFonts w:cs="Times New Roman"/>
                <w:b/>
                <w:bCs/>
                <w:color w:val="000000" w:themeColor="text1"/>
                <w:szCs w:val="21"/>
              </w:rPr>
              <w:t>第一类用地</w:t>
            </w:r>
          </w:p>
        </w:tc>
        <w:tc>
          <w:tcPr>
            <w:tcW w:w="638" w:type="pct"/>
            <w:shd w:val="clear" w:color="auto" w:fill="auto"/>
            <w:vAlign w:val="center"/>
          </w:tcPr>
          <w:p w:rsidR="00644456" w:rsidRDefault="008031C4">
            <w:pPr>
              <w:adjustRightInd w:val="0"/>
              <w:snapToGrid w:val="0"/>
              <w:jc w:val="center"/>
              <w:rPr>
                <w:rFonts w:cs="Times New Roman"/>
                <w:b/>
                <w:bCs/>
                <w:color w:val="000000" w:themeColor="text1"/>
                <w:szCs w:val="21"/>
              </w:rPr>
            </w:pPr>
            <w:r>
              <w:rPr>
                <w:rFonts w:cs="Times New Roman"/>
                <w:b/>
                <w:bCs/>
                <w:color w:val="000000" w:themeColor="text1"/>
                <w:szCs w:val="21"/>
              </w:rPr>
              <w:t>第二类用地</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砷</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7440-38-2</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20</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60</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120</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140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镉</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7440-43-9</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20</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65</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47</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172</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铬（六价）</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18540-29-9</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3.0</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5.7</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30</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78</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4</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铜</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7440-50-8</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2000</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18000</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8000</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36000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lastRenderedPageBreak/>
              <w:t>5</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铅</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7439-92-1</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400</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800</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800</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2500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6</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汞</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7439-97-6</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8</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38</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33</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82</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镍</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7440-02-0</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150</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900</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600</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2000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8</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四氯化碳</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56-23-5</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0.9</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2.8</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9</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36</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9</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氯仿</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67-66-3</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0.3</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0.9</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10</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氯甲烷</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74-87-3</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12</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37</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21</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120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11</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1-</w:t>
            </w:r>
            <w:r>
              <w:rPr>
                <w:rFonts w:cs="Times New Roman"/>
                <w:color w:val="000000" w:themeColor="text1"/>
                <w:szCs w:val="21"/>
              </w:rPr>
              <w:t>二氯乙烷</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75-34-3</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9</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20</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100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12</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2-</w:t>
            </w:r>
            <w:r>
              <w:rPr>
                <w:rFonts w:cs="Times New Roman"/>
                <w:color w:val="000000" w:themeColor="text1"/>
                <w:szCs w:val="21"/>
              </w:rPr>
              <w:t>二氯乙烷</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107-06-2</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0.52</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6</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21</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13</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1-</w:t>
            </w:r>
            <w:r>
              <w:rPr>
                <w:rFonts w:cs="Times New Roman"/>
                <w:color w:val="000000" w:themeColor="text1"/>
                <w:szCs w:val="21"/>
              </w:rPr>
              <w:t>二氯乙烯</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75-35-4</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12</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66</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40</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200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14</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顺</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2-</w:t>
            </w:r>
            <w:r>
              <w:rPr>
                <w:rFonts w:cs="Times New Roman"/>
                <w:color w:val="000000" w:themeColor="text1"/>
                <w:szCs w:val="21"/>
              </w:rPr>
              <w:t>二氯乙烯</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156-59-2</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66</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596</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200</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2000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15</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反</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2-</w:t>
            </w:r>
            <w:r>
              <w:rPr>
                <w:rFonts w:cs="Times New Roman"/>
                <w:color w:val="000000" w:themeColor="text1"/>
                <w:szCs w:val="21"/>
              </w:rPr>
              <w:t>二氯乙烯</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156-60-5</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10</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54</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31</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163</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16</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二氯甲烷</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75-09-2</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94</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616</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300</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2000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17</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2-</w:t>
            </w:r>
            <w:r>
              <w:rPr>
                <w:rFonts w:cs="Times New Roman"/>
                <w:color w:val="000000" w:themeColor="text1"/>
                <w:szCs w:val="21"/>
              </w:rPr>
              <w:t>二氯丙烷</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78-87-5</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47</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18</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2-</w:t>
            </w:r>
            <w:r>
              <w:rPr>
                <w:rFonts w:cs="Times New Roman"/>
                <w:color w:val="000000" w:themeColor="text1"/>
                <w:szCs w:val="21"/>
              </w:rPr>
              <w:t>四氯乙烷</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630-20-6</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2.6</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10</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26</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100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19</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2</w:t>
            </w:r>
            <w:r>
              <w:rPr>
                <w:rFonts w:cs="Times New Roman"/>
                <w:color w:val="000000" w:themeColor="text1"/>
                <w:szCs w:val="21"/>
              </w:rPr>
              <w:t>，</w:t>
            </w:r>
            <w:r>
              <w:rPr>
                <w:rFonts w:cs="Times New Roman"/>
                <w:color w:val="000000" w:themeColor="text1"/>
                <w:szCs w:val="21"/>
              </w:rPr>
              <w:t>2-</w:t>
            </w:r>
            <w:r>
              <w:rPr>
                <w:rFonts w:cs="Times New Roman"/>
                <w:color w:val="000000" w:themeColor="text1"/>
                <w:szCs w:val="21"/>
              </w:rPr>
              <w:t>四氯乙烷</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79-34-5</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1.6</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6.8</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14</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20</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四氯乙烯</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127-18-4</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11</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53</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34</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183</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21</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1-</w:t>
            </w:r>
            <w:r>
              <w:rPr>
                <w:rFonts w:cs="Times New Roman"/>
                <w:color w:val="000000" w:themeColor="text1"/>
                <w:szCs w:val="21"/>
              </w:rPr>
              <w:t>三氯乙烷</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71-55-6</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701</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840</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840</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840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22</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2-</w:t>
            </w:r>
            <w:r>
              <w:rPr>
                <w:rFonts w:cs="Times New Roman"/>
                <w:color w:val="000000" w:themeColor="text1"/>
                <w:szCs w:val="21"/>
              </w:rPr>
              <w:t>三氯乙烷</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79-00-5</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0.6</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2.8</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15</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23</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三氯乙烯</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79-01-6</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0.6</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2.8</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15</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24</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2</w:t>
            </w:r>
            <w:r>
              <w:rPr>
                <w:rFonts w:cs="Times New Roman"/>
                <w:color w:val="000000" w:themeColor="text1"/>
                <w:szCs w:val="21"/>
              </w:rPr>
              <w:t>，</w:t>
            </w:r>
            <w:r>
              <w:rPr>
                <w:rFonts w:cs="Times New Roman"/>
                <w:color w:val="000000" w:themeColor="text1"/>
                <w:szCs w:val="21"/>
              </w:rPr>
              <w:t>3-</w:t>
            </w:r>
            <w:r>
              <w:rPr>
                <w:rFonts w:cs="Times New Roman"/>
                <w:color w:val="000000" w:themeColor="text1"/>
                <w:szCs w:val="21"/>
              </w:rPr>
              <w:t>三氯丙烷</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96-18-4</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0.05</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0.5</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0.5</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25</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氯乙烯</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75-01-4</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0.12</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0.43</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1.2</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4.3</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26</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苯</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71-43-2</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4</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10</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40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27</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氯苯</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108-90-7</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68</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270</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200</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1000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28</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2-</w:t>
            </w:r>
            <w:r>
              <w:rPr>
                <w:rFonts w:cs="Times New Roman"/>
                <w:color w:val="000000" w:themeColor="text1"/>
                <w:szCs w:val="21"/>
              </w:rPr>
              <w:t>二氯苯</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95-50-1</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560</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560</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560</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560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29</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4-</w:t>
            </w:r>
            <w:r>
              <w:rPr>
                <w:rFonts w:cs="Times New Roman"/>
                <w:color w:val="000000" w:themeColor="text1"/>
                <w:szCs w:val="21"/>
              </w:rPr>
              <w:t>二氯苯</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106-46-7</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5.6</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20</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56</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200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30</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乙苯</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100-41-4</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7.2</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28</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72</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280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31</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苯乙烯</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100-42-5</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1290</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1290</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1290</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1290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32</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甲苯</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108-88-3</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1200</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1200</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1200</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1200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33</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间二甲苯</w:t>
            </w:r>
            <w:r>
              <w:rPr>
                <w:rFonts w:cs="Times New Roman"/>
                <w:color w:val="000000" w:themeColor="text1"/>
                <w:szCs w:val="21"/>
              </w:rPr>
              <w:t>+</w:t>
            </w:r>
            <w:r>
              <w:rPr>
                <w:rFonts w:cs="Times New Roman"/>
                <w:color w:val="000000" w:themeColor="text1"/>
                <w:szCs w:val="21"/>
              </w:rPr>
              <w:t>对二甲苯</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108-38-3</w:t>
            </w:r>
            <w:r>
              <w:rPr>
                <w:rFonts w:cs="Times New Roman"/>
                <w:color w:val="000000" w:themeColor="text1"/>
                <w:szCs w:val="21"/>
              </w:rPr>
              <w:t>，</w:t>
            </w:r>
            <w:r>
              <w:rPr>
                <w:rFonts w:cs="Times New Roman"/>
                <w:color w:val="000000" w:themeColor="text1"/>
                <w:szCs w:val="21"/>
              </w:rPr>
              <w:t>106-42-3</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163</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570</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500</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570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34</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邻二甲苯</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95-47-6</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222</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640</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640</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640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35</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硝基苯</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98-95-3</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34</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76</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190</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760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36</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苯胺</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62-53-3</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92</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260</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211</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663</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37</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w:t>
            </w:r>
            <w:r>
              <w:rPr>
                <w:rFonts w:cs="Times New Roman"/>
                <w:color w:val="000000" w:themeColor="text1"/>
                <w:szCs w:val="21"/>
              </w:rPr>
              <w:t>氯酚</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95-57-8</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250</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2256</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500</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4500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38</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苯并【</w:t>
            </w:r>
            <w:r>
              <w:rPr>
                <w:rFonts w:cs="Times New Roman"/>
                <w:color w:val="000000" w:themeColor="text1"/>
                <w:szCs w:val="21"/>
              </w:rPr>
              <w:t>a</w:t>
            </w:r>
            <w:r>
              <w:rPr>
                <w:rFonts w:cs="Times New Roman"/>
                <w:color w:val="000000" w:themeColor="text1"/>
                <w:szCs w:val="21"/>
              </w:rPr>
              <w:t>】蒽</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56-55-3</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5.5</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15</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55</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151</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39</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苯并【</w:t>
            </w:r>
            <w:r>
              <w:rPr>
                <w:rFonts w:cs="Times New Roman"/>
                <w:color w:val="000000" w:themeColor="text1"/>
                <w:szCs w:val="21"/>
              </w:rPr>
              <w:t>a</w:t>
            </w:r>
            <w:r>
              <w:rPr>
                <w:rFonts w:cs="Times New Roman"/>
                <w:color w:val="000000" w:themeColor="text1"/>
                <w:szCs w:val="21"/>
              </w:rPr>
              <w:t>】芘</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50-32-8</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0.55</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1.5</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5.5</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15</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40</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苯并【</w:t>
            </w:r>
            <w:r>
              <w:rPr>
                <w:rFonts w:cs="Times New Roman"/>
                <w:color w:val="000000" w:themeColor="text1"/>
                <w:szCs w:val="21"/>
              </w:rPr>
              <w:t>b</w:t>
            </w:r>
            <w:r>
              <w:rPr>
                <w:rFonts w:cs="Times New Roman"/>
                <w:color w:val="000000" w:themeColor="text1"/>
                <w:szCs w:val="21"/>
              </w:rPr>
              <w:t>】荧蒽</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205-99-2</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5.5</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15</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55</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151</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41</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苯并【</w:t>
            </w:r>
            <w:r>
              <w:rPr>
                <w:rFonts w:cs="Times New Roman"/>
                <w:color w:val="000000" w:themeColor="text1"/>
                <w:szCs w:val="21"/>
              </w:rPr>
              <w:t>k</w:t>
            </w:r>
            <w:r>
              <w:rPr>
                <w:rFonts w:cs="Times New Roman"/>
                <w:color w:val="000000" w:themeColor="text1"/>
                <w:szCs w:val="21"/>
              </w:rPr>
              <w:t>】荧蒽</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207-08-9</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55</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151</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550</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1500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42</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䓛</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218-01-9</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490</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1297.64</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4900</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12900</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43</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二苯并【</w:t>
            </w:r>
            <w:r>
              <w:rPr>
                <w:rFonts w:cs="Times New Roman"/>
                <w:color w:val="000000" w:themeColor="text1"/>
                <w:szCs w:val="21"/>
              </w:rPr>
              <w:t>a</w:t>
            </w:r>
            <w:r>
              <w:rPr>
                <w:rFonts w:cs="Times New Roman"/>
                <w:color w:val="000000" w:themeColor="text1"/>
                <w:szCs w:val="21"/>
              </w:rPr>
              <w:t>，</w:t>
            </w:r>
            <w:r>
              <w:rPr>
                <w:rFonts w:cs="Times New Roman"/>
                <w:color w:val="000000" w:themeColor="text1"/>
                <w:szCs w:val="21"/>
              </w:rPr>
              <w:t>h</w:t>
            </w:r>
            <w:r>
              <w:rPr>
                <w:rFonts w:cs="Times New Roman"/>
                <w:color w:val="000000" w:themeColor="text1"/>
                <w:szCs w:val="21"/>
              </w:rPr>
              <w:t>】蒽</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53-70-3</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0.55</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1.5</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5.5</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15</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44</w:t>
            </w:r>
          </w:p>
        </w:tc>
        <w:tc>
          <w:tcPr>
            <w:tcW w:w="1120" w:type="pct"/>
            <w:shd w:val="clear" w:color="auto" w:fill="auto"/>
            <w:vAlign w:val="center"/>
          </w:tcPr>
          <w:p w:rsidR="00644456" w:rsidRDefault="008031C4">
            <w:pPr>
              <w:adjustRightInd w:val="0"/>
              <w:snapToGrid w:val="0"/>
              <w:ind w:firstLine="361"/>
              <w:jc w:val="center"/>
              <w:rPr>
                <w:rFonts w:cs="Times New Roman"/>
                <w:color w:val="000000" w:themeColor="text1"/>
                <w:szCs w:val="21"/>
              </w:rPr>
            </w:pPr>
            <w:r>
              <w:rPr>
                <w:rFonts w:cs="Times New Roman"/>
                <w:color w:val="000000" w:themeColor="text1"/>
                <w:sz w:val="18"/>
                <w:szCs w:val="18"/>
              </w:rPr>
              <w:t>茚并【</w:t>
            </w:r>
            <w:r>
              <w:rPr>
                <w:rFonts w:cs="Times New Roman"/>
                <w:color w:val="000000" w:themeColor="text1"/>
                <w:sz w:val="18"/>
                <w:szCs w:val="18"/>
              </w:rPr>
              <w:t>1</w:t>
            </w:r>
            <w:r>
              <w:rPr>
                <w:rFonts w:cs="Times New Roman"/>
                <w:color w:val="000000" w:themeColor="text1"/>
                <w:sz w:val="18"/>
                <w:szCs w:val="18"/>
              </w:rPr>
              <w:t>，</w:t>
            </w:r>
            <w:r>
              <w:rPr>
                <w:rFonts w:cs="Times New Roman"/>
                <w:color w:val="000000" w:themeColor="text1"/>
                <w:sz w:val="18"/>
                <w:szCs w:val="18"/>
              </w:rPr>
              <w:t>2</w:t>
            </w:r>
            <w:r>
              <w:rPr>
                <w:rFonts w:cs="Times New Roman"/>
                <w:color w:val="000000" w:themeColor="text1"/>
                <w:sz w:val="18"/>
                <w:szCs w:val="18"/>
              </w:rPr>
              <w:t>，</w:t>
            </w:r>
            <w:r>
              <w:rPr>
                <w:rFonts w:cs="Times New Roman"/>
                <w:color w:val="000000" w:themeColor="text1"/>
                <w:sz w:val="18"/>
                <w:szCs w:val="18"/>
              </w:rPr>
              <w:t>3-cd</w:t>
            </w:r>
            <w:r>
              <w:rPr>
                <w:rFonts w:cs="Times New Roman"/>
                <w:color w:val="000000" w:themeColor="text1"/>
                <w:sz w:val="18"/>
                <w:szCs w:val="18"/>
              </w:rPr>
              <w:t>】芘</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193-39-5</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5.5</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15</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55</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151</w:t>
            </w:r>
          </w:p>
        </w:tc>
      </w:tr>
      <w:tr w:rsidR="00644456">
        <w:trPr>
          <w:jc w:val="center"/>
        </w:trPr>
        <w:tc>
          <w:tcPr>
            <w:tcW w:w="29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45</w:t>
            </w:r>
          </w:p>
        </w:tc>
        <w:tc>
          <w:tcPr>
            <w:tcW w:w="1120"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萘</w:t>
            </w:r>
          </w:p>
        </w:tc>
        <w:tc>
          <w:tcPr>
            <w:tcW w:w="100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91-20-3</w:t>
            </w:r>
          </w:p>
        </w:tc>
        <w:tc>
          <w:tcPr>
            <w:tcW w:w="68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25</w:t>
            </w:r>
          </w:p>
        </w:tc>
        <w:tc>
          <w:tcPr>
            <w:tcW w:w="613"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70</w:t>
            </w:r>
          </w:p>
        </w:tc>
        <w:tc>
          <w:tcPr>
            <w:tcW w:w="645"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255</w:t>
            </w:r>
          </w:p>
        </w:tc>
        <w:tc>
          <w:tcPr>
            <w:tcW w:w="638"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700</w:t>
            </w:r>
          </w:p>
        </w:tc>
      </w:tr>
      <w:tr w:rsidR="00644456">
        <w:trPr>
          <w:jc w:val="center"/>
        </w:trPr>
        <w:tc>
          <w:tcPr>
            <w:tcW w:w="515" w:type="dxa"/>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46</w:t>
            </w:r>
          </w:p>
        </w:tc>
        <w:tc>
          <w:tcPr>
            <w:tcW w:w="1956" w:type="dxa"/>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钴</w:t>
            </w:r>
          </w:p>
        </w:tc>
        <w:tc>
          <w:tcPr>
            <w:tcW w:w="1754" w:type="dxa"/>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7440-48-4</w:t>
            </w:r>
          </w:p>
        </w:tc>
        <w:tc>
          <w:tcPr>
            <w:tcW w:w="1193" w:type="dxa"/>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20</w:t>
            </w:r>
          </w:p>
        </w:tc>
        <w:tc>
          <w:tcPr>
            <w:tcW w:w="1071" w:type="dxa"/>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70</w:t>
            </w:r>
          </w:p>
        </w:tc>
        <w:tc>
          <w:tcPr>
            <w:tcW w:w="1127" w:type="dxa"/>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190</w:t>
            </w:r>
          </w:p>
        </w:tc>
        <w:tc>
          <w:tcPr>
            <w:tcW w:w="1114" w:type="dxa"/>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350</w:t>
            </w:r>
          </w:p>
        </w:tc>
      </w:tr>
      <w:tr w:rsidR="00644456">
        <w:trPr>
          <w:jc w:val="center"/>
        </w:trPr>
        <w:tc>
          <w:tcPr>
            <w:tcW w:w="515" w:type="dxa"/>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47</w:t>
            </w:r>
          </w:p>
        </w:tc>
        <w:tc>
          <w:tcPr>
            <w:tcW w:w="1956" w:type="dxa"/>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钒</w:t>
            </w:r>
          </w:p>
        </w:tc>
        <w:tc>
          <w:tcPr>
            <w:tcW w:w="1754" w:type="dxa"/>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7440-62-2</w:t>
            </w:r>
          </w:p>
        </w:tc>
        <w:tc>
          <w:tcPr>
            <w:tcW w:w="1193" w:type="dxa"/>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165</w:t>
            </w:r>
          </w:p>
        </w:tc>
        <w:tc>
          <w:tcPr>
            <w:tcW w:w="1071" w:type="dxa"/>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752</w:t>
            </w:r>
          </w:p>
        </w:tc>
        <w:tc>
          <w:tcPr>
            <w:tcW w:w="1127" w:type="dxa"/>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330</w:t>
            </w:r>
          </w:p>
        </w:tc>
        <w:tc>
          <w:tcPr>
            <w:tcW w:w="1114" w:type="dxa"/>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1500</w:t>
            </w:r>
          </w:p>
        </w:tc>
      </w:tr>
    </w:tbl>
    <w:p w:rsidR="00644456" w:rsidRDefault="008031C4">
      <w:pPr>
        <w:pStyle w:val="3"/>
        <w:numPr>
          <w:ilvl w:val="2"/>
          <w:numId w:val="0"/>
        </w:numPr>
        <w:ind w:firstLineChars="200" w:firstLine="482"/>
      </w:pPr>
      <w:r>
        <w:rPr>
          <w:rFonts w:hint="eastAsia"/>
        </w:rPr>
        <w:t>1.7.2</w:t>
      </w:r>
      <w:r>
        <w:t>污染物排放标准</w:t>
      </w:r>
    </w:p>
    <w:p w:rsidR="00644456" w:rsidRDefault="008031C4">
      <w:pPr>
        <w:pStyle w:val="-"/>
        <w:adjustRightInd w:val="0"/>
        <w:snapToGrid w:val="0"/>
        <w:ind w:firstLine="480"/>
        <w:rPr>
          <w:rFonts w:cs="Times New Roman"/>
          <w:bCs/>
          <w:color w:val="000000" w:themeColor="text1"/>
          <w:szCs w:val="21"/>
        </w:rPr>
      </w:pPr>
      <w:r>
        <w:rPr>
          <w:rFonts w:cs="Times New Roman" w:hint="eastAsia"/>
          <w:bCs/>
          <w:color w:val="000000" w:themeColor="text1"/>
          <w:szCs w:val="21"/>
        </w:rPr>
        <w:t>1</w:t>
      </w:r>
      <w:r>
        <w:rPr>
          <w:rFonts w:cs="Times New Roman"/>
          <w:bCs/>
          <w:color w:val="000000" w:themeColor="text1"/>
          <w:szCs w:val="21"/>
        </w:rPr>
        <w:t>）</w:t>
      </w:r>
      <w:r>
        <w:rPr>
          <w:rFonts w:cs="Times New Roman" w:hint="eastAsia"/>
          <w:bCs/>
          <w:color w:val="000000" w:themeColor="text1"/>
          <w:szCs w:val="21"/>
        </w:rPr>
        <w:t>废气</w:t>
      </w:r>
    </w:p>
    <w:p w:rsidR="00644456" w:rsidRDefault="008031C4">
      <w:pPr>
        <w:pStyle w:val="-"/>
        <w:adjustRightInd w:val="0"/>
        <w:snapToGrid w:val="0"/>
        <w:ind w:firstLine="480"/>
        <w:rPr>
          <w:rFonts w:cs="Times New Roman"/>
          <w:bCs/>
          <w:color w:val="000000" w:themeColor="text1"/>
          <w:szCs w:val="21"/>
        </w:rPr>
      </w:pPr>
      <w:r>
        <w:rPr>
          <w:rFonts w:cs="Times New Roman" w:hint="eastAsia"/>
          <w:bCs/>
          <w:color w:val="000000" w:themeColor="text1"/>
          <w:szCs w:val="21"/>
        </w:rPr>
        <w:t>①生产废气</w:t>
      </w:r>
    </w:p>
    <w:p w:rsidR="00644456" w:rsidRDefault="008031C4">
      <w:pPr>
        <w:widowControl/>
        <w:spacing w:line="360" w:lineRule="auto"/>
        <w:ind w:firstLineChars="200" w:firstLine="482"/>
        <w:rPr>
          <w:b/>
          <w:bCs/>
          <w:color w:val="000000" w:themeColor="text1"/>
          <w:sz w:val="24"/>
          <w:szCs w:val="24"/>
        </w:rPr>
      </w:pPr>
      <w:r>
        <w:rPr>
          <w:rFonts w:hint="eastAsia"/>
          <w:b/>
          <w:bCs/>
          <w:color w:val="000000" w:themeColor="text1"/>
          <w:sz w:val="24"/>
          <w:szCs w:val="24"/>
        </w:rPr>
        <w:lastRenderedPageBreak/>
        <w:t>根据原新疆环保厅发布的《关于重点区域执行大气污染物特别排放限值的公告》（</w:t>
      </w:r>
      <w:r>
        <w:rPr>
          <w:rFonts w:hint="eastAsia"/>
          <w:b/>
          <w:bCs/>
          <w:color w:val="000000" w:themeColor="text1"/>
          <w:sz w:val="24"/>
          <w:szCs w:val="24"/>
        </w:rPr>
        <w:t>2016</w:t>
      </w:r>
      <w:r>
        <w:rPr>
          <w:rFonts w:hint="eastAsia"/>
          <w:b/>
          <w:bCs/>
          <w:color w:val="000000" w:themeColor="text1"/>
          <w:sz w:val="24"/>
          <w:szCs w:val="24"/>
        </w:rPr>
        <w:t>年第</w:t>
      </w:r>
      <w:r>
        <w:rPr>
          <w:rFonts w:hint="eastAsia"/>
          <w:b/>
          <w:bCs/>
          <w:color w:val="000000" w:themeColor="text1"/>
          <w:sz w:val="24"/>
          <w:szCs w:val="24"/>
        </w:rPr>
        <w:t>45</w:t>
      </w:r>
      <w:r>
        <w:rPr>
          <w:rFonts w:hint="eastAsia"/>
          <w:b/>
          <w:bCs/>
          <w:color w:val="000000" w:themeColor="text1"/>
          <w:sz w:val="24"/>
          <w:szCs w:val="24"/>
        </w:rPr>
        <w:t>号）可知，项目所在地位于喀什地区，属于一般地区。</w:t>
      </w:r>
    </w:p>
    <w:p w:rsidR="00644456" w:rsidRDefault="008031C4">
      <w:pPr>
        <w:widowControl/>
        <w:spacing w:line="360" w:lineRule="auto"/>
        <w:ind w:firstLineChars="200" w:firstLine="480"/>
        <w:rPr>
          <w:color w:val="000000" w:themeColor="text1"/>
          <w:sz w:val="24"/>
          <w:szCs w:val="24"/>
        </w:rPr>
      </w:pPr>
      <w:r>
        <w:rPr>
          <w:rFonts w:hint="eastAsia"/>
          <w:color w:val="000000" w:themeColor="text1"/>
          <w:sz w:val="24"/>
          <w:szCs w:val="24"/>
        </w:rPr>
        <w:t>本项目污染物排放执行标准以《排污许可证申请与核发技术规范废弃资源加工工业》（</w:t>
      </w:r>
      <w:r>
        <w:rPr>
          <w:rFonts w:hint="eastAsia"/>
          <w:color w:val="000000" w:themeColor="text1"/>
          <w:sz w:val="24"/>
          <w:szCs w:val="24"/>
        </w:rPr>
        <w:t>HJ1034</w:t>
      </w:r>
      <w:r>
        <w:rPr>
          <w:rFonts w:hint="eastAsia"/>
          <w:color w:val="000000" w:themeColor="text1"/>
          <w:sz w:val="24"/>
          <w:szCs w:val="24"/>
        </w:rPr>
        <w:t>）中</w:t>
      </w:r>
      <w:r>
        <w:rPr>
          <w:rFonts w:hint="eastAsia"/>
          <w:color w:val="000000" w:themeColor="text1"/>
          <w:sz w:val="24"/>
          <w:szCs w:val="24"/>
        </w:rPr>
        <w:t>-</w:t>
      </w:r>
      <w:r>
        <w:rPr>
          <w:rFonts w:hint="eastAsia"/>
          <w:color w:val="000000" w:themeColor="text1"/>
          <w:sz w:val="24"/>
          <w:szCs w:val="24"/>
        </w:rPr>
        <w:t>废矿物油加工工业给定的执行标准为主。本项目为危险废物资源化综合利用项目，废气主要来自生产工段的不凝气，废气主要污染物非甲烷总烃、氨及硫化氢，无组织废气执行《挥发性有机物无组织排放控制标准》（</w:t>
      </w:r>
      <w:r>
        <w:rPr>
          <w:rFonts w:hint="eastAsia"/>
          <w:color w:val="000000" w:themeColor="text1"/>
          <w:sz w:val="24"/>
          <w:szCs w:val="24"/>
        </w:rPr>
        <w:t>GB37822-2019</w:t>
      </w:r>
      <w:r>
        <w:rPr>
          <w:rFonts w:hint="eastAsia"/>
          <w:color w:val="000000" w:themeColor="text1"/>
          <w:sz w:val="24"/>
          <w:szCs w:val="24"/>
        </w:rPr>
        <w:t>）附录</w:t>
      </w:r>
      <w:r>
        <w:rPr>
          <w:rFonts w:hint="eastAsia"/>
          <w:color w:val="000000" w:themeColor="text1"/>
          <w:sz w:val="24"/>
          <w:szCs w:val="24"/>
        </w:rPr>
        <w:t>A</w:t>
      </w:r>
      <w:r>
        <w:rPr>
          <w:rFonts w:hint="eastAsia"/>
          <w:color w:val="000000" w:themeColor="text1"/>
          <w:sz w:val="24"/>
          <w:szCs w:val="24"/>
        </w:rPr>
        <w:t>和《大气污染物综合排放标准》（</w:t>
      </w:r>
      <w:r>
        <w:rPr>
          <w:rFonts w:hint="eastAsia"/>
          <w:color w:val="000000" w:themeColor="text1"/>
          <w:sz w:val="24"/>
          <w:szCs w:val="24"/>
        </w:rPr>
        <w:t>GB16297-1996</w:t>
      </w:r>
      <w:r>
        <w:rPr>
          <w:rFonts w:hint="eastAsia"/>
          <w:color w:val="000000" w:themeColor="text1"/>
          <w:sz w:val="24"/>
          <w:szCs w:val="24"/>
        </w:rPr>
        <w:t>）表</w:t>
      </w:r>
      <w:r>
        <w:rPr>
          <w:rFonts w:hint="eastAsia"/>
          <w:color w:val="000000" w:themeColor="text1"/>
          <w:sz w:val="24"/>
          <w:szCs w:val="24"/>
        </w:rPr>
        <w:t>2</w:t>
      </w:r>
      <w:r>
        <w:rPr>
          <w:rFonts w:hint="eastAsia"/>
          <w:color w:val="000000" w:themeColor="text1"/>
          <w:sz w:val="24"/>
          <w:szCs w:val="24"/>
        </w:rPr>
        <w:t>，导热油锅炉执行《锅炉大气污染物排放标准》（</w:t>
      </w:r>
      <w:r>
        <w:rPr>
          <w:rFonts w:hint="eastAsia"/>
          <w:color w:val="000000" w:themeColor="text1"/>
          <w:sz w:val="24"/>
          <w:szCs w:val="24"/>
        </w:rPr>
        <w:t>GB13271-2014</w:t>
      </w:r>
      <w:r>
        <w:rPr>
          <w:rFonts w:hint="eastAsia"/>
          <w:color w:val="000000" w:themeColor="text1"/>
          <w:sz w:val="24"/>
          <w:szCs w:val="24"/>
        </w:rPr>
        <w:t>）中规定的燃气锅炉标准限值。</w:t>
      </w:r>
    </w:p>
    <w:p w:rsidR="00644456" w:rsidRDefault="008031C4">
      <w:pPr>
        <w:pStyle w:val="-"/>
        <w:adjustRightInd w:val="0"/>
        <w:snapToGrid w:val="0"/>
        <w:ind w:firstLine="480"/>
        <w:rPr>
          <w:rFonts w:cs="Times New Roman"/>
          <w:bCs/>
          <w:color w:val="000000" w:themeColor="text1"/>
          <w:szCs w:val="21"/>
        </w:rPr>
      </w:pPr>
      <w:r>
        <w:rPr>
          <w:rFonts w:cs="Times New Roman" w:hint="eastAsia"/>
          <w:bCs/>
          <w:color w:val="000000" w:themeColor="text1"/>
          <w:szCs w:val="21"/>
        </w:rPr>
        <w:t>①有组织废气</w:t>
      </w:r>
    </w:p>
    <w:p w:rsidR="00644456" w:rsidRDefault="008031C4">
      <w:pPr>
        <w:pStyle w:val="af4"/>
        <w:jc w:val="center"/>
        <w:rPr>
          <w:rFonts w:ascii="Times New Roman" w:eastAsia="宋体" w:hAnsi="Times New Roman" w:cs="Times New Roman"/>
          <w:b/>
          <w:color w:val="000000" w:themeColor="text1"/>
          <w:sz w:val="24"/>
        </w:rPr>
      </w:pPr>
      <w:bookmarkStart w:id="62" w:name="_Hlk179539701"/>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1.7-6</w:t>
      </w:r>
      <w:r>
        <w:rPr>
          <w:rFonts w:ascii="Times New Roman" w:eastAsia="宋体" w:hAnsi="Times New Roman" w:cs="Times New Roman" w:hint="eastAsia"/>
          <w:b/>
          <w:color w:val="000000" w:themeColor="text1"/>
          <w:sz w:val="24"/>
        </w:rPr>
        <w:t>项目废气污染物排放标准</w:t>
      </w:r>
      <w:r>
        <w:rPr>
          <w:rFonts w:ascii="Times New Roman" w:eastAsia="宋体" w:hAnsi="Times New Roman" w:cs="Times New Roman" w:hint="eastAsia"/>
          <w:b/>
          <w:color w:val="000000" w:themeColor="text1"/>
          <w:sz w:val="24"/>
        </w:rPr>
        <w:t>/</w:t>
      </w:r>
      <w:r>
        <w:rPr>
          <w:rFonts w:ascii="Times New Roman" w:eastAsia="宋体" w:hAnsi="Times New Roman" w:cs="Times New Roman" w:hint="eastAsia"/>
          <w:b/>
          <w:color w:val="000000" w:themeColor="text1"/>
          <w:sz w:val="24"/>
        </w:rPr>
        <w:t>限值</w:t>
      </w:r>
    </w:p>
    <w:tbl>
      <w:tblPr>
        <w:tblW w:w="8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1323"/>
        <w:gridCol w:w="1985"/>
        <w:gridCol w:w="1801"/>
        <w:gridCol w:w="2949"/>
      </w:tblGrid>
      <w:tr w:rsidR="00644456">
        <w:trPr>
          <w:trHeight w:val="340"/>
          <w:jc w:val="center"/>
        </w:trPr>
        <w:tc>
          <w:tcPr>
            <w:tcW w:w="940" w:type="dxa"/>
            <w:vAlign w:val="center"/>
          </w:tcPr>
          <w:p w:rsidR="00644456" w:rsidRDefault="008031C4">
            <w:pPr>
              <w:jc w:val="center"/>
              <w:rPr>
                <w:b/>
                <w:szCs w:val="21"/>
              </w:rPr>
            </w:pPr>
            <w:bookmarkStart w:id="63" w:name="_Hlk179539665"/>
            <w:r>
              <w:rPr>
                <w:b/>
                <w:szCs w:val="21"/>
              </w:rPr>
              <w:t>排放口</w:t>
            </w:r>
          </w:p>
        </w:tc>
        <w:tc>
          <w:tcPr>
            <w:tcW w:w="1323" w:type="dxa"/>
            <w:vAlign w:val="center"/>
          </w:tcPr>
          <w:p w:rsidR="00644456" w:rsidRDefault="008031C4">
            <w:pPr>
              <w:jc w:val="center"/>
              <w:rPr>
                <w:b/>
                <w:szCs w:val="21"/>
              </w:rPr>
            </w:pPr>
            <w:r>
              <w:rPr>
                <w:b/>
                <w:szCs w:val="21"/>
              </w:rPr>
              <w:t>污染物</w:t>
            </w:r>
          </w:p>
        </w:tc>
        <w:tc>
          <w:tcPr>
            <w:tcW w:w="1985" w:type="dxa"/>
            <w:vAlign w:val="center"/>
          </w:tcPr>
          <w:p w:rsidR="00644456" w:rsidRDefault="008031C4">
            <w:pPr>
              <w:jc w:val="center"/>
              <w:rPr>
                <w:b/>
                <w:szCs w:val="21"/>
              </w:rPr>
            </w:pPr>
            <w:r>
              <w:rPr>
                <w:b/>
                <w:szCs w:val="21"/>
              </w:rPr>
              <w:t>限值（</w:t>
            </w:r>
            <w:r>
              <w:rPr>
                <w:b/>
                <w:szCs w:val="21"/>
              </w:rPr>
              <w:t>mg/m</w:t>
            </w:r>
            <w:r>
              <w:rPr>
                <w:b/>
                <w:szCs w:val="21"/>
                <w:vertAlign w:val="superscript"/>
              </w:rPr>
              <w:t>3</w:t>
            </w:r>
            <w:r>
              <w:rPr>
                <w:b/>
                <w:szCs w:val="21"/>
              </w:rPr>
              <w:t>）</w:t>
            </w:r>
          </w:p>
        </w:tc>
        <w:tc>
          <w:tcPr>
            <w:tcW w:w="1801" w:type="dxa"/>
            <w:vAlign w:val="center"/>
          </w:tcPr>
          <w:p w:rsidR="00644456" w:rsidRDefault="008031C4">
            <w:pPr>
              <w:jc w:val="center"/>
              <w:rPr>
                <w:b/>
                <w:szCs w:val="21"/>
              </w:rPr>
            </w:pPr>
            <w:r>
              <w:rPr>
                <w:b/>
                <w:szCs w:val="21"/>
              </w:rPr>
              <w:t>排放速率（</w:t>
            </w:r>
            <w:r>
              <w:rPr>
                <w:b/>
                <w:szCs w:val="21"/>
              </w:rPr>
              <w:t>kg/h</w:t>
            </w:r>
            <w:r>
              <w:rPr>
                <w:b/>
                <w:szCs w:val="21"/>
              </w:rPr>
              <w:t>）</w:t>
            </w:r>
          </w:p>
        </w:tc>
        <w:tc>
          <w:tcPr>
            <w:tcW w:w="2949" w:type="dxa"/>
            <w:vAlign w:val="center"/>
          </w:tcPr>
          <w:p w:rsidR="00644456" w:rsidRDefault="008031C4">
            <w:pPr>
              <w:jc w:val="center"/>
              <w:rPr>
                <w:b/>
                <w:szCs w:val="21"/>
              </w:rPr>
            </w:pPr>
            <w:r>
              <w:rPr>
                <w:b/>
                <w:szCs w:val="21"/>
              </w:rPr>
              <w:t>标准来源</w:t>
            </w:r>
          </w:p>
        </w:tc>
      </w:tr>
      <w:tr w:rsidR="00644456">
        <w:trPr>
          <w:trHeight w:val="90"/>
          <w:jc w:val="center"/>
        </w:trPr>
        <w:tc>
          <w:tcPr>
            <w:tcW w:w="940" w:type="dxa"/>
            <w:vMerge w:val="restart"/>
            <w:vAlign w:val="center"/>
          </w:tcPr>
          <w:p w:rsidR="00644456" w:rsidRDefault="008031C4">
            <w:pPr>
              <w:jc w:val="center"/>
              <w:rPr>
                <w:bCs/>
                <w:szCs w:val="21"/>
              </w:rPr>
            </w:pPr>
            <w:r>
              <w:rPr>
                <w:bCs/>
                <w:szCs w:val="21"/>
              </w:rPr>
              <w:t>废气处理设施排口</w:t>
            </w:r>
          </w:p>
        </w:tc>
        <w:tc>
          <w:tcPr>
            <w:tcW w:w="1323" w:type="dxa"/>
            <w:vAlign w:val="center"/>
          </w:tcPr>
          <w:p w:rsidR="00644456" w:rsidRDefault="008031C4">
            <w:pPr>
              <w:jc w:val="center"/>
              <w:rPr>
                <w:bCs/>
                <w:szCs w:val="21"/>
              </w:rPr>
            </w:pPr>
            <w:r>
              <w:rPr>
                <w:bCs/>
                <w:szCs w:val="21"/>
              </w:rPr>
              <w:t>非甲烷总烃</w:t>
            </w:r>
          </w:p>
        </w:tc>
        <w:tc>
          <w:tcPr>
            <w:tcW w:w="1985" w:type="dxa"/>
            <w:vAlign w:val="center"/>
          </w:tcPr>
          <w:p w:rsidR="00644456" w:rsidRDefault="008031C4">
            <w:pPr>
              <w:jc w:val="center"/>
              <w:rPr>
                <w:bCs/>
                <w:szCs w:val="21"/>
              </w:rPr>
            </w:pPr>
            <w:r>
              <w:rPr>
                <w:bCs/>
                <w:szCs w:val="21"/>
              </w:rPr>
              <w:t>120</w:t>
            </w:r>
          </w:p>
        </w:tc>
        <w:tc>
          <w:tcPr>
            <w:tcW w:w="1801" w:type="dxa"/>
            <w:vAlign w:val="center"/>
          </w:tcPr>
          <w:p w:rsidR="00644456" w:rsidRPr="008031C4" w:rsidRDefault="008031C4">
            <w:pPr>
              <w:jc w:val="center"/>
              <w:rPr>
                <w:bCs/>
                <w:color w:val="FF0000"/>
                <w:szCs w:val="21"/>
              </w:rPr>
            </w:pPr>
            <w:r w:rsidRPr="008031C4">
              <w:rPr>
                <w:bCs/>
                <w:color w:val="FF0000"/>
                <w:szCs w:val="21"/>
              </w:rPr>
              <w:t>10</w:t>
            </w:r>
          </w:p>
        </w:tc>
        <w:tc>
          <w:tcPr>
            <w:tcW w:w="2949" w:type="dxa"/>
            <w:vAlign w:val="center"/>
          </w:tcPr>
          <w:p w:rsidR="00644456" w:rsidRPr="008031C4" w:rsidRDefault="008031C4">
            <w:pPr>
              <w:widowControl/>
              <w:jc w:val="center"/>
              <w:rPr>
                <w:bCs/>
                <w:color w:val="FF0000"/>
                <w:szCs w:val="21"/>
              </w:rPr>
            </w:pPr>
            <w:r w:rsidRPr="008031C4">
              <w:rPr>
                <w:color w:val="FF0000"/>
                <w:szCs w:val="21"/>
                <w:lang w:val="zh-CN"/>
              </w:rPr>
              <w:t>《大气污染物综合排放标准》（</w:t>
            </w:r>
            <w:r w:rsidRPr="008031C4">
              <w:rPr>
                <w:color w:val="FF0000"/>
                <w:szCs w:val="21"/>
                <w:lang w:val="zh-CN"/>
              </w:rPr>
              <w:t>GB16297-1996</w:t>
            </w:r>
            <w:r w:rsidRPr="008031C4">
              <w:rPr>
                <w:color w:val="FF0000"/>
                <w:szCs w:val="21"/>
                <w:lang w:val="zh-CN"/>
              </w:rPr>
              <w:t>）</w:t>
            </w:r>
            <w:r w:rsidRPr="008031C4">
              <w:rPr>
                <w:color w:val="FF0000"/>
                <w:szCs w:val="21"/>
              </w:rPr>
              <w:t>表</w:t>
            </w:r>
            <w:r w:rsidRPr="008031C4">
              <w:rPr>
                <w:color w:val="FF0000"/>
                <w:szCs w:val="21"/>
              </w:rPr>
              <w:t>2</w:t>
            </w:r>
          </w:p>
        </w:tc>
      </w:tr>
      <w:tr w:rsidR="00644456">
        <w:trPr>
          <w:trHeight w:val="340"/>
          <w:jc w:val="center"/>
        </w:trPr>
        <w:tc>
          <w:tcPr>
            <w:tcW w:w="940" w:type="dxa"/>
            <w:vMerge/>
            <w:vAlign w:val="center"/>
          </w:tcPr>
          <w:p w:rsidR="00644456" w:rsidRDefault="00644456">
            <w:pPr>
              <w:jc w:val="center"/>
              <w:rPr>
                <w:bCs/>
                <w:szCs w:val="21"/>
              </w:rPr>
            </w:pPr>
          </w:p>
        </w:tc>
        <w:tc>
          <w:tcPr>
            <w:tcW w:w="1323" w:type="dxa"/>
            <w:vAlign w:val="center"/>
          </w:tcPr>
          <w:p w:rsidR="00644456" w:rsidRDefault="008031C4">
            <w:pPr>
              <w:jc w:val="center"/>
              <w:rPr>
                <w:bCs/>
                <w:szCs w:val="21"/>
              </w:rPr>
            </w:pPr>
            <w:r>
              <w:rPr>
                <w:szCs w:val="21"/>
              </w:rPr>
              <w:t>H</w:t>
            </w:r>
            <w:r>
              <w:rPr>
                <w:szCs w:val="21"/>
                <w:vertAlign w:val="subscript"/>
              </w:rPr>
              <w:t>2</w:t>
            </w:r>
            <w:r>
              <w:rPr>
                <w:szCs w:val="21"/>
              </w:rPr>
              <w:t>S</w:t>
            </w:r>
          </w:p>
        </w:tc>
        <w:tc>
          <w:tcPr>
            <w:tcW w:w="1985" w:type="dxa"/>
            <w:vAlign w:val="center"/>
          </w:tcPr>
          <w:p w:rsidR="00644456" w:rsidRDefault="008031C4">
            <w:pPr>
              <w:jc w:val="center"/>
              <w:rPr>
                <w:bCs/>
                <w:szCs w:val="21"/>
              </w:rPr>
            </w:pPr>
            <w:r>
              <w:rPr>
                <w:bCs/>
                <w:szCs w:val="21"/>
              </w:rPr>
              <w:t>/</w:t>
            </w:r>
          </w:p>
        </w:tc>
        <w:tc>
          <w:tcPr>
            <w:tcW w:w="1801" w:type="dxa"/>
            <w:vAlign w:val="center"/>
          </w:tcPr>
          <w:p w:rsidR="00644456" w:rsidRPr="008031C4" w:rsidRDefault="008031C4">
            <w:pPr>
              <w:jc w:val="center"/>
              <w:rPr>
                <w:bCs/>
                <w:color w:val="FF0000"/>
                <w:szCs w:val="21"/>
              </w:rPr>
            </w:pPr>
            <w:r w:rsidRPr="008031C4">
              <w:rPr>
                <w:bCs/>
                <w:color w:val="FF0000"/>
                <w:szCs w:val="21"/>
              </w:rPr>
              <w:t>0.33</w:t>
            </w:r>
          </w:p>
        </w:tc>
        <w:tc>
          <w:tcPr>
            <w:tcW w:w="2949" w:type="dxa"/>
            <w:vAlign w:val="center"/>
          </w:tcPr>
          <w:p w:rsidR="00644456" w:rsidRPr="008031C4" w:rsidRDefault="008031C4">
            <w:pPr>
              <w:widowControl/>
              <w:jc w:val="center"/>
              <w:rPr>
                <w:color w:val="FF0000"/>
                <w:szCs w:val="21"/>
              </w:rPr>
            </w:pPr>
            <w:r w:rsidRPr="008031C4">
              <w:rPr>
                <w:color w:val="FF0000"/>
                <w:szCs w:val="21"/>
              </w:rPr>
              <w:t>《恶臭污染物排放标准》（</w:t>
            </w:r>
            <w:r w:rsidRPr="008031C4">
              <w:rPr>
                <w:color w:val="FF0000"/>
                <w:szCs w:val="21"/>
              </w:rPr>
              <w:t>GB14554-93</w:t>
            </w:r>
            <w:r w:rsidRPr="008031C4">
              <w:rPr>
                <w:color w:val="FF0000"/>
                <w:szCs w:val="21"/>
              </w:rPr>
              <w:t>）表</w:t>
            </w:r>
            <w:r w:rsidRPr="008031C4">
              <w:rPr>
                <w:color w:val="FF0000"/>
                <w:szCs w:val="21"/>
              </w:rPr>
              <w:t>2</w:t>
            </w:r>
          </w:p>
        </w:tc>
      </w:tr>
    </w:tbl>
    <w:p w:rsidR="00644456" w:rsidRDefault="008031C4">
      <w:pPr>
        <w:pStyle w:val="-"/>
        <w:adjustRightInd w:val="0"/>
        <w:snapToGrid w:val="0"/>
        <w:ind w:firstLine="480"/>
        <w:rPr>
          <w:rFonts w:cs="Times New Roman"/>
          <w:bCs/>
          <w:color w:val="000000" w:themeColor="text1"/>
          <w:szCs w:val="21"/>
        </w:rPr>
      </w:pPr>
      <w:bookmarkStart w:id="64" w:name="_Hlk145605439"/>
      <w:bookmarkEnd w:id="63"/>
      <w:r>
        <w:rPr>
          <w:rFonts w:cs="Times New Roman" w:hint="eastAsia"/>
          <w:bCs/>
          <w:color w:val="000000" w:themeColor="text1"/>
          <w:szCs w:val="21"/>
        </w:rPr>
        <w:t>导热油废气执行《锅炉大气污染物排放标准》（</w:t>
      </w:r>
      <w:r>
        <w:rPr>
          <w:rFonts w:cs="Times New Roman" w:hint="eastAsia"/>
          <w:bCs/>
          <w:color w:val="000000" w:themeColor="text1"/>
          <w:szCs w:val="21"/>
        </w:rPr>
        <w:t>GB13271-2014</w:t>
      </w:r>
      <w:r>
        <w:rPr>
          <w:rFonts w:cs="Times New Roman" w:hint="eastAsia"/>
          <w:bCs/>
          <w:color w:val="000000" w:themeColor="text1"/>
          <w:szCs w:val="21"/>
        </w:rPr>
        <w:t>）表</w:t>
      </w:r>
      <w:r>
        <w:rPr>
          <w:rFonts w:cs="Times New Roman" w:hint="eastAsia"/>
          <w:bCs/>
          <w:color w:val="000000" w:themeColor="text1"/>
          <w:szCs w:val="21"/>
        </w:rPr>
        <w:t>2</w:t>
      </w:r>
      <w:r>
        <w:rPr>
          <w:rFonts w:cs="Times New Roman" w:hint="eastAsia"/>
          <w:bCs/>
          <w:color w:val="000000" w:themeColor="text1"/>
          <w:szCs w:val="21"/>
        </w:rPr>
        <w:t>中新建燃气锅炉大气污染物排放浓度限值</w:t>
      </w:r>
      <w:bookmarkEnd w:id="64"/>
      <w:r>
        <w:rPr>
          <w:rFonts w:cs="Times New Roman" w:hint="eastAsia"/>
          <w:bCs/>
          <w:color w:val="000000" w:themeColor="text1"/>
          <w:szCs w:val="21"/>
        </w:rPr>
        <w:t>；具体标准见下表。</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1.7-7</w:t>
      </w:r>
      <w:r>
        <w:rPr>
          <w:rFonts w:ascii="Times New Roman" w:eastAsia="宋体" w:hAnsi="Times New Roman" w:cs="Times New Roman" w:hint="eastAsia"/>
          <w:b/>
          <w:color w:val="000000" w:themeColor="text1"/>
          <w:sz w:val="24"/>
        </w:rPr>
        <w:t>锅炉大气污染物排放标准</w:t>
      </w:r>
      <w:r>
        <w:rPr>
          <w:rFonts w:ascii="Times New Roman" w:eastAsia="宋体" w:hAnsi="Times New Roman" w:cs="Times New Roman" w:hint="eastAsia"/>
          <w:b/>
          <w:color w:val="000000" w:themeColor="text1"/>
          <w:sz w:val="24"/>
        </w:rPr>
        <w:tab/>
      </w:r>
      <w:r>
        <w:rPr>
          <w:rFonts w:ascii="Times New Roman" w:eastAsia="宋体" w:hAnsi="Times New Roman" w:cs="Times New Roman" w:hint="eastAsia"/>
          <w:b/>
          <w:color w:val="000000" w:themeColor="text1"/>
          <w:sz w:val="24"/>
        </w:rPr>
        <w:t>单位：</w:t>
      </w:r>
      <w:r>
        <w:rPr>
          <w:rFonts w:ascii="Times New Roman" w:eastAsia="宋体" w:hAnsi="Times New Roman" w:cs="Times New Roman" w:hint="eastAsia"/>
          <w:b/>
          <w:color w:val="000000" w:themeColor="text1"/>
          <w:sz w:val="24"/>
        </w:rPr>
        <w:t>mg/m</w:t>
      </w:r>
      <w:r>
        <w:rPr>
          <w:rFonts w:ascii="Times New Roman" w:eastAsia="宋体" w:hAnsi="Times New Roman" w:cs="Times New Roman" w:hint="eastAsia"/>
          <w:b/>
          <w:color w:val="000000" w:themeColor="text1"/>
          <w:sz w:val="24"/>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052"/>
        <w:gridCol w:w="2654"/>
      </w:tblGrid>
      <w:tr w:rsidR="00644456" w:rsidTr="008031C4">
        <w:trPr>
          <w:trHeight w:val="523"/>
          <w:jc w:val="center"/>
        </w:trPr>
        <w:tc>
          <w:tcPr>
            <w:tcW w:w="3256" w:type="dxa"/>
            <w:shd w:val="clear" w:color="auto" w:fill="auto"/>
            <w:vAlign w:val="center"/>
          </w:tcPr>
          <w:p w:rsidR="00644456" w:rsidRDefault="008031C4">
            <w:pPr>
              <w:jc w:val="center"/>
              <w:rPr>
                <w:bCs/>
                <w:szCs w:val="21"/>
              </w:rPr>
            </w:pPr>
            <w:r>
              <w:rPr>
                <w:rFonts w:hint="eastAsia"/>
                <w:bCs/>
                <w:szCs w:val="21"/>
              </w:rPr>
              <w:t>污染项目</w:t>
            </w:r>
          </w:p>
        </w:tc>
        <w:tc>
          <w:tcPr>
            <w:tcW w:w="2052" w:type="dxa"/>
            <w:shd w:val="clear" w:color="auto" w:fill="auto"/>
            <w:vAlign w:val="center"/>
          </w:tcPr>
          <w:p w:rsidR="00644456" w:rsidRDefault="008031C4">
            <w:pPr>
              <w:jc w:val="center"/>
              <w:rPr>
                <w:bCs/>
                <w:szCs w:val="21"/>
              </w:rPr>
            </w:pPr>
            <w:r>
              <w:rPr>
                <w:rFonts w:hint="eastAsia"/>
                <w:bCs/>
                <w:szCs w:val="21"/>
              </w:rPr>
              <w:t>限值</w:t>
            </w:r>
          </w:p>
        </w:tc>
        <w:tc>
          <w:tcPr>
            <w:tcW w:w="2654" w:type="dxa"/>
            <w:shd w:val="clear" w:color="auto" w:fill="auto"/>
            <w:vAlign w:val="center"/>
          </w:tcPr>
          <w:p w:rsidR="00644456" w:rsidRDefault="008031C4">
            <w:pPr>
              <w:jc w:val="center"/>
              <w:rPr>
                <w:bCs/>
                <w:szCs w:val="21"/>
              </w:rPr>
            </w:pPr>
            <w:r>
              <w:rPr>
                <w:rFonts w:hint="eastAsia"/>
                <w:bCs/>
                <w:szCs w:val="21"/>
              </w:rPr>
              <w:t>污染物排放监控位置</w:t>
            </w:r>
          </w:p>
        </w:tc>
      </w:tr>
      <w:tr w:rsidR="00644456" w:rsidTr="008031C4">
        <w:trPr>
          <w:trHeight w:val="262"/>
          <w:jc w:val="center"/>
        </w:trPr>
        <w:tc>
          <w:tcPr>
            <w:tcW w:w="3256" w:type="dxa"/>
            <w:shd w:val="clear" w:color="auto" w:fill="auto"/>
            <w:vAlign w:val="center"/>
          </w:tcPr>
          <w:p w:rsidR="00644456" w:rsidRDefault="008031C4">
            <w:pPr>
              <w:jc w:val="center"/>
              <w:rPr>
                <w:bCs/>
                <w:szCs w:val="21"/>
              </w:rPr>
            </w:pPr>
            <w:r>
              <w:rPr>
                <w:rFonts w:hint="eastAsia"/>
                <w:bCs/>
                <w:szCs w:val="21"/>
              </w:rPr>
              <w:t>氮氧化物</w:t>
            </w:r>
          </w:p>
        </w:tc>
        <w:tc>
          <w:tcPr>
            <w:tcW w:w="2052" w:type="dxa"/>
            <w:shd w:val="clear" w:color="auto" w:fill="auto"/>
            <w:vAlign w:val="center"/>
          </w:tcPr>
          <w:p w:rsidR="00644456" w:rsidRDefault="008031C4">
            <w:pPr>
              <w:jc w:val="center"/>
              <w:rPr>
                <w:bCs/>
                <w:szCs w:val="21"/>
              </w:rPr>
            </w:pPr>
            <w:r>
              <w:rPr>
                <w:rFonts w:hint="eastAsia"/>
                <w:bCs/>
                <w:szCs w:val="21"/>
              </w:rPr>
              <w:t>2</w:t>
            </w:r>
            <w:r>
              <w:rPr>
                <w:bCs/>
                <w:szCs w:val="21"/>
              </w:rPr>
              <w:t>00</w:t>
            </w:r>
          </w:p>
        </w:tc>
        <w:tc>
          <w:tcPr>
            <w:tcW w:w="2654" w:type="dxa"/>
            <w:vMerge w:val="restart"/>
            <w:shd w:val="clear" w:color="auto" w:fill="auto"/>
            <w:vAlign w:val="center"/>
          </w:tcPr>
          <w:p w:rsidR="00644456" w:rsidRDefault="008031C4">
            <w:pPr>
              <w:jc w:val="center"/>
              <w:rPr>
                <w:bCs/>
                <w:szCs w:val="21"/>
              </w:rPr>
            </w:pPr>
            <w:r>
              <w:rPr>
                <w:rFonts w:hint="eastAsia"/>
                <w:bCs/>
                <w:szCs w:val="21"/>
              </w:rPr>
              <w:t>烟囱或烟道</w:t>
            </w:r>
          </w:p>
        </w:tc>
      </w:tr>
      <w:tr w:rsidR="00644456" w:rsidTr="008031C4">
        <w:trPr>
          <w:trHeight w:val="248"/>
          <w:jc w:val="center"/>
        </w:trPr>
        <w:tc>
          <w:tcPr>
            <w:tcW w:w="3256" w:type="dxa"/>
            <w:shd w:val="clear" w:color="auto" w:fill="auto"/>
            <w:vAlign w:val="center"/>
          </w:tcPr>
          <w:p w:rsidR="00644456" w:rsidRDefault="008031C4">
            <w:pPr>
              <w:jc w:val="center"/>
              <w:rPr>
                <w:bCs/>
                <w:szCs w:val="21"/>
              </w:rPr>
            </w:pPr>
            <w:r>
              <w:rPr>
                <w:rFonts w:hint="eastAsia"/>
                <w:bCs/>
                <w:szCs w:val="21"/>
              </w:rPr>
              <w:t>二氧化硫</w:t>
            </w:r>
          </w:p>
        </w:tc>
        <w:tc>
          <w:tcPr>
            <w:tcW w:w="2052" w:type="dxa"/>
            <w:shd w:val="clear" w:color="auto" w:fill="auto"/>
            <w:vAlign w:val="center"/>
          </w:tcPr>
          <w:p w:rsidR="00644456" w:rsidRDefault="008031C4">
            <w:pPr>
              <w:jc w:val="center"/>
              <w:rPr>
                <w:bCs/>
                <w:szCs w:val="21"/>
              </w:rPr>
            </w:pPr>
            <w:r>
              <w:rPr>
                <w:rFonts w:hint="eastAsia"/>
                <w:bCs/>
                <w:szCs w:val="21"/>
              </w:rPr>
              <w:t>5</w:t>
            </w:r>
            <w:r>
              <w:rPr>
                <w:bCs/>
                <w:szCs w:val="21"/>
              </w:rPr>
              <w:t>0</w:t>
            </w:r>
          </w:p>
        </w:tc>
        <w:tc>
          <w:tcPr>
            <w:tcW w:w="2654" w:type="dxa"/>
            <w:vMerge/>
            <w:shd w:val="clear" w:color="auto" w:fill="auto"/>
            <w:vAlign w:val="center"/>
          </w:tcPr>
          <w:p w:rsidR="00644456" w:rsidRDefault="00644456">
            <w:pPr>
              <w:jc w:val="center"/>
              <w:rPr>
                <w:bCs/>
                <w:szCs w:val="21"/>
              </w:rPr>
            </w:pPr>
          </w:p>
        </w:tc>
      </w:tr>
      <w:tr w:rsidR="00644456" w:rsidTr="008031C4">
        <w:trPr>
          <w:trHeight w:val="248"/>
          <w:jc w:val="center"/>
        </w:trPr>
        <w:tc>
          <w:tcPr>
            <w:tcW w:w="3256" w:type="dxa"/>
            <w:shd w:val="clear" w:color="auto" w:fill="auto"/>
            <w:vAlign w:val="center"/>
          </w:tcPr>
          <w:p w:rsidR="00644456" w:rsidRDefault="008031C4">
            <w:pPr>
              <w:jc w:val="center"/>
              <w:rPr>
                <w:bCs/>
                <w:szCs w:val="21"/>
              </w:rPr>
            </w:pPr>
            <w:r>
              <w:rPr>
                <w:rFonts w:hint="eastAsia"/>
                <w:bCs/>
                <w:szCs w:val="21"/>
              </w:rPr>
              <w:t>颗粒物</w:t>
            </w:r>
          </w:p>
        </w:tc>
        <w:tc>
          <w:tcPr>
            <w:tcW w:w="2052" w:type="dxa"/>
            <w:shd w:val="clear" w:color="auto" w:fill="auto"/>
            <w:vAlign w:val="center"/>
          </w:tcPr>
          <w:p w:rsidR="00644456" w:rsidRDefault="008031C4">
            <w:pPr>
              <w:jc w:val="center"/>
              <w:rPr>
                <w:bCs/>
                <w:szCs w:val="21"/>
              </w:rPr>
            </w:pPr>
            <w:r>
              <w:rPr>
                <w:rFonts w:hint="eastAsia"/>
                <w:bCs/>
                <w:szCs w:val="21"/>
              </w:rPr>
              <w:t>2</w:t>
            </w:r>
            <w:r>
              <w:rPr>
                <w:bCs/>
                <w:szCs w:val="21"/>
              </w:rPr>
              <w:t>0</w:t>
            </w:r>
          </w:p>
        </w:tc>
        <w:tc>
          <w:tcPr>
            <w:tcW w:w="2654" w:type="dxa"/>
            <w:vMerge/>
            <w:shd w:val="clear" w:color="auto" w:fill="auto"/>
            <w:vAlign w:val="center"/>
          </w:tcPr>
          <w:p w:rsidR="00644456" w:rsidRDefault="00644456">
            <w:pPr>
              <w:jc w:val="center"/>
              <w:rPr>
                <w:bCs/>
                <w:szCs w:val="21"/>
              </w:rPr>
            </w:pPr>
          </w:p>
        </w:tc>
      </w:tr>
      <w:tr w:rsidR="00644456" w:rsidTr="008031C4">
        <w:trPr>
          <w:trHeight w:val="248"/>
          <w:jc w:val="center"/>
        </w:trPr>
        <w:tc>
          <w:tcPr>
            <w:tcW w:w="3256" w:type="dxa"/>
            <w:shd w:val="clear" w:color="auto" w:fill="auto"/>
            <w:vAlign w:val="center"/>
          </w:tcPr>
          <w:p w:rsidR="00644456" w:rsidRDefault="008031C4">
            <w:pPr>
              <w:jc w:val="center"/>
              <w:rPr>
                <w:bCs/>
                <w:szCs w:val="21"/>
              </w:rPr>
            </w:pPr>
            <w:r>
              <w:rPr>
                <w:rFonts w:hint="eastAsia"/>
                <w:bCs/>
                <w:szCs w:val="21"/>
              </w:rPr>
              <w:t>烟气黑度（林格曼黑度，级）</w:t>
            </w:r>
          </w:p>
        </w:tc>
        <w:tc>
          <w:tcPr>
            <w:tcW w:w="2052" w:type="dxa"/>
            <w:shd w:val="clear" w:color="auto" w:fill="auto"/>
            <w:vAlign w:val="center"/>
          </w:tcPr>
          <w:p w:rsidR="00644456" w:rsidRDefault="008031C4">
            <w:pPr>
              <w:jc w:val="center"/>
              <w:rPr>
                <w:bCs/>
                <w:szCs w:val="21"/>
              </w:rPr>
            </w:pPr>
            <w:r>
              <w:rPr>
                <w:rFonts w:hint="eastAsia"/>
                <w:bCs/>
                <w:szCs w:val="21"/>
              </w:rPr>
              <w:t>≦</w:t>
            </w:r>
            <w:r>
              <w:rPr>
                <w:rFonts w:hint="eastAsia"/>
                <w:bCs/>
                <w:szCs w:val="21"/>
              </w:rPr>
              <w:t>1</w:t>
            </w:r>
          </w:p>
        </w:tc>
        <w:tc>
          <w:tcPr>
            <w:tcW w:w="2654" w:type="dxa"/>
            <w:shd w:val="clear" w:color="auto" w:fill="auto"/>
            <w:vAlign w:val="center"/>
          </w:tcPr>
          <w:p w:rsidR="00644456" w:rsidRDefault="008031C4">
            <w:pPr>
              <w:jc w:val="center"/>
              <w:rPr>
                <w:bCs/>
                <w:szCs w:val="21"/>
              </w:rPr>
            </w:pPr>
            <w:r>
              <w:rPr>
                <w:rFonts w:hint="eastAsia"/>
                <w:bCs/>
                <w:szCs w:val="21"/>
              </w:rPr>
              <w:t>烟囱排放口</w:t>
            </w:r>
          </w:p>
        </w:tc>
      </w:tr>
    </w:tbl>
    <w:p w:rsidR="00644456" w:rsidRDefault="008031C4">
      <w:pPr>
        <w:widowControl/>
        <w:spacing w:line="360" w:lineRule="auto"/>
        <w:ind w:firstLineChars="200" w:firstLine="480"/>
        <w:rPr>
          <w:color w:val="000000" w:themeColor="text1"/>
          <w:sz w:val="24"/>
          <w:szCs w:val="24"/>
        </w:rPr>
      </w:pPr>
      <w:r>
        <w:rPr>
          <w:rFonts w:hint="eastAsia"/>
          <w:color w:val="000000" w:themeColor="text1"/>
          <w:sz w:val="24"/>
          <w:szCs w:val="24"/>
        </w:rPr>
        <w:t>②无组织废气</w:t>
      </w:r>
    </w:p>
    <w:p w:rsidR="00644456" w:rsidRDefault="008031C4">
      <w:pPr>
        <w:widowControl/>
        <w:spacing w:line="360" w:lineRule="auto"/>
        <w:ind w:firstLineChars="200" w:firstLine="480"/>
        <w:rPr>
          <w:color w:val="000000" w:themeColor="text1"/>
          <w:sz w:val="24"/>
          <w:szCs w:val="24"/>
        </w:rPr>
      </w:pPr>
      <w:r>
        <w:rPr>
          <w:rFonts w:hint="eastAsia"/>
          <w:color w:val="000000" w:themeColor="text1"/>
          <w:sz w:val="24"/>
          <w:szCs w:val="24"/>
        </w:rPr>
        <w:t>本项目无组织废气主要来自生产储罐区、卸料区及污水处理设施，具体执行见表</w:t>
      </w:r>
      <w:r>
        <w:rPr>
          <w:rFonts w:hint="eastAsia"/>
          <w:color w:val="000000" w:themeColor="text1"/>
          <w:sz w:val="24"/>
          <w:szCs w:val="24"/>
        </w:rPr>
        <w:t>1.7-8</w:t>
      </w:r>
      <w:r>
        <w:rPr>
          <w:rFonts w:hint="eastAsia"/>
          <w:color w:val="000000" w:themeColor="text1"/>
          <w:sz w:val="24"/>
          <w:szCs w:val="24"/>
        </w:rPr>
        <w:t>。</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1.7-8</w:t>
      </w:r>
      <w:r>
        <w:rPr>
          <w:rFonts w:ascii="Times New Roman" w:eastAsia="宋体" w:hAnsi="Times New Roman" w:cs="Times New Roman" w:hint="eastAsia"/>
          <w:b/>
          <w:color w:val="000000" w:themeColor="text1"/>
          <w:sz w:val="24"/>
        </w:rPr>
        <w:t>项目无组织大气污染物浓度限值</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401"/>
        <w:gridCol w:w="1520"/>
        <w:gridCol w:w="2023"/>
        <w:gridCol w:w="3031"/>
      </w:tblGrid>
      <w:tr w:rsidR="00644456">
        <w:trPr>
          <w:trHeight w:val="340"/>
        </w:trPr>
        <w:tc>
          <w:tcPr>
            <w:tcW w:w="540" w:type="pct"/>
            <w:vAlign w:val="center"/>
          </w:tcPr>
          <w:p w:rsidR="00644456" w:rsidRDefault="008031C4">
            <w:pPr>
              <w:jc w:val="center"/>
              <w:rPr>
                <w:bCs/>
                <w:color w:val="000000" w:themeColor="text1"/>
                <w:szCs w:val="21"/>
              </w:rPr>
            </w:pPr>
            <w:r>
              <w:rPr>
                <w:bCs/>
                <w:color w:val="000000" w:themeColor="text1"/>
                <w:szCs w:val="21"/>
              </w:rPr>
              <w:t>序号</w:t>
            </w:r>
          </w:p>
        </w:tc>
        <w:tc>
          <w:tcPr>
            <w:tcW w:w="783" w:type="pct"/>
            <w:vAlign w:val="center"/>
          </w:tcPr>
          <w:p w:rsidR="00644456" w:rsidRDefault="008031C4">
            <w:pPr>
              <w:jc w:val="center"/>
              <w:rPr>
                <w:bCs/>
                <w:color w:val="000000" w:themeColor="text1"/>
                <w:szCs w:val="21"/>
              </w:rPr>
            </w:pPr>
            <w:r>
              <w:rPr>
                <w:bCs/>
                <w:color w:val="000000" w:themeColor="text1"/>
                <w:szCs w:val="21"/>
              </w:rPr>
              <w:t>污染物项目</w:t>
            </w:r>
          </w:p>
        </w:tc>
        <w:tc>
          <w:tcPr>
            <w:tcW w:w="1981" w:type="pct"/>
            <w:gridSpan w:val="2"/>
            <w:vAlign w:val="center"/>
          </w:tcPr>
          <w:p w:rsidR="00644456" w:rsidRDefault="008031C4">
            <w:pPr>
              <w:jc w:val="center"/>
              <w:rPr>
                <w:bCs/>
                <w:color w:val="000000" w:themeColor="text1"/>
                <w:szCs w:val="21"/>
              </w:rPr>
            </w:pPr>
            <w:r>
              <w:rPr>
                <w:bCs/>
                <w:color w:val="000000" w:themeColor="text1"/>
                <w:szCs w:val="21"/>
              </w:rPr>
              <w:t>限值（</w:t>
            </w:r>
            <w:r>
              <w:rPr>
                <w:bCs/>
                <w:color w:val="000000" w:themeColor="text1"/>
                <w:szCs w:val="21"/>
              </w:rPr>
              <w:t>mg/m</w:t>
            </w:r>
            <w:r>
              <w:rPr>
                <w:bCs/>
                <w:color w:val="000000" w:themeColor="text1"/>
                <w:szCs w:val="21"/>
                <w:vertAlign w:val="superscript"/>
              </w:rPr>
              <w:t>3</w:t>
            </w:r>
            <w:r>
              <w:rPr>
                <w:bCs/>
                <w:color w:val="000000" w:themeColor="text1"/>
                <w:szCs w:val="21"/>
              </w:rPr>
              <w:t>）</w:t>
            </w:r>
          </w:p>
        </w:tc>
        <w:tc>
          <w:tcPr>
            <w:tcW w:w="1695" w:type="pct"/>
            <w:vAlign w:val="center"/>
          </w:tcPr>
          <w:p w:rsidR="00644456" w:rsidRDefault="008031C4">
            <w:pPr>
              <w:jc w:val="center"/>
              <w:rPr>
                <w:bCs/>
                <w:color w:val="000000" w:themeColor="text1"/>
                <w:szCs w:val="21"/>
              </w:rPr>
            </w:pPr>
            <w:r>
              <w:rPr>
                <w:bCs/>
                <w:color w:val="000000" w:themeColor="text1"/>
                <w:szCs w:val="21"/>
              </w:rPr>
              <w:t>标准来源</w:t>
            </w:r>
          </w:p>
        </w:tc>
      </w:tr>
      <w:tr w:rsidR="00644456">
        <w:trPr>
          <w:trHeight w:val="385"/>
        </w:trPr>
        <w:tc>
          <w:tcPr>
            <w:tcW w:w="540" w:type="pct"/>
            <w:vAlign w:val="center"/>
          </w:tcPr>
          <w:p w:rsidR="00644456" w:rsidRDefault="008031C4">
            <w:pPr>
              <w:jc w:val="center"/>
              <w:rPr>
                <w:bCs/>
                <w:color w:val="000000" w:themeColor="text1"/>
                <w:szCs w:val="21"/>
              </w:rPr>
            </w:pPr>
            <w:r>
              <w:rPr>
                <w:bCs/>
                <w:color w:val="000000" w:themeColor="text1"/>
                <w:szCs w:val="21"/>
              </w:rPr>
              <w:t>1</w:t>
            </w:r>
          </w:p>
        </w:tc>
        <w:tc>
          <w:tcPr>
            <w:tcW w:w="783" w:type="pct"/>
            <w:vAlign w:val="center"/>
          </w:tcPr>
          <w:p w:rsidR="00644456" w:rsidRDefault="008031C4">
            <w:pPr>
              <w:jc w:val="center"/>
              <w:rPr>
                <w:bCs/>
                <w:color w:val="000000" w:themeColor="text1"/>
                <w:szCs w:val="21"/>
              </w:rPr>
            </w:pPr>
            <w:r>
              <w:rPr>
                <w:bCs/>
                <w:color w:val="000000" w:themeColor="text1"/>
                <w:szCs w:val="21"/>
              </w:rPr>
              <w:t>硫化氢</w:t>
            </w:r>
          </w:p>
        </w:tc>
        <w:tc>
          <w:tcPr>
            <w:tcW w:w="1981" w:type="pct"/>
            <w:gridSpan w:val="2"/>
            <w:vAlign w:val="center"/>
          </w:tcPr>
          <w:p w:rsidR="00644456" w:rsidRDefault="008031C4">
            <w:pPr>
              <w:jc w:val="center"/>
              <w:rPr>
                <w:bCs/>
                <w:color w:val="000000" w:themeColor="text1"/>
                <w:szCs w:val="21"/>
              </w:rPr>
            </w:pPr>
            <w:r>
              <w:rPr>
                <w:bCs/>
                <w:color w:val="000000" w:themeColor="text1"/>
                <w:szCs w:val="21"/>
              </w:rPr>
              <w:t>0.06</w:t>
            </w:r>
          </w:p>
        </w:tc>
        <w:tc>
          <w:tcPr>
            <w:tcW w:w="1695" w:type="pct"/>
            <w:vMerge w:val="restart"/>
            <w:vAlign w:val="center"/>
          </w:tcPr>
          <w:p w:rsidR="00644456" w:rsidRDefault="008031C4">
            <w:pPr>
              <w:jc w:val="center"/>
              <w:rPr>
                <w:bCs/>
                <w:color w:val="000000" w:themeColor="text1"/>
                <w:szCs w:val="21"/>
              </w:rPr>
            </w:pPr>
            <w:r>
              <w:rPr>
                <w:color w:val="000000" w:themeColor="text1"/>
                <w:szCs w:val="21"/>
              </w:rPr>
              <w:t>《恶臭污染物排放标准》（</w:t>
            </w:r>
            <w:r>
              <w:rPr>
                <w:color w:val="000000" w:themeColor="text1"/>
                <w:szCs w:val="21"/>
              </w:rPr>
              <w:t>GB14554-93</w:t>
            </w:r>
            <w:r>
              <w:rPr>
                <w:color w:val="000000" w:themeColor="text1"/>
                <w:szCs w:val="21"/>
              </w:rPr>
              <w:t>）表</w:t>
            </w:r>
            <w:r>
              <w:rPr>
                <w:color w:val="000000" w:themeColor="text1"/>
                <w:szCs w:val="21"/>
              </w:rPr>
              <w:t>1</w:t>
            </w:r>
          </w:p>
        </w:tc>
      </w:tr>
      <w:tr w:rsidR="00644456">
        <w:trPr>
          <w:trHeight w:val="359"/>
        </w:trPr>
        <w:tc>
          <w:tcPr>
            <w:tcW w:w="540" w:type="pct"/>
            <w:vAlign w:val="center"/>
          </w:tcPr>
          <w:p w:rsidR="00644456" w:rsidRDefault="008031C4">
            <w:pPr>
              <w:jc w:val="center"/>
              <w:rPr>
                <w:bCs/>
                <w:color w:val="000000" w:themeColor="text1"/>
                <w:szCs w:val="21"/>
              </w:rPr>
            </w:pPr>
            <w:r>
              <w:rPr>
                <w:bCs/>
                <w:color w:val="000000" w:themeColor="text1"/>
                <w:szCs w:val="21"/>
              </w:rPr>
              <w:t>2</w:t>
            </w:r>
          </w:p>
        </w:tc>
        <w:tc>
          <w:tcPr>
            <w:tcW w:w="783" w:type="pct"/>
            <w:vAlign w:val="center"/>
          </w:tcPr>
          <w:p w:rsidR="00644456" w:rsidRDefault="008031C4">
            <w:pPr>
              <w:jc w:val="center"/>
              <w:rPr>
                <w:bCs/>
                <w:color w:val="000000" w:themeColor="text1"/>
                <w:szCs w:val="21"/>
              </w:rPr>
            </w:pPr>
            <w:r>
              <w:rPr>
                <w:color w:val="000000" w:themeColor="text1"/>
                <w:szCs w:val="21"/>
              </w:rPr>
              <w:t>氨</w:t>
            </w:r>
          </w:p>
        </w:tc>
        <w:tc>
          <w:tcPr>
            <w:tcW w:w="1981" w:type="pct"/>
            <w:gridSpan w:val="2"/>
            <w:vAlign w:val="center"/>
          </w:tcPr>
          <w:p w:rsidR="00644456" w:rsidRDefault="008031C4">
            <w:pPr>
              <w:jc w:val="center"/>
              <w:rPr>
                <w:bCs/>
                <w:color w:val="000000" w:themeColor="text1"/>
                <w:szCs w:val="21"/>
              </w:rPr>
            </w:pPr>
            <w:r>
              <w:rPr>
                <w:bCs/>
                <w:color w:val="000000" w:themeColor="text1"/>
                <w:szCs w:val="21"/>
              </w:rPr>
              <w:t>1.5</w:t>
            </w:r>
          </w:p>
        </w:tc>
        <w:tc>
          <w:tcPr>
            <w:tcW w:w="1695" w:type="pct"/>
            <w:vMerge/>
            <w:vAlign w:val="center"/>
          </w:tcPr>
          <w:p w:rsidR="00644456" w:rsidRDefault="00644456">
            <w:pPr>
              <w:jc w:val="center"/>
              <w:rPr>
                <w:bCs/>
                <w:color w:val="000000" w:themeColor="text1"/>
                <w:szCs w:val="21"/>
              </w:rPr>
            </w:pPr>
          </w:p>
        </w:tc>
      </w:tr>
      <w:tr w:rsidR="00644456">
        <w:trPr>
          <w:trHeight w:val="359"/>
        </w:trPr>
        <w:tc>
          <w:tcPr>
            <w:tcW w:w="540" w:type="pct"/>
            <w:vAlign w:val="center"/>
          </w:tcPr>
          <w:p w:rsidR="00644456" w:rsidRDefault="008031C4">
            <w:pPr>
              <w:jc w:val="center"/>
              <w:rPr>
                <w:bCs/>
                <w:color w:val="000000" w:themeColor="text1"/>
                <w:szCs w:val="21"/>
              </w:rPr>
            </w:pPr>
            <w:r>
              <w:rPr>
                <w:bCs/>
                <w:color w:val="000000" w:themeColor="text1"/>
                <w:szCs w:val="21"/>
              </w:rPr>
              <w:t>3</w:t>
            </w:r>
          </w:p>
        </w:tc>
        <w:tc>
          <w:tcPr>
            <w:tcW w:w="783" w:type="pct"/>
            <w:vAlign w:val="center"/>
          </w:tcPr>
          <w:p w:rsidR="00644456" w:rsidRDefault="008031C4">
            <w:pPr>
              <w:jc w:val="center"/>
              <w:rPr>
                <w:color w:val="000000" w:themeColor="text1"/>
                <w:szCs w:val="21"/>
              </w:rPr>
            </w:pPr>
            <w:r>
              <w:rPr>
                <w:color w:val="000000" w:themeColor="text1"/>
                <w:szCs w:val="21"/>
              </w:rPr>
              <w:t>臭气浓度</w:t>
            </w:r>
          </w:p>
        </w:tc>
        <w:tc>
          <w:tcPr>
            <w:tcW w:w="1981" w:type="pct"/>
            <w:gridSpan w:val="2"/>
            <w:vAlign w:val="center"/>
          </w:tcPr>
          <w:p w:rsidR="00644456" w:rsidRDefault="008031C4">
            <w:pPr>
              <w:jc w:val="center"/>
              <w:rPr>
                <w:bCs/>
                <w:color w:val="000000" w:themeColor="text1"/>
                <w:szCs w:val="21"/>
              </w:rPr>
            </w:pPr>
            <w:r>
              <w:rPr>
                <w:bCs/>
                <w:color w:val="000000" w:themeColor="text1"/>
                <w:szCs w:val="21"/>
              </w:rPr>
              <w:t>20</w:t>
            </w:r>
            <w:r>
              <w:rPr>
                <w:bCs/>
                <w:color w:val="000000" w:themeColor="text1"/>
                <w:szCs w:val="21"/>
              </w:rPr>
              <w:t>（无量纲）</w:t>
            </w:r>
          </w:p>
        </w:tc>
        <w:tc>
          <w:tcPr>
            <w:tcW w:w="1695" w:type="pct"/>
            <w:vMerge/>
            <w:vAlign w:val="center"/>
          </w:tcPr>
          <w:p w:rsidR="00644456" w:rsidRDefault="00644456">
            <w:pPr>
              <w:jc w:val="center"/>
              <w:rPr>
                <w:bCs/>
                <w:color w:val="000000" w:themeColor="text1"/>
                <w:szCs w:val="21"/>
              </w:rPr>
            </w:pPr>
          </w:p>
        </w:tc>
      </w:tr>
      <w:tr w:rsidR="00644456">
        <w:trPr>
          <w:trHeight w:val="655"/>
        </w:trPr>
        <w:tc>
          <w:tcPr>
            <w:tcW w:w="540" w:type="pct"/>
            <w:vMerge w:val="restart"/>
            <w:vAlign w:val="center"/>
          </w:tcPr>
          <w:p w:rsidR="00644456" w:rsidRDefault="008031C4">
            <w:pPr>
              <w:jc w:val="center"/>
              <w:rPr>
                <w:bCs/>
                <w:color w:val="000000" w:themeColor="text1"/>
                <w:szCs w:val="21"/>
              </w:rPr>
            </w:pPr>
            <w:r>
              <w:rPr>
                <w:bCs/>
                <w:color w:val="000000" w:themeColor="text1"/>
                <w:szCs w:val="21"/>
              </w:rPr>
              <w:t>3</w:t>
            </w:r>
          </w:p>
        </w:tc>
        <w:tc>
          <w:tcPr>
            <w:tcW w:w="783" w:type="pct"/>
            <w:vMerge w:val="restart"/>
            <w:vAlign w:val="center"/>
          </w:tcPr>
          <w:p w:rsidR="00644456" w:rsidRDefault="008031C4">
            <w:pPr>
              <w:jc w:val="center"/>
              <w:rPr>
                <w:bCs/>
                <w:color w:val="000000" w:themeColor="text1"/>
                <w:szCs w:val="21"/>
              </w:rPr>
            </w:pPr>
            <w:r>
              <w:rPr>
                <w:bCs/>
                <w:color w:val="000000" w:themeColor="text1"/>
                <w:szCs w:val="21"/>
              </w:rPr>
              <w:t>非甲烷总烃</w:t>
            </w:r>
          </w:p>
        </w:tc>
        <w:tc>
          <w:tcPr>
            <w:tcW w:w="850" w:type="pct"/>
            <w:vAlign w:val="center"/>
          </w:tcPr>
          <w:p w:rsidR="00644456" w:rsidRDefault="008031C4">
            <w:pPr>
              <w:jc w:val="center"/>
              <w:rPr>
                <w:bCs/>
                <w:color w:val="000000" w:themeColor="text1"/>
                <w:szCs w:val="21"/>
              </w:rPr>
            </w:pPr>
            <w:r>
              <w:rPr>
                <w:bCs/>
                <w:color w:val="000000" w:themeColor="text1"/>
                <w:szCs w:val="21"/>
              </w:rPr>
              <w:t>厂界外</w:t>
            </w:r>
          </w:p>
        </w:tc>
        <w:tc>
          <w:tcPr>
            <w:tcW w:w="1131" w:type="pct"/>
            <w:vAlign w:val="center"/>
          </w:tcPr>
          <w:p w:rsidR="00644456" w:rsidRDefault="008031C4">
            <w:pPr>
              <w:jc w:val="center"/>
              <w:rPr>
                <w:bCs/>
                <w:color w:val="000000" w:themeColor="text1"/>
                <w:szCs w:val="21"/>
              </w:rPr>
            </w:pPr>
            <w:r>
              <w:rPr>
                <w:bCs/>
                <w:color w:val="000000" w:themeColor="text1"/>
                <w:szCs w:val="21"/>
              </w:rPr>
              <w:t>4.0</w:t>
            </w:r>
          </w:p>
        </w:tc>
        <w:tc>
          <w:tcPr>
            <w:tcW w:w="1695" w:type="pct"/>
            <w:vAlign w:val="center"/>
          </w:tcPr>
          <w:p w:rsidR="00644456" w:rsidRDefault="008031C4">
            <w:pPr>
              <w:jc w:val="center"/>
              <w:rPr>
                <w:bCs/>
                <w:color w:val="000000" w:themeColor="text1"/>
                <w:szCs w:val="21"/>
              </w:rPr>
            </w:pPr>
            <w:r>
              <w:rPr>
                <w:color w:val="000000" w:themeColor="text1"/>
                <w:szCs w:val="21"/>
                <w:lang w:val="zh-CN"/>
              </w:rPr>
              <w:t>《大气污染物综合排放标准》（</w:t>
            </w:r>
            <w:r>
              <w:rPr>
                <w:color w:val="000000" w:themeColor="text1"/>
                <w:szCs w:val="21"/>
                <w:lang w:val="zh-CN"/>
              </w:rPr>
              <w:t>GB16297-1996</w:t>
            </w:r>
            <w:r>
              <w:rPr>
                <w:color w:val="000000" w:themeColor="text1"/>
                <w:szCs w:val="21"/>
                <w:lang w:val="zh-CN"/>
              </w:rPr>
              <w:t>）</w:t>
            </w:r>
            <w:r>
              <w:rPr>
                <w:color w:val="000000" w:themeColor="text1"/>
                <w:szCs w:val="21"/>
              </w:rPr>
              <w:t>表</w:t>
            </w:r>
            <w:r>
              <w:rPr>
                <w:color w:val="000000" w:themeColor="text1"/>
                <w:szCs w:val="21"/>
              </w:rPr>
              <w:t>2</w:t>
            </w:r>
          </w:p>
        </w:tc>
      </w:tr>
      <w:tr w:rsidR="00644456">
        <w:trPr>
          <w:trHeight w:val="544"/>
        </w:trPr>
        <w:tc>
          <w:tcPr>
            <w:tcW w:w="540" w:type="pct"/>
            <w:vMerge/>
            <w:vAlign w:val="center"/>
          </w:tcPr>
          <w:p w:rsidR="00644456" w:rsidRDefault="00644456">
            <w:pPr>
              <w:jc w:val="center"/>
              <w:rPr>
                <w:bCs/>
                <w:color w:val="000000" w:themeColor="text1"/>
                <w:szCs w:val="21"/>
              </w:rPr>
            </w:pPr>
          </w:p>
        </w:tc>
        <w:tc>
          <w:tcPr>
            <w:tcW w:w="783" w:type="pct"/>
            <w:vMerge/>
            <w:vAlign w:val="center"/>
          </w:tcPr>
          <w:p w:rsidR="00644456" w:rsidRDefault="00644456">
            <w:pPr>
              <w:jc w:val="center"/>
              <w:rPr>
                <w:bCs/>
                <w:color w:val="000000" w:themeColor="text1"/>
                <w:szCs w:val="21"/>
              </w:rPr>
            </w:pPr>
          </w:p>
        </w:tc>
        <w:tc>
          <w:tcPr>
            <w:tcW w:w="850" w:type="pct"/>
            <w:vMerge w:val="restart"/>
            <w:vAlign w:val="center"/>
          </w:tcPr>
          <w:p w:rsidR="00644456" w:rsidRDefault="008031C4">
            <w:pPr>
              <w:jc w:val="center"/>
              <w:rPr>
                <w:bCs/>
                <w:color w:val="000000" w:themeColor="text1"/>
                <w:szCs w:val="21"/>
              </w:rPr>
            </w:pPr>
            <w:r>
              <w:rPr>
                <w:bCs/>
                <w:color w:val="000000" w:themeColor="text1"/>
                <w:szCs w:val="21"/>
              </w:rPr>
              <w:t>厂界内</w:t>
            </w:r>
            <w:r>
              <w:rPr>
                <w:color w:val="000000" w:themeColor="text1"/>
                <w:szCs w:val="21"/>
              </w:rPr>
              <w:t>在厂房外设置监控点</w:t>
            </w:r>
          </w:p>
        </w:tc>
        <w:tc>
          <w:tcPr>
            <w:tcW w:w="1131" w:type="pct"/>
            <w:vAlign w:val="center"/>
          </w:tcPr>
          <w:p w:rsidR="00644456" w:rsidRDefault="008031C4">
            <w:pPr>
              <w:jc w:val="center"/>
              <w:rPr>
                <w:bCs/>
                <w:color w:val="000000" w:themeColor="text1"/>
                <w:szCs w:val="21"/>
              </w:rPr>
            </w:pPr>
            <w:r>
              <w:rPr>
                <w:color w:val="000000" w:themeColor="text1"/>
                <w:szCs w:val="21"/>
              </w:rPr>
              <w:t>10</w:t>
            </w:r>
            <w:r>
              <w:rPr>
                <w:color w:val="000000" w:themeColor="text1"/>
                <w:szCs w:val="21"/>
              </w:rPr>
              <w:t>（监控点处</w:t>
            </w:r>
            <w:r>
              <w:rPr>
                <w:color w:val="000000" w:themeColor="text1"/>
                <w:szCs w:val="21"/>
              </w:rPr>
              <w:t>1h</w:t>
            </w:r>
            <w:r>
              <w:rPr>
                <w:color w:val="000000" w:themeColor="text1"/>
                <w:szCs w:val="21"/>
              </w:rPr>
              <w:t>平均浓度）</w:t>
            </w:r>
          </w:p>
        </w:tc>
        <w:tc>
          <w:tcPr>
            <w:tcW w:w="1695" w:type="pct"/>
            <w:vMerge w:val="restart"/>
            <w:vAlign w:val="center"/>
          </w:tcPr>
          <w:p w:rsidR="00644456" w:rsidRDefault="008031C4">
            <w:pPr>
              <w:jc w:val="center"/>
              <w:rPr>
                <w:color w:val="000000" w:themeColor="text1"/>
                <w:szCs w:val="21"/>
              </w:rPr>
            </w:pPr>
            <w:r>
              <w:rPr>
                <w:color w:val="000000" w:themeColor="text1"/>
                <w:szCs w:val="21"/>
              </w:rPr>
              <w:t>《挥发性有机物无组织排放控制标准》（</w:t>
            </w:r>
            <w:r>
              <w:rPr>
                <w:color w:val="000000" w:themeColor="text1"/>
                <w:szCs w:val="21"/>
              </w:rPr>
              <w:t>GB37822-2019</w:t>
            </w:r>
            <w:r>
              <w:rPr>
                <w:color w:val="000000" w:themeColor="text1"/>
                <w:szCs w:val="21"/>
              </w:rPr>
              <w:t>）附录</w:t>
            </w:r>
            <w:r>
              <w:rPr>
                <w:color w:val="000000" w:themeColor="text1"/>
                <w:szCs w:val="21"/>
              </w:rPr>
              <w:t>A</w:t>
            </w:r>
          </w:p>
        </w:tc>
      </w:tr>
      <w:tr w:rsidR="00644456">
        <w:trPr>
          <w:trHeight w:val="544"/>
        </w:trPr>
        <w:tc>
          <w:tcPr>
            <w:tcW w:w="540" w:type="pct"/>
            <w:vMerge/>
            <w:vAlign w:val="center"/>
          </w:tcPr>
          <w:p w:rsidR="00644456" w:rsidRDefault="00644456">
            <w:pPr>
              <w:jc w:val="center"/>
              <w:rPr>
                <w:color w:val="000000" w:themeColor="text1"/>
              </w:rPr>
            </w:pPr>
          </w:p>
        </w:tc>
        <w:tc>
          <w:tcPr>
            <w:tcW w:w="783" w:type="pct"/>
            <w:vMerge/>
            <w:vAlign w:val="center"/>
          </w:tcPr>
          <w:p w:rsidR="00644456" w:rsidRDefault="00644456">
            <w:pPr>
              <w:jc w:val="center"/>
              <w:rPr>
                <w:color w:val="000000" w:themeColor="text1"/>
              </w:rPr>
            </w:pPr>
          </w:p>
        </w:tc>
        <w:tc>
          <w:tcPr>
            <w:tcW w:w="850" w:type="pct"/>
            <w:vMerge/>
            <w:vAlign w:val="center"/>
          </w:tcPr>
          <w:p w:rsidR="00644456" w:rsidRDefault="00644456">
            <w:pPr>
              <w:jc w:val="center"/>
              <w:rPr>
                <w:color w:val="000000" w:themeColor="text1"/>
              </w:rPr>
            </w:pPr>
          </w:p>
        </w:tc>
        <w:tc>
          <w:tcPr>
            <w:tcW w:w="1131" w:type="pct"/>
            <w:vAlign w:val="center"/>
          </w:tcPr>
          <w:p w:rsidR="00644456" w:rsidRDefault="008031C4">
            <w:pPr>
              <w:jc w:val="center"/>
              <w:rPr>
                <w:bCs/>
                <w:color w:val="000000" w:themeColor="text1"/>
                <w:szCs w:val="21"/>
              </w:rPr>
            </w:pPr>
            <w:r>
              <w:rPr>
                <w:bCs/>
                <w:color w:val="000000" w:themeColor="text1"/>
                <w:szCs w:val="21"/>
              </w:rPr>
              <w:t>30</w:t>
            </w:r>
            <w:r>
              <w:rPr>
                <w:bCs/>
                <w:color w:val="000000" w:themeColor="text1"/>
                <w:szCs w:val="21"/>
              </w:rPr>
              <w:t>（</w:t>
            </w:r>
            <w:r>
              <w:rPr>
                <w:color w:val="000000" w:themeColor="text1"/>
                <w:szCs w:val="21"/>
              </w:rPr>
              <w:t>监控点处任意一次浓度值</w:t>
            </w:r>
            <w:r>
              <w:rPr>
                <w:bCs/>
                <w:color w:val="000000" w:themeColor="text1"/>
                <w:szCs w:val="21"/>
              </w:rPr>
              <w:t>）</w:t>
            </w:r>
          </w:p>
        </w:tc>
        <w:tc>
          <w:tcPr>
            <w:tcW w:w="1695" w:type="pct"/>
            <w:vMerge/>
            <w:vAlign w:val="center"/>
          </w:tcPr>
          <w:p w:rsidR="00644456" w:rsidRDefault="00644456">
            <w:pPr>
              <w:jc w:val="center"/>
              <w:rPr>
                <w:bCs/>
                <w:color w:val="000000" w:themeColor="text1"/>
                <w:szCs w:val="21"/>
              </w:rPr>
            </w:pPr>
          </w:p>
        </w:tc>
      </w:tr>
    </w:tbl>
    <w:bookmarkEnd w:id="62"/>
    <w:p w:rsidR="00644456" w:rsidRDefault="008031C4">
      <w:pPr>
        <w:pStyle w:val="-"/>
        <w:adjustRightInd w:val="0"/>
        <w:snapToGrid w:val="0"/>
        <w:ind w:firstLine="480"/>
        <w:rPr>
          <w:rFonts w:cs="Times New Roman"/>
          <w:bCs/>
          <w:color w:val="000000" w:themeColor="text1"/>
          <w:szCs w:val="21"/>
        </w:rPr>
      </w:pPr>
      <w:r>
        <w:rPr>
          <w:rFonts w:cs="Times New Roman" w:hint="eastAsia"/>
          <w:bCs/>
          <w:color w:val="000000" w:themeColor="text1"/>
          <w:szCs w:val="21"/>
        </w:rPr>
        <w:lastRenderedPageBreak/>
        <w:t>2</w:t>
      </w:r>
      <w:r>
        <w:rPr>
          <w:rFonts w:cs="Times New Roman" w:hint="eastAsia"/>
          <w:bCs/>
          <w:color w:val="000000" w:themeColor="text1"/>
          <w:szCs w:val="21"/>
        </w:rPr>
        <w:t>）</w:t>
      </w:r>
      <w:r>
        <w:rPr>
          <w:rFonts w:cs="Times New Roman"/>
          <w:bCs/>
          <w:color w:val="000000" w:themeColor="text1"/>
          <w:szCs w:val="21"/>
        </w:rPr>
        <w:t>废水</w:t>
      </w:r>
    </w:p>
    <w:p w:rsidR="00644456" w:rsidRDefault="008031C4">
      <w:pPr>
        <w:pStyle w:val="-"/>
        <w:adjustRightInd w:val="0"/>
        <w:snapToGrid w:val="0"/>
        <w:ind w:firstLine="480"/>
        <w:rPr>
          <w:rFonts w:cs="Times New Roman"/>
          <w:bCs/>
          <w:color w:val="000000" w:themeColor="text1"/>
          <w:szCs w:val="21"/>
        </w:rPr>
      </w:pPr>
      <w:r>
        <w:rPr>
          <w:rFonts w:cs="Times New Roman" w:hint="eastAsia"/>
          <w:bCs/>
          <w:color w:val="000000" w:themeColor="text1"/>
          <w:szCs w:val="21"/>
        </w:rPr>
        <w:t>本项目废水经过厂区自建的污水处理设施处理后依托生态钢城污水处理厂处置，本项目废水应满足《污水综合排放标准》（</w:t>
      </w:r>
      <w:r>
        <w:rPr>
          <w:rFonts w:cs="Times New Roman" w:hint="eastAsia"/>
          <w:bCs/>
          <w:color w:val="000000" w:themeColor="text1"/>
          <w:szCs w:val="21"/>
        </w:rPr>
        <w:t>GB8978-1996</w:t>
      </w:r>
      <w:r>
        <w:rPr>
          <w:rFonts w:cs="Times New Roman" w:hint="eastAsia"/>
          <w:bCs/>
          <w:color w:val="000000" w:themeColor="text1"/>
          <w:szCs w:val="21"/>
        </w:rPr>
        <w:t>）表</w:t>
      </w:r>
      <w:r>
        <w:rPr>
          <w:rFonts w:cs="Times New Roman" w:hint="eastAsia"/>
          <w:bCs/>
          <w:color w:val="000000" w:themeColor="text1"/>
          <w:szCs w:val="21"/>
        </w:rPr>
        <w:t>4</w:t>
      </w:r>
      <w:r>
        <w:rPr>
          <w:rFonts w:cs="Times New Roman" w:hint="eastAsia"/>
          <w:bCs/>
          <w:color w:val="000000" w:themeColor="text1"/>
          <w:szCs w:val="21"/>
        </w:rPr>
        <w:t>的三级标准，同时应满足生态钢城污水处理厂的进水水质要求</w:t>
      </w:r>
      <w:r>
        <w:rPr>
          <w:rFonts w:cs="Times New Roman"/>
          <w:bCs/>
          <w:color w:val="000000" w:themeColor="text1"/>
          <w:szCs w:val="21"/>
        </w:rPr>
        <w:t>，</w:t>
      </w:r>
      <w:r>
        <w:rPr>
          <w:rFonts w:cs="Times New Roman" w:hint="eastAsia"/>
          <w:bCs/>
          <w:color w:val="000000" w:themeColor="text1"/>
          <w:szCs w:val="21"/>
        </w:rPr>
        <w:t>污水处理厂出水满足《城镇污水处理厂污染物排放标准》（</w:t>
      </w:r>
      <w:r>
        <w:rPr>
          <w:rFonts w:cs="Times New Roman" w:hint="eastAsia"/>
          <w:bCs/>
          <w:color w:val="000000" w:themeColor="text1"/>
          <w:szCs w:val="21"/>
        </w:rPr>
        <w:t>GB18918-2002</w:t>
      </w:r>
      <w:r>
        <w:rPr>
          <w:rFonts w:cs="Times New Roman" w:hint="eastAsia"/>
          <w:bCs/>
          <w:color w:val="000000" w:themeColor="text1"/>
          <w:szCs w:val="21"/>
        </w:rPr>
        <w:t>）的一级</w:t>
      </w:r>
      <w:r>
        <w:rPr>
          <w:rFonts w:cs="Times New Roman" w:hint="eastAsia"/>
          <w:bCs/>
          <w:color w:val="000000" w:themeColor="text1"/>
          <w:szCs w:val="21"/>
        </w:rPr>
        <w:t>A</w:t>
      </w:r>
      <w:r>
        <w:rPr>
          <w:rFonts w:cs="Times New Roman"/>
          <w:bCs/>
          <w:color w:val="000000" w:themeColor="text1"/>
          <w:szCs w:val="21"/>
        </w:rPr>
        <w:t>标准值见表</w:t>
      </w:r>
      <w:r>
        <w:rPr>
          <w:rFonts w:cs="Times New Roman" w:hint="eastAsia"/>
          <w:bCs/>
          <w:color w:val="000000" w:themeColor="text1"/>
          <w:szCs w:val="21"/>
        </w:rPr>
        <w:t>1.7-</w:t>
      </w:r>
      <w:r>
        <w:rPr>
          <w:rFonts w:cs="Times New Roman"/>
          <w:bCs/>
          <w:color w:val="000000" w:themeColor="text1"/>
          <w:szCs w:val="21"/>
        </w:rPr>
        <w:t>9</w:t>
      </w:r>
      <w:r>
        <w:rPr>
          <w:rFonts w:cs="Times New Roman"/>
          <w:bCs/>
          <w:color w:val="000000" w:themeColor="text1"/>
          <w:szCs w:val="21"/>
        </w:rPr>
        <w:t>。</w:t>
      </w:r>
    </w:p>
    <w:p w:rsidR="006214B2" w:rsidRPr="006214B2" w:rsidRDefault="006214B2">
      <w:pPr>
        <w:pStyle w:val="-"/>
        <w:adjustRightInd w:val="0"/>
        <w:snapToGrid w:val="0"/>
        <w:ind w:firstLine="480"/>
        <w:rPr>
          <w:rFonts w:cs="Times New Roman"/>
          <w:bCs/>
          <w:color w:val="FF0000"/>
          <w:szCs w:val="21"/>
        </w:rPr>
      </w:pPr>
      <w:r w:rsidRPr="006214B2">
        <w:rPr>
          <w:rFonts w:cs="Times New Roman" w:hint="eastAsia"/>
          <w:bCs/>
          <w:color w:val="FF0000"/>
          <w:szCs w:val="21"/>
        </w:rPr>
        <w:t>根据标准对比，本项目废水执行生态钢城污水处理厂的进水水质要求。</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1.7-9</w:t>
      </w:r>
      <w:r>
        <w:rPr>
          <w:rFonts w:ascii="Times New Roman" w:eastAsia="宋体" w:hAnsi="Times New Roman" w:cs="Times New Roman" w:hint="eastAsia"/>
          <w:b/>
          <w:color w:val="000000" w:themeColor="text1"/>
          <w:sz w:val="24"/>
        </w:rPr>
        <w:t>废水排放标准单位：</w:t>
      </w:r>
      <w:r>
        <w:rPr>
          <w:rFonts w:ascii="Times New Roman" w:eastAsia="宋体" w:hAnsi="Times New Roman" w:cs="Times New Roman" w:hint="eastAsia"/>
          <w:b/>
          <w:color w:val="000000" w:themeColor="text1"/>
          <w:sz w:val="24"/>
        </w:rPr>
        <w:t>mg/L</w:t>
      </w:r>
    </w:p>
    <w:tbl>
      <w:tblPr>
        <w:tblStyle w:val="affff4"/>
        <w:tblW w:w="9058" w:type="dxa"/>
        <w:jc w:val="center"/>
        <w:tblLook w:val="04A0" w:firstRow="1" w:lastRow="0" w:firstColumn="1" w:lastColumn="0" w:noHBand="0" w:noVBand="1"/>
      </w:tblPr>
      <w:tblGrid>
        <w:gridCol w:w="2263"/>
        <w:gridCol w:w="2265"/>
        <w:gridCol w:w="2265"/>
        <w:gridCol w:w="2265"/>
      </w:tblGrid>
      <w:tr w:rsidR="00644456">
        <w:trPr>
          <w:trHeight w:val="468"/>
          <w:jc w:val="center"/>
        </w:trPr>
        <w:tc>
          <w:tcPr>
            <w:tcW w:w="2263" w:type="dxa"/>
            <w:vAlign w:val="center"/>
          </w:tcPr>
          <w:p w:rsidR="00644456" w:rsidRDefault="008031C4">
            <w:pPr>
              <w:jc w:val="center"/>
              <w:rPr>
                <w:color w:val="000000" w:themeColor="text1"/>
                <w:szCs w:val="21"/>
              </w:rPr>
            </w:pPr>
            <w:r>
              <w:rPr>
                <w:rFonts w:hint="eastAsia"/>
                <w:color w:val="000000" w:themeColor="text1"/>
                <w:szCs w:val="21"/>
              </w:rPr>
              <w:t>项目</w:t>
            </w:r>
          </w:p>
        </w:tc>
        <w:tc>
          <w:tcPr>
            <w:tcW w:w="2265" w:type="dxa"/>
            <w:vAlign w:val="center"/>
          </w:tcPr>
          <w:p w:rsidR="00644456" w:rsidRDefault="008031C4">
            <w:pPr>
              <w:jc w:val="center"/>
              <w:rPr>
                <w:color w:val="000000" w:themeColor="text1"/>
                <w:szCs w:val="21"/>
              </w:rPr>
            </w:pPr>
            <w:r>
              <w:rPr>
                <w:rFonts w:hint="eastAsia"/>
                <w:color w:val="000000" w:themeColor="text1"/>
                <w:szCs w:val="21"/>
              </w:rPr>
              <w:t>《污水综合排放标准》三级</w:t>
            </w:r>
          </w:p>
        </w:tc>
        <w:tc>
          <w:tcPr>
            <w:tcW w:w="2265" w:type="dxa"/>
            <w:vAlign w:val="center"/>
          </w:tcPr>
          <w:p w:rsidR="00644456" w:rsidRDefault="008031C4">
            <w:pPr>
              <w:jc w:val="center"/>
              <w:rPr>
                <w:color w:val="000000" w:themeColor="text1"/>
                <w:szCs w:val="21"/>
              </w:rPr>
            </w:pPr>
            <w:r>
              <w:rPr>
                <w:rFonts w:hint="eastAsia"/>
                <w:color w:val="000000" w:themeColor="text1"/>
                <w:szCs w:val="21"/>
              </w:rPr>
              <w:t>污水处理厂进口水质设计值</w:t>
            </w:r>
          </w:p>
        </w:tc>
        <w:tc>
          <w:tcPr>
            <w:tcW w:w="2265" w:type="dxa"/>
            <w:vAlign w:val="center"/>
          </w:tcPr>
          <w:p w:rsidR="00644456" w:rsidRDefault="008031C4">
            <w:pPr>
              <w:jc w:val="center"/>
              <w:rPr>
                <w:color w:val="000000" w:themeColor="text1"/>
                <w:szCs w:val="21"/>
              </w:rPr>
            </w:pPr>
            <w:r>
              <w:rPr>
                <w:rFonts w:hint="eastAsia"/>
                <w:color w:val="000000" w:themeColor="text1"/>
                <w:szCs w:val="21"/>
              </w:rPr>
              <w:t>《城镇污水处理厂污染物排放标准》</w:t>
            </w:r>
            <w:r>
              <w:rPr>
                <w:rFonts w:hint="eastAsia"/>
                <w:color w:val="000000" w:themeColor="text1"/>
                <w:szCs w:val="21"/>
              </w:rPr>
              <w:t>GB18918</w:t>
            </w:r>
          </w:p>
        </w:tc>
      </w:tr>
      <w:tr w:rsidR="00644456">
        <w:trPr>
          <w:trHeight w:val="82"/>
          <w:jc w:val="center"/>
        </w:trPr>
        <w:tc>
          <w:tcPr>
            <w:tcW w:w="2263" w:type="dxa"/>
            <w:vAlign w:val="center"/>
          </w:tcPr>
          <w:p w:rsidR="00644456" w:rsidRDefault="008031C4">
            <w:pPr>
              <w:jc w:val="center"/>
              <w:rPr>
                <w:color w:val="000000" w:themeColor="text1"/>
                <w:szCs w:val="21"/>
              </w:rPr>
            </w:pPr>
            <w:r>
              <w:rPr>
                <w:rFonts w:hint="eastAsia"/>
                <w:color w:val="000000" w:themeColor="text1"/>
                <w:szCs w:val="21"/>
              </w:rPr>
              <w:t>p</w:t>
            </w:r>
            <w:r>
              <w:rPr>
                <w:color w:val="000000" w:themeColor="text1"/>
                <w:szCs w:val="21"/>
              </w:rPr>
              <w:t>H</w:t>
            </w:r>
          </w:p>
        </w:tc>
        <w:tc>
          <w:tcPr>
            <w:tcW w:w="2265" w:type="dxa"/>
            <w:vAlign w:val="center"/>
          </w:tcPr>
          <w:p w:rsidR="00644456" w:rsidRDefault="008031C4">
            <w:pPr>
              <w:jc w:val="center"/>
              <w:rPr>
                <w:color w:val="000000" w:themeColor="text1"/>
                <w:szCs w:val="21"/>
              </w:rPr>
            </w:pPr>
            <w:r>
              <w:rPr>
                <w:rFonts w:hint="eastAsia"/>
                <w:color w:val="000000" w:themeColor="text1"/>
                <w:szCs w:val="21"/>
              </w:rPr>
              <w:t>6</w:t>
            </w:r>
            <w:r>
              <w:rPr>
                <w:rFonts w:hint="eastAsia"/>
                <w:color w:val="000000" w:themeColor="text1"/>
                <w:szCs w:val="21"/>
              </w:rPr>
              <w:t>～</w:t>
            </w:r>
            <w:r>
              <w:rPr>
                <w:rFonts w:hint="eastAsia"/>
                <w:color w:val="000000" w:themeColor="text1"/>
                <w:szCs w:val="21"/>
              </w:rPr>
              <w:t>9</w:t>
            </w:r>
          </w:p>
        </w:tc>
        <w:tc>
          <w:tcPr>
            <w:tcW w:w="2265" w:type="dxa"/>
            <w:vAlign w:val="center"/>
          </w:tcPr>
          <w:p w:rsidR="00644456" w:rsidRDefault="008031C4">
            <w:pPr>
              <w:jc w:val="center"/>
              <w:rPr>
                <w:color w:val="000000" w:themeColor="text1"/>
                <w:szCs w:val="21"/>
              </w:rPr>
            </w:pPr>
            <w:r>
              <w:rPr>
                <w:rFonts w:hint="eastAsia"/>
                <w:color w:val="000000" w:themeColor="text1"/>
                <w:szCs w:val="21"/>
              </w:rPr>
              <w:t>6</w:t>
            </w:r>
            <w:r>
              <w:rPr>
                <w:rFonts w:hint="eastAsia"/>
                <w:color w:val="000000" w:themeColor="text1"/>
                <w:szCs w:val="21"/>
              </w:rPr>
              <w:t>～</w:t>
            </w:r>
            <w:r>
              <w:rPr>
                <w:rFonts w:hint="eastAsia"/>
                <w:color w:val="000000" w:themeColor="text1"/>
                <w:szCs w:val="21"/>
              </w:rPr>
              <w:t>9</w:t>
            </w:r>
          </w:p>
        </w:tc>
        <w:tc>
          <w:tcPr>
            <w:tcW w:w="2265" w:type="dxa"/>
            <w:vAlign w:val="center"/>
          </w:tcPr>
          <w:p w:rsidR="00644456" w:rsidRDefault="008031C4">
            <w:pPr>
              <w:jc w:val="center"/>
              <w:rPr>
                <w:color w:val="000000" w:themeColor="text1"/>
                <w:szCs w:val="21"/>
              </w:rPr>
            </w:pPr>
            <w:r>
              <w:rPr>
                <w:rFonts w:hint="eastAsia"/>
                <w:color w:val="000000" w:themeColor="text1"/>
                <w:szCs w:val="21"/>
              </w:rPr>
              <w:t>6</w:t>
            </w:r>
            <w:r>
              <w:rPr>
                <w:rFonts w:hint="eastAsia"/>
                <w:color w:val="000000" w:themeColor="text1"/>
                <w:szCs w:val="21"/>
              </w:rPr>
              <w:t>～</w:t>
            </w:r>
            <w:r>
              <w:rPr>
                <w:rFonts w:hint="eastAsia"/>
                <w:color w:val="000000" w:themeColor="text1"/>
                <w:szCs w:val="21"/>
              </w:rPr>
              <w:t>9</w:t>
            </w:r>
          </w:p>
        </w:tc>
      </w:tr>
      <w:tr w:rsidR="00644456">
        <w:trPr>
          <w:trHeight w:val="82"/>
          <w:jc w:val="center"/>
        </w:trPr>
        <w:tc>
          <w:tcPr>
            <w:tcW w:w="2263" w:type="dxa"/>
            <w:vAlign w:val="center"/>
          </w:tcPr>
          <w:p w:rsidR="00644456" w:rsidRDefault="008031C4">
            <w:pPr>
              <w:jc w:val="center"/>
              <w:rPr>
                <w:color w:val="000000" w:themeColor="text1"/>
                <w:szCs w:val="21"/>
              </w:rPr>
            </w:pPr>
            <w:r>
              <w:rPr>
                <w:rFonts w:hint="eastAsia"/>
                <w:color w:val="000000" w:themeColor="text1"/>
                <w:szCs w:val="21"/>
              </w:rPr>
              <w:t>C</w:t>
            </w:r>
            <w:r>
              <w:rPr>
                <w:color w:val="000000" w:themeColor="text1"/>
                <w:szCs w:val="21"/>
              </w:rPr>
              <w:t>OD</w:t>
            </w:r>
          </w:p>
        </w:tc>
        <w:tc>
          <w:tcPr>
            <w:tcW w:w="2265" w:type="dxa"/>
            <w:vAlign w:val="center"/>
          </w:tcPr>
          <w:p w:rsidR="00644456" w:rsidRDefault="008031C4">
            <w:pPr>
              <w:jc w:val="center"/>
              <w:rPr>
                <w:color w:val="000000" w:themeColor="text1"/>
                <w:szCs w:val="21"/>
              </w:rPr>
            </w:pPr>
            <w:r>
              <w:rPr>
                <w:rFonts w:hint="eastAsia"/>
                <w:color w:val="000000" w:themeColor="text1"/>
                <w:szCs w:val="21"/>
              </w:rPr>
              <w:t>5</w:t>
            </w:r>
            <w:r>
              <w:rPr>
                <w:color w:val="000000" w:themeColor="text1"/>
                <w:szCs w:val="21"/>
              </w:rPr>
              <w:t>00</w:t>
            </w:r>
          </w:p>
        </w:tc>
        <w:tc>
          <w:tcPr>
            <w:tcW w:w="2265" w:type="dxa"/>
            <w:vAlign w:val="center"/>
          </w:tcPr>
          <w:p w:rsidR="00644456" w:rsidRDefault="008031C4">
            <w:pPr>
              <w:jc w:val="center"/>
              <w:rPr>
                <w:color w:val="000000" w:themeColor="text1"/>
                <w:szCs w:val="21"/>
              </w:rPr>
            </w:pPr>
            <w:r>
              <w:rPr>
                <w:rFonts w:hint="eastAsia"/>
                <w:color w:val="000000" w:themeColor="text1"/>
                <w:szCs w:val="21"/>
              </w:rPr>
              <w:t>5</w:t>
            </w:r>
            <w:r>
              <w:rPr>
                <w:color w:val="000000" w:themeColor="text1"/>
                <w:szCs w:val="21"/>
              </w:rPr>
              <w:t>00</w:t>
            </w:r>
          </w:p>
        </w:tc>
        <w:tc>
          <w:tcPr>
            <w:tcW w:w="2265" w:type="dxa"/>
            <w:vAlign w:val="center"/>
          </w:tcPr>
          <w:p w:rsidR="00644456" w:rsidRDefault="008031C4">
            <w:pPr>
              <w:jc w:val="center"/>
              <w:rPr>
                <w:color w:val="000000" w:themeColor="text1"/>
                <w:szCs w:val="21"/>
              </w:rPr>
            </w:pPr>
            <w:r>
              <w:rPr>
                <w:rFonts w:hint="eastAsia"/>
                <w:color w:val="000000" w:themeColor="text1"/>
                <w:szCs w:val="21"/>
              </w:rPr>
              <w:t>5</w:t>
            </w:r>
            <w:r>
              <w:rPr>
                <w:color w:val="000000" w:themeColor="text1"/>
                <w:szCs w:val="21"/>
              </w:rPr>
              <w:t>0</w:t>
            </w:r>
          </w:p>
        </w:tc>
      </w:tr>
      <w:tr w:rsidR="00644456">
        <w:trPr>
          <w:trHeight w:val="82"/>
          <w:jc w:val="center"/>
        </w:trPr>
        <w:tc>
          <w:tcPr>
            <w:tcW w:w="2263" w:type="dxa"/>
            <w:vAlign w:val="center"/>
          </w:tcPr>
          <w:p w:rsidR="00644456" w:rsidRDefault="008031C4">
            <w:pPr>
              <w:jc w:val="center"/>
              <w:rPr>
                <w:color w:val="000000" w:themeColor="text1"/>
                <w:szCs w:val="21"/>
              </w:rPr>
            </w:pPr>
            <w:r>
              <w:rPr>
                <w:rFonts w:hint="eastAsia"/>
                <w:color w:val="000000" w:themeColor="text1"/>
                <w:szCs w:val="21"/>
              </w:rPr>
              <w:t>B</w:t>
            </w:r>
            <w:r>
              <w:rPr>
                <w:color w:val="000000" w:themeColor="text1"/>
                <w:szCs w:val="21"/>
              </w:rPr>
              <w:t>OD</w:t>
            </w:r>
            <w:r w:rsidRPr="006214B2">
              <w:rPr>
                <w:color w:val="000000" w:themeColor="text1"/>
                <w:szCs w:val="21"/>
                <w:vertAlign w:val="subscript"/>
              </w:rPr>
              <w:t>5</w:t>
            </w:r>
          </w:p>
        </w:tc>
        <w:tc>
          <w:tcPr>
            <w:tcW w:w="2265" w:type="dxa"/>
            <w:vAlign w:val="center"/>
          </w:tcPr>
          <w:p w:rsidR="00644456" w:rsidRDefault="008031C4">
            <w:pPr>
              <w:jc w:val="center"/>
              <w:rPr>
                <w:color w:val="000000" w:themeColor="text1"/>
                <w:szCs w:val="21"/>
              </w:rPr>
            </w:pPr>
            <w:r>
              <w:rPr>
                <w:rFonts w:hint="eastAsia"/>
                <w:color w:val="000000" w:themeColor="text1"/>
                <w:szCs w:val="21"/>
              </w:rPr>
              <w:t>3</w:t>
            </w:r>
            <w:r>
              <w:rPr>
                <w:color w:val="000000" w:themeColor="text1"/>
                <w:szCs w:val="21"/>
              </w:rPr>
              <w:t>00</w:t>
            </w:r>
          </w:p>
        </w:tc>
        <w:tc>
          <w:tcPr>
            <w:tcW w:w="2265" w:type="dxa"/>
            <w:vAlign w:val="center"/>
          </w:tcPr>
          <w:p w:rsidR="00644456" w:rsidRDefault="008031C4">
            <w:pPr>
              <w:jc w:val="center"/>
              <w:rPr>
                <w:color w:val="000000" w:themeColor="text1"/>
                <w:szCs w:val="21"/>
              </w:rPr>
            </w:pPr>
            <w:r>
              <w:rPr>
                <w:rFonts w:hint="eastAsia"/>
                <w:color w:val="000000" w:themeColor="text1"/>
                <w:szCs w:val="21"/>
              </w:rPr>
              <w:t>3</w:t>
            </w:r>
            <w:r>
              <w:rPr>
                <w:color w:val="000000" w:themeColor="text1"/>
                <w:szCs w:val="21"/>
              </w:rPr>
              <w:t>00</w:t>
            </w:r>
          </w:p>
        </w:tc>
        <w:tc>
          <w:tcPr>
            <w:tcW w:w="2265" w:type="dxa"/>
            <w:vAlign w:val="center"/>
          </w:tcPr>
          <w:p w:rsidR="00644456" w:rsidRDefault="008031C4">
            <w:pPr>
              <w:jc w:val="center"/>
              <w:rPr>
                <w:color w:val="000000" w:themeColor="text1"/>
                <w:szCs w:val="21"/>
              </w:rPr>
            </w:pPr>
            <w:r>
              <w:rPr>
                <w:rFonts w:hint="eastAsia"/>
                <w:color w:val="000000" w:themeColor="text1"/>
                <w:szCs w:val="21"/>
              </w:rPr>
              <w:t>1</w:t>
            </w:r>
            <w:r>
              <w:rPr>
                <w:color w:val="000000" w:themeColor="text1"/>
                <w:szCs w:val="21"/>
              </w:rPr>
              <w:t>0</w:t>
            </w:r>
          </w:p>
        </w:tc>
      </w:tr>
      <w:tr w:rsidR="00644456">
        <w:trPr>
          <w:trHeight w:val="82"/>
          <w:jc w:val="center"/>
        </w:trPr>
        <w:tc>
          <w:tcPr>
            <w:tcW w:w="2263" w:type="dxa"/>
            <w:vAlign w:val="center"/>
          </w:tcPr>
          <w:p w:rsidR="00644456" w:rsidRDefault="008031C4">
            <w:pPr>
              <w:jc w:val="center"/>
              <w:rPr>
                <w:color w:val="000000" w:themeColor="text1"/>
                <w:szCs w:val="21"/>
              </w:rPr>
            </w:pPr>
            <w:r>
              <w:rPr>
                <w:rFonts w:hint="eastAsia"/>
                <w:color w:val="000000" w:themeColor="text1"/>
                <w:szCs w:val="21"/>
              </w:rPr>
              <w:t>N</w:t>
            </w:r>
            <w:r>
              <w:rPr>
                <w:color w:val="000000" w:themeColor="text1"/>
                <w:szCs w:val="21"/>
              </w:rPr>
              <w:t>H</w:t>
            </w:r>
            <w:r w:rsidRPr="006214B2">
              <w:rPr>
                <w:color w:val="000000" w:themeColor="text1"/>
                <w:szCs w:val="21"/>
                <w:vertAlign w:val="subscript"/>
              </w:rPr>
              <w:t>3</w:t>
            </w:r>
            <w:r>
              <w:rPr>
                <w:color w:val="000000" w:themeColor="text1"/>
                <w:szCs w:val="21"/>
              </w:rPr>
              <w:t>-H</w:t>
            </w:r>
          </w:p>
        </w:tc>
        <w:tc>
          <w:tcPr>
            <w:tcW w:w="2265" w:type="dxa"/>
            <w:vAlign w:val="center"/>
          </w:tcPr>
          <w:p w:rsidR="00644456" w:rsidRDefault="008031C4">
            <w:pPr>
              <w:jc w:val="center"/>
              <w:rPr>
                <w:color w:val="000000" w:themeColor="text1"/>
                <w:szCs w:val="21"/>
              </w:rPr>
            </w:pPr>
            <w:r>
              <w:rPr>
                <w:rFonts w:hint="eastAsia"/>
                <w:color w:val="000000" w:themeColor="text1"/>
                <w:szCs w:val="21"/>
              </w:rPr>
              <w:t>/</w:t>
            </w:r>
          </w:p>
        </w:tc>
        <w:tc>
          <w:tcPr>
            <w:tcW w:w="2265" w:type="dxa"/>
            <w:vAlign w:val="center"/>
          </w:tcPr>
          <w:p w:rsidR="00644456" w:rsidRDefault="008031C4">
            <w:pPr>
              <w:jc w:val="center"/>
              <w:rPr>
                <w:color w:val="000000" w:themeColor="text1"/>
                <w:szCs w:val="21"/>
              </w:rPr>
            </w:pPr>
            <w:r>
              <w:rPr>
                <w:color w:val="000000" w:themeColor="text1"/>
                <w:szCs w:val="21"/>
              </w:rPr>
              <w:t>45</w:t>
            </w:r>
          </w:p>
        </w:tc>
        <w:tc>
          <w:tcPr>
            <w:tcW w:w="2265" w:type="dxa"/>
            <w:vAlign w:val="center"/>
          </w:tcPr>
          <w:p w:rsidR="00644456" w:rsidRDefault="008031C4">
            <w:pPr>
              <w:jc w:val="center"/>
              <w:rPr>
                <w:color w:val="000000" w:themeColor="text1"/>
                <w:szCs w:val="21"/>
              </w:rPr>
            </w:pPr>
            <w:r>
              <w:rPr>
                <w:rFonts w:hint="eastAsia"/>
                <w:color w:val="000000" w:themeColor="text1"/>
                <w:szCs w:val="21"/>
              </w:rPr>
              <w:t>5</w:t>
            </w:r>
          </w:p>
        </w:tc>
      </w:tr>
      <w:tr w:rsidR="00644456">
        <w:trPr>
          <w:trHeight w:val="82"/>
          <w:jc w:val="center"/>
        </w:trPr>
        <w:tc>
          <w:tcPr>
            <w:tcW w:w="2263" w:type="dxa"/>
            <w:vAlign w:val="center"/>
          </w:tcPr>
          <w:p w:rsidR="00644456" w:rsidRDefault="008031C4">
            <w:pPr>
              <w:jc w:val="center"/>
              <w:rPr>
                <w:color w:val="000000" w:themeColor="text1"/>
                <w:szCs w:val="21"/>
              </w:rPr>
            </w:pPr>
            <w:r>
              <w:rPr>
                <w:rFonts w:hint="eastAsia"/>
                <w:color w:val="000000" w:themeColor="text1"/>
                <w:szCs w:val="21"/>
              </w:rPr>
              <w:t>S</w:t>
            </w:r>
            <w:r>
              <w:rPr>
                <w:color w:val="000000" w:themeColor="text1"/>
                <w:szCs w:val="21"/>
              </w:rPr>
              <w:t>S</w:t>
            </w:r>
          </w:p>
        </w:tc>
        <w:tc>
          <w:tcPr>
            <w:tcW w:w="2265" w:type="dxa"/>
            <w:vAlign w:val="center"/>
          </w:tcPr>
          <w:p w:rsidR="00644456" w:rsidRDefault="008031C4">
            <w:pPr>
              <w:jc w:val="center"/>
              <w:rPr>
                <w:color w:val="000000" w:themeColor="text1"/>
                <w:szCs w:val="21"/>
              </w:rPr>
            </w:pPr>
            <w:r>
              <w:rPr>
                <w:rFonts w:hint="eastAsia"/>
                <w:color w:val="000000" w:themeColor="text1"/>
                <w:szCs w:val="21"/>
              </w:rPr>
              <w:t>4</w:t>
            </w:r>
            <w:r>
              <w:rPr>
                <w:color w:val="000000" w:themeColor="text1"/>
                <w:szCs w:val="21"/>
              </w:rPr>
              <w:t>00</w:t>
            </w:r>
          </w:p>
        </w:tc>
        <w:tc>
          <w:tcPr>
            <w:tcW w:w="2265" w:type="dxa"/>
            <w:vAlign w:val="center"/>
          </w:tcPr>
          <w:p w:rsidR="00644456" w:rsidRDefault="008031C4">
            <w:pPr>
              <w:jc w:val="center"/>
              <w:rPr>
                <w:color w:val="000000" w:themeColor="text1"/>
                <w:szCs w:val="21"/>
              </w:rPr>
            </w:pPr>
            <w:r>
              <w:rPr>
                <w:rFonts w:hint="eastAsia"/>
                <w:color w:val="000000" w:themeColor="text1"/>
                <w:szCs w:val="21"/>
              </w:rPr>
              <w:t>4</w:t>
            </w:r>
            <w:r>
              <w:rPr>
                <w:color w:val="000000" w:themeColor="text1"/>
                <w:szCs w:val="21"/>
              </w:rPr>
              <w:t>00</w:t>
            </w:r>
          </w:p>
        </w:tc>
        <w:tc>
          <w:tcPr>
            <w:tcW w:w="2265" w:type="dxa"/>
            <w:vAlign w:val="center"/>
          </w:tcPr>
          <w:p w:rsidR="00644456" w:rsidRDefault="008031C4">
            <w:pPr>
              <w:jc w:val="center"/>
              <w:rPr>
                <w:color w:val="000000" w:themeColor="text1"/>
                <w:szCs w:val="21"/>
              </w:rPr>
            </w:pPr>
            <w:r>
              <w:rPr>
                <w:rFonts w:hint="eastAsia"/>
                <w:color w:val="000000" w:themeColor="text1"/>
                <w:szCs w:val="21"/>
              </w:rPr>
              <w:t>1</w:t>
            </w:r>
            <w:r>
              <w:rPr>
                <w:color w:val="000000" w:themeColor="text1"/>
                <w:szCs w:val="21"/>
              </w:rPr>
              <w:t>0</w:t>
            </w:r>
          </w:p>
        </w:tc>
      </w:tr>
      <w:tr w:rsidR="00644456">
        <w:trPr>
          <w:trHeight w:val="77"/>
          <w:jc w:val="center"/>
        </w:trPr>
        <w:tc>
          <w:tcPr>
            <w:tcW w:w="2263" w:type="dxa"/>
            <w:vAlign w:val="center"/>
          </w:tcPr>
          <w:p w:rsidR="00644456" w:rsidRDefault="008031C4">
            <w:pPr>
              <w:jc w:val="center"/>
              <w:rPr>
                <w:color w:val="000000" w:themeColor="text1"/>
                <w:szCs w:val="21"/>
              </w:rPr>
            </w:pPr>
            <w:r>
              <w:rPr>
                <w:rFonts w:hint="eastAsia"/>
                <w:color w:val="000000" w:themeColor="text1"/>
                <w:szCs w:val="21"/>
              </w:rPr>
              <w:t>总氮</w:t>
            </w:r>
          </w:p>
        </w:tc>
        <w:tc>
          <w:tcPr>
            <w:tcW w:w="2265" w:type="dxa"/>
            <w:vAlign w:val="center"/>
          </w:tcPr>
          <w:p w:rsidR="00644456" w:rsidRDefault="008031C4">
            <w:pPr>
              <w:jc w:val="center"/>
              <w:rPr>
                <w:color w:val="000000" w:themeColor="text1"/>
                <w:szCs w:val="21"/>
              </w:rPr>
            </w:pPr>
            <w:r>
              <w:rPr>
                <w:rFonts w:hint="eastAsia"/>
                <w:color w:val="000000" w:themeColor="text1"/>
                <w:szCs w:val="21"/>
              </w:rPr>
              <w:t>/</w:t>
            </w:r>
          </w:p>
        </w:tc>
        <w:tc>
          <w:tcPr>
            <w:tcW w:w="2265" w:type="dxa"/>
            <w:vAlign w:val="center"/>
          </w:tcPr>
          <w:p w:rsidR="00644456" w:rsidRDefault="008031C4">
            <w:pPr>
              <w:jc w:val="center"/>
              <w:rPr>
                <w:color w:val="000000" w:themeColor="text1"/>
                <w:szCs w:val="21"/>
              </w:rPr>
            </w:pPr>
            <w:r>
              <w:rPr>
                <w:color w:val="000000" w:themeColor="text1"/>
                <w:szCs w:val="21"/>
              </w:rPr>
              <w:t>70</w:t>
            </w:r>
          </w:p>
        </w:tc>
        <w:tc>
          <w:tcPr>
            <w:tcW w:w="2265" w:type="dxa"/>
            <w:vAlign w:val="center"/>
          </w:tcPr>
          <w:p w:rsidR="00644456" w:rsidRDefault="008031C4">
            <w:pPr>
              <w:jc w:val="center"/>
              <w:rPr>
                <w:color w:val="000000" w:themeColor="text1"/>
                <w:szCs w:val="21"/>
              </w:rPr>
            </w:pPr>
            <w:r>
              <w:rPr>
                <w:rFonts w:hint="eastAsia"/>
                <w:color w:val="000000" w:themeColor="text1"/>
                <w:szCs w:val="21"/>
              </w:rPr>
              <w:t>1</w:t>
            </w:r>
            <w:r>
              <w:rPr>
                <w:color w:val="000000" w:themeColor="text1"/>
                <w:szCs w:val="21"/>
              </w:rPr>
              <w:t>5</w:t>
            </w:r>
          </w:p>
        </w:tc>
      </w:tr>
      <w:tr w:rsidR="00644456">
        <w:trPr>
          <w:trHeight w:val="82"/>
          <w:jc w:val="center"/>
        </w:trPr>
        <w:tc>
          <w:tcPr>
            <w:tcW w:w="2263" w:type="dxa"/>
            <w:vAlign w:val="center"/>
          </w:tcPr>
          <w:p w:rsidR="00644456" w:rsidRDefault="008031C4">
            <w:pPr>
              <w:jc w:val="center"/>
              <w:rPr>
                <w:color w:val="000000" w:themeColor="text1"/>
                <w:szCs w:val="21"/>
              </w:rPr>
            </w:pPr>
            <w:r>
              <w:rPr>
                <w:rFonts w:hint="eastAsia"/>
                <w:color w:val="000000" w:themeColor="text1"/>
                <w:szCs w:val="21"/>
              </w:rPr>
              <w:t>总磷</w:t>
            </w:r>
          </w:p>
        </w:tc>
        <w:tc>
          <w:tcPr>
            <w:tcW w:w="2265" w:type="dxa"/>
            <w:vAlign w:val="center"/>
          </w:tcPr>
          <w:p w:rsidR="00644456" w:rsidRDefault="008031C4">
            <w:pPr>
              <w:jc w:val="center"/>
              <w:rPr>
                <w:color w:val="000000" w:themeColor="text1"/>
                <w:szCs w:val="21"/>
              </w:rPr>
            </w:pPr>
            <w:r>
              <w:rPr>
                <w:rFonts w:hint="eastAsia"/>
                <w:color w:val="000000" w:themeColor="text1"/>
                <w:szCs w:val="21"/>
              </w:rPr>
              <w:t>/</w:t>
            </w:r>
          </w:p>
        </w:tc>
        <w:tc>
          <w:tcPr>
            <w:tcW w:w="2265" w:type="dxa"/>
            <w:vAlign w:val="center"/>
          </w:tcPr>
          <w:p w:rsidR="00644456" w:rsidRDefault="008031C4">
            <w:pPr>
              <w:jc w:val="center"/>
              <w:rPr>
                <w:color w:val="000000" w:themeColor="text1"/>
                <w:szCs w:val="21"/>
              </w:rPr>
            </w:pPr>
            <w:r>
              <w:rPr>
                <w:color w:val="000000" w:themeColor="text1"/>
                <w:szCs w:val="21"/>
              </w:rPr>
              <w:t>8</w:t>
            </w:r>
          </w:p>
        </w:tc>
        <w:tc>
          <w:tcPr>
            <w:tcW w:w="2265" w:type="dxa"/>
            <w:vAlign w:val="center"/>
          </w:tcPr>
          <w:p w:rsidR="00644456" w:rsidRDefault="008031C4">
            <w:pPr>
              <w:jc w:val="center"/>
              <w:rPr>
                <w:color w:val="000000" w:themeColor="text1"/>
                <w:szCs w:val="21"/>
              </w:rPr>
            </w:pPr>
            <w:r>
              <w:rPr>
                <w:rFonts w:hint="eastAsia"/>
                <w:color w:val="000000" w:themeColor="text1"/>
                <w:szCs w:val="21"/>
              </w:rPr>
              <w:t>0</w:t>
            </w:r>
            <w:r>
              <w:rPr>
                <w:color w:val="000000" w:themeColor="text1"/>
                <w:szCs w:val="21"/>
              </w:rPr>
              <w:t>.5</w:t>
            </w:r>
          </w:p>
        </w:tc>
      </w:tr>
      <w:tr w:rsidR="00644456">
        <w:trPr>
          <w:trHeight w:val="82"/>
          <w:jc w:val="center"/>
        </w:trPr>
        <w:tc>
          <w:tcPr>
            <w:tcW w:w="2263" w:type="dxa"/>
            <w:vAlign w:val="center"/>
          </w:tcPr>
          <w:p w:rsidR="00644456" w:rsidRDefault="008031C4">
            <w:pPr>
              <w:jc w:val="center"/>
              <w:rPr>
                <w:color w:val="000000" w:themeColor="text1"/>
                <w:szCs w:val="21"/>
              </w:rPr>
            </w:pPr>
            <w:r>
              <w:rPr>
                <w:rFonts w:hint="eastAsia"/>
                <w:color w:val="000000" w:themeColor="text1"/>
                <w:szCs w:val="21"/>
              </w:rPr>
              <w:t>动植物油</w:t>
            </w:r>
          </w:p>
        </w:tc>
        <w:tc>
          <w:tcPr>
            <w:tcW w:w="2265" w:type="dxa"/>
            <w:vAlign w:val="center"/>
          </w:tcPr>
          <w:p w:rsidR="00644456" w:rsidRDefault="008031C4">
            <w:pPr>
              <w:jc w:val="center"/>
              <w:rPr>
                <w:color w:val="000000" w:themeColor="text1"/>
                <w:szCs w:val="21"/>
              </w:rPr>
            </w:pPr>
            <w:r>
              <w:rPr>
                <w:rFonts w:hint="eastAsia"/>
                <w:color w:val="000000" w:themeColor="text1"/>
                <w:szCs w:val="21"/>
              </w:rPr>
              <w:t>1</w:t>
            </w:r>
            <w:r>
              <w:rPr>
                <w:color w:val="000000" w:themeColor="text1"/>
                <w:szCs w:val="21"/>
              </w:rPr>
              <w:t>00</w:t>
            </w:r>
          </w:p>
        </w:tc>
        <w:tc>
          <w:tcPr>
            <w:tcW w:w="2265" w:type="dxa"/>
            <w:vAlign w:val="center"/>
          </w:tcPr>
          <w:p w:rsidR="00644456" w:rsidRDefault="008031C4">
            <w:pPr>
              <w:jc w:val="center"/>
              <w:rPr>
                <w:color w:val="000000" w:themeColor="text1"/>
                <w:szCs w:val="21"/>
              </w:rPr>
            </w:pPr>
            <w:r>
              <w:rPr>
                <w:rFonts w:hint="eastAsia"/>
                <w:color w:val="000000" w:themeColor="text1"/>
                <w:szCs w:val="21"/>
              </w:rPr>
              <w:t>1</w:t>
            </w:r>
            <w:r>
              <w:rPr>
                <w:color w:val="000000" w:themeColor="text1"/>
                <w:szCs w:val="21"/>
              </w:rPr>
              <w:t>00</w:t>
            </w:r>
          </w:p>
        </w:tc>
        <w:tc>
          <w:tcPr>
            <w:tcW w:w="2265" w:type="dxa"/>
            <w:vAlign w:val="center"/>
          </w:tcPr>
          <w:p w:rsidR="00644456" w:rsidRDefault="008031C4">
            <w:pPr>
              <w:jc w:val="center"/>
              <w:rPr>
                <w:color w:val="000000" w:themeColor="text1"/>
                <w:szCs w:val="21"/>
              </w:rPr>
            </w:pPr>
            <w:r>
              <w:rPr>
                <w:rFonts w:hint="eastAsia"/>
                <w:color w:val="000000" w:themeColor="text1"/>
                <w:szCs w:val="21"/>
              </w:rPr>
              <w:t>1</w:t>
            </w:r>
          </w:p>
        </w:tc>
      </w:tr>
      <w:tr w:rsidR="00644456">
        <w:trPr>
          <w:trHeight w:val="82"/>
          <w:jc w:val="center"/>
        </w:trPr>
        <w:tc>
          <w:tcPr>
            <w:tcW w:w="2263" w:type="dxa"/>
            <w:vAlign w:val="center"/>
          </w:tcPr>
          <w:p w:rsidR="00644456" w:rsidRDefault="008031C4">
            <w:pPr>
              <w:jc w:val="center"/>
              <w:rPr>
                <w:color w:val="000000" w:themeColor="text1"/>
                <w:szCs w:val="21"/>
              </w:rPr>
            </w:pPr>
            <w:r>
              <w:rPr>
                <w:rFonts w:hint="eastAsia"/>
                <w:color w:val="000000" w:themeColor="text1"/>
                <w:szCs w:val="21"/>
              </w:rPr>
              <w:t>石油类</w:t>
            </w:r>
          </w:p>
        </w:tc>
        <w:tc>
          <w:tcPr>
            <w:tcW w:w="2265" w:type="dxa"/>
            <w:vAlign w:val="center"/>
          </w:tcPr>
          <w:p w:rsidR="00644456" w:rsidRDefault="008031C4">
            <w:pPr>
              <w:jc w:val="center"/>
              <w:rPr>
                <w:color w:val="000000" w:themeColor="text1"/>
                <w:szCs w:val="21"/>
              </w:rPr>
            </w:pPr>
            <w:r>
              <w:rPr>
                <w:rFonts w:hint="eastAsia"/>
                <w:color w:val="000000" w:themeColor="text1"/>
                <w:szCs w:val="21"/>
              </w:rPr>
              <w:t>2</w:t>
            </w:r>
            <w:r>
              <w:rPr>
                <w:color w:val="000000" w:themeColor="text1"/>
                <w:szCs w:val="21"/>
              </w:rPr>
              <w:t>0</w:t>
            </w:r>
          </w:p>
        </w:tc>
        <w:tc>
          <w:tcPr>
            <w:tcW w:w="2265" w:type="dxa"/>
            <w:vAlign w:val="center"/>
          </w:tcPr>
          <w:p w:rsidR="00644456" w:rsidRDefault="008031C4">
            <w:pPr>
              <w:jc w:val="center"/>
              <w:rPr>
                <w:color w:val="000000" w:themeColor="text1"/>
                <w:szCs w:val="21"/>
              </w:rPr>
            </w:pPr>
            <w:r>
              <w:rPr>
                <w:rFonts w:hint="eastAsia"/>
                <w:color w:val="000000" w:themeColor="text1"/>
                <w:szCs w:val="21"/>
              </w:rPr>
              <w:t>1</w:t>
            </w:r>
            <w:r>
              <w:rPr>
                <w:color w:val="000000" w:themeColor="text1"/>
                <w:szCs w:val="21"/>
              </w:rPr>
              <w:t>5</w:t>
            </w:r>
          </w:p>
        </w:tc>
        <w:tc>
          <w:tcPr>
            <w:tcW w:w="2265" w:type="dxa"/>
            <w:vAlign w:val="center"/>
          </w:tcPr>
          <w:p w:rsidR="00644456" w:rsidRDefault="00644456">
            <w:pPr>
              <w:jc w:val="center"/>
              <w:rPr>
                <w:color w:val="000000" w:themeColor="text1"/>
                <w:szCs w:val="21"/>
              </w:rPr>
            </w:pPr>
          </w:p>
        </w:tc>
      </w:tr>
    </w:tbl>
    <w:p w:rsidR="00644456" w:rsidRDefault="008031C4">
      <w:pPr>
        <w:pStyle w:val="-"/>
        <w:adjustRightInd w:val="0"/>
        <w:snapToGrid w:val="0"/>
        <w:ind w:firstLine="480"/>
        <w:rPr>
          <w:rFonts w:cs="Times New Roman"/>
          <w:bCs/>
          <w:color w:val="000000" w:themeColor="text1"/>
          <w:szCs w:val="21"/>
        </w:rPr>
      </w:pPr>
      <w:r>
        <w:rPr>
          <w:rFonts w:cs="Times New Roman" w:hint="eastAsia"/>
          <w:bCs/>
          <w:color w:val="000000" w:themeColor="text1"/>
          <w:szCs w:val="21"/>
        </w:rPr>
        <w:t>3</w:t>
      </w:r>
      <w:r>
        <w:rPr>
          <w:rFonts w:cs="Times New Roman"/>
          <w:bCs/>
          <w:color w:val="000000" w:themeColor="text1"/>
          <w:szCs w:val="21"/>
        </w:rPr>
        <w:t>）噪声</w:t>
      </w:r>
    </w:p>
    <w:p w:rsidR="00644456" w:rsidRDefault="008031C4">
      <w:pPr>
        <w:pStyle w:val="-"/>
        <w:adjustRightInd w:val="0"/>
        <w:snapToGrid w:val="0"/>
        <w:ind w:firstLine="480"/>
        <w:rPr>
          <w:rFonts w:cs="Times New Roman"/>
          <w:bCs/>
          <w:color w:val="000000" w:themeColor="text1"/>
          <w:szCs w:val="21"/>
        </w:rPr>
      </w:pPr>
      <w:r>
        <w:rPr>
          <w:rFonts w:cs="Times New Roman" w:hint="eastAsia"/>
          <w:bCs/>
          <w:color w:val="000000" w:themeColor="text1"/>
          <w:szCs w:val="21"/>
        </w:rPr>
        <w:t>施工期噪声执行《建筑施工场界环境噪声排放标准》（</w:t>
      </w:r>
      <w:r>
        <w:rPr>
          <w:rFonts w:cs="Times New Roman" w:hint="eastAsia"/>
          <w:bCs/>
          <w:color w:val="000000" w:themeColor="text1"/>
          <w:szCs w:val="21"/>
        </w:rPr>
        <w:t>GB12523-2011</w:t>
      </w:r>
      <w:r>
        <w:rPr>
          <w:rFonts w:cs="Times New Roman" w:hint="eastAsia"/>
          <w:bCs/>
          <w:color w:val="000000" w:themeColor="text1"/>
          <w:szCs w:val="21"/>
        </w:rPr>
        <w:t>）有关规定，不同施工阶段主要噪声源控制限值见表</w:t>
      </w:r>
      <w:r>
        <w:rPr>
          <w:rFonts w:cs="Times New Roman" w:hint="eastAsia"/>
          <w:bCs/>
          <w:color w:val="000000" w:themeColor="text1"/>
          <w:szCs w:val="21"/>
        </w:rPr>
        <w:t>1.7-10</w:t>
      </w:r>
      <w:r>
        <w:rPr>
          <w:rFonts w:cs="Times New Roman" w:hint="eastAsia"/>
          <w:bCs/>
          <w:color w:val="000000" w:themeColor="text1"/>
          <w:szCs w:val="21"/>
        </w:rPr>
        <w:t>。</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1.7-10</w:t>
      </w:r>
      <w:r>
        <w:rPr>
          <w:rFonts w:ascii="Times New Roman" w:eastAsia="宋体" w:hAnsi="Times New Roman" w:cs="Times New Roman" w:hint="eastAsia"/>
          <w:b/>
          <w:color w:val="000000" w:themeColor="text1"/>
          <w:sz w:val="24"/>
        </w:rPr>
        <w:t>《建筑施工场界环境噪声排放标准》（</w:t>
      </w:r>
      <w:r>
        <w:rPr>
          <w:rFonts w:ascii="Times New Roman" w:eastAsia="宋体" w:hAnsi="Times New Roman" w:cs="Times New Roman" w:hint="eastAsia"/>
          <w:b/>
          <w:color w:val="000000" w:themeColor="text1"/>
          <w:sz w:val="24"/>
        </w:rPr>
        <w:t>GB12523-2011</w:t>
      </w:r>
      <w:r>
        <w:rPr>
          <w:rFonts w:ascii="Times New Roman" w:eastAsia="宋体" w:hAnsi="Times New Roman" w:cs="Times New Roman" w:hint="eastAsia"/>
          <w:b/>
          <w:color w:val="000000" w:themeColor="text1"/>
          <w:sz w:val="24"/>
        </w:rPr>
        <w:t>）</w:t>
      </w:r>
    </w:p>
    <w:tbl>
      <w:tblPr>
        <w:tblStyle w:val="affff4"/>
        <w:tblW w:w="0" w:type="auto"/>
        <w:tblLook w:val="04A0" w:firstRow="1" w:lastRow="0" w:firstColumn="1" w:lastColumn="0" w:noHBand="0" w:noVBand="1"/>
      </w:tblPr>
      <w:tblGrid>
        <w:gridCol w:w="2180"/>
        <w:gridCol w:w="2180"/>
        <w:gridCol w:w="2180"/>
        <w:gridCol w:w="2180"/>
      </w:tblGrid>
      <w:tr w:rsidR="00644456">
        <w:tc>
          <w:tcPr>
            <w:tcW w:w="2180" w:type="dxa"/>
            <w:vMerge w:val="restart"/>
            <w:vAlign w:val="center"/>
          </w:tcPr>
          <w:p w:rsidR="00644456" w:rsidRDefault="008031C4">
            <w:pPr>
              <w:adjustRightInd w:val="0"/>
              <w:jc w:val="center"/>
              <w:rPr>
                <w:b/>
                <w:bCs/>
                <w:color w:val="000000" w:themeColor="text1"/>
                <w:szCs w:val="21"/>
              </w:rPr>
            </w:pPr>
            <w:r>
              <w:rPr>
                <w:rFonts w:hint="eastAsia"/>
                <w:b/>
                <w:bCs/>
                <w:color w:val="000000" w:themeColor="text1"/>
                <w:szCs w:val="21"/>
              </w:rPr>
              <w:t>施工阶段</w:t>
            </w:r>
          </w:p>
        </w:tc>
        <w:tc>
          <w:tcPr>
            <w:tcW w:w="2180" w:type="dxa"/>
            <w:vMerge w:val="restart"/>
            <w:vAlign w:val="center"/>
          </w:tcPr>
          <w:p w:rsidR="00644456" w:rsidRDefault="008031C4">
            <w:pPr>
              <w:adjustRightInd w:val="0"/>
              <w:jc w:val="center"/>
              <w:rPr>
                <w:b/>
                <w:bCs/>
                <w:color w:val="000000" w:themeColor="text1"/>
                <w:szCs w:val="21"/>
              </w:rPr>
            </w:pPr>
            <w:r>
              <w:rPr>
                <w:rFonts w:hint="eastAsia"/>
                <w:b/>
                <w:bCs/>
                <w:color w:val="000000" w:themeColor="text1"/>
                <w:szCs w:val="21"/>
              </w:rPr>
              <w:t>主要噪声源</w:t>
            </w:r>
          </w:p>
        </w:tc>
        <w:tc>
          <w:tcPr>
            <w:tcW w:w="4360" w:type="dxa"/>
            <w:gridSpan w:val="2"/>
            <w:vAlign w:val="center"/>
          </w:tcPr>
          <w:p w:rsidR="00644456" w:rsidRDefault="008031C4">
            <w:pPr>
              <w:adjustRightInd w:val="0"/>
              <w:jc w:val="center"/>
              <w:rPr>
                <w:b/>
                <w:bCs/>
                <w:color w:val="000000" w:themeColor="text1"/>
                <w:szCs w:val="21"/>
              </w:rPr>
            </w:pPr>
            <w:r>
              <w:rPr>
                <w:rFonts w:hint="eastAsia"/>
                <w:b/>
                <w:bCs/>
                <w:color w:val="000000" w:themeColor="text1"/>
                <w:szCs w:val="21"/>
              </w:rPr>
              <w:t>噪声限值（</w:t>
            </w:r>
            <w:r>
              <w:rPr>
                <w:rFonts w:hint="eastAsia"/>
                <w:b/>
                <w:bCs/>
                <w:color w:val="000000" w:themeColor="text1"/>
                <w:szCs w:val="21"/>
              </w:rPr>
              <w:t>dB</w:t>
            </w:r>
            <w:r>
              <w:rPr>
                <w:rFonts w:hint="eastAsia"/>
                <w:b/>
                <w:bCs/>
                <w:color w:val="000000" w:themeColor="text1"/>
                <w:szCs w:val="21"/>
              </w:rPr>
              <w:t>（</w:t>
            </w:r>
            <w:r>
              <w:rPr>
                <w:rFonts w:hint="eastAsia"/>
                <w:b/>
                <w:bCs/>
                <w:color w:val="000000" w:themeColor="text1"/>
                <w:szCs w:val="21"/>
              </w:rPr>
              <w:t>A</w:t>
            </w:r>
            <w:r>
              <w:rPr>
                <w:rFonts w:hint="eastAsia"/>
                <w:b/>
                <w:bCs/>
                <w:color w:val="000000" w:themeColor="text1"/>
                <w:szCs w:val="21"/>
              </w:rPr>
              <w:t>））</w:t>
            </w:r>
          </w:p>
        </w:tc>
      </w:tr>
      <w:tr w:rsidR="00644456">
        <w:tc>
          <w:tcPr>
            <w:tcW w:w="2180" w:type="dxa"/>
            <w:vMerge/>
            <w:vAlign w:val="center"/>
          </w:tcPr>
          <w:p w:rsidR="00644456" w:rsidRDefault="00644456">
            <w:pPr>
              <w:adjustRightInd w:val="0"/>
              <w:jc w:val="center"/>
              <w:rPr>
                <w:color w:val="000000" w:themeColor="text1"/>
                <w:szCs w:val="21"/>
              </w:rPr>
            </w:pPr>
          </w:p>
        </w:tc>
        <w:tc>
          <w:tcPr>
            <w:tcW w:w="2180" w:type="dxa"/>
            <w:vMerge/>
            <w:vAlign w:val="center"/>
          </w:tcPr>
          <w:p w:rsidR="00644456" w:rsidRDefault="00644456">
            <w:pPr>
              <w:adjustRightInd w:val="0"/>
              <w:jc w:val="center"/>
              <w:rPr>
                <w:color w:val="000000" w:themeColor="text1"/>
                <w:szCs w:val="21"/>
              </w:rPr>
            </w:pPr>
          </w:p>
        </w:tc>
        <w:tc>
          <w:tcPr>
            <w:tcW w:w="2180" w:type="dxa"/>
            <w:vAlign w:val="center"/>
          </w:tcPr>
          <w:p w:rsidR="00644456" w:rsidRDefault="008031C4">
            <w:pPr>
              <w:adjustRightInd w:val="0"/>
              <w:jc w:val="center"/>
              <w:rPr>
                <w:color w:val="000000" w:themeColor="text1"/>
                <w:szCs w:val="21"/>
              </w:rPr>
            </w:pPr>
            <w:r>
              <w:rPr>
                <w:rFonts w:hint="eastAsia"/>
                <w:color w:val="000000" w:themeColor="text1"/>
                <w:szCs w:val="21"/>
              </w:rPr>
              <w:t>昼间</w:t>
            </w:r>
          </w:p>
        </w:tc>
        <w:tc>
          <w:tcPr>
            <w:tcW w:w="2180" w:type="dxa"/>
            <w:vAlign w:val="center"/>
          </w:tcPr>
          <w:p w:rsidR="00644456" w:rsidRDefault="008031C4">
            <w:pPr>
              <w:adjustRightInd w:val="0"/>
              <w:jc w:val="center"/>
              <w:rPr>
                <w:color w:val="000000" w:themeColor="text1"/>
                <w:szCs w:val="21"/>
              </w:rPr>
            </w:pPr>
            <w:r>
              <w:rPr>
                <w:color w:val="000000" w:themeColor="text1"/>
                <w:szCs w:val="21"/>
              </w:rPr>
              <w:t>夜间</w:t>
            </w:r>
          </w:p>
        </w:tc>
      </w:tr>
      <w:tr w:rsidR="00644456">
        <w:tc>
          <w:tcPr>
            <w:tcW w:w="2180" w:type="dxa"/>
            <w:vAlign w:val="center"/>
          </w:tcPr>
          <w:p w:rsidR="00644456" w:rsidRDefault="008031C4">
            <w:pPr>
              <w:adjustRightInd w:val="0"/>
              <w:jc w:val="center"/>
              <w:rPr>
                <w:color w:val="000000" w:themeColor="text1"/>
                <w:szCs w:val="21"/>
              </w:rPr>
            </w:pPr>
            <w:r>
              <w:rPr>
                <w:rFonts w:hint="eastAsia"/>
                <w:color w:val="000000" w:themeColor="text1"/>
                <w:szCs w:val="21"/>
              </w:rPr>
              <w:t>施工设备</w:t>
            </w:r>
          </w:p>
        </w:tc>
        <w:tc>
          <w:tcPr>
            <w:tcW w:w="2180" w:type="dxa"/>
            <w:vAlign w:val="center"/>
          </w:tcPr>
          <w:p w:rsidR="00644456" w:rsidRDefault="008031C4">
            <w:pPr>
              <w:adjustRightInd w:val="0"/>
              <w:jc w:val="center"/>
              <w:rPr>
                <w:color w:val="000000" w:themeColor="text1"/>
                <w:szCs w:val="21"/>
              </w:rPr>
            </w:pPr>
            <w:r>
              <w:rPr>
                <w:rFonts w:hint="eastAsia"/>
                <w:color w:val="000000" w:themeColor="text1"/>
                <w:szCs w:val="21"/>
              </w:rPr>
              <w:t>推土机、挖掘机、装载机、打桩机、振捣棒、电锯等</w:t>
            </w:r>
          </w:p>
        </w:tc>
        <w:tc>
          <w:tcPr>
            <w:tcW w:w="2180" w:type="dxa"/>
            <w:vAlign w:val="center"/>
          </w:tcPr>
          <w:p w:rsidR="00644456" w:rsidRDefault="008031C4">
            <w:pPr>
              <w:adjustRightInd w:val="0"/>
              <w:jc w:val="center"/>
              <w:rPr>
                <w:color w:val="000000" w:themeColor="text1"/>
                <w:szCs w:val="21"/>
              </w:rPr>
            </w:pPr>
            <w:r>
              <w:rPr>
                <w:rFonts w:hint="eastAsia"/>
                <w:color w:val="000000" w:themeColor="text1"/>
                <w:szCs w:val="21"/>
              </w:rPr>
              <w:t>7</w:t>
            </w:r>
            <w:r>
              <w:rPr>
                <w:color w:val="000000" w:themeColor="text1"/>
                <w:szCs w:val="21"/>
              </w:rPr>
              <w:t>0</w:t>
            </w:r>
          </w:p>
        </w:tc>
        <w:tc>
          <w:tcPr>
            <w:tcW w:w="2180" w:type="dxa"/>
            <w:vAlign w:val="center"/>
          </w:tcPr>
          <w:p w:rsidR="00644456" w:rsidRDefault="008031C4">
            <w:pPr>
              <w:adjustRightInd w:val="0"/>
              <w:jc w:val="center"/>
              <w:rPr>
                <w:color w:val="000000" w:themeColor="text1"/>
                <w:szCs w:val="21"/>
              </w:rPr>
            </w:pPr>
            <w:r>
              <w:rPr>
                <w:rFonts w:hint="eastAsia"/>
                <w:color w:val="000000" w:themeColor="text1"/>
                <w:szCs w:val="21"/>
              </w:rPr>
              <w:t>2</w:t>
            </w:r>
            <w:r>
              <w:rPr>
                <w:color w:val="000000" w:themeColor="text1"/>
                <w:szCs w:val="21"/>
              </w:rPr>
              <w:t>2</w:t>
            </w:r>
          </w:p>
        </w:tc>
      </w:tr>
    </w:tbl>
    <w:p w:rsidR="00644456" w:rsidRDefault="008031C4">
      <w:pPr>
        <w:pStyle w:val="-"/>
        <w:adjustRightInd w:val="0"/>
        <w:snapToGrid w:val="0"/>
        <w:ind w:firstLine="480"/>
        <w:rPr>
          <w:rFonts w:cs="Times New Roman"/>
          <w:bCs/>
          <w:color w:val="000000" w:themeColor="text1"/>
          <w:szCs w:val="21"/>
        </w:rPr>
      </w:pPr>
      <w:r>
        <w:rPr>
          <w:rFonts w:cs="Times New Roman" w:hint="eastAsia"/>
          <w:bCs/>
          <w:color w:val="000000" w:themeColor="text1"/>
          <w:szCs w:val="21"/>
        </w:rPr>
        <w:t>运营期</w:t>
      </w:r>
      <w:r>
        <w:rPr>
          <w:rFonts w:cs="Times New Roman"/>
          <w:bCs/>
          <w:color w:val="000000" w:themeColor="text1"/>
          <w:szCs w:val="21"/>
        </w:rPr>
        <w:t>厂界噪声排放执行《工业企业厂界环境噪声排放标准》（</w:t>
      </w:r>
      <w:r>
        <w:rPr>
          <w:rFonts w:cs="Times New Roman"/>
          <w:bCs/>
          <w:color w:val="000000" w:themeColor="text1"/>
          <w:szCs w:val="21"/>
        </w:rPr>
        <w:t>GB12348-2008</w:t>
      </w:r>
      <w:r>
        <w:rPr>
          <w:rFonts w:cs="Times New Roman"/>
          <w:bCs/>
          <w:color w:val="000000" w:themeColor="text1"/>
          <w:szCs w:val="21"/>
        </w:rPr>
        <w:t>）的</w:t>
      </w:r>
      <w:r>
        <w:rPr>
          <w:rFonts w:cs="Times New Roman"/>
          <w:bCs/>
          <w:color w:val="000000" w:themeColor="text1"/>
          <w:szCs w:val="21"/>
        </w:rPr>
        <w:t>3</w:t>
      </w:r>
      <w:r>
        <w:rPr>
          <w:rFonts w:cs="Times New Roman"/>
          <w:bCs/>
          <w:color w:val="000000" w:themeColor="text1"/>
          <w:szCs w:val="21"/>
        </w:rPr>
        <w:t>类标准，标准限值见表</w:t>
      </w:r>
      <w:r>
        <w:rPr>
          <w:rFonts w:cs="Times New Roman" w:hint="eastAsia"/>
          <w:bCs/>
          <w:color w:val="000000" w:themeColor="text1"/>
          <w:szCs w:val="21"/>
        </w:rPr>
        <w:t>1.7-11</w:t>
      </w:r>
      <w:r>
        <w:rPr>
          <w:rFonts w:cs="Times New Roman"/>
          <w:bCs/>
          <w:color w:val="000000" w:themeColor="text1"/>
          <w:szCs w:val="21"/>
        </w:rPr>
        <w:t>。</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1.7-11</w:t>
      </w:r>
      <w:r>
        <w:rPr>
          <w:rFonts w:ascii="Times New Roman" w:eastAsia="宋体" w:hAnsi="Times New Roman" w:cs="Times New Roman" w:hint="eastAsia"/>
          <w:b/>
          <w:color w:val="000000" w:themeColor="text1"/>
          <w:sz w:val="24"/>
        </w:rPr>
        <w:t>工业企业厂界环境噪声排放标准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3"/>
        <w:gridCol w:w="2608"/>
        <w:gridCol w:w="2651"/>
      </w:tblGrid>
      <w:tr w:rsidR="00644456">
        <w:trPr>
          <w:trHeight w:val="296"/>
          <w:jc w:val="center"/>
        </w:trPr>
        <w:tc>
          <w:tcPr>
            <w:tcW w:w="3033" w:type="dxa"/>
            <w:vMerge w:val="restart"/>
            <w:vAlign w:val="center"/>
          </w:tcPr>
          <w:p w:rsidR="00644456" w:rsidRDefault="008031C4">
            <w:pPr>
              <w:jc w:val="center"/>
              <w:rPr>
                <w:b/>
                <w:bCs/>
                <w:color w:val="000000" w:themeColor="text1"/>
                <w:szCs w:val="21"/>
              </w:rPr>
            </w:pPr>
            <w:r>
              <w:rPr>
                <w:b/>
                <w:bCs/>
                <w:color w:val="000000" w:themeColor="text1"/>
                <w:szCs w:val="21"/>
              </w:rPr>
              <w:t>类别</w:t>
            </w:r>
          </w:p>
        </w:tc>
        <w:tc>
          <w:tcPr>
            <w:tcW w:w="5259" w:type="dxa"/>
            <w:gridSpan w:val="2"/>
            <w:vAlign w:val="center"/>
          </w:tcPr>
          <w:p w:rsidR="00644456" w:rsidRDefault="008031C4">
            <w:pPr>
              <w:jc w:val="center"/>
              <w:rPr>
                <w:b/>
                <w:bCs/>
                <w:color w:val="000000" w:themeColor="text1"/>
                <w:szCs w:val="21"/>
              </w:rPr>
            </w:pPr>
            <w:r>
              <w:rPr>
                <w:b/>
                <w:bCs/>
                <w:color w:val="000000" w:themeColor="text1"/>
                <w:szCs w:val="21"/>
              </w:rPr>
              <w:t>标准值（</w:t>
            </w:r>
            <w:r>
              <w:rPr>
                <w:b/>
                <w:bCs/>
                <w:color w:val="000000" w:themeColor="text1"/>
                <w:szCs w:val="21"/>
              </w:rPr>
              <w:t>Leq</w:t>
            </w:r>
            <w:r>
              <w:rPr>
                <w:b/>
                <w:bCs/>
                <w:color w:val="000000" w:themeColor="text1"/>
                <w:szCs w:val="21"/>
              </w:rPr>
              <w:t>：</w:t>
            </w:r>
            <w:r>
              <w:rPr>
                <w:b/>
                <w:bCs/>
                <w:color w:val="000000" w:themeColor="text1"/>
                <w:szCs w:val="21"/>
              </w:rPr>
              <w:t>dB</w:t>
            </w:r>
            <w:r>
              <w:rPr>
                <w:b/>
                <w:bCs/>
                <w:color w:val="000000" w:themeColor="text1"/>
                <w:szCs w:val="21"/>
              </w:rPr>
              <w:t>（</w:t>
            </w:r>
            <w:r>
              <w:rPr>
                <w:b/>
                <w:bCs/>
                <w:color w:val="000000" w:themeColor="text1"/>
                <w:szCs w:val="21"/>
              </w:rPr>
              <w:t>A</w:t>
            </w:r>
            <w:r>
              <w:rPr>
                <w:b/>
                <w:bCs/>
                <w:color w:val="000000" w:themeColor="text1"/>
                <w:szCs w:val="21"/>
              </w:rPr>
              <w:t>））</w:t>
            </w:r>
          </w:p>
        </w:tc>
      </w:tr>
      <w:tr w:rsidR="00644456">
        <w:trPr>
          <w:trHeight w:val="233"/>
          <w:jc w:val="center"/>
        </w:trPr>
        <w:tc>
          <w:tcPr>
            <w:tcW w:w="3033" w:type="dxa"/>
            <w:vMerge/>
            <w:vAlign w:val="center"/>
          </w:tcPr>
          <w:p w:rsidR="00644456" w:rsidRDefault="00644456">
            <w:pPr>
              <w:jc w:val="center"/>
              <w:rPr>
                <w:b/>
                <w:bCs/>
                <w:color w:val="000000" w:themeColor="text1"/>
                <w:szCs w:val="21"/>
              </w:rPr>
            </w:pPr>
          </w:p>
        </w:tc>
        <w:tc>
          <w:tcPr>
            <w:tcW w:w="2608" w:type="dxa"/>
            <w:vAlign w:val="center"/>
          </w:tcPr>
          <w:p w:rsidR="00644456" w:rsidRDefault="008031C4">
            <w:pPr>
              <w:jc w:val="center"/>
              <w:rPr>
                <w:b/>
                <w:bCs/>
                <w:color w:val="000000" w:themeColor="text1"/>
                <w:szCs w:val="21"/>
              </w:rPr>
            </w:pPr>
            <w:r>
              <w:rPr>
                <w:b/>
                <w:bCs/>
                <w:color w:val="000000" w:themeColor="text1"/>
                <w:szCs w:val="21"/>
              </w:rPr>
              <w:t>昼间</w:t>
            </w:r>
          </w:p>
        </w:tc>
        <w:tc>
          <w:tcPr>
            <w:tcW w:w="2651" w:type="dxa"/>
            <w:vAlign w:val="center"/>
          </w:tcPr>
          <w:p w:rsidR="00644456" w:rsidRDefault="008031C4">
            <w:pPr>
              <w:jc w:val="center"/>
              <w:rPr>
                <w:b/>
                <w:bCs/>
                <w:color w:val="000000" w:themeColor="text1"/>
                <w:szCs w:val="21"/>
              </w:rPr>
            </w:pPr>
            <w:r>
              <w:rPr>
                <w:b/>
                <w:bCs/>
                <w:color w:val="000000" w:themeColor="text1"/>
                <w:szCs w:val="21"/>
              </w:rPr>
              <w:t>夜间</w:t>
            </w:r>
          </w:p>
        </w:tc>
      </w:tr>
      <w:tr w:rsidR="00644456">
        <w:trPr>
          <w:trHeight w:val="243"/>
          <w:jc w:val="center"/>
        </w:trPr>
        <w:tc>
          <w:tcPr>
            <w:tcW w:w="3033" w:type="dxa"/>
            <w:vAlign w:val="center"/>
          </w:tcPr>
          <w:p w:rsidR="00644456" w:rsidRDefault="008031C4">
            <w:pPr>
              <w:jc w:val="center"/>
              <w:rPr>
                <w:color w:val="000000" w:themeColor="text1"/>
                <w:szCs w:val="21"/>
              </w:rPr>
            </w:pPr>
            <w:r>
              <w:rPr>
                <w:color w:val="000000" w:themeColor="text1"/>
                <w:szCs w:val="21"/>
              </w:rPr>
              <w:t>3</w:t>
            </w:r>
            <w:r>
              <w:rPr>
                <w:color w:val="000000" w:themeColor="text1"/>
                <w:szCs w:val="21"/>
              </w:rPr>
              <w:t>类</w:t>
            </w:r>
          </w:p>
        </w:tc>
        <w:tc>
          <w:tcPr>
            <w:tcW w:w="2608" w:type="dxa"/>
            <w:vAlign w:val="center"/>
          </w:tcPr>
          <w:p w:rsidR="00644456" w:rsidRDefault="008031C4">
            <w:pPr>
              <w:jc w:val="center"/>
              <w:rPr>
                <w:color w:val="000000" w:themeColor="text1"/>
                <w:szCs w:val="21"/>
              </w:rPr>
            </w:pPr>
            <w:r>
              <w:rPr>
                <w:color w:val="000000" w:themeColor="text1"/>
                <w:szCs w:val="21"/>
              </w:rPr>
              <w:t>65</w:t>
            </w:r>
          </w:p>
        </w:tc>
        <w:tc>
          <w:tcPr>
            <w:tcW w:w="2651" w:type="dxa"/>
            <w:vAlign w:val="center"/>
          </w:tcPr>
          <w:p w:rsidR="00644456" w:rsidRDefault="008031C4">
            <w:pPr>
              <w:jc w:val="center"/>
              <w:rPr>
                <w:color w:val="000000" w:themeColor="text1"/>
                <w:szCs w:val="21"/>
              </w:rPr>
            </w:pPr>
            <w:r>
              <w:rPr>
                <w:color w:val="000000" w:themeColor="text1"/>
                <w:szCs w:val="21"/>
              </w:rPr>
              <w:t>55</w:t>
            </w:r>
          </w:p>
        </w:tc>
      </w:tr>
    </w:tbl>
    <w:p w:rsidR="00644456" w:rsidRDefault="008031C4">
      <w:pPr>
        <w:pStyle w:val="-"/>
        <w:adjustRightInd w:val="0"/>
        <w:snapToGrid w:val="0"/>
        <w:ind w:firstLine="480"/>
        <w:rPr>
          <w:rFonts w:cs="Times New Roman"/>
          <w:bCs/>
          <w:color w:val="000000" w:themeColor="text1"/>
          <w:szCs w:val="21"/>
        </w:rPr>
      </w:pPr>
      <w:r>
        <w:rPr>
          <w:rFonts w:cs="Times New Roman" w:hint="eastAsia"/>
          <w:bCs/>
          <w:color w:val="000000" w:themeColor="text1"/>
          <w:szCs w:val="21"/>
        </w:rPr>
        <w:t>4</w:t>
      </w:r>
      <w:r>
        <w:rPr>
          <w:rFonts w:cs="Times New Roman" w:hint="eastAsia"/>
          <w:bCs/>
          <w:color w:val="000000" w:themeColor="text1"/>
          <w:szCs w:val="21"/>
        </w:rPr>
        <w:t>）固废</w:t>
      </w:r>
    </w:p>
    <w:p w:rsidR="00644456" w:rsidRDefault="008031C4">
      <w:pPr>
        <w:pStyle w:val="-"/>
        <w:adjustRightInd w:val="0"/>
        <w:snapToGrid w:val="0"/>
        <w:ind w:firstLine="480"/>
        <w:rPr>
          <w:rFonts w:cs="Times New Roman"/>
          <w:bCs/>
          <w:color w:val="000000" w:themeColor="text1"/>
          <w:szCs w:val="21"/>
        </w:rPr>
      </w:pPr>
      <w:r>
        <w:rPr>
          <w:rFonts w:cs="Times New Roman"/>
          <w:bCs/>
          <w:color w:val="000000" w:themeColor="text1"/>
          <w:szCs w:val="21"/>
        </w:rPr>
        <w:t>本项目固废</w:t>
      </w:r>
      <w:r>
        <w:rPr>
          <w:rFonts w:cs="Times New Roman" w:hint="eastAsia"/>
          <w:bCs/>
          <w:color w:val="000000" w:themeColor="text1"/>
          <w:szCs w:val="21"/>
        </w:rPr>
        <w:t>执行</w:t>
      </w:r>
      <w:r>
        <w:rPr>
          <w:rFonts w:cs="Times New Roman"/>
          <w:bCs/>
          <w:color w:val="000000" w:themeColor="text1"/>
          <w:szCs w:val="21"/>
        </w:rPr>
        <w:t>《</w:t>
      </w:r>
      <w:r>
        <w:rPr>
          <w:rFonts w:cs="Times New Roman" w:hint="eastAsia"/>
          <w:bCs/>
          <w:color w:val="000000" w:themeColor="text1"/>
          <w:szCs w:val="21"/>
        </w:rPr>
        <w:t>一般工业固体废物贮存和填埋污染控制标准》（</w:t>
      </w:r>
      <w:r>
        <w:rPr>
          <w:rFonts w:cs="Times New Roman" w:hint="eastAsia"/>
          <w:bCs/>
          <w:color w:val="000000" w:themeColor="text1"/>
          <w:szCs w:val="21"/>
        </w:rPr>
        <w:t>GB18599-2020</w:t>
      </w:r>
      <w:r>
        <w:rPr>
          <w:rFonts w:cs="Times New Roman" w:hint="eastAsia"/>
          <w:bCs/>
          <w:color w:val="000000" w:themeColor="text1"/>
          <w:szCs w:val="21"/>
        </w:rPr>
        <w:t>）中的相关要求；危险废物执行《危险废物贮存污染控制标准》（</w:t>
      </w:r>
      <w:r>
        <w:rPr>
          <w:rFonts w:cs="Times New Roman" w:hint="eastAsia"/>
          <w:bCs/>
          <w:color w:val="000000" w:themeColor="text1"/>
          <w:szCs w:val="21"/>
        </w:rPr>
        <w:t>GB18597-2023</w:t>
      </w:r>
      <w:r>
        <w:rPr>
          <w:rFonts w:cs="Times New Roman" w:hint="eastAsia"/>
          <w:bCs/>
          <w:color w:val="000000" w:themeColor="text1"/>
          <w:szCs w:val="21"/>
        </w:rPr>
        <w:t>）中的相关要求，均须妥善处理，不会造成二次污染。</w:t>
      </w:r>
    </w:p>
    <w:p w:rsidR="00644456" w:rsidRDefault="008031C4">
      <w:pPr>
        <w:pStyle w:val="-"/>
        <w:adjustRightInd w:val="0"/>
        <w:snapToGrid w:val="0"/>
        <w:ind w:firstLine="480"/>
        <w:rPr>
          <w:rFonts w:cs="Times New Roman"/>
          <w:bCs/>
          <w:color w:val="000000" w:themeColor="text1"/>
          <w:szCs w:val="21"/>
        </w:rPr>
      </w:pPr>
      <w:r>
        <w:rPr>
          <w:rFonts w:cs="Times New Roman" w:hint="eastAsia"/>
          <w:bCs/>
          <w:color w:val="000000" w:themeColor="text1"/>
          <w:szCs w:val="21"/>
        </w:rPr>
        <w:t>5</w:t>
      </w:r>
      <w:r>
        <w:rPr>
          <w:rFonts w:cs="Times New Roman" w:hint="eastAsia"/>
          <w:bCs/>
          <w:color w:val="000000" w:themeColor="text1"/>
          <w:szCs w:val="21"/>
        </w:rPr>
        <w:t>）生态环境</w:t>
      </w:r>
    </w:p>
    <w:p w:rsidR="00644456" w:rsidRDefault="008031C4">
      <w:pPr>
        <w:pStyle w:val="-"/>
        <w:adjustRightInd w:val="0"/>
        <w:snapToGrid w:val="0"/>
        <w:ind w:firstLine="480"/>
        <w:rPr>
          <w:rFonts w:cs="Times New Roman"/>
          <w:bCs/>
          <w:color w:val="000000" w:themeColor="text1"/>
          <w:szCs w:val="21"/>
        </w:rPr>
      </w:pPr>
      <w:r>
        <w:rPr>
          <w:rFonts w:cs="Times New Roman"/>
          <w:bCs/>
          <w:color w:val="000000" w:themeColor="text1"/>
          <w:szCs w:val="21"/>
        </w:rPr>
        <w:lastRenderedPageBreak/>
        <w:t>项目所在区域水土流失采用《土壤侵蚀分类分级标准》（</w:t>
      </w:r>
      <w:r>
        <w:rPr>
          <w:rFonts w:cs="Times New Roman"/>
          <w:bCs/>
          <w:color w:val="000000" w:themeColor="text1"/>
          <w:szCs w:val="21"/>
        </w:rPr>
        <w:t>SL190-2007</w:t>
      </w:r>
      <w:r>
        <w:rPr>
          <w:rFonts w:cs="Times New Roman"/>
          <w:bCs/>
          <w:color w:val="000000" w:themeColor="text1"/>
          <w:szCs w:val="21"/>
        </w:rPr>
        <w:t>）作为评价标准，其分级指标见下表。</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1.7-12</w:t>
      </w:r>
      <w:r>
        <w:rPr>
          <w:rFonts w:ascii="Times New Roman" w:eastAsia="宋体" w:hAnsi="Times New Roman" w:cs="Times New Roman" w:hint="eastAsia"/>
          <w:b/>
          <w:color w:val="000000" w:themeColor="text1"/>
          <w:sz w:val="24"/>
        </w:rPr>
        <w:t>水力侵蚀强度分级指标</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766"/>
        <w:gridCol w:w="4056"/>
      </w:tblGrid>
      <w:tr w:rsidR="00644456">
        <w:trPr>
          <w:trHeight w:val="287"/>
          <w:jc w:val="center"/>
        </w:trPr>
        <w:tc>
          <w:tcPr>
            <w:tcW w:w="4766" w:type="dxa"/>
          </w:tcPr>
          <w:p w:rsidR="00644456" w:rsidRDefault="008031C4">
            <w:pPr>
              <w:ind w:firstLine="480"/>
              <w:jc w:val="center"/>
              <w:rPr>
                <w:b/>
                <w:color w:val="000000" w:themeColor="text1"/>
                <w:szCs w:val="21"/>
              </w:rPr>
            </w:pPr>
            <w:r>
              <w:rPr>
                <w:b/>
                <w:color w:val="000000" w:themeColor="text1"/>
                <w:szCs w:val="21"/>
              </w:rPr>
              <w:t>级别</w:t>
            </w:r>
          </w:p>
        </w:tc>
        <w:tc>
          <w:tcPr>
            <w:tcW w:w="4056" w:type="dxa"/>
          </w:tcPr>
          <w:p w:rsidR="00644456" w:rsidRDefault="008031C4">
            <w:pPr>
              <w:ind w:firstLine="480"/>
              <w:jc w:val="center"/>
              <w:rPr>
                <w:b/>
                <w:color w:val="000000" w:themeColor="text1"/>
                <w:szCs w:val="21"/>
              </w:rPr>
            </w:pPr>
            <w:r>
              <w:rPr>
                <w:b/>
                <w:color w:val="000000" w:themeColor="text1"/>
                <w:szCs w:val="21"/>
              </w:rPr>
              <w:t>侵蚀模数｛</w:t>
            </w:r>
            <w:r>
              <w:rPr>
                <w:b/>
                <w:color w:val="000000" w:themeColor="text1"/>
                <w:szCs w:val="21"/>
              </w:rPr>
              <w:t>t/</w:t>
            </w:r>
            <w:r>
              <w:rPr>
                <w:rFonts w:hint="eastAsia"/>
                <w:b/>
                <w:color w:val="000000" w:themeColor="text1"/>
                <w:szCs w:val="21"/>
              </w:rPr>
              <w:t>（</w:t>
            </w:r>
            <w:r>
              <w:rPr>
                <w:b/>
                <w:color w:val="000000" w:themeColor="text1"/>
                <w:szCs w:val="21"/>
              </w:rPr>
              <w:t>km</w:t>
            </w:r>
            <w:r>
              <w:rPr>
                <w:b/>
                <w:color w:val="000000" w:themeColor="text1"/>
                <w:szCs w:val="21"/>
                <w:vertAlign w:val="superscript"/>
              </w:rPr>
              <w:t>2</w:t>
            </w:r>
            <w:r>
              <w:rPr>
                <w:b/>
                <w:color w:val="000000" w:themeColor="text1"/>
                <w:szCs w:val="21"/>
              </w:rPr>
              <w:t>·</w:t>
            </w:r>
            <w:r>
              <w:rPr>
                <w:b/>
                <w:color w:val="000000" w:themeColor="text1"/>
                <w:szCs w:val="21"/>
              </w:rPr>
              <w:t>年）｝</w:t>
            </w:r>
          </w:p>
        </w:tc>
      </w:tr>
      <w:tr w:rsidR="00644456">
        <w:trPr>
          <w:trHeight w:val="272"/>
          <w:jc w:val="center"/>
        </w:trPr>
        <w:tc>
          <w:tcPr>
            <w:tcW w:w="4766" w:type="dxa"/>
          </w:tcPr>
          <w:p w:rsidR="00644456" w:rsidRDefault="008031C4">
            <w:pPr>
              <w:jc w:val="center"/>
              <w:rPr>
                <w:color w:val="000000" w:themeColor="text1"/>
                <w:szCs w:val="21"/>
              </w:rPr>
            </w:pPr>
            <w:r>
              <w:rPr>
                <w:rFonts w:ascii="宋体" w:hAnsi="宋体" w:cs="宋体" w:hint="eastAsia"/>
                <w:color w:val="000000" w:themeColor="text1"/>
                <w:szCs w:val="21"/>
              </w:rPr>
              <w:t>Ⅰ</w:t>
            </w:r>
            <w:r>
              <w:rPr>
                <w:color w:val="000000" w:themeColor="text1"/>
                <w:szCs w:val="21"/>
              </w:rPr>
              <w:t>微度侵蚀（无明显侵蚀）</w:t>
            </w:r>
          </w:p>
        </w:tc>
        <w:tc>
          <w:tcPr>
            <w:tcW w:w="4056" w:type="dxa"/>
          </w:tcPr>
          <w:p w:rsidR="00644456" w:rsidRDefault="008031C4">
            <w:pPr>
              <w:jc w:val="center"/>
              <w:rPr>
                <w:color w:val="000000" w:themeColor="text1"/>
                <w:szCs w:val="21"/>
              </w:rPr>
            </w:pPr>
            <w:r>
              <w:rPr>
                <w:color w:val="000000" w:themeColor="text1"/>
                <w:szCs w:val="21"/>
              </w:rPr>
              <w:t>＜</w:t>
            </w:r>
            <w:r>
              <w:rPr>
                <w:color w:val="000000" w:themeColor="text1"/>
                <w:szCs w:val="21"/>
              </w:rPr>
              <w:t>200</w:t>
            </w:r>
            <w:r>
              <w:rPr>
                <w:color w:val="000000" w:themeColor="text1"/>
                <w:szCs w:val="21"/>
              </w:rPr>
              <w:t>，</w:t>
            </w:r>
            <w:r>
              <w:rPr>
                <w:color w:val="000000" w:themeColor="text1"/>
                <w:szCs w:val="21"/>
              </w:rPr>
              <w:t>500</w:t>
            </w:r>
            <w:r>
              <w:rPr>
                <w:color w:val="000000" w:themeColor="text1"/>
                <w:szCs w:val="21"/>
              </w:rPr>
              <w:t>，</w:t>
            </w:r>
            <w:r>
              <w:rPr>
                <w:color w:val="000000" w:themeColor="text1"/>
                <w:szCs w:val="21"/>
              </w:rPr>
              <w:t>1000</w:t>
            </w:r>
          </w:p>
        </w:tc>
      </w:tr>
      <w:tr w:rsidR="00644456">
        <w:trPr>
          <w:trHeight w:val="287"/>
          <w:jc w:val="center"/>
        </w:trPr>
        <w:tc>
          <w:tcPr>
            <w:tcW w:w="4766" w:type="dxa"/>
          </w:tcPr>
          <w:p w:rsidR="00644456" w:rsidRDefault="008031C4">
            <w:pPr>
              <w:jc w:val="center"/>
              <w:rPr>
                <w:color w:val="000000" w:themeColor="text1"/>
                <w:szCs w:val="21"/>
              </w:rPr>
            </w:pPr>
            <w:r>
              <w:rPr>
                <w:rFonts w:ascii="宋体" w:hAnsi="宋体" w:cs="宋体" w:hint="eastAsia"/>
                <w:color w:val="000000" w:themeColor="text1"/>
                <w:szCs w:val="21"/>
              </w:rPr>
              <w:t>Ⅱ</w:t>
            </w:r>
            <w:r>
              <w:rPr>
                <w:color w:val="000000" w:themeColor="text1"/>
                <w:szCs w:val="21"/>
              </w:rPr>
              <w:t>轻度侵蚀</w:t>
            </w:r>
          </w:p>
        </w:tc>
        <w:tc>
          <w:tcPr>
            <w:tcW w:w="4056" w:type="dxa"/>
          </w:tcPr>
          <w:p w:rsidR="00644456" w:rsidRDefault="008031C4">
            <w:pPr>
              <w:jc w:val="center"/>
              <w:rPr>
                <w:color w:val="000000" w:themeColor="text1"/>
                <w:szCs w:val="21"/>
              </w:rPr>
            </w:pPr>
            <w:r>
              <w:rPr>
                <w:color w:val="000000" w:themeColor="text1"/>
                <w:szCs w:val="21"/>
              </w:rPr>
              <w:t>（</w:t>
            </w:r>
            <w:r>
              <w:rPr>
                <w:color w:val="000000" w:themeColor="text1"/>
                <w:szCs w:val="21"/>
              </w:rPr>
              <w:t>200</w:t>
            </w:r>
            <w:r>
              <w:rPr>
                <w:color w:val="000000" w:themeColor="text1"/>
                <w:szCs w:val="21"/>
              </w:rPr>
              <w:t>，</w:t>
            </w:r>
            <w:r>
              <w:rPr>
                <w:color w:val="000000" w:themeColor="text1"/>
                <w:szCs w:val="21"/>
              </w:rPr>
              <w:t>500</w:t>
            </w:r>
            <w:r>
              <w:rPr>
                <w:color w:val="000000" w:themeColor="text1"/>
                <w:szCs w:val="21"/>
              </w:rPr>
              <w:t>，</w:t>
            </w:r>
            <w:r>
              <w:rPr>
                <w:color w:val="000000" w:themeColor="text1"/>
                <w:szCs w:val="21"/>
              </w:rPr>
              <w:t>1000</w:t>
            </w:r>
            <w:r>
              <w:rPr>
                <w:color w:val="000000" w:themeColor="text1"/>
                <w:szCs w:val="21"/>
              </w:rPr>
              <w:t>）</w:t>
            </w:r>
            <w:r>
              <w:rPr>
                <w:color w:val="000000" w:themeColor="text1"/>
                <w:szCs w:val="21"/>
              </w:rPr>
              <w:t>—2500</w:t>
            </w:r>
          </w:p>
        </w:tc>
      </w:tr>
      <w:tr w:rsidR="00644456">
        <w:trPr>
          <w:trHeight w:val="287"/>
          <w:jc w:val="center"/>
        </w:trPr>
        <w:tc>
          <w:tcPr>
            <w:tcW w:w="4766" w:type="dxa"/>
          </w:tcPr>
          <w:p w:rsidR="00644456" w:rsidRDefault="008031C4">
            <w:pPr>
              <w:jc w:val="center"/>
              <w:rPr>
                <w:color w:val="000000" w:themeColor="text1"/>
                <w:szCs w:val="21"/>
              </w:rPr>
            </w:pPr>
            <w:r>
              <w:rPr>
                <w:rFonts w:ascii="宋体" w:hAnsi="宋体" w:cs="宋体" w:hint="eastAsia"/>
                <w:color w:val="000000" w:themeColor="text1"/>
                <w:szCs w:val="21"/>
              </w:rPr>
              <w:t>Ⅲ</w:t>
            </w:r>
            <w:r>
              <w:rPr>
                <w:color w:val="000000" w:themeColor="text1"/>
                <w:szCs w:val="21"/>
              </w:rPr>
              <w:t>中度侵蚀</w:t>
            </w:r>
          </w:p>
        </w:tc>
        <w:tc>
          <w:tcPr>
            <w:tcW w:w="4056" w:type="dxa"/>
          </w:tcPr>
          <w:p w:rsidR="00644456" w:rsidRDefault="008031C4">
            <w:pPr>
              <w:jc w:val="center"/>
              <w:rPr>
                <w:color w:val="000000" w:themeColor="text1"/>
                <w:szCs w:val="21"/>
              </w:rPr>
            </w:pPr>
            <w:r>
              <w:rPr>
                <w:color w:val="000000" w:themeColor="text1"/>
                <w:szCs w:val="21"/>
              </w:rPr>
              <w:t>2500—5000</w:t>
            </w:r>
          </w:p>
        </w:tc>
      </w:tr>
      <w:tr w:rsidR="00644456">
        <w:trPr>
          <w:trHeight w:val="287"/>
          <w:jc w:val="center"/>
        </w:trPr>
        <w:tc>
          <w:tcPr>
            <w:tcW w:w="4766" w:type="dxa"/>
          </w:tcPr>
          <w:p w:rsidR="00644456" w:rsidRDefault="008031C4">
            <w:pPr>
              <w:jc w:val="center"/>
              <w:rPr>
                <w:color w:val="000000" w:themeColor="text1"/>
                <w:szCs w:val="21"/>
              </w:rPr>
            </w:pPr>
            <w:r>
              <w:rPr>
                <w:rFonts w:ascii="宋体" w:hAnsi="宋体" w:cs="宋体" w:hint="eastAsia"/>
                <w:color w:val="000000" w:themeColor="text1"/>
                <w:szCs w:val="21"/>
              </w:rPr>
              <w:t>Ⅳ</w:t>
            </w:r>
            <w:r>
              <w:rPr>
                <w:color w:val="000000" w:themeColor="text1"/>
                <w:szCs w:val="21"/>
              </w:rPr>
              <w:t>强度侵蚀</w:t>
            </w:r>
          </w:p>
        </w:tc>
        <w:tc>
          <w:tcPr>
            <w:tcW w:w="4056" w:type="dxa"/>
          </w:tcPr>
          <w:p w:rsidR="00644456" w:rsidRDefault="008031C4">
            <w:pPr>
              <w:jc w:val="center"/>
              <w:rPr>
                <w:color w:val="000000" w:themeColor="text1"/>
                <w:szCs w:val="21"/>
              </w:rPr>
            </w:pPr>
            <w:r>
              <w:rPr>
                <w:color w:val="000000" w:themeColor="text1"/>
                <w:szCs w:val="21"/>
              </w:rPr>
              <w:t>5000—8000</w:t>
            </w:r>
          </w:p>
        </w:tc>
      </w:tr>
      <w:tr w:rsidR="00644456">
        <w:trPr>
          <w:trHeight w:val="287"/>
          <w:jc w:val="center"/>
        </w:trPr>
        <w:tc>
          <w:tcPr>
            <w:tcW w:w="4766" w:type="dxa"/>
          </w:tcPr>
          <w:p w:rsidR="00644456" w:rsidRDefault="008031C4">
            <w:pPr>
              <w:jc w:val="center"/>
              <w:rPr>
                <w:color w:val="000000" w:themeColor="text1"/>
                <w:szCs w:val="21"/>
              </w:rPr>
            </w:pPr>
            <w:r>
              <w:rPr>
                <w:rFonts w:ascii="宋体" w:hAnsi="宋体" w:cs="宋体" w:hint="eastAsia"/>
                <w:color w:val="000000" w:themeColor="text1"/>
                <w:szCs w:val="21"/>
              </w:rPr>
              <w:t>Ⅴ</w:t>
            </w:r>
            <w:r>
              <w:rPr>
                <w:color w:val="000000" w:themeColor="text1"/>
                <w:szCs w:val="21"/>
              </w:rPr>
              <w:t>极强度侵蚀</w:t>
            </w:r>
          </w:p>
        </w:tc>
        <w:tc>
          <w:tcPr>
            <w:tcW w:w="4056" w:type="dxa"/>
          </w:tcPr>
          <w:p w:rsidR="00644456" w:rsidRDefault="008031C4">
            <w:pPr>
              <w:jc w:val="center"/>
              <w:rPr>
                <w:color w:val="000000" w:themeColor="text1"/>
                <w:szCs w:val="21"/>
              </w:rPr>
            </w:pPr>
            <w:r>
              <w:rPr>
                <w:color w:val="000000" w:themeColor="text1"/>
                <w:szCs w:val="21"/>
              </w:rPr>
              <w:t>8000—15000</w:t>
            </w:r>
          </w:p>
        </w:tc>
      </w:tr>
      <w:tr w:rsidR="00644456">
        <w:trPr>
          <w:trHeight w:val="287"/>
          <w:jc w:val="center"/>
        </w:trPr>
        <w:tc>
          <w:tcPr>
            <w:tcW w:w="4766" w:type="dxa"/>
          </w:tcPr>
          <w:p w:rsidR="00644456" w:rsidRDefault="008031C4">
            <w:pPr>
              <w:jc w:val="center"/>
              <w:rPr>
                <w:color w:val="000000" w:themeColor="text1"/>
                <w:szCs w:val="21"/>
              </w:rPr>
            </w:pPr>
            <w:r>
              <w:rPr>
                <w:rFonts w:ascii="宋体" w:hAnsi="宋体" w:cs="宋体" w:hint="eastAsia"/>
                <w:color w:val="000000" w:themeColor="text1"/>
                <w:szCs w:val="21"/>
              </w:rPr>
              <w:t>Ⅵ</w:t>
            </w:r>
            <w:r>
              <w:rPr>
                <w:color w:val="000000" w:themeColor="text1"/>
                <w:szCs w:val="21"/>
              </w:rPr>
              <w:t>剧烈侵蚀</w:t>
            </w:r>
          </w:p>
        </w:tc>
        <w:tc>
          <w:tcPr>
            <w:tcW w:w="4056" w:type="dxa"/>
          </w:tcPr>
          <w:p w:rsidR="00644456" w:rsidRDefault="008031C4">
            <w:pPr>
              <w:jc w:val="center"/>
              <w:rPr>
                <w:color w:val="000000" w:themeColor="text1"/>
                <w:szCs w:val="21"/>
              </w:rPr>
            </w:pPr>
            <w:r>
              <w:rPr>
                <w:color w:val="000000" w:themeColor="text1"/>
                <w:szCs w:val="21"/>
              </w:rPr>
              <w:t>＞</w:t>
            </w:r>
            <w:r>
              <w:rPr>
                <w:color w:val="000000" w:themeColor="text1"/>
                <w:szCs w:val="21"/>
              </w:rPr>
              <w:t>15000</w:t>
            </w:r>
          </w:p>
        </w:tc>
      </w:tr>
    </w:tbl>
    <w:p w:rsidR="00644456" w:rsidRDefault="008031C4">
      <w:pPr>
        <w:pStyle w:val="-"/>
        <w:adjustRightInd w:val="0"/>
        <w:snapToGrid w:val="0"/>
        <w:ind w:firstLine="480"/>
        <w:rPr>
          <w:rFonts w:cs="Times New Roman"/>
          <w:bCs/>
          <w:color w:val="000000" w:themeColor="text1"/>
          <w:szCs w:val="21"/>
        </w:rPr>
      </w:pPr>
      <w:r>
        <w:rPr>
          <w:rFonts w:cs="Times New Roman"/>
          <w:bCs/>
          <w:color w:val="000000" w:themeColor="text1"/>
          <w:szCs w:val="21"/>
        </w:rPr>
        <w:t>注：由于各流域的成土自然条件的差异，可按实际情况确定土壤允许流失量的大小，从</w:t>
      </w:r>
      <w:r>
        <w:rPr>
          <w:rFonts w:cs="Times New Roman"/>
          <w:bCs/>
          <w:color w:val="000000" w:themeColor="text1"/>
          <w:szCs w:val="21"/>
        </w:rPr>
        <w:t>200</w:t>
      </w:r>
      <w:r>
        <w:rPr>
          <w:rFonts w:cs="Times New Roman"/>
          <w:bCs/>
          <w:color w:val="000000" w:themeColor="text1"/>
          <w:szCs w:val="21"/>
        </w:rPr>
        <w:t>、</w:t>
      </w:r>
      <w:r>
        <w:rPr>
          <w:rFonts w:cs="Times New Roman"/>
          <w:bCs/>
          <w:color w:val="000000" w:themeColor="text1"/>
          <w:szCs w:val="21"/>
        </w:rPr>
        <w:t>500</w:t>
      </w:r>
      <w:r>
        <w:rPr>
          <w:rFonts w:cs="Times New Roman"/>
          <w:bCs/>
          <w:color w:val="000000" w:themeColor="text1"/>
          <w:szCs w:val="21"/>
        </w:rPr>
        <w:t>、</w:t>
      </w:r>
      <w:r>
        <w:rPr>
          <w:rFonts w:cs="Times New Roman"/>
          <w:bCs/>
          <w:color w:val="000000" w:themeColor="text1"/>
          <w:szCs w:val="21"/>
        </w:rPr>
        <w:t>1000t/km</w:t>
      </w:r>
      <w:r>
        <w:rPr>
          <w:rFonts w:cs="Times New Roman"/>
          <w:bCs/>
          <w:color w:val="000000" w:themeColor="text1"/>
          <w:szCs w:val="21"/>
          <w:vertAlign w:val="superscript"/>
        </w:rPr>
        <w:t>2</w:t>
      </w:r>
      <w:r>
        <w:rPr>
          <w:rFonts w:cs="Times New Roman"/>
          <w:bCs/>
          <w:color w:val="000000" w:themeColor="text1"/>
          <w:szCs w:val="21"/>
        </w:rPr>
        <w:t>·</w:t>
      </w:r>
      <w:r>
        <w:rPr>
          <w:rFonts w:cs="Times New Roman"/>
          <w:bCs/>
          <w:color w:val="000000" w:themeColor="text1"/>
          <w:szCs w:val="21"/>
        </w:rPr>
        <w:t>年起算，但允许值不得小于</w:t>
      </w:r>
      <w:r>
        <w:rPr>
          <w:rFonts w:cs="Times New Roman"/>
          <w:bCs/>
          <w:color w:val="000000" w:themeColor="text1"/>
          <w:szCs w:val="21"/>
        </w:rPr>
        <w:t>200</w:t>
      </w:r>
      <w:r>
        <w:rPr>
          <w:rFonts w:cs="Times New Roman"/>
          <w:bCs/>
          <w:color w:val="000000" w:themeColor="text1"/>
          <w:szCs w:val="21"/>
        </w:rPr>
        <w:t>或超过</w:t>
      </w:r>
      <w:r>
        <w:rPr>
          <w:rFonts w:cs="Times New Roman"/>
          <w:bCs/>
          <w:color w:val="000000" w:themeColor="text1"/>
          <w:szCs w:val="21"/>
        </w:rPr>
        <w:t>1000t/km</w:t>
      </w:r>
      <w:r>
        <w:rPr>
          <w:rFonts w:cs="Times New Roman"/>
          <w:bCs/>
          <w:color w:val="000000" w:themeColor="text1"/>
          <w:szCs w:val="21"/>
          <w:vertAlign w:val="superscript"/>
        </w:rPr>
        <w:t>2</w:t>
      </w:r>
      <w:r>
        <w:rPr>
          <w:rFonts w:cs="Times New Roman"/>
          <w:bCs/>
          <w:color w:val="000000" w:themeColor="text1"/>
          <w:szCs w:val="21"/>
        </w:rPr>
        <w:t>·</w:t>
      </w:r>
      <w:r>
        <w:rPr>
          <w:rFonts w:cs="Times New Roman"/>
          <w:bCs/>
          <w:color w:val="000000" w:themeColor="text1"/>
          <w:szCs w:val="21"/>
        </w:rPr>
        <w:t>年。</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65" w:name="_Toc177216862"/>
      <w:bookmarkStart w:id="66" w:name="_Toc155789341"/>
      <w:r>
        <w:rPr>
          <w:rFonts w:cs="Times New Roman" w:hint="eastAsia"/>
          <w:color w:val="000000" w:themeColor="text1"/>
        </w:rPr>
        <w:t>1.8</w:t>
      </w:r>
      <w:r>
        <w:rPr>
          <w:rFonts w:cs="Times New Roman"/>
          <w:color w:val="000000" w:themeColor="text1"/>
        </w:rPr>
        <w:t>评价工作等级与范围</w:t>
      </w:r>
      <w:bookmarkEnd w:id="65"/>
      <w:bookmarkEnd w:id="66"/>
    </w:p>
    <w:p w:rsidR="00644456" w:rsidRDefault="008031C4">
      <w:pPr>
        <w:pStyle w:val="3"/>
        <w:numPr>
          <w:ilvl w:val="2"/>
          <w:numId w:val="0"/>
        </w:numPr>
        <w:ind w:firstLineChars="200" w:firstLine="482"/>
      </w:pPr>
      <w:r>
        <w:rPr>
          <w:rFonts w:hint="eastAsia"/>
        </w:rPr>
        <w:t>1.8.1</w:t>
      </w:r>
      <w:r>
        <w:t>大气</w:t>
      </w:r>
      <w:r>
        <w:rPr>
          <w:rFonts w:hint="eastAsia"/>
        </w:rPr>
        <w:t>环境影响评价等级</w:t>
      </w:r>
    </w:p>
    <w:p w:rsidR="00644456" w:rsidRDefault="008031C4">
      <w:pPr>
        <w:pStyle w:val="-"/>
        <w:snapToGrid w:val="0"/>
        <w:ind w:firstLine="482"/>
        <w:rPr>
          <w:rFonts w:cs="Times New Roman"/>
          <w:b/>
          <w:color w:val="000000" w:themeColor="text1"/>
        </w:rPr>
      </w:pPr>
      <w:r>
        <w:rPr>
          <w:rFonts w:cs="Times New Roman"/>
          <w:b/>
          <w:color w:val="000000" w:themeColor="text1"/>
        </w:rPr>
        <w:t>（</w:t>
      </w:r>
      <w:r>
        <w:rPr>
          <w:rFonts w:cs="Times New Roman"/>
          <w:b/>
          <w:color w:val="000000" w:themeColor="text1"/>
        </w:rPr>
        <w:t>1</w:t>
      </w:r>
      <w:r>
        <w:rPr>
          <w:rFonts w:cs="Times New Roman"/>
          <w:b/>
          <w:color w:val="000000" w:themeColor="text1"/>
        </w:rPr>
        <w:t>）评价等级</w:t>
      </w:r>
    </w:p>
    <w:p w:rsidR="00644456" w:rsidRDefault="008031C4">
      <w:pPr>
        <w:pStyle w:val="-"/>
        <w:snapToGrid w:val="0"/>
        <w:ind w:firstLine="482"/>
        <w:rPr>
          <w:rFonts w:cs="Times New Roman"/>
          <w:b/>
          <w:color w:val="000000" w:themeColor="text1"/>
        </w:rPr>
      </w:pPr>
      <w:r>
        <w:rPr>
          <w:rFonts w:cs="Times New Roman"/>
          <w:b/>
          <w:color w:val="000000" w:themeColor="text1"/>
        </w:rPr>
        <w:t>1</w:t>
      </w:r>
      <w:r>
        <w:rPr>
          <w:rFonts w:cs="Times New Roman"/>
          <w:b/>
          <w:color w:val="000000" w:themeColor="text1"/>
        </w:rPr>
        <w:t>、污染源参数</w:t>
      </w:r>
    </w:p>
    <w:p w:rsidR="00644456" w:rsidRDefault="008031C4">
      <w:pPr>
        <w:pStyle w:val="-"/>
        <w:snapToGrid w:val="0"/>
        <w:ind w:firstLine="480"/>
        <w:rPr>
          <w:rFonts w:cs="Times New Roman"/>
          <w:color w:val="000000" w:themeColor="text1"/>
          <w:szCs w:val="24"/>
        </w:rPr>
      </w:pPr>
      <w:r>
        <w:rPr>
          <w:rFonts w:cs="Times New Roman"/>
          <w:color w:val="000000" w:themeColor="text1"/>
        </w:rPr>
        <w:t>根据《环境影响评价技术导则大气环境》（</w:t>
      </w:r>
      <w:r>
        <w:rPr>
          <w:rFonts w:cs="Times New Roman"/>
          <w:color w:val="000000" w:themeColor="text1"/>
        </w:rPr>
        <w:t>HJ2.2-2018</w:t>
      </w:r>
      <w:r>
        <w:rPr>
          <w:rFonts w:cs="Times New Roman"/>
          <w:color w:val="000000" w:themeColor="text1"/>
        </w:rPr>
        <w:t>）中推荐估算模型</w:t>
      </w:r>
      <w:r>
        <w:rPr>
          <w:rFonts w:cs="Times New Roman"/>
          <w:color w:val="000000" w:themeColor="text1"/>
        </w:rPr>
        <w:t>ARESCREEN</w:t>
      </w:r>
      <w:r>
        <w:rPr>
          <w:rFonts w:cs="Times New Roman"/>
          <w:color w:val="000000" w:themeColor="text1"/>
        </w:rPr>
        <w:t>对本项目建成后全厂的大气环境评价工作进行分级。结合项目的工程分析结果，选择正常排放的主要污染物及排放参数，计算各污染物的最大地面空气质量浓度</w:t>
      </w:r>
      <w:r>
        <w:rPr>
          <w:rFonts w:cs="Times New Roman"/>
          <w:color w:val="000000" w:themeColor="text1"/>
          <w:szCs w:val="24"/>
        </w:rPr>
        <w:t>占标率（</w:t>
      </w:r>
      <w:r>
        <w:rPr>
          <w:rFonts w:cs="Times New Roman"/>
          <w:color w:val="000000" w:themeColor="text1"/>
          <w:szCs w:val="24"/>
        </w:rPr>
        <w:t>Pmax</w:t>
      </w:r>
      <w:r>
        <w:rPr>
          <w:rFonts w:cs="Times New Roman"/>
          <w:color w:val="000000" w:themeColor="text1"/>
          <w:szCs w:val="24"/>
        </w:rPr>
        <w:t>），然后按评价工作分级判据进行分级。</w:t>
      </w:r>
    </w:p>
    <w:p w:rsidR="00644456" w:rsidRDefault="008031C4">
      <w:pPr>
        <w:pStyle w:val="-"/>
        <w:snapToGrid w:val="0"/>
        <w:ind w:firstLine="480"/>
        <w:rPr>
          <w:rFonts w:cs="Times New Roman"/>
          <w:color w:val="000000" w:themeColor="text1"/>
        </w:rPr>
      </w:pPr>
      <w:bookmarkStart w:id="67" w:name="_Ref67426554"/>
      <w:r>
        <w:rPr>
          <w:rFonts w:cs="Times New Roman"/>
          <w:color w:val="000000" w:themeColor="text1"/>
          <w:szCs w:val="24"/>
        </w:rPr>
        <w:t>根据工程分析结果，本项目排放的主要废气污染物为</w:t>
      </w:r>
      <w:r>
        <w:rPr>
          <w:rFonts w:cs="Times New Roman"/>
          <w:color w:val="000000" w:themeColor="text1"/>
          <w:szCs w:val="24"/>
        </w:rPr>
        <w:t>SO</w:t>
      </w:r>
      <w:r>
        <w:rPr>
          <w:rFonts w:cs="Times New Roman"/>
          <w:color w:val="000000" w:themeColor="text1"/>
          <w:szCs w:val="24"/>
          <w:vertAlign w:val="subscript"/>
        </w:rPr>
        <w:t>2</w:t>
      </w:r>
      <w:r>
        <w:rPr>
          <w:rFonts w:cs="Times New Roman"/>
          <w:color w:val="000000" w:themeColor="text1"/>
        </w:rPr>
        <w:t>、</w:t>
      </w:r>
      <w:r>
        <w:rPr>
          <w:rFonts w:cs="Times New Roman"/>
          <w:color w:val="000000" w:themeColor="text1"/>
          <w:szCs w:val="24"/>
        </w:rPr>
        <w:t>NOx</w:t>
      </w:r>
      <w:r>
        <w:rPr>
          <w:rFonts w:cs="Times New Roman"/>
          <w:color w:val="000000" w:themeColor="text1"/>
        </w:rPr>
        <w:t>、颗粒物、</w:t>
      </w:r>
      <w:r>
        <w:rPr>
          <w:rFonts w:cs="Times New Roman" w:hint="eastAsia"/>
          <w:color w:val="000000" w:themeColor="text1"/>
        </w:rPr>
        <w:t>硫化氢、氨</w:t>
      </w:r>
      <w:r>
        <w:rPr>
          <w:rFonts w:cs="Times New Roman"/>
          <w:color w:val="000000" w:themeColor="text1"/>
        </w:rPr>
        <w:t>等，分别计算各污染源污染因子最大地面浓度占质量标准值的比率</w:t>
      </w:r>
      <w:r>
        <w:rPr>
          <w:rFonts w:cs="Times New Roman"/>
          <w:color w:val="000000" w:themeColor="text1"/>
        </w:rPr>
        <w:t>Pi</w:t>
      </w:r>
      <w:r>
        <w:rPr>
          <w:rFonts w:cs="Times New Roman"/>
          <w:color w:val="000000" w:themeColor="text1"/>
        </w:rPr>
        <w:t>。估算模式预测参数及计算结果见下表。</w:t>
      </w:r>
    </w:p>
    <w:p w:rsidR="006214B2" w:rsidRDefault="006214B2">
      <w:pPr>
        <w:pStyle w:val="-"/>
        <w:snapToGrid w:val="0"/>
        <w:ind w:firstLine="480"/>
        <w:rPr>
          <w:rFonts w:cs="Times New Roman"/>
          <w:color w:val="000000" w:themeColor="text1"/>
        </w:rPr>
      </w:pPr>
      <w:r>
        <w:rPr>
          <w:rFonts w:cs="Times New Roman" w:hint="eastAsia"/>
          <w:color w:val="000000" w:themeColor="text1"/>
        </w:rPr>
        <w:t>注：</w:t>
      </w:r>
    </w:p>
    <w:p w:rsidR="006214B2" w:rsidRPr="006214B2" w:rsidRDefault="006214B2" w:rsidP="006214B2">
      <w:pPr>
        <w:snapToGrid w:val="0"/>
        <w:spacing w:line="360" w:lineRule="auto"/>
        <w:ind w:firstLine="480"/>
        <w:rPr>
          <w:rFonts w:cs="Times New Roman"/>
          <w:color w:val="FF0000"/>
          <w:sz w:val="24"/>
          <w:szCs w:val="24"/>
        </w:rPr>
      </w:pPr>
      <w:r w:rsidRPr="006214B2">
        <w:rPr>
          <w:rFonts w:cs="Times New Roman"/>
          <w:color w:val="FF0000"/>
          <w:sz w:val="24"/>
          <w:szCs w:val="24"/>
        </w:rPr>
        <w:t>估算模式计算选项农村或城市的选取，取决于</w:t>
      </w:r>
      <w:r w:rsidRPr="006214B2">
        <w:rPr>
          <w:rFonts w:cs="Times New Roman" w:hint="eastAsia"/>
          <w:color w:val="FF0000"/>
          <w:sz w:val="24"/>
          <w:szCs w:val="24"/>
        </w:rPr>
        <w:t>污染源</w:t>
      </w:r>
      <w:r w:rsidRPr="006214B2">
        <w:rPr>
          <w:rFonts w:cs="Times New Roman"/>
          <w:color w:val="FF0000"/>
          <w:sz w:val="24"/>
          <w:szCs w:val="24"/>
        </w:rPr>
        <w:t>半径</w:t>
      </w:r>
      <w:r w:rsidRPr="006214B2">
        <w:rPr>
          <w:rFonts w:cs="Times New Roman"/>
          <w:color w:val="FF0000"/>
          <w:sz w:val="24"/>
          <w:szCs w:val="24"/>
        </w:rPr>
        <w:t>3km</w:t>
      </w:r>
      <w:r w:rsidRPr="006214B2">
        <w:rPr>
          <w:rFonts w:cs="Times New Roman"/>
          <w:color w:val="FF0000"/>
          <w:sz w:val="24"/>
          <w:szCs w:val="24"/>
        </w:rPr>
        <w:t>内土地利用类型和人口密度，而前者更具有决定性。</w:t>
      </w:r>
    </w:p>
    <w:p w:rsidR="006214B2" w:rsidRPr="006214B2" w:rsidRDefault="006214B2" w:rsidP="006214B2">
      <w:pPr>
        <w:snapToGrid w:val="0"/>
        <w:spacing w:line="360" w:lineRule="auto"/>
        <w:ind w:firstLine="480"/>
        <w:rPr>
          <w:rFonts w:cs="Times New Roman"/>
          <w:color w:val="FF0000"/>
          <w:sz w:val="24"/>
          <w:szCs w:val="24"/>
        </w:rPr>
      </w:pPr>
      <w:r w:rsidRPr="006214B2">
        <w:rPr>
          <w:rFonts w:ascii="宋体" w:hAnsi="宋体" w:cs="宋体" w:hint="eastAsia"/>
          <w:color w:val="FF0000"/>
          <w:sz w:val="24"/>
          <w:szCs w:val="24"/>
        </w:rPr>
        <w:t>①</w:t>
      </w:r>
      <w:r w:rsidRPr="006214B2">
        <w:rPr>
          <w:rFonts w:cs="Times New Roman"/>
          <w:color w:val="FF0000"/>
          <w:sz w:val="24"/>
          <w:szCs w:val="24"/>
        </w:rPr>
        <w:t>根据项目所在区域土地使用现状的情况判断，如果土地使用类型为</w:t>
      </w:r>
      <w:r w:rsidRPr="006214B2">
        <w:rPr>
          <w:rFonts w:cs="Times New Roman"/>
          <w:color w:val="FF0000"/>
          <w:sz w:val="24"/>
          <w:szCs w:val="24"/>
        </w:rPr>
        <w:t>I1</w:t>
      </w:r>
      <w:r w:rsidRPr="006214B2">
        <w:rPr>
          <w:rFonts w:cs="Times New Roman"/>
          <w:color w:val="FF0000"/>
          <w:sz w:val="24"/>
          <w:szCs w:val="24"/>
        </w:rPr>
        <w:t>、</w:t>
      </w:r>
      <w:r w:rsidRPr="006214B2">
        <w:rPr>
          <w:rFonts w:cs="Times New Roman"/>
          <w:color w:val="FF0000"/>
          <w:sz w:val="24"/>
          <w:szCs w:val="24"/>
        </w:rPr>
        <w:t>I2</w:t>
      </w:r>
      <w:r w:rsidRPr="006214B2">
        <w:rPr>
          <w:rFonts w:cs="Times New Roman"/>
          <w:color w:val="FF0000"/>
          <w:sz w:val="24"/>
          <w:szCs w:val="24"/>
        </w:rPr>
        <w:t>、</w:t>
      </w:r>
      <w:r w:rsidRPr="006214B2">
        <w:rPr>
          <w:rFonts w:cs="Times New Roman"/>
          <w:color w:val="FF0000"/>
          <w:sz w:val="24"/>
          <w:szCs w:val="24"/>
        </w:rPr>
        <w:t>C1</w:t>
      </w:r>
      <w:r w:rsidRPr="006214B2">
        <w:rPr>
          <w:rFonts w:cs="Times New Roman"/>
          <w:color w:val="FF0000"/>
          <w:sz w:val="24"/>
          <w:szCs w:val="24"/>
        </w:rPr>
        <w:t>、</w:t>
      </w:r>
      <w:r w:rsidRPr="006214B2">
        <w:rPr>
          <w:rFonts w:cs="Times New Roman"/>
          <w:color w:val="FF0000"/>
          <w:sz w:val="24"/>
          <w:szCs w:val="24"/>
        </w:rPr>
        <w:t>R2</w:t>
      </w:r>
      <w:r w:rsidRPr="006214B2">
        <w:rPr>
          <w:rFonts w:cs="Times New Roman"/>
          <w:color w:val="FF0000"/>
          <w:sz w:val="24"/>
          <w:szCs w:val="24"/>
        </w:rPr>
        <w:t>和</w:t>
      </w:r>
      <w:r w:rsidRPr="006214B2">
        <w:rPr>
          <w:rFonts w:cs="Times New Roman"/>
          <w:color w:val="FF0000"/>
          <w:sz w:val="24"/>
          <w:szCs w:val="24"/>
        </w:rPr>
        <w:t>R3</w:t>
      </w:r>
      <w:r w:rsidRPr="006214B2">
        <w:rPr>
          <w:rFonts w:cs="Times New Roman"/>
          <w:color w:val="FF0000"/>
          <w:sz w:val="24"/>
          <w:szCs w:val="24"/>
        </w:rPr>
        <w:t>（</w:t>
      </w:r>
      <w:r w:rsidRPr="006214B2">
        <w:rPr>
          <w:rFonts w:cs="Times New Roman"/>
          <w:color w:val="FF0000"/>
          <w:sz w:val="24"/>
          <w:szCs w:val="24"/>
        </w:rPr>
        <w:t>industrial</w:t>
      </w:r>
      <w:r w:rsidRPr="006214B2">
        <w:rPr>
          <w:rFonts w:cs="Times New Roman"/>
          <w:color w:val="FF0000"/>
          <w:sz w:val="24"/>
          <w:szCs w:val="24"/>
        </w:rPr>
        <w:t>工业、</w:t>
      </w:r>
      <w:r w:rsidRPr="006214B2">
        <w:rPr>
          <w:rFonts w:cs="Times New Roman"/>
          <w:color w:val="FF0000"/>
          <w:sz w:val="24"/>
          <w:szCs w:val="24"/>
        </w:rPr>
        <w:t>commercial</w:t>
      </w:r>
      <w:r w:rsidRPr="006214B2">
        <w:rPr>
          <w:rFonts w:cs="Times New Roman"/>
          <w:color w:val="FF0000"/>
          <w:sz w:val="24"/>
          <w:szCs w:val="24"/>
        </w:rPr>
        <w:t>商业、</w:t>
      </w:r>
      <w:r w:rsidRPr="006214B2">
        <w:rPr>
          <w:rFonts w:cs="Times New Roman"/>
          <w:color w:val="FF0000"/>
          <w:sz w:val="24"/>
          <w:szCs w:val="24"/>
        </w:rPr>
        <w:t>residential</w:t>
      </w:r>
      <w:r w:rsidRPr="006214B2">
        <w:rPr>
          <w:rFonts w:cs="Times New Roman"/>
          <w:color w:val="FF0000"/>
          <w:sz w:val="24"/>
          <w:szCs w:val="24"/>
        </w:rPr>
        <w:t>居住地</w:t>
      </w:r>
      <w:r w:rsidRPr="006214B2">
        <w:rPr>
          <w:rFonts w:cs="Times New Roman" w:hint="eastAsia"/>
          <w:color w:val="FF0000"/>
          <w:sz w:val="24"/>
          <w:szCs w:val="24"/>
        </w:rPr>
        <w:t>）</w:t>
      </w:r>
      <w:r w:rsidRPr="006214B2">
        <w:rPr>
          <w:rFonts w:cs="Times New Roman"/>
          <w:color w:val="FF0000"/>
          <w:sz w:val="24"/>
          <w:szCs w:val="24"/>
        </w:rPr>
        <w:t>，且它们的合计值超过</w:t>
      </w:r>
      <w:r w:rsidRPr="006214B2">
        <w:rPr>
          <w:rFonts w:cs="Times New Roman"/>
          <w:color w:val="FF0000"/>
          <w:sz w:val="24"/>
          <w:szCs w:val="24"/>
        </w:rPr>
        <w:t>50%</w:t>
      </w:r>
      <w:r w:rsidRPr="006214B2">
        <w:rPr>
          <w:rFonts w:cs="Times New Roman"/>
          <w:color w:val="FF0000"/>
          <w:sz w:val="24"/>
          <w:szCs w:val="24"/>
        </w:rPr>
        <w:t>，则选城市，否则为农村。</w:t>
      </w:r>
    </w:p>
    <w:p w:rsidR="006214B2" w:rsidRPr="006214B2" w:rsidRDefault="006214B2" w:rsidP="006214B2">
      <w:pPr>
        <w:snapToGrid w:val="0"/>
        <w:spacing w:line="360" w:lineRule="auto"/>
        <w:ind w:firstLine="480"/>
        <w:rPr>
          <w:rFonts w:cs="Times New Roman"/>
          <w:color w:val="FF0000"/>
          <w:sz w:val="24"/>
          <w:szCs w:val="24"/>
        </w:rPr>
      </w:pPr>
      <w:r w:rsidRPr="006214B2">
        <w:rPr>
          <w:rFonts w:ascii="宋体" w:hAnsi="宋体" w:cs="宋体" w:hint="eastAsia"/>
          <w:color w:val="FF0000"/>
          <w:sz w:val="24"/>
          <w:szCs w:val="24"/>
        </w:rPr>
        <w:t>②</w:t>
      </w:r>
      <w:r w:rsidRPr="006214B2">
        <w:rPr>
          <w:rFonts w:cs="Times New Roman"/>
          <w:color w:val="FF0000"/>
          <w:sz w:val="24"/>
          <w:szCs w:val="24"/>
        </w:rPr>
        <w:t>根据人口密度的情况判断，</w:t>
      </w:r>
      <w:r w:rsidRPr="006214B2">
        <w:rPr>
          <w:rFonts w:cs="Times New Roman" w:hint="eastAsia"/>
          <w:color w:val="FF0000"/>
          <w:sz w:val="24"/>
          <w:szCs w:val="24"/>
        </w:rPr>
        <w:t>污染源</w:t>
      </w:r>
      <w:r w:rsidRPr="006214B2">
        <w:rPr>
          <w:rFonts w:cs="Times New Roman"/>
          <w:color w:val="FF0000"/>
          <w:sz w:val="24"/>
          <w:szCs w:val="24"/>
        </w:rPr>
        <w:t>半径</w:t>
      </w:r>
      <w:r w:rsidRPr="006214B2">
        <w:rPr>
          <w:rFonts w:cs="Times New Roman"/>
          <w:color w:val="FF0000"/>
          <w:sz w:val="24"/>
          <w:szCs w:val="24"/>
        </w:rPr>
        <w:t>3km</w:t>
      </w:r>
      <w:r w:rsidRPr="006214B2">
        <w:rPr>
          <w:rFonts w:cs="Times New Roman"/>
          <w:color w:val="FF0000"/>
          <w:sz w:val="24"/>
          <w:szCs w:val="24"/>
        </w:rPr>
        <w:t>内每平方公里平均</w:t>
      </w:r>
      <w:r w:rsidRPr="006214B2">
        <w:rPr>
          <w:rFonts w:cs="Times New Roman" w:hint="eastAsia"/>
          <w:color w:val="FF0000"/>
          <w:sz w:val="24"/>
          <w:szCs w:val="24"/>
        </w:rPr>
        <w:t>人口</w:t>
      </w:r>
      <w:r w:rsidRPr="006214B2">
        <w:rPr>
          <w:rFonts w:cs="Times New Roman"/>
          <w:color w:val="FF0000"/>
          <w:sz w:val="24"/>
          <w:szCs w:val="24"/>
        </w:rPr>
        <w:t>密度</w:t>
      </w:r>
      <w:r w:rsidRPr="006214B2">
        <w:rPr>
          <w:rFonts w:cs="Times New Roman"/>
          <w:color w:val="FF0000"/>
          <w:sz w:val="24"/>
          <w:szCs w:val="24"/>
        </w:rPr>
        <w:t>P</w:t>
      </w:r>
      <w:r w:rsidRPr="006214B2">
        <w:rPr>
          <w:rFonts w:cs="Times New Roman"/>
          <w:color w:val="FF0000"/>
          <w:sz w:val="24"/>
          <w:szCs w:val="24"/>
        </w:rPr>
        <w:t>，如果</w:t>
      </w:r>
      <w:r w:rsidRPr="006214B2">
        <w:rPr>
          <w:rFonts w:cs="Times New Roman"/>
          <w:color w:val="FF0000"/>
          <w:sz w:val="24"/>
          <w:szCs w:val="24"/>
        </w:rPr>
        <w:t>P</w:t>
      </w:r>
      <w:r w:rsidRPr="006214B2">
        <w:rPr>
          <w:rFonts w:cs="Times New Roman"/>
          <w:color w:val="FF0000"/>
          <w:sz w:val="24"/>
          <w:szCs w:val="24"/>
        </w:rPr>
        <w:t>＞</w:t>
      </w:r>
      <w:r w:rsidRPr="006214B2">
        <w:rPr>
          <w:rFonts w:cs="Times New Roman"/>
          <w:color w:val="FF0000"/>
          <w:sz w:val="24"/>
          <w:szCs w:val="24"/>
        </w:rPr>
        <w:t>750</w:t>
      </w:r>
      <w:r w:rsidRPr="006214B2">
        <w:rPr>
          <w:rFonts w:cs="Times New Roman"/>
          <w:color w:val="FF0000"/>
          <w:sz w:val="24"/>
          <w:szCs w:val="24"/>
        </w:rPr>
        <w:t>人</w:t>
      </w:r>
      <w:r w:rsidRPr="006214B2">
        <w:rPr>
          <w:rFonts w:cs="Times New Roman"/>
          <w:color w:val="FF0000"/>
          <w:sz w:val="24"/>
          <w:szCs w:val="24"/>
        </w:rPr>
        <w:t>/km</w:t>
      </w:r>
      <w:r w:rsidRPr="006214B2">
        <w:rPr>
          <w:rFonts w:cs="Times New Roman"/>
          <w:color w:val="FF0000"/>
          <w:sz w:val="24"/>
          <w:szCs w:val="24"/>
          <w:vertAlign w:val="superscript"/>
        </w:rPr>
        <w:t>2</w:t>
      </w:r>
      <w:r w:rsidRPr="006214B2">
        <w:rPr>
          <w:rFonts w:cs="Times New Roman"/>
          <w:color w:val="FF0000"/>
          <w:sz w:val="24"/>
          <w:szCs w:val="24"/>
        </w:rPr>
        <w:t>，则选择城市，除此之外选择农村。</w:t>
      </w:r>
    </w:p>
    <w:p w:rsidR="006214B2" w:rsidRPr="006214B2" w:rsidRDefault="006214B2" w:rsidP="006214B2">
      <w:pPr>
        <w:pStyle w:val="af4"/>
        <w:adjustRightInd w:val="0"/>
        <w:snapToGrid w:val="0"/>
        <w:jc w:val="center"/>
        <w:rPr>
          <w:rFonts w:ascii="Times New Roman" w:eastAsia="宋体" w:hAnsi="Times New Roman" w:cs="Times New Roman"/>
          <w:b/>
          <w:color w:val="FF0000"/>
          <w:sz w:val="21"/>
          <w:szCs w:val="21"/>
        </w:rPr>
      </w:pPr>
      <w:r w:rsidRPr="006214B2">
        <w:rPr>
          <w:rFonts w:ascii="Times New Roman" w:eastAsia="宋体" w:hAnsi="Times New Roman" w:cs="Times New Roman"/>
          <w:b/>
          <w:color w:val="FF0000"/>
          <w:sz w:val="21"/>
          <w:szCs w:val="21"/>
        </w:rPr>
        <w:t>表</w:t>
      </w:r>
      <w:r w:rsidRPr="006214B2">
        <w:rPr>
          <w:rFonts w:ascii="Times New Roman" w:eastAsia="宋体" w:hAnsi="Times New Roman" w:cs="Times New Roman"/>
          <w:b/>
          <w:color w:val="FF0000"/>
          <w:sz w:val="21"/>
          <w:szCs w:val="21"/>
        </w:rPr>
        <w:t>6.1-4</w:t>
      </w:r>
      <w:r w:rsidRPr="006214B2">
        <w:rPr>
          <w:rFonts w:ascii="Times New Roman" w:eastAsia="宋体" w:hAnsi="Times New Roman" w:cs="Times New Roman"/>
          <w:b/>
          <w:color w:val="FF0000"/>
          <w:sz w:val="21"/>
          <w:szCs w:val="21"/>
        </w:rPr>
        <w:t>估算模式计算选项城市和农村的判别依据</w:t>
      </w:r>
    </w:p>
    <w:tbl>
      <w:tblPr>
        <w:tblW w:w="8711"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83"/>
        <w:gridCol w:w="2225"/>
        <w:gridCol w:w="1585"/>
        <w:gridCol w:w="3518"/>
      </w:tblGrid>
      <w:tr w:rsidR="006214B2" w:rsidRPr="006214B2" w:rsidTr="00A50D68">
        <w:trPr>
          <w:jc w:val="center"/>
        </w:trPr>
        <w:tc>
          <w:tcPr>
            <w:tcW w:w="5193" w:type="dxa"/>
            <w:gridSpan w:val="3"/>
            <w:vAlign w:val="center"/>
          </w:tcPr>
          <w:p w:rsidR="006214B2" w:rsidRPr="006214B2" w:rsidRDefault="006214B2" w:rsidP="00A50D68">
            <w:pPr>
              <w:jc w:val="center"/>
              <w:rPr>
                <w:rFonts w:cs="Times New Roman"/>
                <w:color w:val="FF0000"/>
              </w:rPr>
            </w:pPr>
            <w:r w:rsidRPr="006214B2">
              <w:rPr>
                <w:rFonts w:cs="Times New Roman"/>
                <w:color w:val="FF0000"/>
              </w:rPr>
              <w:t>城市</w:t>
            </w:r>
          </w:p>
        </w:tc>
        <w:tc>
          <w:tcPr>
            <w:tcW w:w="3518" w:type="dxa"/>
            <w:vAlign w:val="center"/>
          </w:tcPr>
          <w:p w:rsidR="006214B2" w:rsidRPr="006214B2" w:rsidRDefault="006214B2" w:rsidP="00A50D68">
            <w:pPr>
              <w:jc w:val="center"/>
              <w:rPr>
                <w:rFonts w:cs="Times New Roman"/>
                <w:color w:val="FF0000"/>
              </w:rPr>
            </w:pPr>
            <w:r w:rsidRPr="006214B2">
              <w:rPr>
                <w:rFonts w:cs="Times New Roman"/>
                <w:color w:val="FF0000"/>
              </w:rPr>
              <w:t>农村</w:t>
            </w:r>
          </w:p>
        </w:tc>
      </w:tr>
      <w:tr w:rsidR="006214B2" w:rsidRPr="006214B2" w:rsidTr="00A50D68">
        <w:trPr>
          <w:jc w:val="center"/>
        </w:trPr>
        <w:tc>
          <w:tcPr>
            <w:tcW w:w="1383" w:type="dxa"/>
            <w:vAlign w:val="center"/>
          </w:tcPr>
          <w:p w:rsidR="006214B2" w:rsidRPr="006214B2" w:rsidRDefault="006214B2" w:rsidP="00A50D68">
            <w:pPr>
              <w:jc w:val="center"/>
              <w:rPr>
                <w:rFonts w:cs="Times New Roman"/>
                <w:color w:val="FF0000"/>
              </w:rPr>
            </w:pPr>
            <w:r w:rsidRPr="006214B2">
              <w:rPr>
                <w:rFonts w:cs="Times New Roman"/>
                <w:color w:val="FF0000"/>
              </w:rPr>
              <w:lastRenderedPageBreak/>
              <w:t>类型</w:t>
            </w:r>
          </w:p>
        </w:tc>
        <w:tc>
          <w:tcPr>
            <w:tcW w:w="2225" w:type="dxa"/>
            <w:vAlign w:val="center"/>
          </w:tcPr>
          <w:p w:rsidR="006214B2" w:rsidRPr="006214B2" w:rsidRDefault="006214B2" w:rsidP="00A50D68">
            <w:pPr>
              <w:jc w:val="center"/>
              <w:rPr>
                <w:rFonts w:cs="Times New Roman"/>
                <w:color w:val="FF0000"/>
              </w:rPr>
            </w:pPr>
            <w:r w:rsidRPr="006214B2">
              <w:rPr>
                <w:rFonts w:cs="Times New Roman"/>
                <w:color w:val="FF0000"/>
              </w:rPr>
              <w:t>土地利用与建筑</w:t>
            </w:r>
          </w:p>
        </w:tc>
        <w:tc>
          <w:tcPr>
            <w:tcW w:w="1585" w:type="dxa"/>
            <w:vAlign w:val="center"/>
          </w:tcPr>
          <w:p w:rsidR="006214B2" w:rsidRPr="006214B2" w:rsidRDefault="006214B2" w:rsidP="00A50D68">
            <w:pPr>
              <w:jc w:val="center"/>
              <w:rPr>
                <w:rFonts w:cs="Times New Roman"/>
                <w:color w:val="FF0000"/>
              </w:rPr>
            </w:pPr>
            <w:r w:rsidRPr="006214B2">
              <w:rPr>
                <w:rFonts w:cs="Times New Roman"/>
                <w:color w:val="FF0000"/>
              </w:rPr>
              <w:t>植被</w:t>
            </w:r>
          </w:p>
        </w:tc>
        <w:tc>
          <w:tcPr>
            <w:tcW w:w="3518" w:type="dxa"/>
            <w:vMerge w:val="restart"/>
            <w:vAlign w:val="center"/>
          </w:tcPr>
          <w:p w:rsidR="006214B2" w:rsidRPr="006214B2" w:rsidRDefault="006214B2" w:rsidP="00A50D68">
            <w:pPr>
              <w:jc w:val="center"/>
              <w:rPr>
                <w:rFonts w:cs="Times New Roman"/>
                <w:color w:val="FF0000"/>
              </w:rPr>
            </w:pPr>
            <w:r w:rsidRPr="006214B2">
              <w:rPr>
                <w:rFonts w:cs="Times New Roman"/>
                <w:color w:val="FF0000"/>
              </w:rPr>
              <w:t>有草地和树木的军民区；</w:t>
            </w:r>
          </w:p>
          <w:p w:rsidR="006214B2" w:rsidRPr="006214B2" w:rsidRDefault="006214B2" w:rsidP="00A50D68">
            <w:pPr>
              <w:jc w:val="center"/>
              <w:rPr>
                <w:rFonts w:cs="Times New Roman"/>
                <w:color w:val="FF0000"/>
              </w:rPr>
            </w:pPr>
            <w:r w:rsidRPr="006214B2">
              <w:rPr>
                <w:rFonts w:cs="Times New Roman"/>
                <w:color w:val="FF0000"/>
              </w:rPr>
              <w:t>农村用地；</w:t>
            </w:r>
          </w:p>
          <w:p w:rsidR="006214B2" w:rsidRPr="006214B2" w:rsidRDefault="006214B2" w:rsidP="00A50D68">
            <w:pPr>
              <w:jc w:val="center"/>
              <w:rPr>
                <w:rFonts w:cs="Times New Roman"/>
                <w:color w:val="FF0000"/>
              </w:rPr>
            </w:pPr>
            <w:r w:rsidRPr="006214B2">
              <w:rPr>
                <w:rFonts w:cs="Times New Roman"/>
                <w:color w:val="FF0000"/>
              </w:rPr>
              <w:t>大型庄园；</w:t>
            </w:r>
          </w:p>
          <w:p w:rsidR="006214B2" w:rsidRPr="006214B2" w:rsidRDefault="006214B2" w:rsidP="00A50D68">
            <w:pPr>
              <w:jc w:val="center"/>
              <w:rPr>
                <w:rFonts w:cs="Times New Roman"/>
                <w:color w:val="FF0000"/>
              </w:rPr>
            </w:pPr>
            <w:r w:rsidRPr="006214B2">
              <w:rPr>
                <w:rFonts w:cs="Times New Roman"/>
                <w:color w:val="FF0000"/>
              </w:rPr>
              <w:t>未来</w:t>
            </w:r>
            <w:r w:rsidRPr="006214B2">
              <w:rPr>
                <w:rFonts w:cs="Times New Roman" w:hint="eastAsia"/>
                <w:color w:val="FF0000"/>
              </w:rPr>
              <w:t>发展</w:t>
            </w:r>
            <w:r w:rsidRPr="006214B2">
              <w:rPr>
                <w:rFonts w:cs="Times New Roman"/>
                <w:color w:val="FF0000"/>
              </w:rPr>
              <w:t>的土地；</w:t>
            </w:r>
          </w:p>
          <w:p w:rsidR="006214B2" w:rsidRPr="006214B2" w:rsidRDefault="006214B2" w:rsidP="00A50D68">
            <w:pPr>
              <w:jc w:val="center"/>
              <w:rPr>
                <w:rFonts w:cs="Times New Roman"/>
                <w:color w:val="FF0000"/>
              </w:rPr>
            </w:pPr>
            <w:r w:rsidRPr="006214B2">
              <w:rPr>
                <w:rFonts w:cs="Times New Roman"/>
                <w:color w:val="FF0000"/>
              </w:rPr>
              <w:t>城市公园及高尔夫球场；</w:t>
            </w:r>
          </w:p>
          <w:p w:rsidR="006214B2" w:rsidRPr="006214B2" w:rsidRDefault="006214B2" w:rsidP="00A50D68">
            <w:pPr>
              <w:jc w:val="center"/>
              <w:rPr>
                <w:rFonts w:cs="Times New Roman"/>
                <w:color w:val="FF0000"/>
              </w:rPr>
            </w:pPr>
            <w:r w:rsidRPr="006214B2">
              <w:rPr>
                <w:rFonts w:cs="Times New Roman"/>
                <w:color w:val="FF0000"/>
              </w:rPr>
              <w:t>水体表面；</w:t>
            </w:r>
          </w:p>
        </w:tc>
      </w:tr>
      <w:tr w:rsidR="006214B2" w:rsidRPr="006214B2" w:rsidTr="00A50D68">
        <w:trPr>
          <w:jc w:val="center"/>
        </w:trPr>
        <w:tc>
          <w:tcPr>
            <w:tcW w:w="1383" w:type="dxa"/>
            <w:vAlign w:val="center"/>
          </w:tcPr>
          <w:p w:rsidR="006214B2" w:rsidRPr="006214B2" w:rsidRDefault="006214B2" w:rsidP="00A50D68">
            <w:pPr>
              <w:jc w:val="center"/>
              <w:rPr>
                <w:rFonts w:cs="Times New Roman"/>
                <w:color w:val="FF0000"/>
              </w:rPr>
            </w:pPr>
            <w:r w:rsidRPr="006214B2">
              <w:rPr>
                <w:rFonts w:cs="Times New Roman"/>
                <w:color w:val="FF0000"/>
              </w:rPr>
              <w:t>I1</w:t>
            </w:r>
          </w:p>
        </w:tc>
        <w:tc>
          <w:tcPr>
            <w:tcW w:w="2225" w:type="dxa"/>
            <w:vAlign w:val="center"/>
          </w:tcPr>
          <w:p w:rsidR="006214B2" w:rsidRPr="006214B2" w:rsidRDefault="006214B2" w:rsidP="00A50D68">
            <w:pPr>
              <w:jc w:val="center"/>
              <w:rPr>
                <w:rFonts w:cs="Times New Roman"/>
                <w:color w:val="FF0000"/>
              </w:rPr>
            </w:pPr>
            <w:r w:rsidRPr="006214B2">
              <w:rPr>
                <w:rFonts w:cs="Times New Roman"/>
                <w:color w:val="FF0000"/>
              </w:rPr>
              <w:t>重工业</w:t>
            </w:r>
          </w:p>
        </w:tc>
        <w:tc>
          <w:tcPr>
            <w:tcW w:w="1585" w:type="dxa"/>
            <w:vAlign w:val="center"/>
          </w:tcPr>
          <w:p w:rsidR="006214B2" w:rsidRPr="006214B2" w:rsidRDefault="006214B2" w:rsidP="00A50D68">
            <w:pPr>
              <w:jc w:val="center"/>
              <w:rPr>
                <w:rFonts w:cs="Times New Roman"/>
                <w:color w:val="FF0000"/>
              </w:rPr>
            </w:pPr>
            <w:r w:rsidRPr="006214B2">
              <w:rPr>
                <w:rFonts w:cs="Times New Roman"/>
                <w:color w:val="FF0000"/>
              </w:rPr>
              <w:t>少于</w:t>
            </w:r>
            <w:r w:rsidRPr="006214B2">
              <w:rPr>
                <w:rFonts w:cs="Times New Roman"/>
                <w:color w:val="FF0000"/>
              </w:rPr>
              <w:t>5%</w:t>
            </w:r>
          </w:p>
        </w:tc>
        <w:tc>
          <w:tcPr>
            <w:tcW w:w="3518" w:type="dxa"/>
            <w:vMerge/>
            <w:vAlign w:val="center"/>
          </w:tcPr>
          <w:p w:rsidR="006214B2" w:rsidRPr="006214B2" w:rsidRDefault="006214B2" w:rsidP="00A50D68">
            <w:pPr>
              <w:autoSpaceDE w:val="0"/>
              <w:autoSpaceDN w:val="0"/>
              <w:jc w:val="center"/>
              <w:rPr>
                <w:rFonts w:eastAsiaTheme="minorEastAsia" w:cs="Times New Roman"/>
                <w:bCs/>
                <w:snapToGrid w:val="0"/>
                <w:color w:val="FF0000"/>
                <w:szCs w:val="21"/>
              </w:rPr>
            </w:pPr>
          </w:p>
        </w:tc>
      </w:tr>
      <w:tr w:rsidR="006214B2" w:rsidRPr="006214B2" w:rsidTr="00A50D68">
        <w:trPr>
          <w:jc w:val="center"/>
        </w:trPr>
        <w:tc>
          <w:tcPr>
            <w:tcW w:w="1383" w:type="dxa"/>
            <w:vAlign w:val="center"/>
          </w:tcPr>
          <w:p w:rsidR="006214B2" w:rsidRPr="006214B2" w:rsidRDefault="006214B2" w:rsidP="00A50D68">
            <w:pPr>
              <w:jc w:val="center"/>
              <w:rPr>
                <w:rFonts w:cs="Times New Roman"/>
                <w:color w:val="FF0000"/>
              </w:rPr>
            </w:pPr>
            <w:r w:rsidRPr="006214B2">
              <w:rPr>
                <w:rFonts w:cs="Times New Roman"/>
                <w:color w:val="FF0000"/>
              </w:rPr>
              <w:t>I2</w:t>
            </w:r>
          </w:p>
        </w:tc>
        <w:tc>
          <w:tcPr>
            <w:tcW w:w="2225" w:type="dxa"/>
            <w:vAlign w:val="center"/>
          </w:tcPr>
          <w:p w:rsidR="006214B2" w:rsidRPr="006214B2" w:rsidRDefault="006214B2" w:rsidP="00A50D68">
            <w:pPr>
              <w:jc w:val="center"/>
              <w:rPr>
                <w:rFonts w:cs="Times New Roman"/>
                <w:color w:val="FF0000"/>
              </w:rPr>
            </w:pPr>
            <w:r w:rsidRPr="006214B2">
              <w:rPr>
                <w:rFonts w:cs="Times New Roman"/>
                <w:color w:val="FF0000"/>
              </w:rPr>
              <w:t>轻</w:t>
            </w:r>
            <w:r w:rsidRPr="006214B2">
              <w:rPr>
                <w:rFonts w:cs="Times New Roman"/>
                <w:color w:val="FF0000"/>
              </w:rPr>
              <w:t>/</w:t>
            </w:r>
            <w:r w:rsidRPr="006214B2">
              <w:rPr>
                <w:rFonts w:cs="Times New Roman"/>
                <w:color w:val="FF0000"/>
              </w:rPr>
              <w:t>中工业</w:t>
            </w:r>
          </w:p>
        </w:tc>
        <w:tc>
          <w:tcPr>
            <w:tcW w:w="1585" w:type="dxa"/>
            <w:vAlign w:val="center"/>
          </w:tcPr>
          <w:p w:rsidR="006214B2" w:rsidRPr="006214B2" w:rsidRDefault="006214B2" w:rsidP="00A50D68">
            <w:pPr>
              <w:jc w:val="center"/>
              <w:rPr>
                <w:rFonts w:cs="Times New Roman"/>
                <w:color w:val="FF0000"/>
              </w:rPr>
            </w:pPr>
            <w:r w:rsidRPr="006214B2">
              <w:rPr>
                <w:rFonts w:cs="Times New Roman"/>
                <w:color w:val="FF0000"/>
              </w:rPr>
              <w:t>少于</w:t>
            </w:r>
            <w:r w:rsidRPr="006214B2">
              <w:rPr>
                <w:rFonts w:cs="Times New Roman"/>
                <w:color w:val="FF0000"/>
              </w:rPr>
              <w:t>5%</w:t>
            </w:r>
          </w:p>
        </w:tc>
        <w:tc>
          <w:tcPr>
            <w:tcW w:w="3518" w:type="dxa"/>
            <w:vMerge/>
            <w:vAlign w:val="center"/>
          </w:tcPr>
          <w:p w:rsidR="006214B2" w:rsidRPr="006214B2" w:rsidRDefault="006214B2" w:rsidP="00A50D68">
            <w:pPr>
              <w:autoSpaceDE w:val="0"/>
              <w:autoSpaceDN w:val="0"/>
              <w:jc w:val="center"/>
              <w:rPr>
                <w:rFonts w:eastAsiaTheme="minorEastAsia" w:cs="Times New Roman"/>
                <w:bCs/>
                <w:snapToGrid w:val="0"/>
                <w:color w:val="FF0000"/>
                <w:szCs w:val="21"/>
              </w:rPr>
            </w:pPr>
          </w:p>
        </w:tc>
      </w:tr>
      <w:tr w:rsidR="006214B2" w:rsidRPr="006214B2" w:rsidTr="00A50D68">
        <w:trPr>
          <w:jc w:val="center"/>
        </w:trPr>
        <w:tc>
          <w:tcPr>
            <w:tcW w:w="1383" w:type="dxa"/>
            <w:vAlign w:val="center"/>
          </w:tcPr>
          <w:p w:rsidR="006214B2" w:rsidRPr="006214B2" w:rsidRDefault="006214B2" w:rsidP="00A50D68">
            <w:pPr>
              <w:jc w:val="center"/>
              <w:rPr>
                <w:rFonts w:cs="Times New Roman"/>
                <w:color w:val="FF0000"/>
              </w:rPr>
            </w:pPr>
            <w:r w:rsidRPr="006214B2">
              <w:rPr>
                <w:rFonts w:cs="Times New Roman"/>
                <w:color w:val="FF0000"/>
              </w:rPr>
              <w:t>C1</w:t>
            </w:r>
          </w:p>
        </w:tc>
        <w:tc>
          <w:tcPr>
            <w:tcW w:w="2225" w:type="dxa"/>
            <w:vAlign w:val="center"/>
          </w:tcPr>
          <w:p w:rsidR="006214B2" w:rsidRPr="006214B2" w:rsidRDefault="006214B2" w:rsidP="00A50D68">
            <w:pPr>
              <w:jc w:val="center"/>
              <w:rPr>
                <w:rFonts w:cs="Times New Roman"/>
                <w:color w:val="FF0000"/>
              </w:rPr>
            </w:pPr>
            <w:r w:rsidRPr="006214B2">
              <w:rPr>
                <w:rFonts w:cs="Times New Roman"/>
                <w:color w:val="FF0000"/>
              </w:rPr>
              <w:t>商业区</w:t>
            </w:r>
          </w:p>
        </w:tc>
        <w:tc>
          <w:tcPr>
            <w:tcW w:w="1585" w:type="dxa"/>
            <w:vAlign w:val="center"/>
          </w:tcPr>
          <w:p w:rsidR="006214B2" w:rsidRPr="006214B2" w:rsidRDefault="006214B2" w:rsidP="00A50D68">
            <w:pPr>
              <w:jc w:val="center"/>
              <w:rPr>
                <w:rFonts w:cs="Times New Roman"/>
                <w:color w:val="FF0000"/>
              </w:rPr>
            </w:pPr>
            <w:r w:rsidRPr="006214B2">
              <w:rPr>
                <w:rFonts w:cs="Times New Roman"/>
                <w:color w:val="FF0000"/>
              </w:rPr>
              <w:t>少于</w:t>
            </w:r>
            <w:r w:rsidRPr="006214B2">
              <w:rPr>
                <w:rFonts w:cs="Times New Roman"/>
                <w:color w:val="FF0000"/>
              </w:rPr>
              <w:t>15%</w:t>
            </w:r>
          </w:p>
        </w:tc>
        <w:tc>
          <w:tcPr>
            <w:tcW w:w="3518" w:type="dxa"/>
            <w:vMerge/>
            <w:vAlign w:val="center"/>
          </w:tcPr>
          <w:p w:rsidR="006214B2" w:rsidRPr="006214B2" w:rsidRDefault="006214B2" w:rsidP="00A50D68">
            <w:pPr>
              <w:autoSpaceDE w:val="0"/>
              <w:autoSpaceDN w:val="0"/>
              <w:jc w:val="center"/>
              <w:rPr>
                <w:rFonts w:eastAsiaTheme="minorEastAsia" w:cs="Times New Roman"/>
                <w:bCs/>
                <w:snapToGrid w:val="0"/>
                <w:color w:val="FF0000"/>
                <w:szCs w:val="21"/>
              </w:rPr>
            </w:pPr>
          </w:p>
        </w:tc>
      </w:tr>
      <w:tr w:rsidR="006214B2" w:rsidRPr="006214B2" w:rsidTr="00A50D68">
        <w:trPr>
          <w:jc w:val="center"/>
        </w:trPr>
        <w:tc>
          <w:tcPr>
            <w:tcW w:w="1383" w:type="dxa"/>
            <w:vAlign w:val="center"/>
          </w:tcPr>
          <w:p w:rsidR="006214B2" w:rsidRPr="006214B2" w:rsidRDefault="006214B2" w:rsidP="00A50D68">
            <w:pPr>
              <w:jc w:val="center"/>
              <w:rPr>
                <w:rFonts w:cs="Times New Roman"/>
                <w:color w:val="FF0000"/>
              </w:rPr>
            </w:pPr>
            <w:r w:rsidRPr="006214B2">
              <w:rPr>
                <w:rFonts w:cs="Times New Roman"/>
                <w:color w:val="FF0000"/>
              </w:rPr>
              <w:t>R2</w:t>
            </w:r>
          </w:p>
        </w:tc>
        <w:tc>
          <w:tcPr>
            <w:tcW w:w="2225" w:type="dxa"/>
            <w:vAlign w:val="center"/>
          </w:tcPr>
          <w:p w:rsidR="006214B2" w:rsidRPr="006214B2" w:rsidRDefault="006214B2" w:rsidP="00A50D68">
            <w:pPr>
              <w:jc w:val="center"/>
              <w:rPr>
                <w:rFonts w:cs="Times New Roman"/>
                <w:color w:val="FF0000"/>
              </w:rPr>
            </w:pPr>
            <w:r w:rsidRPr="006214B2">
              <w:rPr>
                <w:rFonts w:cs="Times New Roman"/>
                <w:color w:val="FF0000"/>
              </w:rPr>
              <w:t>单一密度，多户</w:t>
            </w:r>
          </w:p>
        </w:tc>
        <w:tc>
          <w:tcPr>
            <w:tcW w:w="1585" w:type="dxa"/>
            <w:vAlign w:val="center"/>
          </w:tcPr>
          <w:p w:rsidR="006214B2" w:rsidRPr="006214B2" w:rsidRDefault="006214B2" w:rsidP="00A50D68">
            <w:pPr>
              <w:jc w:val="center"/>
              <w:rPr>
                <w:rFonts w:cs="Times New Roman"/>
                <w:color w:val="FF0000"/>
              </w:rPr>
            </w:pPr>
            <w:r w:rsidRPr="006214B2">
              <w:rPr>
                <w:rFonts w:cs="Times New Roman"/>
                <w:color w:val="FF0000"/>
              </w:rPr>
              <w:t>少于</w:t>
            </w:r>
            <w:r w:rsidRPr="006214B2">
              <w:rPr>
                <w:rFonts w:cs="Times New Roman"/>
                <w:color w:val="FF0000"/>
              </w:rPr>
              <w:t>30%</w:t>
            </w:r>
          </w:p>
        </w:tc>
        <w:tc>
          <w:tcPr>
            <w:tcW w:w="3518" w:type="dxa"/>
            <w:vMerge/>
            <w:vAlign w:val="center"/>
          </w:tcPr>
          <w:p w:rsidR="006214B2" w:rsidRPr="006214B2" w:rsidRDefault="006214B2" w:rsidP="00A50D68">
            <w:pPr>
              <w:autoSpaceDE w:val="0"/>
              <w:autoSpaceDN w:val="0"/>
              <w:jc w:val="center"/>
              <w:rPr>
                <w:rFonts w:eastAsiaTheme="minorEastAsia" w:cs="Times New Roman"/>
                <w:bCs/>
                <w:snapToGrid w:val="0"/>
                <w:color w:val="FF0000"/>
                <w:szCs w:val="21"/>
              </w:rPr>
            </w:pPr>
          </w:p>
        </w:tc>
      </w:tr>
      <w:tr w:rsidR="006214B2" w:rsidRPr="006214B2" w:rsidTr="00A50D68">
        <w:trPr>
          <w:jc w:val="center"/>
        </w:trPr>
        <w:tc>
          <w:tcPr>
            <w:tcW w:w="1383" w:type="dxa"/>
            <w:vAlign w:val="center"/>
          </w:tcPr>
          <w:p w:rsidR="006214B2" w:rsidRPr="006214B2" w:rsidRDefault="006214B2" w:rsidP="00A50D68">
            <w:pPr>
              <w:jc w:val="center"/>
              <w:rPr>
                <w:rFonts w:cs="Times New Roman"/>
                <w:color w:val="FF0000"/>
              </w:rPr>
            </w:pPr>
            <w:r w:rsidRPr="006214B2">
              <w:rPr>
                <w:rFonts w:cs="Times New Roman"/>
                <w:color w:val="FF0000"/>
              </w:rPr>
              <w:t>R3</w:t>
            </w:r>
          </w:p>
        </w:tc>
        <w:tc>
          <w:tcPr>
            <w:tcW w:w="2225" w:type="dxa"/>
            <w:vAlign w:val="center"/>
          </w:tcPr>
          <w:p w:rsidR="006214B2" w:rsidRPr="006214B2" w:rsidRDefault="006214B2" w:rsidP="00A50D68">
            <w:pPr>
              <w:jc w:val="center"/>
              <w:rPr>
                <w:rFonts w:cs="Times New Roman"/>
                <w:color w:val="FF0000"/>
              </w:rPr>
            </w:pPr>
            <w:r w:rsidRPr="006214B2">
              <w:rPr>
                <w:rFonts w:cs="Times New Roman"/>
                <w:color w:val="FF0000"/>
              </w:rPr>
              <w:t>多户，两层楼房</w:t>
            </w:r>
          </w:p>
        </w:tc>
        <w:tc>
          <w:tcPr>
            <w:tcW w:w="1585" w:type="dxa"/>
            <w:vAlign w:val="center"/>
          </w:tcPr>
          <w:p w:rsidR="006214B2" w:rsidRPr="006214B2" w:rsidRDefault="006214B2" w:rsidP="00A50D68">
            <w:pPr>
              <w:jc w:val="center"/>
              <w:rPr>
                <w:rFonts w:cs="Times New Roman"/>
                <w:color w:val="FF0000"/>
              </w:rPr>
            </w:pPr>
            <w:r w:rsidRPr="006214B2">
              <w:rPr>
                <w:rFonts w:cs="Times New Roman"/>
                <w:color w:val="FF0000"/>
              </w:rPr>
              <w:t>少于</w:t>
            </w:r>
            <w:r w:rsidRPr="006214B2">
              <w:rPr>
                <w:rFonts w:cs="Times New Roman"/>
                <w:color w:val="FF0000"/>
              </w:rPr>
              <w:t>35%</w:t>
            </w:r>
          </w:p>
        </w:tc>
        <w:tc>
          <w:tcPr>
            <w:tcW w:w="3518" w:type="dxa"/>
            <w:vMerge/>
            <w:vAlign w:val="center"/>
          </w:tcPr>
          <w:p w:rsidR="006214B2" w:rsidRPr="006214B2" w:rsidRDefault="006214B2" w:rsidP="00A50D68">
            <w:pPr>
              <w:autoSpaceDE w:val="0"/>
              <w:autoSpaceDN w:val="0"/>
              <w:jc w:val="center"/>
              <w:rPr>
                <w:rFonts w:eastAsiaTheme="minorEastAsia" w:cs="Times New Roman"/>
                <w:bCs/>
                <w:snapToGrid w:val="0"/>
                <w:color w:val="FF0000"/>
                <w:szCs w:val="21"/>
              </w:rPr>
            </w:pPr>
          </w:p>
        </w:tc>
      </w:tr>
    </w:tbl>
    <w:p w:rsidR="006214B2" w:rsidRPr="006214B2" w:rsidRDefault="006214B2" w:rsidP="006214B2">
      <w:pPr>
        <w:snapToGrid w:val="0"/>
        <w:spacing w:line="360" w:lineRule="auto"/>
        <w:ind w:firstLine="480"/>
        <w:rPr>
          <w:rFonts w:ascii="宋体" w:hAnsi="宋体" w:cs="宋体"/>
          <w:color w:val="FF0000"/>
          <w:sz w:val="24"/>
          <w:szCs w:val="24"/>
        </w:rPr>
      </w:pPr>
      <w:r w:rsidRPr="006214B2">
        <w:rPr>
          <w:rFonts w:ascii="宋体" w:hAnsi="宋体" w:cs="宋体"/>
          <w:color w:val="FF0000"/>
          <w:sz w:val="24"/>
          <w:szCs w:val="24"/>
        </w:rPr>
        <w:t>以本项目为中心半径3km范围内土地使用类型主要以规划区</w:t>
      </w:r>
      <w:r w:rsidRPr="006214B2">
        <w:rPr>
          <w:rFonts w:ascii="宋体" w:hAnsi="宋体" w:cs="宋体" w:hint="eastAsia"/>
          <w:color w:val="FF0000"/>
          <w:sz w:val="24"/>
          <w:szCs w:val="24"/>
        </w:rPr>
        <w:t>（工业用地）</w:t>
      </w:r>
      <w:r w:rsidRPr="006214B2">
        <w:rPr>
          <w:rFonts w:ascii="宋体" w:hAnsi="宋体" w:cs="宋体"/>
          <w:color w:val="FF0000"/>
          <w:sz w:val="24"/>
          <w:szCs w:val="24"/>
        </w:rPr>
        <w:t>为主，根据全图计算约占75%（大于50%），因此地表类型选项为城市。</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fldChar w:fldCharType="begin"/>
      </w:r>
      <w:r>
        <w:rPr>
          <w:rFonts w:ascii="Times New Roman" w:eastAsia="宋体" w:hAnsi="Times New Roman" w:cs="Times New Roman" w:hint="eastAsia"/>
          <w:b/>
          <w:color w:val="000000" w:themeColor="text1"/>
          <w:sz w:val="24"/>
        </w:rPr>
        <w:instrText xml:space="preserve"> STYLEREF 1 \s </w:instrText>
      </w:r>
      <w:r>
        <w:rPr>
          <w:rFonts w:ascii="Times New Roman" w:eastAsia="宋体" w:hAnsi="Times New Roman" w:cs="Times New Roman" w:hint="eastAsia"/>
          <w:b/>
          <w:color w:val="000000" w:themeColor="text1"/>
          <w:sz w:val="24"/>
        </w:rPr>
        <w:fldChar w:fldCharType="separate"/>
      </w:r>
      <w:r>
        <w:rPr>
          <w:rFonts w:ascii="Times New Roman" w:eastAsia="宋体" w:hAnsi="Times New Roman" w:cs="Times New Roman" w:hint="eastAsia"/>
          <w:b/>
          <w:color w:val="000000" w:themeColor="text1"/>
          <w:sz w:val="24"/>
        </w:rPr>
        <w:t>1</w:t>
      </w:r>
      <w:r>
        <w:rPr>
          <w:rFonts w:ascii="Times New Roman" w:eastAsia="宋体" w:hAnsi="Times New Roman" w:cs="Times New Roman" w:hint="eastAsia"/>
          <w:b/>
          <w:color w:val="000000" w:themeColor="text1"/>
          <w:sz w:val="24"/>
        </w:rPr>
        <w:fldChar w:fldCharType="end"/>
      </w:r>
      <w:r>
        <w:rPr>
          <w:rFonts w:ascii="Times New Roman" w:eastAsia="宋体" w:hAnsi="Times New Roman" w:cs="Times New Roman" w:hint="eastAsia"/>
          <w:b/>
          <w:color w:val="000000" w:themeColor="text1"/>
          <w:sz w:val="24"/>
        </w:rPr>
        <w:t>.8</w:t>
      </w:r>
      <w:r>
        <w:rPr>
          <w:rFonts w:ascii="Times New Roman" w:eastAsia="宋体" w:hAnsi="Times New Roman" w:cs="Times New Roman" w:hint="eastAsia"/>
          <w:b/>
          <w:color w:val="000000" w:themeColor="text1"/>
          <w:sz w:val="24"/>
        </w:rPr>
        <w:noBreakHyphen/>
      </w:r>
      <w:bookmarkEnd w:id="67"/>
      <w:r>
        <w:rPr>
          <w:rFonts w:ascii="Times New Roman" w:eastAsia="宋体" w:hAnsi="Times New Roman" w:cs="Times New Roman" w:hint="eastAsia"/>
          <w:b/>
          <w:color w:val="000000" w:themeColor="text1"/>
          <w:sz w:val="24"/>
        </w:rPr>
        <w:t>1</w:t>
      </w:r>
      <w:r>
        <w:rPr>
          <w:rFonts w:ascii="Times New Roman" w:eastAsia="宋体" w:hAnsi="Times New Roman" w:cs="Times New Roman" w:hint="eastAsia"/>
          <w:b/>
          <w:color w:val="000000" w:themeColor="text1"/>
          <w:sz w:val="24"/>
        </w:rPr>
        <w:t>估算模型参数表</w:t>
      </w:r>
    </w:p>
    <w:tbl>
      <w:tblPr>
        <w:tblW w:w="4999"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781"/>
        <w:gridCol w:w="2582"/>
        <w:gridCol w:w="2581"/>
      </w:tblGrid>
      <w:tr w:rsidR="00644456">
        <w:trPr>
          <w:cantSplit/>
          <w:jc w:val="center"/>
        </w:trPr>
        <w:tc>
          <w:tcPr>
            <w:tcW w:w="3556" w:type="pct"/>
            <w:gridSpan w:val="2"/>
            <w:tcBorders>
              <w:tl2br w:val="nil"/>
              <w:tr2bl w:val="nil"/>
            </w:tcBorders>
            <w:vAlign w:val="center"/>
          </w:tcPr>
          <w:p w:rsidR="00644456" w:rsidRDefault="008031C4">
            <w:pPr>
              <w:pStyle w:val="afffffc"/>
              <w:spacing w:line="240" w:lineRule="auto"/>
              <w:rPr>
                <w:rFonts w:ascii="Times New Roman" w:eastAsia="宋体" w:hAnsi="Times New Roman" w:cs="Times New Roman"/>
                <w:bCs/>
                <w:color w:val="000000" w:themeColor="text1"/>
                <w:sz w:val="21"/>
                <w:szCs w:val="21"/>
              </w:rPr>
            </w:pPr>
            <w:r>
              <w:rPr>
                <w:rFonts w:ascii="Times New Roman" w:eastAsia="宋体" w:hAnsi="Times New Roman" w:cs="Times New Roman"/>
                <w:bCs/>
                <w:color w:val="000000" w:themeColor="text1"/>
                <w:sz w:val="21"/>
                <w:szCs w:val="21"/>
              </w:rPr>
              <w:t>参数</w:t>
            </w:r>
          </w:p>
        </w:tc>
        <w:tc>
          <w:tcPr>
            <w:tcW w:w="1443" w:type="pct"/>
            <w:tcBorders>
              <w:tl2br w:val="nil"/>
              <w:tr2bl w:val="nil"/>
            </w:tcBorders>
            <w:vAlign w:val="center"/>
          </w:tcPr>
          <w:p w:rsidR="00644456" w:rsidRDefault="008031C4">
            <w:pPr>
              <w:pStyle w:val="afffffc"/>
              <w:spacing w:line="240" w:lineRule="auto"/>
              <w:rPr>
                <w:rFonts w:ascii="Times New Roman" w:eastAsia="宋体" w:hAnsi="Times New Roman" w:cs="Times New Roman"/>
                <w:bCs/>
                <w:color w:val="000000" w:themeColor="text1"/>
                <w:sz w:val="21"/>
                <w:szCs w:val="21"/>
              </w:rPr>
            </w:pPr>
            <w:r>
              <w:rPr>
                <w:rFonts w:ascii="Times New Roman" w:eastAsia="宋体" w:hAnsi="Times New Roman" w:cs="Times New Roman"/>
                <w:bCs/>
                <w:color w:val="000000" w:themeColor="text1"/>
                <w:sz w:val="21"/>
                <w:szCs w:val="21"/>
              </w:rPr>
              <w:t>取值</w:t>
            </w:r>
          </w:p>
        </w:tc>
      </w:tr>
      <w:tr w:rsidR="00644456">
        <w:trPr>
          <w:cantSplit/>
          <w:trHeight w:val="90"/>
          <w:jc w:val="center"/>
        </w:trPr>
        <w:tc>
          <w:tcPr>
            <w:tcW w:w="2113" w:type="pct"/>
            <w:vMerge w:val="restart"/>
            <w:tcBorders>
              <w:tl2br w:val="nil"/>
              <w:tr2bl w:val="nil"/>
            </w:tcBorders>
            <w:vAlign w:val="center"/>
          </w:tcPr>
          <w:p w:rsidR="00644456" w:rsidRDefault="008031C4">
            <w:pPr>
              <w:pStyle w:val="afffffc"/>
              <w:spacing w:line="240" w:lineRule="auto"/>
              <w:rPr>
                <w:rFonts w:ascii="Times New Roman" w:eastAsia="宋体" w:hAnsi="Times New Roman" w:cs="Times New Roman"/>
                <w:b w:val="0"/>
                <w:bCs/>
                <w:snapToGrid/>
                <w:color w:val="000000" w:themeColor="text1"/>
                <w:spacing w:val="0"/>
                <w:kern w:val="2"/>
                <w:sz w:val="21"/>
                <w:szCs w:val="22"/>
              </w:rPr>
            </w:pPr>
            <w:r>
              <w:rPr>
                <w:rFonts w:ascii="Times New Roman" w:eastAsia="宋体" w:hAnsi="Times New Roman" w:cs="Times New Roman"/>
                <w:b w:val="0"/>
                <w:bCs/>
                <w:snapToGrid/>
                <w:color w:val="000000" w:themeColor="text1"/>
                <w:spacing w:val="0"/>
                <w:kern w:val="2"/>
                <w:sz w:val="21"/>
                <w:szCs w:val="22"/>
              </w:rPr>
              <w:t>城市</w:t>
            </w:r>
            <w:r>
              <w:rPr>
                <w:rFonts w:ascii="Times New Roman" w:eastAsia="宋体" w:hAnsi="Times New Roman" w:cs="Times New Roman"/>
                <w:b w:val="0"/>
                <w:bCs/>
                <w:snapToGrid/>
                <w:color w:val="000000" w:themeColor="text1"/>
                <w:spacing w:val="0"/>
                <w:kern w:val="2"/>
                <w:sz w:val="21"/>
                <w:szCs w:val="22"/>
              </w:rPr>
              <w:t>/</w:t>
            </w:r>
            <w:r>
              <w:rPr>
                <w:rFonts w:ascii="Times New Roman" w:eastAsia="宋体" w:hAnsi="Times New Roman" w:cs="Times New Roman"/>
                <w:b w:val="0"/>
                <w:bCs/>
                <w:snapToGrid/>
                <w:color w:val="000000" w:themeColor="text1"/>
                <w:spacing w:val="0"/>
                <w:kern w:val="2"/>
                <w:sz w:val="21"/>
                <w:szCs w:val="22"/>
              </w:rPr>
              <w:t>农村选项</w:t>
            </w:r>
          </w:p>
        </w:tc>
        <w:tc>
          <w:tcPr>
            <w:tcW w:w="1443" w:type="pct"/>
            <w:tcBorders>
              <w:tl2br w:val="nil"/>
              <w:tr2bl w:val="nil"/>
            </w:tcBorders>
            <w:vAlign w:val="center"/>
          </w:tcPr>
          <w:p w:rsidR="00644456" w:rsidRDefault="008031C4">
            <w:pPr>
              <w:pStyle w:val="afffffc"/>
              <w:spacing w:line="240" w:lineRule="auto"/>
              <w:rPr>
                <w:rFonts w:ascii="Times New Roman" w:eastAsia="宋体" w:hAnsi="Times New Roman" w:cs="Times New Roman"/>
                <w:b w:val="0"/>
                <w:bCs/>
                <w:snapToGrid/>
                <w:color w:val="000000" w:themeColor="text1"/>
                <w:spacing w:val="0"/>
                <w:kern w:val="2"/>
                <w:sz w:val="21"/>
                <w:szCs w:val="22"/>
              </w:rPr>
            </w:pPr>
            <w:r>
              <w:rPr>
                <w:rFonts w:ascii="Times New Roman" w:eastAsia="宋体" w:hAnsi="Times New Roman" w:cs="Times New Roman"/>
                <w:b w:val="0"/>
                <w:bCs/>
                <w:snapToGrid/>
                <w:color w:val="000000" w:themeColor="text1"/>
                <w:spacing w:val="0"/>
                <w:kern w:val="2"/>
                <w:sz w:val="21"/>
                <w:szCs w:val="22"/>
              </w:rPr>
              <w:t>城市</w:t>
            </w:r>
            <w:r>
              <w:rPr>
                <w:rFonts w:ascii="Times New Roman" w:eastAsia="宋体" w:hAnsi="Times New Roman" w:cs="Times New Roman"/>
                <w:b w:val="0"/>
                <w:bCs/>
                <w:snapToGrid/>
                <w:color w:val="000000" w:themeColor="text1"/>
                <w:spacing w:val="0"/>
                <w:kern w:val="2"/>
                <w:sz w:val="21"/>
                <w:szCs w:val="22"/>
              </w:rPr>
              <w:t>/</w:t>
            </w:r>
            <w:r>
              <w:rPr>
                <w:rFonts w:ascii="Times New Roman" w:eastAsia="宋体" w:hAnsi="Times New Roman" w:cs="Times New Roman"/>
                <w:b w:val="0"/>
                <w:bCs/>
                <w:snapToGrid/>
                <w:color w:val="000000" w:themeColor="text1"/>
                <w:spacing w:val="0"/>
                <w:kern w:val="2"/>
                <w:sz w:val="21"/>
                <w:szCs w:val="22"/>
              </w:rPr>
              <w:t>农村</w:t>
            </w:r>
          </w:p>
        </w:tc>
        <w:tc>
          <w:tcPr>
            <w:tcW w:w="2667" w:type="dxa"/>
            <w:tcBorders>
              <w:tl2br w:val="nil"/>
              <w:tr2bl w:val="nil"/>
            </w:tcBorders>
            <w:vAlign w:val="center"/>
          </w:tcPr>
          <w:p w:rsidR="00644456" w:rsidRDefault="008031C4">
            <w:pPr>
              <w:adjustRightInd w:val="0"/>
              <w:jc w:val="center"/>
              <w:rPr>
                <w:rFonts w:cs="Times New Roman"/>
                <w:bCs/>
                <w:color w:val="000000" w:themeColor="text1"/>
                <w:spacing w:val="-8"/>
                <w:szCs w:val="21"/>
              </w:rPr>
            </w:pPr>
            <w:r>
              <w:rPr>
                <w:rFonts w:cs="Times New Roman"/>
                <w:color w:val="000000" w:themeColor="text1"/>
              </w:rPr>
              <w:t>城市</w:t>
            </w:r>
          </w:p>
        </w:tc>
      </w:tr>
      <w:tr w:rsidR="00644456">
        <w:trPr>
          <w:cantSplit/>
          <w:trHeight w:val="90"/>
          <w:jc w:val="center"/>
        </w:trPr>
        <w:tc>
          <w:tcPr>
            <w:tcW w:w="2113" w:type="pct"/>
            <w:vMerge/>
            <w:tcBorders>
              <w:tl2br w:val="nil"/>
              <w:tr2bl w:val="nil"/>
            </w:tcBorders>
            <w:vAlign w:val="center"/>
          </w:tcPr>
          <w:p w:rsidR="00644456" w:rsidRDefault="00644456">
            <w:pPr>
              <w:adjustRightInd w:val="0"/>
              <w:jc w:val="center"/>
              <w:rPr>
                <w:rFonts w:cs="Times New Roman"/>
                <w:bCs/>
                <w:color w:val="000000" w:themeColor="text1"/>
              </w:rPr>
            </w:pPr>
          </w:p>
        </w:tc>
        <w:tc>
          <w:tcPr>
            <w:tcW w:w="1443" w:type="pct"/>
            <w:tcBorders>
              <w:tl2br w:val="nil"/>
              <w:tr2bl w:val="nil"/>
            </w:tcBorders>
            <w:vAlign w:val="center"/>
          </w:tcPr>
          <w:p w:rsidR="00644456" w:rsidRDefault="008031C4">
            <w:pPr>
              <w:adjustRightInd w:val="0"/>
              <w:jc w:val="center"/>
              <w:rPr>
                <w:rFonts w:cs="Times New Roman"/>
                <w:bCs/>
                <w:color w:val="000000" w:themeColor="text1"/>
              </w:rPr>
            </w:pPr>
            <w:r>
              <w:rPr>
                <w:rFonts w:cs="Times New Roman"/>
                <w:bCs/>
                <w:color w:val="000000" w:themeColor="text1"/>
              </w:rPr>
              <w:t>人口数（城市选项时）</w:t>
            </w:r>
          </w:p>
        </w:tc>
        <w:tc>
          <w:tcPr>
            <w:tcW w:w="2667" w:type="dxa"/>
            <w:tcBorders>
              <w:tl2br w:val="nil"/>
              <w:tr2bl w:val="nil"/>
            </w:tcBorders>
            <w:vAlign w:val="center"/>
          </w:tcPr>
          <w:p w:rsidR="00644456" w:rsidRDefault="008031C4">
            <w:pPr>
              <w:adjustRightInd w:val="0"/>
              <w:jc w:val="center"/>
              <w:rPr>
                <w:rFonts w:cs="Times New Roman"/>
                <w:bCs/>
                <w:color w:val="000000" w:themeColor="text1"/>
                <w:szCs w:val="21"/>
              </w:rPr>
            </w:pPr>
            <w:r>
              <w:rPr>
                <w:rFonts w:cs="Times New Roman"/>
                <w:color w:val="000000" w:themeColor="text1"/>
              </w:rPr>
              <w:t>26.29</w:t>
            </w:r>
            <w:r>
              <w:rPr>
                <w:rFonts w:cs="Times New Roman"/>
                <w:color w:val="000000" w:themeColor="text1"/>
              </w:rPr>
              <w:t>万人</w:t>
            </w:r>
          </w:p>
        </w:tc>
      </w:tr>
      <w:tr w:rsidR="00644456">
        <w:trPr>
          <w:cantSplit/>
          <w:trHeight w:val="90"/>
          <w:jc w:val="center"/>
        </w:trPr>
        <w:tc>
          <w:tcPr>
            <w:tcW w:w="3556" w:type="pct"/>
            <w:gridSpan w:val="2"/>
            <w:tcBorders>
              <w:tl2br w:val="nil"/>
              <w:tr2bl w:val="nil"/>
            </w:tcBorders>
            <w:vAlign w:val="center"/>
          </w:tcPr>
          <w:p w:rsidR="00644456" w:rsidRDefault="008031C4">
            <w:pPr>
              <w:pStyle w:val="afffffc"/>
              <w:spacing w:line="240" w:lineRule="auto"/>
              <w:rPr>
                <w:rFonts w:ascii="Times New Roman" w:eastAsia="宋体" w:hAnsi="Times New Roman" w:cs="Times New Roman"/>
                <w:b w:val="0"/>
                <w:bCs/>
                <w:snapToGrid/>
                <w:color w:val="000000" w:themeColor="text1"/>
                <w:spacing w:val="0"/>
                <w:kern w:val="2"/>
                <w:sz w:val="21"/>
                <w:szCs w:val="22"/>
              </w:rPr>
            </w:pPr>
            <w:r>
              <w:rPr>
                <w:rFonts w:ascii="Times New Roman" w:eastAsia="宋体" w:hAnsi="Times New Roman" w:cs="Times New Roman"/>
                <w:b w:val="0"/>
                <w:bCs/>
                <w:snapToGrid/>
                <w:color w:val="000000" w:themeColor="text1"/>
                <w:spacing w:val="0"/>
                <w:kern w:val="2"/>
                <w:sz w:val="21"/>
                <w:szCs w:val="22"/>
              </w:rPr>
              <w:t>最高环境温度</w:t>
            </w:r>
            <w:r>
              <w:rPr>
                <w:rFonts w:ascii="Times New Roman" w:eastAsia="宋体" w:hAnsi="Times New Roman" w:cs="Times New Roman"/>
                <w:b w:val="0"/>
                <w:bCs/>
                <w:snapToGrid/>
                <w:color w:val="000000" w:themeColor="text1"/>
                <w:spacing w:val="0"/>
                <w:kern w:val="2"/>
                <w:sz w:val="21"/>
                <w:szCs w:val="22"/>
              </w:rPr>
              <w:t>/℃</w:t>
            </w:r>
          </w:p>
        </w:tc>
        <w:tc>
          <w:tcPr>
            <w:tcW w:w="2667" w:type="dxa"/>
            <w:tcBorders>
              <w:tl2br w:val="nil"/>
              <w:tr2bl w:val="nil"/>
            </w:tcBorders>
            <w:vAlign w:val="center"/>
          </w:tcPr>
          <w:p w:rsidR="00644456" w:rsidRDefault="008031C4">
            <w:pPr>
              <w:adjustRightInd w:val="0"/>
              <w:snapToGrid w:val="0"/>
              <w:jc w:val="center"/>
              <w:rPr>
                <w:rFonts w:cs="Times New Roman"/>
                <w:bCs/>
                <w:color w:val="000000" w:themeColor="text1"/>
                <w:spacing w:val="-8"/>
                <w:szCs w:val="21"/>
              </w:rPr>
            </w:pPr>
            <w:r>
              <w:rPr>
                <w:rFonts w:cs="Times New Roman"/>
                <w:bCs/>
                <w:color w:val="000000" w:themeColor="text1"/>
                <w:spacing w:val="-8"/>
                <w:szCs w:val="21"/>
              </w:rPr>
              <w:t>40.10</w:t>
            </w:r>
          </w:p>
        </w:tc>
      </w:tr>
      <w:tr w:rsidR="00644456">
        <w:trPr>
          <w:cantSplit/>
          <w:trHeight w:val="90"/>
          <w:jc w:val="center"/>
        </w:trPr>
        <w:tc>
          <w:tcPr>
            <w:tcW w:w="3556" w:type="pct"/>
            <w:gridSpan w:val="2"/>
            <w:tcBorders>
              <w:tl2br w:val="nil"/>
              <w:tr2bl w:val="nil"/>
            </w:tcBorders>
            <w:vAlign w:val="center"/>
          </w:tcPr>
          <w:p w:rsidR="00644456" w:rsidRDefault="008031C4">
            <w:pPr>
              <w:pStyle w:val="afffffc"/>
              <w:spacing w:line="240" w:lineRule="auto"/>
              <w:rPr>
                <w:rFonts w:ascii="Times New Roman" w:eastAsia="宋体" w:hAnsi="Times New Roman" w:cs="Times New Roman"/>
                <w:b w:val="0"/>
                <w:bCs/>
                <w:snapToGrid/>
                <w:color w:val="000000" w:themeColor="text1"/>
                <w:spacing w:val="0"/>
                <w:kern w:val="2"/>
                <w:sz w:val="21"/>
                <w:szCs w:val="22"/>
              </w:rPr>
            </w:pPr>
            <w:r>
              <w:rPr>
                <w:rFonts w:ascii="Times New Roman" w:eastAsia="宋体" w:hAnsi="Times New Roman" w:cs="Times New Roman"/>
                <w:b w:val="0"/>
                <w:bCs/>
                <w:snapToGrid/>
                <w:color w:val="000000" w:themeColor="text1"/>
                <w:spacing w:val="0"/>
                <w:kern w:val="2"/>
                <w:sz w:val="21"/>
                <w:szCs w:val="22"/>
              </w:rPr>
              <w:t>最低环境温度</w:t>
            </w:r>
            <w:r>
              <w:rPr>
                <w:rFonts w:ascii="Times New Roman" w:eastAsia="宋体" w:hAnsi="Times New Roman" w:cs="Times New Roman"/>
                <w:b w:val="0"/>
                <w:bCs/>
                <w:snapToGrid/>
                <w:color w:val="000000" w:themeColor="text1"/>
                <w:spacing w:val="0"/>
                <w:kern w:val="2"/>
                <w:sz w:val="21"/>
                <w:szCs w:val="22"/>
              </w:rPr>
              <w:t>℃</w:t>
            </w:r>
          </w:p>
        </w:tc>
        <w:tc>
          <w:tcPr>
            <w:tcW w:w="2667" w:type="dxa"/>
            <w:tcBorders>
              <w:tl2br w:val="nil"/>
              <w:tr2bl w:val="nil"/>
            </w:tcBorders>
            <w:vAlign w:val="center"/>
          </w:tcPr>
          <w:p w:rsidR="00644456" w:rsidRDefault="008031C4">
            <w:pPr>
              <w:adjustRightInd w:val="0"/>
              <w:snapToGrid w:val="0"/>
              <w:jc w:val="center"/>
              <w:rPr>
                <w:rFonts w:cs="Times New Roman"/>
                <w:bCs/>
                <w:color w:val="000000" w:themeColor="text1"/>
                <w:spacing w:val="-8"/>
                <w:szCs w:val="21"/>
              </w:rPr>
            </w:pPr>
            <w:r>
              <w:rPr>
                <w:rFonts w:cs="Times New Roman"/>
                <w:bCs/>
                <w:color w:val="000000" w:themeColor="text1"/>
                <w:spacing w:val="-8"/>
                <w:szCs w:val="21"/>
              </w:rPr>
              <w:t>-24.40</w:t>
            </w:r>
          </w:p>
        </w:tc>
      </w:tr>
      <w:tr w:rsidR="00644456">
        <w:trPr>
          <w:cantSplit/>
          <w:trHeight w:val="90"/>
          <w:jc w:val="center"/>
        </w:trPr>
        <w:tc>
          <w:tcPr>
            <w:tcW w:w="3556" w:type="pct"/>
            <w:gridSpan w:val="2"/>
            <w:tcBorders>
              <w:tl2br w:val="nil"/>
              <w:tr2bl w:val="nil"/>
            </w:tcBorders>
            <w:vAlign w:val="center"/>
          </w:tcPr>
          <w:p w:rsidR="00644456" w:rsidRDefault="008031C4">
            <w:pPr>
              <w:pStyle w:val="afffffc"/>
              <w:spacing w:line="240" w:lineRule="auto"/>
              <w:rPr>
                <w:rFonts w:ascii="Times New Roman" w:eastAsia="宋体" w:hAnsi="Times New Roman" w:cs="Times New Roman"/>
                <w:b w:val="0"/>
                <w:bCs/>
                <w:snapToGrid/>
                <w:color w:val="000000" w:themeColor="text1"/>
                <w:spacing w:val="0"/>
                <w:kern w:val="2"/>
                <w:sz w:val="21"/>
                <w:szCs w:val="22"/>
              </w:rPr>
            </w:pPr>
            <w:r>
              <w:rPr>
                <w:rFonts w:ascii="Times New Roman" w:eastAsia="宋体" w:hAnsi="Times New Roman" w:cs="Times New Roman"/>
                <w:b w:val="0"/>
                <w:bCs/>
                <w:snapToGrid/>
                <w:color w:val="000000" w:themeColor="text1"/>
                <w:spacing w:val="0"/>
                <w:kern w:val="2"/>
                <w:sz w:val="21"/>
                <w:szCs w:val="22"/>
              </w:rPr>
              <w:t>土地利用类型</w:t>
            </w:r>
          </w:p>
        </w:tc>
        <w:tc>
          <w:tcPr>
            <w:tcW w:w="2667" w:type="dxa"/>
            <w:tcBorders>
              <w:tl2br w:val="nil"/>
              <w:tr2bl w:val="nil"/>
            </w:tcBorders>
            <w:vAlign w:val="center"/>
          </w:tcPr>
          <w:p w:rsidR="00644456" w:rsidRDefault="008031C4">
            <w:pPr>
              <w:adjustRightInd w:val="0"/>
              <w:jc w:val="center"/>
              <w:rPr>
                <w:rFonts w:cs="Times New Roman"/>
                <w:bCs/>
                <w:color w:val="000000" w:themeColor="text1"/>
                <w:spacing w:val="-8"/>
                <w:szCs w:val="21"/>
              </w:rPr>
            </w:pPr>
            <w:r>
              <w:rPr>
                <w:rFonts w:cs="Times New Roman" w:hint="eastAsia"/>
                <w:bCs/>
                <w:color w:val="000000" w:themeColor="text1"/>
                <w:spacing w:val="-8"/>
              </w:rPr>
              <w:t>荒漠</w:t>
            </w:r>
          </w:p>
        </w:tc>
      </w:tr>
      <w:tr w:rsidR="00644456">
        <w:trPr>
          <w:cantSplit/>
          <w:trHeight w:val="90"/>
          <w:jc w:val="center"/>
        </w:trPr>
        <w:tc>
          <w:tcPr>
            <w:tcW w:w="3556" w:type="pct"/>
            <w:gridSpan w:val="2"/>
            <w:tcBorders>
              <w:tl2br w:val="nil"/>
              <w:tr2bl w:val="nil"/>
            </w:tcBorders>
            <w:vAlign w:val="center"/>
          </w:tcPr>
          <w:p w:rsidR="00644456" w:rsidRDefault="008031C4">
            <w:pPr>
              <w:pStyle w:val="afffffc"/>
              <w:spacing w:line="240" w:lineRule="auto"/>
              <w:rPr>
                <w:rFonts w:ascii="Times New Roman" w:eastAsia="宋体" w:hAnsi="Times New Roman" w:cs="Times New Roman"/>
                <w:b w:val="0"/>
                <w:bCs/>
                <w:snapToGrid/>
                <w:color w:val="000000" w:themeColor="text1"/>
                <w:spacing w:val="0"/>
                <w:kern w:val="2"/>
                <w:sz w:val="21"/>
                <w:szCs w:val="22"/>
              </w:rPr>
            </w:pPr>
            <w:r>
              <w:rPr>
                <w:rFonts w:ascii="Times New Roman" w:eastAsia="宋体" w:hAnsi="Times New Roman" w:cs="Times New Roman"/>
                <w:b w:val="0"/>
                <w:bCs/>
                <w:snapToGrid/>
                <w:color w:val="000000" w:themeColor="text1"/>
                <w:spacing w:val="0"/>
                <w:kern w:val="2"/>
                <w:sz w:val="21"/>
                <w:szCs w:val="22"/>
              </w:rPr>
              <w:t>区域湿度条件</w:t>
            </w:r>
          </w:p>
        </w:tc>
        <w:tc>
          <w:tcPr>
            <w:tcW w:w="2667" w:type="dxa"/>
            <w:tcBorders>
              <w:tl2br w:val="nil"/>
              <w:tr2bl w:val="nil"/>
            </w:tcBorders>
            <w:vAlign w:val="center"/>
          </w:tcPr>
          <w:p w:rsidR="00644456" w:rsidRDefault="008031C4">
            <w:pPr>
              <w:adjustRightInd w:val="0"/>
              <w:jc w:val="center"/>
              <w:rPr>
                <w:rFonts w:cs="Times New Roman"/>
                <w:bCs/>
                <w:color w:val="000000" w:themeColor="text1"/>
                <w:spacing w:val="-8"/>
                <w:szCs w:val="21"/>
              </w:rPr>
            </w:pPr>
            <w:r>
              <w:rPr>
                <w:rFonts w:cs="Times New Roman" w:hint="eastAsia"/>
                <w:color w:val="000000" w:themeColor="text1"/>
              </w:rPr>
              <w:t>干燥</w:t>
            </w:r>
          </w:p>
        </w:tc>
      </w:tr>
      <w:tr w:rsidR="00644456">
        <w:trPr>
          <w:cantSplit/>
          <w:jc w:val="center"/>
        </w:trPr>
        <w:tc>
          <w:tcPr>
            <w:tcW w:w="2113" w:type="pct"/>
            <w:vMerge w:val="restart"/>
            <w:tcBorders>
              <w:tl2br w:val="nil"/>
              <w:tr2bl w:val="nil"/>
            </w:tcBorders>
            <w:vAlign w:val="center"/>
          </w:tcPr>
          <w:p w:rsidR="00644456" w:rsidRDefault="008031C4">
            <w:pPr>
              <w:pStyle w:val="afffffc"/>
              <w:spacing w:line="240" w:lineRule="auto"/>
              <w:rPr>
                <w:rFonts w:ascii="Times New Roman" w:eastAsia="宋体" w:hAnsi="Times New Roman" w:cs="Times New Roman"/>
                <w:b w:val="0"/>
                <w:bCs/>
                <w:snapToGrid/>
                <w:color w:val="000000" w:themeColor="text1"/>
                <w:spacing w:val="0"/>
                <w:kern w:val="2"/>
                <w:sz w:val="21"/>
                <w:szCs w:val="22"/>
              </w:rPr>
            </w:pPr>
            <w:r>
              <w:rPr>
                <w:rFonts w:ascii="Times New Roman" w:eastAsia="宋体" w:hAnsi="Times New Roman" w:cs="Times New Roman"/>
                <w:b w:val="0"/>
                <w:bCs/>
                <w:snapToGrid/>
                <w:color w:val="000000" w:themeColor="text1"/>
                <w:spacing w:val="0"/>
                <w:kern w:val="2"/>
                <w:sz w:val="21"/>
                <w:szCs w:val="22"/>
              </w:rPr>
              <w:t>是否考虑地形</w:t>
            </w:r>
          </w:p>
        </w:tc>
        <w:tc>
          <w:tcPr>
            <w:tcW w:w="1443" w:type="pct"/>
            <w:tcBorders>
              <w:tl2br w:val="nil"/>
              <w:tr2bl w:val="nil"/>
            </w:tcBorders>
            <w:vAlign w:val="center"/>
          </w:tcPr>
          <w:p w:rsidR="00644456" w:rsidRDefault="008031C4">
            <w:pPr>
              <w:pStyle w:val="afffffc"/>
              <w:spacing w:line="240" w:lineRule="auto"/>
              <w:rPr>
                <w:rFonts w:ascii="Times New Roman" w:eastAsia="宋体" w:hAnsi="Times New Roman" w:cs="Times New Roman"/>
                <w:b w:val="0"/>
                <w:bCs/>
                <w:snapToGrid/>
                <w:color w:val="000000" w:themeColor="text1"/>
                <w:spacing w:val="0"/>
                <w:kern w:val="2"/>
                <w:sz w:val="21"/>
                <w:szCs w:val="22"/>
              </w:rPr>
            </w:pPr>
            <w:r>
              <w:rPr>
                <w:rFonts w:ascii="Times New Roman" w:eastAsia="宋体" w:hAnsi="Times New Roman" w:cs="Times New Roman"/>
                <w:b w:val="0"/>
                <w:bCs/>
                <w:snapToGrid/>
                <w:color w:val="000000" w:themeColor="text1"/>
                <w:spacing w:val="0"/>
                <w:kern w:val="2"/>
                <w:sz w:val="21"/>
                <w:szCs w:val="22"/>
              </w:rPr>
              <w:t>考虑地形</w:t>
            </w:r>
          </w:p>
        </w:tc>
        <w:tc>
          <w:tcPr>
            <w:tcW w:w="2667" w:type="dxa"/>
            <w:tcBorders>
              <w:tl2br w:val="nil"/>
              <w:tr2bl w:val="nil"/>
            </w:tcBorders>
            <w:vAlign w:val="center"/>
          </w:tcPr>
          <w:p w:rsidR="00644456" w:rsidRDefault="008031C4">
            <w:pPr>
              <w:adjustRightInd w:val="0"/>
              <w:jc w:val="center"/>
              <w:rPr>
                <w:rFonts w:cs="Times New Roman"/>
                <w:bCs/>
                <w:color w:val="000000" w:themeColor="text1"/>
                <w:szCs w:val="21"/>
              </w:rPr>
            </w:pPr>
            <w:r>
              <w:rPr>
                <w:rFonts w:cs="Times New Roman"/>
                <w:color w:val="000000" w:themeColor="text1"/>
              </w:rPr>
              <w:t>☑</w:t>
            </w:r>
            <w:r>
              <w:rPr>
                <w:rFonts w:cs="Times New Roman"/>
                <w:color w:val="000000" w:themeColor="text1"/>
              </w:rPr>
              <w:t>是</w:t>
            </w:r>
            <w:r>
              <w:rPr>
                <w:rFonts w:cs="Times New Roman"/>
                <w:color w:val="000000" w:themeColor="text1"/>
              </w:rPr>
              <w:t>□</w:t>
            </w:r>
            <w:r>
              <w:rPr>
                <w:rFonts w:cs="Times New Roman"/>
                <w:color w:val="000000" w:themeColor="text1"/>
              </w:rPr>
              <w:t>否</w:t>
            </w:r>
          </w:p>
        </w:tc>
      </w:tr>
      <w:tr w:rsidR="00644456">
        <w:trPr>
          <w:cantSplit/>
          <w:jc w:val="center"/>
        </w:trPr>
        <w:tc>
          <w:tcPr>
            <w:tcW w:w="2113" w:type="pct"/>
            <w:vMerge/>
            <w:tcBorders>
              <w:tl2br w:val="nil"/>
              <w:tr2bl w:val="nil"/>
            </w:tcBorders>
            <w:vAlign w:val="center"/>
          </w:tcPr>
          <w:p w:rsidR="00644456" w:rsidRDefault="00644456">
            <w:pPr>
              <w:adjustRightInd w:val="0"/>
              <w:jc w:val="center"/>
              <w:rPr>
                <w:rFonts w:cs="Times New Roman"/>
                <w:bCs/>
                <w:color w:val="000000" w:themeColor="text1"/>
              </w:rPr>
            </w:pPr>
          </w:p>
        </w:tc>
        <w:tc>
          <w:tcPr>
            <w:tcW w:w="1443" w:type="pct"/>
            <w:tcBorders>
              <w:tl2br w:val="nil"/>
              <w:tr2bl w:val="nil"/>
            </w:tcBorders>
            <w:vAlign w:val="center"/>
          </w:tcPr>
          <w:p w:rsidR="00644456" w:rsidRDefault="008031C4">
            <w:pPr>
              <w:adjustRightInd w:val="0"/>
              <w:jc w:val="center"/>
              <w:rPr>
                <w:rFonts w:cs="Times New Roman"/>
                <w:bCs/>
                <w:color w:val="000000" w:themeColor="text1"/>
              </w:rPr>
            </w:pPr>
            <w:r>
              <w:rPr>
                <w:rFonts w:cs="Times New Roman"/>
                <w:bCs/>
                <w:color w:val="000000" w:themeColor="text1"/>
              </w:rPr>
              <w:t>地形数据分辨率</w:t>
            </w:r>
            <w:r>
              <w:rPr>
                <w:rFonts w:cs="Times New Roman"/>
                <w:bCs/>
                <w:color w:val="000000" w:themeColor="text1"/>
              </w:rPr>
              <w:t>/m</w:t>
            </w:r>
          </w:p>
        </w:tc>
        <w:tc>
          <w:tcPr>
            <w:tcW w:w="2667" w:type="dxa"/>
            <w:tcBorders>
              <w:tl2br w:val="nil"/>
              <w:tr2bl w:val="nil"/>
            </w:tcBorders>
            <w:vAlign w:val="center"/>
          </w:tcPr>
          <w:p w:rsidR="00644456" w:rsidRDefault="008031C4">
            <w:pPr>
              <w:adjustRightInd w:val="0"/>
              <w:jc w:val="center"/>
              <w:rPr>
                <w:rFonts w:cs="Times New Roman"/>
                <w:bCs/>
                <w:color w:val="000000" w:themeColor="text1"/>
                <w:szCs w:val="21"/>
              </w:rPr>
            </w:pPr>
            <w:r>
              <w:rPr>
                <w:rFonts w:cs="Times New Roman"/>
                <w:color w:val="000000" w:themeColor="text1"/>
              </w:rPr>
              <w:t>≮90m</w:t>
            </w:r>
          </w:p>
        </w:tc>
      </w:tr>
      <w:tr w:rsidR="00644456">
        <w:trPr>
          <w:cantSplit/>
          <w:jc w:val="center"/>
        </w:trPr>
        <w:tc>
          <w:tcPr>
            <w:tcW w:w="2113" w:type="pct"/>
            <w:vMerge w:val="restart"/>
            <w:tcBorders>
              <w:tl2br w:val="nil"/>
              <w:tr2bl w:val="nil"/>
            </w:tcBorders>
            <w:vAlign w:val="center"/>
          </w:tcPr>
          <w:p w:rsidR="00644456" w:rsidRDefault="008031C4">
            <w:pPr>
              <w:pStyle w:val="afffffc"/>
              <w:spacing w:line="240" w:lineRule="auto"/>
              <w:rPr>
                <w:rFonts w:ascii="Times New Roman" w:eastAsia="宋体" w:hAnsi="Times New Roman" w:cs="Times New Roman"/>
                <w:b w:val="0"/>
                <w:bCs/>
                <w:snapToGrid/>
                <w:color w:val="000000" w:themeColor="text1"/>
                <w:spacing w:val="0"/>
                <w:kern w:val="2"/>
                <w:sz w:val="21"/>
                <w:szCs w:val="22"/>
              </w:rPr>
            </w:pPr>
            <w:r>
              <w:rPr>
                <w:rFonts w:ascii="Times New Roman" w:eastAsia="宋体" w:hAnsi="Times New Roman" w:cs="Times New Roman"/>
                <w:b w:val="0"/>
                <w:bCs/>
                <w:snapToGrid/>
                <w:color w:val="000000" w:themeColor="text1"/>
                <w:spacing w:val="0"/>
                <w:kern w:val="2"/>
                <w:sz w:val="21"/>
                <w:szCs w:val="22"/>
              </w:rPr>
              <w:t>是否考虑岸线熏烟</w:t>
            </w:r>
          </w:p>
        </w:tc>
        <w:tc>
          <w:tcPr>
            <w:tcW w:w="1443" w:type="pct"/>
            <w:tcBorders>
              <w:tl2br w:val="nil"/>
              <w:tr2bl w:val="nil"/>
            </w:tcBorders>
            <w:vAlign w:val="center"/>
          </w:tcPr>
          <w:p w:rsidR="00644456" w:rsidRDefault="008031C4">
            <w:pPr>
              <w:pStyle w:val="afffffc"/>
              <w:spacing w:line="240" w:lineRule="auto"/>
              <w:rPr>
                <w:rFonts w:ascii="Times New Roman" w:eastAsia="宋体" w:hAnsi="Times New Roman" w:cs="Times New Roman"/>
                <w:b w:val="0"/>
                <w:bCs/>
                <w:snapToGrid/>
                <w:color w:val="000000" w:themeColor="text1"/>
                <w:spacing w:val="0"/>
                <w:kern w:val="2"/>
                <w:sz w:val="21"/>
                <w:szCs w:val="22"/>
              </w:rPr>
            </w:pPr>
            <w:r>
              <w:rPr>
                <w:rFonts w:ascii="Times New Roman" w:eastAsia="宋体" w:hAnsi="Times New Roman" w:cs="Times New Roman"/>
                <w:b w:val="0"/>
                <w:bCs/>
                <w:snapToGrid/>
                <w:color w:val="000000" w:themeColor="text1"/>
                <w:spacing w:val="0"/>
                <w:kern w:val="2"/>
                <w:sz w:val="21"/>
                <w:szCs w:val="22"/>
              </w:rPr>
              <w:t>考虑岸线熏烟</w:t>
            </w:r>
          </w:p>
        </w:tc>
        <w:tc>
          <w:tcPr>
            <w:tcW w:w="2667" w:type="dxa"/>
            <w:tcBorders>
              <w:tl2br w:val="nil"/>
              <w:tr2bl w:val="nil"/>
            </w:tcBorders>
            <w:vAlign w:val="center"/>
          </w:tcPr>
          <w:p w:rsidR="00644456" w:rsidRDefault="008031C4">
            <w:pPr>
              <w:adjustRightInd w:val="0"/>
              <w:jc w:val="center"/>
              <w:rPr>
                <w:rFonts w:cs="Times New Roman"/>
                <w:bCs/>
                <w:color w:val="000000" w:themeColor="text1"/>
                <w:szCs w:val="21"/>
              </w:rPr>
            </w:pPr>
            <w:r>
              <w:rPr>
                <w:rFonts w:cs="Times New Roman"/>
                <w:color w:val="000000" w:themeColor="text1"/>
              </w:rPr>
              <w:t>□</w:t>
            </w:r>
            <w:r>
              <w:rPr>
                <w:rFonts w:cs="Times New Roman"/>
                <w:color w:val="000000" w:themeColor="text1"/>
              </w:rPr>
              <w:t>是</w:t>
            </w:r>
            <w:r>
              <w:rPr>
                <w:rFonts w:cs="Times New Roman"/>
                <w:color w:val="000000" w:themeColor="text1"/>
              </w:rPr>
              <w:t>☑</w:t>
            </w:r>
            <w:r>
              <w:rPr>
                <w:rFonts w:cs="Times New Roman"/>
                <w:color w:val="000000" w:themeColor="text1"/>
              </w:rPr>
              <w:t>否</w:t>
            </w:r>
          </w:p>
        </w:tc>
      </w:tr>
      <w:tr w:rsidR="00644456">
        <w:trPr>
          <w:cantSplit/>
          <w:jc w:val="center"/>
        </w:trPr>
        <w:tc>
          <w:tcPr>
            <w:tcW w:w="2113" w:type="pct"/>
            <w:vMerge/>
            <w:tcBorders>
              <w:tl2br w:val="nil"/>
              <w:tr2bl w:val="nil"/>
            </w:tcBorders>
            <w:vAlign w:val="center"/>
          </w:tcPr>
          <w:p w:rsidR="00644456" w:rsidRDefault="00644456">
            <w:pPr>
              <w:adjustRightInd w:val="0"/>
              <w:jc w:val="center"/>
              <w:rPr>
                <w:rFonts w:cs="Times New Roman"/>
                <w:bCs/>
                <w:color w:val="000000" w:themeColor="text1"/>
              </w:rPr>
            </w:pPr>
          </w:p>
        </w:tc>
        <w:tc>
          <w:tcPr>
            <w:tcW w:w="1443" w:type="pct"/>
            <w:tcBorders>
              <w:tl2br w:val="nil"/>
              <w:tr2bl w:val="nil"/>
            </w:tcBorders>
            <w:vAlign w:val="center"/>
          </w:tcPr>
          <w:p w:rsidR="00644456" w:rsidRDefault="008031C4">
            <w:pPr>
              <w:adjustRightInd w:val="0"/>
              <w:jc w:val="center"/>
              <w:rPr>
                <w:rFonts w:cs="Times New Roman"/>
                <w:bCs/>
                <w:color w:val="000000" w:themeColor="text1"/>
              </w:rPr>
            </w:pPr>
            <w:r>
              <w:rPr>
                <w:rFonts w:cs="Times New Roman"/>
                <w:bCs/>
                <w:color w:val="000000" w:themeColor="text1"/>
              </w:rPr>
              <w:t>岸线距离</w:t>
            </w:r>
            <w:r>
              <w:rPr>
                <w:rFonts w:cs="Times New Roman"/>
                <w:bCs/>
                <w:color w:val="000000" w:themeColor="text1"/>
              </w:rPr>
              <w:t>/km</w:t>
            </w:r>
          </w:p>
        </w:tc>
        <w:tc>
          <w:tcPr>
            <w:tcW w:w="2667" w:type="dxa"/>
            <w:tcBorders>
              <w:tl2br w:val="nil"/>
              <w:tr2bl w:val="nil"/>
            </w:tcBorders>
            <w:vAlign w:val="center"/>
          </w:tcPr>
          <w:p w:rsidR="00644456" w:rsidRDefault="008031C4">
            <w:pPr>
              <w:adjustRightInd w:val="0"/>
              <w:jc w:val="center"/>
              <w:rPr>
                <w:rFonts w:cs="Times New Roman"/>
                <w:bCs/>
                <w:color w:val="000000" w:themeColor="text1"/>
                <w:szCs w:val="21"/>
              </w:rPr>
            </w:pPr>
            <w:r>
              <w:rPr>
                <w:rFonts w:cs="Times New Roman"/>
                <w:color w:val="000000" w:themeColor="text1"/>
              </w:rPr>
              <w:t>/</w:t>
            </w:r>
          </w:p>
        </w:tc>
      </w:tr>
      <w:tr w:rsidR="00644456">
        <w:trPr>
          <w:cantSplit/>
          <w:jc w:val="center"/>
        </w:trPr>
        <w:tc>
          <w:tcPr>
            <w:tcW w:w="2113" w:type="pct"/>
            <w:vMerge/>
            <w:tcBorders>
              <w:tl2br w:val="nil"/>
              <w:tr2bl w:val="nil"/>
            </w:tcBorders>
            <w:vAlign w:val="center"/>
          </w:tcPr>
          <w:p w:rsidR="00644456" w:rsidRDefault="00644456">
            <w:pPr>
              <w:adjustRightInd w:val="0"/>
              <w:jc w:val="center"/>
              <w:rPr>
                <w:rFonts w:cs="Times New Roman"/>
                <w:bCs/>
                <w:color w:val="000000" w:themeColor="text1"/>
              </w:rPr>
            </w:pPr>
          </w:p>
        </w:tc>
        <w:tc>
          <w:tcPr>
            <w:tcW w:w="1443" w:type="pct"/>
            <w:tcBorders>
              <w:tl2br w:val="nil"/>
              <w:tr2bl w:val="nil"/>
            </w:tcBorders>
            <w:vAlign w:val="center"/>
          </w:tcPr>
          <w:p w:rsidR="00644456" w:rsidRDefault="008031C4">
            <w:pPr>
              <w:adjustRightInd w:val="0"/>
              <w:jc w:val="center"/>
              <w:rPr>
                <w:rFonts w:cs="Times New Roman"/>
                <w:bCs/>
                <w:color w:val="000000" w:themeColor="text1"/>
              </w:rPr>
            </w:pPr>
            <w:r>
              <w:rPr>
                <w:rFonts w:cs="Times New Roman"/>
                <w:bCs/>
                <w:color w:val="000000" w:themeColor="text1"/>
              </w:rPr>
              <w:t>岸线方向</w:t>
            </w:r>
            <w:r>
              <w:rPr>
                <w:rFonts w:cs="Times New Roman"/>
                <w:bCs/>
                <w:color w:val="000000" w:themeColor="text1"/>
              </w:rPr>
              <w:t>/°</w:t>
            </w:r>
          </w:p>
        </w:tc>
        <w:tc>
          <w:tcPr>
            <w:tcW w:w="2667" w:type="dxa"/>
            <w:tcBorders>
              <w:tl2br w:val="nil"/>
              <w:tr2bl w:val="nil"/>
            </w:tcBorders>
            <w:vAlign w:val="center"/>
          </w:tcPr>
          <w:p w:rsidR="00644456" w:rsidRDefault="008031C4">
            <w:pPr>
              <w:adjustRightInd w:val="0"/>
              <w:jc w:val="center"/>
              <w:rPr>
                <w:rFonts w:cs="Times New Roman"/>
                <w:bCs/>
                <w:color w:val="000000" w:themeColor="text1"/>
                <w:szCs w:val="21"/>
              </w:rPr>
            </w:pPr>
            <w:r>
              <w:rPr>
                <w:rFonts w:cs="Times New Roman"/>
                <w:color w:val="000000" w:themeColor="text1"/>
              </w:rPr>
              <w:t>/</w:t>
            </w:r>
          </w:p>
        </w:tc>
      </w:tr>
    </w:tbl>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fldChar w:fldCharType="begin"/>
      </w:r>
      <w:r>
        <w:rPr>
          <w:rFonts w:ascii="Times New Roman" w:eastAsia="宋体" w:hAnsi="Times New Roman" w:cs="Times New Roman" w:hint="eastAsia"/>
          <w:b/>
          <w:color w:val="000000" w:themeColor="text1"/>
          <w:sz w:val="24"/>
        </w:rPr>
        <w:instrText xml:space="preserve"> STYLEREF 1 \s </w:instrText>
      </w:r>
      <w:r>
        <w:rPr>
          <w:rFonts w:ascii="Times New Roman" w:eastAsia="宋体" w:hAnsi="Times New Roman" w:cs="Times New Roman" w:hint="eastAsia"/>
          <w:b/>
          <w:color w:val="000000" w:themeColor="text1"/>
          <w:sz w:val="24"/>
        </w:rPr>
        <w:fldChar w:fldCharType="separate"/>
      </w:r>
      <w:r>
        <w:rPr>
          <w:rFonts w:ascii="Times New Roman" w:eastAsia="宋体" w:hAnsi="Times New Roman" w:cs="Times New Roman" w:hint="eastAsia"/>
          <w:b/>
          <w:color w:val="000000" w:themeColor="text1"/>
          <w:sz w:val="24"/>
        </w:rPr>
        <w:t>1</w:t>
      </w:r>
      <w:r>
        <w:rPr>
          <w:rFonts w:ascii="Times New Roman" w:eastAsia="宋体" w:hAnsi="Times New Roman" w:cs="Times New Roman" w:hint="eastAsia"/>
          <w:b/>
          <w:color w:val="000000" w:themeColor="text1"/>
          <w:sz w:val="24"/>
        </w:rPr>
        <w:fldChar w:fldCharType="end"/>
      </w:r>
      <w:r>
        <w:rPr>
          <w:rFonts w:ascii="Times New Roman" w:eastAsia="宋体" w:hAnsi="Times New Roman" w:cs="Times New Roman" w:hint="eastAsia"/>
          <w:b/>
          <w:color w:val="000000" w:themeColor="text1"/>
          <w:sz w:val="24"/>
        </w:rPr>
        <w:t>.8</w:t>
      </w:r>
      <w:r>
        <w:rPr>
          <w:rFonts w:ascii="Times New Roman" w:eastAsia="宋体" w:hAnsi="Times New Roman" w:cs="Times New Roman" w:hint="eastAsia"/>
          <w:b/>
          <w:color w:val="000000" w:themeColor="text1"/>
          <w:sz w:val="24"/>
        </w:rPr>
        <w:noBreakHyphen/>
        <w:t>2</w:t>
      </w:r>
      <w:r>
        <w:rPr>
          <w:rFonts w:ascii="Times New Roman" w:eastAsia="宋体" w:hAnsi="Times New Roman" w:cs="Times New Roman" w:hint="eastAsia"/>
          <w:b/>
          <w:color w:val="000000" w:themeColor="text1"/>
          <w:sz w:val="24"/>
        </w:rPr>
        <w:t>大气估算模式估算结果</w:t>
      </w:r>
    </w:p>
    <w:tbl>
      <w:tblPr>
        <w:tblW w:w="4998"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7"/>
        <w:gridCol w:w="1777"/>
        <w:gridCol w:w="820"/>
        <w:gridCol w:w="919"/>
        <w:gridCol w:w="1131"/>
        <w:gridCol w:w="1194"/>
        <w:gridCol w:w="1040"/>
        <w:gridCol w:w="797"/>
        <w:gridCol w:w="587"/>
      </w:tblGrid>
      <w:tr w:rsidR="00D6372F" w:rsidTr="000D4D74">
        <w:trPr>
          <w:jc w:val="center"/>
        </w:trPr>
        <w:tc>
          <w:tcPr>
            <w:tcW w:w="294" w:type="pct"/>
            <w:tcBorders>
              <w:tl2br w:val="nil"/>
              <w:tr2bl w:val="nil"/>
            </w:tcBorders>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类别</w:t>
            </w:r>
          </w:p>
        </w:tc>
        <w:tc>
          <w:tcPr>
            <w:tcW w:w="1012" w:type="pct"/>
            <w:tcBorders>
              <w:tl2br w:val="nil"/>
              <w:tr2bl w:val="nil"/>
            </w:tcBorders>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污染源名称</w:t>
            </w:r>
          </w:p>
        </w:tc>
        <w:tc>
          <w:tcPr>
            <w:tcW w:w="467" w:type="pct"/>
            <w:tcBorders>
              <w:tl2br w:val="nil"/>
              <w:tr2bl w:val="nil"/>
            </w:tcBorders>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污染物</w:t>
            </w:r>
          </w:p>
        </w:tc>
        <w:tc>
          <w:tcPr>
            <w:tcW w:w="523" w:type="pct"/>
            <w:tcBorders>
              <w:tl2br w:val="nil"/>
              <w:tr2bl w:val="nil"/>
            </w:tcBorders>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最大落地浓度（</w:t>
            </w:r>
            <w:r>
              <w:rPr>
                <w:rFonts w:ascii="Times New Roman" w:eastAsia="宋体" w:hAnsi="Times New Roman" w:cs="Times New Roman"/>
                <w:b/>
                <w:bCs/>
                <w:color w:val="000000" w:themeColor="text1"/>
                <w:szCs w:val="21"/>
              </w:rPr>
              <w:t>μg/m</w:t>
            </w:r>
            <w:r>
              <w:rPr>
                <w:rFonts w:ascii="Times New Roman" w:eastAsia="宋体" w:hAnsi="Times New Roman" w:cs="Times New Roman"/>
                <w:b/>
                <w:bCs/>
                <w:color w:val="000000" w:themeColor="text1"/>
                <w:szCs w:val="21"/>
                <w:vertAlign w:val="superscript"/>
              </w:rPr>
              <w:t>3</w:t>
            </w:r>
            <w:r>
              <w:rPr>
                <w:rFonts w:ascii="Times New Roman" w:eastAsia="宋体" w:hAnsi="Times New Roman" w:cs="Times New Roman"/>
                <w:b/>
                <w:bCs/>
                <w:color w:val="000000" w:themeColor="text1"/>
                <w:szCs w:val="21"/>
              </w:rPr>
              <w:t>）</w:t>
            </w:r>
          </w:p>
        </w:tc>
        <w:tc>
          <w:tcPr>
            <w:tcW w:w="644" w:type="pct"/>
            <w:tcBorders>
              <w:tl2br w:val="nil"/>
              <w:tr2bl w:val="nil"/>
            </w:tcBorders>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最大浓度落地点（</w:t>
            </w:r>
            <w:r>
              <w:rPr>
                <w:rFonts w:ascii="Times New Roman" w:eastAsia="宋体" w:hAnsi="Times New Roman" w:cs="Times New Roman"/>
                <w:b/>
                <w:bCs/>
                <w:color w:val="000000" w:themeColor="text1"/>
                <w:szCs w:val="21"/>
              </w:rPr>
              <w:t>m</w:t>
            </w:r>
            <w:r>
              <w:rPr>
                <w:rFonts w:ascii="Times New Roman" w:eastAsia="宋体" w:hAnsi="Times New Roman" w:cs="Times New Roman"/>
                <w:b/>
                <w:bCs/>
                <w:color w:val="000000" w:themeColor="text1"/>
                <w:szCs w:val="21"/>
              </w:rPr>
              <w:t>）</w:t>
            </w:r>
          </w:p>
        </w:tc>
        <w:tc>
          <w:tcPr>
            <w:tcW w:w="680" w:type="pct"/>
            <w:tcBorders>
              <w:tl2br w:val="nil"/>
              <w:tr2bl w:val="nil"/>
            </w:tcBorders>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评价标准（</w:t>
            </w:r>
            <w:r>
              <w:rPr>
                <w:rFonts w:ascii="Times New Roman" w:eastAsia="宋体" w:hAnsi="Times New Roman" w:cs="Times New Roman"/>
                <w:b/>
                <w:bCs/>
                <w:color w:val="000000" w:themeColor="text1"/>
                <w:szCs w:val="21"/>
              </w:rPr>
              <w:t>μg/m</w:t>
            </w:r>
            <w:r>
              <w:rPr>
                <w:rFonts w:ascii="Times New Roman" w:eastAsia="宋体" w:hAnsi="Times New Roman" w:cs="Times New Roman"/>
                <w:b/>
                <w:bCs/>
                <w:color w:val="000000" w:themeColor="text1"/>
                <w:szCs w:val="21"/>
                <w:vertAlign w:val="superscript"/>
              </w:rPr>
              <w:t>3</w:t>
            </w:r>
            <w:r>
              <w:rPr>
                <w:rFonts w:ascii="Times New Roman" w:eastAsia="宋体" w:hAnsi="Times New Roman" w:cs="Times New Roman"/>
                <w:b/>
                <w:bCs/>
                <w:color w:val="000000" w:themeColor="text1"/>
                <w:szCs w:val="21"/>
              </w:rPr>
              <w:t>）</w:t>
            </w:r>
          </w:p>
        </w:tc>
        <w:tc>
          <w:tcPr>
            <w:tcW w:w="592" w:type="pct"/>
            <w:tcBorders>
              <w:tl2br w:val="nil"/>
              <w:tr2bl w:val="nil"/>
            </w:tcBorders>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最大占标率</w:t>
            </w:r>
            <w:r>
              <w:rPr>
                <w:rFonts w:ascii="Times New Roman" w:eastAsia="宋体" w:hAnsi="Times New Roman" w:cs="Times New Roman"/>
                <w:b/>
                <w:bCs/>
                <w:color w:val="000000" w:themeColor="text1"/>
                <w:szCs w:val="21"/>
              </w:rPr>
              <w:t>Pi</w:t>
            </w:r>
            <w:r>
              <w:rPr>
                <w:rFonts w:ascii="Times New Roman" w:eastAsia="宋体" w:hAnsi="Times New Roman" w:cs="Times New Roman"/>
                <w:b/>
                <w:bCs/>
                <w:color w:val="000000" w:themeColor="text1"/>
                <w:szCs w:val="21"/>
              </w:rPr>
              <w:t>（</w:t>
            </w:r>
            <w:r>
              <w:rPr>
                <w:rFonts w:ascii="Times New Roman" w:eastAsia="宋体" w:hAnsi="Times New Roman" w:cs="Times New Roman"/>
                <w:b/>
                <w:bCs/>
                <w:color w:val="000000" w:themeColor="text1"/>
                <w:szCs w:val="21"/>
              </w:rPr>
              <w:t>%</w:t>
            </w:r>
            <w:r>
              <w:rPr>
                <w:rFonts w:ascii="Times New Roman" w:eastAsia="宋体" w:hAnsi="Times New Roman" w:cs="Times New Roman"/>
                <w:b/>
                <w:bCs/>
                <w:color w:val="000000" w:themeColor="text1"/>
                <w:szCs w:val="21"/>
              </w:rPr>
              <w:t>）</w:t>
            </w:r>
          </w:p>
        </w:tc>
        <w:tc>
          <w:tcPr>
            <w:tcW w:w="454" w:type="pct"/>
            <w:tcBorders>
              <w:tl2br w:val="nil"/>
              <w:tr2bl w:val="nil"/>
            </w:tcBorders>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D10%</w:t>
            </w:r>
            <w:r>
              <w:rPr>
                <w:rFonts w:ascii="Times New Roman" w:eastAsia="宋体" w:hAnsi="Times New Roman" w:cs="Times New Roman"/>
                <w:b/>
                <w:bCs/>
                <w:color w:val="000000" w:themeColor="text1"/>
                <w:szCs w:val="21"/>
              </w:rPr>
              <w:t>（</w:t>
            </w:r>
            <w:r>
              <w:rPr>
                <w:rFonts w:ascii="Times New Roman" w:eastAsia="宋体" w:hAnsi="Times New Roman" w:cs="Times New Roman"/>
                <w:b/>
                <w:bCs/>
                <w:color w:val="000000" w:themeColor="text1"/>
                <w:szCs w:val="21"/>
              </w:rPr>
              <w:t>m</w:t>
            </w:r>
            <w:r>
              <w:rPr>
                <w:rFonts w:ascii="Times New Roman" w:eastAsia="宋体" w:hAnsi="Times New Roman" w:cs="Times New Roman"/>
                <w:b/>
                <w:bCs/>
                <w:color w:val="000000" w:themeColor="text1"/>
                <w:szCs w:val="21"/>
              </w:rPr>
              <w:t>）</w:t>
            </w:r>
          </w:p>
        </w:tc>
        <w:tc>
          <w:tcPr>
            <w:tcW w:w="334" w:type="pct"/>
            <w:tcBorders>
              <w:tl2br w:val="nil"/>
              <w:tr2bl w:val="nil"/>
            </w:tcBorders>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执行级别</w:t>
            </w:r>
          </w:p>
        </w:tc>
      </w:tr>
      <w:tr w:rsidR="00D6372F" w:rsidTr="000D4D74">
        <w:trPr>
          <w:jc w:val="center"/>
        </w:trPr>
        <w:tc>
          <w:tcPr>
            <w:tcW w:w="294" w:type="pct"/>
            <w:vMerge w:val="restart"/>
            <w:tcBorders>
              <w:tl2br w:val="nil"/>
              <w:tr2bl w:val="nil"/>
            </w:tcBorders>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点源</w:t>
            </w:r>
          </w:p>
        </w:tc>
        <w:tc>
          <w:tcPr>
            <w:tcW w:w="1012" w:type="pct"/>
            <w:vMerge w:val="restart"/>
            <w:tcBorders>
              <w:tl2br w:val="nil"/>
              <w:tr2bl w:val="nil"/>
            </w:tcBorders>
            <w:vAlign w:val="center"/>
          </w:tcPr>
          <w:p w:rsidR="00D6372F" w:rsidRDefault="00D6372F" w:rsidP="000D4D74">
            <w:pPr>
              <w:jc w:val="center"/>
              <w:rPr>
                <w:rFonts w:cs="Times New Roman"/>
                <w:color w:val="000000" w:themeColor="text1"/>
                <w:szCs w:val="21"/>
              </w:rPr>
            </w:pPr>
            <w:r>
              <w:rPr>
                <w:rFonts w:cs="Times New Roman" w:hint="eastAsia"/>
                <w:color w:val="000000" w:themeColor="text1"/>
                <w:szCs w:val="21"/>
              </w:rPr>
              <w:t>工艺不凝气（</w:t>
            </w:r>
            <w:r>
              <w:rPr>
                <w:rFonts w:cs="Times New Roman"/>
                <w:color w:val="000000" w:themeColor="text1"/>
                <w:szCs w:val="21"/>
              </w:rPr>
              <w:t>DA001</w:t>
            </w:r>
            <w:r>
              <w:rPr>
                <w:rFonts w:cs="Times New Roman" w:hint="eastAsia"/>
                <w:color w:val="000000" w:themeColor="text1"/>
                <w:szCs w:val="21"/>
              </w:rPr>
              <w:t>）</w:t>
            </w:r>
          </w:p>
        </w:tc>
        <w:tc>
          <w:tcPr>
            <w:tcW w:w="467" w:type="pct"/>
            <w:tcBorders>
              <w:tl2br w:val="nil"/>
              <w:tr2bl w:val="nil"/>
            </w:tcBorders>
            <w:vAlign w:val="center"/>
          </w:tcPr>
          <w:p w:rsidR="00D6372F" w:rsidRDefault="00D6372F" w:rsidP="000D4D74">
            <w:pPr>
              <w:jc w:val="center"/>
              <w:rPr>
                <w:szCs w:val="21"/>
              </w:rPr>
            </w:pPr>
            <w:r>
              <w:rPr>
                <w:szCs w:val="21"/>
              </w:rPr>
              <w:t>H</w:t>
            </w:r>
            <w:r w:rsidRPr="008B0FF7">
              <w:rPr>
                <w:szCs w:val="21"/>
                <w:vertAlign w:val="subscript"/>
              </w:rPr>
              <w:t>2</w:t>
            </w:r>
            <w:r>
              <w:rPr>
                <w:szCs w:val="21"/>
              </w:rPr>
              <w:t>S</w:t>
            </w:r>
          </w:p>
        </w:tc>
        <w:tc>
          <w:tcPr>
            <w:tcW w:w="523" w:type="pct"/>
            <w:tcBorders>
              <w:tl2br w:val="nil"/>
              <w:tr2bl w:val="nil"/>
            </w:tcBorders>
            <w:vAlign w:val="center"/>
          </w:tcPr>
          <w:p w:rsidR="00D6372F" w:rsidRDefault="00D6372F" w:rsidP="000D4D74">
            <w:pPr>
              <w:jc w:val="center"/>
              <w:rPr>
                <w:szCs w:val="21"/>
              </w:rPr>
            </w:pPr>
            <w:r>
              <w:rPr>
                <w:szCs w:val="21"/>
              </w:rPr>
              <w:t>0.0064</w:t>
            </w:r>
          </w:p>
        </w:tc>
        <w:tc>
          <w:tcPr>
            <w:tcW w:w="644" w:type="pct"/>
            <w:vMerge w:val="restart"/>
            <w:tcBorders>
              <w:tl2br w:val="nil"/>
              <w:tr2bl w:val="nil"/>
            </w:tcBorders>
            <w:vAlign w:val="center"/>
          </w:tcPr>
          <w:p w:rsidR="00D6372F" w:rsidRDefault="00D6372F" w:rsidP="000D4D74">
            <w:pPr>
              <w:jc w:val="center"/>
              <w:rPr>
                <w:szCs w:val="21"/>
              </w:rPr>
            </w:pPr>
            <w:r>
              <w:rPr>
                <w:rFonts w:hint="eastAsia"/>
                <w:szCs w:val="21"/>
              </w:rPr>
              <w:t>8</w:t>
            </w:r>
            <w:r>
              <w:rPr>
                <w:szCs w:val="21"/>
              </w:rPr>
              <w:t>4</w:t>
            </w:r>
          </w:p>
        </w:tc>
        <w:tc>
          <w:tcPr>
            <w:tcW w:w="680" w:type="pct"/>
            <w:tcBorders>
              <w:tl2br w:val="nil"/>
              <w:tr2bl w:val="nil"/>
            </w:tcBorders>
            <w:vAlign w:val="center"/>
          </w:tcPr>
          <w:p w:rsidR="00D6372F" w:rsidRDefault="00D6372F" w:rsidP="000D4D74">
            <w:pPr>
              <w:jc w:val="center"/>
              <w:rPr>
                <w:szCs w:val="21"/>
              </w:rPr>
            </w:pPr>
            <w:r>
              <w:rPr>
                <w:szCs w:val="21"/>
              </w:rPr>
              <w:t>10.0</w:t>
            </w:r>
          </w:p>
        </w:tc>
        <w:tc>
          <w:tcPr>
            <w:tcW w:w="592" w:type="pct"/>
            <w:tcBorders>
              <w:tl2br w:val="nil"/>
              <w:tr2bl w:val="nil"/>
            </w:tcBorders>
            <w:vAlign w:val="center"/>
          </w:tcPr>
          <w:p w:rsidR="00D6372F" w:rsidRDefault="00D6372F" w:rsidP="000D4D74">
            <w:pPr>
              <w:jc w:val="center"/>
              <w:rPr>
                <w:szCs w:val="21"/>
              </w:rPr>
            </w:pPr>
            <w:r>
              <w:rPr>
                <w:szCs w:val="21"/>
              </w:rPr>
              <w:t>0.0639</w:t>
            </w:r>
          </w:p>
        </w:tc>
        <w:tc>
          <w:tcPr>
            <w:tcW w:w="454" w:type="pct"/>
            <w:tcBorders>
              <w:tl2br w:val="nil"/>
              <w:tr2bl w:val="nil"/>
            </w:tcBorders>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p>
        </w:tc>
        <w:tc>
          <w:tcPr>
            <w:tcW w:w="334" w:type="pct"/>
            <w:tcBorders>
              <w:tl2br w:val="nil"/>
              <w:tr2bl w:val="nil"/>
            </w:tcBorders>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宋体" w:eastAsia="宋体" w:hAnsi="宋体" w:cs="Times New Roman" w:hint="eastAsia"/>
                <w:color w:val="000000" w:themeColor="text1"/>
                <w:szCs w:val="21"/>
              </w:rPr>
              <w:t>Ⅲ</w:t>
            </w:r>
          </w:p>
        </w:tc>
      </w:tr>
      <w:tr w:rsidR="00D6372F" w:rsidTr="000D4D74">
        <w:trPr>
          <w:jc w:val="center"/>
        </w:trPr>
        <w:tc>
          <w:tcPr>
            <w:tcW w:w="294" w:type="pct"/>
            <w:vMerge/>
            <w:tcBorders>
              <w:tl2br w:val="nil"/>
              <w:tr2bl w:val="nil"/>
            </w:tcBorders>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p>
        </w:tc>
        <w:tc>
          <w:tcPr>
            <w:tcW w:w="1012" w:type="pct"/>
            <w:vMerge/>
            <w:tcBorders>
              <w:tl2br w:val="nil"/>
              <w:tr2bl w:val="nil"/>
            </w:tcBorders>
            <w:vAlign w:val="center"/>
          </w:tcPr>
          <w:p w:rsidR="00D6372F" w:rsidRDefault="00D6372F" w:rsidP="000D4D74">
            <w:pPr>
              <w:jc w:val="center"/>
              <w:rPr>
                <w:rFonts w:cs="Times New Roman"/>
                <w:color w:val="000000" w:themeColor="text1"/>
                <w:szCs w:val="21"/>
              </w:rPr>
            </w:pPr>
          </w:p>
        </w:tc>
        <w:tc>
          <w:tcPr>
            <w:tcW w:w="467" w:type="pct"/>
            <w:tcBorders>
              <w:tl2br w:val="nil"/>
              <w:tr2bl w:val="nil"/>
            </w:tcBorders>
            <w:vAlign w:val="center"/>
          </w:tcPr>
          <w:p w:rsidR="00D6372F" w:rsidRDefault="00D6372F" w:rsidP="000D4D74">
            <w:pPr>
              <w:jc w:val="center"/>
              <w:rPr>
                <w:szCs w:val="21"/>
              </w:rPr>
            </w:pPr>
            <w:r>
              <w:rPr>
                <w:szCs w:val="21"/>
              </w:rPr>
              <w:t>NMHC</w:t>
            </w:r>
          </w:p>
        </w:tc>
        <w:tc>
          <w:tcPr>
            <w:tcW w:w="523" w:type="pct"/>
            <w:tcBorders>
              <w:tl2br w:val="nil"/>
              <w:tr2bl w:val="nil"/>
            </w:tcBorders>
            <w:vAlign w:val="center"/>
          </w:tcPr>
          <w:p w:rsidR="00D6372F" w:rsidRDefault="00D6372F" w:rsidP="000D4D74">
            <w:pPr>
              <w:jc w:val="center"/>
              <w:rPr>
                <w:szCs w:val="21"/>
              </w:rPr>
            </w:pPr>
            <w:r>
              <w:rPr>
                <w:szCs w:val="21"/>
              </w:rPr>
              <w:t>3.6615</w:t>
            </w:r>
          </w:p>
        </w:tc>
        <w:tc>
          <w:tcPr>
            <w:tcW w:w="644" w:type="pct"/>
            <w:vMerge/>
            <w:tcBorders>
              <w:tl2br w:val="nil"/>
              <w:tr2bl w:val="nil"/>
            </w:tcBorders>
            <w:vAlign w:val="center"/>
          </w:tcPr>
          <w:p w:rsidR="00D6372F" w:rsidRDefault="00D6372F" w:rsidP="000D4D74">
            <w:pPr>
              <w:jc w:val="center"/>
              <w:rPr>
                <w:szCs w:val="21"/>
              </w:rPr>
            </w:pPr>
          </w:p>
        </w:tc>
        <w:tc>
          <w:tcPr>
            <w:tcW w:w="680" w:type="pct"/>
            <w:tcBorders>
              <w:tl2br w:val="nil"/>
              <w:tr2bl w:val="nil"/>
            </w:tcBorders>
            <w:vAlign w:val="center"/>
          </w:tcPr>
          <w:p w:rsidR="00D6372F" w:rsidRDefault="00D6372F" w:rsidP="000D4D74">
            <w:pPr>
              <w:jc w:val="center"/>
              <w:rPr>
                <w:szCs w:val="21"/>
              </w:rPr>
            </w:pPr>
            <w:r>
              <w:rPr>
                <w:szCs w:val="21"/>
              </w:rPr>
              <w:t>2000.0</w:t>
            </w:r>
          </w:p>
        </w:tc>
        <w:tc>
          <w:tcPr>
            <w:tcW w:w="592" w:type="pct"/>
            <w:tcBorders>
              <w:tl2br w:val="nil"/>
              <w:tr2bl w:val="nil"/>
            </w:tcBorders>
            <w:vAlign w:val="center"/>
          </w:tcPr>
          <w:p w:rsidR="00D6372F" w:rsidRDefault="00D6372F" w:rsidP="000D4D74">
            <w:pPr>
              <w:jc w:val="center"/>
              <w:rPr>
                <w:szCs w:val="21"/>
              </w:rPr>
            </w:pPr>
            <w:r>
              <w:rPr>
                <w:szCs w:val="21"/>
              </w:rPr>
              <w:t>0.1831</w:t>
            </w:r>
          </w:p>
        </w:tc>
        <w:tc>
          <w:tcPr>
            <w:tcW w:w="454" w:type="pct"/>
            <w:tcBorders>
              <w:tl2br w:val="nil"/>
              <w:tr2bl w:val="nil"/>
            </w:tcBorders>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p>
        </w:tc>
        <w:tc>
          <w:tcPr>
            <w:tcW w:w="334" w:type="pct"/>
            <w:tcBorders>
              <w:tl2br w:val="nil"/>
              <w:tr2bl w:val="nil"/>
            </w:tcBorders>
            <w:vAlign w:val="center"/>
          </w:tcPr>
          <w:p w:rsidR="00D6372F" w:rsidRDefault="00D6372F" w:rsidP="000D4D74">
            <w:pPr>
              <w:pStyle w:val="aff2"/>
              <w:adjustRightInd w:val="0"/>
              <w:snapToGrid w:val="0"/>
              <w:spacing w:after="0"/>
              <w:ind w:left="0" w:right="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Ⅲ</w:t>
            </w:r>
          </w:p>
        </w:tc>
      </w:tr>
      <w:tr w:rsidR="00D6372F" w:rsidTr="000D4D74">
        <w:trPr>
          <w:jc w:val="center"/>
        </w:trPr>
        <w:tc>
          <w:tcPr>
            <w:tcW w:w="294" w:type="pct"/>
            <w:vMerge/>
            <w:tcBorders>
              <w:tl2br w:val="nil"/>
              <w:tr2bl w:val="nil"/>
            </w:tcBorders>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p>
        </w:tc>
        <w:tc>
          <w:tcPr>
            <w:tcW w:w="1012" w:type="pct"/>
            <w:vMerge w:val="restart"/>
            <w:tcBorders>
              <w:tl2br w:val="nil"/>
              <w:tr2bl w:val="nil"/>
            </w:tcBorders>
            <w:vAlign w:val="center"/>
          </w:tcPr>
          <w:p w:rsidR="00D6372F" w:rsidRDefault="00D6372F" w:rsidP="000D4D74">
            <w:pPr>
              <w:jc w:val="center"/>
              <w:rPr>
                <w:rFonts w:cs="Times New Roman"/>
                <w:color w:val="000000" w:themeColor="text1"/>
                <w:szCs w:val="21"/>
              </w:rPr>
            </w:pPr>
            <w:r>
              <w:rPr>
                <w:rFonts w:cs="Times New Roman" w:hint="eastAsia"/>
                <w:color w:val="000000" w:themeColor="text1"/>
                <w:szCs w:val="21"/>
              </w:rPr>
              <w:t>导热油锅炉废气</w:t>
            </w:r>
            <w:r>
              <w:rPr>
                <w:rFonts w:hint="eastAsia"/>
              </w:rPr>
              <w:t>（</w:t>
            </w:r>
            <w:r>
              <w:rPr>
                <w:rFonts w:hint="eastAsia"/>
              </w:rPr>
              <w:t>D</w:t>
            </w:r>
            <w:r>
              <w:t>A002</w:t>
            </w:r>
            <w:r>
              <w:rPr>
                <w:rFonts w:hint="eastAsia"/>
              </w:rPr>
              <w:t>）</w:t>
            </w:r>
          </w:p>
        </w:tc>
        <w:tc>
          <w:tcPr>
            <w:tcW w:w="467" w:type="pct"/>
            <w:tcBorders>
              <w:tl2br w:val="nil"/>
              <w:tr2bl w:val="nil"/>
            </w:tcBorders>
            <w:vAlign w:val="center"/>
          </w:tcPr>
          <w:p w:rsidR="00D6372F" w:rsidRDefault="00D6372F" w:rsidP="000D4D74">
            <w:pPr>
              <w:jc w:val="center"/>
              <w:rPr>
                <w:szCs w:val="21"/>
              </w:rPr>
            </w:pPr>
            <w:r>
              <w:rPr>
                <w:szCs w:val="21"/>
              </w:rPr>
              <w:t>TSP</w:t>
            </w:r>
          </w:p>
        </w:tc>
        <w:tc>
          <w:tcPr>
            <w:tcW w:w="523" w:type="pct"/>
            <w:tcBorders>
              <w:tl2br w:val="nil"/>
              <w:tr2bl w:val="nil"/>
            </w:tcBorders>
            <w:vAlign w:val="center"/>
          </w:tcPr>
          <w:p w:rsidR="00D6372F" w:rsidRDefault="00D6372F" w:rsidP="000D4D74">
            <w:pPr>
              <w:jc w:val="center"/>
              <w:rPr>
                <w:szCs w:val="21"/>
              </w:rPr>
            </w:pPr>
            <w:r>
              <w:rPr>
                <w:szCs w:val="21"/>
              </w:rPr>
              <w:t>0.0254</w:t>
            </w:r>
          </w:p>
        </w:tc>
        <w:tc>
          <w:tcPr>
            <w:tcW w:w="644" w:type="pct"/>
            <w:vMerge w:val="restart"/>
            <w:tcBorders>
              <w:tl2br w:val="nil"/>
              <w:tr2bl w:val="nil"/>
            </w:tcBorders>
            <w:vAlign w:val="center"/>
          </w:tcPr>
          <w:p w:rsidR="00D6372F" w:rsidRDefault="00D6372F" w:rsidP="000D4D74">
            <w:pPr>
              <w:jc w:val="center"/>
              <w:rPr>
                <w:szCs w:val="21"/>
              </w:rPr>
            </w:pPr>
            <w:r>
              <w:rPr>
                <w:rFonts w:hint="eastAsia"/>
                <w:szCs w:val="21"/>
              </w:rPr>
              <w:t>1</w:t>
            </w:r>
            <w:r>
              <w:rPr>
                <w:szCs w:val="21"/>
              </w:rPr>
              <w:t>25</w:t>
            </w:r>
          </w:p>
        </w:tc>
        <w:tc>
          <w:tcPr>
            <w:tcW w:w="680" w:type="pct"/>
            <w:tcBorders>
              <w:tl2br w:val="nil"/>
              <w:tr2bl w:val="nil"/>
            </w:tcBorders>
            <w:vAlign w:val="center"/>
          </w:tcPr>
          <w:p w:rsidR="00D6372F" w:rsidRDefault="00D6372F" w:rsidP="000D4D74">
            <w:pPr>
              <w:jc w:val="center"/>
              <w:rPr>
                <w:szCs w:val="21"/>
              </w:rPr>
            </w:pPr>
            <w:r>
              <w:rPr>
                <w:szCs w:val="21"/>
              </w:rPr>
              <w:t>900.0</w:t>
            </w:r>
          </w:p>
        </w:tc>
        <w:tc>
          <w:tcPr>
            <w:tcW w:w="592" w:type="pct"/>
            <w:tcBorders>
              <w:tl2br w:val="nil"/>
              <w:tr2bl w:val="nil"/>
            </w:tcBorders>
            <w:vAlign w:val="center"/>
          </w:tcPr>
          <w:p w:rsidR="00D6372F" w:rsidRDefault="00D6372F" w:rsidP="000D4D74">
            <w:pPr>
              <w:jc w:val="center"/>
              <w:rPr>
                <w:szCs w:val="21"/>
              </w:rPr>
            </w:pPr>
            <w:r>
              <w:rPr>
                <w:szCs w:val="21"/>
              </w:rPr>
              <w:t>0.0028</w:t>
            </w:r>
          </w:p>
        </w:tc>
        <w:tc>
          <w:tcPr>
            <w:tcW w:w="454" w:type="pct"/>
            <w:tcBorders>
              <w:tl2br w:val="nil"/>
              <w:tr2bl w:val="nil"/>
            </w:tcBorders>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p>
        </w:tc>
        <w:tc>
          <w:tcPr>
            <w:tcW w:w="334" w:type="pct"/>
            <w:tcBorders>
              <w:tl2br w:val="nil"/>
              <w:tr2bl w:val="nil"/>
            </w:tcBorders>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宋体" w:eastAsia="宋体" w:hAnsi="宋体" w:cs="Times New Roman" w:hint="eastAsia"/>
                <w:color w:val="000000" w:themeColor="text1"/>
                <w:szCs w:val="21"/>
              </w:rPr>
              <w:t>Ⅲ</w:t>
            </w:r>
          </w:p>
        </w:tc>
      </w:tr>
      <w:tr w:rsidR="00D6372F" w:rsidTr="000D4D74">
        <w:trPr>
          <w:jc w:val="center"/>
        </w:trPr>
        <w:tc>
          <w:tcPr>
            <w:tcW w:w="294" w:type="pct"/>
            <w:vMerge/>
            <w:tcBorders>
              <w:tl2br w:val="nil"/>
              <w:tr2bl w:val="nil"/>
            </w:tcBorders>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p>
        </w:tc>
        <w:tc>
          <w:tcPr>
            <w:tcW w:w="1012" w:type="pct"/>
            <w:vMerge/>
            <w:tcBorders>
              <w:tl2br w:val="nil"/>
              <w:tr2bl w:val="nil"/>
            </w:tcBorders>
            <w:vAlign w:val="center"/>
          </w:tcPr>
          <w:p w:rsidR="00D6372F" w:rsidRDefault="00D6372F" w:rsidP="000D4D74">
            <w:pPr>
              <w:jc w:val="center"/>
              <w:rPr>
                <w:rFonts w:cs="Times New Roman"/>
                <w:color w:val="000000" w:themeColor="text1"/>
                <w:szCs w:val="21"/>
              </w:rPr>
            </w:pPr>
          </w:p>
        </w:tc>
        <w:tc>
          <w:tcPr>
            <w:tcW w:w="467" w:type="pct"/>
            <w:tcBorders>
              <w:tl2br w:val="nil"/>
              <w:tr2bl w:val="nil"/>
            </w:tcBorders>
            <w:vAlign w:val="center"/>
          </w:tcPr>
          <w:p w:rsidR="00D6372F" w:rsidRDefault="00D6372F" w:rsidP="000D4D74">
            <w:pPr>
              <w:jc w:val="center"/>
              <w:rPr>
                <w:szCs w:val="21"/>
              </w:rPr>
            </w:pPr>
            <w:r>
              <w:rPr>
                <w:szCs w:val="21"/>
              </w:rPr>
              <w:t>NOx</w:t>
            </w:r>
          </w:p>
        </w:tc>
        <w:tc>
          <w:tcPr>
            <w:tcW w:w="523" w:type="pct"/>
            <w:tcBorders>
              <w:tl2br w:val="nil"/>
              <w:tr2bl w:val="nil"/>
            </w:tcBorders>
            <w:vAlign w:val="center"/>
          </w:tcPr>
          <w:p w:rsidR="00D6372F" w:rsidRDefault="00D6372F" w:rsidP="000D4D74">
            <w:pPr>
              <w:jc w:val="center"/>
              <w:rPr>
                <w:szCs w:val="21"/>
              </w:rPr>
            </w:pPr>
            <w:r>
              <w:rPr>
                <w:szCs w:val="21"/>
              </w:rPr>
              <w:t>16.2945</w:t>
            </w:r>
          </w:p>
        </w:tc>
        <w:tc>
          <w:tcPr>
            <w:tcW w:w="644" w:type="pct"/>
            <w:vMerge/>
            <w:tcBorders>
              <w:tl2br w:val="nil"/>
              <w:tr2bl w:val="nil"/>
            </w:tcBorders>
            <w:vAlign w:val="center"/>
          </w:tcPr>
          <w:p w:rsidR="00D6372F" w:rsidRDefault="00D6372F" w:rsidP="000D4D74">
            <w:pPr>
              <w:jc w:val="center"/>
              <w:rPr>
                <w:szCs w:val="21"/>
              </w:rPr>
            </w:pPr>
          </w:p>
        </w:tc>
        <w:tc>
          <w:tcPr>
            <w:tcW w:w="680" w:type="pct"/>
            <w:tcBorders>
              <w:tl2br w:val="nil"/>
              <w:tr2bl w:val="nil"/>
            </w:tcBorders>
            <w:vAlign w:val="center"/>
          </w:tcPr>
          <w:p w:rsidR="00D6372F" w:rsidRDefault="00D6372F" w:rsidP="000D4D74">
            <w:pPr>
              <w:jc w:val="center"/>
              <w:rPr>
                <w:szCs w:val="21"/>
              </w:rPr>
            </w:pPr>
            <w:r>
              <w:rPr>
                <w:szCs w:val="21"/>
              </w:rPr>
              <w:t>250.0</w:t>
            </w:r>
          </w:p>
        </w:tc>
        <w:tc>
          <w:tcPr>
            <w:tcW w:w="592" w:type="pct"/>
            <w:tcBorders>
              <w:tl2br w:val="nil"/>
              <w:tr2bl w:val="nil"/>
            </w:tcBorders>
            <w:vAlign w:val="center"/>
          </w:tcPr>
          <w:p w:rsidR="00D6372F" w:rsidRDefault="00D6372F" w:rsidP="000D4D74">
            <w:pPr>
              <w:jc w:val="center"/>
              <w:rPr>
                <w:szCs w:val="21"/>
              </w:rPr>
            </w:pPr>
            <w:r>
              <w:rPr>
                <w:szCs w:val="21"/>
              </w:rPr>
              <w:t>6.5178</w:t>
            </w:r>
          </w:p>
        </w:tc>
        <w:tc>
          <w:tcPr>
            <w:tcW w:w="454" w:type="pct"/>
            <w:tcBorders>
              <w:tl2br w:val="nil"/>
              <w:tr2bl w:val="nil"/>
            </w:tcBorders>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p>
        </w:tc>
        <w:tc>
          <w:tcPr>
            <w:tcW w:w="334" w:type="pct"/>
            <w:tcBorders>
              <w:tl2br w:val="nil"/>
              <w:tr2bl w:val="nil"/>
            </w:tcBorders>
            <w:vAlign w:val="center"/>
          </w:tcPr>
          <w:p w:rsidR="00D6372F" w:rsidRDefault="00D6372F" w:rsidP="000D4D74">
            <w:pPr>
              <w:pStyle w:val="aff2"/>
              <w:adjustRightInd w:val="0"/>
              <w:snapToGrid w:val="0"/>
              <w:spacing w:after="0"/>
              <w:ind w:left="0" w:right="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Ⅱ</w:t>
            </w:r>
          </w:p>
        </w:tc>
      </w:tr>
      <w:tr w:rsidR="00D6372F" w:rsidTr="000D4D74">
        <w:trPr>
          <w:jc w:val="center"/>
        </w:trPr>
        <w:tc>
          <w:tcPr>
            <w:tcW w:w="294" w:type="pct"/>
            <w:vMerge/>
            <w:tcBorders>
              <w:tl2br w:val="nil"/>
              <w:tr2bl w:val="nil"/>
            </w:tcBorders>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p>
        </w:tc>
        <w:tc>
          <w:tcPr>
            <w:tcW w:w="1012" w:type="pct"/>
            <w:vMerge/>
            <w:tcBorders>
              <w:tl2br w:val="nil"/>
              <w:tr2bl w:val="nil"/>
            </w:tcBorders>
            <w:vAlign w:val="center"/>
          </w:tcPr>
          <w:p w:rsidR="00D6372F" w:rsidRDefault="00D6372F" w:rsidP="000D4D74">
            <w:pPr>
              <w:jc w:val="center"/>
              <w:rPr>
                <w:rFonts w:cs="Times New Roman"/>
                <w:color w:val="000000" w:themeColor="text1"/>
                <w:szCs w:val="21"/>
              </w:rPr>
            </w:pPr>
          </w:p>
        </w:tc>
        <w:tc>
          <w:tcPr>
            <w:tcW w:w="467" w:type="pct"/>
            <w:tcBorders>
              <w:tl2br w:val="nil"/>
              <w:tr2bl w:val="nil"/>
            </w:tcBorders>
            <w:vAlign w:val="center"/>
          </w:tcPr>
          <w:p w:rsidR="00D6372F" w:rsidRDefault="00D6372F" w:rsidP="000D4D74">
            <w:pPr>
              <w:jc w:val="center"/>
              <w:rPr>
                <w:szCs w:val="21"/>
              </w:rPr>
            </w:pPr>
            <w:r>
              <w:rPr>
                <w:szCs w:val="21"/>
              </w:rPr>
              <w:t>SO</w:t>
            </w:r>
            <w:r w:rsidRPr="008B0FF7">
              <w:rPr>
                <w:szCs w:val="21"/>
                <w:vertAlign w:val="subscript"/>
              </w:rPr>
              <w:t>2</w:t>
            </w:r>
          </w:p>
        </w:tc>
        <w:tc>
          <w:tcPr>
            <w:tcW w:w="523" w:type="pct"/>
            <w:tcBorders>
              <w:tl2br w:val="nil"/>
              <w:tr2bl w:val="nil"/>
            </w:tcBorders>
            <w:vAlign w:val="center"/>
          </w:tcPr>
          <w:p w:rsidR="00D6372F" w:rsidRDefault="00D6372F" w:rsidP="000D4D74">
            <w:pPr>
              <w:jc w:val="center"/>
              <w:rPr>
                <w:szCs w:val="21"/>
              </w:rPr>
            </w:pPr>
            <w:r>
              <w:rPr>
                <w:szCs w:val="21"/>
              </w:rPr>
              <w:t>0.4365</w:t>
            </w:r>
          </w:p>
        </w:tc>
        <w:tc>
          <w:tcPr>
            <w:tcW w:w="644" w:type="pct"/>
            <w:vMerge/>
            <w:tcBorders>
              <w:tl2br w:val="nil"/>
              <w:tr2bl w:val="nil"/>
            </w:tcBorders>
            <w:vAlign w:val="center"/>
          </w:tcPr>
          <w:p w:rsidR="00D6372F" w:rsidRDefault="00D6372F" w:rsidP="000D4D74">
            <w:pPr>
              <w:jc w:val="center"/>
              <w:rPr>
                <w:szCs w:val="21"/>
              </w:rPr>
            </w:pPr>
          </w:p>
        </w:tc>
        <w:tc>
          <w:tcPr>
            <w:tcW w:w="680" w:type="pct"/>
            <w:tcBorders>
              <w:tl2br w:val="nil"/>
              <w:tr2bl w:val="nil"/>
            </w:tcBorders>
            <w:vAlign w:val="center"/>
          </w:tcPr>
          <w:p w:rsidR="00D6372F" w:rsidRDefault="00D6372F" w:rsidP="000D4D74">
            <w:pPr>
              <w:jc w:val="center"/>
              <w:rPr>
                <w:szCs w:val="21"/>
              </w:rPr>
            </w:pPr>
            <w:r>
              <w:rPr>
                <w:szCs w:val="21"/>
              </w:rPr>
              <w:t>500.0</w:t>
            </w:r>
          </w:p>
        </w:tc>
        <w:tc>
          <w:tcPr>
            <w:tcW w:w="592" w:type="pct"/>
            <w:tcBorders>
              <w:tl2br w:val="nil"/>
              <w:tr2bl w:val="nil"/>
            </w:tcBorders>
            <w:vAlign w:val="center"/>
          </w:tcPr>
          <w:p w:rsidR="00D6372F" w:rsidRDefault="00D6372F" w:rsidP="000D4D74">
            <w:pPr>
              <w:jc w:val="center"/>
              <w:rPr>
                <w:szCs w:val="21"/>
              </w:rPr>
            </w:pPr>
            <w:r>
              <w:rPr>
                <w:szCs w:val="21"/>
              </w:rPr>
              <w:t>0.0873</w:t>
            </w:r>
          </w:p>
        </w:tc>
        <w:tc>
          <w:tcPr>
            <w:tcW w:w="454" w:type="pct"/>
            <w:tcBorders>
              <w:tl2br w:val="nil"/>
              <w:tr2bl w:val="nil"/>
            </w:tcBorders>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p>
        </w:tc>
        <w:tc>
          <w:tcPr>
            <w:tcW w:w="334" w:type="pct"/>
            <w:tcBorders>
              <w:tl2br w:val="nil"/>
              <w:tr2bl w:val="nil"/>
            </w:tcBorders>
            <w:vAlign w:val="center"/>
          </w:tcPr>
          <w:p w:rsidR="00D6372F" w:rsidRDefault="00D6372F" w:rsidP="000D4D74">
            <w:pPr>
              <w:pStyle w:val="aff2"/>
              <w:adjustRightInd w:val="0"/>
              <w:snapToGrid w:val="0"/>
              <w:spacing w:after="0"/>
              <w:ind w:left="0" w:right="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Ⅲ</w:t>
            </w:r>
          </w:p>
        </w:tc>
      </w:tr>
      <w:tr w:rsidR="00D6372F" w:rsidTr="000D4D74">
        <w:trPr>
          <w:trHeight w:val="120"/>
          <w:jc w:val="center"/>
        </w:trPr>
        <w:tc>
          <w:tcPr>
            <w:tcW w:w="294" w:type="pct"/>
            <w:vMerge w:val="restart"/>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面源</w:t>
            </w:r>
          </w:p>
        </w:tc>
        <w:tc>
          <w:tcPr>
            <w:tcW w:w="1012" w:type="pct"/>
            <w:vAlign w:val="center"/>
          </w:tcPr>
          <w:p w:rsidR="00D6372F" w:rsidRDefault="00D6372F" w:rsidP="000D4D74">
            <w:pPr>
              <w:jc w:val="center"/>
              <w:rPr>
                <w:rFonts w:cs="Times New Roman"/>
                <w:color w:val="000000" w:themeColor="text1"/>
                <w:szCs w:val="21"/>
              </w:rPr>
            </w:pPr>
            <w:r>
              <w:rPr>
                <w:szCs w:val="21"/>
              </w:rPr>
              <w:t>储罐区</w:t>
            </w:r>
          </w:p>
        </w:tc>
        <w:tc>
          <w:tcPr>
            <w:tcW w:w="467" w:type="pct"/>
            <w:vAlign w:val="center"/>
          </w:tcPr>
          <w:p w:rsidR="00D6372F" w:rsidRDefault="00D6372F" w:rsidP="000D4D74">
            <w:pPr>
              <w:jc w:val="center"/>
              <w:rPr>
                <w:szCs w:val="21"/>
              </w:rPr>
            </w:pPr>
            <w:r>
              <w:rPr>
                <w:szCs w:val="21"/>
              </w:rPr>
              <w:t>NMHC</w:t>
            </w:r>
          </w:p>
        </w:tc>
        <w:tc>
          <w:tcPr>
            <w:tcW w:w="523" w:type="pct"/>
            <w:vAlign w:val="center"/>
          </w:tcPr>
          <w:p w:rsidR="00D6372F" w:rsidRDefault="00D6372F" w:rsidP="000D4D74">
            <w:pPr>
              <w:jc w:val="center"/>
              <w:rPr>
                <w:szCs w:val="21"/>
              </w:rPr>
            </w:pPr>
            <w:r>
              <w:rPr>
                <w:rFonts w:hint="eastAsia"/>
                <w:szCs w:val="21"/>
              </w:rPr>
              <w:t>28.2230</w:t>
            </w:r>
          </w:p>
        </w:tc>
        <w:tc>
          <w:tcPr>
            <w:tcW w:w="644" w:type="pct"/>
            <w:vAlign w:val="center"/>
          </w:tcPr>
          <w:p w:rsidR="00D6372F" w:rsidRDefault="00D6372F" w:rsidP="000D4D74">
            <w:pPr>
              <w:jc w:val="center"/>
              <w:rPr>
                <w:szCs w:val="21"/>
              </w:rPr>
            </w:pPr>
            <w:r>
              <w:rPr>
                <w:rFonts w:hint="eastAsia"/>
                <w:szCs w:val="21"/>
              </w:rPr>
              <w:t>5</w:t>
            </w:r>
            <w:r>
              <w:rPr>
                <w:szCs w:val="21"/>
              </w:rPr>
              <w:t>4</w:t>
            </w:r>
          </w:p>
        </w:tc>
        <w:tc>
          <w:tcPr>
            <w:tcW w:w="680" w:type="pct"/>
            <w:vAlign w:val="center"/>
          </w:tcPr>
          <w:p w:rsidR="00D6372F" w:rsidRDefault="00D6372F" w:rsidP="000D4D74">
            <w:pPr>
              <w:jc w:val="center"/>
              <w:rPr>
                <w:szCs w:val="21"/>
              </w:rPr>
            </w:pPr>
            <w:r>
              <w:rPr>
                <w:szCs w:val="21"/>
              </w:rPr>
              <w:t>2000.0</w:t>
            </w:r>
          </w:p>
        </w:tc>
        <w:tc>
          <w:tcPr>
            <w:tcW w:w="592" w:type="pct"/>
            <w:vAlign w:val="center"/>
          </w:tcPr>
          <w:p w:rsidR="00D6372F" w:rsidRDefault="00D6372F" w:rsidP="000D4D74">
            <w:pPr>
              <w:jc w:val="center"/>
              <w:rPr>
                <w:szCs w:val="21"/>
              </w:rPr>
            </w:pPr>
            <w:r>
              <w:rPr>
                <w:rFonts w:hint="eastAsia"/>
                <w:szCs w:val="21"/>
              </w:rPr>
              <w:t>1.411</w:t>
            </w:r>
          </w:p>
        </w:tc>
        <w:tc>
          <w:tcPr>
            <w:tcW w:w="454" w:type="pct"/>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p>
        </w:tc>
        <w:tc>
          <w:tcPr>
            <w:tcW w:w="334" w:type="pct"/>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宋体" w:eastAsia="宋体" w:hAnsi="宋体" w:cs="Times New Roman" w:hint="eastAsia"/>
                <w:color w:val="000000" w:themeColor="text1"/>
                <w:szCs w:val="21"/>
              </w:rPr>
              <w:t>Ⅱ</w:t>
            </w:r>
          </w:p>
        </w:tc>
      </w:tr>
      <w:tr w:rsidR="00D6372F" w:rsidTr="000D4D74">
        <w:trPr>
          <w:trHeight w:val="120"/>
          <w:jc w:val="center"/>
        </w:trPr>
        <w:tc>
          <w:tcPr>
            <w:tcW w:w="294" w:type="pct"/>
            <w:vMerge/>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p>
        </w:tc>
        <w:tc>
          <w:tcPr>
            <w:tcW w:w="1012" w:type="pct"/>
            <w:vAlign w:val="center"/>
          </w:tcPr>
          <w:p w:rsidR="00D6372F" w:rsidRDefault="00D6372F" w:rsidP="000D4D74">
            <w:pPr>
              <w:jc w:val="center"/>
              <w:rPr>
                <w:rFonts w:cs="Times New Roman"/>
                <w:color w:val="000000" w:themeColor="text1"/>
                <w:szCs w:val="21"/>
              </w:rPr>
            </w:pPr>
            <w:r>
              <w:rPr>
                <w:szCs w:val="21"/>
              </w:rPr>
              <w:t>装卸区</w:t>
            </w:r>
          </w:p>
        </w:tc>
        <w:tc>
          <w:tcPr>
            <w:tcW w:w="467" w:type="pct"/>
            <w:vAlign w:val="center"/>
          </w:tcPr>
          <w:p w:rsidR="00D6372F" w:rsidRDefault="00D6372F" w:rsidP="000D4D74">
            <w:pPr>
              <w:jc w:val="center"/>
              <w:rPr>
                <w:szCs w:val="21"/>
              </w:rPr>
            </w:pPr>
            <w:r>
              <w:rPr>
                <w:szCs w:val="21"/>
              </w:rPr>
              <w:t>NMHC</w:t>
            </w:r>
          </w:p>
        </w:tc>
        <w:tc>
          <w:tcPr>
            <w:tcW w:w="523" w:type="pct"/>
            <w:vAlign w:val="center"/>
          </w:tcPr>
          <w:p w:rsidR="00D6372F" w:rsidRDefault="00D6372F" w:rsidP="000D4D74">
            <w:pPr>
              <w:jc w:val="center"/>
              <w:rPr>
                <w:szCs w:val="21"/>
              </w:rPr>
            </w:pPr>
            <w:r>
              <w:rPr>
                <w:szCs w:val="21"/>
              </w:rPr>
              <w:t>3.1249</w:t>
            </w:r>
          </w:p>
        </w:tc>
        <w:tc>
          <w:tcPr>
            <w:tcW w:w="644" w:type="pct"/>
            <w:vAlign w:val="center"/>
          </w:tcPr>
          <w:p w:rsidR="00D6372F" w:rsidRDefault="00D6372F" w:rsidP="000D4D74">
            <w:pPr>
              <w:jc w:val="center"/>
              <w:rPr>
                <w:szCs w:val="21"/>
              </w:rPr>
            </w:pPr>
            <w:r>
              <w:rPr>
                <w:rFonts w:hint="eastAsia"/>
                <w:szCs w:val="21"/>
              </w:rPr>
              <w:t>3</w:t>
            </w:r>
            <w:r>
              <w:rPr>
                <w:szCs w:val="21"/>
              </w:rPr>
              <w:t>0</w:t>
            </w:r>
          </w:p>
        </w:tc>
        <w:tc>
          <w:tcPr>
            <w:tcW w:w="680" w:type="pct"/>
            <w:vAlign w:val="center"/>
          </w:tcPr>
          <w:p w:rsidR="00D6372F" w:rsidRDefault="00D6372F" w:rsidP="000D4D74">
            <w:pPr>
              <w:jc w:val="center"/>
              <w:rPr>
                <w:szCs w:val="21"/>
              </w:rPr>
            </w:pPr>
            <w:r>
              <w:rPr>
                <w:szCs w:val="21"/>
              </w:rPr>
              <w:t>2000.0</w:t>
            </w:r>
          </w:p>
        </w:tc>
        <w:tc>
          <w:tcPr>
            <w:tcW w:w="592" w:type="pct"/>
            <w:vAlign w:val="center"/>
          </w:tcPr>
          <w:p w:rsidR="00D6372F" w:rsidRDefault="00D6372F" w:rsidP="000D4D74">
            <w:pPr>
              <w:jc w:val="center"/>
              <w:rPr>
                <w:szCs w:val="21"/>
              </w:rPr>
            </w:pPr>
            <w:r>
              <w:rPr>
                <w:szCs w:val="21"/>
              </w:rPr>
              <w:t>0.1562</w:t>
            </w:r>
          </w:p>
        </w:tc>
        <w:tc>
          <w:tcPr>
            <w:tcW w:w="454" w:type="pct"/>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p>
        </w:tc>
        <w:tc>
          <w:tcPr>
            <w:tcW w:w="334" w:type="pct"/>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宋体" w:eastAsia="宋体" w:hAnsi="宋体" w:cs="Times New Roman" w:hint="eastAsia"/>
                <w:color w:val="000000" w:themeColor="text1"/>
                <w:szCs w:val="21"/>
              </w:rPr>
              <w:t>Ⅲ</w:t>
            </w:r>
          </w:p>
        </w:tc>
      </w:tr>
      <w:tr w:rsidR="00D6372F" w:rsidTr="000D4D74">
        <w:trPr>
          <w:trHeight w:val="120"/>
          <w:jc w:val="center"/>
        </w:trPr>
        <w:tc>
          <w:tcPr>
            <w:tcW w:w="294" w:type="pct"/>
            <w:vMerge/>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p>
        </w:tc>
        <w:tc>
          <w:tcPr>
            <w:tcW w:w="1012" w:type="pct"/>
            <w:vAlign w:val="center"/>
          </w:tcPr>
          <w:p w:rsidR="00D6372F" w:rsidRDefault="00D6372F" w:rsidP="000D4D74">
            <w:pPr>
              <w:jc w:val="center"/>
              <w:rPr>
                <w:rFonts w:cs="Times New Roman"/>
                <w:color w:val="000000" w:themeColor="text1"/>
                <w:szCs w:val="21"/>
              </w:rPr>
            </w:pPr>
            <w:r>
              <w:rPr>
                <w:szCs w:val="21"/>
              </w:rPr>
              <w:t>装置区</w:t>
            </w:r>
          </w:p>
        </w:tc>
        <w:tc>
          <w:tcPr>
            <w:tcW w:w="467" w:type="pct"/>
            <w:vAlign w:val="center"/>
          </w:tcPr>
          <w:p w:rsidR="00D6372F" w:rsidRDefault="00D6372F" w:rsidP="000D4D74">
            <w:pPr>
              <w:jc w:val="center"/>
              <w:rPr>
                <w:szCs w:val="21"/>
              </w:rPr>
            </w:pPr>
            <w:r>
              <w:rPr>
                <w:szCs w:val="21"/>
              </w:rPr>
              <w:t>NMHC</w:t>
            </w:r>
          </w:p>
        </w:tc>
        <w:tc>
          <w:tcPr>
            <w:tcW w:w="523" w:type="pct"/>
            <w:vAlign w:val="center"/>
          </w:tcPr>
          <w:p w:rsidR="00D6372F" w:rsidRDefault="00D6372F" w:rsidP="000D4D74">
            <w:pPr>
              <w:jc w:val="center"/>
              <w:rPr>
                <w:szCs w:val="21"/>
              </w:rPr>
            </w:pPr>
            <w:r>
              <w:rPr>
                <w:rFonts w:hint="eastAsia"/>
                <w:szCs w:val="21"/>
              </w:rPr>
              <w:t>182.58</w:t>
            </w:r>
          </w:p>
        </w:tc>
        <w:tc>
          <w:tcPr>
            <w:tcW w:w="644" w:type="pct"/>
            <w:vAlign w:val="center"/>
          </w:tcPr>
          <w:p w:rsidR="00D6372F" w:rsidRDefault="00D6372F" w:rsidP="000D4D74">
            <w:pPr>
              <w:jc w:val="center"/>
              <w:rPr>
                <w:szCs w:val="21"/>
              </w:rPr>
            </w:pPr>
            <w:r>
              <w:rPr>
                <w:rFonts w:hint="eastAsia"/>
                <w:szCs w:val="21"/>
              </w:rPr>
              <w:t>9</w:t>
            </w:r>
            <w:r>
              <w:rPr>
                <w:szCs w:val="21"/>
              </w:rPr>
              <w:t>6</w:t>
            </w:r>
          </w:p>
        </w:tc>
        <w:tc>
          <w:tcPr>
            <w:tcW w:w="680" w:type="pct"/>
            <w:vAlign w:val="center"/>
          </w:tcPr>
          <w:p w:rsidR="00D6372F" w:rsidRDefault="00D6372F" w:rsidP="000D4D74">
            <w:pPr>
              <w:jc w:val="center"/>
              <w:rPr>
                <w:szCs w:val="21"/>
              </w:rPr>
            </w:pPr>
            <w:r>
              <w:rPr>
                <w:szCs w:val="21"/>
              </w:rPr>
              <w:t>2000.0</w:t>
            </w:r>
          </w:p>
        </w:tc>
        <w:tc>
          <w:tcPr>
            <w:tcW w:w="592" w:type="pct"/>
            <w:vAlign w:val="center"/>
          </w:tcPr>
          <w:p w:rsidR="00D6372F" w:rsidRDefault="00D6372F" w:rsidP="000D4D74">
            <w:pPr>
              <w:jc w:val="center"/>
              <w:rPr>
                <w:szCs w:val="21"/>
              </w:rPr>
            </w:pPr>
            <w:r>
              <w:rPr>
                <w:rFonts w:hint="eastAsia"/>
                <w:szCs w:val="21"/>
              </w:rPr>
              <w:t>9.1290</w:t>
            </w:r>
          </w:p>
        </w:tc>
        <w:tc>
          <w:tcPr>
            <w:tcW w:w="454" w:type="pct"/>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p>
        </w:tc>
        <w:tc>
          <w:tcPr>
            <w:tcW w:w="334" w:type="pct"/>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宋体" w:eastAsia="宋体" w:hAnsi="宋体" w:cs="Times New Roman" w:hint="eastAsia"/>
                <w:color w:val="000000" w:themeColor="text1"/>
                <w:szCs w:val="21"/>
              </w:rPr>
              <w:t>Ⅱ</w:t>
            </w:r>
          </w:p>
        </w:tc>
      </w:tr>
      <w:tr w:rsidR="00D6372F" w:rsidTr="000D4D74">
        <w:trPr>
          <w:trHeight w:val="120"/>
          <w:jc w:val="center"/>
        </w:trPr>
        <w:tc>
          <w:tcPr>
            <w:tcW w:w="294" w:type="pct"/>
            <w:vMerge/>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p>
        </w:tc>
        <w:tc>
          <w:tcPr>
            <w:tcW w:w="1012" w:type="pct"/>
            <w:vMerge w:val="restart"/>
            <w:vAlign w:val="center"/>
          </w:tcPr>
          <w:p w:rsidR="00D6372F" w:rsidRDefault="00D6372F" w:rsidP="000D4D74">
            <w:pPr>
              <w:jc w:val="center"/>
              <w:rPr>
                <w:rFonts w:cs="Times New Roman"/>
                <w:color w:val="000000" w:themeColor="text1"/>
                <w:szCs w:val="21"/>
              </w:rPr>
            </w:pPr>
            <w:r>
              <w:rPr>
                <w:rFonts w:hint="eastAsia"/>
                <w:szCs w:val="21"/>
              </w:rPr>
              <w:t>污水处理</w:t>
            </w:r>
          </w:p>
        </w:tc>
        <w:tc>
          <w:tcPr>
            <w:tcW w:w="467" w:type="pct"/>
            <w:vAlign w:val="center"/>
          </w:tcPr>
          <w:p w:rsidR="00D6372F" w:rsidRDefault="00D6372F" w:rsidP="000D4D74">
            <w:pPr>
              <w:jc w:val="center"/>
              <w:rPr>
                <w:szCs w:val="21"/>
              </w:rPr>
            </w:pPr>
            <w:r>
              <w:rPr>
                <w:rFonts w:hint="eastAsia"/>
                <w:szCs w:val="21"/>
              </w:rPr>
              <w:t>H</w:t>
            </w:r>
            <w:r w:rsidRPr="008B0FF7">
              <w:rPr>
                <w:szCs w:val="21"/>
                <w:vertAlign w:val="subscript"/>
              </w:rPr>
              <w:t>2</w:t>
            </w:r>
            <w:r>
              <w:rPr>
                <w:szCs w:val="21"/>
              </w:rPr>
              <w:t>S</w:t>
            </w:r>
          </w:p>
        </w:tc>
        <w:tc>
          <w:tcPr>
            <w:tcW w:w="523" w:type="pct"/>
            <w:vAlign w:val="center"/>
          </w:tcPr>
          <w:p w:rsidR="00D6372F" w:rsidRDefault="00D6372F" w:rsidP="000D4D74">
            <w:pPr>
              <w:jc w:val="center"/>
              <w:rPr>
                <w:szCs w:val="21"/>
              </w:rPr>
            </w:pPr>
            <w:r>
              <w:rPr>
                <w:szCs w:val="21"/>
              </w:rPr>
              <w:t>0.0471</w:t>
            </w:r>
          </w:p>
        </w:tc>
        <w:tc>
          <w:tcPr>
            <w:tcW w:w="644" w:type="pct"/>
            <w:vMerge w:val="restart"/>
            <w:vAlign w:val="center"/>
          </w:tcPr>
          <w:p w:rsidR="00D6372F" w:rsidRDefault="00D6372F" w:rsidP="000D4D74">
            <w:pPr>
              <w:jc w:val="center"/>
              <w:rPr>
                <w:szCs w:val="21"/>
              </w:rPr>
            </w:pPr>
            <w:r>
              <w:rPr>
                <w:rFonts w:hint="eastAsia"/>
                <w:szCs w:val="21"/>
              </w:rPr>
              <w:t>5</w:t>
            </w:r>
            <w:r>
              <w:rPr>
                <w:szCs w:val="21"/>
              </w:rPr>
              <w:t>0</w:t>
            </w:r>
          </w:p>
        </w:tc>
        <w:tc>
          <w:tcPr>
            <w:tcW w:w="680" w:type="pct"/>
            <w:vAlign w:val="center"/>
          </w:tcPr>
          <w:p w:rsidR="00D6372F" w:rsidRDefault="00D6372F" w:rsidP="000D4D74">
            <w:pPr>
              <w:jc w:val="center"/>
              <w:rPr>
                <w:szCs w:val="21"/>
              </w:rPr>
            </w:pPr>
            <w:r>
              <w:rPr>
                <w:szCs w:val="21"/>
              </w:rPr>
              <w:t>10</w:t>
            </w:r>
            <w:r>
              <w:rPr>
                <w:rFonts w:hint="eastAsia"/>
                <w:szCs w:val="21"/>
              </w:rPr>
              <w:t>.0</w:t>
            </w:r>
          </w:p>
        </w:tc>
        <w:tc>
          <w:tcPr>
            <w:tcW w:w="592" w:type="pct"/>
            <w:vAlign w:val="center"/>
          </w:tcPr>
          <w:p w:rsidR="00D6372F" w:rsidRDefault="00D6372F" w:rsidP="000D4D74">
            <w:pPr>
              <w:jc w:val="center"/>
              <w:rPr>
                <w:szCs w:val="21"/>
              </w:rPr>
            </w:pPr>
            <w:r>
              <w:rPr>
                <w:szCs w:val="21"/>
              </w:rPr>
              <w:t>0.4707</w:t>
            </w:r>
          </w:p>
        </w:tc>
        <w:tc>
          <w:tcPr>
            <w:tcW w:w="454" w:type="pct"/>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p>
        </w:tc>
        <w:tc>
          <w:tcPr>
            <w:tcW w:w="334" w:type="pct"/>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宋体" w:eastAsia="宋体" w:hAnsi="宋体" w:cs="Times New Roman" w:hint="eastAsia"/>
                <w:color w:val="000000" w:themeColor="text1"/>
                <w:szCs w:val="21"/>
              </w:rPr>
              <w:t>Ⅲ</w:t>
            </w:r>
          </w:p>
        </w:tc>
      </w:tr>
      <w:tr w:rsidR="00D6372F" w:rsidTr="000D4D74">
        <w:trPr>
          <w:trHeight w:val="120"/>
          <w:jc w:val="center"/>
        </w:trPr>
        <w:tc>
          <w:tcPr>
            <w:tcW w:w="294" w:type="pct"/>
            <w:vMerge/>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p>
        </w:tc>
        <w:tc>
          <w:tcPr>
            <w:tcW w:w="1012" w:type="pct"/>
            <w:vMerge/>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p>
        </w:tc>
        <w:tc>
          <w:tcPr>
            <w:tcW w:w="467" w:type="pct"/>
            <w:vAlign w:val="center"/>
          </w:tcPr>
          <w:p w:rsidR="00D6372F" w:rsidRDefault="00D6372F" w:rsidP="000D4D74">
            <w:pPr>
              <w:jc w:val="center"/>
              <w:rPr>
                <w:szCs w:val="21"/>
              </w:rPr>
            </w:pPr>
            <w:r>
              <w:rPr>
                <w:rFonts w:hint="eastAsia"/>
                <w:szCs w:val="21"/>
              </w:rPr>
              <w:t>N</w:t>
            </w:r>
            <w:r>
              <w:rPr>
                <w:szCs w:val="21"/>
              </w:rPr>
              <w:t>H</w:t>
            </w:r>
            <w:r w:rsidRPr="008B0FF7">
              <w:rPr>
                <w:szCs w:val="21"/>
                <w:vertAlign w:val="subscript"/>
              </w:rPr>
              <w:t>3</w:t>
            </w:r>
          </w:p>
        </w:tc>
        <w:tc>
          <w:tcPr>
            <w:tcW w:w="523" w:type="pct"/>
            <w:vAlign w:val="center"/>
          </w:tcPr>
          <w:p w:rsidR="00D6372F" w:rsidRDefault="00D6372F" w:rsidP="000D4D74">
            <w:pPr>
              <w:jc w:val="center"/>
              <w:rPr>
                <w:szCs w:val="21"/>
              </w:rPr>
            </w:pPr>
            <w:r>
              <w:rPr>
                <w:szCs w:val="21"/>
              </w:rPr>
              <w:t>1.8826</w:t>
            </w:r>
          </w:p>
        </w:tc>
        <w:tc>
          <w:tcPr>
            <w:tcW w:w="644" w:type="pct"/>
            <w:vMerge/>
            <w:vAlign w:val="center"/>
          </w:tcPr>
          <w:p w:rsidR="00D6372F" w:rsidRDefault="00D6372F" w:rsidP="000D4D74">
            <w:pPr>
              <w:jc w:val="center"/>
              <w:rPr>
                <w:szCs w:val="21"/>
              </w:rPr>
            </w:pPr>
          </w:p>
        </w:tc>
        <w:tc>
          <w:tcPr>
            <w:tcW w:w="680" w:type="pct"/>
            <w:vAlign w:val="center"/>
          </w:tcPr>
          <w:p w:rsidR="00D6372F" w:rsidRDefault="00D6372F" w:rsidP="000D4D74">
            <w:pPr>
              <w:jc w:val="center"/>
              <w:rPr>
                <w:szCs w:val="21"/>
              </w:rPr>
            </w:pPr>
            <w:r>
              <w:rPr>
                <w:szCs w:val="21"/>
              </w:rPr>
              <w:t>200</w:t>
            </w:r>
            <w:r>
              <w:rPr>
                <w:rFonts w:hint="eastAsia"/>
                <w:szCs w:val="21"/>
              </w:rPr>
              <w:t>.0</w:t>
            </w:r>
          </w:p>
        </w:tc>
        <w:tc>
          <w:tcPr>
            <w:tcW w:w="592" w:type="pct"/>
            <w:vAlign w:val="center"/>
          </w:tcPr>
          <w:p w:rsidR="00D6372F" w:rsidRDefault="00D6372F" w:rsidP="000D4D74">
            <w:pPr>
              <w:jc w:val="center"/>
              <w:rPr>
                <w:szCs w:val="21"/>
              </w:rPr>
            </w:pPr>
            <w:r>
              <w:rPr>
                <w:szCs w:val="21"/>
              </w:rPr>
              <w:t>0.9413</w:t>
            </w:r>
          </w:p>
        </w:tc>
        <w:tc>
          <w:tcPr>
            <w:tcW w:w="454" w:type="pct"/>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p>
        </w:tc>
        <w:tc>
          <w:tcPr>
            <w:tcW w:w="334" w:type="pct"/>
            <w:vAlign w:val="center"/>
          </w:tcPr>
          <w:p w:rsidR="00D6372F" w:rsidRDefault="00D6372F" w:rsidP="000D4D7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宋体" w:eastAsia="宋体" w:hAnsi="宋体" w:cs="Times New Roman" w:hint="eastAsia"/>
                <w:color w:val="000000" w:themeColor="text1"/>
                <w:szCs w:val="21"/>
              </w:rPr>
              <w:t>Ⅲ</w:t>
            </w:r>
          </w:p>
        </w:tc>
      </w:tr>
    </w:tbl>
    <w:p w:rsidR="00644456" w:rsidRDefault="008031C4">
      <w:pPr>
        <w:pStyle w:val="-"/>
        <w:ind w:firstLine="480"/>
        <w:rPr>
          <w:rFonts w:cs="Times New Roman"/>
          <w:color w:val="000000" w:themeColor="text1"/>
        </w:rPr>
      </w:pPr>
      <w:r>
        <w:rPr>
          <w:rFonts w:cs="Times New Roman"/>
          <w:color w:val="000000" w:themeColor="text1"/>
        </w:rPr>
        <w:t>环评选择《环境影响评价技术导则</w:t>
      </w:r>
      <w:r>
        <w:rPr>
          <w:rFonts w:cs="Times New Roman"/>
          <w:color w:val="000000" w:themeColor="text1"/>
        </w:rPr>
        <w:t>—</w:t>
      </w:r>
      <w:r>
        <w:rPr>
          <w:rFonts w:cs="Times New Roman"/>
          <w:color w:val="000000" w:themeColor="text1"/>
        </w:rPr>
        <w:t>大气环境》（</w:t>
      </w:r>
      <w:r>
        <w:rPr>
          <w:rFonts w:cs="Times New Roman"/>
          <w:color w:val="000000" w:themeColor="text1"/>
        </w:rPr>
        <w:t>HJ2.2-2018</w:t>
      </w:r>
      <w:r>
        <w:rPr>
          <w:rFonts w:cs="Times New Roman"/>
          <w:color w:val="000000" w:themeColor="text1"/>
        </w:rPr>
        <w:t>）中推荐模式中的</w:t>
      </w:r>
      <w:r>
        <w:rPr>
          <w:rFonts w:cs="Times New Roman"/>
          <w:color w:val="000000" w:themeColor="text1"/>
        </w:rPr>
        <w:t>AERSCREEN</w:t>
      </w:r>
      <w:r>
        <w:rPr>
          <w:rFonts w:cs="Times New Roman"/>
          <w:color w:val="000000" w:themeColor="text1"/>
        </w:rPr>
        <w:t>模型对大气环境评价工作进行判定。计算各污染物的最大影响程度和最远影响范围，然后按评价工作分级判据进行分级。</w:t>
      </w:r>
    </w:p>
    <w:p w:rsidR="00644456" w:rsidRDefault="008031C4">
      <w:pPr>
        <w:pStyle w:val="-"/>
        <w:ind w:firstLine="480"/>
        <w:rPr>
          <w:rFonts w:cs="Times New Roman"/>
          <w:color w:val="000000" w:themeColor="text1"/>
        </w:rPr>
      </w:pPr>
      <w:r>
        <w:rPr>
          <w:rFonts w:cs="Times New Roman"/>
          <w:color w:val="000000" w:themeColor="text1"/>
        </w:rPr>
        <w:t>计算污染的最大地面浓度占标率</w:t>
      </w:r>
      <w:r>
        <w:rPr>
          <w:rFonts w:cs="Times New Roman"/>
          <w:color w:val="000000" w:themeColor="text1"/>
        </w:rPr>
        <w:t>P</w:t>
      </w:r>
      <w:r>
        <w:rPr>
          <w:rFonts w:cs="Times New Roman"/>
          <w:color w:val="000000" w:themeColor="text1"/>
        </w:rPr>
        <w:t>占标率最</w:t>
      </w:r>
      <w:r>
        <w:rPr>
          <w:rFonts w:cs="Times New Roman"/>
          <w:color w:val="000000" w:themeColor="text1"/>
        </w:rPr>
        <w:t>i</w:t>
      </w:r>
      <w:r>
        <w:rPr>
          <w:rFonts w:cs="Times New Roman"/>
          <w:color w:val="000000" w:themeColor="text1"/>
        </w:rPr>
        <w:t>（第</w:t>
      </w:r>
      <w:r>
        <w:rPr>
          <w:rFonts w:cs="Times New Roman"/>
          <w:color w:val="000000" w:themeColor="text1"/>
        </w:rPr>
        <w:t>i</w:t>
      </w:r>
      <w:r>
        <w:rPr>
          <w:rFonts w:cs="Times New Roman"/>
          <w:color w:val="000000" w:themeColor="text1"/>
        </w:rPr>
        <w:t>个污染物），及第</w:t>
      </w:r>
      <w:r>
        <w:rPr>
          <w:rFonts w:cs="Times New Roman"/>
          <w:color w:val="000000" w:themeColor="text1"/>
        </w:rPr>
        <w:t>i</w:t>
      </w:r>
      <w:r>
        <w:rPr>
          <w:rFonts w:cs="Times New Roman"/>
          <w:color w:val="000000" w:themeColor="text1"/>
        </w:rPr>
        <w:t>个污染物的地面浓度达标准限制</w:t>
      </w:r>
      <w:r>
        <w:rPr>
          <w:rFonts w:cs="Times New Roman"/>
          <w:color w:val="000000" w:themeColor="text1"/>
        </w:rPr>
        <w:t>10%</w:t>
      </w:r>
      <w:r>
        <w:rPr>
          <w:rFonts w:cs="Times New Roman"/>
          <w:color w:val="000000" w:themeColor="text1"/>
        </w:rPr>
        <w:t>时所对应的最远距离</w:t>
      </w:r>
      <w:r>
        <w:rPr>
          <w:rFonts w:cs="Times New Roman"/>
          <w:color w:val="000000" w:themeColor="text1"/>
        </w:rPr>
        <w:t>D10%</w:t>
      </w:r>
      <w:r>
        <w:rPr>
          <w:rFonts w:cs="Times New Roman"/>
          <w:color w:val="000000" w:themeColor="text1"/>
        </w:rPr>
        <w:t>。其中</w:t>
      </w:r>
      <w:r>
        <w:rPr>
          <w:rFonts w:cs="Times New Roman"/>
          <w:color w:val="000000" w:themeColor="text1"/>
        </w:rPr>
        <w:t>Pi</w:t>
      </w:r>
      <w:r>
        <w:rPr>
          <w:rFonts w:cs="Times New Roman"/>
          <w:color w:val="000000" w:themeColor="text1"/>
        </w:rPr>
        <w:t>定义为：</w:t>
      </w:r>
    </w:p>
    <w:p w:rsidR="00644456" w:rsidRDefault="008031C4">
      <w:pPr>
        <w:pStyle w:val="-"/>
        <w:ind w:firstLine="480"/>
        <w:jc w:val="center"/>
        <w:rPr>
          <w:rFonts w:cs="Times New Roman"/>
          <w:color w:val="000000" w:themeColor="text1"/>
        </w:rPr>
      </w:pPr>
      <w:r>
        <w:rPr>
          <w:rFonts w:cs="Times New Roman"/>
          <w:color w:val="000000" w:themeColor="text1"/>
        </w:rPr>
        <w:object w:dxaOrig="1620" w:dyaOrig="720" w14:anchorId="17F26663">
          <v:shape id="_x0000_i1027" type="#_x0000_t75" style="width:81pt;height:36pt" o:ole="">
            <v:imagedata r:id="rId16" o:title=""/>
          </v:shape>
          <o:OLEObject Type="Embed" ProgID="Equation.3" ShapeID="_x0000_i1027" DrawAspect="Content" ObjectID="_1791290098" r:id="rId17"/>
        </w:object>
      </w:r>
    </w:p>
    <w:p w:rsidR="00644456" w:rsidRDefault="008031C4">
      <w:pPr>
        <w:pStyle w:val="-"/>
        <w:ind w:firstLine="480"/>
        <w:rPr>
          <w:rFonts w:cs="Times New Roman"/>
          <w:color w:val="000000" w:themeColor="text1"/>
        </w:rPr>
      </w:pPr>
      <w:r>
        <w:rPr>
          <w:rFonts w:cs="Times New Roman"/>
          <w:color w:val="000000" w:themeColor="text1"/>
        </w:rPr>
        <w:t>式中：</w:t>
      </w:r>
      <w:r>
        <w:rPr>
          <w:rFonts w:cs="Times New Roman"/>
          <w:color w:val="000000" w:themeColor="text1"/>
        </w:rPr>
        <w:t>P</w:t>
      </w:r>
      <w:r>
        <w:rPr>
          <w:rFonts w:cs="Times New Roman"/>
          <w:color w:val="000000" w:themeColor="text1"/>
          <w:vertAlign w:val="subscript"/>
        </w:rPr>
        <w:t>i</w:t>
      </w:r>
      <w:r>
        <w:rPr>
          <w:rFonts w:cs="Times New Roman"/>
          <w:color w:val="000000" w:themeColor="text1"/>
        </w:rPr>
        <w:t>——</w:t>
      </w:r>
      <w:r>
        <w:rPr>
          <w:rFonts w:cs="Times New Roman"/>
          <w:color w:val="000000" w:themeColor="text1"/>
        </w:rPr>
        <w:t>第</w:t>
      </w:r>
      <w:r>
        <w:rPr>
          <w:rFonts w:cs="Times New Roman"/>
          <w:color w:val="000000" w:themeColor="text1"/>
        </w:rPr>
        <w:t>i</w:t>
      </w:r>
      <w:r>
        <w:rPr>
          <w:rFonts w:cs="Times New Roman"/>
          <w:color w:val="000000" w:themeColor="text1"/>
        </w:rPr>
        <w:t>个污染物的最大地面浓度占标率，</w:t>
      </w:r>
      <w:r>
        <w:rPr>
          <w:rFonts w:cs="Times New Roman"/>
          <w:color w:val="000000" w:themeColor="text1"/>
        </w:rPr>
        <w:t>%</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lastRenderedPageBreak/>
        <w:t>C</w:t>
      </w:r>
      <w:r>
        <w:rPr>
          <w:rFonts w:cs="Times New Roman"/>
          <w:color w:val="000000" w:themeColor="text1"/>
          <w:vertAlign w:val="subscript"/>
        </w:rPr>
        <w:t>i</w:t>
      </w:r>
      <w:r>
        <w:rPr>
          <w:rFonts w:cs="Times New Roman"/>
          <w:color w:val="000000" w:themeColor="text1"/>
        </w:rPr>
        <w:t>——</w:t>
      </w:r>
      <w:r>
        <w:rPr>
          <w:rFonts w:cs="Times New Roman"/>
          <w:color w:val="000000" w:themeColor="text1"/>
        </w:rPr>
        <w:t>采用估算模式计算出的第</w:t>
      </w:r>
      <w:r>
        <w:rPr>
          <w:rFonts w:cs="Times New Roman"/>
          <w:color w:val="000000" w:themeColor="text1"/>
        </w:rPr>
        <w:t>i</w:t>
      </w:r>
      <w:r>
        <w:rPr>
          <w:rFonts w:cs="Times New Roman"/>
          <w:color w:val="000000" w:themeColor="text1"/>
        </w:rPr>
        <w:t>个污染物的最大地面浓度，</w:t>
      </w:r>
      <w:r>
        <w:rPr>
          <w:rFonts w:cs="Times New Roman"/>
          <w:color w:val="000000" w:themeColor="text1"/>
        </w:rPr>
        <w:t>mg/m</w:t>
      </w:r>
      <w:r>
        <w:rPr>
          <w:rFonts w:cs="Times New Roman"/>
          <w:color w:val="000000" w:themeColor="text1"/>
          <w:vertAlign w:val="superscript"/>
        </w:rPr>
        <w:t>3</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C</w:t>
      </w:r>
      <w:r>
        <w:rPr>
          <w:rFonts w:cs="Times New Roman"/>
          <w:color w:val="000000" w:themeColor="text1"/>
          <w:vertAlign w:val="subscript"/>
        </w:rPr>
        <w:t>oi</w:t>
      </w:r>
      <w:r>
        <w:rPr>
          <w:rFonts w:cs="Times New Roman"/>
          <w:color w:val="000000" w:themeColor="text1"/>
        </w:rPr>
        <w:t>——</w:t>
      </w:r>
      <w:r>
        <w:rPr>
          <w:rFonts w:cs="Times New Roman"/>
          <w:color w:val="000000" w:themeColor="text1"/>
        </w:rPr>
        <w:t>第</w:t>
      </w:r>
      <w:r>
        <w:rPr>
          <w:rFonts w:cs="Times New Roman"/>
          <w:color w:val="000000" w:themeColor="text1"/>
        </w:rPr>
        <w:t>i</w:t>
      </w:r>
      <w:r>
        <w:rPr>
          <w:rFonts w:cs="Times New Roman"/>
          <w:color w:val="000000" w:themeColor="text1"/>
        </w:rPr>
        <w:t>个污染物的环境空气质量标准，</w:t>
      </w:r>
      <w:r>
        <w:rPr>
          <w:rFonts w:cs="Times New Roman"/>
          <w:color w:val="000000" w:themeColor="text1"/>
        </w:rPr>
        <w:t>mg/m</w:t>
      </w:r>
      <w:r>
        <w:rPr>
          <w:rFonts w:cs="Times New Roman"/>
          <w:color w:val="000000" w:themeColor="text1"/>
          <w:vertAlign w:val="superscript"/>
        </w:rPr>
        <w:t>3</w:t>
      </w:r>
      <w:r>
        <w:rPr>
          <w:rFonts w:cs="Times New Roman"/>
          <w:color w:val="000000" w:themeColor="text1"/>
        </w:rPr>
        <w:t>。</w:t>
      </w:r>
    </w:p>
    <w:p w:rsidR="00644456" w:rsidRDefault="008031C4">
      <w:pPr>
        <w:pStyle w:val="-"/>
        <w:ind w:firstLine="480"/>
        <w:rPr>
          <w:rFonts w:cs="Times New Roman"/>
          <w:color w:val="000000" w:themeColor="text1"/>
          <w:kern w:val="0"/>
        </w:rPr>
      </w:pPr>
      <w:r>
        <w:rPr>
          <w:rFonts w:cs="Times New Roman"/>
          <w:color w:val="000000" w:themeColor="text1"/>
        </w:rPr>
        <w:t>评价工作等级按下表的分级判据进行划分。若污染物数</w:t>
      </w:r>
      <w:r>
        <w:rPr>
          <w:rFonts w:cs="Times New Roman"/>
          <w:color w:val="000000" w:themeColor="text1"/>
        </w:rPr>
        <w:t>i</w:t>
      </w:r>
      <w:r>
        <w:rPr>
          <w:rFonts w:cs="Times New Roman"/>
          <w:color w:val="000000" w:themeColor="text1"/>
        </w:rPr>
        <w:t>大于</w:t>
      </w:r>
      <w:r>
        <w:rPr>
          <w:rFonts w:cs="Times New Roman"/>
          <w:color w:val="000000" w:themeColor="text1"/>
        </w:rPr>
        <w:t>1</w:t>
      </w:r>
      <w:r>
        <w:rPr>
          <w:rFonts w:cs="Times New Roman"/>
          <w:color w:val="000000" w:themeColor="text1"/>
        </w:rPr>
        <w:t>，取</w:t>
      </w:r>
      <w:r>
        <w:rPr>
          <w:rFonts w:cs="Times New Roman"/>
          <w:color w:val="000000" w:themeColor="text1"/>
        </w:rPr>
        <w:t>P</w:t>
      </w:r>
      <w:r>
        <w:rPr>
          <w:rFonts w:cs="Times New Roman"/>
          <w:color w:val="000000" w:themeColor="text1"/>
        </w:rPr>
        <w:t>值中最大者</w:t>
      </w:r>
      <w:r>
        <w:rPr>
          <w:rFonts w:cs="Times New Roman"/>
          <w:color w:val="000000" w:themeColor="text1"/>
        </w:rPr>
        <w:t>P</w:t>
      </w:r>
      <w:r>
        <w:rPr>
          <w:rFonts w:cs="Times New Roman"/>
          <w:color w:val="000000" w:themeColor="text1"/>
          <w:vertAlign w:val="subscript"/>
        </w:rPr>
        <w:t>max</w:t>
      </w:r>
      <w:r>
        <w:rPr>
          <w:rFonts w:cs="Times New Roman"/>
          <w:color w:val="000000" w:themeColor="text1"/>
          <w:kern w:val="0"/>
        </w:rPr>
        <w:t>。</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fldChar w:fldCharType="begin"/>
      </w:r>
      <w:r>
        <w:rPr>
          <w:rFonts w:ascii="Times New Roman" w:eastAsia="宋体" w:hAnsi="Times New Roman" w:cs="Times New Roman" w:hint="eastAsia"/>
          <w:b/>
          <w:color w:val="000000" w:themeColor="text1"/>
          <w:sz w:val="24"/>
        </w:rPr>
        <w:instrText xml:space="preserve"> STYLEREF 1 \s </w:instrText>
      </w:r>
      <w:r>
        <w:rPr>
          <w:rFonts w:ascii="Times New Roman" w:eastAsia="宋体" w:hAnsi="Times New Roman" w:cs="Times New Roman" w:hint="eastAsia"/>
          <w:b/>
          <w:color w:val="000000" w:themeColor="text1"/>
          <w:sz w:val="24"/>
        </w:rPr>
        <w:fldChar w:fldCharType="separate"/>
      </w:r>
      <w:r>
        <w:rPr>
          <w:rFonts w:ascii="Times New Roman" w:eastAsia="宋体" w:hAnsi="Times New Roman" w:cs="Times New Roman" w:hint="eastAsia"/>
          <w:b/>
          <w:color w:val="000000" w:themeColor="text1"/>
          <w:sz w:val="24"/>
        </w:rPr>
        <w:t>1</w:t>
      </w:r>
      <w:r>
        <w:rPr>
          <w:rFonts w:ascii="Times New Roman" w:eastAsia="宋体" w:hAnsi="Times New Roman" w:cs="Times New Roman" w:hint="eastAsia"/>
          <w:b/>
          <w:color w:val="000000" w:themeColor="text1"/>
          <w:sz w:val="24"/>
        </w:rPr>
        <w:fldChar w:fldCharType="end"/>
      </w:r>
      <w:r>
        <w:rPr>
          <w:rFonts w:ascii="Times New Roman" w:eastAsia="宋体" w:hAnsi="Times New Roman" w:cs="Times New Roman" w:hint="eastAsia"/>
          <w:b/>
          <w:color w:val="000000" w:themeColor="text1"/>
          <w:sz w:val="24"/>
        </w:rPr>
        <w:t>.8</w:t>
      </w:r>
      <w:r>
        <w:rPr>
          <w:rFonts w:ascii="Times New Roman" w:eastAsia="宋体" w:hAnsi="Times New Roman" w:cs="Times New Roman" w:hint="eastAsia"/>
          <w:b/>
          <w:color w:val="000000" w:themeColor="text1"/>
          <w:sz w:val="24"/>
        </w:rPr>
        <w:noBreakHyphen/>
        <w:t>3</w:t>
      </w:r>
      <w:r>
        <w:rPr>
          <w:rFonts w:ascii="Times New Roman" w:eastAsia="宋体" w:hAnsi="Times New Roman" w:cs="Times New Roman" w:hint="eastAsia"/>
          <w:b/>
          <w:color w:val="000000" w:themeColor="text1"/>
          <w:sz w:val="24"/>
        </w:rPr>
        <w:t>评价工作等级</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393"/>
        <w:gridCol w:w="4393"/>
      </w:tblGrid>
      <w:tr w:rsidR="00644456">
        <w:trPr>
          <w:cantSplit/>
          <w:jc w:val="center"/>
        </w:trPr>
        <w:tc>
          <w:tcPr>
            <w:tcW w:w="2500" w:type="pct"/>
            <w:shd w:val="clear" w:color="auto" w:fill="auto"/>
            <w:vAlign w:val="center"/>
          </w:tcPr>
          <w:p w:rsidR="00644456" w:rsidRDefault="008031C4">
            <w:pPr>
              <w:snapToGrid w:val="0"/>
              <w:ind w:firstLine="480"/>
              <w:jc w:val="center"/>
              <w:rPr>
                <w:rFonts w:cs="Times New Roman"/>
                <w:b/>
                <w:color w:val="000000" w:themeColor="text1"/>
                <w:szCs w:val="21"/>
              </w:rPr>
            </w:pPr>
            <w:r>
              <w:rPr>
                <w:rFonts w:cs="Times New Roman"/>
                <w:b/>
                <w:color w:val="000000" w:themeColor="text1"/>
                <w:szCs w:val="21"/>
              </w:rPr>
              <w:t>评价工作等级</w:t>
            </w:r>
          </w:p>
        </w:tc>
        <w:tc>
          <w:tcPr>
            <w:tcW w:w="2500" w:type="pct"/>
            <w:shd w:val="clear" w:color="auto" w:fill="auto"/>
            <w:vAlign w:val="center"/>
          </w:tcPr>
          <w:p w:rsidR="00644456" w:rsidRDefault="008031C4">
            <w:pPr>
              <w:snapToGrid w:val="0"/>
              <w:ind w:firstLine="480"/>
              <w:jc w:val="center"/>
              <w:rPr>
                <w:rFonts w:cs="Times New Roman"/>
                <w:b/>
                <w:color w:val="000000" w:themeColor="text1"/>
                <w:szCs w:val="21"/>
              </w:rPr>
            </w:pPr>
            <w:r>
              <w:rPr>
                <w:rFonts w:cs="Times New Roman"/>
                <w:b/>
                <w:color w:val="000000" w:themeColor="text1"/>
                <w:szCs w:val="21"/>
              </w:rPr>
              <w:t>评价工作分级判据</w:t>
            </w:r>
          </w:p>
        </w:tc>
      </w:tr>
      <w:tr w:rsidR="00644456">
        <w:trPr>
          <w:cantSplit/>
          <w:jc w:val="center"/>
        </w:trPr>
        <w:tc>
          <w:tcPr>
            <w:tcW w:w="2500" w:type="pct"/>
            <w:shd w:val="clear" w:color="auto" w:fill="auto"/>
            <w:vAlign w:val="center"/>
          </w:tcPr>
          <w:p w:rsidR="00644456" w:rsidRDefault="008031C4">
            <w:pPr>
              <w:snapToGrid w:val="0"/>
              <w:jc w:val="center"/>
              <w:rPr>
                <w:rFonts w:cs="Times New Roman"/>
                <w:color w:val="000000" w:themeColor="text1"/>
                <w:szCs w:val="21"/>
              </w:rPr>
            </w:pPr>
            <w:r>
              <w:rPr>
                <w:rFonts w:cs="Times New Roman"/>
                <w:color w:val="000000" w:themeColor="text1"/>
                <w:szCs w:val="21"/>
              </w:rPr>
              <w:t>一级</w:t>
            </w:r>
          </w:p>
        </w:tc>
        <w:tc>
          <w:tcPr>
            <w:tcW w:w="2500" w:type="pct"/>
            <w:shd w:val="clear" w:color="auto" w:fill="auto"/>
            <w:vAlign w:val="center"/>
          </w:tcPr>
          <w:p w:rsidR="00644456" w:rsidRDefault="008031C4">
            <w:pPr>
              <w:snapToGrid w:val="0"/>
              <w:jc w:val="center"/>
              <w:rPr>
                <w:rFonts w:cs="Times New Roman"/>
                <w:color w:val="000000" w:themeColor="text1"/>
                <w:szCs w:val="21"/>
              </w:rPr>
            </w:pPr>
            <w:r>
              <w:rPr>
                <w:rFonts w:cs="Times New Roman"/>
                <w:color w:val="000000" w:themeColor="text1"/>
                <w:szCs w:val="21"/>
              </w:rPr>
              <w:t>Pmax≥10%</w:t>
            </w:r>
          </w:p>
        </w:tc>
      </w:tr>
      <w:tr w:rsidR="00644456">
        <w:trPr>
          <w:cantSplit/>
          <w:jc w:val="center"/>
        </w:trPr>
        <w:tc>
          <w:tcPr>
            <w:tcW w:w="2500" w:type="pct"/>
            <w:shd w:val="clear" w:color="auto" w:fill="auto"/>
            <w:vAlign w:val="center"/>
          </w:tcPr>
          <w:p w:rsidR="00644456" w:rsidRDefault="008031C4">
            <w:pPr>
              <w:snapToGrid w:val="0"/>
              <w:jc w:val="center"/>
              <w:rPr>
                <w:rFonts w:cs="Times New Roman"/>
                <w:color w:val="000000" w:themeColor="text1"/>
                <w:szCs w:val="21"/>
              </w:rPr>
            </w:pPr>
            <w:r>
              <w:rPr>
                <w:rFonts w:cs="Times New Roman"/>
                <w:color w:val="000000" w:themeColor="text1"/>
                <w:szCs w:val="21"/>
              </w:rPr>
              <w:t>二级</w:t>
            </w:r>
          </w:p>
        </w:tc>
        <w:tc>
          <w:tcPr>
            <w:tcW w:w="2500" w:type="pct"/>
            <w:shd w:val="clear" w:color="auto" w:fill="auto"/>
            <w:vAlign w:val="center"/>
          </w:tcPr>
          <w:p w:rsidR="00644456" w:rsidRDefault="008031C4">
            <w:pPr>
              <w:snapToGrid w:val="0"/>
              <w:jc w:val="center"/>
              <w:rPr>
                <w:rFonts w:cs="Times New Roman"/>
                <w:color w:val="000000" w:themeColor="text1"/>
                <w:szCs w:val="21"/>
              </w:rPr>
            </w:pPr>
            <w:r>
              <w:rPr>
                <w:rFonts w:cs="Times New Roman"/>
                <w:color w:val="000000" w:themeColor="text1"/>
                <w:szCs w:val="21"/>
              </w:rPr>
              <w:t>1%≤Pmax</w:t>
            </w:r>
            <w:r>
              <w:rPr>
                <w:rFonts w:cs="Times New Roman"/>
                <w:color w:val="000000" w:themeColor="text1"/>
                <w:szCs w:val="21"/>
              </w:rPr>
              <w:t>＜</w:t>
            </w:r>
            <w:r>
              <w:rPr>
                <w:rFonts w:cs="Times New Roman"/>
                <w:color w:val="000000" w:themeColor="text1"/>
                <w:szCs w:val="21"/>
              </w:rPr>
              <w:t>10%</w:t>
            </w:r>
          </w:p>
        </w:tc>
      </w:tr>
      <w:tr w:rsidR="00644456">
        <w:trPr>
          <w:cantSplit/>
          <w:trHeight w:val="90"/>
          <w:jc w:val="center"/>
        </w:trPr>
        <w:tc>
          <w:tcPr>
            <w:tcW w:w="2500" w:type="pct"/>
            <w:shd w:val="clear" w:color="auto" w:fill="auto"/>
            <w:vAlign w:val="center"/>
          </w:tcPr>
          <w:p w:rsidR="00644456" w:rsidRDefault="008031C4">
            <w:pPr>
              <w:snapToGrid w:val="0"/>
              <w:jc w:val="center"/>
              <w:rPr>
                <w:rFonts w:cs="Times New Roman"/>
                <w:color w:val="000000" w:themeColor="text1"/>
                <w:szCs w:val="21"/>
              </w:rPr>
            </w:pPr>
            <w:r>
              <w:rPr>
                <w:rFonts w:cs="Times New Roman"/>
                <w:color w:val="000000" w:themeColor="text1"/>
                <w:szCs w:val="21"/>
              </w:rPr>
              <w:t>三级</w:t>
            </w:r>
          </w:p>
        </w:tc>
        <w:tc>
          <w:tcPr>
            <w:tcW w:w="2500" w:type="pct"/>
            <w:shd w:val="clear" w:color="auto" w:fill="auto"/>
            <w:vAlign w:val="center"/>
          </w:tcPr>
          <w:p w:rsidR="00644456" w:rsidRDefault="008031C4">
            <w:pPr>
              <w:snapToGrid w:val="0"/>
              <w:jc w:val="center"/>
              <w:rPr>
                <w:rFonts w:cs="Times New Roman"/>
                <w:color w:val="000000" w:themeColor="text1"/>
                <w:szCs w:val="21"/>
              </w:rPr>
            </w:pPr>
            <w:r>
              <w:rPr>
                <w:rFonts w:cs="Times New Roman"/>
                <w:color w:val="000000" w:themeColor="text1"/>
                <w:szCs w:val="21"/>
              </w:rPr>
              <w:t>Pmax</w:t>
            </w:r>
            <w:r>
              <w:rPr>
                <w:rFonts w:cs="Times New Roman"/>
                <w:color w:val="000000" w:themeColor="text1"/>
                <w:szCs w:val="21"/>
              </w:rPr>
              <w:t>＜</w:t>
            </w:r>
            <w:r>
              <w:rPr>
                <w:rFonts w:cs="Times New Roman"/>
                <w:color w:val="000000" w:themeColor="text1"/>
                <w:szCs w:val="21"/>
              </w:rPr>
              <w:t>1%</w:t>
            </w:r>
          </w:p>
        </w:tc>
      </w:tr>
    </w:tbl>
    <w:p w:rsidR="00644456" w:rsidRDefault="008031C4">
      <w:pPr>
        <w:pStyle w:val="-"/>
        <w:ind w:firstLine="480"/>
        <w:rPr>
          <w:rFonts w:cs="Times New Roman"/>
          <w:color w:val="000000" w:themeColor="text1"/>
        </w:rPr>
      </w:pPr>
      <w:r>
        <w:rPr>
          <w:rFonts w:cs="Times New Roman"/>
          <w:color w:val="000000" w:themeColor="text1"/>
        </w:rPr>
        <w:t>经计算，</w:t>
      </w:r>
      <w:r>
        <w:rPr>
          <w:rFonts w:cs="Times New Roman" w:hint="eastAsia"/>
          <w:color w:val="000000" w:themeColor="text1"/>
        </w:rPr>
        <w:t>根据预测结果可知，本项目大气环境影响评价工作等级确定为二级。</w:t>
      </w:r>
    </w:p>
    <w:p w:rsidR="00644456" w:rsidRDefault="008031C4">
      <w:pPr>
        <w:pStyle w:val="3"/>
        <w:numPr>
          <w:ilvl w:val="2"/>
          <w:numId w:val="0"/>
        </w:numPr>
        <w:ind w:firstLineChars="200" w:firstLine="482"/>
      </w:pPr>
      <w:r>
        <w:rPr>
          <w:rFonts w:hint="eastAsia"/>
        </w:rPr>
        <w:t>1.8.2</w:t>
      </w:r>
      <w:r>
        <w:t>地表水环境评价等级</w:t>
      </w:r>
    </w:p>
    <w:p w:rsidR="00644456" w:rsidRDefault="008031C4">
      <w:pPr>
        <w:pStyle w:val="-"/>
        <w:ind w:firstLine="480"/>
        <w:rPr>
          <w:rFonts w:cs="Times New Roman"/>
          <w:color w:val="000000" w:themeColor="text1"/>
        </w:rPr>
      </w:pPr>
      <w:r>
        <w:rPr>
          <w:rFonts w:cs="Times New Roman" w:hint="eastAsia"/>
          <w:color w:val="000000" w:themeColor="text1"/>
        </w:rPr>
        <w:t>本项目污废水经过厂区自建的污水处理设施处理后依托生态钢城污水处理厂处置，本项目废水应满足《污水综合排放标准》（</w:t>
      </w:r>
      <w:r>
        <w:rPr>
          <w:rFonts w:cs="Times New Roman" w:hint="eastAsia"/>
          <w:color w:val="000000" w:themeColor="text1"/>
        </w:rPr>
        <w:t>GB8978-1996</w:t>
      </w:r>
      <w:r>
        <w:rPr>
          <w:rFonts w:cs="Times New Roman" w:hint="eastAsia"/>
          <w:color w:val="000000" w:themeColor="text1"/>
        </w:rPr>
        <w:t>）表</w:t>
      </w:r>
      <w:r>
        <w:rPr>
          <w:rFonts w:cs="Times New Roman" w:hint="eastAsia"/>
          <w:color w:val="000000" w:themeColor="text1"/>
        </w:rPr>
        <w:t>4</w:t>
      </w:r>
      <w:r>
        <w:rPr>
          <w:rFonts w:cs="Times New Roman" w:hint="eastAsia"/>
          <w:color w:val="000000" w:themeColor="text1"/>
        </w:rPr>
        <w:t>的三级标准，同时应满足生态钢城污水处理厂的进水水质要求，污水处理厂出水满足《城镇污水处理厂污染物排放标准》（</w:t>
      </w:r>
      <w:r>
        <w:rPr>
          <w:rFonts w:cs="Times New Roman" w:hint="eastAsia"/>
          <w:color w:val="000000" w:themeColor="text1"/>
        </w:rPr>
        <w:t>GB18918-2002</w:t>
      </w:r>
      <w:r>
        <w:rPr>
          <w:rFonts w:cs="Times New Roman" w:hint="eastAsia"/>
          <w:color w:val="000000" w:themeColor="text1"/>
        </w:rPr>
        <w:t>）的一级</w:t>
      </w:r>
      <w:r>
        <w:rPr>
          <w:rFonts w:cs="Times New Roman" w:hint="eastAsia"/>
          <w:color w:val="000000" w:themeColor="text1"/>
        </w:rPr>
        <w:t>A</w:t>
      </w:r>
      <w:r>
        <w:rPr>
          <w:rFonts w:cs="Times New Roman" w:hint="eastAsia"/>
          <w:color w:val="000000" w:themeColor="text1"/>
        </w:rPr>
        <w:t>标准用于园区绿化，根据《环境影响评价技术导则—地表水环境》（</w:t>
      </w:r>
      <w:r>
        <w:rPr>
          <w:rFonts w:cs="Times New Roman" w:hint="eastAsia"/>
          <w:color w:val="000000" w:themeColor="text1"/>
        </w:rPr>
        <w:t>HJ/T2.3-2018</w:t>
      </w:r>
      <w:r>
        <w:rPr>
          <w:rFonts w:cs="Times New Roman" w:hint="eastAsia"/>
          <w:color w:val="000000" w:themeColor="text1"/>
        </w:rPr>
        <w:t>）第</w:t>
      </w:r>
      <w:r>
        <w:rPr>
          <w:rFonts w:cs="Times New Roman" w:hint="eastAsia"/>
          <w:color w:val="000000" w:themeColor="text1"/>
        </w:rPr>
        <w:t>5.2.2.2</w:t>
      </w:r>
      <w:r>
        <w:rPr>
          <w:rFonts w:cs="Times New Roman" w:hint="eastAsia"/>
          <w:color w:val="000000" w:themeColor="text1"/>
        </w:rPr>
        <w:t>条“间接排放建设项目评价等级为三级</w:t>
      </w:r>
      <w:r>
        <w:rPr>
          <w:rFonts w:cs="Times New Roman" w:hint="eastAsia"/>
          <w:color w:val="000000" w:themeColor="text1"/>
        </w:rPr>
        <w:t>B</w:t>
      </w:r>
      <w:r>
        <w:rPr>
          <w:rFonts w:cs="Times New Roman" w:hint="eastAsia"/>
          <w:color w:val="000000" w:themeColor="text1"/>
        </w:rPr>
        <w:t>”。</w:t>
      </w:r>
    </w:p>
    <w:p w:rsidR="00644456" w:rsidRDefault="008031C4">
      <w:pPr>
        <w:pStyle w:val="-"/>
        <w:ind w:firstLine="480"/>
        <w:rPr>
          <w:rFonts w:cs="Times New Roman"/>
          <w:color w:val="000000" w:themeColor="text1"/>
        </w:rPr>
      </w:pPr>
      <w:r>
        <w:rPr>
          <w:rFonts w:cs="Times New Roman" w:hint="eastAsia"/>
          <w:color w:val="000000" w:themeColor="text1"/>
        </w:rPr>
        <w:t>本项目废水排放方式属于间接排放，则本次评价中地表水评价等级为三级</w:t>
      </w:r>
      <w:r>
        <w:rPr>
          <w:rFonts w:cs="Times New Roman" w:hint="eastAsia"/>
          <w:color w:val="000000" w:themeColor="text1"/>
        </w:rPr>
        <w:t>B</w:t>
      </w:r>
      <w:r>
        <w:rPr>
          <w:rFonts w:cs="Times New Roman" w:hint="eastAsia"/>
          <w:color w:val="000000" w:themeColor="text1"/>
        </w:rPr>
        <w:t>。</w:t>
      </w:r>
      <w:r>
        <w:rPr>
          <w:rFonts w:cs="Times New Roman"/>
          <w:color w:val="000000" w:themeColor="text1"/>
        </w:rPr>
        <w:t>评价等级判别依据见下表。</w:t>
      </w:r>
    </w:p>
    <w:p w:rsidR="00644456" w:rsidRDefault="008031C4">
      <w:pPr>
        <w:pStyle w:val="af4"/>
        <w:jc w:val="center"/>
        <w:rPr>
          <w:rFonts w:ascii="Times New Roman" w:eastAsia="宋体" w:hAnsi="Times New Roman" w:cs="Times New Roman"/>
          <w:b/>
          <w:color w:val="000000" w:themeColor="text1"/>
          <w:sz w:val="24"/>
        </w:rPr>
      </w:pPr>
      <w:bookmarkStart w:id="68" w:name="_Ref67426576"/>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fldChar w:fldCharType="begin"/>
      </w:r>
      <w:r>
        <w:rPr>
          <w:rFonts w:ascii="Times New Roman" w:eastAsia="宋体" w:hAnsi="Times New Roman" w:cs="Times New Roman" w:hint="eastAsia"/>
          <w:b/>
          <w:color w:val="000000" w:themeColor="text1"/>
          <w:sz w:val="24"/>
        </w:rPr>
        <w:instrText xml:space="preserve"> STYLEREF 1 \s </w:instrText>
      </w:r>
      <w:r>
        <w:rPr>
          <w:rFonts w:ascii="Times New Roman" w:eastAsia="宋体" w:hAnsi="Times New Roman" w:cs="Times New Roman" w:hint="eastAsia"/>
          <w:b/>
          <w:color w:val="000000" w:themeColor="text1"/>
          <w:sz w:val="24"/>
        </w:rPr>
        <w:fldChar w:fldCharType="separate"/>
      </w:r>
      <w:r>
        <w:rPr>
          <w:rFonts w:ascii="Times New Roman" w:eastAsia="宋体" w:hAnsi="Times New Roman" w:cs="Times New Roman" w:hint="eastAsia"/>
          <w:b/>
          <w:color w:val="000000" w:themeColor="text1"/>
          <w:sz w:val="24"/>
        </w:rPr>
        <w:t>1</w:t>
      </w:r>
      <w:r>
        <w:rPr>
          <w:rFonts w:ascii="Times New Roman" w:eastAsia="宋体" w:hAnsi="Times New Roman" w:cs="Times New Roman" w:hint="eastAsia"/>
          <w:b/>
          <w:color w:val="000000" w:themeColor="text1"/>
          <w:sz w:val="24"/>
        </w:rPr>
        <w:fldChar w:fldCharType="end"/>
      </w:r>
      <w:r>
        <w:rPr>
          <w:rFonts w:ascii="Times New Roman" w:eastAsia="宋体" w:hAnsi="Times New Roman" w:cs="Times New Roman" w:hint="eastAsia"/>
          <w:b/>
          <w:color w:val="000000" w:themeColor="text1"/>
          <w:sz w:val="24"/>
        </w:rPr>
        <w:t>.8</w:t>
      </w:r>
      <w:r>
        <w:rPr>
          <w:rFonts w:ascii="Times New Roman" w:eastAsia="宋体" w:hAnsi="Times New Roman" w:cs="Times New Roman" w:hint="eastAsia"/>
          <w:b/>
          <w:color w:val="000000" w:themeColor="text1"/>
          <w:sz w:val="24"/>
        </w:rPr>
        <w:noBreakHyphen/>
      </w:r>
      <w:bookmarkEnd w:id="68"/>
      <w:r>
        <w:rPr>
          <w:rFonts w:ascii="Times New Roman" w:eastAsia="宋体" w:hAnsi="Times New Roman" w:cs="Times New Roman" w:hint="eastAsia"/>
          <w:b/>
          <w:color w:val="000000" w:themeColor="text1"/>
          <w:sz w:val="24"/>
        </w:rPr>
        <w:t>4</w:t>
      </w:r>
      <w:r>
        <w:rPr>
          <w:rFonts w:ascii="Times New Roman" w:eastAsia="宋体" w:hAnsi="Times New Roman" w:cs="Times New Roman" w:hint="eastAsia"/>
          <w:b/>
          <w:color w:val="000000" w:themeColor="text1"/>
          <w:sz w:val="24"/>
        </w:rPr>
        <w:t>水污染影响型建设项目评价等级判定表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603"/>
        <w:gridCol w:w="1299"/>
        <w:gridCol w:w="6044"/>
      </w:tblGrid>
      <w:tr w:rsidR="00644456">
        <w:trPr>
          <w:jc w:val="center"/>
        </w:trPr>
        <w:tc>
          <w:tcPr>
            <w:tcW w:w="896" w:type="pct"/>
            <w:vMerge w:val="restart"/>
            <w:shd w:val="clear" w:color="auto" w:fill="auto"/>
            <w:vAlign w:val="center"/>
          </w:tcPr>
          <w:p w:rsidR="00644456" w:rsidRDefault="008031C4">
            <w:pPr>
              <w:jc w:val="center"/>
              <w:rPr>
                <w:rFonts w:cs="Times New Roman"/>
                <w:b/>
                <w:color w:val="000000" w:themeColor="text1"/>
                <w:szCs w:val="21"/>
              </w:rPr>
            </w:pPr>
            <w:r>
              <w:rPr>
                <w:rFonts w:cs="Times New Roman"/>
                <w:b/>
                <w:color w:val="000000" w:themeColor="text1"/>
                <w:szCs w:val="21"/>
              </w:rPr>
              <w:t>评价等级</w:t>
            </w:r>
          </w:p>
        </w:tc>
        <w:tc>
          <w:tcPr>
            <w:tcW w:w="4104" w:type="pct"/>
            <w:gridSpan w:val="2"/>
            <w:shd w:val="clear" w:color="auto" w:fill="auto"/>
            <w:vAlign w:val="center"/>
          </w:tcPr>
          <w:p w:rsidR="00644456" w:rsidRDefault="008031C4">
            <w:pPr>
              <w:jc w:val="center"/>
              <w:rPr>
                <w:rFonts w:cs="Times New Roman"/>
                <w:b/>
                <w:color w:val="000000" w:themeColor="text1"/>
                <w:szCs w:val="21"/>
              </w:rPr>
            </w:pPr>
            <w:r>
              <w:rPr>
                <w:rFonts w:cs="Times New Roman"/>
                <w:b/>
                <w:color w:val="000000" w:themeColor="text1"/>
                <w:szCs w:val="21"/>
              </w:rPr>
              <w:t>判定依据</w:t>
            </w:r>
          </w:p>
        </w:tc>
      </w:tr>
      <w:tr w:rsidR="00644456">
        <w:trPr>
          <w:jc w:val="center"/>
        </w:trPr>
        <w:tc>
          <w:tcPr>
            <w:tcW w:w="896" w:type="pct"/>
            <w:vMerge/>
            <w:shd w:val="clear" w:color="auto" w:fill="auto"/>
            <w:vAlign w:val="center"/>
          </w:tcPr>
          <w:p w:rsidR="00644456" w:rsidRDefault="00644456">
            <w:pPr>
              <w:widowControl/>
              <w:jc w:val="center"/>
              <w:rPr>
                <w:rFonts w:cs="Times New Roman"/>
                <w:b/>
                <w:color w:val="000000" w:themeColor="text1"/>
                <w:szCs w:val="21"/>
              </w:rPr>
            </w:pPr>
          </w:p>
        </w:tc>
        <w:tc>
          <w:tcPr>
            <w:tcW w:w="726" w:type="pct"/>
            <w:shd w:val="clear" w:color="auto" w:fill="auto"/>
            <w:vAlign w:val="center"/>
          </w:tcPr>
          <w:p w:rsidR="00644456" w:rsidRDefault="008031C4">
            <w:pPr>
              <w:jc w:val="center"/>
              <w:rPr>
                <w:rFonts w:cs="Times New Roman"/>
                <w:b/>
                <w:color w:val="000000" w:themeColor="text1"/>
                <w:szCs w:val="21"/>
              </w:rPr>
            </w:pPr>
            <w:r>
              <w:rPr>
                <w:rFonts w:cs="Times New Roman"/>
                <w:b/>
                <w:color w:val="000000" w:themeColor="text1"/>
                <w:szCs w:val="21"/>
              </w:rPr>
              <w:t>排放方式</w:t>
            </w:r>
          </w:p>
        </w:tc>
        <w:tc>
          <w:tcPr>
            <w:tcW w:w="3378" w:type="pct"/>
            <w:shd w:val="clear" w:color="auto" w:fill="auto"/>
            <w:vAlign w:val="center"/>
          </w:tcPr>
          <w:p w:rsidR="00644456" w:rsidRDefault="008031C4">
            <w:pPr>
              <w:jc w:val="center"/>
              <w:rPr>
                <w:rFonts w:cs="Times New Roman"/>
                <w:b/>
                <w:color w:val="000000" w:themeColor="text1"/>
                <w:szCs w:val="21"/>
              </w:rPr>
            </w:pPr>
            <w:r>
              <w:rPr>
                <w:rFonts w:cs="Times New Roman"/>
                <w:b/>
                <w:color w:val="000000" w:themeColor="text1"/>
                <w:szCs w:val="21"/>
              </w:rPr>
              <w:t>废水排放量</w:t>
            </w:r>
            <w:r>
              <w:rPr>
                <w:rFonts w:cs="Times New Roman"/>
                <w:b/>
                <w:color w:val="000000" w:themeColor="text1"/>
                <w:szCs w:val="21"/>
              </w:rPr>
              <w:t>Q/</w:t>
            </w:r>
            <w:r>
              <w:rPr>
                <w:rFonts w:cs="Times New Roman"/>
                <w:b/>
                <w:color w:val="000000" w:themeColor="text1"/>
                <w:szCs w:val="21"/>
              </w:rPr>
              <w:t>（</w:t>
            </w:r>
            <w:r>
              <w:rPr>
                <w:rFonts w:cs="Times New Roman"/>
                <w:b/>
                <w:color w:val="000000" w:themeColor="text1"/>
                <w:szCs w:val="21"/>
              </w:rPr>
              <w:t>m</w:t>
            </w:r>
            <w:r>
              <w:rPr>
                <w:rFonts w:cs="Times New Roman"/>
                <w:b/>
                <w:color w:val="000000" w:themeColor="text1"/>
                <w:szCs w:val="21"/>
                <w:vertAlign w:val="superscript"/>
              </w:rPr>
              <w:t>3</w:t>
            </w:r>
            <w:r>
              <w:rPr>
                <w:rFonts w:cs="Times New Roman"/>
                <w:b/>
                <w:color w:val="000000" w:themeColor="text1"/>
                <w:szCs w:val="21"/>
              </w:rPr>
              <w:t>/d</w:t>
            </w:r>
            <w:r>
              <w:rPr>
                <w:rFonts w:cs="Times New Roman"/>
                <w:b/>
                <w:color w:val="000000" w:themeColor="text1"/>
                <w:szCs w:val="21"/>
              </w:rPr>
              <w:t>）；水污染物当量数</w:t>
            </w:r>
            <w:r>
              <w:rPr>
                <w:rFonts w:cs="Times New Roman"/>
                <w:b/>
                <w:color w:val="000000" w:themeColor="text1"/>
                <w:szCs w:val="21"/>
              </w:rPr>
              <w:t>W</w:t>
            </w:r>
            <w:r>
              <w:rPr>
                <w:rFonts w:cs="Times New Roman"/>
                <w:b/>
                <w:color w:val="000000" w:themeColor="text1"/>
                <w:szCs w:val="21"/>
              </w:rPr>
              <w:t>、（无量纲）</w:t>
            </w:r>
          </w:p>
        </w:tc>
      </w:tr>
      <w:tr w:rsidR="00644456">
        <w:trPr>
          <w:jc w:val="center"/>
        </w:trPr>
        <w:tc>
          <w:tcPr>
            <w:tcW w:w="896" w:type="pct"/>
            <w:shd w:val="clear" w:color="auto" w:fill="auto"/>
            <w:vAlign w:val="center"/>
          </w:tcPr>
          <w:p w:rsidR="00644456" w:rsidRDefault="008031C4">
            <w:pPr>
              <w:jc w:val="center"/>
              <w:rPr>
                <w:rFonts w:cs="Times New Roman"/>
                <w:color w:val="000000" w:themeColor="text1"/>
                <w:szCs w:val="21"/>
              </w:rPr>
            </w:pPr>
            <w:r>
              <w:rPr>
                <w:rFonts w:cs="Times New Roman"/>
                <w:color w:val="000000" w:themeColor="text1"/>
                <w:szCs w:val="21"/>
              </w:rPr>
              <w:t>一级</w:t>
            </w:r>
          </w:p>
        </w:tc>
        <w:tc>
          <w:tcPr>
            <w:tcW w:w="726" w:type="pct"/>
            <w:shd w:val="clear" w:color="auto" w:fill="auto"/>
            <w:vAlign w:val="center"/>
          </w:tcPr>
          <w:p w:rsidR="00644456" w:rsidRDefault="008031C4">
            <w:pPr>
              <w:jc w:val="center"/>
              <w:rPr>
                <w:rFonts w:cs="Times New Roman"/>
                <w:color w:val="000000" w:themeColor="text1"/>
                <w:szCs w:val="21"/>
              </w:rPr>
            </w:pPr>
            <w:r>
              <w:rPr>
                <w:rFonts w:cs="Times New Roman"/>
                <w:color w:val="000000" w:themeColor="text1"/>
                <w:szCs w:val="21"/>
              </w:rPr>
              <w:t>直接排放</w:t>
            </w:r>
          </w:p>
        </w:tc>
        <w:tc>
          <w:tcPr>
            <w:tcW w:w="3378" w:type="pct"/>
            <w:shd w:val="clear" w:color="auto" w:fill="auto"/>
            <w:vAlign w:val="center"/>
          </w:tcPr>
          <w:p w:rsidR="00644456" w:rsidRDefault="008031C4">
            <w:pPr>
              <w:jc w:val="center"/>
              <w:rPr>
                <w:rFonts w:cs="Times New Roman"/>
                <w:color w:val="000000" w:themeColor="text1"/>
                <w:szCs w:val="21"/>
              </w:rPr>
            </w:pPr>
            <w:r>
              <w:rPr>
                <w:rFonts w:cs="Times New Roman"/>
                <w:color w:val="000000" w:themeColor="text1"/>
                <w:szCs w:val="21"/>
              </w:rPr>
              <w:t>Q≥20000</w:t>
            </w:r>
            <w:r>
              <w:rPr>
                <w:rFonts w:cs="Times New Roman"/>
                <w:color w:val="000000" w:themeColor="text1"/>
                <w:szCs w:val="21"/>
              </w:rPr>
              <w:t>或</w:t>
            </w:r>
            <w:r>
              <w:rPr>
                <w:rFonts w:cs="Times New Roman"/>
                <w:color w:val="000000" w:themeColor="text1"/>
                <w:szCs w:val="21"/>
              </w:rPr>
              <w:t>W≥600000</w:t>
            </w:r>
          </w:p>
        </w:tc>
      </w:tr>
      <w:tr w:rsidR="00644456">
        <w:trPr>
          <w:jc w:val="center"/>
        </w:trPr>
        <w:tc>
          <w:tcPr>
            <w:tcW w:w="896" w:type="pct"/>
            <w:shd w:val="clear" w:color="auto" w:fill="auto"/>
            <w:vAlign w:val="center"/>
          </w:tcPr>
          <w:p w:rsidR="00644456" w:rsidRDefault="008031C4">
            <w:pPr>
              <w:jc w:val="center"/>
              <w:rPr>
                <w:rFonts w:cs="Times New Roman"/>
                <w:color w:val="000000" w:themeColor="text1"/>
                <w:szCs w:val="21"/>
              </w:rPr>
            </w:pPr>
            <w:r>
              <w:rPr>
                <w:rFonts w:cs="Times New Roman"/>
                <w:color w:val="000000" w:themeColor="text1"/>
                <w:szCs w:val="21"/>
              </w:rPr>
              <w:t>二级</w:t>
            </w:r>
          </w:p>
        </w:tc>
        <w:tc>
          <w:tcPr>
            <w:tcW w:w="726" w:type="pct"/>
            <w:shd w:val="clear" w:color="auto" w:fill="auto"/>
            <w:vAlign w:val="center"/>
          </w:tcPr>
          <w:p w:rsidR="00644456" w:rsidRDefault="008031C4">
            <w:pPr>
              <w:jc w:val="center"/>
              <w:rPr>
                <w:rFonts w:cs="Times New Roman"/>
                <w:color w:val="000000" w:themeColor="text1"/>
                <w:szCs w:val="21"/>
              </w:rPr>
            </w:pPr>
            <w:r>
              <w:rPr>
                <w:rFonts w:cs="Times New Roman"/>
                <w:color w:val="000000" w:themeColor="text1"/>
                <w:szCs w:val="21"/>
              </w:rPr>
              <w:t>直接排放</w:t>
            </w:r>
          </w:p>
        </w:tc>
        <w:tc>
          <w:tcPr>
            <w:tcW w:w="3378" w:type="pct"/>
            <w:shd w:val="clear" w:color="auto" w:fill="auto"/>
            <w:vAlign w:val="center"/>
          </w:tcPr>
          <w:p w:rsidR="00644456" w:rsidRDefault="008031C4">
            <w:pPr>
              <w:jc w:val="center"/>
              <w:rPr>
                <w:rFonts w:cs="Times New Roman"/>
                <w:color w:val="000000" w:themeColor="text1"/>
                <w:szCs w:val="21"/>
              </w:rPr>
            </w:pPr>
            <w:r>
              <w:rPr>
                <w:rFonts w:cs="Times New Roman"/>
                <w:color w:val="000000" w:themeColor="text1"/>
                <w:szCs w:val="21"/>
              </w:rPr>
              <w:t>其他</w:t>
            </w:r>
          </w:p>
        </w:tc>
      </w:tr>
      <w:tr w:rsidR="00644456">
        <w:trPr>
          <w:jc w:val="center"/>
        </w:trPr>
        <w:tc>
          <w:tcPr>
            <w:tcW w:w="896" w:type="pct"/>
            <w:shd w:val="clear" w:color="auto" w:fill="auto"/>
            <w:vAlign w:val="center"/>
          </w:tcPr>
          <w:p w:rsidR="00644456" w:rsidRDefault="008031C4">
            <w:pPr>
              <w:jc w:val="center"/>
              <w:rPr>
                <w:rFonts w:cs="Times New Roman"/>
                <w:color w:val="000000" w:themeColor="text1"/>
                <w:szCs w:val="21"/>
              </w:rPr>
            </w:pPr>
            <w:r>
              <w:rPr>
                <w:rFonts w:cs="Times New Roman"/>
                <w:color w:val="000000" w:themeColor="text1"/>
                <w:szCs w:val="21"/>
              </w:rPr>
              <w:t>三级</w:t>
            </w:r>
            <w:r>
              <w:rPr>
                <w:rFonts w:cs="Times New Roman"/>
                <w:color w:val="000000" w:themeColor="text1"/>
                <w:szCs w:val="21"/>
              </w:rPr>
              <w:t>A</w:t>
            </w:r>
          </w:p>
        </w:tc>
        <w:tc>
          <w:tcPr>
            <w:tcW w:w="726" w:type="pct"/>
            <w:shd w:val="clear" w:color="auto" w:fill="auto"/>
            <w:vAlign w:val="center"/>
          </w:tcPr>
          <w:p w:rsidR="00644456" w:rsidRDefault="008031C4">
            <w:pPr>
              <w:jc w:val="center"/>
              <w:rPr>
                <w:rFonts w:cs="Times New Roman"/>
                <w:color w:val="000000" w:themeColor="text1"/>
                <w:szCs w:val="21"/>
              </w:rPr>
            </w:pPr>
            <w:r>
              <w:rPr>
                <w:rFonts w:cs="Times New Roman"/>
                <w:color w:val="000000" w:themeColor="text1"/>
                <w:szCs w:val="21"/>
              </w:rPr>
              <w:t>直接排放</w:t>
            </w:r>
          </w:p>
        </w:tc>
        <w:tc>
          <w:tcPr>
            <w:tcW w:w="3378" w:type="pct"/>
            <w:shd w:val="clear" w:color="auto" w:fill="auto"/>
            <w:vAlign w:val="center"/>
          </w:tcPr>
          <w:p w:rsidR="00644456" w:rsidRDefault="008031C4">
            <w:pPr>
              <w:jc w:val="center"/>
              <w:rPr>
                <w:rFonts w:cs="Times New Roman"/>
                <w:color w:val="000000" w:themeColor="text1"/>
                <w:szCs w:val="21"/>
              </w:rPr>
            </w:pPr>
            <w:r>
              <w:rPr>
                <w:rFonts w:cs="Times New Roman"/>
                <w:color w:val="000000" w:themeColor="text1"/>
                <w:szCs w:val="21"/>
              </w:rPr>
              <w:t>Q</w:t>
            </w:r>
            <w:r>
              <w:rPr>
                <w:rFonts w:cs="Times New Roman"/>
                <w:color w:val="000000" w:themeColor="text1"/>
                <w:szCs w:val="21"/>
              </w:rPr>
              <w:t>＜</w:t>
            </w:r>
            <w:r>
              <w:rPr>
                <w:rFonts w:cs="Times New Roman"/>
                <w:color w:val="000000" w:themeColor="text1"/>
                <w:szCs w:val="21"/>
              </w:rPr>
              <w:t>200</w:t>
            </w:r>
            <w:r>
              <w:rPr>
                <w:rFonts w:cs="Times New Roman"/>
                <w:color w:val="000000" w:themeColor="text1"/>
                <w:szCs w:val="21"/>
              </w:rPr>
              <w:t>且</w:t>
            </w:r>
            <w:r>
              <w:rPr>
                <w:rFonts w:cs="Times New Roman"/>
                <w:color w:val="000000" w:themeColor="text1"/>
                <w:szCs w:val="21"/>
              </w:rPr>
              <w:t>W</w:t>
            </w:r>
            <w:r>
              <w:rPr>
                <w:rFonts w:cs="Times New Roman"/>
                <w:color w:val="000000" w:themeColor="text1"/>
                <w:szCs w:val="21"/>
              </w:rPr>
              <w:t>＜</w:t>
            </w:r>
            <w:r>
              <w:rPr>
                <w:rFonts w:cs="Times New Roman"/>
                <w:color w:val="000000" w:themeColor="text1"/>
                <w:szCs w:val="21"/>
              </w:rPr>
              <w:t>6000</w:t>
            </w:r>
          </w:p>
        </w:tc>
      </w:tr>
      <w:tr w:rsidR="00644456">
        <w:trPr>
          <w:jc w:val="center"/>
        </w:trPr>
        <w:tc>
          <w:tcPr>
            <w:tcW w:w="896" w:type="pct"/>
            <w:shd w:val="clear" w:color="auto" w:fill="D8D8D8" w:themeFill="background1" w:themeFillShade="D8"/>
            <w:vAlign w:val="center"/>
          </w:tcPr>
          <w:p w:rsidR="00644456" w:rsidRDefault="008031C4">
            <w:pPr>
              <w:jc w:val="center"/>
              <w:rPr>
                <w:rFonts w:cs="Times New Roman"/>
                <w:b/>
                <w:bCs/>
                <w:color w:val="000000" w:themeColor="text1"/>
                <w:szCs w:val="21"/>
              </w:rPr>
            </w:pPr>
            <w:r>
              <w:rPr>
                <w:rFonts w:cs="Times New Roman"/>
                <w:b/>
                <w:bCs/>
                <w:color w:val="000000" w:themeColor="text1"/>
                <w:szCs w:val="21"/>
              </w:rPr>
              <w:t>三级</w:t>
            </w:r>
            <w:r>
              <w:rPr>
                <w:rFonts w:cs="Times New Roman"/>
                <w:b/>
                <w:bCs/>
                <w:color w:val="000000" w:themeColor="text1"/>
                <w:szCs w:val="21"/>
              </w:rPr>
              <w:t>B</w:t>
            </w:r>
          </w:p>
        </w:tc>
        <w:tc>
          <w:tcPr>
            <w:tcW w:w="726" w:type="pct"/>
            <w:shd w:val="clear" w:color="auto" w:fill="D8D8D8" w:themeFill="background1" w:themeFillShade="D8"/>
            <w:vAlign w:val="center"/>
          </w:tcPr>
          <w:p w:rsidR="00644456" w:rsidRDefault="008031C4">
            <w:pPr>
              <w:jc w:val="center"/>
              <w:rPr>
                <w:rFonts w:cs="Times New Roman"/>
                <w:b/>
                <w:bCs/>
                <w:color w:val="000000" w:themeColor="text1"/>
                <w:szCs w:val="21"/>
              </w:rPr>
            </w:pPr>
            <w:r>
              <w:rPr>
                <w:rFonts w:cs="Times New Roman"/>
                <w:b/>
                <w:bCs/>
                <w:color w:val="000000" w:themeColor="text1"/>
                <w:szCs w:val="21"/>
              </w:rPr>
              <w:t>间接排放</w:t>
            </w:r>
          </w:p>
        </w:tc>
        <w:tc>
          <w:tcPr>
            <w:tcW w:w="3378" w:type="pct"/>
            <w:shd w:val="clear" w:color="auto" w:fill="D8D8D8" w:themeFill="background1" w:themeFillShade="D8"/>
            <w:vAlign w:val="center"/>
          </w:tcPr>
          <w:p w:rsidR="00644456" w:rsidRDefault="008031C4">
            <w:pPr>
              <w:jc w:val="center"/>
              <w:rPr>
                <w:rFonts w:cs="Times New Roman"/>
                <w:b/>
                <w:bCs/>
                <w:color w:val="000000" w:themeColor="text1"/>
                <w:szCs w:val="21"/>
              </w:rPr>
            </w:pPr>
            <w:r>
              <w:rPr>
                <w:rFonts w:cs="Times New Roman"/>
                <w:b/>
                <w:bCs/>
                <w:color w:val="000000" w:themeColor="text1"/>
                <w:szCs w:val="21"/>
              </w:rPr>
              <w:t>/</w:t>
            </w:r>
          </w:p>
        </w:tc>
      </w:tr>
      <w:tr w:rsidR="00644456">
        <w:trPr>
          <w:jc w:val="center"/>
        </w:trPr>
        <w:tc>
          <w:tcPr>
            <w:tcW w:w="5000" w:type="pct"/>
            <w:gridSpan w:val="3"/>
            <w:shd w:val="clear" w:color="auto" w:fill="auto"/>
            <w:vAlign w:val="center"/>
          </w:tcPr>
          <w:p w:rsidR="00644456" w:rsidRDefault="008031C4">
            <w:pPr>
              <w:jc w:val="left"/>
              <w:rPr>
                <w:rFonts w:cs="Times New Roman"/>
                <w:color w:val="000000" w:themeColor="text1"/>
                <w:sz w:val="18"/>
                <w:szCs w:val="18"/>
              </w:rPr>
            </w:pPr>
            <w:r>
              <w:rPr>
                <w:rFonts w:cs="Times New Roman"/>
                <w:color w:val="000000" w:themeColor="text1"/>
                <w:sz w:val="18"/>
                <w:szCs w:val="18"/>
              </w:rPr>
              <w:t>注</w:t>
            </w:r>
            <w:r>
              <w:rPr>
                <w:rFonts w:cs="Times New Roman"/>
                <w:color w:val="000000" w:themeColor="text1"/>
                <w:sz w:val="18"/>
                <w:szCs w:val="18"/>
              </w:rPr>
              <w:t>1</w:t>
            </w:r>
            <w:r>
              <w:rPr>
                <w:rFonts w:cs="Times New Roman"/>
                <w:color w:val="000000" w:themeColor="text1"/>
                <w:sz w:val="18"/>
                <w:szCs w:val="18"/>
              </w:rPr>
              <w:t>：水污染物当量数等于该污染物的年排放量除以该污染物的污染当量值，计算排放污染物的污染物当量数，应区分第一类水污染物和其他类水污染物，统计第一类污染物当量数总和，然后与其他类污染物按照污染物当量从大到小排序，取最大当量数作为建设项目评价等级确定的依据。</w:t>
            </w:r>
          </w:p>
          <w:p w:rsidR="00644456" w:rsidRDefault="008031C4">
            <w:pPr>
              <w:jc w:val="left"/>
              <w:rPr>
                <w:rFonts w:cs="Times New Roman"/>
                <w:color w:val="000000" w:themeColor="text1"/>
                <w:sz w:val="18"/>
                <w:szCs w:val="18"/>
              </w:rPr>
            </w:pPr>
            <w:r>
              <w:rPr>
                <w:rFonts w:cs="Times New Roman"/>
                <w:color w:val="000000" w:themeColor="text1"/>
                <w:sz w:val="18"/>
                <w:szCs w:val="18"/>
              </w:rPr>
              <w:t>注</w:t>
            </w:r>
            <w:r>
              <w:rPr>
                <w:rFonts w:cs="Times New Roman"/>
                <w:color w:val="000000" w:themeColor="text1"/>
                <w:sz w:val="18"/>
                <w:szCs w:val="18"/>
              </w:rPr>
              <w:t>2</w:t>
            </w:r>
            <w:r>
              <w:rPr>
                <w:rFonts w:cs="Times New Roman"/>
                <w:color w:val="000000" w:themeColor="text1"/>
                <w:sz w:val="18"/>
                <w:szCs w:val="18"/>
              </w:rPr>
              <w:t>：废水排放量按行业排放标准中规定的废水种类统计，没有相关行业排放标准要求的通过工程分析合理确定，应统计含热量大的冷却水的排放量，可不统计间歇冷却水，循环水以及其他含污染物极少的清净下水的排放量。</w:t>
            </w:r>
          </w:p>
          <w:p w:rsidR="00644456" w:rsidRDefault="008031C4">
            <w:pPr>
              <w:jc w:val="left"/>
              <w:rPr>
                <w:rFonts w:cs="Times New Roman"/>
                <w:color w:val="000000" w:themeColor="text1"/>
                <w:sz w:val="18"/>
                <w:szCs w:val="18"/>
              </w:rPr>
            </w:pPr>
            <w:r>
              <w:rPr>
                <w:rFonts w:cs="Times New Roman"/>
                <w:color w:val="000000" w:themeColor="text1"/>
                <w:sz w:val="18"/>
                <w:szCs w:val="18"/>
              </w:rPr>
              <w:t>注</w:t>
            </w:r>
            <w:r>
              <w:rPr>
                <w:rFonts w:cs="Times New Roman"/>
                <w:color w:val="000000" w:themeColor="text1"/>
                <w:sz w:val="18"/>
                <w:szCs w:val="18"/>
              </w:rPr>
              <w:t>3</w:t>
            </w:r>
            <w:r>
              <w:rPr>
                <w:rFonts w:cs="Times New Roman"/>
                <w:color w:val="000000" w:themeColor="text1"/>
                <w:sz w:val="18"/>
                <w:szCs w:val="18"/>
              </w:rPr>
              <w:t>：厂区存在堆积物（露天堆放的原料，燃料、废渣等以及垃圾堆放场）、降尘污染的，应将初期雨水纳入废水排放量，相应的主要污染物纳入水污染当量计算。</w:t>
            </w:r>
          </w:p>
          <w:p w:rsidR="00644456" w:rsidRDefault="008031C4">
            <w:pPr>
              <w:jc w:val="left"/>
              <w:rPr>
                <w:rFonts w:cs="Times New Roman"/>
                <w:color w:val="000000" w:themeColor="text1"/>
                <w:sz w:val="18"/>
                <w:szCs w:val="18"/>
              </w:rPr>
            </w:pPr>
            <w:r>
              <w:rPr>
                <w:rFonts w:cs="Times New Roman"/>
                <w:color w:val="000000" w:themeColor="text1"/>
                <w:sz w:val="18"/>
                <w:szCs w:val="18"/>
              </w:rPr>
              <w:t>注</w:t>
            </w:r>
            <w:r>
              <w:rPr>
                <w:rFonts w:cs="Times New Roman"/>
                <w:color w:val="000000" w:themeColor="text1"/>
                <w:sz w:val="18"/>
                <w:szCs w:val="18"/>
              </w:rPr>
              <w:t>4</w:t>
            </w:r>
            <w:r>
              <w:rPr>
                <w:rFonts w:cs="Times New Roman"/>
                <w:color w:val="000000" w:themeColor="text1"/>
                <w:sz w:val="18"/>
                <w:szCs w:val="18"/>
              </w:rPr>
              <w:t>：建设项目直接排放第一类污染物的，其评价等级为一级；建设项目直接排放的污染物为受纳水体超标因子的，评价等级不低于二级。</w:t>
            </w:r>
          </w:p>
          <w:p w:rsidR="00644456" w:rsidRDefault="008031C4">
            <w:pPr>
              <w:jc w:val="left"/>
              <w:rPr>
                <w:rFonts w:cs="Times New Roman"/>
                <w:color w:val="000000" w:themeColor="text1"/>
                <w:sz w:val="18"/>
                <w:szCs w:val="18"/>
              </w:rPr>
            </w:pPr>
            <w:r>
              <w:rPr>
                <w:rFonts w:cs="Times New Roman"/>
                <w:color w:val="000000" w:themeColor="text1"/>
                <w:sz w:val="18"/>
                <w:szCs w:val="18"/>
              </w:rPr>
              <w:t>注</w:t>
            </w:r>
            <w:r>
              <w:rPr>
                <w:rFonts w:cs="Times New Roman"/>
                <w:color w:val="000000" w:themeColor="text1"/>
                <w:sz w:val="18"/>
                <w:szCs w:val="18"/>
              </w:rPr>
              <w:t>5</w:t>
            </w:r>
            <w:r>
              <w:rPr>
                <w:rFonts w:cs="Times New Roman"/>
                <w:color w:val="000000" w:themeColor="text1"/>
                <w:sz w:val="18"/>
                <w:szCs w:val="18"/>
              </w:rPr>
              <w:t>：直接排放受纳水体影响范围涉及饮用水水源保护区、饮用水取水口、重点保护与珍稀水生生物的栖息地、重要水生生物的自然产卵场等保护目标时，评价等级不低于二级。</w:t>
            </w:r>
          </w:p>
          <w:p w:rsidR="00644456" w:rsidRDefault="008031C4">
            <w:pPr>
              <w:jc w:val="left"/>
              <w:rPr>
                <w:rFonts w:cs="Times New Roman"/>
                <w:color w:val="000000" w:themeColor="text1"/>
                <w:sz w:val="18"/>
                <w:szCs w:val="18"/>
              </w:rPr>
            </w:pPr>
            <w:r>
              <w:rPr>
                <w:rFonts w:cs="Times New Roman"/>
                <w:color w:val="000000" w:themeColor="text1"/>
                <w:sz w:val="18"/>
                <w:szCs w:val="18"/>
              </w:rPr>
              <w:t>注</w:t>
            </w:r>
            <w:r>
              <w:rPr>
                <w:rFonts w:cs="Times New Roman"/>
                <w:color w:val="000000" w:themeColor="text1"/>
                <w:sz w:val="18"/>
                <w:szCs w:val="18"/>
              </w:rPr>
              <w:t>6</w:t>
            </w:r>
            <w:r>
              <w:rPr>
                <w:rFonts w:cs="Times New Roman"/>
                <w:color w:val="000000" w:themeColor="text1"/>
                <w:sz w:val="18"/>
                <w:szCs w:val="18"/>
              </w:rPr>
              <w:t>：建设项目向河流、湖库排放温排水引起</w:t>
            </w:r>
            <w:r>
              <w:rPr>
                <w:rFonts w:cs="Times New Roman" w:hint="eastAsia"/>
                <w:color w:val="000000" w:themeColor="text1"/>
                <w:sz w:val="18"/>
                <w:szCs w:val="18"/>
              </w:rPr>
              <w:t>受纳</w:t>
            </w:r>
            <w:r>
              <w:rPr>
                <w:rFonts w:cs="Times New Roman"/>
                <w:color w:val="000000" w:themeColor="text1"/>
                <w:sz w:val="18"/>
                <w:szCs w:val="18"/>
              </w:rPr>
              <w:t>水体水文变化超过水环境质量标准要求，且评价范围有水温敏感目标时，评价等级为一级。</w:t>
            </w:r>
          </w:p>
          <w:p w:rsidR="00644456" w:rsidRDefault="008031C4">
            <w:pPr>
              <w:jc w:val="left"/>
              <w:rPr>
                <w:rFonts w:cs="Times New Roman"/>
                <w:color w:val="000000" w:themeColor="text1"/>
                <w:sz w:val="18"/>
                <w:szCs w:val="18"/>
              </w:rPr>
            </w:pPr>
            <w:r>
              <w:rPr>
                <w:rFonts w:cs="Times New Roman"/>
                <w:color w:val="000000" w:themeColor="text1"/>
                <w:sz w:val="18"/>
                <w:szCs w:val="18"/>
              </w:rPr>
              <w:t>注</w:t>
            </w:r>
            <w:r>
              <w:rPr>
                <w:rFonts w:cs="Times New Roman"/>
                <w:color w:val="000000" w:themeColor="text1"/>
                <w:sz w:val="18"/>
                <w:szCs w:val="18"/>
              </w:rPr>
              <w:t>7</w:t>
            </w:r>
            <w:r>
              <w:rPr>
                <w:rFonts w:cs="Times New Roman"/>
                <w:color w:val="000000" w:themeColor="text1"/>
                <w:sz w:val="18"/>
                <w:szCs w:val="18"/>
              </w:rPr>
              <w:t>：建设项目利用海水</w:t>
            </w:r>
            <w:r>
              <w:rPr>
                <w:rFonts w:cs="Times New Roman" w:hint="eastAsia"/>
                <w:color w:val="000000" w:themeColor="text1"/>
                <w:sz w:val="18"/>
                <w:szCs w:val="18"/>
              </w:rPr>
              <w:t>未做</w:t>
            </w:r>
            <w:r>
              <w:rPr>
                <w:rFonts w:cs="Times New Roman"/>
                <w:color w:val="000000" w:themeColor="text1"/>
                <w:sz w:val="18"/>
                <w:szCs w:val="18"/>
              </w:rPr>
              <w:t>调节温度介质，排水</w:t>
            </w:r>
            <w:r>
              <w:rPr>
                <w:rFonts w:cs="Times New Roman"/>
                <w:color w:val="000000" w:themeColor="text1"/>
                <w:sz w:val="18"/>
                <w:szCs w:val="18"/>
              </w:rPr>
              <w:t>≥500</w:t>
            </w:r>
            <w:r>
              <w:rPr>
                <w:rFonts w:cs="Times New Roman"/>
                <w:color w:val="000000" w:themeColor="text1"/>
                <w:sz w:val="18"/>
                <w:szCs w:val="18"/>
              </w:rPr>
              <w:t>万</w:t>
            </w:r>
            <w:r>
              <w:rPr>
                <w:rFonts w:cs="Times New Roman"/>
                <w:color w:val="000000" w:themeColor="text1"/>
                <w:sz w:val="18"/>
                <w:szCs w:val="18"/>
              </w:rPr>
              <w:t>m</w:t>
            </w:r>
            <w:r>
              <w:rPr>
                <w:rFonts w:cs="Times New Roman"/>
                <w:color w:val="000000" w:themeColor="text1"/>
                <w:sz w:val="18"/>
                <w:szCs w:val="18"/>
                <w:vertAlign w:val="superscript"/>
              </w:rPr>
              <w:t>3</w:t>
            </w:r>
            <w:r>
              <w:rPr>
                <w:rFonts w:cs="Times New Roman"/>
                <w:color w:val="000000" w:themeColor="text1"/>
                <w:sz w:val="18"/>
                <w:szCs w:val="18"/>
              </w:rPr>
              <w:t>/d</w:t>
            </w:r>
            <w:r>
              <w:rPr>
                <w:rFonts w:cs="Times New Roman"/>
                <w:color w:val="000000" w:themeColor="text1"/>
                <w:sz w:val="18"/>
                <w:szCs w:val="18"/>
              </w:rPr>
              <w:t>，评价等级为一级排水量﹤</w:t>
            </w:r>
            <w:r>
              <w:rPr>
                <w:rFonts w:cs="Times New Roman"/>
                <w:color w:val="000000" w:themeColor="text1"/>
                <w:sz w:val="18"/>
                <w:szCs w:val="18"/>
              </w:rPr>
              <w:t>500</w:t>
            </w:r>
            <w:r>
              <w:rPr>
                <w:rFonts w:cs="Times New Roman"/>
                <w:color w:val="000000" w:themeColor="text1"/>
                <w:sz w:val="18"/>
                <w:szCs w:val="18"/>
              </w:rPr>
              <w:t>万</w:t>
            </w:r>
            <w:r>
              <w:rPr>
                <w:rFonts w:cs="Times New Roman"/>
                <w:color w:val="000000" w:themeColor="text1"/>
                <w:sz w:val="18"/>
                <w:szCs w:val="18"/>
              </w:rPr>
              <w:t>m</w:t>
            </w:r>
            <w:r>
              <w:rPr>
                <w:rFonts w:cs="Times New Roman"/>
                <w:color w:val="000000" w:themeColor="text1"/>
                <w:sz w:val="18"/>
                <w:szCs w:val="18"/>
                <w:vertAlign w:val="superscript"/>
              </w:rPr>
              <w:t>3</w:t>
            </w:r>
            <w:r>
              <w:rPr>
                <w:rFonts w:cs="Times New Roman"/>
                <w:color w:val="000000" w:themeColor="text1"/>
                <w:sz w:val="18"/>
                <w:szCs w:val="18"/>
              </w:rPr>
              <w:t>/d</w:t>
            </w:r>
            <w:r>
              <w:rPr>
                <w:rFonts w:cs="Times New Roman"/>
                <w:color w:val="000000" w:themeColor="text1"/>
                <w:sz w:val="18"/>
                <w:szCs w:val="18"/>
              </w:rPr>
              <w:t>，评价等级为二级。</w:t>
            </w:r>
          </w:p>
          <w:p w:rsidR="00644456" w:rsidRDefault="008031C4">
            <w:pPr>
              <w:jc w:val="left"/>
              <w:rPr>
                <w:rFonts w:cs="Times New Roman"/>
                <w:color w:val="000000" w:themeColor="text1"/>
                <w:sz w:val="18"/>
                <w:szCs w:val="18"/>
              </w:rPr>
            </w:pPr>
            <w:r>
              <w:rPr>
                <w:rFonts w:cs="Times New Roman"/>
                <w:color w:val="000000" w:themeColor="text1"/>
                <w:sz w:val="18"/>
                <w:szCs w:val="18"/>
              </w:rPr>
              <w:t>注</w:t>
            </w:r>
            <w:r>
              <w:rPr>
                <w:rFonts w:cs="Times New Roman"/>
                <w:color w:val="000000" w:themeColor="text1"/>
                <w:sz w:val="18"/>
                <w:szCs w:val="18"/>
              </w:rPr>
              <w:t>8</w:t>
            </w:r>
            <w:r>
              <w:rPr>
                <w:rFonts w:cs="Times New Roman"/>
                <w:color w:val="000000" w:themeColor="text1"/>
                <w:sz w:val="18"/>
                <w:szCs w:val="18"/>
              </w:rPr>
              <w:t>：仅涉及清净下水排放的，如其排水水质满足收纳水体水环境质量要求的，评价等级为三级</w:t>
            </w:r>
            <w:r>
              <w:rPr>
                <w:rFonts w:cs="Times New Roman"/>
                <w:color w:val="000000" w:themeColor="text1"/>
                <w:sz w:val="18"/>
                <w:szCs w:val="18"/>
              </w:rPr>
              <w:t>A</w:t>
            </w:r>
            <w:r>
              <w:rPr>
                <w:rFonts w:cs="Times New Roman"/>
                <w:color w:val="000000" w:themeColor="text1"/>
                <w:sz w:val="18"/>
                <w:szCs w:val="18"/>
              </w:rPr>
              <w:t>。</w:t>
            </w:r>
          </w:p>
          <w:p w:rsidR="00644456" w:rsidRDefault="008031C4">
            <w:pPr>
              <w:jc w:val="left"/>
              <w:rPr>
                <w:rFonts w:cs="Times New Roman"/>
                <w:color w:val="000000" w:themeColor="text1"/>
                <w:sz w:val="18"/>
                <w:szCs w:val="18"/>
              </w:rPr>
            </w:pPr>
            <w:r>
              <w:rPr>
                <w:rFonts w:cs="Times New Roman"/>
                <w:color w:val="000000" w:themeColor="text1"/>
                <w:sz w:val="18"/>
                <w:szCs w:val="18"/>
              </w:rPr>
              <w:lastRenderedPageBreak/>
              <w:t>注</w:t>
            </w:r>
            <w:r>
              <w:rPr>
                <w:rFonts w:cs="Times New Roman"/>
                <w:color w:val="000000" w:themeColor="text1"/>
                <w:sz w:val="18"/>
                <w:szCs w:val="18"/>
              </w:rPr>
              <w:t>9</w:t>
            </w:r>
            <w:r>
              <w:rPr>
                <w:rFonts w:cs="Times New Roman"/>
                <w:color w:val="000000" w:themeColor="text1"/>
                <w:sz w:val="18"/>
                <w:szCs w:val="18"/>
              </w:rPr>
              <w:t>：依托现有排放口，且对外环境未新增污染物的直接排放建设项目，评价等级参照间接排放，定位三级</w:t>
            </w:r>
            <w:r>
              <w:rPr>
                <w:rFonts w:cs="Times New Roman"/>
                <w:color w:val="000000" w:themeColor="text1"/>
                <w:sz w:val="18"/>
                <w:szCs w:val="18"/>
              </w:rPr>
              <w:t>B</w:t>
            </w:r>
            <w:r>
              <w:rPr>
                <w:rFonts w:cs="Times New Roman"/>
                <w:color w:val="000000" w:themeColor="text1"/>
                <w:sz w:val="18"/>
                <w:szCs w:val="18"/>
              </w:rPr>
              <w:t>。</w:t>
            </w:r>
          </w:p>
          <w:p w:rsidR="00644456" w:rsidRDefault="008031C4">
            <w:pPr>
              <w:jc w:val="left"/>
              <w:rPr>
                <w:rFonts w:cs="Times New Roman"/>
                <w:color w:val="000000" w:themeColor="text1"/>
                <w:szCs w:val="21"/>
              </w:rPr>
            </w:pPr>
            <w:r>
              <w:rPr>
                <w:rFonts w:cs="Times New Roman"/>
                <w:color w:val="000000" w:themeColor="text1"/>
                <w:sz w:val="18"/>
                <w:szCs w:val="18"/>
              </w:rPr>
              <w:t>注</w:t>
            </w:r>
            <w:r>
              <w:rPr>
                <w:rFonts w:cs="Times New Roman"/>
                <w:color w:val="000000" w:themeColor="text1"/>
                <w:sz w:val="18"/>
                <w:szCs w:val="18"/>
              </w:rPr>
              <w:t>10</w:t>
            </w:r>
            <w:r>
              <w:rPr>
                <w:rFonts w:cs="Times New Roman"/>
                <w:color w:val="000000" w:themeColor="text1"/>
                <w:sz w:val="18"/>
                <w:szCs w:val="18"/>
              </w:rPr>
              <w:t>：建设项目生产工艺中有废水产生，但作为回水利用，不排放到外环境的，按三级</w:t>
            </w:r>
            <w:r>
              <w:rPr>
                <w:rFonts w:cs="Times New Roman"/>
                <w:color w:val="000000" w:themeColor="text1"/>
                <w:sz w:val="18"/>
                <w:szCs w:val="18"/>
              </w:rPr>
              <w:t>B</w:t>
            </w:r>
            <w:r>
              <w:rPr>
                <w:rFonts w:cs="Times New Roman"/>
                <w:color w:val="000000" w:themeColor="text1"/>
                <w:sz w:val="18"/>
                <w:szCs w:val="18"/>
              </w:rPr>
              <w:t>评价。</w:t>
            </w:r>
          </w:p>
        </w:tc>
      </w:tr>
    </w:tbl>
    <w:p w:rsidR="00644456" w:rsidRDefault="008031C4">
      <w:pPr>
        <w:pStyle w:val="3"/>
        <w:numPr>
          <w:ilvl w:val="2"/>
          <w:numId w:val="0"/>
        </w:numPr>
        <w:ind w:firstLineChars="200" w:firstLine="482"/>
      </w:pPr>
      <w:r>
        <w:rPr>
          <w:rFonts w:hint="eastAsia"/>
        </w:rPr>
        <w:lastRenderedPageBreak/>
        <w:t>1.8.3</w:t>
      </w:r>
      <w:r>
        <w:t>地下水环境评价等级</w:t>
      </w:r>
    </w:p>
    <w:p w:rsidR="00644456" w:rsidRDefault="008031C4">
      <w:pPr>
        <w:pStyle w:val="afffff2"/>
        <w:spacing w:after="0"/>
        <w:ind w:firstLine="480"/>
        <w:rPr>
          <w:rFonts w:cs="Times New Roman"/>
          <w:color w:val="000000" w:themeColor="text1"/>
        </w:rPr>
      </w:pPr>
      <w:bookmarkStart w:id="69" w:name="_Toc4361"/>
      <w:bookmarkStart w:id="70" w:name="_Toc6475"/>
      <w:r>
        <w:rPr>
          <w:rFonts w:cs="Times New Roman"/>
          <w:color w:val="000000" w:themeColor="text1"/>
        </w:rPr>
        <w:t>根据建设项目对地下水环境影响程度，结合《建设项目环境影响评价分类管理名录》，将建设项目分为四类，其中</w:t>
      </w:r>
      <w:r>
        <w:rPr>
          <w:rFonts w:cs="Times New Roman"/>
          <w:color w:val="000000" w:themeColor="text1"/>
        </w:rPr>
        <w:t>I</w:t>
      </w:r>
      <w:r>
        <w:rPr>
          <w:rFonts w:cs="Times New Roman"/>
          <w:color w:val="000000" w:themeColor="text1"/>
        </w:rPr>
        <w:t>类、</w:t>
      </w:r>
      <w:r>
        <w:rPr>
          <w:rFonts w:cs="Times New Roman" w:hint="eastAsia"/>
          <w:color w:val="000000" w:themeColor="text1"/>
        </w:rPr>
        <w:t>Ⅱ类</w:t>
      </w:r>
      <w:r>
        <w:rPr>
          <w:rFonts w:cs="Times New Roman"/>
          <w:color w:val="000000" w:themeColor="text1"/>
        </w:rPr>
        <w:t>及</w:t>
      </w:r>
      <w:r>
        <w:rPr>
          <w:rFonts w:cs="Times New Roman"/>
          <w:color w:val="000000" w:themeColor="text1"/>
        </w:rPr>
        <w:t>III</w:t>
      </w:r>
      <w:r>
        <w:rPr>
          <w:rFonts w:cs="Times New Roman"/>
          <w:color w:val="000000" w:themeColor="text1"/>
        </w:rPr>
        <w:t>类建设项目的地下水环境影响评价应执行本标准，</w:t>
      </w:r>
      <w:r>
        <w:rPr>
          <w:rFonts w:cs="Times New Roman" w:hint="eastAsia"/>
          <w:color w:val="000000" w:themeColor="text1"/>
        </w:rPr>
        <w:t>Ⅳ类</w:t>
      </w:r>
      <w:r>
        <w:rPr>
          <w:rFonts w:cs="Times New Roman"/>
          <w:color w:val="000000" w:themeColor="text1"/>
        </w:rPr>
        <w:t>建设项目不开展地下水环境影响评价，分类详见《环境影响评价技术导则</w:t>
      </w:r>
      <w:r>
        <w:rPr>
          <w:rFonts w:cs="Times New Roman"/>
          <w:color w:val="000000" w:themeColor="text1"/>
        </w:rPr>
        <w:t>-</w:t>
      </w:r>
      <w:r>
        <w:rPr>
          <w:rFonts w:cs="Times New Roman"/>
          <w:color w:val="000000" w:themeColor="text1"/>
        </w:rPr>
        <w:t>地下水环境》（</w:t>
      </w:r>
      <w:r>
        <w:rPr>
          <w:rFonts w:cs="Times New Roman"/>
          <w:color w:val="000000" w:themeColor="text1"/>
        </w:rPr>
        <w:t>HJ610-2016</w:t>
      </w:r>
      <w:r>
        <w:rPr>
          <w:rFonts w:cs="Times New Roman"/>
          <w:color w:val="000000" w:themeColor="text1"/>
        </w:rPr>
        <w:t>）附录</w:t>
      </w:r>
      <w:r>
        <w:rPr>
          <w:rFonts w:cs="Times New Roman"/>
          <w:color w:val="000000" w:themeColor="text1"/>
        </w:rPr>
        <w:t>A</w:t>
      </w:r>
      <w:r>
        <w:rPr>
          <w:rFonts w:cs="Times New Roman"/>
          <w:color w:val="000000" w:themeColor="text1"/>
        </w:rPr>
        <w:t>（以下简称附录</w:t>
      </w:r>
      <w:r>
        <w:rPr>
          <w:rFonts w:cs="Times New Roman"/>
          <w:color w:val="000000" w:themeColor="text1"/>
        </w:rPr>
        <w:t>A</w:t>
      </w:r>
      <w:r>
        <w:rPr>
          <w:rFonts w:cs="Times New Roman"/>
          <w:color w:val="000000" w:themeColor="text1"/>
        </w:rPr>
        <w:t>）。建设项目地下水环境影响评价等级划分应根据建设项目行业分类和地下水环境敏感程度进行判定。</w:t>
      </w:r>
    </w:p>
    <w:p w:rsidR="00644456" w:rsidRDefault="008031C4">
      <w:pPr>
        <w:pStyle w:val="afffff2"/>
        <w:spacing w:after="0"/>
        <w:ind w:firstLine="482"/>
        <w:rPr>
          <w:rFonts w:cs="Times New Roman"/>
          <w:color w:val="000000" w:themeColor="text1"/>
        </w:rPr>
      </w:pPr>
      <w:r>
        <w:rPr>
          <w:rFonts w:cs="Times New Roman" w:hint="eastAsia"/>
          <w:b/>
          <w:bCs/>
          <w:color w:val="000000" w:themeColor="text1"/>
        </w:rPr>
        <w:t>根据附录</w:t>
      </w:r>
      <w:r>
        <w:rPr>
          <w:rFonts w:cs="Times New Roman" w:hint="eastAsia"/>
          <w:b/>
          <w:bCs/>
          <w:color w:val="000000" w:themeColor="text1"/>
        </w:rPr>
        <w:t>A</w:t>
      </w:r>
      <w:r>
        <w:rPr>
          <w:rFonts w:cs="Times New Roman" w:hint="eastAsia"/>
          <w:b/>
          <w:bCs/>
          <w:color w:val="000000" w:themeColor="text1"/>
        </w:rPr>
        <w:t>，本项目属于</w:t>
      </w:r>
      <w:r>
        <w:rPr>
          <w:rFonts w:cs="Times New Roman" w:hint="eastAsia"/>
          <w:b/>
          <w:bCs/>
          <w:color w:val="000000" w:themeColor="text1"/>
        </w:rPr>
        <w:t>151</w:t>
      </w:r>
      <w:r>
        <w:rPr>
          <w:rFonts w:cs="Times New Roman" w:hint="eastAsia"/>
          <w:b/>
          <w:bCs/>
          <w:color w:val="000000" w:themeColor="text1"/>
        </w:rPr>
        <w:t>、危险废物（含医疗废物）集中处置及综合利用，需编制环境影响报告书的类别，属</w:t>
      </w:r>
      <w:r>
        <w:rPr>
          <w:rFonts w:cs="Times New Roman" w:hint="eastAsia"/>
          <w:b/>
          <w:bCs/>
          <w:color w:val="000000" w:themeColor="text1"/>
        </w:rPr>
        <w:t>I</w:t>
      </w:r>
      <w:r>
        <w:rPr>
          <w:rFonts w:cs="Times New Roman" w:hint="eastAsia"/>
          <w:b/>
          <w:bCs/>
          <w:color w:val="000000" w:themeColor="text1"/>
        </w:rPr>
        <w:t>类建设项目</w:t>
      </w:r>
      <w:r>
        <w:rPr>
          <w:rFonts w:cs="Times New Roman"/>
          <w:color w:val="000000" w:themeColor="text1"/>
        </w:rPr>
        <w:t>，项目评价工作等级分级见下表：</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1.8</w:t>
      </w:r>
      <w:r>
        <w:rPr>
          <w:rFonts w:ascii="Times New Roman" w:eastAsia="宋体" w:hAnsi="Times New Roman" w:cs="Times New Roman" w:hint="eastAsia"/>
          <w:b/>
          <w:color w:val="000000" w:themeColor="text1"/>
          <w:sz w:val="24"/>
        </w:rPr>
        <w:noBreakHyphen/>
        <w:t>5</w:t>
      </w:r>
      <w:r>
        <w:rPr>
          <w:rFonts w:ascii="Times New Roman" w:eastAsia="宋体" w:hAnsi="Times New Roman" w:cs="Times New Roman" w:hint="eastAsia"/>
          <w:b/>
          <w:color w:val="000000" w:themeColor="text1"/>
          <w:sz w:val="24"/>
        </w:rPr>
        <w:t>地下水环境敏感程度分级表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1"/>
        <w:gridCol w:w="5083"/>
        <w:gridCol w:w="2776"/>
      </w:tblGrid>
      <w:tr w:rsidR="00644456">
        <w:tc>
          <w:tcPr>
            <w:tcW w:w="499" w:type="pct"/>
            <w:vAlign w:val="center"/>
          </w:tcPr>
          <w:p w:rsidR="00644456" w:rsidRDefault="008031C4">
            <w:pPr>
              <w:pStyle w:val="afffffff4"/>
              <w:rPr>
                <w:rFonts w:cs="Times New Roman"/>
                <w:b/>
                <w:color w:val="000000" w:themeColor="text1"/>
              </w:rPr>
            </w:pPr>
            <w:r>
              <w:rPr>
                <w:rFonts w:cs="Times New Roman"/>
                <w:b/>
                <w:color w:val="000000" w:themeColor="text1"/>
              </w:rPr>
              <w:t>分级</w:t>
            </w:r>
          </w:p>
        </w:tc>
        <w:tc>
          <w:tcPr>
            <w:tcW w:w="2911" w:type="pct"/>
            <w:vAlign w:val="center"/>
          </w:tcPr>
          <w:p w:rsidR="00644456" w:rsidRDefault="008031C4">
            <w:pPr>
              <w:pStyle w:val="afffffff4"/>
              <w:rPr>
                <w:rFonts w:cs="Times New Roman"/>
                <w:b/>
                <w:color w:val="000000" w:themeColor="text1"/>
              </w:rPr>
            </w:pPr>
            <w:r>
              <w:rPr>
                <w:rFonts w:cs="Times New Roman"/>
                <w:b/>
                <w:color w:val="000000" w:themeColor="text1"/>
              </w:rPr>
              <w:t>项目场地的地下水环境敏感特征</w:t>
            </w:r>
          </w:p>
        </w:tc>
        <w:tc>
          <w:tcPr>
            <w:tcW w:w="1590" w:type="pct"/>
            <w:vAlign w:val="center"/>
          </w:tcPr>
          <w:p w:rsidR="00644456" w:rsidRDefault="008031C4">
            <w:pPr>
              <w:pStyle w:val="afffffff4"/>
              <w:rPr>
                <w:rFonts w:cs="Times New Roman"/>
                <w:b/>
                <w:color w:val="000000" w:themeColor="text1"/>
              </w:rPr>
            </w:pPr>
            <w:r>
              <w:rPr>
                <w:rFonts w:cs="Times New Roman"/>
                <w:b/>
                <w:color w:val="000000" w:themeColor="text1"/>
              </w:rPr>
              <w:t>本工程</w:t>
            </w:r>
          </w:p>
        </w:tc>
      </w:tr>
      <w:tr w:rsidR="00644456">
        <w:tc>
          <w:tcPr>
            <w:tcW w:w="499" w:type="pct"/>
            <w:vAlign w:val="center"/>
          </w:tcPr>
          <w:p w:rsidR="00644456" w:rsidRDefault="008031C4">
            <w:pPr>
              <w:pStyle w:val="afffffff4"/>
              <w:rPr>
                <w:rFonts w:cs="Times New Roman"/>
                <w:color w:val="000000" w:themeColor="text1"/>
              </w:rPr>
            </w:pPr>
            <w:r>
              <w:rPr>
                <w:rFonts w:cs="Times New Roman"/>
                <w:color w:val="000000" w:themeColor="text1"/>
              </w:rPr>
              <w:t>敏感</w:t>
            </w:r>
          </w:p>
        </w:tc>
        <w:tc>
          <w:tcPr>
            <w:tcW w:w="2911" w:type="pct"/>
            <w:vAlign w:val="center"/>
          </w:tcPr>
          <w:p w:rsidR="00644456" w:rsidRDefault="008031C4">
            <w:pPr>
              <w:pStyle w:val="afffffff4"/>
              <w:rPr>
                <w:rFonts w:cs="Times New Roman"/>
                <w:color w:val="000000" w:themeColor="text1"/>
              </w:rPr>
            </w:pPr>
            <w:r>
              <w:rPr>
                <w:rFonts w:cs="Times New Roman"/>
                <w:color w:val="000000" w:themeColor="text1"/>
              </w:rPr>
              <w:t>集中式饮用水源地（包括已建成的在用、备用、应急水源地，在建和规划的水源地）准保护区；除集中式饮用水源地以外的国家或地方政府设定的与地下水环境</w:t>
            </w:r>
            <w:r>
              <w:rPr>
                <w:rFonts w:cs="Times New Roman" w:hint="eastAsia"/>
                <w:color w:val="000000" w:themeColor="text1"/>
              </w:rPr>
              <w:t>相关的其他</w:t>
            </w:r>
            <w:r>
              <w:rPr>
                <w:rFonts w:cs="Times New Roman"/>
                <w:color w:val="000000" w:themeColor="text1"/>
              </w:rPr>
              <w:t>保护区，如热水、矿泉水、温泉等特殊地下水资源保护区。</w:t>
            </w:r>
          </w:p>
        </w:tc>
        <w:tc>
          <w:tcPr>
            <w:tcW w:w="1590" w:type="pct"/>
            <w:vMerge w:val="restart"/>
            <w:vAlign w:val="center"/>
          </w:tcPr>
          <w:p w:rsidR="00644456" w:rsidRDefault="008031C4">
            <w:pPr>
              <w:pStyle w:val="afffffff4"/>
              <w:rPr>
                <w:rFonts w:cs="Times New Roman"/>
                <w:b/>
                <w:bCs/>
                <w:color w:val="000000" w:themeColor="text1"/>
              </w:rPr>
            </w:pPr>
            <w:r>
              <w:rPr>
                <w:rFonts w:cs="Times New Roman"/>
                <w:b/>
                <w:bCs/>
                <w:color w:val="000000" w:themeColor="text1"/>
                <w:szCs w:val="21"/>
              </w:rPr>
              <w:t>本项目评价区位于</w:t>
            </w:r>
            <w:r>
              <w:rPr>
                <w:rFonts w:cs="Times New Roman" w:hint="eastAsia"/>
                <w:b/>
                <w:bCs/>
                <w:color w:val="000000" w:themeColor="text1"/>
                <w:szCs w:val="21"/>
              </w:rPr>
              <w:t>疏勒高新技术产业开发区齐鲁生态钢城化工产业聚集区</w:t>
            </w:r>
            <w:r>
              <w:rPr>
                <w:rFonts w:cs="Times New Roman"/>
                <w:b/>
                <w:bCs/>
                <w:color w:val="000000" w:themeColor="text1"/>
                <w:szCs w:val="21"/>
              </w:rPr>
              <w:t>，项目周边均为园区工业企业。园区已实现自来水集中供水，供水水源为地表水。评价区内地下水未得到开发和利用，评价区内居民饮用水及灌溉水均来自地表水体，且无与地下水相关的水源保护区和其它资源保护区。</w:t>
            </w:r>
          </w:p>
        </w:tc>
      </w:tr>
      <w:tr w:rsidR="00644456">
        <w:tc>
          <w:tcPr>
            <w:tcW w:w="499" w:type="pct"/>
            <w:vAlign w:val="center"/>
          </w:tcPr>
          <w:p w:rsidR="00644456" w:rsidRDefault="008031C4">
            <w:pPr>
              <w:pStyle w:val="afffffff4"/>
              <w:rPr>
                <w:rFonts w:cs="Times New Roman"/>
                <w:color w:val="000000" w:themeColor="text1"/>
              </w:rPr>
            </w:pPr>
            <w:r>
              <w:rPr>
                <w:rFonts w:cs="Times New Roman"/>
                <w:color w:val="000000" w:themeColor="text1"/>
              </w:rPr>
              <w:t>较敏感</w:t>
            </w:r>
          </w:p>
        </w:tc>
        <w:tc>
          <w:tcPr>
            <w:tcW w:w="2911" w:type="pct"/>
            <w:vAlign w:val="center"/>
          </w:tcPr>
          <w:p w:rsidR="00644456" w:rsidRDefault="008031C4">
            <w:pPr>
              <w:pStyle w:val="afffffff4"/>
              <w:rPr>
                <w:rFonts w:cs="Times New Roman"/>
                <w:color w:val="000000" w:themeColor="text1"/>
              </w:rPr>
            </w:pPr>
            <w:r>
              <w:rPr>
                <w:rFonts w:cs="Times New Roman"/>
                <w:color w:val="000000" w:themeColor="text1"/>
              </w:rPr>
              <w:t>集中式饮用水源地（包括已建成的在用、备用、应急水源地，在建和规划的水源地）准保护区以外的补给径流区；特殊地下水资源（如矿泉水、温泉等）保护区以外的分布区以及分散居民饮用水源</w:t>
            </w:r>
            <w:r>
              <w:rPr>
                <w:rFonts w:cs="Times New Roman" w:hint="eastAsia"/>
                <w:color w:val="000000" w:themeColor="text1"/>
              </w:rPr>
              <w:t>等其他</w:t>
            </w:r>
            <w:r>
              <w:rPr>
                <w:rFonts w:cs="Times New Roman"/>
                <w:color w:val="000000" w:themeColor="text1"/>
              </w:rPr>
              <w:t>未列入上述敏感分级的环境敏感区。</w:t>
            </w:r>
          </w:p>
        </w:tc>
        <w:tc>
          <w:tcPr>
            <w:tcW w:w="1590" w:type="pct"/>
            <w:vMerge/>
            <w:vAlign w:val="center"/>
          </w:tcPr>
          <w:p w:rsidR="00644456" w:rsidRDefault="00644456">
            <w:pPr>
              <w:pStyle w:val="afffffff4"/>
              <w:rPr>
                <w:rFonts w:cs="Times New Roman"/>
                <w:color w:val="000000" w:themeColor="text1"/>
              </w:rPr>
            </w:pPr>
          </w:p>
        </w:tc>
      </w:tr>
      <w:tr w:rsidR="00644456">
        <w:tc>
          <w:tcPr>
            <w:tcW w:w="499" w:type="pct"/>
            <w:vAlign w:val="center"/>
          </w:tcPr>
          <w:p w:rsidR="00644456" w:rsidRDefault="008031C4">
            <w:pPr>
              <w:pStyle w:val="afffffff4"/>
              <w:rPr>
                <w:rFonts w:cs="Times New Roman"/>
                <w:color w:val="000000" w:themeColor="text1"/>
              </w:rPr>
            </w:pPr>
            <w:r>
              <w:rPr>
                <w:rFonts w:cs="Times New Roman"/>
                <w:color w:val="000000" w:themeColor="text1"/>
              </w:rPr>
              <w:t>不敏感（</w:t>
            </w:r>
            <w:r>
              <w:rPr>
                <w:rFonts w:cs="Times New Roman"/>
                <w:color w:val="000000" w:themeColor="text1"/>
              </w:rPr>
              <w:t>√</w:t>
            </w:r>
            <w:r>
              <w:rPr>
                <w:rFonts w:cs="Times New Roman"/>
                <w:color w:val="000000" w:themeColor="text1"/>
              </w:rPr>
              <w:t>）</w:t>
            </w:r>
          </w:p>
        </w:tc>
        <w:tc>
          <w:tcPr>
            <w:tcW w:w="2911" w:type="pct"/>
            <w:vAlign w:val="center"/>
          </w:tcPr>
          <w:p w:rsidR="00644456" w:rsidRDefault="008031C4">
            <w:pPr>
              <w:pStyle w:val="afffffff4"/>
              <w:rPr>
                <w:rFonts w:cs="Times New Roman"/>
                <w:color w:val="000000" w:themeColor="text1"/>
              </w:rPr>
            </w:pPr>
            <w:r>
              <w:rPr>
                <w:rFonts w:cs="Times New Roman"/>
                <w:color w:val="000000" w:themeColor="text1"/>
              </w:rPr>
              <w:t>上述地区之外</w:t>
            </w:r>
            <w:r>
              <w:rPr>
                <w:rFonts w:cs="Times New Roman" w:hint="eastAsia"/>
                <w:color w:val="000000" w:themeColor="text1"/>
              </w:rPr>
              <w:t>的其他</w:t>
            </w:r>
            <w:r>
              <w:rPr>
                <w:rFonts w:cs="Times New Roman"/>
                <w:color w:val="000000" w:themeColor="text1"/>
              </w:rPr>
              <w:t>地区。</w:t>
            </w:r>
          </w:p>
        </w:tc>
        <w:tc>
          <w:tcPr>
            <w:tcW w:w="1590" w:type="pct"/>
            <w:vMerge/>
            <w:vAlign w:val="center"/>
          </w:tcPr>
          <w:p w:rsidR="00644456" w:rsidRDefault="00644456">
            <w:pPr>
              <w:pStyle w:val="afffffff4"/>
              <w:rPr>
                <w:rFonts w:cs="Times New Roman"/>
                <w:color w:val="000000" w:themeColor="text1"/>
              </w:rPr>
            </w:pPr>
          </w:p>
        </w:tc>
      </w:tr>
      <w:tr w:rsidR="00644456">
        <w:tc>
          <w:tcPr>
            <w:tcW w:w="5000" w:type="pct"/>
            <w:gridSpan w:val="3"/>
            <w:vAlign w:val="center"/>
          </w:tcPr>
          <w:p w:rsidR="00644456" w:rsidRDefault="008031C4">
            <w:pPr>
              <w:pStyle w:val="afffffff4"/>
              <w:rPr>
                <w:rFonts w:cs="Times New Roman"/>
                <w:color w:val="000000" w:themeColor="text1"/>
              </w:rPr>
            </w:pPr>
            <w:r>
              <w:rPr>
                <w:rFonts w:cs="Times New Roman"/>
                <w:color w:val="000000" w:themeColor="text1"/>
              </w:rPr>
              <w:t>注：</w:t>
            </w:r>
            <w:r>
              <w:rPr>
                <w:rFonts w:cs="Times New Roman"/>
                <w:color w:val="000000" w:themeColor="text1"/>
              </w:rPr>
              <w:t>“</w:t>
            </w:r>
            <w:r>
              <w:rPr>
                <w:rFonts w:cs="Times New Roman"/>
                <w:color w:val="000000" w:themeColor="text1"/>
              </w:rPr>
              <w:t>环境敏感区</w:t>
            </w:r>
            <w:r>
              <w:rPr>
                <w:rFonts w:cs="Times New Roman"/>
                <w:color w:val="000000" w:themeColor="text1"/>
              </w:rPr>
              <w:t>”</w:t>
            </w:r>
            <w:r>
              <w:rPr>
                <w:rFonts w:cs="Times New Roman"/>
                <w:color w:val="000000" w:themeColor="text1"/>
              </w:rPr>
              <w:t>是指《建设项目环境影响评价分类管理名录》中所界定的涉及地下水的环境敏感区</w:t>
            </w:r>
          </w:p>
        </w:tc>
      </w:tr>
    </w:tbl>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fldChar w:fldCharType="begin"/>
      </w:r>
      <w:r>
        <w:rPr>
          <w:rFonts w:ascii="Times New Roman" w:eastAsia="宋体" w:hAnsi="Times New Roman" w:cs="Times New Roman" w:hint="eastAsia"/>
          <w:b/>
          <w:color w:val="000000" w:themeColor="text1"/>
          <w:sz w:val="24"/>
        </w:rPr>
        <w:instrText xml:space="preserve"> STYLEREF 1 \s </w:instrText>
      </w:r>
      <w:r>
        <w:rPr>
          <w:rFonts w:ascii="Times New Roman" w:eastAsia="宋体" w:hAnsi="Times New Roman" w:cs="Times New Roman" w:hint="eastAsia"/>
          <w:b/>
          <w:color w:val="000000" w:themeColor="text1"/>
          <w:sz w:val="24"/>
        </w:rPr>
        <w:fldChar w:fldCharType="separate"/>
      </w:r>
      <w:r>
        <w:rPr>
          <w:rFonts w:ascii="Times New Roman" w:eastAsia="宋体" w:hAnsi="Times New Roman" w:cs="Times New Roman" w:hint="eastAsia"/>
          <w:b/>
          <w:color w:val="000000" w:themeColor="text1"/>
          <w:sz w:val="24"/>
        </w:rPr>
        <w:t>1</w:t>
      </w:r>
      <w:r>
        <w:rPr>
          <w:rFonts w:ascii="Times New Roman" w:eastAsia="宋体" w:hAnsi="Times New Roman" w:cs="Times New Roman" w:hint="eastAsia"/>
          <w:b/>
          <w:color w:val="000000" w:themeColor="text1"/>
          <w:sz w:val="24"/>
        </w:rPr>
        <w:fldChar w:fldCharType="end"/>
      </w:r>
      <w:r>
        <w:rPr>
          <w:rFonts w:ascii="Times New Roman" w:eastAsia="宋体" w:hAnsi="Times New Roman" w:cs="Times New Roman" w:hint="eastAsia"/>
          <w:b/>
          <w:color w:val="000000" w:themeColor="text1"/>
          <w:sz w:val="24"/>
        </w:rPr>
        <w:t>.8</w:t>
      </w:r>
      <w:r>
        <w:rPr>
          <w:rFonts w:ascii="Times New Roman" w:eastAsia="宋体" w:hAnsi="Times New Roman" w:cs="Times New Roman" w:hint="eastAsia"/>
          <w:b/>
          <w:color w:val="000000" w:themeColor="text1"/>
          <w:sz w:val="24"/>
        </w:rPr>
        <w:noBreakHyphen/>
        <w:t>6</w:t>
      </w:r>
      <w:r>
        <w:rPr>
          <w:rFonts w:ascii="Times New Roman" w:eastAsia="宋体" w:hAnsi="Times New Roman" w:cs="Times New Roman" w:hint="eastAsia"/>
          <w:b/>
          <w:color w:val="000000" w:themeColor="text1"/>
          <w:sz w:val="24"/>
        </w:rPr>
        <w:t>评价工作等级分级表</w:t>
      </w:r>
    </w:p>
    <w:tbl>
      <w:tblPr>
        <w:tblW w:w="5000"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893"/>
        <w:gridCol w:w="1227"/>
        <w:gridCol w:w="5826"/>
      </w:tblGrid>
      <w:tr w:rsidR="00644456">
        <w:trPr>
          <w:trHeight w:val="20"/>
        </w:trPr>
        <w:tc>
          <w:tcPr>
            <w:tcW w:w="1058" w:type="pct"/>
            <w:vAlign w:val="center"/>
          </w:tcPr>
          <w:p w:rsidR="00644456" w:rsidRDefault="008031C4">
            <w:pPr>
              <w:adjustRightInd w:val="0"/>
              <w:snapToGrid w:val="0"/>
              <w:jc w:val="right"/>
              <w:rPr>
                <w:rFonts w:cs="Times New Roman"/>
                <w:b/>
                <w:color w:val="000000" w:themeColor="text1"/>
                <w:szCs w:val="21"/>
              </w:rPr>
            </w:pPr>
            <w:r>
              <w:rPr>
                <w:rFonts w:cs="Times New Roman"/>
                <w:b/>
                <w:color w:val="000000" w:themeColor="text1"/>
                <w:szCs w:val="21"/>
              </w:rPr>
              <w:t>项目类别</w:t>
            </w:r>
          </w:p>
          <w:p w:rsidR="00644456" w:rsidRDefault="008031C4">
            <w:pPr>
              <w:adjustRightInd w:val="0"/>
              <w:snapToGrid w:val="0"/>
              <w:rPr>
                <w:rFonts w:cs="Times New Roman"/>
                <w:b/>
                <w:color w:val="000000" w:themeColor="text1"/>
                <w:szCs w:val="21"/>
              </w:rPr>
            </w:pPr>
            <w:r>
              <w:rPr>
                <w:rFonts w:cs="Times New Roman"/>
                <w:b/>
                <w:color w:val="000000" w:themeColor="text1"/>
                <w:szCs w:val="21"/>
              </w:rPr>
              <w:t>环境敏感程度</w:t>
            </w:r>
          </w:p>
        </w:tc>
        <w:tc>
          <w:tcPr>
            <w:tcW w:w="686" w:type="pct"/>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I</w:t>
            </w:r>
            <w:r>
              <w:rPr>
                <w:rFonts w:cs="Times New Roman"/>
                <w:b/>
                <w:color w:val="000000" w:themeColor="text1"/>
                <w:szCs w:val="21"/>
              </w:rPr>
              <w:t>类项目</w:t>
            </w:r>
          </w:p>
        </w:tc>
        <w:tc>
          <w:tcPr>
            <w:tcW w:w="3256" w:type="pct"/>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本项目评价等级</w:t>
            </w:r>
          </w:p>
        </w:tc>
      </w:tr>
      <w:tr w:rsidR="00644456">
        <w:trPr>
          <w:trHeight w:val="20"/>
        </w:trPr>
        <w:tc>
          <w:tcPr>
            <w:tcW w:w="1058" w:type="pct"/>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敏感</w:t>
            </w:r>
          </w:p>
        </w:tc>
        <w:tc>
          <w:tcPr>
            <w:tcW w:w="686" w:type="pct"/>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一</w:t>
            </w:r>
          </w:p>
        </w:tc>
        <w:tc>
          <w:tcPr>
            <w:tcW w:w="3256" w:type="pct"/>
            <w:vMerge w:val="restart"/>
            <w:vAlign w:val="center"/>
          </w:tcPr>
          <w:p w:rsidR="00644456" w:rsidRDefault="008031C4">
            <w:pPr>
              <w:adjustRightInd w:val="0"/>
              <w:snapToGrid w:val="0"/>
              <w:rPr>
                <w:rFonts w:cs="Times New Roman"/>
                <w:color w:val="000000" w:themeColor="text1"/>
                <w:szCs w:val="21"/>
              </w:rPr>
            </w:pPr>
            <w:r>
              <w:rPr>
                <w:rFonts w:cs="Times New Roman"/>
                <w:color w:val="000000" w:themeColor="text1"/>
                <w:szCs w:val="21"/>
              </w:rPr>
              <w:t>本项目属</w:t>
            </w:r>
            <w:r>
              <w:rPr>
                <w:rFonts w:cs="Times New Roman"/>
                <w:color w:val="000000" w:themeColor="text1"/>
                <w:szCs w:val="21"/>
              </w:rPr>
              <w:t>I</w:t>
            </w:r>
            <w:r>
              <w:rPr>
                <w:rFonts w:cs="Times New Roman"/>
                <w:color w:val="000000" w:themeColor="text1"/>
                <w:szCs w:val="21"/>
              </w:rPr>
              <w:t>类项目，地下水环境敏感程度为</w:t>
            </w:r>
            <w:r>
              <w:rPr>
                <w:rFonts w:cs="Times New Roman"/>
                <w:color w:val="000000" w:themeColor="text1"/>
                <w:szCs w:val="21"/>
              </w:rPr>
              <w:t>“</w:t>
            </w:r>
            <w:r>
              <w:rPr>
                <w:rFonts w:cs="Times New Roman"/>
                <w:color w:val="000000" w:themeColor="text1"/>
                <w:szCs w:val="21"/>
              </w:rPr>
              <w:t>不敏感</w:t>
            </w:r>
            <w:r>
              <w:rPr>
                <w:rFonts w:cs="Times New Roman"/>
                <w:color w:val="000000" w:themeColor="text1"/>
                <w:szCs w:val="21"/>
              </w:rPr>
              <w:t>”</w:t>
            </w:r>
            <w:r>
              <w:rPr>
                <w:rFonts w:cs="Times New Roman"/>
                <w:color w:val="000000" w:themeColor="text1"/>
                <w:szCs w:val="21"/>
              </w:rPr>
              <w:t>，根据（</w:t>
            </w:r>
            <w:r>
              <w:rPr>
                <w:rFonts w:cs="Times New Roman"/>
                <w:color w:val="000000" w:themeColor="text1"/>
                <w:szCs w:val="21"/>
              </w:rPr>
              <w:t>HJ610-2016</w:t>
            </w:r>
            <w:r>
              <w:rPr>
                <w:rFonts w:cs="Times New Roman"/>
                <w:color w:val="000000" w:themeColor="text1"/>
                <w:szCs w:val="21"/>
              </w:rPr>
              <w:t>）判定依据，本项目地下水环境影响评价工作等级判定为</w:t>
            </w:r>
            <w:r>
              <w:rPr>
                <w:rFonts w:cs="Times New Roman"/>
                <w:color w:val="000000" w:themeColor="text1"/>
                <w:szCs w:val="21"/>
              </w:rPr>
              <w:t>“</w:t>
            </w:r>
            <w:r>
              <w:rPr>
                <w:rFonts w:cs="Times New Roman"/>
                <w:color w:val="000000" w:themeColor="text1"/>
                <w:szCs w:val="21"/>
              </w:rPr>
              <w:t>二</w:t>
            </w:r>
            <w:r>
              <w:rPr>
                <w:rFonts w:cs="Times New Roman"/>
                <w:color w:val="000000" w:themeColor="text1"/>
                <w:szCs w:val="21"/>
              </w:rPr>
              <w:t>”</w:t>
            </w:r>
            <w:r>
              <w:rPr>
                <w:rFonts w:cs="Times New Roman"/>
                <w:color w:val="000000" w:themeColor="text1"/>
                <w:szCs w:val="21"/>
              </w:rPr>
              <w:t>级。</w:t>
            </w:r>
          </w:p>
        </w:tc>
      </w:tr>
      <w:tr w:rsidR="00644456">
        <w:trPr>
          <w:trHeight w:val="20"/>
        </w:trPr>
        <w:tc>
          <w:tcPr>
            <w:tcW w:w="1058" w:type="pct"/>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较敏感</w:t>
            </w:r>
          </w:p>
        </w:tc>
        <w:tc>
          <w:tcPr>
            <w:tcW w:w="686" w:type="pct"/>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一</w:t>
            </w:r>
          </w:p>
        </w:tc>
        <w:tc>
          <w:tcPr>
            <w:tcW w:w="3256" w:type="pct"/>
            <w:vMerge/>
            <w:vAlign w:val="center"/>
          </w:tcPr>
          <w:p w:rsidR="00644456" w:rsidRDefault="00644456">
            <w:pPr>
              <w:adjustRightInd w:val="0"/>
              <w:snapToGrid w:val="0"/>
              <w:rPr>
                <w:rFonts w:cs="Times New Roman"/>
                <w:color w:val="000000" w:themeColor="text1"/>
                <w:szCs w:val="21"/>
                <w:shd w:val="pct10" w:color="auto" w:fill="FFFFFF"/>
              </w:rPr>
            </w:pPr>
          </w:p>
        </w:tc>
      </w:tr>
      <w:tr w:rsidR="00644456">
        <w:trPr>
          <w:trHeight w:val="20"/>
        </w:trPr>
        <w:tc>
          <w:tcPr>
            <w:tcW w:w="1058" w:type="pct"/>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不敏感（</w:t>
            </w:r>
            <w:r>
              <w:rPr>
                <w:rFonts w:cs="Times New Roman"/>
                <w:color w:val="000000" w:themeColor="text1"/>
                <w:szCs w:val="21"/>
              </w:rPr>
              <w:t>√</w:t>
            </w:r>
            <w:r>
              <w:rPr>
                <w:rFonts w:cs="Times New Roman"/>
                <w:color w:val="000000" w:themeColor="text1"/>
                <w:szCs w:val="21"/>
              </w:rPr>
              <w:t>）</w:t>
            </w:r>
          </w:p>
        </w:tc>
        <w:tc>
          <w:tcPr>
            <w:tcW w:w="686" w:type="pct"/>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二（</w:t>
            </w:r>
            <w:r>
              <w:rPr>
                <w:rFonts w:cs="Times New Roman"/>
                <w:color w:val="000000" w:themeColor="text1"/>
                <w:szCs w:val="21"/>
              </w:rPr>
              <w:t>√</w:t>
            </w:r>
            <w:r>
              <w:rPr>
                <w:rFonts w:cs="Times New Roman"/>
                <w:color w:val="000000" w:themeColor="text1"/>
                <w:szCs w:val="21"/>
              </w:rPr>
              <w:t>）</w:t>
            </w:r>
          </w:p>
        </w:tc>
        <w:tc>
          <w:tcPr>
            <w:tcW w:w="3256" w:type="pct"/>
            <w:vMerge/>
            <w:vAlign w:val="center"/>
          </w:tcPr>
          <w:p w:rsidR="00644456" w:rsidRDefault="00644456">
            <w:pPr>
              <w:adjustRightInd w:val="0"/>
              <w:snapToGrid w:val="0"/>
              <w:rPr>
                <w:rFonts w:cs="Times New Roman"/>
                <w:color w:val="000000" w:themeColor="text1"/>
                <w:szCs w:val="21"/>
              </w:rPr>
            </w:pPr>
          </w:p>
        </w:tc>
      </w:tr>
    </w:tbl>
    <w:p w:rsidR="00644456" w:rsidRDefault="008031C4">
      <w:pPr>
        <w:pStyle w:val="3"/>
        <w:numPr>
          <w:ilvl w:val="2"/>
          <w:numId w:val="0"/>
        </w:numPr>
        <w:ind w:firstLineChars="200" w:firstLine="482"/>
      </w:pPr>
      <w:r>
        <w:rPr>
          <w:rFonts w:hint="eastAsia"/>
        </w:rPr>
        <w:t>1.8.4</w:t>
      </w:r>
      <w:r>
        <w:t>声环境评价等级</w:t>
      </w:r>
    </w:p>
    <w:p w:rsidR="00644456" w:rsidRDefault="008031C4">
      <w:pPr>
        <w:pStyle w:val="-"/>
        <w:ind w:firstLine="480"/>
        <w:rPr>
          <w:rFonts w:cs="Times New Roman"/>
          <w:color w:val="000000" w:themeColor="text1"/>
        </w:rPr>
      </w:pPr>
      <w:bookmarkStart w:id="71" w:name="_Ref57096342"/>
      <w:r>
        <w:rPr>
          <w:rFonts w:cs="Times New Roman"/>
          <w:color w:val="000000" w:themeColor="text1"/>
        </w:rPr>
        <w:t>根据</w:t>
      </w:r>
      <w:r>
        <w:rPr>
          <w:rFonts w:cs="Times New Roman"/>
          <w:snapToGrid w:val="0"/>
          <w:color w:val="000000" w:themeColor="text1"/>
        </w:rPr>
        <w:t>《环境影响评价技术导则</w:t>
      </w:r>
      <w:r>
        <w:rPr>
          <w:rFonts w:cs="Times New Roman"/>
          <w:snapToGrid w:val="0"/>
          <w:color w:val="000000" w:themeColor="text1"/>
        </w:rPr>
        <w:t>-</w:t>
      </w:r>
      <w:r>
        <w:rPr>
          <w:rFonts w:cs="Times New Roman"/>
          <w:snapToGrid w:val="0"/>
          <w:color w:val="000000" w:themeColor="text1"/>
        </w:rPr>
        <w:t>声环境》（</w:t>
      </w:r>
      <w:r>
        <w:rPr>
          <w:rFonts w:cs="Times New Roman"/>
          <w:snapToGrid w:val="0"/>
          <w:color w:val="000000" w:themeColor="text1"/>
        </w:rPr>
        <w:t>HJ2.4-2021</w:t>
      </w:r>
      <w:r>
        <w:rPr>
          <w:rFonts w:cs="Times New Roman"/>
          <w:snapToGrid w:val="0"/>
          <w:color w:val="000000" w:themeColor="text1"/>
        </w:rPr>
        <w:t>）中关于评价等级的划分原则，</w:t>
      </w:r>
      <w:r>
        <w:rPr>
          <w:rFonts w:cs="Times New Roman"/>
          <w:color w:val="000000" w:themeColor="text1"/>
        </w:rPr>
        <w:t>见下表：</w:t>
      </w:r>
    </w:p>
    <w:p w:rsidR="00644456" w:rsidRDefault="008031C4">
      <w:pPr>
        <w:pStyle w:val="afffff4"/>
        <w:ind w:firstLine="480"/>
        <w:rPr>
          <w:rFonts w:cs="Times New Roman"/>
          <w:color w:val="000000" w:themeColor="text1"/>
        </w:rPr>
      </w:pPr>
      <w:r>
        <w:rPr>
          <w:rFonts w:cs="Times New Roman" w:hint="eastAsia"/>
          <w:color w:val="000000" w:themeColor="text1"/>
        </w:rPr>
        <w:t>表</w:t>
      </w:r>
      <w:r>
        <w:rPr>
          <w:rFonts w:cs="Times New Roman" w:hint="eastAsia"/>
          <w:color w:val="000000" w:themeColor="text1"/>
        </w:rPr>
        <w:fldChar w:fldCharType="begin"/>
      </w:r>
      <w:r>
        <w:rPr>
          <w:rFonts w:cs="Times New Roman" w:hint="eastAsia"/>
          <w:color w:val="000000" w:themeColor="text1"/>
        </w:rPr>
        <w:instrText xml:space="preserve"> STYLEREF 1 \s </w:instrText>
      </w:r>
      <w:r>
        <w:rPr>
          <w:rFonts w:cs="Times New Roman" w:hint="eastAsia"/>
          <w:color w:val="000000" w:themeColor="text1"/>
        </w:rPr>
        <w:fldChar w:fldCharType="separate"/>
      </w:r>
      <w:r>
        <w:rPr>
          <w:rFonts w:cs="Times New Roman"/>
          <w:color w:val="000000" w:themeColor="text1"/>
        </w:rPr>
        <w:t>1</w:t>
      </w:r>
      <w:r>
        <w:rPr>
          <w:rFonts w:cs="Times New Roman" w:hint="eastAsia"/>
          <w:color w:val="000000" w:themeColor="text1"/>
        </w:rPr>
        <w:fldChar w:fldCharType="end"/>
      </w:r>
      <w:r>
        <w:rPr>
          <w:rFonts w:cs="Times New Roman" w:hint="eastAsia"/>
          <w:color w:val="000000" w:themeColor="text1"/>
        </w:rPr>
        <w:t>.8</w:t>
      </w:r>
      <w:r>
        <w:rPr>
          <w:rFonts w:cs="Times New Roman" w:hint="eastAsia"/>
          <w:color w:val="000000" w:themeColor="text1"/>
        </w:rPr>
        <w:noBreakHyphen/>
        <w:t>7</w:t>
      </w:r>
      <w:r>
        <w:rPr>
          <w:rFonts w:cs="Times New Roman" w:hint="eastAsia"/>
          <w:color w:val="000000" w:themeColor="text1"/>
        </w:rPr>
        <w:t>声环境评价工作等级划分基本原则</w:t>
      </w:r>
    </w:p>
    <w:tbl>
      <w:tblPr>
        <w:tblW w:w="4997" w:type="pct"/>
        <w:tblBorders>
          <w:top w:val="single" w:sz="12" w:space="0" w:color="auto"/>
          <w:bottom w:val="single"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4088"/>
        <w:gridCol w:w="4693"/>
      </w:tblGrid>
      <w:tr w:rsidR="00644456" w:rsidRPr="006214B2">
        <w:trPr>
          <w:tblHeader/>
        </w:trPr>
        <w:tc>
          <w:tcPr>
            <w:tcW w:w="2328" w:type="pct"/>
            <w:tcMar>
              <w:left w:w="28" w:type="dxa"/>
              <w:right w:w="28" w:type="dxa"/>
            </w:tcMar>
            <w:vAlign w:val="center"/>
          </w:tcPr>
          <w:p w:rsidR="00644456" w:rsidRPr="006214B2" w:rsidRDefault="008031C4">
            <w:pPr>
              <w:adjustRightInd w:val="0"/>
              <w:snapToGrid w:val="0"/>
              <w:ind w:firstLine="480"/>
              <w:jc w:val="center"/>
              <w:rPr>
                <w:rFonts w:cs="Times New Roman"/>
                <w:b/>
                <w:bCs/>
                <w:snapToGrid w:val="0"/>
                <w:color w:val="FF0000"/>
                <w:kern w:val="0"/>
                <w:szCs w:val="21"/>
              </w:rPr>
            </w:pPr>
            <w:r w:rsidRPr="006214B2">
              <w:rPr>
                <w:rFonts w:cs="Times New Roman"/>
                <w:b/>
                <w:bCs/>
                <w:snapToGrid w:val="0"/>
                <w:color w:val="FF0000"/>
                <w:kern w:val="0"/>
                <w:szCs w:val="21"/>
              </w:rPr>
              <w:t>划分依据</w:t>
            </w:r>
          </w:p>
        </w:tc>
        <w:tc>
          <w:tcPr>
            <w:tcW w:w="2671" w:type="pct"/>
            <w:tcMar>
              <w:left w:w="28" w:type="dxa"/>
              <w:right w:w="28" w:type="dxa"/>
            </w:tcMar>
            <w:vAlign w:val="center"/>
          </w:tcPr>
          <w:p w:rsidR="00644456" w:rsidRPr="006214B2" w:rsidRDefault="008031C4">
            <w:pPr>
              <w:adjustRightInd w:val="0"/>
              <w:snapToGrid w:val="0"/>
              <w:ind w:firstLine="480"/>
              <w:jc w:val="center"/>
              <w:rPr>
                <w:rFonts w:cs="Times New Roman"/>
                <w:b/>
                <w:bCs/>
                <w:snapToGrid w:val="0"/>
                <w:color w:val="FF0000"/>
                <w:kern w:val="0"/>
                <w:szCs w:val="21"/>
              </w:rPr>
            </w:pPr>
            <w:r w:rsidRPr="006214B2">
              <w:rPr>
                <w:rFonts w:cs="Times New Roman"/>
                <w:b/>
                <w:bCs/>
                <w:snapToGrid w:val="0"/>
                <w:color w:val="FF0000"/>
                <w:kern w:val="0"/>
                <w:szCs w:val="21"/>
              </w:rPr>
              <w:t>项目评价等级</w:t>
            </w:r>
          </w:p>
        </w:tc>
      </w:tr>
      <w:tr w:rsidR="00644456" w:rsidRPr="006214B2">
        <w:trPr>
          <w:tblHeader/>
        </w:trPr>
        <w:tc>
          <w:tcPr>
            <w:tcW w:w="2328" w:type="pct"/>
            <w:tcMar>
              <w:left w:w="28" w:type="dxa"/>
              <w:right w:w="28" w:type="dxa"/>
            </w:tcMar>
            <w:vAlign w:val="center"/>
          </w:tcPr>
          <w:p w:rsidR="00644456" w:rsidRPr="006214B2" w:rsidRDefault="008031C4">
            <w:pPr>
              <w:adjustRightInd w:val="0"/>
              <w:snapToGrid w:val="0"/>
              <w:jc w:val="center"/>
              <w:rPr>
                <w:rFonts w:cs="Times New Roman"/>
                <w:snapToGrid w:val="0"/>
                <w:color w:val="FF0000"/>
                <w:kern w:val="0"/>
                <w:szCs w:val="21"/>
              </w:rPr>
            </w:pPr>
            <w:r w:rsidRPr="006214B2">
              <w:rPr>
                <w:rFonts w:cs="Times New Roman"/>
                <w:snapToGrid w:val="0"/>
                <w:color w:val="FF0000"/>
                <w:kern w:val="0"/>
                <w:szCs w:val="21"/>
              </w:rPr>
              <w:t>区域声环境功能区类别</w:t>
            </w:r>
          </w:p>
        </w:tc>
        <w:tc>
          <w:tcPr>
            <w:tcW w:w="2671" w:type="pct"/>
            <w:vMerge w:val="restart"/>
            <w:tcMar>
              <w:left w:w="28" w:type="dxa"/>
              <w:right w:w="28" w:type="dxa"/>
            </w:tcMar>
            <w:vAlign w:val="center"/>
          </w:tcPr>
          <w:p w:rsidR="00644456" w:rsidRPr="006214B2" w:rsidRDefault="008031C4">
            <w:pPr>
              <w:adjustRightInd w:val="0"/>
              <w:snapToGrid w:val="0"/>
              <w:jc w:val="center"/>
              <w:rPr>
                <w:rFonts w:cs="Times New Roman"/>
                <w:snapToGrid w:val="0"/>
                <w:color w:val="FF0000"/>
                <w:kern w:val="0"/>
                <w:szCs w:val="21"/>
              </w:rPr>
            </w:pPr>
            <w:r w:rsidRPr="006214B2">
              <w:rPr>
                <w:rFonts w:cs="Times New Roman"/>
                <w:color w:val="FF0000"/>
                <w:szCs w:val="21"/>
              </w:rPr>
              <w:t>本项目所在区域属于</w:t>
            </w:r>
            <w:r w:rsidRPr="006214B2">
              <w:rPr>
                <w:rFonts w:cs="Times New Roman"/>
                <w:color w:val="FF0000"/>
                <w:szCs w:val="21"/>
              </w:rPr>
              <w:t>GB3096</w:t>
            </w:r>
            <w:r w:rsidRPr="006214B2">
              <w:rPr>
                <w:rFonts w:cs="Times New Roman"/>
                <w:color w:val="FF0000"/>
                <w:szCs w:val="21"/>
              </w:rPr>
              <w:t>规定的</w:t>
            </w:r>
            <w:r w:rsidRPr="006214B2">
              <w:rPr>
                <w:rFonts w:cs="Times New Roman"/>
                <w:color w:val="FF0000"/>
                <w:szCs w:val="21"/>
              </w:rPr>
              <w:t>3</w:t>
            </w:r>
            <w:r w:rsidRPr="006214B2">
              <w:rPr>
                <w:rFonts w:cs="Times New Roman"/>
                <w:color w:val="FF0000"/>
                <w:szCs w:val="21"/>
              </w:rPr>
              <w:t>类声功能区域，结合受影响人群程度，</w:t>
            </w:r>
            <w:r w:rsidR="006214B2" w:rsidRPr="006214B2">
              <w:rPr>
                <w:rFonts w:cs="Times New Roman" w:hint="eastAsia"/>
                <w:color w:val="FF0000"/>
                <w:szCs w:val="21"/>
              </w:rPr>
              <w:t>建设项目建设前后评价范围内声环境保护目标噪声级增量在</w:t>
            </w:r>
            <w:r w:rsidR="006214B2" w:rsidRPr="006214B2">
              <w:rPr>
                <w:rFonts w:cs="Times New Roman" w:hint="eastAsia"/>
                <w:color w:val="FF0000"/>
                <w:szCs w:val="21"/>
              </w:rPr>
              <w:t xml:space="preserve"> 3 dB(A)</w:t>
            </w:r>
            <w:r w:rsidR="006214B2" w:rsidRPr="006214B2">
              <w:rPr>
                <w:rFonts w:cs="Times New Roman" w:hint="eastAsia"/>
                <w:color w:val="FF0000"/>
                <w:szCs w:val="21"/>
              </w:rPr>
              <w:t>以</w:t>
            </w:r>
            <w:r w:rsidR="006214B2" w:rsidRPr="006214B2">
              <w:rPr>
                <w:rFonts w:cs="Times New Roman" w:hint="eastAsia"/>
                <w:color w:val="FF0000"/>
                <w:szCs w:val="21"/>
              </w:rPr>
              <w:lastRenderedPageBreak/>
              <w:t>下</w:t>
            </w:r>
            <w:r w:rsidRPr="006214B2">
              <w:rPr>
                <w:rFonts w:cs="Times New Roman"/>
                <w:color w:val="FF0000"/>
                <w:szCs w:val="21"/>
              </w:rPr>
              <w:t>，且受影响人口变化不大</w:t>
            </w:r>
          </w:p>
        </w:tc>
      </w:tr>
      <w:tr w:rsidR="00644456" w:rsidRPr="006214B2">
        <w:trPr>
          <w:tblHeader/>
        </w:trPr>
        <w:tc>
          <w:tcPr>
            <w:tcW w:w="2328" w:type="pct"/>
            <w:tcMar>
              <w:left w:w="28" w:type="dxa"/>
              <w:right w:w="28" w:type="dxa"/>
            </w:tcMar>
            <w:vAlign w:val="center"/>
          </w:tcPr>
          <w:p w:rsidR="00644456" w:rsidRPr="006214B2" w:rsidRDefault="008031C4">
            <w:pPr>
              <w:adjustRightInd w:val="0"/>
              <w:snapToGrid w:val="0"/>
              <w:jc w:val="center"/>
              <w:rPr>
                <w:rFonts w:cs="Times New Roman"/>
                <w:snapToGrid w:val="0"/>
                <w:color w:val="FF0000"/>
                <w:kern w:val="0"/>
                <w:szCs w:val="21"/>
              </w:rPr>
            </w:pPr>
            <w:r w:rsidRPr="006214B2">
              <w:rPr>
                <w:rFonts w:cs="Times New Roman"/>
                <w:snapToGrid w:val="0"/>
                <w:color w:val="FF0000"/>
                <w:kern w:val="0"/>
                <w:szCs w:val="21"/>
              </w:rPr>
              <w:t>建设项目建设前后评价范围内声环境保护目标噪声级增量</w:t>
            </w:r>
          </w:p>
        </w:tc>
        <w:tc>
          <w:tcPr>
            <w:tcW w:w="2671" w:type="pct"/>
            <w:vMerge/>
            <w:tcMar>
              <w:left w:w="28" w:type="dxa"/>
              <w:right w:w="28" w:type="dxa"/>
            </w:tcMar>
            <w:vAlign w:val="center"/>
          </w:tcPr>
          <w:p w:rsidR="00644456" w:rsidRPr="006214B2" w:rsidRDefault="00644456">
            <w:pPr>
              <w:adjustRightInd w:val="0"/>
              <w:snapToGrid w:val="0"/>
              <w:jc w:val="center"/>
              <w:rPr>
                <w:rFonts w:cs="Times New Roman"/>
                <w:snapToGrid w:val="0"/>
                <w:color w:val="FF0000"/>
                <w:kern w:val="0"/>
                <w:szCs w:val="21"/>
              </w:rPr>
            </w:pPr>
          </w:p>
        </w:tc>
      </w:tr>
      <w:tr w:rsidR="00644456" w:rsidRPr="006214B2">
        <w:trPr>
          <w:tblHeader/>
        </w:trPr>
        <w:tc>
          <w:tcPr>
            <w:tcW w:w="2328" w:type="pct"/>
            <w:tcMar>
              <w:left w:w="28" w:type="dxa"/>
              <w:right w:w="28" w:type="dxa"/>
            </w:tcMar>
            <w:vAlign w:val="center"/>
          </w:tcPr>
          <w:p w:rsidR="00644456" w:rsidRPr="006214B2" w:rsidRDefault="008031C4">
            <w:pPr>
              <w:adjustRightInd w:val="0"/>
              <w:snapToGrid w:val="0"/>
              <w:jc w:val="center"/>
              <w:rPr>
                <w:rFonts w:cs="Times New Roman"/>
                <w:snapToGrid w:val="0"/>
                <w:color w:val="FF0000"/>
                <w:kern w:val="0"/>
                <w:szCs w:val="21"/>
              </w:rPr>
            </w:pPr>
            <w:r w:rsidRPr="006214B2">
              <w:rPr>
                <w:rFonts w:cs="Times New Roman"/>
                <w:snapToGrid w:val="0"/>
                <w:color w:val="FF0000"/>
                <w:kern w:val="0"/>
                <w:szCs w:val="21"/>
              </w:rPr>
              <w:lastRenderedPageBreak/>
              <w:t>受影响人口的数量</w:t>
            </w:r>
          </w:p>
        </w:tc>
        <w:tc>
          <w:tcPr>
            <w:tcW w:w="2671" w:type="pct"/>
            <w:vMerge/>
            <w:tcMar>
              <w:left w:w="28" w:type="dxa"/>
              <w:right w:w="28" w:type="dxa"/>
            </w:tcMar>
            <w:vAlign w:val="center"/>
          </w:tcPr>
          <w:p w:rsidR="00644456" w:rsidRPr="006214B2" w:rsidRDefault="00644456">
            <w:pPr>
              <w:adjustRightInd w:val="0"/>
              <w:snapToGrid w:val="0"/>
              <w:jc w:val="center"/>
              <w:rPr>
                <w:rFonts w:cs="Times New Roman"/>
                <w:snapToGrid w:val="0"/>
                <w:color w:val="FF0000"/>
                <w:kern w:val="0"/>
                <w:szCs w:val="21"/>
              </w:rPr>
            </w:pPr>
          </w:p>
        </w:tc>
      </w:tr>
    </w:tbl>
    <w:p w:rsidR="00644456" w:rsidRPr="006214B2" w:rsidRDefault="008031C4">
      <w:pPr>
        <w:pStyle w:val="-"/>
        <w:ind w:firstLine="480"/>
        <w:rPr>
          <w:rFonts w:cs="Times New Roman"/>
          <w:color w:val="FF0000"/>
        </w:rPr>
      </w:pPr>
      <w:r w:rsidRPr="006214B2">
        <w:rPr>
          <w:rFonts w:cs="Times New Roman"/>
          <w:color w:val="FF0000"/>
        </w:rPr>
        <w:t>项目所在区域工业园区，属于环境噪声</w:t>
      </w:r>
      <w:r w:rsidRPr="006214B2">
        <w:rPr>
          <w:rFonts w:cs="Times New Roman"/>
          <w:color w:val="FF0000"/>
        </w:rPr>
        <w:t>3</w:t>
      </w:r>
      <w:r w:rsidRPr="006214B2">
        <w:rPr>
          <w:rFonts w:cs="Times New Roman"/>
          <w:color w:val="FF0000"/>
        </w:rPr>
        <w:t>类声功能区，结合受影响人群程度，</w:t>
      </w:r>
      <w:r w:rsidR="006214B2" w:rsidRPr="006214B2">
        <w:rPr>
          <w:rFonts w:cs="Times New Roman" w:hint="eastAsia"/>
          <w:color w:val="FF0000"/>
        </w:rPr>
        <w:t>建设项目建设前后评价范围内声环境保护目标噪声级增量在</w:t>
      </w:r>
      <w:r w:rsidR="006214B2" w:rsidRPr="006214B2">
        <w:rPr>
          <w:rFonts w:cs="Times New Roman" w:hint="eastAsia"/>
          <w:color w:val="FF0000"/>
        </w:rPr>
        <w:t xml:space="preserve"> 3 dB(A)</w:t>
      </w:r>
      <w:r w:rsidR="006214B2" w:rsidRPr="006214B2">
        <w:rPr>
          <w:rFonts w:cs="Times New Roman" w:hint="eastAsia"/>
          <w:color w:val="FF0000"/>
        </w:rPr>
        <w:t>以下</w:t>
      </w:r>
      <w:r w:rsidRPr="006214B2">
        <w:rPr>
          <w:rFonts w:cs="Times New Roman"/>
          <w:color w:val="FF0000"/>
        </w:rPr>
        <w:t>，且受影响人口变化不大，因此，本次声环境评价工作等级为</w:t>
      </w:r>
      <w:r w:rsidRPr="006214B2">
        <w:rPr>
          <w:rFonts w:cs="Times New Roman"/>
          <w:b/>
          <w:bCs/>
          <w:color w:val="FF0000"/>
        </w:rPr>
        <w:t>三级</w:t>
      </w:r>
      <w:r w:rsidRPr="006214B2">
        <w:rPr>
          <w:rFonts w:cs="Times New Roman"/>
          <w:color w:val="FF0000"/>
        </w:rPr>
        <w:t>。</w:t>
      </w:r>
    </w:p>
    <w:bookmarkEnd w:id="71"/>
    <w:p w:rsidR="00644456" w:rsidRDefault="008031C4">
      <w:pPr>
        <w:pStyle w:val="3"/>
        <w:numPr>
          <w:ilvl w:val="2"/>
          <w:numId w:val="0"/>
        </w:numPr>
        <w:ind w:firstLineChars="200" w:firstLine="482"/>
      </w:pPr>
      <w:r>
        <w:rPr>
          <w:rFonts w:hint="eastAsia"/>
        </w:rPr>
        <w:t>1.8.5</w:t>
      </w:r>
      <w:r>
        <w:t>生态环境评价等级</w:t>
      </w:r>
    </w:p>
    <w:p w:rsidR="00644456" w:rsidRDefault="008031C4">
      <w:pPr>
        <w:pStyle w:val="-"/>
        <w:ind w:firstLine="480"/>
        <w:rPr>
          <w:rFonts w:cs="Times New Roman"/>
          <w:color w:val="000000" w:themeColor="text1"/>
        </w:rPr>
      </w:pPr>
      <w:r>
        <w:rPr>
          <w:rFonts w:cs="Times New Roman"/>
          <w:color w:val="000000" w:themeColor="text1"/>
        </w:rPr>
        <w:t>按照《环境影响评价技术导则生态影响》（</w:t>
      </w:r>
      <w:r>
        <w:rPr>
          <w:rFonts w:cs="Times New Roman"/>
          <w:color w:val="000000" w:themeColor="text1"/>
        </w:rPr>
        <w:t>HJ19-2022</w:t>
      </w:r>
      <w:r>
        <w:rPr>
          <w:rFonts w:cs="Times New Roman"/>
          <w:color w:val="000000" w:themeColor="text1"/>
        </w:rPr>
        <w:t>），本工程厂址</w:t>
      </w:r>
      <w:r>
        <w:rPr>
          <w:rFonts w:cs="Times New Roman" w:hint="eastAsia"/>
          <w:color w:val="000000" w:themeColor="text1"/>
        </w:rPr>
        <w:t>不占用国家公园、自然保护区、世界自然遗产、重要生境、自然公园、生态保护红线等</w:t>
      </w:r>
      <w:r>
        <w:rPr>
          <w:rFonts w:cs="Times New Roman"/>
          <w:color w:val="000000" w:themeColor="text1"/>
        </w:rPr>
        <w:t>，导则中生态影响评价工作等级划分如下见下表。</w:t>
      </w:r>
    </w:p>
    <w:p w:rsidR="00644456" w:rsidRDefault="008031C4">
      <w:pPr>
        <w:pStyle w:val="afffff4"/>
        <w:ind w:firstLine="480"/>
        <w:rPr>
          <w:rFonts w:cs="Times New Roman"/>
          <w:color w:val="000000" w:themeColor="text1"/>
        </w:rPr>
      </w:pPr>
      <w:r>
        <w:rPr>
          <w:rFonts w:cs="Times New Roman"/>
          <w:color w:val="000000" w:themeColor="text1"/>
        </w:rPr>
        <w:t>表</w:t>
      </w:r>
      <w:r>
        <w:rPr>
          <w:rFonts w:cs="Times New Roman"/>
          <w:color w:val="000000" w:themeColor="text1"/>
        </w:rPr>
        <w:fldChar w:fldCharType="begin"/>
      </w:r>
      <w:r>
        <w:rPr>
          <w:rFonts w:cs="Times New Roman"/>
          <w:color w:val="000000" w:themeColor="text1"/>
        </w:rPr>
        <w:instrText xml:space="preserve"> STYLEREF 1 \s </w:instrText>
      </w:r>
      <w:r>
        <w:rPr>
          <w:rFonts w:cs="Times New Roman"/>
          <w:color w:val="000000" w:themeColor="text1"/>
        </w:rPr>
        <w:fldChar w:fldCharType="separate"/>
      </w:r>
      <w:r>
        <w:rPr>
          <w:rFonts w:cs="Times New Roman"/>
          <w:color w:val="000000" w:themeColor="text1"/>
        </w:rPr>
        <w:t>1</w:t>
      </w:r>
      <w:r>
        <w:rPr>
          <w:rFonts w:cs="Times New Roman"/>
          <w:color w:val="000000" w:themeColor="text1"/>
        </w:rPr>
        <w:fldChar w:fldCharType="end"/>
      </w:r>
      <w:r>
        <w:rPr>
          <w:rFonts w:cs="Times New Roman" w:hint="eastAsia"/>
          <w:color w:val="000000" w:themeColor="text1"/>
        </w:rPr>
        <w:t>.8</w:t>
      </w:r>
      <w:r>
        <w:rPr>
          <w:rFonts w:cs="Times New Roman"/>
          <w:color w:val="000000" w:themeColor="text1"/>
        </w:rPr>
        <w:noBreakHyphen/>
      </w:r>
      <w:r>
        <w:rPr>
          <w:rFonts w:cs="Times New Roman" w:hint="eastAsia"/>
          <w:color w:val="000000" w:themeColor="text1"/>
        </w:rPr>
        <w:t>8</w:t>
      </w:r>
      <w:r>
        <w:rPr>
          <w:rFonts w:cs="Times New Roman"/>
          <w:color w:val="000000" w:themeColor="text1"/>
        </w:rPr>
        <w:t>生态影响评价工作等级划分表</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070"/>
        <w:gridCol w:w="3543"/>
      </w:tblGrid>
      <w:tr w:rsidR="00644456">
        <w:tc>
          <w:tcPr>
            <w:tcW w:w="5070" w:type="dxa"/>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hint="eastAsia"/>
                <w:snapToGrid w:val="0"/>
                <w:color w:val="000000" w:themeColor="text1"/>
                <w:kern w:val="0"/>
                <w:szCs w:val="21"/>
              </w:rPr>
              <w:t>判定原则</w:t>
            </w:r>
          </w:p>
        </w:tc>
        <w:tc>
          <w:tcPr>
            <w:tcW w:w="3543" w:type="dxa"/>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本项目是否涉及</w:t>
            </w:r>
          </w:p>
        </w:tc>
      </w:tr>
      <w:tr w:rsidR="00644456">
        <w:tc>
          <w:tcPr>
            <w:tcW w:w="5070" w:type="dxa"/>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hint="eastAsia"/>
                <w:snapToGrid w:val="0"/>
                <w:color w:val="000000" w:themeColor="text1"/>
                <w:kern w:val="0"/>
                <w:szCs w:val="21"/>
              </w:rPr>
              <w:t>a</w:t>
            </w:r>
            <w:r>
              <w:rPr>
                <w:rFonts w:cs="Times New Roman" w:hint="eastAsia"/>
                <w:snapToGrid w:val="0"/>
                <w:color w:val="000000" w:themeColor="text1"/>
                <w:kern w:val="0"/>
                <w:szCs w:val="21"/>
              </w:rPr>
              <w:t>）涉及国家公园、自然保护区、世界自然遗产、重要生境时，评价等级为一级。</w:t>
            </w:r>
          </w:p>
        </w:tc>
        <w:tc>
          <w:tcPr>
            <w:tcW w:w="3543" w:type="dxa"/>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hint="eastAsia"/>
                <w:snapToGrid w:val="0"/>
                <w:color w:val="000000" w:themeColor="text1"/>
                <w:kern w:val="0"/>
                <w:szCs w:val="21"/>
              </w:rPr>
              <w:t>本项目不涉及国家公园、自然保护区、世界自然遗产、重要生境。</w:t>
            </w:r>
          </w:p>
        </w:tc>
      </w:tr>
      <w:tr w:rsidR="00644456">
        <w:tc>
          <w:tcPr>
            <w:tcW w:w="5070" w:type="dxa"/>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hint="eastAsia"/>
                <w:snapToGrid w:val="0"/>
                <w:color w:val="000000" w:themeColor="text1"/>
                <w:kern w:val="0"/>
                <w:szCs w:val="21"/>
              </w:rPr>
              <w:t>b</w:t>
            </w:r>
            <w:r>
              <w:rPr>
                <w:rFonts w:cs="Times New Roman" w:hint="eastAsia"/>
                <w:snapToGrid w:val="0"/>
                <w:color w:val="000000" w:themeColor="text1"/>
                <w:kern w:val="0"/>
                <w:szCs w:val="21"/>
              </w:rPr>
              <w:t>）涉及自然公园时，评价等级为二级。</w:t>
            </w:r>
          </w:p>
        </w:tc>
        <w:tc>
          <w:tcPr>
            <w:tcW w:w="3543" w:type="dxa"/>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hint="eastAsia"/>
                <w:snapToGrid w:val="0"/>
                <w:color w:val="000000" w:themeColor="text1"/>
                <w:kern w:val="0"/>
                <w:szCs w:val="21"/>
              </w:rPr>
              <w:t>本项目不涉及自然公园。</w:t>
            </w:r>
          </w:p>
        </w:tc>
      </w:tr>
      <w:tr w:rsidR="00644456">
        <w:tc>
          <w:tcPr>
            <w:tcW w:w="5070" w:type="dxa"/>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hint="eastAsia"/>
                <w:snapToGrid w:val="0"/>
                <w:color w:val="000000" w:themeColor="text1"/>
                <w:kern w:val="0"/>
                <w:szCs w:val="21"/>
              </w:rPr>
              <w:t>c</w:t>
            </w:r>
            <w:r>
              <w:rPr>
                <w:rFonts w:cs="Times New Roman" w:hint="eastAsia"/>
                <w:snapToGrid w:val="0"/>
                <w:color w:val="000000" w:themeColor="text1"/>
                <w:kern w:val="0"/>
                <w:szCs w:val="21"/>
              </w:rPr>
              <w:t>）涉及生态保护红线时，评价等级不低于二级。</w:t>
            </w:r>
          </w:p>
        </w:tc>
        <w:tc>
          <w:tcPr>
            <w:tcW w:w="3543" w:type="dxa"/>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hint="eastAsia"/>
                <w:snapToGrid w:val="0"/>
                <w:color w:val="000000" w:themeColor="text1"/>
                <w:kern w:val="0"/>
                <w:szCs w:val="21"/>
              </w:rPr>
              <w:t>本项目不涉及生态保护红线。</w:t>
            </w:r>
          </w:p>
        </w:tc>
      </w:tr>
      <w:tr w:rsidR="00644456">
        <w:tc>
          <w:tcPr>
            <w:tcW w:w="5070" w:type="dxa"/>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hint="eastAsia"/>
                <w:snapToGrid w:val="0"/>
                <w:color w:val="000000" w:themeColor="text1"/>
                <w:kern w:val="0"/>
                <w:szCs w:val="21"/>
              </w:rPr>
              <w:t>d</w:t>
            </w:r>
            <w:r>
              <w:rPr>
                <w:rFonts w:cs="Times New Roman" w:hint="eastAsia"/>
                <w:snapToGrid w:val="0"/>
                <w:color w:val="000000" w:themeColor="text1"/>
                <w:kern w:val="0"/>
                <w:szCs w:val="21"/>
              </w:rPr>
              <w:t>）根据</w:t>
            </w:r>
            <w:r>
              <w:rPr>
                <w:rFonts w:cs="Times New Roman" w:hint="eastAsia"/>
                <w:snapToGrid w:val="0"/>
                <w:color w:val="000000" w:themeColor="text1"/>
                <w:kern w:val="0"/>
                <w:szCs w:val="21"/>
              </w:rPr>
              <w:t>HJ2.3</w:t>
            </w:r>
            <w:r>
              <w:rPr>
                <w:rFonts w:cs="Times New Roman" w:hint="eastAsia"/>
                <w:snapToGrid w:val="0"/>
                <w:color w:val="000000" w:themeColor="text1"/>
                <w:kern w:val="0"/>
                <w:szCs w:val="21"/>
              </w:rPr>
              <w:t>判断属于水文要素影响型且地表水评价等级不低于二级的建设项目，生态影响评价等级不低于二级。</w:t>
            </w:r>
          </w:p>
        </w:tc>
        <w:tc>
          <w:tcPr>
            <w:tcW w:w="3543" w:type="dxa"/>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hint="eastAsia"/>
                <w:snapToGrid w:val="0"/>
                <w:color w:val="000000" w:themeColor="text1"/>
                <w:kern w:val="0"/>
                <w:szCs w:val="21"/>
              </w:rPr>
              <w:t>本项目地表水属于水污染影响型项目，评价等级为三级</w:t>
            </w:r>
            <w:r>
              <w:rPr>
                <w:rFonts w:cs="Times New Roman" w:hint="eastAsia"/>
                <w:snapToGrid w:val="0"/>
                <w:color w:val="000000" w:themeColor="text1"/>
                <w:kern w:val="0"/>
                <w:szCs w:val="21"/>
              </w:rPr>
              <w:t>B</w:t>
            </w:r>
            <w:r>
              <w:rPr>
                <w:rFonts w:cs="Times New Roman" w:hint="eastAsia"/>
                <w:snapToGrid w:val="0"/>
                <w:color w:val="000000" w:themeColor="text1"/>
                <w:kern w:val="0"/>
                <w:szCs w:val="21"/>
              </w:rPr>
              <w:t>。</w:t>
            </w:r>
          </w:p>
        </w:tc>
      </w:tr>
      <w:tr w:rsidR="00644456">
        <w:tc>
          <w:tcPr>
            <w:tcW w:w="5070" w:type="dxa"/>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hint="eastAsia"/>
                <w:snapToGrid w:val="0"/>
                <w:color w:val="000000" w:themeColor="text1"/>
                <w:kern w:val="0"/>
                <w:szCs w:val="21"/>
              </w:rPr>
              <w:t>e</w:t>
            </w:r>
            <w:r>
              <w:rPr>
                <w:rFonts w:cs="Times New Roman" w:hint="eastAsia"/>
                <w:snapToGrid w:val="0"/>
                <w:color w:val="000000" w:themeColor="text1"/>
                <w:kern w:val="0"/>
                <w:szCs w:val="21"/>
              </w:rPr>
              <w:t>）根据</w:t>
            </w:r>
            <w:r>
              <w:rPr>
                <w:rFonts w:cs="Times New Roman" w:hint="eastAsia"/>
                <w:snapToGrid w:val="0"/>
                <w:color w:val="000000" w:themeColor="text1"/>
                <w:kern w:val="0"/>
                <w:szCs w:val="21"/>
              </w:rPr>
              <w:t>HJ610</w:t>
            </w:r>
            <w:r>
              <w:rPr>
                <w:rFonts w:cs="Times New Roman" w:hint="eastAsia"/>
                <w:snapToGrid w:val="0"/>
                <w:color w:val="000000" w:themeColor="text1"/>
                <w:kern w:val="0"/>
                <w:szCs w:val="21"/>
              </w:rPr>
              <w:t>、</w:t>
            </w:r>
            <w:r>
              <w:rPr>
                <w:rFonts w:cs="Times New Roman" w:hint="eastAsia"/>
                <w:snapToGrid w:val="0"/>
                <w:color w:val="000000" w:themeColor="text1"/>
                <w:kern w:val="0"/>
                <w:szCs w:val="21"/>
              </w:rPr>
              <w:t>HJ964</w:t>
            </w:r>
            <w:r>
              <w:rPr>
                <w:rFonts w:cs="Times New Roman" w:hint="eastAsia"/>
                <w:snapToGrid w:val="0"/>
                <w:color w:val="000000" w:themeColor="text1"/>
                <w:kern w:val="0"/>
                <w:szCs w:val="21"/>
              </w:rPr>
              <w:t>判断地下水水位或土壤影响范围分布有天然林、公益林、湿地等生态保护目标的建设项目，生态影响评价等级不低于二级。</w:t>
            </w:r>
          </w:p>
        </w:tc>
        <w:tc>
          <w:tcPr>
            <w:tcW w:w="3543" w:type="dxa"/>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hint="eastAsia"/>
                <w:snapToGrid w:val="0"/>
                <w:color w:val="000000" w:themeColor="text1"/>
                <w:kern w:val="0"/>
                <w:szCs w:val="21"/>
              </w:rPr>
              <w:t>本项目地下水水位或土壤影响范围未分布有天然林、公益林、湿地等生态保护目标。</w:t>
            </w:r>
          </w:p>
        </w:tc>
      </w:tr>
      <w:tr w:rsidR="00644456">
        <w:tc>
          <w:tcPr>
            <w:tcW w:w="5070" w:type="dxa"/>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hint="eastAsia"/>
                <w:snapToGrid w:val="0"/>
                <w:color w:val="000000" w:themeColor="text1"/>
                <w:kern w:val="0"/>
                <w:szCs w:val="21"/>
              </w:rPr>
              <w:t>f</w:t>
            </w:r>
            <w:r>
              <w:rPr>
                <w:rFonts w:cs="Times New Roman" w:hint="eastAsia"/>
                <w:snapToGrid w:val="0"/>
                <w:color w:val="000000" w:themeColor="text1"/>
                <w:kern w:val="0"/>
                <w:szCs w:val="21"/>
              </w:rPr>
              <w:t>）当工程占地规模大于</w:t>
            </w:r>
            <w:r>
              <w:rPr>
                <w:rFonts w:cs="Times New Roman" w:hint="eastAsia"/>
                <w:snapToGrid w:val="0"/>
                <w:color w:val="000000" w:themeColor="text1"/>
                <w:kern w:val="0"/>
                <w:szCs w:val="21"/>
              </w:rPr>
              <w:t>20km2</w:t>
            </w:r>
            <w:r>
              <w:rPr>
                <w:rFonts w:cs="Times New Roman" w:hint="eastAsia"/>
                <w:snapToGrid w:val="0"/>
                <w:color w:val="000000" w:themeColor="text1"/>
                <w:kern w:val="0"/>
                <w:szCs w:val="21"/>
              </w:rPr>
              <w:t>时（包括永久和临时占用陆域和水域），评价等级不低于二级；改扩建项目的占地范围以新增占地（包括陆域和水域）确定。</w:t>
            </w:r>
          </w:p>
        </w:tc>
        <w:tc>
          <w:tcPr>
            <w:tcW w:w="3543" w:type="dxa"/>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hint="eastAsia"/>
                <w:snapToGrid w:val="0"/>
                <w:color w:val="000000" w:themeColor="text1"/>
                <w:kern w:val="0"/>
                <w:szCs w:val="21"/>
              </w:rPr>
              <w:t>本项目占地</w:t>
            </w:r>
            <w:r>
              <w:rPr>
                <w:rFonts w:cs="Times New Roman" w:hint="eastAsia"/>
                <w:snapToGrid w:val="0"/>
                <w:color w:val="000000" w:themeColor="text1"/>
                <w:kern w:val="0"/>
                <w:szCs w:val="21"/>
              </w:rPr>
              <w:t>3.0524hm</w:t>
            </w:r>
            <w:r>
              <w:rPr>
                <w:rFonts w:cs="Times New Roman" w:hint="eastAsia"/>
                <w:snapToGrid w:val="0"/>
                <w:color w:val="000000" w:themeColor="text1"/>
                <w:kern w:val="0"/>
                <w:szCs w:val="21"/>
                <w:vertAlign w:val="superscript"/>
              </w:rPr>
              <w:t>2</w:t>
            </w:r>
            <w:r>
              <w:rPr>
                <w:rFonts w:cs="Times New Roman" w:hint="eastAsia"/>
                <w:snapToGrid w:val="0"/>
                <w:color w:val="000000" w:themeColor="text1"/>
                <w:kern w:val="0"/>
                <w:szCs w:val="21"/>
              </w:rPr>
              <w:t>，小于</w:t>
            </w:r>
            <w:r>
              <w:rPr>
                <w:rFonts w:cs="Times New Roman" w:hint="eastAsia"/>
                <w:snapToGrid w:val="0"/>
                <w:color w:val="000000" w:themeColor="text1"/>
                <w:kern w:val="0"/>
                <w:szCs w:val="21"/>
              </w:rPr>
              <w:t>20km</w:t>
            </w:r>
            <w:r>
              <w:rPr>
                <w:rFonts w:cs="Times New Roman" w:hint="eastAsia"/>
                <w:snapToGrid w:val="0"/>
                <w:color w:val="000000" w:themeColor="text1"/>
                <w:kern w:val="0"/>
                <w:szCs w:val="21"/>
                <w:vertAlign w:val="superscript"/>
              </w:rPr>
              <w:t>2</w:t>
            </w:r>
            <w:r>
              <w:rPr>
                <w:rFonts w:cs="Times New Roman" w:hint="eastAsia"/>
                <w:snapToGrid w:val="0"/>
                <w:color w:val="000000" w:themeColor="text1"/>
                <w:kern w:val="0"/>
                <w:szCs w:val="21"/>
              </w:rPr>
              <w:t>。</w:t>
            </w:r>
          </w:p>
        </w:tc>
      </w:tr>
      <w:tr w:rsidR="00644456">
        <w:tc>
          <w:tcPr>
            <w:tcW w:w="5070" w:type="dxa"/>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hint="eastAsia"/>
                <w:snapToGrid w:val="0"/>
                <w:color w:val="000000" w:themeColor="text1"/>
                <w:kern w:val="0"/>
                <w:szCs w:val="21"/>
              </w:rPr>
              <w:t>g</w:t>
            </w:r>
            <w:r>
              <w:rPr>
                <w:rFonts w:cs="Times New Roman" w:hint="eastAsia"/>
                <w:snapToGrid w:val="0"/>
                <w:color w:val="000000" w:themeColor="text1"/>
                <w:kern w:val="0"/>
                <w:szCs w:val="21"/>
              </w:rPr>
              <w:t>）除本条</w:t>
            </w:r>
            <w:r>
              <w:rPr>
                <w:rFonts w:cs="Times New Roman" w:hint="eastAsia"/>
                <w:snapToGrid w:val="0"/>
                <w:color w:val="000000" w:themeColor="text1"/>
                <w:kern w:val="0"/>
                <w:szCs w:val="21"/>
              </w:rPr>
              <w:t>a</w:t>
            </w:r>
            <w:r>
              <w:rPr>
                <w:rFonts w:cs="Times New Roman" w:hint="eastAsia"/>
                <w:snapToGrid w:val="0"/>
                <w:color w:val="000000" w:themeColor="text1"/>
                <w:kern w:val="0"/>
                <w:szCs w:val="21"/>
              </w:rPr>
              <w:t>）、</w:t>
            </w:r>
            <w:r>
              <w:rPr>
                <w:rFonts w:cs="Times New Roman" w:hint="eastAsia"/>
                <w:snapToGrid w:val="0"/>
                <w:color w:val="000000" w:themeColor="text1"/>
                <w:kern w:val="0"/>
                <w:szCs w:val="21"/>
              </w:rPr>
              <w:t>b</w:t>
            </w:r>
            <w:r>
              <w:rPr>
                <w:rFonts w:cs="Times New Roman" w:hint="eastAsia"/>
                <w:snapToGrid w:val="0"/>
                <w:color w:val="000000" w:themeColor="text1"/>
                <w:kern w:val="0"/>
                <w:szCs w:val="21"/>
              </w:rPr>
              <w:t>）、</w:t>
            </w:r>
            <w:r>
              <w:rPr>
                <w:rFonts w:cs="Times New Roman" w:hint="eastAsia"/>
                <w:snapToGrid w:val="0"/>
                <w:color w:val="000000" w:themeColor="text1"/>
                <w:kern w:val="0"/>
                <w:szCs w:val="21"/>
              </w:rPr>
              <w:t>c</w:t>
            </w:r>
            <w:r>
              <w:rPr>
                <w:rFonts w:cs="Times New Roman" w:hint="eastAsia"/>
                <w:snapToGrid w:val="0"/>
                <w:color w:val="000000" w:themeColor="text1"/>
                <w:kern w:val="0"/>
                <w:szCs w:val="21"/>
              </w:rPr>
              <w:t>）、</w:t>
            </w:r>
            <w:r>
              <w:rPr>
                <w:rFonts w:cs="Times New Roman" w:hint="eastAsia"/>
                <w:snapToGrid w:val="0"/>
                <w:color w:val="000000" w:themeColor="text1"/>
                <w:kern w:val="0"/>
                <w:szCs w:val="21"/>
              </w:rPr>
              <w:t>d</w:t>
            </w:r>
            <w:r>
              <w:rPr>
                <w:rFonts w:cs="Times New Roman" w:hint="eastAsia"/>
                <w:snapToGrid w:val="0"/>
                <w:color w:val="000000" w:themeColor="text1"/>
                <w:kern w:val="0"/>
                <w:szCs w:val="21"/>
              </w:rPr>
              <w:t>）、</w:t>
            </w:r>
            <w:r>
              <w:rPr>
                <w:rFonts w:cs="Times New Roman" w:hint="eastAsia"/>
                <w:snapToGrid w:val="0"/>
                <w:color w:val="000000" w:themeColor="text1"/>
                <w:kern w:val="0"/>
                <w:szCs w:val="21"/>
              </w:rPr>
              <w:t>e</w:t>
            </w:r>
            <w:r>
              <w:rPr>
                <w:rFonts w:cs="Times New Roman" w:hint="eastAsia"/>
                <w:snapToGrid w:val="0"/>
                <w:color w:val="000000" w:themeColor="text1"/>
                <w:kern w:val="0"/>
                <w:szCs w:val="21"/>
              </w:rPr>
              <w:t>）、</w:t>
            </w:r>
            <w:r>
              <w:rPr>
                <w:rFonts w:cs="Times New Roman" w:hint="eastAsia"/>
                <w:snapToGrid w:val="0"/>
                <w:color w:val="000000" w:themeColor="text1"/>
                <w:kern w:val="0"/>
                <w:szCs w:val="21"/>
              </w:rPr>
              <w:t>f</w:t>
            </w:r>
            <w:r>
              <w:rPr>
                <w:rFonts w:cs="Times New Roman" w:hint="eastAsia"/>
                <w:snapToGrid w:val="0"/>
                <w:color w:val="000000" w:themeColor="text1"/>
                <w:kern w:val="0"/>
                <w:szCs w:val="21"/>
              </w:rPr>
              <w:t>）以外的情况，评价等级为三级。</w:t>
            </w:r>
          </w:p>
        </w:tc>
        <w:tc>
          <w:tcPr>
            <w:tcW w:w="3543" w:type="dxa"/>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hint="eastAsia"/>
                <w:snapToGrid w:val="0"/>
                <w:color w:val="000000" w:themeColor="text1"/>
                <w:kern w:val="0"/>
                <w:szCs w:val="21"/>
              </w:rPr>
              <w:t>/</w:t>
            </w:r>
          </w:p>
        </w:tc>
      </w:tr>
    </w:tbl>
    <w:p w:rsidR="00644456" w:rsidRDefault="008031C4">
      <w:pPr>
        <w:spacing w:line="360" w:lineRule="auto"/>
        <w:ind w:firstLineChars="200" w:firstLine="480"/>
        <w:textAlignment w:val="baseline"/>
        <w:rPr>
          <w:rFonts w:cs="Times New Roman"/>
          <w:bCs/>
          <w:color w:val="000000" w:themeColor="text1"/>
          <w:sz w:val="24"/>
          <w:szCs w:val="24"/>
        </w:rPr>
      </w:pPr>
      <w:r>
        <w:rPr>
          <w:rFonts w:cs="Times New Roman" w:hint="eastAsia"/>
          <w:bCs/>
          <w:color w:val="000000" w:themeColor="text1"/>
          <w:sz w:val="24"/>
          <w:szCs w:val="24"/>
        </w:rPr>
        <w:t>根据《环境影响评价技术导则生态影响》</w:t>
      </w:r>
      <w:r>
        <w:rPr>
          <w:rFonts w:cs="Times New Roman" w:hint="eastAsia"/>
          <w:bCs/>
          <w:color w:val="000000" w:themeColor="text1"/>
          <w:sz w:val="24"/>
          <w:szCs w:val="24"/>
        </w:rPr>
        <w:t>(HJ19-2022)</w:t>
      </w:r>
      <w:r>
        <w:rPr>
          <w:rFonts w:cs="Times New Roman" w:hint="eastAsia"/>
          <w:bCs/>
          <w:color w:val="000000" w:themeColor="text1"/>
          <w:sz w:val="24"/>
          <w:szCs w:val="24"/>
        </w:rPr>
        <w:t>中“</w:t>
      </w:r>
      <w:r>
        <w:rPr>
          <w:rFonts w:cs="Times New Roman" w:hint="eastAsia"/>
          <w:bCs/>
          <w:color w:val="000000" w:themeColor="text1"/>
          <w:sz w:val="24"/>
          <w:szCs w:val="24"/>
        </w:rPr>
        <w:t xml:space="preserve">6.1.8 </w:t>
      </w:r>
      <w:r>
        <w:rPr>
          <w:rFonts w:cs="Times New Roman" w:hint="eastAsia"/>
          <w:bCs/>
          <w:color w:val="000000" w:themeColor="text1"/>
          <w:sz w:val="24"/>
          <w:szCs w:val="24"/>
        </w:rPr>
        <w:t>符合生态环境分区管控要求且位于原厂界（或永久用地）范围内的污染影响类项目，位于已批准规划环评的产业园区内且符合规划环评要求、不涉及生态敏感区的污染影响类建设项目，可不确定评价等级，直接进行生态影响简单分析。</w:t>
      </w:r>
    </w:p>
    <w:p w:rsidR="00644456" w:rsidRDefault="008031C4">
      <w:pPr>
        <w:pStyle w:val="3"/>
        <w:numPr>
          <w:ilvl w:val="2"/>
          <w:numId w:val="0"/>
        </w:numPr>
        <w:ind w:firstLineChars="200" w:firstLine="482"/>
      </w:pPr>
      <w:r>
        <w:rPr>
          <w:rFonts w:hint="eastAsia"/>
        </w:rPr>
        <w:t>1.8.6</w:t>
      </w:r>
      <w:r>
        <w:t>土壤评价等级</w:t>
      </w:r>
    </w:p>
    <w:p w:rsidR="00644456" w:rsidRDefault="008031C4">
      <w:pPr>
        <w:spacing w:line="360" w:lineRule="auto"/>
        <w:ind w:firstLineChars="200" w:firstLine="480"/>
        <w:textAlignment w:val="baseline"/>
        <w:rPr>
          <w:rFonts w:cs="Times New Roman"/>
          <w:bCs/>
          <w:color w:val="000000" w:themeColor="text1"/>
          <w:sz w:val="24"/>
          <w:szCs w:val="24"/>
        </w:rPr>
      </w:pPr>
      <w:r>
        <w:rPr>
          <w:rFonts w:cs="Times New Roman" w:hint="eastAsia"/>
          <w:bCs/>
          <w:color w:val="000000" w:themeColor="text1"/>
          <w:sz w:val="24"/>
          <w:szCs w:val="24"/>
        </w:rPr>
        <w:t>本项目进行废矿物油再生，根据《环境影响评价技术导则土壤环境》（</w:t>
      </w:r>
      <w:r>
        <w:rPr>
          <w:rFonts w:cs="Times New Roman" w:hint="eastAsia"/>
          <w:bCs/>
          <w:color w:val="000000" w:themeColor="text1"/>
          <w:sz w:val="24"/>
          <w:szCs w:val="24"/>
        </w:rPr>
        <w:t>HJ964-2018</w:t>
      </w:r>
      <w:r>
        <w:rPr>
          <w:rFonts w:cs="Times New Roman" w:hint="eastAsia"/>
          <w:bCs/>
          <w:color w:val="000000" w:themeColor="text1"/>
          <w:sz w:val="24"/>
          <w:szCs w:val="24"/>
        </w:rPr>
        <w:t>）附录</w:t>
      </w:r>
      <w:r>
        <w:rPr>
          <w:rFonts w:cs="Times New Roman" w:hint="eastAsia"/>
          <w:bCs/>
          <w:color w:val="000000" w:themeColor="text1"/>
          <w:sz w:val="24"/>
          <w:szCs w:val="24"/>
        </w:rPr>
        <w:t>A</w:t>
      </w:r>
      <w:r>
        <w:rPr>
          <w:rFonts w:cs="Times New Roman" w:hint="eastAsia"/>
          <w:bCs/>
          <w:color w:val="000000" w:themeColor="text1"/>
          <w:sz w:val="24"/>
          <w:szCs w:val="24"/>
        </w:rPr>
        <w:t>，本项目属于“环境和公共设施管理业”行业中“危险废物利用及处置”，项目类别为</w:t>
      </w:r>
      <w:r>
        <w:rPr>
          <w:rFonts w:cs="Times New Roman"/>
          <w:bCs/>
          <w:color w:val="000000" w:themeColor="text1"/>
          <w:szCs w:val="21"/>
        </w:rPr>
        <w:fldChar w:fldCharType="begin"/>
      </w:r>
      <w:r>
        <w:rPr>
          <w:rFonts w:cs="Times New Roman"/>
          <w:bCs/>
          <w:color w:val="000000" w:themeColor="text1"/>
          <w:szCs w:val="21"/>
        </w:rPr>
        <w:instrText xml:space="preserve"> = 1 \* ROMAN </w:instrText>
      </w:r>
      <w:r>
        <w:rPr>
          <w:rFonts w:cs="Times New Roman"/>
          <w:bCs/>
          <w:color w:val="000000" w:themeColor="text1"/>
          <w:szCs w:val="21"/>
        </w:rPr>
        <w:fldChar w:fldCharType="separate"/>
      </w:r>
      <w:r>
        <w:rPr>
          <w:rFonts w:cs="Times New Roman"/>
          <w:bCs/>
          <w:color w:val="000000" w:themeColor="text1"/>
          <w:szCs w:val="21"/>
        </w:rPr>
        <w:t>I</w:t>
      </w:r>
      <w:r>
        <w:rPr>
          <w:rFonts w:cs="Times New Roman"/>
          <w:bCs/>
          <w:color w:val="000000" w:themeColor="text1"/>
          <w:szCs w:val="21"/>
        </w:rPr>
        <w:fldChar w:fldCharType="end"/>
      </w:r>
      <w:r>
        <w:rPr>
          <w:rFonts w:cs="Times New Roman" w:hint="eastAsia"/>
          <w:bCs/>
          <w:color w:val="000000" w:themeColor="text1"/>
          <w:sz w:val="24"/>
          <w:szCs w:val="24"/>
        </w:rPr>
        <w:t>类。</w:t>
      </w:r>
    </w:p>
    <w:p w:rsidR="00644456" w:rsidRDefault="008031C4">
      <w:pPr>
        <w:spacing w:line="360" w:lineRule="auto"/>
        <w:ind w:firstLineChars="200" w:firstLine="480"/>
        <w:textAlignment w:val="baseline"/>
        <w:rPr>
          <w:rFonts w:cs="Times New Roman"/>
          <w:bCs/>
          <w:color w:val="000000" w:themeColor="text1"/>
          <w:sz w:val="24"/>
          <w:szCs w:val="24"/>
        </w:rPr>
      </w:pPr>
      <w:r>
        <w:rPr>
          <w:rFonts w:cs="Times New Roman" w:hint="eastAsia"/>
          <w:bCs/>
          <w:color w:val="000000" w:themeColor="text1"/>
          <w:sz w:val="24"/>
          <w:szCs w:val="24"/>
        </w:rPr>
        <w:t>本项目位于疏勒高新技术产业开发区齐鲁生态钢城化工产业聚集区</w:t>
      </w:r>
      <w:r>
        <w:rPr>
          <w:rFonts w:cs="Times New Roman"/>
          <w:bCs/>
          <w:color w:val="000000" w:themeColor="text1"/>
          <w:sz w:val="24"/>
          <w:szCs w:val="24"/>
        </w:rPr>
        <w:t>，</w:t>
      </w:r>
      <w:r>
        <w:rPr>
          <w:rFonts w:cs="Times New Roman" w:hint="eastAsia"/>
          <w:bCs/>
          <w:color w:val="000000" w:themeColor="text1"/>
          <w:sz w:val="24"/>
          <w:szCs w:val="24"/>
        </w:rPr>
        <w:t>根据项目特点，本项目属于污染影响型项目。</w:t>
      </w:r>
    </w:p>
    <w:p w:rsidR="00644456" w:rsidRDefault="008031C4">
      <w:pPr>
        <w:spacing w:line="360" w:lineRule="auto"/>
        <w:ind w:firstLineChars="200" w:firstLine="480"/>
        <w:textAlignment w:val="baseline"/>
        <w:rPr>
          <w:rFonts w:cs="Times New Roman"/>
          <w:bCs/>
          <w:color w:val="000000" w:themeColor="text1"/>
          <w:sz w:val="24"/>
          <w:szCs w:val="24"/>
        </w:rPr>
      </w:pPr>
      <w:r>
        <w:rPr>
          <w:rFonts w:cs="Times New Roman" w:hint="eastAsia"/>
          <w:bCs/>
          <w:color w:val="000000" w:themeColor="text1"/>
          <w:sz w:val="24"/>
          <w:szCs w:val="24"/>
        </w:rPr>
        <w:t>本项目占地为工业用地，位于园区内，因此土壤</w:t>
      </w:r>
      <w:r>
        <w:rPr>
          <w:rFonts w:cs="Times New Roman"/>
          <w:bCs/>
          <w:color w:val="000000" w:themeColor="text1"/>
          <w:sz w:val="24"/>
          <w:szCs w:val="24"/>
        </w:rPr>
        <w:t>环境属于</w:t>
      </w:r>
      <w:r>
        <w:rPr>
          <w:rFonts w:cs="Times New Roman" w:hint="eastAsia"/>
          <w:bCs/>
          <w:color w:val="000000" w:themeColor="text1"/>
          <w:sz w:val="24"/>
          <w:szCs w:val="24"/>
        </w:rPr>
        <w:t>不敏感</w:t>
      </w:r>
      <w:r>
        <w:rPr>
          <w:rFonts w:cs="Times New Roman"/>
          <w:bCs/>
          <w:color w:val="000000" w:themeColor="text1"/>
          <w:sz w:val="24"/>
          <w:szCs w:val="24"/>
        </w:rPr>
        <w:t>。</w:t>
      </w:r>
      <w:r>
        <w:rPr>
          <w:rFonts w:cs="Times New Roman" w:hint="eastAsia"/>
          <w:bCs/>
          <w:color w:val="000000" w:themeColor="text1"/>
          <w:sz w:val="24"/>
          <w:szCs w:val="24"/>
        </w:rPr>
        <w:t>本项目在工业园区预留空地内建设，项目总</w:t>
      </w:r>
      <w:r>
        <w:rPr>
          <w:rFonts w:cs="Times New Roman"/>
          <w:bCs/>
          <w:color w:val="000000" w:themeColor="text1"/>
          <w:sz w:val="24"/>
          <w:szCs w:val="24"/>
        </w:rPr>
        <w:t>占地</w:t>
      </w:r>
      <w:r>
        <w:rPr>
          <w:rFonts w:cs="Times New Roman" w:hint="eastAsia"/>
          <w:bCs/>
          <w:color w:val="000000" w:themeColor="text1"/>
          <w:sz w:val="24"/>
          <w:szCs w:val="24"/>
        </w:rPr>
        <w:t>30524</w:t>
      </w:r>
      <w:r>
        <w:rPr>
          <w:rFonts w:cs="Times New Roman"/>
          <w:bCs/>
          <w:color w:val="000000" w:themeColor="text1"/>
          <w:sz w:val="24"/>
          <w:szCs w:val="24"/>
        </w:rPr>
        <w:t>m</w:t>
      </w:r>
      <w:r>
        <w:rPr>
          <w:rFonts w:cs="Times New Roman"/>
          <w:bCs/>
          <w:color w:val="000000" w:themeColor="text1"/>
          <w:sz w:val="24"/>
          <w:szCs w:val="24"/>
          <w:vertAlign w:val="superscript"/>
        </w:rPr>
        <w:t>2</w:t>
      </w:r>
      <w:r>
        <w:rPr>
          <w:rFonts w:cs="Times New Roman"/>
          <w:bCs/>
          <w:color w:val="000000" w:themeColor="text1"/>
          <w:sz w:val="24"/>
          <w:szCs w:val="24"/>
        </w:rPr>
        <w:t>≈</w:t>
      </w:r>
      <w:r>
        <w:rPr>
          <w:rFonts w:cs="Times New Roman" w:hint="eastAsia"/>
          <w:bCs/>
          <w:color w:val="000000" w:themeColor="text1"/>
          <w:sz w:val="24"/>
          <w:szCs w:val="24"/>
        </w:rPr>
        <w:t>3.0524</w:t>
      </w:r>
      <w:r>
        <w:rPr>
          <w:rFonts w:cs="Times New Roman"/>
          <w:bCs/>
          <w:color w:val="000000" w:themeColor="text1"/>
          <w:sz w:val="24"/>
          <w:szCs w:val="24"/>
        </w:rPr>
        <w:t>hm</w:t>
      </w:r>
      <w:r>
        <w:rPr>
          <w:rFonts w:cs="Times New Roman"/>
          <w:bCs/>
          <w:color w:val="000000" w:themeColor="text1"/>
          <w:sz w:val="24"/>
          <w:szCs w:val="24"/>
          <w:vertAlign w:val="superscript"/>
        </w:rPr>
        <w:t>2</w:t>
      </w:r>
      <w:r>
        <w:rPr>
          <w:rFonts w:ascii="微软雅黑" w:eastAsia="微软雅黑" w:hAnsi="微软雅黑" w:cs="微软雅黑" w:hint="eastAsia"/>
          <w:bCs/>
          <w:color w:val="000000" w:themeColor="text1"/>
          <w:sz w:val="24"/>
          <w:szCs w:val="24"/>
        </w:rPr>
        <w:t>&lt;</w:t>
      </w:r>
      <w:r>
        <w:rPr>
          <w:rFonts w:cs="Times New Roman" w:hint="eastAsia"/>
          <w:bCs/>
          <w:color w:val="000000" w:themeColor="text1"/>
          <w:sz w:val="24"/>
          <w:szCs w:val="24"/>
        </w:rPr>
        <w:t>5</w:t>
      </w:r>
      <w:r>
        <w:rPr>
          <w:rFonts w:cs="Times New Roman"/>
          <w:bCs/>
          <w:color w:val="000000" w:themeColor="text1"/>
          <w:sz w:val="24"/>
          <w:szCs w:val="24"/>
        </w:rPr>
        <w:t>hm</w:t>
      </w:r>
      <w:r>
        <w:rPr>
          <w:rFonts w:cs="Times New Roman"/>
          <w:bCs/>
          <w:color w:val="000000" w:themeColor="text1"/>
          <w:sz w:val="24"/>
          <w:szCs w:val="24"/>
          <w:vertAlign w:val="superscript"/>
        </w:rPr>
        <w:t>2</w:t>
      </w:r>
      <w:r>
        <w:rPr>
          <w:rFonts w:cs="Times New Roman"/>
          <w:bCs/>
          <w:color w:val="000000" w:themeColor="text1"/>
          <w:sz w:val="24"/>
          <w:szCs w:val="24"/>
        </w:rPr>
        <w:t>，判定占地规模为</w:t>
      </w:r>
      <w:r>
        <w:rPr>
          <w:rFonts w:cs="Times New Roman" w:hint="eastAsia"/>
          <w:bCs/>
          <w:color w:val="000000" w:themeColor="text1"/>
          <w:sz w:val="24"/>
          <w:szCs w:val="24"/>
        </w:rPr>
        <w:t>小</w:t>
      </w:r>
      <w:r>
        <w:rPr>
          <w:rFonts w:cs="Times New Roman" w:hint="eastAsia"/>
          <w:bCs/>
          <w:color w:val="000000" w:themeColor="text1"/>
          <w:sz w:val="24"/>
          <w:szCs w:val="24"/>
        </w:rPr>
        <w:lastRenderedPageBreak/>
        <w:t>型。</w:t>
      </w:r>
      <w:r>
        <w:rPr>
          <w:rFonts w:cs="Times New Roman"/>
          <w:bCs/>
          <w:color w:val="000000" w:themeColor="text1"/>
          <w:sz w:val="24"/>
          <w:szCs w:val="24"/>
        </w:rPr>
        <w:t>本项目</w:t>
      </w:r>
      <w:r>
        <w:rPr>
          <w:rFonts w:cs="Times New Roman" w:hint="eastAsia"/>
          <w:bCs/>
          <w:color w:val="000000" w:themeColor="text1"/>
          <w:sz w:val="24"/>
          <w:szCs w:val="24"/>
        </w:rPr>
        <w:t>污染影响型土壤</w:t>
      </w:r>
      <w:r>
        <w:rPr>
          <w:rFonts w:cs="Times New Roman"/>
          <w:bCs/>
          <w:color w:val="000000" w:themeColor="text1"/>
          <w:sz w:val="24"/>
          <w:szCs w:val="24"/>
        </w:rPr>
        <w:t>评价工作等级判定如下。</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1.8-9</w:t>
      </w:r>
      <w:r>
        <w:rPr>
          <w:rFonts w:ascii="Times New Roman" w:eastAsia="宋体" w:hAnsi="Times New Roman" w:cs="Times New Roman" w:hint="eastAsia"/>
          <w:b/>
          <w:color w:val="000000" w:themeColor="text1"/>
          <w:sz w:val="24"/>
        </w:rPr>
        <w:t>污染影响型土壤评价工作等级分级表</w:t>
      </w:r>
    </w:p>
    <w:tbl>
      <w:tblPr>
        <w:tblW w:w="8821"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0"/>
        <w:gridCol w:w="845"/>
        <w:gridCol w:w="720"/>
        <w:gridCol w:w="720"/>
        <w:gridCol w:w="720"/>
        <w:gridCol w:w="720"/>
        <w:gridCol w:w="720"/>
        <w:gridCol w:w="720"/>
        <w:gridCol w:w="540"/>
        <w:gridCol w:w="676"/>
      </w:tblGrid>
      <w:tr w:rsidR="00644456">
        <w:trPr>
          <w:trHeight w:val="549"/>
          <w:jc w:val="center"/>
        </w:trPr>
        <w:tc>
          <w:tcPr>
            <w:tcW w:w="2440" w:type="dxa"/>
            <w:vMerge w:val="restart"/>
            <w:vAlign w:val="center"/>
          </w:tcPr>
          <w:p w:rsidR="00644456" w:rsidRDefault="008031C4">
            <w:pPr>
              <w:jc w:val="center"/>
              <w:rPr>
                <w:rFonts w:cs="Times New Roman"/>
                <w:bCs/>
                <w:color w:val="000000" w:themeColor="text1"/>
                <w:szCs w:val="21"/>
              </w:rPr>
            </w:pPr>
            <w:r>
              <w:rPr>
                <w:rFonts w:cs="Times New Roman"/>
                <w:bCs/>
                <w:noProof/>
                <w:color w:val="000000" w:themeColor="text1"/>
                <w:szCs w:val="21"/>
              </w:rPr>
              <mc:AlternateContent>
                <mc:Choice Requires="wps">
                  <w:drawing>
                    <wp:anchor distT="0" distB="0" distL="114300" distR="114300" simplePos="0" relativeHeight="251665408" behindDoc="0" locked="0" layoutInCell="1" allowOverlap="1" wp14:anchorId="40E0F8D5" wp14:editId="11B6E28A">
                      <wp:simplePos x="0" y="0"/>
                      <wp:positionH relativeFrom="column">
                        <wp:posOffset>18415</wp:posOffset>
                      </wp:positionH>
                      <wp:positionV relativeFrom="paragraph">
                        <wp:posOffset>338455</wp:posOffset>
                      </wp:positionV>
                      <wp:extent cx="1496695" cy="552450"/>
                      <wp:effectExtent l="10160" t="8890" r="7620" b="10160"/>
                      <wp:wrapNone/>
                      <wp:docPr id="52" name="直接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6695" cy="552450"/>
                              </a:xfrm>
                              <a:prstGeom prst="line">
                                <a:avLst/>
                              </a:prstGeom>
                              <a:noFill/>
                              <a:ln w="6350">
                                <a:solidFill>
                                  <a:srgbClr val="000000"/>
                                </a:solidFill>
                                <a:round/>
                              </a:ln>
                            </wps:spPr>
                            <wps:bodyPr/>
                          </wps:wsp>
                        </a:graphicData>
                      </a:graphic>
                    </wp:anchor>
                  </w:drawing>
                </mc:Choice>
                <mc:Fallback>
                  <w:pict>
                    <v:line w14:anchorId="3D59B900" id="直接连接符 52"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1.45pt,26.65pt" to="119.3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" strokeweight=".5pt"/>
                  </w:pict>
                </mc:Fallback>
              </mc:AlternateContent>
            </w:r>
            <w:r>
              <w:rPr>
                <w:rFonts w:cs="Times New Roman"/>
                <w:bCs/>
                <w:noProof/>
                <w:color w:val="000000" w:themeColor="text1"/>
                <w:szCs w:val="21"/>
              </w:rPr>
              <mc:AlternateContent>
                <mc:Choice Requires="wps">
                  <w:drawing>
                    <wp:anchor distT="0" distB="0" distL="114300" distR="114300" simplePos="0" relativeHeight="251664384" behindDoc="0" locked="0" layoutInCell="1" allowOverlap="1" wp14:anchorId="301D95D6" wp14:editId="7A09F414">
                      <wp:simplePos x="0" y="0"/>
                      <wp:positionH relativeFrom="column">
                        <wp:posOffset>784860</wp:posOffset>
                      </wp:positionH>
                      <wp:positionV relativeFrom="paragraph">
                        <wp:posOffset>15875</wp:posOffset>
                      </wp:positionV>
                      <wp:extent cx="740410" cy="868680"/>
                      <wp:effectExtent l="5080" t="10160" r="6985" b="6985"/>
                      <wp:wrapNone/>
                      <wp:docPr id="28" name="直接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0410" cy="868680"/>
                              </a:xfrm>
                              <a:prstGeom prst="line">
                                <a:avLst/>
                              </a:prstGeom>
                              <a:noFill/>
                              <a:ln w="6350">
                                <a:solidFill>
                                  <a:srgbClr val="000000"/>
                                </a:solidFill>
                                <a:round/>
                              </a:ln>
                            </wps:spPr>
                            <wps:bodyPr/>
                          </wps:wsp>
                        </a:graphicData>
                      </a:graphic>
                    </wp:anchor>
                  </w:drawing>
                </mc:Choice>
                <mc:Fallback>
                  <w:pict>
                    <v:line w14:anchorId="4D57C2CD" id="直接连接符 28"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61.8pt,1.25pt" to="120.1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" strokeweight=".5pt"/>
                  </w:pict>
                </mc:Fallback>
              </mc:AlternateContent>
            </w:r>
            <w:r>
              <w:rPr>
                <w:rFonts w:cs="Times New Roman"/>
                <w:bCs/>
                <w:noProof/>
                <w:color w:val="000000" w:themeColor="text1"/>
                <w:szCs w:val="21"/>
              </w:rPr>
              <mc:AlternateContent>
                <mc:Choice Requires="wps">
                  <w:drawing>
                    <wp:anchor distT="0" distB="0" distL="114300" distR="114300" simplePos="0" relativeHeight="251668480" behindDoc="0" locked="0" layoutInCell="1" allowOverlap="1" wp14:anchorId="6AE58C17" wp14:editId="033C2CB2">
                      <wp:simplePos x="0" y="0"/>
                      <wp:positionH relativeFrom="column">
                        <wp:posOffset>166370</wp:posOffset>
                      </wp:positionH>
                      <wp:positionV relativeFrom="paragraph">
                        <wp:posOffset>640080</wp:posOffset>
                      </wp:positionV>
                      <wp:extent cx="895985" cy="283210"/>
                      <wp:effectExtent l="0" t="0" r="3175" b="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83210"/>
                              </a:xfrm>
                              <a:prstGeom prst="rect">
                                <a:avLst/>
                              </a:prstGeom>
                              <a:noFill/>
                              <a:ln>
                                <a:noFill/>
                              </a:ln>
                            </wps:spPr>
                            <wps:txbx>
                              <w:txbxContent>
                                <w:p w:rsidR="00AC71A6" w:rsidRDefault="00AC71A6">
                                  <w:pPr>
                                    <w:rPr>
                                      <w:szCs w:val="21"/>
                                    </w:rPr>
                                  </w:pPr>
                                  <w:r>
                                    <w:rPr>
                                      <w:rFonts w:hint="eastAsia"/>
                                      <w:szCs w:val="21"/>
                                    </w:rPr>
                                    <w:t>敏感程度</w:t>
                                  </w:r>
                                </w:p>
                              </w:txbxContent>
                            </wps:txbx>
                            <wps:bodyPr rot="0" vert="horz" wrap="square" lIns="91440" tIns="45720" rIns="91440" bIns="45720" anchor="t" anchorCtr="0" upright="1">
                              <a:noAutofit/>
                            </wps:bodyPr>
                          </wps:wsp>
                        </a:graphicData>
                      </a:graphic>
                    </wp:anchor>
                  </w:drawing>
                </mc:Choice>
                <mc:Fallback>
                  <w:pict>
                    <v:rect w14:anchorId="6AE58C17" id="矩形 8" o:spid="_x0000_s1026" style="position:absolute;left:0;text-align:left;margin-left:13.1pt;margin-top:50.4pt;width:70.55pt;height:22.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" filled="f" stroked="f">
                      <v:textbox>
                        <w:txbxContent>
                          <w:p w:rsidR="00AC71A6" w:rsidRDefault="00AC71A6">
                            <w:pPr>
                              <w:rPr>
                                <w:szCs w:val="21"/>
                              </w:rPr>
                            </w:pPr>
                            <w:r>
                              <w:rPr>
                                <w:rFonts w:hint="eastAsia"/>
                                <w:szCs w:val="21"/>
                              </w:rPr>
                              <w:t>敏感程度</w:t>
                            </w:r>
                          </w:p>
                        </w:txbxContent>
                      </v:textbox>
                    </v:rect>
                  </w:pict>
                </mc:Fallback>
              </mc:AlternateContent>
            </w:r>
            <w:r>
              <w:rPr>
                <w:rFonts w:cs="Times New Roman"/>
                <w:bCs/>
                <w:noProof/>
                <w:color w:val="000000" w:themeColor="text1"/>
                <w:szCs w:val="21"/>
              </w:rPr>
              <mc:AlternateContent>
                <mc:Choice Requires="wps">
                  <w:drawing>
                    <wp:anchor distT="0" distB="0" distL="114300" distR="114300" simplePos="0" relativeHeight="251667456" behindDoc="0" locked="0" layoutInCell="1" allowOverlap="1" wp14:anchorId="368B5027" wp14:editId="198EB772">
                      <wp:simplePos x="0" y="0"/>
                      <wp:positionH relativeFrom="column">
                        <wp:posOffset>1057275</wp:posOffset>
                      </wp:positionH>
                      <wp:positionV relativeFrom="paragraph">
                        <wp:posOffset>201295</wp:posOffset>
                      </wp:positionV>
                      <wp:extent cx="895985" cy="495300"/>
                      <wp:effectExtent l="1270" t="0" r="0" b="4445"/>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495300"/>
                              </a:xfrm>
                              <a:prstGeom prst="rect">
                                <a:avLst/>
                              </a:prstGeom>
                              <a:noFill/>
                              <a:ln>
                                <a:noFill/>
                              </a:ln>
                            </wps:spPr>
                            <wps:txbx>
                              <w:txbxContent>
                                <w:p w:rsidR="00AC71A6" w:rsidRDefault="00AC71A6">
                                  <w:pPr>
                                    <w:rPr>
                                      <w:szCs w:val="21"/>
                                    </w:rPr>
                                  </w:pPr>
                                  <w:r>
                                    <w:rPr>
                                      <w:rFonts w:hint="eastAsia"/>
                                      <w:szCs w:val="21"/>
                                    </w:rPr>
                                    <w:t>占地</w:t>
                                  </w:r>
                                </w:p>
                                <w:p w:rsidR="00AC71A6" w:rsidRDefault="00AC71A6">
                                  <w:pPr>
                                    <w:rPr>
                                      <w:szCs w:val="21"/>
                                    </w:rPr>
                                  </w:pPr>
                                  <w:r>
                                    <w:rPr>
                                      <w:rFonts w:hint="eastAsia"/>
                                      <w:szCs w:val="21"/>
                                    </w:rPr>
                                    <w:t>规模</w:t>
                                  </w:r>
                                </w:p>
                              </w:txbxContent>
                            </wps:txbx>
                            <wps:bodyPr rot="0" vert="horz" wrap="square" lIns="91440" tIns="45720" rIns="91440" bIns="45720" anchor="t" anchorCtr="0" upright="1">
                              <a:noAutofit/>
                            </wps:bodyPr>
                          </wps:wsp>
                        </a:graphicData>
                      </a:graphic>
                    </wp:anchor>
                  </w:drawing>
                </mc:Choice>
                <mc:Fallback>
                  <w:pict>
                    <v:rect w14:anchorId="368B5027" id="矩形 7" o:spid="_x0000_s1027" style="position:absolute;left:0;text-align:left;margin-left:83.25pt;margin-top:15.85pt;width:70.55pt;height:3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" filled="f" stroked="f">
                      <v:textbox>
                        <w:txbxContent>
                          <w:p w:rsidR="00AC71A6" w:rsidRDefault="00AC71A6">
                            <w:pPr>
                              <w:rPr>
                                <w:szCs w:val="21"/>
                              </w:rPr>
                            </w:pPr>
                            <w:r>
                              <w:rPr>
                                <w:rFonts w:hint="eastAsia"/>
                                <w:szCs w:val="21"/>
                              </w:rPr>
                              <w:t>占地</w:t>
                            </w:r>
                          </w:p>
                          <w:p w:rsidR="00AC71A6" w:rsidRDefault="00AC71A6">
                            <w:pPr>
                              <w:rPr>
                                <w:szCs w:val="21"/>
                              </w:rPr>
                            </w:pPr>
                            <w:r>
                              <w:rPr>
                                <w:rFonts w:hint="eastAsia"/>
                                <w:szCs w:val="21"/>
                              </w:rPr>
                              <w:t>规模</w:t>
                            </w:r>
                          </w:p>
                        </w:txbxContent>
                      </v:textbox>
                    </v:rect>
                  </w:pict>
                </mc:Fallback>
              </mc:AlternateContent>
            </w:r>
            <w:r>
              <w:rPr>
                <w:rFonts w:cs="Times New Roman"/>
                <w:bCs/>
                <w:noProof/>
                <w:color w:val="000000" w:themeColor="text1"/>
                <w:szCs w:val="21"/>
              </w:rPr>
              <mc:AlternateContent>
                <mc:Choice Requires="wps">
                  <w:drawing>
                    <wp:anchor distT="0" distB="0" distL="114300" distR="114300" simplePos="0" relativeHeight="251666432" behindDoc="0" locked="0" layoutInCell="1" allowOverlap="1" wp14:anchorId="132061A4" wp14:editId="5C4E8028">
                      <wp:simplePos x="0" y="0"/>
                      <wp:positionH relativeFrom="column">
                        <wp:posOffset>368300</wp:posOffset>
                      </wp:positionH>
                      <wp:positionV relativeFrom="paragraph">
                        <wp:posOffset>194945</wp:posOffset>
                      </wp:positionV>
                      <wp:extent cx="1141730" cy="503555"/>
                      <wp:effectExtent l="0" t="0" r="3175" b="254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68447">
                                <a:off x="0" y="0"/>
                                <a:ext cx="1141730" cy="503555"/>
                              </a:xfrm>
                              <a:prstGeom prst="rect">
                                <a:avLst/>
                              </a:prstGeom>
                              <a:noFill/>
                              <a:ln>
                                <a:noFill/>
                              </a:ln>
                            </wps:spPr>
                            <wps:txbx>
                              <w:txbxContent>
                                <w:p w:rsidR="00AC71A6" w:rsidRDefault="00AC71A6">
                                  <w:pPr>
                                    <w:jc w:val="left"/>
                                    <w:rPr>
                                      <w:rFonts w:cs="Times New Roman"/>
                                      <w:bCs/>
                                      <w:szCs w:val="21"/>
                                    </w:rPr>
                                  </w:pPr>
                                  <w:r>
                                    <w:rPr>
                                      <w:rFonts w:cs="Times New Roman" w:hint="eastAsia"/>
                                      <w:bCs/>
                                      <w:szCs w:val="21"/>
                                    </w:rPr>
                                    <w:t>评价工</w:t>
                                  </w:r>
                                </w:p>
                                <w:p w:rsidR="00AC71A6" w:rsidRDefault="00AC71A6">
                                  <w:pPr>
                                    <w:jc w:val="left"/>
                                    <w:rPr>
                                      <w:rFonts w:cs="Times New Roman"/>
                                      <w:bCs/>
                                      <w:szCs w:val="21"/>
                                    </w:rPr>
                                  </w:pPr>
                                  <w:r>
                                    <w:rPr>
                                      <w:rFonts w:cs="Times New Roman" w:hint="eastAsia"/>
                                      <w:bCs/>
                                      <w:szCs w:val="21"/>
                                    </w:rPr>
                                    <w:t>作等级</w:t>
                                  </w:r>
                                </w:p>
                              </w:txbxContent>
                            </wps:txbx>
                            <wps:bodyPr rot="0" vert="horz" wrap="square" lIns="91440" tIns="45720" rIns="91440" bIns="45720" anchor="t" anchorCtr="0" upright="1">
                              <a:noAutofit/>
                            </wps:bodyPr>
                          </wps:wsp>
                        </a:graphicData>
                      </a:graphic>
                    </wp:anchor>
                  </w:drawing>
                </mc:Choice>
                <mc:Fallback>
                  <w:pict>
                    <v:rect w14:anchorId="132061A4" id="矩形 4" o:spid="_x0000_s1028" style="position:absolute;left:0;text-align:left;margin-left:29pt;margin-top:15.35pt;width:89.9pt;height:39.65pt;rotation:2259296fd;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" filled="f" stroked="f">
                      <v:textbox>
                        <w:txbxContent>
                          <w:p w:rsidR="00AC71A6" w:rsidRDefault="00AC71A6">
                            <w:pPr>
                              <w:jc w:val="left"/>
                              <w:rPr>
                                <w:rFonts w:cs="Times New Roman"/>
                                <w:bCs/>
                                <w:szCs w:val="21"/>
                              </w:rPr>
                            </w:pPr>
                            <w:r>
                              <w:rPr>
                                <w:rFonts w:cs="Times New Roman" w:hint="eastAsia"/>
                                <w:bCs/>
                                <w:szCs w:val="21"/>
                              </w:rPr>
                              <w:t>评价工</w:t>
                            </w:r>
                          </w:p>
                          <w:p w:rsidR="00AC71A6" w:rsidRDefault="00AC71A6">
                            <w:pPr>
                              <w:jc w:val="left"/>
                              <w:rPr>
                                <w:rFonts w:cs="Times New Roman"/>
                                <w:bCs/>
                                <w:szCs w:val="21"/>
                              </w:rPr>
                            </w:pPr>
                            <w:r>
                              <w:rPr>
                                <w:rFonts w:cs="Times New Roman" w:hint="eastAsia"/>
                                <w:bCs/>
                                <w:szCs w:val="21"/>
                              </w:rPr>
                              <w:t>作等级</w:t>
                            </w:r>
                          </w:p>
                        </w:txbxContent>
                      </v:textbox>
                    </v:rect>
                  </w:pict>
                </mc:Fallback>
              </mc:AlternateContent>
            </w:r>
          </w:p>
        </w:tc>
        <w:tc>
          <w:tcPr>
            <w:tcW w:w="2285" w:type="dxa"/>
            <w:gridSpan w:val="3"/>
            <w:vAlign w:val="center"/>
          </w:tcPr>
          <w:p w:rsidR="00644456" w:rsidRDefault="008031C4">
            <w:pPr>
              <w:jc w:val="center"/>
              <w:rPr>
                <w:rFonts w:cs="Times New Roman"/>
                <w:bCs/>
                <w:color w:val="000000" w:themeColor="text1"/>
                <w:szCs w:val="21"/>
              </w:rPr>
            </w:pPr>
            <w:r>
              <w:rPr>
                <w:rFonts w:cs="Times New Roman"/>
                <w:bCs/>
                <w:color w:val="000000" w:themeColor="text1"/>
                <w:szCs w:val="21"/>
              </w:rPr>
              <w:fldChar w:fldCharType="begin"/>
            </w:r>
            <w:r>
              <w:rPr>
                <w:rFonts w:cs="Times New Roman"/>
                <w:bCs/>
                <w:color w:val="000000" w:themeColor="text1"/>
                <w:szCs w:val="21"/>
              </w:rPr>
              <w:instrText xml:space="preserve"> = 1 \* ROMAN </w:instrText>
            </w:r>
            <w:r>
              <w:rPr>
                <w:rFonts w:cs="Times New Roman"/>
                <w:bCs/>
                <w:color w:val="000000" w:themeColor="text1"/>
                <w:szCs w:val="21"/>
              </w:rPr>
              <w:fldChar w:fldCharType="separate"/>
            </w:r>
            <w:r>
              <w:rPr>
                <w:rFonts w:cs="Times New Roman"/>
                <w:bCs/>
                <w:color w:val="000000" w:themeColor="text1"/>
                <w:szCs w:val="21"/>
              </w:rPr>
              <w:t>I</w:t>
            </w:r>
            <w:r>
              <w:rPr>
                <w:rFonts w:cs="Times New Roman"/>
                <w:bCs/>
                <w:color w:val="000000" w:themeColor="text1"/>
                <w:szCs w:val="21"/>
              </w:rPr>
              <w:fldChar w:fldCharType="end"/>
            </w:r>
            <w:r>
              <w:rPr>
                <w:rFonts w:cs="Times New Roman"/>
                <w:bCs/>
                <w:color w:val="000000" w:themeColor="text1"/>
                <w:szCs w:val="21"/>
              </w:rPr>
              <w:t>类项目</w:t>
            </w:r>
          </w:p>
        </w:tc>
        <w:tc>
          <w:tcPr>
            <w:tcW w:w="2160" w:type="dxa"/>
            <w:gridSpan w:val="3"/>
            <w:vAlign w:val="center"/>
          </w:tcPr>
          <w:p w:rsidR="00644456" w:rsidRDefault="008031C4">
            <w:pPr>
              <w:jc w:val="center"/>
              <w:rPr>
                <w:rFonts w:cs="Times New Roman"/>
                <w:bCs/>
                <w:color w:val="000000" w:themeColor="text1"/>
                <w:szCs w:val="21"/>
              </w:rPr>
            </w:pPr>
            <w:r>
              <w:rPr>
                <w:rFonts w:cs="Times New Roman"/>
                <w:bCs/>
                <w:color w:val="000000" w:themeColor="text1"/>
                <w:szCs w:val="21"/>
              </w:rPr>
              <w:fldChar w:fldCharType="begin"/>
            </w:r>
            <w:r>
              <w:rPr>
                <w:rFonts w:cs="Times New Roman"/>
                <w:bCs/>
                <w:color w:val="000000" w:themeColor="text1"/>
                <w:szCs w:val="21"/>
              </w:rPr>
              <w:instrText xml:space="preserve"> = 2 \* ROMAN </w:instrText>
            </w:r>
            <w:r>
              <w:rPr>
                <w:rFonts w:cs="Times New Roman"/>
                <w:bCs/>
                <w:color w:val="000000" w:themeColor="text1"/>
                <w:szCs w:val="21"/>
              </w:rPr>
              <w:fldChar w:fldCharType="separate"/>
            </w:r>
            <w:r>
              <w:rPr>
                <w:rFonts w:cs="Times New Roman"/>
                <w:bCs/>
                <w:color w:val="000000" w:themeColor="text1"/>
                <w:szCs w:val="21"/>
              </w:rPr>
              <w:t>II</w:t>
            </w:r>
            <w:r>
              <w:rPr>
                <w:rFonts w:cs="Times New Roman"/>
                <w:bCs/>
                <w:color w:val="000000" w:themeColor="text1"/>
                <w:szCs w:val="21"/>
              </w:rPr>
              <w:fldChar w:fldCharType="end"/>
            </w:r>
            <w:r>
              <w:rPr>
                <w:rFonts w:cs="Times New Roman"/>
                <w:bCs/>
                <w:color w:val="000000" w:themeColor="text1"/>
                <w:szCs w:val="21"/>
              </w:rPr>
              <w:t>类项目</w:t>
            </w:r>
          </w:p>
        </w:tc>
        <w:tc>
          <w:tcPr>
            <w:tcW w:w="1936" w:type="dxa"/>
            <w:gridSpan w:val="3"/>
            <w:vAlign w:val="center"/>
          </w:tcPr>
          <w:p w:rsidR="00644456" w:rsidRDefault="008031C4">
            <w:pPr>
              <w:jc w:val="center"/>
              <w:rPr>
                <w:rFonts w:cs="Times New Roman"/>
                <w:bCs/>
                <w:color w:val="000000" w:themeColor="text1"/>
                <w:szCs w:val="21"/>
              </w:rPr>
            </w:pPr>
            <w:r>
              <w:rPr>
                <w:rFonts w:cs="Times New Roman"/>
                <w:bCs/>
                <w:color w:val="000000" w:themeColor="text1"/>
                <w:szCs w:val="21"/>
              </w:rPr>
              <w:fldChar w:fldCharType="begin"/>
            </w:r>
            <w:r>
              <w:rPr>
                <w:rFonts w:cs="Times New Roman"/>
                <w:bCs/>
                <w:color w:val="000000" w:themeColor="text1"/>
                <w:szCs w:val="21"/>
              </w:rPr>
              <w:instrText xml:space="preserve"> = 3 \* ROMAN </w:instrText>
            </w:r>
            <w:r>
              <w:rPr>
                <w:rFonts w:cs="Times New Roman"/>
                <w:bCs/>
                <w:color w:val="000000" w:themeColor="text1"/>
                <w:szCs w:val="21"/>
              </w:rPr>
              <w:fldChar w:fldCharType="separate"/>
            </w:r>
            <w:r>
              <w:rPr>
                <w:rFonts w:cs="Times New Roman"/>
                <w:bCs/>
                <w:color w:val="000000" w:themeColor="text1"/>
                <w:szCs w:val="21"/>
              </w:rPr>
              <w:t>III</w:t>
            </w:r>
            <w:r>
              <w:rPr>
                <w:rFonts w:cs="Times New Roman"/>
                <w:bCs/>
                <w:color w:val="000000" w:themeColor="text1"/>
                <w:szCs w:val="21"/>
              </w:rPr>
              <w:fldChar w:fldCharType="end"/>
            </w:r>
            <w:r>
              <w:rPr>
                <w:rFonts w:cs="Times New Roman"/>
                <w:bCs/>
                <w:color w:val="000000" w:themeColor="text1"/>
                <w:szCs w:val="21"/>
              </w:rPr>
              <w:t>类</w:t>
            </w:r>
          </w:p>
        </w:tc>
      </w:tr>
      <w:tr w:rsidR="00644456">
        <w:trPr>
          <w:trHeight w:val="847"/>
          <w:jc w:val="center"/>
        </w:trPr>
        <w:tc>
          <w:tcPr>
            <w:tcW w:w="2440" w:type="dxa"/>
            <w:vMerge/>
            <w:vAlign w:val="center"/>
          </w:tcPr>
          <w:p w:rsidR="00644456" w:rsidRDefault="00644456">
            <w:pPr>
              <w:jc w:val="center"/>
              <w:rPr>
                <w:rFonts w:cs="Times New Roman"/>
                <w:bCs/>
                <w:color w:val="000000" w:themeColor="text1"/>
                <w:szCs w:val="21"/>
              </w:rPr>
            </w:pPr>
          </w:p>
        </w:tc>
        <w:tc>
          <w:tcPr>
            <w:tcW w:w="845" w:type="dxa"/>
            <w:vAlign w:val="center"/>
          </w:tcPr>
          <w:p w:rsidR="00644456" w:rsidRDefault="008031C4">
            <w:pPr>
              <w:jc w:val="center"/>
              <w:rPr>
                <w:rFonts w:cs="Times New Roman"/>
                <w:bCs/>
                <w:color w:val="000000" w:themeColor="text1"/>
                <w:szCs w:val="21"/>
              </w:rPr>
            </w:pPr>
            <w:r>
              <w:rPr>
                <w:rFonts w:cs="Times New Roman" w:hint="eastAsia"/>
                <w:bCs/>
                <w:color w:val="000000" w:themeColor="text1"/>
                <w:szCs w:val="21"/>
              </w:rPr>
              <w:t>大</w:t>
            </w:r>
          </w:p>
        </w:tc>
        <w:tc>
          <w:tcPr>
            <w:tcW w:w="720" w:type="dxa"/>
            <w:vAlign w:val="center"/>
          </w:tcPr>
          <w:p w:rsidR="00644456" w:rsidRDefault="008031C4">
            <w:pPr>
              <w:jc w:val="center"/>
              <w:rPr>
                <w:rFonts w:cs="Times New Roman"/>
                <w:bCs/>
                <w:color w:val="000000" w:themeColor="text1"/>
                <w:szCs w:val="21"/>
              </w:rPr>
            </w:pPr>
            <w:r>
              <w:rPr>
                <w:rFonts w:cs="Times New Roman" w:hint="eastAsia"/>
                <w:bCs/>
                <w:color w:val="000000" w:themeColor="text1"/>
                <w:szCs w:val="21"/>
              </w:rPr>
              <w:t>中</w:t>
            </w:r>
          </w:p>
        </w:tc>
        <w:tc>
          <w:tcPr>
            <w:tcW w:w="720" w:type="dxa"/>
            <w:vAlign w:val="center"/>
          </w:tcPr>
          <w:p w:rsidR="00644456" w:rsidRDefault="008031C4">
            <w:pPr>
              <w:jc w:val="center"/>
              <w:rPr>
                <w:rFonts w:cs="Times New Roman"/>
                <w:bCs/>
                <w:color w:val="000000" w:themeColor="text1"/>
                <w:szCs w:val="21"/>
              </w:rPr>
            </w:pPr>
            <w:r>
              <w:rPr>
                <w:rFonts w:cs="Times New Roman" w:hint="eastAsia"/>
                <w:bCs/>
                <w:color w:val="000000" w:themeColor="text1"/>
                <w:szCs w:val="21"/>
              </w:rPr>
              <w:t>小</w:t>
            </w:r>
          </w:p>
        </w:tc>
        <w:tc>
          <w:tcPr>
            <w:tcW w:w="720" w:type="dxa"/>
            <w:vAlign w:val="center"/>
          </w:tcPr>
          <w:p w:rsidR="00644456" w:rsidRDefault="008031C4">
            <w:pPr>
              <w:jc w:val="center"/>
              <w:rPr>
                <w:rFonts w:cs="Times New Roman"/>
                <w:bCs/>
                <w:color w:val="000000" w:themeColor="text1"/>
                <w:szCs w:val="21"/>
              </w:rPr>
            </w:pPr>
            <w:r>
              <w:rPr>
                <w:rFonts w:cs="Times New Roman" w:hint="eastAsia"/>
                <w:bCs/>
                <w:color w:val="000000" w:themeColor="text1"/>
                <w:szCs w:val="21"/>
              </w:rPr>
              <w:t>大</w:t>
            </w:r>
          </w:p>
        </w:tc>
        <w:tc>
          <w:tcPr>
            <w:tcW w:w="720" w:type="dxa"/>
            <w:vAlign w:val="center"/>
          </w:tcPr>
          <w:p w:rsidR="00644456" w:rsidRDefault="008031C4">
            <w:pPr>
              <w:jc w:val="center"/>
              <w:rPr>
                <w:rFonts w:cs="Times New Roman"/>
                <w:bCs/>
                <w:color w:val="000000" w:themeColor="text1"/>
                <w:szCs w:val="21"/>
              </w:rPr>
            </w:pPr>
            <w:r>
              <w:rPr>
                <w:rFonts w:cs="Times New Roman" w:hint="eastAsia"/>
                <w:bCs/>
                <w:color w:val="000000" w:themeColor="text1"/>
                <w:szCs w:val="21"/>
              </w:rPr>
              <w:t>中</w:t>
            </w:r>
          </w:p>
        </w:tc>
        <w:tc>
          <w:tcPr>
            <w:tcW w:w="720" w:type="dxa"/>
            <w:vAlign w:val="center"/>
          </w:tcPr>
          <w:p w:rsidR="00644456" w:rsidRDefault="008031C4">
            <w:pPr>
              <w:jc w:val="center"/>
              <w:rPr>
                <w:rFonts w:cs="Times New Roman"/>
                <w:bCs/>
                <w:color w:val="000000" w:themeColor="text1"/>
                <w:szCs w:val="21"/>
              </w:rPr>
            </w:pPr>
            <w:r>
              <w:rPr>
                <w:rFonts w:cs="Times New Roman" w:hint="eastAsia"/>
                <w:bCs/>
                <w:color w:val="000000" w:themeColor="text1"/>
                <w:szCs w:val="21"/>
              </w:rPr>
              <w:t>小</w:t>
            </w:r>
          </w:p>
        </w:tc>
        <w:tc>
          <w:tcPr>
            <w:tcW w:w="720" w:type="dxa"/>
            <w:vAlign w:val="center"/>
          </w:tcPr>
          <w:p w:rsidR="00644456" w:rsidRDefault="008031C4">
            <w:pPr>
              <w:jc w:val="center"/>
              <w:rPr>
                <w:rFonts w:cs="Times New Roman"/>
                <w:bCs/>
                <w:color w:val="000000" w:themeColor="text1"/>
                <w:szCs w:val="21"/>
              </w:rPr>
            </w:pPr>
            <w:r>
              <w:rPr>
                <w:rFonts w:cs="Times New Roman" w:hint="eastAsia"/>
                <w:bCs/>
                <w:color w:val="000000" w:themeColor="text1"/>
                <w:szCs w:val="21"/>
              </w:rPr>
              <w:t>大</w:t>
            </w:r>
          </w:p>
        </w:tc>
        <w:tc>
          <w:tcPr>
            <w:tcW w:w="540" w:type="dxa"/>
            <w:vAlign w:val="center"/>
          </w:tcPr>
          <w:p w:rsidR="00644456" w:rsidRDefault="008031C4">
            <w:pPr>
              <w:jc w:val="center"/>
              <w:rPr>
                <w:rFonts w:cs="Times New Roman"/>
                <w:bCs/>
                <w:color w:val="000000" w:themeColor="text1"/>
                <w:szCs w:val="21"/>
              </w:rPr>
            </w:pPr>
            <w:r>
              <w:rPr>
                <w:rFonts w:cs="Times New Roman" w:hint="eastAsia"/>
                <w:bCs/>
                <w:color w:val="000000" w:themeColor="text1"/>
                <w:szCs w:val="21"/>
              </w:rPr>
              <w:t>中</w:t>
            </w:r>
          </w:p>
        </w:tc>
        <w:tc>
          <w:tcPr>
            <w:tcW w:w="676" w:type="dxa"/>
            <w:vAlign w:val="center"/>
          </w:tcPr>
          <w:p w:rsidR="00644456" w:rsidRDefault="008031C4">
            <w:pPr>
              <w:jc w:val="center"/>
              <w:rPr>
                <w:rFonts w:cs="Times New Roman"/>
                <w:bCs/>
                <w:color w:val="000000" w:themeColor="text1"/>
                <w:szCs w:val="21"/>
              </w:rPr>
            </w:pPr>
            <w:r>
              <w:rPr>
                <w:rFonts w:cs="Times New Roman" w:hint="eastAsia"/>
                <w:bCs/>
                <w:color w:val="000000" w:themeColor="text1"/>
                <w:szCs w:val="21"/>
              </w:rPr>
              <w:t>小</w:t>
            </w:r>
          </w:p>
        </w:tc>
      </w:tr>
      <w:tr w:rsidR="00644456">
        <w:trPr>
          <w:trHeight w:val="319"/>
          <w:jc w:val="center"/>
        </w:trPr>
        <w:tc>
          <w:tcPr>
            <w:tcW w:w="2440" w:type="dxa"/>
            <w:vAlign w:val="center"/>
          </w:tcPr>
          <w:p w:rsidR="00644456" w:rsidRDefault="008031C4">
            <w:pPr>
              <w:jc w:val="center"/>
              <w:rPr>
                <w:rFonts w:cs="Times New Roman"/>
                <w:bCs/>
                <w:color w:val="000000" w:themeColor="text1"/>
                <w:szCs w:val="21"/>
              </w:rPr>
            </w:pPr>
            <w:r>
              <w:rPr>
                <w:rFonts w:cs="Times New Roman"/>
                <w:bCs/>
                <w:color w:val="000000" w:themeColor="text1"/>
                <w:szCs w:val="21"/>
              </w:rPr>
              <w:t>敏感</w:t>
            </w:r>
          </w:p>
        </w:tc>
        <w:tc>
          <w:tcPr>
            <w:tcW w:w="845"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一级</w:t>
            </w:r>
          </w:p>
        </w:tc>
        <w:tc>
          <w:tcPr>
            <w:tcW w:w="720"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一级</w:t>
            </w:r>
          </w:p>
        </w:tc>
        <w:tc>
          <w:tcPr>
            <w:tcW w:w="720"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一级</w:t>
            </w:r>
          </w:p>
        </w:tc>
        <w:tc>
          <w:tcPr>
            <w:tcW w:w="720"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二级</w:t>
            </w:r>
          </w:p>
        </w:tc>
        <w:tc>
          <w:tcPr>
            <w:tcW w:w="720"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二级</w:t>
            </w:r>
          </w:p>
        </w:tc>
        <w:tc>
          <w:tcPr>
            <w:tcW w:w="720"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二级</w:t>
            </w:r>
          </w:p>
        </w:tc>
        <w:tc>
          <w:tcPr>
            <w:tcW w:w="720"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三级</w:t>
            </w:r>
          </w:p>
        </w:tc>
        <w:tc>
          <w:tcPr>
            <w:tcW w:w="540"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三级</w:t>
            </w:r>
          </w:p>
        </w:tc>
        <w:tc>
          <w:tcPr>
            <w:tcW w:w="676"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三级</w:t>
            </w:r>
          </w:p>
        </w:tc>
      </w:tr>
      <w:tr w:rsidR="00644456">
        <w:trPr>
          <w:trHeight w:val="355"/>
          <w:jc w:val="center"/>
        </w:trPr>
        <w:tc>
          <w:tcPr>
            <w:tcW w:w="2440" w:type="dxa"/>
            <w:vAlign w:val="center"/>
          </w:tcPr>
          <w:p w:rsidR="00644456" w:rsidRDefault="008031C4">
            <w:pPr>
              <w:jc w:val="center"/>
              <w:rPr>
                <w:rFonts w:cs="Times New Roman"/>
                <w:bCs/>
                <w:color w:val="000000" w:themeColor="text1"/>
                <w:szCs w:val="21"/>
              </w:rPr>
            </w:pPr>
            <w:r>
              <w:rPr>
                <w:rFonts w:cs="Times New Roman"/>
                <w:bCs/>
                <w:color w:val="000000" w:themeColor="text1"/>
                <w:szCs w:val="21"/>
              </w:rPr>
              <w:t>较敏感</w:t>
            </w:r>
          </w:p>
        </w:tc>
        <w:tc>
          <w:tcPr>
            <w:tcW w:w="845"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一级</w:t>
            </w:r>
          </w:p>
        </w:tc>
        <w:tc>
          <w:tcPr>
            <w:tcW w:w="720"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一级</w:t>
            </w:r>
          </w:p>
        </w:tc>
        <w:tc>
          <w:tcPr>
            <w:tcW w:w="720"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二级</w:t>
            </w:r>
          </w:p>
        </w:tc>
        <w:tc>
          <w:tcPr>
            <w:tcW w:w="720"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二级</w:t>
            </w:r>
          </w:p>
        </w:tc>
        <w:tc>
          <w:tcPr>
            <w:tcW w:w="720"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二级</w:t>
            </w:r>
          </w:p>
        </w:tc>
        <w:tc>
          <w:tcPr>
            <w:tcW w:w="720"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三级</w:t>
            </w:r>
          </w:p>
        </w:tc>
        <w:tc>
          <w:tcPr>
            <w:tcW w:w="720"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三级</w:t>
            </w:r>
          </w:p>
        </w:tc>
        <w:tc>
          <w:tcPr>
            <w:tcW w:w="540"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三级</w:t>
            </w:r>
          </w:p>
        </w:tc>
        <w:tc>
          <w:tcPr>
            <w:tcW w:w="676"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w:t>
            </w:r>
          </w:p>
        </w:tc>
      </w:tr>
      <w:tr w:rsidR="00644456">
        <w:trPr>
          <w:trHeight w:val="261"/>
          <w:jc w:val="center"/>
        </w:trPr>
        <w:tc>
          <w:tcPr>
            <w:tcW w:w="2440" w:type="dxa"/>
            <w:vAlign w:val="center"/>
          </w:tcPr>
          <w:p w:rsidR="00644456" w:rsidRDefault="008031C4">
            <w:pPr>
              <w:jc w:val="center"/>
              <w:rPr>
                <w:rFonts w:cs="Times New Roman"/>
                <w:bCs/>
                <w:color w:val="000000" w:themeColor="text1"/>
                <w:szCs w:val="21"/>
              </w:rPr>
            </w:pPr>
            <w:r>
              <w:rPr>
                <w:rFonts w:cs="Times New Roman"/>
                <w:bCs/>
                <w:color w:val="000000" w:themeColor="text1"/>
                <w:szCs w:val="21"/>
              </w:rPr>
              <w:t>不敏感</w:t>
            </w:r>
          </w:p>
        </w:tc>
        <w:tc>
          <w:tcPr>
            <w:tcW w:w="845"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一级</w:t>
            </w:r>
          </w:p>
        </w:tc>
        <w:tc>
          <w:tcPr>
            <w:tcW w:w="720"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二级</w:t>
            </w:r>
          </w:p>
        </w:tc>
        <w:tc>
          <w:tcPr>
            <w:tcW w:w="720"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二级</w:t>
            </w:r>
          </w:p>
        </w:tc>
        <w:tc>
          <w:tcPr>
            <w:tcW w:w="720"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二级</w:t>
            </w:r>
          </w:p>
        </w:tc>
        <w:tc>
          <w:tcPr>
            <w:tcW w:w="720"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三级</w:t>
            </w:r>
          </w:p>
        </w:tc>
        <w:tc>
          <w:tcPr>
            <w:tcW w:w="720"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三级</w:t>
            </w:r>
          </w:p>
        </w:tc>
        <w:tc>
          <w:tcPr>
            <w:tcW w:w="720"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三级</w:t>
            </w:r>
          </w:p>
        </w:tc>
        <w:tc>
          <w:tcPr>
            <w:tcW w:w="540"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w:t>
            </w:r>
          </w:p>
        </w:tc>
        <w:tc>
          <w:tcPr>
            <w:tcW w:w="676" w:type="dxa"/>
            <w:vAlign w:val="center"/>
          </w:tcPr>
          <w:p w:rsidR="00644456" w:rsidRDefault="008031C4">
            <w:pPr>
              <w:pStyle w:val="Default"/>
              <w:adjustRightInd/>
              <w:jc w:val="center"/>
              <w:rPr>
                <w:rFonts w:ascii="Times New Roman" w:eastAsia="宋体" w:hAnsi="Times New Roman" w:cs="Times New Roman"/>
                <w:bCs/>
                <w:color w:val="000000" w:themeColor="text1"/>
                <w:sz w:val="21"/>
                <w:szCs w:val="21"/>
              </w:rPr>
            </w:pPr>
            <w:r>
              <w:rPr>
                <w:rFonts w:ascii="Times New Roman" w:eastAsia="宋体" w:hAnsi="Times New Roman" w:cs="Times New Roman" w:hint="eastAsia"/>
                <w:bCs/>
                <w:color w:val="000000" w:themeColor="text1"/>
                <w:sz w:val="21"/>
                <w:szCs w:val="21"/>
              </w:rPr>
              <w:t>-</w:t>
            </w:r>
          </w:p>
        </w:tc>
      </w:tr>
    </w:tbl>
    <w:p w:rsidR="00644456" w:rsidRDefault="008031C4">
      <w:pPr>
        <w:pStyle w:val="-"/>
        <w:ind w:firstLine="480"/>
        <w:rPr>
          <w:rFonts w:cs="Times New Roman"/>
          <w:color w:val="000000" w:themeColor="text1"/>
        </w:rPr>
      </w:pPr>
      <w:r>
        <w:rPr>
          <w:rFonts w:cs="Times New Roman"/>
          <w:color w:val="000000" w:themeColor="text1"/>
        </w:rPr>
        <w:t>根据《环境影响评价技术导则</w:t>
      </w:r>
      <w:r>
        <w:rPr>
          <w:rFonts w:cs="Times New Roman" w:hint="eastAsia"/>
          <w:color w:val="000000" w:themeColor="text1"/>
        </w:rPr>
        <w:t>土壤环境（试行）</w:t>
      </w:r>
      <w:r>
        <w:rPr>
          <w:rFonts w:cs="Times New Roman"/>
          <w:color w:val="000000" w:themeColor="text1"/>
        </w:rPr>
        <w:t>》（</w:t>
      </w:r>
      <w:r>
        <w:rPr>
          <w:rFonts w:cs="Times New Roman"/>
          <w:color w:val="000000" w:themeColor="text1"/>
        </w:rPr>
        <w:t>HJ</w:t>
      </w:r>
      <w:r>
        <w:rPr>
          <w:rFonts w:cs="Times New Roman" w:hint="eastAsia"/>
          <w:color w:val="000000" w:themeColor="text1"/>
        </w:rPr>
        <w:t>964</w:t>
      </w:r>
      <w:r>
        <w:rPr>
          <w:rFonts w:cs="Times New Roman"/>
          <w:color w:val="000000" w:themeColor="text1"/>
        </w:rPr>
        <w:t>-201</w:t>
      </w:r>
      <w:r>
        <w:rPr>
          <w:rFonts w:cs="Times New Roman" w:hint="eastAsia"/>
          <w:color w:val="000000" w:themeColor="text1"/>
        </w:rPr>
        <w:t>8</w:t>
      </w:r>
      <w:r>
        <w:rPr>
          <w:rFonts w:cs="Times New Roman"/>
          <w:color w:val="000000" w:themeColor="text1"/>
        </w:rPr>
        <w:t>），本项目</w:t>
      </w:r>
      <w:r>
        <w:rPr>
          <w:rFonts w:cs="Times New Roman" w:hint="eastAsia"/>
          <w:color w:val="000000" w:themeColor="text1"/>
        </w:rPr>
        <w:t>污染影响型土壤</w:t>
      </w:r>
      <w:r>
        <w:rPr>
          <w:rFonts w:cs="Times New Roman"/>
          <w:color w:val="000000" w:themeColor="text1"/>
        </w:rPr>
        <w:t>环境影响评价等级划定为</w:t>
      </w:r>
      <w:r>
        <w:rPr>
          <w:rFonts w:cs="Times New Roman" w:hint="eastAsia"/>
          <w:b/>
          <w:bCs/>
          <w:color w:val="000000" w:themeColor="text1"/>
        </w:rPr>
        <w:t>二</w:t>
      </w:r>
      <w:r>
        <w:rPr>
          <w:rFonts w:cs="Times New Roman"/>
          <w:b/>
          <w:bCs/>
          <w:color w:val="000000" w:themeColor="text1"/>
        </w:rPr>
        <w:t>级。</w:t>
      </w:r>
    </w:p>
    <w:p w:rsidR="00644456" w:rsidRDefault="008031C4">
      <w:pPr>
        <w:pStyle w:val="3"/>
        <w:numPr>
          <w:ilvl w:val="2"/>
          <w:numId w:val="0"/>
        </w:numPr>
        <w:ind w:firstLineChars="200" w:firstLine="482"/>
      </w:pPr>
      <w:r>
        <w:rPr>
          <w:rFonts w:hint="eastAsia"/>
        </w:rPr>
        <w:t>1.8.7</w:t>
      </w:r>
      <w:r>
        <w:t>环境风险评价等级</w:t>
      </w:r>
    </w:p>
    <w:p w:rsidR="00644456" w:rsidRDefault="008031C4">
      <w:pPr>
        <w:pStyle w:val="-"/>
        <w:ind w:firstLine="482"/>
        <w:rPr>
          <w:rFonts w:cs="Times New Roman"/>
          <w:b/>
          <w:color w:val="000000" w:themeColor="text1"/>
        </w:rPr>
      </w:pPr>
      <w:r>
        <w:rPr>
          <w:rFonts w:cs="Times New Roman"/>
          <w:b/>
          <w:color w:val="000000" w:themeColor="text1"/>
        </w:rPr>
        <w:t>1</w:t>
      </w:r>
      <w:r>
        <w:rPr>
          <w:rFonts w:cs="Times New Roman"/>
          <w:b/>
          <w:color w:val="000000" w:themeColor="text1"/>
        </w:rPr>
        <w:t>、危险物质数量与临界量比值（</w:t>
      </w:r>
      <w:r>
        <w:rPr>
          <w:rFonts w:cs="Times New Roman"/>
          <w:b/>
          <w:color w:val="000000" w:themeColor="text1"/>
        </w:rPr>
        <w:t>Q</w:t>
      </w:r>
      <w:r>
        <w:rPr>
          <w:rFonts w:cs="Times New Roman"/>
          <w:b/>
          <w:color w:val="000000" w:themeColor="text1"/>
        </w:rPr>
        <w:t>）的确定</w:t>
      </w:r>
    </w:p>
    <w:p w:rsidR="00644456" w:rsidRDefault="008031C4">
      <w:pPr>
        <w:pStyle w:val="-"/>
        <w:ind w:firstLine="480"/>
        <w:rPr>
          <w:rFonts w:cs="Times New Roman"/>
          <w:color w:val="000000" w:themeColor="text1"/>
        </w:rPr>
      </w:pPr>
      <w:r>
        <w:rPr>
          <w:rFonts w:cs="Times New Roman" w:hint="eastAsia"/>
          <w:color w:val="000000" w:themeColor="text1"/>
        </w:rPr>
        <w:t>结合厂区平面布置及危险单元分布情况。</w:t>
      </w:r>
    </w:p>
    <w:p w:rsidR="00644456" w:rsidRDefault="008031C4">
      <w:pPr>
        <w:pStyle w:val="-"/>
        <w:ind w:firstLine="480"/>
        <w:rPr>
          <w:rFonts w:cs="Times New Roman"/>
          <w:color w:val="000000" w:themeColor="text1"/>
        </w:rPr>
      </w:pPr>
      <w:r>
        <w:rPr>
          <w:rFonts w:cs="Times New Roman"/>
          <w:color w:val="000000" w:themeColor="text1"/>
        </w:rPr>
        <w:t>根据《建设项目环境风险评价技术导则》（</w:t>
      </w:r>
      <w:r>
        <w:rPr>
          <w:rFonts w:cs="Times New Roman"/>
          <w:color w:val="000000" w:themeColor="text1"/>
        </w:rPr>
        <w:t>HJ169-2018</w:t>
      </w:r>
      <w:r>
        <w:rPr>
          <w:rFonts w:cs="Times New Roman"/>
          <w:color w:val="000000" w:themeColor="text1"/>
        </w:rPr>
        <w:t>）中</w:t>
      </w:r>
      <w:r>
        <w:rPr>
          <w:rFonts w:cs="Times New Roman"/>
          <w:color w:val="000000" w:themeColor="text1"/>
        </w:rPr>
        <w:t>C.1.1</w:t>
      </w:r>
      <w:r>
        <w:rPr>
          <w:rFonts w:cs="Times New Roman"/>
          <w:color w:val="000000" w:themeColor="text1"/>
        </w:rPr>
        <w:t>危险物质与临界量比值计算方式如下示：</w:t>
      </w:r>
    </w:p>
    <w:p w:rsidR="00644456" w:rsidRDefault="008031C4">
      <w:pPr>
        <w:pStyle w:val="-"/>
        <w:ind w:firstLine="480"/>
        <w:jc w:val="center"/>
        <w:rPr>
          <w:rFonts w:cs="Times New Roman"/>
          <w:color w:val="000000" w:themeColor="text1"/>
        </w:rPr>
      </w:pPr>
      <w:r>
        <w:rPr>
          <w:rFonts w:cs="Times New Roman"/>
          <w:color w:val="000000" w:themeColor="text1"/>
        </w:rPr>
        <w:object w:dxaOrig="2160" w:dyaOrig="570" w14:anchorId="21140ACA">
          <v:shape id="_x0000_i1028" type="#_x0000_t75" style="width:108pt;height:28.5pt" o:ole="">
            <v:imagedata r:id="rId18" o:title=""/>
          </v:shape>
          <o:OLEObject Type="Embed" ProgID="Equation.3" ShapeID="_x0000_i1028" DrawAspect="Content" ObjectID="_1791290099" r:id="rId19"/>
        </w:object>
      </w:r>
    </w:p>
    <w:p w:rsidR="00644456" w:rsidRDefault="008031C4">
      <w:pPr>
        <w:pStyle w:val="-"/>
        <w:ind w:firstLine="480"/>
        <w:rPr>
          <w:rFonts w:cs="Times New Roman"/>
          <w:color w:val="000000" w:themeColor="text1"/>
        </w:rPr>
      </w:pPr>
      <w:r>
        <w:rPr>
          <w:rFonts w:cs="Times New Roman"/>
          <w:color w:val="000000" w:themeColor="text1"/>
        </w:rPr>
        <w:t>式中：</w:t>
      </w:r>
      <w:r>
        <w:rPr>
          <w:rFonts w:cs="Times New Roman"/>
          <w:color w:val="000000" w:themeColor="text1"/>
        </w:rPr>
        <w:t>q</w:t>
      </w:r>
      <w:r>
        <w:rPr>
          <w:rFonts w:cs="Times New Roman"/>
          <w:color w:val="000000" w:themeColor="text1"/>
          <w:vertAlign w:val="subscript"/>
        </w:rPr>
        <w:t>1</w:t>
      </w:r>
      <w:r>
        <w:rPr>
          <w:rFonts w:cs="Times New Roman"/>
          <w:color w:val="000000" w:themeColor="text1"/>
        </w:rPr>
        <w:t>，</w:t>
      </w:r>
      <w:r>
        <w:rPr>
          <w:rFonts w:cs="Times New Roman"/>
          <w:color w:val="000000" w:themeColor="text1"/>
        </w:rPr>
        <w:t>q</w:t>
      </w:r>
      <w:r>
        <w:rPr>
          <w:rFonts w:cs="Times New Roman"/>
          <w:color w:val="000000" w:themeColor="text1"/>
          <w:vertAlign w:val="subscript"/>
        </w:rPr>
        <w:t>2</w:t>
      </w:r>
      <w:r>
        <w:rPr>
          <w:rFonts w:cs="Times New Roman"/>
          <w:color w:val="000000" w:themeColor="text1"/>
        </w:rPr>
        <w:t>，</w:t>
      </w:r>
      <w:r>
        <w:rPr>
          <w:rFonts w:cs="Times New Roman"/>
          <w:color w:val="000000" w:themeColor="text1"/>
        </w:rPr>
        <w:t>...</w:t>
      </w:r>
      <w:r>
        <w:rPr>
          <w:rFonts w:cs="Times New Roman"/>
          <w:color w:val="000000" w:themeColor="text1"/>
        </w:rPr>
        <w:t>，</w:t>
      </w:r>
      <w:r>
        <w:rPr>
          <w:rFonts w:cs="Times New Roman"/>
          <w:color w:val="000000" w:themeColor="text1"/>
        </w:rPr>
        <w:t>q</w:t>
      </w:r>
      <w:r>
        <w:rPr>
          <w:rFonts w:cs="Times New Roman"/>
          <w:color w:val="000000" w:themeColor="text1"/>
          <w:vertAlign w:val="subscript"/>
        </w:rPr>
        <w:t>n</w:t>
      </w:r>
      <w:r>
        <w:rPr>
          <w:rFonts w:cs="Times New Roman"/>
          <w:color w:val="000000" w:themeColor="text1"/>
        </w:rPr>
        <w:t>——</w:t>
      </w:r>
      <w:r>
        <w:rPr>
          <w:rFonts w:cs="Times New Roman"/>
          <w:color w:val="000000" w:themeColor="text1"/>
        </w:rPr>
        <w:t>每种危险物质的最大存在总量，</w:t>
      </w:r>
      <w:r>
        <w:rPr>
          <w:rFonts w:cs="Times New Roman"/>
          <w:color w:val="000000" w:themeColor="text1"/>
        </w:rPr>
        <w:t>t</w:t>
      </w:r>
      <w:r>
        <w:rPr>
          <w:rFonts w:cs="Times New Roman"/>
          <w:color w:val="000000" w:themeColor="text1"/>
        </w:rPr>
        <w:t>。</w:t>
      </w:r>
    </w:p>
    <w:p w:rsidR="00644456" w:rsidRDefault="008031C4">
      <w:pPr>
        <w:pStyle w:val="-"/>
        <w:ind w:firstLineChars="500" w:firstLine="1200"/>
        <w:rPr>
          <w:rFonts w:cs="Times New Roman"/>
          <w:color w:val="000000" w:themeColor="text1"/>
        </w:rPr>
      </w:pPr>
      <w:r>
        <w:rPr>
          <w:rFonts w:cs="Times New Roman"/>
          <w:color w:val="000000" w:themeColor="text1"/>
        </w:rPr>
        <w:t>Q</w:t>
      </w:r>
      <w:r>
        <w:rPr>
          <w:rFonts w:cs="Times New Roman"/>
          <w:color w:val="000000" w:themeColor="text1"/>
          <w:vertAlign w:val="subscript"/>
        </w:rPr>
        <w:t>1</w:t>
      </w:r>
      <w:r>
        <w:rPr>
          <w:rFonts w:cs="Times New Roman"/>
          <w:color w:val="000000" w:themeColor="text1"/>
        </w:rPr>
        <w:t>，</w:t>
      </w:r>
      <w:r>
        <w:rPr>
          <w:rFonts w:cs="Times New Roman"/>
          <w:color w:val="000000" w:themeColor="text1"/>
        </w:rPr>
        <w:t>Q</w:t>
      </w:r>
      <w:r>
        <w:rPr>
          <w:rFonts w:cs="Times New Roman"/>
          <w:color w:val="000000" w:themeColor="text1"/>
          <w:vertAlign w:val="subscript"/>
        </w:rPr>
        <w:t>1</w:t>
      </w:r>
      <w:r>
        <w:rPr>
          <w:rFonts w:cs="Times New Roman"/>
          <w:color w:val="000000" w:themeColor="text1"/>
        </w:rPr>
        <w:t>，</w:t>
      </w:r>
      <w:r>
        <w:rPr>
          <w:rFonts w:cs="Times New Roman"/>
          <w:color w:val="000000" w:themeColor="text1"/>
        </w:rPr>
        <w:t>...</w:t>
      </w:r>
      <w:r>
        <w:rPr>
          <w:rFonts w:cs="Times New Roman"/>
          <w:color w:val="000000" w:themeColor="text1"/>
        </w:rPr>
        <w:t>，</w:t>
      </w:r>
      <w:r>
        <w:rPr>
          <w:rFonts w:cs="Times New Roman"/>
          <w:color w:val="000000" w:themeColor="text1"/>
        </w:rPr>
        <w:t>Q</w:t>
      </w:r>
      <w:r>
        <w:rPr>
          <w:rFonts w:cs="Times New Roman"/>
          <w:color w:val="000000" w:themeColor="text1"/>
          <w:vertAlign w:val="subscript"/>
        </w:rPr>
        <w:t>n</w:t>
      </w:r>
      <w:r>
        <w:rPr>
          <w:rFonts w:cs="Times New Roman"/>
          <w:color w:val="000000" w:themeColor="text1"/>
        </w:rPr>
        <w:t>——</w:t>
      </w:r>
      <w:r>
        <w:rPr>
          <w:rFonts w:cs="Times New Roman"/>
          <w:color w:val="000000" w:themeColor="text1"/>
        </w:rPr>
        <w:t>每种危险物质的临界量，</w:t>
      </w:r>
      <w:r>
        <w:rPr>
          <w:rFonts w:cs="Times New Roman"/>
          <w:color w:val="000000" w:themeColor="text1"/>
        </w:rPr>
        <w:t>t</w:t>
      </w:r>
      <w:r>
        <w:rPr>
          <w:rFonts w:cs="Times New Roman"/>
          <w:color w:val="000000" w:themeColor="text1"/>
        </w:rPr>
        <w:t>。</w:t>
      </w:r>
    </w:p>
    <w:p w:rsidR="00644456" w:rsidRDefault="008031C4">
      <w:pPr>
        <w:pStyle w:val="-"/>
        <w:ind w:firstLineChars="500" w:firstLine="1200"/>
        <w:rPr>
          <w:rFonts w:cs="Times New Roman"/>
          <w:color w:val="000000" w:themeColor="text1"/>
        </w:rPr>
      </w:pPr>
      <w:r>
        <w:rPr>
          <w:rFonts w:cs="Times New Roman"/>
          <w:color w:val="000000" w:themeColor="text1"/>
        </w:rPr>
        <w:t>当</w:t>
      </w:r>
      <w:r>
        <w:rPr>
          <w:rFonts w:cs="Times New Roman"/>
          <w:color w:val="000000" w:themeColor="text1"/>
        </w:rPr>
        <w:t>Q</w:t>
      </w:r>
      <w:r>
        <w:rPr>
          <w:rFonts w:cs="Times New Roman"/>
          <w:color w:val="000000" w:themeColor="text1"/>
        </w:rPr>
        <w:t>＜</w:t>
      </w:r>
      <w:r>
        <w:rPr>
          <w:rFonts w:cs="Times New Roman"/>
          <w:color w:val="000000" w:themeColor="text1"/>
        </w:rPr>
        <w:t>1</w:t>
      </w:r>
      <w:r>
        <w:rPr>
          <w:rFonts w:cs="Times New Roman"/>
          <w:color w:val="000000" w:themeColor="text1"/>
        </w:rPr>
        <w:t>时，该项目环境风险潜势为</w:t>
      </w:r>
      <w:r>
        <w:rPr>
          <w:rFonts w:cs="Times New Roman"/>
          <w:color w:val="000000" w:themeColor="text1"/>
        </w:rPr>
        <w:fldChar w:fldCharType="begin"/>
      </w:r>
      <w:r>
        <w:rPr>
          <w:rFonts w:cs="Times New Roman"/>
          <w:color w:val="000000" w:themeColor="text1"/>
        </w:rPr>
        <w:instrText xml:space="preserve"> = 1 \* ROMAN </w:instrText>
      </w:r>
      <w:r>
        <w:rPr>
          <w:rFonts w:cs="Times New Roman"/>
          <w:color w:val="000000" w:themeColor="text1"/>
        </w:rPr>
        <w:fldChar w:fldCharType="separate"/>
      </w:r>
      <w:r>
        <w:rPr>
          <w:rFonts w:cs="Times New Roman"/>
          <w:color w:val="000000" w:themeColor="text1"/>
        </w:rPr>
        <w:t>I</w:t>
      </w:r>
      <w:r>
        <w:rPr>
          <w:rFonts w:cs="Times New Roman"/>
          <w:color w:val="000000" w:themeColor="text1"/>
        </w:rPr>
        <w:fldChar w:fldCharType="end"/>
      </w:r>
      <w:r>
        <w:rPr>
          <w:rFonts w:cs="Times New Roman"/>
          <w:color w:val="000000" w:themeColor="text1"/>
        </w:rPr>
        <w:t>。</w:t>
      </w:r>
    </w:p>
    <w:p w:rsidR="00644456" w:rsidRDefault="008031C4">
      <w:pPr>
        <w:pStyle w:val="-"/>
        <w:ind w:firstLineChars="500" w:firstLine="1200"/>
        <w:rPr>
          <w:rFonts w:cs="Times New Roman"/>
          <w:color w:val="000000" w:themeColor="text1"/>
        </w:rPr>
      </w:pPr>
      <w:r>
        <w:rPr>
          <w:rFonts w:cs="Times New Roman"/>
          <w:color w:val="000000" w:themeColor="text1"/>
        </w:rPr>
        <w:t>当</w:t>
      </w:r>
      <w:r>
        <w:rPr>
          <w:rFonts w:cs="Times New Roman"/>
          <w:color w:val="000000" w:themeColor="text1"/>
        </w:rPr>
        <w:t>Q≥1</w:t>
      </w:r>
      <w:r>
        <w:rPr>
          <w:rFonts w:cs="Times New Roman"/>
          <w:color w:val="000000" w:themeColor="text1"/>
        </w:rPr>
        <w:t>时，将</w:t>
      </w:r>
      <w:r>
        <w:rPr>
          <w:rFonts w:cs="Times New Roman"/>
          <w:color w:val="000000" w:themeColor="text1"/>
        </w:rPr>
        <w:t>Q</w:t>
      </w:r>
      <w:r>
        <w:rPr>
          <w:rFonts w:cs="Times New Roman"/>
          <w:color w:val="000000" w:themeColor="text1"/>
        </w:rPr>
        <w:t>值划分为：（</w:t>
      </w:r>
      <w:r>
        <w:rPr>
          <w:rFonts w:cs="Times New Roman"/>
          <w:color w:val="000000" w:themeColor="text1"/>
        </w:rPr>
        <w:t>1</w:t>
      </w:r>
      <w:r>
        <w:rPr>
          <w:rFonts w:cs="Times New Roman"/>
          <w:color w:val="000000" w:themeColor="text1"/>
        </w:rPr>
        <w:t>）</w:t>
      </w:r>
      <w:r>
        <w:rPr>
          <w:rFonts w:cs="Times New Roman"/>
          <w:color w:val="000000" w:themeColor="text1"/>
        </w:rPr>
        <w:t>1≤Q</w:t>
      </w:r>
      <w:r>
        <w:rPr>
          <w:rFonts w:cs="Times New Roman"/>
          <w:color w:val="000000" w:themeColor="text1"/>
        </w:rPr>
        <w:t>＜</w:t>
      </w:r>
      <w:r>
        <w:rPr>
          <w:rFonts w:cs="Times New Roman"/>
          <w:color w:val="000000" w:themeColor="text1"/>
        </w:rPr>
        <w:t>10</w:t>
      </w:r>
      <w:r>
        <w:rPr>
          <w:rFonts w:cs="Times New Roman"/>
          <w:color w:val="000000" w:themeColor="text1"/>
        </w:rPr>
        <w:t>；（</w:t>
      </w:r>
      <w:r>
        <w:rPr>
          <w:rFonts w:cs="Times New Roman"/>
          <w:color w:val="000000" w:themeColor="text1"/>
        </w:rPr>
        <w:t>2</w:t>
      </w:r>
      <w:r>
        <w:rPr>
          <w:rFonts w:cs="Times New Roman"/>
          <w:color w:val="000000" w:themeColor="text1"/>
        </w:rPr>
        <w:t>）</w:t>
      </w:r>
      <w:r>
        <w:rPr>
          <w:rFonts w:cs="Times New Roman"/>
          <w:color w:val="000000" w:themeColor="text1"/>
        </w:rPr>
        <w:t>10≤Q≤100</w:t>
      </w:r>
      <w:r>
        <w:rPr>
          <w:rFonts w:cs="Times New Roman"/>
          <w:color w:val="000000" w:themeColor="text1"/>
        </w:rPr>
        <w:t>；（</w:t>
      </w:r>
      <w:r>
        <w:rPr>
          <w:rFonts w:cs="Times New Roman"/>
          <w:color w:val="000000" w:themeColor="text1"/>
        </w:rPr>
        <w:t>3</w:t>
      </w:r>
      <w:r>
        <w:rPr>
          <w:rFonts w:cs="Times New Roman"/>
          <w:color w:val="000000" w:themeColor="text1"/>
        </w:rPr>
        <w:t>）</w:t>
      </w:r>
      <w:r>
        <w:rPr>
          <w:rFonts w:cs="Times New Roman"/>
          <w:color w:val="000000" w:themeColor="text1"/>
        </w:rPr>
        <w:t>Q≥100</w:t>
      </w:r>
      <w:r>
        <w:rPr>
          <w:rFonts w:cs="Times New Roman"/>
          <w:color w:val="000000" w:themeColor="text1"/>
        </w:rPr>
        <w:t>。</w:t>
      </w:r>
    </w:p>
    <w:p w:rsidR="00644456" w:rsidRDefault="008031C4">
      <w:pPr>
        <w:tabs>
          <w:tab w:val="left" w:pos="3150"/>
        </w:tabs>
        <w:spacing w:line="360" w:lineRule="auto"/>
        <w:ind w:firstLineChars="200" w:firstLine="480"/>
        <w:rPr>
          <w:color w:val="000000" w:themeColor="text1"/>
          <w:kern w:val="0"/>
          <w:sz w:val="24"/>
          <w:szCs w:val="24"/>
        </w:rPr>
      </w:pPr>
      <w:r>
        <w:rPr>
          <w:rFonts w:hint="eastAsia"/>
          <w:color w:val="000000" w:themeColor="text1"/>
          <w:kern w:val="0"/>
          <w:sz w:val="24"/>
          <w:szCs w:val="24"/>
        </w:rPr>
        <w:t>根据《建设项目环境风险评价技术导则》（</w:t>
      </w:r>
      <w:r>
        <w:rPr>
          <w:rFonts w:hint="eastAsia"/>
          <w:color w:val="000000" w:themeColor="text1"/>
          <w:kern w:val="0"/>
          <w:sz w:val="24"/>
          <w:szCs w:val="24"/>
        </w:rPr>
        <w:t>HJ/T169-2018</w:t>
      </w:r>
      <w:r>
        <w:rPr>
          <w:rFonts w:hint="eastAsia"/>
          <w:color w:val="000000" w:themeColor="text1"/>
          <w:kern w:val="0"/>
          <w:sz w:val="24"/>
          <w:szCs w:val="24"/>
        </w:rPr>
        <w:t>）本项目涉及的风险物质包括废矿物油，厂区内设置</w:t>
      </w:r>
      <w:r>
        <w:rPr>
          <w:color w:val="000000" w:themeColor="text1"/>
          <w:kern w:val="0"/>
          <w:sz w:val="24"/>
          <w:szCs w:val="24"/>
        </w:rPr>
        <w:t>5</w:t>
      </w:r>
      <w:r>
        <w:rPr>
          <w:rFonts w:hint="eastAsia"/>
          <w:color w:val="000000" w:themeColor="text1"/>
          <w:kern w:val="0"/>
          <w:sz w:val="24"/>
          <w:szCs w:val="24"/>
        </w:rPr>
        <w:t>个</w:t>
      </w:r>
      <w:r>
        <w:rPr>
          <w:color w:val="000000" w:themeColor="text1"/>
          <w:kern w:val="0"/>
          <w:sz w:val="24"/>
          <w:szCs w:val="24"/>
        </w:rPr>
        <w:t>3</w:t>
      </w:r>
      <w:r>
        <w:rPr>
          <w:rFonts w:hint="eastAsia"/>
          <w:color w:val="000000" w:themeColor="text1"/>
          <w:kern w:val="0"/>
          <w:sz w:val="24"/>
          <w:szCs w:val="24"/>
        </w:rPr>
        <w:t>00m</w:t>
      </w:r>
      <w:r>
        <w:rPr>
          <w:rFonts w:hint="eastAsia"/>
          <w:color w:val="000000" w:themeColor="text1"/>
          <w:kern w:val="0"/>
          <w:sz w:val="24"/>
          <w:szCs w:val="24"/>
          <w:vertAlign w:val="superscript"/>
        </w:rPr>
        <w:t>3</w:t>
      </w:r>
      <w:r>
        <w:rPr>
          <w:rFonts w:hint="eastAsia"/>
          <w:color w:val="000000" w:themeColor="text1"/>
          <w:kern w:val="0"/>
          <w:sz w:val="24"/>
          <w:szCs w:val="24"/>
        </w:rPr>
        <w:t>原料罐、</w:t>
      </w:r>
      <w:r>
        <w:rPr>
          <w:rFonts w:hint="eastAsia"/>
          <w:color w:val="000000" w:themeColor="text1"/>
          <w:kern w:val="0"/>
          <w:sz w:val="24"/>
          <w:szCs w:val="24"/>
        </w:rPr>
        <w:t>2</w:t>
      </w:r>
      <w:r>
        <w:rPr>
          <w:rFonts w:hint="eastAsia"/>
          <w:color w:val="000000" w:themeColor="text1"/>
          <w:kern w:val="0"/>
          <w:sz w:val="24"/>
          <w:szCs w:val="24"/>
        </w:rPr>
        <w:t>个</w:t>
      </w:r>
      <w:r>
        <w:rPr>
          <w:rFonts w:hint="eastAsia"/>
          <w:color w:val="000000" w:themeColor="text1"/>
          <w:kern w:val="0"/>
          <w:sz w:val="24"/>
          <w:szCs w:val="24"/>
        </w:rPr>
        <w:t>300m</w:t>
      </w:r>
      <w:r>
        <w:rPr>
          <w:rFonts w:hint="eastAsia"/>
          <w:color w:val="000000" w:themeColor="text1"/>
          <w:kern w:val="0"/>
          <w:sz w:val="24"/>
          <w:szCs w:val="24"/>
          <w:vertAlign w:val="superscript"/>
        </w:rPr>
        <w:t>3</w:t>
      </w:r>
      <w:r>
        <w:rPr>
          <w:rFonts w:hint="eastAsia"/>
          <w:color w:val="000000" w:themeColor="text1"/>
          <w:kern w:val="0"/>
          <w:sz w:val="24"/>
          <w:szCs w:val="24"/>
        </w:rPr>
        <w:t>润滑油基础油罐、</w:t>
      </w:r>
      <w:r>
        <w:rPr>
          <w:rFonts w:hint="eastAsia"/>
          <w:color w:val="000000" w:themeColor="text1"/>
          <w:kern w:val="0"/>
          <w:sz w:val="24"/>
          <w:szCs w:val="24"/>
        </w:rPr>
        <w:t>1</w:t>
      </w:r>
      <w:r>
        <w:rPr>
          <w:rFonts w:hint="eastAsia"/>
          <w:color w:val="000000" w:themeColor="text1"/>
          <w:kern w:val="0"/>
          <w:sz w:val="24"/>
          <w:szCs w:val="24"/>
        </w:rPr>
        <w:t>个</w:t>
      </w:r>
      <w:r>
        <w:rPr>
          <w:rFonts w:hint="eastAsia"/>
          <w:color w:val="000000" w:themeColor="text1"/>
          <w:kern w:val="0"/>
          <w:sz w:val="24"/>
          <w:szCs w:val="24"/>
        </w:rPr>
        <w:t>300m</w:t>
      </w:r>
      <w:r>
        <w:rPr>
          <w:rFonts w:hint="eastAsia"/>
          <w:color w:val="000000" w:themeColor="text1"/>
          <w:kern w:val="0"/>
          <w:sz w:val="24"/>
          <w:szCs w:val="24"/>
          <w:vertAlign w:val="superscript"/>
        </w:rPr>
        <w:t>3</w:t>
      </w:r>
      <w:r>
        <w:rPr>
          <w:rFonts w:hint="eastAsia"/>
          <w:color w:val="000000" w:themeColor="text1"/>
          <w:kern w:val="0"/>
          <w:sz w:val="24"/>
          <w:szCs w:val="24"/>
        </w:rPr>
        <w:t>再生尾油罐和</w:t>
      </w:r>
      <w:r>
        <w:rPr>
          <w:rFonts w:hint="eastAsia"/>
          <w:color w:val="000000" w:themeColor="text1"/>
          <w:kern w:val="0"/>
          <w:sz w:val="24"/>
          <w:szCs w:val="24"/>
        </w:rPr>
        <w:t>1</w:t>
      </w:r>
      <w:r>
        <w:rPr>
          <w:rFonts w:hint="eastAsia"/>
          <w:color w:val="000000" w:themeColor="text1"/>
          <w:kern w:val="0"/>
          <w:sz w:val="24"/>
          <w:szCs w:val="24"/>
        </w:rPr>
        <w:t>个</w:t>
      </w:r>
      <w:r>
        <w:rPr>
          <w:color w:val="000000" w:themeColor="text1"/>
          <w:kern w:val="0"/>
          <w:sz w:val="24"/>
          <w:szCs w:val="24"/>
        </w:rPr>
        <w:t>1</w:t>
      </w:r>
      <w:r>
        <w:rPr>
          <w:rFonts w:hint="eastAsia"/>
          <w:color w:val="000000" w:themeColor="text1"/>
          <w:kern w:val="0"/>
          <w:sz w:val="24"/>
          <w:szCs w:val="24"/>
        </w:rPr>
        <w:t>00m</w:t>
      </w:r>
      <w:r>
        <w:rPr>
          <w:rFonts w:hint="eastAsia"/>
          <w:color w:val="000000" w:themeColor="text1"/>
          <w:kern w:val="0"/>
          <w:sz w:val="24"/>
          <w:szCs w:val="24"/>
          <w:vertAlign w:val="superscript"/>
        </w:rPr>
        <w:t>3</w:t>
      </w:r>
      <w:r>
        <w:rPr>
          <w:rFonts w:hint="eastAsia"/>
          <w:color w:val="000000" w:themeColor="text1"/>
          <w:kern w:val="0"/>
          <w:sz w:val="24"/>
          <w:szCs w:val="24"/>
        </w:rPr>
        <w:t>燃料油罐，储罐设计填装率</w:t>
      </w:r>
      <w:r>
        <w:rPr>
          <w:rFonts w:hint="eastAsia"/>
          <w:color w:val="000000" w:themeColor="text1"/>
          <w:kern w:val="0"/>
          <w:sz w:val="24"/>
          <w:szCs w:val="24"/>
        </w:rPr>
        <w:t>90%</w:t>
      </w:r>
      <w:r>
        <w:rPr>
          <w:rFonts w:hint="eastAsia"/>
          <w:color w:val="000000" w:themeColor="text1"/>
          <w:kern w:val="0"/>
          <w:sz w:val="24"/>
          <w:szCs w:val="24"/>
        </w:rPr>
        <w:t>。</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fldChar w:fldCharType="begin"/>
      </w:r>
      <w:r>
        <w:rPr>
          <w:rFonts w:ascii="Times New Roman" w:eastAsia="宋体" w:hAnsi="Times New Roman" w:cs="Times New Roman" w:hint="eastAsia"/>
          <w:b/>
          <w:color w:val="000000" w:themeColor="text1"/>
          <w:sz w:val="24"/>
        </w:rPr>
        <w:instrText xml:space="preserve"> STYLEREF 1 \s </w:instrText>
      </w:r>
      <w:r>
        <w:rPr>
          <w:rFonts w:ascii="Times New Roman" w:eastAsia="宋体" w:hAnsi="Times New Roman" w:cs="Times New Roman" w:hint="eastAsia"/>
          <w:b/>
          <w:color w:val="000000" w:themeColor="text1"/>
          <w:sz w:val="24"/>
        </w:rPr>
        <w:fldChar w:fldCharType="separate"/>
      </w:r>
      <w:r>
        <w:rPr>
          <w:rFonts w:ascii="Times New Roman" w:eastAsia="宋体" w:hAnsi="Times New Roman" w:cs="Times New Roman" w:hint="eastAsia"/>
          <w:b/>
          <w:color w:val="000000" w:themeColor="text1"/>
          <w:sz w:val="24"/>
        </w:rPr>
        <w:t>1</w:t>
      </w:r>
      <w:r>
        <w:rPr>
          <w:rFonts w:ascii="Times New Roman" w:eastAsia="宋体" w:hAnsi="Times New Roman" w:cs="Times New Roman" w:hint="eastAsia"/>
          <w:b/>
          <w:color w:val="000000" w:themeColor="text1"/>
          <w:sz w:val="24"/>
        </w:rPr>
        <w:fldChar w:fldCharType="end"/>
      </w:r>
      <w:r>
        <w:rPr>
          <w:rFonts w:ascii="Times New Roman" w:eastAsia="宋体" w:hAnsi="Times New Roman" w:cs="Times New Roman" w:hint="eastAsia"/>
          <w:b/>
          <w:color w:val="000000" w:themeColor="text1"/>
          <w:sz w:val="24"/>
        </w:rPr>
        <w:t>.8</w:t>
      </w:r>
      <w:r>
        <w:rPr>
          <w:rFonts w:ascii="Times New Roman" w:eastAsia="宋体" w:hAnsi="Times New Roman" w:cs="Times New Roman" w:hint="eastAsia"/>
          <w:b/>
          <w:color w:val="000000" w:themeColor="text1"/>
          <w:sz w:val="24"/>
        </w:rPr>
        <w:noBreakHyphen/>
        <w:t>10</w:t>
      </w:r>
      <w:r>
        <w:rPr>
          <w:rFonts w:ascii="Times New Roman" w:eastAsia="宋体" w:hAnsi="Times New Roman" w:cs="Times New Roman" w:hint="eastAsia"/>
          <w:b/>
          <w:color w:val="000000" w:themeColor="text1"/>
          <w:sz w:val="24"/>
        </w:rPr>
        <w:t>建设项目</w:t>
      </w:r>
      <w:r>
        <w:rPr>
          <w:rFonts w:ascii="Times New Roman" w:eastAsia="宋体" w:hAnsi="Times New Roman" w:cs="Times New Roman" w:hint="eastAsia"/>
          <w:b/>
          <w:color w:val="000000" w:themeColor="text1"/>
          <w:sz w:val="24"/>
        </w:rPr>
        <w:t>Q</w:t>
      </w:r>
      <w:r>
        <w:rPr>
          <w:rFonts w:ascii="Times New Roman" w:eastAsia="宋体" w:hAnsi="Times New Roman" w:cs="Times New Roman" w:hint="eastAsia"/>
          <w:b/>
          <w:color w:val="000000" w:themeColor="text1"/>
          <w:sz w:val="24"/>
        </w:rPr>
        <w:t>值确定表</w:t>
      </w:r>
    </w:p>
    <w:tbl>
      <w:tblPr>
        <w:tblW w:w="0" w:type="auto"/>
        <w:jc w:val="center"/>
        <w:tblBorders>
          <w:top w:val="single" w:sz="12"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7"/>
        <w:gridCol w:w="2123"/>
        <w:gridCol w:w="1898"/>
        <w:gridCol w:w="1711"/>
        <w:gridCol w:w="1593"/>
      </w:tblGrid>
      <w:tr w:rsidR="00644456" w:rsidRPr="006214B2">
        <w:trPr>
          <w:jc w:val="center"/>
        </w:trPr>
        <w:tc>
          <w:tcPr>
            <w:tcW w:w="997" w:type="dxa"/>
            <w:vAlign w:val="center"/>
          </w:tcPr>
          <w:p w:rsidR="00644456" w:rsidRPr="006214B2" w:rsidRDefault="008031C4">
            <w:pPr>
              <w:jc w:val="center"/>
              <w:rPr>
                <w:rFonts w:cs="Times New Roman"/>
                <w:bCs/>
                <w:color w:val="FF0000"/>
                <w:szCs w:val="21"/>
              </w:rPr>
            </w:pPr>
            <w:r w:rsidRPr="006214B2">
              <w:rPr>
                <w:rFonts w:cs="Times New Roman"/>
                <w:bCs/>
                <w:color w:val="FF0000"/>
                <w:szCs w:val="21"/>
              </w:rPr>
              <w:t>危险单元</w:t>
            </w:r>
          </w:p>
        </w:tc>
        <w:tc>
          <w:tcPr>
            <w:tcW w:w="2123" w:type="dxa"/>
            <w:vAlign w:val="center"/>
          </w:tcPr>
          <w:p w:rsidR="00644456" w:rsidRPr="006214B2" w:rsidRDefault="008031C4">
            <w:pPr>
              <w:jc w:val="center"/>
              <w:rPr>
                <w:rFonts w:cs="Times New Roman"/>
                <w:bCs/>
                <w:color w:val="FF0000"/>
                <w:szCs w:val="21"/>
              </w:rPr>
            </w:pPr>
            <w:r w:rsidRPr="006214B2">
              <w:rPr>
                <w:rFonts w:cs="Times New Roman"/>
                <w:bCs/>
                <w:color w:val="FF0000"/>
                <w:szCs w:val="21"/>
              </w:rPr>
              <w:t>危险物质</w:t>
            </w:r>
          </w:p>
        </w:tc>
        <w:tc>
          <w:tcPr>
            <w:tcW w:w="1898" w:type="dxa"/>
            <w:vAlign w:val="center"/>
          </w:tcPr>
          <w:p w:rsidR="00644456" w:rsidRPr="006214B2" w:rsidRDefault="008031C4">
            <w:pPr>
              <w:jc w:val="center"/>
              <w:rPr>
                <w:rFonts w:cs="Times New Roman"/>
                <w:bCs/>
                <w:color w:val="FF0000"/>
                <w:szCs w:val="21"/>
              </w:rPr>
            </w:pPr>
            <w:r w:rsidRPr="006214B2">
              <w:rPr>
                <w:rFonts w:cs="Times New Roman"/>
                <w:bCs/>
                <w:color w:val="FF0000"/>
                <w:szCs w:val="21"/>
              </w:rPr>
              <w:t>最大</w:t>
            </w:r>
            <w:r w:rsidRPr="006214B2">
              <w:rPr>
                <w:rFonts w:cs="Times New Roman" w:hint="eastAsia"/>
                <w:bCs/>
                <w:color w:val="FF0000"/>
                <w:szCs w:val="21"/>
              </w:rPr>
              <w:t>存在</w:t>
            </w:r>
            <w:r w:rsidRPr="006214B2">
              <w:rPr>
                <w:rFonts w:cs="Times New Roman"/>
                <w:bCs/>
                <w:color w:val="FF0000"/>
                <w:szCs w:val="21"/>
              </w:rPr>
              <w:t>量</w:t>
            </w:r>
            <w:r w:rsidRPr="006214B2">
              <w:rPr>
                <w:rFonts w:cs="Times New Roman"/>
                <w:bCs/>
                <w:color w:val="FF0000"/>
                <w:szCs w:val="21"/>
              </w:rPr>
              <w:t>/t</w:t>
            </w:r>
          </w:p>
        </w:tc>
        <w:tc>
          <w:tcPr>
            <w:tcW w:w="1711" w:type="dxa"/>
            <w:vAlign w:val="center"/>
          </w:tcPr>
          <w:p w:rsidR="00644456" w:rsidRPr="006214B2" w:rsidRDefault="008031C4">
            <w:pPr>
              <w:jc w:val="center"/>
              <w:rPr>
                <w:rFonts w:cs="Times New Roman"/>
                <w:bCs/>
                <w:color w:val="FF0000"/>
                <w:szCs w:val="21"/>
              </w:rPr>
            </w:pPr>
            <w:r w:rsidRPr="006214B2">
              <w:rPr>
                <w:rFonts w:cs="Times New Roman"/>
                <w:bCs/>
                <w:color w:val="FF0000"/>
                <w:szCs w:val="21"/>
              </w:rPr>
              <w:t>临界量</w:t>
            </w:r>
            <w:r w:rsidRPr="006214B2">
              <w:rPr>
                <w:rFonts w:cs="Times New Roman"/>
                <w:bCs/>
                <w:color w:val="FF0000"/>
                <w:szCs w:val="21"/>
              </w:rPr>
              <w:t>/t</w:t>
            </w:r>
          </w:p>
        </w:tc>
        <w:tc>
          <w:tcPr>
            <w:tcW w:w="1593" w:type="dxa"/>
            <w:vAlign w:val="center"/>
          </w:tcPr>
          <w:p w:rsidR="00644456" w:rsidRPr="006214B2" w:rsidRDefault="008031C4">
            <w:pPr>
              <w:jc w:val="center"/>
              <w:rPr>
                <w:rFonts w:cs="Times New Roman"/>
                <w:bCs/>
                <w:color w:val="FF0000"/>
                <w:szCs w:val="21"/>
              </w:rPr>
            </w:pPr>
            <w:r w:rsidRPr="006214B2">
              <w:rPr>
                <w:rFonts w:cs="Times New Roman"/>
                <w:bCs/>
                <w:color w:val="FF0000"/>
                <w:szCs w:val="21"/>
              </w:rPr>
              <w:t>Q</w:t>
            </w:r>
            <w:r w:rsidRPr="006214B2">
              <w:rPr>
                <w:rFonts w:cs="Times New Roman"/>
                <w:bCs/>
                <w:color w:val="FF0000"/>
                <w:szCs w:val="21"/>
              </w:rPr>
              <w:t>值</w:t>
            </w:r>
          </w:p>
        </w:tc>
      </w:tr>
      <w:tr w:rsidR="006214B2" w:rsidRPr="006214B2">
        <w:trPr>
          <w:jc w:val="center"/>
        </w:trPr>
        <w:tc>
          <w:tcPr>
            <w:tcW w:w="997" w:type="dxa"/>
            <w:vMerge w:val="restart"/>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厂区</w:t>
            </w:r>
          </w:p>
        </w:tc>
        <w:tc>
          <w:tcPr>
            <w:tcW w:w="2123"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废矿物油（原料储罐）</w:t>
            </w:r>
          </w:p>
        </w:tc>
        <w:tc>
          <w:tcPr>
            <w:tcW w:w="1898"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1262.25</w:t>
            </w:r>
          </w:p>
        </w:tc>
        <w:tc>
          <w:tcPr>
            <w:tcW w:w="1711"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2500</w:t>
            </w:r>
          </w:p>
        </w:tc>
        <w:tc>
          <w:tcPr>
            <w:tcW w:w="1593"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0.5049</w:t>
            </w:r>
          </w:p>
        </w:tc>
      </w:tr>
      <w:tr w:rsidR="006214B2" w:rsidRPr="006214B2">
        <w:trPr>
          <w:jc w:val="center"/>
        </w:trPr>
        <w:tc>
          <w:tcPr>
            <w:tcW w:w="997" w:type="dxa"/>
            <w:vMerge/>
            <w:vAlign w:val="center"/>
          </w:tcPr>
          <w:p w:rsidR="006214B2" w:rsidRPr="006214B2" w:rsidRDefault="006214B2">
            <w:pPr>
              <w:jc w:val="center"/>
              <w:rPr>
                <w:rFonts w:cs="Times New Roman"/>
                <w:bCs/>
                <w:color w:val="FF0000"/>
                <w:szCs w:val="21"/>
              </w:rPr>
            </w:pPr>
          </w:p>
        </w:tc>
        <w:tc>
          <w:tcPr>
            <w:tcW w:w="2123"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矿物油（基础油罐）</w:t>
            </w:r>
          </w:p>
        </w:tc>
        <w:tc>
          <w:tcPr>
            <w:tcW w:w="1898"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79.2</w:t>
            </w:r>
          </w:p>
        </w:tc>
        <w:tc>
          <w:tcPr>
            <w:tcW w:w="1711"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2500</w:t>
            </w:r>
          </w:p>
        </w:tc>
        <w:tc>
          <w:tcPr>
            <w:tcW w:w="1593"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0.03168</w:t>
            </w:r>
          </w:p>
        </w:tc>
      </w:tr>
      <w:tr w:rsidR="006214B2" w:rsidRPr="006214B2">
        <w:trPr>
          <w:trHeight w:val="90"/>
          <w:jc w:val="center"/>
        </w:trPr>
        <w:tc>
          <w:tcPr>
            <w:tcW w:w="997" w:type="dxa"/>
            <w:vMerge/>
            <w:vAlign w:val="center"/>
          </w:tcPr>
          <w:p w:rsidR="006214B2" w:rsidRPr="006214B2" w:rsidRDefault="006214B2">
            <w:pPr>
              <w:jc w:val="center"/>
              <w:rPr>
                <w:rFonts w:cs="Times New Roman"/>
                <w:bCs/>
                <w:color w:val="FF0000"/>
                <w:szCs w:val="21"/>
              </w:rPr>
            </w:pPr>
          </w:p>
        </w:tc>
        <w:tc>
          <w:tcPr>
            <w:tcW w:w="2123"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矿物油（再生尾油罐）</w:t>
            </w:r>
          </w:p>
        </w:tc>
        <w:tc>
          <w:tcPr>
            <w:tcW w:w="1898"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504.9</w:t>
            </w:r>
          </w:p>
        </w:tc>
        <w:tc>
          <w:tcPr>
            <w:tcW w:w="1711"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2500</w:t>
            </w:r>
          </w:p>
        </w:tc>
        <w:tc>
          <w:tcPr>
            <w:tcW w:w="1593"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0.20196</w:t>
            </w:r>
          </w:p>
        </w:tc>
      </w:tr>
      <w:tr w:rsidR="006214B2" w:rsidRPr="006214B2">
        <w:trPr>
          <w:jc w:val="center"/>
        </w:trPr>
        <w:tc>
          <w:tcPr>
            <w:tcW w:w="997" w:type="dxa"/>
            <w:vMerge/>
            <w:vAlign w:val="center"/>
          </w:tcPr>
          <w:p w:rsidR="006214B2" w:rsidRPr="006214B2" w:rsidRDefault="006214B2">
            <w:pPr>
              <w:jc w:val="center"/>
              <w:rPr>
                <w:rFonts w:cs="Times New Roman"/>
                <w:bCs/>
                <w:color w:val="FF0000"/>
                <w:szCs w:val="21"/>
              </w:rPr>
            </w:pPr>
          </w:p>
        </w:tc>
        <w:tc>
          <w:tcPr>
            <w:tcW w:w="2123"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矿物油（燃料油罐）</w:t>
            </w:r>
          </w:p>
        </w:tc>
        <w:tc>
          <w:tcPr>
            <w:tcW w:w="1898"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242.45</w:t>
            </w:r>
          </w:p>
        </w:tc>
        <w:tc>
          <w:tcPr>
            <w:tcW w:w="1711"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2500</w:t>
            </w:r>
          </w:p>
        </w:tc>
        <w:tc>
          <w:tcPr>
            <w:tcW w:w="1593"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0.09698</w:t>
            </w:r>
          </w:p>
        </w:tc>
      </w:tr>
      <w:tr w:rsidR="006214B2" w:rsidRPr="006214B2">
        <w:trPr>
          <w:jc w:val="center"/>
        </w:trPr>
        <w:tc>
          <w:tcPr>
            <w:tcW w:w="997" w:type="dxa"/>
            <w:vMerge/>
            <w:vAlign w:val="center"/>
          </w:tcPr>
          <w:p w:rsidR="006214B2" w:rsidRPr="006214B2" w:rsidRDefault="006214B2">
            <w:pPr>
              <w:jc w:val="center"/>
              <w:rPr>
                <w:rFonts w:cs="Times New Roman"/>
                <w:bCs/>
                <w:color w:val="FF0000"/>
                <w:szCs w:val="21"/>
              </w:rPr>
            </w:pPr>
          </w:p>
        </w:tc>
        <w:tc>
          <w:tcPr>
            <w:tcW w:w="2123"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天然气</w:t>
            </w:r>
          </w:p>
        </w:tc>
        <w:tc>
          <w:tcPr>
            <w:tcW w:w="1898"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0.01099</w:t>
            </w:r>
          </w:p>
        </w:tc>
        <w:tc>
          <w:tcPr>
            <w:tcW w:w="1711"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10</w:t>
            </w:r>
          </w:p>
        </w:tc>
        <w:tc>
          <w:tcPr>
            <w:tcW w:w="1593"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0.001099</w:t>
            </w:r>
          </w:p>
        </w:tc>
      </w:tr>
      <w:tr w:rsidR="006214B2" w:rsidRPr="006214B2">
        <w:trPr>
          <w:jc w:val="center"/>
        </w:trPr>
        <w:tc>
          <w:tcPr>
            <w:tcW w:w="997" w:type="dxa"/>
            <w:vMerge/>
            <w:vAlign w:val="center"/>
          </w:tcPr>
          <w:p w:rsidR="006214B2" w:rsidRPr="006214B2" w:rsidRDefault="006214B2">
            <w:pPr>
              <w:jc w:val="center"/>
              <w:rPr>
                <w:rFonts w:cs="Times New Roman"/>
                <w:bCs/>
                <w:color w:val="FF0000"/>
                <w:szCs w:val="21"/>
              </w:rPr>
            </w:pPr>
          </w:p>
        </w:tc>
        <w:tc>
          <w:tcPr>
            <w:tcW w:w="2123"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废导热油</w:t>
            </w:r>
          </w:p>
        </w:tc>
        <w:tc>
          <w:tcPr>
            <w:tcW w:w="1898"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0.7</w:t>
            </w:r>
          </w:p>
        </w:tc>
        <w:tc>
          <w:tcPr>
            <w:tcW w:w="1711"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2500</w:t>
            </w:r>
          </w:p>
        </w:tc>
        <w:tc>
          <w:tcPr>
            <w:tcW w:w="1593"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0.00028</w:t>
            </w:r>
          </w:p>
        </w:tc>
      </w:tr>
      <w:tr w:rsidR="006214B2" w:rsidRPr="006214B2">
        <w:trPr>
          <w:jc w:val="center"/>
        </w:trPr>
        <w:tc>
          <w:tcPr>
            <w:tcW w:w="997" w:type="dxa"/>
            <w:vMerge/>
            <w:vAlign w:val="center"/>
          </w:tcPr>
          <w:p w:rsidR="006214B2" w:rsidRPr="006214B2" w:rsidRDefault="006214B2">
            <w:pPr>
              <w:jc w:val="center"/>
              <w:rPr>
                <w:rFonts w:cs="Times New Roman"/>
                <w:bCs/>
                <w:color w:val="FF0000"/>
                <w:szCs w:val="21"/>
              </w:rPr>
            </w:pPr>
          </w:p>
        </w:tc>
        <w:tc>
          <w:tcPr>
            <w:tcW w:w="2123"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导热油（在线量）</w:t>
            </w:r>
          </w:p>
        </w:tc>
        <w:tc>
          <w:tcPr>
            <w:tcW w:w="1898"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1</w:t>
            </w:r>
          </w:p>
        </w:tc>
        <w:tc>
          <w:tcPr>
            <w:tcW w:w="1711"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2</w:t>
            </w:r>
            <w:r w:rsidRPr="006214B2">
              <w:rPr>
                <w:rFonts w:cs="Times New Roman"/>
                <w:bCs/>
                <w:color w:val="FF0000"/>
                <w:szCs w:val="21"/>
              </w:rPr>
              <w:t>500</w:t>
            </w:r>
          </w:p>
        </w:tc>
        <w:tc>
          <w:tcPr>
            <w:tcW w:w="1593" w:type="dxa"/>
            <w:vAlign w:val="center"/>
          </w:tcPr>
          <w:p w:rsidR="006214B2" w:rsidRPr="006214B2" w:rsidRDefault="006214B2">
            <w:pPr>
              <w:jc w:val="center"/>
              <w:rPr>
                <w:rFonts w:cs="Times New Roman"/>
                <w:bCs/>
                <w:color w:val="FF0000"/>
                <w:szCs w:val="21"/>
              </w:rPr>
            </w:pPr>
            <w:r w:rsidRPr="006214B2">
              <w:rPr>
                <w:rFonts w:cs="Times New Roman" w:hint="eastAsia"/>
                <w:bCs/>
                <w:color w:val="FF0000"/>
                <w:szCs w:val="21"/>
              </w:rPr>
              <w:t>0</w:t>
            </w:r>
            <w:r w:rsidRPr="006214B2">
              <w:rPr>
                <w:rFonts w:cs="Times New Roman"/>
                <w:bCs/>
                <w:color w:val="FF0000"/>
                <w:szCs w:val="21"/>
              </w:rPr>
              <w:t>.0004</w:t>
            </w:r>
          </w:p>
        </w:tc>
      </w:tr>
      <w:tr w:rsidR="00644456" w:rsidRPr="006214B2">
        <w:trPr>
          <w:jc w:val="center"/>
        </w:trPr>
        <w:tc>
          <w:tcPr>
            <w:tcW w:w="3120" w:type="dxa"/>
            <w:gridSpan w:val="2"/>
            <w:vAlign w:val="center"/>
          </w:tcPr>
          <w:p w:rsidR="00644456" w:rsidRPr="006214B2" w:rsidRDefault="008031C4">
            <w:pPr>
              <w:jc w:val="center"/>
              <w:rPr>
                <w:rFonts w:cs="Times New Roman"/>
                <w:bCs/>
                <w:color w:val="FF0000"/>
                <w:szCs w:val="21"/>
              </w:rPr>
            </w:pPr>
            <w:r w:rsidRPr="006214B2">
              <w:rPr>
                <w:rFonts w:cs="Times New Roman" w:hint="eastAsia"/>
                <w:bCs/>
                <w:color w:val="FF0000"/>
                <w:szCs w:val="21"/>
              </w:rPr>
              <w:t>合计</w:t>
            </w:r>
          </w:p>
        </w:tc>
        <w:tc>
          <w:tcPr>
            <w:tcW w:w="1898" w:type="dxa"/>
            <w:vAlign w:val="center"/>
          </w:tcPr>
          <w:p w:rsidR="00644456" w:rsidRPr="006214B2" w:rsidRDefault="008031C4">
            <w:pPr>
              <w:jc w:val="center"/>
              <w:rPr>
                <w:rFonts w:cs="Times New Roman"/>
                <w:bCs/>
                <w:color w:val="FF0000"/>
                <w:szCs w:val="21"/>
              </w:rPr>
            </w:pPr>
            <w:r w:rsidRPr="006214B2">
              <w:rPr>
                <w:rFonts w:cs="Times New Roman" w:hint="eastAsia"/>
                <w:bCs/>
                <w:color w:val="FF0000"/>
                <w:szCs w:val="21"/>
              </w:rPr>
              <w:t>/</w:t>
            </w:r>
          </w:p>
        </w:tc>
        <w:tc>
          <w:tcPr>
            <w:tcW w:w="1711" w:type="dxa"/>
            <w:vAlign w:val="center"/>
          </w:tcPr>
          <w:p w:rsidR="00644456" w:rsidRPr="006214B2" w:rsidRDefault="008031C4">
            <w:pPr>
              <w:jc w:val="center"/>
              <w:rPr>
                <w:rFonts w:cs="Times New Roman"/>
                <w:bCs/>
                <w:color w:val="FF0000"/>
                <w:szCs w:val="21"/>
              </w:rPr>
            </w:pPr>
            <w:r w:rsidRPr="006214B2">
              <w:rPr>
                <w:rFonts w:cs="Times New Roman" w:hint="eastAsia"/>
                <w:bCs/>
                <w:color w:val="FF0000"/>
                <w:szCs w:val="21"/>
              </w:rPr>
              <w:t>/</w:t>
            </w:r>
          </w:p>
        </w:tc>
        <w:tc>
          <w:tcPr>
            <w:tcW w:w="1593" w:type="dxa"/>
            <w:vAlign w:val="center"/>
          </w:tcPr>
          <w:p w:rsidR="00644456" w:rsidRPr="006214B2" w:rsidRDefault="008031C4">
            <w:pPr>
              <w:jc w:val="center"/>
              <w:rPr>
                <w:rFonts w:cs="Times New Roman"/>
                <w:bCs/>
                <w:color w:val="FF0000"/>
                <w:szCs w:val="21"/>
              </w:rPr>
            </w:pPr>
            <w:r w:rsidRPr="006214B2">
              <w:rPr>
                <w:rFonts w:cs="Times New Roman" w:hint="eastAsia"/>
                <w:bCs/>
                <w:color w:val="FF0000"/>
                <w:szCs w:val="21"/>
              </w:rPr>
              <w:t>0.83</w:t>
            </w:r>
            <w:r w:rsidR="006214B2" w:rsidRPr="006214B2">
              <w:rPr>
                <w:rFonts w:cs="Times New Roman"/>
                <w:bCs/>
                <w:color w:val="FF0000"/>
                <w:szCs w:val="21"/>
              </w:rPr>
              <w:t>72</w:t>
            </w:r>
            <w:r w:rsidRPr="006214B2">
              <w:rPr>
                <w:rFonts w:cs="Times New Roman" w:hint="eastAsia"/>
                <w:bCs/>
                <w:color w:val="FF0000"/>
                <w:szCs w:val="21"/>
              </w:rPr>
              <w:t>99</w:t>
            </w:r>
          </w:p>
        </w:tc>
      </w:tr>
    </w:tbl>
    <w:p w:rsidR="00644456" w:rsidRPr="006214B2" w:rsidRDefault="008031C4">
      <w:pPr>
        <w:tabs>
          <w:tab w:val="left" w:pos="3150"/>
        </w:tabs>
        <w:spacing w:line="360" w:lineRule="auto"/>
        <w:ind w:firstLineChars="200" w:firstLine="480"/>
        <w:rPr>
          <w:color w:val="FF0000"/>
          <w:kern w:val="0"/>
          <w:sz w:val="24"/>
          <w:szCs w:val="24"/>
        </w:rPr>
      </w:pPr>
      <w:r w:rsidRPr="006214B2">
        <w:rPr>
          <w:rFonts w:hint="eastAsia"/>
          <w:color w:val="FF0000"/>
          <w:kern w:val="0"/>
          <w:sz w:val="24"/>
          <w:szCs w:val="24"/>
        </w:rPr>
        <w:t>因此，本项目</w:t>
      </w:r>
      <w:r w:rsidRPr="006214B2">
        <w:rPr>
          <w:rFonts w:hint="eastAsia"/>
          <w:color w:val="FF0000"/>
          <w:kern w:val="0"/>
          <w:sz w:val="24"/>
          <w:szCs w:val="24"/>
        </w:rPr>
        <w:t>Q=0.83</w:t>
      </w:r>
      <w:r w:rsidR="006214B2" w:rsidRPr="006214B2">
        <w:rPr>
          <w:color w:val="FF0000"/>
          <w:kern w:val="0"/>
          <w:sz w:val="24"/>
          <w:szCs w:val="24"/>
        </w:rPr>
        <w:t>72</w:t>
      </w:r>
      <w:r w:rsidRPr="006214B2">
        <w:rPr>
          <w:rFonts w:hint="eastAsia"/>
          <w:color w:val="FF0000"/>
          <w:kern w:val="0"/>
          <w:sz w:val="24"/>
          <w:szCs w:val="24"/>
        </w:rPr>
        <w:t>99</w:t>
      </w:r>
      <w:r w:rsidRPr="006214B2">
        <w:rPr>
          <w:rFonts w:hint="eastAsia"/>
          <w:color w:val="FF0000"/>
          <w:kern w:val="0"/>
          <w:sz w:val="24"/>
          <w:szCs w:val="24"/>
        </w:rPr>
        <w:t>。根据《建设项目环境风险评价技术导则》（</w:t>
      </w:r>
      <w:r w:rsidRPr="006214B2">
        <w:rPr>
          <w:rFonts w:hint="eastAsia"/>
          <w:color w:val="FF0000"/>
          <w:kern w:val="0"/>
          <w:sz w:val="24"/>
          <w:szCs w:val="24"/>
        </w:rPr>
        <w:t>HJ/T69-2018</w:t>
      </w:r>
      <w:r w:rsidRPr="006214B2">
        <w:rPr>
          <w:rFonts w:hint="eastAsia"/>
          <w:color w:val="FF0000"/>
          <w:kern w:val="0"/>
          <w:sz w:val="24"/>
          <w:szCs w:val="24"/>
        </w:rPr>
        <w:t>）</w:t>
      </w:r>
      <w:r w:rsidRPr="006214B2">
        <w:rPr>
          <w:rFonts w:hint="eastAsia"/>
          <w:color w:val="FF0000"/>
          <w:kern w:val="0"/>
          <w:sz w:val="24"/>
          <w:szCs w:val="24"/>
        </w:rPr>
        <w:lastRenderedPageBreak/>
        <w:t>有关规定，</w:t>
      </w:r>
      <w:r w:rsidRPr="006214B2">
        <w:rPr>
          <w:rFonts w:hint="eastAsia"/>
          <w:color w:val="FF0000"/>
          <w:kern w:val="0"/>
          <w:sz w:val="24"/>
          <w:szCs w:val="24"/>
        </w:rPr>
        <w:t>Q&lt;1</w:t>
      </w:r>
      <w:r w:rsidRPr="006214B2">
        <w:rPr>
          <w:rFonts w:hint="eastAsia"/>
          <w:color w:val="FF0000"/>
          <w:kern w:val="0"/>
          <w:sz w:val="24"/>
          <w:szCs w:val="24"/>
        </w:rPr>
        <w:t>，判断本项目风险潜势为</w:t>
      </w:r>
      <w:r w:rsidRPr="006214B2">
        <w:rPr>
          <w:rFonts w:hint="eastAsia"/>
          <w:color w:val="FF0000"/>
          <w:kern w:val="0"/>
          <w:sz w:val="24"/>
          <w:szCs w:val="24"/>
        </w:rPr>
        <w:t>I</w:t>
      </w:r>
      <w:r w:rsidRPr="006214B2">
        <w:rPr>
          <w:rFonts w:hint="eastAsia"/>
          <w:color w:val="FF0000"/>
          <w:kern w:val="0"/>
          <w:sz w:val="24"/>
          <w:szCs w:val="24"/>
        </w:rPr>
        <w:t>。</w:t>
      </w:r>
    </w:p>
    <w:p w:rsidR="00644456" w:rsidRDefault="008031C4">
      <w:pPr>
        <w:pStyle w:val="-"/>
        <w:ind w:firstLine="482"/>
        <w:rPr>
          <w:rFonts w:cs="Times New Roman"/>
          <w:b/>
          <w:color w:val="000000" w:themeColor="text1"/>
        </w:rPr>
      </w:pPr>
      <w:r>
        <w:rPr>
          <w:rFonts w:cs="Times New Roman"/>
          <w:b/>
          <w:color w:val="000000" w:themeColor="text1"/>
        </w:rPr>
        <w:t>2</w:t>
      </w:r>
      <w:r>
        <w:rPr>
          <w:rFonts w:cs="Times New Roman"/>
          <w:b/>
          <w:color w:val="000000" w:themeColor="text1"/>
        </w:rPr>
        <w:t>、环境风险评价工作等级划分</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fldChar w:fldCharType="begin"/>
      </w:r>
      <w:r>
        <w:rPr>
          <w:rFonts w:ascii="Times New Roman" w:eastAsia="宋体" w:hAnsi="Times New Roman" w:cs="Times New Roman" w:hint="eastAsia"/>
          <w:b/>
          <w:color w:val="000000" w:themeColor="text1"/>
          <w:sz w:val="24"/>
        </w:rPr>
        <w:instrText xml:space="preserve"> STYLEREF 1 \s </w:instrText>
      </w:r>
      <w:r>
        <w:rPr>
          <w:rFonts w:ascii="Times New Roman" w:eastAsia="宋体" w:hAnsi="Times New Roman" w:cs="Times New Roman" w:hint="eastAsia"/>
          <w:b/>
          <w:color w:val="000000" w:themeColor="text1"/>
          <w:sz w:val="24"/>
        </w:rPr>
        <w:fldChar w:fldCharType="separate"/>
      </w:r>
      <w:r>
        <w:rPr>
          <w:rFonts w:ascii="Times New Roman" w:eastAsia="宋体" w:hAnsi="Times New Roman" w:cs="Times New Roman" w:hint="eastAsia"/>
          <w:b/>
          <w:color w:val="000000" w:themeColor="text1"/>
          <w:sz w:val="24"/>
        </w:rPr>
        <w:t>1</w:t>
      </w:r>
      <w:r>
        <w:rPr>
          <w:rFonts w:ascii="Times New Roman" w:eastAsia="宋体" w:hAnsi="Times New Roman" w:cs="Times New Roman" w:hint="eastAsia"/>
          <w:b/>
          <w:color w:val="000000" w:themeColor="text1"/>
          <w:sz w:val="24"/>
        </w:rPr>
        <w:fldChar w:fldCharType="end"/>
      </w:r>
      <w:r>
        <w:rPr>
          <w:rFonts w:ascii="Times New Roman" w:eastAsia="宋体" w:hAnsi="Times New Roman" w:cs="Times New Roman" w:hint="eastAsia"/>
          <w:b/>
          <w:color w:val="000000" w:themeColor="text1"/>
          <w:sz w:val="24"/>
        </w:rPr>
        <w:t>.8</w:t>
      </w:r>
      <w:r>
        <w:rPr>
          <w:rFonts w:ascii="Times New Roman" w:eastAsia="宋体" w:hAnsi="Times New Roman" w:cs="Times New Roman" w:hint="eastAsia"/>
          <w:b/>
          <w:color w:val="000000" w:themeColor="text1"/>
          <w:sz w:val="24"/>
        </w:rPr>
        <w:noBreakHyphen/>
        <w:t>11</w:t>
      </w:r>
      <w:r>
        <w:rPr>
          <w:rFonts w:ascii="Times New Roman" w:eastAsia="宋体" w:hAnsi="Times New Roman" w:cs="Times New Roman" w:hint="eastAsia"/>
          <w:b/>
          <w:color w:val="000000" w:themeColor="text1"/>
          <w:sz w:val="24"/>
        </w:rPr>
        <w:t>风险评价工作级别划分</w:t>
      </w:r>
    </w:p>
    <w:tbl>
      <w:tblPr>
        <w:tblW w:w="5000" w:type="pct"/>
        <w:tblBorders>
          <w:top w:val="single" w:sz="12" w:space="0" w:color="auto"/>
          <w:bottom w:val="single" w:sz="12"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1666"/>
        <w:gridCol w:w="1920"/>
        <w:gridCol w:w="1728"/>
        <w:gridCol w:w="1900"/>
        <w:gridCol w:w="1732"/>
      </w:tblGrid>
      <w:tr w:rsidR="00644456">
        <w:trPr>
          <w:cantSplit/>
        </w:trPr>
        <w:tc>
          <w:tcPr>
            <w:tcW w:w="931" w:type="pct"/>
            <w:shd w:val="clear" w:color="auto" w:fill="FFFFFF" w:themeFill="background1"/>
            <w:vAlign w:val="center"/>
          </w:tcPr>
          <w:p w:rsidR="00644456" w:rsidRDefault="008031C4">
            <w:pPr>
              <w:jc w:val="center"/>
              <w:rPr>
                <w:rFonts w:cs="Times New Roman"/>
                <w:b/>
                <w:color w:val="000000" w:themeColor="text1"/>
              </w:rPr>
            </w:pPr>
            <w:r>
              <w:rPr>
                <w:rFonts w:cs="Times New Roman"/>
                <w:b/>
                <w:color w:val="000000" w:themeColor="text1"/>
              </w:rPr>
              <w:t>环境风险潜势</w:t>
            </w:r>
          </w:p>
        </w:tc>
        <w:tc>
          <w:tcPr>
            <w:tcW w:w="1073" w:type="pct"/>
            <w:shd w:val="clear" w:color="auto" w:fill="FFFFFF" w:themeFill="background1"/>
            <w:vAlign w:val="center"/>
          </w:tcPr>
          <w:p w:rsidR="00644456" w:rsidRDefault="008031C4">
            <w:pPr>
              <w:jc w:val="center"/>
              <w:rPr>
                <w:rFonts w:cs="Times New Roman"/>
                <w:b/>
                <w:color w:val="000000" w:themeColor="text1"/>
              </w:rPr>
            </w:pPr>
            <w:r>
              <w:rPr>
                <w:rFonts w:cs="Times New Roman"/>
                <w:b/>
                <w:color w:val="000000" w:themeColor="text1"/>
              </w:rPr>
              <w:t>Ⅳ</w:t>
            </w:r>
            <w:r>
              <w:rPr>
                <w:rFonts w:cs="Times New Roman"/>
                <w:b/>
                <w:color w:val="000000" w:themeColor="text1"/>
              </w:rPr>
              <w:t>、</w:t>
            </w:r>
            <w:r>
              <w:rPr>
                <w:rFonts w:cs="Times New Roman"/>
                <w:b/>
                <w:color w:val="000000" w:themeColor="text1"/>
              </w:rPr>
              <w:t>Ⅳ</w:t>
            </w:r>
            <w:r>
              <w:rPr>
                <w:rFonts w:cs="Times New Roman"/>
                <w:b/>
                <w:color w:val="000000" w:themeColor="text1"/>
                <w:vertAlign w:val="superscript"/>
              </w:rPr>
              <w:t>+</w:t>
            </w:r>
          </w:p>
        </w:tc>
        <w:tc>
          <w:tcPr>
            <w:tcW w:w="966" w:type="pct"/>
            <w:shd w:val="clear" w:color="auto" w:fill="FFFFFF" w:themeFill="background1"/>
            <w:vAlign w:val="center"/>
          </w:tcPr>
          <w:p w:rsidR="00644456" w:rsidRDefault="008031C4">
            <w:pPr>
              <w:jc w:val="center"/>
              <w:rPr>
                <w:rFonts w:cs="Times New Roman"/>
                <w:b/>
                <w:color w:val="000000" w:themeColor="text1"/>
              </w:rPr>
            </w:pPr>
            <w:r>
              <w:rPr>
                <w:rFonts w:cs="Times New Roman"/>
                <w:b/>
                <w:color w:val="000000" w:themeColor="text1"/>
              </w:rPr>
              <w:t>III</w:t>
            </w:r>
          </w:p>
        </w:tc>
        <w:tc>
          <w:tcPr>
            <w:tcW w:w="1062" w:type="pct"/>
            <w:shd w:val="clear" w:color="auto" w:fill="FFFFFF" w:themeFill="background1"/>
            <w:vAlign w:val="center"/>
          </w:tcPr>
          <w:p w:rsidR="00644456" w:rsidRDefault="008031C4">
            <w:pPr>
              <w:jc w:val="center"/>
              <w:rPr>
                <w:rFonts w:cs="Times New Roman"/>
                <w:b/>
                <w:color w:val="000000" w:themeColor="text1"/>
              </w:rPr>
            </w:pPr>
            <w:r>
              <w:rPr>
                <w:rFonts w:cs="Times New Roman"/>
                <w:b/>
                <w:color w:val="000000" w:themeColor="text1"/>
              </w:rPr>
              <w:t>Ⅱ</w:t>
            </w:r>
          </w:p>
        </w:tc>
        <w:tc>
          <w:tcPr>
            <w:tcW w:w="968" w:type="pct"/>
            <w:shd w:val="clear" w:color="auto" w:fill="FFFFFF" w:themeFill="background1"/>
            <w:vAlign w:val="center"/>
          </w:tcPr>
          <w:p w:rsidR="00644456" w:rsidRDefault="008031C4">
            <w:pPr>
              <w:jc w:val="center"/>
              <w:rPr>
                <w:rFonts w:cs="Times New Roman"/>
                <w:b/>
                <w:color w:val="000000" w:themeColor="text1"/>
              </w:rPr>
            </w:pPr>
            <w:r>
              <w:rPr>
                <w:rFonts w:cs="Times New Roman"/>
                <w:b/>
                <w:color w:val="000000" w:themeColor="text1"/>
              </w:rPr>
              <w:t>Ⅰ</w:t>
            </w:r>
          </w:p>
        </w:tc>
      </w:tr>
      <w:tr w:rsidR="00644456">
        <w:trPr>
          <w:cantSplit/>
        </w:trPr>
        <w:tc>
          <w:tcPr>
            <w:tcW w:w="931" w:type="pct"/>
            <w:shd w:val="clear" w:color="auto" w:fill="FFFFFF" w:themeFill="background1"/>
            <w:vAlign w:val="center"/>
          </w:tcPr>
          <w:p w:rsidR="00644456" w:rsidRDefault="008031C4">
            <w:pPr>
              <w:jc w:val="center"/>
              <w:rPr>
                <w:rFonts w:cs="Times New Roman"/>
                <w:color w:val="000000" w:themeColor="text1"/>
              </w:rPr>
            </w:pPr>
            <w:r>
              <w:rPr>
                <w:rFonts w:cs="Times New Roman"/>
                <w:color w:val="000000" w:themeColor="text1"/>
              </w:rPr>
              <w:t>评价工作等级</w:t>
            </w:r>
          </w:p>
        </w:tc>
        <w:tc>
          <w:tcPr>
            <w:tcW w:w="1073" w:type="pct"/>
            <w:shd w:val="clear" w:color="auto" w:fill="FFFFFF" w:themeFill="background1"/>
            <w:vAlign w:val="center"/>
          </w:tcPr>
          <w:p w:rsidR="00644456" w:rsidRDefault="008031C4">
            <w:pPr>
              <w:jc w:val="center"/>
              <w:rPr>
                <w:rFonts w:cs="Times New Roman"/>
                <w:color w:val="000000" w:themeColor="text1"/>
              </w:rPr>
            </w:pPr>
            <w:r>
              <w:rPr>
                <w:rFonts w:cs="Times New Roman"/>
                <w:color w:val="000000" w:themeColor="text1"/>
              </w:rPr>
              <w:t>一</w:t>
            </w:r>
          </w:p>
        </w:tc>
        <w:tc>
          <w:tcPr>
            <w:tcW w:w="966" w:type="pct"/>
            <w:shd w:val="clear" w:color="auto" w:fill="FFFFFF" w:themeFill="background1"/>
            <w:vAlign w:val="center"/>
          </w:tcPr>
          <w:p w:rsidR="00644456" w:rsidRDefault="008031C4">
            <w:pPr>
              <w:jc w:val="center"/>
              <w:rPr>
                <w:rFonts w:cs="Times New Roman"/>
                <w:color w:val="000000" w:themeColor="text1"/>
                <w:shd w:val="pct10" w:color="auto" w:fill="FFFFFF"/>
              </w:rPr>
            </w:pPr>
            <w:r>
              <w:rPr>
                <w:rFonts w:cs="Times New Roman"/>
                <w:color w:val="000000" w:themeColor="text1"/>
              </w:rPr>
              <w:t>二</w:t>
            </w:r>
          </w:p>
        </w:tc>
        <w:tc>
          <w:tcPr>
            <w:tcW w:w="1062" w:type="pct"/>
            <w:shd w:val="clear" w:color="auto" w:fill="FFFFFF" w:themeFill="background1"/>
            <w:vAlign w:val="center"/>
          </w:tcPr>
          <w:p w:rsidR="00644456" w:rsidRDefault="008031C4">
            <w:pPr>
              <w:jc w:val="center"/>
              <w:rPr>
                <w:rFonts w:cs="Times New Roman"/>
                <w:color w:val="000000" w:themeColor="text1"/>
              </w:rPr>
            </w:pPr>
            <w:r>
              <w:rPr>
                <w:rFonts w:cs="Times New Roman"/>
                <w:color w:val="000000" w:themeColor="text1"/>
              </w:rPr>
              <w:t>三</w:t>
            </w:r>
          </w:p>
        </w:tc>
        <w:tc>
          <w:tcPr>
            <w:tcW w:w="968" w:type="pct"/>
            <w:shd w:val="clear" w:color="auto" w:fill="FFFFFF" w:themeFill="background1"/>
            <w:vAlign w:val="center"/>
          </w:tcPr>
          <w:p w:rsidR="00644456" w:rsidRDefault="008031C4">
            <w:pPr>
              <w:jc w:val="center"/>
              <w:rPr>
                <w:rFonts w:cs="Times New Roman"/>
                <w:color w:val="000000" w:themeColor="text1"/>
              </w:rPr>
            </w:pPr>
            <w:r>
              <w:rPr>
                <w:rFonts w:cs="Times New Roman"/>
                <w:color w:val="000000" w:themeColor="text1"/>
                <w:shd w:val="pct10" w:color="auto" w:fill="FFFFFF"/>
              </w:rPr>
              <w:t>简单分析</w:t>
            </w:r>
            <w:r>
              <w:rPr>
                <w:rFonts w:cs="Times New Roman"/>
                <w:color w:val="000000" w:themeColor="text1"/>
                <w:shd w:val="pct10" w:color="auto" w:fill="FFFFFF"/>
              </w:rPr>
              <w:t>a</w:t>
            </w:r>
          </w:p>
        </w:tc>
      </w:tr>
      <w:tr w:rsidR="00644456">
        <w:trPr>
          <w:cantSplit/>
        </w:trPr>
        <w:tc>
          <w:tcPr>
            <w:tcW w:w="5000" w:type="pct"/>
            <w:gridSpan w:val="5"/>
            <w:shd w:val="clear" w:color="auto" w:fill="FFFFFF" w:themeFill="background1"/>
            <w:vAlign w:val="center"/>
          </w:tcPr>
          <w:p w:rsidR="00644456" w:rsidRDefault="008031C4">
            <w:pPr>
              <w:jc w:val="center"/>
              <w:rPr>
                <w:rFonts w:cs="Times New Roman"/>
                <w:color w:val="000000" w:themeColor="text1"/>
              </w:rPr>
            </w:pPr>
            <w:r>
              <w:rPr>
                <w:rFonts w:cs="Times New Roman"/>
                <w:color w:val="000000" w:themeColor="text1"/>
              </w:rPr>
              <w:t>a</w:t>
            </w:r>
            <w:r>
              <w:rPr>
                <w:rFonts w:cs="Times New Roman"/>
                <w:color w:val="000000" w:themeColor="text1"/>
              </w:rPr>
              <w:t>是相对于详细评价工作内容而言，在描述危险物质、环境影响途径、环境危害后果、风险防范措施等方面给出定性的说明。见附录</w:t>
            </w:r>
            <w:r>
              <w:rPr>
                <w:rFonts w:cs="Times New Roman"/>
                <w:color w:val="000000" w:themeColor="text1"/>
              </w:rPr>
              <w:t>A</w:t>
            </w:r>
          </w:p>
        </w:tc>
      </w:tr>
    </w:tbl>
    <w:p w:rsidR="00644456" w:rsidRDefault="008031C4">
      <w:pPr>
        <w:adjustRightInd w:val="0"/>
        <w:snapToGrid w:val="0"/>
        <w:spacing w:line="360" w:lineRule="auto"/>
        <w:ind w:firstLineChars="200" w:firstLine="480"/>
        <w:jc w:val="left"/>
        <w:rPr>
          <w:rFonts w:cs="Times New Roman"/>
          <w:color w:val="000000" w:themeColor="text1"/>
          <w:sz w:val="24"/>
        </w:rPr>
      </w:pPr>
      <w:r>
        <w:rPr>
          <w:rFonts w:cs="Times New Roman" w:hint="eastAsia"/>
          <w:color w:val="000000" w:themeColor="text1"/>
          <w:sz w:val="24"/>
        </w:rPr>
        <w:t>项目风险潜势为Ⅰ，本项目环境风险评价等级定为简单分析。</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72" w:name="_Toc177216863"/>
      <w:bookmarkStart w:id="73" w:name="_Toc155789342"/>
      <w:r>
        <w:rPr>
          <w:rFonts w:cs="Times New Roman" w:hint="eastAsia"/>
          <w:color w:val="000000" w:themeColor="text1"/>
        </w:rPr>
        <w:t>1.9</w:t>
      </w:r>
      <w:r>
        <w:rPr>
          <w:rFonts w:cs="Times New Roman"/>
          <w:color w:val="000000" w:themeColor="text1"/>
        </w:rPr>
        <w:t>评价范围、主要保护目标及污染控制目标</w:t>
      </w:r>
      <w:bookmarkEnd w:id="69"/>
      <w:bookmarkEnd w:id="70"/>
      <w:bookmarkEnd w:id="72"/>
      <w:bookmarkEnd w:id="73"/>
    </w:p>
    <w:p w:rsidR="00644456" w:rsidRDefault="008031C4">
      <w:pPr>
        <w:pStyle w:val="3"/>
        <w:numPr>
          <w:ilvl w:val="2"/>
          <w:numId w:val="0"/>
        </w:numPr>
        <w:ind w:firstLineChars="200" w:firstLine="482"/>
      </w:pPr>
      <w:r>
        <w:rPr>
          <w:rFonts w:hint="eastAsia"/>
        </w:rPr>
        <w:t>1.9.1</w:t>
      </w:r>
      <w:r>
        <w:t>评价范围</w:t>
      </w:r>
    </w:p>
    <w:p w:rsidR="00644456" w:rsidRDefault="008031C4">
      <w:pPr>
        <w:pStyle w:val="-"/>
        <w:snapToGrid w:val="0"/>
        <w:ind w:firstLine="482"/>
        <w:rPr>
          <w:rFonts w:cs="Times New Roman"/>
          <w:b/>
          <w:bCs/>
          <w:color w:val="000000" w:themeColor="text1"/>
        </w:rPr>
      </w:pPr>
      <w:r>
        <w:rPr>
          <w:rFonts w:cs="Times New Roman"/>
          <w:b/>
          <w:bCs/>
          <w:color w:val="000000" w:themeColor="text1"/>
        </w:rPr>
        <w:t>（</w:t>
      </w:r>
      <w:r>
        <w:rPr>
          <w:rFonts w:cs="Times New Roman"/>
          <w:b/>
          <w:bCs/>
          <w:color w:val="000000" w:themeColor="text1"/>
        </w:rPr>
        <w:t>1</w:t>
      </w:r>
      <w:r>
        <w:rPr>
          <w:rFonts w:cs="Times New Roman"/>
          <w:b/>
          <w:bCs/>
          <w:color w:val="000000" w:themeColor="text1"/>
        </w:rPr>
        <w:t>）大气环境</w:t>
      </w:r>
    </w:p>
    <w:p w:rsidR="00644456" w:rsidRDefault="008031C4">
      <w:pPr>
        <w:pStyle w:val="-"/>
        <w:snapToGrid w:val="0"/>
        <w:ind w:firstLine="480"/>
        <w:rPr>
          <w:rFonts w:cs="Times New Roman"/>
          <w:color w:val="000000" w:themeColor="text1"/>
        </w:rPr>
      </w:pPr>
      <w:r>
        <w:rPr>
          <w:rFonts w:cs="Times New Roman" w:hint="eastAsia"/>
          <w:color w:val="000000" w:themeColor="text1"/>
        </w:rPr>
        <w:t>项目大气环境影响评价等级为二级，按照《环境影响评价技术导则大气环境》（</w:t>
      </w:r>
      <w:r>
        <w:rPr>
          <w:rFonts w:cs="Times New Roman" w:hint="eastAsia"/>
          <w:color w:val="000000" w:themeColor="text1"/>
        </w:rPr>
        <w:t>HJ2.2-2018</w:t>
      </w:r>
      <w:r>
        <w:rPr>
          <w:rFonts w:cs="Times New Roman" w:hint="eastAsia"/>
          <w:color w:val="000000" w:themeColor="text1"/>
        </w:rPr>
        <w:t>）要求，评价范围边长取</w:t>
      </w:r>
      <w:r>
        <w:rPr>
          <w:rFonts w:cs="Times New Roman" w:hint="eastAsia"/>
          <w:color w:val="000000" w:themeColor="text1"/>
        </w:rPr>
        <w:t>5km</w:t>
      </w:r>
      <w:r>
        <w:rPr>
          <w:rFonts w:cs="Times New Roman" w:hint="eastAsia"/>
          <w:color w:val="000000" w:themeColor="text1"/>
        </w:rPr>
        <w:t>。因此，本项目大气环境影响评价范围为以项目为中心，边长为</w:t>
      </w:r>
      <w:r>
        <w:rPr>
          <w:rFonts w:cs="Times New Roman" w:hint="eastAsia"/>
          <w:color w:val="000000" w:themeColor="text1"/>
        </w:rPr>
        <w:t>5km</w:t>
      </w:r>
      <w:r>
        <w:rPr>
          <w:rFonts w:cs="Times New Roman" w:hint="eastAsia"/>
          <w:color w:val="000000" w:themeColor="text1"/>
        </w:rPr>
        <w:t>的矩形区域</w:t>
      </w:r>
      <w:r>
        <w:rPr>
          <w:rFonts w:cs="Times New Roman"/>
          <w:color w:val="000000" w:themeColor="text1"/>
        </w:rPr>
        <w:t>。</w:t>
      </w:r>
    </w:p>
    <w:p w:rsidR="00644456" w:rsidRDefault="008031C4">
      <w:pPr>
        <w:pStyle w:val="-"/>
        <w:numPr>
          <w:ilvl w:val="0"/>
          <w:numId w:val="6"/>
        </w:numPr>
        <w:snapToGrid w:val="0"/>
        <w:ind w:firstLine="482"/>
        <w:rPr>
          <w:rFonts w:cs="Times New Roman"/>
          <w:b/>
          <w:bCs/>
          <w:color w:val="000000" w:themeColor="text1"/>
        </w:rPr>
      </w:pPr>
      <w:r>
        <w:rPr>
          <w:rFonts w:cs="Times New Roman"/>
          <w:b/>
          <w:bCs/>
          <w:color w:val="000000" w:themeColor="text1"/>
        </w:rPr>
        <w:t>地表水环境</w:t>
      </w:r>
    </w:p>
    <w:p w:rsidR="00644456" w:rsidRDefault="008031C4">
      <w:pPr>
        <w:pStyle w:val="-"/>
        <w:snapToGrid w:val="0"/>
        <w:ind w:firstLine="480"/>
        <w:rPr>
          <w:rFonts w:cs="Times New Roman"/>
          <w:color w:val="000000" w:themeColor="text1"/>
        </w:rPr>
      </w:pPr>
      <w:r>
        <w:rPr>
          <w:rFonts w:cs="Times New Roman" w:hint="eastAsia"/>
          <w:color w:val="000000" w:themeColor="text1"/>
        </w:rPr>
        <w:t>项目地表水评价等级为三级</w:t>
      </w:r>
      <w:r>
        <w:rPr>
          <w:rFonts w:cs="Times New Roman" w:hint="eastAsia"/>
          <w:color w:val="000000" w:themeColor="text1"/>
        </w:rPr>
        <w:t>B</w:t>
      </w:r>
      <w:r>
        <w:rPr>
          <w:rFonts w:cs="Times New Roman" w:hint="eastAsia"/>
          <w:color w:val="000000" w:themeColor="text1"/>
        </w:rPr>
        <w:t>，根据《环境影响评价技术导则地表水环境》（</w:t>
      </w:r>
      <w:r>
        <w:rPr>
          <w:rFonts w:cs="Times New Roman" w:hint="eastAsia"/>
          <w:color w:val="000000" w:themeColor="text1"/>
        </w:rPr>
        <w:t>HJ2.3-2018</w:t>
      </w:r>
      <w:r>
        <w:rPr>
          <w:rFonts w:cs="Times New Roman" w:hint="eastAsia"/>
          <w:color w:val="000000" w:themeColor="text1"/>
        </w:rPr>
        <w:t>）要求，评价范围应满足污水处理设施可行性分析要求，项目与周围水体无水力联系，因此不设置地表水评价范围。</w:t>
      </w:r>
    </w:p>
    <w:p w:rsidR="00644456" w:rsidRDefault="008031C4">
      <w:pPr>
        <w:pStyle w:val="-"/>
        <w:snapToGrid w:val="0"/>
        <w:ind w:firstLine="482"/>
        <w:rPr>
          <w:rFonts w:cs="Times New Roman"/>
          <w:b/>
          <w:bCs/>
          <w:color w:val="000000" w:themeColor="text1"/>
        </w:rPr>
      </w:pPr>
      <w:r>
        <w:rPr>
          <w:rFonts w:cs="Times New Roman"/>
          <w:b/>
          <w:bCs/>
          <w:color w:val="000000" w:themeColor="text1"/>
        </w:rPr>
        <w:t>（</w:t>
      </w:r>
      <w:r>
        <w:rPr>
          <w:rFonts w:cs="Times New Roman"/>
          <w:b/>
          <w:bCs/>
          <w:color w:val="000000" w:themeColor="text1"/>
        </w:rPr>
        <w:t>3</w:t>
      </w:r>
      <w:r>
        <w:rPr>
          <w:rFonts w:cs="Times New Roman"/>
          <w:b/>
          <w:bCs/>
          <w:color w:val="000000" w:themeColor="text1"/>
        </w:rPr>
        <w:t>）声环境</w:t>
      </w:r>
    </w:p>
    <w:p w:rsidR="00644456" w:rsidRDefault="008031C4">
      <w:pPr>
        <w:pStyle w:val="-"/>
        <w:snapToGrid w:val="0"/>
        <w:ind w:firstLine="480"/>
        <w:rPr>
          <w:rFonts w:cs="Times New Roman"/>
          <w:color w:val="000000" w:themeColor="text1"/>
        </w:rPr>
      </w:pPr>
      <w:r>
        <w:rPr>
          <w:rFonts w:cs="Times New Roman"/>
          <w:color w:val="000000" w:themeColor="text1"/>
        </w:rPr>
        <w:t>根据《环境影响评价技术导则声环境》（</w:t>
      </w:r>
      <w:r>
        <w:rPr>
          <w:rFonts w:cs="Times New Roman"/>
          <w:color w:val="000000" w:themeColor="text1"/>
        </w:rPr>
        <w:t>HJ2.4-2021</w:t>
      </w:r>
      <w:r>
        <w:rPr>
          <w:rFonts w:cs="Times New Roman"/>
          <w:color w:val="000000" w:themeColor="text1"/>
        </w:rPr>
        <w:t>）中的有关规定，确定本项目声环境评价范围为项目边界外</w:t>
      </w:r>
      <w:r>
        <w:rPr>
          <w:rFonts w:cs="Times New Roman"/>
          <w:color w:val="000000" w:themeColor="text1"/>
        </w:rPr>
        <w:t>200m</w:t>
      </w:r>
      <w:r>
        <w:rPr>
          <w:rFonts w:cs="Times New Roman"/>
          <w:color w:val="000000" w:themeColor="text1"/>
        </w:rPr>
        <w:t>以内的范围。</w:t>
      </w:r>
    </w:p>
    <w:p w:rsidR="00644456" w:rsidRDefault="008031C4">
      <w:pPr>
        <w:pStyle w:val="-"/>
        <w:spacing w:line="353" w:lineRule="auto"/>
        <w:ind w:firstLine="482"/>
        <w:rPr>
          <w:rFonts w:cs="Times New Roman"/>
          <w:b/>
          <w:bCs/>
          <w:color w:val="000000" w:themeColor="text1"/>
        </w:rPr>
      </w:pPr>
      <w:r>
        <w:rPr>
          <w:rFonts w:cs="Times New Roman"/>
          <w:b/>
          <w:bCs/>
          <w:color w:val="000000" w:themeColor="text1"/>
        </w:rPr>
        <w:t>（</w:t>
      </w:r>
      <w:r>
        <w:rPr>
          <w:rFonts w:cs="Times New Roman"/>
          <w:b/>
          <w:bCs/>
          <w:color w:val="000000" w:themeColor="text1"/>
        </w:rPr>
        <w:t>4</w:t>
      </w:r>
      <w:r>
        <w:rPr>
          <w:rFonts w:cs="Times New Roman"/>
          <w:b/>
          <w:bCs/>
          <w:color w:val="000000" w:themeColor="text1"/>
        </w:rPr>
        <w:t>）地下水环境</w:t>
      </w:r>
    </w:p>
    <w:p w:rsidR="00644456" w:rsidRDefault="008031C4">
      <w:pPr>
        <w:widowControl/>
        <w:spacing w:line="360" w:lineRule="auto"/>
        <w:ind w:firstLineChars="200" w:firstLine="480"/>
        <w:rPr>
          <w:rFonts w:cs="Times New Roman"/>
          <w:color w:val="000000" w:themeColor="text1"/>
          <w:sz w:val="24"/>
          <w:szCs w:val="24"/>
        </w:rPr>
      </w:pPr>
      <w:r>
        <w:rPr>
          <w:rFonts w:cs="Times New Roman" w:hint="eastAsia"/>
          <w:color w:val="000000" w:themeColor="text1"/>
          <w:sz w:val="24"/>
          <w:szCs w:val="24"/>
        </w:rPr>
        <w:t>根据评价区水文地质条件结合《环境影响评价技术导则——地下水环境》（</w:t>
      </w:r>
      <w:r>
        <w:rPr>
          <w:rFonts w:cs="Times New Roman" w:hint="eastAsia"/>
          <w:color w:val="000000" w:themeColor="text1"/>
          <w:sz w:val="24"/>
          <w:szCs w:val="24"/>
        </w:rPr>
        <w:t>HJ610</w:t>
      </w:r>
      <w:r>
        <w:rPr>
          <w:rFonts w:cs="Times New Roman" w:hint="eastAsia"/>
          <w:color w:val="000000" w:themeColor="text1"/>
          <w:sz w:val="24"/>
          <w:szCs w:val="24"/>
        </w:rPr>
        <w:t>―</w:t>
      </w:r>
      <w:r>
        <w:rPr>
          <w:rFonts w:cs="Times New Roman" w:hint="eastAsia"/>
          <w:color w:val="000000" w:themeColor="text1"/>
          <w:sz w:val="24"/>
          <w:szCs w:val="24"/>
        </w:rPr>
        <w:t>2016</w:t>
      </w:r>
      <w:r>
        <w:rPr>
          <w:rFonts w:cs="Times New Roman" w:hint="eastAsia"/>
          <w:color w:val="000000" w:themeColor="text1"/>
          <w:sz w:val="24"/>
          <w:szCs w:val="24"/>
        </w:rPr>
        <w:t>）对三级评价的要求，建设项目地下水环境影响现状调查评价范围可采取查表法、公式计算法和自定义法</w:t>
      </w:r>
      <w:r>
        <w:rPr>
          <w:rFonts w:cs="Times New Roman" w:hint="eastAsia"/>
          <w:color w:val="000000" w:themeColor="text1"/>
          <w:sz w:val="24"/>
          <w:szCs w:val="24"/>
        </w:rPr>
        <w:t>.</w:t>
      </w:r>
    </w:p>
    <w:p w:rsidR="00644456" w:rsidRDefault="008031C4">
      <w:pPr>
        <w:widowControl/>
        <w:spacing w:line="360" w:lineRule="auto"/>
        <w:ind w:firstLineChars="200" w:firstLine="480"/>
        <w:rPr>
          <w:rFonts w:cs="Times New Roman"/>
          <w:color w:val="000000" w:themeColor="text1"/>
          <w:sz w:val="24"/>
          <w:szCs w:val="24"/>
        </w:rPr>
      </w:pPr>
      <w:r>
        <w:rPr>
          <w:rFonts w:cs="Times New Roman" w:hint="eastAsia"/>
          <w:color w:val="000000" w:themeColor="text1"/>
          <w:sz w:val="24"/>
          <w:szCs w:val="24"/>
        </w:rPr>
        <w:t>根据《地下水环境影响评价技术导则</w:t>
      </w:r>
      <w:r>
        <w:rPr>
          <w:rFonts w:cs="Times New Roman" w:hint="eastAsia"/>
          <w:color w:val="000000" w:themeColor="text1"/>
          <w:sz w:val="24"/>
          <w:szCs w:val="24"/>
        </w:rPr>
        <w:t>-</w:t>
      </w:r>
      <w:r>
        <w:rPr>
          <w:rFonts w:cs="Times New Roman" w:hint="eastAsia"/>
          <w:color w:val="000000" w:themeColor="text1"/>
          <w:sz w:val="24"/>
          <w:szCs w:val="24"/>
        </w:rPr>
        <w:t>地下水环境》（</w:t>
      </w:r>
      <w:r>
        <w:rPr>
          <w:rFonts w:cs="Times New Roman" w:hint="eastAsia"/>
          <w:color w:val="000000" w:themeColor="text1"/>
          <w:sz w:val="24"/>
          <w:szCs w:val="24"/>
        </w:rPr>
        <w:t>HJ610-2016</w:t>
      </w:r>
      <w:r>
        <w:rPr>
          <w:rFonts w:cs="Times New Roman" w:hint="eastAsia"/>
          <w:color w:val="000000" w:themeColor="text1"/>
          <w:sz w:val="24"/>
          <w:szCs w:val="24"/>
        </w:rPr>
        <w:t>），地下水环境现状调查评价范围应包括与建设项目相关的地下水环境保护目标，以能说明地下水环境现状，反映调查评价区地下水基本渗流特征，满足地下水环境影响预测和评价为基本原则。</w:t>
      </w:r>
    </w:p>
    <w:p w:rsidR="00644456" w:rsidRDefault="008031C4">
      <w:pPr>
        <w:widowControl/>
        <w:spacing w:line="360" w:lineRule="auto"/>
        <w:ind w:firstLineChars="200" w:firstLine="480"/>
        <w:rPr>
          <w:rFonts w:cs="Times New Roman"/>
          <w:color w:val="000000" w:themeColor="text1"/>
          <w:sz w:val="24"/>
          <w:szCs w:val="24"/>
        </w:rPr>
      </w:pPr>
      <w:r>
        <w:rPr>
          <w:rFonts w:cs="Times New Roman" w:hint="eastAsia"/>
          <w:color w:val="000000" w:themeColor="text1"/>
          <w:sz w:val="24"/>
          <w:szCs w:val="24"/>
        </w:rPr>
        <w:t>建设项目地下水环境现状调查评价范围的确定可采用公式计算法、查表法及自定义法。</w:t>
      </w:r>
    </w:p>
    <w:p w:rsidR="00644456" w:rsidRDefault="008031C4">
      <w:pPr>
        <w:widowControl/>
        <w:spacing w:line="360" w:lineRule="auto"/>
        <w:ind w:firstLineChars="200" w:firstLine="480"/>
        <w:rPr>
          <w:rFonts w:cs="Times New Roman"/>
          <w:color w:val="000000" w:themeColor="text1"/>
          <w:sz w:val="24"/>
          <w:szCs w:val="24"/>
        </w:rPr>
      </w:pPr>
      <w:r>
        <w:rPr>
          <w:rFonts w:cs="Times New Roman" w:hint="eastAsia"/>
          <w:color w:val="000000" w:themeColor="text1"/>
          <w:sz w:val="24"/>
          <w:szCs w:val="24"/>
        </w:rPr>
        <w:lastRenderedPageBreak/>
        <w:t>由于建设项目所在地水文地质条件相对简单，且所掌握的资料能够满足公式计算法的要求，因此，本项目采用公式计算法确定：</w:t>
      </w:r>
    </w:p>
    <w:p w:rsidR="00644456" w:rsidRDefault="008031C4">
      <w:pPr>
        <w:widowControl/>
        <w:spacing w:line="360" w:lineRule="auto"/>
        <w:ind w:firstLineChars="200" w:firstLine="480"/>
        <w:rPr>
          <w:rFonts w:cs="Times New Roman"/>
          <w:color w:val="000000" w:themeColor="text1"/>
          <w:sz w:val="24"/>
          <w:szCs w:val="24"/>
        </w:rPr>
      </w:pPr>
      <w:r>
        <w:rPr>
          <w:rFonts w:cs="Times New Roman" w:hint="eastAsia"/>
          <w:color w:val="000000" w:themeColor="text1"/>
          <w:sz w:val="24"/>
          <w:szCs w:val="24"/>
        </w:rPr>
        <w:t>L=</w:t>
      </w:r>
      <w:r>
        <w:rPr>
          <w:rFonts w:cs="Times New Roman" w:hint="eastAsia"/>
          <w:color w:val="000000" w:themeColor="text1"/>
          <w:sz w:val="24"/>
          <w:szCs w:val="24"/>
        </w:rPr>
        <w:t>α×</w:t>
      </w:r>
      <w:r>
        <w:rPr>
          <w:rFonts w:cs="Times New Roman" w:hint="eastAsia"/>
          <w:color w:val="000000" w:themeColor="text1"/>
          <w:sz w:val="24"/>
          <w:szCs w:val="24"/>
        </w:rPr>
        <w:t>K</w:t>
      </w:r>
      <w:r>
        <w:rPr>
          <w:rFonts w:cs="Times New Roman" w:hint="eastAsia"/>
          <w:color w:val="000000" w:themeColor="text1"/>
          <w:sz w:val="24"/>
          <w:szCs w:val="24"/>
        </w:rPr>
        <w:t>×</w:t>
      </w:r>
      <w:r>
        <w:rPr>
          <w:rFonts w:cs="Times New Roman" w:hint="eastAsia"/>
          <w:color w:val="000000" w:themeColor="text1"/>
          <w:sz w:val="24"/>
          <w:szCs w:val="24"/>
        </w:rPr>
        <w:t>I</w:t>
      </w:r>
      <w:r>
        <w:rPr>
          <w:rFonts w:cs="Times New Roman" w:hint="eastAsia"/>
          <w:color w:val="000000" w:themeColor="text1"/>
          <w:sz w:val="24"/>
          <w:szCs w:val="24"/>
        </w:rPr>
        <w:t>×</w:t>
      </w:r>
      <w:r>
        <w:rPr>
          <w:rFonts w:cs="Times New Roman" w:hint="eastAsia"/>
          <w:color w:val="000000" w:themeColor="text1"/>
          <w:sz w:val="24"/>
          <w:szCs w:val="24"/>
        </w:rPr>
        <w:t>T/ne</w:t>
      </w:r>
    </w:p>
    <w:p w:rsidR="00644456" w:rsidRDefault="008031C4">
      <w:pPr>
        <w:widowControl/>
        <w:spacing w:line="360" w:lineRule="auto"/>
        <w:ind w:firstLineChars="200" w:firstLine="480"/>
        <w:rPr>
          <w:rFonts w:cs="Times New Roman"/>
          <w:color w:val="000000" w:themeColor="text1"/>
          <w:sz w:val="24"/>
          <w:szCs w:val="24"/>
        </w:rPr>
      </w:pPr>
      <w:r>
        <w:rPr>
          <w:rFonts w:cs="Times New Roman" w:hint="eastAsia"/>
          <w:color w:val="000000" w:themeColor="text1"/>
          <w:sz w:val="24"/>
          <w:szCs w:val="24"/>
        </w:rPr>
        <w:t>式中：</w:t>
      </w:r>
      <w:r>
        <w:rPr>
          <w:rFonts w:cs="Times New Roman" w:hint="eastAsia"/>
          <w:color w:val="000000" w:themeColor="text1"/>
          <w:sz w:val="24"/>
          <w:szCs w:val="24"/>
        </w:rPr>
        <w:t>L</w:t>
      </w:r>
      <w:r>
        <w:rPr>
          <w:rFonts w:cs="Times New Roman" w:hint="eastAsia"/>
          <w:color w:val="000000" w:themeColor="text1"/>
          <w:sz w:val="24"/>
          <w:szCs w:val="24"/>
        </w:rPr>
        <w:t>—下游迁移距离，</w:t>
      </w:r>
      <w:r>
        <w:rPr>
          <w:rFonts w:cs="Times New Roman" w:hint="eastAsia"/>
          <w:color w:val="000000" w:themeColor="text1"/>
          <w:sz w:val="24"/>
          <w:szCs w:val="24"/>
        </w:rPr>
        <w:t>m</w:t>
      </w:r>
      <w:r>
        <w:rPr>
          <w:rFonts w:cs="Times New Roman" w:hint="eastAsia"/>
          <w:color w:val="000000" w:themeColor="text1"/>
          <w:sz w:val="24"/>
          <w:szCs w:val="24"/>
        </w:rPr>
        <w:t>；</w:t>
      </w:r>
    </w:p>
    <w:p w:rsidR="00644456" w:rsidRDefault="008031C4">
      <w:pPr>
        <w:widowControl/>
        <w:spacing w:line="360" w:lineRule="auto"/>
        <w:ind w:firstLineChars="200" w:firstLine="480"/>
        <w:rPr>
          <w:rFonts w:cs="Times New Roman"/>
          <w:color w:val="000000" w:themeColor="text1"/>
          <w:sz w:val="24"/>
          <w:szCs w:val="24"/>
        </w:rPr>
      </w:pPr>
      <w:r>
        <w:rPr>
          <w:rFonts w:cs="Times New Roman" w:hint="eastAsia"/>
          <w:color w:val="000000" w:themeColor="text1"/>
          <w:sz w:val="24"/>
          <w:szCs w:val="24"/>
        </w:rPr>
        <w:t>α—变化系数，α≥</w:t>
      </w:r>
      <w:r>
        <w:rPr>
          <w:rFonts w:cs="Times New Roman" w:hint="eastAsia"/>
          <w:color w:val="000000" w:themeColor="text1"/>
          <w:sz w:val="24"/>
          <w:szCs w:val="24"/>
        </w:rPr>
        <w:t>1</w:t>
      </w:r>
      <w:r>
        <w:rPr>
          <w:rFonts w:cs="Times New Roman" w:hint="eastAsia"/>
          <w:color w:val="000000" w:themeColor="text1"/>
          <w:sz w:val="24"/>
          <w:szCs w:val="24"/>
        </w:rPr>
        <w:t>，一般取</w:t>
      </w:r>
      <w:r>
        <w:rPr>
          <w:rFonts w:cs="Times New Roman" w:hint="eastAsia"/>
          <w:color w:val="000000" w:themeColor="text1"/>
          <w:sz w:val="24"/>
          <w:szCs w:val="24"/>
        </w:rPr>
        <w:t>2</w:t>
      </w:r>
      <w:r>
        <w:rPr>
          <w:rFonts w:cs="Times New Roman" w:hint="eastAsia"/>
          <w:color w:val="000000" w:themeColor="text1"/>
          <w:sz w:val="24"/>
          <w:szCs w:val="24"/>
        </w:rPr>
        <w:t>；</w:t>
      </w:r>
    </w:p>
    <w:p w:rsidR="00644456" w:rsidRDefault="008031C4">
      <w:pPr>
        <w:widowControl/>
        <w:spacing w:line="360" w:lineRule="auto"/>
        <w:ind w:firstLineChars="200" w:firstLine="480"/>
        <w:rPr>
          <w:rFonts w:cs="Times New Roman"/>
          <w:color w:val="000000" w:themeColor="text1"/>
          <w:sz w:val="24"/>
          <w:szCs w:val="24"/>
        </w:rPr>
      </w:pPr>
      <w:r>
        <w:rPr>
          <w:rFonts w:cs="Times New Roman" w:hint="eastAsia"/>
          <w:color w:val="000000" w:themeColor="text1"/>
          <w:sz w:val="24"/>
          <w:szCs w:val="24"/>
        </w:rPr>
        <w:t>K</w:t>
      </w:r>
      <w:r>
        <w:rPr>
          <w:rFonts w:cs="Times New Roman" w:hint="eastAsia"/>
          <w:color w:val="000000" w:themeColor="text1"/>
          <w:sz w:val="24"/>
          <w:szCs w:val="24"/>
        </w:rPr>
        <w:t>—渗透系数，</w:t>
      </w:r>
      <w:r>
        <w:rPr>
          <w:rFonts w:cs="Times New Roman" w:hint="eastAsia"/>
          <w:color w:val="000000" w:themeColor="text1"/>
          <w:sz w:val="24"/>
          <w:szCs w:val="24"/>
        </w:rPr>
        <w:t>m/d</w:t>
      </w:r>
      <w:r>
        <w:rPr>
          <w:rFonts w:cs="Times New Roman" w:hint="eastAsia"/>
          <w:color w:val="000000" w:themeColor="text1"/>
          <w:sz w:val="24"/>
          <w:szCs w:val="24"/>
        </w:rPr>
        <w:t>；根据收集区域水文地质资料，本次评价取</w:t>
      </w:r>
      <w:r>
        <w:rPr>
          <w:rFonts w:cs="Times New Roman" w:hint="eastAsia"/>
          <w:color w:val="000000" w:themeColor="text1"/>
          <w:sz w:val="24"/>
          <w:szCs w:val="24"/>
        </w:rPr>
        <w:t>25m/d</w:t>
      </w:r>
      <w:r>
        <w:rPr>
          <w:rFonts w:cs="Times New Roman" w:hint="eastAsia"/>
          <w:color w:val="000000" w:themeColor="text1"/>
          <w:sz w:val="24"/>
          <w:szCs w:val="24"/>
        </w:rPr>
        <w:t>；</w:t>
      </w:r>
    </w:p>
    <w:p w:rsidR="00644456" w:rsidRDefault="008031C4">
      <w:pPr>
        <w:widowControl/>
        <w:spacing w:line="360" w:lineRule="auto"/>
        <w:ind w:firstLineChars="200" w:firstLine="480"/>
        <w:rPr>
          <w:rFonts w:cs="Times New Roman"/>
          <w:color w:val="000000" w:themeColor="text1"/>
          <w:sz w:val="24"/>
          <w:szCs w:val="24"/>
        </w:rPr>
      </w:pPr>
      <w:r>
        <w:rPr>
          <w:rFonts w:cs="Times New Roman" w:hint="eastAsia"/>
          <w:color w:val="000000" w:themeColor="text1"/>
          <w:sz w:val="24"/>
          <w:szCs w:val="24"/>
        </w:rPr>
        <w:t>I</w:t>
      </w:r>
      <w:r>
        <w:rPr>
          <w:rFonts w:cs="Times New Roman" w:hint="eastAsia"/>
          <w:color w:val="000000" w:themeColor="text1"/>
          <w:sz w:val="24"/>
          <w:szCs w:val="24"/>
        </w:rPr>
        <w:t>—水力坡度，无量纲；根据收集区域水文地质资料，本次评价取</w:t>
      </w:r>
      <w:r>
        <w:rPr>
          <w:rFonts w:cs="Times New Roman" w:hint="eastAsia"/>
          <w:color w:val="000000" w:themeColor="text1"/>
          <w:sz w:val="24"/>
          <w:szCs w:val="24"/>
        </w:rPr>
        <w:t>0.003</w:t>
      </w:r>
      <w:r>
        <w:rPr>
          <w:rFonts w:cs="Times New Roman" w:hint="eastAsia"/>
          <w:color w:val="000000" w:themeColor="text1"/>
          <w:sz w:val="24"/>
          <w:szCs w:val="24"/>
        </w:rPr>
        <w:t>；</w:t>
      </w:r>
    </w:p>
    <w:p w:rsidR="00644456" w:rsidRDefault="008031C4">
      <w:pPr>
        <w:widowControl/>
        <w:spacing w:line="360" w:lineRule="auto"/>
        <w:ind w:firstLineChars="200" w:firstLine="480"/>
        <w:rPr>
          <w:rFonts w:cs="Times New Roman"/>
          <w:color w:val="000000" w:themeColor="text1"/>
          <w:sz w:val="24"/>
          <w:szCs w:val="24"/>
        </w:rPr>
      </w:pPr>
      <w:r>
        <w:rPr>
          <w:rFonts w:cs="Times New Roman" w:hint="eastAsia"/>
          <w:color w:val="000000" w:themeColor="text1"/>
          <w:sz w:val="24"/>
          <w:szCs w:val="24"/>
        </w:rPr>
        <w:t>T</w:t>
      </w:r>
      <w:r>
        <w:rPr>
          <w:rFonts w:cs="Times New Roman" w:hint="eastAsia"/>
          <w:color w:val="000000" w:themeColor="text1"/>
          <w:sz w:val="24"/>
          <w:szCs w:val="24"/>
        </w:rPr>
        <w:t>—质点迁移天数，取值不小于</w:t>
      </w:r>
      <w:r>
        <w:rPr>
          <w:rFonts w:cs="Times New Roman" w:hint="eastAsia"/>
          <w:color w:val="000000" w:themeColor="text1"/>
          <w:sz w:val="24"/>
          <w:szCs w:val="24"/>
        </w:rPr>
        <w:t>5000d</w:t>
      </w:r>
      <w:r>
        <w:rPr>
          <w:rFonts w:cs="Times New Roman" w:hint="eastAsia"/>
          <w:color w:val="000000" w:themeColor="text1"/>
          <w:sz w:val="24"/>
          <w:szCs w:val="24"/>
        </w:rPr>
        <w:t>；</w:t>
      </w:r>
    </w:p>
    <w:p w:rsidR="00644456" w:rsidRDefault="008031C4">
      <w:pPr>
        <w:widowControl/>
        <w:spacing w:line="360" w:lineRule="auto"/>
        <w:ind w:firstLineChars="200" w:firstLine="480"/>
        <w:rPr>
          <w:rFonts w:cs="Times New Roman"/>
          <w:color w:val="000000" w:themeColor="text1"/>
          <w:sz w:val="24"/>
          <w:szCs w:val="24"/>
        </w:rPr>
      </w:pPr>
      <w:r>
        <w:rPr>
          <w:rFonts w:cs="Times New Roman" w:hint="eastAsia"/>
          <w:color w:val="000000" w:themeColor="text1"/>
          <w:sz w:val="24"/>
          <w:szCs w:val="24"/>
        </w:rPr>
        <w:t>ne</w:t>
      </w:r>
      <w:r>
        <w:rPr>
          <w:rFonts w:cs="Times New Roman" w:hint="eastAsia"/>
          <w:color w:val="000000" w:themeColor="text1"/>
          <w:sz w:val="24"/>
          <w:szCs w:val="24"/>
        </w:rPr>
        <w:t>—有效孔隙度；根据收集区域水文地质资料，本次评价取</w:t>
      </w:r>
      <w:r>
        <w:rPr>
          <w:rFonts w:cs="Times New Roman" w:hint="eastAsia"/>
          <w:color w:val="000000" w:themeColor="text1"/>
          <w:sz w:val="24"/>
          <w:szCs w:val="24"/>
        </w:rPr>
        <w:t>0.33</w:t>
      </w:r>
      <w:r>
        <w:rPr>
          <w:rFonts w:cs="Times New Roman" w:hint="eastAsia"/>
          <w:color w:val="000000" w:themeColor="text1"/>
          <w:sz w:val="24"/>
          <w:szCs w:val="24"/>
        </w:rPr>
        <w:t>。</w:t>
      </w:r>
    </w:p>
    <w:p w:rsidR="00644456" w:rsidRDefault="008031C4">
      <w:pPr>
        <w:widowControl/>
        <w:spacing w:line="360" w:lineRule="auto"/>
        <w:ind w:firstLineChars="200" w:firstLine="480"/>
        <w:rPr>
          <w:rFonts w:cs="Times New Roman"/>
          <w:color w:val="000000" w:themeColor="text1"/>
          <w:sz w:val="24"/>
          <w:szCs w:val="24"/>
        </w:rPr>
      </w:pPr>
      <w:r>
        <w:rPr>
          <w:rFonts w:cs="Times New Roman" w:hint="eastAsia"/>
          <w:color w:val="000000" w:themeColor="text1"/>
          <w:sz w:val="24"/>
          <w:szCs w:val="24"/>
        </w:rPr>
        <w:t>根据计算，下游迁移距离为</w:t>
      </w:r>
      <w:r>
        <w:rPr>
          <w:rFonts w:cs="Times New Roman" w:hint="eastAsia"/>
          <w:color w:val="000000" w:themeColor="text1"/>
          <w:sz w:val="24"/>
          <w:szCs w:val="24"/>
        </w:rPr>
        <w:t>2272m</w:t>
      </w:r>
      <w:r>
        <w:rPr>
          <w:rFonts w:cs="Times New Roman" w:hint="eastAsia"/>
          <w:color w:val="000000" w:themeColor="text1"/>
          <w:sz w:val="24"/>
          <w:szCs w:val="24"/>
        </w:rPr>
        <w:t>。</w:t>
      </w:r>
    </w:p>
    <w:p w:rsidR="00644456" w:rsidRDefault="008031C4">
      <w:pPr>
        <w:widowControl/>
        <w:spacing w:line="360" w:lineRule="auto"/>
        <w:ind w:firstLineChars="200" w:firstLine="480"/>
        <w:rPr>
          <w:rFonts w:cs="Times New Roman"/>
          <w:color w:val="000000" w:themeColor="text1"/>
          <w:sz w:val="24"/>
          <w:szCs w:val="24"/>
        </w:rPr>
      </w:pPr>
      <w:r>
        <w:rPr>
          <w:rFonts w:cs="Times New Roman" w:hint="eastAsia"/>
          <w:color w:val="000000" w:themeColor="text1"/>
          <w:sz w:val="24"/>
          <w:szCs w:val="24"/>
        </w:rPr>
        <w:t>根据调查，区域地下水流向由西北向东南。因此本项目地下水评价范围以项目厂区为中心上游西北侧</w:t>
      </w:r>
      <w:r>
        <w:rPr>
          <w:rFonts w:cs="Times New Roman" w:hint="eastAsia"/>
          <w:color w:val="000000" w:themeColor="text1"/>
          <w:sz w:val="24"/>
          <w:szCs w:val="24"/>
        </w:rPr>
        <w:t>1136m</w:t>
      </w:r>
      <w:r>
        <w:rPr>
          <w:rFonts w:cs="Times New Roman" w:hint="eastAsia"/>
          <w:color w:val="000000" w:themeColor="text1"/>
          <w:sz w:val="24"/>
          <w:szCs w:val="24"/>
        </w:rPr>
        <w:t>，下游东南侧</w:t>
      </w:r>
      <w:r>
        <w:rPr>
          <w:rFonts w:cs="Times New Roman" w:hint="eastAsia"/>
          <w:color w:val="000000" w:themeColor="text1"/>
          <w:sz w:val="24"/>
          <w:szCs w:val="24"/>
        </w:rPr>
        <w:t>2272m</w:t>
      </w:r>
      <w:r>
        <w:rPr>
          <w:rFonts w:cs="Times New Roman" w:hint="eastAsia"/>
          <w:color w:val="000000" w:themeColor="text1"/>
          <w:sz w:val="24"/>
          <w:szCs w:val="24"/>
        </w:rPr>
        <w:t>，向西南和东北侧各延伸向东、向西各延伸</w:t>
      </w:r>
      <w:r>
        <w:rPr>
          <w:rFonts w:cs="Times New Roman" w:hint="eastAsia"/>
          <w:color w:val="000000" w:themeColor="text1"/>
          <w:sz w:val="24"/>
          <w:szCs w:val="24"/>
        </w:rPr>
        <w:t>1136m</w:t>
      </w:r>
      <w:r>
        <w:rPr>
          <w:rFonts w:cs="Times New Roman" w:hint="eastAsia"/>
          <w:color w:val="000000" w:themeColor="text1"/>
          <w:sz w:val="24"/>
          <w:szCs w:val="24"/>
        </w:rPr>
        <w:t>，评价范围面积为</w:t>
      </w:r>
      <w:r>
        <w:rPr>
          <w:rFonts w:cs="Times New Roman"/>
          <w:color w:val="000000" w:themeColor="text1"/>
          <w:sz w:val="24"/>
          <w:szCs w:val="24"/>
        </w:rPr>
        <w:t>7.83</w:t>
      </w:r>
      <w:r>
        <w:rPr>
          <w:rFonts w:cs="Times New Roman" w:hint="eastAsia"/>
          <w:color w:val="000000" w:themeColor="text1"/>
          <w:sz w:val="24"/>
          <w:szCs w:val="24"/>
        </w:rPr>
        <w:t>km</w:t>
      </w:r>
      <w:r>
        <w:rPr>
          <w:rFonts w:cs="Times New Roman" w:hint="eastAsia"/>
          <w:color w:val="000000" w:themeColor="text1"/>
          <w:sz w:val="24"/>
          <w:szCs w:val="24"/>
          <w:vertAlign w:val="superscript"/>
        </w:rPr>
        <w:t>2</w:t>
      </w:r>
      <w:r>
        <w:rPr>
          <w:rFonts w:cs="Times New Roman"/>
          <w:color w:val="000000" w:themeColor="text1"/>
          <w:sz w:val="24"/>
          <w:szCs w:val="24"/>
        </w:rPr>
        <w:t>。</w:t>
      </w:r>
    </w:p>
    <w:p w:rsidR="00644456" w:rsidRDefault="008031C4">
      <w:pPr>
        <w:pStyle w:val="-"/>
        <w:spacing w:line="353" w:lineRule="auto"/>
        <w:ind w:firstLine="482"/>
        <w:rPr>
          <w:rFonts w:cs="Times New Roman"/>
          <w:b/>
          <w:bCs/>
          <w:color w:val="000000" w:themeColor="text1"/>
        </w:rPr>
      </w:pPr>
      <w:r>
        <w:rPr>
          <w:rFonts w:cs="Times New Roman"/>
          <w:b/>
          <w:bCs/>
          <w:color w:val="000000" w:themeColor="text1"/>
        </w:rPr>
        <w:t>（</w:t>
      </w:r>
      <w:r>
        <w:rPr>
          <w:rFonts w:cs="Times New Roman"/>
          <w:b/>
          <w:bCs/>
          <w:color w:val="000000" w:themeColor="text1"/>
        </w:rPr>
        <w:t>5</w:t>
      </w:r>
      <w:r>
        <w:rPr>
          <w:rFonts w:cs="Times New Roman"/>
          <w:b/>
          <w:bCs/>
          <w:color w:val="000000" w:themeColor="text1"/>
        </w:rPr>
        <w:t>）土壤环境</w:t>
      </w:r>
    </w:p>
    <w:p w:rsidR="00644456" w:rsidRDefault="008031C4">
      <w:pPr>
        <w:pStyle w:val="-"/>
        <w:spacing w:line="353" w:lineRule="auto"/>
        <w:ind w:firstLine="480"/>
        <w:rPr>
          <w:rFonts w:cs="Times New Roman"/>
          <w:color w:val="000000" w:themeColor="text1"/>
        </w:rPr>
      </w:pPr>
      <w:r>
        <w:rPr>
          <w:rFonts w:cs="Times New Roman" w:hint="eastAsia"/>
          <w:color w:val="000000" w:themeColor="text1"/>
        </w:rPr>
        <w:t>本项目土壤环境影响属于污染影响型，根据《环境影响评价技术导则土壤环境》（</w:t>
      </w:r>
      <w:r>
        <w:rPr>
          <w:rFonts w:cs="Times New Roman" w:hint="eastAsia"/>
          <w:color w:val="000000" w:themeColor="text1"/>
        </w:rPr>
        <w:t>HJ964-2018</w:t>
      </w:r>
      <w:r>
        <w:rPr>
          <w:rFonts w:cs="Times New Roman" w:hint="eastAsia"/>
          <w:color w:val="000000" w:themeColor="text1"/>
        </w:rPr>
        <w:t>），本项目污染影响型土壤评价范围确定为占地范围内</w:t>
      </w:r>
      <w:r>
        <w:rPr>
          <w:rFonts w:cs="Times New Roman" w:hint="eastAsia"/>
          <w:color w:val="000000" w:themeColor="text1"/>
        </w:rPr>
        <w:t>+</w:t>
      </w:r>
      <w:r>
        <w:rPr>
          <w:rFonts w:cs="Times New Roman" w:hint="eastAsia"/>
          <w:color w:val="000000" w:themeColor="text1"/>
        </w:rPr>
        <w:t>占地范围外</w:t>
      </w:r>
      <w:r>
        <w:rPr>
          <w:rFonts w:cs="Times New Roman" w:hint="eastAsia"/>
          <w:color w:val="000000" w:themeColor="text1"/>
        </w:rPr>
        <w:t>0.2km</w:t>
      </w:r>
      <w:r>
        <w:rPr>
          <w:rFonts w:cs="Times New Roman" w:hint="eastAsia"/>
          <w:color w:val="000000" w:themeColor="text1"/>
        </w:rPr>
        <w:t>范围内</w:t>
      </w:r>
      <w:r>
        <w:rPr>
          <w:rFonts w:cs="Times New Roman"/>
          <w:color w:val="000000" w:themeColor="text1"/>
        </w:rPr>
        <w:t>。</w:t>
      </w:r>
    </w:p>
    <w:p w:rsidR="00644456" w:rsidRDefault="008031C4">
      <w:pPr>
        <w:pStyle w:val="-"/>
        <w:spacing w:line="353" w:lineRule="auto"/>
        <w:ind w:firstLine="482"/>
        <w:rPr>
          <w:rFonts w:cs="Times New Roman"/>
          <w:b/>
          <w:bCs/>
          <w:color w:val="000000" w:themeColor="text1"/>
        </w:rPr>
      </w:pPr>
      <w:r>
        <w:rPr>
          <w:rFonts w:cs="Times New Roman"/>
          <w:b/>
          <w:bCs/>
          <w:color w:val="000000" w:themeColor="text1"/>
        </w:rPr>
        <w:t>（</w:t>
      </w:r>
      <w:r>
        <w:rPr>
          <w:rFonts w:cs="Times New Roman"/>
          <w:b/>
          <w:bCs/>
          <w:color w:val="000000" w:themeColor="text1"/>
        </w:rPr>
        <w:t>6</w:t>
      </w:r>
      <w:r>
        <w:rPr>
          <w:rFonts w:cs="Times New Roman"/>
          <w:b/>
          <w:bCs/>
          <w:color w:val="000000" w:themeColor="text1"/>
        </w:rPr>
        <w:t>）生态环境</w:t>
      </w:r>
    </w:p>
    <w:p w:rsidR="00644456" w:rsidRDefault="008031C4">
      <w:pPr>
        <w:pStyle w:val="-"/>
        <w:ind w:firstLine="480"/>
        <w:rPr>
          <w:rFonts w:cs="Times New Roman"/>
          <w:color w:val="000000" w:themeColor="text1"/>
        </w:rPr>
      </w:pPr>
      <w:r>
        <w:rPr>
          <w:rFonts w:cs="Times New Roman" w:hint="eastAsia"/>
          <w:color w:val="000000" w:themeColor="text1"/>
        </w:rPr>
        <w:t>根据《环境影响评价技术导则生态环境》（</w:t>
      </w:r>
      <w:r>
        <w:rPr>
          <w:rFonts w:cs="Times New Roman" w:hint="eastAsia"/>
          <w:color w:val="000000" w:themeColor="text1"/>
        </w:rPr>
        <w:t>HJ19-2022</w:t>
      </w:r>
      <w:r>
        <w:rPr>
          <w:rFonts w:cs="Times New Roman" w:hint="eastAsia"/>
          <w:color w:val="000000" w:themeColor="text1"/>
        </w:rPr>
        <w:t>），本项目无评价等级，无评价范围</w:t>
      </w:r>
      <w:r>
        <w:rPr>
          <w:rFonts w:cs="Times New Roman"/>
          <w:color w:val="000000" w:themeColor="text1"/>
        </w:rPr>
        <w:t>。</w:t>
      </w:r>
    </w:p>
    <w:p w:rsidR="00644456" w:rsidRDefault="008031C4">
      <w:pPr>
        <w:pStyle w:val="-"/>
        <w:spacing w:line="353" w:lineRule="auto"/>
        <w:ind w:firstLine="482"/>
        <w:rPr>
          <w:rFonts w:cs="Times New Roman"/>
          <w:b/>
          <w:bCs/>
          <w:color w:val="000000" w:themeColor="text1"/>
        </w:rPr>
      </w:pPr>
      <w:r>
        <w:rPr>
          <w:rFonts w:cs="Times New Roman"/>
          <w:b/>
          <w:bCs/>
          <w:color w:val="000000" w:themeColor="text1"/>
        </w:rPr>
        <w:t>（</w:t>
      </w:r>
      <w:r>
        <w:rPr>
          <w:rFonts w:cs="Times New Roman"/>
          <w:b/>
          <w:bCs/>
          <w:color w:val="000000" w:themeColor="text1"/>
        </w:rPr>
        <w:t>7</w:t>
      </w:r>
      <w:r>
        <w:rPr>
          <w:rFonts w:cs="Times New Roman"/>
          <w:b/>
          <w:bCs/>
          <w:color w:val="000000" w:themeColor="text1"/>
        </w:rPr>
        <w:t>）环境风险</w:t>
      </w:r>
    </w:p>
    <w:p w:rsidR="00644456" w:rsidRDefault="008031C4">
      <w:pPr>
        <w:pStyle w:val="-"/>
        <w:ind w:firstLine="480"/>
        <w:rPr>
          <w:rFonts w:cs="Times New Roman"/>
          <w:color w:val="000000" w:themeColor="text1"/>
        </w:rPr>
      </w:pPr>
      <w:r>
        <w:rPr>
          <w:rFonts w:cs="Times New Roman" w:hint="eastAsia"/>
          <w:color w:val="000000" w:themeColor="text1"/>
        </w:rPr>
        <w:t>项目风险潜势为Ⅰ，本项目环境风险评价等级定为简单分析，无需设置评价范围。</w:t>
      </w:r>
    </w:p>
    <w:p w:rsidR="00644456" w:rsidRDefault="00644456">
      <w:pPr>
        <w:pStyle w:val="-"/>
        <w:ind w:firstLine="480"/>
        <w:jc w:val="center"/>
        <w:rPr>
          <w:rFonts w:cs="Times New Roman"/>
          <w:color w:val="000000" w:themeColor="text1"/>
        </w:rPr>
      </w:pP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图</w:t>
      </w:r>
      <w:r>
        <w:rPr>
          <w:rFonts w:ascii="Times New Roman" w:eastAsia="宋体" w:hAnsi="Times New Roman" w:cs="Times New Roman" w:hint="eastAsia"/>
          <w:b/>
          <w:color w:val="000000" w:themeColor="text1"/>
          <w:sz w:val="24"/>
        </w:rPr>
        <w:t>1.9-1</w:t>
      </w:r>
      <w:r>
        <w:rPr>
          <w:rFonts w:ascii="Times New Roman" w:eastAsia="宋体" w:hAnsi="Times New Roman" w:cs="Times New Roman" w:hint="eastAsia"/>
          <w:b/>
          <w:color w:val="000000" w:themeColor="text1"/>
          <w:sz w:val="24"/>
        </w:rPr>
        <w:t>各要素评价范围图</w:t>
      </w:r>
    </w:p>
    <w:p w:rsidR="00644456" w:rsidRDefault="008031C4">
      <w:pPr>
        <w:pStyle w:val="3"/>
        <w:numPr>
          <w:ilvl w:val="2"/>
          <w:numId w:val="0"/>
        </w:numPr>
        <w:ind w:firstLineChars="200" w:firstLine="482"/>
      </w:pPr>
      <w:r>
        <w:rPr>
          <w:rFonts w:hint="eastAsia"/>
        </w:rPr>
        <w:t>1.9.2</w:t>
      </w:r>
      <w:r>
        <w:t>控制污染目标及评价重点</w:t>
      </w:r>
    </w:p>
    <w:p w:rsidR="00644456" w:rsidRDefault="008031C4">
      <w:pPr>
        <w:pStyle w:val="-"/>
        <w:spacing w:line="353" w:lineRule="auto"/>
        <w:ind w:firstLine="480"/>
        <w:rPr>
          <w:rFonts w:cs="Times New Roman"/>
          <w:color w:val="000000" w:themeColor="text1"/>
        </w:rPr>
      </w:pPr>
      <w:r>
        <w:rPr>
          <w:rFonts w:cs="Times New Roman"/>
          <w:color w:val="000000" w:themeColor="text1"/>
        </w:rPr>
        <w:t>1</w:t>
      </w:r>
      <w:r>
        <w:rPr>
          <w:rFonts w:cs="Times New Roman"/>
          <w:color w:val="000000" w:themeColor="text1"/>
        </w:rPr>
        <w:t>）不因项目建设导致项目拟选址区域各环境要素的环境质量明显下降；对项目导致的社会经济环境影响能妥善解决。</w:t>
      </w:r>
    </w:p>
    <w:p w:rsidR="00644456" w:rsidRDefault="008031C4">
      <w:pPr>
        <w:pStyle w:val="-"/>
        <w:spacing w:line="353" w:lineRule="auto"/>
        <w:ind w:firstLine="480"/>
        <w:rPr>
          <w:rFonts w:cs="Times New Roman"/>
          <w:color w:val="000000" w:themeColor="text1"/>
        </w:rPr>
      </w:pPr>
      <w:r>
        <w:rPr>
          <w:rFonts w:cs="Times New Roman"/>
          <w:color w:val="000000" w:themeColor="text1"/>
        </w:rPr>
        <w:t>2</w:t>
      </w:r>
      <w:r>
        <w:rPr>
          <w:rFonts w:cs="Times New Roman"/>
          <w:color w:val="000000" w:themeColor="text1"/>
        </w:rPr>
        <w:t>）确保项目实现达标排放，满足清洁生产、总量控制的要求。</w:t>
      </w:r>
    </w:p>
    <w:p w:rsidR="00644456" w:rsidRDefault="008031C4">
      <w:pPr>
        <w:pStyle w:val="-"/>
        <w:spacing w:line="353" w:lineRule="auto"/>
        <w:ind w:firstLine="480"/>
        <w:rPr>
          <w:rFonts w:cs="Times New Roman"/>
          <w:color w:val="000000" w:themeColor="text1"/>
        </w:rPr>
      </w:pPr>
      <w:r>
        <w:rPr>
          <w:rFonts w:cs="Times New Roman"/>
          <w:color w:val="000000" w:themeColor="text1"/>
        </w:rPr>
        <w:t>3</w:t>
      </w:r>
      <w:r>
        <w:rPr>
          <w:rFonts w:cs="Times New Roman"/>
          <w:color w:val="000000" w:themeColor="text1"/>
        </w:rPr>
        <w:t>）杜绝项目生产事故性排放，保护周围水、空气及土壤环境。</w:t>
      </w:r>
    </w:p>
    <w:p w:rsidR="00644456" w:rsidRDefault="008031C4">
      <w:pPr>
        <w:pStyle w:val="-"/>
        <w:spacing w:line="353" w:lineRule="auto"/>
        <w:ind w:firstLine="480"/>
        <w:rPr>
          <w:rFonts w:cs="Times New Roman"/>
          <w:color w:val="000000" w:themeColor="text1"/>
        </w:rPr>
      </w:pPr>
      <w:r>
        <w:rPr>
          <w:rFonts w:cs="Times New Roman"/>
          <w:color w:val="000000" w:themeColor="text1"/>
        </w:rPr>
        <w:t>根据拟建工程特征与工程所在地的环境特征，以及工程环境影响因子识别等综</w:t>
      </w:r>
      <w:r>
        <w:rPr>
          <w:rFonts w:cs="Times New Roman"/>
          <w:color w:val="000000" w:themeColor="text1"/>
        </w:rPr>
        <w:lastRenderedPageBreak/>
        <w:t>合分析，确定评价重点：在深入进行工程分析及污染防治对策分析基础上，重点分析</w:t>
      </w:r>
      <w:r>
        <w:rPr>
          <w:rFonts w:cs="Times New Roman"/>
          <w:color w:val="000000" w:themeColor="text1"/>
        </w:rPr>
        <w:t>“</w:t>
      </w:r>
      <w:r>
        <w:rPr>
          <w:rFonts w:cs="Times New Roman"/>
          <w:color w:val="000000" w:themeColor="text1"/>
        </w:rPr>
        <w:t>三废</w:t>
      </w:r>
      <w:r>
        <w:rPr>
          <w:rFonts w:cs="Times New Roman"/>
          <w:color w:val="000000" w:themeColor="text1"/>
        </w:rPr>
        <w:t>”</w:t>
      </w:r>
      <w:r>
        <w:rPr>
          <w:rFonts w:cs="Times New Roman"/>
          <w:color w:val="000000" w:themeColor="text1"/>
        </w:rPr>
        <w:t>污染防治，及事故排放应急措施有效性和可靠性；分析外排废水</w:t>
      </w:r>
      <w:r>
        <w:rPr>
          <w:rFonts w:cs="Times New Roman" w:hint="eastAsia"/>
          <w:color w:val="000000" w:themeColor="text1"/>
        </w:rPr>
        <w:t>依托现有污水处理厂的可行性</w:t>
      </w:r>
      <w:r>
        <w:rPr>
          <w:rFonts w:cs="Times New Roman"/>
          <w:color w:val="000000" w:themeColor="text1"/>
        </w:rPr>
        <w:t>；重视项目环境风险事故分析，并提出相应的风险防范措施。强化项目清洁生产分析及总量控制的论证分析。</w:t>
      </w:r>
    </w:p>
    <w:p w:rsidR="00644456" w:rsidRDefault="008031C4">
      <w:pPr>
        <w:pStyle w:val="3"/>
        <w:numPr>
          <w:ilvl w:val="2"/>
          <w:numId w:val="0"/>
        </w:numPr>
        <w:ind w:firstLineChars="200" w:firstLine="482"/>
      </w:pPr>
      <w:r>
        <w:rPr>
          <w:rFonts w:hint="eastAsia"/>
        </w:rPr>
        <w:t>1.9.3</w:t>
      </w:r>
      <w:r>
        <w:t>环境保护目标</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1.9.3.1</w:t>
      </w:r>
      <w:r>
        <w:rPr>
          <w:rFonts w:cs="Times New Roman" w:hint="eastAsia"/>
          <w:snapToGrid w:val="0"/>
          <w:color w:val="000000" w:themeColor="text1"/>
          <w:kern w:val="0"/>
          <w:szCs w:val="24"/>
        </w:rPr>
        <w:t>大气环境保护目标</w:t>
      </w:r>
    </w:p>
    <w:p w:rsidR="00644456" w:rsidRDefault="008031C4">
      <w:pPr>
        <w:pStyle w:val="-"/>
        <w:snapToGrid w:val="0"/>
        <w:ind w:firstLine="480"/>
        <w:rPr>
          <w:color w:val="000000" w:themeColor="text1"/>
        </w:rPr>
      </w:pPr>
      <w:r>
        <w:rPr>
          <w:rFonts w:cs="Times New Roman" w:hint="eastAsia"/>
          <w:color w:val="000000" w:themeColor="text1"/>
        </w:rPr>
        <w:t>本项目大气</w:t>
      </w:r>
      <w:r>
        <w:rPr>
          <w:rFonts w:cs="Times New Roman"/>
          <w:color w:val="000000" w:themeColor="text1"/>
        </w:rPr>
        <w:t>环境保护目标见表</w:t>
      </w:r>
      <w:r>
        <w:rPr>
          <w:rFonts w:cs="Times New Roman" w:hint="eastAsia"/>
          <w:color w:val="000000" w:themeColor="text1"/>
        </w:rPr>
        <w:t>1.9-1</w:t>
      </w:r>
      <w:r>
        <w:rPr>
          <w:rFonts w:cs="Times New Roman"/>
          <w:color w:val="000000" w:themeColor="text1"/>
        </w:rPr>
        <w:t>。</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1.9-1</w:t>
      </w:r>
      <w:r>
        <w:rPr>
          <w:rFonts w:ascii="Times New Roman" w:eastAsia="宋体" w:hAnsi="Times New Roman" w:cs="Times New Roman" w:hint="eastAsia"/>
          <w:b/>
          <w:color w:val="000000" w:themeColor="text1"/>
          <w:sz w:val="24"/>
        </w:rPr>
        <w:t>本项目大气环境主要保护目标</w:t>
      </w:r>
    </w:p>
    <w:tbl>
      <w:tblPr>
        <w:tblW w:w="9009"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09"/>
        <w:gridCol w:w="909"/>
        <w:gridCol w:w="2151"/>
        <w:gridCol w:w="851"/>
        <w:gridCol w:w="768"/>
        <w:gridCol w:w="2492"/>
        <w:gridCol w:w="929"/>
      </w:tblGrid>
      <w:tr w:rsidR="00644456" w:rsidTr="006214B2">
        <w:trPr>
          <w:trHeight w:val="300"/>
          <w:jc w:val="center"/>
        </w:trPr>
        <w:tc>
          <w:tcPr>
            <w:tcW w:w="909" w:type="dxa"/>
            <w:vAlign w:val="center"/>
          </w:tcPr>
          <w:p w:rsidR="00644456" w:rsidRDefault="008031C4">
            <w:pPr>
              <w:spacing w:line="300" w:lineRule="exact"/>
              <w:jc w:val="center"/>
              <w:rPr>
                <w:color w:val="000000" w:themeColor="text1"/>
                <w:szCs w:val="21"/>
              </w:rPr>
            </w:pPr>
            <w:r>
              <w:rPr>
                <w:rFonts w:hint="eastAsia"/>
                <w:color w:val="000000" w:themeColor="text1"/>
                <w:szCs w:val="21"/>
              </w:rPr>
              <w:t>序号</w:t>
            </w:r>
          </w:p>
        </w:tc>
        <w:tc>
          <w:tcPr>
            <w:tcW w:w="909" w:type="dxa"/>
            <w:vAlign w:val="center"/>
          </w:tcPr>
          <w:p w:rsidR="00644456" w:rsidRDefault="008031C4">
            <w:pPr>
              <w:spacing w:line="300" w:lineRule="exact"/>
              <w:jc w:val="center"/>
              <w:rPr>
                <w:color w:val="000000" w:themeColor="text1"/>
                <w:szCs w:val="21"/>
              </w:rPr>
            </w:pPr>
            <w:r>
              <w:rPr>
                <w:rFonts w:hint="eastAsia"/>
                <w:color w:val="000000" w:themeColor="text1"/>
                <w:szCs w:val="21"/>
              </w:rPr>
              <w:t>方位</w:t>
            </w:r>
          </w:p>
        </w:tc>
        <w:tc>
          <w:tcPr>
            <w:tcW w:w="2151" w:type="dxa"/>
            <w:vAlign w:val="center"/>
          </w:tcPr>
          <w:p w:rsidR="00644456" w:rsidRDefault="008031C4">
            <w:pPr>
              <w:spacing w:line="300" w:lineRule="exact"/>
              <w:jc w:val="center"/>
              <w:rPr>
                <w:color w:val="000000" w:themeColor="text1"/>
                <w:szCs w:val="21"/>
              </w:rPr>
            </w:pPr>
            <w:r>
              <w:rPr>
                <w:rFonts w:hint="eastAsia"/>
                <w:color w:val="000000" w:themeColor="text1"/>
                <w:szCs w:val="21"/>
              </w:rPr>
              <w:t>与项目红线距离</w:t>
            </w:r>
          </w:p>
        </w:tc>
        <w:tc>
          <w:tcPr>
            <w:tcW w:w="851" w:type="dxa"/>
            <w:vAlign w:val="center"/>
          </w:tcPr>
          <w:p w:rsidR="00644456" w:rsidRDefault="008031C4">
            <w:pPr>
              <w:spacing w:line="300" w:lineRule="exact"/>
              <w:jc w:val="center"/>
              <w:rPr>
                <w:color w:val="000000" w:themeColor="text1"/>
                <w:szCs w:val="21"/>
              </w:rPr>
            </w:pPr>
            <w:r>
              <w:rPr>
                <w:rFonts w:hint="eastAsia"/>
                <w:color w:val="000000" w:themeColor="text1"/>
                <w:szCs w:val="21"/>
              </w:rPr>
              <w:t>名称</w:t>
            </w:r>
          </w:p>
        </w:tc>
        <w:tc>
          <w:tcPr>
            <w:tcW w:w="768" w:type="dxa"/>
            <w:vAlign w:val="center"/>
          </w:tcPr>
          <w:p w:rsidR="00644456" w:rsidRDefault="008031C4">
            <w:pPr>
              <w:spacing w:line="300" w:lineRule="exact"/>
              <w:jc w:val="center"/>
              <w:rPr>
                <w:color w:val="000000" w:themeColor="text1"/>
                <w:szCs w:val="21"/>
              </w:rPr>
            </w:pPr>
            <w:r>
              <w:rPr>
                <w:rFonts w:hint="eastAsia"/>
                <w:color w:val="000000" w:themeColor="text1"/>
                <w:szCs w:val="21"/>
              </w:rPr>
              <w:t>数量</w:t>
            </w:r>
          </w:p>
        </w:tc>
        <w:tc>
          <w:tcPr>
            <w:tcW w:w="2492" w:type="dxa"/>
            <w:vAlign w:val="center"/>
          </w:tcPr>
          <w:p w:rsidR="00644456" w:rsidRDefault="008031C4">
            <w:pPr>
              <w:spacing w:line="300" w:lineRule="exact"/>
              <w:jc w:val="center"/>
              <w:rPr>
                <w:color w:val="000000" w:themeColor="text1"/>
                <w:szCs w:val="21"/>
              </w:rPr>
            </w:pPr>
            <w:r>
              <w:rPr>
                <w:rFonts w:hint="eastAsia"/>
                <w:color w:val="000000" w:themeColor="text1"/>
                <w:szCs w:val="21"/>
              </w:rPr>
              <w:t>相对项目区高差（</w:t>
            </w:r>
            <w:r>
              <w:rPr>
                <w:rFonts w:hint="eastAsia"/>
                <w:color w:val="000000" w:themeColor="text1"/>
                <w:szCs w:val="21"/>
              </w:rPr>
              <w:t>m</w:t>
            </w:r>
            <w:r>
              <w:rPr>
                <w:rFonts w:hint="eastAsia"/>
                <w:color w:val="000000" w:themeColor="text1"/>
                <w:szCs w:val="21"/>
              </w:rPr>
              <w:t>）</w:t>
            </w:r>
          </w:p>
        </w:tc>
        <w:tc>
          <w:tcPr>
            <w:tcW w:w="929" w:type="dxa"/>
            <w:vAlign w:val="center"/>
          </w:tcPr>
          <w:p w:rsidR="00644456" w:rsidRDefault="008031C4">
            <w:pPr>
              <w:spacing w:line="300" w:lineRule="exact"/>
              <w:jc w:val="center"/>
              <w:rPr>
                <w:color w:val="000000" w:themeColor="text1"/>
                <w:szCs w:val="21"/>
              </w:rPr>
            </w:pPr>
            <w:r>
              <w:rPr>
                <w:rFonts w:hint="eastAsia"/>
                <w:color w:val="000000" w:themeColor="text1"/>
                <w:szCs w:val="21"/>
              </w:rPr>
              <w:t>备注</w:t>
            </w:r>
          </w:p>
        </w:tc>
      </w:tr>
      <w:tr w:rsidR="00644456" w:rsidTr="006214B2">
        <w:trPr>
          <w:trHeight w:val="300"/>
          <w:jc w:val="center"/>
        </w:trPr>
        <w:tc>
          <w:tcPr>
            <w:tcW w:w="909" w:type="dxa"/>
            <w:vAlign w:val="center"/>
          </w:tcPr>
          <w:p w:rsidR="00644456" w:rsidRDefault="008031C4">
            <w:pPr>
              <w:spacing w:line="300" w:lineRule="exact"/>
              <w:jc w:val="center"/>
              <w:rPr>
                <w:color w:val="000000" w:themeColor="text1"/>
                <w:szCs w:val="21"/>
              </w:rPr>
            </w:pPr>
            <w:r>
              <w:rPr>
                <w:rFonts w:hint="eastAsia"/>
                <w:color w:val="000000" w:themeColor="text1"/>
                <w:szCs w:val="21"/>
              </w:rPr>
              <w:t>1</w:t>
            </w:r>
          </w:p>
        </w:tc>
        <w:tc>
          <w:tcPr>
            <w:tcW w:w="909" w:type="dxa"/>
            <w:vAlign w:val="center"/>
          </w:tcPr>
          <w:p w:rsidR="00644456" w:rsidRDefault="006214B2">
            <w:pPr>
              <w:spacing w:line="300" w:lineRule="exact"/>
              <w:jc w:val="center"/>
              <w:rPr>
                <w:color w:val="000000" w:themeColor="text1"/>
                <w:szCs w:val="21"/>
              </w:rPr>
            </w:pPr>
            <w:r>
              <w:rPr>
                <w:rFonts w:hint="eastAsia"/>
                <w:color w:val="000000" w:themeColor="text1"/>
                <w:szCs w:val="21"/>
              </w:rPr>
              <w:t>东北面</w:t>
            </w:r>
          </w:p>
        </w:tc>
        <w:tc>
          <w:tcPr>
            <w:tcW w:w="2151" w:type="dxa"/>
            <w:vAlign w:val="center"/>
          </w:tcPr>
          <w:p w:rsidR="00644456" w:rsidRDefault="006214B2">
            <w:pPr>
              <w:spacing w:line="300" w:lineRule="exact"/>
              <w:jc w:val="center"/>
              <w:rPr>
                <w:color w:val="000000" w:themeColor="text1"/>
                <w:szCs w:val="21"/>
              </w:rPr>
            </w:pPr>
            <w:r>
              <w:rPr>
                <w:rFonts w:hint="eastAsia"/>
                <w:color w:val="000000" w:themeColor="text1"/>
                <w:szCs w:val="21"/>
              </w:rPr>
              <w:t>2</w:t>
            </w:r>
            <w:r>
              <w:rPr>
                <w:color w:val="000000" w:themeColor="text1"/>
                <w:szCs w:val="21"/>
              </w:rPr>
              <w:t>150</w:t>
            </w:r>
            <w:r>
              <w:rPr>
                <w:rFonts w:hint="eastAsia"/>
                <w:color w:val="000000" w:themeColor="text1"/>
                <w:szCs w:val="21"/>
              </w:rPr>
              <w:t xml:space="preserve"> m</w:t>
            </w:r>
          </w:p>
        </w:tc>
        <w:tc>
          <w:tcPr>
            <w:tcW w:w="851" w:type="dxa"/>
            <w:vAlign w:val="center"/>
          </w:tcPr>
          <w:p w:rsidR="00644456" w:rsidRDefault="008031C4">
            <w:pPr>
              <w:spacing w:line="300" w:lineRule="exact"/>
              <w:jc w:val="center"/>
              <w:rPr>
                <w:color w:val="000000" w:themeColor="text1"/>
                <w:szCs w:val="21"/>
              </w:rPr>
            </w:pPr>
            <w:r>
              <w:rPr>
                <w:rFonts w:hint="eastAsia"/>
                <w:color w:val="000000" w:themeColor="text1"/>
                <w:szCs w:val="21"/>
              </w:rPr>
              <w:t>居住区</w:t>
            </w:r>
          </w:p>
        </w:tc>
        <w:tc>
          <w:tcPr>
            <w:tcW w:w="768" w:type="dxa"/>
            <w:vAlign w:val="center"/>
          </w:tcPr>
          <w:p w:rsidR="00644456" w:rsidRDefault="008031C4">
            <w:pPr>
              <w:spacing w:line="300" w:lineRule="exact"/>
              <w:jc w:val="center"/>
              <w:rPr>
                <w:color w:val="000000" w:themeColor="text1"/>
                <w:szCs w:val="21"/>
              </w:rPr>
            </w:pPr>
            <w:r>
              <w:rPr>
                <w:rFonts w:hint="eastAsia"/>
                <w:color w:val="000000" w:themeColor="text1"/>
                <w:szCs w:val="21"/>
              </w:rPr>
              <w:t>1</w:t>
            </w:r>
          </w:p>
        </w:tc>
        <w:tc>
          <w:tcPr>
            <w:tcW w:w="2492" w:type="dxa"/>
            <w:vAlign w:val="center"/>
          </w:tcPr>
          <w:p w:rsidR="00644456" w:rsidRDefault="008031C4">
            <w:pPr>
              <w:spacing w:line="300" w:lineRule="exact"/>
              <w:jc w:val="center"/>
              <w:rPr>
                <w:color w:val="000000" w:themeColor="text1"/>
                <w:szCs w:val="21"/>
              </w:rPr>
            </w:pPr>
            <w:r>
              <w:rPr>
                <w:rFonts w:hint="eastAsia"/>
                <w:color w:val="000000" w:themeColor="text1"/>
                <w:szCs w:val="21"/>
              </w:rPr>
              <w:t>+5</w:t>
            </w:r>
          </w:p>
        </w:tc>
        <w:tc>
          <w:tcPr>
            <w:tcW w:w="929" w:type="dxa"/>
            <w:vAlign w:val="center"/>
          </w:tcPr>
          <w:p w:rsidR="00644456" w:rsidRDefault="008031C4">
            <w:pPr>
              <w:spacing w:line="300" w:lineRule="exact"/>
              <w:jc w:val="center"/>
              <w:rPr>
                <w:color w:val="000000" w:themeColor="text1"/>
                <w:szCs w:val="21"/>
              </w:rPr>
            </w:pPr>
            <w:r>
              <w:rPr>
                <w:rFonts w:hint="eastAsia"/>
                <w:color w:val="000000" w:themeColor="text1"/>
                <w:szCs w:val="21"/>
              </w:rPr>
              <w:t>600</w:t>
            </w:r>
            <w:r>
              <w:rPr>
                <w:rFonts w:hint="eastAsia"/>
                <w:color w:val="000000" w:themeColor="text1"/>
                <w:szCs w:val="21"/>
              </w:rPr>
              <w:t>人</w:t>
            </w:r>
          </w:p>
        </w:tc>
      </w:tr>
    </w:tbl>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1.9.3.2</w:t>
      </w:r>
      <w:r>
        <w:rPr>
          <w:rFonts w:cs="Times New Roman" w:hint="eastAsia"/>
          <w:snapToGrid w:val="0"/>
          <w:color w:val="000000" w:themeColor="text1"/>
          <w:kern w:val="0"/>
          <w:szCs w:val="24"/>
        </w:rPr>
        <w:t>声环境保护目标</w:t>
      </w:r>
    </w:p>
    <w:p w:rsidR="00644456" w:rsidRDefault="008031C4">
      <w:pPr>
        <w:pStyle w:val="-"/>
        <w:snapToGrid w:val="0"/>
        <w:ind w:firstLine="480"/>
        <w:rPr>
          <w:rFonts w:cs="Times New Roman"/>
          <w:color w:val="000000" w:themeColor="text1"/>
        </w:rPr>
      </w:pPr>
      <w:r>
        <w:rPr>
          <w:rFonts w:cs="Times New Roman" w:hint="eastAsia"/>
          <w:color w:val="000000" w:themeColor="text1"/>
        </w:rPr>
        <w:t>根据《环境影响评价技术导则声环境》（</w:t>
      </w:r>
      <w:r>
        <w:rPr>
          <w:rFonts w:cs="Times New Roman" w:hint="eastAsia"/>
          <w:color w:val="000000" w:themeColor="text1"/>
        </w:rPr>
        <w:t>HJ2.4-2021</w:t>
      </w:r>
      <w:r>
        <w:rPr>
          <w:rFonts w:cs="Times New Roman" w:hint="eastAsia"/>
          <w:color w:val="000000" w:themeColor="text1"/>
        </w:rPr>
        <w:t>）中的有关规定确定噪声评价范围为项目外</w:t>
      </w:r>
      <w:r>
        <w:rPr>
          <w:rFonts w:cs="Times New Roman" w:hint="eastAsia"/>
          <w:color w:val="000000" w:themeColor="text1"/>
        </w:rPr>
        <w:t>200m</w:t>
      </w:r>
      <w:r>
        <w:rPr>
          <w:rFonts w:cs="Times New Roman" w:hint="eastAsia"/>
          <w:color w:val="000000" w:themeColor="text1"/>
        </w:rPr>
        <w:t>范围内。根据外环境关系可知，项目厂界外</w:t>
      </w:r>
      <w:r>
        <w:rPr>
          <w:rFonts w:cs="Times New Roman" w:hint="eastAsia"/>
          <w:color w:val="000000" w:themeColor="text1"/>
        </w:rPr>
        <w:t>200m</w:t>
      </w:r>
      <w:r>
        <w:rPr>
          <w:rFonts w:cs="Times New Roman" w:hint="eastAsia"/>
          <w:color w:val="000000" w:themeColor="text1"/>
        </w:rPr>
        <w:t>范围内无声环境敏感点。</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1.9.3.3</w:t>
      </w:r>
      <w:r>
        <w:rPr>
          <w:rFonts w:cs="Times New Roman" w:hint="eastAsia"/>
          <w:snapToGrid w:val="0"/>
          <w:color w:val="000000" w:themeColor="text1"/>
          <w:kern w:val="0"/>
          <w:szCs w:val="24"/>
        </w:rPr>
        <w:t>地表水环境保护目标</w:t>
      </w:r>
    </w:p>
    <w:p w:rsidR="00644456" w:rsidRDefault="008031C4">
      <w:pPr>
        <w:pStyle w:val="-"/>
        <w:snapToGrid w:val="0"/>
        <w:ind w:firstLine="480"/>
        <w:rPr>
          <w:rFonts w:cs="Times New Roman"/>
          <w:color w:val="000000" w:themeColor="text1"/>
        </w:rPr>
      </w:pPr>
      <w:r>
        <w:rPr>
          <w:rFonts w:cs="Times New Roman" w:hint="eastAsia"/>
          <w:color w:val="000000" w:themeColor="text1"/>
        </w:rPr>
        <w:t>疏勒高新技术产业开发区（化工产业集聚区）周边无地表水体。</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1.9.3.4</w:t>
      </w:r>
      <w:r>
        <w:rPr>
          <w:rFonts w:cs="Times New Roman" w:hint="eastAsia"/>
          <w:snapToGrid w:val="0"/>
          <w:color w:val="000000" w:themeColor="text1"/>
          <w:kern w:val="0"/>
          <w:szCs w:val="24"/>
        </w:rPr>
        <w:t>地下水环境保护目标</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1.9-2</w:t>
      </w:r>
      <w:r>
        <w:rPr>
          <w:rFonts w:ascii="Times New Roman" w:eastAsia="宋体" w:hAnsi="Times New Roman" w:cs="Times New Roman" w:hint="eastAsia"/>
          <w:b/>
          <w:color w:val="000000" w:themeColor="text1"/>
          <w:sz w:val="24"/>
        </w:rPr>
        <w:t>本项目地下水环境主要保护目标</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13"/>
        <w:gridCol w:w="1384"/>
        <w:gridCol w:w="872"/>
        <w:gridCol w:w="1319"/>
        <w:gridCol w:w="1686"/>
        <w:gridCol w:w="2872"/>
      </w:tblGrid>
      <w:tr w:rsidR="00644456">
        <w:trPr>
          <w:trHeight w:val="321"/>
          <w:jc w:val="center"/>
        </w:trPr>
        <w:tc>
          <w:tcPr>
            <w:tcW w:w="776" w:type="dxa"/>
            <w:vAlign w:val="center"/>
          </w:tcPr>
          <w:p w:rsidR="00644456" w:rsidRDefault="008031C4">
            <w:pPr>
              <w:spacing w:line="300" w:lineRule="exact"/>
              <w:jc w:val="center"/>
              <w:rPr>
                <w:color w:val="000000" w:themeColor="text1"/>
                <w:szCs w:val="21"/>
              </w:rPr>
            </w:pPr>
            <w:r>
              <w:rPr>
                <w:rFonts w:hint="eastAsia"/>
                <w:color w:val="000000" w:themeColor="text1"/>
                <w:szCs w:val="21"/>
              </w:rPr>
              <w:t>序号</w:t>
            </w:r>
          </w:p>
        </w:tc>
        <w:tc>
          <w:tcPr>
            <w:tcW w:w="1319" w:type="dxa"/>
            <w:vAlign w:val="center"/>
          </w:tcPr>
          <w:p w:rsidR="00644456" w:rsidRDefault="008031C4">
            <w:pPr>
              <w:spacing w:line="300" w:lineRule="exact"/>
              <w:jc w:val="center"/>
              <w:rPr>
                <w:color w:val="000000" w:themeColor="text1"/>
                <w:szCs w:val="21"/>
              </w:rPr>
            </w:pPr>
            <w:r>
              <w:rPr>
                <w:rFonts w:hint="eastAsia"/>
                <w:color w:val="000000" w:themeColor="text1"/>
                <w:szCs w:val="21"/>
              </w:rPr>
              <w:t>目标名称</w:t>
            </w:r>
          </w:p>
        </w:tc>
        <w:tc>
          <w:tcPr>
            <w:tcW w:w="831" w:type="dxa"/>
            <w:vAlign w:val="center"/>
          </w:tcPr>
          <w:p w:rsidR="00644456" w:rsidRDefault="008031C4">
            <w:pPr>
              <w:spacing w:line="300" w:lineRule="exact"/>
              <w:jc w:val="center"/>
              <w:rPr>
                <w:color w:val="000000" w:themeColor="text1"/>
                <w:szCs w:val="21"/>
              </w:rPr>
            </w:pPr>
            <w:r>
              <w:rPr>
                <w:rFonts w:hint="eastAsia"/>
                <w:color w:val="000000" w:themeColor="text1"/>
                <w:szCs w:val="21"/>
              </w:rPr>
              <w:t>方位</w:t>
            </w:r>
          </w:p>
        </w:tc>
        <w:tc>
          <w:tcPr>
            <w:tcW w:w="1257" w:type="dxa"/>
            <w:vAlign w:val="center"/>
          </w:tcPr>
          <w:p w:rsidR="00644456" w:rsidRDefault="008031C4">
            <w:pPr>
              <w:spacing w:line="300" w:lineRule="exact"/>
              <w:jc w:val="center"/>
              <w:rPr>
                <w:color w:val="000000" w:themeColor="text1"/>
                <w:szCs w:val="21"/>
              </w:rPr>
            </w:pPr>
            <w:r>
              <w:rPr>
                <w:rFonts w:hint="eastAsia"/>
                <w:color w:val="000000" w:themeColor="text1"/>
                <w:szCs w:val="21"/>
              </w:rPr>
              <w:t>距离（</w:t>
            </w:r>
            <w:r>
              <w:rPr>
                <w:rFonts w:hint="eastAsia"/>
                <w:color w:val="000000" w:themeColor="text1"/>
                <w:szCs w:val="21"/>
              </w:rPr>
              <w:t>m</w:t>
            </w:r>
            <w:r>
              <w:rPr>
                <w:rFonts w:hint="eastAsia"/>
                <w:color w:val="000000" w:themeColor="text1"/>
                <w:szCs w:val="21"/>
              </w:rPr>
              <w:t>）</w:t>
            </w:r>
          </w:p>
        </w:tc>
        <w:tc>
          <w:tcPr>
            <w:tcW w:w="1607" w:type="dxa"/>
            <w:vAlign w:val="center"/>
          </w:tcPr>
          <w:p w:rsidR="00644456" w:rsidRDefault="008031C4">
            <w:pPr>
              <w:spacing w:line="300" w:lineRule="exact"/>
              <w:jc w:val="center"/>
              <w:rPr>
                <w:color w:val="000000" w:themeColor="text1"/>
                <w:szCs w:val="21"/>
              </w:rPr>
            </w:pPr>
            <w:r>
              <w:rPr>
                <w:rFonts w:hint="eastAsia"/>
                <w:color w:val="000000" w:themeColor="text1"/>
                <w:szCs w:val="21"/>
              </w:rPr>
              <w:t>性质</w:t>
            </w:r>
          </w:p>
        </w:tc>
        <w:tc>
          <w:tcPr>
            <w:tcW w:w="2738" w:type="dxa"/>
            <w:vAlign w:val="center"/>
          </w:tcPr>
          <w:p w:rsidR="00644456" w:rsidRDefault="008031C4">
            <w:pPr>
              <w:spacing w:line="300" w:lineRule="exact"/>
              <w:jc w:val="center"/>
              <w:rPr>
                <w:color w:val="000000" w:themeColor="text1"/>
                <w:szCs w:val="21"/>
              </w:rPr>
            </w:pPr>
            <w:r>
              <w:rPr>
                <w:rFonts w:hint="eastAsia"/>
                <w:color w:val="000000" w:themeColor="text1"/>
                <w:szCs w:val="21"/>
              </w:rPr>
              <w:t>保护级别</w:t>
            </w:r>
          </w:p>
        </w:tc>
      </w:tr>
      <w:tr w:rsidR="00644456">
        <w:trPr>
          <w:trHeight w:val="321"/>
          <w:jc w:val="center"/>
        </w:trPr>
        <w:tc>
          <w:tcPr>
            <w:tcW w:w="776" w:type="dxa"/>
            <w:vAlign w:val="center"/>
          </w:tcPr>
          <w:p w:rsidR="00644456" w:rsidRDefault="008031C4">
            <w:pPr>
              <w:spacing w:line="300" w:lineRule="exact"/>
              <w:jc w:val="center"/>
              <w:rPr>
                <w:color w:val="000000" w:themeColor="text1"/>
                <w:szCs w:val="21"/>
              </w:rPr>
            </w:pPr>
            <w:r>
              <w:rPr>
                <w:rFonts w:hint="eastAsia"/>
                <w:color w:val="000000" w:themeColor="text1"/>
                <w:szCs w:val="21"/>
              </w:rPr>
              <w:t>1</w:t>
            </w:r>
          </w:p>
        </w:tc>
        <w:tc>
          <w:tcPr>
            <w:tcW w:w="1319" w:type="dxa"/>
            <w:vAlign w:val="center"/>
          </w:tcPr>
          <w:p w:rsidR="00644456" w:rsidRDefault="008031C4">
            <w:pPr>
              <w:spacing w:line="300" w:lineRule="exact"/>
              <w:jc w:val="center"/>
              <w:rPr>
                <w:color w:val="000000" w:themeColor="text1"/>
                <w:szCs w:val="21"/>
              </w:rPr>
            </w:pPr>
            <w:bookmarkStart w:id="74" w:name="_Hlk160629345"/>
            <w:r>
              <w:rPr>
                <w:rFonts w:hint="eastAsia"/>
                <w:color w:val="000000" w:themeColor="text1"/>
                <w:szCs w:val="21"/>
              </w:rPr>
              <w:t>第四纪松散岩类孔隙水</w:t>
            </w:r>
            <w:bookmarkEnd w:id="74"/>
          </w:p>
        </w:tc>
        <w:tc>
          <w:tcPr>
            <w:tcW w:w="831" w:type="dxa"/>
            <w:vAlign w:val="center"/>
          </w:tcPr>
          <w:p w:rsidR="00644456" w:rsidRDefault="008031C4">
            <w:pPr>
              <w:spacing w:line="300" w:lineRule="exact"/>
              <w:jc w:val="center"/>
              <w:rPr>
                <w:color w:val="000000" w:themeColor="text1"/>
                <w:szCs w:val="21"/>
              </w:rPr>
            </w:pPr>
            <w:r>
              <w:rPr>
                <w:rFonts w:hint="eastAsia"/>
                <w:color w:val="000000" w:themeColor="text1"/>
                <w:szCs w:val="21"/>
              </w:rPr>
              <w:t>侧向、</w:t>
            </w:r>
          </w:p>
          <w:p w:rsidR="00644456" w:rsidRDefault="008031C4">
            <w:pPr>
              <w:spacing w:line="300" w:lineRule="exact"/>
              <w:jc w:val="center"/>
              <w:rPr>
                <w:color w:val="000000" w:themeColor="text1"/>
                <w:szCs w:val="21"/>
              </w:rPr>
            </w:pPr>
            <w:r>
              <w:rPr>
                <w:rFonts w:hint="eastAsia"/>
                <w:color w:val="000000" w:themeColor="text1"/>
                <w:szCs w:val="21"/>
              </w:rPr>
              <w:t>下游</w:t>
            </w:r>
          </w:p>
        </w:tc>
        <w:tc>
          <w:tcPr>
            <w:tcW w:w="1257" w:type="dxa"/>
            <w:vAlign w:val="center"/>
          </w:tcPr>
          <w:p w:rsidR="00644456" w:rsidRDefault="008031C4">
            <w:pPr>
              <w:spacing w:line="300" w:lineRule="exact"/>
              <w:jc w:val="center"/>
              <w:rPr>
                <w:color w:val="000000" w:themeColor="text1"/>
                <w:szCs w:val="21"/>
              </w:rPr>
            </w:pPr>
            <w:r>
              <w:rPr>
                <w:rFonts w:hint="eastAsia"/>
                <w:color w:val="000000" w:themeColor="text1"/>
                <w:szCs w:val="21"/>
              </w:rPr>
              <w:t>0</w:t>
            </w:r>
            <w:r>
              <w:rPr>
                <w:rFonts w:hint="eastAsia"/>
                <w:color w:val="000000" w:themeColor="text1"/>
                <w:szCs w:val="21"/>
              </w:rPr>
              <w:t>～</w:t>
            </w:r>
            <w:r>
              <w:rPr>
                <w:color w:val="000000" w:themeColor="text1"/>
                <w:szCs w:val="21"/>
              </w:rPr>
              <w:t>2272</w:t>
            </w:r>
            <w:r>
              <w:rPr>
                <w:rFonts w:hint="eastAsia"/>
                <w:color w:val="000000" w:themeColor="text1"/>
                <w:szCs w:val="21"/>
              </w:rPr>
              <w:t>m</w:t>
            </w:r>
          </w:p>
        </w:tc>
        <w:tc>
          <w:tcPr>
            <w:tcW w:w="1607" w:type="dxa"/>
            <w:vAlign w:val="center"/>
          </w:tcPr>
          <w:p w:rsidR="00644456" w:rsidRDefault="008031C4">
            <w:pPr>
              <w:spacing w:line="300" w:lineRule="exact"/>
              <w:jc w:val="center"/>
              <w:rPr>
                <w:color w:val="000000" w:themeColor="text1"/>
                <w:szCs w:val="21"/>
              </w:rPr>
            </w:pPr>
            <w:r>
              <w:rPr>
                <w:rFonts w:hint="eastAsia"/>
                <w:color w:val="000000" w:themeColor="text1"/>
                <w:szCs w:val="21"/>
              </w:rPr>
              <w:t>地下水</w:t>
            </w:r>
          </w:p>
        </w:tc>
        <w:tc>
          <w:tcPr>
            <w:tcW w:w="2738" w:type="dxa"/>
            <w:vAlign w:val="center"/>
          </w:tcPr>
          <w:p w:rsidR="00644456" w:rsidRDefault="008031C4">
            <w:pPr>
              <w:spacing w:line="300" w:lineRule="exact"/>
              <w:jc w:val="center"/>
              <w:rPr>
                <w:color w:val="000000" w:themeColor="text1"/>
                <w:szCs w:val="21"/>
              </w:rPr>
            </w:pPr>
            <w:r>
              <w:rPr>
                <w:rFonts w:hint="eastAsia"/>
                <w:color w:val="000000" w:themeColor="text1"/>
                <w:szCs w:val="21"/>
              </w:rPr>
              <w:t>《地下水质量标准》（</w:t>
            </w:r>
            <w:r>
              <w:rPr>
                <w:rFonts w:hint="eastAsia"/>
                <w:color w:val="000000" w:themeColor="text1"/>
                <w:szCs w:val="21"/>
              </w:rPr>
              <w:t>GB/T14848-2017</w:t>
            </w:r>
            <w:r>
              <w:rPr>
                <w:rFonts w:hint="eastAsia"/>
                <w:color w:val="000000" w:themeColor="text1"/>
                <w:szCs w:val="21"/>
              </w:rPr>
              <w:t>）Ⅲ类水域</w:t>
            </w:r>
          </w:p>
        </w:tc>
      </w:tr>
    </w:tbl>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1.9.3.5</w:t>
      </w:r>
      <w:r>
        <w:rPr>
          <w:rFonts w:cs="Times New Roman" w:hint="eastAsia"/>
          <w:snapToGrid w:val="0"/>
          <w:color w:val="000000" w:themeColor="text1"/>
          <w:kern w:val="0"/>
          <w:szCs w:val="24"/>
        </w:rPr>
        <w:t>土壤环境保护目标</w:t>
      </w:r>
    </w:p>
    <w:p w:rsidR="00644456" w:rsidRDefault="008031C4">
      <w:pPr>
        <w:pStyle w:val="-"/>
        <w:snapToGrid w:val="0"/>
        <w:ind w:firstLine="480"/>
        <w:rPr>
          <w:rFonts w:cs="Times New Roman"/>
          <w:color w:val="000000" w:themeColor="text1"/>
        </w:rPr>
      </w:pPr>
      <w:r>
        <w:rPr>
          <w:rFonts w:cs="Times New Roman" w:hint="eastAsia"/>
          <w:color w:val="000000" w:themeColor="text1"/>
        </w:rPr>
        <w:t>根据《环境影响评价技术导则土壤环境（试行）》（</w:t>
      </w:r>
      <w:r>
        <w:rPr>
          <w:rFonts w:cs="Times New Roman" w:hint="eastAsia"/>
          <w:color w:val="000000" w:themeColor="text1"/>
        </w:rPr>
        <w:t>HJ964-2018</w:t>
      </w:r>
      <w:r>
        <w:rPr>
          <w:rFonts w:cs="Times New Roman" w:hint="eastAsia"/>
          <w:color w:val="000000" w:themeColor="text1"/>
        </w:rPr>
        <w:t>），本项目污染影响型土壤评价范围确定为占地范围内</w:t>
      </w:r>
      <w:r>
        <w:rPr>
          <w:rFonts w:cs="Times New Roman" w:hint="eastAsia"/>
          <w:color w:val="000000" w:themeColor="text1"/>
        </w:rPr>
        <w:t>+</w:t>
      </w:r>
      <w:r>
        <w:rPr>
          <w:rFonts w:cs="Times New Roman" w:hint="eastAsia"/>
          <w:color w:val="000000" w:themeColor="text1"/>
        </w:rPr>
        <w:t>占地范围外</w:t>
      </w:r>
      <w:r>
        <w:rPr>
          <w:rFonts w:cs="Times New Roman" w:hint="eastAsia"/>
          <w:color w:val="000000" w:themeColor="text1"/>
        </w:rPr>
        <w:t>0.2km</w:t>
      </w:r>
      <w:r>
        <w:rPr>
          <w:rFonts w:cs="Times New Roman" w:hint="eastAsia"/>
          <w:color w:val="000000" w:themeColor="text1"/>
        </w:rPr>
        <w:t>范围内，根据现场踏勘项目厂界外</w:t>
      </w:r>
      <w:r>
        <w:rPr>
          <w:rFonts w:cs="Times New Roman" w:hint="eastAsia"/>
          <w:color w:val="000000" w:themeColor="text1"/>
        </w:rPr>
        <w:t>200m</w:t>
      </w:r>
      <w:r>
        <w:rPr>
          <w:rFonts w:cs="Times New Roman" w:hint="eastAsia"/>
          <w:color w:val="000000" w:themeColor="text1"/>
        </w:rPr>
        <w:t>范围内无土壤环境敏感点。</w:t>
      </w:r>
    </w:p>
    <w:p w:rsidR="00644456" w:rsidRDefault="00644456">
      <w:pPr>
        <w:pStyle w:val="-"/>
        <w:ind w:firstLineChars="0" w:firstLine="0"/>
        <w:rPr>
          <w:rFonts w:cs="Times New Roman"/>
          <w:color w:val="000000" w:themeColor="text1"/>
        </w:rPr>
        <w:sectPr w:rsidR="00644456">
          <w:headerReference w:type="default" r:id="rId20"/>
          <w:pgSz w:w="11906" w:h="16838"/>
          <w:pgMar w:top="1389" w:right="1588" w:bottom="1389" w:left="1588" w:header="851" w:footer="992" w:gutter="0"/>
          <w:cols w:space="720"/>
          <w:docGrid w:linePitch="312"/>
        </w:sectPr>
      </w:pPr>
      <w:bookmarkStart w:id="75" w:name="_Toc180824061"/>
      <w:bookmarkStart w:id="76" w:name="_Toc21409"/>
      <w:bookmarkStart w:id="77" w:name="_Toc23612"/>
      <w:bookmarkStart w:id="78" w:name="_Toc180817026"/>
      <w:bookmarkStart w:id="79" w:name="_Toc16143"/>
      <w:bookmarkStart w:id="80" w:name="_Toc484402641"/>
      <w:bookmarkStart w:id="81" w:name="_Toc422562144"/>
      <w:bookmarkStart w:id="82" w:name="_Toc422563408"/>
      <w:bookmarkStart w:id="83" w:name="_Toc453167162"/>
      <w:bookmarkStart w:id="84" w:name="_Toc424995961"/>
      <w:bookmarkStart w:id="85" w:name="_Toc483622988"/>
      <w:bookmarkStart w:id="86" w:name="_Toc436130153"/>
      <w:bookmarkStart w:id="87" w:name="_Toc424983432"/>
      <w:bookmarkStart w:id="88" w:name="_Toc436191250"/>
      <w:bookmarkStart w:id="89" w:name="_Toc453129265"/>
    </w:p>
    <w:p w:rsidR="00644456" w:rsidRDefault="008031C4">
      <w:pPr>
        <w:pStyle w:val="1"/>
        <w:numPr>
          <w:ilvl w:val="0"/>
          <w:numId w:val="0"/>
        </w:numPr>
      </w:pPr>
      <w:bookmarkStart w:id="90" w:name="_Toc155789356"/>
      <w:bookmarkStart w:id="91" w:name="_Toc177216864"/>
      <w:r>
        <w:rPr>
          <w:rFonts w:hint="eastAsia"/>
        </w:rPr>
        <w:lastRenderedPageBreak/>
        <w:t>第</w:t>
      </w:r>
      <w:r>
        <w:rPr>
          <w:rFonts w:hint="eastAsia"/>
        </w:rPr>
        <w:t xml:space="preserve"> 2 </w:t>
      </w:r>
      <w:r>
        <w:rPr>
          <w:rFonts w:hint="eastAsia"/>
        </w:rPr>
        <w:t>章</w:t>
      </w:r>
      <w:r>
        <w:rPr>
          <w:rFonts w:hint="eastAsia"/>
        </w:rPr>
        <w:t xml:space="preserve"> </w:t>
      </w:r>
      <w:r>
        <w:t>建设项目工程分析</w:t>
      </w:r>
      <w:bookmarkEnd w:id="75"/>
      <w:bookmarkEnd w:id="76"/>
      <w:bookmarkEnd w:id="77"/>
      <w:bookmarkEnd w:id="78"/>
      <w:bookmarkEnd w:id="79"/>
      <w:bookmarkEnd w:id="90"/>
      <w:bookmarkEnd w:id="91"/>
    </w:p>
    <w:p w:rsidR="00644456" w:rsidRDefault="008031C4">
      <w:pPr>
        <w:pStyle w:val="20"/>
        <w:numPr>
          <w:ilvl w:val="1"/>
          <w:numId w:val="0"/>
        </w:numPr>
        <w:snapToGrid w:val="0"/>
        <w:spacing w:beforeLines="0" w:before="0" w:afterLines="0" w:after="0"/>
        <w:ind w:firstLineChars="200" w:firstLine="562"/>
        <w:rPr>
          <w:rFonts w:cs="Times New Roman"/>
          <w:color w:val="000000" w:themeColor="text1"/>
        </w:rPr>
      </w:pPr>
      <w:bookmarkStart w:id="92" w:name="_Toc155789357"/>
      <w:bookmarkStart w:id="93" w:name="_Toc180824062"/>
      <w:bookmarkStart w:id="94" w:name="_Toc28184"/>
      <w:bookmarkStart w:id="95" w:name="_Toc5532"/>
      <w:bookmarkStart w:id="96" w:name="_Toc2829"/>
      <w:bookmarkStart w:id="97" w:name="_Toc177216865"/>
      <w:bookmarkStart w:id="98" w:name="_Toc180817027"/>
      <w:r>
        <w:rPr>
          <w:rFonts w:cs="Times New Roman" w:hint="eastAsia"/>
          <w:color w:val="000000" w:themeColor="text1"/>
        </w:rPr>
        <w:t>2.1</w:t>
      </w:r>
      <w:r>
        <w:rPr>
          <w:rFonts w:cs="Times New Roman"/>
          <w:color w:val="000000" w:themeColor="text1"/>
        </w:rPr>
        <w:t>建设项目概况</w:t>
      </w:r>
      <w:bookmarkEnd w:id="92"/>
      <w:bookmarkEnd w:id="93"/>
      <w:bookmarkEnd w:id="94"/>
      <w:bookmarkEnd w:id="95"/>
      <w:bookmarkEnd w:id="96"/>
      <w:bookmarkEnd w:id="97"/>
      <w:bookmarkEnd w:id="98"/>
    </w:p>
    <w:p w:rsidR="00644456" w:rsidRDefault="008031C4">
      <w:pPr>
        <w:pStyle w:val="3"/>
        <w:numPr>
          <w:ilvl w:val="2"/>
          <w:numId w:val="0"/>
        </w:numPr>
        <w:ind w:firstLineChars="200" w:firstLine="482"/>
      </w:pPr>
      <w:bookmarkStart w:id="99" w:name="_Toc369359661"/>
      <w:bookmarkStart w:id="100" w:name="_Toc180824064"/>
      <w:bookmarkStart w:id="101" w:name="_Toc369191611"/>
      <w:bookmarkStart w:id="102" w:name="_Toc369334794"/>
      <w:bookmarkStart w:id="103" w:name="_Toc369197776"/>
      <w:bookmarkStart w:id="104" w:name="_Toc369334614"/>
      <w:bookmarkEnd w:id="80"/>
      <w:bookmarkEnd w:id="81"/>
      <w:bookmarkEnd w:id="82"/>
      <w:bookmarkEnd w:id="83"/>
      <w:bookmarkEnd w:id="84"/>
      <w:bookmarkEnd w:id="85"/>
      <w:bookmarkEnd w:id="86"/>
      <w:bookmarkEnd w:id="87"/>
      <w:bookmarkEnd w:id="88"/>
      <w:bookmarkEnd w:id="89"/>
      <w:r>
        <w:rPr>
          <w:rFonts w:hint="eastAsia"/>
        </w:rPr>
        <w:t>2.1.1</w:t>
      </w:r>
      <w:r>
        <w:t>项目名称、地点、性质</w:t>
      </w:r>
      <w:bookmarkEnd w:id="99"/>
      <w:bookmarkEnd w:id="100"/>
      <w:bookmarkEnd w:id="101"/>
      <w:bookmarkEnd w:id="102"/>
      <w:bookmarkEnd w:id="103"/>
      <w:bookmarkEnd w:id="104"/>
    </w:p>
    <w:p w:rsidR="00644456" w:rsidRDefault="008031C4">
      <w:pPr>
        <w:pStyle w:val="1fd"/>
        <w:rPr>
          <w:color w:val="000000" w:themeColor="text1"/>
        </w:rPr>
      </w:pPr>
      <w:r>
        <w:rPr>
          <w:color w:val="000000" w:themeColor="text1"/>
        </w:rPr>
        <w:t>项目名称：</w:t>
      </w:r>
      <w:r>
        <w:rPr>
          <w:rFonts w:hint="eastAsia"/>
          <w:color w:val="000000" w:themeColor="text1"/>
        </w:rPr>
        <w:t>喀什正启节能环保科技有限公司废矿物油再生与利用项目</w:t>
      </w:r>
    </w:p>
    <w:p w:rsidR="00644456" w:rsidRDefault="008031C4">
      <w:pPr>
        <w:pStyle w:val="1fd"/>
        <w:rPr>
          <w:color w:val="000000" w:themeColor="text1"/>
        </w:rPr>
      </w:pPr>
      <w:r>
        <w:rPr>
          <w:color w:val="000000" w:themeColor="text1"/>
        </w:rPr>
        <w:t>建设单位：</w:t>
      </w:r>
      <w:r>
        <w:rPr>
          <w:rFonts w:hint="eastAsia"/>
          <w:color w:val="000000" w:themeColor="text1"/>
        </w:rPr>
        <w:t>喀什正启节能环保科技有限公司</w:t>
      </w:r>
    </w:p>
    <w:p w:rsidR="00644456" w:rsidRDefault="008031C4">
      <w:pPr>
        <w:pStyle w:val="1fd"/>
        <w:rPr>
          <w:color w:val="000000" w:themeColor="text1"/>
        </w:rPr>
      </w:pPr>
      <w:r>
        <w:rPr>
          <w:color w:val="000000" w:themeColor="text1"/>
        </w:rPr>
        <w:t>建设地点：</w:t>
      </w:r>
      <w:r>
        <w:rPr>
          <w:rFonts w:hint="eastAsia"/>
          <w:color w:val="000000" w:themeColor="text1"/>
        </w:rPr>
        <w:t>疏勒县高新技术产业开发区齐鲁大道南侧</w:t>
      </w:r>
    </w:p>
    <w:p w:rsidR="00644456" w:rsidRDefault="008031C4">
      <w:pPr>
        <w:pStyle w:val="1fd"/>
        <w:rPr>
          <w:color w:val="000000" w:themeColor="text1"/>
        </w:rPr>
      </w:pPr>
      <w:r>
        <w:rPr>
          <w:color w:val="000000" w:themeColor="text1"/>
        </w:rPr>
        <w:t>建设性质：</w:t>
      </w:r>
      <w:r>
        <w:rPr>
          <w:rFonts w:hint="eastAsia"/>
          <w:color w:val="000000" w:themeColor="text1"/>
        </w:rPr>
        <w:t>新建</w:t>
      </w:r>
    </w:p>
    <w:p w:rsidR="00644456" w:rsidRDefault="008031C4">
      <w:pPr>
        <w:pStyle w:val="1fd"/>
        <w:rPr>
          <w:color w:val="000000" w:themeColor="text1"/>
        </w:rPr>
      </w:pPr>
      <w:r>
        <w:rPr>
          <w:color w:val="000000" w:themeColor="text1"/>
        </w:rPr>
        <w:t>占地面积：</w:t>
      </w:r>
      <w:r>
        <w:rPr>
          <w:rFonts w:hint="eastAsia"/>
          <w:color w:val="000000" w:themeColor="text1"/>
        </w:rPr>
        <w:t>占地面积</w:t>
      </w:r>
      <w:r>
        <w:rPr>
          <w:rFonts w:hint="eastAsia"/>
          <w:color w:val="000000" w:themeColor="text1"/>
        </w:rPr>
        <w:t>30524</w:t>
      </w:r>
      <w:r>
        <w:rPr>
          <w:rFonts w:hint="eastAsia"/>
          <w:color w:val="000000" w:themeColor="text1"/>
        </w:rPr>
        <w:t>平方米，总建筑面积</w:t>
      </w:r>
      <w:r>
        <w:rPr>
          <w:rFonts w:hint="eastAsia"/>
          <w:color w:val="000000" w:themeColor="text1"/>
        </w:rPr>
        <w:t>18804.9</w:t>
      </w:r>
      <w:r>
        <w:rPr>
          <w:rFonts w:hint="eastAsia"/>
          <w:color w:val="000000" w:themeColor="text1"/>
        </w:rPr>
        <w:t>平方米，</w:t>
      </w:r>
    </w:p>
    <w:p w:rsidR="00644456" w:rsidRDefault="008031C4">
      <w:pPr>
        <w:pStyle w:val="1fd"/>
        <w:rPr>
          <w:color w:val="000000" w:themeColor="text1"/>
        </w:rPr>
      </w:pPr>
      <w:r>
        <w:rPr>
          <w:color w:val="000000" w:themeColor="text1"/>
        </w:rPr>
        <w:t>工程建设总投资：</w:t>
      </w:r>
      <w:r>
        <w:rPr>
          <w:color w:val="000000" w:themeColor="text1"/>
        </w:rPr>
        <w:t>7000</w:t>
      </w:r>
      <w:r>
        <w:rPr>
          <w:color w:val="000000" w:themeColor="text1"/>
        </w:rPr>
        <w:t>万元</w:t>
      </w:r>
      <w:r>
        <w:rPr>
          <w:rFonts w:hint="eastAsia"/>
          <w:color w:val="000000" w:themeColor="text1"/>
        </w:rPr>
        <w:t>，其中环保投资</w:t>
      </w:r>
      <w:r>
        <w:rPr>
          <w:color w:val="000000" w:themeColor="text1"/>
        </w:rPr>
        <w:t>570</w:t>
      </w:r>
      <w:r>
        <w:rPr>
          <w:rFonts w:hint="eastAsia"/>
          <w:color w:val="000000" w:themeColor="text1"/>
        </w:rPr>
        <w:t>万元。</w:t>
      </w:r>
    </w:p>
    <w:p w:rsidR="00644456" w:rsidRDefault="008031C4">
      <w:pPr>
        <w:pStyle w:val="1fd"/>
        <w:rPr>
          <w:color w:val="000000" w:themeColor="text1"/>
        </w:rPr>
      </w:pPr>
      <w:r>
        <w:rPr>
          <w:color w:val="000000" w:themeColor="text1"/>
        </w:rPr>
        <w:t>资金来源：企业自筹</w:t>
      </w:r>
    </w:p>
    <w:p w:rsidR="00644456" w:rsidRDefault="008031C4">
      <w:pPr>
        <w:pStyle w:val="3"/>
        <w:numPr>
          <w:ilvl w:val="2"/>
          <w:numId w:val="0"/>
        </w:numPr>
        <w:ind w:firstLineChars="200" w:firstLine="482"/>
      </w:pPr>
      <w:bookmarkStart w:id="105" w:name="_Hlk59563815"/>
      <w:r>
        <w:rPr>
          <w:rFonts w:hint="eastAsia"/>
        </w:rPr>
        <w:t>2.1.2</w:t>
      </w:r>
      <w:r>
        <w:t>产品方案</w:t>
      </w:r>
    </w:p>
    <w:p w:rsidR="00644456" w:rsidRDefault="008031C4">
      <w:pPr>
        <w:pStyle w:val="1fd"/>
        <w:rPr>
          <w:color w:val="000000" w:themeColor="text1"/>
        </w:rPr>
      </w:pPr>
      <w:bookmarkStart w:id="106" w:name="_Toc369334616"/>
      <w:bookmarkStart w:id="107" w:name="_Toc369197778"/>
      <w:bookmarkStart w:id="108" w:name="_Toc369359663"/>
      <w:bookmarkStart w:id="109" w:name="_Toc369334796"/>
      <w:bookmarkStart w:id="110" w:name="_Toc369191613"/>
      <w:bookmarkEnd w:id="105"/>
      <w:r>
        <w:rPr>
          <w:rFonts w:hint="eastAsia"/>
          <w:color w:val="000000" w:themeColor="text1"/>
        </w:rPr>
        <w:t>根据本项目的生产特点，项目为危险废物的综合利用项目，根据《固体废物鉴别标准通则》（</w:t>
      </w:r>
      <w:r>
        <w:rPr>
          <w:rFonts w:hint="eastAsia"/>
          <w:color w:val="000000" w:themeColor="text1"/>
        </w:rPr>
        <w:t>GB34330-2017</w:t>
      </w:r>
      <w:r>
        <w:rPr>
          <w:rFonts w:hint="eastAsia"/>
          <w:color w:val="000000" w:themeColor="text1"/>
        </w:rPr>
        <w:t>）中</w:t>
      </w:r>
      <w:r>
        <w:rPr>
          <w:rFonts w:hint="eastAsia"/>
          <w:color w:val="000000" w:themeColor="text1"/>
        </w:rPr>
        <w:t>5.2</w:t>
      </w:r>
      <w:r>
        <w:rPr>
          <w:rFonts w:hint="eastAsia"/>
          <w:color w:val="000000" w:themeColor="text1"/>
        </w:rPr>
        <w:t>利用固体废物生产的产物同时满足下述条件时，不作为固体废物管理，按相应的产品管理，具体如下：</w:t>
      </w:r>
    </w:p>
    <w:p w:rsidR="00644456" w:rsidRDefault="008031C4">
      <w:pPr>
        <w:pStyle w:val="1fd"/>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）符合国家、地方制定或行业通行的被替代原料生产的产品质量标准；</w:t>
      </w:r>
    </w:p>
    <w:p w:rsidR="00644456" w:rsidRDefault="008031C4">
      <w:pPr>
        <w:pStyle w:val="1fd"/>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）符合国家污染物排放（控制）标准或技术规范要求，包括该产物生产过程中排放到环境中的有害物质限值和该产物中有害物质的含量限值；</w:t>
      </w:r>
    </w:p>
    <w:p w:rsidR="00644456" w:rsidRDefault="008031C4">
      <w:pPr>
        <w:pStyle w:val="1fd"/>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没有国家污染控制标准或技术规范时，该产物中所含有害成分含量不高于利用被替代原料生产的产品中的有害成分含量，并且在该产物生产过程中，排放到环境中的有害物质浓度不高于所替代原料生产产品过程中排放到环境中的有害物质，当没有被替代原料时，不考虑该条件；</w:t>
      </w:r>
    </w:p>
    <w:p w:rsidR="00644456" w:rsidRDefault="008031C4">
      <w:pPr>
        <w:pStyle w:val="1fd"/>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）有稳定合理的市场需求。</w:t>
      </w:r>
      <w:bookmarkStart w:id="111" w:name="_Hlk161763519"/>
    </w:p>
    <w:p w:rsidR="00644456" w:rsidRDefault="008031C4">
      <w:pPr>
        <w:pStyle w:val="1fd"/>
        <w:rPr>
          <w:color w:val="000000" w:themeColor="text1"/>
        </w:rPr>
      </w:pPr>
      <w:r>
        <w:rPr>
          <w:rFonts w:hint="eastAsia"/>
          <w:color w:val="000000" w:themeColor="text1"/>
        </w:rPr>
        <w:t>本项目情况：</w:t>
      </w:r>
    </w:p>
    <w:p w:rsidR="00644456" w:rsidRDefault="008031C4">
      <w:pPr>
        <w:pStyle w:val="1fd"/>
        <w:rPr>
          <w:color w:val="000000" w:themeColor="text1"/>
        </w:rPr>
      </w:pPr>
      <w:r>
        <w:rPr>
          <w:rFonts w:hint="eastAsia"/>
          <w:color w:val="000000" w:themeColor="text1"/>
        </w:rPr>
        <w:t>本项目产品再生润滑油及再生尾油满足《再生润滑油基础油》（</w:t>
      </w:r>
      <w:r>
        <w:rPr>
          <w:rFonts w:hint="eastAsia"/>
          <w:color w:val="000000" w:themeColor="text1"/>
        </w:rPr>
        <w:t>T/CRRA0901-2018</w:t>
      </w:r>
      <w:r>
        <w:rPr>
          <w:rFonts w:hint="eastAsia"/>
          <w:color w:val="000000" w:themeColor="text1"/>
        </w:rPr>
        <w:t>）相关标准；燃料油满足《燃料油》（</w:t>
      </w:r>
      <w:r>
        <w:rPr>
          <w:rFonts w:hint="eastAsia"/>
          <w:color w:val="000000" w:themeColor="text1"/>
        </w:rPr>
        <w:t>SH/T0356-1996</w:t>
      </w:r>
      <w:r>
        <w:rPr>
          <w:rFonts w:hint="eastAsia"/>
          <w:color w:val="000000" w:themeColor="text1"/>
        </w:rPr>
        <w:t>）</w:t>
      </w:r>
      <w:r>
        <w:rPr>
          <w:rFonts w:hint="eastAsia"/>
          <w:color w:val="000000" w:themeColor="text1"/>
        </w:rPr>
        <w:t>7</w:t>
      </w:r>
      <w:r>
        <w:rPr>
          <w:rFonts w:hint="eastAsia"/>
          <w:color w:val="000000" w:themeColor="text1"/>
        </w:rPr>
        <w:t>号标准。</w:t>
      </w:r>
    </w:p>
    <w:p w:rsidR="00644456" w:rsidRDefault="008031C4">
      <w:pPr>
        <w:pStyle w:val="1fd"/>
        <w:rPr>
          <w:color w:val="000000" w:themeColor="text1"/>
        </w:rPr>
      </w:pPr>
      <w:r>
        <w:rPr>
          <w:rFonts w:hint="eastAsia"/>
          <w:color w:val="000000" w:themeColor="text1"/>
        </w:rPr>
        <w:t>本项目生产的再生润滑油可外售润滑油加工企业，在本项目产品上一定比例原料或添加剂即调配成不同品质和用途的润滑油产品；再生尾油可外售用于加工防水卷材的原料或工业重质燃料；燃料油可外售用作电厂发电、加热炉、冶金炉和其他工业炉燃料，以及大型炼厂、石化厂的深加工（如裂化、焦化等）原料，产品有稳定的市场需求，因</w:t>
      </w:r>
      <w:r>
        <w:rPr>
          <w:rFonts w:hint="eastAsia"/>
          <w:color w:val="000000" w:themeColor="text1"/>
        </w:rPr>
        <w:lastRenderedPageBreak/>
        <w:t>此本项目生产产生的产物可作为产品管理。</w:t>
      </w:r>
    </w:p>
    <w:p w:rsidR="00644456" w:rsidRDefault="008031C4">
      <w:pPr>
        <w:pStyle w:val="1fd"/>
        <w:rPr>
          <w:color w:val="000000" w:themeColor="text1"/>
        </w:rPr>
      </w:pPr>
      <w:r>
        <w:rPr>
          <w:rFonts w:hint="eastAsia"/>
          <w:color w:val="000000" w:themeColor="text1"/>
        </w:rPr>
        <w:t>本项目采用“减压蒸馏</w:t>
      </w:r>
      <w:r>
        <w:rPr>
          <w:rFonts w:hint="eastAsia"/>
          <w:color w:val="000000" w:themeColor="text1"/>
        </w:rPr>
        <w:t>+</w:t>
      </w:r>
      <w:r>
        <w:rPr>
          <w:rFonts w:hint="eastAsia"/>
          <w:color w:val="000000" w:themeColor="text1"/>
        </w:rPr>
        <w:t>溶剂精制”工艺，废润滑油再生后获得润滑油基础油、再生尾油及燃料油三种产品，再生润滑油基础油及再生尾油满足《再生润滑油基础油》（</w:t>
      </w:r>
      <w:r>
        <w:rPr>
          <w:rFonts w:hint="eastAsia"/>
          <w:color w:val="000000" w:themeColor="text1"/>
        </w:rPr>
        <w:t>T/CRRA0901-2018</w:t>
      </w:r>
      <w:r>
        <w:rPr>
          <w:rFonts w:hint="eastAsia"/>
          <w:color w:val="000000" w:themeColor="text1"/>
        </w:rPr>
        <w:t>）相关标准；燃料油满足《燃料油》</w:t>
      </w:r>
      <w:r>
        <w:rPr>
          <w:rFonts w:hint="eastAsia"/>
          <w:color w:val="000000" w:themeColor="text1"/>
        </w:rPr>
        <w:t>(SH/T0356-1996)7</w:t>
      </w:r>
      <w:r>
        <w:rPr>
          <w:rFonts w:hint="eastAsia"/>
          <w:color w:val="000000" w:themeColor="text1"/>
        </w:rPr>
        <w:t>号标准。</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2.1-1</w:t>
      </w:r>
      <w:r>
        <w:rPr>
          <w:rFonts w:ascii="Times New Roman" w:eastAsia="宋体" w:hAnsi="Times New Roman" w:cs="Times New Roman" w:hint="eastAsia"/>
          <w:b/>
          <w:color w:val="000000" w:themeColor="text1"/>
          <w:sz w:val="24"/>
        </w:rPr>
        <w:t>产品产量一览表</w:t>
      </w:r>
    </w:p>
    <w:tbl>
      <w:tblPr>
        <w:tblW w:w="5000" w:type="pct"/>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3"/>
        <w:gridCol w:w="1399"/>
        <w:gridCol w:w="2658"/>
        <w:gridCol w:w="3565"/>
      </w:tblGrid>
      <w:tr w:rsidR="00644456">
        <w:tc>
          <w:tcPr>
            <w:tcW w:w="782" w:type="pct"/>
            <w:vAlign w:val="center"/>
          </w:tcPr>
          <w:p w:rsidR="00644456" w:rsidRDefault="008031C4">
            <w:pPr>
              <w:pStyle w:val="afffffff4"/>
              <w:rPr>
                <w:rFonts w:cs="Times New Roman"/>
                <w:color w:val="000000" w:themeColor="text1"/>
              </w:rPr>
            </w:pPr>
            <w:r>
              <w:rPr>
                <w:rFonts w:cs="Times New Roman"/>
                <w:color w:val="000000" w:themeColor="text1"/>
              </w:rPr>
              <w:t>产品名称</w:t>
            </w:r>
          </w:p>
        </w:tc>
        <w:tc>
          <w:tcPr>
            <w:tcW w:w="774" w:type="pct"/>
            <w:vAlign w:val="center"/>
          </w:tcPr>
          <w:p w:rsidR="00644456" w:rsidRDefault="008031C4">
            <w:pPr>
              <w:pStyle w:val="afffffff4"/>
              <w:rPr>
                <w:rFonts w:cs="Times New Roman"/>
                <w:color w:val="000000" w:themeColor="text1"/>
              </w:rPr>
            </w:pPr>
            <w:r>
              <w:rPr>
                <w:rFonts w:cs="Times New Roman"/>
                <w:color w:val="000000" w:themeColor="text1"/>
              </w:rPr>
              <w:t>产量</w:t>
            </w:r>
            <w:r>
              <w:rPr>
                <w:rFonts w:cs="Times New Roman" w:hint="eastAsia"/>
                <w:color w:val="000000" w:themeColor="text1"/>
              </w:rPr>
              <w:t>（</w:t>
            </w:r>
            <w:r>
              <w:rPr>
                <w:rFonts w:cs="Times New Roman"/>
                <w:color w:val="000000" w:themeColor="text1"/>
              </w:rPr>
              <w:t>万</w:t>
            </w:r>
            <w:r>
              <w:rPr>
                <w:rFonts w:cs="Times New Roman"/>
                <w:color w:val="000000" w:themeColor="text1"/>
              </w:rPr>
              <w:t>t/a</w:t>
            </w:r>
            <w:r>
              <w:rPr>
                <w:rFonts w:cs="Times New Roman" w:hint="eastAsia"/>
                <w:color w:val="000000" w:themeColor="text1"/>
              </w:rPr>
              <w:t>）</w:t>
            </w:r>
          </w:p>
        </w:tc>
        <w:tc>
          <w:tcPr>
            <w:tcW w:w="1471" w:type="pct"/>
            <w:vAlign w:val="center"/>
          </w:tcPr>
          <w:p w:rsidR="00644456" w:rsidRDefault="008031C4">
            <w:pPr>
              <w:pStyle w:val="afffffff4"/>
              <w:rPr>
                <w:rFonts w:cs="Times New Roman"/>
                <w:color w:val="000000" w:themeColor="text1"/>
              </w:rPr>
            </w:pPr>
            <w:r>
              <w:rPr>
                <w:rFonts w:cs="Times New Roman"/>
                <w:color w:val="000000" w:themeColor="text1"/>
              </w:rPr>
              <w:t>产品质量标准</w:t>
            </w:r>
          </w:p>
        </w:tc>
        <w:tc>
          <w:tcPr>
            <w:tcW w:w="1973" w:type="pct"/>
            <w:vAlign w:val="center"/>
          </w:tcPr>
          <w:p w:rsidR="00644456" w:rsidRDefault="008031C4">
            <w:pPr>
              <w:pStyle w:val="afffffff4"/>
              <w:rPr>
                <w:rFonts w:cs="Times New Roman"/>
                <w:color w:val="000000" w:themeColor="text1"/>
              </w:rPr>
            </w:pPr>
            <w:r>
              <w:rPr>
                <w:rFonts w:cs="Times New Roman"/>
                <w:color w:val="000000" w:themeColor="text1"/>
              </w:rPr>
              <w:t>用途</w:t>
            </w:r>
          </w:p>
        </w:tc>
      </w:tr>
      <w:tr w:rsidR="00644456">
        <w:tc>
          <w:tcPr>
            <w:tcW w:w="782" w:type="pct"/>
            <w:vAlign w:val="center"/>
          </w:tcPr>
          <w:p w:rsidR="00644456" w:rsidRDefault="008031C4">
            <w:pPr>
              <w:pStyle w:val="afffffff4"/>
              <w:rPr>
                <w:rFonts w:cs="Times New Roman"/>
                <w:color w:val="000000" w:themeColor="text1"/>
              </w:rPr>
            </w:pPr>
            <w:r>
              <w:rPr>
                <w:rFonts w:cs="Times New Roman"/>
                <w:color w:val="000000" w:themeColor="text1"/>
              </w:rPr>
              <w:t>基础油</w:t>
            </w:r>
          </w:p>
        </w:tc>
        <w:tc>
          <w:tcPr>
            <w:tcW w:w="774" w:type="pct"/>
            <w:vAlign w:val="center"/>
          </w:tcPr>
          <w:p w:rsidR="00644456" w:rsidRDefault="008031C4">
            <w:pPr>
              <w:pStyle w:val="afffffff4"/>
              <w:rPr>
                <w:rFonts w:cs="Times New Roman"/>
                <w:color w:val="000000" w:themeColor="text1"/>
              </w:rPr>
            </w:pPr>
            <w:r>
              <w:rPr>
                <w:rFonts w:cs="Times New Roman"/>
                <w:color w:val="000000" w:themeColor="text1"/>
              </w:rPr>
              <w:t>2</w:t>
            </w:r>
          </w:p>
        </w:tc>
        <w:tc>
          <w:tcPr>
            <w:tcW w:w="1471" w:type="pct"/>
            <w:vAlign w:val="center"/>
          </w:tcPr>
          <w:p w:rsidR="00644456" w:rsidRDefault="008031C4">
            <w:pPr>
              <w:pStyle w:val="afffffff4"/>
              <w:rPr>
                <w:rFonts w:cs="Times New Roman"/>
                <w:color w:val="000000" w:themeColor="text1"/>
              </w:rPr>
            </w:pPr>
            <w:r>
              <w:rPr>
                <w:rFonts w:cs="Times New Roman"/>
                <w:color w:val="000000" w:themeColor="text1"/>
              </w:rPr>
              <w:t>《再生润滑油基础油》</w:t>
            </w:r>
          </w:p>
          <w:p w:rsidR="00644456" w:rsidRDefault="008031C4">
            <w:pPr>
              <w:pStyle w:val="afffffff4"/>
              <w:rPr>
                <w:rFonts w:cs="Times New Roman"/>
                <w:color w:val="000000" w:themeColor="text1"/>
              </w:rPr>
            </w:pPr>
            <w:r>
              <w:rPr>
                <w:rFonts w:cs="Times New Roman"/>
                <w:color w:val="000000" w:themeColor="text1"/>
              </w:rPr>
              <w:t>T/CRRA0901-2018)R-100SN</w:t>
            </w:r>
          </w:p>
        </w:tc>
        <w:tc>
          <w:tcPr>
            <w:tcW w:w="1973" w:type="pct"/>
            <w:vAlign w:val="center"/>
          </w:tcPr>
          <w:p w:rsidR="00644456" w:rsidRDefault="008031C4">
            <w:pPr>
              <w:pStyle w:val="afffffff4"/>
              <w:rPr>
                <w:rFonts w:cs="Times New Roman"/>
                <w:color w:val="000000" w:themeColor="text1"/>
              </w:rPr>
            </w:pPr>
            <w:r>
              <w:rPr>
                <w:rFonts w:cs="Times New Roman" w:hint="eastAsia"/>
                <w:color w:val="000000" w:themeColor="text1"/>
              </w:rPr>
              <w:t>作成品润滑油原料</w:t>
            </w:r>
          </w:p>
        </w:tc>
      </w:tr>
      <w:tr w:rsidR="00644456">
        <w:tc>
          <w:tcPr>
            <w:tcW w:w="782" w:type="pct"/>
            <w:vAlign w:val="center"/>
          </w:tcPr>
          <w:p w:rsidR="00644456" w:rsidRDefault="008031C4">
            <w:pPr>
              <w:pStyle w:val="afffffff4"/>
              <w:rPr>
                <w:rFonts w:cs="Times New Roman"/>
                <w:color w:val="000000" w:themeColor="text1"/>
              </w:rPr>
            </w:pPr>
            <w:r>
              <w:rPr>
                <w:rFonts w:cs="Times New Roman"/>
                <w:color w:val="000000" w:themeColor="text1"/>
              </w:rPr>
              <w:t>再生尾油</w:t>
            </w:r>
          </w:p>
        </w:tc>
        <w:tc>
          <w:tcPr>
            <w:tcW w:w="774" w:type="pct"/>
            <w:vAlign w:val="center"/>
          </w:tcPr>
          <w:p w:rsidR="00644456" w:rsidRDefault="008031C4">
            <w:pPr>
              <w:pStyle w:val="afffffff4"/>
              <w:rPr>
                <w:rFonts w:cs="Times New Roman"/>
                <w:color w:val="000000" w:themeColor="text1"/>
              </w:rPr>
            </w:pPr>
            <w:r>
              <w:rPr>
                <w:rFonts w:cs="Times New Roman"/>
                <w:color w:val="000000" w:themeColor="text1"/>
              </w:rPr>
              <w:t>0.60</w:t>
            </w:r>
          </w:p>
        </w:tc>
        <w:tc>
          <w:tcPr>
            <w:tcW w:w="1471" w:type="pct"/>
            <w:vAlign w:val="center"/>
          </w:tcPr>
          <w:p w:rsidR="00644456" w:rsidRDefault="008031C4">
            <w:pPr>
              <w:pStyle w:val="afffffff4"/>
              <w:rPr>
                <w:rFonts w:cs="Times New Roman"/>
                <w:color w:val="000000" w:themeColor="text1"/>
              </w:rPr>
            </w:pPr>
            <w:r>
              <w:rPr>
                <w:rFonts w:cs="Times New Roman"/>
                <w:color w:val="000000" w:themeColor="text1"/>
              </w:rPr>
              <w:t>《再生润滑油基础油》</w:t>
            </w:r>
            <w:r>
              <w:rPr>
                <w:rFonts w:cs="Times New Roman"/>
                <w:color w:val="000000" w:themeColor="text1"/>
              </w:rPr>
              <w:t>T/CRRA0901-2018)</w:t>
            </w:r>
          </w:p>
        </w:tc>
        <w:tc>
          <w:tcPr>
            <w:tcW w:w="1973" w:type="pct"/>
            <w:vAlign w:val="center"/>
          </w:tcPr>
          <w:p w:rsidR="00644456" w:rsidRDefault="008031C4">
            <w:pPr>
              <w:pStyle w:val="afffffff4"/>
              <w:rPr>
                <w:rFonts w:cs="Times New Roman"/>
                <w:color w:val="000000" w:themeColor="text1"/>
              </w:rPr>
            </w:pPr>
            <w:r>
              <w:rPr>
                <w:rFonts w:cs="Times New Roman" w:hint="eastAsia"/>
                <w:color w:val="000000" w:themeColor="text1"/>
              </w:rPr>
              <w:t>加工防水卷材的原料或重质燃料</w:t>
            </w:r>
          </w:p>
        </w:tc>
      </w:tr>
      <w:tr w:rsidR="00644456">
        <w:tc>
          <w:tcPr>
            <w:tcW w:w="782" w:type="pct"/>
            <w:vAlign w:val="center"/>
          </w:tcPr>
          <w:p w:rsidR="00644456" w:rsidRDefault="008031C4">
            <w:pPr>
              <w:pStyle w:val="afffffff4"/>
              <w:rPr>
                <w:rFonts w:cs="Times New Roman"/>
                <w:color w:val="000000" w:themeColor="text1"/>
              </w:rPr>
            </w:pPr>
            <w:r>
              <w:rPr>
                <w:rFonts w:cs="Times New Roman"/>
                <w:color w:val="000000" w:themeColor="text1"/>
              </w:rPr>
              <w:t>燃料油</w:t>
            </w:r>
          </w:p>
        </w:tc>
        <w:tc>
          <w:tcPr>
            <w:tcW w:w="774" w:type="pct"/>
            <w:vAlign w:val="center"/>
          </w:tcPr>
          <w:p w:rsidR="00644456" w:rsidRDefault="008031C4">
            <w:pPr>
              <w:pStyle w:val="afffffff4"/>
              <w:rPr>
                <w:rFonts w:cs="Times New Roman"/>
                <w:color w:val="000000" w:themeColor="text1"/>
              </w:rPr>
            </w:pPr>
            <w:r>
              <w:rPr>
                <w:rFonts w:cs="Times New Roman"/>
                <w:color w:val="000000" w:themeColor="text1"/>
              </w:rPr>
              <w:t>0.22</w:t>
            </w:r>
          </w:p>
        </w:tc>
        <w:tc>
          <w:tcPr>
            <w:tcW w:w="1471" w:type="pct"/>
            <w:vAlign w:val="center"/>
          </w:tcPr>
          <w:p w:rsidR="00644456" w:rsidRDefault="008031C4">
            <w:pPr>
              <w:pStyle w:val="afffffff4"/>
              <w:rPr>
                <w:rFonts w:cs="Times New Roman"/>
                <w:color w:val="000000" w:themeColor="text1"/>
              </w:rPr>
            </w:pPr>
            <w:r>
              <w:rPr>
                <w:rFonts w:cs="Times New Roman"/>
                <w:color w:val="000000" w:themeColor="text1"/>
              </w:rPr>
              <w:t>《燃料油》</w:t>
            </w:r>
          </w:p>
          <w:p w:rsidR="00644456" w:rsidRDefault="008031C4">
            <w:pPr>
              <w:pStyle w:val="afffffff4"/>
              <w:rPr>
                <w:rFonts w:cs="Times New Roman"/>
                <w:color w:val="000000" w:themeColor="text1"/>
              </w:rPr>
            </w:pPr>
            <w:r>
              <w:rPr>
                <w:rFonts w:cs="Times New Roman"/>
                <w:color w:val="000000" w:themeColor="text1"/>
              </w:rPr>
              <w:t>(SH/T0356-1996)7</w:t>
            </w:r>
            <w:r>
              <w:rPr>
                <w:rFonts w:cs="Times New Roman"/>
                <w:color w:val="000000" w:themeColor="text1"/>
              </w:rPr>
              <w:t>号</w:t>
            </w:r>
          </w:p>
        </w:tc>
        <w:tc>
          <w:tcPr>
            <w:tcW w:w="1973" w:type="pct"/>
            <w:vAlign w:val="center"/>
          </w:tcPr>
          <w:p w:rsidR="00644456" w:rsidRDefault="008031C4">
            <w:pPr>
              <w:pStyle w:val="afffffff4"/>
              <w:rPr>
                <w:rFonts w:cs="Times New Roman"/>
                <w:color w:val="000000" w:themeColor="text1"/>
              </w:rPr>
            </w:pPr>
            <w:r>
              <w:rPr>
                <w:rFonts w:cs="Times New Roman" w:hint="eastAsia"/>
                <w:color w:val="000000" w:themeColor="text1"/>
              </w:rPr>
              <w:t>作为工业燃料或原料</w:t>
            </w:r>
          </w:p>
        </w:tc>
      </w:tr>
    </w:tbl>
    <w:p w:rsidR="00644456" w:rsidRDefault="008031C4">
      <w:pPr>
        <w:pStyle w:val="1fd"/>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）本项目生产的再生润滑油基础油可外售润滑油加工企业作为润滑油的基础油使用；</w:t>
      </w:r>
    </w:p>
    <w:p w:rsidR="00644456" w:rsidRDefault="008031C4">
      <w:pPr>
        <w:pStyle w:val="1fd"/>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）再生尾油可外售用于加工防水卷材的原料或工业重质燃料；</w:t>
      </w:r>
    </w:p>
    <w:p w:rsidR="00644456" w:rsidRDefault="008031C4">
      <w:pPr>
        <w:pStyle w:val="1fd"/>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）燃料油可外售用作电厂发电、加热炉、冶金炉和其他工业炉燃料，以及大型炼厂、石化厂的深加工（如裂化、焦化等）原料</w:t>
      </w:r>
    </w:p>
    <w:p w:rsidR="00644456" w:rsidRDefault="008031C4">
      <w:pPr>
        <w:pStyle w:val="1fd"/>
        <w:ind w:firstLine="482"/>
        <w:rPr>
          <w:b/>
          <w:bCs/>
          <w:color w:val="000000" w:themeColor="text1"/>
        </w:rPr>
      </w:pPr>
      <w:r>
        <w:rPr>
          <w:rFonts w:hint="eastAsia"/>
          <w:b/>
          <w:bCs/>
          <w:color w:val="000000" w:themeColor="text1"/>
        </w:rPr>
        <w:t>本项目生产的产品可满足相关产品质量标准同时有稳定的市场需求，因此本项目生产产生的产物可作为产品管理。</w:t>
      </w:r>
    </w:p>
    <w:p w:rsidR="00644456" w:rsidRDefault="008031C4">
      <w:pPr>
        <w:pStyle w:val="1fd"/>
        <w:rPr>
          <w:color w:val="000000" w:themeColor="text1"/>
        </w:rPr>
      </w:pPr>
      <w:r>
        <w:rPr>
          <w:rFonts w:hint="eastAsia"/>
          <w:color w:val="000000" w:themeColor="text1"/>
        </w:rPr>
        <w:t>①再生润滑油基础油</w:t>
      </w:r>
    </w:p>
    <w:p w:rsidR="00644456" w:rsidRDefault="008031C4">
      <w:pPr>
        <w:pStyle w:val="1fd"/>
        <w:rPr>
          <w:color w:val="000000" w:themeColor="text1"/>
        </w:rPr>
      </w:pPr>
      <w:r>
        <w:rPr>
          <w:rFonts w:hint="eastAsia"/>
          <w:color w:val="000000" w:themeColor="text1"/>
        </w:rPr>
        <w:t>本项目再生润滑油基础油产品质量执行中国物资再生协会标准《再生润滑油基础油》（</w:t>
      </w:r>
      <w:r>
        <w:rPr>
          <w:rFonts w:hint="eastAsia"/>
          <w:color w:val="000000" w:themeColor="text1"/>
        </w:rPr>
        <w:t>T/CRRA0901-2018</w:t>
      </w:r>
      <w:r>
        <w:rPr>
          <w:rFonts w:hint="eastAsia"/>
          <w:color w:val="000000" w:themeColor="text1"/>
        </w:rPr>
        <w:t>）中的质量标准，具体要求见表</w:t>
      </w:r>
      <w:r>
        <w:rPr>
          <w:rFonts w:hint="eastAsia"/>
          <w:color w:val="000000" w:themeColor="text1"/>
        </w:rPr>
        <w:t>2.1-2</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2.1-2</w:t>
      </w:r>
      <w:r>
        <w:rPr>
          <w:rFonts w:ascii="Times New Roman" w:eastAsia="宋体" w:hAnsi="Times New Roman" w:cs="Times New Roman" w:hint="eastAsia"/>
          <w:b/>
          <w:color w:val="000000" w:themeColor="text1"/>
          <w:sz w:val="24"/>
        </w:rPr>
        <w:t>再生润滑油基础油产品质量控制表</w:t>
      </w:r>
    </w:p>
    <w:tbl>
      <w:tblPr>
        <w:tblW w:w="5000" w:type="pct"/>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6"/>
        <w:gridCol w:w="1451"/>
        <w:gridCol w:w="1400"/>
        <w:gridCol w:w="1820"/>
        <w:gridCol w:w="1838"/>
      </w:tblGrid>
      <w:tr w:rsidR="00644456">
        <w:tc>
          <w:tcPr>
            <w:tcW w:w="1398" w:type="pct"/>
            <w:vMerge w:val="restart"/>
            <w:vAlign w:val="center"/>
          </w:tcPr>
          <w:p w:rsidR="00644456" w:rsidRDefault="008031C4">
            <w:pPr>
              <w:pStyle w:val="afffffff4"/>
              <w:rPr>
                <w:rFonts w:cs="Times New Roman"/>
                <w:color w:val="000000" w:themeColor="text1"/>
              </w:rPr>
            </w:pPr>
            <w:r>
              <w:rPr>
                <w:rFonts w:cs="Times New Roman"/>
                <w:color w:val="000000" w:themeColor="text1"/>
              </w:rPr>
              <w:t>项目</w:t>
            </w:r>
          </w:p>
        </w:tc>
        <w:tc>
          <w:tcPr>
            <w:tcW w:w="1577" w:type="pct"/>
            <w:gridSpan w:val="2"/>
            <w:vAlign w:val="center"/>
          </w:tcPr>
          <w:p w:rsidR="00644456" w:rsidRDefault="008031C4">
            <w:pPr>
              <w:pStyle w:val="afffffff4"/>
              <w:rPr>
                <w:rFonts w:cs="Times New Roman"/>
                <w:color w:val="000000" w:themeColor="text1"/>
              </w:rPr>
            </w:pPr>
            <w:r>
              <w:rPr>
                <w:rFonts w:cs="Times New Roman"/>
                <w:color w:val="000000" w:themeColor="text1"/>
              </w:rPr>
              <w:t>R-100SN</w:t>
            </w:r>
          </w:p>
        </w:tc>
        <w:tc>
          <w:tcPr>
            <w:tcW w:w="1007" w:type="pct"/>
            <w:vMerge w:val="restart"/>
            <w:vAlign w:val="center"/>
          </w:tcPr>
          <w:p w:rsidR="00644456" w:rsidRDefault="008031C4">
            <w:pPr>
              <w:pStyle w:val="afffffff4"/>
              <w:rPr>
                <w:rFonts w:cs="Times New Roman"/>
                <w:color w:val="000000" w:themeColor="text1"/>
              </w:rPr>
            </w:pPr>
            <w:r>
              <w:rPr>
                <w:rFonts w:cs="Times New Roman"/>
                <w:color w:val="000000" w:themeColor="text1"/>
              </w:rPr>
              <w:t>试验方法</w:t>
            </w:r>
          </w:p>
        </w:tc>
        <w:tc>
          <w:tcPr>
            <w:tcW w:w="1017" w:type="pct"/>
            <w:vMerge w:val="restart"/>
            <w:vAlign w:val="center"/>
          </w:tcPr>
          <w:p w:rsidR="00644456" w:rsidRDefault="008031C4">
            <w:pPr>
              <w:pStyle w:val="afffffff4"/>
              <w:rPr>
                <w:rFonts w:cs="Times New Roman"/>
                <w:color w:val="000000" w:themeColor="text1"/>
              </w:rPr>
            </w:pPr>
            <w:r>
              <w:rPr>
                <w:rFonts w:cs="Times New Roman"/>
                <w:color w:val="000000" w:themeColor="text1"/>
              </w:rPr>
              <w:t>标准</w:t>
            </w:r>
          </w:p>
        </w:tc>
      </w:tr>
      <w:tr w:rsidR="00644456">
        <w:tc>
          <w:tcPr>
            <w:tcW w:w="1398" w:type="pct"/>
            <w:vMerge/>
            <w:vAlign w:val="center"/>
          </w:tcPr>
          <w:p w:rsidR="00644456" w:rsidRDefault="00644456">
            <w:pPr>
              <w:pStyle w:val="afffffff4"/>
              <w:rPr>
                <w:rFonts w:cs="Times New Roman"/>
                <w:color w:val="000000" w:themeColor="text1"/>
              </w:rPr>
            </w:pPr>
          </w:p>
        </w:tc>
        <w:tc>
          <w:tcPr>
            <w:tcW w:w="803" w:type="pct"/>
            <w:vAlign w:val="center"/>
          </w:tcPr>
          <w:p w:rsidR="00644456" w:rsidRDefault="008031C4">
            <w:pPr>
              <w:pStyle w:val="afffffff4"/>
              <w:rPr>
                <w:rFonts w:cs="Times New Roman"/>
                <w:color w:val="000000" w:themeColor="text1"/>
              </w:rPr>
            </w:pPr>
            <w:r>
              <w:rPr>
                <w:rFonts w:cs="Times New Roman"/>
                <w:color w:val="000000" w:themeColor="text1"/>
              </w:rPr>
              <w:t>合格品</w:t>
            </w:r>
          </w:p>
        </w:tc>
        <w:tc>
          <w:tcPr>
            <w:tcW w:w="775" w:type="pct"/>
            <w:vAlign w:val="center"/>
          </w:tcPr>
          <w:p w:rsidR="00644456" w:rsidRDefault="008031C4">
            <w:pPr>
              <w:pStyle w:val="afffffff4"/>
              <w:rPr>
                <w:rFonts w:cs="Times New Roman"/>
                <w:color w:val="000000" w:themeColor="text1"/>
              </w:rPr>
            </w:pPr>
            <w:r>
              <w:rPr>
                <w:rFonts w:cs="Times New Roman"/>
                <w:color w:val="000000" w:themeColor="text1"/>
              </w:rPr>
              <w:t>优等品</w:t>
            </w:r>
          </w:p>
        </w:tc>
        <w:tc>
          <w:tcPr>
            <w:tcW w:w="1007" w:type="pct"/>
            <w:vMerge/>
            <w:vAlign w:val="center"/>
          </w:tcPr>
          <w:p w:rsidR="00644456" w:rsidRDefault="00644456">
            <w:pPr>
              <w:pStyle w:val="afffffff4"/>
              <w:rPr>
                <w:rFonts w:cs="Times New Roman"/>
                <w:color w:val="000000" w:themeColor="text1"/>
              </w:rPr>
            </w:pPr>
          </w:p>
        </w:tc>
        <w:tc>
          <w:tcPr>
            <w:tcW w:w="1017" w:type="pct"/>
            <w:vMerge/>
            <w:vAlign w:val="center"/>
          </w:tcPr>
          <w:p w:rsidR="00644456" w:rsidRDefault="00644456">
            <w:pPr>
              <w:pStyle w:val="afffffff4"/>
              <w:rPr>
                <w:rFonts w:cs="Times New Roman"/>
                <w:color w:val="000000" w:themeColor="text1"/>
              </w:rPr>
            </w:pPr>
          </w:p>
        </w:tc>
      </w:tr>
      <w:tr w:rsidR="00644456">
        <w:tc>
          <w:tcPr>
            <w:tcW w:w="1398" w:type="pct"/>
            <w:vAlign w:val="center"/>
          </w:tcPr>
          <w:p w:rsidR="00644456" w:rsidRDefault="008031C4">
            <w:pPr>
              <w:pStyle w:val="afffffff4"/>
              <w:rPr>
                <w:rFonts w:cs="Times New Roman"/>
                <w:color w:val="000000" w:themeColor="text1"/>
              </w:rPr>
            </w:pPr>
            <w:r>
              <w:rPr>
                <w:rFonts w:cs="Times New Roman"/>
                <w:color w:val="000000" w:themeColor="text1"/>
              </w:rPr>
              <w:t>运动黏度</w:t>
            </w:r>
            <w:r>
              <w:rPr>
                <w:rFonts w:cs="Times New Roman" w:hint="eastAsia"/>
                <w:color w:val="000000" w:themeColor="text1"/>
              </w:rPr>
              <w:t>（</w:t>
            </w:r>
            <w:r>
              <w:rPr>
                <w:rFonts w:cs="Times New Roman"/>
                <w:color w:val="000000" w:themeColor="text1"/>
              </w:rPr>
              <w:t>40℃</w:t>
            </w:r>
            <w:r>
              <w:rPr>
                <w:rFonts w:cs="Times New Roman" w:hint="eastAsia"/>
                <w:color w:val="000000" w:themeColor="text1"/>
              </w:rPr>
              <w:t>）</w:t>
            </w:r>
            <w:r>
              <w:rPr>
                <w:rFonts w:cs="Times New Roman"/>
                <w:color w:val="000000" w:themeColor="text1"/>
              </w:rPr>
              <w:t>，</w:t>
            </w:r>
            <w:r>
              <w:rPr>
                <w:rFonts w:cs="Times New Roman"/>
                <w:color w:val="000000" w:themeColor="text1"/>
              </w:rPr>
              <w:t>mm</w:t>
            </w:r>
            <w:r>
              <w:rPr>
                <w:rFonts w:cs="Times New Roman"/>
                <w:color w:val="000000" w:themeColor="text1"/>
                <w:vertAlign w:val="superscript"/>
              </w:rPr>
              <w:t>2</w:t>
            </w:r>
            <w:r>
              <w:rPr>
                <w:rFonts w:cs="Times New Roman"/>
                <w:color w:val="000000" w:themeColor="text1"/>
              </w:rPr>
              <w:t>/s</w:t>
            </w:r>
          </w:p>
        </w:tc>
        <w:tc>
          <w:tcPr>
            <w:tcW w:w="1577" w:type="pct"/>
            <w:gridSpan w:val="2"/>
            <w:vAlign w:val="center"/>
          </w:tcPr>
          <w:p w:rsidR="00644456" w:rsidRDefault="008031C4">
            <w:pPr>
              <w:pStyle w:val="afffffff4"/>
              <w:rPr>
                <w:rFonts w:cs="Times New Roman"/>
                <w:color w:val="000000" w:themeColor="text1"/>
              </w:rPr>
            </w:pPr>
            <w:r>
              <w:rPr>
                <w:rFonts w:cs="Times New Roman"/>
                <w:color w:val="000000" w:themeColor="text1"/>
              </w:rPr>
              <w:t>19.0~</w:t>
            </w:r>
            <w:r>
              <w:rPr>
                <w:rFonts w:cs="Times New Roman"/>
                <w:color w:val="000000" w:themeColor="text1"/>
              </w:rPr>
              <w:t>＜</w:t>
            </w:r>
            <w:r>
              <w:rPr>
                <w:rFonts w:cs="Times New Roman"/>
                <w:color w:val="000000" w:themeColor="text1"/>
              </w:rPr>
              <w:t>24.0</w:t>
            </w:r>
          </w:p>
        </w:tc>
        <w:tc>
          <w:tcPr>
            <w:tcW w:w="1007" w:type="pct"/>
            <w:vAlign w:val="center"/>
          </w:tcPr>
          <w:p w:rsidR="00644456" w:rsidRDefault="008031C4">
            <w:pPr>
              <w:pStyle w:val="afffffff4"/>
              <w:rPr>
                <w:rFonts w:cs="Times New Roman"/>
                <w:color w:val="000000" w:themeColor="text1"/>
              </w:rPr>
            </w:pPr>
            <w:r>
              <w:rPr>
                <w:rFonts w:cs="Times New Roman"/>
                <w:color w:val="000000" w:themeColor="text1"/>
              </w:rPr>
              <w:t>GB/T265</w:t>
            </w:r>
          </w:p>
        </w:tc>
        <w:tc>
          <w:tcPr>
            <w:tcW w:w="1017" w:type="pct"/>
            <w:vMerge w:val="restart"/>
            <w:vAlign w:val="center"/>
          </w:tcPr>
          <w:p w:rsidR="00644456" w:rsidRDefault="008031C4">
            <w:pPr>
              <w:pStyle w:val="afffffff4"/>
              <w:rPr>
                <w:rFonts w:cs="Times New Roman"/>
                <w:color w:val="000000" w:themeColor="text1"/>
              </w:rPr>
            </w:pPr>
            <w:r>
              <w:rPr>
                <w:rFonts w:cs="Times New Roman"/>
                <w:color w:val="000000" w:themeColor="text1"/>
              </w:rPr>
              <w:t>再生润滑油基础</w:t>
            </w:r>
          </w:p>
          <w:p w:rsidR="00644456" w:rsidRDefault="008031C4">
            <w:pPr>
              <w:pStyle w:val="afffffff4"/>
              <w:rPr>
                <w:rFonts w:cs="Times New Roman"/>
                <w:color w:val="000000" w:themeColor="text1"/>
              </w:rPr>
            </w:pPr>
            <w:r>
              <w:rPr>
                <w:rFonts w:cs="Times New Roman"/>
                <w:color w:val="000000" w:themeColor="text1"/>
              </w:rPr>
              <w:t>油》</w:t>
            </w:r>
            <w:r>
              <w:rPr>
                <w:rFonts w:cs="Times New Roman" w:hint="eastAsia"/>
                <w:color w:val="000000" w:themeColor="text1"/>
              </w:rPr>
              <w:t>（</w:t>
            </w:r>
            <w:r>
              <w:rPr>
                <w:rFonts w:cs="Times New Roman"/>
                <w:color w:val="000000" w:themeColor="text1"/>
              </w:rPr>
              <w:t>T/CRRA</w:t>
            </w:r>
          </w:p>
          <w:p w:rsidR="00644456" w:rsidRDefault="008031C4">
            <w:pPr>
              <w:pStyle w:val="afffffff4"/>
              <w:rPr>
                <w:rFonts w:cs="Times New Roman"/>
                <w:color w:val="000000" w:themeColor="text1"/>
              </w:rPr>
            </w:pPr>
            <w:r>
              <w:rPr>
                <w:rFonts w:cs="Times New Roman"/>
                <w:color w:val="000000" w:themeColor="text1"/>
              </w:rPr>
              <w:t>0901-2018</w:t>
            </w:r>
            <w:r>
              <w:rPr>
                <w:rFonts w:cs="Times New Roman" w:hint="eastAsia"/>
                <w:color w:val="000000" w:themeColor="text1"/>
              </w:rPr>
              <w:t>）</w:t>
            </w:r>
            <w:r>
              <w:rPr>
                <w:rFonts w:cs="Times New Roman"/>
                <w:color w:val="000000" w:themeColor="text1"/>
              </w:rPr>
              <w:t>表</w:t>
            </w:r>
            <w:r>
              <w:rPr>
                <w:rFonts w:cs="Times New Roman"/>
                <w:color w:val="000000" w:themeColor="text1"/>
              </w:rPr>
              <w:t>3Ⅰ</w:t>
            </w:r>
          </w:p>
          <w:p w:rsidR="00644456" w:rsidRDefault="008031C4">
            <w:pPr>
              <w:pStyle w:val="afffffff4"/>
              <w:rPr>
                <w:rFonts w:cs="Times New Roman"/>
                <w:color w:val="000000" w:themeColor="text1"/>
              </w:rPr>
            </w:pPr>
            <w:r>
              <w:rPr>
                <w:rFonts w:cs="Times New Roman"/>
                <w:color w:val="000000" w:themeColor="text1"/>
              </w:rPr>
              <w:t>类基础油</w:t>
            </w:r>
            <w:r>
              <w:rPr>
                <w:rFonts w:cs="Times New Roman"/>
                <w:color w:val="000000" w:themeColor="text1"/>
              </w:rPr>
              <w:t>R-100SN</w:t>
            </w:r>
          </w:p>
        </w:tc>
      </w:tr>
      <w:tr w:rsidR="00644456">
        <w:tc>
          <w:tcPr>
            <w:tcW w:w="1398" w:type="pct"/>
            <w:vAlign w:val="center"/>
          </w:tcPr>
          <w:p w:rsidR="00644456" w:rsidRDefault="008031C4">
            <w:pPr>
              <w:pStyle w:val="afffffff4"/>
              <w:rPr>
                <w:rFonts w:cs="Times New Roman"/>
                <w:color w:val="000000" w:themeColor="text1"/>
              </w:rPr>
            </w:pPr>
            <w:r>
              <w:rPr>
                <w:rFonts w:cs="Times New Roman"/>
                <w:color w:val="000000" w:themeColor="text1"/>
              </w:rPr>
              <w:t>外观</w:t>
            </w:r>
          </w:p>
        </w:tc>
        <w:tc>
          <w:tcPr>
            <w:tcW w:w="1577" w:type="pct"/>
            <w:gridSpan w:val="2"/>
            <w:vAlign w:val="center"/>
          </w:tcPr>
          <w:p w:rsidR="00644456" w:rsidRDefault="008031C4">
            <w:pPr>
              <w:pStyle w:val="afffffff4"/>
              <w:rPr>
                <w:rFonts w:cs="Times New Roman"/>
                <w:color w:val="000000" w:themeColor="text1"/>
              </w:rPr>
            </w:pPr>
            <w:r>
              <w:rPr>
                <w:rFonts w:cs="Times New Roman"/>
                <w:color w:val="000000" w:themeColor="text1"/>
              </w:rPr>
              <w:t>透明无絮状物</w:t>
            </w:r>
          </w:p>
        </w:tc>
        <w:tc>
          <w:tcPr>
            <w:tcW w:w="1007" w:type="pct"/>
            <w:vAlign w:val="center"/>
          </w:tcPr>
          <w:p w:rsidR="00644456" w:rsidRDefault="008031C4">
            <w:pPr>
              <w:pStyle w:val="afffffff4"/>
              <w:rPr>
                <w:rFonts w:cs="Times New Roman"/>
                <w:color w:val="000000" w:themeColor="text1"/>
              </w:rPr>
            </w:pPr>
            <w:r>
              <w:rPr>
                <w:rFonts w:cs="Times New Roman"/>
                <w:color w:val="000000" w:themeColor="text1"/>
              </w:rPr>
              <w:t>目测</w:t>
            </w:r>
          </w:p>
        </w:tc>
        <w:tc>
          <w:tcPr>
            <w:tcW w:w="1017" w:type="pct"/>
            <w:vMerge/>
            <w:vAlign w:val="center"/>
          </w:tcPr>
          <w:p w:rsidR="00644456" w:rsidRDefault="00644456">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r>
      <w:tr w:rsidR="00644456">
        <w:tc>
          <w:tcPr>
            <w:tcW w:w="1398" w:type="pct"/>
            <w:vAlign w:val="center"/>
          </w:tcPr>
          <w:p w:rsidR="00644456" w:rsidRDefault="008031C4">
            <w:pPr>
              <w:pStyle w:val="afffffff4"/>
              <w:rPr>
                <w:rFonts w:cs="Times New Roman"/>
                <w:color w:val="000000" w:themeColor="text1"/>
              </w:rPr>
            </w:pPr>
            <w:r>
              <w:rPr>
                <w:rFonts w:cs="Times New Roman"/>
                <w:color w:val="000000" w:themeColor="text1"/>
              </w:rPr>
              <w:t>黏度指数不小于</w:t>
            </w:r>
          </w:p>
        </w:tc>
        <w:tc>
          <w:tcPr>
            <w:tcW w:w="803" w:type="pct"/>
            <w:vAlign w:val="center"/>
          </w:tcPr>
          <w:p w:rsidR="00644456" w:rsidRDefault="008031C4">
            <w:pPr>
              <w:pStyle w:val="afffffff4"/>
              <w:rPr>
                <w:rFonts w:cs="Times New Roman"/>
                <w:color w:val="000000" w:themeColor="text1"/>
              </w:rPr>
            </w:pPr>
            <w:r>
              <w:rPr>
                <w:rFonts w:cs="Times New Roman"/>
                <w:color w:val="000000" w:themeColor="text1"/>
              </w:rPr>
              <w:t>80</w:t>
            </w:r>
          </w:p>
        </w:tc>
        <w:tc>
          <w:tcPr>
            <w:tcW w:w="775" w:type="pct"/>
            <w:vAlign w:val="center"/>
          </w:tcPr>
          <w:p w:rsidR="00644456" w:rsidRDefault="008031C4">
            <w:pPr>
              <w:pStyle w:val="afffffff4"/>
              <w:rPr>
                <w:rFonts w:cs="Times New Roman"/>
                <w:color w:val="000000" w:themeColor="text1"/>
              </w:rPr>
            </w:pPr>
            <w:r>
              <w:rPr>
                <w:rFonts w:cs="Times New Roman"/>
                <w:color w:val="000000" w:themeColor="text1"/>
              </w:rPr>
              <w:t>100</w:t>
            </w:r>
          </w:p>
        </w:tc>
        <w:tc>
          <w:tcPr>
            <w:tcW w:w="1007" w:type="pct"/>
            <w:vAlign w:val="center"/>
          </w:tcPr>
          <w:p w:rsidR="00644456" w:rsidRDefault="008031C4">
            <w:pPr>
              <w:pStyle w:val="afffffff4"/>
              <w:rPr>
                <w:rFonts w:cs="Times New Roman"/>
                <w:color w:val="000000" w:themeColor="text1"/>
              </w:rPr>
            </w:pPr>
            <w:r>
              <w:rPr>
                <w:rFonts w:cs="Times New Roman"/>
                <w:color w:val="000000" w:themeColor="text1"/>
              </w:rPr>
              <w:t>GB/T1995</w:t>
            </w:r>
          </w:p>
        </w:tc>
        <w:tc>
          <w:tcPr>
            <w:tcW w:w="1017" w:type="pct"/>
            <w:vMerge/>
            <w:vAlign w:val="center"/>
          </w:tcPr>
          <w:p w:rsidR="00644456" w:rsidRDefault="00644456">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r>
      <w:tr w:rsidR="00644456">
        <w:tc>
          <w:tcPr>
            <w:tcW w:w="1398" w:type="pct"/>
            <w:vAlign w:val="center"/>
          </w:tcPr>
          <w:p w:rsidR="00644456" w:rsidRDefault="008031C4">
            <w:pPr>
              <w:pStyle w:val="afffffff4"/>
              <w:rPr>
                <w:rFonts w:cs="Times New Roman"/>
                <w:color w:val="000000" w:themeColor="text1"/>
              </w:rPr>
            </w:pPr>
            <w:r>
              <w:rPr>
                <w:rFonts w:cs="Times New Roman"/>
                <w:color w:val="000000" w:themeColor="text1"/>
              </w:rPr>
              <w:t>色度，号不大于</w:t>
            </w:r>
          </w:p>
        </w:tc>
        <w:tc>
          <w:tcPr>
            <w:tcW w:w="803" w:type="pct"/>
            <w:vAlign w:val="center"/>
          </w:tcPr>
          <w:p w:rsidR="00644456" w:rsidRDefault="008031C4">
            <w:pPr>
              <w:pStyle w:val="afffffff4"/>
              <w:rPr>
                <w:rFonts w:cs="Times New Roman"/>
                <w:color w:val="000000" w:themeColor="text1"/>
              </w:rPr>
            </w:pPr>
            <w:r>
              <w:rPr>
                <w:rFonts w:cs="Times New Roman"/>
                <w:color w:val="000000" w:themeColor="text1"/>
              </w:rPr>
              <w:t>2.0</w:t>
            </w:r>
          </w:p>
        </w:tc>
        <w:tc>
          <w:tcPr>
            <w:tcW w:w="775" w:type="pct"/>
            <w:vAlign w:val="center"/>
          </w:tcPr>
          <w:p w:rsidR="00644456" w:rsidRDefault="008031C4">
            <w:pPr>
              <w:pStyle w:val="afffffff4"/>
              <w:rPr>
                <w:rFonts w:cs="Times New Roman"/>
                <w:color w:val="000000" w:themeColor="text1"/>
              </w:rPr>
            </w:pPr>
            <w:r>
              <w:rPr>
                <w:rFonts w:cs="Times New Roman"/>
                <w:color w:val="000000" w:themeColor="text1"/>
              </w:rPr>
              <w:t>1.0</w:t>
            </w:r>
          </w:p>
        </w:tc>
        <w:tc>
          <w:tcPr>
            <w:tcW w:w="1007" w:type="pct"/>
            <w:vAlign w:val="center"/>
          </w:tcPr>
          <w:p w:rsidR="00644456" w:rsidRDefault="008031C4">
            <w:pPr>
              <w:pStyle w:val="afffffff4"/>
              <w:rPr>
                <w:rFonts w:cs="Times New Roman"/>
                <w:color w:val="000000" w:themeColor="text1"/>
              </w:rPr>
            </w:pPr>
            <w:r>
              <w:rPr>
                <w:rFonts w:cs="Times New Roman"/>
                <w:color w:val="000000" w:themeColor="text1"/>
              </w:rPr>
              <w:t>GB/T6540</w:t>
            </w:r>
          </w:p>
        </w:tc>
        <w:tc>
          <w:tcPr>
            <w:tcW w:w="1017" w:type="pct"/>
            <w:vMerge/>
            <w:vAlign w:val="center"/>
          </w:tcPr>
          <w:p w:rsidR="00644456" w:rsidRDefault="00644456">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r>
      <w:tr w:rsidR="00644456">
        <w:tc>
          <w:tcPr>
            <w:tcW w:w="1398" w:type="pct"/>
            <w:vAlign w:val="center"/>
          </w:tcPr>
          <w:p w:rsidR="00644456" w:rsidRDefault="008031C4">
            <w:pPr>
              <w:pStyle w:val="afffffff4"/>
              <w:rPr>
                <w:rFonts w:cs="Times New Roman"/>
                <w:color w:val="000000" w:themeColor="text1"/>
              </w:rPr>
            </w:pPr>
            <w:r>
              <w:rPr>
                <w:rFonts w:cs="Times New Roman"/>
                <w:color w:val="000000" w:themeColor="text1"/>
              </w:rPr>
              <w:t>闪点</w:t>
            </w:r>
            <w:r>
              <w:rPr>
                <w:rFonts w:cs="Times New Roman" w:hint="eastAsia"/>
                <w:color w:val="000000" w:themeColor="text1"/>
              </w:rPr>
              <w:t>（</w:t>
            </w:r>
            <w:r>
              <w:rPr>
                <w:rFonts w:cs="Times New Roman"/>
                <w:color w:val="000000" w:themeColor="text1"/>
              </w:rPr>
              <w:t>开口</w:t>
            </w:r>
            <w:r>
              <w:rPr>
                <w:rFonts w:cs="Times New Roman" w:hint="eastAsia"/>
                <w:color w:val="000000" w:themeColor="text1"/>
              </w:rPr>
              <w:t>）</w:t>
            </w:r>
            <w:r>
              <w:rPr>
                <w:rFonts w:cs="Times New Roman"/>
                <w:color w:val="000000" w:themeColor="text1"/>
              </w:rPr>
              <w:t>，</w:t>
            </w:r>
            <w:r>
              <w:rPr>
                <w:rFonts w:cs="Times New Roman"/>
                <w:color w:val="000000" w:themeColor="text1"/>
              </w:rPr>
              <w:t>℃</w:t>
            </w:r>
            <w:r>
              <w:rPr>
                <w:rFonts w:cs="Times New Roman"/>
                <w:color w:val="000000" w:themeColor="text1"/>
              </w:rPr>
              <w:t>不低于</w:t>
            </w:r>
          </w:p>
        </w:tc>
        <w:tc>
          <w:tcPr>
            <w:tcW w:w="803" w:type="pct"/>
            <w:vAlign w:val="center"/>
          </w:tcPr>
          <w:p w:rsidR="00644456" w:rsidRDefault="008031C4">
            <w:pPr>
              <w:pStyle w:val="afffffff4"/>
              <w:rPr>
                <w:rFonts w:cs="Times New Roman"/>
                <w:color w:val="000000" w:themeColor="text1"/>
              </w:rPr>
            </w:pPr>
            <w:r>
              <w:rPr>
                <w:rFonts w:cs="Times New Roman"/>
                <w:color w:val="000000" w:themeColor="text1"/>
              </w:rPr>
              <w:t>165</w:t>
            </w:r>
          </w:p>
        </w:tc>
        <w:tc>
          <w:tcPr>
            <w:tcW w:w="775" w:type="pct"/>
            <w:vAlign w:val="center"/>
          </w:tcPr>
          <w:p w:rsidR="00644456" w:rsidRDefault="008031C4">
            <w:pPr>
              <w:pStyle w:val="afffffff4"/>
              <w:rPr>
                <w:rFonts w:cs="Times New Roman"/>
                <w:color w:val="000000" w:themeColor="text1"/>
              </w:rPr>
            </w:pPr>
            <w:r>
              <w:rPr>
                <w:rFonts w:cs="Times New Roman"/>
                <w:color w:val="000000" w:themeColor="text1"/>
              </w:rPr>
              <w:t>185</w:t>
            </w:r>
          </w:p>
        </w:tc>
        <w:tc>
          <w:tcPr>
            <w:tcW w:w="1007" w:type="pct"/>
            <w:vAlign w:val="center"/>
          </w:tcPr>
          <w:p w:rsidR="00644456" w:rsidRDefault="008031C4">
            <w:pPr>
              <w:pStyle w:val="afffffff4"/>
              <w:rPr>
                <w:rFonts w:cs="Times New Roman"/>
                <w:color w:val="000000" w:themeColor="text1"/>
              </w:rPr>
            </w:pPr>
            <w:r>
              <w:rPr>
                <w:rFonts w:cs="Times New Roman"/>
                <w:color w:val="000000" w:themeColor="text1"/>
              </w:rPr>
              <w:t>GB/T3536</w:t>
            </w:r>
          </w:p>
        </w:tc>
        <w:tc>
          <w:tcPr>
            <w:tcW w:w="1017" w:type="pct"/>
            <w:vMerge/>
            <w:vAlign w:val="center"/>
          </w:tcPr>
          <w:p w:rsidR="00644456" w:rsidRDefault="00644456">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r>
      <w:tr w:rsidR="00644456">
        <w:tc>
          <w:tcPr>
            <w:tcW w:w="1398" w:type="pct"/>
            <w:vAlign w:val="center"/>
          </w:tcPr>
          <w:p w:rsidR="00644456" w:rsidRDefault="008031C4">
            <w:pPr>
              <w:pStyle w:val="afffffff4"/>
              <w:rPr>
                <w:rFonts w:cs="Times New Roman"/>
                <w:color w:val="000000" w:themeColor="text1"/>
              </w:rPr>
            </w:pPr>
            <w:r>
              <w:rPr>
                <w:rFonts w:cs="Times New Roman"/>
                <w:color w:val="000000" w:themeColor="text1"/>
              </w:rPr>
              <w:t>倾点，</w:t>
            </w:r>
            <w:r>
              <w:rPr>
                <w:rFonts w:cs="Times New Roman"/>
                <w:color w:val="000000" w:themeColor="text1"/>
              </w:rPr>
              <w:t>℃</w:t>
            </w:r>
            <w:r>
              <w:rPr>
                <w:rFonts w:cs="Times New Roman"/>
                <w:color w:val="000000" w:themeColor="text1"/>
              </w:rPr>
              <w:t>不高于</w:t>
            </w:r>
          </w:p>
        </w:tc>
        <w:tc>
          <w:tcPr>
            <w:tcW w:w="803" w:type="pct"/>
            <w:vAlign w:val="center"/>
          </w:tcPr>
          <w:p w:rsidR="00644456" w:rsidRDefault="008031C4">
            <w:pPr>
              <w:pStyle w:val="afffffff4"/>
              <w:rPr>
                <w:rFonts w:cs="Times New Roman"/>
                <w:color w:val="000000" w:themeColor="text1"/>
              </w:rPr>
            </w:pPr>
            <w:r>
              <w:rPr>
                <w:rFonts w:cs="Times New Roman"/>
                <w:color w:val="000000" w:themeColor="text1"/>
              </w:rPr>
              <w:t>-9</w:t>
            </w:r>
          </w:p>
        </w:tc>
        <w:tc>
          <w:tcPr>
            <w:tcW w:w="775" w:type="pct"/>
            <w:vAlign w:val="center"/>
          </w:tcPr>
          <w:p w:rsidR="00644456" w:rsidRDefault="008031C4">
            <w:pPr>
              <w:pStyle w:val="afffffff4"/>
              <w:rPr>
                <w:rFonts w:cs="Times New Roman"/>
                <w:color w:val="000000" w:themeColor="text1"/>
              </w:rPr>
            </w:pPr>
            <w:r>
              <w:rPr>
                <w:rFonts w:cs="Times New Roman"/>
                <w:color w:val="000000" w:themeColor="text1"/>
              </w:rPr>
              <w:t>-9</w:t>
            </w:r>
          </w:p>
        </w:tc>
        <w:tc>
          <w:tcPr>
            <w:tcW w:w="1007" w:type="pct"/>
            <w:vAlign w:val="center"/>
          </w:tcPr>
          <w:p w:rsidR="00644456" w:rsidRDefault="008031C4">
            <w:pPr>
              <w:pStyle w:val="afffffff4"/>
              <w:rPr>
                <w:rFonts w:cs="Times New Roman"/>
                <w:color w:val="000000" w:themeColor="text1"/>
              </w:rPr>
            </w:pPr>
            <w:r>
              <w:rPr>
                <w:rFonts w:cs="Times New Roman"/>
                <w:color w:val="000000" w:themeColor="text1"/>
              </w:rPr>
              <w:t>GB/T3535</w:t>
            </w:r>
          </w:p>
        </w:tc>
        <w:tc>
          <w:tcPr>
            <w:tcW w:w="1017" w:type="pct"/>
            <w:vMerge/>
            <w:vAlign w:val="center"/>
          </w:tcPr>
          <w:p w:rsidR="00644456" w:rsidRDefault="00644456">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r>
      <w:tr w:rsidR="00644456">
        <w:tc>
          <w:tcPr>
            <w:tcW w:w="1398" w:type="pct"/>
            <w:vAlign w:val="center"/>
          </w:tcPr>
          <w:p w:rsidR="00644456" w:rsidRDefault="008031C4">
            <w:pPr>
              <w:pStyle w:val="afffffff4"/>
              <w:rPr>
                <w:rFonts w:cs="Times New Roman"/>
                <w:color w:val="000000" w:themeColor="text1"/>
              </w:rPr>
            </w:pPr>
            <w:r>
              <w:rPr>
                <w:rFonts w:cs="Times New Roman"/>
                <w:color w:val="000000" w:themeColor="text1"/>
              </w:rPr>
              <w:t>酸值，</w:t>
            </w:r>
            <w:r>
              <w:rPr>
                <w:rFonts w:cs="Times New Roman"/>
                <w:color w:val="000000" w:themeColor="text1"/>
              </w:rPr>
              <w:t>mg(KOH)/g</w:t>
            </w:r>
            <w:r>
              <w:rPr>
                <w:rFonts w:cs="Times New Roman"/>
                <w:color w:val="000000" w:themeColor="text1"/>
              </w:rPr>
              <w:t>不大于</w:t>
            </w:r>
          </w:p>
        </w:tc>
        <w:tc>
          <w:tcPr>
            <w:tcW w:w="803" w:type="pct"/>
            <w:vAlign w:val="center"/>
          </w:tcPr>
          <w:p w:rsidR="00644456" w:rsidRDefault="008031C4">
            <w:pPr>
              <w:pStyle w:val="afffffff4"/>
              <w:rPr>
                <w:rFonts w:cs="Times New Roman"/>
                <w:color w:val="000000" w:themeColor="text1"/>
              </w:rPr>
            </w:pPr>
            <w:r>
              <w:rPr>
                <w:rFonts w:cs="Times New Roman"/>
                <w:color w:val="000000" w:themeColor="text1"/>
              </w:rPr>
              <w:t>0.05</w:t>
            </w:r>
          </w:p>
        </w:tc>
        <w:tc>
          <w:tcPr>
            <w:tcW w:w="775" w:type="pct"/>
            <w:vAlign w:val="center"/>
          </w:tcPr>
          <w:p w:rsidR="00644456" w:rsidRDefault="008031C4">
            <w:pPr>
              <w:pStyle w:val="afffffff4"/>
              <w:rPr>
                <w:rFonts w:cs="Times New Roman"/>
                <w:color w:val="000000" w:themeColor="text1"/>
              </w:rPr>
            </w:pPr>
            <w:r>
              <w:rPr>
                <w:rFonts w:cs="Times New Roman"/>
                <w:color w:val="000000" w:themeColor="text1"/>
              </w:rPr>
              <w:t>0.03</w:t>
            </w:r>
          </w:p>
        </w:tc>
        <w:tc>
          <w:tcPr>
            <w:tcW w:w="1007" w:type="pct"/>
            <w:vAlign w:val="center"/>
          </w:tcPr>
          <w:p w:rsidR="00644456" w:rsidRDefault="008031C4">
            <w:pPr>
              <w:pStyle w:val="afffffff4"/>
              <w:rPr>
                <w:rFonts w:cs="Times New Roman"/>
                <w:color w:val="000000" w:themeColor="text1"/>
              </w:rPr>
            </w:pPr>
            <w:r>
              <w:rPr>
                <w:rFonts w:cs="Times New Roman"/>
                <w:color w:val="000000" w:themeColor="text1"/>
              </w:rPr>
              <w:t>GB/T7304</w:t>
            </w:r>
          </w:p>
        </w:tc>
        <w:tc>
          <w:tcPr>
            <w:tcW w:w="1017" w:type="pct"/>
            <w:vMerge/>
            <w:vAlign w:val="center"/>
          </w:tcPr>
          <w:p w:rsidR="00644456" w:rsidRDefault="00644456">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r>
      <w:tr w:rsidR="00644456">
        <w:tc>
          <w:tcPr>
            <w:tcW w:w="1398" w:type="pct"/>
            <w:vAlign w:val="center"/>
          </w:tcPr>
          <w:p w:rsidR="00644456" w:rsidRDefault="008031C4">
            <w:pPr>
              <w:pStyle w:val="afffffff4"/>
              <w:rPr>
                <w:rFonts w:cs="Times New Roman"/>
                <w:color w:val="000000" w:themeColor="text1"/>
              </w:rPr>
            </w:pPr>
            <w:r>
              <w:rPr>
                <w:rFonts w:cs="Times New Roman"/>
                <w:color w:val="000000" w:themeColor="text1"/>
              </w:rPr>
              <w:t>氧化安定性</w:t>
            </w:r>
            <w:r>
              <w:rPr>
                <w:rFonts w:cs="Times New Roman" w:hint="eastAsia"/>
                <w:color w:val="000000" w:themeColor="text1"/>
              </w:rPr>
              <w:t>（</w:t>
            </w:r>
            <w:r>
              <w:rPr>
                <w:rFonts w:cs="Times New Roman"/>
                <w:color w:val="000000" w:themeColor="text1"/>
              </w:rPr>
              <w:t>旋转氧弹法，</w:t>
            </w:r>
            <w:r>
              <w:rPr>
                <w:rFonts w:cs="Times New Roman"/>
                <w:color w:val="000000" w:themeColor="text1"/>
              </w:rPr>
              <w:t>150℃</w:t>
            </w:r>
            <w:r>
              <w:rPr>
                <w:rFonts w:cs="Times New Roman" w:hint="eastAsia"/>
                <w:color w:val="000000" w:themeColor="text1"/>
              </w:rPr>
              <w:t>）</w:t>
            </w:r>
            <w:r>
              <w:rPr>
                <w:rFonts w:cs="Times New Roman"/>
                <w:color w:val="000000" w:themeColor="text1"/>
              </w:rPr>
              <w:t>，</w:t>
            </w:r>
            <w:r>
              <w:rPr>
                <w:rFonts w:cs="Times New Roman"/>
                <w:color w:val="000000" w:themeColor="text1"/>
              </w:rPr>
              <w:t>min</w:t>
            </w:r>
            <w:r>
              <w:rPr>
                <w:rFonts w:cs="Times New Roman"/>
                <w:color w:val="000000" w:themeColor="text1"/>
              </w:rPr>
              <w:t>不小于</w:t>
            </w:r>
          </w:p>
        </w:tc>
        <w:tc>
          <w:tcPr>
            <w:tcW w:w="803" w:type="pct"/>
            <w:vAlign w:val="center"/>
          </w:tcPr>
          <w:p w:rsidR="00644456" w:rsidRDefault="008031C4">
            <w:pPr>
              <w:pStyle w:val="afffffff4"/>
              <w:rPr>
                <w:rFonts w:cs="Times New Roman"/>
                <w:color w:val="000000" w:themeColor="text1"/>
              </w:rPr>
            </w:pPr>
            <w:r>
              <w:rPr>
                <w:rFonts w:cs="Times New Roman"/>
                <w:color w:val="000000" w:themeColor="text1"/>
              </w:rPr>
              <w:t>180</w:t>
            </w:r>
          </w:p>
        </w:tc>
        <w:tc>
          <w:tcPr>
            <w:tcW w:w="775" w:type="pct"/>
            <w:vAlign w:val="center"/>
          </w:tcPr>
          <w:p w:rsidR="00644456" w:rsidRDefault="008031C4">
            <w:pPr>
              <w:pStyle w:val="afffffff4"/>
              <w:rPr>
                <w:rFonts w:cs="Times New Roman"/>
                <w:color w:val="000000" w:themeColor="text1"/>
              </w:rPr>
            </w:pPr>
            <w:r>
              <w:rPr>
                <w:rFonts w:cs="Times New Roman"/>
                <w:color w:val="000000" w:themeColor="text1"/>
              </w:rPr>
              <w:t>200</w:t>
            </w:r>
          </w:p>
        </w:tc>
        <w:tc>
          <w:tcPr>
            <w:tcW w:w="1007" w:type="pct"/>
            <w:vAlign w:val="center"/>
          </w:tcPr>
          <w:p w:rsidR="00644456" w:rsidRDefault="008031C4">
            <w:pPr>
              <w:pStyle w:val="afffffff4"/>
              <w:rPr>
                <w:rFonts w:cs="Times New Roman"/>
                <w:color w:val="000000" w:themeColor="text1"/>
              </w:rPr>
            </w:pPr>
            <w:r>
              <w:rPr>
                <w:rFonts w:cs="Times New Roman"/>
                <w:color w:val="000000" w:themeColor="text1"/>
              </w:rPr>
              <w:t>SH/T0193</w:t>
            </w:r>
          </w:p>
        </w:tc>
        <w:tc>
          <w:tcPr>
            <w:tcW w:w="1017" w:type="pct"/>
            <w:vMerge/>
            <w:vAlign w:val="center"/>
          </w:tcPr>
          <w:p w:rsidR="00644456" w:rsidRDefault="00644456">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r>
    </w:tbl>
    <w:p w:rsidR="00644456" w:rsidRDefault="008031C4">
      <w:pPr>
        <w:pStyle w:val="1fd"/>
        <w:rPr>
          <w:color w:val="000000" w:themeColor="text1"/>
        </w:rPr>
      </w:pPr>
      <w:r>
        <w:rPr>
          <w:rFonts w:hint="eastAsia"/>
          <w:color w:val="000000" w:themeColor="text1"/>
        </w:rPr>
        <w:t>②再生尾油</w:t>
      </w:r>
    </w:p>
    <w:p w:rsidR="00644456" w:rsidRDefault="008031C4">
      <w:pPr>
        <w:pStyle w:val="1fd"/>
        <w:rPr>
          <w:color w:val="000000" w:themeColor="text1"/>
        </w:rPr>
      </w:pPr>
      <w:r>
        <w:rPr>
          <w:rFonts w:hint="eastAsia"/>
          <w:color w:val="000000" w:themeColor="text1"/>
        </w:rPr>
        <w:t>本项目再生尾油质量执行中国物资再生协会标准《再生润滑油基础油》（</w:t>
      </w:r>
      <w:r>
        <w:rPr>
          <w:rFonts w:hint="eastAsia"/>
          <w:color w:val="000000" w:themeColor="text1"/>
        </w:rPr>
        <w:t>T/CRRA0901-2018</w:t>
      </w:r>
      <w:r>
        <w:rPr>
          <w:rFonts w:hint="eastAsia"/>
          <w:color w:val="000000" w:themeColor="text1"/>
        </w:rPr>
        <w:t>）中表</w:t>
      </w:r>
      <w:r>
        <w:rPr>
          <w:rFonts w:hint="eastAsia"/>
          <w:color w:val="000000" w:themeColor="text1"/>
        </w:rPr>
        <w:t>5</w:t>
      </w:r>
      <w:r>
        <w:rPr>
          <w:rFonts w:hint="eastAsia"/>
          <w:color w:val="000000" w:themeColor="text1"/>
        </w:rPr>
        <w:t>的质量标准，具体要求见表</w:t>
      </w:r>
      <w:r>
        <w:rPr>
          <w:rFonts w:hint="eastAsia"/>
          <w:color w:val="000000" w:themeColor="text1"/>
        </w:rPr>
        <w:t>2.1-3</w:t>
      </w:r>
      <w:r>
        <w:rPr>
          <w:rFonts w:hint="eastAsia"/>
          <w:color w:val="000000" w:themeColor="text1"/>
        </w:rPr>
        <w:t>。</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2.1-3</w:t>
      </w:r>
      <w:r>
        <w:rPr>
          <w:rFonts w:ascii="Times New Roman" w:eastAsia="宋体" w:hAnsi="Times New Roman" w:cs="Times New Roman" w:hint="eastAsia"/>
          <w:b/>
          <w:color w:val="000000" w:themeColor="text1"/>
          <w:sz w:val="24"/>
        </w:rPr>
        <w:t>再生尾油产品质量控制表</w:t>
      </w:r>
    </w:p>
    <w:tbl>
      <w:tblPr>
        <w:tblW w:w="5000" w:type="pct"/>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61"/>
        <w:gridCol w:w="1916"/>
        <w:gridCol w:w="1820"/>
        <w:gridCol w:w="1838"/>
      </w:tblGrid>
      <w:tr w:rsidR="00644456">
        <w:tc>
          <w:tcPr>
            <w:tcW w:w="1915" w:type="pct"/>
          </w:tcPr>
          <w:p w:rsidR="00644456" w:rsidRDefault="008031C4">
            <w:pPr>
              <w:pStyle w:val="afffffff4"/>
              <w:rPr>
                <w:rFonts w:cs="Times New Roman"/>
                <w:color w:val="000000" w:themeColor="text1"/>
              </w:rPr>
            </w:pPr>
            <w:r>
              <w:rPr>
                <w:rFonts w:cs="Times New Roman"/>
                <w:color w:val="000000" w:themeColor="text1"/>
              </w:rPr>
              <w:lastRenderedPageBreak/>
              <w:t>项目</w:t>
            </w:r>
          </w:p>
        </w:tc>
        <w:tc>
          <w:tcPr>
            <w:tcW w:w="1060" w:type="pct"/>
          </w:tcPr>
          <w:p w:rsidR="00644456" w:rsidRDefault="008031C4">
            <w:pPr>
              <w:pStyle w:val="afffffff4"/>
              <w:rPr>
                <w:rFonts w:cs="Times New Roman"/>
                <w:color w:val="000000" w:themeColor="text1"/>
              </w:rPr>
            </w:pPr>
            <w:r>
              <w:rPr>
                <w:rFonts w:cs="Times New Roman"/>
                <w:color w:val="000000" w:themeColor="text1"/>
              </w:rPr>
              <w:t>技术指标要求</w:t>
            </w:r>
          </w:p>
        </w:tc>
        <w:tc>
          <w:tcPr>
            <w:tcW w:w="1007" w:type="pct"/>
          </w:tcPr>
          <w:p w:rsidR="00644456" w:rsidRDefault="008031C4">
            <w:pPr>
              <w:pStyle w:val="afffffff4"/>
              <w:rPr>
                <w:rFonts w:cs="Times New Roman"/>
                <w:color w:val="000000" w:themeColor="text1"/>
              </w:rPr>
            </w:pPr>
            <w:r>
              <w:rPr>
                <w:rFonts w:cs="Times New Roman"/>
                <w:color w:val="000000" w:themeColor="text1"/>
              </w:rPr>
              <w:t>试验方法</w:t>
            </w:r>
          </w:p>
        </w:tc>
        <w:tc>
          <w:tcPr>
            <w:tcW w:w="1017" w:type="pct"/>
          </w:tcPr>
          <w:p w:rsidR="00644456" w:rsidRDefault="008031C4">
            <w:pPr>
              <w:pStyle w:val="afffffff4"/>
              <w:rPr>
                <w:rFonts w:cs="Times New Roman"/>
                <w:color w:val="000000" w:themeColor="text1"/>
              </w:rPr>
            </w:pPr>
            <w:r>
              <w:rPr>
                <w:rFonts w:cs="Times New Roman"/>
                <w:color w:val="000000" w:themeColor="text1"/>
              </w:rPr>
              <w:t>标准</w:t>
            </w:r>
          </w:p>
        </w:tc>
      </w:tr>
      <w:tr w:rsidR="00644456">
        <w:tc>
          <w:tcPr>
            <w:tcW w:w="1915" w:type="pct"/>
          </w:tcPr>
          <w:p w:rsidR="00644456" w:rsidRDefault="008031C4">
            <w:pPr>
              <w:pStyle w:val="afffffff4"/>
              <w:rPr>
                <w:rFonts w:cs="Times New Roman"/>
                <w:color w:val="000000" w:themeColor="text1"/>
              </w:rPr>
            </w:pPr>
            <w:r>
              <w:rPr>
                <w:rFonts w:cs="Times New Roman"/>
                <w:color w:val="000000" w:themeColor="text1"/>
              </w:rPr>
              <w:t>外观</w:t>
            </w:r>
          </w:p>
        </w:tc>
        <w:tc>
          <w:tcPr>
            <w:tcW w:w="1060" w:type="pct"/>
          </w:tcPr>
          <w:p w:rsidR="00644456" w:rsidRDefault="008031C4">
            <w:pPr>
              <w:pStyle w:val="afffffff4"/>
              <w:rPr>
                <w:rFonts w:cs="Times New Roman"/>
                <w:color w:val="000000" w:themeColor="text1"/>
              </w:rPr>
            </w:pPr>
            <w:r>
              <w:rPr>
                <w:rFonts w:cs="Times New Roman"/>
                <w:color w:val="000000" w:themeColor="text1"/>
              </w:rPr>
              <w:t>黑色黏稠状液体</w:t>
            </w:r>
          </w:p>
        </w:tc>
        <w:tc>
          <w:tcPr>
            <w:tcW w:w="1007" w:type="pct"/>
          </w:tcPr>
          <w:p w:rsidR="00644456" w:rsidRDefault="008031C4">
            <w:pPr>
              <w:pStyle w:val="afffffff4"/>
              <w:rPr>
                <w:rFonts w:cs="Times New Roman"/>
                <w:color w:val="000000" w:themeColor="text1"/>
              </w:rPr>
            </w:pPr>
            <w:r>
              <w:rPr>
                <w:rFonts w:cs="Times New Roman"/>
                <w:color w:val="000000" w:themeColor="text1"/>
              </w:rPr>
              <w:t>目测</w:t>
            </w:r>
          </w:p>
        </w:tc>
        <w:tc>
          <w:tcPr>
            <w:tcW w:w="1017" w:type="pct"/>
            <w:vMerge w:val="restart"/>
          </w:tcPr>
          <w:p w:rsidR="00644456" w:rsidRDefault="008031C4">
            <w:pPr>
              <w:pStyle w:val="afffffff4"/>
              <w:rPr>
                <w:rFonts w:cs="Times New Roman"/>
                <w:color w:val="000000" w:themeColor="text1"/>
              </w:rPr>
            </w:pPr>
            <w:r>
              <w:rPr>
                <w:rFonts w:cs="Times New Roman"/>
                <w:color w:val="000000" w:themeColor="text1"/>
              </w:rPr>
              <w:t>再生润滑油基础</w:t>
            </w:r>
          </w:p>
          <w:p w:rsidR="00644456" w:rsidRDefault="008031C4">
            <w:pPr>
              <w:pStyle w:val="afffffff4"/>
              <w:rPr>
                <w:rFonts w:cs="Times New Roman"/>
                <w:color w:val="000000" w:themeColor="text1"/>
              </w:rPr>
            </w:pPr>
            <w:r>
              <w:rPr>
                <w:rFonts w:cs="Times New Roman"/>
                <w:color w:val="000000" w:themeColor="text1"/>
              </w:rPr>
              <w:t>油》</w:t>
            </w:r>
            <w:r>
              <w:rPr>
                <w:rFonts w:cs="Times New Roman" w:hint="eastAsia"/>
                <w:color w:val="000000" w:themeColor="text1"/>
              </w:rPr>
              <w:t>（</w:t>
            </w:r>
            <w:r>
              <w:rPr>
                <w:rFonts w:cs="Times New Roman"/>
                <w:color w:val="000000" w:themeColor="text1"/>
              </w:rPr>
              <w:t>T/CRRA</w:t>
            </w:r>
          </w:p>
          <w:p w:rsidR="00644456" w:rsidRDefault="008031C4">
            <w:pPr>
              <w:pStyle w:val="afffffff4"/>
              <w:rPr>
                <w:rFonts w:cs="Times New Roman"/>
                <w:color w:val="000000" w:themeColor="text1"/>
              </w:rPr>
            </w:pPr>
            <w:r>
              <w:rPr>
                <w:rFonts w:cs="Times New Roman"/>
                <w:color w:val="000000" w:themeColor="text1"/>
              </w:rPr>
              <w:t>0901-2018</w:t>
            </w:r>
            <w:r>
              <w:rPr>
                <w:rFonts w:cs="Times New Roman" w:hint="eastAsia"/>
                <w:color w:val="000000" w:themeColor="text1"/>
              </w:rPr>
              <w:t>）</w:t>
            </w:r>
            <w:r>
              <w:rPr>
                <w:rFonts w:cs="Times New Roman"/>
                <w:color w:val="000000" w:themeColor="text1"/>
              </w:rPr>
              <w:t>表</w:t>
            </w:r>
            <w:r>
              <w:rPr>
                <w:rFonts w:cs="Times New Roman"/>
                <w:color w:val="000000" w:themeColor="text1"/>
              </w:rPr>
              <w:t>5</w:t>
            </w:r>
          </w:p>
        </w:tc>
      </w:tr>
      <w:tr w:rsidR="00644456">
        <w:tc>
          <w:tcPr>
            <w:tcW w:w="1915" w:type="pct"/>
          </w:tcPr>
          <w:p w:rsidR="00644456" w:rsidRDefault="008031C4">
            <w:pPr>
              <w:pStyle w:val="afffffff4"/>
              <w:rPr>
                <w:rFonts w:cs="Times New Roman"/>
                <w:color w:val="000000" w:themeColor="text1"/>
              </w:rPr>
            </w:pPr>
            <w:r>
              <w:rPr>
                <w:rFonts w:cs="Times New Roman"/>
                <w:color w:val="000000" w:themeColor="text1"/>
              </w:rPr>
              <w:t>运动黏度</w:t>
            </w:r>
            <w:r>
              <w:rPr>
                <w:rFonts w:cs="Times New Roman" w:hint="eastAsia"/>
                <w:color w:val="000000" w:themeColor="text1"/>
              </w:rPr>
              <w:t>（</w:t>
            </w:r>
            <w:r>
              <w:rPr>
                <w:rFonts w:cs="Times New Roman"/>
                <w:color w:val="000000" w:themeColor="text1"/>
              </w:rPr>
              <w:t>100℃</w:t>
            </w:r>
            <w:r>
              <w:rPr>
                <w:rFonts w:cs="Times New Roman" w:hint="eastAsia"/>
                <w:color w:val="000000" w:themeColor="text1"/>
              </w:rPr>
              <w:t>）</w:t>
            </w:r>
            <w:r>
              <w:rPr>
                <w:rFonts w:cs="Times New Roman"/>
                <w:color w:val="000000" w:themeColor="text1"/>
              </w:rPr>
              <w:t>，</w:t>
            </w:r>
            <w:r>
              <w:rPr>
                <w:rFonts w:cs="Times New Roman"/>
                <w:color w:val="000000" w:themeColor="text1"/>
              </w:rPr>
              <w:t>mm</w:t>
            </w:r>
            <w:r>
              <w:rPr>
                <w:rFonts w:cs="Times New Roman"/>
                <w:color w:val="000000" w:themeColor="text1"/>
                <w:vertAlign w:val="superscript"/>
              </w:rPr>
              <w:t>2</w:t>
            </w:r>
            <w:r>
              <w:rPr>
                <w:rFonts w:cs="Times New Roman"/>
                <w:color w:val="000000" w:themeColor="text1"/>
              </w:rPr>
              <w:t>/s</w:t>
            </w:r>
            <w:r>
              <w:rPr>
                <w:rFonts w:cs="Times New Roman"/>
                <w:color w:val="000000" w:themeColor="text1"/>
              </w:rPr>
              <w:t>不低于</w:t>
            </w:r>
          </w:p>
        </w:tc>
        <w:tc>
          <w:tcPr>
            <w:tcW w:w="1060" w:type="pct"/>
          </w:tcPr>
          <w:p w:rsidR="00644456" w:rsidRDefault="008031C4">
            <w:pPr>
              <w:pStyle w:val="afffffff4"/>
              <w:rPr>
                <w:rFonts w:cs="Times New Roman"/>
                <w:color w:val="000000" w:themeColor="text1"/>
              </w:rPr>
            </w:pPr>
            <w:r>
              <w:rPr>
                <w:rFonts w:cs="Times New Roman"/>
                <w:color w:val="000000" w:themeColor="text1"/>
              </w:rPr>
              <w:t>17.0</w:t>
            </w:r>
          </w:p>
        </w:tc>
        <w:tc>
          <w:tcPr>
            <w:tcW w:w="1007" w:type="pct"/>
          </w:tcPr>
          <w:p w:rsidR="00644456" w:rsidRDefault="008031C4">
            <w:pPr>
              <w:pStyle w:val="afffffff4"/>
              <w:rPr>
                <w:rFonts w:cs="Times New Roman"/>
                <w:color w:val="000000" w:themeColor="text1"/>
              </w:rPr>
            </w:pPr>
            <w:r>
              <w:rPr>
                <w:rFonts w:cs="Times New Roman"/>
                <w:color w:val="000000" w:themeColor="text1"/>
              </w:rPr>
              <w:t>GB/T265</w:t>
            </w:r>
          </w:p>
        </w:tc>
        <w:tc>
          <w:tcPr>
            <w:tcW w:w="1017" w:type="pct"/>
            <w:vMerge/>
          </w:tcPr>
          <w:p w:rsidR="00644456" w:rsidRDefault="00644456">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r>
      <w:tr w:rsidR="00644456">
        <w:tc>
          <w:tcPr>
            <w:tcW w:w="1915" w:type="pct"/>
          </w:tcPr>
          <w:p w:rsidR="00644456" w:rsidRDefault="008031C4">
            <w:pPr>
              <w:pStyle w:val="afffffff4"/>
              <w:rPr>
                <w:rFonts w:cs="Times New Roman"/>
                <w:color w:val="000000" w:themeColor="text1"/>
              </w:rPr>
            </w:pPr>
            <w:r>
              <w:rPr>
                <w:rFonts w:cs="Times New Roman"/>
                <w:color w:val="000000" w:themeColor="text1"/>
              </w:rPr>
              <w:t>闪点</w:t>
            </w:r>
            <w:r>
              <w:rPr>
                <w:rFonts w:cs="Times New Roman" w:hint="eastAsia"/>
                <w:color w:val="000000" w:themeColor="text1"/>
              </w:rPr>
              <w:t>（</w:t>
            </w:r>
            <w:r>
              <w:rPr>
                <w:rFonts w:cs="Times New Roman"/>
                <w:color w:val="000000" w:themeColor="text1"/>
              </w:rPr>
              <w:t>开口</w:t>
            </w:r>
            <w:r>
              <w:rPr>
                <w:rFonts w:cs="Times New Roman" w:hint="eastAsia"/>
                <w:color w:val="000000" w:themeColor="text1"/>
              </w:rPr>
              <w:t>）</w:t>
            </w:r>
            <w:r>
              <w:rPr>
                <w:rFonts w:cs="Times New Roman"/>
                <w:color w:val="000000" w:themeColor="text1"/>
              </w:rPr>
              <w:t>，</w:t>
            </w:r>
            <w:r>
              <w:rPr>
                <w:rFonts w:cs="Times New Roman"/>
                <w:color w:val="000000" w:themeColor="text1"/>
              </w:rPr>
              <w:t>℃</w:t>
            </w:r>
            <w:r>
              <w:rPr>
                <w:rFonts w:cs="Times New Roman"/>
                <w:color w:val="000000" w:themeColor="text1"/>
              </w:rPr>
              <w:t>不低于</w:t>
            </w:r>
          </w:p>
        </w:tc>
        <w:tc>
          <w:tcPr>
            <w:tcW w:w="1060" w:type="pct"/>
          </w:tcPr>
          <w:p w:rsidR="00644456" w:rsidRDefault="008031C4">
            <w:pPr>
              <w:pStyle w:val="afffffff4"/>
              <w:rPr>
                <w:rFonts w:cs="Times New Roman"/>
                <w:color w:val="000000" w:themeColor="text1"/>
              </w:rPr>
            </w:pPr>
            <w:r>
              <w:rPr>
                <w:rFonts w:cs="Times New Roman"/>
                <w:color w:val="000000" w:themeColor="text1"/>
              </w:rPr>
              <w:t>230</w:t>
            </w:r>
          </w:p>
        </w:tc>
        <w:tc>
          <w:tcPr>
            <w:tcW w:w="1007" w:type="pct"/>
          </w:tcPr>
          <w:p w:rsidR="00644456" w:rsidRDefault="008031C4">
            <w:pPr>
              <w:pStyle w:val="afffffff4"/>
              <w:rPr>
                <w:rFonts w:cs="Times New Roman"/>
                <w:color w:val="000000" w:themeColor="text1"/>
              </w:rPr>
            </w:pPr>
            <w:r>
              <w:rPr>
                <w:rFonts w:cs="Times New Roman"/>
                <w:color w:val="000000" w:themeColor="text1"/>
              </w:rPr>
              <w:t>GB/T3536</w:t>
            </w:r>
          </w:p>
        </w:tc>
        <w:tc>
          <w:tcPr>
            <w:tcW w:w="1017" w:type="pct"/>
            <w:vMerge/>
          </w:tcPr>
          <w:p w:rsidR="00644456" w:rsidRDefault="00644456">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r>
    </w:tbl>
    <w:p w:rsidR="00644456" w:rsidRDefault="008031C4">
      <w:pPr>
        <w:pStyle w:val="1fd"/>
        <w:rPr>
          <w:color w:val="000000" w:themeColor="text1"/>
        </w:rPr>
      </w:pPr>
      <w:r>
        <w:rPr>
          <w:rFonts w:hint="eastAsia"/>
          <w:color w:val="000000" w:themeColor="text1"/>
        </w:rPr>
        <w:t>③燃料油</w:t>
      </w:r>
    </w:p>
    <w:p w:rsidR="00644456" w:rsidRDefault="008031C4">
      <w:pPr>
        <w:pStyle w:val="1fd"/>
        <w:rPr>
          <w:color w:val="000000" w:themeColor="text1"/>
        </w:rPr>
      </w:pPr>
      <w:r>
        <w:rPr>
          <w:rFonts w:hint="eastAsia"/>
          <w:color w:val="000000" w:themeColor="text1"/>
        </w:rPr>
        <w:t>燃料油产品执行《燃料油》（</w:t>
      </w:r>
      <w:r>
        <w:rPr>
          <w:rFonts w:hint="eastAsia"/>
          <w:color w:val="000000" w:themeColor="text1"/>
        </w:rPr>
        <w:t>SH/T0356-1996</w:t>
      </w:r>
      <w:r>
        <w:rPr>
          <w:rFonts w:hint="eastAsia"/>
          <w:color w:val="000000" w:themeColor="text1"/>
        </w:rPr>
        <w:t>）要求，具体要求见表</w:t>
      </w:r>
      <w:r>
        <w:rPr>
          <w:rFonts w:hint="eastAsia"/>
          <w:color w:val="000000" w:themeColor="text1"/>
        </w:rPr>
        <w:t>2.1-4</w:t>
      </w:r>
      <w:r>
        <w:rPr>
          <w:rFonts w:hint="eastAsia"/>
          <w:color w:val="000000" w:themeColor="text1"/>
        </w:rPr>
        <w:t>。</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2.1-4</w:t>
      </w:r>
      <w:r>
        <w:rPr>
          <w:rFonts w:ascii="Times New Roman" w:eastAsia="宋体" w:hAnsi="Times New Roman" w:cs="Times New Roman" w:hint="eastAsia"/>
          <w:b/>
          <w:color w:val="000000" w:themeColor="text1"/>
          <w:sz w:val="24"/>
        </w:rPr>
        <w:t>燃料油产品质量控制表</w:t>
      </w:r>
    </w:p>
    <w:tbl>
      <w:tblPr>
        <w:tblW w:w="5000" w:type="pct"/>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76"/>
        <w:gridCol w:w="2228"/>
        <w:gridCol w:w="2931"/>
      </w:tblGrid>
      <w:tr w:rsidR="00644456">
        <w:tc>
          <w:tcPr>
            <w:tcW w:w="2145" w:type="pct"/>
            <w:vMerge w:val="restart"/>
            <w:vAlign w:val="center"/>
          </w:tcPr>
          <w:p w:rsidR="00644456" w:rsidRDefault="008031C4">
            <w:pPr>
              <w:pStyle w:val="afffffff4"/>
              <w:rPr>
                <w:rFonts w:cs="Times New Roman"/>
                <w:color w:val="000000" w:themeColor="text1"/>
              </w:rPr>
            </w:pPr>
            <w:r>
              <w:rPr>
                <w:rFonts w:cs="Times New Roman"/>
                <w:color w:val="000000" w:themeColor="text1"/>
              </w:rPr>
              <w:t>项目</w:t>
            </w:r>
          </w:p>
        </w:tc>
        <w:tc>
          <w:tcPr>
            <w:tcW w:w="1233" w:type="pct"/>
            <w:vAlign w:val="center"/>
          </w:tcPr>
          <w:p w:rsidR="00644456" w:rsidRDefault="008031C4">
            <w:pPr>
              <w:pStyle w:val="afffffff4"/>
              <w:rPr>
                <w:rFonts w:cs="Times New Roman"/>
                <w:color w:val="000000" w:themeColor="text1"/>
              </w:rPr>
            </w:pPr>
            <w:r>
              <w:rPr>
                <w:rFonts w:cs="Times New Roman"/>
                <w:color w:val="000000" w:themeColor="text1"/>
              </w:rPr>
              <w:t>燃料油</w:t>
            </w:r>
          </w:p>
        </w:tc>
        <w:tc>
          <w:tcPr>
            <w:tcW w:w="1622" w:type="pct"/>
            <w:vMerge w:val="restart"/>
            <w:vAlign w:val="center"/>
          </w:tcPr>
          <w:p w:rsidR="00644456" w:rsidRDefault="008031C4">
            <w:pPr>
              <w:pStyle w:val="afffffff4"/>
              <w:rPr>
                <w:rFonts w:cs="Times New Roman"/>
                <w:color w:val="000000" w:themeColor="text1"/>
              </w:rPr>
            </w:pPr>
            <w:r>
              <w:rPr>
                <w:rFonts w:cs="Times New Roman"/>
                <w:color w:val="000000" w:themeColor="text1"/>
              </w:rPr>
              <w:t>试验方法</w:t>
            </w:r>
          </w:p>
        </w:tc>
      </w:tr>
      <w:tr w:rsidR="00644456">
        <w:tc>
          <w:tcPr>
            <w:tcW w:w="2145" w:type="pct"/>
            <w:vMerge/>
            <w:vAlign w:val="center"/>
          </w:tcPr>
          <w:p w:rsidR="00644456" w:rsidRDefault="00644456">
            <w:pPr>
              <w:pStyle w:val="afffffff4"/>
              <w:rPr>
                <w:rFonts w:cs="Times New Roman"/>
                <w:color w:val="000000" w:themeColor="text1"/>
              </w:rPr>
            </w:pPr>
          </w:p>
        </w:tc>
        <w:tc>
          <w:tcPr>
            <w:tcW w:w="1233" w:type="pct"/>
            <w:vAlign w:val="center"/>
          </w:tcPr>
          <w:p w:rsidR="00644456" w:rsidRDefault="008031C4">
            <w:pPr>
              <w:pStyle w:val="afffffff4"/>
              <w:rPr>
                <w:rFonts w:cs="Times New Roman"/>
                <w:color w:val="000000" w:themeColor="text1"/>
              </w:rPr>
            </w:pPr>
            <w:r>
              <w:rPr>
                <w:rFonts w:cs="Times New Roman"/>
                <w:color w:val="000000" w:themeColor="text1"/>
              </w:rPr>
              <w:t>7</w:t>
            </w:r>
            <w:r>
              <w:rPr>
                <w:rFonts w:cs="Times New Roman"/>
                <w:color w:val="000000" w:themeColor="text1"/>
              </w:rPr>
              <w:t>号</w:t>
            </w:r>
          </w:p>
        </w:tc>
        <w:tc>
          <w:tcPr>
            <w:tcW w:w="1622" w:type="pct"/>
            <w:vMerge/>
            <w:vAlign w:val="center"/>
          </w:tcPr>
          <w:p w:rsidR="00644456" w:rsidRDefault="00644456">
            <w:pPr>
              <w:pStyle w:val="afffffff4"/>
              <w:rPr>
                <w:rFonts w:cs="Times New Roman"/>
                <w:color w:val="000000" w:themeColor="text1"/>
              </w:rPr>
            </w:pPr>
          </w:p>
        </w:tc>
      </w:tr>
      <w:tr w:rsidR="00644456">
        <w:tc>
          <w:tcPr>
            <w:tcW w:w="2145" w:type="pct"/>
            <w:vAlign w:val="center"/>
          </w:tcPr>
          <w:p w:rsidR="00644456" w:rsidRDefault="008031C4">
            <w:pPr>
              <w:pStyle w:val="afffffff4"/>
              <w:rPr>
                <w:rFonts w:cs="Times New Roman"/>
                <w:color w:val="000000" w:themeColor="text1"/>
              </w:rPr>
            </w:pPr>
            <w:r>
              <w:rPr>
                <w:rFonts w:cs="Times New Roman"/>
                <w:color w:val="000000" w:themeColor="text1"/>
              </w:rPr>
              <w:t>闪点</w:t>
            </w:r>
            <w:r>
              <w:rPr>
                <w:rFonts w:cs="Times New Roman" w:hint="eastAsia"/>
                <w:color w:val="000000" w:themeColor="text1"/>
              </w:rPr>
              <w:t>（</w:t>
            </w:r>
            <w:r>
              <w:rPr>
                <w:rFonts w:cs="Times New Roman"/>
                <w:color w:val="000000" w:themeColor="text1"/>
              </w:rPr>
              <w:t>开口</w:t>
            </w:r>
            <w:r>
              <w:rPr>
                <w:rFonts w:cs="Times New Roman" w:hint="eastAsia"/>
                <w:color w:val="000000" w:themeColor="text1"/>
              </w:rPr>
              <w:t>）</w:t>
            </w:r>
            <w:r>
              <w:rPr>
                <w:rFonts w:cs="Times New Roman"/>
                <w:color w:val="000000" w:themeColor="text1"/>
              </w:rPr>
              <w:t>，</w:t>
            </w:r>
            <w:r>
              <w:rPr>
                <w:rFonts w:cs="Times New Roman"/>
                <w:color w:val="000000" w:themeColor="text1"/>
              </w:rPr>
              <w:t>℃</w:t>
            </w:r>
            <w:r>
              <w:rPr>
                <w:rFonts w:cs="Times New Roman"/>
                <w:color w:val="000000" w:themeColor="text1"/>
              </w:rPr>
              <w:t>不低于</w:t>
            </w:r>
          </w:p>
        </w:tc>
        <w:tc>
          <w:tcPr>
            <w:tcW w:w="1233" w:type="pct"/>
            <w:vAlign w:val="center"/>
          </w:tcPr>
          <w:p w:rsidR="00644456" w:rsidRDefault="008031C4">
            <w:pPr>
              <w:pStyle w:val="afffffff4"/>
              <w:rPr>
                <w:rFonts w:cs="Times New Roman"/>
                <w:color w:val="000000" w:themeColor="text1"/>
              </w:rPr>
            </w:pPr>
            <w:r>
              <w:rPr>
                <w:rFonts w:cs="Times New Roman"/>
                <w:color w:val="000000" w:themeColor="text1"/>
              </w:rPr>
              <w:t>130</w:t>
            </w:r>
          </w:p>
        </w:tc>
        <w:tc>
          <w:tcPr>
            <w:tcW w:w="1622" w:type="pct"/>
            <w:vAlign w:val="center"/>
          </w:tcPr>
          <w:p w:rsidR="00644456" w:rsidRDefault="008031C4">
            <w:pPr>
              <w:pStyle w:val="afffffff4"/>
              <w:rPr>
                <w:rFonts w:cs="Times New Roman"/>
                <w:color w:val="000000" w:themeColor="text1"/>
              </w:rPr>
            </w:pPr>
            <w:r>
              <w:rPr>
                <w:rFonts w:cs="Times New Roman"/>
                <w:color w:val="000000" w:themeColor="text1"/>
              </w:rPr>
              <w:t>GB/T3536</w:t>
            </w:r>
          </w:p>
        </w:tc>
      </w:tr>
      <w:tr w:rsidR="00644456">
        <w:tc>
          <w:tcPr>
            <w:tcW w:w="2145" w:type="pct"/>
            <w:vAlign w:val="center"/>
          </w:tcPr>
          <w:p w:rsidR="00644456" w:rsidRDefault="008031C4">
            <w:pPr>
              <w:pStyle w:val="afffffff4"/>
              <w:rPr>
                <w:rFonts w:cs="Times New Roman"/>
                <w:color w:val="000000" w:themeColor="text1"/>
              </w:rPr>
            </w:pPr>
            <w:r>
              <w:rPr>
                <w:rFonts w:cs="Times New Roman"/>
                <w:color w:val="000000" w:themeColor="text1"/>
              </w:rPr>
              <w:t>水和沉淀物，</w:t>
            </w:r>
            <w:r>
              <w:rPr>
                <w:rFonts w:cs="Times New Roman"/>
                <w:color w:val="000000" w:themeColor="text1"/>
              </w:rPr>
              <w:t>%</w:t>
            </w:r>
            <w:r>
              <w:rPr>
                <w:rFonts w:cs="Times New Roman" w:hint="eastAsia"/>
                <w:color w:val="000000" w:themeColor="text1"/>
              </w:rPr>
              <w:t>（</w:t>
            </w:r>
            <w:r>
              <w:rPr>
                <w:rFonts w:cs="Times New Roman"/>
                <w:color w:val="000000" w:themeColor="text1"/>
              </w:rPr>
              <w:t>v/v</w:t>
            </w:r>
            <w:r>
              <w:rPr>
                <w:rFonts w:cs="Times New Roman" w:hint="eastAsia"/>
                <w:color w:val="000000" w:themeColor="text1"/>
              </w:rPr>
              <w:t>）</w:t>
            </w:r>
            <w:r>
              <w:rPr>
                <w:rFonts w:cs="Times New Roman"/>
                <w:color w:val="000000" w:themeColor="text1"/>
              </w:rPr>
              <w:t>不大于</w:t>
            </w:r>
          </w:p>
        </w:tc>
        <w:tc>
          <w:tcPr>
            <w:tcW w:w="1233" w:type="pct"/>
            <w:vAlign w:val="center"/>
          </w:tcPr>
          <w:p w:rsidR="00644456" w:rsidRDefault="008031C4">
            <w:pPr>
              <w:pStyle w:val="afffffff4"/>
              <w:rPr>
                <w:rFonts w:cs="Times New Roman"/>
                <w:color w:val="000000" w:themeColor="text1"/>
              </w:rPr>
            </w:pPr>
            <w:r>
              <w:rPr>
                <w:rFonts w:cs="Times New Roman"/>
                <w:color w:val="000000" w:themeColor="text1"/>
              </w:rPr>
              <w:t>3.00</w:t>
            </w:r>
          </w:p>
        </w:tc>
        <w:tc>
          <w:tcPr>
            <w:tcW w:w="1622" w:type="pct"/>
            <w:vAlign w:val="center"/>
          </w:tcPr>
          <w:p w:rsidR="00644456" w:rsidRDefault="008031C4">
            <w:pPr>
              <w:pStyle w:val="afffffff4"/>
              <w:rPr>
                <w:rFonts w:cs="Times New Roman"/>
                <w:color w:val="000000" w:themeColor="text1"/>
              </w:rPr>
            </w:pPr>
            <w:r>
              <w:rPr>
                <w:rFonts w:cs="Times New Roman"/>
                <w:color w:val="000000" w:themeColor="text1"/>
              </w:rPr>
              <w:t>GB/T6533</w:t>
            </w:r>
          </w:p>
        </w:tc>
      </w:tr>
      <w:tr w:rsidR="00644456">
        <w:tc>
          <w:tcPr>
            <w:tcW w:w="2145" w:type="pct"/>
            <w:vAlign w:val="center"/>
          </w:tcPr>
          <w:p w:rsidR="00644456" w:rsidRDefault="008031C4">
            <w:pPr>
              <w:pStyle w:val="afffffff4"/>
              <w:rPr>
                <w:rFonts w:cs="Times New Roman"/>
                <w:color w:val="000000" w:themeColor="text1"/>
              </w:rPr>
            </w:pPr>
            <w:r>
              <w:rPr>
                <w:rFonts w:cs="Times New Roman"/>
                <w:color w:val="000000" w:themeColor="text1"/>
              </w:rPr>
              <w:t>运动粘度，</w:t>
            </w:r>
            <w:r>
              <w:rPr>
                <w:rFonts w:cs="Times New Roman"/>
                <w:color w:val="000000" w:themeColor="text1"/>
              </w:rPr>
              <w:t>mm</w:t>
            </w:r>
            <w:r>
              <w:rPr>
                <w:rFonts w:cs="Times New Roman"/>
                <w:color w:val="000000" w:themeColor="text1"/>
                <w:vertAlign w:val="superscript"/>
              </w:rPr>
              <w:t>2</w:t>
            </w:r>
            <w:r>
              <w:rPr>
                <w:rFonts w:cs="Times New Roman"/>
                <w:color w:val="000000" w:themeColor="text1"/>
              </w:rPr>
              <w:t>/s100℃</w:t>
            </w:r>
            <w:r>
              <w:rPr>
                <w:rFonts w:cs="Times New Roman"/>
                <w:color w:val="000000" w:themeColor="text1"/>
              </w:rPr>
              <w:t>不大于</w:t>
            </w:r>
          </w:p>
        </w:tc>
        <w:tc>
          <w:tcPr>
            <w:tcW w:w="1233" w:type="pct"/>
            <w:vAlign w:val="center"/>
          </w:tcPr>
          <w:p w:rsidR="00644456" w:rsidRDefault="008031C4">
            <w:pPr>
              <w:pStyle w:val="afffffff4"/>
              <w:rPr>
                <w:rFonts w:cs="Times New Roman"/>
                <w:color w:val="000000" w:themeColor="text1"/>
              </w:rPr>
            </w:pPr>
            <w:r>
              <w:rPr>
                <w:rFonts w:cs="Times New Roman"/>
                <w:color w:val="000000" w:themeColor="text1"/>
              </w:rPr>
              <w:t>185</w:t>
            </w:r>
          </w:p>
        </w:tc>
        <w:tc>
          <w:tcPr>
            <w:tcW w:w="1622" w:type="pct"/>
            <w:vAlign w:val="center"/>
          </w:tcPr>
          <w:p w:rsidR="00644456" w:rsidRDefault="008031C4">
            <w:pPr>
              <w:pStyle w:val="afffffff4"/>
              <w:rPr>
                <w:rFonts w:cs="Times New Roman"/>
                <w:color w:val="000000" w:themeColor="text1"/>
              </w:rPr>
            </w:pPr>
            <w:r>
              <w:rPr>
                <w:rFonts w:cs="Times New Roman"/>
                <w:color w:val="000000" w:themeColor="text1"/>
              </w:rPr>
              <w:t>GB/T265</w:t>
            </w:r>
            <w:r>
              <w:rPr>
                <w:rFonts w:cs="Times New Roman"/>
                <w:color w:val="000000" w:themeColor="text1"/>
              </w:rPr>
              <w:t>或</w:t>
            </w:r>
            <w:r>
              <w:rPr>
                <w:rFonts w:cs="Times New Roman"/>
                <w:color w:val="000000" w:themeColor="text1"/>
              </w:rPr>
              <w:t>GB/T11137</w:t>
            </w:r>
          </w:p>
        </w:tc>
      </w:tr>
    </w:tbl>
    <w:p w:rsidR="00644456" w:rsidRDefault="008031C4">
      <w:pPr>
        <w:pStyle w:val="20"/>
        <w:numPr>
          <w:ilvl w:val="1"/>
          <w:numId w:val="0"/>
        </w:numPr>
        <w:snapToGrid w:val="0"/>
        <w:spacing w:beforeLines="0" w:before="0" w:afterLines="0" w:after="0"/>
        <w:ind w:firstLineChars="200" w:firstLine="562"/>
        <w:rPr>
          <w:rFonts w:cs="Times New Roman"/>
          <w:color w:val="000000" w:themeColor="text1"/>
        </w:rPr>
      </w:pPr>
      <w:bookmarkStart w:id="112" w:name="_Toc177216866"/>
      <w:bookmarkEnd w:id="106"/>
      <w:bookmarkEnd w:id="107"/>
      <w:bookmarkEnd w:id="108"/>
      <w:bookmarkEnd w:id="109"/>
      <w:bookmarkEnd w:id="110"/>
      <w:bookmarkEnd w:id="111"/>
      <w:r>
        <w:rPr>
          <w:rFonts w:cs="Times New Roman" w:hint="eastAsia"/>
          <w:color w:val="000000" w:themeColor="text1"/>
        </w:rPr>
        <w:t>2.2</w:t>
      </w:r>
      <w:r>
        <w:rPr>
          <w:rFonts w:cs="Times New Roman" w:hint="eastAsia"/>
          <w:color w:val="000000" w:themeColor="text1"/>
        </w:rPr>
        <w:t>项目组成及建设内容</w:t>
      </w:r>
      <w:bookmarkEnd w:id="112"/>
    </w:p>
    <w:p w:rsidR="00644456" w:rsidRDefault="008031C4">
      <w:pPr>
        <w:pStyle w:val="1fd"/>
        <w:rPr>
          <w:color w:val="000000" w:themeColor="text1"/>
        </w:rPr>
      </w:pPr>
      <w:r>
        <w:rPr>
          <w:rFonts w:hint="eastAsia"/>
          <w:color w:val="000000" w:themeColor="text1"/>
        </w:rPr>
        <w:t>项目总占地面积为</w:t>
      </w:r>
      <w:r>
        <w:rPr>
          <w:rFonts w:hint="eastAsia"/>
          <w:color w:val="000000" w:themeColor="text1"/>
        </w:rPr>
        <w:t>30524.0m</w:t>
      </w:r>
      <w:r>
        <w:rPr>
          <w:rFonts w:hint="eastAsia"/>
          <w:color w:val="000000" w:themeColor="text1"/>
          <w:vertAlign w:val="superscript"/>
        </w:rPr>
        <w:t>2</w:t>
      </w:r>
      <w:r>
        <w:rPr>
          <w:rFonts w:hint="eastAsia"/>
          <w:color w:val="000000" w:themeColor="text1"/>
        </w:rPr>
        <w:t>，总建（构）物筑占地面积为</w:t>
      </w:r>
      <w:r>
        <w:rPr>
          <w:rFonts w:hint="eastAsia"/>
          <w:color w:val="000000" w:themeColor="text1"/>
        </w:rPr>
        <w:t>11827.8m</w:t>
      </w:r>
      <w:r>
        <w:rPr>
          <w:rFonts w:hint="eastAsia"/>
          <w:color w:val="000000" w:themeColor="text1"/>
          <w:vertAlign w:val="superscript"/>
        </w:rPr>
        <w:t>2</w:t>
      </w:r>
      <w:r>
        <w:rPr>
          <w:rFonts w:hint="eastAsia"/>
          <w:color w:val="000000" w:themeColor="text1"/>
        </w:rPr>
        <w:t>，本项目以废矿物油为原料（主要来自疏勒县及周边区域汽车</w:t>
      </w:r>
      <w:r>
        <w:rPr>
          <w:rFonts w:hint="eastAsia"/>
          <w:color w:val="000000" w:themeColor="text1"/>
        </w:rPr>
        <w:t>4S</w:t>
      </w:r>
      <w:r>
        <w:rPr>
          <w:rFonts w:hint="eastAsia"/>
          <w:color w:val="000000" w:themeColor="text1"/>
        </w:rPr>
        <w:t>店、车辆修保企业、工程机械修理厂产生的废弃发动机油、刹车油、传动油、变速箱油、齿轮油等；水泥企业、纺织企业、矿山企业及非煤矿山企业产生的废弃轴承润滑油、液压油、齿轮油、机床润滑油等），采用“减压蒸馏</w:t>
      </w:r>
      <w:r>
        <w:rPr>
          <w:rFonts w:hint="eastAsia"/>
          <w:color w:val="000000" w:themeColor="text1"/>
        </w:rPr>
        <w:t>+</w:t>
      </w:r>
      <w:r>
        <w:rPr>
          <w:rFonts w:hint="eastAsia"/>
          <w:color w:val="000000" w:themeColor="text1"/>
        </w:rPr>
        <w:t>溶剂精制”工艺，废润滑油再生后获得润滑油基础油、再生尾油及燃料油三种产品。本项目年处理能力为</w:t>
      </w:r>
      <w:r>
        <w:rPr>
          <w:rFonts w:hint="eastAsia"/>
          <w:color w:val="000000" w:themeColor="text1"/>
        </w:rPr>
        <w:t>3</w:t>
      </w:r>
      <w:r>
        <w:rPr>
          <w:rFonts w:hint="eastAsia"/>
          <w:color w:val="000000" w:themeColor="text1"/>
        </w:rPr>
        <w:t>万吨，具体建设两条</w:t>
      </w:r>
      <w:r>
        <w:rPr>
          <w:rFonts w:hint="eastAsia"/>
          <w:color w:val="000000" w:themeColor="text1"/>
        </w:rPr>
        <w:t>1.5</w:t>
      </w:r>
      <w:r>
        <w:rPr>
          <w:rFonts w:hint="eastAsia"/>
          <w:color w:val="000000" w:themeColor="text1"/>
        </w:rPr>
        <w:t>万吨</w:t>
      </w:r>
      <w:r>
        <w:rPr>
          <w:rFonts w:hint="eastAsia"/>
          <w:color w:val="000000" w:themeColor="text1"/>
        </w:rPr>
        <w:t>/</w:t>
      </w:r>
      <w:r>
        <w:rPr>
          <w:rFonts w:hint="eastAsia"/>
          <w:color w:val="000000" w:themeColor="text1"/>
        </w:rPr>
        <w:t>年废润滑油再生生产线，建设蒸馏和精制装置区（包含两条</w:t>
      </w:r>
      <w:r>
        <w:rPr>
          <w:rFonts w:hint="eastAsia"/>
          <w:color w:val="000000" w:themeColor="text1"/>
        </w:rPr>
        <w:t>1.5</w:t>
      </w:r>
      <w:r>
        <w:rPr>
          <w:rFonts w:hint="eastAsia"/>
          <w:color w:val="000000" w:themeColor="text1"/>
        </w:rPr>
        <w:t>万吨</w:t>
      </w:r>
      <w:r>
        <w:rPr>
          <w:rFonts w:hint="eastAsia"/>
          <w:color w:val="000000" w:themeColor="text1"/>
        </w:rPr>
        <w:t>/</w:t>
      </w:r>
      <w:r>
        <w:rPr>
          <w:rFonts w:hint="eastAsia"/>
          <w:color w:val="000000" w:themeColor="text1"/>
        </w:rPr>
        <w:t>年废润滑油再生生产装置）、尾气处理区、原料和产品罐区（本项目厂区内设置</w:t>
      </w:r>
      <w:r>
        <w:rPr>
          <w:rFonts w:hint="eastAsia"/>
          <w:color w:val="000000" w:themeColor="text1"/>
        </w:rPr>
        <w:t>5</w:t>
      </w:r>
      <w:r>
        <w:rPr>
          <w:rFonts w:hint="eastAsia"/>
          <w:color w:val="000000" w:themeColor="text1"/>
        </w:rPr>
        <w:t>个</w:t>
      </w:r>
      <w:r>
        <w:rPr>
          <w:rFonts w:hint="eastAsia"/>
          <w:color w:val="000000" w:themeColor="text1"/>
        </w:rPr>
        <w:t>300m</w:t>
      </w:r>
      <w:r>
        <w:rPr>
          <w:rFonts w:hint="eastAsia"/>
          <w:color w:val="000000" w:themeColor="text1"/>
          <w:vertAlign w:val="superscript"/>
        </w:rPr>
        <w:t>3</w:t>
      </w:r>
      <w:r>
        <w:rPr>
          <w:rFonts w:hint="eastAsia"/>
          <w:color w:val="000000" w:themeColor="text1"/>
        </w:rPr>
        <w:t>原料储罐，用于废矿物油的暂存，</w:t>
      </w:r>
      <w:r>
        <w:rPr>
          <w:rFonts w:hint="eastAsia"/>
          <w:color w:val="000000" w:themeColor="text1"/>
        </w:rPr>
        <w:t>3</w:t>
      </w:r>
      <w:r>
        <w:rPr>
          <w:rFonts w:hint="eastAsia"/>
          <w:color w:val="000000" w:themeColor="text1"/>
        </w:rPr>
        <w:t>个</w:t>
      </w:r>
      <w:r>
        <w:rPr>
          <w:rFonts w:hint="eastAsia"/>
          <w:color w:val="000000" w:themeColor="text1"/>
        </w:rPr>
        <w:t>300m</w:t>
      </w:r>
      <w:r>
        <w:rPr>
          <w:rFonts w:hint="eastAsia"/>
          <w:color w:val="000000" w:themeColor="text1"/>
          <w:vertAlign w:val="superscript"/>
        </w:rPr>
        <w:t>3</w:t>
      </w:r>
      <w:r>
        <w:rPr>
          <w:rFonts w:hint="eastAsia"/>
          <w:color w:val="000000" w:themeColor="text1"/>
        </w:rPr>
        <w:t>产品储罐，</w:t>
      </w:r>
      <w:r>
        <w:rPr>
          <w:rFonts w:hint="eastAsia"/>
          <w:color w:val="000000" w:themeColor="text1"/>
        </w:rPr>
        <w:t>1</w:t>
      </w:r>
      <w:r>
        <w:rPr>
          <w:rFonts w:hint="eastAsia"/>
          <w:color w:val="000000" w:themeColor="text1"/>
        </w:rPr>
        <w:t>个</w:t>
      </w:r>
      <w:r>
        <w:rPr>
          <w:rFonts w:hint="eastAsia"/>
          <w:color w:val="000000" w:themeColor="text1"/>
        </w:rPr>
        <w:t>100m</w:t>
      </w:r>
      <w:r>
        <w:rPr>
          <w:rFonts w:hint="eastAsia"/>
          <w:color w:val="000000" w:themeColor="text1"/>
          <w:vertAlign w:val="superscript"/>
        </w:rPr>
        <w:t>3</w:t>
      </w:r>
      <w:r>
        <w:rPr>
          <w:rFonts w:hint="eastAsia"/>
          <w:color w:val="000000" w:themeColor="text1"/>
        </w:rPr>
        <w:t>产品储罐，用于再生润滑油基础油、再生尾油、燃料油的储存）、消防水池及泵房、循环水池及泵房、事故收集池、控制室、配电室、空氮站、危废库、化学品库、维修间、化验室及办公生活区等。</w:t>
      </w:r>
    </w:p>
    <w:p w:rsidR="00644456" w:rsidRPr="006214B2" w:rsidRDefault="008031C4">
      <w:pPr>
        <w:pStyle w:val="-"/>
        <w:ind w:firstLine="482"/>
        <w:rPr>
          <w:rFonts w:cs="Times New Roman"/>
          <w:b/>
          <w:bCs/>
          <w:color w:val="FF0000"/>
          <w:szCs w:val="24"/>
        </w:rPr>
      </w:pPr>
      <w:r w:rsidRPr="006214B2">
        <w:rPr>
          <w:rFonts w:cs="Times New Roman"/>
          <w:b/>
          <w:bCs/>
          <w:color w:val="FF0000"/>
          <w:szCs w:val="24"/>
        </w:rPr>
        <w:t>项目组成及主要环境</w:t>
      </w:r>
      <w:r w:rsidR="006214B2" w:rsidRPr="006214B2">
        <w:rPr>
          <w:rFonts w:cs="Times New Roman" w:hint="eastAsia"/>
          <w:b/>
          <w:bCs/>
          <w:color w:val="FF0000"/>
          <w:szCs w:val="24"/>
        </w:rPr>
        <w:t>影响</w:t>
      </w:r>
      <w:r w:rsidRPr="006214B2">
        <w:rPr>
          <w:rFonts w:cs="Times New Roman"/>
          <w:b/>
          <w:bCs/>
          <w:color w:val="FF0000"/>
          <w:szCs w:val="24"/>
        </w:rPr>
        <w:t>见下表。</w:t>
      </w:r>
      <w:bookmarkStart w:id="113" w:name="_Toc369191616"/>
      <w:bookmarkStart w:id="114" w:name="_Toc369334799"/>
      <w:bookmarkStart w:id="115" w:name="_Toc369359666"/>
      <w:bookmarkStart w:id="116" w:name="_Toc369334619"/>
      <w:bookmarkStart w:id="117" w:name="_Toc12643"/>
      <w:bookmarkStart w:id="118" w:name="_Toc369197781"/>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2.2</w:t>
      </w:r>
      <w:r>
        <w:rPr>
          <w:rFonts w:ascii="Times New Roman" w:eastAsia="宋体" w:hAnsi="Times New Roman" w:cs="Times New Roman" w:hint="eastAsia"/>
          <w:b/>
          <w:color w:val="000000" w:themeColor="text1"/>
          <w:sz w:val="24"/>
        </w:rPr>
        <w:noBreakHyphen/>
        <w:t>1</w:t>
      </w:r>
      <w:r>
        <w:rPr>
          <w:rFonts w:ascii="Times New Roman" w:eastAsia="宋体" w:hAnsi="Times New Roman" w:cs="Times New Roman" w:hint="eastAsia"/>
          <w:b/>
          <w:color w:val="000000" w:themeColor="text1"/>
          <w:sz w:val="24"/>
        </w:rPr>
        <w:t>项目组成及主要环境影响</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7"/>
        <w:gridCol w:w="1661"/>
        <w:gridCol w:w="4505"/>
        <w:gridCol w:w="789"/>
        <w:gridCol w:w="852"/>
        <w:gridCol w:w="751"/>
      </w:tblGrid>
      <w:tr w:rsidR="00644456">
        <w:tc>
          <w:tcPr>
            <w:tcW w:w="1179" w:type="pct"/>
            <w:gridSpan w:val="2"/>
            <w:vMerge w:val="restart"/>
            <w:shd w:val="clear" w:color="auto" w:fill="auto"/>
            <w:vAlign w:val="center"/>
          </w:tcPr>
          <w:p w:rsidR="00644456" w:rsidRDefault="008031C4">
            <w:pPr>
              <w:pStyle w:val="afffffff4"/>
              <w:rPr>
                <w:rFonts w:cs="Times New Roman"/>
                <w:b/>
                <w:bCs/>
                <w:snapToGrid/>
                <w:color w:val="000000" w:themeColor="text1"/>
                <w:kern w:val="2"/>
              </w:rPr>
            </w:pPr>
            <w:bookmarkStart w:id="119" w:name="_Hlk148972931"/>
            <w:r>
              <w:rPr>
                <w:rFonts w:cs="Times New Roman"/>
                <w:b/>
                <w:bCs/>
                <w:snapToGrid/>
                <w:color w:val="000000" w:themeColor="text1"/>
                <w:kern w:val="2"/>
              </w:rPr>
              <w:t>名称</w:t>
            </w:r>
          </w:p>
        </w:tc>
        <w:tc>
          <w:tcPr>
            <w:tcW w:w="2496" w:type="pct"/>
            <w:vMerge w:val="restart"/>
            <w:shd w:val="clear" w:color="auto" w:fill="auto"/>
            <w:vAlign w:val="center"/>
          </w:tcPr>
          <w:p w:rsidR="00644456" w:rsidRDefault="008031C4">
            <w:pPr>
              <w:pStyle w:val="afffffff4"/>
              <w:rPr>
                <w:rFonts w:cs="Times New Roman"/>
                <w:b/>
                <w:bCs/>
                <w:snapToGrid/>
                <w:color w:val="000000" w:themeColor="text1"/>
                <w:kern w:val="2"/>
              </w:rPr>
            </w:pPr>
            <w:r>
              <w:rPr>
                <w:rFonts w:cs="Times New Roman"/>
                <w:b/>
                <w:bCs/>
                <w:snapToGrid/>
                <w:color w:val="000000" w:themeColor="text1"/>
                <w:kern w:val="2"/>
              </w:rPr>
              <w:t>主要建设内容</w:t>
            </w:r>
          </w:p>
        </w:tc>
        <w:tc>
          <w:tcPr>
            <w:tcW w:w="909" w:type="pct"/>
            <w:gridSpan w:val="2"/>
            <w:shd w:val="clear" w:color="auto" w:fill="auto"/>
            <w:vAlign w:val="center"/>
          </w:tcPr>
          <w:p w:rsidR="00644456" w:rsidRDefault="008031C4">
            <w:pPr>
              <w:pStyle w:val="afffffff4"/>
              <w:rPr>
                <w:rFonts w:cs="Times New Roman"/>
                <w:b/>
                <w:bCs/>
                <w:snapToGrid/>
                <w:color w:val="000000" w:themeColor="text1"/>
                <w:kern w:val="2"/>
              </w:rPr>
            </w:pPr>
            <w:r>
              <w:rPr>
                <w:rFonts w:cs="Times New Roman"/>
                <w:b/>
                <w:bCs/>
                <w:snapToGrid/>
                <w:color w:val="000000" w:themeColor="text1"/>
                <w:kern w:val="2"/>
              </w:rPr>
              <w:t>主要环境影响</w:t>
            </w:r>
          </w:p>
        </w:tc>
        <w:tc>
          <w:tcPr>
            <w:tcW w:w="416" w:type="pct"/>
            <w:vMerge w:val="restart"/>
            <w:shd w:val="clear" w:color="auto" w:fill="auto"/>
            <w:vAlign w:val="center"/>
          </w:tcPr>
          <w:p w:rsidR="00644456" w:rsidRDefault="008031C4">
            <w:pPr>
              <w:pStyle w:val="afffffff4"/>
              <w:rPr>
                <w:rFonts w:cs="Times New Roman"/>
                <w:b/>
                <w:bCs/>
                <w:snapToGrid/>
                <w:color w:val="000000" w:themeColor="text1"/>
                <w:kern w:val="2"/>
                <w:sz w:val="24"/>
              </w:rPr>
            </w:pPr>
            <w:r>
              <w:rPr>
                <w:rFonts w:cs="Times New Roman"/>
                <w:b/>
                <w:bCs/>
                <w:snapToGrid/>
                <w:color w:val="000000" w:themeColor="text1"/>
                <w:kern w:val="2"/>
                <w:sz w:val="24"/>
              </w:rPr>
              <w:t>备注</w:t>
            </w:r>
          </w:p>
        </w:tc>
      </w:tr>
      <w:tr w:rsidR="00644456">
        <w:tc>
          <w:tcPr>
            <w:tcW w:w="1179" w:type="pct"/>
            <w:gridSpan w:val="2"/>
            <w:vMerge/>
            <w:shd w:val="clear" w:color="auto" w:fill="auto"/>
            <w:vAlign w:val="center"/>
          </w:tcPr>
          <w:p w:rsidR="00644456" w:rsidRDefault="00644456">
            <w:pPr>
              <w:pStyle w:val="afffffff4"/>
              <w:rPr>
                <w:rFonts w:cs="Times New Roman"/>
                <w:b/>
                <w:bCs/>
                <w:snapToGrid/>
                <w:color w:val="000000" w:themeColor="text1"/>
                <w:kern w:val="2"/>
              </w:rPr>
            </w:pPr>
          </w:p>
        </w:tc>
        <w:tc>
          <w:tcPr>
            <w:tcW w:w="2496" w:type="pct"/>
            <w:vMerge/>
            <w:shd w:val="clear" w:color="auto" w:fill="auto"/>
            <w:vAlign w:val="center"/>
          </w:tcPr>
          <w:p w:rsidR="00644456" w:rsidRDefault="00644456">
            <w:pPr>
              <w:pStyle w:val="afffffff4"/>
              <w:rPr>
                <w:rFonts w:cs="Times New Roman"/>
                <w:b/>
                <w:bCs/>
                <w:snapToGrid/>
                <w:color w:val="000000" w:themeColor="text1"/>
                <w:kern w:val="2"/>
              </w:rPr>
            </w:pPr>
          </w:p>
        </w:tc>
        <w:tc>
          <w:tcPr>
            <w:tcW w:w="437" w:type="pct"/>
            <w:shd w:val="clear" w:color="auto" w:fill="auto"/>
            <w:vAlign w:val="center"/>
          </w:tcPr>
          <w:p w:rsidR="00644456" w:rsidRDefault="008031C4">
            <w:pPr>
              <w:pStyle w:val="afffffff4"/>
              <w:rPr>
                <w:rFonts w:cs="Times New Roman"/>
                <w:b/>
                <w:bCs/>
                <w:snapToGrid/>
                <w:color w:val="000000" w:themeColor="text1"/>
                <w:kern w:val="2"/>
              </w:rPr>
            </w:pPr>
            <w:r>
              <w:rPr>
                <w:rFonts w:cs="Times New Roman"/>
                <w:b/>
                <w:bCs/>
                <w:snapToGrid/>
                <w:color w:val="000000" w:themeColor="text1"/>
                <w:kern w:val="2"/>
              </w:rPr>
              <w:t>施工期</w:t>
            </w:r>
          </w:p>
        </w:tc>
        <w:tc>
          <w:tcPr>
            <w:tcW w:w="472" w:type="pct"/>
            <w:shd w:val="clear" w:color="auto" w:fill="auto"/>
            <w:vAlign w:val="center"/>
          </w:tcPr>
          <w:p w:rsidR="00644456" w:rsidRDefault="008031C4">
            <w:pPr>
              <w:pStyle w:val="afffffff4"/>
              <w:rPr>
                <w:rFonts w:cs="Times New Roman"/>
                <w:b/>
                <w:bCs/>
                <w:snapToGrid/>
                <w:color w:val="000000" w:themeColor="text1"/>
                <w:kern w:val="2"/>
              </w:rPr>
            </w:pPr>
            <w:r>
              <w:rPr>
                <w:rFonts w:cs="Times New Roman"/>
                <w:b/>
                <w:bCs/>
                <w:snapToGrid/>
                <w:color w:val="000000" w:themeColor="text1"/>
                <w:kern w:val="2"/>
              </w:rPr>
              <w:t>营运期</w:t>
            </w:r>
          </w:p>
        </w:tc>
        <w:tc>
          <w:tcPr>
            <w:tcW w:w="416" w:type="pct"/>
            <w:vMerge/>
            <w:shd w:val="clear" w:color="auto" w:fill="auto"/>
            <w:vAlign w:val="center"/>
          </w:tcPr>
          <w:p w:rsidR="00644456" w:rsidRDefault="00644456">
            <w:pPr>
              <w:pStyle w:val="afffffff4"/>
              <w:rPr>
                <w:rFonts w:cs="Times New Roman"/>
                <w:b/>
                <w:bCs/>
                <w:snapToGrid/>
                <w:color w:val="000000" w:themeColor="text1"/>
                <w:kern w:val="2"/>
                <w:sz w:val="24"/>
              </w:rPr>
            </w:pPr>
          </w:p>
        </w:tc>
      </w:tr>
      <w:tr w:rsidR="00644456">
        <w:tc>
          <w:tcPr>
            <w:tcW w:w="259" w:type="pct"/>
            <w:vMerge w:val="restart"/>
            <w:shd w:val="clear" w:color="auto" w:fill="auto"/>
            <w:vAlign w:val="center"/>
          </w:tcPr>
          <w:p w:rsidR="00644456" w:rsidRDefault="008031C4">
            <w:pPr>
              <w:pStyle w:val="afffffff4"/>
              <w:rPr>
                <w:rFonts w:cs="Times New Roman"/>
                <w:snapToGrid/>
                <w:color w:val="000000" w:themeColor="text1"/>
                <w:kern w:val="2"/>
              </w:rPr>
            </w:pPr>
            <w:r>
              <w:rPr>
                <w:rFonts w:cs="Times New Roman"/>
                <w:snapToGrid/>
                <w:color w:val="000000" w:themeColor="text1"/>
                <w:kern w:val="2"/>
              </w:rPr>
              <w:t>主体工程</w:t>
            </w:r>
          </w:p>
        </w:tc>
        <w:tc>
          <w:tcPr>
            <w:tcW w:w="920" w:type="pct"/>
            <w:shd w:val="clear" w:color="auto" w:fill="auto"/>
            <w:vAlign w:val="center"/>
          </w:tcPr>
          <w:p w:rsidR="00644456" w:rsidRDefault="008031C4">
            <w:pPr>
              <w:pStyle w:val="afffffff4"/>
              <w:rPr>
                <w:rFonts w:cs="Times New Roman"/>
                <w:color w:val="000000" w:themeColor="text1"/>
              </w:rPr>
            </w:pPr>
            <w:r>
              <w:rPr>
                <w:rFonts w:ascii="宋体" w:hAnsi="宋体" w:hint="eastAsia"/>
                <w:color w:val="000000" w:themeColor="text1"/>
                <w:szCs w:val="24"/>
              </w:rPr>
              <w:t>预处理</w:t>
            </w:r>
          </w:p>
        </w:tc>
        <w:tc>
          <w:tcPr>
            <w:tcW w:w="2496" w:type="pct"/>
            <w:shd w:val="clear" w:color="auto" w:fill="auto"/>
            <w:vAlign w:val="center"/>
          </w:tcPr>
          <w:p w:rsidR="00644456" w:rsidRDefault="008031C4">
            <w:pPr>
              <w:adjustRightInd w:val="0"/>
              <w:jc w:val="left"/>
              <w:rPr>
                <w:color w:val="000000" w:themeColor="text1"/>
              </w:rPr>
            </w:pPr>
            <w:r>
              <w:rPr>
                <w:rFonts w:ascii="宋体" w:hAnsi="宋体" w:hint="eastAsia"/>
                <w:color w:val="000000" w:themeColor="text1"/>
                <w:szCs w:val="24"/>
              </w:rPr>
              <w:t>设置添加剂调和系统、添加剂反应系统、加热装置主要用于废润滑油的预处理。</w:t>
            </w:r>
          </w:p>
        </w:tc>
        <w:tc>
          <w:tcPr>
            <w:tcW w:w="437" w:type="pct"/>
            <w:vMerge w:val="restart"/>
            <w:shd w:val="clear" w:color="auto" w:fill="auto"/>
            <w:vAlign w:val="center"/>
          </w:tcPr>
          <w:p w:rsidR="00644456" w:rsidRDefault="008031C4">
            <w:pPr>
              <w:adjustRightInd w:val="0"/>
              <w:spacing w:line="250" w:lineRule="exact"/>
              <w:jc w:val="center"/>
              <w:rPr>
                <w:rFonts w:cs="Times New Roman"/>
                <w:color w:val="000000" w:themeColor="text1"/>
              </w:rPr>
            </w:pPr>
            <w:r>
              <w:rPr>
                <w:color w:val="000000" w:themeColor="text1"/>
                <w:kern w:val="0"/>
                <w:szCs w:val="21"/>
              </w:rPr>
              <w:t>废水、扬尘、噪声、</w:t>
            </w:r>
            <w:r w:rsidR="006214B2">
              <w:rPr>
                <w:rFonts w:hint="eastAsia"/>
                <w:color w:val="000000" w:themeColor="text1"/>
                <w:kern w:val="0"/>
                <w:szCs w:val="21"/>
              </w:rPr>
              <w:t>水土流失</w:t>
            </w:r>
            <w:r>
              <w:rPr>
                <w:rFonts w:hint="eastAsia"/>
                <w:color w:val="000000" w:themeColor="text1"/>
                <w:kern w:val="0"/>
                <w:szCs w:val="21"/>
              </w:rPr>
              <w:t>等</w:t>
            </w:r>
          </w:p>
        </w:tc>
        <w:tc>
          <w:tcPr>
            <w:tcW w:w="472" w:type="pct"/>
            <w:vMerge w:val="restart"/>
            <w:shd w:val="clear" w:color="auto" w:fill="auto"/>
            <w:vAlign w:val="center"/>
          </w:tcPr>
          <w:p w:rsidR="00644456" w:rsidRDefault="008031C4">
            <w:pPr>
              <w:pStyle w:val="afffffff4"/>
              <w:rPr>
                <w:rFonts w:cs="Times New Roman"/>
                <w:snapToGrid/>
                <w:color w:val="000000" w:themeColor="text1"/>
                <w:kern w:val="2"/>
              </w:rPr>
            </w:pPr>
            <w:r>
              <w:rPr>
                <w:rFonts w:cs="Times New Roman"/>
                <w:snapToGrid/>
                <w:color w:val="000000" w:themeColor="text1"/>
                <w:kern w:val="2"/>
              </w:rPr>
              <w:t>废气、废水、噪声、固废</w:t>
            </w:r>
          </w:p>
        </w:tc>
        <w:tc>
          <w:tcPr>
            <w:tcW w:w="416"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color w:val="000000" w:themeColor="text1"/>
              </w:rPr>
              <w:t>新建</w:t>
            </w:r>
          </w:p>
        </w:tc>
      </w:tr>
      <w:tr w:rsidR="00644456">
        <w:tc>
          <w:tcPr>
            <w:tcW w:w="259" w:type="pct"/>
            <w:vMerge/>
            <w:shd w:val="clear" w:color="auto" w:fill="auto"/>
            <w:vAlign w:val="center"/>
          </w:tcPr>
          <w:p w:rsidR="00644456" w:rsidRDefault="00644456">
            <w:pPr>
              <w:pStyle w:val="afffffff4"/>
              <w:rPr>
                <w:rFonts w:cs="Times New Roman"/>
                <w:snapToGrid/>
                <w:color w:val="000000" w:themeColor="text1"/>
                <w:kern w:val="2"/>
              </w:rPr>
            </w:pPr>
          </w:p>
        </w:tc>
        <w:tc>
          <w:tcPr>
            <w:tcW w:w="920" w:type="pct"/>
            <w:shd w:val="clear" w:color="auto" w:fill="auto"/>
            <w:vAlign w:val="center"/>
          </w:tcPr>
          <w:p w:rsidR="00644456" w:rsidRDefault="008031C4">
            <w:pPr>
              <w:pStyle w:val="afffffff4"/>
              <w:rPr>
                <w:rFonts w:ascii="宋体" w:hAnsi="宋体"/>
                <w:color w:val="000000" w:themeColor="text1"/>
                <w:szCs w:val="24"/>
              </w:rPr>
            </w:pPr>
            <w:r>
              <w:rPr>
                <w:rFonts w:ascii="宋体" w:hAnsi="宋体" w:hint="eastAsia"/>
                <w:szCs w:val="24"/>
              </w:rPr>
              <w:t>减压蒸馏单元</w:t>
            </w:r>
          </w:p>
        </w:tc>
        <w:tc>
          <w:tcPr>
            <w:tcW w:w="2496" w:type="pct"/>
            <w:shd w:val="clear" w:color="auto" w:fill="auto"/>
            <w:vAlign w:val="center"/>
          </w:tcPr>
          <w:p w:rsidR="00644456" w:rsidRDefault="008031C4">
            <w:pPr>
              <w:adjustRightInd w:val="0"/>
              <w:jc w:val="left"/>
              <w:rPr>
                <w:rFonts w:ascii="宋体" w:hAnsi="宋体"/>
                <w:color w:val="000000" w:themeColor="text1"/>
                <w:szCs w:val="24"/>
              </w:rPr>
            </w:pPr>
            <w:r>
              <w:rPr>
                <w:rFonts w:ascii="宋体" w:hAnsi="宋体" w:hint="eastAsia"/>
                <w:szCs w:val="24"/>
              </w:rPr>
              <w:t>设置蒸馏系统、加热装置、冷却系统、收集系统、真空机组、冷却塔及配套机泵，用于废润滑油的蒸馏。</w:t>
            </w:r>
          </w:p>
        </w:tc>
        <w:tc>
          <w:tcPr>
            <w:tcW w:w="437" w:type="pct"/>
            <w:vMerge/>
            <w:shd w:val="clear" w:color="auto" w:fill="auto"/>
            <w:vAlign w:val="center"/>
          </w:tcPr>
          <w:p w:rsidR="00644456" w:rsidRDefault="00644456">
            <w:pPr>
              <w:adjustRightInd w:val="0"/>
              <w:spacing w:line="250" w:lineRule="exact"/>
              <w:jc w:val="center"/>
              <w:rPr>
                <w:color w:val="000000" w:themeColor="text1"/>
                <w:kern w:val="0"/>
                <w:szCs w:val="21"/>
              </w:rPr>
            </w:pPr>
          </w:p>
        </w:tc>
        <w:tc>
          <w:tcPr>
            <w:tcW w:w="472" w:type="pct"/>
            <w:vMerge/>
            <w:shd w:val="clear" w:color="auto" w:fill="auto"/>
            <w:vAlign w:val="center"/>
          </w:tcPr>
          <w:p w:rsidR="00644456" w:rsidRDefault="00644456">
            <w:pPr>
              <w:pStyle w:val="afffffff4"/>
              <w:rPr>
                <w:rFonts w:cs="Times New Roman"/>
                <w:snapToGrid/>
                <w:color w:val="000000" w:themeColor="text1"/>
                <w:kern w:val="2"/>
              </w:rPr>
            </w:pPr>
          </w:p>
        </w:tc>
        <w:tc>
          <w:tcPr>
            <w:tcW w:w="416"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color w:val="000000" w:themeColor="text1"/>
              </w:rPr>
              <w:t>新建</w:t>
            </w:r>
          </w:p>
        </w:tc>
      </w:tr>
      <w:tr w:rsidR="00644456">
        <w:tc>
          <w:tcPr>
            <w:tcW w:w="259" w:type="pct"/>
            <w:vMerge/>
            <w:shd w:val="clear" w:color="auto" w:fill="auto"/>
            <w:vAlign w:val="center"/>
          </w:tcPr>
          <w:p w:rsidR="00644456" w:rsidRDefault="00644456">
            <w:pPr>
              <w:pStyle w:val="afffffff4"/>
              <w:rPr>
                <w:rFonts w:cs="Times New Roman"/>
                <w:snapToGrid/>
                <w:color w:val="000000" w:themeColor="text1"/>
                <w:kern w:val="2"/>
              </w:rPr>
            </w:pPr>
          </w:p>
        </w:tc>
        <w:tc>
          <w:tcPr>
            <w:tcW w:w="920" w:type="pct"/>
            <w:shd w:val="clear" w:color="auto" w:fill="auto"/>
            <w:vAlign w:val="center"/>
          </w:tcPr>
          <w:p w:rsidR="00644456" w:rsidRDefault="008031C4">
            <w:pPr>
              <w:pStyle w:val="afffffff4"/>
              <w:rPr>
                <w:rFonts w:ascii="宋体" w:hAnsi="宋体"/>
                <w:color w:val="000000" w:themeColor="text1"/>
                <w:szCs w:val="24"/>
              </w:rPr>
            </w:pPr>
            <w:r>
              <w:rPr>
                <w:rFonts w:ascii="宋体" w:hAnsi="宋体" w:hint="eastAsia"/>
                <w:szCs w:val="24"/>
              </w:rPr>
              <w:t>溶剂精制单元</w:t>
            </w:r>
          </w:p>
        </w:tc>
        <w:tc>
          <w:tcPr>
            <w:tcW w:w="2496" w:type="pct"/>
            <w:shd w:val="clear" w:color="auto" w:fill="auto"/>
            <w:vAlign w:val="center"/>
          </w:tcPr>
          <w:p w:rsidR="00644456" w:rsidRDefault="008031C4">
            <w:pPr>
              <w:adjustRightInd w:val="0"/>
              <w:jc w:val="left"/>
              <w:rPr>
                <w:rFonts w:cs="Times New Roman"/>
                <w:szCs w:val="24"/>
              </w:rPr>
            </w:pPr>
            <w:r>
              <w:rPr>
                <w:rFonts w:cs="Times New Roman"/>
                <w:szCs w:val="24"/>
              </w:rPr>
              <w:t>设置加热系统、基础油分离系统、溶质回收系统、真空系统及配套机泵等，主要用于废润滑油的蒸馏后的基础油的精制。</w:t>
            </w:r>
          </w:p>
        </w:tc>
        <w:tc>
          <w:tcPr>
            <w:tcW w:w="437" w:type="pct"/>
            <w:vMerge/>
            <w:shd w:val="clear" w:color="auto" w:fill="auto"/>
            <w:vAlign w:val="center"/>
          </w:tcPr>
          <w:p w:rsidR="00644456" w:rsidRDefault="00644456">
            <w:pPr>
              <w:adjustRightInd w:val="0"/>
              <w:spacing w:line="250" w:lineRule="exact"/>
              <w:jc w:val="center"/>
              <w:rPr>
                <w:color w:val="000000" w:themeColor="text1"/>
                <w:kern w:val="0"/>
                <w:szCs w:val="21"/>
              </w:rPr>
            </w:pPr>
          </w:p>
        </w:tc>
        <w:tc>
          <w:tcPr>
            <w:tcW w:w="472" w:type="pct"/>
            <w:vMerge/>
            <w:shd w:val="clear" w:color="auto" w:fill="auto"/>
            <w:vAlign w:val="center"/>
          </w:tcPr>
          <w:p w:rsidR="00644456" w:rsidRDefault="00644456">
            <w:pPr>
              <w:pStyle w:val="afffffff4"/>
              <w:rPr>
                <w:rFonts w:cs="Times New Roman"/>
                <w:snapToGrid/>
                <w:color w:val="000000" w:themeColor="text1"/>
                <w:kern w:val="2"/>
              </w:rPr>
            </w:pPr>
          </w:p>
        </w:tc>
        <w:tc>
          <w:tcPr>
            <w:tcW w:w="416"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color w:val="000000" w:themeColor="text1"/>
              </w:rPr>
              <w:t>新建</w:t>
            </w:r>
          </w:p>
        </w:tc>
      </w:tr>
      <w:tr w:rsidR="00644456">
        <w:trPr>
          <w:trHeight w:val="362"/>
        </w:trPr>
        <w:tc>
          <w:tcPr>
            <w:tcW w:w="259" w:type="pct"/>
            <w:vMerge w:val="restar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辅助工程</w:t>
            </w:r>
          </w:p>
        </w:tc>
        <w:tc>
          <w:tcPr>
            <w:tcW w:w="920" w:type="pct"/>
            <w:shd w:val="clear" w:color="auto" w:fill="auto"/>
            <w:vAlign w:val="center"/>
          </w:tcPr>
          <w:p w:rsidR="00644456" w:rsidRDefault="008031C4">
            <w:pPr>
              <w:pStyle w:val="afffffff4"/>
              <w:rPr>
                <w:rFonts w:ascii="宋体" w:hAnsi="宋体"/>
                <w:szCs w:val="24"/>
              </w:rPr>
            </w:pPr>
            <w:r>
              <w:rPr>
                <w:rFonts w:ascii="宋体" w:hAnsi="宋体" w:hint="eastAsia"/>
                <w:szCs w:val="24"/>
              </w:rPr>
              <w:t>工艺管线</w:t>
            </w:r>
          </w:p>
        </w:tc>
        <w:tc>
          <w:tcPr>
            <w:tcW w:w="2496" w:type="pct"/>
            <w:shd w:val="clear" w:color="auto" w:fill="auto"/>
            <w:vAlign w:val="center"/>
          </w:tcPr>
          <w:p w:rsidR="00644456" w:rsidRDefault="008031C4">
            <w:pPr>
              <w:adjustRightInd w:val="0"/>
              <w:jc w:val="left"/>
              <w:rPr>
                <w:rFonts w:cs="Times New Roman"/>
                <w:szCs w:val="24"/>
              </w:rPr>
            </w:pPr>
            <w:r>
              <w:rPr>
                <w:rFonts w:cs="Times New Roman"/>
                <w:szCs w:val="24"/>
              </w:rPr>
              <w:t>新建工艺管线、管廊带及桥架。</w:t>
            </w:r>
          </w:p>
        </w:tc>
        <w:tc>
          <w:tcPr>
            <w:tcW w:w="437" w:type="pct"/>
            <w:vMerge/>
            <w:shd w:val="clear" w:color="auto" w:fill="auto"/>
            <w:vAlign w:val="center"/>
          </w:tcPr>
          <w:p w:rsidR="00644456" w:rsidRDefault="00644456">
            <w:pPr>
              <w:adjustRightInd w:val="0"/>
              <w:spacing w:line="250" w:lineRule="exact"/>
              <w:jc w:val="center"/>
              <w:rPr>
                <w:color w:val="000000" w:themeColor="text1"/>
                <w:kern w:val="0"/>
                <w:szCs w:val="21"/>
              </w:rPr>
            </w:pPr>
          </w:p>
        </w:tc>
        <w:tc>
          <w:tcPr>
            <w:tcW w:w="472"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w:t>
            </w:r>
          </w:p>
        </w:tc>
        <w:tc>
          <w:tcPr>
            <w:tcW w:w="416"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color w:val="000000" w:themeColor="text1"/>
              </w:rPr>
              <w:t>新建</w:t>
            </w:r>
          </w:p>
        </w:tc>
      </w:tr>
      <w:tr w:rsidR="00644456">
        <w:tc>
          <w:tcPr>
            <w:tcW w:w="259" w:type="pct"/>
            <w:vMerge/>
            <w:shd w:val="clear" w:color="auto" w:fill="auto"/>
            <w:vAlign w:val="center"/>
          </w:tcPr>
          <w:p w:rsidR="00644456" w:rsidRDefault="00644456">
            <w:pPr>
              <w:pStyle w:val="afffffff4"/>
              <w:rPr>
                <w:rFonts w:cs="Times New Roman"/>
                <w:snapToGrid/>
                <w:color w:val="000000" w:themeColor="text1"/>
                <w:kern w:val="2"/>
              </w:rPr>
            </w:pPr>
          </w:p>
        </w:tc>
        <w:tc>
          <w:tcPr>
            <w:tcW w:w="920" w:type="pct"/>
            <w:shd w:val="clear" w:color="auto" w:fill="auto"/>
            <w:vAlign w:val="center"/>
          </w:tcPr>
          <w:p w:rsidR="00644456" w:rsidRDefault="008031C4">
            <w:pPr>
              <w:pStyle w:val="afffffff4"/>
              <w:rPr>
                <w:rFonts w:ascii="宋体" w:hAnsi="宋体"/>
                <w:szCs w:val="24"/>
              </w:rPr>
            </w:pPr>
            <w:r>
              <w:rPr>
                <w:rFonts w:ascii="宋体" w:hAnsi="宋体" w:hint="eastAsia"/>
                <w:szCs w:val="24"/>
              </w:rPr>
              <w:t>循环水系统</w:t>
            </w:r>
          </w:p>
        </w:tc>
        <w:tc>
          <w:tcPr>
            <w:tcW w:w="2496" w:type="pct"/>
            <w:shd w:val="clear" w:color="auto" w:fill="auto"/>
            <w:vAlign w:val="center"/>
          </w:tcPr>
          <w:p w:rsidR="00644456" w:rsidRDefault="008031C4">
            <w:pPr>
              <w:adjustRightInd w:val="0"/>
              <w:jc w:val="left"/>
              <w:rPr>
                <w:rFonts w:cs="Times New Roman"/>
                <w:szCs w:val="24"/>
              </w:rPr>
            </w:pPr>
            <w:r>
              <w:rPr>
                <w:rFonts w:cs="Times New Roman"/>
                <w:szCs w:val="24"/>
              </w:rPr>
              <w:t>新建</w:t>
            </w:r>
            <w:r>
              <w:rPr>
                <w:rFonts w:cs="Times New Roman"/>
                <w:szCs w:val="24"/>
              </w:rPr>
              <w:t>1</w:t>
            </w:r>
            <w:r>
              <w:rPr>
                <w:rFonts w:cs="Times New Roman"/>
                <w:szCs w:val="24"/>
              </w:rPr>
              <w:t>座循环水场，该装置循环水最大用量</w:t>
            </w:r>
            <w:r>
              <w:rPr>
                <w:rFonts w:cs="Times New Roman"/>
                <w:szCs w:val="24"/>
              </w:rPr>
              <w:lastRenderedPageBreak/>
              <w:t>555.55m</w:t>
            </w:r>
            <w:r>
              <w:rPr>
                <w:rFonts w:cs="Times New Roman"/>
                <w:szCs w:val="24"/>
                <w:vertAlign w:val="superscript"/>
              </w:rPr>
              <w:t>3</w:t>
            </w:r>
            <w:r>
              <w:rPr>
                <w:rFonts w:cs="Times New Roman"/>
                <w:szCs w:val="24"/>
              </w:rPr>
              <w:t>/h</w:t>
            </w:r>
            <w:r>
              <w:rPr>
                <w:rFonts w:cs="Times New Roman"/>
                <w:szCs w:val="24"/>
              </w:rPr>
              <w:t>，设计循环水供水能力</w:t>
            </w:r>
            <w:r>
              <w:rPr>
                <w:rFonts w:cs="Times New Roman"/>
                <w:szCs w:val="24"/>
              </w:rPr>
              <w:t>600m</w:t>
            </w:r>
            <w:r>
              <w:rPr>
                <w:rFonts w:cs="Times New Roman"/>
                <w:szCs w:val="24"/>
                <w:vertAlign w:val="superscript"/>
              </w:rPr>
              <w:t>3</w:t>
            </w:r>
            <w:r>
              <w:rPr>
                <w:rFonts w:cs="Times New Roman"/>
                <w:szCs w:val="24"/>
              </w:rPr>
              <w:t>/h</w:t>
            </w:r>
            <w:r>
              <w:rPr>
                <w:rFonts w:cs="Times New Roman"/>
                <w:szCs w:val="24"/>
              </w:rPr>
              <w:t>。设闭式冷却塔</w:t>
            </w:r>
            <w:r>
              <w:rPr>
                <w:rFonts w:cs="Times New Roman"/>
                <w:szCs w:val="24"/>
              </w:rPr>
              <w:t>1</w:t>
            </w:r>
            <w:r>
              <w:rPr>
                <w:rFonts w:cs="Times New Roman"/>
                <w:szCs w:val="24"/>
              </w:rPr>
              <w:t>组。配套循环水泵</w:t>
            </w:r>
            <w:r>
              <w:rPr>
                <w:rFonts w:cs="Times New Roman"/>
                <w:szCs w:val="24"/>
              </w:rPr>
              <w:t>3</w:t>
            </w:r>
            <w:r>
              <w:rPr>
                <w:rFonts w:cs="Times New Roman"/>
                <w:szCs w:val="24"/>
              </w:rPr>
              <w:t>台（</w:t>
            </w:r>
            <w:r>
              <w:rPr>
                <w:rFonts w:cs="Times New Roman"/>
                <w:szCs w:val="24"/>
              </w:rPr>
              <w:t>2</w:t>
            </w:r>
            <w:r>
              <w:rPr>
                <w:rFonts w:cs="Times New Roman"/>
                <w:szCs w:val="24"/>
              </w:rPr>
              <w:t>用</w:t>
            </w:r>
            <w:r>
              <w:rPr>
                <w:rFonts w:cs="Times New Roman"/>
                <w:szCs w:val="24"/>
              </w:rPr>
              <w:t>1</w:t>
            </w:r>
            <w:r>
              <w:rPr>
                <w:rFonts w:cs="Times New Roman"/>
                <w:szCs w:val="24"/>
              </w:rPr>
              <w:t>备），单台流量</w:t>
            </w:r>
            <w:r>
              <w:rPr>
                <w:rFonts w:cs="Times New Roman"/>
                <w:szCs w:val="24"/>
              </w:rPr>
              <w:t>300m</w:t>
            </w:r>
            <w:r>
              <w:rPr>
                <w:rFonts w:cs="Times New Roman"/>
                <w:szCs w:val="24"/>
                <w:vertAlign w:val="superscript"/>
              </w:rPr>
              <w:t>3</w:t>
            </w:r>
            <w:r>
              <w:rPr>
                <w:rFonts w:cs="Times New Roman"/>
                <w:szCs w:val="24"/>
              </w:rPr>
              <w:t>/h</w:t>
            </w:r>
            <w:r>
              <w:rPr>
                <w:rFonts w:cs="Times New Roman"/>
                <w:szCs w:val="24"/>
              </w:rPr>
              <w:t>，扬程</w:t>
            </w:r>
            <w:r>
              <w:rPr>
                <w:rFonts w:cs="Times New Roman"/>
                <w:szCs w:val="24"/>
              </w:rPr>
              <w:t>80m</w:t>
            </w:r>
            <w:r>
              <w:rPr>
                <w:rFonts w:cs="Times New Roman"/>
                <w:szCs w:val="24"/>
              </w:rPr>
              <w:t>。配套加药设施等。冷水温度</w:t>
            </w:r>
            <w:r>
              <w:rPr>
                <w:rFonts w:cs="Times New Roman"/>
                <w:szCs w:val="24"/>
              </w:rPr>
              <w:t>≤30℃</w:t>
            </w:r>
            <w:r>
              <w:rPr>
                <w:rFonts w:cs="Times New Roman"/>
                <w:szCs w:val="24"/>
              </w:rPr>
              <w:t>；热水温度</w:t>
            </w:r>
            <w:r>
              <w:rPr>
                <w:rFonts w:cs="Times New Roman"/>
                <w:szCs w:val="24"/>
              </w:rPr>
              <w:t>≤40℃</w:t>
            </w:r>
            <w:r>
              <w:rPr>
                <w:rFonts w:cs="Times New Roman"/>
                <w:szCs w:val="24"/>
              </w:rPr>
              <w:t>；供水压力</w:t>
            </w:r>
            <w:r>
              <w:rPr>
                <w:rFonts w:cs="Times New Roman"/>
                <w:szCs w:val="24"/>
              </w:rPr>
              <w:t>0.45</w:t>
            </w:r>
            <w:r>
              <w:rPr>
                <w:rFonts w:cs="Times New Roman"/>
                <w:szCs w:val="24"/>
              </w:rPr>
              <w:t>～</w:t>
            </w:r>
            <w:r>
              <w:rPr>
                <w:rFonts w:cs="Times New Roman"/>
                <w:szCs w:val="24"/>
              </w:rPr>
              <w:t>0.50MPa</w:t>
            </w:r>
            <w:r>
              <w:rPr>
                <w:rFonts w:cs="Times New Roman"/>
                <w:szCs w:val="24"/>
              </w:rPr>
              <w:t>。</w:t>
            </w:r>
          </w:p>
        </w:tc>
        <w:tc>
          <w:tcPr>
            <w:tcW w:w="437" w:type="pct"/>
            <w:vMerge/>
            <w:shd w:val="clear" w:color="auto" w:fill="auto"/>
            <w:vAlign w:val="center"/>
          </w:tcPr>
          <w:p w:rsidR="00644456" w:rsidRDefault="00644456">
            <w:pPr>
              <w:adjustRightInd w:val="0"/>
              <w:spacing w:line="250" w:lineRule="exact"/>
              <w:jc w:val="center"/>
              <w:rPr>
                <w:color w:val="000000" w:themeColor="text1"/>
                <w:kern w:val="0"/>
                <w:szCs w:val="21"/>
              </w:rPr>
            </w:pPr>
          </w:p>
        </w:tc>
        <w:tc>
          <w:tcPr>
            <w:tcW w:w="472"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循环废水</w:t>
            </w:r>
          </w:p>
        </w:tc>
        <w:tc>
          <w:tcPr>
            <w:tcW w:w="416"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color w:val="000000" w:themeColor="text1"/>
              </w:rPr>
              <w:t>新建</w:t>
            </w:r>
          </w:p>
        </w:tc>
      </w:tr>
      <w:tr w:rsidR="00644456">
        <w:tc>
          <w:tcPr>
            <w:tcW w:w="259" w:type="pct"/>
            <w:vMerge/>
            <w:shd w:val="clear" w:color="auto" w:fill="auto"/>
            <w:vAlign w:val="center"/>
          </w:tcPr>
          <w:p w:rsidR="00644456" w:rsidRDefault="00644456">
            <w:pPr>
              <w:pStyle w:val="afffffff4"/>
              <w:rPr>
                <w:rFonts w:cs="Times New Roman"/>
                <w:snapToGrid/>
                <w:color w:val="000000" w:themeColor="text1"/>
                <w:kern w:val="2"/>
              </w:rPr>
            </w:pPr>
          </w:p>
        </w:tc>
        <w:tc>
          <w:tcPr>
            <w:tcW w:w="920" w:type="pct"/>
            <w:shd w:val="clear" w:color="auto" w:fill="auto"/>
            <w:vAlign w:val="center"/>
          </w:tcPr>
          <w:p w:rsidR="00644456" w:rsidRDefault="008031C4">
            <w:pPr>
              <w:pStyle w:val="afffffff4"/>
              <w:rPr>
                <w:rFonts w:ascii="宋体" w:hAnsi="宋体"/>
                <w:szCs w:val="24"/>
              </w:rPr>
            </w:pPr>
            <w:r>
              <w:rPr>
                <w:rFonts w:ascii="宋体" w:hAnsi="宋体" w:hint="eastAsia"/>
                <w:szCs w:val="24"/>
              </w:rPr>
              <w:t>三相分离</w:t>
            </w:r>
          </w:p>
        </w:tc>
        <w:tc>
          <w:tcPr>
            <w:tcW w:w="2496" w:type="pct"/>
            <w:shd w:val="clear" w:color="auto" w:fill="auto"/>
            <w:vAlign w:val="center"/>
          </w:tcPr>
          <w:p w:rsidR="00644456" w:rsidRDefault="008031C4">
            <w:pPr>
              <w:adjustRightInd w:val="0"/>
              <w:jc w:val="left"/>
              <w:rPr>
                <w:rFonts w:cs="Times New Roman"/>
                <w:szCs w:val="24"/>
              </w:rPr>
            </w:pPr>
            <w:r>
              <w:rPr>
                <w:rFonts w:cs="Times New Roman" w:hint="eastAsia"/>
                <w:szCs w:val="24"/>
              </w:rPr>
              <w:t>设置中间罐及配套机泵、辅助加热</w:t>
            </w:r>
            <w:r>
              <w:rPr>
                <w:rFonts w:cs="Times New Roman" w:hint="eastAsia"/>
                <w:szCs w:val="24"/>
              </w:rPr>
              <w:t>/</w:t>
            </w:r>
            <w:r>
              <w:rPr>
                <w:rFonts w:cs="Times New Roman" w:hint="eastAsia"/>
                <w:szCs w:val="24"/>
              </w:rPr>
              <w:t>换热装置、加药装置、油水渣三相高效分离装置，主要用于罐底沉降的污油水的预处理。</w:t>
            </w:r>
          </w:p>
        </w:tc>
        <w:tc>
          <w:tcPr>
            <w:tcW w:w="437" w:type="pct"/>
            <w:vMerge/>
            <w:shd w:val="clear" w:color="auto" w:fill="auto"/>
            <w:vAlign w:val="center"/>
          </w:tcPr>
          <w:p w:rsidR="00644456" w:rsidRDefault="00644456">
            <w:pPr>
              <w:adjustRightInd w:val="0"/>
              <w:spacing w:line="250" w:lineRule="exact"/>
              <w:jc w:val="center"/>
              <w:rPr>
                <w:color w:val="000000" w:themeColor="text1"/>
                <w:kern w:val="0"/>
                <w:szCs w:val="21"/>
              </w:rPr>
            </w:pPr>
          </w:p>
        </w:tc>
        <w:tc>
          <w:tcPr>
            <w:tcW w:w="472"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废水等</w:t>
            </w:r>
          </w:p>
        </w:tc>
        <w:tc>
          <w:tcPr>
            <w:tcW w:w="416"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color w:val="000000" w:themeColor="text1"/>
              </w:rPr>
              <w:t>新建</w:t>
            </w:r>
          </w:p>
        </w:tc>
      </w:tr>
      <w:tr w:rsidR="00644456">
        <w:tc>
          <w:tcPr>
            <w:tcW w:w="259" w:type="pct"/>
            <w:vMerge w:val="restar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储运工程</w:t>
            </w:r>
          </w:p>
        </w:tc>
        <w:tc>
          <w:tcPr>
            <w:tcW w:w="920" w:type="pct"/>
            <w:shd w:val="clear" w:color="auto" w:fill="auto"/>
            <w:vAlign w:val="center"/>
          </w:tcPr>
          <w:p w:rsidR="00644456" w:rsidRDefault="008031C4">
            <w:pPr>
              <w:pStyle w:val="afffffff4"/>
              <w:rPr>
                <w:rFonts w:ascii="宋体" w:hAnsi="宋体"/>
                <w:szCs w:val="24"/>
              </w:rPr>
            </w:pPr>
            <w:r>
              <w:rPr>
                <w:rFonts w:ascii="宋体" w:hAnsi="宋体" w:hint="eastAsia"/>
                <w:szCs w:val="24"/>
              </w:rPr>
              <w:t>装卸油区</w:t>
            </w:r>
          </w:p>
        </w:tc>
        <w:tc>
          <w:tcPr>
            <w:tcW w:w="2496" w:type="pct"/>
            <w:shd w:val="clear" w:color="auto" w:fill="auto"/>
            <w:vAlign w:val="center"/>
          </w:tcPr>
          <w:p w:rsidR="00644456" w:rsidRDefault="008031C4">
            <w:pPr>
              <w:adjustRightInd w:val="0"/>
              <w:jc w:val="left"/>
              <w:rPr>
                <w:rFonts w:cs="Times New Roman"/>
                <w:szCs w:val="24"/>
              </w:rPr>
            </w:pPr>
            <w:r>
              <w:rPr>
                <w:rFonts w:cs="Times New Roman" w:hint="eastAsia"/>
                <w:szCs w:val="24"/>
              </w:rPr>
              <w:t>新建</w:t>
            </w:r>
            <w:r>
              <w:rPr>
                <w:rFonts w:cs="Times New Roman" w:hint="eastAsia"/>
                <w:szCs w:val="24"/>
              </w:rPr>
              <w:t>1470m</w:t>
            </w:r>
            <w:r>
              <w:rPr>
                <w:rFonts w:cs="Times New Roman" w:hint="eastAsia"/>
                <w:szCs w:val="24"/>
                <w:vertAlign w:val="superscript"/>
              </w:rPr>
              <w:t>2</w:t>
            </w:r>
            <w:r>
              <w:rPr>
                <w:rFonts w:cs="Times New Roman" w:hint="eastAsia"/>
                <w:szCs w:val="24"/>
              </w:rPr>
              <w:t>装卸区</w:t>
            </w:r>
          </w:p>
        </w:tc>
        <w:tc>
          <w:tcPr>
            <w:tcW w:w="437" w:type="pct"/>
            <w:vMerge/>
            <w:shd w:val="clear" w:color="auto" w:fill="auto"/>
            <w:vAlign w:val="center"/>
          </w:tcPr>
          <w:p w:rsidR="00644456" w:rsidRDefault="00644456">
            <w:pPr>
              <w:adjustRightInd w:val="0"/>
              <w:spacing w:line="250" w:lineRule="exact"/>
              <w:jc w:val="center"/>
              <w:rPr>
                <w:color w:val="000000" w:themeColor="text1"/>
                <w:kern w:val="0"/>
                <w:szCs w:val="21"/>
              </w:rPr>
            </w:pPr>
          </w:p>
        </w:tc>
        <w:tc>
          <w:tcPr>
            <w:tcW w:w="472"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废气</w:t>
            </w:r>
          </w:p>
        </w:tc>
        <w:tc>
          <w:tcPr>
            <w:tcW w:w="416"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color w:val="000000" w:themeColor="text1"/>
              </w:rPr>
              <w:t>新建</w:t>
            </w:r>
          </w:p>
        </w:tc>
      </w:tr>
      <w:tr w:rsidR="00644456">
        <w:tc>
          <w:tcPr>
            <w:tcW w:w="259" w:type="pct"/>
            <w:vMerge/>
            <w:shd w:val="clear" w:color="auto" w:fill="auto"/>
            <w:vAlign w:val="center"/>
          </w:tcPr>
          <w:p w:rsidR="00644456" w:rsidRDefault="00644456">
            <w:pPr>
              <w:pStyle w:val="afffffff4"/>
              <w:rPr>
                <w:rFonts w:cs="Times New Roman"/>
                <w:snapToGrid/>
                <w:color w:val="000000" w:themeColor="text1"/>
                <w:kern w:val="2"/>
              </w:rPr>
            </w:pPr>
          </w:p>
        </w:tc>
        <w:tc>
          <w:tcPr>
            <w:tcW w:w="920" w:type="pct"/>
            <w:shd w:val="clear" w:color="auto" w:fill="auto"/>
            <w:vAlign w:val="center"/>
          </w:tcPr>
          <w:p w:rsidR="00644456" w:rsidRDefault="008031C4">
            <w:pPr>
              <w:pStyle w:val="afffffff4"/>
              <w:rPr>
                <w:rFonts w:ascii="宋体" w:hAnsi="宋体"/>
                <w:szCs w:val="24"/>
              </w:rPr>
            </w:pPr>
            <w:r>
              <w:rPr>
                <w:rFonts w:ascii="宋体" w:hAnsi="宋体" w:hint="eastAsia"/>
                <w:szCs w:val="24"/>
              </w:rPr>
              <w:t>贮存罐区</w:t>
            </w:r>
          </w:p>
        </w:tc>
        <w:tc>
          <w:tcPr>
            <w:tcW w:w="2496" w:type="pct"/>
            <w:shd w:val="clear" w:color="auto" w:fill="auto"/>
            <w:vAlign w:val="center"/>
          </w:tcPr>
          <w:p w:rsidR="00644456" w:rsidRDefault="008031C4">
            <w:pPr>
              <w:adjustRightInd w:val="0"/>
              <w:jc w:val="left"/>
              <w:rPr>
                <w:rFonts w:cs="Times New Roman"/>
                <w:szCs w:val="24"/>
              </w:rPr>
            </w:pPr>
            <w:r>
              <w:rPr>
                <w:rFonts w:cs="Times New Roman" w:hint="eastAsia"/>
                <w:szCs w:val="24"/>
              </w:rPr>
              <w:t>新建</w:t>
            </w:r>
            <w:r>
              <w:rPr>
                <w:rFonts w:cs="Times New Roman" w:hint="eastAsia"/>
                <w:szCs w:val="24"/>
              </w:rPr>
              <w:t>1704m</w:t>
            </w:r>
            <w:r>
              <w:rPr>
                <w:rFonts w:cs="Times New Roman" w:hint="eastAsia"/>
                <w:szCs w:val="24"/>
                <w:vertAlign w:val="superscript"/>
              </w:rPr>
              <w:t>2</w:t>
            </w:r>
            <w:r>
              <w:rPr>
                <w:rFonts w:cs="Times New Roman" w:hint="eastAsia"/>
                <w:szCs w:val="24"/>
              </w:rPr>
              <w:t>贮存罐区，本项目厂区内设置</w:t>
            </w:r>
            <w:r>
              <w:rPr>
                <w:rFonts w:cs="Times New Roman" w:hint="eastAsia"/>
                <w:szCs w:val="24"/>
              </w:rPr>
              <w:t>5</w:t>
            </w:r>
            <w:r>
              <w:rPr>
                <w:rFonts w:cs="Times New Roman" w:hint="eastAsia"/>
                <w:szCs w:val="24"/>
              </w:rPr>
              <w:t>个</w:t>
            </w:r>
            <w:r>
              <w:rPr>
                <w:rFonts w:cs="Times New Roman" w:hint="eastAsia"/>
                <w:szCs w:val="24"/>
              </w:rPr>
              <w:t>300m</w:t>
            </w:r>
            <w:r>
              <w:rPr>
                <w:rFonts w:cs="Times New Roman" w:hint="eastAsia"/>
                <w:szCs w:val="24"/>
                <w:vertAlign w:val="superscript"/>
              </w:rPr>
              <w:t>3</w:t>
            </w:r>
            <w:r>
              <w:rPr>
                <w:rFonts w:cs="Times New Roman" w:hint="eastAsia"/>
                <w:szCs w:val="24"/>
              </w:rPr>
              <w:t>原料储罐，用于废矿物油的暂存，</w:t>
            </w:r>
            <w:r>
              <w:rPr>
                <w:rFonts w:cs="Times New Roman" w:hint="eastAsia"/>
                <w:szCs w:val="24"/>
              </w:rPr>
              <w:t>4</w:t>
            </w:r>
            <w:r>
              <w:rPr>
                <w:rFonts w:cs="Times New Roman" w:hint="eastAsia"/>
                <w:szCs w:val="24"/>
              </w:rPr>
              <w:t>个</w:t>
            </w:r>
            <w:r>
              <w:rPr>
                <w:rFonts w:cs="Times New Roman" w:hint="eastAsia"/>
                <w:szCs w:val="24"/>
              </w:rPr>
              <w:t>125m</w:t>
            </w:r>
            <w:r>
              <w:rPr>
                <w:rFonts w:cs="Times New Roman" w:hint="eastAsia"/>
                <w:szCs w:val="24"/>
                <w:vertAlign w:val="superscript"/>
              </w:rPr>
              <w:t>3</w:t>
            </w:r>
            <w:r>
              <w:rPr>
                <w:rFonts w:cs="Times New Roman" w:hint="eastAsia"/>
                <w:szCs w:val="24"/>
              </w:rPr>
              <w:t>产品储罐，用于再生润滑油基础油、再生尾油、燃料油的储存</w:t>
            </w:r>
          </w:p>
        </w:tc>
        <w:tc>
          <w:tcPr>
            <w:tcW w:w="437" w:type="pct"/>
            <w:vMerge/>
            <w:shd w:val="clear" w:color="auto" w:fill="auto"/>
            <w:vAlign w:val="center"/>
          </w:tcPr>
          <w:p w:rsidR="00644456" w:rsidRDefault="00644456">
            <w:pPr>
              <w:adjustRightInd w:val="0"/>
              <w:spacing w:line="250" w:lineRule="exact"/>
              <w:jc w:val="center"/>
              <w:rPr>
                <w:color w:val="000000" w:themeColor="text1"/>
                <w:kern w:val="0"/>
                <w:szCs w:val="21"/>
              </w:rPr>
            </w:pPr>
          </w:p>
        </w:tc>
        <w:tc>
          <w:tcPr>
            <w:tcW w:w="472"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废气</w:t>
            </w:r>
          </w:p>
        </w:tc>
        <w:tc>
          <w:tcPr>
            <w:tcW w:w="416"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color w:val="000000" w:themeColor="text1"/>
              </w:rPr>
              <w:t>新建</w:t>
            </w:r>
          </w:p>
        </w:tc>
      </w:tr>
      <w:tr w:rsidR="00644456">
        <w:tc>
          <w:tcPr>
            <w:tcW w:w="259" w:type="pct"/>
            <w:vMerge w:val="restart"/>
            <w:shd w:val="clear" w:color="auto" w:fill="auto"/>
            <w:vAlign w:val="center"/>
          </w:tcPr>
          <w:p w:rsidR="00644456" w:rsidRDefault="008031C4">
            <w:pPr>
              <w:pStyle w:val="afffffff4"/>
              <w:rPr>
                <w:rFonts w:cs="Times New Roman"/>
                <w:snapToGrid/>
                <w:color w:val="000000" w:themeColor="text1"/>
                <w:kern w:val="2"/>
              </w:rPr>
            </w:pPr>
            <w:r>
              <w:rPr>
                <w:rFonts w:cs="Times New Roman"/>
                <w:snapToGrid/>
                <w:color w:val="000000" w:themeColor="text1"/>
                <w:kern w:val="2"/>
              </w:rPr>
              <w:t>公辅设施</w:t>
            </w:r>
          </w:p>
        </w:tc>
        <w:tc>
          <w:tcPr>
            <w:tcW w:w="920" w:type="pct"/>
            <w:shd w:val="clear" w:color="auto" w:fill="auto"/>
            <w:vAlign w:val="center"/>
          </w:tcPr>
          <w:p w:rsidR="00644456" w:rsidRDefault="008031C4">
            <w:pPr>
              <w:pStyle w:val="afffffff4"/>
              <w:rPr>
                <w:rFonts w:cs="Times New Roman"/>
                <w:snapToGrid/>
                <w:color w:val="000000" w:themeColor="text1"/>
                <w:kern w:val="2"/>
              </w:rPr>
            </w:pPr>
            <w:r>
              <w:rPr>
                <w:rFonts w:cs="Times New Roman"/>
                <w:snapToGrid/>
                <w:color w:val="000000" w:themeColor="text1"/>
                <w:kern w:val="2"/>
              </w:rPr>
              <w:t>供水</w:t>
            </w:r>
          </w:p>
        </w:tc>
        <w:tc>
          <w:tcPr>
            <w:tcW w:w="2496" w:type="pct"/>
            <w:shd w:val="clear" w:color="auto" w:fill="auto"/>
            <w:vAlign w:val="center"/>
          </w:tcPr>
          <w:p w:rsidR="00644456" w:rsidRDefault="008031C4">
            <w:pPr>
              <w:pStyle w:val="afffffff4"/>
              <w:jc w:val="left"/>
              <w:rPr>
                <w:rFonts w:cs="Times New Roman"/>
                <w:snapToGrid/>
                <w:color w:val="000000" w:themeColor="text1"/>
                <w:kern w:val="2"/>
              </w:rPr>
            </w:pPr>
            <w:r>
              <w:rPr>
                <w:rFonts w:cs="Times New Roman" w:hint="eastAsia"/>
                <w:snapToGrid/>
                <w:color w:val="000000" w:themeColor="text1"/>
                <w:kern w:val="2"/>
              </w:rPr>
              <w:t>生产、生活用水均由园区供水管网供给。</w:t>
            </w:r>
          </w:p>
        </w:tc>
        <w:tc>
          <w:tcPr>
            <w:tcW w:w="437" w:type="pct"/>
            <w:vMerge/>
            <w:shd w:val="clear" w:color="auto" w:fill="auto"/>
            <w:vAlign w:val="center"/>
          </w:tcPr>
          <w:p w:rsidR="00644456" w:rsidRDefault="00644456">
            <w:pPr>
              <w:pStyle w:val="afffffff4"/>
              <w:rPr>
                <w:rFonts w:cs="Times New Roman"/>
                <w:snapToGrid/>
                <w:color w:val="000000" w:themeColor="text1"/>
                <w:kern w:val="2"/>
              </w:rPr>
            </w:pPr>
          </w:p>
        </w:tc>
        <w:tc>
          <w:tcPr>
            <w:tcW w:w="472"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w:t>
            </w:r>
          </w:p>
        </w:tc>
        <w:tc>
          <w:tcPr>
            <w:tcW w:w="416" w:type="pct"/>
            <w:shd w:val="clear" w:color="auto" w:fill="auto"/>
            <w:vAlign w:val="center"/>
          </w:tcPr>
          <w:p w:rsidR="00644456" w:rsidRDefault="008031C4">
            <w:pPr>
              <w:pStyle w:val="afffffff4"/>
              <w:rPr>
                <w:rFonts w:cs="Times New Roman"/>
                <w:color w:val="000000" w:themeColor="text1"/>
              </w:rPr>
            </w:pPr>
            <w:r>
              <w:rPr>
                <w:rFonts w:cs="Times New Roman" w:hint="eastAsia"/>
                <w:color w:val="000000" w:themeColor="text1"/>
              </w:rPr>
              <w:t>新建</w:t>
            </w:r>
          </w:p>
        </w:tc>
      </w:tr>
      <w:tr w:rsidR="00644456">
        <w:tc>
          <w:tcPr>
            <w:tcW w:w="259" w:type="pct"/>
            <w:vMerge/>
            <w:shd w:val="clear" w:color="auto" w:fill="auto"/>
            <w:vAlign w:val="center"/>
          </w:tcPr>
          <w:p w:rsidR="00644456" w:rsidRDefault="00644456">
            <w:pPr>
              <w:pStyle w:val="afffffff4"/>
              <w:rPr>
                <w:rFonts w:cs="Times New Roman"/>
                <w:snapToGrid/>
                <w:color w:val="000000" w:themeColor="text1"/>
                <w:kern w:val="2"/>
              </w:rPr>
            </w:pPr>
          </w:p>
        </w:tc>
        <w:tc>
          <w:tcPr>
            <w:tcW w:w="920" w:type="pct"/>
            <w:shd w:val="clear" w:color="auto" w:fill="auto"/>
            <w:vAlign w:val="center"/>
          </w:tcPr>
          <w:p w:rsidR="00644456" w:rsidRDefault="008031C4">
            <w:pPr>
              <w:pStyle w:val="afffffff4"/>
              <w:rPr>
                <w:rFonts w:cs="Times New Roman"/>
                <w:snapToGrid/>
                <w:color w:val="000000" w:themeColor="text1"/>
                <w:kern w:val="2"/>
              </w:rPr>
            </w:pPr>
            <w:r>
              <w:rPr>
                <w:rFonts w:cs="Times New Roman"/>
                <w:snapToGrid/>
                <w:color w:val="000000" w:themeColor="text1"/>
                <w:kern w:val="2"/>
              </w:rPr>
              <w:t>供电</w:t>
            </w:r>
          </w:p>
        </w:tc>
        <w:tc>
          <w:tcPr>
            <w:tcW w:w="2496" w:type="pct"/>
            <w:shd w:val="clear" w:color="auto" w:fill="auto"/>
            <w:vAlign w:val="center"/>
          </w:tcPr>
          <w:p w:rsidR="00644456" w:rsidRDefault="008031C4">
            <w:pPr>
              <w:pStyle w:val="afffffff4"/>
              <w:jc w:val="left"/>
              <w:rPr>
                <w:rFonts w:cs="Times New Roman"/>
                <w:snapToGrid/>
                <w:color w:val="000000" w:themeColor="text1"/>
                <w:kern w:val="2"/>
              </w:rPr>
            </w:pPr>
            <w:r>
              <w:rPr>
                <w:rFonts w:cs="Times New Roman" w:hint="eastAsia"/>
                <w:snapToGrid/>
                <w:color w:val="000000" w:themeColor="text1"/>
                <w:kern w:val="2"/>
              </w:rPr>
              <w:t>市政供电，并设置</w:t>
            </w:r>
            <w:r>
              <w:rPr>
                <w:rFonts w:cs="Times New Roman" w:hint="eastAsia"/>
                <w:snapToGrid/>
                <w:color w:val="000000" w:themeColor="text1"/>
                <w:kern w:val="2"/>
              </w:rPr>
              <w:t>1</w:t>
            </w:r>
            <w:r>
              <w:rPr>
                <w:rFonts w:cs="Times New Roman" w:hint="eastAsia"/>
                <w:snapToGrid/>
                <w:color w:val="000000" w:themeColor="text1"/>
                <w:kern w:val="2"/>
              </w:rPr>
              <w:t>套柴油发电机组位于发电机房（不设置储油间）作为备用电源。</w:t>
            </w:r>
          </w:p>
        </w:tc>
        <w:tc>
          <w:tcPr>
            <w:tcW w:w="437" w:type="pct"/>
            <w:vMerge/>
            <w:shd w:val="clear" w:color="auto" w:fill="auto"/>
            <w:vAlign w:val="center"/>
          </w:tcPr>
          <w:p w:rsidR="00644456" w:rsidRDefault="00644456">
            <w:pPr>
              <w:pStyle w:val="afffffff4"/>
              <w:rPr>
                <w:rFonts w:cs="Times New Roman"/>
                <w:snapToGrid/>
                <w:color w:val="000000" w:themeColor="text1"/>
                <w:kern w:val="2"/>
              </w:rPr>
            </w:pPr>
          </w:p>
        </w:tc>
        <w:tc>
          <w:tcPr>
            <w:tcW w:w="472"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w:t>
            </w:r>
          </w:p>
        </w:tc>
        <w:tc>
          <w:tcPr>
            <w:tcW w:w="416" w:type="pct"/>
            <w:shd w:val="clear" w:color="auto" w:fill="auto"/>
            <w:vAlign w:val="center"/>
          </w:tcPr>
          <w:p w:rsidR="00644456" w:rsidRDefault="008031C4">
            <w:pPr>
              <w:pStyle w:val="afffffff4"/>
              <w:rPr>
                <w:rFonts w:cs="Times New Roman"/>
                <w:color w:val="000000" w:themeColor="text1"/>
              </w:rPr>
            </w:pPr>
            <w:r>
              <w:rPr>
                <w:rFonts w:cs="Times New Roman" w:hint="eastAsia"/>
                <w:color w:val="000000" w:themeColor="text1"/>
              </w:rPr>
              <w:t>新建</w:t>
            </w:r>
          </w:p>
        </w:tc>
      </w:tr>
      <w:tr w:rsidR="00644456">
        <w:tc>
          <w:tcPr>
            <w:tcW w:w="259" w:type="pct"/>
            <w:vMerge/>
            <w:shd w:val="clear" w:color="auto" w:fill="auto"/>
            <w:vAlign w:val="center"/>
          </w:tcPr>
          <w:p w:rsidR="00644456" w:rsidRDefault="00644456">
            <w:pPr>
              <w:pStyle w:val="afffffff4"/>
              <w:rPr>
                <w:rFonts w:cs="Times New Roman"/>
                <w:snapToGrid/>
                <w:color w:val="000000" w:themeColor="text1"/>
                <w:kern w:val="2"/>
              </w:rPr>
            </w:pPr>
          </w:p>
        </w:tc>
        <w:tc>
          <w:tcPr>
            <w:tcW w:w="920" w:type="pct"/>
            <w:shd w:val="clear" w:color="auto" w:fill="auto"/>
            <w:vAlign w:val="center"/>
          </w:tcPr>
          <w:p w:rsidR="00644456" w:rsidRDefault="008031C4">
            <w:pPr>
              <w:adjustRightInd w:val="0"/>
              <w:snapToGrid w:val="0"/>
              <w:spacing w:line="250" w:lineRule="exact"/>
              <w:jc w:val="center"/>
              <w:rPr>
                <w:bCs/>
                <w:color w:val="000000" w:themeColor="text1"/>
                <w:szCs w:val="21"/>
              </w:rPr>
            </w:pPr>
            <w:r>
              <w:rPr>
                <w:rFonts w:hint="eastAsia"/>
                <w:bCs/>
                <w:color w:val="000000" w:themeColor="text1"/>
                <w:szCs w:val="21"/>
              </w:rPr>
              <w:t>供气</w:t>
            </w:r>
          </w:p>
        </w:tc>
        <w:tc>
          <w:tcPr>
            <w:tcW w:w="2496" w:type="pct"/>
            <w:shd w:val="clear" w:color="auto" w:fill="auto"/>
            <w:vAlign w:val="center"/>
          </w:tcPr>
          <w:p w:rsidR="00644456" w:rsidRDefault="008031C4">
            <w:pPr>
              <w:adjustRightInd w:val="0"/>
              <w:spacing w:line="250" w:lineRule="exact"/>
              <w:rPr>
                <w:color w:val="000000" w:themeColor="text1"/>
                <w:szCs w:val="24"/>
              </w:rPr>
            </w:pPr>
            <w:r>
              <w:rPr>
                <w:rFonts w:hint="eastAsia"/>
                <w:color w:val="000000" w:themeColor="text1"/>
                <w:kern w:val="0"/>
                <w:szCs w:val="21"/>
              </w:rPr>
              <w:t>由园区天然气管网供气，厂区内不涉及天然气存储罐。厂区内天然气输送管道长约</w:t>
            </w:r>
            <w:r>
              <w:rPr>
                <w:color w:val="000000" w:themeColor="text1"/>
                <w:kern w:val="0"/>
                <w:szCs w:val="21"/>
              </w:rPr>
              <w:t>5</w:t>
            </w:r>
            <w:r>
              <w:rPr>
                <w:rFonts w:hint="eastAsia"/>
                <w:color w:val="000000" w:themeColor="text1"/>
                <w:kern w:val="0"/>
                <w:szCs w:val="21"/>
              </w:rPr>
              <w:t>00m</w:t>
            </w:r>
            <w:r>
              <w:rPr>
                <w:rFonts w:hint="eastAsia"/>
                <w:color w:val="000000" w:themeColor="text1"/>
                <w:kern w:val="0"/>
                <w:szCs w:val="21"/>
              </w:rPr>
              <w:t>，</w:t>
            </w:r>
            <w:r>
              <w:rPr>
                <w:color w:val="000000" w:themeColor="text1"/>
                <w:kern w:val="0"/>
                <w:szCs w:val="21"/>
              </w:rPr>
              <w:t>管径</w:t>
            </w:r>
            <w:r>
              <w:rPr>
                <w:color w:val="000000" w:themeColor="text1"/>
                <w:kern w:val="0"/>
                <w:szCs w:val="21"/>
              </w:rPr>
              <w:t>DN</w:t>
            </w:r>
            <w:r>
              <w:rPr>
                <w:rFonts w:hint="eastAsia"/>
                <w:color w:val="000000" w:themeColor="text1"/>
                <w:kern w:val="0"/>
                <w:szCs w:val="21"/>
              </w:rPr>
              <w:t>100</w:t>
            </w:r>
            <w:r>
              <w:rPr>
                <w:color w:val="000000" w:themeColor="text1"/>
                <w:kern w:val="0"/>
                <w:szCs w:val="21"/>
              </w:rPr>
              <w:t>，采用无缝钢管</w:t>
            </w:r>
            <w:r>
              <w:rPr>
                <w:rFonts w:hint="eastAsia"/>
                <w:color w:val="000000" w:themeColor="text1"/>
                <w:kern w:val="0"/>
                <w:szCs w:val="21"/>
              </w:rPr>
              <w:t>。</w:t>
            </w:r>
          </w:p>
        </w:tc>
        <w:tc>
          <w:tcPr>
            <w:tcW w:w="437" w:type="pct"/>
            <w:vMerge/>
            <w:shd w:val="clear" w:color="auto" w:fill="auto"/>
            <w:vAlign w:val="center"/>
          </w:tcPr>
          <w:p w:rsidR="00644456" w:rsidRDefault="00644456">
            <w:pPr>
              <w:pStyle w:val="afffffff4"/>
              <w:rPr>
                <w:rFonts w:cs="Times New Roman"/>
                <w:snapToGrid/>
                <w:color w:val="000000" w:themeColor="text1"/>
                <w:kern w:val="2"/>
              </w:rPr>
            </w:pPr>
          </w:p>
        </w:tc>
        <w:tc>
          <w:tcPr>
            <w:tcW w:w="472"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w:t>
            </w:r>
          </w:p>
        </w:tc>
        <w:tc>
          <w:tcPr>
            <w:tcW w:w="416" w:type="pct"/>
            <w:shd w:val="clear" w:color="auto" w:fill="auto"/>
            <w:vAlign w:val="center"/>
          </w:tcPr>
          <w:p w:rsidR="00644456" w:rsidRDefault="008031C4">
            <w:pPr>
              <w:pStyle w:val="afffffff4"/>
              <w:rPr>
                <w:rFonts w:cs="Times New Roman"/>
                <w:color w:val="000000" w:themeColor="text1"/>
              </w:rPr>
            </w:pPr>
            <w:r>
              <w:rPr>
                <w:rFonts w:cs="Times New Roman" w:hint="eastAsia"/>
                <w:color w:val="000000" w:themeColor="text1"/>
              </w:rPr>
              <w:t>新建</w:t>
            </w:r>
          </w:p>
        </w:tc>
      </w:tr>
      <w:tr w:rsidR="00644456">
        <w:tc>
          <w:tcPr>
            <w:tcW w:w="259" w:type="pct"/>
            <w:vMerge/>
            <w:shd w:val="clear" w:color="auto" w:fill="auto"/>
            <w:vAlign w:val="center"/>
          </w:tcPr>
          <w:p w:rsidR="00644456" w:rsidRDefault="00644456">
            <w:pPr>
              <w:pStyle w:val="afffffff4"/>
              <w:rPr>
                <w:rFonts w:cs="Times New Roman"/>
                <w:snapToGrid/>
                <w:color w:val="000000" w:themeColor="text1"/>
                <w:kern w:val="2"/>
              </w:rPr>
            </w:pPr>
          </w:p>
        </w:tc>
        <w:tc>
          <w:tcPr>
            <w:tcW w:w="920" w:type="pct"/>
            <w:shd w:val="clear" w:color="auto" w:fill="auto"/>
            <w:vAlign w:val="center"/>
          </w:tcPr>
          <w:p w:rsidR="00644456" w:rsidRDefault="008031C4">
            <w:pPr>
              <w:pStyle w:val="afffffff4"/>
              <w:rPr>
                <w:rFonts w:cs="Times New Roman"/>
                <w:snapToGrid/>
                <w:color w:val="000000" w:themeColor="text1"/>
                <w:kern w:val="2"/>
              </w:rPr>
            </w:pPr>
            <w:r>
              <w:rPr>
                <w:rFonts w:cs="Times New Roman"/>
                <w:snapToGrid/>
                <w:color w:val="000000" w:themeColor="text1"/>
                <w:kern w:val="2"/>
              </w:rPr>
              <w:t>供热</w:t>
            </w:r>
          </w:p>
        </w:tc>
        <w:tc>
          <w:tcPr>
            <w:tcW w:w="2496" w:type="pct"/>
            <w:shd w:val="clear" w:color="auto" w:fill="auto"/>
            <w:vAlign w:val="center"/>
          </w:tcPr>
          <w:p w:rsidR="00644456" w:rsidRDefault="008031C4">
            <w:pPr>
              <w:pStyle w:val="afffffff4"/>
              <w:jc w:val="left"/>
              <w:rPr>
                <w:rFonts w:cs="Times New Roman"/>
                <w:snapToGrid/>
                <w:color w:val="000000" w:themeColor="text1"/>
                <w:kern w:val="2"/>
              </w:rPr>
            </w:pPr>
            <w:r>
              <w:rPr>
                <w:rFonts w:cs="Times New Roman" w:hint="eastAsia"/>
                <w:snapToGrid/>
                <w:color w:val="000000" w:themeColor="text1"/>
                <w:kern w:val="2"/>
              </w:rPr>
              <w:t>项目内采用电采暖</w:t>
            </w:r>
          </w:p>
        </w:tc>
        <w:tc>
          <w:tcPr>
            <w:tcW w:w="437" w:type="pct"/>
            <w:vMerge/>
            <w:shd w:val="clear" w:color="auto" w:fill="auto"/>
            <w:vAlign w:val="center"/>
          </w:tcPr>
          <w:p w:rsidR="00644456" w:rsidRDefault="00644456">
            <w:pPr>
              <w:pStyle w:val="afffffff4"/>
              <w:rPr>
                <w:rFonts w:cs="Times New Roman"/>
                <w:snapToGrid/>
                <w:color w:val="000000" w:themeColor="text1"/>
                <w:kern w:val="2"/>
              </w:rPr>
            </w:pPr>
          </w:p>
        </w:tc>
        <w:tc>
          <w:tcPr>
            <w:tcW w:w="472" w:type="pct"/>
            <w:shd w:val="clear" w:color="auto" w:fill="auto"/>
            <w:vAlign w:val="center"/>
          </w:tcPr>
          <w:p w:rsidR="00644456" w:rsidRDefault="008031C4">
            <w:pPr>
              <w:pStyle w:val="afffffff4"/>
              <w:rPr>
                <w:rFonts w:cs="Times New Roman"/>
                <w:snapToGrid/>
                <w:color w:val="000000" w:themeColor="text1"/>
                <w:kern w:val="2"/>
              </w:rPr>
            </w:pPr>
            <w:r>
              <w:rPr>
                <w:rFonts w:cs="Times New Roman"/>
                <w:snapToGrid/>
                <w:color w:val="000000" w:themeColor="text1"/>
                <w:kern w:val="2"/>
              </w:rPr>
              <w:t>噪声</w:t>
            </w:r>
          </w:p>
        </w:tc>
        <w:tc>
          <w:tcPr>
            <w:tcW w:w="416"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color w:val="000000" w:themeColor="text1"/>
              </w:rPr>
              <w:t>新建</w:t>
            </w:r>
          </w:p>
        </w:tc>
      </w:tr>
      <w:tr w:rsidR="00644456">
        <w:tc>
          <w:tcPr>
            <w:tcW w:w="259" w:type="pct"/>
            <w:vMerge/>
            <w:shd w:val="clear" w:color="auto" w:fill="auto"/>
            <w:vAlign w:val="center"/>
          </w:tcPr>
          <w:p w:rsidR="00644456" w:rsidRDefault="00644456">
            <w:pPr>
              <w:pStyle w:val="afffffff4"/>
              <w:rPr>
                <w:rFonts w:cs="Times New Roman"/>
                <w:snapToGrid/>
                <w:color w:val="000000" w:themeColor="text1"/>
                <w:kern w:val="2"/>
              </w:rPr>
            </w:pPr>
          </w:p>
        </w:tc>
        <w:tc>
          <w:tcPr>
            <w:tcW w:w="920" w:type="pct"/>
            <w:shd w:val="clear" w:color="auto" w:fill="auto"/>
            <w:vAlign w:val="center"/>
          </w:tcPr>
          <w:p w:rsidR="00644456" w:rsidRDefault="008031C4">
            <w:pPr>
              <w:pStyle w:val="afffffff4"/>
              <w:rPr>
                <w:rFonts w:cs="Times New Roman"/>
                <w:snapToGrid/>
                <w:color w:val="000000" w:themeColor="text1"/>
                <w:kern w:val="2"/>
              </w:rPr>
            </w:pPr>
            <w:r>
              <w:rPr>
                <w:rFonts w:cs="Times New Roman"/>
                <w:snapToGrid/>
                <w:color w:val="000000" w:themeColor="text1"/>
                <w:kern w:val="2"/>
              </w:rPr>
              <w:t>办公生活设施</w:t>
            </w:r>
          </w:p>
        </w:tc>
        <w:tc>
          <w:tcPr>
            <w:tcW w:w="2496" w:type="pct"/>
            <w:shd w:val="clear" w:color="auto" w:fill="auto"/>
            <w:vAlign w:val="center"/>
          </w:tcPr>
          <w:p w:rsidR="00644456" w:rsidRDefault="008031C4">
            <w:pPr>
              <w:pStyle w:val="afffffff4"/>
              <w:jc w:val="left"/>
              <w:rPr>
                <w:rFonts w:cs="Times New Roman"/>
                <w:snapToGrid/>
                <w:color w:val="000000" w:themeColor="text1"/>
                <w:kern w:val="2"/>
              </w:rPr>
            </w:pPr>
            <w:r>
              <w:rPr>
                <w:rFonts w:cs="Times New Roman" w:hint="eastAsia"/>
                <w:snapToGrid/>
                <w:color w:val="000000" w:themeColor="text1"/>
                <w:kern w:val="2"/>
              </w:rPr>
              <w:t>设置</w:t>
            </w:r>
            <w:r>
              <w:rPr>
                <w:rFonts w:cs="Times New Roman" w:hint="eastAsia"/>
                <w:snapToGrid/>
                <w:color w:val="000000" w:themeColor="text1"/>
                <w:kern w:val="2"/>
              </w:rPr>
              <w:t>1</w:t>
            </w:r>
            <w:r>
              <w:rPr>
                <w:rFonts w:cs="Times New Roman"/>
                <w:snapToGrid/>
                <w:color w:val="000000" w:themeColor="text1"/>
                <w:kern w:val="2"/>
              </w:rPr>
              <w:t>#</w:t>
            </w:r>
            <w:r>
              <w:rPr>
                <w:rFonts w:cs="Times New Roman" w:hint="eastAsia"/>
                <w:snapToGrid/>
                <w:color w:val="000000" w:themeColor="text1"/>
                <w:kern w:val="2"/>
              </w:rPr>
              <w:t>办公楼综合楼，砖混结构</w:t>
            </w:r>
            <w:r>
              <w:rPr>
                <w:rFonts w:cs="Times New Roman" w:hint="eastAsia"/>
                <w:snapToGrid/>
                <w:color w:val="000000" w:themeColor="text1"/>
                <w:kern w:val="2"/>
              </w:rPr>
              <w:t>3</w:t>
            </w:r>
            <w:r>
              <w:rPr>
                <w:rFonts w:cs="Times New Roman"/>
                <w:snapToGrid/>
                <w:color w:val="000000" w:themeColor="text1"/>
                <w:kern w:val="2"/>
              </w:rPr>
              <w:t>F</w:t>
            </w:r>
            <w:r>
              <w:rPr>
                <w:rFonts w:cs="Times New Roman" w:hint="eastAsia"/>
                <w:snapToGrid/>
                <w:color w:val="000000" w:themeColor="text1"/>
                <w:kern w:val="2"/>
              </w:rPr>
              <w:t>，占地面积</w:t>
            </w:r>
            <w:r>
              <w:rPr>
                <w:rFonts w:cs="Times New Roman" w:hint="eastAsia"/>
                <w:snapToGrid/>
                <w:color w:val="000000" w:themeColor="text1"/>
                <w:kern w:val="2"/>
              </w:rPr>
              <w:t>592.8</w:t>
            </w:r>
            <w:r>
              <w:rPr>
                <w:rFonts w:cs="Times New Roman"/>
                <w:snapToGrid/>
                <w:color w:val="000000" w:themeColor="text1"/>
                <w:kern w:val="2"/>
              </w:rPr>
              <w:t>m</w:t>
            </w:r>
            <w:r>
              <w:rPr>
                <w:rFonts w:cs="Times New Roman"/>
                <w:snapToGrid/>
                <w:color w:val="000000" w:themeColor="text1"/>
                <w:kern w:val="2"/>
                <w:vertAlign w:val="superscript"/>
              </w:rPr>
              <w:t>2</w:t>
            </w:r>
            <w:r>
              <w:rPr>
                <w:rFonts w:cs="Times New Roman" w:hint="eastAsia"/>
                <w:snapToGrid/>
                <w:color w:val="000000" w:themeColor="text1"/>
                <w:kern w:val="2"/>
              </w:rPr>
              <w:t>。</w:t>
            </w:r>
          </w:p>
        </w:tc>
        <w:tc>
          <w:tcPr>
            <w:tcW w:w="437" w:type="pct"/>
            <w:vMerge/>
            <w:shd w:val="clear" w:color="auto" w:fill="auto"/>
            <w:vAlign w:val="center"/>
          </w:tcPr>
          <w:p w:rsidR="00644456" w:rsidRDefault="00644456">
            <w:pPr>
              <w:pStyle w:val="afffffff4"/>
              <w:rPr>
                <w:rFonts w:cs="Times New Roman"/>
                <w:snapToGrid/>
                <w:color w:val="000000" w:themeColor="text1"/>
                <w:kern w:val="2"/>
              </w:rPr>
            </w:pPr>
          </w:p>
        </w:tc>
        <w:tc>
          <w:tcPr>
            <w:tcW w:w="472" w:type="pct"/>
            <w:shd w:val="clear" w:color="auto" w:fill="auto"/>
            <w:vAlign w:val="center"/>
          </w:tcPr>
          <w:p w:rsidR="00644456" w:rsidRDefault="008031C4">
            <w:pPr>
              <w:pStyle w:val="afffffff4"/>
              <w:rPr>
                <w:rFonts w:cs="Times New Roman"/>
                <w:snapToGrid/>
                <w:color w:val="000000" w:themeColor="text1"/>
                <w:kern w:val="2"/>
              </w:rPr>
            </w:pPr>
            <w:r>
              <w:rPr>
                <w:rFonts w:cs="Times New Roman"/>
                <w:snapToGrid/>
                <w:color w:val="000000" w:themeColor="text1"/>
                <w:kern w:val="2"/>
              </w:rPr>
              <w:t>生活垃圾、生活污水</w:t>
            </w:r>
          </w:p>
        </w:tc>
        <w:tc>
          <w:tcPr>
            <w:tcW w:w="416"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color w:val="000000" w:themeColor="text1"/>
              </w:rPr>
              <w:t>新建</w:t>
            </w:r>
          </w:p>
        </w:tc>
      </w:tr>
      <w:tr w:rsidR="00644456">
        <w:tc>
          <w:tcPr>
            <w:tcW w:w="259" w:type="pct"/>
            <w:vMerge/>
            <w:shd w:val="clear" w:color="auto" w:fill="auto"/>
            <w:vAlign w:val="center"/>
          </w:tcPr>
          <w:p w:rsidR="00644456" w:rsidRDefault="00644456">
            <w:pPr>
              <w:pStyle w:val="afffffff4"/>
              <w:rPr>
                <w:rFonts w:cs="Times New Roman"/>
                <w:snapToGrid/>
                <w:color w:val="000000" w:themeColor="text1"/>
                <w:kern w:val="2"/>
              </w:rPr>
            </w:pPr>
          </w:p>
        </w:tc>
        <w:tc>
          <w:tcPr>
            <w:tcW w:w="920" w:type="pct"/>
            <w:shd w:val="clear" w:color="auto" w:fill="auto"/>
            <w:vAlign w:val="center"/>
          </w:tcPr>
          <w:p w:rsidR="00644456" w:rsidRDefault="008031C4">
            <w:pPr>
              <w:adjustRightInd w:val="0"/>
              <w:snapToGrid w:val="0"/>
              <w:spacing w:line="260" w:lineRule="exact"/>
              <w:jc w:val="center"/>
              <w:rPr>
                <w:bCs/>
                <w:color w:val="000000" w:themeColor="text1"/>
                <w:szCs w:val="21"/>
              </w:rPr>
            </w:pPr>
            <w:r>
              <w:rPr>
                <w:rFonts w:hint="eastAsia"/>
                <w:bCs/>
                <w:color w:val="000000" w:themeColor="text1"/>
                <w:szCs w:val="21"/>
              </w:rPr>
              <w:t>消防</w:t>
            </w:r>
          </w:p>
        </w:tc>
        <w:tc>
          <w:tcPr>
            <w:tcW w:w="2496" w:type="pct"/>
            <w:shd w:val="clear" w:color="auto" w:fill="auto"/>
            <w:vAlign w:val="center"/>
          </w:tcPr>
          <w:p w:rsidR="00644456" w:rsidRDefault="008031C4">
            <w:pPr>
              <w:adjustRightInd w:val="0"/>
              <w:spacing w:line="260" w:lineRule="exact"/>
              <w:rPr>
                <w:color w:val="000000" w:themeColor="text1"/>
                <w:kern w:val="0"/>
                <w:szCs w:val="21"/>
              </w:rPr>
            </w:pPr>
            <w:r>
              <w:rPr>
                <w:rFonts w:hint="eastAsia"/>
                <w:color w:val="000000" w:themeColor="text1"/>
                <w:kern w:val="0"/>
                <w:szCs w:val="21"/>
              </w:rPr>
              <w:t>于厂区北侧设置地下式消防水池，约</w:t>
            </w:r>
            <w:r>
              <w:rPr>
                <w:rFonts w:hint="eastAsia"/>
                <w:color w:val="000000" w:themeColor="text1"/>
                <w:kern w:val="0"/>
                <w:szCs w:val="21"/>
              </w:rPr>
              <w:t>535m</w:t>
            </w:r>
            <w:r>
              <w:rPr>
                <w:rFonts w:hint="eastAsia"/>
                <w:color w:val="000000" w:themeColor="text1"/>
                <w:kern w:val="0"/>
                <w:szCs w:val="21"/>
                <w:vertAlign w:val="superscript"/>
              </w:rPr>
              <w:t>3</w:t>
            </w:r>
            <w:r>
              <w:rPr>
                <w:rFonts w:hint="eastAsia"/>
                <w:color w:val="000000" w:themeColor="text1"/>
                <w:kern w:val="0"/>
                <w:szCs w:val="21"/>
              </w:rPr>
              <w:t>，并设置消防控制室，</w:t>
            </w:r>
            <w:r>
              <w:rPr>
                <w:rFonts w:hint="eastAsia"/>
                <w:color w:val="000000" w:themeColor="text1"/>
                <w:kern w:val="0"/>
                <w:szCs w:val="21"/>
              </w:rPr>
              <w:t>1F</w:t>
            </w:r>
            <w:r>
              <w:rPr>
                <w:rFonts w:hint="eastAsia"/>
                <w:color w:val="000000" w:themeColor="text1"/>
                <w:kern w:val="0"/>
                <w:szCs w:val="21"/>
              </w:rPr>
              <w:t>，建筑面积</w:t>
            </w:r>
            <w:r>
              <w:rPr>
                <w:rFonts w:hint="eastAsia"/>
                <w:color w:val="000000" w:themeColor="text1"/>
                <w:kern w:val="0"/>
                <w:szCs w:val="21"/>
              </w:rPr>
              <w:t>245m</w:t>
            </w:r>
            <w:r>
              <w:rPr>
                <w:rFonts w:hint="eastAsia"/>
                <w:color w:val="000000" w:themeColor="text1"/>
                <w:kern w:val="0"/>
                <w:szCs w:val="21"/>
                <w:vertAlign w:val="superscript"/>
              </w:rPr>
              <w:t>2</w:t>
            </w:r>
            <w:r>
              <w:rPr>
                <w:rFonts w:hint="eastAsia"/>
                <w:color w:val="000000" w:themeColor="text1"/>
                <w:kern w:val="0"/>
                <w:szCs w:val="21"/>
              </w:rPr>
              <w:t>，并设置消防水泵。</w:t>
            </w:r>
          </w:p>
        </w:tc>
        <w:tc>
          <w:tcPr>
            <w:tcW w:w="437" w:type="pct"/>
            <w:vMerge/>
            <w:shd w:val="clear" w:color="auto" w:fill="auto"/>
            <w:vAlign w:val="center"/>
          </w:tcPr>
          <w:p w:rsidR="00644456" w:rsidRDefault="00644456">
            <w:pPr>
              <w:pStyle w:val="afffffff4"/>
              <w:rPr>
                <w:rFonts w:cs="Times New Roman"/>
                <w:snapToGrid/>
                <w:color w:val="000000" w:themeColor="text1"/>
                <w:kern w:val="2"/>
              </w:rPr>
            </w:pPr>
          </w:p>
        </w:tc>
        <w:tc>
          <w:tcPr>
            <w:tcW w:w="472"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w:t>
            </w:r>
          </w:p>
        </w:tc>
        <w:tc>
          <w:tcPr>
            <w:tcW w:w="416"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color w:val="000000" w:themeColor="text1"/>
              </w:rPr>
              <w:t>新建</w:t>
            </w:r>
          </w:p>
        </w:tc>
      </w:tr>
      <w:tr w:rsidR="00644456">
        <w:tc>
          <w:tcPr>
            <w:tcW w:w="259" w:type="pct"/>
            <w:vMerge/>
            <w:shd w:val="clear" w:color="auto" w:fill="auto"/>
            <w:vAlign w:val="center"/>
          </w:tcPr>
          <w:p w:rsidR="00644456" w:rsidRDefault="00644456">
            <w:pPr>
              <w:pStyle w:val="afffffff4"/>
              <w:rPr>
                <w:rFonts w:cs="Times New Roman"/>
                <w:snapToGrid/>
                <w:color w:val="000000" w:themeColor="text1"/>
                <w:kern w:val="2"/>
              </w:rPr>
            </w:pPr>
          </w:p>
        </w:tc>
        <w:tc>
          <w:tcPr>
            <w:tcW w:w="920" w:type="pct"/>
            <w:shd w:val="clear" w:color="auto" w:fill="auto"/>
            <w:vAlign w:val="center"/>
          </w:tcPr>
          <w:p w:rsidR="00644456" w:rsidRDefault="008031C4">
            <w:pPr>
              <w:adjustRightInd w:val="0"/>
              <w:snapToGrid w:val="0"/>
              <w:spacing w:line="260" w:lineRule="exact"/>
              <w:jc w:val="center"/>
              <w:rPr>
                <w:bCs/>
                <w:color w:val="000000" w:themeColor="text1"/>
                <w:szCs w:val="21"/>
              </w:rPr>
            </w:pPr>
            <w:r>
              <w:rPr>
                <w:rFonts w:hint="eastAsia"/>
                <w:bCs/>
                <w:color w:val="000000" w:themeColor="text1"/>
                <w:szCs w:val="21"/>
              </w:rPr>
              <w:t>化验室</w:t>
            </w:r>
          </w:p>
        </w:tc>
        <w:tc>
          <w:tcPr>
            <w:tcW w:w="2496" w:type="pct"/>
            <w:shd w:val="clear" w:color="auto" w:fill="auto"/>
            <w:vAlign w:val="center"/>
          </w:tcPr>
          <w:p w:rsidR="00644456" w:rsidRDefault="008031C4">
            <w:pPr>
              <w:adjustRightInd w:val="0"/>
              <w:spacing w:line="260" w:lineRule="exact"/>
              <w:rPr>
                <w:color w:val="000000" w:themeColor="text1"/>
                <w:kern w:val="0"/>
                <w:szCs w:val="21"/>
              </w:rPr>
            </w:pPr>
            <w:r>
              <w:rPr>
                <w:rFonts w:hint="eastAsia"/>
                <w:color w:val="000000" w:themeColor="text1"/>
                <w:kern w:val="0"/>
                <w:szCs w:val="21"/>
              </w:rPr>
              <w:t>本项目北侧设置化验室一间，</w:t>
            </w:r>
            <w:r>
              <w:rPr>
                <w:rFonts w:hint="eastAsia"/>
                <w:color w:val="000000" w:themeColor="text1"/>
                <w:kern w:val="0"/>
                <w:szCs w:val="21"/>
              </w:rPr>
              <w:t>1</w:t>
            </w:r>
            <w:r>
              <w:rPr>
                <w:color w:val="000000" w:themeColor="text1"/>
                <w:kern w:val="0"/>
                <w:szCs w:val="21"/>
              </w:rPr>
              <w:t>F</w:t>
            </w:r>
            <w:r>
              <w:rPr>
                <w:rFonts w:hint="eastAsia"/>
                <w:color w:val="000000" w:themeColor="text1"/>
                <w:kern w:val="0"/>
                <w:szCs w:val="21"/>
              </w:rPr>
              <w:t>，</w:t>
            </w:r>
            <w:r>
              <w:rPr>
                <w:rFonts w:hint="eastAsia"/>
                <w:color w:val="000000" w:themeColor="text1"/>
                <w:kern w:val="0"/>
                <w:szCs w:val="21"/>
              </w:rPr>
              <w:t>1</w:t>
            </w:r>
            <w:r>
              <w:rPr>
                <w:color w:val="000000" w:themeColor="text1"/>
                <w:kern w:val="0"/>
                <w:szCs w:val="21"/>
              </w:rPr>
              <w:t>00m</w:t>
            </w:r>
            <w:r>
              <w:rPr>
                <w:color w:val="000000" w:themeColor="text1"/>
                <w:kern w:val="0"/>
                <w:szCs w:val="21"/>
                <w:vertAlign w:val="superscript"/>
              </w:rPr>
              <w:t>2</w:t>
            </w:r>
            <w:r>
              <w:rPr>
                <w:rFonts w:hint="eastAsia"/>
                <w:color w:val="000000" w:themeColor="text1"/>
                <w:kern w:val="0"/>
                <w:szCs w:val="21"/>
              </w:rPr>
              <w:t>，仅做物理检验</w:t>
            </w:r>
          </w:p>
        </w:tc>
        <w:tc>
          <w:tcPr>
            <w:tcW w:w="437" w:type="pct"/>
            <w:vMerge/>
            <w:shd w:val="clear" w:color="auto" w:fill="auto"/>
            <w:vAlign w:val="center"/>
          </w:tcPr>
          <w:p w:rsidR="00644456" w:rsidRDefault="00644456">
            <w:pPr>
              <w:pStyle w:val="afffffff4"/>
              <w:rPr>
                <w:rFonts w:cs="Times New Roman"/>
                <w:snapToGrid/>
                <w:color w:val="000000" w:themeColor="text1"/>
                <w:kern w:val="2"/>
              </w:rPr>
            </w:pPr>
          </w:p>
        </w:tc>
        <w:tc>
          <w:tcPr>
            <w:tcW w:w="472"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w:t>
            </w:r>
          </w:p>
        </w:tc>
        <w:tc>
          <w:tcPr>
            <w:tcW w:w="416" w:type="pct"/>
            <w:shd w:val="clear" w:color="auto" w:fill="auto"/>
            <w:vAlign w:val="center"/>
          </w:tcPr>
          <w:p w:rsidR="00644456" w:rsidRDefault="008031C4">
            <w:pPr>
              <w:pStyle w:val="afffffff4"/>
              <w:rPr>
                <w:rFonts w:cs="Times New Roman"/>
                <w:color w:val="000000" w:themeColor="text1"/>
              </w:rPr>
            </w:pPr>
            <w:r>
              <w:rPr>
                <w:rFonts w:cs="Times New Roman" w:hint="eastAsia"/>
                <w:color w:val="000000" w:themeColor="text1"/>
              </w:rPr>
              <w:t>新建</w:t>
            </w:r>
          </w:p>
        </w:tc>
      </w:tr>
      <w:tr w:rsidR="00644456">
        <w:tc>
          <w:tcPr>
            <w:tcW w:w="259" w:type="pct"/>
            <w:vMerge w:val="restart"/>
            <w:shd w:val="clear" w:color="auto" w:fill="auto"/>
            <w:vAlign w:val="center"/>
          </w:tcPr>
          <w:p w:rsidR="00644456" w:rsidRDefault="008031C4">
            <w:pPr>
              <w:pStyle w:val="afffffff4"/>
              <w:rPr>
                <w:rFonts w:cs="Times New Roman"/>
                <w:snapToGrid/>
                <w:color w:val="000000" w:themeColor="text1"/>
                <w:kern w:val="2"/>
              </w:rPr>
            </w:pPr>
            <w:bookmarkStart w:id="120" w:name="_Hlk161848787"/>
            <w:r>
              <w:rPr>
                <w:rFonts w:cs="Times New Roman"/>
                <w:snapToGrid/>
                <w:color w:val="000000" w:themeColor="text1"/>
                <w:kern w:val="2"/>
              </w:rPr>
              <w:t>环保工程</w:t>
            </w:r>
          </w:p>
        </w:tc>
        <w:tc>
          <w:tcPr>
            <w:tcW w:w="920" w:type="pct"/>
            <w:shd w:val="clear" w:color="auto" w:fill="auto"/>
            <w:vAlign w:val="center"/>
          </w:tcPr>
          <w:p w:rsidR="00644456" w:rsidRDefault="008031C4">
            <w:pPr>
              <w:adjustRightInd w:val="0"/>
              <w:snapToGrid w:val="0"/>
              <w:spacing w:line="260" w:lineRule="exact"/>
              <w:jc w:val="center"/>
              <w:rPr>
                <w:bCs/>
                <w:color w:val="000000" w:themeColor="text1"/>
                <w:szCs w:val="21"/>
              </w:rPr>
            </w:pPr>
            <w:r>
              <w:rPr>
                <w:rFonts w:hint="eastAsia"/>
                <w:bCs/>
                <w:color w:val="000000" w:themeColor="text1"/>
                <w:szCs w:val="21"/>
              </w:rPr>
              <w:t>工艺不凝气</w:t>
            </w:r>
          </w:p>
        </w:tc>
        <w:tc>
          <w:tcPr>
            <w:tcW w:w="2496" w:type="pct"/>
            <w:shd w:val="clear" w:color="auto" w:fill="auto"/>
            <w:vAlign w:val="center"/>
          </w:tcPr>
          <w:p w:rsidR="00644456" w:rsidRDefault="008031C4">
            <w:pPr>
              <w:pStyle w:val="afffffff4"/>
              <w:jc w:val="left"/>
              <w:rPr>
                <w:rFonts w:cs="Times New Roman"/>
                <w:snapToGrid/>
                <w:color w:val="000000" w:themeColor="text1"/>
                <w:kern w:val="2"/>
              </w:rPr>
            </w:pPr>
            <w:r>
              <w:rPr>
                <w:rFonts w:cs="Times New Roman" w:hint="eastAsia"/>
                <w:snapToGrid/>
                <w:color w:val="000000" w:themeColor="text1"/>
                <w:kern w:val="2"/>
              </w:rPr>
              <w:t>设置负压收集系统，对蒸馏、精馏及溶剂回收过程产生的不凝气进行收集，收集后的废气采用“碱液喷淋</w:t>
            </w:r>
            <w:r>
              <w:rPr>
                <w:rFonts w:cs="Times New Roman" w:hint="eastAsia"/>
                <w:snapToGrid/>
                <w:color w:val="000000" w:themeColor="text1"/>
                <w:kern w:val="2"/>
              </w:rPr>
              <w:t>+</w:t>
            </w:r>
            <w:r>
              <w:rPr>
                <w:rFonts w:cs="Times New Roman" w:hint="eastAsia"/>
                <w:snapToGrid/>
                <w:color w:val="000000" w:themeColor="text1"/>
                <w:kern w:val="2"/>
              </w:rPr>
              <w:t>干式过滤</w:t>
            </w:r>
            <w:r>
              <w:rPr>
                <w:rFonts w:cs="Times New Roman" w:hint="eastAsia"/>
                <w:snapToGrid/>
                <w:color w:val="000000" w:themeColor="text1"/>
                <w:kern w:val="2"/>
              </w:rPr>
              <w:t>+</w:t>
            </w:r>
            <w:r>
              <w:rPr>
                <w:rFonts w:cs="Times New Roman" w:hint="eastAsia"/>
                <w:snapToGrid/>
                <w:color w:val="000000" w:themeColor="text1"/>
                <w:kern w:val="2"/>
              </w:rPr>
              <w:t>高温氧化”进行净化处理，净化后的废气通过</w:t>
            </w:r>
            <w:r>
              <w:rPr>
                <w:rFonts w:cs="Times New Roman" w:hint="eastAsia"/>
                <w:snapToGrid/>
                <w:color w:val="000000" w:themeColor="text1"/>
                <w:kern w:val="2"/>
              </w:rPr>
              <w:t>15m</w:t>
            </w:r>
            <w:r>
              <w:rPr>
                <w:rFonts w:cs="Times New Roman" w:hint="eastAsia"/>
                <w:snapToGrid/>
                <w:color w:val="000000" w:themeColor="text1"/>
                <w:kern w:val="2"/>
              </w:rPr>
              <w:t>高的排气筒排放，风机风量</w:t>
            </w:r>
            <w:r>
              <w:rPr>
                <w:rFonts w:cs="Times New Roman" w:hint="eastAsia"/>
                <w:snapToGrid/>
                <w:color w:val="000000" w:themeColor="text1"/>
                <w:kern w:val="2"/>
              </w:rPr>
              <w:t>1</w:t>
            </w:r>
            <w:r>
              <w:rPr>
                <w:rFonts w:cs="Times New Roman"/>
                <w:snapToGrid/>
                <w:color w:val="000000" w:themeColor="text1"/>
                <w:kern w:val="2"/>
              </w:rPr>
              <w:t>2000Nm</w:t>
            </w:r>
            <w:r>
              <w:rPr>
                <w:rFonts w:cs="Times New Roman"/>
                <w:snapToGrid/>
                <w:color w:val="000000" w:themeColor="text1"/>
                <w:kern w:val="2"/>
                <w:vertAlign w:val="superscript"/>
              </w:rPr>
              <w:t>3</w:t>
            </w:r>
            <w:r>
              <w:rPr>
                <w:rFonts w:cs="Times New Roman"/>
                <w:snapToGrid/>
                <w:color w:val="000000" w:themeColor="text1"/>
                <w:kern w:val="2"/>
              </w:rPr>
              <w:t>/h</w:t>
            </w:r>
            <w:r>
              <w:rPr>
                <w:rFonts w:cs="Times New Roman" w:hint="eastAsia"/>
                <w:snapToGrid/>
                <w:color w:val="000000" w:themeColor="text1"/>
                <w:kern w:val="2"/>
              </w:rPr>
              <w:t>。</w:t>
            </w:r>
          </w:p>
        </w:tc>
        <w:tc>
          <w:tcPr>
            <w:tcW w:w="437" w:type="pct"/>
            <w:vMerge/>
            <w:shd w:val="clear" w:color="auto" w:fill="auto"/>
            <w:vAlign w:val="center"/>
          </w:tcPr>
          <w:p w:rsidR="00644456" w:rsidRDefault="00644456">
            <w:pPr>
              <w:pStyle w:val="afffffff4"/>
              <w:rPr>
                <w:rFonts w:cs="Times New Roman"/>
                <w:snapToGrid/>
                <w:color w:val="FF0000"/>
                <w:kern w:val="2"/>
              </w:rPr>
            </w:pPr>
          </w:p>
        </w:tc>
        <w:tc>
          <w:tcPr>
            <w:tcW w:w="472"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非甲烷总烃、硫化氢</w:t>
            </w:r>
          </w:p>
        </w:tc>
        <w:tc>
          <w:tcPr>
            <w:tcW w:w="416" w:type="pct"/>
            <w:shd w:val="clear" w:color="auto" w:fill="auto"/>
            <w:vAlign w:val="center"/>
          </w:tcPr>
          <w:p w:rsidR="00644456" w:rsidRDefault="008031C4">
            <w:pPr>
              <w:adjustRightInd w:val="0"/>
              <w:jc w:val="center"/>
              <w:rPr>
                <w:rFonts w:cs="Times New Roman"/>
                <w:color w:val="000000" w:themeColor="text1"/>
              </w:rPr>
            </w:pPr>
            <w:r>
              <w:rPr>
                <w:rFonts w:cs="Times New Roman" w:hint="eastAsia"/>
                <w:color w:val="000000" w:themeColor="text1"/>
              </w:rPr>
              <w:t>新建</w:t>
            </w:r>
          </w:p>
        </w:tc>
      </w:tr>
      <w:tr w:rsidR="00644456">
        <w:tc>
          <w:tcPr>
            <w:tcW w:w="259" w:type="pct"/>
            <w:vMerge/>
            <w:shd w:val="clear" w:color="auto" w:fill="auto"/>
            <w:vAlign w:val="center"/>
          </w:tcPr>
          <w:p w:rsidR="00644456" w:rsidRDefault="00644456">
            <w:pPr>
              <w:pStyle w:val="afffffff4"/>
              <w:rPr>
                <w:rFonts w:cs="Times New Roman"/>
                <w:snapToGrid/>
                <w:color w:val="000000" w:themeColor="text1"/>
                <w:kern w:val="2"/>
              </w:rPr>
            </w:pPr>
          </w:p>
        </w:tc>
        <w:tc>
          <w:tcPr>
            <w:tcW w:w="920" w:type="pct"/>
            <w:shd w:val="clear" w:color="auto" w:fill="auto"/>
            <w:vAlign w:val="center"/>
          </w:tcPr>
          <w:p w:rsidR="00644456" w:rsidRPr="00A50D68" w:rsidRDefault="008031C4">
            <w:pPr>
              <w:adjustRightInd w:val="0"/>
              <w:snapToGrid w:val="0"/>
              <w:spacing w:line="260" w:lineRule="exact"/>
              <w:jc w:val="center"/>
              <w:rPr>
                <w:bCs/>
                <w:color w:val="FF0000"/>
                <w:szCs w:val="21"/>
              </w:rPr>
            </w:pPr>
            <w:r w:rsidRPr="00A50D68">
              <w:rPr>
                <w:rFonts w:hint="eastAsia"/>
                <w:bCs/>
                <w:color w:val="FF0000"/>
                <w:szCs w:val="21"/>
              </w:rPr>
              <w:t>导热油锅炉天然气燃烧废气</w:t>
            </w:r>
          </w:p>
        </w:tc>
        <w:tc>
          <w:tcPr>
            <w:tcW w:w="2496" w:type="pct"/>
            <w:shd w:val="clear" w:color="auto" w:fill="auto"/>
            <w:vAlign w:val="center"/>
          </w:tcPr>
          <w:p w:rsidR="00644456" w:rsidRPr="00A50D68" w:rsidRDefault="008031C4">
            <w:pPr>
              <w:pStyle w:val="afffffff4"/>
              <w:jc w:val="left"/>
              <w:rPr>
                <w:rFonts w:cs="Times New Roman"/>
                <w:snapToGrid/>
                <w:color w:val="FF0000"/>
                <w:kern w:val="2"/>
              </w:rPr>
            </w:pPr>
            <w:r w:rsidRPr="00A50D68">
              <w:rPr>
                <w:rFonts w:cs="Times New Roman" w:hint="eastAsia"/>
                <w:snapToGrid/>
                <w:color w:val="FF0000"/>
                <w:kern w:val="2"/>
              </w:rPr>
              <w:t>低氮燃烧：</w:t>
            </w:r>
            <w:r w:rsidRPr="00A50D68">
              <w:rPr>
                <w:rFonts w:cs="Times New Roman"/>
                <w:snapToGrid/>
                <w:color w:val="FF0000"/>
                <w:kern w:val="2"/>
              </w:rPr>
              <w:t>1</w:t>
            </w:r>
            <w:r w:rsidRPr="00A50D68">
              <w:rPr>
                <w:rFonts w:cs="Times New Roman" w:hint="eastAsia"/>
                <w:snapToGrid/>
                <w:color w:val="FF0000"/>
                <w:kern w:val="2"/>
              </w:rPr>
              <w:t>套，设置</w:t>
            </w:r>
            <w:r w:rsidRPr="00A50D68">
              <w:rPr>
                <w:rFonts w:cs="Times New Roman" w:hint="eastAsia"/>
                <w:snapToGrid/>
                <w:color w:val="FF0000"/>
                <w:kern w:val="2"/>
              </w:rPr>
              <w:t>1</w:t>
            </w:r>
            <w:r w:rsidRPr="00A50D68">
              <w:rPr>
                <w:rFonts w:cs="Times New Roman" w:hint="eastAsia"/>
                <w:snapToGrid/>
                <w:color w:val="FF0000"/>
                <w:kern w:val="2"/>
              </w:rPr>
              <w:t>根</w:t>
            </w:r>
            <w:r w:rsidR="00A50D68" w:rsidRPr="00A50D68">
              <w:rPr>
                <w:rFonts w:cs="Times New Roman"/>
                <w:snapToGrid/>
                <w:color w:val="FF0000"/>
                <w:kern w:val="2"/>
              </w:rPr>
              <w:t>8</w:t>
            </w:r>
            <w:r w:rsidRPr="00A50D68">
              <w:rPr>
                <w:rFonts w:cs="Times New Roman" w:hint="eastAsia"/>
                <w:snapToGrid/>
                <w:color w:val="FF0000"/>
                <w:kern w:val="2"/>
              </w:rPr>
              <w:t>m</w:t>
            </w:r>
            <w:r w:rsidRPr="00A50D68">
              <w:rPr>
                <w:rFonts w:cs="Times New Roman" w:hint="eastAsia"/>
                <w:snapToGrid/>
                <w:color w:val="FF0000"/>
                <w:kern w:val="2"/>
              </w:rPr>
              <w:t>高排气筒（</w:t>
            </w:r>
            <w:r w:rsidRPr="00A50D68">
              <w:rPr>
                <w:rFonts w:cs="Times New Roman" w:hint="eastAsia"/>
                <w:snapToGrid/>
                <w:color w:val="FF0000"/>
                <w:kern w:val="2"/>
              </w:rPr>
              <w:t>DA00</w:t>
            </w:r>
            <w:r w:rsidRPr="00A50D68">
              <w:rPr>
                <w:rFonts w:cs="Times New Roman"/>
                <w:snapToGrid/>
                <w:color w:val="FF0000"/>
                <w:kern w:val="2"/>
              </w:rPr>
              <w:t>2</w:t>
            </w:r>
            <w:r w:rsidRPr="00A50D68">
              <w:rPr>
                <w:rFonts w:cs="Times New Roman" w:hint="eastAsia"/>
                <w:snapToGrid/>
                <w:color w:val="FF0000"/>
                <w:kern w:val="2"/>
              </w:rPr>
              <w:t>）。</w:t>
            </w:r>
          </w:p>
        </w:tc>
        <w:tc>
          <w:tcPr>
            <w:tcW w:w="437" w:type="pct"/>
            <w:vMerge/>
            <w:shd w:val="clear" w:color="auto" w:fill="auto"/>
            <w:vAlign w:val="center"/>
          </w:tcPr>
          <w:p w:rsidR="00644456" w:rsidRDefault="00644456">
            <w:pPr>
              <w:pStyle w:val="afffffff4"/>
              <w:rPr>
                <w:rFonts w:cs="Times New Roman"/>
                <w:snapToGrid/>
                <w:color w:val="FF0000"/>
                <w:kern w:val="2"/>
              </w:rPr>
            </w:pPr>
          </w:p>
        </w:tc>
        <w:tc>
          <w:tcPr>
            <w:tcW w:w="472"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颗粒物、氮氧化物、二氧化硫</w:t>
            </w:r>
          </w:p>
        </w:tc>
        <w:tc>
          <w:tcPr>
            <w:tcW w:w="416" w:type="pct"/>
            <w:shd w:val="clear" w:color="auto" w:fill="auto"/>
            <w:vAlign w:val="center"/>
          </w:tcPr>
          <w:p w:rsidR="00644456" w:rsidRDefault="008031C4">
            <w:pPr>
              <w:adjustRightInd w:val="0"/>
              <w:jc w:val="center"/>
              <w:rPr>
                <w:rFonts w:cs="Times New Roman"/>
                <w:color w:val="000000" w:themeColor="text1"/>
              </w:rPr>
            </w:pPr>
            <w:r>
              <w:rPr>
                <w:rFonts w:cs="Times New Roman" w:hint="eastAsia"/>
                <w:color w:val="000000" w:themeColor="text1"/>
              </w:rPr>
              <w:t>新建</w:t>
            </w:r>
          </w:p>
        </w:tc>
      </w:tr>
      <w:tr w:rsidR="00644456">
        <w:tc>
          <w:tcPr>
            <w:tcW w:w="259" w:type="pct"/>
            <w:vMerge/>
            <w:shd w:val="clear" w:color="auto" w:fill="auto"/>
            <w:vAlign w:val="center"/>
          </w:tcPr>
          <w:p w:rsidR="00644456" w:rsidRDefault="00644456">
            <w:pPr>
              <w:pStyle w:val="afffffff4"/>
              <w:rPr>
                <w:rFonts w:cs="Times New Roman"/>
                <w:snapToGrid/>
                <w:color w:val="000000" w:themeColor="text1"/>
                <w:kern w:val="2"/>
              </w:rPr>
            </w:pPr>
          </w:p>
        </w:tc>
        <w:tc>
          <w:tcPr>
            <w:tcW w:w="920" w:type="pct"/>
            <w:shd w:val="clear" w:color="auto" w:fill="auto"/>
            <w:vAlign w:val="center"/>
          </w:tcPr>
          <w:p w:rsidR="00644456" w:rsidRDefault="008031C4">
            <w:pPr>
              <w:adjustRightInd w:val="0"/>
              <w:snapToGrid w:val="0"/>
              <w:spacing w:line="260" w:lineRule="exact"/>
              <w:jc w:val="center"/>
              <w:rPr>
                <w:bCs/>
                <w:color w:val="000000" w:themeColor="text1"/>
                <w:szCs w:val="21"/>
              </w:rPr>
            </w:pPr>
            <w:r>
              <w:rPr>
                <w:rFonts w:hint="eastAsia"/>
                <w:bCs/>
                <w:color w:val="000000" w:themeColor="text1"/>
                <w:szCs w:val="21"/>
              </w:rPr>
              <w:t>罐区、装卸、装置废气</w:t>
            </w:r>
          </w:p>
        </w:tc>
        <w:tc>
          <w:tcPr>
            <w:tcW w:w="2496" w:type="pct"/>
            <w:shd w:val="clear" w:color="auto" w:fill="auto"/>
            <w:vAlign w:val="center"/>
          </w:tcPr>
          <w:p w:rsidR="00644456" w:rsidRDefault="008031C4">
            <w:pPr>
              <w:pStyle w:val="afffffff4"/>
              <w:jc w:val="left"/>
              <w:rPr>
                <w:rFonts w:cs="Times New Roman"/>
                <w:snapToGrid/>
                <w:color w:val="000000" w:themeColor="text1"/>
                <w:kern w:val="2"/>
              </w:rPr>
            </w:pPr>
            <w:r>
              <w:rPr>
                <w:rFonts w:cs="Times New Roman" w:hint="eastAsia"/>
                <w:snapToGrid/>
                <w:color w:val="000000" w:themeColor="text1"/>
                <w:kern w:val="2"/>
              </w:rPr>
              <w:t>罐区、装卸、装置废气：大气稀释扩散，罐体密封、密闭装卸、设备密封等措施</w:t>
            </w:r>
          </w:p>
        </w:tc>
        <w:tc>
          <w:tcPr>
            <w:tcW w:w="437" w:type="pct"/>
            <w:vMerge/>
            <w:shd w:val="clear" w:color="auto" w:fill="auto"/>
            <w:vAlign w:val="center"/>
          </w:tcPr>
          <w:p w:rsidR="00644456" w:rsidRDefault="00644456">
            <w:pPr>
              <w:pStyle w:val="afffffff4"/>
              <w:rPr>
                <w:rFonts w:cs="Times New Roman"/>
                <w:snapToGrid/>
                <w:color w:val="FF0000"/>
                <w:kern w:val="2"/>
              </w:rPr>
            </w:pPr>
          </w:p>
        </w:tc>
        <w:tc>
          <w:tcPr>
            <w:tcW w:w="472"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非甲烷总烃、硫化氢、氨</w:t>
            </w:r>
          </w:p>
        </w:tc>
        <w:tc>
          <w:tcPr>
            <w:tcW w:w="416" w:type="pct"/>
            <w:shd w:val="clear" w:color="auto" w:fill="auto"/>
            <w:vAlign w:val="center"/>
          </w:tcPr>
          <w:p w:rsidR="00644456" w:rsidRDefault="008031C4">
            <w:pPr>
              <w:adjustRightInd w:val="0"/>
              <w:jc w:val="center"/>
              <w:rPr>
                <w:rFonts w:cs="Times New Roman"/>
                <w:color w:val="000000" w:themeColor="text1"/>
              </w:rPr>
            </w:pPr>
            <w:r>
              <w:rPr>
                <w:rFonts w:cs="Times New Roman" w:hint="eastAsia"/>
                <w:color w:val="000000" w:themeColor="text1"/>
              </w:rPr>
              <w:t>新建</w:t>
            </w:r>
          </w:p>
        </w:tc>
      </w:tr>
      <w:bookmarkEnd w:id="120"/>
      <w:tr w:rsidR="00644456">
        <w:tc>
          <w:tcPr>
            <w:tcW w:w="259" w:type="pct"/>
            <w:vMerge/>
            <w:shd w:val="clear" w:color="auto" w:fill="auto"/>
            <w:vAlign w:val="center"/>
          </w:tcPr>
          <w:p w:rsidR="00644456" w:rsidRDefault="00644456">
            <w:pPr>
              <w:pStyle w:val="afffffff4"/>
              <w:rPr>
                <w:rFonts w:cs="Times New Roman"/>
                <w:snapToGrid/>
                <w:color w:val="000000" w:themeColor="text1"/>
                <w:kern w:val="2"/>
              </w:rPr>
            </w:pPr>
          </w:p>
        </w:tc>
        <w:tc>
          <w:tcPr>
            <w:tcW w:w="920" w:type="pct"/>
            <w:shd w:val="clear" w:color="auto" w:fill="auto"/>
            <w:vAlign w:val="center"/>
          </w:tcPr>
          <w:p w:rsidR="00644456" w:rsidRDefault="008031C4">
            <w:pPr>
              <w:adjustRightInd w:val="0"/>
              <w:snapToGrid w:val="0"/>
              <w:spacing w:line="260" w:lineRule="exact"/>
              <w:jc w:val="center"/>
              <w:rPr>
                <w:bCs/>
                <w:color w:val="000000" w:themeColor="text1"/>
                <w:szCs w:val="21"/>
              </w:rPr>
            </w:pPr>
            <w:r>
              <w:rPr>
                <w:bCs/>
                <w:color w:val="000000" w:themeColor="text1"/>
                <w:szCs w:val="21"/>
              </w:rPr>
              <w:t>生产废水</w:t>
            </w:r>
          </w:p>
        </w:tc>
        <w:tc>
          <w:tcPr>
            <w:tcW w:w="2496" w:type="pct"/>
            <w:shd w:val="clear" w:color="auto" w:fill="auto"/>
            <w:vAlign w:val="center"/>
          </w:tcPr>
          <w:p w:rsidR="00644456" w:rsidRDefault="008031C4">
            <w:pPr>
              <w:pStyle w:val="afffffff4"/>
              <w:jc w:val="left"/>
              <w:rPr>
                <w:rFonts w:cs="Times New Roman"/>
                <w:snapToGrid/>
                <w:color w:val="000000" w:themeColor="text1"/>
                <w:kern w:val="2"/>
              </w:rPr>
            </w:pPr>
            <w:r>
              <w:rPr>
                <w:rFonts w:cs="Times New Roman" w:hint="eastAsia"/>
                <w:snapToGrid/>
                <w:color w:val="000000" w:themeColor="text1"/>
                <w:kern w:val="2"/>
              </w:rPr>
              <w:t>污水处理站：</w:t>
            </w:r>
            <w:r>
              <w:rPr>
                <w:rFonts w:cs="Times New Roman"/>
                <w:snapToGrid/>
                <w:color w:val="000000" w:themeColor="text1"/>
                <w:kern w:val="2"/>
              </w:rPr>
              <w:t>1</w:t>
            </w:r>
            <w:r>
              <w:rPr>
                <w:rFonts w:cs="Times New Roman"/>
                <w:snapToGrid/>
                <w:color w:val="000000" w:themeColor="text1"/>
                <w:kern w:val="2"/>
              </w:rPr>
              <w:t>座，</w:t>
            </w:r>
            <w:r>
              <w:rPr>
                <w:rFonts w:cs="Times New Roman" w:hint="eastAsia"/>
                <w:snapToGrid/>
                <w:color w:val="000000" w:themeColor="text1"/>
                <w:kern w:val="2"/>
              </w:rPr>
              <w:t>采用“预处理（电解气浮）</w:t>
            </w:r>
            <w:r>
              <w:rPr>
                <w:rFonts w:cs="Times New Roman" w:hint="eastAsia"/>
                <w:snapToGrid/>
                <w:color w:val="000000" w:themeColor="text1"/>
                <w:kern w:val="2"/>
              </w:rPr>
              <w:t>+</w:t>
            </w:r>
            <w:r>
              <w:rPr>
                <w:rFonts w:cs="Times New Roman" w:hint="eastAsia"/>
                <w:snapToGrid/>
                <w:color w:val="000000" w:themeColor="text1"/>
                <w:kern w:val="2"/>
              </w:rPr>
              <w:t>生化处理</w:t>
            </w:r>
            <w:r>
              <w:rPr>
                <w:rFonts w:cs="Times New Roman" w:hint="eastAsia"/>
                <w:snapToGrid/>
                <w:color w:val="000000" w:themeColor="text1"/>
                <w:kern w:val="2"/>
              </w:rPr>
              <w:t>A2O</w:t>
            </w:r>
            <w:r>
              <w:rPr>
                <w:rFonts w:cs="Times New Roman" w:hint="eastAsia"/>
                <w:snapToGrid/>
                <w:color w:val="000000" w:themeColor="text1"/>
                <w:kern w:val="2"/>
              </w:rPr>
              <w:t>”生产废水经自建污水处理站处理后排入市政管网最终进入生态钢城污水处理厂处理；</w:t>
            </w:r>
            <w:r>
              <w:rPr>
                <w:rFonts w:cs="Times New Roman" w:hint="eastAsia"/>
                <w:snapToGrid/>
                <w:color w:val="000000" w:themeColor="text1"/>
                <w:kern w:val="2"/>
              </w:rPr>
              <w:t>2</w:t>
            </w:r>
            <w:r>
              <w:rPr>
                <w:rFonts w:cs="Times New Roman"/>
                <w:snapToGrid/>
                <w:color w:val="000000" w:themeColor="text1"/>
                <w:kern w:val="2"/>
              </w:rPr>
              <w:t>00m</w:t>
            </w:r>
            <w:r>
              <w:rPr>
                <w:rFonts w:cs="Times New Roman"/>
                <w:snapToGrid/>
                <w:color w:val="000000" w:themeColor="text1"/>
                <w:kern w:val="2"/>
                <w:vertAlign w:val="superscript"/>
              </w:rPr>
              <w:t>3</w:t>
            </w:r>
            <w:r>
              <w:rPr>
                <w:rFonts w:cs="Times New Roman"/>
                <w:snapToGrid/>
                <w:color w:val="000000" w:themeColor="text1"/>
                <w:kern w:val="2"/>
              </w:rPr>
              <w:t>/d</w:t>
            </w:r>
            <w:r>
              <w:rPr>
                <w:rFonts w:cs="Times New Roman" w:hint="eastAsia"/>
                <w:snapToGrid/>
                <w:color w:val="000000" w:themeColor="text1"/>
                <w:kern w:val="2"/>
              </w:rPr>
              <w:t>。</w:t>
            </w:r>
          </w:p>
        </w:tc>
        <w:tc>
          <w:tcPr>
            <w:tcW w:w="437" w:type="pct"/>
            <w:vMerge/>
            <w:shd w:val="clear" w:color="auto" w:fill="auto"/>
            <w:vAlign w:val="center"/>
          </w:tcPr>
          <w:p w:rsidR="00644456" w:rsidRDefault="00644456">
            <w:pPr>
              <w:pStyle w:val="afffffff4"/>
              <w:rPr>
                <w:rFonts w:cs="Times New Roman"/>
                <w:snapToGrid/>
                <w:color w:val="FF0000"/>
                <w:kern w:val="2"/>
              </w:rPr>
            </w:pPr>
          </w:p>
        </w:tc>
        <w:tc>
          <w:tcPr>
            <w:tcW w:w="472"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工业污水</w:t>
            </w:r>
          </w:p>
        </w:tc>
        <w:tc>
          <w:tcPr>
            <w:tcW w:w="416"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新建</w:t>
            </w:r>
          </w:p>
        </w:tc>
      </w:tr>
      <w:tr w:rsidR="00644456">
        <w:tc>
          <w:tcPr>
            <w:tcW w:w="259" w:type="pct"/>
            <w:vMerge/>
            <w:shd w:val="clear" w:color="auto" w:fill="auto"/>
            <w:vAlign w:val="center"/>
          </w:tcPr>
          <w:p w:rsidR="00644456" w:rsidRDefault="00644456">
            <w:pPr>
              <w:pStyle w:val="afffffff4"/>
              <w:rPr>
                <w:rFonts w:cs="Times New Roman"/>
                <w:snapToGrid/>
                <w:color w:val="000000" w:themeColor="text1"/>
                <w:kern w:val="2"/>
              </w:rPr>
            </w:pPr>
          </w:p>
        </w:tc>
        <w:tc>
          <w:tcPr>
            <w:tcW w:w="920" w:type="pct"/>
            <w:shd w:val="clear" w:color="auto" w:fill="auto"/>
            <w:vAlign w:val="center"/>
          </w:tcPr>
          <w:p w:rsidR="00644456" w:rsidRDefault="008031C4">
            <w:pPr>
              <w:adjustRightInd w:val="0"/>
              <w:snapToGrid w:val="0"/>
              <w:spacing w:line="260" w:lineRule="exact"/>
              <w:jc w:val="center"/>
              <w:rPr>
                <w:bCs/>
                <w:color w:val="000000" w:themeColor="text1"/>
                <w:szCs w:val="21"/>
              </w:rPr>
            </w:pPr>
            <w:r>
              <w:rPr>
                <w:bCs/>
                <w:color w:val="000000" w:themeColor="text1"/>
                <w:szCs w:val="21"/>
              </w:rPr>
              <w:t>生活污水</w:t>
            </w:r>
          </w:p>
        </w:tc>
        <w:tc>
          <w:tcPr>
            <w:tcW w:w="2496" w:type="pct"/>
            <w:shd w:val="clear" w:color="auto" w:fill="auto"/>
            <w:vAlign w:val="center"/>
          </w:tcPr>
          <w:p w:rsidR="00644456" w:rsidRDefault="008031C4">
            <w:pPr>
              <w:pStyle w:val="afffffff4"/>
              <w:jc w:val="left"/>
              <w:rPr>
                <w:rFonts w:cs="Times New Roman"/>
                <w:snapToGrid/>
                <w:color w:val="000000" w:themeColor="text1"/>
                <w:kern w:val="2"/>
              </w:rPr>
            </w:pPr>
            <w:r>
              <w:rPr>
                <w:rFonts w:cs="Times New Roman" w:hint="eastAsia"/>
                <w:snapToGrid/>
                <w:color w:val="000000" w:themeColor="text1"/>
                <w:kern w:val="2"/>
              </w:rPr>
              <w:t>新建预处理池（</w:t>
            </w:r>
            <w:r>
              <w:rPr>
                <w:rFonts w:cs="Times New Roman"/>
                <w:snapToGrid/>
                <w:color w:val="000000" w:themeColor="text1"/>
                <w:kern w:val="2"/>
              </w:rPr>
              <w:t>10m</w:t>
            </w:r>
            <w:r>
              <w:rPr>
                <w:rFonts w:cs="Times New Roman"/>
                <w:snapToGrid/>
                <w:color w:val="000000" w:themeColor="text1"/>
                <w:kern w:val="2"/>
                <w:vertAlign w:val="superscript"/>
              </w:rPr>
              <w:t>3</w:t>
            </w:r>
            <w:r>
              <w:rPr>
                <w:rFonts w:cs="Times New Roman" w:hint="eastAsia"/>
                <w:snapToGrid/>
                <w:color w:val="000000" w:themeColor="text1"/>
                <w:kern w:val="2"/>
              </w:rPr>
              <w:t>）</w:t>
            </w:r>
            <w:r>
              <w:rPr>
                <w:rFonts w:cs="Times New Roman"/>
                <w:snapToGrid/>
                <w:color w:val="000000" w:themeColor="text1"/>
                <w:kern w:val="2"/>
              </w:rPr>
              <w:t>，</w:t>
            </w:r>
            <w:r>
              <w:rPr>
                <w:rFonts w:cs="Times New Roman" w:hint="eastAsia"/>
                <w:snapToGrid/>
                <w:color w:val="000000" w:themeColor="text1"/>
                <w:kern w:val="2"/>
              </w:rPr>
              <w:t>生活污水经预处理池处理进入生态钢城污水处理厂处理。</w:t>
            </w:r>
          </w:p>
        </w:tc>
        <w:tc>
          <w:tcPr>
            <w:tcW w:w="437" w:type="pct"/>
            <w:vMerge/>
            <w:shd w:val="clear" w:color="auto" w:fill="auto"/>
            <w:vAlign w:val="center"/>
          </w:tcPr>
          <w:p w:rsidR="00644456" w:rsidRDefault="00644456">
            <w:pPr>
              <w:pStyle w:val="afffffff4"/>
              <w:rPr>
                <w:rFonts w:cs="Times New Roman"/>
                <w:snapToGrid/>
                <w:color w:val="FF0000"/>
                <w:kern w:val="2"/>
              </w:rPr>
            </w:pPr>
          </w:p>
        </w:tc>
        <w:tc>
          <w:tcPr>
            <w:tcW w:w="472"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生活污水</w:t>
            </w:r>
          </w:p>
        </w:tc>
        <w:tc>
          <w:tcPr>
            <w:tcW w:w="416"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新建</w:t>
            </w:r>
          </w:p>
        </w:tc>
      </w:tr>
      <w:tr w:rsidR="00644456">
        <w:tc>
          <w:tcPr>
            <w:tcW w:w="259" w:type="pct"/>
            <w:vMerge/>
            <w:shd w:val="clear" w:color="auto" w:fill="auto"/>
            <w:vAlign w:val="center"/>
          </w:tcPr>
          <w:p w:rsidR="00644456" w:rsidRDefault="00644456">
            <w:pPr>
              <w:pStyle w:val="afffffff4"/>
              <w:rPr>
                <w:rFonts w:cs="Times New Roman"/>
                <w:snapToGrid/>
                <w:color w:val="000000" w:themeColor="text1"/>
                <w:kern w:val="2"/>
              </w:rPr>
            </w:pPr>
          </w:p>
        </w:tc>
        <w:tc>
          <w:tcPr>
            <w:tcW w:w="920" w:type="pct"/>
            <w:shd w:val="clear" w:color="auto" w:fill="auto"/>
            <w:vAlign w:val="center"/>
          </w:tcPr>
          <w:p w:rsidR="00644456" w:rsidRDefault="008031C4">
            <w:pPr>
              <w:adjustRightInd w:val="0"/>
              <w:snapToGrid w:val="0"/>
              <w:spacing w:line="260" w:lineRule="exact"/>
              <w:jc w:val="center"/>
              <w:rPr>
                <w:bCs/>
                <w:color w:val="000000" w:themeColor="text1"/>
                <w:szCs w:val="21"/>
              </w:rPr>
            </w:pPr>
            <w:r>
              <w:rPr>
                <w:bCs/>
                <w:color w:val="000000" w:themeColor="text1"/>
                <w:szCs w:val="21"/>
              </w:rPr>
              <w:t>噪声</w:t>
            </w:r>
          </w:p>
        </w:tc>
        <w:tc>
          <w:tcPr>
            <w:tcW w:w="2496" w:type="pct"/>
            <w:shd w:val="clear" w:color="auto" w:fill="auto"/>
            <w:vAlign w:val="center"/>
          </w:tcPr>
          <w:p w:rsidR="00644456" w:rsidRDefault="008031C4">
            <w:pPr>
              <w:pStyle w:val="afffffff4"/>
              <w:jc w:val="left"/>
              <w:rPr>
                <w:rFonts w:cs="Times New Roman"/>
                <w:snapToGrid/>
                <w:color w:val="000000" w:themeColor="text1"/>
                <w:kern w:val="2"/>
              </w:rPr>
            </w:pPr>
            <w:r>
              <w:rPr>
                <w:rFonts w:cs="Times New Roman"/>
                <w:snapToGrid/>
                <w:color w:val="000000" w:themeColor="text1"/>
                <w:kern w:val="2"/>
              </w:rPr>
              <w:t>隔声、减振等降噪措施</w:t>
            </w:r>
          </w:p>
        </w:tc>
        <w:tc>
          <w:tcPr>
            <w:tcW w:w="437" w:type="pct"/>
            <w:vMerge/>
            <w:shd w:val="clear" w:color="auto" w:fill="auto"/>
            <w:vAlign w:val="center"/>
          </w:tcPr>
          <w:p w:rsidR="00644456" w:rsidRDefault="00644456">
            <w:pPr>
              <w:pStyle w:val="afffffff4"/>
              <w:rPr>
                <w:rFonts w:cs="Times New Roman"/>
                <w:snapToGrid/>
                <w:color w:val="FF0000"/>
                <w:kern w:val="2"/>
              </w:rPr>
            </w:pPr>
          </w:p>
        </w:tc>
        <w:tc>
          <w:tcPr>
            <w:tcW w:w="472"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噪声</w:t>
            </w:r>
          </w:p>
        </w:tc>
        <w:tc>
          <w:tcPr>
            <w:tcW w:w="416" w:type="pct"/>
            <w:shd w:val="clear" w:color="auto" w:fill="auto"/>
            <w:vAlign w:val="center"/>
          </w:tcPr>
          <w:p w:rsidR="00644456" w:rsidRDefault="008031C4">
            <w:pPr>
              <w:pStyle w:val="afffffff4"/>
              <w:rPr>
                <w:rFonts w:cs="Times New Roman"/>
                <w:snapToGrid/>
                <w:color w:val="000000" w:themeColor="text1"/>
                <w:kern w:val="2"/>
              </w:rPr>
            </w:pPr>
            <w:r>
              <w:rPr>
                <w:rFonts w:cs="Times New Roman"/>
                <w:snapToGrid/>
                <w:color w:val="000000" w:themeColor="text1"/>
                <w:kern w:val="2"/>
              </w:rPr>
              <w:t>新建</w:t>
            </w:r>
          </w:p>
        </w:tc>
      </w:tr>
      <w:tr w:rsidR="00644456">
        <w:tc>
          <w:tcPr>
            <w:tcW w:w="259" w:type="pct"/>
            <w:vMerge/>
            <w:shd w:val="clear" w:color="auto" w:fill="auto"/>
            <w:vAlign w:val="center"/>
          </w:tcPr>
          <w:p w:rsidR="00644456" w:rsidRDefault="00644456">
            <w:pPr>
              <w:pStyle w:val="afffffff4"/>
              <w:rPr>
                <w:rFonts w:cs="Times New Roman"/>
                <w:snapToGrid/>
                <w:color w:val="000000" w:themeColor="text1"/>
                <w:kern w:val="2"/>
              </w:rPr>
            </w:pPr>
          </w:p>
        </w:tc>
        <w:tc>
          <w:tcPr>
            <w:tcW w:w="920" w:type="pct"/>
            <w:shd w:val="clear" w:color="auto" w:fill="auto"/>
            <w:vAlign w:val="center"/>
          </w:tcPr>
          <w:p w:rsidR="00644456" w:rsidRDefault="008031C4">
            <w:pPr>
              <w:adjustRightInd w:val="0"/>
              <w:snapToGrid w:val="0"/>
              <w:spacing w:line="260" w:lineRule="exact"/>
              <w:jc w:val="center"/>
              <w:rPr>
                <w:bCs/>
                <w:color w:val="000000" w:themeColor="text1"/>
                <w:szCs w:val="21"/>
              </w:rPr>
            </w:pPr>
            <w:r>
              <w:rPr>
                <w:bCs/>
                <w:color w:val="000000" w:themeColor="text1"/>
                <w:szCs w:val="21"/>
              </w:rPr>
              <w:t>固废</w:t>
            </w:r>
          </w:p>
        </w:tc>
        <w:tc>
          <w:tcPr>
            <w:tcW w:w="2496" w:type="pct"/>
            <w:shd w:val="clear" w:color="auto" w:fill="auto"/>
            <w:vAlign w:val="center"/>
          </w:tcPr>
          <w:p w:rsidR="00644456" w:rsidRDefault="008031C4">
            <w:pPr>
              <w:pStyle w:val="afffffff4"/>
              <w:jc w:val="left"/>
              <w:rPr>
                <w:rFonts w:cs="Times New Roman"/>
                <w:snapToGrid/>
                <w:color w:val="000000" w:themeColor="text1"/>
                <w:kern w:val="2"/>
              </w:rPr>
            </w:pPr>
            <w:r>
              <w:rPr>
                <w:rFonts w:cs="Times New Roman" w:hint="eastAsia"/>
                <w:snapToGrid/>
                <w:color w:val="000000" w:themeColor="text1"/>
                <w:kern w:val="2"/>
              </w:rPr>
              <w:t>本项目产生的固废主要为生活垃圾、预处理池污泥、含油废渣、污水处理设施浮渣、浮油和污泥、废导热油、蒸馏残渣、废干式过滤器、其他危险</w:t>
            </w:r>
            <w:r>
              <w:rPr>
                <w:rFonts w:cs="Times New Roman" w:hint="eastAsia"/>
                <w:snapToGrid/>
                <w:color w:val="000000" w:themeColor="text1"/>
                <w:kern w:val="2"/>
              </w:rPr>
              <w:lastRenderedPageBreak/>
              <w:t>废物等。生活垃圾由环卫部门清运；危废需委托有相应危废处理资质的单位处置；生活污水预处理池污泥定期环卫清掏清运。</w:t>
            </w:r>
          </w:p>
        </w:tc>
        <w:tc>
          <w:tcPr>
            <w:tcW w:w="437" w:type="pct"/>
            <w:vMerge/>
            <w:shd w:val="clear" w:color="auto" w:fill="auto"/>
            <w:vAlign w:val="center"/>
          </w:tcPr>
          <w:p w:rsidR="00644456" w:rsidRDefault="00644456">
            <w:pPr>
              <w:pStyle w:val="afffffff4"/>
              <w:rPr>
                <w:rFonts w:cs="Times New Roman"/>
                <w:snapToGrid/>
                <w:color w:val="FF0000"/>
                <w:kern w:val="2"/>
              </w:rPr>
            </w:pPr>
          </w:p>
        </w:tc>
        <w:tc>
          <w:tcPr>
            <w:tcW w:w="472"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危废、固废</w:t>
            </w:r>
          </w:p>
        </w:tc>
        <w:tc>
          <w:tcPr>
            <w:tcW w:w="416"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新建</w:t>
            </w:r>
          </w:p>
        </w:tc>
      </w:tr>
      <w:tr w:rsidR="00644456">
        <w:tc>
          <w:tcPr>
            <w:tcW w:w="259" w:type="pct"/>
            <w:vMerge/>
            <w:shd w:val="clear" w:color="auto" w:fill="auto"/>
            <w:vAlign w:val="center"/>
          </w:tcPr>
          <w:p w:rsidR="00644456" w:rsidRDefault="00644456">
            <w:pPr>
              <w:pStyle w:val="afffffff4"/>
              <w:rPr>
                <w:rFonts w:cs="Times New Roman"/>
                <w:snapToGrid/>
                <w:color w:val="000000" w:themeColor="text1"/>
                <w:kern w:val="2"/>
              </w:rPr>
            </w:pPr>
          </w:p>
        </w:tc>
        <w:tc>
          <w:tcPr>
            <w:tcW w:w="920" w:type="pct"/>
            <w:shd w:val="clear" w:color="auto" w:fill="auto"/>
            <w:vAlign w:val="center"/>
          </w:tcPr>
          <w:p w:rsidR="00644456" w:rsidRDefault="008031C4">
            <w:pPr>
              <w:adjustRightInd w:val="0"/>
              <w:snapToGrid w:val="0"/>
              <w:spacing w:line="260" w:lineRule="exact"/>
              <w:jc w:val="center"/>
              <w:rPr>
                <w:bCs/>
                <w:color w:val="000000" w:themeColor="text1"/>
                <w:szCs w:val="21"/>
              </w:rPr>
            </w:pPr>
            <w:r>
              <w:rPr>
                <w:rFonts w:hint="eastAsia"/>
                <w:bCs/>
                <w:color w:val="000000" w:themeColor="text1"/>
                <w:szCs w:val="21"/>
              </w:rPr>
              <w:t>风险</w:t>
            </w:r>
          </w:p>
        </w:tc>
        <w:tc>
          <w:tcPr>
            <w:tcW w:w="2496" w:type="pct"/>
            <w:shd w:val="clear" w:color="auto" w:fill="auto"/>
            <w:vAlign w:val="center"/>
          </w:tcPr>
          <w:p w:rsidR="00644456" w:rsidRDefault="008031C4">
            <w:pPr>
              <w:pStyle w:val="afffffff4"/>
              <w:jc w:val="left"/>
              <w:rPr>
                <w:rFonts w:cs="Times New Roman"/>
                <w:snapToGrid/>
                <w:color w:val="000000" w:themeColor="text1"/>
                <w:kern w:val="2"/>
              </w:rPr>
            </w:pPr>
            <w:r>
              <w:rPr>
                <w:rFonts w:cs="Times New Roman" w:hint="eastAsia"/>
                <w:snapToGrid/>
                <w:color w:val="000000" w:themeColor="text1"/>
                <w:kern w:val="2"/>
              </w:rPr>
              <w:t>编制备案应急预案，</w:t>
            </w:r>
            <w:bookmarkStart w:id="121" w:name="_Hlk179553602"/>
            <w:r>
              <w:rPr>
                <w:rFonts w:cs="Times New Roman" w:hint="eastAsia"/>
                <w:snapToGrid/>
                <w:color w:val="000000" w:themeColor="text1"/>
                <w:kern w:val="2"/>
              </w:rPr>
              <w:t>新建</w:t>
            </w:r>
            <w:r>
              <w:rPr>
                <w:rFonts w:cs="Times New Roman" w:hint="eastAsia"/>
                <w:snapToGrid/>
                <w:color w:val="000000" w:themeColor="text1"/>
                <w:kern w:val="2"/>
              </w:rPr>
              <w:t>1</w:t>
            </w:r>
            <w:r>
              <w:rPr>
                <w:rFonts w:cs="Times New Roman" w:hint="eastAsia"/>
                <w:snapToGrid/>
                <w:color w:val="000000" w:themeColor="text1"/>
                <w:kern w:val="2"/>
              </w:rPr>
              <w:t>座容积为</w:t>
            </w:r>
            <w:r>
              <w:rPr>
                <w:rFonts w:cs="Times New Roman" w:hint="eastAsia"/>
                <w:snapToGrid/>
                <w:color w:val="000000" w:themeColor="text1"/>
                <w:kern w:val="2"/>
              </w:rPr>
              <w:t>700m</w:t>
            </w:r>
            <w:r>
              <w:rPr>
                <w:rFonts w:cs="Times New Roman" w:hint="eastAsia"/>
                <w:snapToGrid/>
                <w:color w:val="000000" w:themeColor="text1"/>
                <w:kern w:val="2"/>
              </w:rPr>
              <w:t>³的事故水池，接纳事故状态下排放的废油、洗消废水，新建</w:t>
            </w:r>
            <w:r>
              <w:rPr>
                <w:rFonts w:cs="Times New Roman" w:hint="eastAsia"/>
                <w:snapToGrid/>
                <w:color w:val="000000" w:themeColor="text1"/>
                <w:kern w:val="2"/>
              </w:rPr>
              <w:t>1</w:t>
            </w:r>
            <w:r>
              <w:rPr>
                <w:rFonts w:cs="Times New Roman" w:hint="eastAsia"/>
                <w:snapToGrid/>
                <w:color w:val="000000" w:themeColor="text1"/>
                <w:kern w:val="2"/>
              </w:rPr>
              <w:t>座容积为</w:t>
            </w:r>
            <w:r>
              <w:rPr>
                <w:rFonts w:cs="Times New Roman" w:hint="eastAsia"/>
                <w:snapToGrid/>
                <w:color w:val="000000" w:themeColor="text1"/>
                <w:kern w:val="2"/>
              </w:rPr>
              <w:t>535m</w:t>
            </w:r>
            <w:r>
              <w:rPr>
                <w:rFonts w:cs="Times New Roman" w:hint="eastAsia"/>
                <w:snapToGrid/>
                <w:color w:val="000000" w:themeColor="text1"/>
                <w:kern w:val="2"/>
              </w:rPr>
              <w:t>³的消防水罐并配套消防泵、消防水管等，新建</w:t>
            </w:r>
            <w:r>
              <w:rPr>
                <w:rFonts w:cs="Times New Roman" w:hint="eastAsia"/>
                <w:snapToGrid/>
                <w:color w:val="000000" w:themeColor="text1"/>
                <w:kern w:val="2"/>
              </w:rPr>
              <w:t>300m</w:t>
            </w:r>
            <w:r>
              <w:rPr>
                <w:rFonts w:cs="Times New Roman" w:hint="eastAsia"/>
                <w:snapToGrid/>
                <w:color w:val="000000" w:themeColor="text1"/>
                <w:kern w:val="2"/>
                <w:vertAlign w:val="superscript"/>
              </w:rPr>
              <w:t>3</w:t>
            </w:r>
            <w:r>
              <w:rPr>
                <w:rFonts w:cs="Times New Roman" w:hint="eastAsia"/>
                <w:snapToGrid/>
                <w:color w:val="000000" w:themeColor="text1"/>
                <w:kern w:val="2"/>
              </w:rPr>
              <w:t>的初期雨水池，接纳初期雨水，装卸车区、原料油罐组、成品油罐组、润滑油生产装置区等四周设置导流沟，原料油罐组、成品油罐组设置</w:t>
            </w:r>
            <w:r>
              <w:rPr>
                <w:rFonts w:cs="Times New Roman" w:hint="eastAsia"/>
                <w:snapToGrid/>
                <w:color w:val="000000" w:themeColor="text1"/>
                <w:kern w:val="2"/>
              </w:rPr>
              <w:t>1.2m</w:t>
            </w:r>
            <w:r>
              <w:rPr>
                <w:rFonts w:cs="Times New Roman" w:hint="eastAsia"/>
                <w:snapToGrid/>
                <w:color w:val="000000" w:themeColor="text1"/>
                <w:kern w:val="2"/>
              </w:rPr>
              <w:t>围堰，防止附着的废油类物质滴落漫流，</w:t>
            </w:r>
            <w:bookmarkEnd w:id="121"/>
          </w:p>
        </w:tc>
        <w:tc>
          <w:tcPr>
            <w:tcW w:w="437" w:type="pct"/>
            <w:vMerge/>
            <w:shd w:val="clear" w:color="auto" w:fill="auto"/>
            <w:vAlign w:val="center"/>
          </w:tcPr>
          <w:p w:rsidR="00644456" w:rsidRDefault="00644456">
            <w:pPr>
              <w:pStyle w:val="afffffff4"/>
              <w:rPr>
                <w:rFonts w:cs="Times New Roman"/>
                <w:snapToGrid/>
                <w:color w:val="FF0000"/>
                <w:kern w:val="2"/>
              </w:rPr>
            </w:pPr>
          </w:p>
        </w:tc>
        <w:tc>
          <w:tcPr>
            <w:tcW w:w="472" w:type="pct"/>
            <w:vMerge w:val="restar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环境风险</w:t>
            </w:r>
          </w:p>
        </w:tc>
        <w:tc>
          <w:tcPr>
            <w:tcW w:w="416"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新建</w:t>
            </w:r>
          </w:p>
        </w:tc>
      </w:tr>
      <w:tr w:rsidR="00644456">
        <w:tc>
          <w:tcPr>
            <w:tcW w:w="259" w:type="pct"/>
            <w:vMerge/>
            <w:shd w:val="clear" w:color="auto" w:fill="auto"/>
            <w:vAlign w:val="center"/>
          </w:tcPr>
          <w:p w:rsidR="00644456" w:rsidRDefault="00644456">
            <w:pPr>
              <w:pStyle w:val="afffffff4"/>
              <w:rPr>
                <w:rFonts w:cs="Times New Roman"/>
                <w:snapToGrid/>
                <w:color w:val="000000" w:themeColor="text1"/>
                <w:kern w:val="2"/>
              </w:rPr>
            </w:pPr>
          </w:p>
        </w:tc>
        <w:tc>
          <w:tcPr>
            <w:tcW w:w="920" w:type="pct"/>
            <w:shd w:val="clear" w:color="auto" w:fill="auto"/>
            <w:vAlign w:val="center"/>
          </w:tcPr>
          <w:p w:rsidR="00644456" w:rsidRDefault="008031C4">
            <w:pPr>
              <w:adjustRightInd w:val="0"/>
              <w:snapToGrid w:val="0"/>
              <w:spacing w:line="260" w:lineRule="exact"/>
              <w:jc w:val="center"/>
              <w:rPr>
                <w:bCs/>
                <w:color w:val="000000" w:themeColor="text1"/>
                <w:szCs w:val="21"/>
              </w:rPr>
            </w:pPr>
            <w:r>
              <w:rPr>
                <w:rFonts w:hint="eastAsia"/>
                <w:bCs/>
                <w:color w:val="000000" w:themeColor="text1"/>
                <w:szCs w:val="21"/>
              </w:rPr>
              <w:t>地下水与土壤</w:t>
            </w:r>
          </w:p>
        </w:tc>
        <w:tc>
          <w:tcPr>
            <w:tcW w:w="2496" w:type="pct"/>
            <w:shd w:val="clear" w:color="auto" w:fill="auto"/>
            <w:vAlign w:val="center"/>
          </w:tcPr>
          <w:p w:rsidR="00644456" w:rsidRDefault="008031C4">
            <w:pPr>
              <w:pStyle w:val="afffffff4"/>
              <w:jc w:val="left"/>
              <w:rPr>
                <w:rFonts w:cs="Times New Roman"/>
                <w:snapToGrid/>
                <w:color w:val="000000" w:themeColor="text1"/>
                <w:kern w:val="2"/>
              </w:rPr>
            </w:pPr>
            <w:r>
              <w:rPr>
                <w:rFonts w:cs="Times New Roman" w:hint="eastAsia"/>
                <w:snapToGrid/>
                <w:color w:val="000000" w:themeColor="text1"/>
                <w:kern w:val="2"/>
              </w:rPr>
              <w:t>重点防渗区：包括污水处理站、危废暂存间、罐区以及生产区域采取防渗混凝土</w:t>
            </w:r>
            <w:r>
              <w:rPr>
                <w:rFonts w:cs="Times New Roman" w:hint="eastAsia"/>
                <w:snapToGrid/>
                <w:color w:val="000000" w:themeColor="text1"/>
                <w:kern w:val="2"/>
              </w:rPr>
              <w:t>+</w:t>
            </w:r>
            <w:r>
              <w:rPr>
                <w:rFonts w:cs="Times New Roman" w:hint="eastAsia"/>
                <w:snapToGrid/>
                <w:color w:val="000000" w:themeColor="text1"/>
                <w:kern w:val="2"/>
              </w:rPr>
              <w:t>水泥砂浆</w:t>
            </w:r>
            <w:r>
              <w:rPr>
                <w:rFonts w:cs="Times New Roman" w:hint="eastAsia"/>
                <w:snapToGrid/>
                <w:color w:val="000000" w:themeColor="text1"/>
                <w:kern w:val="2"/>
              </w:rPr>
              <w:t>+2mm</w:t>
            </w:r>
            <w:r>
              <w:rPr>
                <w:rFonts w:cs="Times New Roman" w:hint="eastAsia"/>
                <w:snapToGrid/>
                <w:color w:val="000000" w:themeColor="text1"/>
                <w:kern w:val="2"/>
              </w:rPr>
              <w:t>的环氧树脂漆或其他人工防渗材料，确保等效黏土防护层</w:t>
            </w:r>
            <w:r>
              <w:rPr>
                <w:rFonts w:cs="Times New Roman" w:hint="eastAsia"/>
                <w:snapToGrid/>
                <w:color w:val="000000" w:themeColor="text1"/>
                <w:kern w:val="2"/>
              </w:rPr>
              <w:t>Mb</w:t>
            </w:r>
            <w:r>
              <w:rPr>
                <w:rFonts w:cs="Times New Roman" w:hint="eastAsia"/>
                <w:snapToGrid/>
                <w:color w:val="000000" w:themeColor="text1"/>
                <w:kern w:val="2"/>
              </w:rPr>
              <w:t>≥</w:t>
            </w:r>
            <w:r>
              <w:rPr>
                <w:rFonts w:cs="Times New Roman" w:hint="eastAsia"/>
                <w:snapToGrid/>
                <w:color w:val="000000" w:themeColor="text1"/>
                <w:kern w:val="2"/>
              </w:rPr>
              <w:t>6.0m</w:t>
            </w:r>
            <w:r>
              <w:rPr>
                <w:rFonts w:cs="Times New Roman" w:hint="eastAsia"/>
                <w:snapToGrid/>
                <w:color w:val="000000" w:themeColor="text1"/>
                <w:kern w:val="2"/>
              </w:rPr>
              <w:t>，≤</w:t>
            </w:r>
            <w:r>
              <w:rPr>
                <w:rFonts w:cs="Times New Roman" w:hint="eastAsia"/>
                <w:snapToGrid/>
                <w:color w:val="000000" w:themeColor="text1"/>
                <w:kern w:val="2"/>
              </w:rPr>
              <w:t>1.0</w:t>
            </w:r>
            <w:r>
              <w:rPr>
                <w:rFonts w:cs="Times New Roman" w:hint="eastAsia"/>
                <w:snapToGrid/>
                <w:color w:val="000000" w:themeColor="text1"/>
                <w:kern w:val="2"/>
              </w:rPr>
              <w:t>×</w:t>
            </w:r>
            <w:r>
              <w:rPr>
                <w:rFonts w:cs="Times New Roman" w:hint="eastAsia"/>
                <w:snapToGrid/>
                <w:color w:val="000000" w:themeColor="text1"/>
                <w:kern w:val="2"/>
              </w:rPr>
              <w:t>10</w:t>
            </w:r>
            <w:r w:rsidRPr="00AC71A6">
              <w:rPr>
                <w:rFonts w:cs="Times New Roman" w:hint="eastAsia"/>
                <w:snapToGrid/>
                <w:color w:val="000000" w:themeColor="text1"/>
                <w:kern w:val="2"/>
                <w:vertAlign w:val="superscript"/>
              </w:rPr>
              <w:t>-10</w:t>
            </w:r>
            <w:r>
              <w:rPr>
                <w:rFonts w:cs="Times New Roman" w:hint="eastAsia"/>
                <w:snapToGrid/>
                <w:color w:val="000000" w:themeColor="text1"/>
                <w:kern w:val="2"/>
              </w:rPr>
              <w:t>cm/s</w:t>
            </w:r>
            <w:r>
              <w:rPr>
                <w:rFonts w:cs="Times New Roman" w:hint="eastAsia"/>
                <w:snapToGrid/>
                <w:color w:val="000000" w:themeColor="text1"/>
                <w:kern w:val="2"/>
              </w:rPr>
              <w:t>。危废暂存间采取防渗混凝土</w:t>
            </w:r>
            <w:r>
              <w:rPr>
                <w:rFonts w:cs="Times New Roman" w:hint="eastAsia"/>
                <w:snapToGrid/>
                <w:color w:val="000000" w:themeColor="text1"/>
                <w:kern w:val="2"/>
              </w:rPr>
              <w:t>+</w:t>
            </w:r>
            <w:r>
              <w:rPr>
                <w:rFonts w:cs="Times New Roman" w:hint="eastAsia"/>
                <w:snapToGrid/>
                <w:color w:val="000000" w:themeColor="text1"/>
                <w:kern w:val="2"/>
              </w:rPr>
              <w:t>水泥砂浆</w:t>
            </w:r>
            <w:r>
              <w:rPr>
                <w:rFonts w:cs="Times New Roman" w:hint="eastAsia"/>
                <w:snapToGrid/>
                <w:color w:val="000000" w:themeColor="text1"/>
                <w:kern w:val="2"/>
              </w:rPr>
              <w:t>+2mm</w:t>
            </w:r>
            <w:r>
              <w:rPr>
                <w:rFonts w:cs="Times New Roman" w:hint="eastAsia"/>
                <w:snapToGrid/>
                <w:color w:val="000000" w:themeColor="text1"/>
                <w:kern w:val="2"/>
              </w:rPr>
              <w:t>环氧树脂漆或其他人工防渗材料，并设置专门收集桶收集，将危险废物容器置于专门收集桶之上，确保等效黏土防护层</w:t>
            </w:r>
            <w:r>
              <w:rPr>
                <w:rFonts w:cs="Times New Roman" w:hint="eastAsia"/>
                <w:snapToGrid/>
                <w:color w:val="000000" w:themeColor="text1"/>
                <w:kern w:val="2"/>
              </w:rPr>
              <w:t>Mb</w:t>
            </w:r>
            <w:r>
              <w:rPr>
                <w:rFonts w:cs="Times New Roman" w:hint="eastAsia"/>
                <w:snapToGrid/>
                <w:color w:val="000000" w:themeColor="text1"/>
                <w:kern w:val="2"/>
              </w:rPr>
              <w:t>≥</w:t>
            </w:r>
            <w:r>
              <w:rPr>
                <w:rFonts w:cs="Times New Roman" w:hint="eastAsia"/>
                <w:snapToGrid/>
                <w:color w:val="000000" w:themeColor="text1"/>
                <w:kern w:val="2"/>
              </w:rPr>
              <w:t>6.0m</w:t>
            </w:r>
            <w:r>
              <w:rPr>
                <w:rFonts w:cs="Times New Roman" w:hint="eastAsia"/>
                <w:snapToGrid/>
                <w:color w:val="000000" w:themeColor="text1"/>
                <w:kern w:val="2"/>
              </w:rPr>
              <w:t>，≤</w:t>
            </w:r>
            <w:r>
              <w:rPr>
                <w:rFonts w:cs="Times New Roman" w:hint="eastAsia"/>
                <w:snapToGrid/>
                <w:color w:val="000000" w:themeColor="text1"/>
                <w:kern w:val="2"/>
              </w:rPr>
              <w:t>1.0</w:t>
            </w:r>
            <w:r>
              <w:rPr>
                <w:rFonts w:cs="Times New Roman" w:hint="eastAsia"/>
                <w:snapToGrid/>
                <w:color w:val="000000" w:themeColor="text1"/>
                <w:kern w:val="2"/>
              </w:rPr>
              <w:t>×</w:t>
            </w:r>
            <w:r>
              <w:rPr>
                <w:rFonts w:cs="Times New Roman" w:hint="eastAsia"/>
                <w:snapToGrid/>
                <w:color w:val="000000" w:themeColor="text1"/>
                <w:kern w:val="2"/>
              </w:rPr>
              <w:t>10</w:t>
            </w:r>
            <w:r w:rsidRPr="00AC71A6">
              <w:rPr>
                <w:rFonts w:cs="Times New Roman" w:hint="eastAsia"/>
                <w:snapToGrid/>
                <w:color w:val="000000" w:themeColor="text1"/>
                <w:kern w:val="2"/>
                <w:vertAlign w:val="superscript"/>
              </w:rPr>
              <w:t>-10</w:t>
            </w:r>
            <w:r>
              <w:rPr>
                <w:rFonts w:cs="Times New Roman" w:hint="eastAsia"/>
                <w:snapToGrid/>
                <w:color w:val="000000" w:themeColor="text1"/>
                <w:kern w:val="2"/>
              </w:rPr>
              <w:t>cm/s</w:t>
            </w:r>
            <w:r>
              <w:rPr>
                <w:rFonts w:cs="Times New Roman" w:hint="eastAsia"/>
                <w:snapToGrid/>
                <w:color w:val="000000" w:themeColor="text1"/>
                <w:kern w:val="2"/>
              </w:rPr>
              <w:t>。</w:t>
            </w:r>
          </w:p>
          <w:p w:rsidR="00644456" w:rsidRDefault="008031C4">
            <w:pPr>
              <w:pStyle w:val="afffffff4"/>
              <w:jc w:val="left"/>
              <w:rPr>
                <w:rFonts w:cs="Times New Roman"/>
                <w:snapToGrid/>
                <w:color w:val="000000" w:themeColor="text1"/>
                <w:kern w:val="2"/>
              </w:rPr>
            </w:pPr>
            <w:r>
              <w:rPr>
                <w:rFonts w:cs="Times New Roman" w:hint="eastAsia"/>
                <w:snapToGrid/>
                <w:color w:val="000000" w:themeColor="text1"/>
                <w:kern w:val="2"/>
              </w:rPr>
              <w:t>一般防渗区：包括一般固废暂存间等以及预处理池，采取防渗混凝土</w:t>
            </w:r>
            <w:r>
              <w:rPr>
                <w:rFonts w:cs="Times New Roman" w:hint="eastAsia"/>
                <w:snapToGrid/>
                <w:color w:val="000000" w:themeColor="text1"/>
                <w:kern w:val="2"/>
              </w:rPr>
              <w:t>+</w:t>
            </w:r>
            <w:r>
              <w:rPr>
                <w:rFonts w:cs="Times New Roman" w:hint="eastAsia"/>
                <w:snapToGrid/>
                <w:color w:val="000000" w:themeColor="text1"/>
                <w:kern w:val="2"/>
              </w:rPr>
              <w:t>水泥砂浆，确保防渗技术达到等效黏土防渗层</w:t>
            </w:r>
            <w:r>
              <w:rPr>
                <w:rFonts w:cs="Times New Roman" w:hint="eastAsia"/>
                <w:snapToGrid/>
                <w:color w:val="000000" w:themeColor="text1"/>
                <w:kern w:val="2"/>
              </w:rPr>
              <w:t>Mb</w:t>
            </w:r>
            <w:r>
              <w:rPr>
                <w:rFonts w:cs="Times New Roman" w:hint="eastAsia"/>
                <w:snapToGrid/>
                <w:color w:val="000000" w:themeColor="text1"/>
                <w:kern w:val="2"/>
              </w:rPr>
              <w:t>≥</w:t>
            </w:r>
            <w:r>
              <w:rPr>
                <w:rFonts w:cs="Times New Roman" w:hint="eastAsia"/>
                <w:snapToGrid/>
                <w:color w:val="000000" w:themeColor="text1"/>
                <w:kern w:val="2"/>
              </w:rPr>
              <w:t>1.5m</w:t>
            </w:r>
            <w:r>
              <w:rPr>
                <w:rFonts w:cs="Times New Roman" w:hint="eastAsia"/>
                <w:snapToGrid/>
                <w:color w:val="000000" w:themeColor="text1"/>
                <w:kern w:val="2"/>
              </w:rPr>
              <w:t>，渗透系数</w:t>
            </w:r>
            <w:r>
              <w:rPr>
                <w:rFonts w:cs="Times New Roman" w:hint="eastAsia"/>
                <w:snapToGrid/>
                <w:color w:val="000000" w:themeColor="text1"/>
                <w:kern w:val="2"/>
              </w:rPr>
              <w:t>K</w:t>
            </w:r>
            <w:r>
              <w:rPr>
                <w:rFonts w:cs="Times New Roman" w:hint="eastAsia"/>
                <w:snapToGrid/>
                <w:color w:val="000000" w:themeColor="text1"/>
                <w:kern w:val="2"/>
              </w:rPr>
              <w:t>≤</w:t>
            </w:r>
            <w:r>
              <w:rPr>
                <w:rFonts w:cs="Times New Roman" w:hint="eastAsia"/>
                <w:snapToGrid/>
                <w:color w:val="000000" w:themeColor="text1"/>
                <w:kern w:val="2"/>
              </w:rPr>
              <w:t>10</w:t>
            </w:r>
            <w:r w:rsidRPr="00AC71A6">
              <w:rPr>
                <w:rFonts w:cs="Times New Roman" w:hint="eastAsia"/>
                <w:snapToGrid/>
                <w:color w:val="000000" w:themeColor="text1"/>
                <w:kern w:val="2"/>
                <w:vertAlign w:val="superscript"/>
              </w:rPr>
              <w:t>-7</w:t>
            </w:r>
            <w:r>
              <w:rPr>
                <w:rFonts w:cs="Times New Roman" w:hint="eastAsia"/>
                <w:snapToGrid/>
                <w:color w:val="000000" w:themeColor="text1"/>
                <w:kern w:val="2"/>
              </w:rPr>
              <w:t>cm/s</w:t>
            </w:r>
            <w:r>
              <w:rPr>
                <w:rFonts w:cs="Times New Roman" w:hint="eastAsia"/>
                <w:snapToGrid/>
                <w:color w:val="000000" w:themeColor="text1"/>
                <w:kern w:val="2"/>
              </w:rPr>
              <w:t>。</w:t>
            </w:r>
          </w:p>
          <w:p w:rsidR="00644456" w:rsidRDefault="008031C4">
            <w:pPr>
              <w:pStyle w:val="afffffff4"/>
              <w:jc w:val="left"/>
              <w:rPr>
                <w:rFonts w:cs="Times New Roman"/>
                <w:snapToGrid/>
                <w:color w:val="000000" w:themeColor="text1"/>
                <w:kern w:val="2"/>
              </w:rPr>
            </w:pPr>
            <w:r>
              <w:rPr>
                <w:rFonts w:cs="Times New Roman" w:hint="eastAsia"/>
                <w:snapToGrid/>
                <w:color w:val="000000" w:themeColor="text1"/>
                <w:kern w:val="2"/>
              </w:rPr>
              <w:t>简单防渗区：包括办公、综合楼，采用一般地面硬化处理。</w:t>
            </w:r>
          </w:p>
        </w:tc>
        <w:tc>
          <w:tcPr>
            <w:tcW w:w="437" w:type="pct"/>
            <w:vMerge/>
            <w:shd w:val="clear" w:color="auto" w:fill="auto"/>
            <w:vAlign w:val="center"/>
          </w:tcPr>
          <w:p w:rsidR="00644456" w:rsidRDefault="00644456">
            <w:pPr>
              <w:pStyle w:val="afffffff4"/>
              <w:rPr>
                <w:rFonts w:cs="Times New Roman"/>
                <w:snapToGrid/>
                <w:color w:val="FF0000"/>
                <w:kern w:val="2"/>
              </w:rPr>
            </w:pPr>
          </w:p>
        </w:tc>
        <w:tc>
          <w:tcPr>
            <w:tcW w:w="472" w:type="pct"/>
            <w:vMerge/>
            <w:shd w:val="clear" w:color="auto" w:fill="auto"/>
            <w:vAlign w:val="center"/>
          </w:tcPr>
          <w:p w:rsidR="00644456" w:rsidRDefault="00644456">
            <w:pPr>
              <w:pStyle w:val="afffffff4"/>
              <w:rPr>
                <w:rFonts w:cs="Times New Roman"/>
                <w:snapToGrid/>
                <w:color w:val="000000" w:themeColor="text1"/>
                <w:kern w:val="2"/>
              </w:rPr>
            </w:pPr>
          </w:p>
        </w:tc>
        <w:tc>
          <w:tcPr>
            <w:tcW w:w="416" w:type="pct"/>
            <w:shd w:val="clear" w:color="auto" w:fill="auto"/>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新建</w:t>
            </w:r>
          </w:p>
        </w:tc>
      </w:tr>
    </w:tbl>
    <w:p w:rsidR="00644456" w:rsidRDefault="008031C4">
      <w:pPr>
        <w:pStyle w:val="20"/>
        <w:numPr>
          <w:ilvl w:val="1"/>
          <w:numId w:val="0"/>
        </w:numPr>
        <w:adjustRightInd w:val="0"/>
        <w:snapToGrid w:val="0"/>
        <w:spacing w:beforeLines="0" w:before="0" w:afterLines="0" w:after="0"/>
        <w:ind w:firstLine="560"/>
        <w:rPr>
          <w:rFonts w:cs="Times New Roman"/>
          <w:color w:val="000000" w:themeColor="text1"/>
          <w:szCs w:val="28"/>
        </w:rPr>
      </w:pPr>
      <w:bookmarkStart w:id="122" w:name="_Toc155789359"/>
      <w:bookmarkStart w:id="123" w:name="_Toc177216867"/>
      <w:bookmarkEnd w:id="119"/>
      <w:r>
        <w:rPr>
          <w:rFonts w:cs="Times New Roman" w:hint="eastAsia"/>
          <w:color w:val="000000" w:themeColor="text1"/>
          <w:szCs w:val="28"/>
        </w:rPr>
        <w:t>2.3</w:t>
      </w:r>
      <w:r>
        <w:rPr>
          <w:rFonts w:cs="Times New Roman"/>
          <w:color w:val="000000" w:themeColor="text1"/>
          <w:szCs w:val="28"/>
        </w:rPr>
        <w:t>项目主要公辅设施</w:t>
      </w:r>
      <w:bookmarkEnd w:id="122"/>
      <w:bookmarkEnd w:id="123"/>
    </w:p>
    <w:p w:rsidR="00644456" w:rsidRDefault="008031C4">
      <w:pPr>
        <w:pStyle w:val="3"/>
        <w:numPr>
          <w:ilvl w:val="2"/>
          <w:numId w:val="0"/>
        </w:numPr>
        <w:ind w:firstLineChars="200" w:firstLine="482"/>
      </w:pPr>
      <w:r>
        <w:rPr>
          <w:rFonts w:hint="eastAsia"/>
        </w:rPr>
        <w:t>2.3.1</w:t>
      </w:r>
      <w:r>
        <w:t>公辅设施</w:t>
      </w:r>
    </w:p>
    <w:p w:rsidR="00644456" w:rsidRDefault="008031C4">
      <w:pPr>
        <w:snapToGrid w:val="0"/>
        <w:spacing w:line="360" w:lineRule="auto"/>
        <w:ind w:firstLine="482"/>
        <w:rPr>
          <w:rFonts w:cs="Times New Roman"/>
          <w:color w:val="000000" w:themeColor="text1"/>
          <w:sz w:val="24"/>
          <w:szCs w:val="24"/>
        </w:rPr>
      </w:pPr>
      <w:r>
        <w:rPr>
          <w:rFonts w:cs="Times New Roman"/>
          <w:color w:val="000000" w:themeColor="text1"/>
          <w:sz w:val="24"/>
          <w:szCs w:val="24"/>
        </w:rPr>
        <w:t>本项目在</w:t>
      </w:r>
      <w:r>
        <w:rPr>
          <w:rFonts w:cs="Times New Roman" w:hint="eastAsia"/>
          <w:color w:val="000000" w:themeColor="text1"/>
          <w:sz w:val="24"/>
          <w:szCs w:val="24"/>
        </w:rPr>
        <w:t>疏勒县高新技术产业开发区齐鲁大道南侧</w:t>
      </w:r>
      <w:r>
        <w:rPr>
          <w:rFonts w:cs="Times New Roman"/>
          <w:color w:val="000000" w:themeColor="text1"/>
          <w:sz w:val="24"/>
          <w:szCs w:val="24"/>
        </w:rPr>
        <w:t>空地内建设，部分公辅设施依托</w:t>
      </w:r>
      <w:r>
        <w:rPr>
          <w:rFonts w:cs="Times New Roman" w:hint="eastAsia"/>
          <w:color w:val="000000" w:themeColor="text1"/>
          <w:sz w:val="24"/>
          <w:szCs w:val="24"/>
        </w:rPr>
        <w:t>园区</w:t>
      </w:r>
      <w:r>
        <w:rPr>
          <w:rFonts w:cs="Times New Roman"/>
          <w:color w:val="000000" w:themeColor="text1"/>
          <w:sz w:val="24"/>
          <w:szCs w:val="24"/>
        </w:rPr>
        <w:t>现有设施，主要包括：供电、供水、供气（天然气）等，具体如下：</w:t>
      </w:r>
    </w:p>
    <w:p w:rsidR="00644456" w:rsidRDefault="008031C4">
      <w:pPr>
        <w:snapToGrid w:val="0"/>
        <w:spacing w:line="360" w:lineRule="auto"/>
        <w:ind w:firstLine="480"/>
        <w:rPr>
          <w:rFonts w:cs="Times New Roman"/>
          <w:b/>
          <w:color w:val="000000" w:themeColor="text1"/>
          <w:sz w:val="24"/>
          <w:szCs w:val="24"/>
        </w:rPr>
      </w:pPr>
      <w:r>
        <w:rPr>
          <w:rFonts w:cs="Times New Roman"/>
          <w:b/>
          <w:color w:val="000000" w:themeColor="text1"/>
          <w:sz w:val="24"/>
          <w:szCs w:val="24"/>
        </w:rPr>
        <w:t>（</w:t>
      </w:r>
      <w:r>
        <w:rPr>
          <w:rFonts w:cs="Times New Roman"/>
          <w:b/>
          <w:color w:val="000000" w:themeColor="text1"/>
          <w:sz w:val="24"/>
          <w:szCs w:val="24"/>
        </w:rPr>
        <w:t>1</w:t>
      </w:r>
      <w:r>
        <w:rPr>
          <w:rFonts w:cs="Times New Roman"/>
          <w:b/>
          <w:color w:val="000000" w:themeColor="text1"/>
          <w:sz w:val="24"/>
          <w:szCs w:val="24"/>
        </w:rPr>
        <w:t>）供水设施</w:t>
      </w:r>
    </w:p>
    <w:p w:rsidR="00644456" w:rsidRDefault="008031C4">
      <w:pPr>
        <w:pStyle w:val="32"/>
        <w:adjustRightInd w:val="0"/>
        <w:snapToGrid w:val="0"/>
        <w:spacing w:after="0" w:line="360" w:lineRule="auto"/>
        <w:ind w:firstLineChars="200" w:firstLine="480"/>
        <w:rPr>
          <w:rFonts w:ascii="宋体" w:hAnsi="宋体" w:cs="宋体"/>
          <w:color w:val="000000" w:themeColor="text1"/>
          <w:sz w:val="24"/>
          <w:szCs w:val="22"/>
        </w:rPr>
      </w:pPr>
      <w:r>
        <w:rPr>
          <w:rFonts w:ascii="宋体" w:hAnsi="宋体" w:cs="宋体"/>
          <w:color w:val="000000" w:themeColor="text1"/>
          <w:sz w:val="24"/>
          <w:szCs w:val="22"/>
        </w:rPr>
        <w:t>①生产、生活供水</w:t>
      </w:r>
    </w:p>
    <w:p w:rsidR="00644456" w:rsidRDefault="008031C4">
      <w:pPr>
        <w:pStyle w:val="32"/>
        <w:adjustRightInd w:val="0"/>
        <w:snapToGrid w:val="0"/>
        <w:spacing w:after="0" w:line="360" w:lineRule="auto"/>
        <w:ind w:firstLineChars="200" w:firstLine="480"/>
        <w:rPr>
          <w:rFonts w:ascii="宋体" w:hAnsi="宋体" w:cs="宋体"/>
          <w:color w:val="000000" w:themeColor="text1"/>
          <w:sz w:val="24"/>
          <w:szCs w:val="22"/>
        </w:rPr>
      </w:pPr>
      <w:r>
        <w:rPr>
          <w:rFonts w:ascii="宋体" w:hAnsi="宋体" w:cs="宋体"/>
          <w:color w:val="000000" w:themeColor="text1"/>
          <w:sz w:val="24"/>
          <w:szCs w:val="22"/>
        </w:rPr>
        <w:t>生产、生活用水由园区供水管网统一供给，水压、水量均能满足本项目生产需求。</w:t>
      </w:r>
    </w:p>
    <w:p w:rsidR="00644456" w:rsidRDefault="008031C4">
      <w:pPr>
        <w:snapToGrid w:val="0"/>
        <w:spacing w:line="360" w:lineRule="auto"/>
        <w:ind w:firstLine="482"/>
        <w:rPr>
          <w:rFonts w:cs="Times New Roman"/>
          <w:color w:val="000000" w:themeColor="text1"/>
          <w:sz w:val="24"/>
          <w:szCs w:val="24"/>
        </w:rPr>
      </w:pPr>
      <w:r>
        <w:rPr>
          <w:rFonts w:cs="Times New Roman" w:hint="eastAsia"/>
          <w:color w:val="000000" w:themeColor="text1"/>
          <w:sz w:val="24"/>
          <w:szCs w:val="24"/>
        </w:rPr>
        <w:t>生活用水：项目劳动定员</w:t>
      </w:r>
      <w:r>
        <w:rPr>
          <w:rFonts w:cs="Times New Roman" w:hint="eastAsia"/>
          <w:color w:val="000000" w:themeColor="text1"/>
          <w:sz w:val="24"/>
          <w:szCs w:val="24"/>
        </w:rPr>
        <w:t>60</w:t>
      </w:r>
      <w:r>
        <w:rPr>
          <w:rFonts w:cs="Times New Roman" w:hint="eastAsia"/>
          <w:color w:val="000000" w:themeColor="text1"/>
          <w:sz w:val="24"/>
          <w:szCs w:val="24"/>
        </w:rPr>
        <w:t>人，采用三班制，年平均生产</w:t>
      </w:r>
      <w:r>
        <w:rPr>
          <w:rFonts w:cs="Times New Roman" w:hint="eastAsia"/>
          <w:color w:val="000000" w:themeColor="text1"/>
          <w:sz w:val="24"/>
          <w:szCs w:val="24"/>
        </w:rPr>
        <w:t>300</w:t>
      </w:r>
      <w:r>
        <w:rPr>
          <w:rFonts w:cs="Times New Roman" w:hint="eastAsia"/>
          <w:color w:val="000000" w:themeColor="text1"/>
          <w:sz w:val="24"/>
          <w:szCs w:val="24"/>
        </w:rPr>
        <w:t>天。办公生活污水为连续排放。本项目用水定额参照《新疆维吾尔自治区生活用水定额》选取，本项目内部不设食堂及住宿，因此人均办公用水量按每人</w:t>
      </w:r>
      <w:r>
        <w:rPr>
          <w:rFonts w:cs="Times New Roman" w:hint="eastAsia"/>
          <w:color w:val="000000" w:themeColor="text1"/>
          <w:sz w:val="24"/>
          <w:szCs w:val="24"/>
        </w:rPr>
        <w:t>80L/d</w:t>
      </w:r>
      <w:r>
        <w:rPr>
          <w:rFonts w:cs="Times New Roman" w:hint="eastAsia"/>
          <w:color w:val="000000" w:themeColor="text1"/>
          <w:sz w:val="24"/>
          <w:szCs w:val="24"/>
        </w:rPr>
        <w:t>计算，则生活用水量为</w:t>
      </w:r>
      <w:r>
        <w:rPr>
          <w:rFonts w:cs="Times New Roman" w:hint="eastAsia"/>
          <w:color w:val="000000" w:themeColor="text1"/>
          <w:sz w:val="24"/>
          <w:szCs w:val="24"/>
        </w:rPr>
        <w:t>4.8m3/d</w:t>
      </w:r>
      <w:r>
        <w:rPr>
          <w:rFonts w:cs="Times New Roman" w:hint="eastAsia"/>
          <w:color w:val="000000" w:themeColor="text1"/>
          <w:sz w:val="24"/>
          <w:szCs w:val="24"/>
        </w:rPr>
        <w:t>（</w:t>
      </w:r>
      <w:r>
        <w:rPr>
          <w:rFonts w:cs="Times New Roman" w:hint="eastAsia"/>
          <w:color w:val="000000" w:themeColor="text1"/>
          <w:sz w:val="24"/>
          <w:szCs w:val="24"/>
        </w:rPr>
        <w:t>1440m3/a</w:t>
      </w:r>
      <w:r>
        <w:rPr>
          <w:rFonts w:cs="Times New Roman" w:hint="eastAsia"/>
          <w:color w:val="000000" w:themeColor="text1"/>
          <w:sz w:val="24"/>
          <w:szCs w:val="24"/>
        </w:rPr>
        <w:t>）。</w:t>
      </w:r>
    </w:p>
    <w:p w:rsidR="00644456" w:rsidRDefault="008031C4">
      <w:pPr>
        <w:snapToGrid w:val="0"/>
        <w:spacing w:line="360" w:lineRule="auto"/>
        <w:ind w:firstLine="482"/>
        <w:rPr>
          <w:rFonts w:cs="Times New Roman"/>
          <w:color w:val="000000" w:themeColor="text1"/>
          <w:sz w:val="24"/>
          <w:szCs w:val="24"/>
        </w:rPr>
      </w:pPr>
      <w:r>
        <w:rPr>
          <w:rFonts w:cs="Times New Roman" w:hint="eastAsia"/>
          <w:color w:val="000000" w:themeColor="text1"/>
          <w:sz w:val="24"/>
          <w:szCs w:val="24"/>
        </w:rPr>
        <w:t>生产用水：根据建设单位提供的设计资料生产用水包括生产设施以及地面清洗用水</w:t>
      </w:r>
      <w:r>
        <w:rPr>
          <w:rFonts w:cs="Times New Roman"/>
          <w:color w:val="000000" w:themeColor="text1"/>
          <w:sz w:val="24"/>
          <w:szCs w:val="24"/>
        </w:rPr>
        <w:t>290.25</w:t>
      </w:r>
      <w:r>
        <w:rPr>
          <w:rFonts w:cs="Times New Roman" w:hint="eastAsia"/>
          <w:color w:val="000000" w:themeColor="text1"/>
          <w:sz w:val="24"/>
          <w:szCs w:val="24"/>
        </w:rPr>
        <w:t>t/a</w:t>
      </w:r>
      <w:r>
        <w:rPr>
          <w:rFonts w:cs="Times New Roman" w:hint="eastAsia"/>
          <w:color w:val="000000" w:themeColor="text1"/>
          <w:sz w:val="24"/>
          <w:szCs w:val="24"/>
        </w:rPr>
        <w:t>；冷却水系统用水</w:t>
      </w:r>
      <w:r>
        <w:rPr>
          <w:rFonts w:cs="Times New Roman"/>
          <w:color w:val="000000" w:themeColor="text1"/>
          <w:sz w:val="24"/>
          <w:szCs w:val="24"/>
        </w:rPr>
        <w:t>8</w:t>
      </w:r>
      <w:r>
        <w:rPr>
          <w:rFonts w:cs="Times New Roman" w:hint="eastAsia"/>
          <w:color w:val="000000" w:themeColor="text1"/>
          <w:sz w:val="24"/>
          <w:szCs w:val="24"/>
        </w:rPr>
        <w:t>00t/a</w:t>
      </w:r>
      <w:r>
        <w:rPr>
          <w:rFonts w:cs="Times New Roman" w:hint="eastAsia"/>
          <w:color w:val="000000" w:themeColor="text1"/>
          <w:sz w:val="24"/>
          <w:szCs w:val="24"/>
        </w:rPr>
        <w:t>；真空系统用水</w:t>
      </w:r>
      <w:r>
        <w:rPr>
          <w:rFonts w:cs="Times New Roman"/>
          <w:color w:val="000000" w:themeColor="text1"/>
          <w:sz w:val="24"/>
          <w:szCs w:val="24"/>
        </w:rPr>
        <w:t>720</w:t>
      </w:r>
      <w:r>
        <w:rPr>
          <w:rFonts w:cs="Times New Roman" w:hint="eastAsia"/>
          <w:color w:val="000000" w:themeColor="text1"/>
          <w:sz w:val="24"/>
          <w:szCs w:val="24"/>
        </w:rPr>
        <w:t>t/a</w:t>
      </w:r>
      <w:r>
        <w:rPr>
          <w:rFonts w:cs="Times New Roman" w:hint="eastAsia"/>
          <w:color w:val="000000" w:themeColor="text1"/>
          <w:sz w:val="24"/>
          <w:szCs w:val="24"/>
        </w:rPr>
        <w:t>；喷淋装置用水</w:t>
      </w:r>
      <w:r>
        <w:rPr>
          <w:rFonts w:cs="Times New Roman"/>
          <w:color w:val="000000" w:themeColor="text1"/>
          <w:sz w:val="24"/>
          <w:szCs w:val="24"/>
        </w:rPr>
        <w:t>40</w:t>
      </w:r>
      <w:r>
        <w:rPr>
          <w:rFonts w:cs="Times New Roman" w:hint="eastAsia"/>
          <w:color w:val="000000" w:themeColor="text1"/>
          <w:sz w:val="24"/>
          <w:szCs w:val="24"/>
        </w:rPr>
        <w:t>t/a</w:t>
      </w:r>
      <w:r>
        <w:rPr>
          <w:rFonts w:cs="Times New Roman" w:hint="eastAsia"/>
          <w:color w:val="000000" w:themeColor="text1"/>
          <w:sz w:val="24"/>
          <w:szCs w:val="24"/>
        </w:rPr>
        <w:t>，项目生产用水总量为</w:t>
      </w:r>
      <w:r>
        <w:rPr>
          <w:rFonts w:cs="Times New Roman"/>
          <w:color w:val="000000" w:themeColor="text1"/>
          <w:sz w:val="24"/>
          <w:szCs w:val="24"/>
        </w:rPr>
        <w:t>1850.25</w:t>
      </w:r>
      <w:r>
        <w:rPr>
          <w:rFonts w:cs="Times New Roman" w:hint="eastAsia"/>
          <w:color w:val="000000" w:themeColor="text1"/>
          <w:sz w:val="24"/>
          <w:szCs w:val="24"/>
        </w:rPr>
        <w:t>t/a</w:t>
      </w:r>
      <w:r>
        <w:rPr>
          <w:rFonts w:cs="Times New Roman" w:hint="eastAsia"/>
          <w:color w:val="000000" w:themeColor="text1"/>
          <w:sz w:val="24"/>
          <w:szCs w:val="24"/>
        </w:rPr>
        <w:t>。</w:t>
      </w:r>
    </w:p>
    <w:p w:rsidR="00644456" w:rsidRDefault="008031C4">
      <w:pPr>
        <w:snapToGrid w:val="0"/>
        <w:spacing w:line="360" w:lineRule="auto"/>
        <w:ind w:firstLine="482"/>
        <w:rPr>
          <w:rFonts w:cs="Times New Roman"/>
          <w:color w:val="000000" w:themeColor="text1"/>
          <w:sz w:val="24"/>
          <w:szCs w:val="24"/>
        </w:rPr>
      </w:pPr>
      <w:r>
        <w:rPr>
          <w:rFonts w:cs="Times New Roman" w:hint="eastAsia"/>
          <w:color w:val="000000" w:themeColor="text1"/>
          <w:sz w:val="24"/>
          <w:szCs w:val="24"/>
        </w:rPr>
        <w:t>本项目合计用水量为</w:t>
      </w:r>
      <w:r>
        <w:rPr>
          <w:rFonts w:cs="Times New Roman"/>
          <w:color w:val="000000" w:themeColor="text1"/>
          <w:sz w:val="24"/>
          <w:szCs w:val="24"/>
        </w:rPr>
        <w:t>3290.25</w:t>
      </w:r>
      <w:r>
        <w:rPr>
          <w:rFonts w:cs="Times New Roman" w:hint="eastAsia"/>
          <w:color w:val="000000" w:themeColor="text1"/>
          <w:sz w:val="24"/>
          <w:szCs w:val="24"/>
        </w:rPr>
        <w:t>t/a</w:t>
      </w:r>
      <w:r>
        <w:rPr>
          <w:rFonts w:cs="Times New Roman" w:hint="eastAsia"/>
          <w:color w:val="000000" w:themeColor="text1"/>
          <w:sz w:val="24"/>
          <w:szCs w:val="24"/>
        </w:rPr>
        <w:t>。</w:t>
      </w:r>
    </w:p>
    <w:p w:rsidR="00644456" w:rsidRDefault="008031C4">
      <w:pPr>
        <w:spacing w:line="360" w:lineRule="auto"/>
        <w:ind w:firstLine="480"/>
        <w:rPr>
          <w:rFonts w:ascii="宋体" w:hAnsi="宋体" w:cs="Times New Roman"/>
          <w:b/>
          <w:color w:val="000000" w:themeColor="text1"/>
          <w:sz w:val="24"/>
          <w:szCs w:val="24"/>
        </w:rPr>
      </w:pPr>
      <w:r>
        <w:rPr>
          <w:rFonts w:ascii="宋体" w:hAnsi="宋体" w:cs="Times New Roman" w:hint="eastAsia"/>
          <w:b/>
          <w:color w:val="000000" w:themeColor="text1"/>
          <w:sz w:val="24"/>
          <w:szCs w:val="24"/>
        </w:rPr>
        <w:lastRenderedPageBreak/>
        <w:t>（2）排水</w:t>
      </w:r>
    </w:p>
    <w:p w:rsidR="00644456" w:rsidRDefault="008031C4">
      <w:pPr>
        <w:pStyle w:val="1f7"/>
      </w:pPr>
      <w:r>
        <w:rPr>
          <w:rFonts w:hint="eastAsia"/>
        </w:rPr>
        <w:t>项目污水通过分类分质收集和处理。</w:t>
      </w:r>
    </w:p>
    <w:p w:rsidR="00644456" w:rsidRDefault="008031C4">
      <w:pPr>
        <w:snapToGrid w:val="0"/>
        <w:spacing w:line="360" w:lineRule="auto"/>
        <w:ind w:firstLine="482"/>
        <w:rPr>
          <w:rFonts w:cs="Times New Roman"/>
          <w:color w:val="000000" w:themeColor="text1"/>
          <w:sz w:val="24"/>
          <w:szCs w:val="24"/>
        </w:rPr>
      </w:pPr>
      <w:r>
        <w:rPr>
          <w:rFonts w:cs="Times New Roman" w:hint="eastAsia"/>
          <w:color w:val="000000" w:themeColor="text1"/>
          <w:sz w:val="24"/>
          <w:szCs w:val="24"/>
        </w:rPr>
        <w:t>本项目废水主要为生活污水和生产废水。</w:t>
      </w:r>
    </w:p>
    <w:p w:rsidR="00644456" w:rsidRDefault="008031C4">
      <w:pPr>
        <w:snapToGrid w:val="0"/>
        <w:spacing w:line="360" w:lineRule="auto"/>
        <w:ind w:firstLine="482"/>
        <w:rPr>
          <w:rFonts w:cs="Times New Roman"/>
          <w:color w:val="000000" w:themeColor="text1"/>
          <w:sz w:val="24"/>
          <w:szCs w:val="24"/>
        </w:rPr>
      </w:pPr>
      <w:r>
        <w:rPr>
          <w:rFonts w:cs="Times New Roman" w:hint="eastAsia"/>
          <w:color w:val="000000" w:themeColor="text1"/>
          <w:sz w:val="24"/>
          <w:szCs w:val="24"/>
        </w:rPr>
        <w:t>生活污水：生活污水产生量按用水量的</w:t>
      </w:r>
      <w:r>
        <w:rPr>
          <w:rFonts w:cs="Times New Roman" w:hint="eastAsia"/>
          <w:color w:val="000000" w:themeColor="text1"/>
          <w:sz w:val="24"/>
          <w:szCs w:val="24"/>
        </w:rPr>
        <w:t>80%</w:t>
      </w:r>
      <w:r>
        <w:rPr>
          <w:rFonts w:cs="Times New Roman" w:hint="eastAsia"/>
          <w:color w:val="000000" w:themeColor="text1"/>
          <w:sz w:val="24"/>
          <w:szCs w:val="24"/>
        </w:rPr>
        <w:t>计，则生活污水产生量为</w:t>
      </w:r>
      <w:r>
        <w:rPr>
          <w:rFonts w:cs="Times New Roman"/>
          <w:color w:val="000000" w:themeColor="text1"/>
          <w:sz w:val="24"/>
          <w:szCs w:val="24"/>
        </w:rPr>
        <w:t>4.08</w:t>
      </w:r>
      <w:r>
        <w:rPr>
          <w:rFonts w:cs="Times New Roman" w:hint="eastAsia"/>
          <w:color w:val="000000" w:themeColor="text1"/>
          <w:sz w:val="24"/>
          <w:szCs w:val="24"/>
        </w:rPr>
        <w:t>t/d</w:t>
      </w:r>
      <w:r>
        <w:rPr>
          <w:rFonts w:cs="Times New Roman" w:hint="eastAsia"/>
          <w:color w:val="000000" w:themeColor="text1"/>
          <w:sz w:val="24"/>
          <w:szCs w:val="24"/>
        </w:rPr>
        <w:t>全年</w:t>
      </w:r>
      <w:r>
        <w:rPr>
          <w:rFonts w:cs="Times New Roman"/>
          <w:color w:val="000000" w:themeColor="text1"/>
          <w:sz w:val="24"/>
          <w:szCs w:val="24"/>
        </w:rPr>
        <w:t>1224</w:t>
      </w:r>
      <w:r>
        <w:rPr>
          <w:rFonts w:cs="Times New Roman" w:hint="eastAsia"/>
          <w:color w:val="000000" w:themeColor="text1"/>
          <w:sz w:val="24"/>
          <w:szCs w:val="24"/>
        </w:rPr>
        <w:t>t/a</w:t>
      </w:r>
      <w:r>
        <w:rPr>
          <w:rFonts w:cs="Times New Roman" w:hint="eastAsia"/>
          <w:color w:val="000000" w:themeColor="text1"/>
          <w:sz w:val="24"/>
          <w:szCs w:val="24"/>
        </w:rPr>
        <w:t>，通过排水管网进入厂区的预处理池处理后，最终与生产废水通过市政管网进入生态钢城污水处理厂处理。</w:t>
      </w:r>
    </w:p>
    <w:p w:rsidR="00644456" w:rsidRDefault="008031C4">
      <w:pPr>
        <w:snapToGrid w:val="0"/>
        <w:spacing w:line="360" w:lineRule="auto"/>
        <w:ind w:firstLine="482"/>
        <w:rPr>
          <w:rFonts w:cs="Times New Roman"/>
          <w:color w:val="000000" w:themeColor="text1"/>
          <w:sz w:val="24"/>
          <w:szCs w:val="24"/>
        </w:rPr>
      </w:pPr>
      <w:r>
        <w:rPr>
          <w:rFonts w:cs="Times New Roman" w:hint="eastAsia"/>
          <w:color w:val="000000" w:themeColor="text1"/>
          <w:sz w:val="24"/>
          <w:szCs w:val="24"/>
        </w:rPr>
        <w:t>生产废水：①三相分离装置废水</w:t>
      </w:r>
      <w:r>
        <w:rPr>
          <w:rFonts w:cs="Times New Roman" w:hint="eastAsia"/>
          <w:color w:val="000000" w:themeColor="text1"/>
          <w:sz w:val="24"/>
          <w:szCs w:val="24"/>
        </w:rPr>
        <w:t>705t/a</w:t>
      </w:r>
      <w:r>
        <w:rPr>
          <w:rFonts w:cs="Times New Roman" w:hint="eastAsia"/>
          <w:color w:val="000000" w:themeColor="text1"/>
          <w:sz w:val="24"/>
          <w:szCs w:val="24"/>
        </w:rPr>
        <w:t>，其主要污染物为</w:t>
      </w:r>
      <w:r>
        <w:rPr>
          <w:rFonts w:cs="Times New Roman" w:hint="eastAsia"/>
          <w:color w:val="000000" w:themeColor="text1"/>
          <w:sz w:val="24"/>
          <w:szCs w:val="24"/>
        </w:rPr>
        <w:t>pH</w:t>
      </w:r>
      <w:r>
        <w:rPr>
          <w:rFonts w:cs="Times New Roman" w:hint="eastAsia"/>
          <w:color w:val="000000" w:themeColor="text1"/>
          <w:sz w:val="24"/>
          <w:szCs w:val="24"/>
        </w:rPr>
        <w:t>、</w:t>
      </w:r>
      <w:r>
        <w:rPr>
          <w:rFonts w:cs="Times New Roman" w:hint="eastAsia"/>
          <w:color w:val="000000" w:themeColor="text1"/>
          <w:sz w:val="24"/>
          <w:szCs w:val="24"/>
        </w:rPr>
        <w:t>COD</w:t>
      </w:r>
      <w:r>
        <w:rPr>
          <w:rFonts w:cs="Times New Roman" w:hint="eastAsia"/>
          <w:color w:val="000000" w:themeColor="text1"/>
          <w:sz w:val="24"/>
          <w:szCs w:val="24"/>
        </w:rPr>
        <w:t>、</w:t>
      </w:r>
      <w:r>
        <w:rPr>
          <w:rFonts w:cs="Times New Roman" w:hint="eastAsia"/>
          <w:color w:val="000000" w:themeColor="text1"/>
          <w:sz w:val="24"/>
          <w:szCs w:val="24"/>
        </w:rPr>
        <w:t>NH</w:t>
      </w:r>
      <w:r>
        <w:rPr>
          <w:rFonts w:cs="Times New Roman" w:hint="eastAsia"/>
          <w:color w:val="000000" w:themeColor="text1"/>
          <w:sz w:val="24"/>
          <w:szCs w:val="24"/>
          <w:vertAlign w:val="subscript"/>
        </w:rPr>
        <w:t>3</w:t>
      </w:r>
      <w:r>
        <w:rPr>
          <w:rFonts w:cs="Times New Roman" w:hint="eastAsia"/>
          <w:color w:val="000000" w:themeColor="text1"/>
          <w:sz w:val="24"/>
          <w:szCs w:val="24"/>
        </w:rPr>
        <w:t>-N</w:t>
      </w:r>
      <w:r>
        <w:rPr>
          <w:rFonts w:cs="Times New Roman" w:hint="eastAsia"/>
          <w:color w:val="000000" w:themeColor="text1"/>
          <w:sz w:val="24"/>
          <w:szCs w:val="24"/>
        </w:rPr>
        <w:t>、总氮、石油类、</w:t>
      </w:r>
      <w:r>
        <w:rPr>
          <w:rFonts w:cs="Times New Roman" w:hint="eastAsia"/>
          <w:color w:val="000000" w:themeColor="text1"/>
          <w:sz w:val="24"/>
          <w:szCs w:val="24"/>
        </w:rPr>
        <w:t>BOD</w:t>
      </w:r>
      <w:r>
        <w:rPr>
          <w:rFonts w:cs="Times New Roman" w:hint="eastAsia"/>
          <w:color w:val="000000" w:themeColor="text1"/>
          <w:sz w:val="24"/>
          <w:szCs w:val="24"/>
          <w:vertAlign w:val="subscript"/>
        </w:rPr>
        <w:t>5</w:t>
      </w:r>
      <w:r>
        <w:rPr>
          <w:rFonts w:cs="Times New Roman" w:hint="eastAsia"/>
          <w:color w:val="000000" w:themeColor="text1"/>
          <w:sz w:val="24"/>
          <w:szCs w:val="24"/>
        </w:rPr>
        <w:t>、硫化物等。②生产设施以及地面清洗废水产生量为</w:t>
      </w:r>
      <w:r>
        <w:rPr>
          <w:rFonts w:cs="Times New Roman" w:hint="eastAsia"/>
          <w:color w:val="000000" w:themeColor="text1"/>
          <w:sz w:val="24"/>
          <w:szCs w:val="24"/>
        </w:rPr>
        <w:t>261.23m</w:t>
      </w:r>
      <w:r>
        <w:rPr>
          <w:rFonts w:cs="Times New Roman" w:hint="eastAsia"/>
          <w:color w:val="000000" w:themeColor="text1"/>
          <w:sz w:val="24"/>
          <w:szCs w:val="24"/>
          <w:vertAlign w:val="superscript"/>
        </w:rPr>
        <w:t>3</w:t>
      </w:r>
      <w:r>
        <w:rPr>
          <w:rFonts w:cs="Times New Roman" w:hint="eastAsia"/>
          <w:color w:val="000000" w:themeColor="text1"/>
          <w:sz w:val="24"/>
          <w:szCs w:val="24"/>
        </w:rPr>
        <w:t>/a</w:t>
      </w:r>
      <w:r>
        <w:rPr>
          <w:rFonts w:cs="Times New Roman" w:hint="eastAsia"/>
          <w:color w:val="000000" w:themeColor="text1"/>
          <w:sz w:val="24"/>
          <w:szCs w:val="24"/>
        </w:rPr>
        <w:t>（一年以</w:t>
      </w:r>
      <w:r>
        <w:rPr>
          <w:rFonts w:cs="Times New Roman" w:hint="eastAsia"/>
          <w:color w:val="000000" w:themeColor="text1"/>
          <w:sz w:val="24"/>
          <w:szCs w:val="24"/>
        </w:rPr>
        <w:t>300</w:t>
      </w:r>
      <w:r>
        <w:rPr>
          <w:rFonts w:cs="Times New Roman" w:hint="eastAsia"/>
          <w:color w:val="000000" w:themeColor="text1"/>
          <w:sz w:val="24"/>
          <w:szCs w:val="24"/>
        </w:rPr>
        <w:t>天计，平均每天约为</w:t>
      </w:r>
      <w:r>
        <w:rPr>
          <w:rFonts w:cs="Times New Roman" w:hint="eastAsia"/>
          <w:color w:val="000000" w:themeColor="text1"/>
          <w:sz w:val="24"/>
          <w:szCs w:val="24"/>
        </w:rPr>
        <w:t>0.87m</w:t>
      </w:r>
      <w:r>
        <w:rPr>
          <w:rFonts w:cs="Times New Roman" w:hint="eastAsia"/>
          <w:color w:val="000000" w:themeColor="text1"/>
          <w:sz w:val="24"/>
          <w:szCs w:val="24"/>
          <w:vertAlign w:val="superscript"/>
        </w:rPr>
        <w:t>3</w:t>
      </w:r>
      <w:r>
        <w:rPr>
          <w:rFonts w:cs="Times New Roman" w:hint="eastAsia"/>
          <w:color w:val="000000" w:themeColor="text1"/>
          <w:sz w:val="24"/>
          <w:szCs w:val="24"/>
        </w:rPr>
        <w:t>/d</w:t>
      </w:r>
      <w:r>
        <w:rPr>
          <w:rFonts w:cs="Times New Roman" w:hint="eastAsia"/>
          <w:color w:val="000000" w:themeColor="text1"/>
          <w:sz w:val="24"/>
          <w:szCs w:val="24"/>
        </w:rPr>
        <w:t>）。③冷却水系统年外排水为</w:t>
      </w:r>
      <w:r>
        <w:rPr>
          <w:rFonts w:cs="Times New Roman" w:hint="eastAsia"/>
          <w:color w:val="000000" w:themeColor="text1"/>
          <w:sz w:val="24"/>
          <w:szCs w:val="24"/>
        </w:rPr>
        <w:t>800t/a</w:t>
      </w:r>
      <w:r>
        <w:rPr>
          <w:rFonts w:cs="Times New Roman" w:hint="eastAsia"/>
          <w:color w:val="000000" w:themeColor="text1"/>
          <w:sz w:val="24"/>
          <w:szCs w:val="24"/>
        </w:rPr>
        <w:t>，其主要污染物为</w:t>
      </w:r>
      <w:r>
        <w:rPr>
          <w:rFonts w:cs="Times New Roman" w:hint="eastAsia"/>
          <w:color w:val="000000" w:themeColor="text1"/>
          <w:sz w:val="24"/>
          <w:szCs w:val="24"/>
        </w:rPr>
        <w:t>SS</w:t>
      </w:r>
      <w:r>
        <w:rPr>
          <w:rFonts w:cs="Times New Roman" w:hint="eastAsia"/>
          <w:color w:val="000000" w:themeColor="text1"/>
          <w:sz w:val="24"/>
          <w:szCs w:val="24"/>
        </w:rPr>
        <w:t>、</w:t>
      </w:r>
      <w:r>
        <w:rPr>
          <w:rFonts w:cs="Times New Roman" w:hint="eastAsia"/>
          <w:color w:val="000000" w:themeColor="text1"/>
          <w:sz w:val="24"/>
          <w:szCs w:val="24"/>
        </w:rPr>
        <w:t>TDS</w:t>
      </w:r>
      <w:r>
        <w:rPr>
          <w:rFonts w:cs="Times New Roman" w:hint="eastAsia"/>
          <w:color w:val="000000" w:themeColor="text1"/>
          <w:sz w:val="24"/>
          <w:szCs w:val="24"/>
        </w:rPr>
        <w:t>。④真空系统排水量为</w:t>
      </w:r>
      <w:r>
        <w:rPr>
          <w:rFonts w:cs="Times New Roman" w:hint="eastAsia"/>
          <w:color w:val="000000" w:themeColor="text1"/>
          <w:sz w:val="24"/>
          <w:szCs w:val="24"/>
        </w:rPr>
        <w:t>720m</w:t>
      </w:r>
      <w:r>
        <w:rPr>
          <w:rFonts w:cs="Times New Roman" w:hint="eastAsia"/>
          <w:color w:val="000000" w:themeColor="text1"/>
          <w:sz w:val="24"/>
          <w:szCs w:val="24"/>
          <w:vertAlign w:val="superscript"/>
        </w:rPr>
        <w:t>3</w:t>
      </w:r>
      <w:r>
        <w:rPr>
          <w:rFonts w:cs="Times New Roman" w:hint="eastAsia"/>
          <w:color w:val="000000" w:themeColor="text1"/>
          <w:sz w:val="24"/>
          <w:szCs w:val="24"/>
        </w:rPr>
        <w:t>/a</w:t>
      </w:r>
      <w:r>
        <w:rPr>
          <w:rFonts w:cs="Times New Roman" w:hint="eastAsia"/>
          <w:color w:val="000000" w:themeColor="text1"/>
          <w:sz w:val="24"/>
          <w:szCs w:val="24"/>
        </w:rPr>
        <w:t>（平均每天排放量约为</w:t>
      </w:r>
      <w:r>
        <w:rPr>
          <w:rFonts w:cs="Times New Roman" w:hint="eastAsia"/>
          <w:color w:val="000000" w:themeColor="text1"/>
          <w:sz w:val="24"/>
          <w:szCs w:val="24"/>
        </w:rPr>
        <w:t>2.1m</w:t>
      </w:r>
      <w:r>
        <w:rPr>
          <w:rFonts w:cs="Times New Roman" w:hint="eastAsia"/>
          <w:color w:val="000000" w:themeColor="text1"/>
          <w:sz w:val="24"/>
          <w:szCs w:val="24"/>
          <w:vertAlign w:val="superscript"/>
        </w:rPr>
        <w:t>3</w:t>
      </w:r>
      <w:r>
        <w:rPr>
          <w:rFonts w:cs="Times New Roman" w:hint="eastAsia"/>
          <w:color w:val="000000" w:themeColor="text1"/>
          <w:sz w:val="24"/>
          <w:szCs w:val="24"/>
        </w:rPr>
        <w:t>/d</w:t>
      </w:r>
      <w:r>
        <w:rPr>
          <w:rFonts w:cs="Times New Roman" w:hint="eastAsia"/>
          <w:color w:val="000000" w:themeColor="text1"/>
          <w:sz w:val="24"/>
          <w:szCs w:val="24"/>
        </w:rPr>
        <w:t>）。⑤喷淋废水外排水量为</w:t>
      </w:r>
      <w:r>
        <w:rPr>
          <w:rFonts w:cs="Times New Roman" w:hint="eastAsia"/>
          <w:color w:val="000000" w:themeColor="text1"/>
          <w:sz w:val="24"/>
          <w:szCs w:val="24"/>
        </w:rPr>
        <w:t>40t/a</w:t>
      </w:r>
      <w:r>
        <w:rPr>
          <w:rFonts w:cs="Times New Roman" w:hint="eastAsia"/>
          <w:color w:val="000000" w:themeColor="text1"/>
          <w:sz w:val="24"/>
          <w:szCs w:val="24"/>
        </w:rPr>
        <w:t>，其主要污染物为</w:t>
      </w:r>
      <w:r>
        <w:rPr>
          <w:rFonts w:cs="Times New Roman" w:hint="eastAsia"/>
          <w:color w:val="000000" w:themeColor="text1"/>
          <w:sz w:val="24"/>
          <w:szCs w:val="24"/>
        </w:rPr>
        <w:t>pH</w:t>
      </w:r>
      <w:r>
        <w:rPr>
          <w:rFonts w:cs="Times New Roman" w:hint="eastAsia"/>
          <w:color w:val="000000" w:themeColor="text1"/>
          <w:sz w:val="24"/>
          <w:szCs w:val="24"/>
        </w:rPr>
        <w:t>、石油类等。⑥蒸馏冷凝水产生量为</w:t>
      </w:r>
      <w:r>
        <w:rPr>
          <w:rFonts w:cs="Times New Roman" w:hint="eastAsia"/>
          <w:color w:val="000000" w:themeColor="text1"/>
          <w:sz w:val="24"/>
          <w:szCs w:val="24"/>
        </w:rPr>
        <w:t>571t/a</w:t>
      </w:r>
      <w:r>
        <w:rPr>
          <w:rFonts w:cs="Times New Roman" w:hint="eastAsia"/>
          <w:color w:val="000000" w:themeColor="text1"/>
          <w:sz w:val="24"/>
          <w:szCs w:val="24"/>
        </w:rPr>
        <w:t>，其主要污染物为</w:t>
      </w:r>
      <w:r>
        <w:rPr>
          <w:rFonts w:cs="Times New Roman" w:hint="eastAsia"/>
          <w:color w:val="000000" w:themeColor="text1"/>
          <w:sz w:val="24"/>
          <w:szCs w:val="24"/>
        </w:rPr>
        <w:t>pH</w:t>
      </w:r>
      <w:r>
        <w:rPr>
          <w:rFonts w:cs="Times New Roman" w:hint="eastAsia"/>
          <w:color w:val="000000" w:themeColor="text1"/>
          <w:sz w:val="24"/>
          <w:szCs w:val="24"/>
        </w:rPr>
        <w:t>、</w:t>
      </w:r>
      <w:r>
        <w:rPr>
          <w:rFonts w:cs="Times New Roman" w:hint="eastAsia"/>
          <w:color w:val="000000" w:themeColor="text1"/>
          <w:sz w:val="24"/>
          <w:szCs w:val="24"/>
        </w:rPr>
        <w:t>COD</w:t>
      </w:r>
      <w:r>
        <w:rPr>
          <w:rFonts w:cs="Times New Roman" w:hint="eastAsia"/>
          <w:color w:val="000000" w:themeColor="text1"/>
          <w:sz w:val="24"/>
          <w:szCs w:val="24"/>
        </w:rPr>
        <w:t>、</w:t>
      </w:r>
      <w:r>
        <w:rPr>
          <w:rFonts w:cs="Times New Roman" w:hint="eastAsia"/>
          <w:color w:val="000000" w:themeColor="text1"/>
          <w:sz w:val="24"/>
          <w:szCs w:val="24"/>
        </w:rPr>
        <w:t>NH</w:t>
      </w:r>
      <w:r>
        <w:rPr>
          <w:rFonts w:cs="Times New Roman" w:hint="eastAsia"/>
          <w:color w:val="000000" w:themeColor="text1"/>
          <w:sz w:val="24"/>
          <w:szCs w:val="24"/>
          <w:vertAlign w:val="subscript"/>
        </w:rPr>
        <w:t>3</w:t>
      </w:r>
      <w:r>
        <w:rPr>
          <w:rFonts w:cs="Times New Roman" w:hint="eastAsia"/>
          <w:color w:val="000000" w:themeColor="text1"/>
          <w:sz w:val="24"/>
          <w:szCs w:val="24"/>
        </w:rPr>
        <w:t>-N</w:t>
      </w:r>
      <w:r>
        <w:rPr>
          <w:rFonts w:cs="Times New Roman" w:hint="eastAsia"/>
          <w:color w:val="000000" w:themeColor="text1"/>
          <w:sz w:val="24"/>
          <w:szCs w:val="24"/>
        </w:rPr>
        <w:t>、总氮、石油类、</w:t>
      </w:r>
      <w:r>
        <w:rPr>
          <w:rFonts w:cs="Times New Roman" w:hint="eastAsia"/>
          <w:color w:val="000000" w:themeColor="text1"/>
          <w:sz w:val="24"/>
          <w:szCs w:val="24"/>
        </w:rPr>
        <w:t>BOD</w:t>
      </w:r>
      <w:r>
        <w:rPr>
          <w:rFonts w:cs="Times New Roman" w:hint="eastAsia"/>
          <w:color w:val="000000" w:themeColor="text1"/>
          <w:sz w:val="24"/>
          <w:szCs w:val="24"/>
          <w:vertAlign w:val="subscript"/>
        </w:rPr>
        <w:t>5</w:t>
      </w:r>
      <w:r>
        <w:rPr>
          <w:rFonts w:cs="Times New Roman" w:hint="eastAsia"/>
          <w:color w:val="000000" w:themeColor="text1"/>
          <w:sz w:val="24"/>
          <w:szCs w:val="24"/>
        </w:rPr>
        <w:t>、硫化物等。</w:t>
      </w:r>
    </w:p>
    <w:p w:rsidR="00644456" w:rsidRPr="00A50D68" w:rsidRDefault="008031C4">
      <w:pPr>
        <w:snapToGrid w:val="0"/>
        <w:spacing w:line="360" w:lineRule="auto"/>
        <w:ind w:firstLine="482"/>
        <w:rPr>
          <w:rFonts w:cs="Times New Roman"/>
          <w:color w:val="FF0000"/>
          <w:sz w:val="24"/>
          <w:szCs w:val="24"/>
        </w:rPr>
      </w:pPr>
      <w:r w:rsidRPr="00A50D68">
        <w:rPr>
          <w:rFonts w:cs="Times New Roman" w:hint="eastAsia"/>
          <w:color w:val="FF0000"/>
          <w:sz w:val="24"/>
          <w:szCs w:val="24"/>
        </w:rPr>
        <w:t>生产废水产生总量为</w:t>
      </w:r>
      <w:r w:rsidRPr="00A50D68">
        <w:rPr>
          <w:rFonts w:cs="Times New Roman" w:hint="eastAsia"/>
          <w:color w:val="FF0000"/>
          <w:sz w:val="24"/>
          <w:szCs w:val="24"/>
        </w:rPr>
        <w:t>3097.23t/a</w:t>
      </w:r>
      <w:r w:rsidRPr="00A50D68">
        <w:rPr>
          <w:rFonts w:cs="Times New Roman" w:hint="eastAsia"/>
          <w:color w:val="FF0000"/>
          <w:sz w:val="24"/>
          <w:szCs w:val="24"/>
        </w:rPr>
        <w:t>，厂区自建生产废水的污水处理装置进行预处理后，满足《污水综合排放标准》（</w:t>
      </w:r>
      <w:r w:rsidRPr="00A50D68">
        <w:rPr>
          <w:rFonts w:cs="Times New Roman" w:hint="eastAsia"/>
          <w:color w:val="FF0000"/>
          <w:sz w:val="24"/>
          <w:szCs w:val="24"/>
        </w:rPr>
        <w:t>GB8978-1996</w:t>
      </w:r>
      <w:r w:rsidRPr="00A50D68">
        <w:rPr>
          <w:rFonts w:cs="Times New Roman" w:hint="eastAsia"/>
          <w:color w:val="FF0000"/>
          <w:sz w:val="24"/>
          <w:szCs w:val="24"/>
        </w:rPr>
        <w:t>）三级标准及</w:t>
      </w:r>
      <w:r w:rsidR="00A50D68" w:rsidRPr="00A50D68">
        <w:rPr>
          <w:rFonts w:cs="Times New Roman" w:hint="eastAsia"/>
          <w:color w:val="FF0000"/>
          <w:sz w:val="24"/>
          <w:szCs w:val="24"/>
        </w:rPr>
        <w:t>生态钢城污水处理厂接管标准</w:t>
      </w:r>
      <w:r w:rsidRPr="00A50D68">
        <w:rPr>
          <w:rFonts w:cs="Times New Roman" w:hint="eastAsia"/>
          <w:color w:val="FF0000"/>
          <w:sz w:val="24"/>
          <w:szCs w:val="24"/>
        </w:rPr>
        <w:t>标准后，最终生产废水与生活污水一同通过市政管网生态钢城污水处理厂处理。</w:t>
      </w:r>
    </w:p>
    <w:p w:rsidR="00644456" w:rsidRDefault="008031C4">
      <w:pPr>
        <w:spacing w:line="360" w:lineRule="auto"/>
        <w:ind w:firstLine="480"/>
        <w:rPr>
          <w:rFonts w:ascii="宋体" w:hAnsi="宋体" w:cs="Times New Roman"/>
          <w:b/>
          <w:color w:val="000000" w:themeColor="text1"/>
          <w:sz w:val="24"/>
          <w:szCs w:val="24"/>
        </w:rPr>
      </w:pPr>
      <w:r>
        <w:rPr>
          <w:rFonts w:ascii="宋体" w:hAnsi="宋体" w:cs="Times New Roman" w:hint="eastAsia"/>
          <w:b/>
          <w:color w:val="000000" w:themeColor="text1"/>
          <w:sz w:val="24"/>
          <w:szCs w:val="24"/>
        </w:rPr>
        <w:t>（</w:t>
      </w:r>
      <w:r>
        <w:rPr>
          <w:rFonts w:ascii="宋体" w:hAnsi="宋体" w:cs="Times New Roman"/>
          <w:b/>
          <w:color w:val="000000" w:themeColor="text1"/>
          <w:sz w:val="24"/>
          <w:szCs w:val="24"/>
        </w:rPr>
        <w:t>2</w:t>
      </w:r>
      <w:r>
        <w:rPr>
          <w:rFonts w:ascii="宋体" w:hAnsi="宋体" w:cs="Times New Roman" w:hint="eastAsia"/>
          <w:b/>
          <w:color w:val="000000" w:themeColor="text1"/>
          <w:sz w:val="24"/>
          <w:szCs w:val="24"/>
        </w:rPr>
        <w:t>）动力供应系统</w:t>
      </w:r>
    </w:p>
    <w:p w:rsidR="00644456" w:rsidRDefault="008031C4">
      <w:pPr>
        <w:pStyle w:val="1f7"/>
      </w:pPr>
      <w:r>
        <w:rPr>
          <w:rFonts w:hint="eastAsia"/>
        </w:rPr>
        <w:t>①电能</w:t>
      </w:r>
    </w:p>
    <w:p w:rsidR="00644456" w:rsidRDefault="008031C4">
      <w:pPr>
        <w:pStyle w:val="1f7"/>
      </w:pPr>
      <w:r>
        <w:rPr>
          <w:rFonts w:hint="eastAsia"/>
        </w:rPr>
        <w:t>本项目用电来自园区</w:t>
      </w:r>
      <w:r>
        <w:rPr>
          <w:rFonts w:hint="eastAsia"/>
        </w:rPr>
        <w:t>10KV</w:t>
      </w:r>
      <w:r>
        <w:rPr>
          <w:rFonts w:hint="eastAsia"/>
        </w:rPr>
        <w:t>供电线，设有变压器，变压后引入厂区新建配电室，从配电室向各工艺装置、辅助公用设施均采用放射式供电。</w:t>
      </w:r>
    </w:p>
    <w:p w:rsidR="00644456" w:rsidRDefault="008031C4">
      <w:pPr>
        <w:pStyle w:val="1f7"/>
      </w:pPr>
      <w:r>
        <w:rPr>
          <w:rFonts w:hint="eastAsia"/>
        </w:rPr>
        <w:t>厂内设有柴油发电机为备用电源，可满足消防用电需要。</w:t>
      </w:r>
    </w:p>
    <w:p w:rsidR="00644456" w:rsidRDefault="008031C4">
      <w:pPr>
        <w:pStyle w:val="1f7"/>
      </w:pPr>
      <w:r>
        <w:rPr>
          <w:rFonts w:hint="eastAsia"/>
        </w:rPr>
        <w:t>②天然气</w:t>
      </w:r>
    </w:p>
    <w:p w:rsidR="00644456" w:rsidRDefault="008031C4">
      <w:pPr>
        <w:pStyle w:val="32"/>
        <w:adjustRightInd w:val="0"/>
        <w:snapToGrid w:val="0"/>
        <w:spacing w:after="0" w:line="360" w:lineRule="auto"/>
        <w:ind w:firstLineChars="200" w:firstLine="480"/>
        <w:rPr>
          <w:rFonts w:ascii="宋体" w:hAnsi="宋体" w:cs="宋体"/>
          <w:color w:val="000000" w:themeColor="text1"/>
          <w:sz w:val="24"/>
          <w:szCs w:val="22"/>
        </w:rPr>
      </w:pPr>
      <w:r>
        <w:rPr>
          <w:rFonts w:ascii="宋体" w:hAnsi="宋体" w:cs="宋体" w:hint="eastAsia"/>
          <w:color w:val="000000" w:themeColor="text1"/>
          <w:sz w:val="24"/>
          <w:szCs w:val="22"/>
        </w:rPr>
        <w:t>本项目生产用天然气由园区提供（管道天然气），目前已通气。</w:t>
      </w:r>
    </w:p>
    <w:p w:rsidR="00644456" w:rsidRDefault="008031C4">
      <w:pPr>
        <w:snapToGrid w:val="0"/>
        <w:spacing w:line="360" w:lineRule="auto"/>
        <w:ind w:firstLine="480"/>
        <w:rPr>
          <w:rFonts w:cs="Times New Roman"/>
          <w:b/>
          <w:color w:val="000000" w:themeColor="text1"/>
          <w:sz w:val="24"/>
          <w:szCs w:val="24"/>
        </w:rPr>
      </w:pPr>
      <w:r>
        <w:rPr>
          <w:rFonts w:cs="Times New Roman"/>
          <w:b/>
          <w:color w:val="000000" w:themeColor="text1"/>
          <w:sz w:val="24"/>
          <w:szCs w:val="24"/>
        </w:rPr>
        <w:t>（</w:t>
      </w:r>
      <w:r>
        <w:rPr>
          <w:rFonts w:cs="Times New Roman"/>
          <w:b/>
          <w:color w:val="000000" w:themeColor="text1"/>
          <w:sz w:val="24"/>
          <w:szCs w:val="24"/>
        </w:rPr>
        <w:t>3</w:t>
      </w:r>
      <w:r>
        <w:rPr>
          <w:rFonts w:cs="Times New Roman"/>
          <w:b/>
          <w:color w:val="000000" w:themeColor="text1"/>
          <w:sz w:val="24"/>
          <w:szCs w:val="24"/>
        </w:rPr>
        <w:t>）依托</w:t>
      </w:r>
      <w:r>
        <w:rPr>
          <w:rFonts w:cs="Times New Roman" w:hint="eastAsia"/>
          <w:b/>
          <w:color w:val="000000" w:themeColor="text1"/>
          <w:sz w:val="24"/>
          <w:szCs w:val="24"/>
        </w:rPr>
        <w:t>园区情况</w:t>
      </w:r>
    </w:p>
    <w:p w:rsidR="00644456" w:rsidRDefault="008031C4">
      <w:pPr>
        <w:pStyle w:val="1fd"/>
        <w:rPr>
          <w:color w:val="000000" w:themeColor="text1"/>
        </w:rPr>
      </w:pPr>
      <w:r>
        <w:rPr>
          <w:rFonts w:hint="eastAsia"/>
          <w:color w:val="000000" w:themeColor="text1"/>
        </w:rPr>
        <w:t>本项目公用工程与所在园区依托关系见表</w:t>
      </w:r>
      <w:r>
        <w:rPr>
          <w:color w:val="000000" w:themeColor="text1"/>
        </w:rPr>
        <w:t>。</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2.3-1</w:t>
      </w:r>
      <w:r>
        <w:rPr>
          <w:rFonts w:ascii="Times New Roman" w:eastAsia="宋体" w:hAnsi="Times New Roman" w:cs="Times New Roman" w:hint="eastAsia"/>
          <w:b/>
          <w:color w:val="000000" w:themeColor="text1"/>
          <w:sz w:val="24"/>
        </w:rPr>
        <w:t>本项目公用工程与园区依托关系一览表</w:t>
      </w:r>
    </w:p>
    <w:tbl>
      <w:tblPr>
        <w:tblStyle w:val="afff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129"/>
        <w:gridCol w:w="3916"/>
        <w:gridCol w:w="2888"/>
        <w:gridCol w:w="1082"/>
      </w:tblGrid>
      <w:tr w:rsidR="00644456">
        <w:tc>
          <w:tcPr>
            <w:tcW w:w="1129" w:type="dxa"/>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基础设施</w:t>
            </w:r>
          </w:p>
        </w:tc>
        <w:tc>
          <w:tcPr>
            <w:tcW w:w="3916" w:type="dxa"/>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园区现有情况</w:t>
            </w:r>
          </w:p>
        </w:tc>
        <w:tc>
          <w:tcPr>
            <w:tcW w:w="2888" w:type="dxa"/>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本项目</w:t>
            </w:r>
          </w:p>
        </w:tc>
        <w:tc>
          <w:tcPr>
            <w:tcW w:w="1082" w:type="dxa"/>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依托关系</w:t>
            </w:r>
          </w:p>
        </w:tc>
      </w:tr>
      <w:tr w:rsidR="00644456">
        <w:tc>
          <w:tcPr>
            <w:tcW w:w="1129" w:type="dxa"/>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道路</w:t>
            </w:r>
          </w:p>
        </w:tc>
        <w:tc>
          <w:tcPr>
            <w:tcW w:w="3916" w:type="dxa"/>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园区拥有完善的交通网</w:t>
            </w:r>
          </w:p>
        </w:tc>
        <w:tc>
          <w:tcPr>
            <w:tcW w:w="2888" w:type="dxa"/>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项目南侧连接园区北侧齐鲁大道。</w:t>
            </w:r>
          </w:p>
        </w:tc>
        <w:tc>
          <w:tcPr>
            <w:tcW w:w="1082" w:type="dxa"/>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可依托</w:t>
            </w:r>
          </w:p>
        </w:tc>
      </w:tr>
      <w:tr w:rsidR="00644456">
        <w:tc>
          <w:tcPr>
            <w:tcW w:w="1129" w:type="dxa"/>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给水</w:t>
            </w:r>
          </w:p>
        </w:tc>
        <w:tc>
          <w:tcPr>
            <w:tcW w:w="3916" w:type="dxa"/>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由园区净水厂供水，供水管网覆盖项目区</w:t>
            </w:r>
          </w:p>
        </w:tc>
        <w:tc>
          <w:tcPr>
            <w:tcW w:w="2888" w:type="dxa"/>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根据园区自来水管网布置，本项目生活及生产用水均可由项目北侧齐鲁大道给水管网提供</w:t>
            </w:r>
          </w:p>
        </w:tc>
        <w:tc>
          <w:tcPr>
            <w:tcW w:w="1082" w:type="dxa"/>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可依托</w:t>
            </w:r>
          </w:p>
        </w:tc>
      </w:tr>
      <w:tr w:rsidR="00644456">
        <w:tc>
          <w:tcPr>
            <w:tcW w:w="1129" w:type="dxa"/>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排水</w:t>
            </w:r>
          </w:p>
        </w:tc>
        <w:tc>
          <w:tcPr>
            <w:tcW w:w="3916" w:type="dxa"/>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排水管网覆盖园区，生态钢城污水处理厂</w:t>
            </w:r>
            <w:r>
              <w:rPr>
                <w:rFonts w:cs="Times New Roman" w:hint="eastAsia"/>
                <w:snapToGrid/>
                <w:color w:val="000000" w:themeColor="text1"/>
                <w:kern w:val="2"/>
              </w:rPr>
              <w:lastRenderedPageBreak/>
              <w:t>占地</w:t>
            </w:r>
            <w:r>
              <w:rPr>
                <w:rFonts w:cs="Times New Roman" w:hint="eastAsia"/>
                <w:snapToGrid/>
                <w:color w:val="000000" w:themeColor="text1"/>
                <w:kern w:val="2"/>
              </w:rPr>
              <w:t>8000m2</w:t>
            </w:r>
            <w:r>
              <w:rPr>
                <w:rFonts w:cs="Times New Roman" w:hint="eastAsia"/>
                <w:snapToGrid/>
                <w:color w:val="000000" w:themeColor="text1"/>
                <w:kern w:val="2"/>
              </w:rPr>
              <w:t>，处理规模为</w:t>
            </w:r>
            <w:r>
              <w:rPr>
                <w:rFonts w:cs="Times New Roman" w:hint="eastAsia"/>
                <w:snapToGrid/>
                <w:color w:val="000000" w:themeColor="text1"/>
                <w:kern w:val="2"/>
              </w:rPr>
              <w:t>2500m3/d</w:t>
            </w:r>
            <w:r>
              <w:rPr>
                <w:rFonts w:cs="Times New Roman" w:hint="eastAsia"/>
                <w:snapToGrid/>
                <w:color w:val="000000" w:themeColor="text1"/>
                <w:kern w:val="2"/>
              </w:rPr>
              <w:t>，设计出水水质满足《城镇污水处理厂污染物排放标准》（</w:t>
            </w:r>
            <w:r>
              <w:rPr>
                <w:rFonts w:cs="Times New Roman" w:hint="eastAsia"/>
                <w:snapToGrid/>
                <w:color w:val="000000" w:themeColor="text1"/>
                <w:kern w:val="2"/>
              </w:rPr>
              <w:t>GB18918-2002</w:t>
            </w:r>
            <w:r>
              <w:rPr>
                <w:rFonts w:cs="Times New Roman" w:hint="eastAsia"/>
                <w:snapToGrid/>
                <w:color w:val="000000" w:themeColor="text1"/>
                <w:kern w:val="2"/>
              </w:rPr>
              <w:t>）的一级</w:t>
            </w:r>
            <w:r>
              <w:rPr>
                <w:rFonts w:cs="Times New Roman" w:hint="eastAsia"/>
                <w:snapToGrid/>
                <w:color w:val="000000" w:themeColor="text1"/>
                <w:kern w:val="2"/>
              </w:rPr>
              <w:t>A</w:t>
            </w:r>
            <w:r>
              <w:rPr>
                <w:rFonts w:cs="Times New Roman" w:hint="eastAsia"/>
                <w:snapToGrid/>
                <w:color w:val="000000" w:themeColor="text1"/>
                <w:kern w:val="2"/>
              </w:rPr>
              <w:t>标准后用于园区绿化。</w:t>
            </w:r>
          </w:p>
        </w:tc>
        <w:tc>
          <w:tcPr>
            <w:tcW w:w="2888" w:type="dxa"/>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lastRenderedPageBreak/>
              <w:t>本项目废水通过分类分质收</w:t>
            </w:r>
            <w:r>
              <w:rPr>
                <w:rFonts w:cs="Times New Roman" w:hint="eastAsia"/>
                <w:snapToGrid/>
                <w:color w:val="000000" w:themeColor="text1"/>
                <w:kern w:val="2"/>
              </w:rPr>
              <w:lastRenderedPageBreak/>
              <w:t>集和处理达标后排入管网</w:t>
            </w:r>
          </w:p>
        </w:tc>
        <w:tc>
          <w:tcPr>
            <w:tcW w:w="1082" w:type="dxa"/>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lastRenderedPageBreak/>
              <w:t>可依托</w:t>
            </w:r>
          </w:p>
        </w:tc>
      </w:tr>
      <w:tr w:rsidR="00644456">
        <w:tc>
          <w:tcPr>
            <w:tcW w:w="1129" w:type="dxa"/>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供气</w:t>
            </w:r>
          </w:p>
        </w:tc>
        <w:tc>
          <w:tcPr>
            <w:tcW w:w="3916" w:type="dxa"/>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园区天然气已建</w:t>
            </w:r>
          </w:p>
        </w:tc>
        <w:tc>
          <w:tcPr>
            <w:tcW w:w="2888" w:type="dxa"/>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本项目天然气可直接使用园区供给</w:t>
            </w:r>
          </w:p>
        </w:tc>
        <w:tc>
          <w:tcPr>
            <w:tcW w:w="1082" w:type="dxa"/>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可依托</w:t>
            </w:r>
          </w:p>
        </w:tc>
      </w:tr>
      <w:tr w:rsidR="00644456">
        <w:tc>
          <w:tcPr>
            <w:tcW w:w="1129" w:type="dxa"/>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供电</w:t>
            </w:r>
          </w:p>
        </w:tc>
        <w:tc>
          <w:tcPr>
            <w:tcW w:w="3916" w:type="dxa"/>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园区电网</w:t>
            </w:r>
          </w:p>
        </w:tc>
        <w:tc>
          <w:tcPr>
            <w:tcW w:w="2888" w:type="dxa"/>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已覆盖</w:t>
            </w:r>
          </w:p>
        </w:tc>
        <w:tc>
          <w:tcPr>
            <w:tcW w:w="1082" w:type="dxa"/>
            <w:vAlign w:val="center"/>
          </w:tcPr>
          <w:p w:rsidR="00644456" w:rsidRDefault="008031C4">
            <w:pPr>
              <w:pStyle w:val="afffffff4"/>
              <w:rPr>
                <w:rFonts w:cs="Times New Roman"/>
                <w:snapToGrid/>
                <w:color w:val="000000" w:themeColor="text1"/>
                <w:kern w:val="2"/>
              </w:rPr>
            </w:pPr>
            <w:r>
              <w:rPr>
                <w:rFonts w:cs="Times New Roman" w:hint="eastAsia"/>
                <w:snapToGrid/>
                <w:color w:val="000000" w:themeColor="text1"/>
                <w:kern w:val="2"/>
              </w:rPr>
              <w:t>可依托</w:t>
            </w:r>
          </w:p>
        </w:tc>
      </w:tr>
    </w:tbl>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w:t>
      </w:r>
      <w:r>
        <w:rPr>
          <w:rFonts w:cs="Times New Roman" w:hint="eastAsia"/>
          <w:color w:val="000000" w:themeColor="text1"/>
          <w:sz w:val="24"/>
          <w:szCs w:val="24"/>
        </w:rPr>
        <w:t>4</w:t>
      </w:r>
      <w:r>
        <w:rPr>
          <w:rFonts w:cs="Times New Roman" w:hint="eastAsia"/>
          <w:color w:val="000000" w:themeColor="text1"/>
          <w:sz w:val="24"/>
          <w:szCs w:val="24"/>
        </w:rPr>
        <w:t>）分析化验</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本项目根据各工艺装置和辅助生产装置分析项目的内容和任务，全厂集中设置一个中央化验室，由中央化验室管理全厂分析检验工作，同时完成生产装置原材料、产品和副产品的质量分析、检验和控制工作。同时为满足生产检验的需要，在需要设置车间化验室的装置设置车间化验室。</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车间化验室负责对中间生产过程各控制指标进行分析检验，及时了解有关生产情况，以确保生产正常、安全运转，从而保证产品质量与产量。</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具体负责的工作如下：</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w:t>
      </w:r>
      <w:r>
        <w:rPr>
          <w:rFonts w:cs="Times New Roman"/>
          <w:color w:val="000000" w:themeColor="text1"/>
          <w:sz w:val="24"/>
          <w:szCs w:val="24"/>
        </w:rPr>
        <w:t>1</w:t>
      </w:r>
      <w:r>
        <w:rPr>
          <w:rFonts w:cs="Times New Roman" w:hint="eastAsia"/>
          <w:color w:val="000000" w:themeColor="text1"/>
          <w:sz w:val="24"/>
          <w:szCs w:val="24"/>
        </w:rPr>
        <w:t>）负责工艺装置、供热、供水等生产过程及罐区生产控制的分析化验。</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w:t>
      </w:r>
      <w:r>
        <w:rPr>
          <w:rFonts w:cs="Times New Roman"/>
          <w:color w:val="000000" w:themeColor="text1"/>
          <w:sz w:val="24"/>
          <w:szCs w:val="24"/>
        </w:rPr>
        <w:t>2</w:t>
      </w:r>
      <w:r>
        <w:rPr>
          <w:rFonts w:cs="Times New Roman" w:hint="eastAsia"/>
          <w:color w:val="000000" w:themeColor="text1"/>
          <w:sz w:val="24"/>
          <w:szCs w:val="24"/>
        </w:rPr>
        <w:t>）负责本化验室所需的蒸馏水的制备。</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w:t>
      </w:r>
      <w:r>
        <w:rPr>
          <w:rFonts w:cs="Times New Roman"/>
          <w:color w:val="000000" w:themeColor="text1"/>
          <w:sz w:val="24"/>
          <w:szCs w:val="24"/>
        </w:rPr>
        <w:t>3</w:t>
      </w:r>
      <w:r>
        <w:rPr>
          <w:rFonts w:cs="Times New Roman" w:hint="eastAsia"/>
          <w:color w:val="000000" w:themeColor="text1"/>
          <w:sz w:val="24"/>
          <w:szCs w:val="24"/>
        </w:rPr>
        <w:t>）参与本车间的安全分析，对安全事故进行分析、报告</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w:t>
      </w:r>
      <w:r>
        <w:rPr>
          <w:rFonts w:cs="Times New Roman"/>
          <w:color w:val="000000" w:themeColor="text1"/>
          <w:sz w:val="24"/>
          <w:szCs w:val="24"/>
        </w:rPr>
        <w:t>4</w:t>
      </w:r>
      <w:r>
        <w:rPr>
          <w:rFonts w:cs="Times New Roman" w:hint="eastAsia"/>
          <w:color w:val="000000" w:themeColor="text1"/>
          <w:sz w:val="24"/>
          <w:szCs w:val="24"/>
        </w:rPr>
        <w:t>）参与本车间的质量管理，对质量事故进行记录、分析和报告。</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w:t>
      </w:r>
      <w:r>
        <w:rPr>
          <w:rFonts w:cs="Times New Roman"/>
          <w:color w:val="000000" w:themeColor="text1"/>
          <w:sz w:val="24"/>
          <w:szCs w:val="24"/>
        </w:rPr>
        <w:t>5</w:t>
      </w:r>
      <w:r>
        <w:rPr>
          <w:rFonts w:cs="Times New Roman" w:hint="eastAsia"/>
          <w:color w:val="000000" w:themeColor="text1"/>
          <w:sz w:val="24"/>
          <w:szCs w:val="24"/>
        </w:rPr>
        <w:t>）储存有参考价值的先进的技术、研究资料。</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本项目内化验不采用化学试剂，仅用仪器直接测定。</w:t>
      </w:r>
    </w:p>
    <w:p w:rsidR="00644456" w:rsidRDefault="008031C4">
      <w:pPr>
        <w:pStyle w:val="3"/>
        <w:numPr>
          <w:ilvl w:val="2"/>
          <w:numId w:val="0"/>
        </w:numPr>
        <w:ind w:firstLineChars="200" w:firstLine="482"/>
      </w:pPr>
      <w:r>
        <w:rPr>
          <w:rFonts w:hint="eastAsia"/>
        </w:rPr>
        <w:t>2.3.2</w:t>
      </w:r>
      <w:r>
        <w:rPr>
          <w:rFonts w:hint="eastAsia"/>
        </w:rPr>
        <w:t>劳动定员及生产制度</w:t>
      </w:r>
    </w:p>
    <w:p w:rsidR="00644456" w:rsidRDefault="008031C4">
      <w:pPr>
        <w:adjustRightInd w:val="0"/>
        <w:snapToGrid w:val="0"/>
        <w:spacing w:line="360" w:lineRule="auto"/>
        <w:ind w:firstLine="480"/>
        <w:rPr>
          <w:rFonts w:cs="Times New Roman"/>
          <w:bCs/>
          <w:color w:val="000000" w:themeColor="text1"/>
          <w:sz w:val="24"/>
        </w:rPr>
      </w:pPr>
      <w:r>
        <w:rPr>
          <w:rFonts w:cs="Times New Roman"/>
          <w:b/>
          <w:color w:val="000000" w:themeColor="text1"/>
          <w:sz w:val="24"/>
        </w:rPr>
        <w:t>劳动定员：</w:t>
      </w:r>
      <w:r>
        <w:rPr>
          <w:rFonts w:cs="Times New Roman" w:hint="eastAsia"/>
          <w:bCs/>
          <w:color w:val="000000" w:themeColor="text1"/>
          <w:sz w:val="24"/>
        </w:rPr>
        <w:t>本项目员工</w:t>
      </w:r>
      <w:r>
        <w:rPr>
          <w:rFonts w:cs="Times New Roman" w:hint="eastAsia"/>
          <w:bCs/>
          <w:color w:val="000000" w:themeColor="text1"/>
          <w:sz w:val="24"/>
        </w:rPr>
        <w:t>60</w:t>
      </w:r>
      <w:r>
        <w:rPr>
          <w:rFonts w:cs="Times New Roman" w:hint="eastAsia"/>
          <w:bCs/>
          <w:color w:val="000000" w:themeColor="text1"/>
          <w:sz w:val="24"/>
        </w:rPr>
        <w:t>人</w:t>
      </w:r>
      <w:r>
        <w:rPr>
          <w:rFonts w:cs="Times New Roman"/>
          <w:bCs/>
          <w:color w:val="000000" w:themeColor="text1"/>
          <w:sz w:val="24"/>
        </w:rPr>
        <w:t>。</w:t>
      </w:r>
    </w:p>
    <w:p w:rsidR="00644456" w:rsidRDefault="008031C4">
      <w:pPr>
        <w:adjustRightInd w:val="0"/>
        <w:snapToGrid w:val="0"/>
        <w:spacing w:line="360" w:lineRule="auto"/>
        <w:ind w:firstLine="480"/>
        <w:rPr>
          <w:rFonts w:cs="Times New Roman"/>
          <w:bCs/>
          <w:color w:val="000000" w:themeColor="text1"/>
          <w:sz w:val="24"/>
        </w:rPr>
      </w:pPr>
      <w:r>
        <w:rPr>
          <w:rFonts w:cs="Times New Roman"/>
          <w:b/>
          <w:color w:val="000000" w:themeColor="text1"/>
          <w:sz w:val="24"/>
        </w:rPr>
        <w:t>生产制度：</w:t>
      </w:r>
      <w:r>
        <w:rPr>
          <w:rFonts w:cs="Times New Roman"/>
          <w:bCs/>
          <w:color w:val="000000" w:themeColor="text1"/>
          <w:sz w:val="24"/>
        </w:rPr>
        <w:t>实行三班倒，连续</w:t>
      </w:r>
      <w:r>
        <w:rPr>
          <w:rFonts w:cs="Times New Roman"/>
          <w:bCs/>
          <w:color w:val="000000" w:themeColor="text1"/>
          <w:sz w:val="24"/>
        </w:rPr>
        <w:t>24</w:t>
      </w:r>
      <w:r>
        <w:rPr>
          <w:rFonts w:cs="Times New Roman"/>
          <w:bCs/>
          <w:color w:val="000000" w:themeColor="text1"/>
          <w:sz w:val="24"/>
        </w:rPr>
        <w:t>小时生产，每班</w:t>
      </w:r>
      <w:r>
        <w:rPr>
          <w:rFonts w:cs="Times New Roman"/>
          <w:bCs/>
          <w:color w:val="000000" w:themeColor="text1"/>
          <w:sz w:val="24"/>
        </w:rPr>
        <w:t>8</w:t>
      </w:r>
      <w:r>
        <w:rPr>
          <w:rFonts w:cs="Times New Roman"/>
          <w:bCs/>
          <w:color w:val="000000" w:themeColor="text1"/>
          <w:sz w:val="24"/>
        </w:rPr>
        <w:t>小时工作制度，</w:t>
      </w:r>
      <w:r>
        <w:rPr>
          <w:rFonts w:cs="Times New Roman"/>
          <w:bCs/>
          <w:color w:val="000000" w:themeColor="text1"/>
          <w:sz w:val="24"/>
        </w:rPr>
        <w:t>300</w:t>
      </w:r>
      <w:r>
        <w:rPr>
          <w:rFonts w:cs="Times New Roman"/>
          <w:bCs/>
          <w:color w:val="000000" w:themeColor="text1"/>
          <w:sz w:val="24"/>
        </w:rPr>
        <w:t>天，全年生产</w:t>
      </w:r>
      <w:r>
        <w:rPr>
          <w:rFonts w:cs="Times New Roman"/>
          <w:bCs/>
          <w:color w:val="000000" w:themeColor="text1"/>
          <w:sz w:val="24"/>
        </w:rPr>
        <w:t>7200</w:t>
      </w:r>
      <w:r>
        <w:rPr>
          <w:rFonts w:cs="Times New Roman"/>
          <w:bCs/>
          <w:color w:val="000000" w:themeColor="text1"/>
          <w:sz w:val="24"/>
        </w:rPr>
        <w:t>小时。</w:t>
      </w:r>
    </w:p>
    <w:p w:rsidR="00644456" w:rsidRDefault="008031C4">
      <w:pPr>
        <w:pStyle w:val="20"/>
        <w:numPr>
          <w:ilvl w:val="1"/>
          <w:numId w:val="0"/>
        </w:numPr>
        <w:adjustRightInd w:val="0"/>
        <w:snapToGrid w:val="0"/>
        <w:spacing w:beforeLines="0" w:before="0" w:afterLines="0" w:after="0"/>
        <w:ind w:firstLine="560"/>
        <w:rPr>
          <w:rFonts w:cs="Times New Roman"/>
          <w:color w:val="000000" w:themeColor="text1"/>
        </w:rPr>
      </w:pPr>
      <w:bookmarkStart w:id="124" w:name="_Toc155789360"/>
      <w:bookmarkStart w:id="125" w:name="_Toc177216868"/>
      <w:bookmarkStart w:id="126" w:name="_Hlk148963800"/>
      <w:bookmarkEnd w:id="113"/>
      <w:bookmarkEnd w:id="114"/>
      <w:bookmarkEnd w:id="115"/>
      <w:bookmarkEnd w:id="116"/>
      <w:bookmarkEnd w:id="117"/>
      <w:bookmarkEnd w:id="118"/>
      <w:r>
        <w:rPr>
          <w:rFonts w:cs="Times New Roman" w:hint="eastAsia"/>
          <w:color w:val="000000" w:themeColor="text1"/>
        </w:rPr>
        <w:t>2.4</w:t>
      </w:r>
      <w:r>
        <w:rPr>
          <w:rFonts w:cs="Times New Roman"/>
          <w:color w:val="000000" w:themeColor="text1"/>
        </w:rPr>
        <w:t>工程分析</w:t>
      </w:r>
      <w:bookmarkEnd w:id="124"/>
      <w:bookmarkEnd w:id="125"/>
    </w:p>
    <w:p w:rsidR="00644456" w:rsidRDefault="008031C4">
      <w:pPr>
        <w:pStyle w:val="3"/>
        <w:numPr>
          <w:ilvl w:val="2"/>
          <w:numId w:val="0"/>
        </w:numPr>
        <w:ind w:firstLineChars="200" w:firstLine="482"/>
      </w:pPr>
      <w:r>
        <w:rPr>
          <w:rFonts w:hint="eastAsia"/>
        </w:rPr>
        <w:t>2.4.1</w:t>
      </w:r>
      <w:r>
        <w:rPr>
          <w:rFonts w:hint="eastAsia"/>
        </w:rPr>
        <w:t>施工期工艺流程</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本项目施工期不设施工营地，施工人员食宿租用疏勒县居民等已有设施解决。工程施工期间的场地平整、基础工程、主体工程、装饰工程、安装工程等建设工序将产生扬尘、废水、噪声、固体废弃物等污染物，其排放量随施工强度和工期不同而有所变化。施工期工艺流程见下图。</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根据施工期的建设内容，施工期工艺及污染工序见图</w:t>
      </w:r>
      <w:r>
        <w:rPr>
          <w:rFonts w:cs="Times New Roman" w:hint="eastAsia"/>
          <w:color w:val="000000" w:themeColor="text1"/>
          <w:sz w:val="24"/>
          <w:szCs w:val="24"/>
        </w:rPr>
        <w:t>3.2-1</w:t>
      </w:r>
      <w:r>
        <w:rPr>
          <w:rFonts w:cs="Times New Roman" w:hint="eastAsia"/>
          <w:color w:val="000000" w:themeColor="text1"/>
          <w:sz w:val="24"/>
          <w:szCs w:val="24"/>
        </w:rPr>
        <w:t>。</w:t>
      </w:r>
    </w:p>
    <w:p w:rsidR="00644456" w:rsidRDefault="008031C4">
      <w:pPr>
        <w:pStyle w:val="32"/>
        <w:adjustRightInd w:val="0"/>
        <w:snapToGrid w:val="0"/>
        <w:spacing w:after="0" w:line="348" w:lineRule="auto"/>
        <w:ind w:firstLineChars="200" w:firstLine="320"/>
        <w:jc w:val="center"/>
        <w:rPr>
          <w:rFonts w:cs="Times New Roman"/>
          <w:color w:val="000000" w:themeColor="text1"/>
          <w:sz w:val="24"/>
          <w:szCs w:val="24"/>
        </w:rPr>
      </w:pPr>
      <w:r>
        <w:rPr>
          <w:rFonts w:cs="Times New Roman"/>
          <w:noProof/>
          <w:color w:val="000000"/>
        </w:rPr>
        <w:lastRenderedPageBreak/>
        <w:drawing>
          <wp:inline distT="0" distB="0" distL="114300" distR="114300" wp14:anchorId="4EEA7554" wp14:editId="13A400F1">
            <wp:extent cx="5436235" cy="2682875"/>
            <wp:effectExtent l="12700" t="12700" r="18415" b="28575"/>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21"/>
                    <a:srcRect l="1418" r="1564" b="1942"/>
                    <a:stretch>
                      <a:fillRect/>
                    </a:stretch>
                  </pic:blipFill>
                  <pic:spPr>
                    <a:xfrm>
                      <a:off x="0" y="0"/>
                      <a:ext cx="5436235" cy="2682875"/>
                    </a:xfrm>
                    <a:prstGeom prst="rect">
                      <a:avLst/>
                    </a:prstGeom>
                    <a:noFill/>
                    <a:ln w="12700" cap="flat" cmpd="sng">
                      <a:solidFill>
                        <a:srgbClr val="000000"/>
                      </a:solidFill>
                      <a:prstDash val="solid"/>
                      <a:round/>
                      <a:headEnd type="none" w="med" len="med"/>
                      <a:tailEnd type="none" w="med" len="med"/>
                    </a:ln>
                  </pic:spPr>
                </pic:pic>
              </a:graphicData>
            </a:graphic>
          </wp:inline>
        </w:drawing>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图</w:t>
      </w:r>
      <w:r>
        <w:rPr>
          <w:rFonts w:ascii="Times New Roman" w:eastAsia="宋体" w:hAnsi="Times New Roman" w:cs="Times New Roman" w:hint="eastAsia"/>
          <w:b/>
          <w:color w:val="000000" w:themeColor="text1"/>
          <w:sz w:val="24"/>
        </w:rPr>
        <w:t>2.4-1</w:t>
      </w:r>
      <w:r>
        <w:rPr>
          <w:rFonts w:ascii="Times New Roman" w:eastAsia="宋体" w:hAnsi="Times New Roman" w:cs="Times New Roman" w:hint="eastAsia"/>
          <w:b/>
          <w:color w:val="000000" w:themeColor="text1"/>
          <w:sz w:val="24"/>
        </w:rPr>
        <w:t>施工期工艺流程及产污位置图</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施工期间要进行土方挖填、建造建筑物等工程，施工期污染物主要为大气污染物、噪声、固废和废水。其中大气污染物主要是施工扬尘、运输车辆排放的废气，噪声主要为施工噪声和车辆噪声，固体废物主要是建筑垃圾和生活垃圾，废水包括施工废水和施工人员生活污水。这些污染物均会对环境造成一定的不利影响，工程建设完成后，除部分永久性占地为持续性影响外，其余环境影响仅在施工期存在，并且影响范围小、时间短。</w:t>
      </w:r>
    </w:p>
    <w:p w:rsidR="00644456" w:rsidRDefault="008031C4">
      <w:pPr>
        <w:pStyle w:val="3"/>
        <w:numPr>
          <w:ilvl w:val="2"/>
          <w:numId w:val="0"/>
        </w:numPr>
        <w:ind w:firstLineChars="200" w:firstLine="482"/>
      </w:pPr>
      <w:r>
        <w:rPr>
          <w:rFonts w:hint="eastAsia"/>
        </w:rPr>
        <w:t>2.4.2</w:t>
      </w:r>
      <w:r>
        <w:rPr>
          <w:rFonts w:hint="eastAsia"/>
        </w:rPr>
        <w:t>运营期工艺流程</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项目回收的废矿物油，主要来自疏勒县及周边区域汽车</w:t>
      </w:r>
      <w:r>
        <w:rPr>
          <w:rFonts w:cs="Times New Roman" w:hint="eastAsia"/>
          <w:color w:val="000000" w:themeColor="text1"/>
          <w:sz w:val="24"/>
          <w:szCs w:val="24"/>
        </w:rPr>
        <w:t>4S</w:t>
      </w:r>
      <w:r>
        <w:rPr>
          <w:rFonts w:cs="Times New Roman" w:hint="eastAsia"/>
          <w:color w:val="000000" w:themeColor="text1"/>
          <w:sz w:val="24"/>
          <w:szCs w:val="24"/>
        </w:rPr>
        <w:t>店、车辆修保企业、工程机械修理厂产生的废弃发动机油、刹车油、传动油、变速箱油、齿轮油等；水泥企业、纺织企业、矿山企业及非煤矿山企业产生的废弃轴承润滑油、液压油、齿轮油、机床润滑油等，钻机作业中含油量较高的废弃油基钻井液（只回收废弃或失效的以柴油或白油为基油配置的油基钻井液，不含固体钻井岩屑）等。</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拟回收的废弃发动机油、刹车油、传动油、变速箱油、齿轮油轴承润滑油、液压油、齿轮油、机床润滑油等均属于废润滑油系列，本项目选用“减压蒸馏</w:t>
      </w:r>
      <w:r>
        <w:rPr>
          <w:rFonts w:cs="Times New Roman" w:hint="eastAsia"/>
          <w:color w:val="000000" w:themeColor="text1"/>
          <w:sz w:val="24"/>
          <w:szCs w:val="24"/>
        </w:rPr>
        <w:t>+</w:t>
      </w:r>
      <w:r>
        <w:rPr>
          <w:rFonts w:cs="Times New Roman" w:hint="eastAsia"/>
          <w:color w:val="000000" w:themeColor="text1"/>
          <w:sz w:val="24"/>
          <w:szCs w:val="24"/>
        </w:rPr>
        <w:t>溶剂精制”工艺，可满足该类物料的再生要求。</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拟回收的废弃或失效的以柴油或白油为基油配置的油基钻井液，因这部分物料其含油量在</w:t>
      </w:r>
      <w:r>
        <w:rPr>
          <w:rFonts w:cs="Times New Roman" w:hint="eastAsia"/>
          <w:color w:val="000000" w:themeColor="text1"/>
          <w:sz w:val="24"/>
          <w:szCs w:val="24"/>
        </w:rPr>
        <w:t>80%</w:t>
      </w:r>
      <w:r>
        <w:rPr>
          <w:rFonts w:cs="Times New Roman" w:hint="eastAsia"/>
          <w:color w:val="000000" w:themeColor="text1"/>
          <w:sz w:val="24"/>
          <w:szCs w:val="24"/>
        </w:rPr>
        <w:t>以上，含水率在</w:t>
      </w:r>
      <w:r>
        <w:rPr>
          <w:rFonts w:cs="Times New Roman" w:hint="eastAsia"/>
          <w:color w:val="000000" w:themeColor="text1"/>
          <w:sz w:val="24"/>
          <w:szCs w:val="24"/>
        </w:rPr>
        <w:t>10%</w:t>
      </w:r>
      <w:r>
        <w:rPr>
          <w:rFonts w:cs="Times New Roman" w:hint="eastAsia"/>
          <w:color w:val="000000" w:themeColor="text1"/>
          <w:sz w:val="24"/>
          <w:szCs w:val="24"/>
        </w:rPr>
        <w:t>左右，其他组分以有机土和细岩屑等固体为主，这部分物料进入厂区内先通过三相分离（油、水、渣）分离后，油相部分以柴油或白油为主，属于燃料油或润滑油基础油类，可采用“减压蒸馏</w:t>
      </w:r>
      <w:r>
        <w:rPr>
          <w:rFonts w:cs="Times New Roman" w:hint="eastAsia"/>
          <w:color w:val="000000" w:themeColor="text1"/>
          <w:sz w:val="24"/>
          <w:szCs w:val="24"/>
        </w:rPr>
        <w:t>+</w:t>
      </w:r>
      <w:r>
        <w:rPr>
          <w:rFonts w:cs="Times New Roman" w:hint="eastAsia"/>
          <w:color w:val="000000" w:themeColor="text1"/>
          <w:sz w:val="24"/>
          <w:szCs w:val="24"/>
        </w:rPr>
        <w:t>溶剂精制”工艺再生。</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综上，本项目在严格控制各物料来源的基础上，选用的生产工艺可适用于拟回收的</w:t>
      </w:r>
      <w:r>
        <w:rPr>
          <w:rFonts w:cs="Times New Roman" w:hint="eastAsia"/>
          <w:color w:val="000000" w:themeColor="text1"/>
          <w:sz w:val="24"/>
          <w:szCs w:val="24"/>
        </w:rPr>
        <w:lastRenderedPageBreak/>
        <w:t>废矿物油的再生需求</w:t>
      </w:r>
      <w:r>
        <w:rPr>
          <w:rFonts w:cs="Times New Roman"/>
          <w:color w:val="000000" w:themeColor="text1"/>
          <w:sz w:val="24"/>
          <w:szCs w:val="24"/>
        </w:rPr>
        <w:t>。</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2.4.2.1</w:t>
      </w:r>
      <w:r>
        <w:rPr>
          <w:rFonts w:cs="Times New Roman" w:hint="eastAsia"/>
          <w:snapToGrid w:val="0"/>
          <w:color w:val="000000" w:themeColor="text1"/>
          <w:kern w:val="0"/>
          <w:szCs w:val="24"/>
        </w:rPr>
        <w:t>主体工艺流程</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1</w:t>
      </w:r>
      <w:r>
        <w:rPr>
          <w:rFonts w:cs="Times New Roman" w:hint="eastAsia"/>
          <w:color w:val="000000" w:themeColor="text1"/>
          <w:sz w:val="24"/>
          <w:szCs w:val="24"/>
        </w:rPr>
        <w:t>、原料的暂存</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本项目废润滑油因其成分相对稳定，含固量及含水量较低，进入厂区后通过卸料泵直接进入润滑油原料储罐中暂存，本项目设置了</w:t>
      </w:r>
      <w:r>
        <w:rPr>
          <w:rFonts w:cs="Times New Roman"/>
          <w:color w:val="000000" w:themeColor="text1"/>
          <w:sz w:val="24"/>
          <w:szCs w:val="24"/>
        </w:rPr>
        <w:t>5</w:t>
      </w:r>
      <w:r>
        <w:rPr>
          <w:rFonts w:cs="Times New Roman" w:hint="eastAsia"/>
          <w:color w:val="000000" w:themeColor="text1"/>
          <w:sz w:val="24"/>
          <w:szCs w:val="24"/>
        </w:rPr>
        <w:t>个</w:t>
      </w:r>
      <w:r>
        <w:rPr>
          <w:rFonts w:cs="Times New Roman"/>
          <w:color w:val="000000" w:themeColor="text1"/>
          <w:sz w:val="24"/>
          <w:szCs w:val="24"/>
        </w:rPr>
        <w:t>300</w:t>
      </w:r>
      <w:r>
        <w:rPr>
          <w:rFonts w:cs="Times New Roman" w:hint="eastAsia"/>
          <w:color w:val="000000" w:themeColor="text1"/>
          <w:sz w:val="24"/>
          <w:szCs w:val="24"/>
        </w:rPr>
        <w:t>m</w:t>
      </w:r>
      <w:r>
        <w:rPr>
          <w:rFonts w:cs="Times New Roman" w:hint="eastAsia"/>
          <w:color w:val="000000" w:themeColor="text1"/>
          <w:sz w:val="24"/>
          <w:szCs w:val="24"/>
          <w:vertAlign w:val="superscript"/>
        </w:rPr>
        <w:t>3</w:t>
      </w:r>
      <w:r>
        <w:rPr>
          <w:rFonts w:cs="Times New Roman" w:hint="eastAsia"/>
          <w:color w:val="000000" w:themeColor="text1"/>
          <w:sz w:val="24"/>
          <w:szCs w:val="24"/>
        </w:rPr>
        <w:t>的常压固定顶原料储罐用于暂存回收的废矿物油，同时原料储罐也可起到初步的沉淀分离作用，此过程可将废润滑油中携带的极少量金属碎屑等全部沉降至罐底。</w:t>
      </w:r>
    </w:p>
    <w:p w:rsidR="00644456" w:rsidRDefault="008031C4">
      <w:pPr>
        <w:pStyle w:val="32"/>
        <w:adjustRightInd w:val="0"/>
        <w:snapToGrid w:val="0"/>
        <w:spacing w:after="0" w:line="348" w:lineRule="auto"/>
        <w:ind w:firstLineChars="200" w:firstLine="482"/>
        <w:rPr>
          <w:rFonts w:cs="Times New Roman"/>
          <w:color w:val="000000" w:themeColor="text1"/>
          <w:sz w:val="24"/>
          <w:szCs w:val="24"/>
        </w:rPr>
      </w:pPr>
      <w:r>
        <w:rPr>
          <w:rFonts w:cs="Times New Roman" w:hint="eastAsia"/>
          <w:b/>
          <w:bCs/>
          <w:color w:val="000000" w:themeColor="text1"/>
          <w:sz w:val="24"/>
          <w:szCs w:val="24"/>
        </w:rPr>
        <w:t>产污</w:t>
      </w:r>
      <w:r>
        <w:rPr>
          <w:rFonts w:cs="Times New Roman" w:hint="eastAsia"/>
          <w:color w:val="000000" w:themeColor="text1"/>
          <w:sz w:val="24"/>
          <w:szCs w:val="24"/>
        </w:rPr>
        <w:t>：本项目卸料过程可实现管线密闭卸料，废润滑油储罐暂存过程中产生的无组织废气</w:t>
      </w:r>
      <w:r>
        <w:rPr>
          <w:rFonts w:cs="Times New Roman" w:hint="eastAsia"/>
          <w:color w:val="000000" w:themeColor="text1"/>
          <w:sz w:val="24"/>
          <w:szCs w:val="24"/>
        </w:rPr>
        <w:t>G</w:t>
      </w:r>
      <w:r>
        <w:rPr>
          <w:rFonts w:cs="Times New Roman" w:hint="eastAsia"/>
          <w:color w:val="000000" w:themeColor="text1"/>
          <w:sz w:val="24"/>
          <w:szCs w:val="24"/>
        </w:rPr>
        <w:t>。</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2</w:t>
      </w:r>
      <w:r>
        <w:rPr>
          <w:rFonts w:cs="Times New Roman" w:hint="eastAsia"/>
          <w:color w:val="000000" w:themeColor="text1"/>
          <w:sz w:val="24"/>
          <w:szCs w:val="24"/>
        </w:rPr>
        <w:t>、预处理</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本项目预处理分为两部分，如下：</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①中和预处理：主要为原料储罐内的废矿物油经过自然沉淀后，罐体内中上部分的物料直接进入中和预处理工段。因废矿物油多数呈弱酸性，在蒸馏之前选择性进行中和预处理，所使用的添加剂为石油磺酸钠。将添加剂添加至调合器中，按照</w:t>
      </w:r>
      <w:r>
        <w:rPr>
          <w:rFonts w:cs="Times New Roman" w:hint="eastAsia"/>
          <w:color w:val="000000" w:themeColor="text1"/>
          <w:sz w:val="24"/>
          <w:szCs w:val="24"/>
        </w:rPr>
        <w:t>1:1</w:t>
      </w:r>
      <w:r>
        <w:rPr>
          <w:rFonts w:cs="Times New Roman" w:hint="eastAsia"/>
          <w:color w:val="000000" w:themeColor="text1"/>
          <w:sz w:val="24"/>
          <w:szCs w:val="24"/>
        </w:rPr>
        <w:t>的比例加入水，室温充分搅拌后通过油泵和输送管道，将废矿物油输送到反应罐体中，同时将石油磺酸钠溶液泵入到反应罐体使药剂和废油充分混合。石油磺酸钠溶液为高沸点、难挥发液体，</w:t>
      </w:r>
      <w:r w:rsidR="00A50D68" w:rsidRPr="00A50D68">
        <w:rPr>
          <w:rFonts w:cs="Times New Roman" w:hint="eastAsia"/>
          <w:color w:val="FF0000"/>
          <w:sz w:val="24"/>
          <w:szCs w:val="24"/>
        </w:rPr>
        <w:t>原料油罐会产生废气</w:t>
      </w:r>
      <w:r w:rsidR="00A50D68" w:rsidRPr="00A50D68">
        <w:rPr>
          <w:rFonts w:cs="Times New Roman" w:hint="eastAsia"/>
          <w:color w:val="FF0000"/>
          <w:sz w:val="24"/>
          <w:szCs w:val="24"/>
        </w:rPr>
        <w:t>G</w:t>
      </w:r>
      <w:r w:rsidR="00A50D68" w:rsidRPr="00A50D68">
        <w:rPr>
          <w:rFonts w:cs="Times New Roman" w:hint="eastAsia"/>
          <w:color w:val="FF0000"/>
          <w:sz w:val="24"/>
          <w:szCs w:val="24"/>
        </w:rPr>
        <w:t>（主要为呼吸废气），这部分废气以无组织形式排放</w:t>
      </w:r>
      <w:r>
        <w:rPr>
          <w:rFonts w:cs="Times New Roman" w:hint="eastAsia"/>
          <w:color w:val="000000" w:themeColor="text1"/>
          <w:sz w:val="24"/>
          <w:szCs w:val="24"/>
        </w:rPr>
        <w:t>。</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②三相分离（油、渣、水）预处理：主要为原料储罐内的废矿物油经过自然沉淀后，罐体内中下部分的物料，因其含有较高的固相及水分，需要经过三相分离（油、渣、水）后，油相进入中和预处理工段再次预处理，含油废水</w:t>
      </w:r>
      <w:r>
        <w:rPr>
          <w:rFonts w:cs="Times New Roman" w:hint="eastAsia"/>
          <w:color w:val="000000" w:themeColor="text1"/>
          <w:sz w:val="24"/>
          <w:szCs w:val="24"/>
        </w:rPr>
        <w:t>W1</w:t>
      </w:r>
      <w:r>
        <w:rPr>
          <w:rFonts w:cs="Times New Roman" w:hint="eastAsia"/>
          <w:color w:val="000000" w:themeColor="text1"/>
          <w:sz w:val="24"/>
          <w:szCs w:val="24"/>
        </w:rPr>
        <w:t>进入污水处理装置进一步处理，固相</w:t>
      </w:r>
      <w:r>
        <w:rPr>
          <w:rFonts w:cs="Times New Roman" w:hint="eastAsia"/>
          <w:color w:val="000000" w:themeColor="text1"/>
          <w:sz w:val="24"/>
          <w:szCs w:val="24"/>
        </w:rPr>
        <w:t>S1</w:t>
      </w:r>
      <w:r>
        <w:rPr>
          <w:rFonts w:cs="Times New Roman" w:hint="eastAsia"/>
          <w:color w:val="000000" w:themeColor="text1"/>
          <w:sz w:val="24"/>
          <w:szCs w:val="24"/>
        </w:rPr>
        <w:t>进入危险废物暂存区暂存。</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项目选用</w:t>
      </w:r>
      <w:r>
        <w:rPr>
          <w:rFonts w:cs="Times New Roman" w:hint="eastAsia"/>
          <w:color w:val="000000" w:themeColor="text1"/>
          <w:sz w:val="24"/>
          <w:szCs w:val="24"/>
        </w:rPr>
        <w:t>LWS</w:t>
      </w:r>
      <w:r>
        <w:rPr>
          <w:rFonts w:cs="Times New Roman" w:hint="eastAsia"/>
          <w:color w:val="000000" w:themeColor="text1"/>
          <w:sz w:val="24"/>
          <w:szCs w:val="24"/>
        </w:rPr>
        <w:t>系列高效三相离心机分离设备，进入离心机的物料在离心机高速旋转的强大离心力作用下，实现油、渣、水的分离，分离后的油、水、渣通过分离机不同的排放口排出。因离心机具有优良的密封性能，物料分离可在全封闭状态下进行，使得外环境干净清洁，同时该预处理过程中无废气产生。</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3</w:t>
      </w:r>
      <w:r>
        <w:rPr>
          <w:rFonts w:cs="Times New Roman" w:hint="eastAsia"/>
          <w:color w:val="000000" w:themeColor="text1"/>
          <w:sz w:val="24"/>
          <w:szCs w:val="24"/>
        </w:rPr>
        <w:t>、减压蒸馏</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反应罐体中的混合物料通过真空吸料的方式送至蒸馏器进行减压蒸馏，真空由水环真空泵提供，蒸馏过程采用循环水冷凝。混合物料经过蒸馏器</w:t>
      </w:r>
      <w:r>
        <w:rPr>
          <w:rFonts w:cs="Times New Roman" w:hint="eastAsia"/>
          <w:color w:val="000000" w:themeColor="text1"/>
          <w:sz w:val="24"/>
          <w:szCs w:val="24"/>
        </w:rPr>
        <w:t>1</w:t>
      </w:r>
      <w:r>
        <w:rPr>
          <w:rFonts w:cs="Times New Roman" w:hint="eastAsia"/>
          <w:color w:val="000000" w:themeColor="text1"/>
          <w:sz w:val="24"/>
          <w:szCs w:val="24"/>
        </w:rPr>
        <w:t>，</w:t>
      </w:r>
      <w:r>
        <w:rPr>
          <w:rFonts w:cs="Times New Roman" w:hint="eastAsia"/>
          <w:color w:val="000000" w:themeColor="text1"/>
          <w:sz w:val="24"/>
          <w:szCs w:val="24"/>
        </w:rPr>
        <w:t>2</w:t>
      </w:r>
      <w:r>
        <w:rPr>
          <w:rFonts w:cs="Times New Roman" w:hint="eastAsia"/>
          <w:color w:val="000000" w:themeColor="text1"/>
          <w:sz w:val="24"/>
          <w:szCs w:val="24"/>
        </w:rPr>
        <w:t>，</w:t>
      </w:r>
      <w:r>
        <w:rPr>
          <w:rFonts w:cs="Times New Roman" w:hint="eastAsia"/>
          <w:color w:val="000000" w:themeColor="text1"/>
          <w:sz w:val="24"/>
          <w:szCs w:val="24"/>
        </w:rPr>
        <w:t>3</w:t>
      </w:r>
      <w:r>
        <w:rPr>
          <w:rFonts w:cs="Times New Roman" w:hint="eastAsia"/>
          <w:color w:val="000000" w:themeColor="text1"/>
          <w:sz w:val="24"/>
          <w:szCs w:val="24"/>
        </w:rPr>
        <w:t>号分别进行加热蒸馏。根据</w:t>
      </w:r>
      <w:r>
        <w:rPr>
          <w:rFonts w:cs="Times New Roman" w:hint="eastAsia"/>
          <w:color w:val="000000" w:themeColor="text1"/>
          <w:sz w:val="24"/>
          <w:szCs w:val="24"/>
        </w:rPr>
        <w:t>1</w:t>
      </w:r>
      <w:r>
        <w:rPr>
          <w:rFonts w:cs="Times New Roman" w:hint="eastAsia"/>
          <w:color w:val="000000" w:themeColor="text1"/>
          <w:sz w:val="24"/>
          <w:szCs w:val="24"/>
        </w:rPr>
        <w:t>，</w:t>
      </w:r>
      <w:r>
        <w:rPr>
          <w:rFonts w:cs="Times New Roman" w:hint="eastAsia"/>
          <w:color w:val="000000" w:themeColor="text1"/>
          <w:sz w:val="24"/>
          <w:szCs w:val="24"/>
        </w:rPr>
        <w:t>2</w:t>
      </w:r>
      <w:r>
        <w:rPr>
          <w:rFonts w:cs="Times New Roman" w:hint="eastAsia"/>
          <w:color w:val="000000" w:themeColor="text1"/>
          <w:sz w:val="24"/>
          <w:szCs w:val="24"/>
        </w:rPr>
        <w:t>，</w:t>
      </w:r>
      <w:r>
        <w:rPr>
          <w:rFonts w:cs="Times New Roman" w:hint="eastAsia"/>
          <w:color w:val="000000" w:themeColor="text1"/>
          <w:sz w:val="24"/>
          <w:szCs w:val="24"/>
        </w:rPr>
        <w:t>3</w:t>
      </w:r>
      <w:r>
        <w:rPr>
          <w:rFonts w:cs="Times New Roman" w:hint="eastAsia"/>
          <w:color w:val="000000" w:themeColor="text1"/>
          <w:sz w:val="24"/>
          <w:szCs w:val="24"/>
        </w:rPr>
        <w:t>号蒸馏器里面不同的温度和不同的真空度，对原料油里面不同的组分分别进行油气分割，可以得到燃料油、半成品轻质基础油和中重质基础油的馏分。当温度达到</w:t>
      </w:r>
      <w:r>
        <w:rPr>
          <w:rFonts w:cs="Times New Roman" w:hint="eastAsia"/>
          <w:color w:val="000000" w:themeColor="text1"/>
          <w:sz w:val="24"/>
          <w:szCs w:val="24"/>
        </w:rPr>
        <w:t>55-180</w:t>
      </w:r>
      <w:r>
        <w:rPr>
          <w:rFonts w:cs="Times New Roman" w:hint="eastAsia"/>
          <w:color w:val="000000" w:themeColor="text1"/>
          <w:sz w:val="24"/>
          <w:szCs w:val="24"/>
        </w:rPr>
        <w:t>℃时，</w:t>
      </w:r>
      <w:r>
        <w:rPr>
          <w:rFonts w:cs="Times New Roman" w:hint="eastAsia"/>
          <w:color w:val="000000" w:themeColor="text1"/>
          <w:sz w:val="24"/>
          <w:szCs w:val="24"/>
        </w:rPr>
        <w:t>1</w:t>
      </w:r>
      <w:r>
        <w:rPr>
          <w:rFonts w:cs="Times New Roman" w:hint="eastAsia"/>
          <w:color w:val="000000" w:themeColor="text1"/>
          <w:sz w:val="24"/>
          <w:szCs w:val="24"/>
        </w:rPr>
        <w:t>号蒸馏器里面的原料油中的水、燃料油组分开始被蒸馏出来，</w:t>
      </w:r>
      <w:r>
        <w:rPr>
          <w:rFonts w:cs="Times New Roman" w:hint="eastAsia"/>
          <w:color w:val="000000" w:themeColor="text1"/>
          <w:sz w:val="24"/>
          <w:szCs w:val="24"/>
        </w:rPr>
        <w:lastRenderedPageBreak/>
        <w:t>此时会产生含油蒸馏水</w:t>
      </w:r>
      <w:r>
        <w:rPr>
          <w:rFonts w:cs="Times New Roman" w:hint="eastAsia"/>
          <w:color w:val="000000" w:themeColor="text1"/>
          <w:sz w:val="24"/>
          <w:szCs w:val="24"/>
        </w:rPr>
        <w:t>W1</w:t>
      </w:r>
      <w:r>
        <w:rPr>
          <w:rFonts w:cs="Times New Roman" w:hint="eastAsia"/>
          <w:color w:val="000000" w:themeColor="text1"/>
          <w:sz w:val="24"/>
          <w:szCs w:val="24"/>
        </w:rPr>
        <w:t>（</w:t>
      </w:r>
      <w:r>
        <w:rPr>
          <w:rFonts w:cs="Times New Roman" w:hint="eastAsia"/>
          <w:color w:val="000000" w:themeColor="text1"/>
          <w:sz w:val="24"/>
          <w:szCs w:val="24"/>
        </w:rPr>
        <w:t>1</w:t>
      </w:r>
      <w:r>
        <w:rPr>
          <w:rFonts w:cs="Times New Roman" w:hint="eastAsia"/>
          <w:color w:val="000000" w:themeColor="text1"/>
          <w:sz w:val="24"/>
          <w:szCs w:val="24"/>
        </w:rPr>
        <w:t>号蒸馏器离面的真空度控制在</w:t>
      </w:r>
      <w:r>
        <w:rPr>
          <w:rFonts w:cs="Times New Roman" w:hint="eastAsia"/>
          <w:color w:val="000000" w:themeColor="text1"/>
          <w:sz w:val="24"/>
          <w:szCs w:val="24"/>
        </w:rPr>
        <w:t>3000PA</w:t>
      </w:r>
      <w:r>
        <w:rPr>
          <w:rFonts w:cs="Times New Roman" w:hint="eastAsia"/>
          <w:color w:val="000000" w:themeColor="text1"/>
          <w:sz w:val="24"/>
          <w:szCs w:val="24"/>
        </w:rPr>
        <w:t>以内）；当温度在</w:t>
      </w:r>
      <w:r>
        <w:rPr>
          <w:rFonts w:cs="Times New Roman" w:hint="eastAsia"/>
          <w:color w:val="000000" w:themeColor="text1"/>
          <w:sz w:val="24"/>
          <w:szCs w:val="24"/>
        </w:rPr>
        <w:t>180-240</w:t>
      </w:r>
      <w:r>
        <w:rPr>
          <w:rFonts w:cs="Times New Roman" w:hint="eastAsia"/>
          <w:color w:val="000000" w:themeColor="text1"/>
          <w:sz w:val="24"/>
          <w:szCs w:val="24"/>
        </w:rPr>
        <w:t>℃之间，</w:t>
      </w:r>
      <w:r>
        <w:rPr>
          <w:rFonts w:cs="Times New Roman" w:hint="eastAsia"/>
          <w:color w:val="000000" w:themeColor="text1"/>
          <w:sz w:val="24"/>
          <w:szCs w:val="24"/>
        </w:rPr>
        <w:t>2</w:t>
      </w:r>
      <w:r>
        <w:rPr>
          <w:rFonts w:cs="Times New Roman" w:hint="eastAsia"/>
          <w:color w:val="000000" w:themeColor="text1"/>
          <w:sz w:val="24"/>
          <w:szCs w:val="24"/>
        </w:rPr>
        <w:t>号蒸馏器里面的原料油所蒸馏出来的油为半成品轻质基础油（</w:t>
      </w:r>
      <w:r>
        <w:rPr>
          <w:rFonts w:cs="Times New Roman" w:hint="eastAsia"/>
          <w:color w:val="000000" w:themeColor="text1"/>
          <w:sz w:val="24"/>
          <w:szCs w:val="24"/>
        </w:rPr>
        <w:t>2</w:t>
      </w:r>
      <w:r>
        <w:rPr>
          <w:rFonts w:cs="Times New Roman" w:hint="eastAsia"/>
          <w:color w:val="000000" w:themeColor="text1"/>
          <w:sz w:val="24"/>
          <w:szCs w:val="24"/>
        </w:rPr>
        <w:t>号蒸馏器里面的真空度控制在</w:t>
      </w:r>
      <w:r>
        <w:rPr>
          <w:rFonts w:cs="Times New Roman" w:hint="eastAsia"/>
          <w:color w:val="000000" w:themeColor="text1"/>
          <w:sz w:val="24"/>
          <w:szCs w:val="24"/>
        </w:rPr>
        <w:t>1000PA</w:t>
      </w:r>
      <w:r>
        <w:rPr>
          <w:rFonts w:cs="Times New Roman" w:hint="eastAsia"/>
          <w:color w:val="000000" w:themeColor="text1"/>
          <w:sz w:val="24"/>
          <w:szCs w:val="24"/>
        </w:rPr>
        <w:t>以内）；当温度在</w:t>
      </w:r>
      <w:r>
        <w:rPr>
          <w:rFonts w:cs="Times New Roman" w:hint="eastAsia"/>
          <w:color w:val="000000" w:themeColor="text1"/>
          <w:sz w:val="24"/>
          <w:szCs w:val="24"/>
        </w:rPr>
        <w:t>240-280</w:t>
      </w:r>
      <w:r>
        <w:rPr>
          <w:rFonts w:cs="Times New Roman" w:hint="eastAsia"/>
          <w:color w:val="000000" w:themeColor="text1"/>
          <w:sz w:val="24"/>
          <w:szCs w:val="24"/>
        </w:rPr>
        <w:t>℃之间，</w:t>
      </w:r>
      <w:r>
        <w:rPr>
          <w:rFonts w:cs="Times New Roman" w:hint="eastAsia"/>
          <w:color w:val="000000" w:themeColor="text1"/>
          <w:sz w:val="24"/>
          <w:szCs w:val="24"/>
        </w:rPr>
        <w:t>3</w:t>
      </w:r>
      <w:r>
        <w:rPr>
          <w:rFonts w:cs="Times New Roman" w:hint="eastAsia"/>
          <w:color w:val="000000" w:themeColor="text1"/>
          <w:sz w:val="24"/>
          <w:szCs w:val="24"/>
        </w:rPr>
        <w:t>号蒸馏器里面蒸馏出的油是半成品中重质基础油、不凝气，剩余部分为再生尾油（</w:t>
      </w:r>
      <w:r>
        <w:rPr>
          <w:rFonts w:cs="Times New Roman" w:hint="eastAsia"/>
          <w:color w:val="000000" w:themeColor="text1"/>
          <w:sz w:val="24"/>
          <w:szCs w:val="24"/>
        </w:rPr>
        <w:t>3</w:t>
      </w:r>
      <w:r>
        <w:rPr>
          <w:rFonts w:cs="Times New Roman" w:hint="eastAsia"/>
          <w:color w:val="000000" w:themeColor="text1"/>
          <w:sz w:val="24"/>
          <w:szCs w:val="24"/>
        </w:rPr>
        <w:t>号蒸馏器里面的真空度控制在</w:t>
      </w:r>
      <w:r>
        <w:rPr>
          <w:rFonts w:cs="Times New Roman" w:hint="eastAsia"/>
          <w:color w:val="000000" w:themeColor="text1"/>
          <w:sz w:val="24"/>
          <w:szCs w:val="24"/>
        </w:rPr>
        <w:t>200PA</w:t>
      </w:r>
      <w:r>
        <w:rPr>
          <w:rFonts w:cs="Times New Roman" w:hint="eastAsia"/>
          <w:color w:val="000000" w:themeColor="text1"/>
          <w:sz w:val="24"/>
          <w:szCs w:val="24"/>
        </w:rPr>
        <w:t>以内）。</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color w:val="000000" w:themeColor="text1"/>
          <w:sz w:val="24"/>
          <w:szCs w:val="24"/>
        </w:rPr>
        <w:t>燃料油进入燃料油储罐暂存；半成品轻质及重质基础油进入精制单元，再生尾油进入再生尾油储罐。</w:t>
      </w:r>
    </w:p>
    <w:p w:rsidR="00644456" w:rsidRDefault="008031C4">
      <w:pPr>
        <w:pStyle w:val="32"/>
        <w:adjustRightInd w:val="0"/>
        <w:snapToGrid w:val="0"/>
        <w:spacing w:after="0" w:line="348" w:lineRule="auto"/>
        <w:ind w:firstLineChars="200" w:firstLine="482"/>
        <w:rPr>
          <w:rFonts w:cs="Times New Roman"/>
          <w:color w:val="000000" w:themeColor="text1"/>
          <w:sz w:val="24"/>
          <w:szCs w:val="24"/>
        </w:rPr>
      </w:pPr>
      <w:r>
        <w:rPr>
          <w:rFonts w:cs="Times New Roman"/>
          <w:b/>
          <w:bCs/>
          <w:color w:val="000000" w:themeColor="text1"/>
          <w:sz w:val="24"/>
          <w:szCs w:val="24"/>
        </w:rPr>
        <w:t>产污</w:t>
      </w:r>
      <w:r>
        <w:rPr>
          <w:rFonts w:cs="Times New Roman"/>
          <w:color w:val="000000" w:themeColor="text1"/>
          <w:sz w:val="24"/>
          <w:szCs w:val="24"/>
        </w:rPr>
        <w:t>：</w:t>
      </w:r>
      <w:r>
        <w:rPr>
          <w:rFonts w:cs="Times New Roman"/>
          <w:color w:val="000000" w:themeColor="text1"/>
          <w:sz w:val="24"/>
          <w:szCs w:val="24"/>
        </w:rPr>
        <w:t>1</w:t>
      </w:r>
      <w:r>
        <w:rPr>
          <w:rFonts w:cs="Times New Roman"/>
          <w:color w:val="000000" w:themeColor="text1"/>
          <w:sz w:val="24"/>
          <w:szCs w:val="24"/>
        </w:rPr>
        <w:t>号蒸馏单元会产生含油废水</w:t>
      </w:r>
      <w:r>
        <w:rPr>
          <w:rFonts w:cs="Times New Roman"/>
          <w:color w:val="000000" w:themeColor="text1"/>
          <w:sz w:val="24"/>
          <w:szCs w:val="24"/>
        </w:rPr>
        <w:t>W3</w:t>
      </w:r>
      <w:r>
        <w:rPr>
          <w:rFonts w:cs="Times New Roman"/>
          <w:color w:val="000000" w:themeColor="text1"/>
          <w:sz w:val="24"/>
          <w:szCs w:val="24"/>
        </w:rPr>
        <w:t>进入污水处理系统；</w:t>
      </w:r>
      <w:r>
        <w:rPr>
          <w:rFonts w:cs="Times New Roman"/>
          <w:color w:val="000000" w:themeColor="text1"/>
          <w:sz w:val="24"/>
          <w:szCs w:val="24"/>
        </w:rPr>
        <w:t>1-3</w:t>
      </w:r>
      <w:r>
        <w:rPr>
          <w:rFonts w:cs="Times New Roman"/>
          <w:color w:val="000000" w:themeColor="text1"/>
          <w:sz w:val="24"/>
          <w:szCs w:val="24"/>
        </w:rPr>
        <w:t>号蒸馏单元在冷凝环节会产生不凝气（非甲烷总烃为主，同时含有硫化氢和氨）</w:t>
      </w:r>
      <w:r>
        <w:rPr>
          <w:rFonts w:cs="Times New Roman"/>
          <w:color w:val="000000" w:themeColor="text1"/>
          <w:sz w:val="24"/>
          <w:szCs w:val="24"/>
        </w:rPr>
        <w:t>G1</w:t>
      </w:r>
      <w:r>
        <w:rPr>
          <w:rFonts w:cs="Times New Roman"/>
          <w:color w:val="000000" w:themeColor="text1"/>
          <w:sz w:val="24"/>
          <w:szCs w:val="24"/>
        </w:rPr>
        <w:t>、</w:t>
      </w:r>
      <w:r>
        <w:rPr>
          <w:rFonts w:cs="Times New Roman"/>
          <w:color w:val="000000" w:themeColor="text1"/>
          <w:sz w:val="24"/>
          <w:szCs w:val="24"/>
        </w:rPr>
        <w:t>G2</w:t>
      </w:r>
      <w:r>
        <w:rPr>
          <w:rFonts w:cs="Times New Roman"/>
          <w:color w:val="000000" w:themeColor="text1"/>
          <w:sz w:val="24"/>
          <w:szCs w:val="24"/>
        </w:rPr>
        <w:t>、</w:t>
      </w:r>
      <w:r>
        <w:rPr>
          <w:rFonts w:cs="Times New Roman"/>
          <w:color w:val="000000" w:themeColor="text1"/>
          <w:sz w:val="24"/>
          <w:szCs w:val="24"/>
        </w:rPr>
        <w:t>G3</w:t>
      </w:r>
      <w:r>
        <w:rPr>
          <w:rFonts w:cs="Times New Roman"/>
          <w:color w:val="000000" w:themeColor="text1"/>
          <w:sz w:val="24"/>
          <w:szCs w:val="24"/>
        </w:rPr>
        <w:t>，这部分废气进入废气净化单元；产品油罐暂存产品油过程会产生废气</w:t>
      </w:r>
      <w:r>
        <w:rPr>
          <w:rFonts w:cs="Times New Roman"/>
          <w:color w:val="000000" w:themeColor="text1"/>
          <w:sz w:val="24"/>
          <w:szCs w:val="24"/>
        </w:rPr>
        <w:t>G</w:t>
      </w:r>
      <w:r>
        <w:rPr>
          <w:rFonts w:cs="Times New Roman"/>
          <w:color w:val="000000" w:themeColor="text1"/>
          <w:sz w:val="24"/>
          <w:szCs w:val="24"/>
        </w:rPr>
        <w:t>，这部分废气以无组织形式排放。</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4</w:t>
      </w:r>
      <w:r>
        <w:rPr>
          <w:rFonts w:cs="Times New Roman" w:hint="eastAsia"/>
          <w:color w:val="000000" w:themeColor="text1"/>
          <w:sz w:val="24"/>
          <w:szCs w:val="24"/>
        </w:rPr>
        <w:t>、精制工段，萃取</w:t>
      </w:r>
      <w:r>
        <w:rPr>
          <w:rFonts w:cs="Times New Roman" w:hint="eastAsia"/>
          <w:color w:val="000000" w:themeColor="text1"/>
          <w:sz w:val="24"/>
          <w:szCs w:val="24"/>
        </w:rPr>
        <w:t>+</w:t>
      </w:r>
      <w:r>
        <w:rPr>
          <w:rFonts w:cs="Times New Roman" w:hint="eastAsia"/>
          <w:color w:val="000000" w:themeColor="text1"/>
          <w:sz w:val="24"/>
          <w:szCs w:val="24"/>
        </w:rPr>
        <w:t>离心分离</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hint="eastAsia"/>
          <w:color w:val="000000" w:themeColor="text1"/>
          <w:sz w:val="24"/>
          <w:szCs w:val="24"/>
        </w:rPr>
        <w:t>半成品基础油送入高速离心机溶剂萃取装置，基础油在装置内与溶剂（</w:t>
      </w:r>
      <w:r>
        <w:rPr>
          <w:rFonts w:cs="Times New Roman" w:hint="eastAsia"/>
          <w:color w:val="000000" w:themeColor="text1"/>
          <w:sz w:val="24"/>
          <w:szCs w:val="24"/>
        </w:rPr>
        <w:t>N-</w:t>
      </w:r>
      <w:r>
        <w:rPr>
          <w:rFonts w:cs="Times New Roman" w:hint="eastAsia"/>
          <w:color w:val="000000" w:themeColor="text1"/>
          <w:sz w:val="24"/>
          <w:szCs w:val="24"/>
        </w:rPr>
        <w:t>甲级吡咯烷酮）以体积比的</w:t>
      </w:r>
      <w:r>
        <w:rPr>
          <w:rFonts w:cs="Times New Roman" w:hint="eastAsia"/>
          <w:color w:val="000000" w:themeColor="text1"/>
          <w:sz w:val="24"/>
          <w:szCs w:val="24"/>
        </w:rPr>
        <w:t>1:1</w:t>
      </w:r>
      <w:r>
        <w:rPr>
          <w:rFonts w:cs="Times New Roman" w:hint="eastAsia"/>
          <w:color w:val="000000" w:themeColor="text1"/>
          <w:sz w:val="24"/>
          <w:szCs w:val="24"/>
        </w:rPr>
        <w:t>逆流萃取，萃取完成后，基础油内的胶质、沥青及非理想组分完全溶解到溶剂内，通过离心机使比重不同的溶剂油和基础油分离，得到萃取液及含少量溶剂油的基础油。</w:t>
      </w:r>
    </w:p>
    <w:p w:rsidR="00644456" w:rsidRDefault="008031C4">
      <w:pPr>
        <w:pStyle w:val="32"/>
        <w:adjustRightInd w:val="0"/>
        <w:snapToGrid w:val="0"/>
        <w:spacing w:after="0" w:line="348" w:lineRule="auto"/>
        <w:ind w:firstLineChars="200" w:firstLine="480"/>
        <w:rPr>
          <w:rFonts w:cs="Times New Roman"/>
          <w:color w:val="000000" w:themeColor="text1"/>
          <w:sz w:val="24"/>
          <w:szCs w:val="24"/>
        </w:rPr>
      </w:pPr>
      <w:r>
        <w:rPr>
          <w:rFonts w:cs="Times New Roman"/>
          <w:color w:val="000000" w:themeColor="text1"/>
          <w:sz w:val="24"/>
          <w:szCs w:val="24"/>
        </w:rPr>
        <w:t>萃取液进入溶剂回收塔，通过加热装置减压蒸馏至</w:t>
      </w:r>
      <w:r>
        <w:rPr>
          <w:rFonts w:cs="Times New Roman"/>
          <w:color w:val="000000" w:themeColor="text1"/>
          <w:sz w:val="24"/>
          <w:szCs w:val="24"/>
        </w:rPr>
        <w:t>180℃</w:t>
      </w:r>
      <w:r>
        <w:rPr>
          <w:rFonts w:cs="Times New Roman"/>
          <w:color w:val="000000" w:themeColor="text1"/>
          <w:sz w:val="24"/>
          <w:szCs w:val="24"/>
        </w:rPr>
        <w:t>，蒸馏出的气态溶剂油经冷凝器冷凝后返回溶剂油储罐循环使用，精制剩余油返回蒸馏单元；含有少量溶剂的基础油进入精馏塔，通过加热装置减压蒸馏至</w:t>
      </w:r>
      <w:r>
        <w:rPr>
          <w:rFonts w:cs="Times New Roman"/>
          <w:color w:val="000000" w:themeColor="text1"/>
          <w:sz w:val="24"/>
          <w:szCs w:val="24"/>
        </w:rPr>
        <w:t>160℃</w:t>
      </w:r>
      <w:r>
        <w:rPr>
          <w:rFonts w:cs="Times New Roman"/>
          <w:color w:val="000000" w:themeColor="text1"/>
          <w:sz w:val="24"/>
          <w:szCs w:val="24"/>
        </w:rPr>
        <w:t>，蒸馏出的气态溶剂油经冷凝器冷凝后返回溶剂油储罐循环使用，基础油送至成品罐暂存。真空尾气经水封后</w:t>
      </w:r>
      <w:r>
        <w:rPr>
          <w:rFonts w:cs="Times New Roman" w:hint="eastAsia"/>
          <w:color w:val="000000" w:themeColor="text1"/>
          <w:sz w:val="24"/>
          <w:szCs w:val="24"/>
        </w:rPr>
        <w:t>进入</w:t>
      </w:r>
      <w:r>
        <w:rPr>
          <w:rFonts w:cs="Times New Roman"/>
          <w:color w:val="000000" w:themeColor="text1"/>
          <w:sz w:val="24"/>
          <w:szCs w:val="24"/>
        </w:rPr>
        <w:t>中央风管系统。</w:t>
      </w:r>
    </w:p>
    <w:p w:rsidR="00644456" w:rsidRDefault="008031C4">
      <w:pPr>
        <w:pStyle w:val="32"/>
        <w:adjustRightInd w:val="0"/>
        <w:snapToGrid w:val="0"/>
        <w:spacing w:after="0" w:line="348" w:lineRule="auto"/>
        <w:ind w:firstLineChars="200" w:firstLine="482"/>
        <w:rPr>
          <w:rFonts w:cs="Times New Roman"/>
          <w:color w:val="000000" w:themeColor="text1"/>
          <w:sz w:val="24"/>
          <w:szCs w:val="24"/>
        </w:rPr>
        <w:sectPr w:rsidR="00644456">
          <w:headerReference w:type="default" r:id="rId22"/>
          <w:pgSz w:w="11905" w:h="16838"/>
          <w:pgMar w:top="1440" w:right="1440" w:bottom="1440" w:left="1440" w:header="850" w:footer="992" w:gutter="0"/>
          <w:cols w:space="0"/>
          <w:docGrid w:linePitch="312"/>
        </w:sectPr>
      </w:pPr>
      <w:r>
        <w:rPr>
          <w:rFonts w:cs="Times New Roman"/>
          <w:b/>
          <w:bCs/>
          <w:color w:val="000000" w:themeColor="text1"/>
          <w:sz w:val="24"/>
          <w:szCs w:val="24"/>
        </w:rPr>
        <w:t>产污</w:t>
      </w:r>
      <w:r>
        <w:rPr>
          <w:rFonts w:cs="Times New Roman"/>
          <w:color w:val="000000" w:themeColor="text1"/>
          <w:sz w:val="24"/>
          <w:szCs w:val="24"/>
        </w:rPr>
        <w:t>：精制过程中冷凝器会产生不凝气（非甲烷总烃为主）</w:t>
      </w:r>
      <w:r>
        <w:rPr>
          <w:rFonts w:cs="Times New Roman"/>
          <w:color w:val="000000" w:themeColor="text1"/>
          <w:sz w:val="24"/>
          <w:szCs w:val="24"/>
        </w:rPr>
        <w:t>G4</w:t>
      </w:r>
      <w:r>
        <w:rPr>
          <w:rFonts w:cs="Times New Roman"/>
          <w:color w:val="000000" w:themeColor="text1"/>
          <w:sz w:val="24"/>
          <w:szCs w:val="24"/>
        </w:rPr>
        <w:t>，溶剂冷凝过程会产生不凝气（非甲烷总烃为主）</w:t>
      </w:r>
      <w:r>
        <w:rPr>
          <w:rFonts w:cs="Times New Roman"/>
          <w:color w:val="000000" w:themeColor="text1"/>
          <w:sz w:val="24"/>
          <w:szCs w:val="24"/>
        </w:rPr>
        <w:t>G5</w:t>
      </w:r>
      <w:r>
        <w:rPr>
          <w:rFonts w:cs="Times New Roman"/>
          <w:color w:val="000000" w:themeColor="text1"/>
          <w:sz w:val="24"/>
          <w:szCs w:val="24"/>
        </w:rPr>
        <w:t>，这两部分进入废气净化装置；产品油罐暂存产品油过程会产生废气</w:t>
      </w:r>
      <w:r>
        <w:rPr>
          <w:rFonts w:cs="Times New Roman"/>
          <w:color w:val="000000" w:themeColor="text1"/>
          <w:sz w:val="24"/>
          <w:szCs w:val="24"/>
        </w:rPr>
        <w:t>G</w:t>
      </w:r>
      <w:r>
        <w:rPr>
          <w:rFonts w:cs="Times New Roman"/>
          <w:color w:val="000000" w:themeColor="text1"/>
          <w:sz w:val="24"/>
          <w:szCs w:val="24"/>
        </w:rPr>
        <w:t>，这部分废气以无组织形式排放。</w:t>
      </w:r>
    </w:p>
    <w:p w:rsidR="00644456" w:rsidRDefault="008031C4">
      <w:pPr>
        <w:pStyle w:val="32"/>
        <w:adjustRightInd w:val="0"/>
        <w:snapToGrid w:val="0"/>
        <w:spacing w:after="0" w:line="348" w:lineRule="auto"/>
        <w:ind w:firstLineChars="200" w:firstLine="320"/>
        <w:rPr>
          <w:rFonts w:cs="Times New Roman"/>
          <w:color w:val="000000" w:themeColor="text1"/>
          <w:sz w:val="24"/>
          <w:szCs w:val="24"/>
        </w:rPr>
      </w:pPr>
      <w:r>
        <w:rPr>
          <w:noProof/>
        </w:rPr>
        <w:lastRenderedPageBreak/>
        <w:drawing>
          <wp:inline distT="0" distB="0" distL="0" distR="0" wp14:anchorId="15C4E6D5" wp14:editId="3DD84595">
            <wp:extent cx="8863330" cy="5446395"/>
            <wp:effectExtent l="0" t="0" r="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3"/>
                    <a:stretch>
                      <a:fillRect/>
                    </a:stretch>
                  </pic:blipFill>
                  <pic:spPr>
                    <a:xfrm>
                      <a:off x="0" y="0"/>
                      <a:ext cx="8863330" cy="5446395"/>
                    </a:xfrm>
                    <a:prstGeom prst="rect">
                      <a:avLst/>
                    </a:prstGeom>
                  </pic:spPr>
                </pic:pic>
              </a:graphicData>
            </a:graphic>
          </wp:inline>
        </w:drawing>
      </w:r>
    </w:p>
    <w:p w:rsidR="00644456" w:rsidRDefault="008031C4">
      <w:pPr>
        <w:pStyle w:val="af4"/>
        <w:jc w:val="center"/>
        <w:rPr>
          <w:rFonts w:ascii="Times New Roman" w:eastAsia="宋体" w:hAnsi="Times New Roman" w:cs="Times New Roman"/>
          <w:b/>
          <w:color w:val="000000" w:themeColor="text1"/>
          <w:sz w:val="24"/>
        </w:rPr>
        <w:sectPr w:rsidR="00644456">
          <w:pgSz w:w="16838" w:h="11905" w:orient="landscape"/>
          <w:pgMar w:top="1440" w:right="1440" w:bottom="1440" w:left="1440" w:header="851" w:footer="992" w:gutter="0"/>
          <w:cols w:space="0"/>
          <w:docGrid w:linePitch="312"/>
        </w:sectPr>
      </w:pPr>
      <w:r>
        <w:rPr>
          <w:rFonts w:ascii="Times New Roman" w:eastAsia="宋体" w:hAnsi="Times New Roman" w:cs="Times New Roman" w:hint="eastAsia"/>
          <w:b/>
          <w:color w:val="000000" w:themeColor="text1"/>
          <w:sz w:val="24"/>
        </w:rPr>
        <w:t>图</w:t>
      </w:r>
      <w:r>
        <w:rPr>
          <w:rFonts w:ascii="Times New Roman" w:eastAsia="宋体" w:hAnsi="Times New Roman" w:cs="Times New Roman" w:hint="eastAsia"/>
          <w:b/>
          <w:color w:val="000000" w:themeColor="text1"/>
          <w:sz w:val="24"/>
        </w:rPr>
        <w:t>2.4-1</w:t>
      </w:r>
      <w:r>
        <w:rPr>
          <w:rFonts w:ascii="Times New Roman" w:eastAsia="宋体" w:hAnsi="Times New Roman" w:cs="Times New Roman" w:hint="eastAsia"/>
          <w:b/>
          <w:color w:val="000000" w:themeColor="text1"/>
          <w:sz w:val="24"/>
        </w:rPr>
        <w:t>运营期工艺流程及产污位置图</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lastRenderedPageBreak/>
        <w:t>2.4.2.2</w:t>
      </w:r>
      <w:r>
        <w:rPr>
          <w:rFonts w:cs="Times New Roman" w:hint="eastAsia"/>
          <w:snapToGrid w:val="0"/>
          <w:color w:val="000000" w:themeColor="text1"/>
          <w:kern w:val="0"/>
          <w:szCs w:val="24"/>
        </w:rPr>
        <w:t>环保工程工艺流程</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1</w:t>
      </w:r>
      <w:r>
        <w:rPr>
          <w:rFonts w:cs="Times New Roman" w:hint="eastAsia"/>
          <w:color w:val="000000" w:themeColor="text1"/>
          <w:sz w:val="24"/>
          <w:szCs w:val="22"/>
        </w:rPr>
        <w:t>、废气处理单元</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本项目废矿物油在蒸馏工段、精制工段产生的不凝气，主要污染物为非甲烷总烃及少量的硫化氢，项目采取负压集气管道将产生的废气统一收集，采用“碱液喷淋</w:t>
      </w:r>
      <w:r>
        <w:rPr>
          <w:rFonts w:cs="Times New Roman" w:hint="eastAsia"/>
          <w:color w:val="000000" w:themeColor="text1"/>
          <w:sz w:val="24"/>
          <w:szCs w:val="22"/>
        </w:rPr>
        <w:t>+</w:t>
      </w:r>
      <w:r>
        <w:rPr>
          <w:rFonts w:cs="Times New Roman" w:hint="eastAsia"/>
          <w:color w:val="000000" w:themeColor="text1"/>
          <w:sz w:val="24"/>
          <w:szCs w:val="22"/>
        </w:rPr>
        <w:t>干式过滤</w:t>
      </w:r>
      <w:r>
        <w:rPr>
          <w:rFonts w:cs="Times New Roman" w:hint="eastAsia"/>
          <w:color w:val="000000" w:themeColor="text1"/>
          <w:sz w:val="24"/>
          <w:szCs w:val="22"/>
        </w:rPr>
        <w:t>+</w:t>
      </w:r>
      <w:r>
        <w:rPr>
          <w:rFonts w:cs="Times New Roman" w:hint="eastAsia"/>
          <w:color w:val="000000" w:themeColor="text1"/>
          <w:sz w:val="24"/>
          <w:szCs w:val="22"/>
        </w:rPr>
        <w:t>高温氧化”工艺进行净化处理，处理后的烟气通过</w:t>
      </w:r>
      <w:r>
        <w:rPr>
          <w:rFonts w:cs="Times New Roman" w:hint="eastAsia"/>
          <w:color w:val="000000" w:themeColor="text1"/>
          <w:sz w:val="24"/>
          <w:szCs w:val="22"/>
        </w:rPr>
        <w:t>1</w:t>
      </w:r>
      <w:r>
        <w:rPr>
          <w:rFonts w:cs="Times New Roman" w:hint="eastAsia"/>
          <w:color w:val="000000" w:themeColor="text1"/>
          <w:sz w:val="24"/>
          <w:szCs w:val="22"/>
        </w:rPr>
        <w:t>根</w:t>
      </w:r>
      <w:r>
        <w:rPr>
          <w:rFonts w:cs="Times New Roman" w:hint="eastAsia"/>
          <w:color w:val="000000" w:themeColor="text1"/>
          <w:sz w:val="24"/>
          <w:szCs w:val="22"/>
        </w:rPr>
        <w:t>20</w:t>
      </w:r>
      <w:r>
        <w:rPr>
          <w:rFonts w:cs="Times New Roman" w:hint="eastAsia"/>
          <w:color w:val="000000" w:themeColor="text1"/>
          <w:sz w:val="24"/>
          <w:szCs w:val="22"/>
        </w:rPr>
        <w:t>米高排气筒高空排放。主要工艺如下：</w:t>
      </w:r>
    </w:p>
    <w:p w:rsidR="00644456" w:rsidRDefault="008031C4">
      <w:pPr>
        <w:pStyle w:val="32"/>
        <w:adjustRightInd w:val="0"/>
        <w:snapToGrid w:val="0"/>
        <w:spacing w:after="0" w:line="348" w:lineRule="auto"/>
        <w:ind w:firstLineChars="200" w:firstLine="320"/>
      </w:pPr>
      <w:r>
        <w:rPr>
          <w:noProof/>
        </w:rPr>
        <w:drawing>
          <wp:inline distT="0" distB="0" distL="0" distR="0" wp14:anchorId="2CF2348E" wp14:editId="62D6F3BD">
            <wp:extent cx="5365750" cy="2242185"/>
            <wp:effectExtent l="0" t="0" r="635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4"/>
                    <a:stretch>
                      <a:fillRect/>
                    </a:stretch>
                  </pic:blipFill>
                  <pic:spPr>
                    <a:xfrm>
                      <a:off x="0" y="0"/>
                      <a:ext cx="5367355" cy="2242692"/>
                    </a:xfrm>
                    <a:prstGeom prst="rect">
                      <a:avLst/>
                    </a:prstGeom>
                  </pic:spPr>
                </pic:pic>
              </a:graphicData>
            </a:graphic>
          </wp:inline>
        </w:drawing>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图</w:t>
      </w:r>
      <w:r>
        <w:rPr>
          <w:rFonts w:ascii="Times New Roman" w:eastAsia="宋体" w:hAnsi="Times New Roman" w:cs="Times New Roman" w:hint="eastAsia"/>
          <w:b/>
          <w:color w:val="000000" w:themeColor="text1"/>
          <w:sz w:val="24"/>
        </w:rPr>
        <w:t>2.4-2</w:t>
      </w:r>
      <w:r>
        <w:rPr>
          <w:rFonts w:ascii="Times New Roman" w:eastAsia="宋体" w:hAnsi="Times New Roman" w:cs="Times New Roman" w:hint="eastAsia"/>
          <w:b/>
          <w:color w:val="000000" w:themeColor="text1"/>
          <w:sz w:val="24"/>
        </w:rPr>
        <w:t>废气处理工艺流程图</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ascii="宋体" w:hAnsi="宋体" w:cs="宋体" w:hint="eastAsia"/>
          <w:color w:val="000000" w:themeColor="text1"/>
          <w:sz w:val="24"/>
          <w:szCs w:val="22"/>
        </w:rPr>
        <w:t>①</w:t>
      </w:r>
      <w:r>
        <w:rPr>
          <w:rFonts w:cs="Times New Roman"/>
          <w:color w:val="000000" w:themeColor="text1"/>
          <w:sz w:val="24"/>
          <w:szCs w:val="22"/>
        </w:rPr>
        <w:t>碱液喷淋</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color w:val="000000" w:themeColor="text1"/>
          <w:sz w:val="24"/>
          <w:szCs w:val="22"/>
        </w:rPr>
        <w:t>本项目物料在蒸馏过程中产生的废气其主要成分为非甲烷总烃，同时含有</w:t>
      </w:r>
      <w:r>
        <w:rPr>
          <w:rFonts w:cs="Times New Roman" w:hint="eastAsia"/>
          <w:color w:val="000000" w:themeColor="text1"/>
          <w:sz w:val="24"/>
          <w:szCs w:val="22"/>
        </w:rPr>
        <w:t>少量的</w:t>
      </w:r>
      <w:r>
        <w:rPr>
          <w:rFonts w:cs="Times New Roman"/>
          <w:color w:val="000000" w:themeColor="text1"/>
          <w:sz w:val="24"/>
          <w:szCs w:val="22"/>
        </w:rPr>
        <w:t>硫化氢。废气首先采用喷淋洗涤塔进行预处理。本项目拟采用</w:t>
      </w:r>
      <w:r>
        <w:rPr>
          <w:rFonts w:cs="Times New Roman"/>
          <w:color w:val="000000" w:themeColor="text1"/>
          <w:sz w:val="24"/>
          <w:szCs w:val="22"/>
        </w:rPr>
        <w:t>1%</w:t>
      </w:r>
      <w:r>
        <w:rPr>
          <w:rFonts w:cs="Times New Roman"/>
          <w:color w:val="000000" w:themeColor="text1"/>
          <w:sz w:val="24"/>
          <w:szCs w:val="22"/>
        </w:rPr>
        <w:t>的碱液作为吸收剂，废气从洗涤塔底部进入，在通过填料层的过程中与循环喷淋液充分接触，气体中的硫化氢被吸收剂吸收后被转变为无机盐类进入溶液洗涤循环装置并定期更换，处理后的气体从塔顶排出进入气雾分离器分离水分后进入下一处理工序。因本项目废气中的酸性气体含量很少，在碱液吸收过程中硫化氢与碱液发生反应，最终形成硫化钠溶液，硫以离子形式存在溶液中，最终与喷淋废水一同进入污水处理设施处理。</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ascii="宋体" w:hAnsi="宋体" w:cs="宋体" w:hint="eastAsia"/>
          <w:color w:val="000000" w:themeColor="text1"/>
          <w:sz w:val="24"/>
          <w:szCs w:val="22"/>
        </w:rPr>
        <w:t>②</w:t>
      </w:r>
      <w:r>
        <w:rPr>
          <w:rFonts w:cs="Times New Roman"/>
          <w:color w:val="000000" w:themeColor="text1"/>
          <w:sz w:val="24"/>
          <w:szCs w:val="22"/>
        </w:rPr>
        <w:t>干式过滤器</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color w:val="000000" w:themeColor="text1"/>
          <w:sz w:val="24"/>
          <w:szCs w:val="22"/>
        </w:rPr>
        <w:t>干式过滤器其原理是通过材料纤维改变颗粒的惯性力方向从而将其从废气中分离出来，材料逐渐加密的多重纤维经增加撞击率，提高过滤效率。本项目拟选用三级空气过滤器，其主要包括不锈钢金属丝网过滤器、无纺布初效过滤器和</w:t>
      </w:r>
      <w:r>
        <w:rPr>
          <w:rFonts w:cs="Times New Roman"/>
          <w:color w:val="000000" w:themeColor="text1"/>
          <w:sz w:val="24"/>
          <w:szCs w:val="22"/>
        </w:rPr>
        <w:t>F6</w:t>
      </w:r>
      <w:r>
        <w:rPr>
          <w:rFonts w:cs="Times New Roman"/>
          <w:color w:val="000000" w:themeColor="text1"/>
          <w:sz w:val="24"/>
          <w:szCs w:val="22"/>
        </w:rPr>
        <w:t>中效过滤器，废气经过三级过滤后，可有效</w:t>
      </w:r>
      <w:r>
        <w:rPr>
          <w:rFonts w:cs="Times New Roman" w:hint="eastAsia"/>
          <w:color w:val="000000" w:themeColor="text1"/>
          <w:sz w:val="24"/>
          <w:szCs w:val="22"/>
        </w:rPr>
        <w:t>地</w:t>
      </w:r>
      <w:r>
        <w:rPr>
          <w:rFonts w:cs="Times New Roman"/>
          <w:color w:val="000000" w:themeColor="text1"/>
          <w:sz w:val="24"/>
          <w:szCs w:val="22"/>
        </w:rPr>
        <w:t>防止废气中少量油雾颗粒</w:t>
      </w:r>
      <w:r>
        <w:rPr>
          <w:rFonts w:cs="Times New Roman" w:hint="eastAsia"/>
          <w:color w:val="000000" w:themeColor="text1"/>
          <w:sz w:val="24"/>
          <w:szCs w:val="22"/>
        </w:rPr>
        <w:t>进入</w:t>
      </w:r>
      <w:r>
        <w:rPr>
          <w:rFonts w:cs="Times New Roman"/>
          <w:color w:val="000000" w:themeColor="text1"/>
          <w:sz w:val="24"/>
          <w:szCs w:val="22"/>
        </w:rPr>
        <w:t>高温氧化系统，亦可去除废气中携带的少量的水分，提高废气处理设施的安全性。</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sidRPr="00A50D68">
        <w:rPr>
          <w:rFonts w:cs="Times New Roman"/>
          <w:color w:val="FF0000"/>
          <w:sz w:val="24"/>
          <w:szCs w:val="22"/>
        </w:rPr>
        <w:t>根据设计资料本项目</w:t>
      </w:r>
      <w:r w:rsidRPr="00A50D68">
        <w:rPr>
          <w:rFonts w:cs="Times New Roman" w:hint="eastAsia"/>
          <w:color w:val="FF0000"/>
          <w:sz w:val="24"/>
          <w:szCs w:val="22"/>
        </w:rPr>
        <w:t>干式</w:t>
      </w:r>
      <w:r w:rsidRPr="00A50D68">
        <w:rPr>
          <w:rFonts w:cs="Times New Roman"/>
          <w:color w:val="FF0000"/>
          <w:sz w:val="24"/>
          <w:szCs w:val="22"/>
        </w:rPr>
        <w:t>过滤器定期</w:t>
      </w:r>
      <w:r w:rsidRPr="00A50D68">
        <w:rPr>
          <w:rFonts w:cs="Times New Roman" w:hint="eastAsia"/>
          <w:color w:val="FF0000"/>
          <w:sz w:val="24"/>
          <w:szCs w:val="22"/>
        </w:rPr>
        <w:t>地</w:t>
      </w:r>
      <w:r w:rsidRPr="00A50D68">
        <w:rPr>
          <w:rFonts w:cs="Times New Roman"/>
          <w:color w:val="FF0000"/>
          <w:sz w:val="24"/>
          <w:szCs w:val="22"/>
        </w:rPr>
        <w:t>维护，一年更换一次</w:t>
      </w:r>
      <w:r>
        <w:rPr>
          <w:rFonts w:cs="Times New Roman"/>
          <w:color w:val="000000" w:themeColor="text1"/>
          <w:sz w:val="24"/>
          <w:szCs w:val="22"/>
        </w:rPr>
        <w:t>。</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ascii="宋体" w:hAnsi="宋体" w:cs="宋体" w:hint="eastAsia"/>
          <w:color w:val="000000" w:themeColor="text1"/>
          <w:sz w:val="24"/>
          <w:szCs w:val="22"/>
        </w:rPr>
        <w:t>③</w:t>
      </w:r>
      <w:r>
        <w:rPr>
          <w:rFonts w:cs="Times New Roman"/>
          <w:color w:val="000000" w:themeColor="text1"/>
          <w:sz w:val="24"/>
          <w:szCs w:val="22"/>
        </w:rPr>
        <w:t>高温热氧化炉</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color w:val="000000" w:themeColor="text1"/>
          <w:sz w:val="24"/>
          <w:szCs w:val="22"/>
        </w:rPr>
        <w:lastRenderedPageBreak/>
        <w:t>过滤后的有机废气进入</w:t>
      </w:r>
      <w:r>
        <w:rPr>
          <w:rFonts w:cs="Times New Roman"/>
          <w:color w:val="000000" w:themeColor="text1"/>
          <w:sz w:val="24"/>
          <w:szCs w:val="22"/>
        </w:rPr>
        <w:t>TO</w:t>
      </w:r>
      <w:r>
        <w:rPr>
          <w:rFonts w:cs="Times New Roman"/>
          <w:color w:val="000000" w:themeColor="text1"/>
          <w:sz w:val="24"/>
          <w:szCs w:val="22"/>
        </w:rPr>
        <w:t>进行氧化分解。高温热氧化炉（</w:t>
      </w:r>
      <w:r>
        <w:rPr>
          <w:rFonts w:cs="Times New Roman"/>
          <w:color w:val="000000" w:themeColor="text1"/>
          <w:sz w:val="24"/>
          <w:szCs w:val="22"/>
        </w:rPr>
        <w:t>TO</w:t>
      </w:r>
      <w:r>
        <w:rPr>
          <w:rFonts w:cs="Times New Roman"/>
          <w:color w:val="000000" w:themeColor="text1"/>
          <w:sz w:val="24"/>
          <w:szCs w:val="22"/>
        </w:rPr>
        <w:t>）工作原理为：利用电加热预热升温系统，将需要的处理的废气事先进行预热，预热后的气体进入氧化室，经高温被氧化分解成二氧化碳和水，由于废气在进入氧化室前经过高温烟气换热，因此节约了升温所需的大量能源。氧化室有两个作用：一是保证废气能达到设定的氧化温度，二是保证有足够的停留时间使废气中的有机物被充分氧化分解，确保净化效果。</w:t>
      </w:r>
      <w:r w:rsidRPr="00A50D68">
        <w:rPr>
          <w:rFonts w:cs="Times New Roman"/>
          <w:color w:val="FF0000"/>
          <w:sz w:val="24"/>
          <w:szCs w:val="22"/>
        </w:rPr>
        <w:t>TO</w:t>
      </w:r>
      <w:r w:rsidRPr="00A50D68">
        <w:rPr>
          <w:rFonts w:cs="Times New Roman"/>
          <w:color w:val="FF0000"/>
          <w:sz w:val="24"/>
          <w:szCs w:val="22"/>
        </w:rPr>
        <w:t>炉通过有机废气的氧化分解持续供热，炉内温度控制在</w:t>
      </w:r>
      <w:r w:rsidR="00A50D68" w:rsidRPr="00A50D68">
        <w:rPr>
          <w:rFonts w:cs="Times New Roman"/>
          <w:color w:val="FF0000"/>
          <w:sz w:val="24"/>
          <w:szCs w:val="22"/>
        </w:rPr>
        <w:t>700</w:t>
      </w:r>
      <w:r w:rsidRPr="00A50D68">
        <w:rPr>
          <w:rFonts w:ascii="宋体" w:hAnsi="宋体" w:cs="宋体" w:hint="eastAsia"/>
          <w:color w:val="FF0000"/>
          <w:sz w:val="24"/>
          <w:szCs w:val="22"/>
        </w:rPr>
        <w:t>℃</w:t>
      </w:r>
      <w:r w:rsidRPr="00A50D68">
        <w:rPr>
          <w:rFonts w:cs="Times New Roman"/>
          <w:color w:val="FF0000"/>
          <w:sz w:val="24"/>
          <w:szCs w:val="22"/>
        </w:rPr>
        <w:t>左右，</w:t>
      </w:r>
      <w:r w:rsidR="00A50D68" w:rsidRPr="00A50D68">
        <w:rPr>
          <w:rFonts w:cs="Times New Roman" w:hint="eastAsia"/>
          <w:color w:val="FF0000"/>
          <w:sz w:val="24"/>
          <w:szCs w:val="22"/>
        </w:rPr>
        <w:t>热力型氮氧化物主要是氮在高温</w:t>
      </w:r>
      <w:r w:rsidR="00A50D68" w:rsidRPr="00A50D68">
        <w:rPr>
          <w:rFonts w:cs="Times New Roman" w:hint="eastAsia"/>
          <w:color w:val="FF0000"/>
          <w:sz w:val="24"/>
          <w:szCs w:val="22"/>
        </w:rPr>
        <w:t>(1400</w:t>
      </w:r>
      <w:r w:rsidR="00A50D68" w:rsidRPr="00A50D68">
        <w:rPr>
          <w:rFonts w:cs="Times New Roman" w:hint="eastAsia"/>
          <w:color w:val="FF0000"/>
          <w:sz w:val="24"/>
          <w:szCs w:val="22"/>
        </w:rPr>
        <w:t>℃以上</w:t>
      </w:r>
      <w:r w:rsidR="00A50D68" w:rsidRPr="00A50D68">
        <w:rPr>
          <w:rFonts w:cs="Times New Roman" w:hint="eastAsia"/>
          <w:color w:val="FF0000"/>
          <w:sz w:val="24"/>
          <w:szCs w:val="22"/>
        </w:rPr>
        <w:t>)</w:t>
      </w:r>
      <w:r w:rsidR="00A50D68" w:rsidRPr="00A50D68">
        <w:rPr>
          <w:rFonts w:cs="Times New Roman" w:hint="eastAsia"/>
          <w:color w:val="FF0000"/>
          <w:sz w:val="24"/>
          <w:szCs w:val="22"/>
        </w:rPr>
        <w:t>下氧化产生，本项目温度为</w:t>
      </w:r>
      <w:r w:rsidR="00A50D68" w:rsidRPr="00A50D68">
        <w:rPr>
          <w:rFonts w:cs="Times New Roman" w:hint="eastAsia"/>
          <w:color w:val="FF0000"/>
          <w:sz w:val="24"/>
          <w:szCs w:val="22"/>
        </w:rPr>
        <w:t>600~800</w:t>
      </w:r>
      <w:r w:rsidR="00A50D68" w:rsidRPr="00A50D68">
        <w:rPr>
          <w:rFonts w:cs="Times New Roman" w:hint="eastAsia"/>
          <w:color w:val="FF0000"/>
          <w:sz w:val="24"/>
          <w:szCs w:val="22"/>
        </w:rPr>
        <w:t>℃，无热力型氮氧化物产生；</w:t>
      </w:r>
      <w:r w:rsidRPr="00A50D68">
        <w:rPr>
          <w:rFonts w:cs="Times New Roman"/>
          <w:color w:val="FF0000"/>
          <w:sz w:val="24"/>
          <w:szCs w:val="22"/>
        </w:rPr>
        <w:t>废气进出口温差控制在</w:t>
      </w:r>
      <w:r w:rsidRPr="00A50D68">
        <w:rPr>
          <w:rFonts w:cs="Times New Roman"/>
          <w:color w:val="FF0000"/>
          <w:sz w:val="24"/>
          <w:szCs w:val="22"/>
        </w:rPr>
        <w:t>300</w:t>
      </w:r>
      <w:r w:rsidRPr="00A50D68">
        <w:rPr>
          <w:rFonts w:ascii="宋体" w:hAnsi="宋体" w:cs="宋体" w:hint="eastAsia"/>
          <w:color w:val="FF0000"/>
          <w:sz w:val="24"/>
          <w:szCs w:val="22"/>
        </w:rPr>
        <w:t>℃</w:t>
      </w:r>
      <w:r w:rsidRPr="00A50D68">
        <w:rPr>
          <w:rFonts w:cs="Times New Roman"/>
          <w:color w:val="FF0000"/>
          <w:sz w:val="24"/>
          <w:szCs w:val="22"/>
        </w:rPr>
        <w:t>以内，</w:t>
      </w:r>
      <w:r w:rsidRPr="00A50D68">
        <w:rPr>
          <w:rFonts w:cs="Times New Roman"/>
          <w:color w:val="FF0000"/>
          <w:sz w:val="24"/>
          <w:szCs w:val="22"/>
        </w:rPr>
        <w:t>VOC</w:t>
      </w:r>
      <w:r w:rsidRPr="00A50D68">
        <w:rPr>
          <w:rFonts w:cs="Times New Roman"/>
          <w:color w:val="FF0000"/>
          <w:sz w:val="24"/>
          <w:szCs w:val="22"/>
        </w:rPr>
        <w:t>分解率达</w:t>
      </w:r>
      <w:r w:rsidRPr="00A50D68">
        <w:rPr>
          <w:rFonts w:cs="Times New Roman" w:hint="eastAsia"/>
          <w:color w:val="FF0000"/>
          <w:sz w:val="24"/>
          <w:szCs w:val="22"/>
        </w:rPr>
        <w:t>70</w:t>
      </w:r>
      <w:r w:rsidRPr="00A50D68">
        <w:rPr>
          <w:rFonts w:cs="Times New Roman"/>
          <w:color w:val="FF0000"/>
          <w:sz w:val="24"/>
          <w:szCs w:val="22"/>
        </w:rPr>
        <w:t>%</w:t>
      </w:r>
      <w:r w:rsidRPr="00A50D68">
        <w:rPr>
          <w:rFonts w:cs="Times New Roman"/>
          <w:color w:val="FF0000"/>
          <w:sz w:val="24"/>
          <w:szCs w:val="22"/>
        </w:rPr>
        <w:t>以上，在此过程中废气中携带的极少量的硫化氢不参与反应。</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color w:val="000000" w:themeColor="text1"/>
          <w:sz w:val="24"/>
          <w:szCs w:val="22"/>
        </w:rPr>
        <w:t>（</w:t>
      </w:r>
      <w:r>
        <w:rPr>
          <w:rFonts w:cs="Times New Roman"/>
          <w:color w:val="000000" w:themeColor="text1"/>
          <w:sz w:val="24"/>
          <w:szCs w:val="22"/>
        </w:rPr>
        <w:t>2</w:t>
      </w:r>
      <w:r>
        <w:rPr>
          <w:rFonts w:cs="Times New Roman"/>
          <w:color w:val="000000" w:themeColor="text1"/>
          <w:sz w:val="24"/>
          <w:szCs w:val="22"/>
        </w:rPr>
        <w:t>）污水处理单元</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color w:val="000000" w:themeColor="text1"/>
          <w:sz w:val="24"/>
          <w:szCs w:val="22"/>
        </w:rPr>
        <w:t>本项目废水主要为预处理产生的废水和蒸馏过程产生的冷凝水，以及包括生产设施的冲洗废水，冷却循环系统的定期排水等，污水处理单元采用</w:t>
      </w:r>
      <w:r>
        <w:rPr>
          <w:rFonts w:cs="Times New Roman" w:hint="eastAsia"/>
          <w:color w:val="000000" w:themeColor="text1"/>
          <w:sz w:val="24"/>
          <w:szCs w:val="22"/>
        </w:rPr>
        <w:t>“</w:t>
      </w:r>
      <w:r>
        <w:rPr>
          <w:rFonts w:cs="Times New Roman"/>
          <w:color w:val="000000" w:themeColor="text1"/>
          <w:sz w:val="24"/>
          <w:szCs w:val="22"/>
        </w:rPr>
        <w:t>预处理（电解气浮）</w:t>
      </w:r>
      <w:r>
        <w:rPr>
          <w:rFonts w:cs="Times New Roman"/>
          <w:color w:val="000000" w:themeColor="text1"/>
          <w:sz w:val="24"/>
          <w:szCs w:val="22"/>
        </w:rPr>
        <w:t>+</w:t>
      </w:r>
      <w:r>
        <w:rPr>
          <w:rFonts w:cs="Times New Roman"/>
          <w:color w:val="000000" w:themeColor="text1"/>
          <w:sz w:val="24"/>
          <w:szCs w:val="22"/>
        </w:rPr>
        <w:t>生化处理</w:t>
      </w:r>
      <w:r>
        <w:rPr>
          <w:rFonts w:cs="Times New Roman"/>
          <w:color w:val="000000" w:themeColor="text1"/>
          <w:sz w:val="24"/>
          <w:szCs w:val="22"/>
        </w:rPr>
        <w:t>A2O</w:t>
      </w:r>
      <w:r>
        <w:rPr>
          <w:rFonts w:cs="Times New Roman"/>
          <w:color w:val="000000" w:themeColor="text1"/>
          <w:sz w:val="24"/>
          <w:szCs w:val="22"/>
        </w:rPr>
        <w:t>（厌氧</w:t>
      </w:r>
      <w:r>
        <w:rPr>
          <w:rFonts w:cs="Times New Roman"/>
          <w:color w:val="000000" w:themeColor="text1"/>
          <w:sz w:val="24"/>
          <w:szCs w:val="22"/>
        </w:rPr>
        <w:t>/</w:t>
      </w:r>
      <w:r>
        <w:rPr>
          <w:rFonts w:cs="Times New Roman"/>
          <w:color w:val="000000" w:themeColor="text1"/>
          <w:sz w:val="24"/>
          <w:szCs w:val="22"/>
        </w:rPr>
        <w:t>缺氧</w:t>
      </w:r>
      <w:r>
        <w:rPr>
          <w:rFonts w:cs="Times New Roman"/>
          <w:color w:val="000000" w:themeColor="text1"/>
          <w:sz w:val="24"/>
          <w:szCs w:val="22"/>
        </w:rPr>
        <w:t>/</w:t>
      </w:r>
      <w:r>
        <w:rPr>
          <w:rFonts w:cs="Times New Roman"/>
          <w:color w:val="000000" w:themeColor="text1"/>
          <w:sz w:val="24"/>
          <w:szCs w:val="22"/>
        </w:rPr>
        <w:t>好氧法）</w:t>
      </w:r>
      <w:r>
        <w:rPr>
          <w:rFonts w:cs="Times New Roman" w:hint="eastAsia"/>
          <w:color w:val="000000" w:themeColor="text1"/>
          <w:sz w:val="24"/>
          <w:szCs w:val="22"/>
        </w:rPr>
        <w:t>”</w:t>
      </w:r>
      <w:r>
        <w:rPr>
          <w:rFonts w:cs="Times New Roman"/>
          <w:color w:val="000000" w:themeColor="text1"/>
          <w:sz w:val="24"/>
          <w:szCs w:val="22"/>
        </w:rPr>
        <w:t>相结合的污水处理工艺。</w:t>
      </w:r>
    </w:p>
    <w:p w:rsidR="00644456" w:rsidRDefault="008031C4">
      <w:pPr>
        <w:pStyle w:val="32"/>
        <w:adjustRightInd w:val="0"/>
        <w:snapToGrid w:val="0"/>
        <w:spacing w:after="0" w:line="348" w:lineRule="auto"/>
        <w:ind w:firstLineChars="200" w:firstLine="320"/>
      </w:pPr>
      <w:r>
        <w:rPr>
          <w:noProof/>
        </w:rPr>
        <w:drawing>
          <wp:inline distT="0" distB="0" distL="114300" distR="114300" wp14:anchorId="6B5196CA" wp14:editId="3412AA43">
            <wp:extent cx="5727700" cy="2209165"/>
            <wp:effectExtent l="0" t="0" r="6350" b="63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25"/>
                    <a:stretch>
                      <a:fillRect/>
                    </a:stretch>
                  </pic:blipFill>
                  <pic:spPr>
                    <a:xfrm>
                      <a:off x="0" y="0"/>
                      <a:ext cx="5727700" cy="2209165"/>
                    </a:xfrm>
                    <a:prstGeom prst="rect">
                      <a:avLst/>
                    </a:prstGeom>
                    <a:noFill/>
                    <a:ln>
                      <a:noFill/>
                    </a:ln>
                  </pic:spPr>
                </pic:pic>
              </a:graphicData>
            </a:graphic>
          </wp:inline>
        </w:drawing>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图</w:t>
      </w:r>
      <w:r>
        <w:rPr>
          <w:rFonts w:ascii="Times New Roman" w:eastAsia="宋体" w:hAnsi="Times New Roman" w:cs="Times New Roman" w:hint="eastAsia"/>
          <w:b/>
          <w:color w:val="000000" w:themeColor="text1"/>
          <w:sz w:val="24"/>
        </w:rPr>
        <w:t>2.4-3</w:t>
      </w:r>
      <w:r>
        <w:rPr>
          <w:rFonts w:ascii="Times New Roman" w:eastAsia="宋体" w:hAnsi="Times New Roman" w:cs="Times New Roman" w:hint="eastAsia"/>
          <w:b/>
          <w:color w:val="000000" w:themeColor="text1"/>
          <w:sz w:val="24"/>
        </w:rPr>
        <w:t>废水处理工艺流程图</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①电解气浮</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电解气浮机直接将含有电解质的污水作为电解介质通入直流电进行电解，同时发生电解氧化、电解混凝和电解气浮三种效应，大量的微小气泡将废水中的细小颗粒及浮油黏附，并上升带至水面，通过减速机带动刮渣板，把浮渣刮入浮渣槽。</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②生物处理</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电解气浮出水进入生物处理一体化设备，首先进入水解酸化池（厌氧池），其工作原理是将厌氧过程控制在水解酸化阶段，利用其中兼性的水解产酸菌将大分子有机物水解转化为小分子有机物，降低污染程度和污染物的复杂程度，提高后续好氧处理效率。厌氧池出水进入缺氧池，通过缺氧</w:t>
      </w:r>
      <w:r>
        <w:rPr>
          <w:rFonts w:cs="Times New Roman" w:hint="eastAsia"/>
          <w:color w:val="000000" w:themeColor="text1"/>
          <w:sz w:val="24"/>
          <w:szCs w:val="22"/>
        </w:rPr>
        <w:t>+</w:t>
      </w:r>
      <w:r>
        <w:rPr>
          <w:rFonts w:cs="Times New Roman" w:hint="eastAsia"/>
          <w:color w:val="000000" w:themeColor="text1"/>
          <w:sz w:val="24"/>
          <w:szCs w:val="22"/>
        </w:rPr>
        <w:t>硝化液回流实现反硝化，有效去除氨氮及总氮，同</w:t>
      </w:r>
      <w:r>
        <w:rPr>
          <w:rFonts w:cs="Times New Roman" w:hint="eastAsia"/>
          <w:color w:val="000000" w:themeColor="text1"/>
          <w:sz w:val="24"/>
          <w:szCs w:val="22"/>
        </w:rPr>
        <w:lastRenderedPageBreak/>
        <w:t>步降解污染物；好氧池采用接触氧化工艺，内部悬挂高密度组合填料以便微生物挂膜，可有效提高微生物种类及数量，提高系统的处理能力，高效降解污染物去除氨氮，处理完成后的污水进入二沉池沉降，活性污泥回流，清水消毒后通过市政管网进入污水处理厂处理，浮油、浮渣返回三相分离单元。</w:t>
      </w:r>
    </w:p>
    <w:p w:rsidR="00644456" w:rsidRDefault="008031C4">
      <w:pPr>
        <w:pStyle w:val="32"/>
        <w:adjustRightInd w:val="0"/>
        <w:snapToGrid w:val="0"/>
        <w:spacing w:after="0" w:line="348" w:lineRule="auto"/>
        <w:ind w:firstLineChars="200" w:firstLine="482"/>
        <w:rPr>
          <w:rFonts w:cs="Times New Roman"/>
          <w:color w:val="000000" w:themeColor="text1"/>
          <w:sz w:val="24"/>
          <w:szCs w:val="22"/>
        </w:rPr>
      </w:pPr>
      <w:r>
        <w:rPr>
          <w:rFonts w:cs="Times New Roman" w:hint="eastAsia"/>
          <w:b/>
          <w:bCs/>
          <w:color w:val="000000" w:themeColor="text1"/>
          <w:sz w:val="24"/>
          <w:szCs w:val="22"/>
        </w:rPr>
        <w:t>产污：环保工程在运行过程中主要的污染物来自污水处理单元产生废气（氨、硫化氢为主要污染物）</w:t>
      </w:r>
      <w:r>
        <w:rPr>
          <w:rFonts w:cs="Times New Roman" w:hint="eastAsia"/>
          <w:b/>
          <w:bCs/>
          <w:color w:val="000000" w:themeColor="text1"/>
          <w:sz w:val="24"/>
          <w:szCs w:val="22"/>
        </w:rPr>
        <w:t>G</w:t>
      </w:r>
      <w:r>
        <w:rPr>
          <w:rFonts w:cs="Times New Roman" w:hint="eastAsia"/>
          <w:b/>
          <w:bCs/>
          <w:color w:val="000000" w:themeColor="text1"/>
          <w:sz w:val="24"/>
          <w:szCs w:val="22"/>
        </w:rPr>
        <w:t>、污水处理设施的浮渣、浮油及污泥通过管线泵回三相分离单元再次分离后，油相进入生产系统，废水进入污水处理系统，固相进入危险废物暂存区。</w:t>
      </w:r>
    </w:p>
    <w:p w:rsidR="00644456" w:rsidRDefault="008031C4">
      <w:pPr>
        <w:pStyle w:val="3"/>
        <w:numPr>
          <w:ilvl w:val="2"/>
          <w:numId w:val="0"/>
        </w:numPr>
        <w:ind w:firstLineChars="200" w:firstLine="482"/>
      </w:pPr>
      <w:r>
        <w:rPr>
          <w:rFonts w:hint="eastAsia"/>
        </w:rPr>
        <w:t>2.4.3</w:t>
      </w:r>
      <w:r>
        <w:rPr>
          <w:rFonts w:hint="eastAsia"/>
        </w:rPr>
        <w:t>项目污染因素分析</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1</w:t>
      </w:r>
      <w:r>
        <w:rPr>
          <w:rFonts w:cs="Times New Roman" w:hint="eastAsia"/>
          <w:color w:val="000000" w:themeColor="text1"/>
          <w:sz w:val="24"/>
          <w:szCs w:val="22"/>
        </w:rPr>
        <w:t>、施工期污染因素分析</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项目施工期污染因素主要为施工人员生活污水、施工扬尘、施工噪声、废渣、废包装材料等。</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2</w:t>
      </w:r>
      <w:r>
        <w:rPr>
          <w:rFonts w:cs="Times New Roman" w:hint="eastAsia"/>
          <w:color w:val="000000" w:themeColor="text1"/>
          <w:sz w:val="24"/>
          <w:szCs w:val="22"/>
        </w:rPr>
        <w:t>、运营期污染因素分析</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项目营运期的污染物类型和主要因子见表</w:t>
      </w:r>
      <w:r>
        <w:rPr>
          <w:rFonts w:cs="Times New Roman" w:hint="eastAsia"/>
          <w:color w:val="000000" w:themeColor="text1"/>
          <w:sz w:val="24"/>
          <w:szCs w:val="22"/>
        </w:rPr>
        <w:t>2.4-2</w:t>
      </w:r>
      <w:r>
        <w:rPr>
          <w:rFonts w:cs="Times New Roman" w:hint="eastAsia"/>
          <w:color w:val="000000" w:themeColor="text1"/>
          <w:sz w:val="24"/>
          <w:szCs w:val="22"/>
        </w:rPr>
        <w:t>。</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2.4-2</w:t>
      </w:r>
      <w:r>
        <w:rPr>
          <w:rFonts w:ascii="Times New Roman" w:eastAsia="宋体" w:hAnsi="Times New Roman" w:cs="Times New Roman" w:hint="eastAsia"/>
          <w:b/>
          <w:color w:val="000000" w:themeColor="text1"/>
          <w:sz w:val="24"/>
        </w:rPr>
        <w:t>项目污染物类型以及主要污染因子一览表</w:t>
      </w:r>
    </w:p>
    <w:tbl>
      <w:tblPr>
        <w:tblStyle w:val="afff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413"/>
        <w:gridCol w:w="850"/>
        <w:gridCol w:w="3239"/>
        <w:gridCol w:w="3513"/>
      </w:tblGrid>
      <w:tr w:rsidR="00644456">
        <w:tc>
          <w:tcPr>
            <w:tcW w:w="1413"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污染源类型</w:t>
            </w:r>
          </w:p>
        </w:tc>
        <w:tc>
          <w:tcPr>
            <w:tcW w:w="850"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阶段</w:t>
            </w:r>
          </w:p>
        </w:tc>
        <w:tc>
          <w:tcPr>
            <w:tcW w:w="3239"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污染源</w:t>
            </w:r>
          </w:p>
        </w:tc>
        <w:tc>
          <w:tcPr>
            <w:tcW w:w="3513"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主要污染因子</w:t>
            </w:r>
          </w:p>
        </w:tc>
      </w:tr>
      <w:tr w:rsidR="00644456">
        <w:tc>
          <w:tcPr>
            <w:tcW w:w="1413"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废水</w:t>
            </w:r>
          </w:p>
        </w:tc>
        <w:tc>
          <w:tcPr>
            <w:tcW w:w="850" w:type="dxa"/>
            <w:vMerge w:val="restart"/>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施工期</w:t>
            </w:r>
          </w:p>
        </w:tc>
        <w:tc>
          <w:tcPr>
            <w:tcW w:w="3239"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施工污水、生活污水</w:t>
            </w:r>
          </w:p>
        </w:tc>
        <w:tc>
          <w:tcPr>
            <w:tcW w:w="3513"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pH</w:t>
            </w:r>
            <w:r>
              <w:rPr>
                <w:rFonts w:hint="eastAsia"/>
                <w:bCs/>
                <w:color w:val="000000" w:themeColor="text1"/>
                <w:szCs w:val="21"/>
              </w:rPr>
              <w:t>、</w:t>
            </w:r>
            <w:r>
              <w:rPr>
                <w:rFonts w:hint="eastAsia"/>
                <w:bCs/>
                <w:color w:val="000000" w:themeColor="text1"/>
                <w:szCs w:val="21"/>
              </w:rPr>
              <w:t>COD</w:t>
            </w:r>
            <w:r>
              <w:rPr>
                <w:rFonts w:hint="eastAsia"/>
                <w:bCs/>
                <w:color w:val="000000" w:themeColor="text1"/>
                <w:szCs w:val="21"/>
              </w:rPr>
              <w:t>、</w:t>
            </w:r>
            <w:r>
              <w:rPr>
                <w:rFonts w:hint="eastAsia"/>
                <w:bCs/>
                <w:color w:val="000000" w:themeColor="text1"/>
                <w:szCs w:val="21"/>
              </w:rPr>
              <w:t>SS</w:t>
            </w:r>
            <w:r>
              <w:rPr>
                <w:rFonts w:hint="eastAsia"/>
                <w:bCs/>
                <w:color w:val="000000" w:themeColor="text1"/>
                <w:szCs w:val="21"/>
              </w:rPr>
              <w:t>等</w:t>
            </w:r>
          </w:p>
        </w:tc>
      </w:tr>
      <w:tr w:rsidR="00644456">
        <w:tc>
          <w:tcPr>
            <w:tcW w:w="1413" w:type="dxa"/>
            <w:vMerge w:val="restart"/>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废气</w:t>
            </w: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装修废气</w:t>
            </w:r>
          </w:p>
        </w:tc>
        <w:tc>
          <w:tcPr>
            <w:tcW w:w="3513"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二甲苯、甲苯、甲醛、</w:t>
            </w:r>
            <w:r>
              <w:rPr>
                <w:rFonts w:hint="eastAsia"/>
                <w:bCs/>
                <w:color w:val="000000" w:themeColor="text1"/>
                <w:szCs w:val="21"/>
              </w:rPr>
              <w:t>TVOC</w:t>
            </w:r>
            <w:r>
              <w:rPr>
                <w:rFonts w:hint="eastAsia"/>
                <w:bCs/>
                <w:color w:val="000000" w:themeColor="text1"/>
                <w:szCs w:val="21"/>
              </w:rPr>
              <w:t>等</w:t>
            </w:r>
          </w:p>
        </w:tc>
      </w:tr>
      <w:tr w:rsidR="00644456">
        <w:tc>
          <w:tcPr>
            <w:tcW w:w="1413" w:type="dxa"/>
            <w:vMerge/>
            <w:vAlign w:val="center"/>
          </w:tcPr>
          <w:p w:rsidR="00644456" w:rsidRDefault="00644456">
            <w:pPr>
              <w:kinsoku w:val="0"/>
              <w:wordWrap w:val="0"/>
              <w:adjustRightInd w:val="0"/>
              <w:snapToGrid w:val="0"/>
              <w:jc w:val="center"/>
              <w:rPr>
                <w:bCs/>
                <w:color w:val="000000" w:themeColor="text1"/>
                <w:szCs w:val="21"/>
              </w:rPr>
            </w:pP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施工扬尘</w:t>
            </w:r>
          </w:p>
        </w:tc>
        <w:tc>
          <w:tcPr>
            <w:tcW w:w="3513"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T</w:t>
            </w:r>
            <w:r>
              <w:rPr>
                <w:bCs/>
                <w:color w:val="000000" w:themeColor="text1"/>
                <w:szCs w:val="21"/>
              </w:rPr>
              <w:t>SP</w:t>
            </w:r>
          </w:p>
        </w:tc>
      </w:tr>
      <w:tr w:rsidR="00644456">
        <w:tc>
          <w:tcPr>
            <w:tcW w:w="1413" w:type="dxa"/>
            <w:vMerge w:val="restart"/>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固体废物</w:t>
            </w: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建材垃圾和废包装材料</w:t>
            </w:r>
          </w:p>
        </w:tc>
        <w:tc>
          <w:tcPr>
            <w:tcW w:w="3513"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r>
      <w:tr w:rsidR="00644456">
        <w:tc>
          <w:tcPr>
            <w:tcW w:w="1413" w:type="dxa"/>
            <w:vMerge/>
            <w:vAlign w:val="center"/>
          </w:tcPr>
          <w:p w:rsidR="00644456" w:rsidRDefault="00644456">
            <w:pPr>
              <w:kinsoku w:val="0"/>
              <w:wordWrap w:val="0"/>
              <w:adjustRightInd w:val="0"/>
              <w:snapToGrid w:val="0"/>
              <w:jc w:val="center"/>
              <w:rPr>
                <w:bCs/>
                <w:color w:val="000000" w:themeColor="text1"/>
                <w:szCs w:val="21"/>
              </w:rPr>
            </w:pP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土石方</w:t>
            </w:r>
          </w:p>
        </w:tc>
        <w:tc>
          <w:tcPr>
            <w:tcW w:w="3513"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r>
      <w:tr w:rsidR="00644456">
        <w:tc>
          <w:tcPr>
            <w:tcW w:w="1413"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噪声</w:t>
            </w: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施工设备噪声</w:t>
            </w:r>
          </w:p>
        </w:tc>
        <w:tc>
          <w:tcPr>
            <w:tcW w:w="3513" w:type="dxa"/>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LAeq</w:t>
            </w:r>
          </w:p>
        </w:tc>
      </w:tr>
      <w:tr w:rsidR="00644456">
        <w:tc>
          <w:tcPr>
            <w:tcW w:w="1413" w:type="dxa"/>
            <w:vMerge w:val="restart"/>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废气</w:t>
            </w:r>
          </w:p>
        </w:tc>
        <w:tc>
          <w:tcPr>
            <w:tcW w:w="850" w:type="dxa"/>
            <w:vMerge w:val="restart"/>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营运期</w:t>
            </w:r>
          </w:p>
        </w:tc>
        <w:tc>
          <w:tcPr>
            <w:tcW w:w="3239" w:type="dxa"/>
            <w:vAlign w:val="center"/>
          </w:tcPr>
          <w:p w:rsidR="00644456" w:rsidRPr="00E53F77" w:rsidRDefault="008031C4">
            <w:pPr>
              <w:kinsoku w:val="0"/>
              <w:wordWrap w:val="0"/>
              <w:adjustRightInd w:val="0"/>
              <w:snapToGrid w:val="0"/>
              <w:jc w:val="center"/>
              <w:rPr>
                <w:bCs/>
                <w:color w:val="FF0000"/>
                <w:szCs w:val="21"/>
              </w:rPr>
            </w:pPr>
            <w:r w:rsidRPr="00E53F77">
              <w:rPr>
                <w:color w:val="FF0000"/>
                <w:szCs w:val="21"/>
              </w:rPr>
              <w:t>设备及储罐动静密封点</w:t>
            </w:r>
            <w:r w:rsidRPr="00E53F77">
              <w:rPr>
                <w:color w:val="FF0000"/>
                <w:szCs w:val="21"/>
              </w:rPr>
              <w:t>G</w:t>
            </w:r>
          </w:p>
        </w:tc>
        <w:tc>
          <w:tcPr>
            <w:tcW w:w="3513" w:type="dxa"/>
            <w:vAlign w:val="center"/>
          </w:tcPr>
          <w:p w:rsidR="00644456" w:rsidRPr="00E53F77" w:rsidRDefault="008031C4">
            <w:pPr>
              <w:kinsoku w:val="0"/>
              <w:wordWrap w:val="0"/>
              <w:adjustRightInd w:val="0"/>
              <w:snapToGrid w:val="0"/>
              <w:jc w:val="center"/>
              <w:rPr>
                <w:bCs/>
                <w:color w:val="FF0000"/>
                <w:szCs w:val="21"/>
              </w:rPr>
            </w:pPr>
            <w:r w:rsidRPr="00E53F77">
              <w:rPr>
                <w:color w:val="FF0000"/>
                <w:szCs w:val="21"/>
              </w:rPr>
              <w:t>非甲烷总烃</w:t>
            </w:r>
          </w:p>
        </w:tc>
      </w:tr>
      <w:tr w:rsidR="00644456">
        <w:tc>
          <w:tcPr>
            <w:tcW w:w="1413" w:type="dxa"/>
            <w:vMerge/>
            <w:vAlign w:val="center"/>
          </w:tcPr>
          <w:p w:rsidR="00644456" w:rsidRDefault="00644456">
            <w:pPr>
              <w:kinsoku w:val="0"/>
              <w:wordWrap w:val="0"/>
              <w:adjustRightInd w:val="0"/>
              <w:snapToGrid w:val="0"/>
              <w:jc w:val="center"/>
              <w:rPr>
                <w:bCs/>
                <w:color w:val="000000" w:themeColor="text1"/>
                <w:szCs w:val="21"/>
              </w:rPr>
            </w:pP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Pr="00E53F77" w:rsidRDefault="008031C4">
            <w:pPr>
              <w:kinsoku w:val="0"/>
              <w:wordWrap w:val="0"/>
              <w:adjustRightInd w:val="0"/>
              <w:snapToGrid w:val="0"/>
              <w:jc w:val="center"/>
              <w:rPr>
                <w:bCs/>
                <w:color w:val="FF0000"/>
                <w:szCs w:val="21"/>
              </w:rPr>
            </w:pPr>
            <w:r w:rsidRPr="00E53F77">
              <w:rPr>
                <w:color w:val="FF0000"/>
                <w:szCs w:val="21"/>
              </w:rPr>
              <w:t>1</w:t>
            </w:r>
            <w:r w:rsidRPr="00E53F77">
              <w:rPr>
                <w:color w:val="FF0000"/>
                <w:szCs w:val="21"/>
              </w:rPr>
              <w:t>号蒸馏器</w:t>
            </w:r>
            <w:r w:rsidRPr="00E53F77">
              <w:rPr>
                <w:color w:val="FF0000"/>
                <w:szCs w:val="21"/>
              </w:rPr>
              <w:t>G1</w:t>
            </w:r>
          </w:p>
        </w:tc>
        <w:tc>
          <w:tcPr>
            <w:tcW w:w="3513" w:type="dxa"/>
            <w:vMerge w:val="restart"/>
            <w:vAlign w:val="center"/>
          </w:tcPr>
          <w:p w:rsidR="00644456" w:rsidRPr="00E53F77" w:rsidRDefault="008031C4">
            <w:pPr>
              <w:kinsoku w:val="0"/>
              <w:wordWrap w:val="0"/>
              <w:adjustRightInd w:val="0"/>
              <w:snapToGrid w:val="0"/>
              <w:jc w:val="center"/>
              <w:rPr>
                <w:bCs/>
                <w:color w:val="FF0000"/>
                <w:szCs w:val="21"/>
              </w:rPr>
            </w:pPr>
            <w:r w:rsidRPr="00E53F77">
              <w:rPr>
                <w:rFonts w:hint="eastAsia"/>
                <w:bCs/>
                <w:color w:val="FF0000"/>
                <w:szCs w:val="21"/>
              </w:rPr>
              <w:t>非甲烷总烃、硫化氢</w:t>
            </w:r>
          </w:p>
        </w:tc>
      </w:tr>
      <w:tr w:rsidR="00644456">
        <w:tc>
          <w:tcPr>
            <w:tcW w:w="1413" w:type="dxa"/>
            <w:vMerge/>
            <w:vAlign w:val="center"/>
          </w:tcPr>
          <w:p w:rsidR="00644456" w:rsidRDefault="00644456">
            <w:pPr>
              <w:kinsoku w:val="0"/>
              <w:wordWrap w:val="0"/>
              <w:adjustRightInd w:val="0"/>
              <w:snapToGrid w:val="0"/>
              <w:jc w:val="center"/>
              <w:rPr>
                <w:bCs/>
                <w:color w:val="000000" w:themeColor="text1"/>
                <w:szCs w:val="21"/>
              </w:rPr>
            </w:pP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Pr="00E53F77" w:rsidRDefault="008031C4">
            <w:pPr>
              <w:kinsoku w:val="0"/>
              <w:wordWrap w:val="0"/>
              <w:adjustRightInd w:val="0"/>
              <w:snapToGrid w:val="0"/>
              <w:jc w:val="center"/>
              <w:rPr>
                <w:bCs/>
                <w:color w:val="FF0000"/>
                <w:szCs w:val="21"/>
              </w:rPr>
            </w:pPr>
            <w:r w:rsidRPr="00E53F77">
              <w:rPr>
                <w:color w:val="FF0000"/>
                <w:szCs w:val="21"/>
              </w:rPr>
              <w:t>2</w:t>
            </w:r>
            <w:r w:rsidRPr="00E53F77">
              <w:rPr>
                <w:color w:val="FF0000"/>
                <w:szCs w:val="21"/>
              </w:rPr>
              <w:t>号蒸馏器</w:t>
            </w:r>
            <w:r w:rsidRPr="00E53F77">
              <w:rPr>
                <w:color w:val="FF0000"/>
                <w:szCs w:val="21"/>
              </w:rPr>
              <w:t>G2</w:t>
            </w:r>
          </w:p>
        </w:tc>
        <w:tc>
          <w:tcPr>
            <w:tcW w:w="3513" w:type="dxa"/>
            <w:vMerge/>
            <w:vAlign w:val="center"/>
          </w:tcPr>
          <w:p w:rsidR="00644456" w:rsidRPr="00E53F77" w:rsidRDefault="00644456">
            <w:pPr>
              <w:kinsoku w:val="0"/>
              <w:wordWrap w:val="0"/>
              <w:adjustRightInd w:val="0"/>
              <w:snapToGrid w:val="0"/>
              <w:jc w:val="center"/>
              <w:rPr>
                <w:bCs/>
                <w:color w:val="FF0000"/>
                <w:szCs w:val="21"/>
              </w:rPr>
            </w:pPr>
          </w:p>
        </w:tc>
      </w:tr>
      <w:tr w:rsidR="00644456">
        <w:tc>
          <w:tcPr>
            <w:tcW w:w="1413" w:type="dxa"/>
            <w:vMerge/>
            <w:vAlign w:val="center"/>
          </w:tcPr>
          <w:p w:rsidR="00644456" w:rsidRDefault="00644456">
            <w:pPr>
              <w:kinsoku w:val="0"/>
              <w:wordWrap w:val="0"/>
              <w:adjustRightInd w:val="0"/>
              <w:snapToGrid w:val="0"/>
              <w:jc w:val="center"/>
              <w:rPr>
                <w:bCs/>
                <w:color w:val="000000" w:themeColor="text1"/>
                <w:szCs w:val="21"/>
              </w:rPr>
            </w:pP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Pr="00E53F77" w:rsidRDefault="008031C4">
            <w:pPr>
              <w:kinsoku w:val="0"/>
              <w:wordWrap w:val="0"/>
              <w:adjustRightInd w:val="0"/>
              <w:snapToGrid w:val="0"/>
              <w:jc w:val="center"/>
              <w:rPr>
                <w:bCs/>
                <w:color w:val="FF0000"/>
                <w:szCs w:val="21"/>
              </w:rPr>
            </w:pPr>
            <w:r w:rsidRPr="00E53F77">
              <w:rPr>
                <w:color w:val="FF0000"/>
                <w:szCs w:val="21"/>
              </w:rPr>
              <w:t>3</w:t>
            </w:r>
            <w:r w:rsidRPr="00E53F77">
              <w:rPr>
                <w:color w:val="FF0000"/>
                <w:szCs w:val="21"/>
              </w:rPr>
              <w:t>号蒸馏器</w:t>
            </w:r>
            <w:r w:rsidRPr="00E53F77">
              <w:rPr>
                <w:color w:val="FF0000"/>
                <w:szCs w:val="21"/>
              </w:rPr>
              <w:t>G3</w:t>
            </w:r>
          </w:p>
        </w:tc>
        <w:tc>
          <w:tcPr>
            <w:tcW w:w="3513" w:type="dxa"/>
            <w:vMerge/>
            <w:vAlign w:val="center"/>
          </w:tcPr>
          <w:p w:rsidR="00644456" w:rsidRPr="00E53F77" w:rsidRDefault="00644456">
            <w:pPr>
              <w:kinsoku w:val="0"/>
              <w:wordWrap w:val="0"/>
              <w:adjustRightInd w:val="0"/>
              <w:snapToGrid w:val="0"/>
              <w:jc w:val="center"/>
              <w:rPr>
                <w:bCs/>
                <w:color w:val="FF0000"/>
                <w:szCs w:val="21"/>
              </w:rPr>
            </w:pPr>
          </w:p>
        </w:tc>
      </w:tr>
      <w:tr w:rsidR="00644456">
        <w:tc>
          <w:tcPr>
            <w:tcW w:w="1413" w:type="dxa"/>
            <w:vMerge/>
            <w:vAlign w:val="center"/>
          </w:tcPr>
          <w:p w:rsidR="00644456" w:rsidRDefault="00644456">
            <w:pPr>
              <w:kinsoku w:val="0"/>
              <w:wordWrap w:val="0"/>
              <w:adjustRightInd w:val="0"/>
              <w:snapToGrid w:val="0"/>
              <w:jc w:val="center"/>
              <w:rPr>
                <w:bCs/>
                <w:color w:val="000000" w:themeColor="text1"/>
                <w:szCs w:val="21"/>
              </w:rPr>
            </w:pP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Pr="00E53F77" w:rsidRDefault="008031C4">
            <w:pPr>
              <w:kinsoku w:val="0"/>
              <w:wordWrap w:val="0"/>
              <w:adjustRightInd w:val="0"/>
              <w:snapToGrid w:val="0"/>
              <w:jc w:val="center"/>
              <w:rPr>
                <w:bCs/>
                <w:color w:val="FF0000"/>
                <w:szCs w:val="21"/>
              </w:rPr>
            </w:pPr>
            <w:r w:rsidRPr="00E53F77">
              <w:rPr>
                <w:color w:val="FF0000"/>
                <w:szCs w:val="21"/>
              </w:rPr>
              <w:t>精馏装置</w:t>
            </w:r>
            <w:r w:rsidRPr="00E53F77">
              <w:rPr>
                <w:color w:val="FF0000"/>
                <w:szCs w:val="21"/>
              </w:rPr>
              <w:t>G4</w:t>
            </w:r>
          </w:p>
        </w:tc>
        <w:tc>
          <w:tcPr>
            <w:tcW w:w="3513" w:type="dxa"/>
            <w:vAlign w:val="center"/>
          </w:tcPr>
          <w:p w:rsidR="00644456" w:rsidRPr="00E53F77" w:rsidRDefault="008031C4">
            <w:pPr>
              <w:kinsoku w:val="0"/>
              <w:wordWrap w:val="0"/>
              <w:adjustRightInd w:val="0"/>
              <w:snapToGrid w:val="0"/>
              <w:jc w:val="center"/>
              <w:rPr>
                <w:bCs/>
                <w:color w:val="FF0000"/>
                <w:szCs w:val="21"/>
              </w:rPr>
            </w:pPr>
            <w:r w:rsidRPr="00E53F77">
              <w:rPr>
                <w:color w:val="FF0000"/>
                <w:szCs w:val="21"/>
              </w:rPr>
              <w:t>非甲烷总烃</w:t>
            </w:r>
          </w:p>
        </w:tc>
      </w:tr>
      <w:tr w:rsidR="00644456">
        <w:tc>
          <w:tcPr>
            <w:tcW w:w="1413" w:type="dxa"/>
            <w:vMerge/>
            <w:vAlign w:val="center"/>
          </w:tcPr>
          <w:p w:rsidR="00644456" w:rsidRDefault="00644456">
            <w:pPr>
              <w:kinsoku w:val="0"/>
              <w:wordWrap w:val="0"/>
              <w:adjustRightInd w:val="0"/>
              <w:snapToGrid w:val="0"/>
              <w:jc w:val="center"/>
              <w:rPr>
                <w:bCs/>
                <w:color w:val="000000" w:themeColor="text1"/>
                <w:szCs w:val="21"/>
              </w:rPr>
            </w:pP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Pr="00E53F77" w:rsidRDefault="008031C4">
            <w:pPr>
              <w:kinsoku w:val="0"/>
              <w:wordWrap w:val="0"/>
              <w:adjustRightInd w:val="0"/>
              <w:snapToGrid w:val="0"/>
              <w:jc w:val="center"/>
              <w:rPr>
                <w:bCs/>
                <w:color w:val="FF0000"/>
                <w:szCs w:val="21"/>
              </w:rPr>
            </w:pPr>
            <w:r w:rsidRPr="00E53F77">
              <w:rPr>
                <w:color w:val="FF0000"/>
                <w:szCs w:val="21"/>
              </w:rPr>
              <w:t>溶剂回收塔</w:t>
            </w:r>
            <w:r w:rsidRPr="00E53F77">
              <w:rPr>
                <w:color w:val="FF0000"/>
                <w:szCs w:val="21"/>
              </w:rPr>
              <w:t>G5</w:t>
            </w:r>
          </w:p>
        </w:tc>
        <w:tc>
          <w:tcPr>
            <w:tcW w:w="3513" w:type="dxa"/>
            <w:vAlign w:val="center"/>
          </w:tcPr>
          <w:p w:rsidR="00644456" w:rsidRPr="00E53F77" w:rsidRDefault="008031C4">
            <w:pPr>
              <w:kinsoku w:val="0"/>
              <w:wordWrap w:val="0"/>
              <w:adjustRightInd w:val="0"/>
              <w:snapToGrid w:val="0"/>
              <w:jc w:val="center"/>
              <w:rPr>
                <w:bCs/>
                <w:color w:val="FF0000"/>
                <w:szCs w:val="21"/>
              </w:rPr>
            </w:pPr>
            <w:r w:rsidRPr="00E53F77">
              <w:rPr>
                <w:color w:val="FF0000"/>
                <w:szCs w:val="21"/>
              </w:rPr>
              <w:t>非甲烷总烃</w:t>
            </w:r>
          </w:p>
        </w:tc>
      </w:tr>
      <w:tr w:rsidR="006C6D84">
        <w:tc>
          <w:tcPr>
            <w:tcW w:w="1413" w:type="dxa"/>
            <w:vMerge/>
            <w:vAlign w:val="center"/>
          </w:tcPr>
          <w:p w:rsidR="006C6D84" w:rsidRDefault="006C6D84">
            <w:pPr>
              <w:kinsoku w:val="0"/>
              <w:wordWrap w:val="0"/>
              <w:adjustRightInd w:val="0"/>
              <w:snapToGrid w:val="0"/>
              <w:jc w:val="center"/>
              <w:rPr>
                <w:bCs/>
                <w:color w:val="000000" w:themeColor="text1"/>
                <w:szCs w:val="21"/>
              </w:rPr>
            </w:pPr>
          </w:p>
        </w:tc>
        <w:tc>
          <w:tcPr>
            <w:tcW w:w="850" w:type="dxa"/>
            <w:vMerge/>
            <w:vAlign w:val="center"/>
          </w:tcPr>
          <w:p w:rsidR="006C6D84" w:rsidRDefault="006C6D84">
            <w:pPr>
              <w:kinsoku w:val="0"/>
              <w:wordWrap w:val="0"/>
              <w:adjustRightInd w:val="0"/>
              <w:snapToGrid w:val="0"/>
              <w:jc w:val="center"/>
              <w:rPr>
                <w:bCs/>
                <w:color w:val="000000" w:themeColor="text1"/>
                <w:szCs w:val="21"/>
              </w:rPr>
            </w:pPr>
          </w:p>
        </w:tc>
        <w:tc>
          <w:tcPr>
            <w:tcW w:w="3239" w:type="dxa"/>
            <w:vAlign w:val="center"/>
          </w:tcPr>
          <w:p w:rsidR="006C6D84" w:rsidRPr="00E53F77" w:rsidRDefault="006C6D84">
            <w:pPr>
              <w:kinsoku w:val="0"/>
              <w:wordWrap w:val="0"/>
              <w:adjustRightInd w:val="0"/>
              <w:snapToGrid w:val="0"/>
              <w:jc w:val="center"/>
              <w:rPr>
                <w:color w:val="FF0000"/>
                <w:szCs w:val="21"/>
              </w:rPr>
            </w:pPr>
            <w:r w:rsidRPr="00E53F77">
              <w:rPr>
                <w:rFonts w:hint="eastAsia"/>
                <w:color w:val="FF0000"/>
                <w:szCs w:val="21"/>
              </w:rPr>
              <w:t>导热油锅炉废气</w:t>
            </w:r>
          </w:p>
        </w:tc>
        <w:tc>
          <w:tcPr>
            <w:tcW w:w="3513" w:type="dxa"/>
            <w:vAlign w:val="center"/>
          </w:tcPr>
          <w:p w:rsidR="006C6D84" w:rsidRPr="00E53F77" w:rsidRDefault="006C6D84">
            <w:pPr>
              <w:kinsoku w:val="0"/>
              <w:wordWrap w:val="0"/>
              <w:adjustRightInd w:val="0"/>
              <w:snapToGrid w:val="0"/>
              <w:jc w:val="center"/>
              <w:rPr>
                <w:color w:val="FF0000"/>
                <w:szCs w:val="21"/>
              </w:rPr>
            </w:pPr>
            <w:r w:rsidRPr="00E53F77">
              <w:rPr>
                <w:rFonts w:hint="eastAsia"/>
                <w:color w:val="FF0000"/>
                <w:szCs w:val="21"/>
              </w:rPr>
              <w:t>氮氧化物、二氧化硫、颗粒物</w:t>
            </w:r>
          </w:p>
        </w:tc>
      </w:tr>
      <w:tr w:rsidR="00644456">
        <w:tc>
          <w:tcPr>
            <w:tcW w:w="1413" w:type="dxa"/>
            <w:vMerge/>
            <w:vAlign w:val="center"/>
          </w:tcPr>
          <w:p w:rsidR="00644456" w:rsidRDefault="00644456">
            <w:pPr>
              <w:kinsoku w:val="0"/>
              <w:wordWrap w:val="0"/>
              <w:adjustRightInd w:val="0"/>
              <w:snapToGrid w:val="0"/>
              <w:jc w:val="center"/>
              <w:rPr>
                <w:bCs/>
                <w:color w:val="000000" w:themeColor="text1"/>
                <w:szCs w:val="21"/>
              </w:rPr>
            </w:pP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Pr="00E53F77" w:rsidRDefault="008031C4">
            <w:pPr>
              <w:kinsoku w:val="0"/>
              <w:wordWrap w:val="0"/>
              <w:adjustRightInd w:val="0"/>
              <w:snapToGrid w:val="0"/>
              <w:jc w:val="center"/>
              <w:rPr>
                <w:bCs/>
                <w:color w:val="FF0000"/>
                <w:szCs w:val="21"/>
              </w:rPr>
            </w:pPr>
            <w:r w:rsidRPr="00E53F77">
              <w:rPr>
                <w:color w:val="FF0000"/>
                <w:szCs w:val="21"/>
              </w:rPr>
              <w:t>储罐</w:t>
            </w:r>
            <w:r w:rsidR="006C6D84" w:rsidRPr="00E53F77">
              <w:rPr>
                <w:rFonts w:hint="eastAsia"/>
                <w:color w:val="FF0000"/>
                <w:szCs w:val="21"/>
              </w:rPr>
              <w:t>（废油、产品油）</w:t>
            </w:r>
            <w:r w:rsidRPr="00E53F77">
              <w:rPr>
                <w:color w:val="FF0000"/>
                <w:szCs w:val="21"/>
              </w:rPr>
              <w:t>G</w:t>
            </w:r>
          </w:p>
        </w:tc>
        <w:tc>
          <w:tcPr>
            <w:tcW w:w="3513" w:type="dxa"/>
            <w:vAlign w:val="center"/>
          </w:tcPr>
          <w:p w:rsidR="00644456" w:rsidRPr="00E53F77" w:rsidRDefault="008031C4">
            <w:pPr>
              <w:kinsoku w:val="0"/>
              <w:wordWrap w:val="0"/>
              <w:adjustRightInd w:val="0"/>
              <w:snapToGrid w:val="0"/>
              <w:jc w:val="center"/>
              <w:rPr>
                <w:bCs/>
                <w:color w:val="FF0000"/>
                <w:szCs w:val="21"/>
              </w:rPr>
            </w:pPr>
            <w:r w:rsidRPr="00E53F77">
              <w:rPr>
                <w:color w:val="FF0000"/>
                <w:szCs w:val="21"/>
              </w:rPr>
              <w:t>非甲烷总烃</w:t>
            </w:r>
          </w:p>
        </w:tc>
      </w:tr>
      <w:tr w:rsidR="00644456">
        <w:tc>
          <w:tcPr>
            <w:tcW w:w="1413" w:type="dxa"/>
            <w:vMerge/>
            <w:vAlign w:val="center"/>
          </w:tcPr>
          <w:p w:rsidR="00644456" w:rsidRDefault="00644456">
            <w:pPr>
              <w:kinsoku w:val="0"/>
              <w:wordWrap w:val="0"/>
              <w:adjustRightInd w:val="0"/>
              <w:snapToGrid w:val="0"/>
              <w:jc w:val="center"/>
              <w:rPr>
                <w:bCs/>
                <w:color w:val="000000" w:themeColor="text1"/>
                <w:szCs w:val="21"/>
              </w:rPr>
            </w:pP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Pr="00E53F77" w:rsidRDefault="008031C4">
            <w:pPr>
              <w:kinsoku w:val="0"/>
              <w:wordWrap w:val="0"/>
              <w:adjustRightInd w:val="0"/>
              <w:snapToGrid w:val="0"/>
              <w:jc w:val="center"/>
              <w:rPr>
                <w:color w:val="FF0000"/>
                <w:szCs w:val="21"/>
              </w:rPr>
            </w:pPr>
            <w:r w:rsidRPr="00E53F77">
              <w:rPr>
                <w:color w:val="FF0000"/>
                <w:szCs w:val="21"/>
              </w:rPr>
              <w:t>燃料油储罐</w:t>
            </w:r>
            <w:r w:rsidRPr="00E53F77">
              <w:rPr>
                <w:color w:val="FF0000"/>
                <w:szCs w:val="21"/>
              </w:rPr>
              <w:t>G</w:t>
            </w:r>
          </w:p>
        </w:tc>
        <w:tc>
          <w:tcPr>
            <w:tcW w:w="3513" w:type="dxa"/>
            <w:vAlign w:val="center"/>
          </w:tcPr>
          <w:p w:rsidR="00644456" w:rsidRPr="00E53F77" w:rsidRDefault="008031C4">
            <w:pPr>
              <w:kinsoku w:val="0"/>
              <w:wordWrap w:val="0"/>
              <w:adjustRightInd w:val="0"/>
              <w:snapToGrid w:val="0"/>
              <w:jc w:val="center"/>
              <w:rPr>
                <w:bCs/>
                <w:color w:val="FF0000"/>
                <w:szCs w:val="21"/>
              </w:rPr>
            </w:pPr>
            <w:r w:rsidRPr="00E53F77">
              <w:rPr>
                <w:color w:val="FF0000"/>
                <w:szCs w:val="21"/>
              </w:rPr>
              <w:t>非甲烷总烃</w:t>
            </w:r>
          </w:p>
        </w:tc>
      </w:tr>
      <w:tr w:rsidR="00644456">
        <w:tc>
          <w:tcPr>
            <w:tcW w:w="1413" w:type="dxa"/>
            <w:vMerge/>
            <w:vAlign w:val="center"/>
          </w:tcPr>
          <w:p w:rsidR="00644456" w:rsidRDefault="00644456">
            <w:pPr>
              <w:kinsoku w:val="0"/>
              <w:wordWrap w:val="0"/>
              <w:adjustRightInd w:val="0"/>
              <w:snapToGrid w:val="0"/>
              <w:jc w:val="center"/>
              <w:rPr>
                <w:bCs/>
                <w:color w:val="000000" w:themeColor="text1"/>
                <w:szCs w:val="21"/>
              </w:rPr>
            </w:pP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Pr="00E53F77" w:rsidRDefault="008031C4">
            <w:pPr>
              <w:kinsoku w:val="0"/>
              <w:wordWrap w:val="0"/>
              <w:adjustRightInd w:val="0"/>
              <w:snapToGrid w:val="0"/>
              <w:jc w:val="center"/>
              <w:rPr>
                <w:color w:val="FF0000"/>
                <w:szCs w:val="21"/>
              </w:rPr>
            </w:pPr>
            <w:r w:rsidRPr="00E53F77">
              <w:rPr>
                <w:color w:val="FF0000"/>
                <w:szCs w:val="21"/>
              </w:rPr>
              <w:t>废水处理单元</w:t>
            </w:r>
            <w:r w:rsidRPr="00E53F77">
              <w:rPr>
                <w:color w:val="FF0000"/>
                <w:szCs w:val="21"/>
              </w:rPr>
              <w:t>G</w:t>
            </w:r>
          </w:p>
        </w:tc>
        <w:tc>
          <w:tcPr>
            <w:tcW w:w="3513" w:type="dxa"/>
            <w:vAlign w:val="center"/>
          </w:tcPr>
          <w:p w:rsidR="00644456" w:rsidRPr="00E53F77" w:rsidRDefault="008031C4">
            <w:pPr>
              <w:kinsoku w:val="0"/>
              <w:wordWrap w:val="0"/>
              <w:adjustRightInd w:val="0"/>
              <w:snapToGrid w:val="0"/>
              <w:jc w:val="center"/>
              <w:rPr>
                <w:bCs/>
                <w:color w:val="FF0000"/>
                <w:szCs w:val="21"/>
              </w:rPr>
            </w:pPr>
            <w:r w:rsidRPr="00E53F77">
              <w:rPr>
                <w:color w:val="FF0000"/>
                <w:szCs w:val="21"/>
              </w:rPr>
              <w:t>氨、硫化氢</w:t>
            </w:r>
            <w:r w:rsidR="006C6D84" w:rsidRPr="00E53F77">
              <w:rPr>
                <w:rFonts w:hint="eastAsia"/>
                <w:color w:val="FF0000"/>
                <w:szCs w:val="21"/>
              </w:rPr>
              <w:t>、臭气浓度</w:t>
            </w:r>
          </w:p>
        </w:tc>
      </w:tr>
      <w:tr w:rsidR="00644456">
        <w:tc>
          <w:tcPr>
            <w:tcW w:w="1413" w:type="dxa"/>
            <w:vMerge w:val="restart"/>
            <w:vAlign w:val="center"/>
          </w:tcPr>
          <w:p w:rsidR="00644456" w:rsidRDefault="006C6D84">
            <w:pPr>
              <w:kinsoku w:val="0"/>
              <w:wordWrap w:val="0"/>
              <w:adjustRightInd w:val="0"/>
              <w:snapToGrid w:val="0"/>
              <w:jc w:val="center"/>
              <w:rPr>
                <w:bCs/>
                <w:color w:val="000000" w:themeColor="text1"/>
                <w:szCs w:val="21"/>
              </w:rPr>
            </w:pPr>
            <w:r>
              <w:rPr>
                <w:rFonts w:hint="eastAsia"/>
                <w:bCs/>
                <w:color w:val="000000" w:themeColor="text1"/>
                <w:szCs w:val="21"/>
              </w:rPr>
              <w:t>废水</w:t>
            </w: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Default="008031C4">
            <w:pPr>
              <w:kinsoku w:val="0"/>
              <w:wordWrap w:val="0"/>
              <w:adjustRightInd w:val="0"/>
              <w:snapToGrid w:val="0"/>
              <w:jc w:val="center"/>
              <w:rPr>
                <w:bCs/>
                <w:color w:val="000000" w:themeColor="text1"/>
                <w:szCs w:val="21"/>
              </w:rPr>
            </w:pPr>
            <w:r>
              <w:rPr>
                <w:color w:val="000000" w:themeColor="text1"/>
                <w:szCs w:val="21"/>
              </w:rPr>
              <w:t>预处理工段</w:t>
            </w:r>
          </w:p>
        </w:tc>
        <w:tc>
          <w:tcPr>
            <w:tcW w:w="3513" w:type="dxa"/>
            <w:vAlign w:val="center"/>
          </w:tcPr>
          <w:p w:rsidR="00644456" w:rsidRDefault="008031C4">
            <w:pPr>
              <w:kinsoku w:val="0"/>
              <w:wordWrap w:val="0"/>
              <w:adjustRightInd w:val="0"/>
              <w:snapToGrid w:val="0"/>
              <w:jc w:val="center"/>
              <w:rPr>
                <w:bCs/>
                <w:color w:val="000000" w:themeColor="text1"/>
                <w:szCs w:val="21"/>
              </w:rPr>
            </w:pPr>
            <w:r>
              <w:rPr>
                <w:color w:val="000000" w:themeColor="text1"/>
                <w:szCs w:val="21"/>
              </w:rPr>
              <w:t>pH</w:t>
            </w:r>
            <w:r>
              <w:rPr>
                <w:color w:val="000000" w:themeColor="text1"/>
                <w:szCs w:val="21"/>
              </w:rPr>
              <w:t>、</w:t>
            </w:r>
            <w:r>
              <w:rPr>
                <w:color w:val="000000" w:themeColor="text1"/>
                <w:szCs w:val="21"/>
              </w:rPr>
              <w:t>COD</w:t>
            </w:r>
            <w:r>
              <w:rPr>
                <w:color w:val="000000" w:themeColor="text1"/>
                <w:szCs w:val="21"/>
              </w:rPr>
              <w:t>、</w:t>
            </w:r>
            <w:r>
              <w:rPr>
                <w:color w:val="000000" w:themeColor="text1"/>
                <w:szCs w:val="21"/>
              </w:rPr>
              <w:t>NH</w:t>
            </w:r>
            <w:r>
              <w:rPr>
                <w:color w:val="000000" w:themeColor="text1"/>
                <w:szCs w:val="21"/>
                <w:vertAlign w:val="subscript"/>
              </w:rPr>
              <w:t>3</w:t>
            </w:r>
            <w:r>
              <w:rPr>
                <w:color w:val="000000" w:themeColor="text1"/>
                <w:szCs w:val="21"/>
              </w:rPr>
              <w:t>-N</w:t>
            </w:r>
            <w:r>
              <w:rPr>
                <w:color w:val="000000" w:themeColor="text1"/>
                <w:szCs w:val="21"/>
              </w:rPr>
              <w:t>、总氮、石油类、</w:t>
            </w:r>
            <w:r>
              <w:rPr>
                <w:color w:val="000000" w:themeColor="text1"/>
                <w:szCs w:val="21"/>
              </w:rPr>
              <w:t>BOD</w:t>
            </w:r>
            <w:r>
              <w:rPr>
                <w:color w:val="000000" w:themeColor="text1"/>
                <w:szCs w:val="21"/>
                <w:vertAlign w:val="subscript"/>
              </w:rPr>
              <w:t>5</w:t>
            </w:r>
            <w:r>
              <w:rPr>
                <w:color w:val="000000" w:themeColor="text1"/>
                <w:szCs w:val="21"/>
              </w:rPr>
              <w:t>、硫化物</w:t>
            </w:r>
          </w:p>
        </w:tc>
      </w:tr>
      <w:tr w:rsidR="00644456">
        <w:tc>
          <w:tcPr>
            <w:tcW w:w="1413" w:type="dxa"/>
            <w:vMerge/>
            <w:vAlign w:val="center"/>
          </w:tcPr>
          <w:p w:rsidR="00644456" w:rsidRDefault="00644456">
            <w:pPr>
              <w:kinsoku w:val="0"/>
              <w:wordWrap w:val="0"/>
              <w:adjustRightInd w:val="0"/>
              <w:snapToGrid w:val="0"/>
              <w:jc w:val="center"/>
              <w:rPr>
                <w:bCs/>
                <w:color w:val="000000" w:themeColor="text1"/>
                <w:szCs w:val="21"/>
              </w:rPr>
            </w:pP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Default="008031C4">
            <w:pPr>
              <w:kinsoku w:val="0"/>
              <w:wordWrap w:val="0"/>
              <w:adjustRightInd w:val="0"/>
              <w:snapToGrid w:val="0"/>
              <w:jc w:val="center"/>
              <w:rPr>
                <w:bCs/>
                <w:color w:val="000000" w:themeColor="text1"/>
                <w:szCs w:val="21"/>
              </w:rPr>
            </w:pPr>
            <w:r>
              <w:rPr>
                <w:color w:val="000000" w:themeColor="text1"/>
                <w:szCs w:val="21"/>
              </w:rPr>
              <w:t>蒸馏器</w:t>
            </w:r>
          </w:p>
        </w:tc>
        <w:tc>
          <w:tcPr>
            <w:tcW w:w="3513" w:type="dxa"/>
            <w:vAlign w:val="center"/>
          </w:tcPr>
          <w:p w:rsidR="00644456" w:rsidRDefault="008031C4">
            <w:pPr>
              <w:kinsoku w:val="0"/>
              <w:wordWrap w:val="0"/>
              <w:adjustRightInd w:val="0"/>
              <w:snapToGrid w:val="0"/>
              <w:jc w:val="center"/>
              <w:rPr>
                <w:bCs/>
                <w:color w:val="000000" w:themeColor="text1"/>
                <w:szCs w:val="21"/>
              </w:rPr>
            </w:pPr>
            <w:r>
              <w:rPr>
                <w:color w:val="000000" w:themeColor="text1"/>
                <w:szCs w:val="21"/>
              </w:rPr>
              <w:t>pH</w:t>
            </w:r>
            <w:r>
              <w:rPr>
                <w:color w:val="000000" w:themeColor="text1"/>
                <w:szCs w:val="21"/>
              </w:rPr>
              <w:t>、</w:t>
            </w:r>
            <w:r>
              <w:rPr>
                <w:color w:val="000000" w:themeColor="text1"/>
                <w:szCs w:val="21"/>
              </w:rPr>
              <w:t>COD</w:t>
            </w:r>
            <w:r>
              <w:rPr>
                <w:color w:val="000000" w:themeColor="text1"/>
                <w:szCs w:val="21"/>
              </w:rPr>
              <w:t>、</w:t>
            </w:r>
            <w:r>
              <w:rPr>
                <w:color w:val="000000" w:themeColor="text1"/>
                <w:szCs w:val="21"/>
              </w:rPr>
              <w:t>NH</w:t>
            </w:r>
            <w:r>
              <w:rPr>
                <w:color w:val="000000" w:themeColor="text1"/>
                <w:szCs w:val="21"/>
                <w:vertAlign w:val="subscript"/>
              </w:rPr>
              <w:t>3</w:t>
            </w:r>
            <w:r>
              <w:rPr>
                <w:color w:val="000000" w:themeColor="text1"/>
                <w:szCs w:val="21"/>
              </w:rPr>
              <w:t>-N</w:t>
            </w:r>
            <w:r>
              <w:rPr>
                <w:color w:val="000000" w:themeColor="text1"/>
                <w:szCs w:val="21"/>
              </w:rPr>
              <w:t>、总氮、石油类、</w:t>
            </w:r>
            <w:r>
              <w:rPr>
                <w:color w:val="000000" w:themeColor="text1"/>
                <w:szCs w:val="21"/>
              </w:rPr>
              <w:t>BOD</w:t>
            </w:r>
            <w:r>
              <w:rPr>
                <w:color w:val="000000" w:themeColor="text1"/>
                <w:szCs w:val="21"/>
                <w:vertAlign w:val="subscript"/>
              </w:rPr>
              <w:t>5</w:t>
            </w:r>
            <w:r>
              <w:rPr>
                <w:color w:val="000000" w:themeColor="text1"/>
                <w:szCs w:val="21"/>
              </w:rPr>
              <w:t>、硫化物</w:t>
            </w:r>
          </w:p>
        </w:tc>
      </w:tr>
      <w:tr w:rsidR="00644456">
        <w:tc>
          <w:tcPr>
            <w:tcW w:w="1413" w:type="dxa"/>
            <w:vMerge/>
            <w:vAlign w:val="center"/>
          </w:tcPr>
          <w:p w:rsidR="00644456" w:rsidRDefault="00644456">
            <w:pPr>
              <w:kinsoku w:val="0"/>
              <w:wordWrap w:val="0"/>
              <w:adjustRightInd w:val="0"/>
              <w:snapToGrid w:val="0"/>
              <w:jc w:val="center"/>
              <w:rPr>
                <w:bCs/>
                <w:color w:val="000000" w:themeColor="text1"/>
                <w:szCs w:val="21"/>
              </w:rPr>
            </w:pP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Default="008031C4">
            <w:pPr>
              <w:kinsoku w:val="0"/>
              <w:wordWrap w:val="0"/>
              <w:adjustRightInd w:val="0"/>
              <w:snapToGrid w:val="0"/>
              <w:jc w:val="center"/>
              <w:rPr>
                <w:bCs/>
                <w:color w:val="000000" w:themeColor="text1"/>
                <w:szCs w:val="21"/>
              </w:rPr>
            </w:pPr>
            <w:r>
              <w:rPr>
                <w:color w:val="000000" w:themeColor="text1"/>
                <w:szCs w:val="21"/>
              </w:rPr>
              <w:t>设施清洗水</w:t>
            </w:r>
          </w:p>
        </w:tc>
        <w:tc>
          <w:tcPr>
            <w:tcW w:w="3513" w:type="dxa"/>
            <w:vAlign w:val="center"/>
          </w:tcPr>
          <w:p w:rsidR="00644456" w:rsidRDefault="008031C4">
            <w:pPr>
              <w:kinsoku w:val="0"/>
              <w:wordWrap w:val="0"/>
              <w:adjustRightInd w:val="0"/>
              <w:snapToGrid w:val="0"/>
              <w:jc w:val="center"/>
              <w:rPr>
                <w:bCs/>
                <w:color w:val="000000" w:themeColor="text1"/>
                <w:szCs w:val="21"/>
              </w:rPr>
            </w:pPr>
            <w:r>
              <w:rPr>
                <w:color w:val="000000" w:themeColor="text1"/>
                <w:szCs w:val="21"/>
              </w:rPr>
              <w:t>pH</w:t>
            </w:r>
            <w:r>
              <w:rPr>
                <w:color w:val="000000" w:themeColor="text1"/>
                <w:szCs w:val="21"/>
              </w:rPr>
              <w:t>、</w:t>
            </w:r>
            <w:r>
              <w:rPr>
                <w:color w:val="000000" w:themeColor="text1"/>
                <w:szCs w:val="21"/>
              </w:rPr>
              <w:t>COD</w:t>
            </w:r>
            <w:r>
              <w:rPr>
                <w:color w:val="000000" w:themeColor="text1"/>
                <w:szCs w:val="21"/>
              </w:rPr>
              <w:t>、</w:t>
            </w:r>
            <w:r>
              <w:rPr>
                <w:color w:val="000000" w:themeColor="text1"/>
                <w:szCs w:val="21"/>
              </w:rPr>
              <w:t>NH</w:t>
            </w:r>
            <w:r>
              <w:rPr>
                <w:color w:val="000000" w:themeColor="text1"/>
                <w:szCs w:val="21"/>
                <w:vertAlign w:val="subscript"/>
              </w:rPr>
              <w:t>3</w:t>
            </w:r>
            <w:r>
              <w:rPr>
                <w:color w:val="000000" w:themeColor="text1"/>
                <w:szCs w:val="21"/>
              </w:rPr>
              <w:t>-N</w:t>
            </w:r>
            <w:r>
              <w:rPr>
                <w:color w:val="000000" w:themeColor="text1"/>
                <w:szCs w:val="21"/>
              </w:rPr>
              <w:t>、总氮、石油类、</w:t>
            </w:r>
            <w:r>
              <w:rPr>
                <w:color w:val="000000" w:themeColor="text1"/>
                <w:szCs w:val="21"/>
              </w:rPr>
              <w:t>BOD</w:t>
            </w:r>
            <w:r>
              <w:rPr>
                <w:color w:val="000000" w:themeColor="text1"/>
                <w:szCs w:val="21"/>
                <w:vertAlign w:val="subscript"/>
              </w:rPr>
              <w:t>5</w:t>
            </w:r>
            <w:r>
              <w:rPr>
                <w:color w:val="000000" w:themeColor="text1"/>
                <w:szCs w:val="21"/>
              </w:rPr>
              <w:t>、硫化物</w:t>
            </w:r>
          </w:p>
        </w:tc>
      </w:tr>
      <w:tr w:rsidR="00644456">
        <w:tc>
          <w:tcPr>
            <w:tcW w:w="1413" w:type="dxa"/>
            <w:vMerge/>
            <w:vAlign w:val="center"/>
          </w:tcPr>
          <w:p w:rsidR="00644456" w:rsidRDefault="00644456">
            <w:pPr>
              <w:kinsoku w:val="0"/>
              <w:wordWrap w:val="0"/>
              <w:adjustRightInd w:val="0"/>
              <w:snapToGrid w:val="0"/>
              <w:jc w:val="center"/>
              <w:rPr>
                <w:bCs/>
                <w:color w:val="000000" w:themeColor="text1"/>
                <w:szCs w:val="21"/>
              </w:rPr>
            </w:pP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Default="008031C4">
            <w:pPr>
              <w:kinsoku w:val="0"/>
              <w:wordWrap w:val="0"/>
              <w:adjustRightInd w:val="0"/>
              <w:snapToGrid w:val="0"/>
              <w:jc w:val="center"/>
              <w:rPr>
                <w:bCs/>
                <w:color w:val="000000" w:themeColor="text1"/>
                <w:szCs w:val="21"/>
              </w:rPr>
            </w:pPr>
            <w:r>
              <w:rPr>
                <w:color w:val="000000" w:themeColor="text1"/>
                <w:szCs w:val="21"/>
              </w:rPr>
              <w:t>冷却循环系统排水</w:t>
            </w:r>
          </w:p>
        </w:tc>
        <w:tc>
          <w:tcPr>
            <w:tcW w:w="3513" w:type="dxa"/>
            <w:vAlign w:val="center"/>
          </w:tcPr>
          <w:p w:rsidR="00644456" w:rsidRDefault="008031C4">
            <w:pPr>
              <w:kinsoku w:val="0"/>
              <w:wordWrap w:val="0"/>
              <w:adjustRightInd w:val="0"/>
              <w:snapToGrid w:val="0"/>
              <w:jc w:val="center"/>
              <w:rPr>
                <w:bCs/>
                <w:color w:val="000000" w:themeColor="text1"/>
                <w:szCs w:val="21"/>
              </w:rPr>
            </w:pPr>
            <w:r>
              <w:rPr>
                <w:color w:val="000000" w:themeColor="text1"/>
                <w:szCs w:val="21"/>
              </w:rPr>
              <w:t>COD</w:t>
            </w:r>
            <w:r>
              <w:rPr>
                <w:color w:val="000000" w:themeColor="text1"/>
                <w:szCs w:val="21"/>
              </w:rPr>
              <w:t>、</w:t>
            </w:r>
            <w:r>
              <w:rPr>
                <w:color w:val="000000" w:themeColor="text1"/>
                <w:szCs w:val="21"/>
              </w:rPr>
              <w:t>SS</w:t>
            </w:r>
          </w:p>
        </w:tc>
      </w:tr>
      <w:tr w:rsidR="00644456">
        <w:tc>
          <w:tcPr>
            <w:tcW w:w="1413" w:type="dxa"/>
            <w:vMerge/>
            <w:vAlign w:val="center"/>
          </w:tcPr>
          <w:p w:rsidR="00644456" w:rsidRDefault="00644456">
            <w:pPr>
              <w:kinsoku w:val="0"/>
              <w:wordWrap w:val="0"/>
              <w:adjustRightInd w:val="0"/>
              <w:snapToGrid w:val="0"/>
              <w:jc w:val="center"/>
              <w:rPr>
                <w:bCs/>
                <w:color w:val="000000" w:themeColor="text1"/>
                <w:szCs w:val="21"/>
              </w:rPr>
            </w:pP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Default="008031C4">
            <w:pPr>
              <w:kinsoku w:val="0"/>
              <w:wordWrap w:val="0"/>
              <w:adjustRightInd w:val="0"/>
              <w:snapToGrid w:val="0"/>
              <w:jc w:val="center"/>
              <w:rPr>
                <w:bCs/>
                <w:color w:val="000000" w:themeColor="text1"/>
                <w:szCs w:val="21"/>
              </w:rPr>
            </w:pPr>
            <w:r>
              <w:rPr>
                <w:color w:val="000000" w:themeColor="text1"/>
                <w:szCs w:val="21"/>
              </w:rPr>
              <w:t>真空系统水箱排水</w:t>
            </w:r>
          </w:p>
        </w:tc>
        <w:tc>
          <w:tcPr>
            <w:tcW w:w="3513" w:type="dxa"/>
            <w:vAlign w:val="center"/>
          </w:tcPr>
          <w:p w:rsidR="00644456" w:rsidRDefault="008031C4">
            <w:pPr>
              <w:kinsoku w:val="0"/>
              <w:wordWrap w:val="0"/>
              <w:adjustRightInd w:val="0"/>
              <w:snapToGrid w:val="0"/>
              <w:jc w:val="center"/>
              <w:rPr>
                <w:bCs/>
                <w:color w:val="000000" w:themeColor="text1"/>
                <w:szCs w:val="21"/>
              </w:rPr>
            </w:pPr>
            <w:r>
              <w:rPr>
                <w:color w:val="000000" w:themeColor="text1"/>
                <w:szCs w:val="21"/>
              </w:rPr>
              <w:t>石油类</w:t>
            </w:r>
          </w:p>
        </w:tc>
      </w:tr>
      <w:tr w:rsidR="00644456">
        <w:tc>
          <w:tcPr>
            <w:tcW w:w="1413" w:type="dxa"/>
            <w:vMerge/>
            <w:vAlign w:val="center"/>
          </w:tcPr>
          <w:p w:rsidR="00644456" w:rsidRDefault="00644456">
            <w:pPr>
              <w:kinsoku w:val="0"/>
              <w:wordWrap w:val="0"/>
              <w:adjustRightInd w:val="0"/>
              <w:snapToGrid w:val="0"/>
              <w:jc w:val="center"/>
              <w:rPr>
                <w:bCs/>
                <w:color w:val="000000" w:themeColor="text1"/>
                <w:szCs w:val="21"/>
              </w:rPr>
            </w:pP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Default="008031C4">
            <w:pPr>
              <w:kinsoku w:val="0"/>
              <w:wordWrap w:val="0"/>
              <w:adjustRightInd w:val="0"/>
              <w:snapToGrid w:val="0"/>
              <w:jc w:val="center"/>
              <w:rPr>
                <w:bCs/>
                <w:color w:val="000000" w:themeColor="text1"/>
                <w:szCs w:val="21"/>
              </w:rPr>
            </w:pPr>
            <w:r>
              <w:rPr>
                <w:color w:val="000000" w:themeColor="text1"/>
                <w:szCs w:val="21"/>
              </w:rPr>
              <w:t>废气喷淋塔</w:t>
            </w:r>
          </w:p>
        </w:tc>
        <w:tc>
          <w:tcPr>
            <w:tcW w:w="3513" w:type="dxa"/>
            <w:vAlign w:val="center"/>
          </w:tcPr>
          <w:p w:rsidR="00644456" w:rsidRDefault="008031C4">
            <w:pPr>
              <w:kinsoku w:val="0"/>
              <w:wordWrap w:val="0"/>
              <w:adjustRightInd w:val="0"/>
              <w:snapToGrid w:val="0"/>
              <w:jc w:val="center"/>
              <w:rPr>
                <w:bCs/>
                <w:color w:val="000000" w:themeColor="text1"/>
                <w:szCs w:val="21"/>
              </w:rPr>
            </w:pPr>
            <w:r>
              <w:rPr>
                <w:color w:val="000000" w:themeColor="text1"/>
                <w:szCs w:val="21"/>
              </w:rPr>
              <w:t>pH</w:t>
            </w:r>
            <w:r>
              <w:rPr>
                <w:color w:val="000000" w:themeColor="text1"/>
                <w:szCs w:val="21"/>
              </w:rPr>
              <w:t>、石油类、硫化物</w:t>
            </w:r>
          </w:p>
        </w:tc>
      </w:tr>
      <w:tr w:rsidR="00644456">
        <w:tc>
          <w:tcPr>
            <w:tcW w:w="1413" w:type="dxa"/>
            <w:vMerge/>
            <w:vAlign w:val="center"/>
          </w:tcPr>
          <w:p w:rsidR="00644456" w:rsidRDefault="00644456">
            <w:pPr>
              <w:kinsoku w:val="0"/>
              <w:wordWrap w:val="0"/>
              <w:adjustRightInd w:val="0"/>
              <w:snapToGrid w:val="0"/>
              <w:jc w:val="center"/>
              <w:rPr>
                <w:bCs/>
                <w:color w:val="000000" w:themeColor="text1"/>
                <w:szCs w:val="21"/>
              </w:rPr>
            </w:pP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Default="008031C4">
            <w:pPr>
              <w:kinsoku w:val="0"/>
              <w:wordWrap w:val="0"/>
              <w:adjustRightInd w:val="0"/>
              <w:snapToGrid w:val="0"/>
              <w:jc w:val="center"/>
              <w:rPr>
                <w:color w:val="000000" w:themeColor="text1"/>
                <w:szCs w:val="21"/>
              </w:rPr>
            </w:pPr>
            <w:r>
              <w:rPr>
                <w:rFonts w:hint="eastAsia"/>
                <w:color w:val="000000" w:themeColor="text1"/>
                <w:szCs w:val="21"/>
              </w:rPr>
              <w:t>生活污水</w:t>
            </w:r>
          </w:p>
        </w:tc>
        <w:tc>
          <w:tcPr>
            <w:tcW w:w="3513" w:type="dxa"/>
            <w:vAlign w:val="center"/>
          </w:tcPr>
          <w:p w:rsidR="00644456" w:rsidRDefault="008031C4">
            <w:pPr>
              <w:kinsoku w:val="0"/>
              <w:wordWrap w:val="0"/>
              <w:adjustRightInd w:val="0"/>
              <w:snapToGrid w:val="0"/>
              <w:jc w:val="center"/>
              <w:rPr>
                <w:bCs/>
                <w:color w:val="000000" w:themeColor="text1"/>
                <w:szCs w:val="21"/>
              </w:rPr>
            </w:pPr>
            <w:r>
              <w:rPr>
                <w:color w:val="000000" w:themeColor="text1"/>
                <w:szCs w:val="21"/>
              </w:rPr>
              <w:t>pH</w:t>
            </w:r>
            <w:r>
              <w:rPr>
                <w:color w:val="000000" w:themeColor="text1"/>
                <w:szCs w:val="21"/>
              </w:rPr>
              <w:t>、</w:t>
            </w:r>
            <w:r>
              <w:rPr>
                <w:color w:val="000000" w:themeColor="text1"/>
                <w:szCs w:val="21"/>
              </w:rPr>
              <w:t>COD</w:t>
            </w:r>
            <w:r>
              <w:rPr>
                <w:color w:val="000000" w:themeColor="text1"/>
                <w:szCs w:val="21"/>
              </w:rPr>
              <w:t>、</w:t>
            </w:r>
            <w:r>
              <w:rPr>
                <w:color w:val="000000" w:themeColor="text1"/>
                <w:szCs w:val="21"/>
              </w:rPr>
              <w:t>NH</w:t>
            </w:r>
            <w:r>
              <w:rPr>
                <w:color w:val="000000" w:themeColor="text1"/>
                <w:szCs w:val="21"/>
                <w:vertAlign w:val="subscript"/>
              </w:rPr>
              <w:t>3</w:t>
            </w:r>
            <w:r>
              <w:rPr>
                <w:color w:val="000000" w:themeColor="text1"/>
                <w:szCs w:val="21"/>
              </w:rPr>
              <w:t>-N</w:t>
            </w:r>
            <w:r>
              <w:rPr>
                <w:color w:val="000000" w:themeColor="text1"/>
                <w:szCs w:val="21"/>
              </w:rPr>
              <w:t>、</w:t>
            </w:r>
            <w:r>
              <w:rPr>
                <w:color w:val="000000" w:themeColor="text1"/>
                <w:szCs w:val="21"/>
              </w:rPr>
              <w:t>BOD</w:t>
            </w:r>
            <w:r>
              <w:rPr>
                <w:color w:val="000000" w:themeColor="text1"/>
                <w:szCs w:val="21"/>
                <w:vertAlign w:val="subscript"/>
              </w:rPr>
              <w:t>5</w:t>
            </w:r>
            <w:r>
              <w:rPr>
                <w:color w:val="000000" w:themeColor="text1"/>
                <w:szCs w:val="21"/>
              </w:rPr>
              <w:t>、</w:t>
            </w:r>
            <w:r>
              <w:rPr>
                <w:color w:val="000000" w:themeColor="text1"/>
                <w:szCs w:val="21"/>
              </w:rPr>
              <w:t>SS</w:t>
            </w:r>
            <w:r>
              <w:rPr>
                <w:color w:val="000000" w:themeColor="text1"/>
                <w:szCs w:val="21"/>
              </w:rPr>
              <w:t>、总</w:t>
            </w:r>
            <w:r>
              <w:rPr>
                <w:color w:val="000000" w:themeColor="text1"/>
                <w:szCs w:val="21"/>
              </w:rPr>
              <w:lastRenderedPageBreak/>
              <w:t>磷</w:t>
            </w:r>
          </w:p>
        </w:tc>
      </w:tr>
      <w:tr w:rsidR="00644456">
        <w:tc>
          <w:tcPr>
            <w:tcW w:w="1413" w:type="dxa"/>
            <w:vMerge w:val="restart"/>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lastRenderedPageBreak/>
              <w:t>固废</w:t>
            </w: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含油废渣</w:t>
            </w:r>
          </w:p>
        </w:tc>
        <w:tc>
          <w:tcPr>
            <w:tcW w:w="3513"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r>
      <w:tr w:rsidR="00644456">
        <w:tc>
          <w:tcPr>
            <w:tcW w:w="1413" w:type="dxa"/>
            <w:vMerge/>
            <w:vAlign w:val="center"/>
          </w:tcPr>
          <w:p w:rsidR="00644456" w:rsidRDefault="00644456">
            <w:pPr>
              <w:kinsoku w:val="0"/>
              <w:wordWrap w:val="0"/>
              <w:adjustRightInd w:val="0"/>
              <w:snapToGrid w:val="0"/>
              <w:jc w:val="center"/>
              <w:rPr>
                <w:bCs/>
                <w:color w:val="000000" w:themeColor="text1"/>
                <w:szCs w:val="21"/>
              </w:rPr>
            </w:pP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蒸馏残渣</w:t>
            </w:r>
          </w:p>
        </w:tc>
        <w:tc>
          <w:tcPr>
            <w:tcW w:w="3513"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r>
      <w:tr w:rsidR="00644456">
        <w:tc>
          <w:tcPr>
            <w:tcW w:w="1413" w:type="dxa"/>
            <w:vMerge/>
            <w:vAlign w:val="center"/>
          </w:tcPr>
          <w:p w:rsidR="00644456" w:rsidRDefault="00644456">
            <w:pPr>
              <w:kinsoku w:val="0"/>
              <w:wordWrap w:val="0"/>
              <w:adjustRightInd w:val="0"/>
              <w:snapToGrid w:val="0"/>
              <w:jc w:val="center"/>
              <w:rPr>
                <w:bCs/>
                <w:color w:val="000000" w:themeColor="text1"/>
                <w:szCs w:val="21"/>
              </w:rPr>
            </w:pP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污水处理设施产生的浮渣及污泥</w:t>
            </w:r>
          </w:p>
        </w:tc>
        <w:tc>
          <w:tcPr>
            <w:tcW w:w="3513"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r>
      <w:tr w:rsidR="00644456">
        <w:tc>
          <w:tcPr>
            <w:tcW w:w="1413" w:type="dxa"/>
            <w:vMerge/>
            <w:vAlign w:val="center"/>
          </w:tcPr>
          <w:p w:rsidR="00644456" w:rsidRDefault="00644456">
            <w:pPr>
              <w:kinsoku w:val="0"/>
              <w:wordWrap w:val="0"/>
              <w:adjustRightInd w:val="0"/>
              <w:snapToGrid w:val="0"/>
              <w:jc w:val="center"/>
              <w:rPr>
                <w:bCs/>
                <w:color w:val="000000" w:themeColor="text1"/>
                <w:szCs w:val="21"/>
              </w:rPr>
            </w:pP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维护</w:t>
            </w:r>
          </w:p>
        </w:tc>
        <w:tc>
          <w:tcPr>
            <w:tcW w:w="3513"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r>
      <w:tr w:rsidR="00644456">
        <w:tc>
          <w:tcPr>
            <w:tcW w:w="1413" w:type="dxa"/>
            <w:vMerge/>
            <w:vAlign w:val="center"/>
          </w:tcPr>
          <w:p w:rsidR="00644456" w:rsidRDefault="00644456">
            <w:pPr>
              <w:kinsoku w:val="0"/>
              <w:wordWrap w:val="0"/>
              <w:adjustRightInd w:val="0"/>
              <w:snapToGrid w:val="0"/>
              <w:jc w:val="center"/>
              <w:rPr>
                <w:bCs/>
                <w:color w:val="000000" w:themeColor="text1"/>
                <w:szCs w:val="21"/>
              </w:rPr>
            </w:pP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员工的生活垃圾</w:t>
            </w:r>
          </w:p>
        </w:tc>
        <w:tc>
          <w:tcPr>
            <w:tcW w:w="3513"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r>
      <w:tr w:rsidR="00644456">
        <w:tc>
          <w:tcPr>
            <w:tcW w:w="1413" w:type="dxa"/>
            <w:vMerge/>
            <w:vAlign w:val="center"/>
          </w:tcPr>
          <w:p w:rsidR="00644456" w:rsidRDefault="00644456">
            <w:pPr>
              <w:kinsoku w:val="0"/>
              <w:wordWrap w:val="0"/>
              <w:adjustRightInd w:val="0"/>
              <w:snapToGrid w:val="0"/>
              <w:jc w:val="center"/>
              <w:rPr>
                <w:bCs/>
                <w:color w:val="000000" w:themeColor="text1"/>
                <w:szCs w:val="21"/>
              </w:rPr>
            </w:pP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废干式过滤器</w:t>
            </w:r>
          </w:p>
        </w:tc>
        <w:tc>
          <w:tcPr>
            <w:tcW w:w="3513"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r>
      <w:tr w:rsidR="00644456">
        <w:tc>
          <w:tcPr>
            <w:tcW w:w="1413"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噪声</w:t>
            </w:r>
          </w:p>
        </w:tc>
        <w:tc>
          <w:tcPr>
            <w:tcW w:w="850" w:type="dxa"/>
            <w:vMerge/>
            <w:vAlign w:val="center"/>
          </w:tcPr>
          <w:p w:rsidR="00644456" w:rsidRDefault="00644456">
            <w:pPr>
              <w:kinsoku w:val="0"/>
              <w:wordWrap w:val="0"/>
              <w:adjustRightInd w:val="0"/>
              <w:snapToGrid w:val="0"/>
              <w:jc w:val="center"/>
              <w:rPr>
                <w:bCs/>
                <w:color w:val="000000" w:themeColor="text1"/>
                <w:szCs w:val="21"/>
              </w:rPr>
            </w:pPr>
          </w:p>
        </w:tc>
        <w:tc>
          <w:tcPr>
            <w:tcW w:w="3239"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设备噪声</w:t>
            </w:r>
          </w:p>
        </w:tc>
        <w:tc>
          <w:tcPr>
            <w:tcW w:w="3513" w:type="dxa"/>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LAeq</w:t>
            </w:r>
          </w:p>
        </w:tc>
      </w:tr>
    </w:tbl>
    <w:p w:rsidR="00644456" w:rsidRDefault="00644456">
      <w:pPr>
        <w:pStyle w:val="3"/>
        <w:ind w:firstLine="480"/>
        <w:sectPr w:rsidR="00644456">
          <w:pgSz w:w="11905" w:h="16838"/>
          <w:pgMar w:top="1440" w:right="1440" w:bottom="1440" w:left="1440" w:header="850" w:footer="992" w:gutter="0"/>
          <w:cols w:space="0"/>
          <w:docGrid w:linePitch="312"/>
        </w:sectPr>
      </w:pPr>
    </w:p>
    <w:p w:rsidR="00644456" w:rsidRDefault="008031C4">
      <w:pPr>
        <w:pStyle w:val="3"/>
        <w:numPr>
          <w:ilvl w:val="2"/>
          <w:numId w:val="0"/>
        </w:numPr>
        <w:ind w:firstLineChars="200" w:firstLine="482"/>
      </w:pPr>
      <w:r>
        <w:rPr>
          <w:rFonts w:hint="eastAsia"/>
        </w:rPr>
        <w:lastRenderedPageBreak/>
        <w:t>2.4.4</w:t>
      </w:r>
      <w:r>
        <w:rPr>
          <w:rFonts w:hint="eastAsia"/>
        </w:rPr>
        <w:t>主要原辅料、动力、水消耗</w:t>
      </w:r>
    </w:p>
    <w:p w:rsidR="00644456" w:rsidRDefault="008031C4">
      <w:pPr>
        <w:pStyle w:val="af4"/>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2.4</w:t>
      </w:r>
      <w:r>
        <w:rPr>
          <w:rFonts w:ascii="Times New Roman" w:eastAsia="宋体" w:hAnsi="Times New Roman" w:cs="Times New Roman" w:hint="eastAsia"/>
          <w:b/>
          <w:color w:val="000000" w:themeColor="text1"/>
          <w:sz w:val="24"/>
        </w:rPr>
        <w:noBreakHyphen/>
        <w:t>3</w:t>
      </w:r>
      <w:r>
        <w:rPr>
          <w:rFonts w:ascii="Times New Roman" w:eastAsia="宋体" w:hAnsi="Times New Roman" w:cs="Times New Roman" w:hint="eastAsia"/>
          <w:b/>
          <w:color w:val="000000" w:themeColor="text1"/>
          <w:sz w:val="24"/>
        </w:rPr>
        <w:t>主要原辅材料消耗</w:t>
      </w:r>
    </w:p>
    <w:tbl>
      <w:tblPr>
        <w:tblW w:w="14884"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276"/>
        <w:gridCol w:w="1418"/>
        <w:gridCol w:w="1701"/>
        <w:gridCol w:w="1559"/>
        <w:gridCol w:w="2268"/>
        <w:gridCol w:w="709"/>
        <w:gridCol w:w="1134"/>
        <w:gridCol w:w="1134"/>
        <w:gridCol w:w="1701"/>
        <w:gridCol w:w="1984"/>
      </w:tblGrid>
      <w:tr w:rsidR="00644456">
        <w:trPr>
          <w:jc w:val="center"/>
        </w:trPr>
        <w:tc>
          <w:tcPr>
            <w:tcW w:w="1276" w:type="dxa"/>
            <w:vAlign w:val="center"/>
          </w:tcPr>
          <w:p w:rsidR="00644456" w:rsidRDefault="008031C4">
            <w:pPr>
              <w:kinsoku w:val="0"/>
              <w:wordWrap w:val="0"/>
              <w:adjustRightInd w:val="0"/>
              <w:snapToGrid w:val="0"/>
              <w:jc w:val="center"/>
              <w:rPr>
                <w:bCs/>
                <w:color w:val="000000" w:themeColor="text1"/>
                <w:szCs w:val="21"/>
              </w:rPr>
            </w:pPr>
            <w:bookmarkStart w:id="127" w:name="_Hlk161839181"/>
            <w:r>
              <w:rPr>
                <w:rFonts w:hint="eastAsia"/>
                <w:bCs/>
                <w:color w:val="000000" w:themeColor="text1"/>
                <w:szCs w:val="21"/>
              </w:rPr>
              <w:t>类别</w:t>
            </w:r>
          </w:p>
        </w:tc>
        <w:tc>
          <w:tcPr>
            <w:tcW w:w="1418" w:type="dxa"/>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名称</w:t>
            </w:r>
          </w:p>
        </w:tc>
        <w:tc>
          <w:tcPr>
            <w:tcW w:w="1701" w:type="dxa"/>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耗量</w:t>
            </w:r>
            <w:r>
              <w:rPr>
                <w:bCs/>
                <w:color w:val="000000" w:themeColor="text1"/>
                <w:szCs w:val="21"/>
              </w:rPr>
              <w:t>t/a</w:t>
            </w:r>
          </w:p>
        </w:tc>
        <w:tc>
          <w:tcPr>
            <w:tcW w:w="1559"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最大储存量</w:t>
            </w:r>
            <w:r>
              <w:rPr>
                <w:bCs/>
                <w:color w:val="000000" w:themeColor="text1"/>
                <w:szCs w:val="21"/>
              </w:rPr>
              <w:t>t/a</w:t>
            </w:r>
          </w:p>
        </w:tc>
        <w:tc>
          <w:tcPr>
            <w:tcW w:w="2268"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用途</w:t>
            </w:r>
          </w:p>
        </w:tc>
        <w:tc>
          <w:tcPr>
            <w:tcW w:w="709"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形态</w:t>
            </w:r>
          </w:p>
        </w:tc>
        <w:tc>
          <w:tcPr>
            <w:tcW w:w="1134"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包装方式</w:t>
            </w:r>
          </w:p>
        </w:tc>
        <w:tc>
          <w:tcPr>
            <w:tcW w:w="1134"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运输方式</w:t>
            </w:r>
          </w:p>
        </w:tc>
        <w:tc>
          <w:tcPr>
            <w:tcW w:w="1701" w:type="dxa"/>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来源</w:t>
            </w:r>
          </w:p>
        </w:tc>
        <w:tc>
          <w:tcPr>
            <w:tcW w:w="1984" w:type="dxa"/>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主要化学成分</w:t>
            </w:r>
          </w:p>
        </w:tc>
      </w:tr>
      <w:tr w:rsidR="006214B2">
        <w:trPr>
          <w:jc w:val="center"/>
        </w:trPr>
        <w:tc>
          <w:tcPr>
            <w:tcW w:w="1276" w:type="dxa"/>
            <w:vMerge w:val="restart"/>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原辅料</w:t>
            </w:r>
          </w:p>
        </w:tc>
        <w:tc>
          <w:tcPr>
            <w:tcW w:w="1418"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废矿物油</w:t>
            </w:r>
          </w:p>
        </w:tc>
        <w:tc>
          <w:tcPr>
            <w:tcW w:w="1701"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30000</w:t>
            </w:r>
          </w:p>
        </w:tc>
        <w:tc>
          <w:tcPr>
            <w:tcW w:w="1559" w:type="dxa"/>
            <w:vAlign w:val="center"/>
          </w:tcPr>
          <w:p w:rsidR="006214B2" w:rsidRDefault="006214B2">
            <w:pPr>
              <w:kinsoku w:val="0"/>
              <w:wordWrap w:val="0"/>
              <w:adjustRightInd w:val="0"/>
              <w:snapToGrid w:val="0"/>
              <w:jc w:val="center"/>
              <w:rPr>
                <w:bCs/>
                <w:color w:val="000000" w:themeColor="text1"/>
                <w:szCs w:val="21"/>
              </w:rPr>
            </w:pPr>
            <w:r>
              <w:rPr>
                <w:bCs/>
                <w:color w:val="000000" w:themeColor="text1"/>
                <w:szCs w:val="21"/>
              </w:rPr>
              <w:t>1262.25</w:t>
            </w:r>
          </w:p>
        </w:tc>
        <w:tc>
          <w:tcPr>
            <w:tcW w:w="2268"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再生利用</w:t>
            </w:r>
          </w:p>
        </w:tc>
        <w:tc>
          <w:tcPr>
            <w:tcW w:w="709"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液</w:t>
            </w:r>
          </w:p>
        </w:tc>
        <w:tc>
          <w:tcPr>
            <w:tcW w:w="1134"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桶</w:t>
            </w:r>
          </w:p>
        </w:tc>
        <w:tc>
          <w:tcPr>
            <w:tcW w:w="1134"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汽车</w:t>
            </w:r>
          </w:p>
        </w:tc>
        <w:tc>
          <w:tcPr>
            <w:tcW w:w="1701"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疏勒县辖区及周边区域内收购</w:t>
            </w:r>
          </w:p>
        </w:tc>
        <w:tc>
          <w:tcPr>
            <w:tcW w:w="1984"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油</w:t>
            </w:r>
          </w:p>
        </w:tc>
      </w:tr>
      <w:tr w:rsidR="006214B2">
        <w:trPr>
          <w:trHeight w:val="142"/>
          <w:jc w:val="center"/>
        </w:trPr>
        <w:tc>
          <w:tcPr>
            <w:tcW w:w="1276" w:type="dxa"/>
            <w:vMerge/>
            <w:vAlign w:val="center"/>
          </w:tcPr>
          <w:p w:rsidR="006214B2" w:rsidRDefault="006214B2">
            <w:pPr>
              <w:kinsoku w:val="0"/>
              <w:wordWrap w:val="0"/>
              <w:adjustRightInd w:val="0"/>
              <w:snapToGrid w:val="0"/>
              <w:jc w:val="center"/>
              <w:rPr>
                <w:bCs/>
                <w:color w:val="000000" w:themeColor="text1"/>
                <w:szCs w:val="21"/>
              </w:rPr>
            </w:pPr>
          </w:p>
        </w:tc>
        <w:tc>
          <w:tcPr>
            <w:tcW w:w="1418"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石油磺酸钠</w:t>
            </w:r>
          </w:p>
        </w:tc>
        <w:tc>
          <w:tcPr>
            <w:tcW w:w="1701"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300</w:t>
            </w:r>
          </w:p>
        </w:tc>
        <w:tc>
          <w:tcPr>
            <w:tcW w:w="1559" w:type="dxa"/>
            <w:vAlign w:val="center"/>
          </w:tcPr>
          <w:p w:rsidR="006214B2" w:rsidRDefault="00E53F77">
            <w:pPr>
              <w:kinsoku w:val="0"/>
              <w:wordWrap w:val="0"/>
              <w:adjustRightInd w:val="0"/>
              <w:snapToGrid w:val="0"/>
              <w:jc w:val="center"/>
              <w:rPr>
                <w:bCs/>
                <w:color w:val="000000" w:themeColor="text1"/>
                <w:szCs w:val="21"/>
              </w:rPr>
            </w:pPr>
            <w:r>
              <w:rPr>
                <w:bCs/>
                <w:color w:val="000000" w:themeColor="text1"/>
                <w:szCs w:val="21"/>
              </w:rPr>
              <w:t>50</w:t>
            </w:r>
          </w:p>
        </w:tc>
        <w:tc>
          <w:tcPr>
            <w:tcW w:w="2268"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预处理</w:t>
            </w:r>
          </w:p>
        </w:tc>
        <w:tc>
          <w:tcPr>
            <w:tcW w:w="709"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固</w:t>
            </w:r>
          </w:p>
        </w:tc>
        <w:tc>
          <w:tcPr>
            <w:tcW w:w="1134"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桶</w:t>
            </w:r>
          </w:p>
        </w:tc>
        <w:tc>
          <w:tcPr>
            <w:tcW w:w="1134"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汽车</w:t>
            </w:r>
          </w:p>
        </w:tc>
        <w:tc>
          <w:tcPr>
            <w:tcW w:w="1701"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外购</w:t>
            </w:r>
          </w:p>
        </w:tc>
        <w:tc>
          <w:tcPr>
            <w:tcW w:w="1984"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RSO</w:t>
            </w:r>
            <w:r w:rsidRPr="00E11CE3">
              <w:rPr>
                <w:rFonts w:hint="eastAsia"/>
                <w:bCs/>
                <w:color w:val="000000" w:themeColor="text1"/>
                <w:szCs w:val="21"/>
                <w:vertAlign w:val="subscript"/>
              </w:rPr>
              <w:t>3</w:t>
            </w:r>
            <w:r>
              <w:rPr>
                <w:rFonts w:hint="eastAsia"/>
                <w:bCs/>
                <w:color w:val="000000" w:themeColor="text1"/>
                <w:szCs w:val="21"/>
              </w:rPr>
              <w:t>Na</w:t>
            </w:r>
          </w:p>
        </w:tc>
      </w:tr>
      <w:tr w:rsidR="006214B2">
        <w:trPr>
          <w:trHeight w:val="142"/>
          <w:jc w:val="center"/>
        </w:trPr>
        <w:tc>
          <w:tcPr>
            <w:tcW w:w="1276" w:type="dxa"/>
            <w:vMerge/>
            <w:vAlign w:val="center"/>
          </w:tcPr>
          <w:p w:rsidR="006214B2" w:rsidRDefault="006214B2">
            <w:pPr>
              <w:kinsoku w:val="0"/>
              <w:wordWrap w:val="0"/>
              <w:adjustRightInd w:val="0"/>
              <w:snapToGrid w:val="0"/>
              <w:jc w:val="center"/>
              <w:rPr>
                <w:bCs/>
                <w:color w:val="000000" w:themeColor="text1"/>
                <w:szCs w:val="21"/>
              </w:rPr>
            </w:pPr>
          </w:p>
        </w:tc>
        <w:tc>
          <w:tcPr>
            <w:tcW w:w="1418"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溶剂</w:t>
            </w:r>
            <w:r>
              <w:rPr>
                <w:rFonts w:hint="eastAsia"/>
                <w:bCs/>
                <w:color w:val="000000" w:themeColor="text1"/>
                <w:szCs w:val="21"/>
              </w:rPr>
              <w:t>NMP</w:t>
            </w:r>
          </w:p>
        </w:tc>
        <w:tc>
          <w:tcPr>
            <w:tcW w:w="1701"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100</w:t>
            </w:r>
          </w:p>
        </w:tc>
        <w:tc>
          <w:tcPr>
            <w:tcW w:w="1559" w:type="dxa"/>
            <w:vAlign w:val="center"/>
          </w:tcPr>
          <w:p w:rsidR="006214B2" w:rsidRDefault="00E53F77">
            <w:pPr>
              <w:kinsoku w:val="0"/>
              <w:wordWrap w:val="0"/>
              <w:adjustRightInd w:val="0"/>
              <w:snapToGrid w:val="0"/>
              <w:jc w:val="center"/>
              <w:rPr>
                <w:bCs/>
                <w:color w:val="000000" w:themeColor="text1"/>
                <w:szCs w:val="21"/>
              </w:rPr>
            </w:pPr>
            <w:r>
              <w:rPr>
                <w:rFonts w:hint="eastAsia"/>
                <w:bCs/>
                <w:color w:val="000000" w:themeColor="text1"/>
                <w:szCs w:val="21"/>
              </w:rPr>
              <w:t>2</w:t>
            </w:r>
            <w:r>
              <w:rPr>
                <w:bCs/>
                <w:color w:val="000000" w:themeColor="text1"/>
                <w:szCs w:val="21"/>
              </w:rPr>
              <w:t>0</w:t>
            </w:r>
          </w:p>
        </w:tc>
        <w:tc>
          <w:tcPr>
            <w:tcW w:w="2268"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溶剂</w:t>
            </w:r>
          </w:p>
        </w:tc>
        <w:tc>
          <w:tcPr>
            <w:tcW w:w="709"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液</w:t>
            </w:r>
          </w:p>
        </w:tc>
        <w:tc>
          <w:tcPr>
            <w:tcW w:w="1134"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桶</w:t>
            </w:r>
          </w:p>
        </w:tc>
        <w:tc>
          <w:tcPr>
            <w:tcW w:w="1134"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汽车</w:t>
            </w:r>
          </w:p>
        </w:tc>
        <w:tc>
          <w:tcPr>
            <w:tcW w:w="1701"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外购</w:t>
            </w:r>
          </w:p>
        </w:tc>
        <w:tc>
          <w:tcPr>
            <w:tcW w:w="1984"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NMP</w:t>
            </w:r>
          </w:p>
        </w:tc>
      </w:tr>
      <w:tr w:rsidR="006214B2">
        <w:trPr>
          <w:trHeight w:val="142"/>
          <w:jc w:val="center"/>
        </w:trPr>
        <w:tc>
          <w:tcPr>
            <w:tcW w:w="1276" w:type="dxa"/>
            <w:vMerge/>
            <w:vAlign w:val="center"/>
          </w:tcPr>
          <w:p w:rsidR="006214B2" w:rsidRDefault="006214B2">
            <w:pPr>
              <w:kinsoku w:val="0"/>
              <w:wordWrap w:val="0"/>
              <w:adjustRightInd w:val="0"/>
              <w:snapToGrid w:val="0"/>
              <w:jc w:val="center"/>
              <w:rPr>
                <w:bCs/>
                <w:color w:val="000000" w:themeColor="text1"/>
                <w:szCs w:val="21"/>
              </w:rPr>
            </w:pPr>
          </w:p>
        </w:tc>
        <w:tc>
          <w:tcPr>
            <w:tcW w:w="1418"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片碱</w:t>
            </w:r>
          </w:p>
        </w:tc>
        <w:tc>
          <w:tcPr>
            <w:tcW w:w="1701"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5</w:t>
            </w:r>
          </w:p>
        </w:tc>
        <w:tc>
          <w:tcPr>
            <w:tcW w:w="1559" w:type="dxa"/>
            <w:vAlign w:val="center"/>
          </w:tcPr>
          <w:p w:rsidR="006214B2" w:rsidRDefault="00E53F77">
            <w:pPr>
              <w:kinsoku w:val="0"/>
              <w:wordWrap w:val="0"/>
              <w:adjustRightInd w:val="0"/>
              <w:snapToGrid w:val="0"/>
              <w:jc w:val="center"/>
              <w:rPr>
                <w:bCs/>
                <w:color w:val="000000" w:themeColor="text1"/>
                <w:szCs w:val="21"/>
              </w:rPr>
            </w:pPr>
            <w:r>
              <w:rPr>
                <w:rFonts w:hint="eastAsia"/>
                <w:bCs/>
                <w:color w:val="000000" w:themeColor="text1"/>
                <w:szCs w:val="21"/>
              </w:rPr>
              <w:t>1</w:t>
            </w:r>
          </w:p>
        </w:tc>
        <w:tc>
          <w:tcPr>
            <w:tcW w:w="2268"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外购，污水处理设施及废气喷淋塔使用</w:t>
            </w:r>
          </w:p>
        </w:tc>
        <w:tc>
          <w:tcPr>
            <w:tcW w:w="709"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固</w:t>
            </w:r>
          </w:p>
        </w:tc>
        <w:tc>
          <w:tcPr>
            <w:tcW w:w="1134"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桶</w:t>
            </w:r>
          </w:p>
        </w:tc>
        <w:tc>
          <w:tcPr>
            <w:tcW w:w="1134"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汽车</w:t>
            </w:r>
          </w:p>
        </w:tc>
        <w:tc>
          <w:tcPr>
            <w:tcW w:w="1701"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外购</w:t>
            </w:r>
          </w:p>
        </w:tc>
        <w:tc>
          <w:tcPr>
            <w:tcW w:w="1984" w:type="dxa"/>
            <w:vAlign w:val="center"/>
          </w:tcPr>
          <w:p w:rsidR="006214B2" w:rsidRDefault="006214B2">
            <w:pPr>
              <w:kinsoku w:val="0"/>
              <w:wordWrap w:val="0"/>
              <w:adjustRightInd w:val="0"/>
              <w:snapToGrid w:val="0"/>
              <w:jc w:val="center"/>
              <w:rPr>
                <w:bCs/>
                <w:color w:val="000000" w:themeColor="text1"/>
                <w:szCs w:val="21"/>
              </w:rPr>
            </w:pPr>
            <w:r>
              <w:rPr>
                <w:rFonts w:hint="eastAsia"/>
                <w:bCs/>
                <w:color w:val="000000" w:themeColor="text1"/>
                <w:szCs w:val="21"/>
              </w:rPr>
              <w:t>氢氧化钠</w:t>
            </w:r>
          </w:p>
        </w:tc>
      </w:tr>
      <w:tr w:rsidR="00E53F77">
        <w:trPr>
          <w:trHeight w:val="142"/>
          <w:jc w:val="center"/>
        </w:trPr>
        <w:tc>
          <w:tcPr>
            <w:tcW w:w="1276" w:type="dxa"/>
            <w:vMerge/>
            <w:vAlign w:val="center"/>
          </w:tcPr>
          <w:p w:rsidR="00E53F77" w:rsidRDefault="00E53F77" w:rsidP="00E53F77">
            <w:pPr>
              <w:kinsoku w:val="0"/>
              <w:wordWrap w:val="0"/>
              <w:adjustRightInd w:val="0"/>
              <w:snapToGrid w:val="0"/>
              <w:jc w:val="center"/>
              <w:rPr>
                <w:bCs/>
                <w:color w:val="000000" w:themeColor="text1"/>
                <w:szCs w:val="21"/>
              </w:rPr>
            </w:pPr>
          </w:p>
        </w:tc>
        <w:tc>
          <w:tcPr>
            <w:tcW w:w="1418" w:type="dxa"/>
            <w:vAlign w:val="center"/>
          </w:tcPr>
          <w:p w:rsidR="00E53F77" w:rsidRDefault="00E53F77" w:rsidP="00E53F77">
            <w:pPr>
              <w:kinsoku w:val="0"/>
              <w:wordWrap w:val="0"/>
              <w:adjustRightInd w:val="0"/>
              <w:snapToGrid w:val="0"/>
              <w:jc w:val="center"/>
              <w:rPr>
                <w:bCs/>
                <w:color w:val="000000" w:themeColor="text1"/>
                <w:szCs w:val="21"/>
              </w:rPr>
            </w:pPr>
            <w:r>
              <w:rPr>
                <w:rFonts w:hint="eastAsia"/>
                <w:bCs/>
                <w:color w:val="000000" w:themeColor="text1"/>
                <w:szCs w:val="21"/>
              </w:rPr>
              <w:t>导热油</w:t>
            </w:r>
          </w:p>
        </w:tc>
        <w:tc>
          <w:tcPr>
            <w:tcW w:w="1701" w:type="dxa"/>
            <w:vAlign w:val="center"/>
          </w:tcPr>
          <w:p w:rsidR="00E53F77" w:rsidRDefault="00E53F77" w:rsidP="00E53F77">
            <w:pPr>
              <w:kinsoku w:val="0"/>
              <w:wordWrap w:val="0"/>
              <w:adjustRightInd w:val="0"/>
              <w:snapToGrid w:val="0"/>
              <w:jc w:val="center"/>
              <w:rPr>
                <w:bCs/>
                <w:color w:val="000000" w:themeColor="text1"/>
                <w:szCs w:val="21"/>
              </w:rPr>
            </w:pPr>
            <w:r>
              <w:rPr>
                <w:rFonts w:hint="eastAsia"/>
                <w:bCs/>
                <w:color w:val="000000" w:themeColor="text1"/>
                <w:szCs w:val="21"/>
              </w:rPr>
              <w:t>1</w:t>
            </w:r>
          </w:p>
        </w:tc>
        <w:tc>
          <w:tcPr>
            <w:tcW w:w="1559" w:type="dxa"/>
            <w:vAlign w:val="center"/>
          </w:tcPr>
          <w:p w:rsidR="00E53F77" w:rsidRDefault="00E53F77" w:rsidP="00E53F77">
            <w:pPr>
              <w:kinsoku w:val="0"/>
              <w:wordWrap w:val="0"/>
              <w:adjustRightInd w:val="0"/>
              <w:snapToGrid w:val="0"/>
              <w:jc w:val="center"/>
              <w:rPr>
                <w:bCs/>
                <w:color w:val="000000" w:themeColor="text1"/>
                <w:szCs w:val="21"/>
              </w:rPr>
            </w:pPr>
            <w:r>
              <w:rPr>
                <w:rFonts w:hint="eastAsia"/>
                <w:bCs/>
                <w:color w:val="000000" w:themeColor="text1"/>
                <w:szCs w:val="21"/>
              </w:rPr>
              <w:t>/</w:t>
            </w:r>
          </w:p>
        </w:tc>
        <w:tc>
          <w:tcPr>
            <w:tcW w:w="2268" w:type="dxa"/>
            <w:vAlign w:val="center"/>
          </w:tcPr>
          <w:p w:rsidR="00E53F77" w:rsidRDefault="00E53F77" w:rsidP="00E53F77">
            <w:pPr>
              <w:kinsoku w:val="0"/>
              <w:wordWrap w:val="0"/>
              <w:adjustRightInd w:val="0"/>
              <w:snapToGrid w:val="0"/>
              <w:jc w:val="center"/>
              <w:rPr>
                <w:bCs/>
                <w:color w:val="000000" w:themeColor="text1"/>
                <w:szCs w:val="21"/>
              </w:rPr>
            </w:pPr>
            <w:r>
              <w:rPr>
                <w:rFonts w:hint="eastAsia"/>
                <w:bCs/>
                <w:color w:val="000000" w:themeColor="text1"/>
                <w:szCs w:val="21"/>
              </w:rPr>
              <w:t>导热油锅炉</w:t>
            </w:r>
          </w:p>
        </w:tc>
        <w:tc>
          <w:tcPr>
            <w:tcW w:w="709" w:type="dxa"/>
            <w:vAlign w:val="center"/>
          </w:tcPr>
          <w:p w:rsidR="00E53F77" w:rsidRDefault="00E53F77" w:rsidP="00E53F77">
            <w:pPr>
              <w:kinsoku w:val="0"/>
              <w:wordWrap w:val="0"/>
              <w:adjustRightInd w:val="0"/>
              <w:snapToGrid w:val="0"/>
              <w:jc w:val="center"/>
              <w:rPr>
                <w:bCs/>
                <w:color w:val="000000" w:themeColor="text1"/>
                <w:szCs w:val="21"/>
              </w:rPr>
            </w:pPr>
            <w:r>
              <w:rPr>
                <w:rFonts w:hint="eastAsia"/>
                <w:bCs/>
                <w:color w:val="000000" w:themeColor="text1"/>
                <w:szCs w:val="21"/>
              </w:rPr>
              <w:t>液</w:t>
            </w:r>
          </w:p>
        </w:tc>
        <w:tc>
          <w:tcPr>
            <w:tcW w:w="1134" w:type="dxa"/>
            <w:vAlign w:val="center"/>
          </w:tcPr>
          <w:p w:rsidR="00E53F77" w:rsidRDefault="00E53F77" w:rsidP="00E53F77">
            <w:pPr>
              <w:kinsoku w:val="0"/>
              <w:wordWrap w:val="0"/>
              <w:adjustRightInd w:val="0"/>
              <w:snapToGrid w:val="0"/>
              <w:jc w:val="center"/>
              <w:rPr>
                <w:bCs/>
                <w:color w:val="000000" w:themeColor="text1"/>
                <w:szCs w:val="21"/>
              </w:rPr>
            </w:pPr>
            <w:r>
              <w:rPr>
                <w:rFonts w:hint="eastAsia"/>
                <w:bCs/>
                <w:color w:val="000000" w:themeColor="text1"/>
                <w:szCs w:val="21"/>
              </w:rPr>
              <w:t>桶</w:t>
            </w:r>
          </w:p>
        </w:tc>
        <w:tc>
          <w:tcPr>
            <w:tcW w:w="1134" w:type="dxa"/>
            <w:vAlign w:val="center"/>
          </w:tcPr>
          <w:p w:rsidR="00E53F77" w:rsidRDefault="00E53F77" w:rsidP="00E53F77">
            <w:pPr>
              <w:kinsoku w:val="0"/>
              <w:wordWrap w:val="0"/>
              <w:adjustRightInd w:val="0"/>
              <w:snapToGrid w:val="0"/>
              <w:jc w:val="center"/>
              <w:rPr>
                <w:bCs/>
                <w:color w:val="000000" w:themeColor="text1"/>
                <w:szCs w:val="21"/>
              </w:rPr>
            </w:pPr>
            <w:r>
              <w:rPr>
                <w:rFonts w:hint="eastAsia"/>
                <w:bCs/>
                <w:color w:val="000000" w:themeColor="text1"/>
                <w:szCs w:val="21"/>
              </w:rPr>
              <w:t>汽车</w:t>
            </w:r>
          </w:p>
        </w:tc>
        <w:tc>
          <w:tcPr>
            <w:tcW w:w="1701" w:type="dxa"/>
            <w:vAlign w:val="center"/>
          </w:tcPr>
          <w:p w:rsidR="00E53F77" w:rsidRDefault="00E53F77" w:rsidP="00E53F77">
            <w:pPr>
              <w:kinsoku w:val="0"/>
              <w:wordWrap w:val="0"/>
              <w:adjustRightInd w:val="0"/>
              <w:snapToGrid w:val="0"/>
              <w:jc w:val="center"/>
              <w:rPr>
                <w:bCs/>
                <w:color w:val="000000" w:themeColor="text1"/>
                <w:szCs w:val="21"/>
              </w:rPr>
            </w:pPr>
            <w:r>
              <w:rPr>
                <w:rFonts w:hint="eastAsia"/>
                <w:bCs/>
                <w:color w:val="000000" w:themeColor="text1"/>
                <w:szCs w:val="21"/>
              </w:rPr>
              <w:t>外购</w:t>
            </w:r>
          </w:p>
        </w:tc>
        <w:tc>
          <w:tcPr>
            <w:tcW w:w="1984" w:type="dxa"/>
            <w:vAlign w:val="center"/>
          </w:tcPr>
          <w:p w:rsidR="00E53F77" w:rsidRDefault="00E53F77" w:rsidP="00E53F77">
            <w:pPr>
              <w:kinsoku w:val="0"/>
              <w:wordWrap w:val="0"/>
              <w:adjustRightInd w:val="0"/>
              <w:snapToGrid w:val="0"/>
              <w:jc w:val="center"/>
              <w:rPr>
                <w:bCs/>
                <w:color w:val="000000" w:themeColor="text1"/>
                <w:szCs w:val="21"/>
              </w:rPr>
            </w:pPr>
            <w:r>
              <w:rPr>
                <w:rFonts w:hint="eastAsia"/>
                <w:bCs/>
                <w:color w:val="000000" w:themeColor="text1"/>
                <w:szCs w:val="21"/>
              </w:rPr>
              <w:t>矿物油</w:t>
            </w:r>
          </w:p>
        </w:tc>
      </w:tr>
      <w:tr w:rsidR="00644456">
        <w:trPr>
          <w:jc w:val="center"/>
        </w:trPr>
        <w:tc>
          <w:tcPr>
            <w:tcW w:w="1276" w:type="dxa"/>
            <w:vMerge w:val="restart"/>
            <w:vAlign w:val="center"/>
          </w:tcPr>
          <w:p w:rsidR="00644456" w:rsidRDefault="008031C4">
            <w:pPr>
              <w:kinsoku w:val="0"/>
              <w:wordWrap w:val="0"/>
              <w:adjustRightInd w:val="0"/>
              <w:snapToGrid w:val="0"/>
              <w:jc w:val="center"/>
              <w:rPr>
                <w:bCs/>
                <w:color w:val="000000" w:themeColor="text1"/>
                <w:szCs w:val="21"/>
              </w:rPr>
            </w:pPr>
            <w:bookmarkStart w:id="128" w:name="_Hlk153450720"/>
            <w:r>
              <w:rPr>
                <w:rFonts w:hint="eastAsia"/>
                <w:bCs/>
                <w:color w:val="000000" w:themeColor="text1"/>
                <w:szCs w:val="21"/>
              </w:rPr>
              <w:t>能源</w:t>
            </w:r>
          </w:p>
        </w:tc>
        <w:tc>
          <w:tcPr>
            <w:tcW w:w="1418"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电</w:t>
            </w:r>
          </w:p>
        </w:tc>
        <w:tc>
          <w:tcPr>
            <w:tcW w:w="1701"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300</w:t>
            </w:r>
            <w:r>
              <w:rPr>
                <w:rFonts w:hint="eastAsia"/>
                <w:bCs/>
                <w:color w:val="000000" w:themeColor="text1"/>
                <w:szCs w:val="21"/>
              </w:rPr>
              <w:t>万</w:t>
            </w:r>
            <w:r>
              <w:rPr>
                <w:rFonts w:hint="eastAsia"/>
                <w:bCs/>
                <w:color w:val="000000" w:themeColor="text1"/>
                <w:szCs w:val="21"/>
              </w:rPr>
              <w:t>kWh</w:t>
            </w:r>
          </w:p>
        </w:tc>
        <w:tc>
          <w:tcPr>
            <w:tcW w:w="1559"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c>
          <w:tcPr>
            <w:tcW w:w="2268" w:type="dxa"/>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c>
          <w:tcPr>
            <w:tcW w:w="709" w:type="dxa"/>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c>
          <w:tcPr>
            <w:tcW w:w="1134" w:type="dxa"/>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c>
          <w:tcPr>
            <w:tcW w:w="1134" w:type="dxa"/>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c>
          <w:tcPr>
            <w:tcW w:w="1701"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市政提供</w:t>
            </w:r>
          </w:p>
        </w:tc>
        <w:tc>
          <w:tcPr>
            <w:tcW w:w="1984" w:type="dxa"/>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r>
      <w:tr w:rsidR="00644456">
        <w:trPr>
          <w:jc w:val="center"/>
        </w:trPr>
        <w:tc>
          <w:tcPr>
            <w:tcW w:w="1276" w:type="dxa"/>
            <w:vMerge/>
            <w:vAlign w:val="center"/>
          </w:tcPr>
          <w:p w:rsidR="00644456" w:rsidRDefault="00644456">
            <w:pPr>
              <w:kinsoku w:val="0"/>
              <w:wordWrap w:val="0"/>
              <w:adjustRightInd w:val="0"/>
              <w:snapToGrid w:val="0"/>
              <w:jc w:val="center"/>
              <w:rPr>
                <w:bCs/>
                <w:color w:val="000000" w:themeColor="text1"/>
                <w:szCs w:val="21"/>
              </w:rPr>
            </w:pPr>
          </w:p>
        </w:tc>
        <w:tc>
          <w:tcPr>
            <w:tcW w:w="1418"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天然气</w:t>
            </w:r>
          </w:p>
        </w:tc>
        <w:tc>
          <w:tcPr>
            <w:tcW w:w="1701" w:type="dxa"/>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86.4</w:t>
            </w:r>
            <w:r>
              <w:rPr>
                <w:rFonts w:hint="eastAsia"/>
                <w:bCs/>
                <w:color w:val="000000" w:themeColor="text1"/>
                <w:szCs w:val="21"/>
              </w:rPr>
              <w:t>万</w:t>
            </w:r>
            <w:r>
              <w:rPr>
                <w:rFonts w:hint="eastAsia"/>
                <w:bCs/>
                <w:color w:val="000000" w:themeColor="text1"/>
                <w:szCs w:val="21"/>
              </w:rPr>
              <w:t>Nm</w:t>
            </w:r>
            <w:r>
              <w:rPr>
                <w:rFonts w:hint="eastAsia"/>
                <w:bCs/>
                <w:color w:val="000000" w:themeColor="text1"/>
                <w:szCs w:val="21"/>
                <w:vertAlign w:val="superscript"/>
              </w:rPr>
              <w:t>3</w:t>
            </w:r>
            <w:r>
              <w:rPr>
                <w:rFonts w:hint="eastAsia"/>
                <w:bCs/>
                <w:color w:val="000000" w:themeColor="text1"/>
                <w:szCs w:val="21"/>
              </w:rPr>
              <w:t>/a</w:t>
            </w:r>
          </w:p>
        </w:tc>
        <w:tc>
          <w:tcPr>
            <w:tcW w:w="1559" w:type="dxa"/>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w:t>
            </w:r>
          </w:p>
        </w:tc>
        <w:tc>
          <w:tcPr>
            <w:tcW w:w="2268" w:type="dxa"/>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c>
          <w:tcPr>
            <w:tcW w:w="709" w:type="dxa"/>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c>
          <w:tcPr>
            <w:tcW w:w="1134" w:type="dxa"/>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c>
          <w:tcPr>
            <w:tcW w:w="1134" w:type="dxa"/>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c>
          <w:tcPr>
            <w:tcW w:w="1701"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市政提供</w:t>
            </w:r>
          </w:p>
        </w:tc>
        <w:tc>
          <w:tcPr>
            <w:tcW w:w="1984" w:type="dxa"/>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r>
      <w:tr w:rsidR="00644456">
        <w:trPr>
          <w:jc w:val="center"/>
        </w:trPr>
        <w:tc>
          <w:tcPr>
            <w:tcW w:w="1276"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水</w:t>
            </w:r>
          </w:p>
        </w:tc>
        <w:tc>
          <w:tcPr>
            <w:tcW w:w="1418"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新鲜水</w:t>
            </w:r>
          </w:p>
        </w:tc>
        <w:tc>
          <w:tcPr>
            <w:tcW w:w="1701" w:type="dxa"/>
            <w:vAlign w:val="center"/>
          </w:tcPr>
          <w:p w:rsidR="00644456" w:rsidRDefault="00E53F77">
            <w:pPr>
              <w:kinsoku w:val="0"/>
              <w:wordWrap w:val="0"/>
              <w:adjustRightInd w:val="0"/>
              <w:snapToGrid w:val="0"/>
              <w:jc w:val="center"/>
              <w:rPr>
                <w:bCs/>
                <w:color w:val="000000" w:themeColor="text1"/>
                <w:szCs w:val="21"/>
              </w:rPr>
            </w:pPr>
            <w:r w:rsidRPr="00E53F77">
              <w:rPr>
                <w:bCs/>
                <w:color w:val="000000" w:themeColor="text1"/>
                <w:szCs w:val="21"/>
              </w:rPr>
              <w:t>4850.25</w:t>
            </w:r>
            <w:r w:rsidR="008031C4">
              <w:rPr>
                <w:rFonts w:hint="eastAsia"/>
                <w:bCs/>
                <w:color w:val="000000" w:themeColor="text1"/>
                <w:szCs w:val="21"/>
              </w:rPr>
              <w:t>m</w:t>
            </w:r>
            <w:r w:rsidR="008031C4" w:rsidRPr="006214B2">
              <w:rPr>
                <w:rFonts w:hint="eastAsia"/>
                <w:bCs/>
                <w:color w:val="000000" w:themeColor="text1"/>
                <w:szCs w:val="21"/>
                <w:vertAlign w:val="superscript"/>
              </w:rPr>
              <w:t>3</w:t>
            </w:r>
          </w:p>
        </w:tc>
        <w:tc>
          <w:tcPr>
            <w:tcW w:w="1559"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c>
          <w:tcPr>
            <w:tcW w:w="2268" w:type="dxa"/>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c>
          <w:tcPr>
            <w:tcW w:w="709" w:type="dxa"/>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c>
          <w:tcPr>
            <w:tcW w:w="1134" w:type="dxa"/>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c>
          <w:tcPr>
            <w:tcW w:w="1134" w:type="dxa"/>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c>
          <w:tcPr>
            <w:tcW w:w="1701"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市政提供</w:t>
            </w:r>
          </w:p>
        </w:tc>
        <w:tc>
          <w:tcPr>
            <w:tcW w:w="1984" w:type="dxa"/>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p>
        </w:tc>
      </w:tr>
      <w:bookmarkEnd w:id="127"/>
      <w:bookmarkEnd w:id="128"/>
    </w:tbl>
    <w:p w:rsidR="00644456" w:rsidRDefault="00644456">
      <w:pPr>
        <w:spacing w:line="360" w:lineRule="auto"/>
        <w:ind w:firstLineChars="200" w:firstLine="482"/>
        <w:rPr>
          <w:rFonts w:cs="Times New Roman"/>
          <w:b/>
          <w:color w:val="000000" w:themeColor="text1"/>
          <w:sz w:val="24"/>
        </w:rPr>
        <w:sectPr w:rsidR="00644456">
          <w:pgSz w:w="16838" w:h="11905" w:orient="landscape"/>
          <w:pgMar w:top="1440" w:right="1440" w:bottom="1440" w:left="1440" w:header="851" w:footer="992" w:gutter="0"/>
          <w:cols w:space="0"/>
          <w:docGrid w:linePitch="312"/>
        </w:sectPr>
      </w:pPr>
    </w:p>
    <w:p w:rsidR="00644456" w:rsidRDefault="008031C4">
      <w:pPr>
        <w:adjustRightInd w:val="0"/>
        <w:snapToGrid w:val="0"/>
        <w:spacing w:line="360" w:lineRule="auto"/>
        <w:ind w:firstLine="480"/>
        <w:rPr>
          <w:rFonts w:cs="Times New Roman"/>
          <w:b/>
          <w:bCs/>
          <w:color w:val="000000" w:themeColor="text1"/>
          <w:sz w:val="24"/>
          <w:szCs w:val="24"/>
        </w:rPr>
      </w:pPr>
      <w:r>
        <w:rPr>
          <w:rFonts w:cs="Times New Roman"/>
          <w:b/>
          <w:bCs/>
          <w:color w:val="000000" w:themeColor="text1"/>
          <w:sz w:val="24"/>
          <w:szCs w:val="24"/>
        </w:rPr>
        <w:lastRenderedPageBreak/>
        <w:t>主要理化性质：</w:t>
      </w:r>
    </w:p>
    <w:p w:rsidR="00644456" w:rsidRDefault="008031C4">
      <w:pPr>
        <w:pStyle w:val="32"/>
        <w:adjustRightInd w:val="0"/>
        <w:snapToGrid w:val="0"/>
        <w:spacing w:after="0" w:line="348" w:lineRule="auto"/>
        <w:ind w:firstLineChars="200" w:firstLine="482"/>
        <w:rPr>
          <w:rFonts w:cs="Times New Roman"/>
          <w:b/>
          <w:bCs/>
          <w:color w:val="000000" w:themeColor="text1"/>
          <w:sz w:val="24"/>
          <w:szCs w:val="22"/>
        </w:rPr>
      </w:pPr>
      <w:r>
        <w:rPr>
          <w:rFonts w:cs="Times New Roman" w:hint="eastAsia"/>
          <w:b/>
          <w:bCs/>
          <w:color w:val="000000" w:themeColor="text1"/>
          <w:sz w:val="24"/>
          <w:szCs w:val="22"/>
        </w:rPr>
        <w:t>（</w:t>
      </w:r>
      <w:r>
        <w:rPr>
          <w:rFonts w:cs="Times New Roman" w:hint="eastAsia"/>
          <w:b/>
          <w:bCs/>
          <w:color w:val="000000" w:themeColor="text1"/>
          <w:sz w:val="24"/>
          <w:szCs w:val="22"/>
        </w:rPr>
        <w:t>1</w:t>
      </w:r>
      <w:r>
        <w:rPr>
          <w:rFonts w:cs="Times New Roman" w:hint="eastAsia"/>
          <w:b/>
          <w:bCs/>
          <w:color w:val="000000" w:themeColor="text1"/>
          <w:sz w:val="24"/>
          <w:szCs w:val="22"/>
        </w:rPr>
        <w:t>）废矿物油</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废矿物油主要是含碳原子数比较少的烃类物质，多数是不饱和烃，其主要成分是链长不等的碳氢化合物，性能稳定，根据《国家危险废物名录》，其属于危险废物（</w:t>
      </w:r>
      <w:r>
        <w:rPr>
          <w:rFonts w:cs="Times New Roman" w:hint="eastAsia"/>
          <w:color w:val="000000" w:themeColor="text1"/>
          <w:sz w:val="24"/>
          <w:szCs w:val="22"/>
        </w:rPr>
        <w:t>HW08</w:t>
      </w:r>
      <w:r>
        <w:rPr>
          <w:rFonts w:cs="Times New Roman" w:hint="eastAsia"/>
          <w:color w:val="000000" w:themeColor="text1"/>
          <w:sz w:val="24"/>
          <w:szCs w:val="22"/>
        </w:rPr>
        <w:t>），其主要的理化性质及毒性见表</w:t>
      </w:r>
      <w:r>
        <w:rPr>
          <w:rFonts w:cs="Times New Roman" w:hint="eastAsia"/>
          <w:color w:val="000000" w:themeColor="text1"/>
          <w:sz w:val="24"/>
          <w:szCs w:val="22"/>
        </w:rPr>
        <w:t>2.4-4</w:t>
      </w:r>
      <w:r>
        <w:rPr>
          <w:rFonts w:cs="Times New Roman" w:hint="eastAsia"/>
          <w:color w:val="000000" w:themeColor="text1"/>
          <w:sz w:val="24"/>
          <w:szCs w:val="22"/>
        </w:rPr>
        <w:t>。</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2.4-4</w:t>
      </w:r>
      <w:r>
        <w:rPr>
          <w:rFonts w:cs="Times New Roman" w:hint="eastAsia"/>
          <w:b/>
          <w:color w:val="000000" w:themeColor="text1"/>
          <w:sz w:val="24"/>
          <w:szCs w:val="20"/>
        </w:rPr>
        <w:t>废矿物油理化性质一览表</w:t>
      </w:r>
    </w:p>
    <w:tbl>
      <w:tblPr>
        <w:tblStyle w:val="affff4"/>
        <w:tblW w:w="0" w:type="auto"/>
        <w:tblLook w:val="04A0" w:firstRow="1" w:lastRow="0" w:firstColumn="1" w:lastColumn="0" w:noHBand="0" w:noVBand="1"/>
      </w:tblPr>
      <w:tblGrid>
        <w:gridCol w:w="704"/>
        <w:gridCol w:w="1418"/>
        <w:gridCol w:w="2835"/>
        <w:gridCol w:w="1275"/>
        <w:gridCol w:w="2783"/>
      </w:tblGrid>
      <w:tr w:rsidR="00644456">
        <w:tc>
          <w:tcPr>
            <w:tcW w:w="704"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标识</w:t>
            </w:r>
          </w:p>
        </w:tc>
        <w:tc>
          <w:tcPr>
            <w:tcW w:w="1418"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中文名</w:t>
            </w:r>
          </w:p>
        </w:tc>
        <w:tc>
          <w:tcPr>
            <w:tcW w:w="2835"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废矿物油</w:t>
            </w:r>
          </w:p>
        </w:tc>
        <w:tc>
          <w:tcPr>
            <w:tcW w:w="1275"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危险特性</w:t>
            </w:r>
          </w:p>
        </w:tc>
        <w:tc>
          <w:tcPr>
            <w:tcW w:w="2783"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T</w:t>
            </w:r>
          </w:p>
        </w:tc>
      </w:tr>
      <w:tr w:rsidR="00644456">
        <w:tc>
          <w:tcPr>
            <w:tcW w:w="704" w:type="dxa"/>
            <w:vMerge w:val="restart"/>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理化</w:t>
            </w:r>
          </w:p>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性质</w:t>
            </w:r>
          </w:p>
        </w:tc>
        <w:tc>
          <w:tcPr>
            <w:tcW w:w="1418"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熔点（℃）</w:t>
            </w:r>
          </w:p>
        </w:tc>
        <w:tc>
          <w:tcPr>
            <w:tcW w:w="2835" w:type="dxa"/>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-10-30</w:t>
            </w:r>
          </w:p>
        </w:tc>
        <w:tc>
          <w:tcPr>
            <w:tcW w:w="1275"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相对分子量</w:t>
            </w:r>
          </w:p>
        </w:tc>
        <w:tc>
          <w:tcPr>
            <w:tcW w:w="2783" w:type="dxa"/>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300-500</w:t>
            </w:r>
          </w:p>
        </w:tc>
      </w:tr>
      <w:tr w:rsidR="00644456">
        <w:tc>
          <w:tcPr>
            <w:tcW w:w="704" w:type="dxa"/>
            <w:vMerge/>
            <w:vAlign w:val="center"/>
          </w:tcPr>
          <w:p w:rsidR="00644456" w:rsidRDefault="00644456">
            <w:pPr>
              <w:kinsoku w:val="0"/>
              <w:wordWrap w:val="0"/>
              <w:adjustRightInd w:val="0"/>
              <w:snapToGrid w:val="0"/>
              <w:jc w:val="center"/>
              <w:rPr>
                <w:bCs/>
                <w:color w:val="000000" w:themeColor="text1"/>
                <w:szCs w:val="21"/>
              </w:rPr>
            </w:pPr>
          </w:p>
        </w:tc>
        <w:tc>
          <w:tcPr>
            <w:tcW w:w="1418"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沸点（℃）</w:t>
            </w:r>
          </w:p>
        </w:tc>
        <w:tc>
          <w:tcPr>
            <w:tcW w:w="2835" w:type="dxa"/>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250-535</w:t>
            </w:r>
          </w:p>
        </w:tc>
        <w:tc>
          <w:tcPr>
            <w:tcW w:w="1275"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运动黏度</w:t>
            </w:r>
          </w:p>
        </w:tc>
        <w:tc>
          <w:tcPr>
            <w:tcW w:w="2783"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5-30</w:t>
            </w:r>
            <w:r>
              <w:rPr>
                <w:rFonts w:hint="eastAsia"/>
                <w:bCs/>
                <w:color w:val="000000" w:themeColor="text1"/>
                <w:szCs w:val="21"/>
              </w:rPr>
              <w:t>（</w:t>
            </w:r>
            <w:r>
              <w:rPr>
                <w:rFonts w:hint="eastAsia"/>
                <w:bCs/>
                <w:color w:val="000000" w:themeColor="text1"/>
                <w:szCs w:val="21"/>
              </w:rPr>
              <w:t>100</w:t>
            </w:r>
            <w:r>
              <w:rPr>
                <w:rFonts w:hint="eastAsia"/>
                <w:bCs/>
                <w:color w:val="000000" w:themeColor="text1"/>
                <w:szCs w:val="21"/>
              </w:rPr>
              <w:t>℃，</w:t>
            </w:r>
            <w:r>
              <w:rPr>
                <w:rFonts w:hint="eastAsia"/>
                <w:bCs/>
                <w:color w:val="000000" w:themeColor="text1"/>
                <w:szCs w:val="21"/>
              </w:rPr>
              <w:t>mm2/s</w:t>
            </w:r>
            <w:r>
              <w:rPr>
                <w:rFonts w:hint="eastAsia"/>
                <w:bCs/>
                <w:color w:val="000000" w:themeColor="text1"/>
                <w:szCs w:val="21"/>
              </w:rPr>
              <w:t>）</w:t>
            </w:r>
          </w:p>
        </w:tc>
      </w:tr>
      <w:tr w:rsidR="00644456">
        <w:tc>
          <w:tcPr>
            <w:tcW w:w="704" w:type="dxa"/>
            <w:vMerge/>
            <w:vAlign w:val="center"/>
          </w:tcPr>
          <w:p w:rsidR="00644456" w:rsidRDefault="00644456">
            <w:pPr>
              <w:kinsoku w:val="0"/>
              <w:wordWrap w:val="0"/>
              <w:adjustRightInd w:val="0"/>
              <w:snapToGrid w:val="0"/>
              <w:jc w:val="center"/>
              <w:rPr>
                <w:bCs/>
                <w:color w:val="000000" w:themeColor="text1"/>
                <w:szCs w:val="21"/>
              </w:rPr>
            </w:pPr>
          </w:p>
        </w:tc>
        <w:tc>
          <w:tcPr>
            <w:tcW w:w="1418"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闪点</w:t>
            </w:r>
          </w:p>
        </w:tc>
        <w:tc>
          <w:tcPr>
            <w:tcW w:w="2835"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w:t>
            </w:r>
            <w:r>
              <w:rPr>
                <w:rFonts w:hint="eastAsia"/>
                <w:bCs/>
                <w:color w:val="000000" w:themeColor="text1"/>
                <w:szCs w:val="21"/>
              </w:rPr>
              <w:t>80</w:t>
            </w:r>
            <w:r>
              <w:rPr>
                <w:rFonts w:hint="eastAsia"/>
                <w:bCs/>
                <w:color w:val="000000" w:themeColor="text1"/>
                <w:szCs w:val="21"/>
              </w:rPr>
              <w:t>℃</w:t>
            </w:r>
          </w:p>
        </w:tc>
        <w:tc>
          <w:tcPr>
            <w:tcW w:w="1275"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相对密度</w:t>
            </w:r>
          </w:p>
        </w:tc>
        <w:tc>
          <w:tcPr>
            <w:tcW w:w="2783" w:type="dxa"/>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0.88-0.98g/cm3</w:t>
            </w:r>
          </w:p>
        </w:tc>
      </w:tr>
      <w:tr w:rsidR="00644456">
        <w:tc>
          <w:tcPr>
            <w:tcW w:w="704" w:type="dxa"/>
            <w:vMerge/>
            <w:vAlign w:val="center"/>
          </w:tcPr>
          <w:p w:rsidR="00644456" w:rsidRDefault="00644456">
            <w:pPr>
              <w:kinsoku w:val="0"/>
              <w:wordWrap w:val="0"/>
              <w:adjustRightInd w:val="0"/>
              <w:snapToGrid w:val="0"/>
              <w:jc w:val="center"/>
              <w:rPr>
                <w:bCs/>
                <w:color w:val="000000" w:themeColor="text1"/>
                <w:szCs w:val="21"/>
              </w:rPr>
            </w:pPr>
          </w:p>
        </w:tc>
        <w:tc>
          <w:tcPr>
            <w:tcW w:w="1418"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外观气味</w:t>
            </w:r>
          </w:p>
        </w:tc>
        <w:tc>
          <w:tcPr>
            <w:tcW w:w="2835"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浅黄色、黄色、棕色液体</w:t>
            </w:r>
          </w:p>
        </w:tc>
        <w:tc>
          <w:tcPr>
            <w:tcW w:w="1275"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溶解性</w:t>
            </w:r>
          </w:p>
        </w:tc>
        <w:tc>
          <w:tcPr>
            <w:tcW w:w="2783"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不溶于水</w:t>
            </w:r>
          </w:p>
        </w:tc>
      </w:tr>
      <w:tr w:rsidR="00644456">
        <w:tc>
          <w:tcPr>
            <w:tcW w:w="704" w:type="dxa"/>
            <w:vMerge/>
            <w:vAlign w:val="center"/>
          </w:tcPr>
          <w:p w:rsidR="00644456" w:rsidRDefault="00644456">
            <w:pPr>
              <w:kinsoku w:val="0"/>
              <w:wordWrap w:val="0"/>
              <w:adjustRightInd w:val="0"/>
              <w:snapToGrid w:val="0"/>
              <w:jc w:val="center"/>
              <w:rPr>
                <w:bCs/>
                <w:color w:val="000000" w:themeColor="text1"/>
                <w:szCs w:val="21"/>
              </w:rPr>
            </w:pPr>
          </w:p>
        </w:tc>
        <w:tc>
          <w:tcPr>
            <w:tcW w:w="1418"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主要成分</w:t>
            </w:r>
          </w:p>
        </w:tc>
        <w:tc>
          <w:tcPr>
            <w:tcW w:w="6893" w:type="dxa"/>
            <w:gridSpan w:val="3"/>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矿物油：链烷烃、环烷烃、芳烃等有机化合物和胶质。</w:t>
            </w:r>
          </w:p>
        </w:tc>
      </w:tr>
      <w:tr w:rsidR="00644456">
        <w:tc>
          <w:tcPr>
            <w:tcW w:w="704" w:type="dxa"/>
            <w:vMerge/>
            <w:vAlign w:val="center"/>
          </w:tcPr>
          <w:p w:rsidR="00644456" w:rsidRDefault="00644456">
            <w:pPr>
              <w:kinsoku w:val="0"/>
              <w:wordWrap w:val="0"/>
              <w:adjustRightInd w:val="0"/>
              <w:snapToGrid w:val="0"/>
              <w:jc w:val="center"/>
              <w:rPr>
                <w:bCs/>
                <w:color w:val="000000" w:themeColor="text1"/>
                <w:szCs w:val="21"/>
              </w:rPr>
            </w:pPr>
          </w:p>
        </w:tc>
        <w:tc>
          <w:tcPr>
            <w:tcW w:w="1418"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危害表现</w:t>
            </w:r>
          </w:p>
        </w:tc>
        <w:tc>
          <w:tcPr>
            <w:tcW w:w="6893" w:type="dxa"/>
            <w:gridSpan w:val="3"/>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遇明火、高热可燃。禁忌物：强氧化剂。</w:t>
            </w:r>
          </w:p>
        </w:tc>
      </w:tr>
    </w:tbl>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color w:val="000000" w:themeColor="text1"/>
          <w:sz w:val="24"/>
          <w:szCs w:val="22"/>
        </w:rPr>
        <w:t>本项目原料废矿物油主要有害成分为碳氢化合物、醇、醛、酯、芳香族、硫化物等，危险特性为易燃性</w:t>
      </w:r>
      <w:r>
        <w:rPr>
          <w:rFonts w:cs="Times New Roman" w:hint="eastAsia"/>
          <w:color w:val="000000" w:themeColor="text1"/>
          <w:sz w:val="24"/>
          <w:szCs w:val="22"/>
        </w:rPr>
        <w:t>（</w:t>
      </w:r>
      <w:r>
        <w:rPr>
          <w:rFonts w:cs="Times New Roman"/>
          <w:color w:val="000000" w:themeColor="text1"/>
          <w:sz w:val="24"/>
          <w:szCs w:val="22"/>
        </w:rPr>
        <w:t>I</w:t>
      </w:r>
      <w:r>
        <w:rPr>
          <w:rFonts w:cs="Times New Roman" w:hint="eastAsia"/>
          <w:color w:val="000000" w:themeColor="text1"/>
          <w:sz w:val="24"/>
          <w:szCs w:val="22"/>
        </w:rPr>
        <w:t>）</w:t>
      </w:r>
      <w:r>
        <w:rPr>
          <w:rFonts w:cs="Times New Roman"/>
          <w:color w:val="000000" w:themeColor="text1"/>
          <w:sz w:val="24"/>
          <w:szCs w:val="22"/>
        </w:rPr>
        <w:t>和毒性</w:t>
      </w:r>
      <w:r>
        <w:rPr>
          <w:rFonts w:cs="Times New Roman" w:hint="eastAsia"/>
          <w:color w:val="000000" w:themeColor="text1"/>
          <w:sz w:val="24"/>
          <w:szCs w:val="22"/>
        </w:rPr>
        <w:t>（</w:t>
      </w:r>
      <w:r>
        <w:rPr>
          <w:rFonts w:cs="Times New Roman"/>
          <w:color w:val="000000" w:themeColor="text1"/>
          <w:sz w:val="24"/>
          <w:szCs w:val="22"/>
        </w:rPr>
        <w:t>T</w:t>
      </w:r>
      <w:r>
        <w:rPr>
          <w:rFonts w:cs="Times New Roman" w:hint="eastAsia"/>
          <w:color w:val="000000" w:themeColor="text1"/>
          <w:sz w:val="24"/>
          <w:szCs w:val="22"/>
        </w:rPr>
        <w:t>）</w:t>
      </w:r>
      <w:r>
        <w:rPr>
          <w:rFonts w:cs="Times New Roman"/>
          <w:color w:val="000000" w:themeColor="text1"/>
          <w:sz w:val="24"/>
          <w:szCs w:val="22"/>
        </w:rPr>
        <w:t>。为保障生产稳定运行、保证产品质量，建设单位对废矿物油原料进行品质控制，在收购废矿物油前进行取样检测（便携式检测仪器），废矿物油油原料标准应符合国家技术监督局《废润滑油回收再生利用技术导则》（</w:t>
      </w:r>
      <w:r>
        <w:rPr>
          <w:rFonts w:cs="Times New Roman"/>
          <w:color w:val="000000" w:themeColor="text1"/>
          <w:sz w:val="24"/>
          <w:szCs w:val="22"/>
        </w:rPr>
        <w:t>GB/T17145-1997</w:t>
      </w:r>
      <w:r>
        <w:rPr>
          <w:rFonts w:cs="Times New Roman"/>
          <w:color w:val="000000" w:themeColor="text1"/>
          <w:sz w:val="24"/>
          <w:szCs w:val="22"/>
        </w:rPr>
        <w:t>）要求，</w:t>
      </w:r>
      <w:r>
        <w:rPr>
          <w:rFonts w:cs="Times New Roman"/>
          <w:b/>
          <w:bCs/>
          <w:color w:val="000000" w:themeColor="text1"/>
          <w:sz w:val="24"/>
          <w:szCs w:val="22"/>
        </w:rPr>
        <w:t>禁止收集含有多氯联苯的废矿物油。</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color w:val="000000" w:themeColor="text1"/>
          <w:sz w:val="24"/>
          <w:szCs w:val="22"/>
        </w:rPr>
        <w:t>根据本项目物料来源，主要</w:t>
      </w:r>
      <w:r>
        <w:rPr>
          <w:rFonts w:cs="Times New Roman" w:hint="eastAsia"/>
          <w:color w:val="000000" w:themeColor="text1"/>
          <w:sz w:val="24"/>
          <w:szCs w:val="22"/>
        </w:rPr>
        <w:t>涉及</w:t>
      </w:r>
      <w:r>
        <w:rPr>
          <w:rFonts w:cs="Times New Roman"/>
          <w:color w:val="000000" w:themeColor="text1"/>
          <w:sz w:val="24"/>
          <w:szCs w:val="22"/>
        </w:rPr>
        <w:t>汽车</w:t>
      </w:r>
      <w:r>
        <w:rPr>
          <w:rFonts w:cs="Times New Roman"/>
          <w:color w:val="000000" w:themeColor="text1"/>
          <w:sz w:val="24"/>
          <w:szCs w:val="22"/>
        </w:rPr>
        <w:t>4S</w:t>
      </w:r>
      <w:r>
        <w:rPr>
          <w:rFonts w:cs="Times New Roman"/>
          <w:color w:val="000000" w:themeColor="text1"/>
          <w:sz w:val="24"/>
          <w:szCs w:val="22"/>
        </w:rPr>
        <w:t>店</w:t>
      </w:r>
      <w:r>
        <w:rPr>
          <w:rFonts w:cs="Times New Roman" w:hint="eastAsia"/>
          <w:color w:val="000000" w:themeColor="text1"/>
          <w:sz w:val="24"/>
          <w:szCs w:val="22"/>
        </w:rPr>
        <w:t>等石油产品</w:t>
      </w:r>
      <w:r>
        <w:rPr>
          <w:rFonts w:cs="Times New Roman"/>
          <w:color w:val="000000" w:themeColor="text1"/>
          <w:sz w:val="24"/>
          <w:szCs w:val="22"/>
        </w:rPr>
        <w:t>销售单位，石油天然气开采单位及区域内的电厂、水泥及化工厂等生产性工业企业。根据各产危单位的性质，废矿物油的来源可大致划分三类，</w:t>
      </w:r>
      <w:r>
        <w:rPr>
          <w:rFonts w:cs="Times New Roman" w:hint="eastAsia"/>
          <w:color w:val="000000" w:themeColor="text1"/>
          <w:sz w:val="24"/>
          <w:szCs w:val="22"/>
        </w:rPr>
        <w:t>各类</w:t>
      </w:r>
      <w:r>
        <w:rPr>
          <w:rFonts w:cs="Times New Roman"/>
          <w:color w:val="000000" w:themeColor="text1"/>
          <w:sz w:val="24"/>
          <w:szCs w:val="22"/>
        </w:rPr>
        <w:t>拟回收的量及其含油率、含水率等情况详见表</w:t>
      </w:r>
      <w:r>
        <w:rPr>
          <w:rFonts w:cs="Times New Roman"/>
          <w:color w:val="000000" w:themeColor="text1"/>
          <w:sz w:val="24"/>
          <w:szCs w:val="22"/>
        </w:rPr>
        <w:t>2.4-8</w:t>
      </w:r>
      <w:r>
        <w:rPr>
          <w:rFonts w:cs="Times New Roman"/>
          <w:color w:val="000000" w:themeColor="text1"/>
          <w:sz w:val="24"/>
          <w:szCs w:val="22"/>
        </w:rPr>
        <w:t>。</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color w:val="000000" w:themeColor="text1"/>
          <w:sz w:val="24"/>
          <w:szCs w:val="22"/>
        </w:rPr>
        <w:t>根据本项目拟回收的物料的油、水，渣的分析数据，同时收集了同类废矿物油综合利用样品的分析报告统计数据、润滑油产品质量标准，除含油、含水、含固指标外，其他指标见表</w:t>
      </w:r>
      <w:r>
        <w:rPr>
          <w:rFonts w:cs="Times New Roman" w:hint="eastAsia"/>
          <w:color w:val="000000" w:themeColor="text1"/>
          <w:sz w:val="24"/>
          <w:szCs w:val="22"/>
        </w:rPr>
        <w:t>2.4-5</w:t>
      </w:r>
      <w:r>
        <w:rPr>
          <w:rFonts w:cs="Times New Roman"/>
          <w:color w:val="000000" w:themeColor="text1"/>
          <w:sz w:val="24"/>
          <w:szCs w:val="22"/>
        </w:rPr>
        <w:t>。</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2.4-5</w:t>
      </w:r>
      <w:r>
        <w:rPr>
          <w:rFonts w:cs="Times New Roman" w:hint="eastAsia"/>
          <w:b/>
          <w:color w:val="000000" w:themeColor="text1"/>
          <w:sz w:val="24"/>
          <w:szCs w:val="20"/>
        </w:rPr>
        <w:t>本项目回收废矿物油的最低指标</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35"/>
        <w:gridCol w:w="2755"/>
        <w:gridCol w:w="2472"/>
        <w:gridCol w:w="2253"/>
      </w:tblGrid>
      <w:tr w:rsidR="00644456">
        <w:trPr>
          <w:cantSplit/>
        </w:trPr>
        <w:tc>
          <w:tcPr>
            <w:tcW w:w="897" w:type="pct"/>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序号</w:t>
            </w:r>
          </w:p>
        </w:tc>
        <w:tc>
          <w:tcPr>
            <w:tcW w:w="1510" w:type="pct"/>
            <w:vAlign w:val="center"/>
          </w:tcPr>
          <w:p w:rsidR="00644456" w:rsidRDefault="008031C4">
            <w:pPr>
              <w:widowControl/>
              <w:kinsoku w:val="0"/>
              <w:wordWrap w:val="0"/>
              <w:adjustRightInd w:val="0"/>
              <w:snapToGrid w:val="0"/>
              <w:jc w:val="center"/>
              <w:rPr>
                <w:bCs/>
                <w:color w:val="000000" w:themeColor="text1"/>
                <w:szCs w:val="21"/>
              </w:rPr>
            </w:pPr>
            <w:r>
              <w:rPr>
                <w:bCs/>
                <w:color w:val="000000" w:themeColor="text1"/>
                <w:szCs w:val="21"/>
              </w:rPr>
              <w:t>项目</w:t>
            </w:r>
          </w:p>
        </w:tc>
        <w:tc>
          <w:tcPr>
            <w:tcW w:w="1355" w:type="pct"/>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指标</w:t>
            </w:r>
          </w:p>
        </w:tc>
        <w:tc>
          <w:tcPr>
            <w:tcW w:w="1236" w:type="pct"/>
            <w:vAlign w:val="center"/>
          </w:tcPr>
          <w:p w:rsidR="00644456" w:rsidRDefault="008031C4">
            <w:pPr>
              <w:widowControl/>
              <w:kinsoku w:val="0"/>
              <w:wordWrap w:val="0"/>
              <w:adjustRightInd w:val="0"/>
              <w:snapToGrid w:val="0"/>
              <w:jc w:val="center"/>
              <w:rPr>
                <w:bCs/>
                <w:color w:val="000000" w:themeColor="text1"/>
                <w:szCs w:val="21"/>
              </w:rPr>
            </w:pPr>
            <w:r>
              <w:rPr>
                <w:bCs/>
                <w:color w:val="000000" w:themeColor="text1"/>
                <w:szCs w:val="21"/>
              </w:rPr>
              <w:t>备注</w:t>
            </w:r>
          </w:p>
        </w:tc>
      </w:tr>
      <w:tr w:rsidR="00644456">
        <w:trPr>
          <w:cantSplit/>
        </w:trPr>
        <w:tc>
          <w:tcPr>
            <w:tcW w:w="897" w:type="pct"/>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1</w:t>
            </w:r>
          </w:p>
        </w:tc>
        <w:tc>
          <w:tcPr>
            <w:tcW w:w="1510" w:type="pct"/>
            <w:vAlign w:val="center"/>
          </w:tcPr>
          <w:p w:rsidR="00644456" w:rsidRDefault="008031C4">
            <w:pPr>
              <w:widowControl/>
              <w:kinsoku w:val="0"/>
              <w:wordWrap w:val="0"/>
              <w:adjustRightInd w:val="0"/>
              <w:snapToGrid w:val="0"/>
              <w:jc w:val="center"/>
              <w:rPr>
                <w:bCs/>
                <w:color w:val="000000" w:themeColor="text1"/>
                <w:szCs w:val="21"/>
              </w:rPr>
            </w:pPr>
            <w:r>
              <w:rPr>
                <w:bCs/>
                <w:color w:val="000000" w:themeColor="text1"/>
                <w:szCs w:val="21"/>
              </w:rPr>
              <w:t>密度（</w:t>
            </w:r>
            <w:r>
              <w:rPr>
                <w:bCs/>
                <w:color w:val="000000" w:themeColor="text1"/>
                <w:szCs w:val="21"/>
              </w:rPr>
              <w:t>20</w:t>
            </w:r>
            <w:r>
              <w:rPr>
                <w:rFonts w:ascii="宋体" w:hAnsi="宋体" w:cs="宋体" w:hint="eastAsia"/>
                <w:bCs/>
                <w:color w:val="000000" w:themeColor="text1"/>
                <w:szCs w:val="21"/>
              </w:rPr>
              <w:t>℃</w:t>
            </w:r>
            <w:r>
              <w:rPr>
                <w:bCs/>
                <w:color w:val="000000" w:themeColor="text1"/>
                <w:szCs w:val="21"/>
              </w:rPr>
              <w:t>），</w:t>
            </w:r>
            <w:r>
              <w:rPr>
                <w:bCs/>
                <w:color w:val="000000" w:themeColor="text1"/>
                <w:szCs w:val="21"/>
              </w:rPr>
              <w:t>kg/m3</w:t>
            </w:r>
          </w:p>
        </w:tc>
        <w:tc>
          <w:tcPr>
            <w:tcW w:w="1355" w:type="pct"/>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850~935</w:t>
            </w:r>
          </w:p>
        </w:tc>
        <w:tc>
          <w:tcPr>
            <w:tcW w:w="1236" w:type="pct"/>
            <w:vAlign w:val="center"/>
          </w:tcPr>
          <w:p w:rsidR="00644456" w:rsidRDefault="00644456">
            <w:pPr>
              <w:widowControl/>
              <w:kinsoku w:val="0"/>
              <w:wordWrap w:val="0"/>
              <w:adjustRightInd w:val="0"/>
              <w:snapToGrid w:val="0"/>
              <w:jc w:val="center"/>
              <w:rPr>
                <w:bCs/>
                <w:color w:val="000000" w:themeColor="text1"/>
                <w:szCs w:val="21"/>
              </w:rPr>
            </w:pPr>
          </w:p>
        </w:tc>
      </w:tr>
      <w:tr w:rsidR="00644456">
        <w:trPr>
          <w:cantSplit/>
        </w:trPr>
        <w:tc>
          <w:tcPr>
            <w:tcW w:w="897" w:type="pct"/>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2</w:t>
            </w:r>
          </w:p>
        </w:tc>
        <w:tc>
          <w:tcPr>
            <w:tcW w:w="1510" w:type="pct"/>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硫含量，</w:t>
            </w:r>
            <w:r>
              <w:rPr>
                <w:bCs/>
                <w:color w:val="000000" w:themeColor="text1"/>
                <w:szCs w:val="21"/>
              </w:rPr>
              <w:t>%</w:t>
            </w:r>
          </w:p>
        </w:tc>
        <w:tc>
          <w:tcPr>
            <w:tcW w:w="1355" w:type="pct"/>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w:t>
            </w:r>
            <w:r>
              <w:rPr>
                <w:bCs/>
                <w:color w:val="000000" w:themeColor="text1"/>
                <w:szCs w:val="21"/>
              </w:rPr>
              <w:t>0.03</w:t>
            </w:r>
          </w:p>
        </w:tc>
        <w:tc>
          <w:tcPr>
            <w:tcW w:w="1236" w:type="pct"/>
            <w:vAlign w:val="center"/>
          </w:tcPr>
          <w:p w:rsidR="00644456" w:rsidRDefault="00644456">
            <w:pPr>
              <w:widowControl/>
              <w:kinsoku w:val="0"/>
              <w:wordWrap w:val="0"/>
              <w:adjustRightInd w:val="0"/>
              <w:snapToGrid w:val="0"/>
              <w:jc w:val="center"/>
              <w:rPr>
                <w:bCs/>
                <w:color w:val="000000" w:themeColor="text1"/>
                <w:szCs w:val="21"/>
              </w:rPr>
            </w:pPr>
          </w:p>
        </w:tc>
      </w:tr>
      <w:tr w:rsidR="00644456">
        <w:trPr>
          <w:cantSplit/>
        </w:trPr>
        <w:tc>
          <w:tcPr>
            <w:tcW w:w="897" w:type="pct"/>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3</w:t>
            </w:r>
          </w:p>
        </w:tc>
        <w:tc>
          <w:tcPr>
            <w:tcW w:w="1510" w:type="pct"/>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闪点（闭口）</w:t>
            </w:r>
          </w:p>
        </w:tc>
        <w:tc>
          <w:tcPr>
            <w:tcW w:w="1355" w:type="pct"/>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60</w:t>
            </w:r>
          </w:p>
        </w:tc>
        <w:tc>
          <w:tcPr>
            <w:tcW w:w="1236" w:type="pct"/>
            <w:vAlign w:val="center"/>
          </w:tcPr>
          <w:p w:rsidR="00644456" w:rsidRDefault="00644456">
            <w:pPr>
              <w:widowControl/>
              <w:kinsoku w:val="0"/>
              <w:wordWrap w:val="0"/>
              <w:adjustRightInd w:val="0"/>
              <w:snapToGrid w:val="0"/>
              <w:jc w:val="center"/>
              <w:rPr>
                <w:bCs/>
                <w:color w:val="000000" w:themeColor="text1"/>
                <w:szCs w:val="21"/>
              </w:rPr>
            </w:pPr>
          </w:p>
        </w:tc>
      </w:tr>
    </w:tbl>
    <w:p w:rsidR="00E53F77" w:rsidRDefault="00E53F77">
      <w:pPr>
        <w:pStyle w:val="32"/>
        <w:adjustRightInd w:val="0"/>
        <w:snapToGrid w:val="0"/>
        <w:spacing w:after="0" w:line="348" w:lineRule="auto"/>
        <w:ind w:firstLineChars="200" w:firstLine="482"/>
        <w:rPr>
          <w:rFonts w:cs="Times New Roman"/>
          <w:b/>
          <w:bCs/>
          <w:color w:val="000000" w:themeColor="text1"/>
          <w:sz w:val="24"/>
          <w:szCs w:val="22"/>
        </w:rPr>
      </w:pPr>
      <w:r>
        <w:rPr>
          <w:rFonts w:cs="Times New Roman" w:hint="eastAsia"/>
          <w:b/>
          <w:bCs/>
          <w:color w:val="000000" w:themeColor="text1"/>
          <w:sz w:val="24"/>
          <w:szCs w:val="22"/>
        </w:rPr>
        <w:t>（</w:t>
      </w:r>
      <w:r>
        <w:rPr>
          <w:rFonts w:cs="Times New Roman" w:hint="eastAsia"/>
          <w:b/>
          <w:bCs/>
          <w:color w:val="000000" w:themeColor="text1"/>
          <w:sz w:val="24"/>
          <w:szCs w:val="22"/>
        </w:rPr>
        <w:t>2</w:t>
      </w:r>
      <w:r>
        <w:rPr>
          <w:rFonts w:cs="Times New Roman" w:hint="eastAsia"/>
          <w:b/>
          <w:bCs/>
          <w:color w:val="000000" w:themeColor="text1"/>
          <w:sz w:val="24"/>
          <w:szCs w:val="22"/>
        </w:rPr>
        <w:t>）导热油</w:t>
      </w:r>
    </w:p>
    <w:p w:rsidR="00E53F77" w:rsidRPr="00E53F77" w:rsidRDefault="00E53F77">
      <w:pPr>
        <w:pStyle w:val="32"/>
        <w:adjustRightInd w:val="0"/>
        <w:snapToGrid w:val="0"/>
        <w:spacing w:after="0" w:line="348" w:lineRule="auto"/>
        <w:ind w:firstLineChars="200" w:firstLine="480"/>
        <w:rPr>
          <w:rFonts w:cs="Times New Roman"/>
          <w:color w:val="000000" w:themeColor="text1"/>
          <w:sz w:val="24"/>
          <w:szCs w:val="22"/>
        </w:rPr>
      </w:pPr>
      <w:r w:rsidRPr="00E53F77">
        <w:rPr>
          <w:rFonts w:cs="Times New Roman" w:hint="eastAsia"/>
          <w:color w:val="000000" w:themeColor="text1"/>
          <w:sz w:val="24"/>
          <w:szCs w:val="22"/>
        </w:rPr>
        <w:t>导热油，是</w:t>
      </w:r>
      <w:r w:rsidRPr="00E53F77">
        <w:rPr>
          <w:rFonts w:cs="Times New Roman" w:hint="eastAsia"/>
          <w:color w:val="000000" w:themeColor="text1"/>
          <w:sz w:val="24"/>
          <w:szCs w:val="22"/>
        </w:rPr>
        <w:t>GB/T 4016-1983</w:t>
      </w:r>
      <w:r w:rsidRPr="00E53F77">
        <w:rPr>
          <w:rFonts w:cs="Times New Roman" w:hint="eastAsia"/>
          <w:color w:val="000000" w:themeColor="text1"/>
          <w:sz w:val="24"/>
          <w:szCs w:val="22"/>
        </w:rPr>
        <w:t>《石油产品名词术语》中“热载体油”的曾用名，英文名称为</w:t>
      </w:r>
      <w:r w:rsidRPr="00E53F77">
        <w:rPr>
          <w:rFonts w:cs="Times New Roman" w:hint="eastAsia"/>
          <w:color w:val="000000" w:themeColor="text1"/>
          <w:sz w:val="24"/>
          <w:szCs w:val="22"/>
        </w:rPr>
        <w:t>Heat transfer oil</w:t>
      </w:r>
      <w:r w:rsidRPr="00E53F77">
        <w:rPr>
          <w:rFonts w:cs="Times New Roman" w:hint="eastAsia"/>
          <w:color w:val="000000" w:themeColor="text1"/>
          <w:sz w:val="24"/>
          <w:szCs w:val="22"/>
        </w:rPr>
        <w:t>，用于间接传递热量的一类热稳定性较好的专用油品。</w:t>
      </w:r>
      <w:r w:rsidRPr="00E53F77">
        <w:rPr>
          <w:rFonts w:cs="Times New Roman" w:hint="eastAsia"/>
          <w:color w:val="000000" w:themeColor="text1"/>
          <w:sz w:val="24"/>
          <w:szCs w:val="22"/>
        </w:rPr>
        <w:t xml:space="preserve"> </w:t>
      </w:r>
      <w:r w:rsidRPr="00E53F77">
        <w:rPr>
          <w:rFonts w:cs="Times New Roman" w:hint="eastAsia"/>
          <w:color w:val="000000" w:themeColor="text1"/>
          <w:sz w:val="24"/>
          <w:szCs w:val="22"/>
        </w:rPr>
        <w:t>由于其具有加热均匀，调温控制准确，能在低蒸汽压下产生高温，传热效果好，节能，输送和操作方便等特点，近年来被广泛用于各种场合，而且其用途和用量越来越多。</w:t>
      </w:r>
    </w:p>
    <w:p w:rsidR="00E53F77" w:rsidRPr="00E53F77" w:rsidRDefault="00E53F77">
      <w:pPr>
        <w:pStyle w:val="32"/>
        <w:adjustRightInd w:val="0"/>
        <w:snapToGrid w:val="0"/>
        <w:spacing w:after="0" w:line="348" w:lineRule="auto"/>
        <w:ind w:firstLineChars="200" w:firstLine="480"/>
        <w:rPr>
          <w:rFonts w:cs="Times New Roman"/>
          <w:color w:val="000000" w:themeColor="text1"/>
          <w:sz w:val="24"/>
          <w:szCs w:val="22"/>
        </w:rPr>
      </w:pPr>
      <w:r w:rsidRPr="00E53F77">
        <w:rPr>
          <w:rFonts w:cs="Times New Roman" w:hint="eastAsia"/>
          <w:color w:val="000000" w:themeColor="text1"/>
          <w:sz w:val="24"/>
          <w:szCs w:val="22"/>
        </w:rPr>
        <w:t>导热油具有抗热裂化和化学氧化的性能，传热效率好，散热快，热稳定性很好。导</w:t>
      </w:r>
      <w:r w:rsidRPr="00E53F77">
        <w:rPr>
          <w:rFonts w:cs="Times New Roman" w:hint="eastAsia"/>
          <w:color w:val="000000" w:themeColor="text1"/>
          <w:sz w:val="24"/>
          <w:szCs w:val="22"/>
        </w:rPr>
        <w:lastRenderedPageBreak/>
        <w:t>热油作为工业油传热介质具有以下特点：在几乎常压的条件下，可以获得很高的操作温度。即可以大大降低高温加热系统的操作压力和安全要求，提高了系统和设备的可靠性；可以在更宽的温度范围内满足不同温度加热、冷却的工艺需求，或在同一个系统中用同一种导热油同时实现高温加热和低温冷却的工艺要求。</w:t>
      </w:r>
    </w:p>
    <w:p w:rsidR="00644456" w:rsidRPr="00E53F77" w:rsidRDefault="008031C4">
      <w:pPr>
        <w:pStyle w:val="32"/>
        <w:adjustRightInd w:val="0"/>
        <w:snapToGrid w:val="0"/>
        <w:spacing w:after="0" w:line="348" w:lineRule="auto"/>
        <w:ind w:firstLineChars="200" w:firstLine="482"/>
        <w:rPr>
          <w:rFonts w:cs="Times New Roman"/>
          <w:b/>
          <w:bCs/>
          <w:color w:val="000000" w:themeColor="text1"/>
          <w:sz w:val="24"/>
          <w:szCs w:val="22"/>
        </w:rPr>
      </w:pPr>
      <w:r w:rsidRPr="00E53F77">
        <w:rPr>
          <w:rFonts w:cs="Times New Roman" w:hint="eastAsia"/>
          <w:b/>
          <w:bCs/>
          <w:color w:val="000000" w:themeColor="text1"/>
          <w:sz w:val="24"/>
          <w:szCs w:val="22"/>
        </w:rPr>
        <w:t>（</w:t>
      </w:r>
      <w:r w:rsidRPr="00E53F77">
        <w:rPr>
          <w:rFonts w:cs="Times New Roman" w:hint="eastAsia"/>
          <w:b/>
          <w:bCs/>
          <w:color w:val="000000" w:themeColor="text1"/>
          <w:sz w:val="24"/>
          <w:szCs w:val="22"/>
        </w:rPr>
        <w:t>3</w:t>
      </w:r>
      <w:r w:rsidRPr="00E53F77">
        <w:rPr>
          <w:rFonts w:cs="Times New Roman" w:hint="eastAsia"/>
          <w:b/>
          <w:bCs/>
          <w:color w:val="000000" w:themeColor="text1"/>
          <w:sz w:val="24"/>
          <w:szCs w:val="22"/>
        </w:rPr>
        <w:t>）石油磺酸钠</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石油磺酸钠是一种无机物，分子式为</w:t>
      </w:r>
      <w:r>
        <w:rPr>
          <w:rFonts w:cs="Times New Roman" w:hint="eastAsia"/>
          <w:color w:val="000000" w:themeColor="text1"/>
          <w:sz w:val="24"/>
          <w:szCs w:val="22"/>
        </w:rPr>
        <w:t>RSO3Na(R=C14~C22</w:t>
      </w:r>
      <w:r>
        <w:rPr>
          <w:rFonts w:cs="Times New Roman" w:hint="eastAsia"/>
          <w:color w:val="000000" w:themeColor="text1"/>
          <w:sz w:val="24"/>
          <w:szCs w:val="22"/>
        </w:rPr>
        <w:t>烷基</w:t>
      </w:r>
      <w:r>
        <w:rPr>
          <w:rFonts w:cs="Times New Roman" w:hint="eastAsia"/>
          <w:color w:val="000000" w:themeColor="text1"/>
          <w:sz w:val="24"/>
          <w:szCs w:val="22"/>
        </w:rPr>
        <w:t>)</w:t>
      </w:r>
      <w:r>
        <w:rPr>
          <w:rFonts w:cs="Times New Roman" w:hint="eastAsia"/>
          <w:color w:val="000000" w:themeColor="text1"/>
          <w:sz w:val="24"/>
          <w:szCs w:val="22"/>
        </w:rPr>
        <w:t>。主要用作纺织、印染助剂和液体洗涤剂，氯乙烯聚合用乳化剂，溶于水而成半透明液体，对酸碱和硬水都比较稳定，无毒。</w:t>
      </w:r>
    </w:p>
    <w:p w:rsidR="00644456" w:rsidRPr="00E53F77" w:rsidRDefault="008031C4" w:rsidP="00E53F77">
      <w:pPr>
        <w:pStyle w:val="32"/>
        <w:adjustRightInd w:val="0"/>
        <w:snapToGrid w:val="0"/>
        <w:spacing w:after="0" w:line="348" w:lineRule="auto"/>
        <w:ind w:firstLineChars="200" w:firstLine="482"/>
        <w:rPr>
          <w:rFonts w:cs="Times New Roman"/>
          <w:b/>
          <w:bCs/>
          <w:color w:val="000000" w:themeColor="text1"/>
          <w:sz w:val="24"/>
          <w:szCs w:val="22"/>
        </w:rPr>
      </w:pPr>
      <w:r w:rsidRPr="00E53F77">
        <w:rPr>
          <w:rFonts w:cs="Times New Roman" w:hint="eastAsia"/>
          <w:b/>
          <w:bCs/>
          <w:color w:val="000000" w:themeColor="text1"/>
          <w:sz w:val="24"/>
          <w:szCs w:val="22"/>
        </w:rPr>
        <w:t>（</w:t>
      </w:r>
      <w:r w:rsidR="00E53F77">
        <w:rPr>
          <w:rFonts w:cs="Times New Roman"/>
          <w:b/>
          <w:bCs/>
          <w:color w:val="000000" w:themeColor="text1"/>
          <w:sz w:val="24"/>
          <w:szCs w:val="22"/>
        </w:rPr>
        <w:t>4</w:t>
      </w:r>
      <w:r w:rsidRPr="00E53F77">
        <w:rPr>
          <w:rFonts w:cs="Times New Roman" w:hint="eastAsia"/>
          <w:b/>
          <w:bCs/>
          <w:color w:val="000000" w:themeColor="text1"/>
          <w:sz w:val="24"/>
          <w:szCs w:val="22"/>
        </w:rPr>
        <w:t>）片碱</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化学名氢氧化钠，白色半透明片状固体，相对密度</w:t>
      </w:r>
      <w:r>
        <w:rPr>
          <w:rFonts w:cs="Times New Roman" w:hint="eastAsia"/>
          <w:color w:val="000000" w:themeColor="text1"/>
          <w:sz w:val="24"/>
          <w:szCs w:val="22"/>
        </w:rPr>
        <w:t>2.130</w:t>
      </w:r>
      <w:r>
        <w:rPr>
          <w:rFonts w:cs="Times New Roman" w:hint="eastAsia"/>
          <w:color w:val="000000" w:themeColor="text1"/>
          <w:sz w:val="24"/>
          <w:szCs w:val="22"/>
        </w:rPr>
        <w:t>。熔点</w:t>
      </w:r>
      <w:r>
        <w:rPr>
          <w:rFonts w:cs="Times New Roman" w:hint="eastAsia"/>
          <w:color w:val="000000" w:themeColor="text1"/>
          <w:sz w:val="24"/>
          <w:szCs w:val="22"/>
        </w:rPr>
        <w:t>318.4</w:t>
      </w:r>
      <w:r>
        <w:rPr>
          <w:rFonts w:cs="Times New Roman" w:hint="eastAsia"/>
          <w:color w:val="000000" w:themeColor="text1"/>
          <w:sz w:val="24"/>
          <w:szCs w:val="22"/>
        </w:rPr>
        <w:t>℃。沸点</w:t>
      </w:r>
      <w:r>
        <w:rPr>
          <w:rFonts w:cs="Times New Roman" w:hint="eastAsia"/>
          <w:color w:val="000000" w:themeColor="text1"/>
          <w:sz w:val="24"/>
          <w:szCs w:val="22"/>
        </w:rPr>
        <w:t>1390</w:t>
      </w:r>
      <w:r>
        <w:rPr>
          <w:rFonts w:cs="Times New Roman" w:hint="eastAsia"/>
          <w:color w:val="000000" w:themeColor="text1"/>
          <w:sz w:val="24"/>
          <w:szCs w:val="22"/>
        </w:rPr>
        <w:t>℃。市售烧碱有固态和液态两种：纯固体烧碱呈白色，有块状、片状、棒状、粒状，质脆；纯液体烧碱为无色透明液体。固体烧碱有很强的吸湿性。易溶于水，溶解时放热，水溶液呈碱性，有滑腻感；溶于乙醇和甘油；不溶于丙酮、乙醚。腐蚀性极强，对纤维、皮肤、玻璃、陶瓷等有腐蚀作用。与金属铝和锌、非金属硼和硅等反应放出氢；与氯、溴、碘等卤素发生歧化反应；与酸类起中和作用而生成盐和水。</w:t>
      </w:r>
    </w:p>
    <w:p w:rsidR="00644456" w:rsidRPr="00E53F77" w:rsidRDefault="008031C4" w:rsidP="00E53F77">
      <w:pPr>
        <w:pStyle w:val="32"/>
        <w:adjustRightInd w:val="0"/>
        <w:snapToGrid w:val="0"/>
        <w:spacing w:after="0" w:line="348" w:lineRule="auto"/>
        <w:ind w:firstLineChars="200" w:firstLine="482"/>
        <w:rPr>
          <w:rFonts w:cs="Times New Roman"/>
          <w:b/>
          <w:bCs/>
          <w:color w:val="000000" w:themeColor="text1"/>
          <w:sz w:val="24"/>
          <w:szCs w:val="22"/>
        </w:rPr>
      </w:pPr>
      <w:r w:rsidRPr="00E53F77">
        <w:rPr>
          <w:rFonts w:cs="Times New Roman" w:hint="eastAsia"/>
          <w:b/>
          <w:bCs/>
          <w:color w:val="000000" w:themeColor="text1"/>
          <w:sz w:val="24"/>
          <w:szCs w:val="22"/>
        </w:rPr>
        <w:t>（</w:t>
      </w:r>
      <w:r w:rsidR="00E53F77">
        <w:rPr>
          <w:rFonts w:cs="Times New Roman"/>
          <w:b/>
          <w:bCs/>
          <w:color w:val="000000" w:themeColor="text1"/>
          <w:sz w:val="24"/>
          <w:szCs w:val="22"/>
        </w:rPr>
        <w:t>5</w:t>
      </w:r>
      <w:r w:rsidRPr="00E53F77">
        <w:rPr>
          <w:rFonts w:cs="Times New Roman" w:hint="eastAsia"/>
          <w:b/>
          <w:bCs/>
          <w:color w:val="000000" w:themeColor="text1"/>
          <w:sz w:val="24"/>
          <w:szCs w:val="22"/>
        </w:rPr>
        <w:t>）溶剂</w:t>
      </w:r>
      <w:r w:rsidRPr="00E53F77">
        <w:rPr>
          <w:rFonts w:cs="Times New Roman" w:hint="eastAsia"/>
          <w:b/>
          <w:bCs/>
          <w:color w:val="000000" w:themeColor="text1"/>
          <w:sz w:val="24"/>
          <w:szCs w:val="22"/>
        </w:rPr>
        <w:t>NMP</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NMP</w:t>
      </w:r>
      <w:r>
        <w:rPr>
          <w:rFonts w:cs="Times New Roman" w:hint="eastAsia"/>
          <w:color w:val="000000" w:themeColor="text1"/>
          <w:sz w:val="24"/>
          <w:szCs w:val="22"/>
        </w:rPr>
        <w:t>广泛用于高级润滑油精制、聚合物的合成、绝缘材料、农药、颜料、清洗剂等，在天然气制乙炔工业中用作乙炔及高级炔的吸收剂，其主要的理化性质见表</w:t>
      </w:r>
      <w:r>
        <w:rPr>
          <w:rFonts w:cs="Times New Roman" w:hint="eastAsia"/>
          <w:color w:val="000000" w:themeColor="text1"/>
          <w:sz w:val="24"/>
          <w:szCs w:val="22"/>
        </w:rPr>
        <w:t>2.4-6</w:t>
      </w:r>
      <w:r>
        <w:rPr>
          <w:rFonts w:cs="Times New Roman" w:hint="eastAsia"/>
          <w:color w:val="000000" w:themeColor="text1"/>
          <w:sz w:val="24"/>
          <w:szCs w:val="22"/>
        </w:rPr>
        <w:t>。</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2.4-6</w:t>
      </w:r>
      <w:r w:rsidR="00E53F77">
        <w:rPr>
          <w:rFonts w:cs="Times New Roman"/>
          <w:b/>
          <w:color w:val="000000" w:themeColor="text1"/>
          <w:sz w:val="24"/>
          <w:szCs w:val="20"/>
        </w:rPr>
        <w:t xml:space="preserve"> </w:t>
      </w:r>
      <w:r>
        <w:rPr>
          <w:rFonts w:cs="Times New Roman" w:hint="eastAsia"/>
          <w:b/>
          <w:color w:val="000000" w:themeColor="text1"/>
          <w:sz w:val="24"/>
          <w:szCs w:val="20"/>
        </w:rPr>
        <w:t>NMP</w:t>
      </w:r>
      <w:r>
        <w:rPr>
          <w:rFonts w:cs="Times New Roman" w:hint="eastAsia"/>
          <w:b/>
          <w:color w:val="000000" w:themeColor="text1"/>
          <w:sz w:val="24"/>
          <w:szCs w:val="20"/>
        </w:rPr>
        <w:t>理化性质一览表</w:t>
      </w:r>
    </w:p>
    <w:tbl>
      <w:tblPr>
        <w:tblStyle w:val="affff4"/>
        <w:tblW w:w="0" w:type="auto"/>
        <w:tblLook w:val="04A0" w:firstRow="1" w:lastRow="0" w:firstColumn="1" w:lastColumn="0" w:noHBand="0" w:noVBand="1"/>
      </w:tblPr>
      <w:tblGrid>
        <w:gridCol w:w="846"/>
        <w:gridCol w:w="1276"/>
        <w:gridCol w:w="2835"/>
        <w:gridCol w:w="1984"/>
        <w:gridCol w:w="2074"/>
      </w:tblGrid>
      <w:tr w:rsidR="00644456">
        <w:tc>
          <w:tcPr>
            <w:tcW w:w="846"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标识</w:t>
            </w:r>
          </w:p>
        </w:tc>
        <w:tc>
          <w:tcPr>
            <w:tcW w:w="1276"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中文名</w:t>
            </w:r>
          </w:p>
        </w:tc>
        <w:tc>
          <w:tcPr>
            <w:tcW w:w="2835"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N-</w:t>
            </w:r>
            <w:r>
              <w:rPr>
                <w:rFonts w:hint="eastAsia"/>
                <w:bCs/>
                <w:color w:val="000000" w:themeColor="text1"/>
                <w:szCs w:val="21"/>
              </w:rPr>
              <w:t>甲基吡咯烷酮</w:t>
            </w:r>
          </w:p>
        </w:tc>
        <w:tc>
          <w:tcPr>
            <w:tcW w:w="1984" w:type="dxa"/>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CASRN</w:t>
            </w:r>
          </w:p>
        </w:tc>
        <w:tc>
          <w:tcPr>
            <w:tcW w:w="2074" w:type="dxa"/>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872-50-4</w:t>
            </w:r>
          </w:p>
        </w:tc>
      </w:tr>
      <w:tr w:rsidR="00644456">
        <w:tc>
          <w:tcPr>
            <w:tcW w:w="846" w:type="dxa"/>
            <w:vMerge w:val="restart"/>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理化</w:t>
            </w:r>
          </w:p>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性质</w:t>
            </w:r>
          </w:p>
        </w:tc>
        <w:tc>
          <w:tcPr>
            <w:tcW w:w="1276"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分子式</w:t>
            </w:r>
          </w:p>
        </w:tc>
        <w:tc>
          <w:tcPr>
            <w:tcW w:w="2835" w:type="dxa"/>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C5H9NO</w:t>
            </w:r>
          </w:p>
        </w:tc>
        <w:tc>
          <w:tcPr>
            <w:tcW w:w="1984"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相对分子量</w:t>
            </w:r>
          </w:p>
        </w:tc>
        <w:tc>
          <w:tcPr>
            <w:tcW w:w="2074" w:type="dxa"/>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99.13</w:t>
            </w:r>
          </w:p>
        </w:tc>
      </w:tr>
      <w:tr w:rsidR="00644456">
        <w:tc>
          <w:tcPr>
            <w:tcW w:w="846" w:type="dxa"/>
            <w:vMerge/>
            <w:vAlign w:val="center"/>
          </w:tcPr>
          <w:p w:rsidR="00644456" w:rsidRDefault="00644456">
            <w:pPr>
              <w:kinsoku w:val="0"/>
              <w:wordWrap w:val="0"/>
              <w:adjustRightInd w:val="0"/>
              <w:snapToGrid w:val="0"/>
              <w:jc w:val="center"/>
              <w:rPr>
                <w:bCs/>
                <w:color w:val="000000" w:themeColor="text1"/>
                <w:szCs w:val="21"/>
              </w:rPr>
            </w:pPr>
          </w:p>
        </w:tc>
        <w:tc>
          <w:tcPr>
            <w:tcW w:w="1276"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熔点（℃）</w:t>
            </w:r>
          </w:p>
        </w:tc>
        <w:tc>
          <w:tcPr>
            <w:tcW w:w="2835"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-24.4</w:t>
            </w:r>
            <w:r>
              <w:rPr>
                <w:rFonts w:hint="eastAsia"/>
                <w:bCs/>
                <w:color w:val="000000" w:themeColor="text1"/>
                <w:szCs w:val="21"/>
              </w:rPr>
              <w:t>℃</w:t>
            </w:r>
          </w:p>
        </w:tc>
        <w:tc>
          <w:tcPr>
            <w:tcW w:w="1984"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沸点（℃）</w:t>
            </w:r>
          </w:p>
        </w:tc>
        <w:tc>
          <w:tcPr>
            <w:tcW w:w="2074"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204</w:t>
            </w:r>
            <w:r>
              <w:rPr>
                <w:rFonts w:hint="eastAsia"/>
                <w:bCs/>
                <w:color w:val="000000" w:themeColor="text1"/>
                <w:szCs w:val="21"/>
              </w:rPr>
              <w:t>℃</w:t>
            </w:r>
            <w:r>
              <w:rPr>
                <w:rFonts w:hint="eastAsia"/>
                <w:bCs/>
                <w:color w:val="000000" w:themeColor="text1"/>
                <w:szCs w:val="21"/>
              </w:rPr>
              <w:t>101.3kPa</w:t>
            </w:r>
          </w:p>
        </w:tc>
      </w:tr>
      <w:tr w:rsidR="00644456">
        <w:tc>
          <w:tcPr>
            <w:tcW w:w="846" w:type="dxa"/>
            <w:vMerge/>
            <w:vAlign w:val="center"/>
          </w:tcPr>
          <w:p w:rsidR="00644456" w:rsidRDefault="00644456">
            <w:pPr>
              <w:kinsoku w:val="0"/>
              <w:wordWrap w:val="0"/>
              <w:adjustRightInd w:val="0"/>
              <w:snapToGrid w:val="0"/>
              <w:jc w:val="center"/>
              <w:rPr>
                <w:bCs/>
                <w:color w:val="000000" w:themeColor="text1"/>
                <w:szCs w:val="21"/>
              </w:rPr>
            </w:pPr>
          </w:p>
        </w:tc>
        <w:tc>
          <w:tcPr>
            <w:tcW w:w="1276"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相对密度</w:t>
            </w:r>
          </w:p>
        </w:tc>
        <w:tc>
          <w:tcPr>
            <w:tcW w:w="2835" w:type="dxa"/>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1.0280</w:t>
            </w:r>
          </w:p>
        </w:tc>
        <w:tc>
          <w:tcPr>
            <w:tcW w:w="1984"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折射率</w:t>
            </w:r>
          </w:p>
        </w:tc>
        <w:tc>
          <w:tcPr>
            <w:tcW w:w="2074" w:type="dxa"/>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1.4680</w:t>
            </w:r>
          </w:p>
        </w:tc>
      </w:tr>
      <w:tr w:rsidR="00644456">
        <w:tc>
          <w:tcPr>
            <w:tcW w:w="846" w:type="dxa"/>
            <w:vMerge/>
            <w:vAlign w:val="center"/>
          </w:tcPr>
          <w:p w:rsidR="00644456" w:rsidRDefault="00644456">
            <w:pPr>
              <w:kinsoku w:val="0"/>
              <w:wordWrap w:val="0"/>
              <w:adjustRightInd w:val="0"/>
              <w:snapToGrid w:val="0"/>
              <w:jc w:val="center"/>
              <w:rPr>
                <w:bCs/>
                <w:color w:val="000000" w:themeColor="text1"/>
                <w:szCs w:val="21"/>
              </w:rPr>
            </w:pPr>
          </w:p>
        </w:tc>
        <w:tc>
          <w:tcPr>
            <w:tcW w:w="1276"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闪点</w:t>
            </w:r>
          </w:p>
        </w:tc>
        <w:tc>
          <w:tcPr>
            <w:tcW w:w="2835"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95</w:t>
            </w:r>
            <w:r>
              <w:rPr>
                <w:rFonts w:hint="eastAsia"/>
                <w:bCs/>
                <w:color w:val="000000" w:themeColor="text1"/>
                <w:szCs w:val="21"/>
              </w:rPr>
              <w:t>℃</w:t>
            </w:r>
          </w:p>
        </w:tc>
        <w:tc>
          <w:tcPr>
            <w:tcW w:w="1984"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临界温度</w:t>
            </w:r>
          </w:p>
        </w:tc>
        <w:tc>
          <w:tcPr>
            <w:tcW w:w="2074"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445</w:t>
            </w:r>
            <w:r>
              <w:rPr>
                <w:rFonts w:hint="eastAsia"/>
                <w:bCs/>
                <w:color w:val="000000" w:themeColor="text1"/>
                <w:szCs w:val="21"/>
              </w:rPr>
              <w:t>℃</w:t>
            </w:r>
          </w:p>
        </w:tc>
      </w:tr>
      <w:tr w:rsidR="00644456">
        <w:tc>
          <w:tcPr>
            <w:tcW w:w="846" w:type="dxa"/>
            <w:vMerge/>
            <w:vAlign w:val="center"/>
          </w:tcPr>
          <w:p w:rsidR="00644456" w:rsidRDefault="00644456">
            <w:pPr>
              <w:kinsoku w:val="0"/>
              <w:wordWrap w:val="0"/>
              <w:adjustRightInd w:val="0"/>
              <w:snapToGrid w:val="0"/>
              <w:jc w:val="center"/>
              <w:rPr>
                <w:bCs/>
                <w:color w:val="000000" w:themeColor="text1"/>
                <w:szCs w:val="21"/>
              </w:rPr>
            </w:pPr>
          </w:p>
        </w:tc>
        <w:tc>
          <w:tcPr>
            <w:tcW w:w="1276"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临界压力</w:t>
            </w:r>
          </w:p>
        </w:tc>
        <w:tc>
          <w:tcPr>
            <w:tcW w:w="2835" w:type="dxa"/>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4.76MP</w:t>
            </w:r>
          </w:p>
        </w:tc>
        <w:tc>
          <w:tcPr>
            <w:tcW w:w="1984"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黏度</w:t>
            </w:r>
          </w:p>
        </w:tc>
        <w:tc>
          <w:tcPr>
            <w:tcW w:w="2074" w:type="dxa"/>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1.65mPa.s</w:t>
            </w:r>
          </w:p>
        </w:tc>
      </w:tr>
      <w:tr w:rsidR="00644456">
        <w:tc>
          <w:tcPr>
            <w:tcW w:w="846" w:type="dxa"/>
            <w:vMerge/>
            <w:vAlign w:val="center"/>
          </w:tcPr>
          <w:p w:rsidR="00644456" w:rsidRDefault="00644456">
            <w:pPr>
              <w:kinsoku w:val="0"/>
              <w:wordWrap w:val="0"/>
              <w:adjustRightInd w:val="0"/>
              <w:snapToGrid w:val="0"/>
              <w:jc w:val="center"/>
              <w:rPr>
                <w:bCs/>
                <w:color w:val="000000" w:themeColor="text1"/>
                <w:szCs w:val="21"/>
              </w:rPr>
            </w:pPr>
          </w:p>
        </w:tc>
        <w:tc>
          <w:tcPr>
            <w:tcW w:w="1276"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燃点</w:t>
            </w:r>
          </w:p>
        </w:tc>
        <w:tc>
          <w:tcPr>
            <w:tcW w:w="2835"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346</w:t>
            </w:r>
            <w:r>
              <w:rPr>
                <w:rFonts w:hint="eastAsia"/>
                <w:bCs/>
                <w:color w:val="000000" w:themeColor="text1"/>
                <w:szCs w:val="21"/>
              </w:rPr>
              <w:t>℃</w:t>
            </w:r>
          </w:p>
        </w:tc>
        <w:tc>
          <w:tcPr>
            <w:tcW w:w="1984"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燃烧热</w:t>
            </w:r>
          </w:p>
        </w:tc>
        <w:tc>
          <w:tcPr>
            <w:tcW w:w="2074" w:type="dxa"/>
            <w:vAlign w:val="center"/>
          </w:tcPr>
          <w:p w:rsidR="00644456" w:rsidRDefault="008031C4">
            <w:pPr>
              <w:kinsoku w:val="0"/>
              <w:wordWrap w:val="0"/>
              <w:adjustRightInd w:val="0"/>
              <w:snapToGrid w:val="0"/>
              <w:jc w:val="center"/>
              <w:rPr>
                <w:bCs/>
                <w:color w:val="000000" w:themeColor="text1"/>
                <w:szCs w:val="21"/>
              </w:rPr>
            </w:pPr>
            <w:r>
              <w:rPr>
                <w:bCs/>
                <w:color w:val="000000" w:themeColor="text1"/>
                <w:szCs w:val="21"/>
              </w:rPr>
              <w:t>3010KJ/kg</w:t>
            </w:r>
          </w:p>
        </w:tc>
      </w:tr>
      <w:tr w:rsidR="00644456">
        <w:tc>
          <w:tcPr>
            <w:tcW w:w="846" w:type="dxa"/>
            <w:vMerge/>
            <w:vAlign w:val="center"/>
          </w:tcPr>
          <w:p w:rsidR="00644456" w:rsidRDefault="00644456">
            <w:pPr>
              <w:kinsoku w:val="0"/>
              <w:wordWrap w:val="0"/>
              <w:adjustRightInd w:val="0"/>
              <w:snapToGrid w:val="0"/>
              <w:jc w:val="center"/>
              <w:rPr>
                <w:bCs/>
                <w:color w:val="000000" w:themeColor="text1"/>
                <w:szCs w:val="21"/>
              </w:rPr>
            </w:pPr>
          </w:p>
        </w:tc>
        <w:tc>
          <w:tcPr>
            <w:tcW w:w="1276"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溶解性</w:t>
            </w:r>
          </w:p>
        </w:tc>
        <w:tc>
          <w:tcPr>
            <w:tcW w:w="6893" w:type="dxa"/>
            <w:gridSpan w:val="3"/>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能与水、醇、醚、酯、酮、卤代烃、芳烃互溶。</w:t>
            </w:r>
          </w:p>
        </w:tc>
      </w:tr>
      <w:tr w:rsidR="00644456">
        <w:tc>
          <w:tcPr>
            <w:tcW w:w="846" w:type="dxa"/>
            <w:vMerge/>
            <w:vAlign w:val="center"/>
          </w:tcPr>
          <w:p w:rsidR="00644456" w:rsidRDefault="00644456">
            <w:pPr>
              <w:kinsoku w:val="0"/>
              <w:wordWrap w:val="0"/>
              <w:adjustRightInd w:val="0"/>
              <w:snapToGrid w:val="0"/>
              <w:jc w:val="center"/>
              <w:rPr>
                <w:bCs/>
                <w:color w:val="000000" w:themeColor="text1"/>
                <w:szCs w:val="21"/>
              </w:rPr>
            </w:pPr>
          </w:p>
        </w:tc>
        <w:tc>
          <w:tcPr>
            <w:tcW w:w="1276"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形状</w:t>
            </w:r>
          </w:p>
        </w:tc>
        <w:tc>
          <w:tcPr>
            <w:tcW w:w="6893" w:type="dxa"/>
            <w:gridSpan w:val="3"/>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无色透明油状液体，微有胺的气味</w:t>
            </w:r>
          </w:p>
        </w:tc>
      </w:tr>
      <w:tr w:rsidR="00644456">
        <w:tc>
          <w:tcPr>
            <w:tcW w:w="846" w:type="dxa"/>
            <w:vMerge w:val="restart"/>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危害特</w:t>
            </w:r>
          </w:p>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性</w:t>
            </w:r>
          </w:p>
        </w:tc>
        <w:tc>
          <w:tcPr>
            <w:tcW w:w="1276"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人体健康</w:t>
            </w:r>
          </w:p>
        </w:tc>
        <w:tc>
          <w:tcPr>
            <w:tcW w:w="6893" w:type="dxa"/>
            <w:gridSpan w:val="3"/>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NMP</w:t>
            </w:r>
            <w:r>
              <w:rPr>
                <w:rFonts w:hint="eastAsia"/>
                <w:bCs/>
                <w:color w:val="000000" w:themeColor="text1"/>
                <w:szCs w:val="21"/>
              </w:rPr>
              <w:t>是一种对生育能力有害的物</w:t>
            </w:r>
          </w:p>
        </w:tc>
      </w:tr>
      <w:tr w:rsidR="00644456">
        <w:tc>
          <w:tcPr>
            <w:tcW w:w="846" w:type="dxa"/>
            <w:vMerge/>
            <w:vAlign w:val="center"/>
          </w:tcPr>
          <w:p w:rsidR="00644456" w:rsidRDefault="00644456">
            <w:pPr>
              <w:kinsoku w:val="0"/>
              <w:wordWrap w:val="0"/>
              <w:adjustRightInd w:val="0"/>
              <w:snapToGrid w:val="0"/>
              <w:jc w:val="center"/>
              <w:rPr>
                <w:bCs/>
                <w:color w:val="000000" w:themeColor="text1"/>
                <w:szCs w:val="21"/>
              </w:rPr>
            </w:pPr>
          </w:p>
        </w:tc>
        <w:tc>
          <w:tcPr>
            <w:tcW w:w="1276" w:type="dxa"/>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环境危害</w:t>
            </w:r>
          </w:p>
        </w:tc>
        <w:tc>
          <w:tcPr>
            <w:tcW w:w="6893" w:type="dxa"/>
            <w:gridSpan w:val="3"/>
            <w:vAlign w:val="center"/>
          </w:tcPr>
          <w:p w:rsidR="00644456" w:rsidRDefault="008031C4">
            <w:pPr>
              <w:kinsoku w:val="0"/>
              <w:wordWrap w:val="0"/>
              <w:adjustRightInd w:val="0"/>
              <w:snapToGrid w:val="0"/>
              <w:jc w:val="center"/>
              <w:rPr>
                <w:bCs/>
                <w:color w:val="000000" w:themeColor="text1"/>
                <w:szCs w:val="21"/>
              </w:rPr>
            </w:pPr>
            <w:r>
              <w:rPr>
                <w:rFonts w:hint="eastAsia"/>
                <w:bCs/>
                <w:color w:val="000000" w:themeColor="text1"/>
                <w:szCs w:val="21"/>
              </w:rPr>
              <w:t>用过的，脏废的甲基吡咯烷酮因其沸点比较高，所以不能采用直接回收方法，可以通过溶剂回收系统，经真空减压加热，减压至</w:t>
            </w:r>
            <w:r>
              <w:rPr>
                <w:rFonts w:hint="eastAsia"/>
                <w:bCs/>
                <w:color w:val="000000" w:themeColor="text1"/>
                <w:szCs w:val="21"/>
              </w:rPr>
              <w:t>5KPa(A)</w:t>
            </w:r>
            <w:r>
              <w:rPr>
                <w:rFonts w:hint="eastAsia"/>
                <w:bCs/>
                <w:color w:val="000000" w:themeColor="text1"/>
                <w:szCs w:val="21"/>
              </w:rPr>
              <w:t>，加热至</w:t>
            </w:r>
            <w:r>
              <w:rPr>
                <w:rFonts w:hint="eastAsia"/>
                <w:bCs/>
                <w:color w:val="000000" w:themeColor="text1"/>
                <w:szCs w:val="21"/>
              </w:rPr>
              <w:t>130</w:t>
            </w:r>
            <w:r>
              <w:rPr>
                <w:rFonts w:hint="eastAsia"/>
                <w:bCs/>
                <w:color w:val="000000" w:themeColor="text1"/>
                <w:szCs w:val="21"/>
              </w:rPr>
              <w:t>℃</w:t>
            </w:r>
            <w:r>
              <w:rPr>
                <w:rFonts w:hint="eastAsia"/>
                <w:bCs/>
                <w:color w:val="000000" w:themeColor="text1"/>
                <w:szCs w:val="21"/>
              </w:rPr>
              <w:t>-150</w:t>
            </w:r>
            <w:r>
              <w:rPr>
                <w:rFonts w:hint="eastAsia"/>
                <w:bCs/>
                <w:color w:val="000000" w:themeColor="text1"/>
                <w:szCs w:val="21"/>
              </w:rPr>
              <w:t>℃可以将</w:t>
            </w:r>
            <w:r>
              <w:rPr>
                <w:rFonts w:hint="eastAsia"/>
                <w:bCs/>
                <w:color w:val="000000" w:themeColor="text1"/>
                <w:szCs w:val="21"/>
              </w:rPr>
              <w:t>NMP</w:t>
            </w:r>
            <w:r>
              <w:rPr>
                <w:rFonts w:hint="eastAsia"/>
                <w:bCs/>
                <w:color w:val="000000" w:themeColor="text1"/>
                <w:szCs w:val="21"/>
              </w:rPr>
              <w:t>回收，残余的</w:t>
            </w:r>
            <w:r>
              <w:rPr>
                <w:rFonts w:hint="eastAsia"/>
                <w:bCs/>
                <w:color w:val="000000" w:themeColor="text1"/>
                <w:szCs w:val="21"/>
              </w:rPr>
              <w:t>NMP</w:t>
            </w:r>
            <w:r>
              <w:rPr>
                <w:rFonts w:hint="eastAsia"/>
                <w:bCs/>
                <w:color w:val="000000" w:themeColor="text1"/>
                <w:szCs w:val="21"/>
              </w:rPr>
              <w:t>聚合物及杂质排出系统送电厂焚烧处理，保证了回收品质和废弃物的处理，提高回收安全系数。</w:t>
            </w:r>
          </w:p>
        </w:tc>
      </w:tr>
    </w:tbl>
    <w:p w:rsidR="00644456" w:rsidRDefault="008031C4">
      <w:pPr>
        <w:pStyle w:val="3"/>
        <w:numPr>
          <w:ilvl w:val="2"/>
          <w:numId w:val="0"/>
        </w:numPr>
        <w:ind w:firstLineChars="200" w:firstLine="482"/>
      </w:pPr>
      <w:r>
        <w:rPr>
          <w:rFonts w:hint="eastAsia"/>
        </w:rPr>
        <w:t>2.4.5</w:t>
      </w:r>
      <w:r>
        <w:rPr>
          <w:rFonts w:hint="eastAsia"/>
        </w:rPr>
        <w:t>主原料来源保障</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据不完全统计喀什疏勒县地区涉及废矿物油产生单位约有</w:t>
      </w:r>
      <w:r>
        <w:rPr>
          <w:rFonts w:cs="Times New Roman" w:hint="eastAsia"/>
          <w:color w:val="000000" w:themeColor="text1"/>
          <w:sz w:val="24"/>
          <w:szCs w:val="22"/>
        </w:rPr>
        <w:t>400</w:t>
      </w:r>
      <w:r>
        <w:rPr>
          <w:rFonts w:cs="Times New Roman" w:hint="eastAsia"/>
          <w:color w:val="000000" w:themeColor="text1"/>
          <w:sz w:val="24"/>
          <w:szCs w:val="22"/>
        </w:rPr>
        <w:t>余家，主要涉及汽车</w:t>
      </w:r>
      <w:r>
        <w:rPr>
          <w:rFonts w:cs="Times New Roman" w:hint="eastAsia"/>
          <w:color w:val="000000" w:themeColor="text1"/>
          <w:sz w:val="24"/>
          <w:szCs w:val="22"/>
        </w:rPr>
        <w:t>4S</w:t>
      </w:r>
      <w:r>
        <w:rPr>
          <w:rFonts w:cs="Times New Roman" w:hint="eastAsia"/>
          <w:color w:val="000000" w:themeColor="text1"/>
          <w:sz w:val="24"/>
          <w:szCs w:val="22"/>
        </w:rPr>
        <w:t>店，石油产品的销售单位，石油天然气开采单位及区域内的电厂、水泥及化工厂等</w:t>
      </w:r>
      <w:r>
        <w:rPr>
          <w:rFonts w:cs="Times New Roman" w:hint="eastAsia"/>
          <w:color w:val="000000" w:themeColor="text1"/>
          <w:sz w:val="24"/>
          <w:szCs w:val="22"/>
        </w:rPr>
        <w:lastRenderedPageBreak/>
        <w:t>生产性工业企业。根据各产危单位的性质，废矿物油的来源可大致划分为以下三类：</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①车用废润滑油：主要来自地区汽车</w:t>
      </w:r>
      <w:r>
        <w:rPr>
          <w:rFonts w:cs="Times New Roman" w:hint="eastAsia"/>
          <w:color w:val="000000" w:themeColor="text1"/>
          <w:sz w:val="24"/>
          <w:szCs w:val="22"/>
        </w:rPr>
        <w:t>4S</w:t>
      </w:r>
      <w:r>
        <w:rPr>
          <w:rFonts w:cs="Times New Roman" w:hint="eastAsia"/>
          <w:color w:val="000000" w:themeColor="text1"/>
          <w:sz w:val="24"/>
          <w:szCs w:val="22"/>
        </w:rPr>
        <w:t>店、车辆修保企业、工程机械修理厂等。根据汽车维护保养经验值，车辆及工程机械每年定期进行保养，更换发动机油、刹车油、变速箱油，齿轮油等，随着国民经济水平的提高，机动车的保有量将不断地增加，随之因机车维护所产生的废润滑油也随之增加，这部分废油的在</w:t>
      </w:r>
      <w:r>
        <w:rPr>
          <w:rFonts w:cs="Times New Roman" w:hint="eastAsia"/>
          <w:color w:val="000000" w:themeColor="text1"/>
          <w:sz w:val="24"/>
          <w:szCs w:val="22"/>
        </w:rPr>
        <w:t>2-3</w:t>
      </w:r>
      <w:r>
        <w:rPr>
          <w:rFonts w:cs="Times New Roman" w:hint="eastAsia"/>
          <w:color w:val="000000" w:themeColor="text1"/>
          <w:sz w:val="24"/>
          <w:szCs w:val="22"/>
        </w:rPr>
        <w:t>年后的产生量预计在</w:t>
      </w:r>
      <w:r>
        <w:rPr>
          <w:rFonts w:cs="Times New Roman" w:hint="eastAsia"/>
          <w:color w:val="000000" w:themeColor="text1"/>
          <w:sz w:val="24"/>
          <w:szCs w:val="22"/>
        </w:rPr>
        <w:t>2</w:t>
      </w:r>
      <w:r>
        <w:rPr>
          <w:rFonts w:cs="Times New Roman" w:hint="eastAsia"/>
          <w:color w:val="000000" w:themeColor="text1"/>
          <w:sz w:val="24"/>
          <w:szCs w:val="22"/>
        </w:rPr>
        <w:t>万</w:t>
      </w:r>
      <w:r>
        <w:rPr>
          <w:rFonts w:cs="Times New Roman" w:hint="eastAsia"/>
          <w:color w:val="000000" w:themeColor="text1"/>
          <w:sz w:val="24"/>
          <w:szCs w:val="22"/>
        </w:rPr>
        <w:t>t/</w:t>
      </w:r>
      <w:r>
        <w:rPr>
          <w:rFonts w:cs="Times New Roman" w:hint="eastAsia"/>
          <w:color w:val="000000" w:themeColor="text1"/>
          <w:sz w:val="24"/>
          <w:szCs w:val="22"/>
        </w:rPr>
        <w:t>以上。</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②工业废矿物油：主要来自地区火电企业、水泥企业、纺织企业、矿山企业、非煤矿山企业、石油化工企业等。这类企业如采矿行业使用的大型工程机械，其定期保养过程产生的废润滑油将是普通小车的</w:t>
      </w:r>
      <w:r>
        <w:rPr>
          <w:rFonts w:cs="Times New Roman" w:hint="eastAsia"/>
          <w:color w:val="000000" w:themeColor="text1"/>
          <w:sz w:val="24"/>
          <w:szCs w:val="22"/>
        </w:rPr>
        <w:t>10</w:t>
      </w:r>
      <w:r>
        <w:rPr>
          <w:rFonts w:cs="Times New Roman" w:hint="eastAsia"/>
          <w:color w:val="000000" w:themeColor="text1"/>
          <w:sz w:val="24"/>
          <w:szCs w:val="22"/>
        </w:rPr>
        <w:t>倍左右，再加之生产中使用的众多的液压设备、变压设施等在日常的维护保养中也会产生大量的废矿物油，根据建设单位进行的区域市场调研，工业企业生产中产生的废矿物油预估在</w:t>
      </w:r>
      <w:r>
        <w:rPr>
          <w:rFonts w:cs="Times New Roman" w:hint="eastAsia"/>
          <w:color w:val="000000" w:themeColor="text1"/>
          <w:sz w:val="24"/>
          <w:szCs w:val="22"/>
        </w:rPr>
        <w:t>2</w:t>
      </w:r>
      <w:r>
        <w:rPr>
          <w:rFonts w:cs="Times New Roman" w:hint="eastAsia"/>
          <w:color w:val="000000" w:themeColor="text1"/>
          <w:sz w:val="24"/>
          <w:szCs w:val="22"/>
        </w:rPr>
        <w:t>万</w:t>
      </w:r>
      <w:r>
        <w:rPr>
          <w:rFonts w:cs="Times New Roman" w:hint="eastAsia"/>
          <w:color w:val="000000" w:themeColor="text1"/>
          <w:sz w:val="24"/>
          <w:szCs w:val="22"/>
        </w:rPr>
        <w:t>t/a</w:t>
      </w:r>
      <w:r>
        <w:rPr>
          <w:rFonts w:cs="Times New Roman" w:hint="eastAsia"/>
          <w:color w:val="000000" w:themeColor="text1"/>
          <w:sz w:val="24"/>
          <w:szCs w:val="22"/>
        </w:rPr>
        <w:t>左右，随着各生产单位机械化水平的不断提升，针对各生产设施的维护及保养也不断地加强，工业生产设施产生的废矿物油的量也会不断地增加。</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③油田及石油炼制企业：主要来自钻井公司、油气处理厂等，该类企业生产过程中会产生钻井岩屑和废弃钻井泥浆、含油污泥、油脚、浮渣、油水混合物等，这类的废矿物油（含污油泥部分）的产生量预计在</w:t>
      </w:r>
      <w:r>
        <w:rPr>
          <w:rFonts w:cs="Times New Roman" w:hint="eastAsia"/>
          <w:color w:val="000000" w:themeColor="text1"/>
          <w:sz w:val="24"/>
          <w:szCs w:val="22"/>
        </w:rPr>
        <w:t>180</w:t>
      </w:r>
      <w:r>
        <w:rPr>
          <w:rFonts w:cs="Times New Roman" w:hint="eastAsia"/>
          <w:color w:val="000000" w:themeColor="text1"/>
          <w:sz w:val="24"/>
          <w:szCs w:val="22"/>
        </w:rPr>
        <w:t>万</w:t>
      </w:r>
      <w:r>
        <w:rPr>
          <w:rFonts w:cs="Times New Roman" w:hint="eastAsia"/>
          <w:color w:val="000000" w:themeColor="text1"/>
          <w:sz w:val="24"/>
          <w:szCs w:val="22"/>
        </w:rPr>
        <w:t>t/a</w:t>
      </w:r>
      <w:r>
        <w:rPr>
          <w:rFonts w:cs="Times New Roman" w:hint="eastAsia"/>
          <w:color w:val="000000" w:themeColor="text1"/>
          <w:sz w:val="24"/>
          <w:szCs w:val="22"/>
        </w:rPr>
        <w:t>以上，其污油泥的含量占据了大部分，少部分为废的钻井液。</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目前，喀什地区范围内，从事废矿物油回收利用的企业约有</w:t>
      </w:r>
      <w:r>
        <w:rPr>
          <w:rFonts w:cs="Times New Roman" w:hint="eastAsia"/>
          <w:color w:val="000000" w:themeColor="text1"/>
          <w:sz w:val="24"/>
          <w:szCs w:val="22"/>
        </w:rPr>
        <w:t>9</w:t>
      </w:r>
      <w:r>
        <w:rPr>
          <w:rFonts w:cs="Times New Roman" w:hint="eastAsia"/>
          <w:color w:val="000000" w:themeColor="text1"/>
          <w:sz w:val="24"/>
          <w:szCs w:val="22"/>
        </w:rPr>
        <w:t>家，主要分布在喀什市、疏勒县、叶城县等，具体如下</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2.4-7</w:t>
      </w:r>
      <w:r>
        <w:rPr>
          <w:rFonts w:cs="Times New Roman" w:hint="eastAsia"/>
          <w:b/>
          <w:color w:val="000000" w:themeColor="text1"/>
          <w:sz w:val="24"/>
          <w:szCs w:val="20"/>
        </w:rPr>
        <w:t>喀什地区现有废矿物油收集、贮存、利用、处置企业</w:t>
      </w:r>
    </w:p>
    <w:tbl>
      <w:tblPr>
        <w:tblStyle w:val="affff4"/>
        <w:tblW w:w="0" w:type="auto"/>
        <w:tblLook w:val="04A0" w:firstRow="1" w:lastRow="0" w:firstColumn="1" w:lastColumn="0" w:noHBand="0" w:noVBand="1"/>
      </w:tblPr>
      <w:tblGrid>
        <w:gridCol w:w="511"/>
        <w:gridCol w:w="2239"/>
        <w:gridCol w:w="930"/>
        <w:gridCol w:w="3840"/>
        <w:gridCol w:w="840"/>
        <w:gridCol w:w="655"/>
      </w:tblGrid>
      <w:tr w:rsidR="00644456">
        <w:tc>
          <w:tcPr>
            <w:tcW w:w="511"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序号</w:t>
            </w:r>
          </w:p>
        </w:tc>
        <w:tc>
          <w:tcPr>
            <w:tcW w:w="2239"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企业名称</w:t>
            </w:r>
          </w:p>
        </w:tc>
        <w:tc>
          <w:tcPr>
            <w:tcW w:w="930"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所在地</w:t>
            </w:r>
          </w:p>
        </w:tc>
        <w:tc>
          <w:tcPr>
            <w:tcW w:w="3840"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主要处理危险废物代码</w:t>
            </w:r>
          </w:p>
        </w:tc>
        <w:tc>
          <w:tcPr>
            <w:tcW w:w="840"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处理规模</w:t>
            </w:r>
            <w:r>
              <w:rPr>
                <w:rFonts w:hint="eastAsia"/>
                <w:color w:val="000000" w:themeColor="text1"/>
              </w:rPr>
              <w:t>t/a</w:t>
            </w:r>
          </w:p>
        </w:tc>
        <w:tc>
          <w:tcPr>
            <w:tcW w:w="655"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备注</w:t>
            </w:r>
          </w:p>
        </w:tc>
      </w:tr>
      <w:tr w:rsidR="00644456">
        <w:tc>
          <w:tcPr>
            <w:tcW w:w="511"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1</w:t>
            </w:r>
          </w:p>
        </w:tc>
        <w:tc>
          <w:tcPr>
            <w:tcW w:w="2239"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新疆国兴环保科技有限责任公司</w:t>
            </w:r>
          </w:p>
        </w:tc>
        <w:tc>
          <w:tcPr>
            <w:tcW w:w="930"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喀什市</w:t>
            </w:r>
          </w:p>
        </w:tc>
        <w:tc>
          <w:tcPr>
            <w:tcW w:w="3840" w:type="dxa"/>
            <w:vAlign w:val="center"/>
          </w:tcPr>
          <w:p w:rsidR="00644456" w:rsidRDefault="008031C4">
            <w:pPr>
              <w:widowControl/>
              <w:adjustRightInd w:val="0"/>
              <w:snapToGrid w:val="0"/>
              <w:jc w:val="center"/>
              <w:textAlignment w:val="center"/>
              <w:rPr>
                <w:color w:val="000000" w:themeColor="text1"/>
              </w:rPr>
            </w:pPr>
            <w:r>
              <w:rPr>
                <w:color w:val="000000" w:themeColor="text1"/>
              </w:rPr>
              <w:t>900-214-08</w:t>
            </w:r>
          </w:p>
        </w:tc>
        <w:tc>
          <w:tcPr>
            <w:tcW w:w="840" w:type="dxa"/>
            <w:vAlign w:val="center"/>
          </w:tcPr>
          <w:p w:rsidR="00644456" w:rsidRDefault="008031C4">
            <w:pPr>
              <w:widowControl/>
              <w:adjustRightInd w:val="0"/>
              <w:snapToGrid w:val="0"/>
              <w:jc w:val="center"/>
              <w:textAlignment w:val="center"/>
              <w:rPr>
                <w:color w:val="000000" w:themeColor="text1"/>
              </w:rPr>
            </w:pPr>
            <w:r>
              <w:rPr>
                <w:color w:val="000000" w:themeColor="text1"/>
              </w:rPr>
              <w:t>10000</w:t>
            </w:r>
          </w:p>
        </w:tc>
        <w:tc>
          <w:tcPr>
            <w:tcW w:w="655"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w:t>
            </w:r>
          </w:p>
        </w:tc>
      </w:tr>
      <w:tr w:rsidR="00644456">
        <w:tc>
          <w:tcPr>
            <w:tcW w:w="511"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2</w:t>
            </w:r>
          </w:p>
        </w:tc>
        <w:tc>
          <w:tcPr>
            <w:tcW w:w="2239"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莎车县久盛再生资源利用有限公司</w:t>
            </w:r>
          </w:p>
        </w:tc>
        <w:tc>
          <w:tcPr>
            <w:tcW w:w="930"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莎车县</w:t>
            </w:r>
          </w:p>
        </w:tc>
        <w:tc>
          <w:tcPr>
            <w:tcW w:w="3840"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900-214-08</w:t>
            </w:r>
          </w:p>
        </w:tc>
        <w:tc>
          <w:tcPr>
            <w:tcW w:w="840"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40000</w:t>
            </w:r>
          </w:p>
        </w:tc>
        <w:tc>
          <w:tcPr>
            <w:tcW w:w="655"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w:t>
            </w:r>
          </w:p>
        </w:tc>
      </w:tr>
      <w:tr w:rsidR="00644456">
        <w:tc>
          <w:tcPr>
            <w:tcW w:w="511"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3</w:t>
            </w:r>
          </w:p>
        </w:tc>
        <w:tc>
          <w:tcPr>
            <w:tcW w:w="2239"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疏勒县腾扬废品回收站</w:t>
            </w:r>
          </w:p>
        </w:tc>
        <w:tc>
          <w:tcPr>
            <w:tcW w:w="930"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疏勒县</w:t>
            </w:r>
          </w:p>
        </w:tc>
        <w:tc>
          <w:tcPr>
            <w:tcW w:w="3840" w:type="dxa"/>
            <w:vAlign w:val="center"/>
          </w:tcPr>
          <w:p w:rsidR="00644456" w:rsidRDefault="008031C4">
            <w:pPr>
              <w:widowControl/>
              <w:adjustRightInd w:val="0"/>
              <w:snapToGrid w:val="0"/>
              <w:jc w:val="center"/>
              <w:textAlignment w:val="center"/>
              <w:rPr>
                <w:color w:val="000000" w:themeColor="text1"/>
              </w:rPr>
            </w:pPr>
            <w:r>
              <w:rPr>
                <w:color w:val="000000" w:themeColor="text1"/>
              </w:rPr>
              <w:t>900-214-08</w:t>
            </w:r>
          </w:p>
        </w:tc>
        <w:tc>
          <w:tcPr>
            <w:tcW w:w="840" w:type="dxa"/>
            <w:vAlign w:val="center"/>
          </w:tcPr>
          <w:p w:rsidR="00644456" w:rsidRDefault="008031C4">
            <w:pPr>
              <w:widowControl/>
              <w:adjustRightInd w:val="0"/>
              <w:snapToGrid w:val="0"/>
              <w:jc w:val="center"/>
              <w:textAlignment w:val="center"/>
              <w:rPr>
                <w:color w:val="000000" w:themeColor="text1"/>
              </w:rPr>
            </w:pPr>
            <w:r>
              <w:rPr>
                <w:color w:val="000000" w:themeColor="text1"/>
              </w:rPr>
              <w:t>30000</w:t>
            </w:r>
          </w:p>
        </w:tc>
        <w:tc>
          <w:tcPr>
            <w:tcW w:w="655"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w:t>
            </w:r>
          </w:p>
        </w:tc>
      </w:tr>
      <w:tr w:rsidR="00644456">
        <w:tc>
          <w:tcPr>
            <w:tcW w:w="511"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4</w:t>
            </w:r>
          </w:p>
        </w:tc>
        <w:tc>
          <w:tcPr>
            <w:tcW w:w="2239"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喀什星禾再生资源有限公司</w:t>
            </w:r>
          </w:p>
        </w:tc>
        <w:tc>
          <w:tcPr>
            <w:tcW w:w="930"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疏勒县</w:t>
            </w:r>
          </w:p>
        </w:tc>
        <w:tc>
          <w:tcPr>
            <w:tcW w:w="3840" w:type="dxa"/>
            <w:vAlign w:val="center"/>
          </w:tcPr>
          <w:p w:rsidR="00644456" w:rsidRDefault="008031C4">
            <w:pPr>
              <w:widowControl/>
              <w:adjustRightInd w:val="0"/>
              <w:snapToGrid w:val="0"/>
              <w:jc w:val="center"/>
              <w:textAlignment w:val="center"/>
              <w:rPr>
                <w:color w:val="000000" w:themeColor="text1"/>
              </w:rPr>
            </w:pPr>
            <w:r>
              <w:rPr>
                <w:color w:val="000000" w:themeColor="text1"/>
              </w:rPr>
              <w:t>900-214-08</w:t>
            </w:r>
          </w:p>
        </w:tc>
        <w:tc>
          <w:tcPr>
            <w:tcW w:w="840" w:type="dxa"/>
            <w:vAlign w:val="center"/>
          </w:tcPr>
          <w:p w:rsidR="00644456" w:rsidRDefault="008031C4">
            <w:pPr>
              <w:widowControl/>
              <w:adjustRightInd w:val="0"/>
              <w:snapToGrid w:val="0"/>
              <w:jc w:val="center"/>
              <w:textAlignment w:val="center"/>
              <w:rPr>
                <w:color w:val="000000" w:themeColor="text1"/>
              </w:rPr>
            </w:pPr>
            <w:r>
              <w:rPr>
                <w:color w:val="000000" w:themeColor="text1"/>
              </w:rPr>
              <w:t>1500</w:t>
            </w:r>
          </w:p>
        </w:tc>
        <w:tc>
          <w:tcPr>
            <w:tcW w:w="655"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w:t>
            </w:r>
          </w:p>
        </w:tc>
      </w:tr>
      <w:tr w:rsidR="00644456">
        <w:tc>
          <w:tcPr>
            <w:tcW w:w="511"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5</w:t>
            </w:r>
          </w:p>
        </w:tc>
        <w:tc>
          <w:tcPr>
            <w:tcW w:w="2239"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喀什宏盛能源科技有限公司</w:t>
            </w:r>
          </w:p>
        </w:tc>
        <w:tc>
          <w:tcPr>
            <w:tcW w:w="930"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疏勒县</w:t>
            </w:r>
          </w:p>
        </w:tc>
        <w:tc>
          <w:tcPr>
            <w:tcW w:w="3840" w:type="dxa"/>
            <w:vAlign w:val="center"/>
          </w:tcPr>
          <w:p w:rsidR="00644456" w:rsidRDefault="008031C4">
            <w:pPr>
              <w:widowControl/>
              <w:adjustRightInd w:val="0"/>
              <w:snapToGrid w:val="0"/>
              <w:jc w:val="center"/>
              <w:textAlignment w:val="center"/>
              <w:rPr>
                <w:color w:val="000000" w:themeColor="text1"/>
              </w:rPr>
            </w:pPr>
            <w:r>
              <w:rPr>
                <w:color w:val="000000" w:themeColor="text1"/>
              </w:rPr>
              <w:t>900-214-08</w:t>
            </w:r>
          </w:p>
        </w:tc>
        <w:tc>
          <w:tcPr>
            <w:tcW w:w="840" w:type="dxa"/>
            <w:vAlign w:val="center"/>
          </w:tcPr>
          <w:p w:rsidR="00644456" w:rsidRDefault="008031C4">
            <w:pPr>
              <w:widowControl/>
              <w:adjustRightInd w:val="0"/>
              <w:snapToGrid w:val="0"/>
              <w:jc w:val="center"/>
              <w:textAlignment w:val="center"/>
              <w:rPr>
                <w:color w:val="000000" w:themeColor="text1"/>
              </w:rPr>
            </w:pPr>
            <w:r>
              <w:rPr>
                <w:color w:val="000000" w:themeColor="text1"/>
              </w:rPr>
              <w:t>50000</w:t>
            </w:r>
          </w:p>
        </w:tc>
        <w:tc>
          <w:tcPr>
            <w:tcW w:w="655"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w:t>
            </w:r>
          </w:p>
        </w:tc>
      </w:tr>
      <w:tr w:rsidR="00644456">
        <w:tc>
          <w:tcPr>
            <w:tcW w:w="511"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6</w:t>
            </w:r>
          </w:p>
        </w:tc>
        <w:tc>
          <w:tcPr>
            <w:tcW w:w="2239"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新疆创盛临源环保科技有限公司</w:t>
            </w:r>
          </w:p>
        </w:tc>
        <w:tc>
          <w:tcPr>
            <w:tcW w:w="930"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疏勒县</w:t>
            </w:r>
          </w:p>
        </w:tc>
        <w:tc>
          <w:tcPr>
            <w:tcW w:w="3840" w:type="dxa"/>
            <w:vAlign w:val="center"/>
          </w:tcPr>
          <w:p w:rsidR="00644456" w:rsidRDefault="008031C4">
            <w:pPr>
              <w:widowControl/>
              <w:adjustRightInd w:val="0"/>
              <w:snapToGrid w:val="0"/>
              <w:jc w:val="center"/>
              <w:textAlignment w:val="center"/>
              <w:rPr>
                <w:color w:val="000000" w:themeColor="text1"/>
              </w:rPr>
            </w:pPr>
            <w:r>
              <w:rPr>
                <w:color w:val="000000" w:themeColor="text1"/>
              </w:rPr>
              <w:t>900-214-08</w:t>
            </w:r>
          </w:p>
        </w:tc>
        <w:tc>
          <w:tcPr>
            <w:tcW w:w="840" w:type="dxa"/>
            <w:vAlign w:val="center"/>
          </w:tcPr>
          <w:p w:rsidR="00644456" w:rsidRDefault="008031C4">
            <w:pPr>
              <w:widowControl/>
              <w:adjustRightInd w:val="0"/>
              <w:snapToGrid w:val="0"/>
              <w:jc w:val="center"/>
              <w:textAlignment w:val="center"/>
              <w:rPr>
                <w:color w:val="000000" w:themeColor="text1"/>
              </w:rPr>
            </w:pPr>
            <w:r>
              <w:rPr>
                <w:color w:val="000000" w:themeColor="text1"/>
              </w:rPr>
              <w:t>4000</w:t>
            </w:r>
          </w:p>
        </w:tc>
        <w:tc>
          <w:tcPr>
            <w:tcW w:w="655" w:type="dxa"/>
            <w:vAlign w:val="center"/>
          </w:tcPr>
          <w:p w:rsidR="00644456" w:rsidRDefault="00644456">
            <w:pPr>
              <w:widowControl/>
              <w:adjustRightInd w:val="0"/>
              <w:snapToGrid w:val="0"/>
              <w:jc w:val="center"/>
              <w:textAlignment w:val="center"/>
              <w:rPr>
                <w:color w:val="000000" w:themeColor="text1"/>
              </w:rPr>
            </w:pPr>
          </w:p>
        </w:tc>
      </w:tr>
      <w:tr w:rsidR="00644456">
        <w:tc>
          <w:tcPr>
            <w:tcW w:w="511"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7</w:t>
            </w:r>
          </w:p>
        </w:tc>
        <w:tc>
          <w:tcPr>
            <w:tcW w:w="2239"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新疆通凯莱商贸有限公司</w:t>
            </w:r>
          </w:p>
        </w:tc>
        <w:tc>
          <w:tcPr>
            <w:tcW w:w="930"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疏勒县</w:t>
            </w:r>
          </w:p>
        </w:tc>
        <w:tc>
          <w:tcPr>
            <w:tcW w:w="3840"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HW03</w:t>
            </w:r>
            <w:r>
              <w:rPr>
                <w:rFonts w:hint="eastAsia"/>
                <w:color w:val="000000" w:themeColor="text1"/>
              </w:rPr>
              <w:t>废药物、药品（</w:t>
            </w:r>
            <w:r>
              <w:rPr>
                <w:rFonts w:hint="eastAsia"/>
                <w:color w:val="000000" w:themeColor="text1"/>
              </w:rPr>
              <w:t>900-002-03</w:t>
            </w:r>
            <w:r>
              <w:rPr>
                <w:rFonts w:hint="eastAsia"/>
                <w:color w:val="000000" w:themeColor="text1"/>
              </w:rPr>
              <w:t>），</w:t>
            </w:r>
            <w:r>
              <w:rPr>
                <w:rFonts w:hint="eastAsia"/>
                <w:color w:val="000000" w:themeColor="text1"/>
              </w:rPr>
              <w:t>HW04</w:t>
            </w:r>
            <w:r>
              <w:rPr>
                <w:rFonts w:hint="eastAsia"/>
                <w:color w:val="000000" w:themeColor="text1"/>
              </w:rPr>
              <w:t>农药废物（</w:t>
            </w:r>
            <w:r>
              <w:rPr>
                <w:rFonts w:hint="eastAsia"/>
                <w:color w:val="000000" w:themeColor="text1"/>
              </w:rPr>
              <w:t>900-003-04</w:t>
            </w:r>
            <w:r>
              <w:rPr>
                <w:rFonts w:hint="eastAsia"/>
                <w:color w:val="000000" w:themeColor="text1"/>
              </w:rPr>
              <w:t>），</w:t>
            </w:r>
            <w:r>
              <w:rPr>
                <w:rFonts w:hint="eastAsia"/>
                <w:color w:val="000000" w:themeColor="text1"/>
              </w:rPr>
              <w:t>HW08</w:t>
            </w:r>
            <w:r>
              <w:rPr>
                <w:rFonts w:hint="eastAsia"/>
                <w:color w:val="000000" w:themeColor="text1"/>
              </w:rPr>
              <w:t>废矿物油与含矿物油废物（</w:t>
            </w:r>
            <w:r>
              <w:rPr>
                <w:rFonts w:hint="eastAsia"/>
                <w:color w:val="000000" w:themeColor="text1"/>
              </w:rPr>
              <w:t>071-001-08</w:t>
            </w:r>
            <w:r>
              <w:rPr>
                <w:rFonts w:hint="eastAsia"/>
                <w:color w:val="000000" w:themeColor="text1"/>
              </w:rPr>
              <w:t>、</w:t>
            </w:r>
            <w:r>
              <w:rPr>
                <w:rFonts w:hint="eastAsia"/>
                <w:color w:val="000000" w:themeColor="text1"/>
              </w:rPr>
              <w:lastRenderedPageBreak/>
              <w:t>071-002-08</w:t>
            </w:r>
            <w:r>
              <w:rPr>
                <w:rFonts w:hint="eastAsia"/>
                <w:color w:val="000000" w:themeColor="text1"/>
              </w:rPr>
              <w:t>、</w:t>
            </w:r>
            <w:r>
              <w:rPr>
                <w:rFonts w:hint="eastAsia"/>
                <w:color w:val="000000" w:themeColor="text1"/>
              </w:rPr>
              <w:t>072-001-08</w:t>
            </w:r>
            <w:r>
              <w:rPr>
                <w:rFonts w:hint="eastAsia"/>
                <w:color w:val="000000" w:themeColor="text1"/>
              </w:rPr>
              <w:t>、</w:t>
            </w:r>
            <w:r>
              <w:rPr>
                <w:rFonts w:hint="eastAsia"/>
                <w:color w:val="000000" w:themeColor="text1"/>
              </w:rPr>
              <w:t>251-001-08</w:t>
            </w:r>
            <w:r>
              <w:rPr>
                <w:rFonts w:hint="eastAsia"/>
                <w:color w:val="000000" w:themeColor="text1"/>
              </w:rPr>
              <w:t>、</w:t>
            </w:r>
            <w:r>
              <w:rPr>
                <w:rFonts w:hint="eastAsia"/>
                <w:color w:val="000000" w:themeColor="text1"/>
              </w:rPr>
              <w:t>251-002-08</w:t>
            </w:r>
            <w:r>
              <w:rPr>
                <w:rFonts w:hint="eastAsia"/>
                <w:color w:val="000000" w:themeColor="text1"/>
              </w:rPr>
              <w:t>、</w:t>
            </w:r>
            <w:r>
              <w:rPr>
                <w:rFonts w:hint="eastAsia"/>
                <w:color w:val="000000" w:themeColor="text1"/>
              </w:rPr>
              <w:t>251-003-08</w:t>
            </w:r>
            <w:r>
              <w:rPr>
                <w:rFonts w:hint="eastAsia"/>
                <w:color w:val="000000" w:themeColor="text1"/>
              </w:rPr>
              <w:t>、</w:t>
            </w:r>
            <w:r>
              <w:rPr>
                <w:rFonts w:hint="eastAsia"/>
                <w:color w:val="000000" w:themeColor="text1"/>
              </w:rPr>
              <w:t>291-001-08</w:t>
            </w:r>
            <w:r>
              <w:rPr>
                <w:rFonts w:hint="eastAsia"/>
                <w:color w:val="000000" w:themeColor="text1"/>
              </w:rPr>
              <w:t>、</w:t>
            </w:r>
            <w:r>
              <w:rPr>
                <w:rFonts w:hint="eastAsia"/>
                <w:color w:val="000000" w:themeColor="text1"/>
              </w:rPr>
              <w:t>900-199-08</w:t>
            </w:r>
            <w:r>
              <w:rPr>
                <w:rFonts w:hint="eastAsia"/>
                <w:color w:val="000000" w:themeColor="text1"/>
              </w:rPr>
              <w:t>、</w:t>
            </w:r>
            <w:r>
              <w:rPr>
                <w:rFonts w:hint="eastAsia"/>
                <w:color w:val="000000" w:themeColor="text1"/>
              </w:rPr>
              <w:t>900-201-08</w:t>
            </w:r>
            <w:r>
              <w:rPr>
                <w:rFonts w:hint="eastAsia"/>
                <w:color w:val="000000" w:themeColor="text1"/>
              </w:rPr>
              <w:t>、</w:t>
            </w:r>
            <w:r>
              <w:rPr>
                <w:rFonts w:hint="eastAsia"/>
                <w:color w:val="000000" w:themeColor="text1"/>
              </w:rPr>
              <w:t>900-210-08</w:t>
            </w:r>
            <w:r>
              <w:rPr>
                <w:rFonts w:hint="eastAsia"/>
                <w:color w:val="000000" w:themeColor="text1"/>
              </w:rPr>
              <w:t>、</w:t>
            </w:r>
            <w:r>
              <w:rPr>
                <w:rFonts w:hint="eastAsia"/>
                <w:color w:val="000000" w:themeColor="text1"/>
              </w:rPr>
              <w:t>900-213-08</w:t>
            </w:r>
            <w:r>
              <w:rPr>
                <w:rFonts w:hint="eastAsia"/>
                <w:color w:val="000000" w:themeColor="text1"/>
              </w:rPr>
              <w:t>、</w:t>
            </w:r>
            <w:r>
              <w:rPr>
                <w:rFonts w:hint="eastAsia"/>
                <w:color w:val="000000" w:themeColor="text1"/>
              </w:rPr>
              <w:t>900-214-08</w:t>
            </w:r>
            <w:r>
              <w:rPr>
                <w:rFonts w:hint="eastAsia"/>
                <w:color w:val="000000" w:themeColor="text1"/>
              </w:rPr>
              <w:t>、</w:t>
            </w:r>
            <w:r>
              <w:rPr>
                <w:rFonts w:hint="eastAsia"/>
                <w:color w:val="000000" w:themeColor="text1"/>
              </w:rPr>
              <w:t>900-217-08</w:t>
            </w:r>
            <w:r>
              <w:rPr>
                <w:rFonts w:hint="eastAsia"/>
                <w:color w:val="000000" w:themeColor="text1"/>
              </w:rPr>
              <w:t>、</w:t>
            </w:r>
            <w:r>
              <w:rPr>
                <w:rFonts w:hint="eastAsia"/>
                <w:color w:val="000000" w:themeColor="text1"/>
              </w:rPr>
              <w:t>900-219-08</w:t>
            </w:r>
            <w:r>
              <w:rPr>
                <w:rFonts w:hint="eastAsia"/>
                <w:color w:val="000000" w:themeColor="text1"/>
              </w:rPr>
              <w:t>、</w:t>
            </w:r>
            <w:r>
              <w:rPr>
                <w:rFonts w:hint="eastAsia"/>
                <w:color w:val="000000" w:themeColor="text1"/>
              </w:rPr>
              <w:t>900-220-08</w:t>
            </w:r>
            <w:r>
              <w:rPr>
                <w:rFonts w:hint="eastAsia"/>
                <w:color w:val="000000" w:themeColor="text1"/>
              </w:rPr>
              <w:t>、</w:t>
            </w:r>
            <w:r>
              <w:rPr>
                <w:rFonts w:hint="eastAsia"/>
                <w:color w:val="000000" w:themeColor="text1"/>
              </w:rPr>
              <w:t>900-221-08</w:t>
            </w:r>
            <w:r>
              <w:rPr>
                <w:rFonts w:hint="eastAsia"/>
                <w:color w:val="000000" w:themeColor="text1"/>
              </w:rPr>
              <w:t>、</w:t>
            </w:r>
            <w:r>
              <w:rPr>
                <w:rFonts w:hint="eastAsia"/>
                <w:color w:val="000000" w:themeColor="text1"/>
              </w:rPr>
              <w:t>900-249-08</w:t>
            </w:r>
            <w:r>
              <w:rPr>
                <w:rFonts w:hint="eastAsia"/>
                <w:color w:val="000000" w:themeColor="text1"/>
              </w:rPr>
              <w:t>）</w:t>
            </w:r>
            <w:r>
              <w:rPr>
                <w:rFonts w:hint="eastAsia"/>
                <w:color w:val="000000" w:themeColor="text1"/>
              </w:rPr>
              <w:t>,HW29</w:t>
            </w:r>
            <w:r>
              <w:rPr>
                <w:rFonts w:hint="eastAsia"/>
                <w:color w:val="000000" w:themeColor="text1"/>
              </w:rPr>
              <w:t>含汞废物（</w:t>
            </w:r>
            <w:r>
              <w:rPr>
                <w:rFonts w:hint="eastAsia"/>
                <w:color w:val="000000" w:themeColor="text1"/>
              </w:rPr>
              <w:t>900-023-29</w:t>
            </w:r>
            <w:r>
              <w:rPr>
                <w:rFonts w:hint="eastAsia"/>
                <w:color w:val="000000" w:themeColor="text1"/>
              </w:rPr>
              <w:t>）</w:t>
            </w:r>
            <w:r>
              <w:rPr>
                <w:rFonts w:hint="eastAsia"/>
                <w:color w:val="000000" w:themeColor="text1"/>
              </w:rPr>
              <w:t>,HW31</w:t>
            </w:r>
            <w:r>
              <w:rPr>
                <w:rFonts w:hint="eastAsia"/>
                <w:color w:val="000000" w:themeColor="text1"/>
              </w:rPr>
              <w:t>含铅废物（</w:t>
            </w:r>
            <w:r>
              <w:rPr>
                <w:rFonts w:hint="eastAsia"/>
                <w:color w:val="000000" w:themeColor="text1"/>
              </w:rPr>
              <w:t>900-052-31</w:t>
            </w:r>
            <w:r>
              <w:rPr>
                <w:rFonts w:hint="eastAsia"/>
                <w:color w:val="000000" w:themeColor="text1"/>
              </w:rPr>
              <w:t>）</w:t>
            </w:r>
            <w:r>
              <w:rPr>
                <w:rFonts w:hint="eastAsia"/>
                <w:color w:val="000000" w:themeColor="text1"/>
              </w:rPr>
              <w:t>,HW49</w:t>
            </w:r>
            <w:r>
              <w:rPr>
                <w:rFonts w:hint="eastAsia"/>
                <w:color w:val="000000" w:themeColor="text1"/>
              </w:rPr>
              <w:t>其他废物（</w:t>
            </w:r>
            <w:r>
              <w:rPr>
                <w:rFonts w:hint="eastAsia"/>
                <w:color w:val="000000" w:themeColor="text1"/>
              </w:rPr>
              <w:t>900-039-49</w:t>
            </w:r>
            <w:r>
              <w:rPr>
                <w:rFonts w:hint="eastAsia"/>
                <w:color w:val="000000" w:themeColor="text1"/>
              </w:rPr>
              <w:t>、</w:t>
            </w:r>
            <w:r>
              <w:rPr>
                <w:rFonts w:hint="eastAsia"/>
                <w:color w:val="000000" w:themeColor="text1"/>
              </w:rPr>
              <w:t>900-041-49</w:t>
            </w:r>
            <w:r>
              <w:rPr>
                <w:rFonts w:hint="eastAsia"/>
                <w:color w:val="000000" w:themeColor="text1"/>
              </w:rPr>
              <w:t>、</w:t>
            </w:r>
            <w:r>
              <w:rPr>
                <w:rFonts w:hint="eastAsia"/>
                <w:color w:val="000000" w:themeColor="text1"/>
              </w:rPr>
              <w:t>900-047-49</w:t>
            </w:r>
            <w:r>
              <w:rPr>
                <w:rFonts w:hint="eastAsia"/>
                <w:color w:val="000000" w:themeColor="text1"/>
              </w:rPr>
              <w:t>）</w:t>
            </w:r>
          </w:p>
        </w:tc>
        <w:tc>
          <w:tcPr>
            <w:tcW w:w="840"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lastRenderedPageBreak/>
              <w:t>50000</w:t>
            </w:r>
          </w:p>
        </w:tc>
        <w:tc>
          <w:tcPr>
            <w:tcW w:w="655"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其中对废矿物</w:t>
            </w:r>
          </w:p>
          <w:p w:rsidR="00644456" w:rsidRDefault="008031C4">
            <w:pPr>
              <w:widowControl/>
              <w:adjustRightInd w:val="0"/>
              <w:snapToGrid w:val="0"/>
              <w:jc w:val="center"/>
              <w:textAlignment w:val="center"/>
              <w:rPr>
                <w:color w:val="000000" w:themeColor="text1"/>
              </w:rPr>
            </w:pPr>
            <w:r>
              <w:rPr>
                <w:rFonts w:hint="eastAsia"/>
                <w:color w:val="000000" w:themeColor="text1"/>
              </w:rPr>
              <w:lastRenderedPageBreak/>
              <w:t>油综合利用</w:t>
            </w:r>
            <w:r>
              <w:rPr>
                <w:rFonts w:hint="eastAsia"/>
                <w:color w:val="000000" w:themeColor="text1"/>
              </w:rPr>
              <w:t>1</w:t>
            </w:r>
            <w:r>
              <w:rPr>
                <w:rFonts w:hint="eastAsia"/>
                <w:color w:val="000000" w:themeColor="text1"/>
              </w:rPr>
              <w:t>万</w:t>
            </w:r>
            <w:r>
              <w:rPr>
                <w:rFonts w:hint="eastAsia"/>
                <w:color w:val="000000" w:themeColor="text1"/>
              </w:rPr>
              <w:t>t/a</w:t>
            </w:r>
          </w:p>
        </w:tc>
      </w:tr>
      <w:tr w:rsidR="00644456">
        <w:tc>
          <w:tcPr>
            <w:tcW w:w="511"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lastRenderedPageBreak/>
              <w:t>8</w:t>
            </w:r>
          </w:p>
        </w:tc>
        <w:tc>
          <w:tcPr>
            <w:tcW w:w="2239"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叶城县宝地环保废品收购部</w:t>
            </w:r>
          </w:p>
        </w:tc>
        <w:tc>
          <w:tcPr>
            <w:tcW w:w="930"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叶城县</w:t>
            </w:r>
          </w:p>
        </w:tc>
        <w:tc>
          <w:tcPr>
            <w:tcW w:w="3840" w:type="dxa"/>
            <w:vAlign w:val="center"/>
          </w:tcPr>
          <w:p w:rsidR="00644456" w:rsidRDefault="008031C4">
            <w:pPr>
              <w:widowControl/>
              <w:adjustRightInd w:val="0"/>
              <w:snapToGrid w:val="0"/>
              <w:jc w:val="center"/>
              <w:textAlignment w:val="center"/>
              <w:rPr>
                <w:color w:val="000000" w:themeColor="text1"/>
              </w:rPr>
            </w:pPr>
            <w:r>
              <w:rPr>
                <w:color w:val="000000" w:themeColor="text1"/>
              </w:rPr>
              <w:t>900-214-08</w:t>
            </w:r>
          </w:p>
        </w:tc>
        <w:tc>
          <w:tcPr>
            <w:tcW w:w="840" w:type="dxa"/>
            <w:vAlign w:val="center"/>
          </w:tcPr>
          <w:p w:rsidR="00644456" w:rsidRDefault="008031C4">
            <w:pPr>
              <w:widowControl/>
              <w:adjustRightInd w:val="0"/>
              <w:snapToGrid w:val="0"/>
              <w:jc w:val="center"/>
              <w:textAlignment w:val="center"/>
              <w:rPr>
                <w:color w:val="000000" w:themeColor="text1"/>
              </w:rPr>
            </w:pPr>
            <w:r>
              <w:rPr>
                <w:color w:val="000000" w:themeColor="text1"/>
              </w:rPr>
              <w:t>500</w:t>
            </w:r>
          </w:p>
        </w:tc>
        <w:tc>
          <w:tcPr>
            <w:tcW w:w="655"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w:t>
            </w:r>
          </w:p>
        </w:tc>
      </w:tr>
      <w:tr w:rsidR="00644456">
        <w:tc>
          <w:tcPr>
            <w:tcW w:w="511"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9</w:t>
            </w:r>
          </w:p>
        </w:tc>
        <w:tc>
          <w:tcPr>
            <w:tcW w:w="2239"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喀什兆峰环保科技有限公司</w:t>
            </w:r>
          </w:p>
        </w:tc>
        <w:tc>
          <w:tcPr>
            <w:tcW w:w="930"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叶城县</w:t>
            </w:r>
          </w:p>
        </w:tc>
        <w:tc>
          <w:tcPr>
            <w:tcW w:w="3840" w:type="dxa"/>
            <w:vAlign w:val="center"/>
          </w:tcPr>
          <w:p w:rsidR="00644456" w:rsidRDefault="008031C4">
            <w:pPr>
              <w:widowControl/>
              <w:adjustRightInd w:val="0"/>
              <w:snapToGrid w:val="0"/>
              <w:jc w:val="center"/>
              <w:textAlignment w:val="center"/>
              <w:rPr>
                <w:color w:val="000000" w:themeColor="text1"/>
              </w:rPr>
            </w:pPr>
            <w:r>
              <w:rPr>
                <w:color w:val="000000" w:themeColor="text1"/>
              </w:rPr>
              <w:t>071-001-08</w:t>
            </w:r>
            <w:r>
              <w:rPr>
                <w:rFonts w:hint="eastAsia"/>
                <w:color w:val="000000" w:themeColor="text1"/>
              </w:rPr>
              <w:t>、</w:t>
            </w:r>
            <w:r>
              <w:rPr>
                <w:color w:val="000000" w:themeColor="text1"/>
              </w:rPr>
              <w:t>071-002-08</w:t>
            </w:r>
            <w:r>
              <w:rPr>
                <w:rFonts w:hint="eastAsia"/>
                <w:color w:val="000000" w:themeColor="text1"/>
              </w:rPr>
              <w:t>、</w:t>
            </w:r>
            <w:r>
              <w:rPr>
                <w:color w:val="000000" w:themeColor="text1"/>
              </w:rPr>
              <w:t>072-001-08</w:t>
            </w:r>
            <w:r>
              <w:rPr>
                <w:rFonts w:hint="eastAsia"/>
                <w:color w:val="000000" w:themeColor="text1"/>
              </w:rPr>
              <w:t>、</w:t>
            </w:r>
            <w:r>
              <w:rPr>
                <w:color w:val="000000" w:themeColor="text1"/>
              </w:rPr>
              <w:t>251-001-08</w:t>
            </w:r>
            <w:r>
              <w:rPr>
                <w:rFonts w:hint="eastAsia"/>
                <w:color w:val="000000" w:themeColor="text1"/>
              </w:rPr>
              <w:t>、</w:t>
            </w:r>
            <w:r>
              <w:rPr>
                <w:color w:val="000000" w:themeColor="text1"/>
              </w:rPr>
              <w:t>251-002-08</w:t>
            </w:r>
            <w:r>
              <w:rPr>
                <w:rFonts w:hint="eastAsia"/>
                <w:color w:val="000000" w:themeColor="text1"/>
              </w:rPr>
              <w:t>、</w:t>
            </w:r>
            <w:r>
              <w:rPr>
                <w:color w:val="000000" w:themeColor="text1"/>
              </w:rPr>
              <w:t>251-003-08</w:t>
            </w:r>
          </w:p>
        </w:tc>
        <w:tc>
          <w:tcPr>
            <w:tcW w:w="840" w:type="dxa"/>
            <w:vAlign w:val="center"/>
          </w:tcPr>
          <w:p w:rsidR="00644456" w:rsidRDefault="008031C4">
            <w:pPr>
              <w:widowControl/>
              <w:adjustRightInd w:val="0"/>
              <w:snapToGrid w:val="0"/>
              <w:jc w:val="center"/>
              <w:textAlignment w:val="center"/>
              <w:rPr>
                <w:color w:val="000000" w:themeColor="text1"/>
              </w:rPr>
            </w:pPr>
            <w:r>
              <w:rPr>
                <w:color w:val="000000" w:themeColor="text1"/>
              </w:rPr>
              <w:t>72000</w:t>
            </w:r>
          </w:p>
        </w:tc>
        <w:tc>
          <w:tcPr>
            <w:tcW w:w="655" w:type="dxa"/>
            <w:vAlign w:val="center"/>
          </w:tcPr>
          <w:p w:rsidR="00644456" w:rsidRDefault="008031C4">
            <w:pPr>
              <w:widowControl/>
              <w:adjustRightInd w:val="0"/>
              <w:snapToGrid w:val="0"/>
              <w:jc w:val="center"/>
              <w:textAlignment w:val="center"/>
              <w:rPr>
                <w:color w:val="000000" w:themeColor="text1"/>
              </w:rPr>
            </w:pPr>
            <w:r>
              <w:rPr>
                <w:rFonts w:hint="eastAsia"/>
                <w:color w:val="000000" w:themeColor="text1"/>
              </w:rPr>
              <w:t>/</w:t>
            </w:r>
          </w:p>
        </w:tc>
      </w:tr>
    </w:tbl>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根据《自治区危险废物处置利用设施建设布局指导意见》及根据喀什地区危险废物处置情况，喀什地区废矿物油的资源化利用能力不足，尚存在缺口。</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本项目主要收集库车市辖区及周边企业内除去石油天然气开采过程中产生的废矿物油以外的废润滑油，主要来源如下，具体见表</w:t>
      </w:r>
      <w:r>
        <w:rPr>
          <w:rFonts w:cs="Times New Roman"/>
          <w:color w:val="000000" w:themeColor="text1"/>
          <w:sz w:val="24"/>
          <w:szCs w:val="22"/>
        </w:rPr>
        <w:t>2.4-8</w:t>
      </w:r>
      <w:r>
        <w:rPr>
          <w:rFonts w:cs="Times New Roman" w:hint="eastAsia"/>
          <w:color w:val="000000" w:themeColor="text1"/>
          <w:sz w:val="24"/>
          <w:szCs w:val="22"/>
        </w:rPr>
        <w:t>：</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①汽车</w:t>
      </w:r>
      <w:r>
        <w:rPr>
          <w:rFonts w:cs="Times New Roman" w:hint="eastAsia"/>
          <w:color w:val="000000" w:themeColor="text1"/>
          <w:sz w:val="24"/>
          <w:szCs w:val="22"/>
        </w:rPr>
        <w:t>4S</w:t>
      </w:r>
      <w:r>
        <w:rPr>
          <w:rFonts w:cs="Times New Roman" w:hint="eastAsia"/>
          <w:color w:val="000000" w:themeColor="text1"/>
          <w:sz w:val="24"/>
          <w:szCs w:val="22"/>
        </w:rPr>
        <w:t>店、车辆修保企业、工程机械修理厂产生的废弃发动机油、刹车油、传动油、变速箱油、齿轮油等；</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②钢铁企业、火电企业、水泥企业、纺织企业、矿山企业及非煤矿山企业产生的废弃蒸汽透平油、轴承润滑油、液压油、齿轮油、机床润滑油、润滑脂、金属加工液、纺织用润滑油、淬火油、导热油、电器油、冷冻机油、防锈油等；</w:t>
      </w:r>
    </w:p>
    <w:p w:rsidR="00644456" w:rsidRDefault="00644456">
      <w:pPr>
        <w:autoSpaceDE w:val="0"/>
        <w:autoSpaceDN w:val="0"/>
        <w:adjustRightInd w:val="0"/>
        <w:ind w:firstLine="480"/>
        <w:jc w:val="center"/>
        <w:rPr>
          <w:rFonts w:cs="Times New Roman"/>
          <w:b/>
          <w:color w:val="000000" w:themeColor="text1"/>
          <w:sz w:val="24"/>
        </w:rPr>
        <w:sectPr w:rsidR="00644456">
          <w:pgSz w:w="11905" w:h="16838"/>
          <w:pgMar w:top="1440" w:right="1440" w:bottom="1440" w:left="1440" w:header="850" w:footer="992" w:gutter="0"/>
          <w:cols w:space="0"/>
          <w:docGrid w:linePitch="312"/>
        </w:sectPr>
      </w:pP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lastRenderedPageBreak/>
        <w:t>表</w:t>
      </w:r>
      <w:r>
        <w:rPr>
          <w:rFonts w:cs="Times New Roman" w:hint="eastAsia"/>
          <w:b/>
          <w:color w:val="000000" w:themeColor="text1"/>
          <w:sz w:val="24"/>
          <w:szCs w:val="20"/>
        </w:rPr>
        <w:t>2.4-8</w:t>
      </w:r>
      <w:r>
        <w:rPr>
          <w:rFonts w:cs="Times New Roman" w:hint="eastAsia"/>
          <w:b/>
          <w:color w:val="000000" w:themeColor="text1"/>
          <w:sz w:val="24"/>
          <w:szCs w:val="20"/>
        </w:rPr>
        <w:t>本项目拟回收处置利用的废矿物油来源统计表</w:t>
      </w:r>
    </w:p>
    <w:tbl>
      <w:tblPr>
        <w:tblW w:w="14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6"/>
        <w:gridCol w:w="2835"/>
        <w:gridCol w:w="993"/>
        <w:gridCol w:w="992"/>
        <w:gridCol w:w="992"/>
        <w:gridCol w:w="851"/>
        <w:gridCol w:w="850"/>
        <w:gridCol w:w="851"/>
        <w:gridCol w:w="850"/>
        <w:gridCol w:w="2003"/>
      </w:tblGrid>
      <w:tr w:rsidR="00644456">
        <w:trPr>
          <w:trHeight w:val="340"/>
          <w:jc w:val="center"/>
        </w:trPr>
        <w:tc>
          <w:tcPr>
            <w:tcW w:w="704" w:type="dxa"/>
            <w:noWrap/>
            <w:vAlign w:val="center"/>
          </w:tcPr>
          <w:p w:rsidR="00644456" w:rsidRDefault="008031C4">
            <w:pPr>
              <w:jc w:val="center"/>
              <w:rPr>
                <w:b/>
                <w:bCs/>
                <w:color w:val="000000" w:themeColor="text1"/>
                <w:szCs w:val="21"/>
              </w:rPr>
            </w:pPr>
            <w:r>
              <w:rPr>
                <w:b/>
                <w:bCs/>
                <w:color w:val="000000" w:themeColor="text1"/>
                <w:szCs w:val="21"/>
              </w:rPr>
              <w:t>序号</w:t>
            </w:r>
          </w:p>
        </w:tc>
        <w:tc>
          <w:tcPr>
            <w:tcW w:w="2126" w:type="dxa"/>
            <w:vAlign w:val="center"/>
          </w:tcPr>
          <w:p w:rsidR="00644456" w:rsidRDefault="008031C4">
            <w:pPr>
              <w:jc w:val="center"/>
              <w:rPr>
                <w:b/>
                <w:bCs/>
                <w:color w:val="000000" w:themeColor="text1"/>
                <w:szCs w:val="21"/>
              </w:rPr>
            </w:pPr>
            <w:r>
              <w:rPr>
                <w:b/>
                <w:bCs/>
                <w:color w:val="000000" w:themeColor="text1"/>
                <w:szCs w:val="21"/>
              </w:rPr>
              <w:t>废油种类</w:t>
            </w:r>
          </w:p>
        </w:tc>
        <w:tc>
          <w:tcPr>
            <w:tcW w:w="2835" w:type="dxa"/>
            <w:noWrap/>
            <w:vAlign w:val="center"/>
          </w:tcPr>
          <w:p w:rsidR="00644456" w:rsidRDefault="008031C4">
            <w:pPr>
              <w:jc w:val="center"/>
              <w:rPr>
                <w:b/>
                <w:bCs/>
                <w:color w:val="000000" w:themeColor="text1"/>
                <w:szCs w:val="21"/>
              </w:rPr>
            </w:pPr>
            <w:r>
              <w:rPr>
                <w:b/>
                <w:bCs/>
                <w:color w:val="000000" w:themeColor="text1"/>
                <w:szCs w:val="21"/>
              </w:rPr>
              <w:t>来源</w:t>
            </w:r>
          </w:p>
        </w:tc>
        <w:tc>
          <w:tcPr>
            <w:tcW w:w="993" w:type="dxa"/>
            <w:noWrap/>
            <w:vAlign w:val="center"/>
          </w:tcPr>
          <w:p w:rsidR="00644456" w:rsidRDefault="008031C4">
            <w:pPr>
              <w:jc w:val="center"/>
              <w:rPr>
                <w:b/>
                <w:bCs/>
                <w:color w:val="000000" w:themeColor="text1"/>
                <w:szCs w:val="21"/>
              </w:rPr>
            </w:pPr>
            <w:r>
              <w:rPr>
                <w:b/>
                <w:bCs/>
                <w:color w:val="000000" w:themeColor="text1"/>
                <w:szCs w:val="21"/>
              </w:rPr>
              <w:t>含油率（</w:t>
            </w:r>
            <w:r>
              <w:rPr>
                <w:b/>
                <w:bCs/>
                <w:color w:val="000000" w:themeColor="text1"/>
                <w:szCs w:val="21"/>
              </w:rPr>
              <w:t>%</w:t>
            </w:r>
            <w:r>
              <w:rPr>
                <w:b/>
                <w:bCs/>
                <w:color w:val="000000" w:themeColor="text1"/>
                <w:szCs w:val="21"/>
              </w:rPr>
              <w:t>）</w:t>
            </w:r>
          </w:p>
        </w:tc>
        <w:tc>
          <w:tcPr>
            <w:tcW w:w="992" w:type="dxa"/>
            <w:noWrap/>
            <w:vAlign w:val="center"/>
          </w:tcPr>
          <w:p w:rsidR="00644456" w:rsidRDefault="008031C4">
            <w:pPr>
              <w:jc w:val="center"/>
              <w:rPr>
                <w:b/>
                <w:bCs/>
                <w:color w:val="000000" w:themeColor="text1"/>
                <w:szCs w:val="21"/>
              </w:rPr>
            </w:pPr>
            <w:r>
              <w:rPr>
                <w:b/>
                <w:bCs/>
                <w:color w:val="000000" w:themeColor="text1"/>
                <w:szCs w:val="21"/>
              </w:rPr>
              <w:t>含油量（</w:t>
            </w:r>
            <w:r>
              <w:rPr>
                <w:b/>
                <w:bCs/>
                <w:color w:val="000000" w:themeColor="text1"/>
                <w:szCs w:val="21"/>
              </w:rPr>
              <w:t>t</w:t>
            </w:r>
            <w:r>
              <w:rPr>
                <w:b/>
                <w:bCs/>
                <w:color w:val="000000" w:themeColor="text1"/>
                <w:szCs w:val="21"/>
              </w:rPr>
              <w:t>）</w:t>
            </w:r>
          </w:p>
        </w:tc>
        <w:tc>
          <w:tcPr>
            <w:tcW w:w="992" w:type="dxa"/>
            <w:noWrap/>
            <w:vAlign w:val="center"/>
          </w:tcPr>
          <w:p w:rsidR="00644456" w:rsidRDefault="008031C4">
            <w:pPr>
              <w:jc w:val="center"/>
              <w:rPr>
                <w:b/>
                <w:bCs/>
                <w:color w:val="000000" w:themeColor="text1"/>
                <w:szCs w:val="21"/>
              </w:rPr>
            </w:pPr>
            <w:r>
              <w:rPr>
                <w:b/>
                <w:bCs/>
                <w:color w:val="000000" w:themeColor="text1"/>
                <w:szCs w:val="21"/>
              </w:rPr>
              <w:t>含水率（</w:t>
            </w:r>
            <w:r>
              <w:rPr>
                <w:b/>
                <w:bCs/>
                <w:color w:val="000000" w:themeColor="text1"/>
                <w:szCs w:val="21"/>
              </w:rPr>
              <w:t>%</w:t>
            </w:r>
            <w:r>
              <w:rPr>
                <w:b/>
                <w:bCs/>
                <w:color w:val="000000" w:themeColor="text1"/>
                <w:szCs w:val="21"/>
              </w:rPr>
              <w:t>）</w:t>
            </w:r>
          </w:p>
        </w:tc>
        <w:tc>
          <w:tcPr>
            <w:tcW w:w="851" w:type="dxa"/>
            <w:noWrap/>
            <w:vAlign w:val="center"/>
          </w:tcPr>
          <w:p w:rsidR="00644456" w:rsidRDefault="008031C4">
            <w:pPr>
              <w:jc w:val="center"/>
              <w:rPr>
                <w:b/>
                <w:bCs/>
                <w:color w:val="000000" w:themeColor="text1"/>
                <w:szCs w:val="21"/>
              </w:rPr>
            </w:pPr>
            <w:r>
              <w:rPr>
                <w:b/>
                <w:bCs/>
                <w:color w:val="000000" w:themeColor="text1"/>
                <w:szCs w:val="21"/>
              </w:rPr>
              <w:t>含水量（</w:t>
            </w:r>
            <w:r>
              <w:rPr>
                <w:b/>
                <w:bCs/>
                <w:color w:val="000000" w:themeColor="text1"/>
                <w:szCs w:val="21"/>
              </w:rPr>
              <w:t>t</w:t>
            </w:r>
            <w:r>
              <w:rPr>
                <w:b/>
                <w:bCs/>
                <w:color w:val="000000" w:themeColor="text1"/>
                <w:szCs w:val="21"/>
              </w:rPr>
              <w:t>）</w:t>
            </w:r>
          </w:p>
        </w:tc>
        <w:tc>
          <w:tcPr>
            <w:tcW w:w="850" w:type="dxa"/>
            <w:noWrap/>
            <w:vAlign w:val="center"/>
          </w:tcPr>
          <w:p w:rsidR="00644456" w:rsidRDefault="008031C4">
            <w:pPr>
              <w:jc w:val="center"/>
              <w:rPr>
                <w:b/>
                <w:bCs/>
                <w:color w:val="000000" w:themeColor="text1"/>
                <w:szCs w:val="21"/>
              </w:rPr>
            </w:pPr>
            <w:r>
              <w:rPr>
                <w:b/>
                <w:bCs/>
                <w:color w:val="000000" w:themeColor="text1"/>
                <w:szCs w:val="21"/>
              </w:rPr>
              <w:t>含固率（</w:t>
            </w:r>
            <w:r>
              <w:rPr>
                <w:b/>
                <w:bCs/>
                <w:color w:val="000000" w:themeColor="text1"/>
                <w:szCs w:val="21"/>
              </w:rPr>
              <w:t>%</w:t>
            </w:r>
            <w:r>
              <w:rPr>
                <w:b/>
                <w:bCs/>
                <w:color w:val="000000" w:themeColor="text1"/>
                <w:szCs w:val="21"/>
              </w:rPr>
              <w:t>）</w:t>
            </w:r>
          </w:p>
        </w:tc>
        <w:tc>
          <w:tcPr>
            <w:tcW w:w="851" w:type="dxa"/>
            <w:noWrap/>
            <w:vAlign w:val="center"/>
          </w:tcPr>
          <w:p w:rsidR="00644456" w:rsidRDefault="008031C4">
            <w:pPr>
              <w:jc w:val="center"/>
              <w:rPr>
                <w:b/>
                <w:bCs/>
                <w:color w:val="000000" w:themeColor="text1"/>
                <w:szCs w:val="21"/>
              </w:rPr>
            </w:pPr>
            <w:r>
              <w:rPr>
                <w:b/>
                <w:bCs/>
                <w:color w:val="000000" w:themeColor="text1"/>
                <w:szCs w:val="21"/>
              </w:rPr>
              <w:t>含固量（</w:t>
            </w:r>
            <w:r>
              <w:rPr>
                <w:b/>
                <w:bCs/>
                <w:color w:val="000000" w:themeColor="text1"/>
                <w:szCs w:val="21"/>
              </w:rPr>
              <w:t>t</w:t>
            </w:r>
            <w:r>
              <w:rPr>
                <w:b/>
                <w:bCs/>
                <w:color w:val="000000" w:themeColor="text1"/>
                <w:szCs w:val="21"/>
              </w:rPr>
              <w:t>）</w:t>
            </w:r>
          </w:p>
        </w:tc>
        <w:tc>
          <w:tcPr>
            <w:tcW w:w="850" w:type="dxa"/>
            <w:noWrap/>
            <w:vAlign w:val="center"/>
          </w:tcPr>
          <w:p w:rsidR="00644456" w:rsidRDefault="008031C4">
            <w:pPr>
              <w:jc w:val="center"/>
              <w:rPr>
                <w:b/>
                <w:bCs/>
                <w:color w:val="000000" w:themeColor="text1"/>
                <w:szCs w:val="21"/>
              </w:rPr>
            </w:pPr>
            <w:r>
              <w:rPr>
                <w:b/>
                <w:bCs/>
                <w:color w:val="000000" w:themeColor="text1"/>
                <w:szCs w:val="21"/>
              </w:rPr>
              <w:t>总量（</w:t>
            </w:r>
            <w:r>
              <w:rPr>
                <w:b/>
                <w:bCs/>
                <w:color w:val="000000" w:themeColor="text1"/>
                <w:szCs w:val="21"/>
              </w:rPr>
              <w:t>t</w:t>
            </w:r>
            <w:r>
              <w:rPr>
                <w:b/>
                <w:bCs/>
                <w:color w:val="000000" w:themeColor="text1"/>
                <w:szCs w:val="21"/>
              </w:rPr>
              <w:t>）</w:t>
            </w:r>
          </w:p>
        </w:tc>
        <w:tc>
          <w:tcPr>
            <w:tcW w:w="2003" w:type="dxa"/>
            <w:noWrap/>
            <w:vAlign w:val="center"/>
          </w:tcPr>
          <w:p w:rsidR="00644456" w:rsidRDefault="008031C4">
            <w:pPr>
              <w:jc w:val="center"/>
              <w:rPr>
                <w:b/>
                <w:bCs/>
                <w:color w:val="000000" w:themeColor="text1"/>
                <w:szCs w:val="21"/>
              </w:rPr>
            </w:pPr>
            <w:r>
              <w:rPr>
                <w:b/>
                <w:bCs/>
                <w:color w:val="000000" w:themeColor="text1"/>
                <w:szCs w:val="21"/>
              </w:rPr>
              <w:t>备注</w:t>
            </w:r>
          </w:p>
        </w:tc>
      </w:tr>
      <w:tr w:rsidR="00644456">
        <w:trPr>
          <w:trHeight w:val="340"/>
          <w:jc w:val="center"/>
        </w:trPr>
        <w:tc>
          <w:tcPr>
            <w:tcW w:w="704" w:type="dxa"/>
            <w:noWrap/>
            <w:vAlign w:val="center"/>
          </w:tcPr>
          <w:p w:rsidR="00644456" w:rsidRDefault="008031C4">
            <w:pPr>
              <w:jc w:val="center"/>
              <w:rPr>
                <w:color w:val="000000" w:themeColor="text1"/>
                <w:szCs w:val="21"/>
              </w:rPr>
            </w:pPr>
            <w:r>
              <w:rPr>
                <w:color w:val="000000" w:themeColor="text1"/>
                <w:szCs w:val="21"/>
              </w:rPr>
              <w:t>1</w:t>
            </w:r>
          </w:p>
        </w:tc>
        <w:tc>
          <w:tcPr>
            <w:tcW w:w="2126" w:type="dxa"/>
            <w:vAlign w:val="center"/>
          </w:tcPr>
          <w:p w:rsidR="00644456" w:rsidRDefault="008031C4">
            <w:pPr>
              <w:jc w:val="center"/>
              <w:rPr>
                <w:color w:val="000000" w:themeColor="text1"/>
                <w:szCs w:val="21"/>
              </w:rPr>
            </w:pPr>
            <w:r>
              <w:rPr>
                <w:color w:val="000000" w:themeColor="text1"/>
                <w:szCs w:val="21"/>
              </w:rPr>
              <w:t>车用废润滑油</w:t>
            </w:r>
          </w:p>
        </w:tc>
        <w:tc>
          <w:tcPr>
            <w:tcW w:w="2835"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辖区及周边汽车</w:t>
            </w:r>
            <w:r>
              <w:rPr>
                <w:color w:val="000000" w:themeColor="text1"/>
                <w:szCs w:val="21"/>
                <w:lang w:bidi="ar"/>
              </w:rPr>
              <w:t>4S</w:t>
            </w:r>
            <w:r>
              <w:rPr>
                <w:color w:val="000000" w:themeColor="text1"/>
                <w:szCs w:val="21"/>
                <w:lang w:bidi="ar"/>
              </w:rPr>
              <w:t>店、车辆修保企业、工程机械修理厂</w:t>
            </w:r>
          </w:p>
        </w:tc>
        <w:tc>
          <w:tcPr>
            <w:tcW w:w="993"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95%</w:t>
            </w:r>
          </w:p>
        </w:tc>
        <w:tc>
          <w:tcPr>
            <w:tcW w:w="992"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13300</w:t>
            </w:r>
          </w:p>
        </w:tc>
        <w:tc>
          <w:tcPr>
            <w:tcW w:w="992"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3%</w:t>
            </w:r>
          </w:p>
        </w:tc>
        <w:tc>
          <w:tcPr>
            <w:tcW w:w="851"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420</w:t>
            </w:r>
          </w:p>
        </w:tc>
        <w:tc>
          <w:tcPr>
            <w:tcW w:w="850"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2%</w:t>
            </w:r>
          </w:p>
        </w:tc>
        <w:tc>
          <w:tcPr>
            <w:tcW w:w="851"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280</w:t>
            </w:r>
          </w:p>
        </w:tc>
        <w:tc>
          <w:tcPr>
            <w:tcW w:w="850"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14000</w:t>
            </w:r>
          </w:p>
        </w:tc>
        <w:tc>
          <w:tcPr>
            <w:tcW w:w="2003" w:type="dxa"/>
            <w:noWrap/>
            <w:vAlign w:val="center"/>
          </w:tcPr>
          <w:p w:rsidR="00644456" w:rsidRDefault="008031C4">
            <w:pPr>
              <w:jc w:val="center"/>
              <w:rPr>
                <w:color w:val="000000" w:themeColor="text1"/>
                <w:szCs w:val="21"/>
              </w:rPr>
            </w:pPr>
            <w:r>
              <w:rPr>
                <w:color w:val="000000" w:themeColor="text1"/>
                <w:szCs w:val="21"/>
              </w:rPr>
              <w:t>废发动机油、刹车油、变速箱，齿轮油等，</w:t>
            </w:r>
          </w:p>
        </w:tc>
      </w:tr>
      <w:tr w:rsidR="00644456">
        <w:trPr>
          <w:trHeight w:val="689"/>
          <w:jc w:val="center"/>
        </w:trPr>
        <w:tc>
          <w:tcPr>
            <w:tcW w:w="704" w:type="dxa"/>
            <w:noWrap/>
            <w:vAlign w:val="center"/>
          </w:tcPr>
          <w:p w:rsidR="00644456" w:rsidRDefault="008031C4">
            <w:pPr>
              <w:jc w:val="center"/>
              <w:rPr>
                <w:color w:val="000000" w:themeColor="text1"/>
                <w:szCs w:val="21"/>
              </w:rPr>
            </w:pPr>
            <w:r>
              <w:rPr>
                <w:color w:val="000000" w:themeColor="text1"/>
                <w:szCs w:val="21"/>
              </w:rPr>
              <w:t>2</w:t>
            </w:r>
          </w:p>
        </w:tc>
        <w:tc>
          <w:tcPr>
            <w:tcW w:w="2126" w:type="dxa"/>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工业废矿物油</w:t>
            </w:r>
          </w:p>
        </w:tc>
        <w:tc>
          <w:tcPr>
            <w:tcW w:w="2835"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辖区及周边火电企业、水泥企业、纺织企业、矿山企业及非煤矿山企业、机械加工企业、石油化工等</w:t>
            </w:r>
          </w:p>
        </w:tc>
        <w:tc>
          <w:tcPr>
            <w:tcW w:w="993"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94%</w:t>
            </w:r>
          </w:p>
        </w:tc>
        <w:tc>
          <w:tcPr>
            <w:tcW w:w="992"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14100</w:t>
            </w:r>
          </w:p>
        </w:tc>
        <w:tc>
          <w:tcPr>
            <w:tcW w:w="992"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4%</w:t>
            </w:r>
          </w:p>
        </w:tc>
        <w:tc>
          <w:tcPr>
            <w:tcW w:w="851"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600</w:t>
            </w:r>
          </w:p>
        </w:tc>
        <w:tc>
          <w:tcPr>
            <w:tcW w:w="850"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2%</w:t>
            </w:r>
          </w:p>
        </w:tc>
        <w:tc>
          <w:tcPr>
            <w:tcW w:w="851"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300</w:t>
            </w:r>
          </w:p>
        </w:tc>
        <w:tc>
          <w:tcPr>
            <w:tcW w:w="850"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15000</w:t>
            </w:r>
          </w:p>
        </w:tc>
        <w:tc>
          <w:tcPr>
            <w:tcW w:w="2003" w:type="dxa"/>
            <w:noWrap/>
            <w:vAlign w:val="center"/>
          </w:tcPr>
          <w:p w:rsidR="00644456" w:rsidRDefault="008031C4">
            <w:pPr>
              <w:jc w:val="center"/>
              <w:rPr>
                <w:color w:val="000000" w:themeColor="text1"/>
                <w:szCs w:val="21"/>
              </w:rPr>
            </w:pPr>
            <w:r>
              <w:rPr>
                <w:color w:val="000000" w:themeColor="text1"/>
                <w:szCs w:val="21"/>
              </w:rPr>
              <w:t>液压油、轴承润滑油、齿轮油、变压器油、冷冻机油、等</w:t>
            </w:r>
          </w:p>
        </w:tc>
      </w:tr>
      <w:tr w:rsidR="00644456">
        <w:trPr>
          <w:trHeight w:val="340"/>
          <w:jc w:val="center"/>
        </w:trPr>
        <w:tc>
          <w:tcPr>
            <w:tcW w:w="704" w:type="dxa"/>
            <w:noWrap/>
            <w:vAlign w:val="center"/>
          </w:tcPr>
          <w:p w:rsidR="00644456" w:rsidRDefault="008031C4">
            <w:pPr>
              <w:jc w:val="center"/>
              <w:rPr>
                <w:color w:val="000000" w:themeColor="text1"/>
                <w:szCs w:val="21"/>
              </w:rPr>
            </w:pPr>
            <w:r>
              <w:rPr>
                <w:color w:val="000000" w:themeColor="text1"/>
                <w:szCs w:val="21"/>
              </w:rPr>
              <w:t>3</w:t>
            </w:r>
          </w:p>
        </w:tc>
        <w:tc>
          <w:tcPr>
            <w:tcW w:w="2126" w:type="dxa"/>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以柴油或白油为基油配置的油基钻井液</w:t>
            </w:r>
          </w:p>
        </w:tc>
        <w:tc>
          <w:tcPr>
            <w:tcW w:w="2835"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辖区及周边钻井公司、油气处理厂等</w:t>
            </w:r>
          </w:p>
        </w:tc>
        <w:tc>
          <w:tcPr>
            <w:tcW w:w="993"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80%</w:t>
            </w:r>
          </w:p>
        </w:tc>
        <w:tc>
          <w:tcPr>
            <w:tcW w:w="992"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800</w:t>
            </w:r>
          </w:p>
        </w:tc>
        <w:tc>
          <w:tcPr>
            <w:tcW w:w="992"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8%</w:t>
            </w:r>
          </w:p>
        </w:tc>
        <w:tc>
          <w:tcPr>
            <w:tcW w:w="851"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80</w:t>
            </w:r>
          </w:p>
        </w:tc>
        <w:tc>
          <w:tcPr>
            <w:tcW w:w="850"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12%</w:t>
            </w:r>
          </w:p>
        </w:tc>
        <w:tc>
          <w:tcPr>
            <w:tcW w:w="851"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120</w:t>
            </w:r>
          </w:p>
        </w:tc>
        <w:tc>
          <w:tcPr>
            <w:tcW w:w="850"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1000</w:t>
            </w:r>
          </w:p>
        </w:tc>
        <w:tc>
          <w:tcPr>
            <w:tcW w:w="2003" w:type="dxa"/>
            <w:noWrap/>
            <w:vAlign w:val="center"/>
          </w:tcPr>
          <w:p w:rsidR="00644456" w:rsidRDefault="008031C4">
            <w:pPr>
              <w:jc w:val="center"/>
              <w:rPr>
                <w:color w:val="000000" w:themeColor="text1"/>
                <w:szCs w:val="21"/>
              </w:rPr>
            </w:pPr>
            <w:r>
              <w:rPr>
                <w:color w:val="000000" w:themeColor="text1"/>
                <w:szCs w:val="21"/>
              </w:rPr>
              <w:t>废油基弃钻井液等</w:t>
            </w:r>
          </w:p>
        </w:tc>
      </w:tr>
      <w:tr w:rsidR="00644456">
        <w:trPr>
          <w:trHeight w:val="340"/>
          <w:jc w:val="center"/>
        </w:trPr>
        <w:tc>
          <w:tcPr>
            <w:tcW w:w="5665" w:type="dxa"/>
            <w:gridSpan w:val="3"/>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综合物料</w:t>
            </w:r>
          </w:p>
        </w:tc>
        <w:tc>
          <w:tcPr>
            <w:tcW w:w="993"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94.00%</w:t>
            </w:r>
          </w:p>
        </w:tc>
        <w:tc>
          <w:tcPr>
            <w:tcW w:w="992"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28200</w:t>
            </w:r>
          </w:p>
        </w:tc>
        <w:tc>
          <w:tcPr>
            <w:tcW w:w="992"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3.67%</w:t>
            </w:r>
          </w:p>
        </w:tc>
        <w:tc>
          <w:tcPr>
            <w:tcW w:w="851"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1100</w:t>
            </w:r>
          </w:p>
        </w:tc>
        <w:tc>
          <w:tcPr>
            <w:tcW w:w="850"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2.33%</w:t>
            </w:r>
          </w:p>
        </w:tc>
        <w:tc>
          <w:tcPr>
            <w:tcW w:w="851"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700</w:t>
            </w:r>
          </w:p>
        </w:tc>
        <w:tc>
          <w:tcPr>
            <w:tcW w:w="850" w:type="dxa"/>
            <w:noWrap/>
            <w:vAlign w:val="center"/>
          </w:tcPr>
          <w:p w:rsidR="00644456" w:rsidRDefault="008031C4">
            <w:pPr>
              <w:widowControl/>
              <w:jc w:val="center"/>
              <w:textAlignment w:val="bottom"/>
              <w:rPr>
                <w:color w:val="000000" w:themeColor="text1"/>
                <w:szCs w:val="21"/>
                <w:lang w:bidi="ar"/>
              </w:rPr>
            </w:pPr>
            <w:r>
              <w:rPr>
                <w:color w:val="000000" w:themeColor="text1"/>
                <w:szCs w:val="21"/>
                <w:lang w:bidi="ar"/>
              </w:rPr>
              <w:t>30000</w:t>
            </w:r>
          </w:p>
        </w:tc>
        <w:tc>
          <w:tcPr>
            <w:tcW w:w="2003" w:type="dxa"/>
            <w:noWrap/>
            <w:vAlign w:val="center"/>
          </w:tcPr>
          <w:p w:rsidR="00644456" w:rsidRDefault="00644456">
            <w:pPr>
              <w:jc w:val="center"/>
              <w:rPr>
                <w:color w:val="000000" w:themeColor="text1"/>
                <w:szCs w:val="21"/>
              </w:rPr>
            </w:pPr>
          </w:p>
        </w:tc>
      </w:tr>
      <w:tr w:rsidR="00644456">
        <w:trPr>
          <w:trHeight w:val="340"/>
          <w:jc w:val="center"/>
        </w:trPr>
        <w:tc>
          <w:tcPr>
            <w:tcW w:w="14047" w:type="dxa"/>
            <w:gridSpan w:val="11"/>
            <w:noWrap/>
            <w:vAlign w:val="center"/>
          </w:tcPr>
          <w:p w:rsidR="00644456" w:rsidRDefault="008031C4">
            <w:pPr>
              <w:widowControl/>
              <w:jc w:val="left"/>
              <w:textAlignment w:val="bottom"/>
              <w:rPr>
                <w:color w:val="000000" w:themeColor="text1"/>
                <w:szCs w:val="21"/>
              </w:rPr>
            </w:pPr>
            <w:r>
              <w:rPr>
                <w:color w:val="000000" w:themeColor="text1"/>
                <w:szCs w:val="21"/>
                <w:lang w:bidi="ar"/>
              </w:rPr>
              <w:t>备注：油基钻井液是指以油作为持续相的钻井液，其分为全油基钻井液和油包水乳化钻井液。在全油基钻井液中，水是无用的组分，其含水量不超过</w:t>
            </w:r>
            <w:r>
              <w:rPr>
                <w:color w:val="000000" w:themeColor="text1"/>
                <w:szCs w:val="21"/>
                <w:lang w:bidi="ar"/>
              </w:rPr>
              <w:t>10%</w:t>
            </w:r>
            <w:r>
              <w:rPr>
                <w:color w:val="000000" w:themeColor="text1"/>
                <w:szCs w:val="21"/>
                <w:lang w:bidi="ar"/>
              </w:rPr>
              <w:t>；而在油包水钻井液中，水作为必要组分均匀地分散在柴油中，其含水量一般为</w:t>
            </w:r>
            <w:r>
              <w:rPr>
                <w:rFonts w:hint="eastAsia"/>
                <w:color w:val="000000" w:themeColor="text1"/>
                <w:szCs w:val="21"/>
                <w:lang w:bidi="ar"/>
              </w:rPr>
              <w:t>10%</w:t>
            </w:r>
            <w:r>
              <w:rPr>
                <w:rFonts w:hint="eastAsia"/>
                <w:color w:val="000000" w:themeColor="text1"/>
                <w:szCs w:val="21"/>
                <w:lang w:bidi="ar"/>
              </w:rPr>
              <w:t>～</w:t>
            </w:r>
            <w:r>
              <w:rPr>
                <w:rFonts w:hint="eastAsia"/>
                <w:color w:val="000000" w:themeColor="text1"/>
                <w:szCs w:val="21"/>
                <w:lang w:bidi="ar"/>
              </w:rPr>
              <w:t>60%</w:t>
            </w:r>
            <w:r>
              <w:rPr>
                <w:color w:val="000000" w:themeColor="text1"/>
                <w:szCs w:val="21"/>
                <w:lang w:bidi="ar"/>
              </w:rPr>
              <w:t>，本项目主要回收为全油基钻井液。</w:t>
            </w:r>
          </w:p>
        </w:tc>
      </w:tr>
    </w:tbl>
    <w:p w:rsidR="00644456" w:rsidRDefault="008031C4">
      <w:pPr>
        <w:pStyle w:val="32"/>
        <w:adjustRightInd w:val="0"/>
        <w:snapToGrid w:val="0"/>
        <w:spacing w:after="0" w:line="348" w:lineRule="auto"/>
        <w:ind w:firstLineChars="200" w:firstLine="480"/>
        <w:rPr>
          <w:rFonts w:cs="Times New Roman"/>
          <w:color w:val="000000" w:themeColor="text1"/>
          <w:sz w:val="24"/>
          <w:szCs w:val="22"/>
        </w:rPr>
        <w:sectPr w:rsidR="00644456">
          <w:pgSz w:w="16838" w:h="11905" w:orient="landscape"/>
          <w:pgMar w:top="1440" w:right="1440" w:bottom="1440" w:left="1440" w:header="851" w:footer="992" w:gutter="0"/>
          <w:cols w:space="0"/>
          <w:docGrid w:linePitch="312"/>
        </w:sectPr>
      </w:pPr>
      <w:r>
        <w:rPr>
          <w:rFonts w:cs="Times New Roman" w:hint="eastAsia"/>
          <w:color w:val="000000" w:themeColor="text1"/>
          <w:sz w:val="24"/>
          <w:szCs w:val="22"/>
        </w:rPr>
        <w:t>本项目设计年处理量为</w:t>
      </w:r>
      <w:r>
        <w:rPr>
          <w:rFonts w:cs="Times New Roman" w:hint="eastAsia"/>
          <w:color w:val="000000" w:themeColor="text1"/>
          <w:sz w:val="24"/>
          <w:szCs w:val="22"/>
        </w:rPr>
        <w:t>30000</w:t>
      </w:r>
      <w:r>
        <w:rPr>
          <w:rFonts w:cs="Times New Roman" w:hint="eastAsia"/>
          <w:color w:val="000000" w:themeColor="text1"/>
          <w:sz w:val="24"/>
          <w:szCs w:val="22"/>
        </w:rPr>
        <w:t>吨</w:t>
      </w:r>
      <w:r>
        <w:rPr>
          <w:rFonts w:cs="Times New Roman" w:hint="eastAsia"/>
          <w:color w:val="000000" w:themeColor="text1"/>
          <w:sz w:val="24"/>
          <w:szCs w:val="22"/>
        </w:rPr>
        <w:t>/t</w:t>
      </w:r>
      <w:r>
        <w:rPr>
          <w:rFonts w:cs="Times New Roman" w:hint="eastAsia"/>
          <w:color w:val="000000" w:themeColor="text1"/>
          <w:sz w:val="24"/>
          <w:szCs w:val="22"/>
        </w:rPr>
        <w:t>，根据市场调查分析数据，本项目的原料来源有保障，可保证本项目正常生产。</w:t>
      </w:r>
    </w:p>
    <w:p w:rsidR="00644456" w:rsidRDefault="008031C4">
      <w:pPr>
        <w:pStyle w:val="3"/>
        <w:numPr>
          <w:ilvl w:val="2"/>
          <w:numId w:val="0"/>
        </w:numPr>
        <w:ind w:firstLineChars="200" w:firstLine="482"/>
      </w:pPr>
      <w:r>
        <w:rPr>
          <w:rFonts w:hint="eastAsia"/>
        </w:rPr>
        <w:lastRenderedPageBreak/>
        <w:t>2.4.6</w:t>
      </w:r>
      <w:r>
        <w:rPr>
          <w:rFonts w:hint="eastAsia"/>
        </w:rPr>
        <w:t>废矿物油的种类</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本项目回收的废矿物油属于《国家危险废物名录》（</w:t>
      </w:r>
      <w:r>
        <w:rPr>
          <w:rFonts w:cs="Times New Roman" w:hint="eastAsia"/>
          <w:color w:val="000000" w:themeColor="text1"/>
          <w:sz w:val="24"/>
          <w:szCs w:val="22"/>
        </w:rPr>
        <w:t>2021</w:t>
      </w:r>
      <w:r>
        <w:rPr>
          <w:rFonts w:cs="Times New Roman" w:hint="eastAsia"/>
          <w:color w:val="000000" w:themeColor="text1"/>
          <w:sz w:val="24"/>
          <w:szCs w:val="22"/>
        </w:rPr>
        <w:t>年版）规定的危险废物，代码</w:t>
      </w:r>
      <w:r>
        <w:rPr>
          <w:rFonts w:cs="Times New Roman" w:hint="eastAsia"/>
          <w:color w:val="000000" w:themeColor="text1"/>
          <w:sz w:val="24"/>
          <w:szCs w:val="22"/>
        </w:rPr>
        <w:t>HW08</w:t>
      </w:r>
      <w:r>
        <w:rPr>
          <w:rFonts w:cs="Times New Roman" w:hint="eastAsia"/>
          <w:color w:val="000000" w:themeColor="text1"/>
          <w:sz w:val="24"/>
          <w:szCs w:val="22"/>
        </w:rPr>
        <w:t>废矿物油；根据本项目的工艺设计，本项目拟回收的废矿物种类为</w:t>
      </w:r>
      <w:r>
        <w:rPr>
          <w:rFonts w:cs="Times New Roman" w:hint="eastAsia"/>
          <w:color w:val="000000" w:themeColor="text1"/>
          <w:sz w:val="24"/>
          <w:szCs w:val="22"/>
        </w:rPr>
        <w:t>HW08</w:t>
      </w:r>
      <w:r>
        <w:rPr>
          <w:rFonts w:cs="Times New Roman" w:hint="eastAsia"/>
          <w:color w:val="000000" w:themeColor="text1"/>
          <w:sz w:val="24"/>
          <w:szCs w:val="22"/>
        </w:rPr>
        <w:t>共</w:t>
      </w:r>
      <w:r>
        <w:rPr>
          <w:rFonts w:cs="Times New Roman" w:hint="eastAsia"/>
          <w:color w:val="000000" w:themeColor="text1"/>
          <w:sz w:val="24"/>
          <w:szCs w:val="22"/>
        </w:rPr>
        <w:t>2</w:t>
      </w:r>
      <w:r>
        <w:rPr>
          <w:rFonts w:cs="Times New Roman"/>
          <w:color w:val="000000" w:themeColor="text1"/>
          <w:sz w:val="24"/>
          <w:szCs w:val="22"/>
        </w:rPr>
        <w:t>0</w:t>
      </w:r>
      <w:r>
        <w:rPr>
          <w:rFonts w:cs="Times New Roman" w:hint="eastAsia"/>
          <w:color w:val="000000" w:themeColor="text1"/>
          <w:sz w:val="24"/>
          <w:szCs w:val="22"/>
        </w:rPr>
        <w:t>个小类别，具体见表</w:t>
      </w:r>
      <w:r>
        <w:rPr>
          <w:rFonts w:cs="Times New Roman" w:hint="eastAsia"/>
          <w:color w:val="000000" w:themeColor="text1"/>
          <w:sz w:val="24"/>
          <w:szCs w:val="22"/>
        </w:rPr>
        <w:t>3.1-12</w:t>
      </w:r>
      <w:r>
        <w:rPr>
          <w:rFonts w:cs="Times New Roman" w:hint="eastAsia"/>
          <w:color w:val="000000" w:themeColor="text1"/>
          <w:sz w:val="24"/>
          <w:szCs w:val="22"/>
        </w:rPr>
        <w:t>。</w:t>
      </w:r>
    </w:p>
    <w:p w:rsidR="00644456" w:rsidRDefault="00644456">
      <w:pPr>
        <w:autoSpaceDE w:val="0"/>
        <w:autoSpaceDN w:val="0"/>
        <w:adjustRightInd w:val="0"/>
        <w:ind w:firstLine="480"/>
        <w:jc w:val="center"/>
        <w:rPr>
          <w:rFonts w:cs="Times New Roman"/>
          <w:b/>
          <w:color w:val="000000" w:themeColor="text1"/>
          <w:sz w:val="24"/>
        </w:rPr>
        <w:sectPr w:rsidR="00644456">
          <w:pgSz w:w="11905" w:h="16838"/>
          <w:pgMar w:top="1440" w:right="1440" w:bottom="1440" w:left="1440" w:header="850" w:footer="992" w:gutter="0"/>
          <w:cols w:space="0"/>
          <w:docGrid w:linePitch="312"/>
        </w:sectPr>
      </w:pP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lastRenderedPageBreak/>
        <w:t>表</w:t>
      </w:r>
      <w:r>
        <w:rPr>
          <w:rFonts w:cs="Times New Roman" w:hint="eastAsia"/>
          <w:b/>
          <w:color w:val="000000" w:themeColor="text1"/>
          <w:sz w:val="24"/>
          <w:szCs w:val="20"/>
        </w:rPr>
        <w:t>2.4-9</w:t>
      </w:r>
      <w:r>
        <w:rPr>
          <w:rFonts w:cs="Times New Roman" w:hint="eastAsia"/>
          <w:b/>
          <w:color w:val="000000" w:themeColor="text1"/>
          <w:sz w:val="24"/>
          <w:szCs w:val="20"/>
        </w:rPr>
        <w:t>本项目拟回收处置利用的废矿物油种类</w:t>
      </w:r>
    </w:p>
    <w:tbl>
      <w:tblPr>
        <w:tblW w:w="1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134"/>
        <w:gridCol w:w="1134"/>
        <w:gridCol w:w="1276"/>
        <w:gridCol w:w="5722"/>
        <w:gridCol w:w="2935"/>
        <w:gridCol w:w="1201"/>
      </w:tblGrid>
      <w:tr w:rsidR="00644456">
        <w:trPr>
          <w:jc w:val="center"/>
        </w:trPr>
        <w:tc>
          <w:tcPr>
            <w:tcW w:w="704" w:type="dxa"/>
            <w:vAlign w:val="center"/>
          </w:tcPr>
          <w:p w:rsidR="00644456" w:rsidRDefault="008031C4">
            <w:pPr>
              <w:adjustRightInd w:val="0"/>
              <w:snapToGrid w:val="0"/>
              <w:jc w:val="center"/>
              <w:rPr>
                <w:b/>
                <w:bCs/>
                <w:szCs w:val="21"/>
              </w:rPr>
            </w:pPr>
            <w:r>
              <w:rPr>
                <w:b/>
                <w:bCs/>
                <w:szCs w:val="21"/>
              </w:rPr>
              <w:t>序号</w:t>
            </w:r>
          </w:p>
        </w:tc>
        <w:tc>
          <w:tcPr>
            <w:tcW w:w="1134" w:type="dxa"/>
            <w:vAlign w:val="center"/>
          </w:tcPr>
          <w:p w:rsidR="00644456" w:rsidRDefault="008031C4">
            <w:pPr>
              <w:adjustRightInd w:val="0"/>
              <w:snapToGrid w:val="0"/>
              <w:jc w:val="center"/>
              <w:rPr>
                <w:b/>
                <w:bCs/>
                <w:szCs w:val="21"/>
              </w:rPr>
            </w:pPr>
            <w:r>
              <w:rPr>
                <w:b/>
                <w:bCs/>
                <w:szCs w:val="21"/>
              </w:rPr>
              <w:t>废物类别</w:t>
            </w:r>
          </w:p>
        </w:tc>
        <w:tc>
          <w:tcPr>
            <w:tcW w:w="1134" w:type="dxa"/>
            <w:vAlign w:val="center"/>
          </w:tcPr>
          <w:p w:rsidR="00644456" w:rsidRDefault="008031C4">
            <w:pPr>
              <w:adjustRightInd w:val="0"/>
              <w:snapToGrid w:val="0"/>
              <w:jc w:val="center"/>
              <w:rPr>
                <w:b/>
                <w:bCs/>
                <w:szCs w:val="21"/>
              </w:rPr>
            </w:pPr>
            <w:r>
              <w:rPr>
                <w:b/>
                <w:bCs/>
                <w:szCs w:val="21"/>
              </w:rPr>
              <w:t>行业来源</w:t>
            </w:r>
          </w:p>
        </w:tc>
        <w:tc>
          <w:tcPr>
            <w:tcW w:w="1276" w:type="dxa"/>
            <w:vAlign w:val="center"/>
          </w:tcPr>
          <w:p w:rsidR="00644456" w:rsidRDefault="008031C4">
            <w:pPr>
              <w:adjustRightInd w:val="0"/>
              <w:snapToGrid w:val="0"/>
              <w:jc w:val="center"/>
              <w:rPr>
                <w:b/>
                <w:bCs/>
                <w:szCs w:val="21"/>
              </w:rPr>
            </w:pPr>
            <w:r>
              <w:rPr>
                <w:b/>
                <w:bCs/>
                <w:szCs w:val="21"/>
              </w:rPr>
              <w:t>废物代码</w:t>
            </w:r>
          </w:p>
        </w:tc>
        <w:tc>
          <w:tcPr>
            <w:tcW w:w="5722" w:type="dxa"/>
            <w:vAlign w:val="center"/>
          </w:tcPr>
          <w:p w:rsidR="00644456" w:rsidRDefault="008031C4">
            <w:pPr>
              <w:adjustRightInd w:val="0"/>
              <w:snapToGrid w:val="0"/>
              <w:jc w:val="center"/>
              <w:rPr>
                <w:b/>
                <w:bCs/>
                <w:szCs w:val="21"/>
              </w:rPr>
            </w:pPr>
            <w:r>
              <w:rPr>
                <w:b/>
                <w:bCs/>
                <w:szCs w:val="21"/>
              </w:rPr>
              <w:t>危险废物</w:t>
            </w:r>
          </w:p>
        </w:tc>
        <w:tc>
          <w:tcPr>
            <w:tcW w:w="2935" w:type="dxa"/>
            <w:vAlign w:val="center"/>
          </w:tcPr>
          <w:p w:rsidR="00644456" w:rsidRDefault="008031C4">
            <w:pPr>
              <w:adjustRightInd w:val="0"/>
              <w:snapToGrid w:val="0"/>
              <w:jc w:val="center"/>
              <w:rPr>
                <w:b/>
                <w:bCs/>
                <w:szCs w:val="21"/>
              </w:rPr>
            </w:pPr>
            <w:r>
              <w:rPr>
                <w:b/>
                <w:bCs/>
                <w:szCs w:val="21"/>
              </w:rPr>
              <w:t>本项目回收范围</w:t>
            </w:r>
          </w:p>
        </w:tc>
        <w:tc>
          <w:tcPr>
            <w:tcW w:w="1201" w:type="dxa"/>
            <w:vAlign w:val="center"/>
          </w:tcPr>
          <w:p w:rsidR="00644456" w:rsidRDefault="008031C4">
            <w:pPr>
              <w:adjustRightInd w:val="0"/>
              <w:snapToGrid w:val="0"/>
              <w:jc w:val="center"/>
              <w:rPr>
                <w:b/>
                <w:bCs/>
                <w:szCs w:val="21"/>
              </w:rPr>
            </w:pPr>
            <w:r>
              <w:rPr>
                <w:b/>
                <w:bCs/>
                <w:szCs w:val="21"/>
              </w:rPr>
              <w:t>危险特性</w:t>
            </w:r>
          </w:p>
        </w:tc>
      </w:tr>
      <w:tr w:rsidR="00644456">
        <w:trPr>
          <w:jc w:val="center"/>
        </w:trPr>
        <w:tc>
          <w:tcPr>
            <w:tcW w:w="704" w:type="dxa"/>
            <w:vAlign w:val="center"/>
          </w:tcPr>
          <w:p w:rsidR="00644456" w:rsidRDefault="008031C4">
            <w:pPr>
              <w:adjustRightInd w:val="0"/>
              <w:snapToGrid w:val="0"/>
              <w:jc w:val="center"/>
              <w:rPr>
                <w:szCs w:val="21"/>
              </w:rPr>
            </w:pPr>
            <w:r>
              <w:rPr>
                <w:szCs w:val="21"/>
              </w:rPr>
              <w:t>1</w:t>
            </w:r>
          </w:p>
        </w:tc>
        <w:tc>
          <w:tcPr>
            <w:tcW w:w="1134" w:type="dxa"/>
            <w:vMerge w:val="restart"/>
            <w:vAlign w:val="center"/>
          </w:tcPr>
          <w:p w:rsidR="00644456" w:rsidRDefault="008031C4">
            <w:pPr>
              <w:adjustRightInd w:val="0"/>
              <w:snapToGrid w:val="0"/>
              <w:rPr>
                <w:szCs w:val="21"/>
              </w:rPr>
            </w:pPr>
            <w:r>
              <w:rPr>
                <w:szCs w:val="21"/>
              </w:rPr>
              <w:t>HW08</w:t>
            </w:r>
            <w:r>
              <w:rPr>
                <w:szCs w:val="21"/>
              </w:rPr>
              <w:t>废矿物油及含矿物油废物</w:t>
            </w:r>
          </w:p>
        </w:tc>
        <w:tc>
          <w:tcPr>
            <w:tcW w:w="1134" w:type="dxa"/>
            <w:vAlign w:val="center"/>
          </w:tcPr>
          <w:p w:rsidR="00644456" w:rsidRDefault="008031C4">
            <w:pPr>
              <w:adjustRightInd w:val="0"/>
              <w:snapToGrid w:val="0"/>
              <w:jc w:val="center"/>
              <w:rPr>
                <w:szCs w:val="21"/>
              </w:rPr>
            </w:pPr>
            <w:r>
              <w:rPr>
                <w:szCs w:val="21"/>
              </w:rPr>
              <w:t>石油开采</w:t>
            </w:r>
          </w:p>
        </w:tc>
        <w:tc>
          <w:tcPr>
            <w:tcW w:w="1276" w:type="dxa"/>
            <w:vAlign w:val="center"/>
          </w:tcPr>
          <w:p w:rsidR="00644456" w:rsidRDefault="008031C4">
            <w:pPr>
              <w:adjustRightInd w:val="0"/>
              <w:snapToGrid w:val="0"/>
              <w:jc w:val="center"/>
              <w:rPr>
                <w:szCs w:val="21"/>
              </w:rPr>
            </w:pPr>
            <w:r>
              <w:rPr>
                <w:szCs w:val="21"/>
              </w:rPr>
              <w:t>071-002-08</w:t>
            </w:r>
          </w:p>
        </w:tc>
        <w:tc>
          <w:tcPr>
            <w:tcW w:w="5722" w:type="dxa"/>
            <w:vAlign w:val="center"/>
          </w:tcPr>
          <w:p w:rsidR="00644456" w:rsidRDefault="008031C4">
            <w:pPr>
              <w:adjustRightInd w:val="0"/>
              <w:snapToGrid w:val="0"/>
              <w:jc w:val="center"/>
              <w:rPr>
                <w:szCs w:val="21"/>
              </w:rPr>
            </w:pPr>
            <w:r>
              <w:rPr>
                <w:szCs w:val="21"/>
              </w:rPr>
              <w:t>以矿物油为连续相配制钻井泥浆用于石油开采所产生的钻井岩屑和废弃钻井泥浆</w:t>
            </w:r>
          </w:p>
        </w:tc>
        <w:tc>
          <w:tcPr>
            <w:tcW w:w="2935" w:type="dxa"/>
            <w:vMerge w:val="restart"/>
            <w:vAlign w:val="center"/>
          </w:tcPr>
          <w:p w:rsidR="00644456" w:rsidRDefault="008031C4">
            <w:pPr>
              <w:adjustRightInd w:val="0"/>
              <w:snapToGrid w:val="0"/>
              <w:jc w:val="center"/>
              <w:rPr>
                <w:szCs w:val="21"/>
              </w:rPr>
            </w:pPr>
            <w:r>
              <w:rPr>
                <w:szCs w:val="21"/>
              </w:rPr>
              <w:t>只回收废弃或失效的以柴油或白油为基油配置的油基钻井液（不含钻井岩屑），通过装置预处理和蒸馏工序回收利用其中的重柴油、白油组分</w:t>
            </w:r>
          </w:p>
        </w:tc>
        <w:tc>
          <w:tcPr>
            <w:tcW w:w="1201" w:type="dxa"/>
            <w:vAlign w:val="center"/>
          </w:tcPr>
          <w:p w:rsidR="00644456" w:rsidRDefault="008031C4">
            <w:pPr>
              <w:adjustRightInd w:val="0"/>
              <w:snapToGrid w:val="0"/>
              <w:jc w:val="center"/>
              <w:rPr>
                <w:szCs w:val="21"/>
              </w:rPr>
            </w:pPr>
            <w:r>
              <w:rPr>
                <w:szCs w:val="21"/>
              </w:rPr>
              <w:t>T</w:t>
            </w:r>
          </w:p>
        </w:tc>
      </w:tr>
      <w:tr w:rsidR="00644456">
        <w:trPr>
          <w:jc w:val="center"/>
        </w:trPr>
        <w:tc>
          <w:tcPr>
            <w:tcW w:w="704" w:type="dxa"/>
            <w:vAlign w:val="center"/>
          </w:tcPr>
          <w:p w:rsidR="00644456" w:rsidRDefault="008031C4">
            <w:pPr>
              <w:adjustRightInd w:val="0"/>
              <w:snapToGrid w:val="0"/>
              <w:jc w:val="center"/>
              <w:rPr>
                <w:szCs w:val="21"/>
              </w:rPr>
            </w:pPr>
            <w:r>
              <w:rPr>
                <w:szCs w:val="21"/>
              </w:rPr>
              <w:t>2</w:t>
            </w:r>
          </w:p>
        </w:tc>
        <w:tc>
          <w:tcPr>
            <w:tcW w:w="1134" w:type="dxa"/>
            <w:vMerge/>
            <w:vAlign w:val="center"/>
          </w:tcPr>
          <w:p w:rsidR="00644456" w:rsidRDefault="00644456">
            <w:pPr>
              <w:adjustRightInd w:val="0"/>
              <w:snapToGrid w:val="0"/>
              <w:jc w:val="center"/>
              <w:rPr>
                <w:szCs w:val="21"/>
              </w:rPr>
            </w:pPr>
          </w:p>
        </w:tc>
        <w:tc>
          <w:tcPr>
            <w:tcW w:w="1134" w:type="dxa"/>
            <w:vAlign w:val="center"/>
          </w:tcPr>
          <w:p w:rsidR="00644456" w:rsidRDefault="008031C4">
            <w:pPr>
              <w:adjustRightInd w:val="0"/>
              <w:snapToGrid w:val="0"/>
              <w:jc w:val="center"/>
              <w:rPr>
                <w:szCs w:val="21"/>
              </w:rPr>
            </w:pPr>
            <w:r>
              <w:rPr>
                <w:szCs w:val="21"/>
              </w:rPr>
              <w:t>天然气开采</w:t>
            </w:r>
          </w:p>
        </w:tc>
        <w:tc>
          <w:tcPr>
            <w:tcW w:w="1276" w:type="dxa"/>
            <w:vAlign w:val="center"/>
          </w:tcPr>
          <w:p w:rsidR="00644456" w:rsidRDefault="008031C4">
            <w:pPr>
              <w:adjustRightInd w:val="0"/>
              <w:snapToGrid w:val="0"/>
              <w:jc w:val="center"/>
              <w:rPr>
                <w:szCs w:val="21"/>
              </w:rPr>
            </w:pPr>
            <w:r>
              <w:rPr>
                <w:szCs w:val="21"/>
              </w:rPr>
              <w:t>072-001-08</w:t>
            </w:r>
          </w:p>
        </w:tc>
        <w:tc>
          <w:tcPr>
            <w:tcW w:w="5722" w:type="dxa"/>
            <w:vAlign w:val="center"/>
          </w:tcPr>
          <w:p w:rsidR="00644456" w:rsidRDefault="008031C4">
            <w:pPr>
              <w:adjustRightInd w:val="0"/>
              <w:snapToGrid w:val="0"/>
              <w:jc w:val="center"/>
              <w:rPr>
                <w:szCs w:val="21"/>
              </w:rPr>
            </w:pPr>
            <w:r>
              <w:rPr>
                <w:szCs w:val="21"/>
              </w:rPr>
              <w:t>以矿物油为连续相配制钻井泥浆用于天然气开采所产生的钻井岩屑和废弃钻井泥浆</w:t>
            </w:r>
          </w:p>
        </w:tc>
        <w:tc>
          <w:tcPr>
            <w:tcW w:w="2935" w:type="dxa"/>
            <w:vMerge/>
            <w:vAlign w:val="center"/>
          </w:tcPr>
          <w:p w:rsidR="00644456" w:rsidRDefault="00644456">
            <w:pPr>
              <w:adjustRightInd w:val="0"/>
              <w:snapToGrid w:val="0"/>
              <w:jc w:val="center"/>
              <w:rPr>
                <w:szCs w:val="21"/>
              </w:rPr>
            </w:pPr>
          </w:p>
        </w:tc>
        <w:tc>
          <w:tcPr>
            <w:tcW w:w="1201" w:type="dxa"/>
            <w:vAlign w:val="center"/>
          </w:tcPr>
          <w:p w:rsidR="00644456" w:rsidRDefault="008031C4">
            <w:pPr>
              <w:adjustRightInd w:val="0"/>
              <w:snapToGrid w:val="0"/>
              <w:jc w:val="center"/>
              <w:rPr>
                <w:szCs w:val="21"/>
              </w:rPr>
            </w:pPr>
            <w:r>
              <w:rPr>
                <w:szCs w:val="21"/>
              </w:rPr>
              <w:t>T</w:t>
            </w:r>
          </w:p>
        </w:tc>
      </w:tr>
      <w:tr w:rsidR="00644456">
        <w:trPr>
          <w:jc w:val="center"/>
        </w:trPr>
        <w:tc>
          <w:tcPr>
            <w:tcW w:w="704" w:type="dxa"/>
            <w:vAlign w:val="center"/>
          </w:tcPr>
          <w:p w:rsidR="00644456" w:rsidRDefault="008031C4">
            <w:pPr>
              <w:adjustRightInd w:val="0"/>
              <w:snapToGrid w:val="0"/>
              <w:jc w:val="center"/>
              <w:rPr>
                <w:szCs w:val="21"/>
              </w:rPr>
            </w:pPr>
            <w:r>
              <w:rPr>
                <w:szCs w:val="21"/>
              </w:rPr>
              <w:t>3</w:t>
            </w:r>
          </w:p>
        </w:tc>
        <w:tc>
          <w:tcPr>
            <w:tcW w:w="1134" w:type="dxa"/>
            <w:vMerge/>
            <w:vAlign w:val="center"/>
          </w:tcPr>
          <w:p w:rsidR="00644456" w:rsidRDefault="00644456">
            <w:pPr>
              <w:adjustRightInd w:val="0"/>
              <w:snapToGrid w:val="0"/>
              <w:jc w:val="center"/>
              <w:rPr>
                <w:szCs w:val="21"/>
              </w:rPr>
            </w:pPr>
          </w:p>
        </w:tc>
        <w:tc>
          <w:tcPr>
            <w:tcW w:w="1134" w:type="dxa"/>
            <w:vAlign w:val="center"/>
          </w:tcPr>
          <w:p w:rsidR="00644456" w:rsidRDefault="008031C4">
            <w:pPr>
              <w:adjustRightInd w:val="0"/>
              <w:snapToGrid w:val="0"/>
              <w:jc w:val="center"/>
              <w:rPr>
                <w:szCs w:val="21"/>
              </w:rPr>
            </w:pPr>
            <w:r>
              <w:rPr>
                <w:szCs w:val="21"/>
              </w:rPr>
              <w:t>精炼石油产品制造</w:t>
            </w:r>
          </w:p>
        </w:tc>
        <w:tc>
          <w:tcPr>
            <w:tcW w:w="1276" w:type="dxa"/>
            <w:vAlign w:val="center"/>
          </w:tcPr>
          <w:p w:rsidR="00644456" w:rsidRDefault="008031C4">
            <w:pPr>
              <w:adjustRightInd w:val="0"/>
              <w:snapToGrid w:val="0"/>
              <w:jc w:val="center"/>
              <w:rPr>
                <w:szCs w:val="21"/>
              </w:rPr>
            </w:pPr>
            <w:r>
              <w:rPr>
                <w:szCs w:val="21"/>
              </w:rPr>
              <w:t>251-001-08</w:t>
            </w:r>
          </w:p>
        </w:tc>
        <w:tc>
          <w:tcPr>
            <w:tcW w:w="5722" w:type="dxa"/>
            <w:vAlign w:val="center"/>
          </w:tcPr>
          <w:p w:rsidR="00644456" w:rsidRDefault="008031C4">
            <w:pPr>
              <w:adjustRightInd w:val="0"/>
              <w:snapToGrid w:val="0"/>
              <w:jc w:val="center"/>
              <w:rPr>
                <w:szCs w:val="21"/>
              </w:rPr>
            </w:pPr>
            <w:r>
              <w:rPr>
                <w:szCs w:val="21"/>
              </w:rPr>
              <w:t>清洗矿物油储存、输送设施过程中产生的油</w:t>
            </w:r>
            <w:r>
              <w:rPr>
                <w:szCs w:val="21"/>
              </w:rPr>
              <w:t>/</w:t>
            </w:r>
            <w:r>
              <w:rPr>
                <w:szCs w:val="21"/>
              </w:rPr>
              <w:t>水和烃</w:t>
            </w:r>
            <w:r>
              <w:rPr>
                <w:szCs w:val="21"/>
              </w:rPr>
              <w:t>/</w:t>
            </w:r>
            <w:r>
              <w:rPr>
                <w:szCs w:val="21"/>
              </w:rPr>
              <w:t>水混合物</w:t>
            </w:r>
          </w:p>
        </w:tc>
        <w:tc>
          <w:tcPr>
            <w:tcW w:w="2935" w:type="dxa"/>
            <w:vAlign w:val="center"/>
          </w:tcPr>
          <w:p w:rsidR="00644456" w:rsidRDefault="008031C4">
            <w:pPr>
              <w:adjustRightInd w:val="0"/>
              <w:snapToGrid w:val="0"/>
              <w:jc w:val="center"/>
              <w:rPr>
                <w:szCs w:val="21"/>
              </w:rPr>
            </w:pPr>
            <w:r>
              <w:rPr>
                <w:szCs w:val="21"/>
              </w:rPr>
              <w:t>全部</w:t>
            </w:r>
          </w:p>
        </w:tc>
        <w:tc>
          <w:tcPr>
            <w:tcW w:w="1201" w:type="dxa"/>
            <w:vAlign w:val="center"/>
          </w:tcPr>
          <w:p w:rsidR="00644456" w:rsidRDefault="008031C4">
            <w:pPr>
              <w:adjustRightInd w:val="0"/>
              <w:snapToGrid w:val="0"/>
              <w:jc w:val="center"/>
              <w:rPr>
                <w:szCs w:val="21"/>
              </w:rPr>
            </w:pPr>
            <w:r>
              <w:rPr>
                <w:szCs w:val="21"/>
              </w:rPr>
              <w:t>T</w:t>
            </w:r>
          </w:p>
        </w:tc>
      </w:tr>
      <w:tr w:rsidR="00644456">
        <w:trPr>
          <w:jc w:val="center"/>
        </w:trPr>
        <w:tc>
          <w:tcPr>
            <w:tcW w:w="704" w:type="dxa"/>
            <w:vAlign w:val="center"/>
          </w:tcPr>
          <w:p w:rsidR="00644456" w:rsidRDefault="008031C4">
            <w:pPr>
              <w:adjustRightInd w:val="0"/>
              <w:snapToGrid w:val="0"/>
              <w:jc w:val="center"/>
              <w:rPr>
                <w:szCs w:val="21"/>
              </w:rPr>
            </w:pPr>
            <w:r>
              <w:rPr>
                <w:szCs w:val="21"/>
              </w:rPr>
              <w:t>6</w:t>
            </w:r>
          </w:p>
        </w:tc>
        <w:tc>
          <w:tcPr>
            <w:tcW w:w="1134" w:type="dxa"/>
            <w:vMerge/>
            <w:vAlign w:val="center"/>
          </w:tcPr>
          <w:p w:rsidR="00644456" w:rsidRDefault="00644456">
            <w:pPr>
              <w:adjustRightInd w:val="0"/>
              <w:snapToGrid w:val="0"/>
              <w:jc w:val="center"/>
              <w:rPr>
                <w:szCs w:val="21"/>
              </w:rPr>
            </w:pPr>
          </w:p>
        </w:tc>
        <w:tc>
          <w:tcPr>
            <w:tcW w:w="1134" w:type="dxa"/>
            <w:vMerge w:val="restart"/>
            <w:vAlign w:val="center"/>
          </w:tcPr>
          <w:p w:rsidR="00644456" w:rsidRDefault="008031C4">
            <w:pPr>
              <w:adjustRightInd w:val="0"/>
              <w:snapToGrid w:val="0"/>
              <w:jc w:val="center"/>
              <w:rPr>
                <w:szCs w:val="21"/>
              </w:rPr>
            </w:pPr>
            <w:r>
              <w:rPr>
                <w:szCs w:val="21"/>
              </w:rPr>
              <w:t>非特定行业</w:t>
            </w:r>
          </w:p>
        </w:tc>
        <w:tc>
          <w:tcPr>
            <w:tcW w:w="1276" w:type="dxa"/>
            <w:vAlign w:val="center"/>
          </w:tcPr>
          <w:p w:rsidR="00644456" w:rsidRDefault="008031C4">
            <w:pPr>
              <w:adjustRightInd w:val="0"/>
              <w:snapToGrid w:val="0"/>
              <w:jc w:val="center"/>
              <w:rPr>
                <w:szCs w:val="21"/>
              </w:rPr>
            </w:pPr>
            <w:r>
              <w:rPr>
                <w:szCs w:val="21"/>
              </w:rPr>
              <w:t>900-199-08</w:t>
            </w:r>
          </w:p>
        </w:tc>
        <w:tc>
          <w:tcPr>
            <w:tcW w:w="5722" w:type="dxa"/>
            <w:vAlign w:val="center"/>
          </w:tcPr>
          <w:p w:rsidR="00644456" w:rsidRDefault="008031C4">
            <w:pPr>
              <w:adjustRightInd w:val="0"/>
              <w:snapToGrid w:val="0"/>
              <w:jc w:val="center"/>
              <w:rPr>
                <w:szCs w:val="21"/>
              </w:rPr>
            </w:pPr>
            <w:r>
              <w:rPr>
                <w:szCs w:val="21"/>
              </w:rPr>
              <w:t>内燃机、汽车、轮船等集中拆解过程产生的废矿物油及油泥</w:t>
            </w:r>
          </w:p>
        </w:tc>
        <w:tc>
          <w:tcPr>
            <w:tcW w:w="2935" w:type="dxa"/>
            <w:vAlign w:val="center"/>
          </w:tcPr>
          <w:p w:rsidR="00644456" w:rsidRDefault="008031C4">
            <w:pPr>
              <w:adjustRightInd w:val="0"/>
              <w:snapToGrid w:val="0"/>
              <w:jc w:val="center"/>
              <w:rPr>
                <w:szCs w:val="21"/>
              </w:rPr>
            </w:pPr>
            <w:r>
              <w:rPr>
                <w:szCs w:val="21"/>
              </w:rPr>
              <w:t>只回收利用废矿物油</w:t>
            </w:r>
          </w:p>
        </w:tc>
        <w:tc>
          <w:tcPr>
            <w:tcW w:w="1201" w:type="dxa"/>
            <w:vAlign w:val="center"/>
          </w:tcPr>
          <w:p w:rsidR="00644456" w:rsidRDefault="008031C4">
            <w:pPr>
              <w:adjustRightInd w:val="0"/>
              <w:snapToGrid w:val="0"/>
              <w:jc w:val="center"/>
              <w:rPr>
                <w:szCs w:val="21"/>
              </w:rPr>
            </w:pPr>
            <w:r>
              <w:rPr>
                <w:szCs w:val="21"/>
              </w:rPr>
              <w:t>T</w:t>
            </w:r>
            <w:r>
              <w:rPr>
                <w:szCs w:val="21"/>
              </w:rPr>
              <w:t>，</w:t>
            </w:r>
            <w:r>
              <w:rPr>
                <w:szCs w:val="21"/>
              </w:rPr>
              <w:t>I</w:t>
            </w:r>
          </w:p>
        </w:tc>
      </w:tr>
      <w:tr w:rsidR="00644456">
        <w:trPr>
          <w:jc w:val="center"/>
        </w:trPr>
        <w:tc>
          <w:tcPr>
            <w:tcW w:w="704" w:type="dxa"/>
            <w:vAlign w:val="center"/>
          </w:tcPr>
          <w:p w:rsidR="00644456" w:rsidRDefault="008031C4">
            <w:pPr>
              <w:adjustRightInd w:val="0"/>
              <w:snapToGrid w:val="0"/>
              <w:jc w:val="center"/>
              <w:rPr>
                <w:szCs w:val="21"/>
              </w:rPr>
            </w:pPr>
            <w:r>
              <w:rPr>
                <w:szCs w:val="21"/>
              </w:rPr>
              <w:t>7</w:t>
            </w:r>
          </w:p>
        </w:tc>
        <w:tc>
          <w:tcPr>
            <w:tcW w:w="1134" w:type="dxa"/>
            <w:vMerge/>
            <w:vAlign w:val="center"/>
          </w:tcPr>
          <w:p w:rsidR="00644456" w:rsidRDefault="00644456">
            <w:pPr>
              <w:adjustRightInd w:val="0"/>
              <w:snapToGrid w:val="0"/>
              <w:jc w:val="center"/>
              <w:rPr>
                <w:szCs w:val="21"/>
              </w:rPr>
            </w:pPr>
          </w:p>
        </w:tc>
        <w:tc>
          <w:tcPr>
            <w:tcW w:w="1134" w:type="dxa"/>
            <w:vMerge/>
            <w:vAlign w:val="center"/>
          </w:tcPr>
          <w:p w:rsidR="00644456" w:rsidRDefault="00644456">
            <w:pPr>
              <w:adjustRightInd w:val="0"/>
              <w:snapToGrid w:val="0"/>
              <w:jc w:val="center"/>
              <w:rPr>
                <w:szCs w:val="21"/>
              </w:rPr>
            </w:pPr>
          </w:p>
        </w:tc>
        <w:tc>
          <w:tcPr>
            <w:tcW w:w="1276" w:type="dxa"/>
            <w:vAlign w:val="center"/>
          </w:tcPr>
          <w:p w:rsidR="00644456" w:rsidRDefault="008031C4">
            <w:pPr>
              <w:adjustRightInd w:val="0"/>
              <w:snapToGrid w:val="0"/>
              <w:jc w:val="center"/>
              <w:rPr>
                <w:szCs w:val="21"/>
              </w:rPr>
            </w:pPr>
            <w:r>
              <w:rPr>
                <w:szCs w:val="21"/>
              </w:rPr>
              <w:t>900-200-08</w:t>
            </w:r>
          </w:p>
        </w:tc>
        <w:tc>
          <w:tcPr>
            <w:tcW w:w="5722" w:type="dxa"/>
            <w:vAlign w:val="center"/>
          </w:tcPr>
          <w:p w:rsidR="00644456" w:rsidRDefault="008031C4">
            <w:pPr>
              <w:adjustRightInd w:val="0"/>
              <w:snapToGrid w:val="0"/>
              <w:jc w:val="center"/>
              <w:rPr>
                <w:szCs w:val="21"/>
              </w:rPr>
            </w:pPr>
            <w:r>
              <w:rPr>
                <w:szCs w:val="21"/>
              </w:rPr>
              <w:t>珩磨、研磨、打磨过程产生的废矿物油及油泥</w:t>
            </w:r>
          </w:p>
        </w:tc>
        <w:tc>
          <w:tcPr>
            <w:tcW w:w="2935" w:type="dxa"/>
            <w:vAlign w:val="center"/>
          </w:tcPr>
          <w:p w:rsidR="00644456" w:rsidRDefault="008031C4">
            <w:pPr>
              <w:adjustRightInd w:val="0"/>
              <w:snapToGrid w:val="0"/>
              <w:jc w:val="center"/>
              <w:rPr>
                <w:szCs w:val="21"/>
              </w:rPr>
            </w:pPr>
            <w:r>
              <w:rPr>
                <w:szCs w:val="21"/>
              </w:rPr>
              <w:t>只回收利用废矿物油</w:t>
            </w:r>
          </w:p>
        </w:tc>
        <w:tc>
          <w:tcPr>
            <w:tcW w:w="1201" w:type="dxa"/>
            <w:vAlign w:val="center"/>
          </w:tcPr>
          <w:p w:rsidR="00644456" w:rsidRDefault="008031C4">
            <w:pPr>
              <w:adjustRightInd w:val="0"/>
              <w:snapToGrid w:val="0"/>
              <w:jc w:val="center"/>
              <w:rPr>
                <w:szCs w:val="21"/>
              </w:rPr>
            </w:pPr>
            <w:r>
              <w:rPr>
                <w:szCs w:val="21"/>
              </w:rPr>
              <w:t>T</w:t>
            </w:r>
            <w:r>
              <w:rPr>
                <w:szCs w:val="21"/>
              </w:rPr>
              <w:t>，</w:t>
            </w:r>
            <w:r>
              <w:rPr>
                <w:szCs w:val="21"/>
              </w:rPr>
              <w:t>I</w:t>
            </w:r>
          </w:p>
        </w:tc>
      </w:tr>
      <w:tr w:rsidR="00644456">
        <w:trPr>
          <w:jc w:val="center"/>
        </w:trPr>
        <w:tc>
          <w:tcPr>
            <w:tcW w:w="704" w:type="dxa"/>
            <w:vAlign w:val="center"/>
          </w:tcPr>
          <w:p w:rsidR="00644456" w:rsidRDefault="008031C4">
            <w:pPr>
              <w:adjustRightInd w:val="0"/>
              <w:snapToGrid w:val="0"/>
              <w:jc w:val="center"/>
              <w:rPr>
                <w:szCs w:val="21"/>
              </w:rPr>
            </w:pPr>
            <w:r>
              <w:rPr>
                <w:szCs w:val="21"/>
              </w:rPr>
              <w:t>8</w:t>
            </w:r>
          </w:p>
        </w:tc>
        <w:tc>
          <w:tcPr>
            <w:tcW w:w="1134" w:type="dxa"/>
            <w:vMerge/>
            <w:vAlign w:val="center"/>
          </w:tcPr>
          <w:p w:rsidR="00644456" w:rsidRDefault="00644456">
            <w:pPr>
              <w:adjustRightInd w:val="0"/>
              <w:snapToGrid w:val="0"/>
              <w:jc w:val="center"/>
              <w:rPr>
                <w:szCs w:val="21"/>
              </w:rPr>
            </w:pPr>
          </w:p>
        </w:tc>
        <w:tc>
          <w:tcPr>
            <w:tcW w:w="1134" w:type="dxa"/>
            <w:vMerge/>
            <w:vAlign w:val="center"/>
          </w:tcPr>
          <w:p w:rsidR="00644456" w:rsidRDefault="00644456">
            <w:pPr>
              <w:adjustRightInd w:val="0"/>
              <w:snapToGrid w:val="0"/>
              <w:jc w:val="center"/>
              <w:rPr>
                <w:szCs w:val="21"/>
              </w:rPr>
            </w:pPr>
          </w:p>
        </w:tc>
        <w:tc>
          <w:tcPr>
            <w:tcW w:w="1276" w:type="dxa"/>
            <w:vAlign w:val="center"/>
          </w:tcPr>
          <w:p w:rsidR="00644456" w:rsidRDefault="008031C4">
            <w:pPr>
              <w:adjustRightInd w:val="0"/>
              <w:snapToGrid w:val="0"/>
              <w:jc w:val="center"/>
              <w:rPr>
                <w:szCs w:val="21"/>
              </w:rPr>
            </w:pPr>
            <w:r>
              <w:rPr>
                <w:szCs w:val="21"/>
              </w:rPr>
              <w:t>900-201-08</w:t>
            </w:r>
          </w:p>
        </w:tc>
        <w:tc>
          <w:tcPr>
            <w:tcW w:w="5722" w:type="dxa"/>
            <w:vAlign w:val="center"/>
          </w:tcPr>
          <w:p w:rsidR="00644456" w:rsidRDefault="008031C4">
            <w:pPr>
              <w:adjustRightInd w:val="0"/>
              <w:snapToGrid w:val="0"/>
              <w:jc w:val="center"/>
              <w:rPr>
                <w:szCs w:val="21"/>
              </w:rPr>
            </w:pPr>
            <w:r>
              <w:rPr>
                <w:szCs w:val="21"/>
              </w:rPr>
              <w:t>清洗金属零部件过程中产生的废弃煤油、柴油、汽油及其他由石油和煤炼制生产的溶剂油</w:t>
            </w:r>
          </w:p>
        </w:tc>
        <w:tc>
          <w:tcPr>
            <w:tcW w:w="2935" w:type="dxa"/>
            <w:vAlign w:val="center"/>
          </w:tcPr>
          <w:p w:rsidR="00644456" w:rsidRDefault="008031C4">
            <w:pPr>
              <w:adjustRightInd w:val="0"/>
              <w:snapToGrid w:val="0"/>
              <w:jc w:val="center"/>
              <w:rPr>
                <w:szCs w:val="21"/>
              </w:rPr>
            </w:pPr>
            <w:r>
              <w:rPr>
                <w:szCs w:val="21"/>
              </w:rPr>
              <w:t>全部</w:t>
            </w:r>
          </w:p>
        </w:tc>
        <w:tc>
          <w:tcPr>
            <w:tcW w:w="1201" w:type="dxa"/>
            <w:vAlign w:val="center"/>
          </w:tcPr>
          <w:p w:rsidR="00644456" w:rsidRDefault="008031C4">
            <w:pPr>
              <w:adjustRightInd w:val="0"/>
              <w:snapToGrid w:val="0"/>
              <w:jc w:val="center"/>
              <w:rPr>
                <w:szCs w:val="21"/>
              </w:rPr>
            </w:pPr>
            <w:r>
              <w:rPr>
                <w:szCs w:val="21"/>
              </w:rPr>
              <w:t>T</w:t>
            </w:r>
            <w:r>
              <w:rPr>
                <w:szCs w:val="21"/>
              </w:rPr>
              <w:t>，</w:t>
            </w:r>
            <w:r>
              <w:rPr>
                <w:szCs w:val="21"/>
              </w:rPr>
              <w:t>I</w:t>
            </w:r>
          </w:p>
        </w:tc>
      </w:tr>
      <w:tr w:rsidR="00644456">
        <w:trPr>
          <w:jc w:val="center"/>
        </w:trPr>
        <w:tc>
          <w:tcPr>
            <w:tcW w:w="704" w:type="dxa"/>
            <w:vAlign w:val="center"/>
          </w:tcPr>
          <w:p w:rsidR="00644456" w:rsidRDefault="008031C4">
            <w:pPr>
              <w:adjustRightInd w:val="0"/>
              <w:snapToGrid w:val="0"/>
              <w:jc w:val="center"/>
              <w:rPr>
                <w:szCs w:val="21"/>
              </w:rPr>
            </w:pPr>
            <w:r>
              <w:rPr>
                <w:szCs w:val="21"/>
              </w:rPr>
              <w:t>9</w:t>
            </w:r>
          </w:p>
        </w:tc>
        <w:tc>
          <w:tcPr>
            <w:tcW w:w="1134" w:type="dxa"/>
            <w:vMerge/>
            <w:vAlign w:val="center"/>
          </w:tcPr>
          <w:p w:rsidR="00644456" w:rsidRDefault="00644456">
            <w:pPr>
              <w:adjustRightInd w:val="0"/>
              <w:snapToGrid w:val="0"/>
              <w:jc w:val="center"/>
              <w:rPr>
                <w:szCs w:val="21"/>
              </w:rPr>
            </w:pPr>
          </w:p>
        </w:tc>
        <w:tc>
          <w:tcPr>
            <w:tcW w:w="1134" w:type="dxa"/>
            <w:vMerge/>
            <w:vAlign w:val="center"/>
          </w:tcPr>
          <w:p w:rsidR="00644456" w:rsidRDefault="00644456">
            <w:pPr>
              <w:adjustRightInd w:val="0"/>
              <w:snapToGrid w:val="0"/>
              <w:jc w:val="center"/>
              <w:rPr>
                <w:szCs w:val="21"/>
              </w:rPr>
            </w:pPr>
          </w:p>
        </w:tc>
        <w:tc>
          <w:tcPr>
            <w:tcW w:w="1276" w:type="dxa"/>
            <w:vAlign w:val="center"/>
          </w:tcPr>
          <w:p w:rsidR="00644456" w:rsidRDefault="008031C4">
            <w:pPr>
              <w:adjustRightInd w:val="0"/>
              <w:snapToGrid w:val="0"/>
              <w:jc w:val="center"/>
              <w:rPr>
                <w:szCs w:val="21"/>
              </w:rPr>
            </w:pPr>
            <w:r>
              <w:rPr>
                <w:szCs w:val="21"/>
              </w:rPr>
              <w:t>900-203-08</w:t>
            </w:r>
          </w:p>
        </w:tc>
        <w:tc>
          <w:tcPr>
            <w:tcW w:w="5722" w:type="dxa"/>
            <w:vAlign w:val="center"/>
          </w:tcPr>
          <w:p w:rsidR="00644456" w:rsidRDefault="008031C4">
            <w:pPr>
              <w:adjustRightInd w:val="0"/>
              <w:snapToGrid w:val="0"/>
              <w:jc w:val="center"/>
              <w:rPr>
                <w:szCs w:val="21"/>
              </w:rPr>
            </w:pPr>
            <w:r>
              <w:rPr>
                <w:szCs w:val="21"/>
              </w:rPr>
              <w:t>使用淬火油进行表面硬化处理产生的废矿物油</w:t>
            </w:r>
          </w:p>
        </w:tc>
        <w:tc>
          <w:tcPr>
            <w:tcW w:w="2935" w:type="dxa"/>
            <w:vAlign w:val="center"/>
          </w:tcPr>
          <w:p w:rsidR="00644456" w:rsidRDefault="008031C4">
            <w:pPr>
              <w:adjustRightInd w:val="0"/>
              <w:snapToGrid w:val="0"/>
              <w:jc w:val="center"/>
              <w:rPr>
                <w:szCs w:val="21"/>
              </w:rPr>
            </w:pPr>
            <w:r>
              <w:rPr>
                <w:szCs w:val="21"/>
              </w:rPr>
              <w:t>全部</w:t>
            </w:r>
          </w:p>
        </w:tc>
        <w:tc>
          <w:tcPr>
            <w:tcW w:w="1201" w:type="dxa"/>
            <w:vAlign w:val="center"/>
          </w:tcPr>
          <w:p w:rsidR="00644456" w:rsidRDefault="008031C4">
            <w:pPr>
              <w:adjustRightInd w:val="0"/>
              <w:snapToGrid w:val="0"/>
              <w:jc w:val="center"/>
              <w:rPr>
                <w:szCs w:val="21"/>
              </w:rPr>
            </w:pPr>
            <w:r>
              <w:rPr>
                <w:szCs w:val="21"/>
              </w:rPr>
              <w:t>T</w:t>
            </w:r>
          </w:p>
        </w:tc>
      </w:tr>
      <w:tr w:rsidR="00644456">
        <w:trPr>
          <w:jc w:val="center"/>
        </w:trPr>
        <w:tc>
          <w:tcPr>
            <w:tcW w:w="704" w:type="dxa"/>
            <w:vAlign w:val="center"/>
          </w:tcPr>
          <w:p w:rsidR="00644456" w:rsidRDefault="008031C4">
            <w:pPr>
              <w:adjustRightInd w:val="0"/>
              <w:snapToGrid w:val="0"/>
              <w:jc w:val="center"/>
              <w:rPr>
                <w:szCs w:val="21"/>
              </w:rPr>
            </w:pPr>
            <w:r>
              <w:rPr>
                <w:szCs w:val="21"/>
              </w:rPr>
              <w:t>10</w:t>
            </w:r>
          </w:p>
        </w:tc>
        <w:tc>
          <w:tcPr>
            <w:tcW w:w="1134" w:type="dxa"/>
            <w:vMerge/>
            <w:vAlign w:val="center"/>
          </w:tcPr>
          <w:p w:rsidR="00644456" w:rsidRDefault="00644456">
            <w:pPr>
              <w:adjustRightInd w:val="0"/>
              <w:snapToGrid w:val="0"/>
              <w:jc w:val="center"/>
              <w:rPr>
                <w:szCs w:val="21"/>
              </w:rPr>
            </w:pPr>
          </w:p>
        </w:tc>
        <w:tc>
          <w:tcPr>
            <w:tcW w:w="1134" w:type="dxa"/>
            <w:vMerge/>
            <w:vAlign w:val="center"/>
          </w:tcPr>
          <w:p w:rsidR="00644456" w:rsidRDefault="00644456">
            <w:pPr>
              <w:adjustRightInd w:val="0"/>
              <w:snapToGrid w:val="0"/>
              <w:jc w:val="center"/>
              <w:rPr>
                <w:szCs w:val="21"/>
              </w:rPr>
            </w:pPr>
          </w:p>
        </w:tc>
        <w:tc>
          <w:tcPr>
            <w:tcW w:w="1276" w:type="dxa"/>
            <w:vAlign w:val="center"/>
          </w:tcPr>
          <w:p w:rsidR="00644456" w:rsidRDefault="008031C4">
            <w:pPr>
              <w:adjustRightInd w:val="0"/>
              <w:snapToGrid w:val="0"/>
              <w:jc w:val="center"/>
              <w:rPr>
                <w:szCs w:val="21"/>
              </w:rPr>
            </w:pPr>
            <w:r>
              <w:rPr>
                <w:szCs w:val="21"/>
              </w:rPr>
              <w:t>900-204-08</w:t>
            </w:r>
          </w:p>
        </w:tc>
        <w:tc>
          <w:tcPr>
            <w:tcW w:w="5722" w:type="dxa"/>
            <w:vAlign w:val="center"/>
          </w:tcPr>
          <w:p w:rsidR="00644456" w:rsidRDefault="008031C4">
            <w:pPr>
              <w:adjustRightInd w:val="0"/>
              <w:snapToGrid w:val="0"/>
              <w:jc w:val="center"/>
              <w:rPr>
                <w:szCs w:val="21"/>
              </w:rPr>
            </w:pPr>
            <w:r>
              <w:rPr>
                <w:szCs w:val="21"/>
              </w:rPr>
              <w:t>使用轧制油、冷却剂及酸进行金属轧制产生的废矿物油</w:t>
            </w:r>
          </w:p>
        </w:tc>
        <w:tc>
          <w:tcPr>
            <w:tcW w:w="2935" w:type="dxa"/>
            <w:vAlign w:val="center"/>
          </w:tcPr>
          <w:p w:rsidR="00644456" w:rsidRDefault="008031C4">
            <w:pPr>
              <w:adjustRightInd w:val="0"/>
              <w:snapToGrid w:val="0"/>
              <w:jc w:val="center"/>
              <w:rPr>
                <w:szCs w:val="21"/>
              </w:rPr>
            </w:pPr>
            <w:r>
              <w:rPr>
                <w:szCs w:val="21"/>
              </w:rPr>
              <w:t>全部</w:t>
            </w:r>
          </w:p>
        </w:tc>
        <w:tc>
          <w:tcPr>
            <w:tcW w:w="1201" w:type="dxa"/>
            <w:vAlign w:val="center"/>
          </w:tcPr>
          <w:p w:rsidR="00644456" w:rsidRDefault="008031C4">
            <w:pPr>
              <w:adjustRightInd w:val="0"/>
              <w:snapToGrid w:val="0"/>
              <w:jc w:val="center"/>
              <w:rPr>
                <w:szCs w:val="21"/>
              </w:rPr>
            </w:pPr>
            <w:r>
              <w:rPr>
                <w:szCs w:val="21"/>
              </w:rPr>
              <w:t>T</w:t>
            </w:r>
          </w:p>
        </w:tc>
      </w:tr>
      <w:tr w:rsidR="00644456">
        <w:trPr>
          <w:jc w:val="center"/>
        </w:trPr>
        <w:tc>
          <w:tcPr>
            <w:tcW w:w="704" w:type="dxa"/>
            <w:vAlign w:val="center"/>
          </w:tcPr>
          <w:p w:rsidR="00644456" w:rsidRDefault="008031C4">
            <w:pPr>
              <w:adjustRightInd w:val="0"/>
              <w:snapToGrid w:val="0"/>
              <w:jc w:val="center"/>
              <w:rPr>
                <w:szCs w:val="21"/>
              </w:rPr>
            </w:pPr>
            <w:r>
              <w:rPr>
                <w:szCs w:val="21"/>
              </w:rPr>
              <w:t>11</w:t>
            </w:r>
          </w:p>
        </w:tc>
        <w:tc>
          <w:tcPr>
            <w:tcW w:w="1134" w:type="dxa"/>
            <w:vMerge/>
            <w:vAlign w:val="center"/>
          </w:tcPr>
          <w:p w:rsidR="00644456" w:rsidRDefault="00644456">
            <w:pPr>
              <w:adjustRightInd w:val="0"/>
              <w:snapToGrid w:val="0"/>
              <w:jc w:val="center"/>
              <w:rPr>
                <w:szCs w:val="21"/>
              </w:rPr>
            </w:pPr>
          </w:p>
        </w:tc>
        <w:tc>
          <w:tcPr>
            <w:tcW w:w="1134" w:type="dxa"/>
            <w:vMerge/>
            <w:vAlign w:val="center"/>
          </w:tcPr>
          <w:p w:rsidR="00644456" w:rsidRDefault="00644456">
            <w:pPr>
              <w:adjustRightInd w:val="0"/>
              <w:snapToGrid w:val="0"/>
              <w:jc w:val="center"/>
              <w:rPr>
                <w:szCs w:val="21"/>
              </w:rPr>
            </w:pPr>
          </w:p>
        </w:tc>
        <w:tc>
          <w:tcPr>
            <w:tcW w:w="1276" w:type="dxa"/>
            <w:vAlign w:val="center"/>
          </w:tcPr>
          <w:p w:rsidR="00644456" w:rsidRDefault="008031C4">
            <w:pPr>
              <w:adjustRightInd w:val="0"/>
              <w:snapToGrid w:val="0"/>
              <w:jc w:val="center"/>
              <w:rPr>
                <w:szCs w:val="21"/>
              </w:rPr>
            </w:pPr>
            <w:r>
              <w:rPr>
                <w:szCs w:val="21"/>
              </w:rPr>
              <w:t>900-205-08</w:t>
            </w:r>
          </w:p>
        </w:tc>
        <w:tc>
          <w:tcPr>
            <w:tcW w:w="5722" w:type="dxa"/>
            <w:vAlign w:val="center"/>
          </w:tcPr>
          <w:p w:rsidR="00644456" w:rsidRDefault="008031C4">
            <w:pPr>
              <w:adjustRightInd w:val="0"/>
              <w:snapToGrid w:val="0"/>
              <w:jc w:val="center"/>
              <w:rPr>
                <w:szCs w:val="21"/>
              </w:rPr>
            </w:pPr>
            <w:r>
              <w:rPr>
                <w:szCs w:val="21"/>
              </w:rPr>
              <w:t>镀锡及焊锡回收工艺产生的废矿物油</w:t>
            </w:r>
          </w:p>
        </w:tc>
        <w:tc>
          <w:tcPr>
            <w:tcW w:w="2935" w:type="dxa"/>
            <w:vAlign w:val="center"/>
          </w:tcPr>
          <w:p w:rsidR="00644456" w:rsidRDefault="008031C4">
            <w:pPr>
              <w:adjustRightInd w:val="0"/>
              <w:snapToGrid w:val="0"/>
              <w:jc w:val="center"/>
              <w:rPr>
                <w:szCs w:val="21"/>
              </w:rPr>
            </w:pPr>
            <w:r>
              <w:rPr>
                <w:szCs w:val="21"/>
              </w:rPr>
              <w:t>全部</w:t>
            </w:r>
          </w:p>
        </w:tc>
        <w:tc>
          <w:tcPr>
            <w:tcW w:w="1201" w:type="dxa"/>
            <w:vAlign w:val="center"/>
          </w:tcPr>
          <w:p w:rsidR="00644456" w:rsidRDefault="008031C4">
            <w:pPr>
              <w:adjustRightInd w:val="0"/>
              <w:snapToGrid w:val="0"/>
              <w:jc w:val="center"/>
              <w:rPr>
                <w:szCs w:val="21"/>
              </w:rPr>
            </w:pPr>
            <w:r>
              <w:rPr>
                <w:szCs w:val="21"/>
              </w:rPr>
              <w:t>T</w:t>
            </w:r>
          </w:p>
        </w:tc>
      </w:tr>
      <w:tr w:rsidR="00644456">
        <w:trPr>
          <w:jc w:val="center"/>
        </w:trPr>
        <w:tc>
          <w:tcPr>
            <w:tcW w:w="704" w:type="dxa"/>
            <w:vAlign w:val="center"/>
          </w:tcPr>
          <w:p w:rsidR="00644456" w:rsidRDefault="008031C4">
            <w:pPr>
              <w:adjustRightInd w:val="0"/>
              <w:snapToGrid w:val="0"/>
              <w:jc w:val="center"/>
              <w:rPr>
                <w:szCs w:val="21"/>
              </w:rPr>
            </w:pPr>
            <w:r>
              <w:rPr>
                <w:szCs w:val="21"/>
              </w:rPr>
              <w:t>12</w:t>
            </w:r>
          </w:p>
        </w:tc>
        <w:tc>
          <w:tcPr>
            <w:tcW w:w="1134" w:type="dxa"/>
            <w:vMerge/>
            <w:vAlign w:val="center"/>
          </w:tcPr>
          <w:p w:rsidR="00644456" w:rsidRDefault="00644456">
            <w:pPr>
              <w:adjustRightInd w:val="0"/>
              <w:snapToGrid w:val="0"/>
              <w:jc w:val="center"/>
              <w:rPr>
                <w:szCs w:val="21"/>
              </w:rPr>
            </w:pPr>
          </w:p>
        </w:tc>
        <w:tc>
          <w:tcPr>
            <w:tcW w:w="1134" w:type="dxa"/>
            <w:vMerge/>
            <w:vAlign w:val="center"/>
          </w:tcPr>
          <w:p w:rsidR="00644456" w:rsidRDefault="00644456">
            <w:pPr>
              <w:adjustRightInd w:val="0"/>
              <w:snapToGrid w:val="0"/>
              <w:jc w:val="center"/>
              <w:rPr>
                <w:szCs w:val="21"/>
              </w:rPr>
            </w:pPr>
          </w:p>
        </w:tc>
        <w:tc>
          <w:tcPr>
            <w:tcW w:w="1276" w:type="dxa"/>
            <w:vAlign w:val="center"/>
          </w:tcPr>
          <w:p w:rsidR="00644456" w:rsidRDefault="008031C4">
            <w:pPr>
              <w:adjustRightInd w:val="0"/>
              <w:snapToGrid w:val="0"/>
              <w:jc w:val="center"/>
              <w:rPr>
                <w:szCs w:val="21"/>
              </w:rPr>
            </w:pPr>
            <w:r>
              <w:rPr>
                <w:szCs w:val="21"/>
              </w:rPr>
              <w:t>900-209-08</w:t>
            </w:r>
          </w:p>
        </w:tc>
        <w:tc>
          <w:tcPr>
            <w:tcW w:w="5722" w:type="dxa"/>
            <w:vAlign w:val="center"/>
          </w:tcPr>
          <w:p w:rsidR="00644456" w:rsidRDefault="008031C4">
            <w:pPr>
              <w:adjustRightInd w:val="0"/>
              <w:snapToGrid w:val="0"/>
              <w:jc w:val="center"/>
              <w:rPr>
                <w:szCs w:val="21"/>
              </w:rPr>
            </w:pPr>
            <w:r>
              <w:rPr>
                <w:szCs w:val="21"/>
              </w:rPr>
              <w:t>金属、塑料的定型和物理机械表面处理过程中产生的废石蜡和润滑油</w:t>
            </w:r>
          </w:p>
        </w:tc>
        <w:tc>
          <w:tcPr>
            <w:tcW w:w="2935" w:type="dxa"/>
            <w:vAlign w:val="center"/>
          </w:tcPr>
          <w:p w:rsidR="00644456" w:rsidRDefault="008031C4">
            <w:pPr>
              <w:adjustRightInd w:val="0"/>
              <w:snapToGrid w:val="0"/>
              <w:jc w:val="center"/>
              <w:rPr>
                <w:szCs w:val="21"/>
              </w:rPr>
            </w:pPr>
            <w:r>
              <w:rPr>
                <w:szCs w:val="21"/>
              </w:rPr>
              <w:t>只回收利用润滑油</w:t>
            </w:r>
          </w:p>
        </w:tc>
        <w:tc>
          <w:tcPr>
            <w:tcW w:w="1201" w:type="dxa"/>
            <w:vAlign w:val="center"/>
          </w:tcPr>
          <w:p w:rsidR="00644456" w:rsidRDefault="008031C4">
            <w:pPr>
              <w:adjustRightInd w:val="0"/>
              <w:snapToGrid w:val="0"/>
              <w:jc w:val="center"/>
              <w:rPr>
                <w:szCs w:val="21"/>
              </w:rPr>
            </w:pPr>
            <w:r>
              <w:rPr>
                <w:szCs w:val="21"/>
              </w:rPr>
              <w:t>T</w:t>
            </w:r>
            <w:r>
              <w:rPr>
                <w:szCs w:val="21"/>
              </w:rPr>
              <w:t>，</w:t>
            </w:r>
            <w:r>
              <w:rPr>
                <w:szCs w:val="21"/>
              </w:rPr>
              <w:t>I</w:t>
            </w:r>
          </w:p>
        </w:tc>
      </w:tr>
      <w:tr w:rsidR="00644456">
        <w:trPr>
          <w:jc w:val="center"/>
        </w:trPr>
        <w:tc>
          <w:tcPr>
            <w:tcW w:w="704" w:type="dxa"/>
            <w:vAlign w:val="center"/>
          </w:tcPr>
          <w:p w:rsidR="00644456" w:rsidRDefault="008031C4">
            <w:pPr>
              <w:adjustRightInd w:val="0"/>
              <w:snapToGrid w:val="0"/>
              <w:jc w:val="center"/>
              <w:rPr>
                <w:szCs w:val="21"/>
              </w:rPr>
            </w:pPr>
            <w:r>
              <w:rPr>
                <w:szCs w:val="21"/>
              </w:rPr>
              <w:t>13</w:t>
            </w:r>
          </w:p>
        </w:tc>
        <w:tc>
          <w:tcPr>
            <w:tcW w:w="1134" w:type="dxa"/>
            <w:vMerge/>
            <w:vAlign w:val="center"/>
          </w:tcPr>
          <w:p w:rsidR="00644456" w:rsidRDefault="00644456">
            <w:pPr>
              <w:adjustRightInd w:val="0"/>
              <w:snapToGrid w:val="0"/>
              <w:jc w:val="center"/>
              <w:rPr>
                <w:szCs w:val="21"/>
              </w:rPr>
            </w:pPr>
          </w:p>
        </w:tc>
        <w:tc>
          <w:tcPr>
            <w:tcW w:w="1134" w:type="dxa"/>
            <w:vMerge/>
            <w:vAlign w:val="center"/>
          </w:tcPr>
          <w:p w:rsidR="00644456" w:rsidRDefault="00644456">
            <w:pPr>
              <w:adjustRightInd w:val="0"/>
              <w:snapToGrid w:val="0"/>
              <w:jc w:val="center"/>
              <w:rPr>
                <w:szCs w:val="21"/>
              </w:rPr>
            </w:pPr>
          </w:p>
        </w:tc>
        <w:tc>
          <w:tcPr>
            <w:tcW w:w="1276" w:type="dxa"/>
            <w:vAlign w:val="center"/>
          </w:tcPr>
          <w:p w:rsidR="00644456" w:rsidRDefault="008031C4">
            <w:pPr>
              <w:adjustRightInd w:val="0"/>
              <w:snapToGrid w:val="0"/>
              <w:jc w:val="center"/>
              <w:rPr>
                <w:szCs w:val="21"/>
              </w:rPr>
            </w:pPr>
            <w:r>
              <w:rPr>
                <w:szCs w:val="21"/>
              </w:rPr>
              <w:t>900-210-08</w:t>
            </w:r>
          </w:p>
        </w:tc>
        <w:tc>
          <w:tcPr>
            <w:tcW w:w="5722" w:type="dxa"/>
            <w:vAlign w:val="center"/>
          </w:tcPr>
          <w:p w:rsidR="00644456" w:rsidRDefault="008031C4">
            <w:pPr>
              <w:adjustRightInd w:val="0"/>
              <w:snapToGrid w:val="0"/>
              <w:jc w:val="center"/>
              <w:rPr>
                <w:szCs w:val="21"/>
              </w:rPr>
            </w:pPr>
            <w:r>
              <w:rPr>
                <w:szCs w:val="21"/>
              </w:rPr>
              <w:t>含油废水处理中隔油、气浮、沉淀等处理过程中产生的浮油、浮渣和污泥（不包括废水生化处理污泥）</w:t>
            </w:r>
          </w:p>
        </w:tc>
        <w:tc>
          <w:tcPr>
            <w:tcW w:w="2935" w:type="dxa"/>
            <w:vAlign w:val="center"/>
          </w:tcPr>
          <w:p w:rsidR="00644456" w:rsidRDefault="008031C4">
            <w:pPr>
              <w:adjustRightInd w:val="0"/>
              <w:snapToGrid w:val="0"/>
              <w:jc w:val="center"/>
              <w:rPr>
                <w:szCs w:val="21"/>
              </w:rPr>
            </w:pPr>
            <w:r>
              <w:rPr>
                <w:szCs w:val="21"/>
              </w:rPr>
              <w:t>只回收利用浮油</w:t>
            </w:r>
          </w:p>
        </w:tc>
        <w:tc>
          <w:tcPr>
            <w:tcW w:w="1201" w:type="dxa"/>
            <w:vAlign w:val="center"/>
          </w:tcPr>
          <w:p w:rsidR="00644456" w:rsidRDefault="008031C4">
            <w:pPr>
              <w:adjustRightInd w:val="0"/>
              <w:snapToGrid w:val="0"/>
              <w:jc w:val="center"/>
              <w:rPr>
                <w:szCs w:val="21"/>
              </w:rPr>
            </w:pPr>
            <w:r>
              <w:rPr>
                <w:szCs w:val="21"/>
              </w:rPr>
              <w:t>T</w:t>
            </w:r>
            <w:r>
              <w:rPr>
                <w:szCs w:val="21"/>
              </w:rPr>
              <w:t>，</w:t>
            </w:r>
            <w:r>
              <w:rPr>
                <w:szCs w:val="21"/>
              </w:rPr>
              <w:t>I</w:t>
            </w:r>
          </w:p>
        </w:tc>
      </w:tr>
      <w:tr w:rsidR="00644456">
        <w:trPr>
          <w:jc w:val="center"/>
        </w:trPr>
        <w:tc>
          <w:tcPr>
            <w:tcW w:w="704" w:type="dxa"/>
            <w:vAlign w:val="center"/>
          </w:tcPr>
          <w:p w:rsidR="00644456" w:rsidRDefault="008031C4">
            <w:pPr>
              <w:adjustRightInd w:val="0"/>
              <w:snapToGrid w:val="0"/>
              <w:jc w:val="center"/>
              <w:rPr>
                <w:szCs w:val="21"/>
              </w:rPr>
            </w:pPr>
            <w:r>
              <w:rPr>
                <w:szCs w:val="21"/>
              </w:rPr>
              <w:t>14</w:t>
            </w:r>
          </w:p>
        </w:tc>
        <w:tc>
          <w:tcPr>
            <w:tcW w:w="1134" w:type="dxa"/>
            <w:vMerge/>
            <w:vAlign w:val="center"/>
          </w:tcPr>
          <w:p w:rsidR="00644456" w:rsidRDefault="00644456">
            <w:pPr>
              <w:adjustRightInd w:val="0"/>
              <w:snapToGrid w:val="0"/>
              <w:jc w:val="center"/>
              <w:rPr>
                <w:szCs w:val="21"/>
              </w:rPr>
            </w:pPr>
          </w:p>
        </w:tc>
        <w:tc>
          <w:tcPr>
            <w:tcW w:w="1134" w:type="dxa"/>
            <w:vMerge/>
            <w:vAlign w:val="center"/>
          </w:tcPr>
          <w:p w:rsidR="00644456" w:rsidRDefault="00644456">
            <w:pPr>
              <w:adjustRightInd w:val="0"/>
              <w:snapToGrid w:val="0"/>
              <w:jc w:val="center"/>
              <w:rPr>
                <w:szCs w:val="21"/>
              </w:rPr>
            </w:pPr>
          </w:p>
        </w:tc>
        <w:tc>
          <w:tcPr>
            <w:tcW w:w="1276" w:type="dxa"/>
            <w:vAlign w:val="center"/>
          </w:tcPr>
          <w:p w:rsidR="00644456" w:rsidRDefault="008031C4">
            <w:pPr>
              <w:adjustRightInd w:val="0"/>
              <w:snapToGrid w:val="0"/>
              <w:jc w:val="center"/>
              <w:rPr>
                <w:szCs w:val="21"/>
              </w:rPr>
            </w:pPr>
            <w:r>
              <w:rPr>
                <w:szCs w:val="21"/>
              </w:rPr>
              <w:t>900-214-08</w:t>
            </w:r>
          </w:p>
        </w:tc>
        <w:tc>
          <w:tcPr>
            <w:tcW w:w="5722" w:type="dxa"/>
            <w:vAlign w:val="center"/>
          </w:tcPr>
          <w:p w:rsidR="00644456" w:rsidRDefault="008031C4">
            <w:pPr>
              <w:adjustRightInd w:val="0"/>
              <w:snapToGrid w:val="0"/>
              <w:jc w:val="center"/>
              <w:rPr>
                <w:szCs w:val="21"/>
              </w:rPr>
            </w:pPr>
            <w:r>
              <w:rPr>
                <w:szCs w:val="21"/>
              </w:rPr>
              <w:t>车辆、轮船</w:t>
            </w:r>
            <w:r>
              <w:rPr>
                <w:rFonts w:hint="eastAsia"/>
                <w:szCs w:val="21"/>
              </w:rPr>
              <w:t>及其他</w:t>
            </w:r>
            <w:r>
              <w:rPr>
                <w:szCs w:val="21"/>
              </w:rPr>
              <w:t>机械维修过程中产生的废发动机油、制动器油、自动变速器油、齿轮油等废润滑油</w:t>
            </w:r>
          </w:p>
        </w:tc>
        <w:tc>
          <w:tcPr>
            <w:tcW w:w="2935" w:type="dxa"/>
            <w:vAlign w:val="center"/>
          </w:tcPr>
          <w:p w:rsidR="00644456" w:rsidRDefault="008031C4">
            <w:pPr>
              <w:adjustRightInd w:val="0"/>
              <w:snapToGrid w:val="0"/>
              <w:jc w:val="center"/>
              <w:rPr>
                <w:szCs w:val="21"/>
              </w:rPr>
            </w:pPr>
            <w:r>
              <w:rPr>
                <w:szCs w:val="21"/>
              </w:rPr>
              <w:t>全部</w:t>
            </w:r>
          </w:p>
        </w:tc>
        <w:tc>
          <w:tcPr>
            <w:tcW w:w="1201" w:type="dxa"/>
            <w:vAlign w:val="center"/>
          </w:tcPr>
          <w:p w:rsidR="00644456" w:rsidRDefault="008031C4">
            <w:pPr>
              <w:adjustRightInd w:val="0"/>
              <w:snapToGrid w:val="0"/>
              <w:jc w:val="center"/>
              <w:rPr>
                <w:szCs w:val="21"/>
              </w:rPr>
            </w:pPr>
            <w:r>
              <w:rPr>
                <w:szCs w:val="21"/>
              </w:rPr>
              <w:t>T</w:t>
            </w:r>
            <w:r>
              <w:rPr>
                <w:szCs w:val="21"/>
              </w:rPr>
              <w:t>，</w:t>
            </w:r>
            <w:r>
              <w:rPr>
                <w:szCs w:val="21"/>
              </w:rPr>
              <w:t>I</w:t>
            </w:r>
          </w:p>
        </w:tc>
      </w:tr>
      <w:tr w:rsidR="00644456">
        <w:trPr>
          <w:jc w:val="center"/>
        </w:trPr>
        <w:tc>
          <w:tcPr>
            <w:tcW w:w="704" w:type="dxa"/>
            <w:vAlign w:val="center"/>
          </w:tcPr>
          <w:p w:rsidR="00644456" w:rsidRDefault="008031C4">
            <w:pPr>
              <w:adjustRightInd w:val="0"/>
              <w:snapToGrid w:val="0"/>
              <w:jc w:val="center"/>
              <w:rPr>
                <w:szCs w:val="21"/>
              </w:rPr>
            </w:pPr>
            <w:r>
              <w:rPr>
                <w:szCs w:val="21"/>
              </w:rPr>
              <w:t>15</w:t>
            </w:r>
          </w:p>
        </w:tc>
        <w:tc>
          <w:tcPr>
            <w:tcW w:w="1134" w:type="dxa"/>
            <w:vMerge/>
            <w:vAlign w:val="center"/>
          </w:tcPr>
          <w:p w:rsidR="00644456" w:rsidRDefault="00644456">
            <w:pPr>
              <w:adjustRightInd w:val="0"/>
              <w:snapToGrid w:val="0"/>
              <w:jc w:val="center"/>
              <w:rPr>
                <w:szCs w:val="21"/>
              </w:rPr>
            </w:pPr>
          </w:p>
        </w:tc>
        <w:tc>
          <w:tcPr>
            <w:tcW w:w="1134" w:type="dxa"/>
            <w:vMerge/>
            <w:vAlign w:val="center"/>
          </w:tcPr>
          <w:p w:rsidR="00644456" w:rsidRDefault="00644456">
            <w:pPr>
              <w:adjustRightInd w:val="0"/>
              <w:snapToGrid w:val="0"/>
              <w:jc w:val="center"/>
              <w:rPr>
                <w:szCs w:val="21"/>
              </w:rPr>
            </w:pPr>
          </w:p>
        </w:tc>
        <w:tc>
          <w:tcPr>
            <w:tcW w:w="1276" w:type="dxa"/>
            <w:vAlign w:val="center"/>
          </w:tcPr>
          <w:p w:rsidR="00644456" w:rsidRDefault="008031C4">
            <w:pPr>
              <w:adjustRightInd w:val="0"/>
              <w:snapToGrid w:val="0"/>
              <w:jc w:val="center"/>
              <w:rPr>
                <w:szCs w:val="21"/>
              </w:rPr>
            </w:pPr>
            <w:r>
              <w:rPr>
                <w:szCs w:val="21"/>
              </w:rPr>
              <w:t>900-216-08</w:t>
            </w:r>
          </w:p>
        </w:tc>
        <w:tc>
          <w:tcPr>
            <w:tcW w:w="5722" w:type="dxa"/>
            <w:vAlign w:val="center"/>
          </w:tcPr>
          <w:p w:rsidR="00644456" w:rsidRDefault="008031C4">
            <w:pPr>
              <w:adjustRightInd w:val="0"/>
              <w:snapToGrid w:val="0"/>
              <w:jc w:val="center"/>
              <w:rPr>
                <w:szCs w:val="21"/>
              </w:rPr>
            </w:pPr>
            <w:r>
              <w:rPr>
                <w:szCs w:val="21"/>
              </w:rPr>
              <w:t>使用防锈油进行铸件表面防锈处理过程中产生的废防锈油</w:t>
            </w:r>
          </w:p>
        </w:tc>
        <w:tc>
          <w:tcPr>
            <w:tcW w:w="2935" w:type="dxa"/>
            <w:vAlign w:val="center"/>
          </w:tcPr>
          <w:p w:rsidR="00644456" w:rsidRDefault="008031C4">
            <w:pPr>
              <w:adjustRightInd w:val="0"/>
              <w:snapToGrid w:val="0"/>
              <w:jc w:val="center"/>
              <w:rPr>
                <w:szCs w:val="21"/>
              </w:rPr>
            </w:pPr>
            <w:r>
              <w:rPr>
                <w:szCs w:val="21"/>
              </w:rPr>
              <w:t>全部</w:t>
            </w:r>
          </w:p>
        </w:tc>
        <w:tc>
          <w:tcPr>
            <w:tcW w:w="1201" w:type="dxa"/>
            <w:vAlign w:val="center"/>
          </w:tcPr>
          <w:p w:rsidR="00644456" w:rsidRDefault="008031C4">
            <w:pPr>
              <w:adjustRightInd w:val="0"/>
              <w:snapToGrid w:val="0"/>
              <w:jc w:val="center"/>
              <w:rPr>
                <w:szCs w:val="21"/>
              </w:rPr>
            </w:pPr>
            <w:r>
              <w:rPr>
                <w:szCs w:val="21"/>
              </w:rPr>
              <w:t>T</w:t>
            </w:r>
            <w:r>
              <w:rPr>
                <w:szCs w:val="21"/>
              </w:rPr>
              <w:t>，</w:t>
            </w:r>
            <w:r>
              <w:rPr>
                <w:szCs w:val="21"/>
              </w:rPr>
              <w:t>I</w:t>
            </w:r>
          </w:p>
        </w:tc>
      </w:tr>
      <w:tr w:rsidR="00644456">
        <w:trPr>
          <w:jc w:val="center"/>
        </w:trPr>
        <w:tc>
          <w:tcPr>
            <w:tcW w:w="704" w:type="dxa"/>
            <w:vAlign w:val="center"/>
          </w:tcPr>
          <w:p w:rsidR="00644456" w:rsidRDefault="008031C4">
            <w:pPr>
              <w:adjustRightInd w:val="0"/>
              <w:snapToGrid w:val="0"/>
              <w:jc w:val="center"/>
              <w:rPr>
                <w:szCs w:val="21"/>
              </w:rPr>
            </w:pPr>
            <w:r>
              <w:rPr>
                <w:szCs w:val="21"/>
              </w:rPr>
              <w:t>16</w:t>
            </w:r>
          </w:p>
        </w:tc>
        <w:tc>
          <w:tcPr>
            <w:tcW w:w="1134" w:type="dxa"/>
            <w:vMerge/>
            <w:vAlign w:val="center"/>
          </w:tcPr>
          <w:p w:rsidR="00644456" w:rsidRDefault="00644456">
            <w:pPr>
              <w:adjustRightInd w:val="0"/>
              <w:snapToGrid w:val="0"/>
              <w:jc w:val="center"/>
              <w:rPr>
                <w:szCs w:val="21"/>
              </w:rPr>
            </w:pPr>
          </w:p>
        </w:tc>
        <w:tc>
          <w:tcPr>
            <w:tcW w:w="1134" w:type="dxa"/>
            <w:vMerge/>
            <w:vAlign w:val="center"/>
          </w:tcPr>
          <w:p w:rsidR="00644456" w:rsidRDefault="00644456">
            <w:pPr>
              <w:adjustRightInd w:val="0"/>
              <w:snapToGrid w:val="0"/>
              <w:jc w:val="center"/>
              <w:rPr>
                <w:szCs w:val="21"/>
              </w:rPr>
            </w:pPr>
          </w:p>
        </w:tc>
        <w:tc>
          <w:tcPr>
            <w:tcW w:w="1276" w:type="dxa"/>
            <w:vAlign w:val="center"/>
          </w:tcPr>
          <w:p w:rsidR="00644456" w:rsidRDefault="008031C4">
            <w:pPr>
              <w:adjustRightInd w:val="0"/>
              <w:snapToGrid w:val="0"/>
              <w:jc w:val="center"/>
              <w:rPr>
                <w:szCs w:val="21"/>
              </w:rPr>
            </w:pPr>
            <w:r>
              <w:rPr>
                <w:szCs w:val="21"/>
              </w:rPr>
              <w:t>900-217-08</w:t>
            </w:r>
          </w:p>
        </w:tc>
        <w:tc>
          <w:tcPr>
            <w:tcW w:w="5722" w:type="dxa"/>
            <w:vAlign w:val="center"/>
          </w:tcPr>
          <w:p w:rsidR="00644456" w:rsidRDefault="008031C4">
            <w:pPr>
              <w:adjustRightInd w:val="0"/>
              <w:snapToGrid w:val="0"/>
              <w:jc w:val="center"/>
              <w:rPr>
                <w:szCs w:val="21"/>
              </w:rPr>
            </w:pPr>
            <w:r>
              <w:rPr>
                <w:szCs w:val="21"/>
              </w:rPr>
              <w:t>使用工业齿轮油进行机械设备润滑过程中产生的废润滑油</w:t>
            </w:r>
          </w:p>
        </w:tc>
        <w:tc>
          <w:tcPr>
            <w:tcW w:w="2935" w:type="dxa"/>
            <w:vAlign w:val="center"/>
          </w:tcPr>
          <w:p w:rsidR="00644456" w:rsidRDefault="008031C4">
            <w:pPr>
              <w:adjustRightInd w:val="0"/>
              <w:snapToGrid w:val="0"/>
              <w:jc w:val="center"/>
              <w:rPr>
                <w:szCs w:val="21"/>
              </w:rPr>
            </w:pPr>
            <w:r>
              <w:rPr>
                <w:szCs w:val="21"/>
              </w:rPr>
              <w:t>全部</w:t>
            </w:r>
          </w:p>
        </w:tc>
        <w:tc>
          <w:tcPr>
            <w:tcW w:w="1201" w:type="dxa"/>
            <w:vAlign w:val="center"/>
          </w:tcPr>
          <w:p w:rsidR="00644456" w:rsidRDefault="008031C4">
            <w:pPr>
              <w:adjustRightInd w:val="0"/>
              <w:snapToGrid w:val="0"/>
              <w:jc w:val="center"/>
              <w:rPr>
                <w:szCs w:val="21"/>
              </w:rPr>
            </w:pPr>
            <w:r>
              <w:rPr>
                <w:szCs w:val="21"/>
              </w:rPr>
              <w:t>T</w:t>
            </w:r>
            <w:r>
              <w:rPr>
                <w:szCs w:val="21"/>
              </w:rPr>
              <w:t>，</w:t>
            </w:r>
            <w:r>
              <w:rPr>
                <w:szCs w:val="21"/>
              </w:rPr>
              <w:t>I</w:t>
            </w:r>
          </w:p>
        </w:tc>
      </w:tr>
      <w:tr w:rsidR="00644456">
        <w:trPr>
          <w:jc w:val="center"/>
        </w:trPr>
        <w:tc>
          <w:tcPr>
            <w:tcW w:w="704" w:type="dxa"/>
            <w:vAlign w:val="center"/>
          </w:tcPr>
          <w:p w:rsidR="00644456" w:rsidRDefault="008031C4">
            <w:pPr>
              <w:adjustRightInd w:val="0"/>
              <w:snapToGrid w:val="0"/>
              <w:jc w:val="center"/>
              <w:rPr>
                <w:szCs w:val="21"/>
              </w:rPr>
            </w:pPr>
            <w:r>
              <w:rPr>
                <w:szCs w:val="21"/>
              </w:rPr>
              <w:t>17</w:t>
            </w:r>
          </w:p>
        </w:tc>
        <w:tc>
          <w:tcPr>
            <w:tcW w:w="1134" w:type="dxa"/>
            <w:vMerge/>
            <w:vAlign w:val="center"/>
          </w:tcPr>
          <w:p w:rsidR="00644456" w:rsidRDefault="00644456">
            <w:pPr>
              <w:adjustRightInd w:val="0"/>
              <w:snapToGrid w:val="0"/>
              <w:jc w:val="center"/>
              <w:rPr>
                <w:szCs w:val="21"/>
              </w:rPr>
            </w:pPr>
          </w:p>
        </w:tc>
        <w:tc>
          <w:tcPr>
            <w:tcW w:w="1134" w:type="dxa"/>
            <w:vMerge/>
            <w:vAlign w:val="center"/>
          </w:tcPr>
          <w:p w:rsidR="00644456" w:rsidRDefault="00644456">
            <w:pPr>
              <w:adjustRightInd w:val="0"/>
              <w:snapToGrid w:val="0"/>
              <w:jc w:val="center"/>
              <w:rPr>
                <w:szCs w:val="21"/>
              </w:rPr>
            </w:pPr>
          </w:p>
        </w:tc>
        <w:tc>
          <w:tcPr>
            <w:tcW w:w="1276" w:type="dxa"/>
            <w:vAlign w:val="center"/>
          </w:tcPr>
          <w:p w:rsidR="00644456" w:rsidRDefault="008031C4">
            <w:pPr>
              <w:adjustRightInd w:val="0"/>
              <w:snapToGrid w:val="0"/>
              <w:jc w:val="center"/>
              <w:rPr>
                <w:szCs w:val="21"/>
              </w:rPr>
            </w:pPr>
            <w:r>
              <w:rPr>
                <w:szCs w:val="21"/>
              </w:rPr>
              <w:t>900-218-08</w:t>
            </w:r>
          </w:p>
        </w:tc>
        <w:tc>
          <w:tcPr>
            <w:tcW w:w="5722" w:type="dxa"/>
            <w:vAlign w:val="center"/>
          </w:tcPr>
          <w:p w:rsidR="00644456" w:rsidRDefault="008031C4">
            <w:pPr>
              <w:adjustRightInd w:val="0"/>
              <w:snapToGrid w:val="0"/>
              <w:jc w:val="center"/>
              <w:rPr>
                <w:szCs w:val="21"/>
              </w:rPr>
            </w:pPr>
            <w:r>
              <w:rPr>
                <w:szCs w:val="21"/>
              </w:rPr>
              <w:t>液压设备维护、更换和拆解过程中产生的废液压油</w:t>
            </w:r>
          </w:p>
        </w:tc>
        <w:tc>
          <w:tcPr>
            <w:tcW w:w="2935" w:type="dxa"/>
            <w:vAlign w:val="center"/>
          </w:tcPr>
          <w:p w:rsidR="00644456" w:rsidRDefault="008031C4">
            <w:pPr>
              <w:adjustRightInd w:val="0"/>
              <w:snapToGrid w:val="0"/>
              <w:jc w:val="center"/>
              <w:rPr>
                <w:szCs w:val="21"/>
              </w:rPr>
            </w:pPr>
            <w:r>
              <w:rPr>
                <w:szCs w:val="21"/>
              </w:rPr>
              <w:t>全部</w:t>
            </w:r>
          </w:p>
        </w:tc>
        <w:tc>
          <w:tcPr>
            <w:tcW w:w="1201" w:type="dxa"/>
            <w:vAlign w:val="center"/>
          </w:tcPr>
          <w:p w:rsidR="00644456" w:rsidRDefault="008031C4">
            <w:pPr>
              <w:adjustRightInd w:val="0"/>
              <w:snapToGrid w:val="0"/>
              <w:jc w:val="center"/>
              <w:rPr>
                <w:szCs w:val="21"/>
              </w:rPr>
            </w:pPr>
            <w:r>
              <w:rPr>
                <w:szCs w:val="21"/>
              </w:rPr>
              <w:t>T</w:t>
            </w:r>
            <w:r>
              <w:rPr>
                <w:szCs w:val="21"/>
              </w:rPr>
              <w:t>，</w:t>
            </w:r>
            <w:r>
              <w:rPr>
                <w:szCs w:val="21"/>
              </w:rPr>
              <w:t>I</w:t>
            </w:r>
          </w:p>
        </w:tc>
      </w:tr>
      <w:tr w:rsidR="00644456">
        <w:trPr>
          <w:jc w:val="center"/>
        </w:trPr>
        <w:tc>
          <w:tcPr>
            <w:tcW w:w="704" w:type="dxa"/>
            <w:vAlign w:val="center"/>
          </w:tcPr>
          <w:p w:rsidR="00644456" w:rsidRDefault="008031C4">
            <w:pPr>
              <w:adjustRightInd w:val="0"/>
              <w:snapToGrid w:val="0"/>
              <w:jc w:val="center"/>
              <w:rPr>
                <w:szCs w:val="21"/>
              </w:rPr>
            </w:pPr>
            <w:r>
              <w:rPr>
                <w:szCs w:val="21"/>
              </w:rPr>
              <w:t>18</w:t>
            </w:r>
          </w:p>
        </w:tc>
        <w:tc>
          <w:tcPr>
            <w:tcW w:w="1134" w:type="dxa"/>
            <w:vMerge/>
            <w:vAlign w:val="center"/>
          </w:tcPr>
          <w:p w:rsidR="00644456" w:rsidRDefault="00644456">
            <w:pPr>
              <w:adjustRightInd w:val="0"/>
              <w:snapToGrid w:val="0"/>
              <w:jc w:val="center"/>
              <w:rPr>
                <w:szCs w:val="21"/>
              </w:rPr>
            </w:pPr>
          </w:p>
        </w:tc>
        <w:tc>
          <w:tcPr>
            <w:tcW w:w="1134" w:type="dxa"/>
            <w:vMerge/>
            <w:vAlign w:val="center"/>
          </w:tcPr>
          <w:p w:rsidR="00644456" w:rsidRDefault="00644456">
            <w:pPr>
              <w:adjustRightInd w:val="0"/>
              <w:snapToGrid w:val="0"/>
              <w:jc w:val="center"/>
              <w:rPr>
                <w:szCs w:val="21"/>
              </w:rPr>
            </w:pPr>
          </w:p>
        </w:tc>
        <w:tc>
          <w:tcPr>
            <w:tcW w:w="1276" w:type="dxa"/>
            <w:vAlign w:val="center"/>
          </w:tcPr>
          <w:p w:rsidR="00644456" w:rsidRDefault="008031C4">
            <w:pPr>
              <w:adjustRightInd w:val="0"/>
              <w:snapToGrid w:val="0"/>
              <w:jc w:val="center"/>
              <w:rPr>
                <w:szCs w:val="21"/>
              </w:rPr>
            </w:pPr>
            <w:r>
              <w:rPr>
                <w:szCs w:val="21"/>
              </w:rPr>
              <w:t>900-219-08</w:t>
            </w:r>
          </w:p>
        </w:tc>
        <w:tc>
          <w:tcPr>
            <w:tcW w:w="5722" w:type="dxa"/>
            <w:vAlign w:val="center"/>
          </w:tcPr>
          <w:p w:rsidR="00644456" w:rsidRDefault="008031C4">
            <w:pPr>
              <w:adjustRightInd w:val="0"/>
              <w:snapToGrid w:val="0"/>
              <w:jc w:val="center"/>
              <w:rPr>
                <w:szCs w:val="21"/>
              </w:rPr>
            </w:pPr>
            <w:r>
              <w:rPr>
                <w:szCs w:val="21"/>
              </w:rPr>
              <w:t>冷冻压缩设备维护、更换和拆解过程中产生的废冷冻机油</w:t>
            </w:r>
          </w:p>
        </w:tc>
        <w:tc>
          <w:tcPr>
            <w:tcW w:w="2935" w:type="dxa"/>
            <w:vAlign w:val="center"/>
          </w:tcPr>
          <w:p w:rsidR="00644456" w:rsidRDefault="008031C4">
            <w:pPr>
              <w:adjustRightInd w:val="0"/>
              <w:snapToGrid w:val="0"/>
              <w:jc w:val="center"/>
              <w:rPr>
                <w:szCs w:val="21"/>
              </w:rPr>
            </w:pPr>
            <w:r>
              <w:rPr>
                <w:szCs w:val="21"/>
              </w:rPr>
              <w:t>全部</w:t>
            </w:r>
          </w:p>
        </w:tc>
        <w:tc>
          <w:tcPr>
            <w:tcW w:w="1201" w:type="dxa"/>
            <w:vAlign w:val="center"/>
          </w:tcPr>
          <w:p w:rsidR="00644456" w:rsidRDefault="008031C4">
            <w:pPr>
              <w:adjustRightInd w:val="0"/>
              <w:snapToGrid w:val="0"/>
              <w:jc w:val="center"/>
              <w:rPr>
                <w:szCs w:val="21"/>
              </w:rPr>
            </w:pPr>
            <w:r>
              <w:rPr>
                <w:szCs w:val="21"/>
              </w:rPr>
              <w:t>T</w:t>
            </w:r>
            <w:r>
              <w:rPr>
                <w:szCs w:val="21"/>
              </w:rPr>
              <w:t>，</w:t>
            </w:r>
            <w:r>
              <w:rPr>
                <w:szCs w:val="21"/>
              </w:rPr>
              <w:t>I</w:t>
            </w:r>
          </w:p>
        </w:tc>
      </w:tr>
      <w:tr w:rsidR="00644456">
        <w:trPr>
          <w:jc w:val="center"/>
        </w:trPr>
        <w:tc>
          <w:tcPr>
            <w:tcW w:w="704" w:type="dxa"/>
            <w:vAlign w:val="center"/>
          </w:tcPr>
          <w:p w:rsidR="00644456" w:rsidRDefault="008031C4">
            <w:pPr>
              <w:adjustRightInd w:val="0"/>
              <w:snapToGrid w:val="0"/>
              <w:jc w:val="center"/>
              <w:rPr>
                <w:szCs w:val="21"/>
              </w:rPr>
            </w:pPr>
            <w:r>
              <w:rPr>
                <w:szCs w:val="21"/>
              </w:rPr>
              <w:t>19</w:t>
            </w:r>
          </w:p>
        </w:tc>
        <w:tc>
          <w:tcPr>
            <w:tcW w:w="1134" w:type="dxa"/>
            <w:vMerge/>
            <w:vAlign w:val="center"/>
          </w:tcPr>
          <w:p w:rsidR="00644456" w:rsidRDefault="00644456">
            <w:pPr>
              <w:adjustRightInd w:val="0"/>
              <w:snapToGrid w:val="0"/>
              <w:jc w:val="center"/>
              <w:rPr>
                <w:szCs w:val="21"/>
              </w:rPr>
            </w:pPr>
          </w:p>
        </w:tc>
        <w:tc>
          <w:tcPr>
            <w:tcW w:w="1134" w:type="dxa"/>
            <w:vMerge/>
            <w:vAlign w:val="center"/>
          </w:tcPr>
          <w:p w:rsidR="00644456" w:rsidRDefault="00644456">
            <w:pPr>
              <w:adjustRightInd w:val="0"/>
              <w:snapToGrid w:val="0"/>
              <w:jc w:val="center"/>
              <w:rPr>
                <w:szCs w:val="21"/>
              </w:rPr>
            </w:pPr>
          </w:p>
        </w:tc>
        <w:tc>
          <w:tcPr>
            <w:tcW w:w="1276" w:type="dxa"/>
            <w:vAlign w:val="center"/>
          </w:tcPr>
          <w:p w:rsidR="00644456" w:rsidRDefault="008031C4">
            <w:pPr>
              <w:adjustRightInd w:val="0"/>
              <w:snapToGrid w:val="0"/>
              <w:jc w:val="center"/>
              <w:rPr>
                <w:szCs w:val="21"/>
              </w:rPr>
            </w:pPr>
            <w:r>
              <w:rPr>
                <w:szCs w:val="21"/>
              </w:rPr>
              <w:t>900-220-08</w:t>
            </w:r>
          </w:p>
        </w:tc>
        <w:tc>
          <w:tcPr>
            <w:tcW w:w="5722" w:type="dxa"/>
            <w:vAlign w:val="center"/>
          </w:tcPr>
          <w:p w:rsidR="00644456" w:rsidRDefault="008031C4">
            <w:pPr>
              <w:adjustRightInd w:val="0"/>
              <w:snapToGrid w:val="0"/>
              <w:jc w:val="center"/>
              <w:rPr>
                <w:szCs w:val="21"/>
              </w:rPr>
            </w:pPr>
            <w:r>
              <w:rPr>
                <w:szCs w:val="21"/>
              </w:rPr>
              <w:t>变压器维护、更换和拆解过程中产生的废变压器油</w:t>
            </w:r>
          </w:p>
        </w:tc>
        <w:tc>
          <w:tcPr>
            <w:tcW w:w="2935" w:type="dxa"/>
            <w:vAlign w:val="center"/>
          </w:tcPr>
          <w:p w:rsidR="00644456" w:rsidRDefault="008031C4">
            <w:pPr>
              <w:adjustRightInd w:val="0"/>
              <w:snapToGrid w:val="0"/>
              <w:jc w:val="center"/>
              <w:rPr>
                <w:szCs w:val="21"/>
              </w:rPr>
            </w:pPr>
            <w:r>
              <w:rPr>
                <w:szCs w:val="21"/>
              </w:rPr>
              <w:t>全部</w:t>
            </w:r>
          </w:p>
        </w:tc>
        <w:tc>
          <w:tcPr>
            <w:tcW w:w="1201" w:type="dxa"/>
            <w:vAlign w:val="center"/>
          </w:tcPr>
          <w:p w:rsidR="00644456" w:rsidRDefault="008031C4">
            <w:pPr>
              <w:adjustRightInd w:val="0"/>
              <w:snapToGrid w:val="0"/>
              <w:jc w:val="center"/>
              <w:rPr>
                <w:szCs w:val="21"/>
              </w:rPr>
            </w:pPr>
            <w:r>
              <w:rPr>
                <w:szCs w:val="21"/>
              </w:rPr>
              <w:t>T</w:t>
            </w:r>
            <w:r>
              <w:rPr>
                <w:szCs w:val="21"/>
              </w:rPr>
              <w:t>，</w:t>
            </w:r>
            <w:r>
              <w:rPr>
                <w:szCs w:val="21"/>
              </w:rPr>
              <w:t>I</w:t>
            </w:r>
          </w:p>
        </w:tc>
      </w:tr>
      <w:tr w:rsidR="00644456">
        <w:trPr>
          <w:jc w:val="center"/>
        </w:trPr>
        <w:tc>
          <w:tcPr>
            <w:tcW w:w="704" w:type="dxa"/>
            <w:vAlign w:val="center"/>
          </w:tcPr>
          <w:p w:rsidR="00644456" w:rsidRDefault="008031C4">
            <w:pPr>
              <w:adjustRightInd w:val="0"/>
              <w:snapToGrid w:val="0"/>
              <w:jc w:val="center"/>
              <w:rPr>
                <w:szCs w:val="21"/>
              </w:rPr>
            </w:pPr>
            <w:r>
              <w:rPr>
                <w:szCs w:val="21"/>
              </w:rPr>
              <w:t>20</w:t>
            </w:r>
          </w:p>
        </w:tc>
        <w:tc>
          <w:tcPr>
            <w:tcW w:w="1134" w:type="dxa"/>
            <w:vMerge/>
            <w:vAlign w:val="center"/>
          </w:tcPr>
          <w:p w:rsidR="00644456" w:rsidRDefault="00644456">
            <w:pPr>
              <w:adjustRightInd w:val="0"/>
              <w:snapToGrid w:val="0"/>
              <w:jc w:val="center"/>
              <w:rPr>
                <w:szCs w:val="21"/>
              </w:rPr>
            </w:pPr>
          </w:p>
        </w:tc>
        <w:tc>
          <w:tcPr>
            <w:tcW w:w="1134" w:type="dxa"/>
            <w:vMerge/>
            <w:vAlign w:val="center"/>
          </w:tcPr>
          <w:p w:rsidR="00644456" w:rsidRDefault="00644456">
            <w:pPr>
              <w:adjustRightInd w:val="0"/>
              <w:snapToGrid w:val="0"/>
              <w:jc w:val="center"/>
              <w:rPr>
                <w:szCs w:val="21"/>
              </w:rPr>
            </w:pPr>
          </w:p>
        </w:tc>
        <w:tc>
          <w:tcPr>
            <w:tcW w:w="1276" w:type="dxa"/>
            <w:vAlign w:val="center"/>
          </w:tcPr>
          <w:p w:rsidR="00644456" w:rsidRDefault="008031C4">
            <w:pPr>
              <w:adjustRightInd w:val="0"/>
              <w:snapToGrid w:val="0"/>
              <w:jc w:val="center"/>
              <w:rPr>
                <w:szCs w:val="21"/>
              </w:rPr>
            </w:pPr>
            <w:r>
              <w:rPr>
                <w:szCs w:val="21"/>
              </w:rPr>
              <w:t>900-249-08</w:t>
            </w:r>
          </w:p>
        </w:tc>
        <w:tc>
          <w:tcPr>
            <w:tcW w:w="5722" w:type="dxa"/>
            <w:vAlign w:val="center"/>
          </w:tcPr>
          <w:p w:rsidR="00644456" w:rsidRDefault="008031C4">
            <w:pPr>
              <w:adjustRightInd w:val="0"/>
              <w:snapToGrid w:val="0"/>
              <w:jc w:val="center"/>
              <w:rPr>
                <w:szCs w:val="21"/>
              </w:rPr>
            </w:pPr>
            <w:r>
              <w:rPr>
                <w:szCs w:val="21"/>
              </w:rPr>
              <w:t>其他生产、销售、使用过程中产生的废矿物油及沾染矿物油的废弃包装物</w:t>
            </w:r>
          </w:p>
        </w:tc>
        <w:tc>
          <w:tcPr>
            <w:tcW w:w="2935" w:type="dxa"/>
            <w:vAlign w:val="center"/>
          </w:tcPr>
          <w:p w:rsidR="00644456" w:rsidRDefault="008031C4">
            <w:pPr>
              <w:adjustRightInd w:val="0"/>
              <w:snapToGrid w:val="0"/>
              <w:jc w:val="center"/>
              <w:rPr>
                <w:szCs w:val="21"/>
              </w:rPr>
            </w:pPr>
            <w:r>
              <w:rPr>
                <w:szCs w:val="21"/>
              </w:rPr>
              <w:t>只回收利用废矿物油（主要来自加油站、油库等）</w:t>
            </w:r>
          </w:p>
        </w:tc>
        <w:tc>
          <w:tcPr>
            <w:tcW w:w="1201" w:type="dxa"/>
            <w:vAlign w:val="center"/>
          </w:tcPr>
          <w:p w:rsidR="00644456" w:rsidRDefault="008031C4">
            <w:pPr>
              <w:adjustRightInd w:val="0"/>
              <w:snapToGrid w:val="0"/>
              <w:jc w:val="center"/>
              <w:rPr>
                <w:szCs w:val="21"/>
              </w:rPr>
            </w:pPr>
            <w:r>
              <w:rPr>
                <w:szCs w:val="21"/>
              </w:rPr>
              <w:t>T</w:t>
            </w:r>
            <w:r>
              <w:rPr>
                <w:szCs w:val="21"/>
              </w:rPr>
              <w:t>，</w:t>
            </w:r>
            <w:r>
              <w:rPr>
                <w:szCs w:val="21"/>
              </w:rPr>
              <w:t>I</w:t>
            </w:r>
          </w:p>
        </w:tc>
      </w:tr>
    </w:tbl>
    <w:p w:rsidR="00644456" w:rsidRDefault="00644456">
      <w:pPr>
        <w:autoSpaceDE w:val="0"/>
        <w:autoSpaceDN w:val="0"/>
        <w:adjustRightInd w:val="0"/>
        <w:ind w:firstLine="480"/>
        <w:jc w:val="center"/>
        <w:rPr>
          <w:rFonts w:cs="Times New Roman"/>
          <w:b/>
          <w:color w:val="000000" w:themeColor="text1"/>
          <w:sz w:val="24"/>
        </w:rPr>
      </w:pPr>
    </w:p>
    <w:p w:rsidR="00644456" w:rsidRDefault="00644456">
      <w:pPr>
        <w:autoSpaceDE w:val="0"/>
        <w:autoSpaceDN w:val="0"/>
        <w:adjustRightInd w:val="0"/>
        <w:ind w:firstLine="480"/>
        <w:jc w:val="center"/>
        <w:rPr>
          <w:rFonts w:cs="Times New Roman"/>
          <w:b/>
          <w:color w:val="000000" w:themeColor="text1"/>
          <w:sz w:val="24"/>
        </w:rPr>
        <w:sectPr w:rsidR="00644456">
          <w:pgSz w:w="16838" w:h="11905" w:orient="landscape"/>
          <w:pgMar w:top="1440" w:right="1440" w:bottom="1440" w:left="1440" w:header="851" w:footer="992" w:gutter="0"/>
          <w:cols w:space="0"/>
          <w:docGrid w:linePitch="312"/>
        </w:sectPr>
      </w:pPr>
    </w:p>
    <w:p w:rsidR="00644456" w:rsidRDefault="008031C4">
      <w:pPr>
        <w:pStyle w:val="3"/>
        <w:numPr>
          <w:ilvl w:val="2"/>
          <w:numId w:val="0"/>
        </w:numPr>
        <w:ind w:firstLineChars="200" w:firstLine="482"/>
      </w:pPr>
      <w:r>
        <w:rPr>
          <w:rFonts w:hint="eastAsia"/>
        </w:rPr>
        <w:lastRenderedPageBreak/>
        <w:t>2.4.7</w:t>
      </w:r>
      <w:r>
        <w:rPr>
          <w:rFonts w:hint="eastAsia"/>
        </w:rPr>
        <w:t>危险废物的收集、运输及贮存</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2.4.7.1</w:t>
      </w:r>
      <w:r>
        <w:rPr>
          <w:rFonts w:cs="Times New Roman" w:hint="eastAsia"/>
          <w:snapToGrid w:val="0"/>
          <w:color w:val="000000" w:themeColor="text1"/>
          <w:kern w:val="0"/>
          <w:szCs w:val="24"/>
        </w:rPr>
        <w:t>收集</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由于本项目原料属于危险废物，且回收的种类较多，在废矿物油收集过程中，根据废矿物油的种类及处置方式的不同，选用不同的带明显标志的专用运输车辆，对各种废油产生点源、定期收运。按照《危险废物收集贮存运输技术规范》（</w:t>
      </w:r>
      <w:r>
        <w:rPr>
          <w:rFonts w:cs="Times New Roman" w:hint="eastAsia"/>
          <w:color w:val="000000" w:themeColor="text1"/>
          <w:sz w:val="24"/>
          <w:szCs w:val="22"/>
        </w:rPr>
        <w:t>HJ2025-2012</w:t>
      </w:r>
      <w:r>
        <w:rPr>
          <w:rFonts w:cs="Times New Roman" w:hint="eastAsia"/>
          <w:color w:val="000000" w:themeColor="text1"/>
          <w:sz w:val="24"/>
          <w:szCs w:val="22"/>
        </w:rPr>
        <w:t>）要求，在收集过程中制定详细的操作流程，对收集的作业人员采取必要的个人防护，在收集过程中应采用相应的安全防护和污染防护措施，防火，防爆，防泄漏等。</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本项目废矿物油的收集包括从危废产生源到产生者暂存点的收集和从产生者暂存点到处置者临时贮存点的收集。从产生源到产生者暂存点的收集由危险废物产生者负责（各危废产生单位自行将废油集中收集在单位内的暂存设施内），从产生者暂存点到本项目厂区原料罐区的运输工作委托有运输资质的单位负责。</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2.4.7.2</w:t>
      </w:r>
      <w:r>
        <w:rPr>
          <w:rFonts w:cs="Times New Roman" w:hint="eastAsia"/>
          <w:snapToGrid w:val="0"/>
          <w:color w:val="000000" w:themeColor="text1"/>
          <w:kern w:val="0"/>
          <w:szCs w:val="24"/>
        </w:rPr>
        <w:t>运输</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原则：危险废物运输按照《危险废物收集贮存运输技术规范》（</w:t>
      </w:r>
      <w:r>
        <w:rPr>
          <w:rFonts w:cs="Times New Roman" w:hint="eastAsia"/>
          <w:color w:val="000000" w:themeColor="text1"/>
          <w:sz w:val="24"/>
          <w:szCs w:val="22"/>
        </w:rPr>
        <w:t>HJ2025-2012</w:t>
      </w:r>
      <w:r>
        <w:rPr>
          <w:rFonts w:cs="Times New Roman" w:hint="eastAsia"/>
          <w:color w:val="000000" w:themeColor="text1"/>
          <w:sz w:val="24"/>
          <w:szCs w:val="22"/>
        </w:rPr>
        <w:t>）、《废矿物油回收利用污染控制技术规范》（</w:t>
      </w:r>
      <w:r>
        <w:rPr>
          <w:rFonts w:cs="Times New Roman" w:hint="eastAsia"/>
          <w:color w:val="000000" w:themeColor="text1"/>
          <w:sz w:val="24"/>
          <w:szCs w:val="22"/>
        </w:rPr>
        <w:t>HJ607-2011</w:t>
      </w:r>
      <w:r>
        <w:rPr>
          <w:rFonts w:cs="Times New Roman" w:hint="eastAsia"/>
          <w:color w:val="000000" w:themeColor="text1"/>
          <w:sz w:val="24"/>
          <w:szCs w:val="22"/>
        </w:rPr>
        <w:t>）等要求，承担运输的单位应获得交通运输部门颁发的危险货物运输资质，同时运输过程中应遵守《道路危险货物运输管理规定》等的要求，并且有专人看护。</w:t>
      </w:r>
    </w:p>
    <w:p w:rsidR="00644456" w:rsidRDefault="008031C4">
      <w:pPr>
        <w:pStyle w:val="32"/>
        <w:adjustRightInd w:val="0"/>
        <w:snapToGrid w:val="0"/>
        <w:spacing w:after="0" w:line="348" w:lineRule="auto"/>
        <w:ind w:firstLineChars="200" w:firstLine="482"/>
        <w:rPr>
          <w:rFonts w:cs="Times New Roman"/>
          <w:b/>
          <w:bCs/>
          <w:color w:val="000000" w:themeColor="text1"/>
          <w:sz w:val="24"/>
          <w:szCs w:val="22"/>
        </w:rPr>
      </w:pPr>
      <w:r>
        <w:rPr>
          <w:rFonts w:cs="Times New Roman" w:hint="eastAsia"/>
          <w:b/>
          <w:bCs/>
          <w:color w:val="000000" w:themeColor="text1"/>
          <w:sz w:val="24"/>
          <w:szCs w:val="22"/>
        </w:rPr>
        <w:t>外部运输过程中应遵守以下要求</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①承担废矿物油运输的单位应获得交通运输部门颁发的危险货物运输资质；</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②运输单位采用公路运输应按照《道路危险货物运输管理规定》等相关规定执行，并按照《道路运输危险货物车辆标志》（</w:t>
      </w:r>
      <w:r>
        <w:rPr>
          <w:rFonts w:cs="Times New Roman" w:hint="eastAsia"/>
          <w:color w:val="000000" w:themeColor="text1"/>
          <w:sz w:val="24"/>
          <w:szCs w:val="22"/>
        </w:rPr>
        <w:t>GB13392</w:t>
      </w:r>
      <w:r>
        <w:rPr>
          <w:rFonts w:cs="Times New Roman" w:hint="eastAsia"/>
          <w:color w:val="000000" w:themeColor="text1"/>
          <w:sz w:val="24"/>
          <w:szCs w:val="22"/>
        </w:rPr>
        <w:t>）要求设置车辆标志；</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③运输单位运输废矿物油时，应在废矿物油的外包装上按照《危险废物贮存污染控制标准》（</w:t>
      </w:r>
      <w:r>
        <w:rPr>
          <w:rFonts w:cs="Times New Roman" w:hint="eastAsia"/>
          <w:color w:val="000000" w:themeColor="text1"/>
          <w:sz w:val="24"/>
          <w:szCs w:val="22"/>
        </w:rPr>
        <w:t>GB18597-2001</w:t>
      </w:r>
      <w:r>
        <w:rPr>
          <w:rFonts w:cs="Times New Roman" w:hint="eastAsia"/>
          <w:color w:val="000000" w:themeColor="text1"/>
          <w:sz w:val="24"/>
          <w:szCs w:val="22"/>
        </w:rPr>
        <w:t>）中附录</w:t>
      </w:r>
      <w:r>
        <w:rPr>
          <w:rFonts w:cs="Times New Roman" w:hint="eastAsia"/>
          <w:color w:val="000000" w:themeColor="text1"/>
          <w:sz w:val="24"/>
          <w:szCs w:val="22"/>
        </w:rPr>
        <w:t>A</w:t>
      </w:r>
      <w:r>
        <w:rPr>
          <w:rFonts w:cs="Times New Roman" w:hint="eastAsia"/>
          <w:color w:val="000000" w:themeColor="text1"/>
          <w:sz w:val="24"/>
          <w:szCs w:val="22"/>
        </w:rPr>
        <w:t>要求设置标志；</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④应按照《危险废物转移管理办法》（生态环境部、公安部、交通运输部令第</w:t>
      </w:r>
      <w:r>
        <w:rPr>
          <w:rFonts w:cs="Times New Roman" w:hint="eastAsia"/>
          <w:color w:val="000000" w:themeColor="text1"/>
          <w:sz w:val="24"/>
          <w:szCs w:val="22"/>
        </w:rPr>
        <w:t>23</w:t>
      </w:r>
      <w:r>
        <w:rPr>
          <w:rFonts w:cs="Times New Roman" w:hint="eastAsia"/>
          <w:color w:val="000000" w:themeColor="text1"/>
          <w:sz w:val="24"/>
          <w:szCs w:val="22"/>
        </w:rPr>
        <w:t>号）严格实行危险废物转移联单制度；</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⑤在运输过程中要严格按照危险废物运输的管理规定，尽量避免运输过程中的二次污染和可能造成的环境风险。</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⑥运输过程中应按照要求配置驾驶员及押运人员</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A</w:t>
      </w:r>
      <w:r>
        <w:rPr>
          <w:rFonts w:cs="Times New Roman" w:hint="eastAsia"/>
          <w:color w:val="000000" w:themeColor="text1"/>
          <w:sz w:val="24"/>
          <w:szCs w:val="22"/>
        </w:rPr>
        <w:t>、驾驶员、押运人员需持有“危险品运输资格证”，并具备专业知识及处理突发事故的能力；</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B</w:t>
      </w:r>
      <w:r>
        <w:rPr>
          <w:rFonts w:cs="Times New Roman" w:hint="eastAsia"/>
          <w:color w:val="000000" w:themeColor="text1"/>
          <w:sz w:val="24"/>
          <w:szCs w:val="22"/>
        </w:rPr>
        <w:t>、运输、搬运过程中，专人专车、轻拿轻放，保证货物不倾泻、不翻出；</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C</w:t>
      </w:r>
      <w:r>
        <w:rPr>
          <w:rFonts w:cs="Times New Roman" w:hint="eastAsia"/>
          <w:color w:val="000000" w:themeColor="text1"/>
          <w:sz w:val="24"/>
          <w:szCs w:val="22"/>
        </w:rPr>
        <w:t>、对驾驶员、装卸管理人员、押运人员进行有关安全知识培训，使其了解所运载</w:t>
      </w:r>
      <w:r>
        <w:rPr>
          <w:rFonts w:cs="Times New Roman" w:hint="eastAsia"/>
          <w:color w:val="000000" w:themeColor="text1"/>
          <w:sz w:val="24"/>
          <w:szCs w:val="22"/>
        </w:rPr>
        <w:lastRenderedPageBreak/>
        <w:t>的危险废物的性质、危害特性、包装容器的使用特性和发生意外时的应急措施，同时在运输过程中需配备必要的应急处理器材和防护用品；</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D</w:t>
      </w:r>
      <w:r>
        <w:rPr>
          <w:rFonts w:cs="Times New Roman" w:hint="eastAsia"/>
          <w:color w:val="000000" w:themeColor="text1"/>
          <w:sz w:val="24"/>
          <w:szCs w:val="22"/>
        </w:rPr>
        <w:t>、运输工程中配备押运人员，并随时对运输中的危险废物进行监管，做到不超载、不超速、不进入危险废物运输车辆禁止通行的区域。运输过程中遇到无法正常行驶的情况时，需向当地有关部门报告；</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E</w:t>
      </w:r>
      <w:r>
        <w:rPr>
          <w:rFonts w:cs="Times New Roman" w:hint="eastAsia"/>
          <w:color w:val="000000" w:themeColor="text1"/>
          <w:sz w:val="24"/>
          <w:szCs w:val="22"/>
        </w:rPr>
        <w:t>、运输车上应配备通讯设备（</w:t>
      </w:r>
      <w:r>
        <w:rPr>
          <w:rFonts w:cs="Times New Roman" w:hint="eastAsia"/>
          <w:color w:val="000000" w:themeColor="text1"/>
          <w:sz w:val="24"/>
          <w:szCs w:val="22"/>
        </w:rPr>
        <w:t>GPS</w:t>
      </w:r>
      <w:r>
        <w:rPr>
          <w:rFonts w:cs="Times New Roman" w:hint="eastAsia"/>
          <w:color w:val="000000" w:themeColor="text1"/>
          <w:sz w:val="24"/>
          <w:szCs w:val="22"/>
        </w:rPr>
        <w:t>系统）、联络人员名单及联系电话，以备发生事故时及时抢救和处理；</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F</w:t>
      </w:r>
      <w:r>
        <w:rPr>
          <w:rFonts w:cs="Times New Roman" w:hint="eastAsia"/>
          <w:color w:val="000000" w:themeColor="text1"/>
          <w:sz w:val="24"/>
          <w:szCs w:val="22"/>
        </w:rPr>
        <w:t>、危险废物在运输过程中发生被盗、丢失、流散、泄漏等情况时，驾驶员及押运人员应立即向当地公安部门报告，并在事发地采取相应的警示措施。设置作业界限标志和警示牌；</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⑦应规划制定详细的运输路线</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根据本项目所在区域特点，以汽车公路运输为主。收运车辆的行驶严格按照当地公安部门与交通部门协商确定的行驶路线和行驶时段进行。危险废物的收集频次依据危险废物的产生量、产生单位到本项目的距离、处置能力及库存情况等确定。以定期收集为主，兼顾应急收集。运输路线以高速公路为主，最大程度地避开市区、人口密集区、环境敏感区，尽可能运输路线力求最短、对沿路影响最小，避免转运过程中产生二次污染。</w:t>
      </w:r>
    </w:p>
    <w:p w:rsidR="00644456" w:rsidRDefault="008031C4">
      <w:pPr>
        <w:pStyle w:val="32"/>
        <w:adjustRightInd w:val="0"/>
        <w:snapToGrid w:val="0"/>
        <w:spacing w:after="0" w:line="348" w:lineRule="auto"/>
        <w:ind w:firstLineChars="200" w:firstLine="482"/>
        <w:rPr>
          <w:rFonts w:cs="Times New Roman"/>
          <w:b/>
          <w:bCs/>
          <w:color w:val="000000" w:themeColor="text1"/>
          <w:sz w:val="24"/>
          <w:szCs w:val="22"/>
        </w:rPr>
      </w:pPr>
      <w:r>
        <w:rPr>
          <w:rFonts w:cs="Times New Roman" w:hint="eastAsia"/>
          <w:b/>
          <w:bCs/>
          <w:color w:val="000000" w:themeColor="text1"/>
          <w:sz w:val="24"/>
          <w:szCs w:val="22"/>
        </w:rPr>
        <w:t>内部转运过程中应遵守以下要求</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①项目建成后，根据厂区实际的情况确定转运路线，尽可能避开办公生活区；</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②内部转运过程应填写《危险废物厂内转运记录表》；</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③内部转运结束后，应对转运路线进行检查和清理，确保无危险废物遗失在转运路线上，并对转运工具进行清洗；</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④内部装卸时装卸区工作人员应熟悉废物的危险特性，并配备适当的个人防护装备，装卸剧毒废物应配备特殊的防护装备；</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⑤卸载区应配备必要的消防设备和设施，并设置明显的指示标志。</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2.4.7.3</w:t>
      </w:r>
      <w:r>
        <w:rPr>
          <w:rFonts w:cs="Times New Roman" w:hint="eastAsia"/>
          <w:snapToGrid w:val="0"/>
          <w:color w:val="000000" w:themeColor="text1"/>
          <w:kern w:val="0"/>
          <w:szCs w:val="24"/>
        </w:rPr>
        <w:t>贮存</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color w:val="000000" w:themeColor="text1"/>
          <w:sz w:val="24"/>
          <w:szCs w:val="22"/>
        </w:rPr>
        <w:t>（</w:t>
      </w:r>
      <w:r>
        <w:rPr>
          <w:rFonts w:cs="Times New Roman"/>
          <w:color w:val="000000" w:themeColor="text1"/>
          <w:sz w:val="24"/>
          <w:szCs w:val="22"/>
        </w:rPr>
        <w:t>1</w:t>
      </w:r>
      <w:r>
        <w:rPr>
          <w:rFonts w:cs="Times New Roman"/>
          <w:color w:val="000000" w:themeColor="text1"/>
          <w:sz w:val="24"/>
          <w:szCs w:val="22"/>
        </w:rPr>
        <w:t>）原料及产品储罐设置情况</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color w:val="000000" w:themeColor="text1"/>
          <w:sz w:val="24"/>
          <w:szCs w:val="22"/>
        </w:rPr>
        <w:t>本项目原料废矿物油属于危险废物，本项目厂区内设置</w:t>
      </w:r>
      <w:r>
        <w:rPr>
          <w:rFonts w:cs="Times New Roman"/>
          <w:color w:val="000000" w:themeColor="text1"/>
          <w:sz w:val="24"/>
          <w:szCs w:val="22"/>
        </w:rPr>
        <w:t>5</w:t>
      </w:r>
      <w:r>
        <w:rPr>
          <w:rFonts w:cs="Times New Roman"/>
          <w:color w:val="000000" w:themeColor="text1"/>
          <w:sz w:val="24"/>
          <w:szCs w:val="22"/>
        </w:rPr>
        <w:t>个</w:t>
      </w:r>
      <w:r>
        <w:rPr>
          <w:rFonts w:cs="Times New Roman"/>
          <w:color w:val="000000" w:themeColor="text1"/>
          <w:sz w:val="24"/>
          <w:szCs w:val="22"/>
        </w:rPr>
        <w:t>300m</w:t>
      </w:r>
      <w:r>
        <w:rPr>
          <w:rFonts w:cs="Times New Roman"/>
          <w:color w:val="000000" w:themeColor="text1"/>
          <w:sz w:val="24"/>
          <w:szCs w:val="22"/>
          <w:vertAlign w:val="superscript"/>
        </w:rPr>
        <w:t>3</w:t>
      </w:r>
      <w:r>
        <w:rPr>
          <w:rFonts w:cs="Times New Roman"/>
          <w:color w:val="000000" w:themeColor="text1"/>
          <w:sz w:val="24"/>
          <w:szCs w:val="22"/>
        </w:rPr>
        <w:t>原料储罐，用于废矿物油的暂存，</w:t>
      </w:r>
      <w:r>
        <w:rPr>
          <w:rFonts w:cs="Times New Roman"/>
          <w:color w:val="000000" w:themeColor="text1"/>
          <w:sz w:val="24"/>
          <w:szCs w:val="22"/>
        </w:rPr>
        <w:t>3</w:t>
      </w:r>
      <w:r>
        <w:rPr>
          <w:rFonts w:cs="Times New Roman"/>
          <w:color w:val="000000" w:themeColor="text1"/>
          <w:sz w:val="24"/>
          <w:szCs w:val="22"/>
        </w:rPr>
        <w:t>个</w:t>
      </w:r>
      <w:r>
        <w:rPr>
          <w:rFonts w:cs="Times New Roman"/>
          <w:color w:val="000000" w:themeColor="text1"/>
          <w:sz w:val="24"/>
          <w:szCs w:val="22"/>
        </w:rPr>
        <w:t>300m</w:t>
      </w:r>
      <w:r>
        <w:rPr>
          <w:rFonts w:cs="Times New Roman"/>
          <w:color w:val="000000" w:themeColor="text1"/>
          <w:sz w:val="24"/>
          <w:szCs w:val="22"/>
          <w:vertAlign w:val="superscript"/>
        </w:rPr>
        <w:t>3</w:t>
      </w:r>
      <w:r>
        <w:rPr>
          <w:rFonts w:cs="Times New Roman"/>
          <w:color w:val="000000" w:themeColor="text1"/>
          <w:sz w:val="24"/>
          <w:szCs w:val="22"/>
        </w:rPr>
        <w:t>产品储罐</w:t>
      </w:r>
      <w:r>
        <w:rPr>
          <w:rFonts w:cs="Times New Roman" w:hint="eastAsia"/>
          <w:color w:val="000000" w:themeColor="text1"/>
          <w:sz w:val="24"/>
          <w:szCs w:val="22"/>
        </w:rPr>
        <w:t>，</w:t>
      </w:r>
      <w:r>
        <w:rPr>
          <w:rFonts w:cs="Times New Roman" w:hint="eastAsia"/>
          <w:color w:val="000000" w:themeColor="text1"/>
          <w:sz w:val="24"/>
          <w:szCs w:val="22"/>
        </w:rPr>
        <w:t>1</w:t>
      </w:r>
      <w:r>
        <w:rPr>
          <w:rFonts w:cs="Times New Roman" w:hint="eastAsia"/>
          <w:color w:val="000000" w:themeColor="text1"/>
          <w:sz w:val="24"/>
          <w:szCs w:val="22"/>
        </w:rPr>
        <w:t>个</w:t>
      </w:r>
      <w:r>
        <w:rPr>
          <w:rFonts w:cs="Times New Roman" w:hint="eastAsia"/>
          <w:color w:val="000000" w:themeColor="text1"/>
          <w:sz w:val="24"/>
          <w:szCs w:val="22"/>
        </w:rPr>
        <w:t>1</w:t>
      </w:r>
      <w:r>
        <w:rPr>
          <w:rFonts w:cs="Times New Roman"/>
          <w:color w:val="000000" w:themeColor="text1"/>
          <w:sz w:val="24"/>
          <w:szCs w:val="22"/>
        </w:rPr>
        <w:t>00m</w:t>
      </w:r>
      <w:r>
        <w:rPr>
          <w:rFonts w:cs="Times New Roman"/>
          <w:color w:val="000000" w:themeColor="text1"/>
          <w:sz w:val="24"/>
          <w:szCs w:val="22"/>
          <w:vertAlign w:val="superscript"/>
        </w:rPr>
        <w:t>3</w:t>
      </w:r>
      <w:r>
        <w:rPr>
          <w:rFonts w:cs="Times New Roman"/>
          <w:color w:val="000000" w:themeColor="text1"/>
          <w:sz w:val="24"/>
          <w:szCs w:val="22"/>
        </w:rPr>
        <w:t>产品储罐，用于再生润滑油基础油、再生尾油、</w:t>
      </w:r>
      <w:r>
        <w:rPr>
          <w:rFonts w:cs="Times New Roman" w:hint="eastAsia"/>
          <w:color w:val="000000" w:themeColor="text1"/>
          <w:sz w:val="24"/>
          <w:szCs w:val="22"/>
        </w:rPr>
        <w:t>燃料油</w:t>
      </w:r>
      <w:r>
        <w:rPr>
          <w:rFonts w:cs="Times New Roman"/>
          <w:color w:val="000000" w:themeColor="text1"/>
          <w:sz w:val="24"/>
          <w:szCs w:val="22"/>
        </w:rPr>
        <w:t>的储存，本项目罐区的设置情况详见表</w:t>
      </w:r>
      <w:r>
        <w:rPr>
          <w:rFonts w:cs="Times New Roman" w:hint="eastAsia"/>
          <w:color w:val="000000" w:themeColor="text1"/>
          <w:sz w:val="24"/>
          <w:szCs w:val="22"/>
        </w:rPr>
        <w:t>2.4-10</w:t>
      </w:r>
      <w:r>
        <w:rPr>
          <w:rFonts w:cs="Times New Roman"/>
          <w:color w:val="000000" w:themeColor="text1"/>
          <w:sz w:val="24"/>
          <w:szCs w:val="22"/>
        </w:rPr>
        <w:t>。</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2.4-10</w:t>
      </w:r>
      <w:r>
        <w:rPr>
          <w:rFonts w:cs="Times New Roman" w:hint="eastAsia"/>
          <w:b/>
          <w:color w:val="000000" w:themeColor="text1"/>
          <w:sz w:val="24"/>
          <w:szCs w:val="20"/>
        </w:rPr>
        <w:t>项目罐区设置情况</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1858"/>
        <w:gridCol w:w="1376"/>
        <w:gridCol w:w="1779"/>
        <w:gridCol w:w="2113"/>
        <w:gridCol w:w="1737"/>
      </w:tblGrid>
      <w:tr w:rsidR="00644456">
        <w:trPr>
          <w:trHeight w:val="340"/>
        </w:trPr>
        <w:tc>
          <w:tcPr>
            <w:tcW w:w="1858" w:type="dxa"/>
            <w:tcBorders>
              <w:tl2br w:val="nil"/>
              <w:tr2bl w:val="nil"/>
            </w:tcBorders>
            <w:vAlign w:val="center"/>
          </w:tcPr>
          <w:p w:rsidR="00644456" w:rsidRDefault="008031C4">
            <w:pPr>
              <w:widowControl/>
              <w:adjustRightInd w:val="0"/>
              <w:snapToGrid w:val="0"/>
              <w:jc w:val="center"/>
              <w:textAlignment w:val="center"/>
              <w:rPr>
                <w:rFonts w:cs="Times New Roman"/>
                <w:color w:val="000000" w:themeColor="text1"/>
              </w:rPr>
            </w:pPr>
            <w:bookmarkStart w:id="129" w:name="_Hlk177129636"/>
            <w:r>
              <w:rPr>
                <w:rFonts w:cs="Times New Roman"/>
                <w:color w:val="000000" w:themeColor="text1"/>
              </w:rPr>
              <w:t>类别</w:t>
            </w:r>
          </w:p>
        </w:tc>
        <w:tc>
          <w:tcPr>
            <w:tcW w:w="1376" w:type="dxa"/>
            <w:tcBorders>
              <w:tl2br w:val="nil"/>
              <w:tr2bl w:val="nil"/>
            </w:tcBorders>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存储物质</w:t>
            </w:r>
          </w:p>
        </w:tc>
        <w:tc>
          <w:tcPr>
            <w:tcW w:w="1779" w:type="dxa"/>
            <w:tcBorders>
              <w:tl2br w:val="nil"/>
              <w:tr2bl w:val="nil"/>
            </w:tcBorders>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罐体类型</w:t>
            </w:r>
          </w:p>
        </w:tc>
        <w:tc>
          <w:tcPr>
            <w:tcW w:w="2113" w:type="dxa"/>
            <w:tcBorders>
              <w:tl2br w:val="nil"/>
              <w:tr2bl w:val="nil"/>
            </w:tcBorders>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数量及储存能力</w:t>
            </w:r>
          </w:p>
        </w:tc>
        <w:tc>
          <w:tcPr>
            <w:tcW w:w="1737" w:type="dxa"/>
            <w:tcBorders>
              <w:tl2br w:val="nil"/>
              <w:tr2bl w:val="nil"/>
            </w:tcBorders>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一次最大存量</w:t>
            </w:r>
            <w:r>
              <w:rPr>
                <w:rFonts w:cs="Times New Roman"/>
                <w:color w:val="000000" w:themeColor="text1"/>
              </w:rPr>
              <w:t>t</w:t>
            </w:r>
          </w:p>
        </w:tc>
      </w:tr>
      <w:tr w:rsidR="00644456">
        <w:trPr>
          <w:trHeight w:val="340"/>
        </w:trPr>
        <w:tc>
          <w:tcPr>
            <w:tcW w:w="1858" w:type="dxa"/>
            <w:tcBorders>
              <w:tl2br w:val="nil"/>
              <w:tr2bl w:val="nil"/>
            </w:tcBorders>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lastRenderedPageBreak/>
              <w:t>原料储罐</w:t>
            </w:r>
          </w:p>
        </w:tc>
        <w:tc>
          <w:tcPr>
            <w:tcW w:w="1376" w:type="dxa"/>
            <w:tcBorders>
              <w:tl2br w:val="nil"/>
              <w:tr2bl w:val="nil"/>
            </w:tcBorders>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废矿物油</w:t>
            </w:r>
          </w:p>
        </w:tc>
        <w:tc>
          <w:tcPr>
            <w:tcW w:w="1779" w:type="dxa"/>
            <w:tcBorders>
              <w:tl2br w:val="nil"/>
              <w:tr2bl w:val="nil"/>
            </w:tcBorders>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常压立式固定顶罐</w:t>
            </w:r>
          </w:p>
        </w:tc>
        <w:tc>
          <w:tcPr>
            <w:tcW w:w="2113" w:type="dxa"/>
            <w:tcBorders>
              <w:tl2br w:val="nil"/>
              <w:tr2bl w:val="nil"/>
            </w:tcBorders>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5</w:t>
            </w:r>
            <w:r>
              <w:rPr>
                <w:rFonts w:cs="Times New Roman"/>
                <w:color w:val="000000" w:themeColor="text1"/>
              </w:rPr>
              <w:t>个</w:t>
            </w:r>
            <w:r>
              <w:rPr>
                <w:rFonts w:cs="Times New Roman"/>
                <w:color w:val="000000" w:themeColor="text1"/>
              </w:rPr>
              <w:t>300m</w:t>
            </w:r>
            <w:r>
              <w:rPr>
                <w:rFonts w:cs="Times New Roman"/>
                <w:color w:val="000000" w:themeColor="text1"/>
                <w:vertAlign w:val="superscript"/>
              </w:rPr>
              <w:t>3</w:t>
            </w:r>
          </w:p>
        </w:tc>
        <w:tc>
          <w:tcPr>
            <w:tcW w:w="1737" w:type="dxa"/>
            <w:tcBorders>
              <w:tl2br w:val="nil"/>
              <w:tr2bl w:val="nil"/>
            </w:tcBorders>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1262.25</w:t>
            </w:r>
          </w:p>
        </w:tc>
      </w:tr>
      <w:tr w:rsidR="00644456">
        <w:trPr>
          <w:trHeight w:val="90"/>
        </w:trPr>
        <w:tc>
          <w:tcPr>
            <w:tcW w:w="1858" w:type="dxa"/>
            <w:vMerge w:val="restart"/>
            <w:tcBorders>
              <w:tl2br w:val="nil"/>
              <w:tr2bl w:val="nil"/>
            </w:tcBorders>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产品储罐</w:t>
            </w:r>
          </w:p>
        </w:tc>
        <w:tc>
          <w:tcPr>
            <w:tcW w:w="1376" w:type="dxa"/>
            <w:tcBorders>
              <w:tl2br w:val="nil"/>
              <w:tr2bl w:val="nil"/>
            </w:tcBorders>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燃料油</w:t>
            </w:r>
          </w:p>
        </w:tc>
        <w:tc>
          <w:tcPr>
            <w:tcW w:w="1779" w:type="dxa"/>
            <w:tcBorders>
              <w:tl2br w:val="nil"/>
              <w:tr2bl w:val="nil"/>
            </w:tcBorders>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常压立式固定顶罐</w:t>
            </w:r>
          </w:p>
        </w:tc>
        <w:tc>
          <w:tcPr>
            <w:tcW w:w="2113" w:type="dxa"/>
            <w:tcBorders>
              <w:tl2br w:val="nil"/>
              <w:tr2bl w:val="nil"/>
            </w:tcBorders>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个</w:t>
            </w:r>
            <w:r>
              <w:rPr>
                <w:rFonts w:cs="Times New Roman"/>
                <w:color w:val="000000" w:themeColor="text1"/>
              </w:rPr>
              <w:t>100m</w:t>
            </w:r>
            <w:r>
              <w:rPr>
                <w:rFonts w:cs="Times New Roman"/>
                <w:color w:val="000000" w:themeColor="text1"/>
                <w:vertAlign w:val="superscript"/>
              </w:rPr>
              <w:t>3</w:t>
            </w:r>
          </w:p>
        </w:tc>
        <w:tc>
          <w:tcPr>
            <w:tcW w:w="1737" w:type="dxa"/>
            <w:tcBorders>
              <w:tl2br w:val="nil"/>
              <w:tr2bl w:val="nil"/>
            </w:tcBorders>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79.2</w:t>
            </w:r>
          </w:p>
        </w:tc>
      </w:tr>
      <w:tr w:rsidR="00644456">
        <w:trPr>
          <w:trHeight w:val="340"/>
        </w:trPr>
        <w:tc>
          <w:tcPr>
            <w:tcW w:w="1858" w:type="dxa"/>
            <w:vMerge/>
            <w:tcBorders>
              <w:tl2br w:val="nil"/>
              <w:tr2bl w:val="nil"/>
            </w:tcBorders>
            <w:vAlign w:val="center"/>
          </w:tcPr>
          <w:p w:rsidR="00644456" w:rsidRDefault="00644456">
            <w:pPr>
              <w:widowControl/>
              <w:adjustRightInd w:val="0"/>
              <w:snapToGrid w:val="0"/>
              <w:jc w:val="center"/>
              <w:textAlignment w:val="center"/>
              <w:rPr>
                <w:rFonts w:cs="Times New Roman"/>
                <w:color w:val="000000" w:themeColor="text1"/>
              </w:rPr>
            </w:pPr>
          </w:p>
        </w:tc>
        <w:tc>
          <w:tcPr>
            <w:tcW w:w="1376" w:type="dxa"/>
            <w:tcBorders>
              <w:tl2br w:val="nil"/>
              <w:tr2bl w:val="nil"/>
            </w:tcBorders>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润滑油基础油</w:t>
            </w:r>
          </w:p>
        </w:tc>
        <w:tc>
          <w:tcPr>
            <w:tcW w:w="1779" w:type="dxa"/>
            <w:tcBorders>
              <w:tl2br w:val="nil"/>
              <w:tr2bl w:val="nil"/>
            </w:tcBorders>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常压立式固定顶罐</w:t>
            </w:r>
          </w:p>
        </w:tc>
        <w:tc>
          <w:tcPr>
            <w:tcW w:w="2113" w:type="dxa"/>
            <w:tcBorders>
              <w:tl2br w:val="nil"/>
              <w:tr2bl w:val="nil"/>
            </w:tcBorders>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2</w:t>
            </w:r>
            <w:r>
              <w:rPr>
                <w:rFonts w:cs="Times New Roman"/>
                <w:color w:val="000000" w:themeColor="text1"/>
              </w:rPr>
              <w:t>个</w:t>
            </w:r>
            <w:r>
              <w:rPr>
                <w:rFonts w:cs="Times New Roman"/>
                <w:color w:val="000000" w:themeColor="text1"/>
              </w:rPr>
              <w:t>300m</w:t>
            </w:r>
            <w:r>
              <w:rPr>
                <w:rFonts w:cs="Times New Roman"/>
                <w:color w:val="000000" w:themeColor="text1"/>
                <w:vertAlign w:val="superscript"/>
              </w:rPr>
              <w:t>3</w:t>
            </w:r>
          </w:p>
        </w:tc>
        <w:tc>
          <w:tcPr>
            <w:tcW w:w="1737" w:type="dxa"/>
            <w:tcBorders>
              <w:tl2br w:val="nil"/>
              <w:tr2bl w:val="nil"/>
            </w:tcBorders>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504.9</w:t>
            </w:r>
          </w:p>
        </w:tc>
      </w:tr>
      <w:tr w:rsidR="00644456">
        <w:trPr>
          <w:trHeight w:val="340"/>
        </w:trPr>
        <w:tc>
          <w:tcPr>
            <w:tcW w:w="1858" w:type="dxa"/>
            <w:vMerge/>
            <w:tcBorders>
              <w:tl2br w:val="nil"/>
              <w:tr2bl w:val="nil"/>
            </w:tcBorders>
            <w:vAlign w:val="center"/>
          </w:tcPr>
          <w:p w:rsidR="00644456" w:rsidRDefault="00644456">
            <w:pPr>
              <w:widowControl/>
              <w:adjustRightInd w:val="0"/>
              <w:snapToGrid w:val="0"/>
              <w:jc w:val="center"/>
              <w:textAlignment w:val="center"/>
              <w:rPr>
                <w:rFonts w:cs="Times New Roman"/>
                <w:color w:val="000000" w:themeColor="text1"/>
              </w:rPr>
            </w:pPr>
          </w:p>
        </w:tc>
        <w:tc>
          <w:tcPr>
            <w:tcW w:w="1376" w:type="dxa"/>
            <w:tcBorders>
              <w:tl2br w:val="nil"/>
              <w:tr2bl w:val="nil"/>
            </w:tcBorders>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再生尾油</w:t>
            </w:r>
          </w:p>
        </w:tc>
        <w:tc>
          <w:tcPr>
            <w:tcW w:w="1779" w:type="dxa"/>
            <w:tcBorders>
              <w:tl2br w:val="nil"/>
              <w:tr2bl w:val="nil"/>
            </w:tcBorders>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常压立式固定顶罐</w:t>
            </w:r>
          </w:p>
        </w:tc>
        <w:tc>
          <w:tcPr>
            <w:tcW w:w="2113" w:type="dxa"/>
            <w:tcBorders>
              <w:tl2br w:val="nil"/>
              <w:tr2bl w:val="nil"/>
            </w:tcBorders>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个</w:t>
            </w:r>
            <w:r>
              <w:rPr>
                <w:rFonts w:cs="Times New Roman"/>
                <w:color w:val="000000" w:themeColor="text1"/>
              </w:rPr>
              <w:t>300m</w:t>
            </w:r>
            <w:r>
              <w:rPr>
                <w:rFonts w:cs="Times New Roman"/>
                <w:color w:val="000000" w:themeColor="text1"/>
                <w:vertAlign w:val="superscript"/>
              </w:rPr>
              <w:t>3</w:t>
            </w:r>
          </w:p>
        </w:tc>
        <w:tc>
          <w:tcPr>
            <w:tcW w:w="1737" w:type="dxa"/>
            <w:tcBorders>
              <w:tl2br w:val="nil"/>
              <w:tr2bl w:val="nil"/>
            </w:tcBorders>
            <w:vAlign w:val="center"/>
          </w:tcPr>
          <w:p w:rsidR="00644456" w:rsidRDefault="008031C4">
            <w:pPr>
              <w:widowControl/>
              <w:adjustRightInd w:val="0"/>
              <w:snapToGrid w:val="0"/>
              <w:jc w:val="center"/>
              <w:textAlignment w:val="center"/>
              <w:rPr>
                <w:rFonts w:cs="Times New Roman"/>
                <w:color w:val="000000" w:themeColor="text1"/>
              </w:rPr>
            </w:pPr>
            <w:r>
              <w:rPr>
                <w:rFonts w:cs="Times New Roman" w:hint="eastAsia"/>
                <w:color w:val="000000" w:themeColor="text1"/>
              </w:rPr>
              <w:t>2</w:t>
            </w:r>
            <w:r>
              <w:rPr>
                <w:rFonts w:cs="Times New Roman"/>
                <w:color w:val="000000" w:themeColor="text1"/>
              </w:rPr>
              <w:t>42.45</w:t>
            </w:r>
          </w:p>
        </w:tc>
      </w:tr>
      <w:tr w:rsidR="00644456">
        <w:trPr>
          <w:trHeight w:val="340"/>
        </w:trPr>
        <w:tc>
          <w:tcPr>
            <w:tcW w:w="8863" w:type="dxa"/>
            <w:gridSpan w:val="5"/>
            <w:tcBorders>
              <w:tl2br w:val="nil"/>
              <w:tr2bl w:val="nil"/>
            </w:tcBorders>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备注：燃料油密度</w:t>
            </w:r>
            <w:r>
              <w:rPr>
                <w:rFonts w:cs="Times New Roman"/>
                <w:color w:val="000000" w:themeColor="text1"/>
              </w:rPr>
              <w:t>880kg/m</w:t>
            </w:r>
            <w:r>
              <w:rPr>
                <w:rFonts w:cs="Times New Roman"/>
                <w:color w:val="000000" w:themeColor="text1"/>
                <w:vertAlign w:val="superscript"/>
              </w:rPr>
              <w:t>3</w:t>
            </w:r>
            <w:r>
              <w:rPr>
                <w:rFonts w:cs="Times New Roman"/>
                <w:color w:val="000000" w:themeColor="text1"/>
              </w:rPr>
              <w:t>，其余均为</w:t>
            </w:r>
            <w:r>
              <w:rPr>
                <w:rFonts w:cs="Times New Roman"/>
                <w:color w:val="000000" w:themeColor="text1"/>
              </w:rPr>
              <w:t>935kg/m</w:t>
            </w:r>
            <w:r>
              <w:rPr>
                <w:rFonts w:cs="Times New Roman"/>
                <w:color w:val="000000" w:themeColor="text1"/>
                <w:vertAlign w:val="superscript"/>
              </w:rPr>
              <w:t>3</w:t>
            </w:r>
            <w:r>
              <w:rPr>
                <w:rFonts w:cs="Times New Roman"/>
                <w:color w:val="000000" w:themeColor="text1"/>
              </w:rPr>
              <w:t>，罐体填装率</w:t>
            </w:r>
            <w:r>
              <w:rPr>
                <w:rFonts w:cs="Times New Roman"/>
                <w:color w:val="000000" w:themeColor="text1"/>
              </w:rPr>
              <w:t>90%</w:t>
            </w:r>
            <w:r>
              <w:rPr>
                <w:rFonts w:cs="Times New Roman"/>
                <w:color w:val="000000" w:themeColor="text1"/>
              </w:rPr>
              <w:t>。</w:t>
            </w:r>
          </w:p>
        </w:tc>
      </w:tr>
    </w:tbl>
    <w:bookmarkEnd w:id="129"/>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color w:val="000000" w:themeColor="text1"/>
          <w:sz w:val="24"/>
          <w:szCs w:val="22"/>
        </w:rPr>
        <w:t>（</w:t>
      </w:r>
      <w:r>
        <w:rPr>
          <w:rFonts w:cs="Times New Roman"/>
          <w:color w:val="000000" w:themeColor="text1"/>
          <w:sz w:val="24"/>
          <w:szCs w:val="22"/>
        </w:rPr>
        <w:t>2</w:t>
      </w:r>
      <w:r>
        <w:rPr>
          <w:rFonts w:cs="Times New Roman"/>
          <w:color w:val="000000" w:themeColor="text1"/>
          <w:sz w:val="24"/>
          <w:szCs w:val="22"/>
        </w:rPr>
        <w:t>）贮存规模需求</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color w:val="000000" w:themeColor="text1"/>
          <w:sz w:val="24"/>
          <w:szCs w:val="22"/>
        </w:rPr>
        <w:t>根据本项目的设计资料，本项目生产系统平均日处理废矿物油</w:t>
      </w:r>
      <w:r>
        <w:rPr>
          <w:rFonts w:cs="Times New Roman"/>
          <w:color w:val="000000" w:themeColor="text1"/>
          <w:sz w:val="24"/>
          <w:szCs w:val="22"/>
        </w:rPr>
        <w:t>100t</w:t>
      </w:r>
      <w:r>
        <w:rPr>
          <w:rFonts w:cs="Times New Roman"/>
          <w:color w:val="000000" w:themeColor="text1"/>
          <w:sz w:val="24"/>
          <w:szCs w:val="22"/>
        </w:rPr>
        <w:t>，厂区内一次原料罐的最大储存量为</w:t>
      </w:r>
      <w:r>
        <w:rPr>
          <w:rFonts w:cs="Times New Roman"/>
          <w:color w:val="000000" w:themeColor="text1"/>
          <w:sz w:val="24"/>
          <w:szCs w:val="22"/>
        </w:rPr>
        <w:t>1262.25t</w:t>
      </w:r>
      <w:r>
        <w:rPr>
          <w:rFonts w:cs="Times New Roman"/>
          <w:color w:val="000000" w:themeColor="text1"/>
          <w:sz w:val="24"/>
          <w:szCs w:val="22"/>
        </w:rPr>
        <w:t>，原料罐理论可以满足本项目</w:t>
      </w:r>
      <w:r>
        <w:rPr>
          <w:rFonts w:cs="Times New Roman" w:hint="eastAsia"/>
          <w:color w:val="000000" w:themeColor="text1"/>
          <w:sz w:val="24"/>
          <w:szCs w:val="22"/>
        </w:rPr>
        <w:t>1</w:t>
      </w:r>
      <w:r>
        <w:rPr>
          <w:rFonts w:cs="Times New Roman"/>
          <w:color w:val="000000" w:themeColor="text1"/>
          <w:sz w:val="24"/>
          <w:szCs w:val="22"/>
        </w:rPr>
        <w:t>2</w:t>
      </w:r>
      <w:r>
        <w:rPr>
          <w:rFonts w:cs="Times New Roman" w:hint="eastAsia"/>
          <w:color w:val="000000" w:themeColor="text1"/>
          <w:sz w:val="24"/>
          <w:szCs w:val="22"/>
        </w:rPr>
        <w:t>天</w:t>
      </w:r>
      <w:r>
        <w:rPr>
          <w:rFonts w:cs="Times New Roman"/>
          <w:color w:val="000000" w:themeColor="text1"/>
          <w:sz w:val="24"/>
          <w:szCs w:val="22"/>
        </w:rPr>
        <w:t>的生产需求。</w:t>
      </w:r>
      <w:bookmarkStart w:id="130" w:name="_Hlk177129662"/>
      <w:r>
        <w:rPr>
          <w:rFonts w:cs="Times New Roman"/>
          <w:color w:val="000000" w:themeColor="text1"/>
          <w:sz w:val="24"/>
          <w:szCs w:val="22"/>
        </w:rPr>
        <w:t>产品储罐一次最大暂存量为</w:t>
      </w:r>
      <w:r>
        <w:rPr>
          <w:rFonts w:cs="Times New Roman"/>
          <w:color w:val="000000" w:themeColor="text1"/>
          <w:sz w:val="24"/>
          <w:szCs w:val="22"/>
        </w:rPr>
        <w:t>826.55t</w:t>
      </w:r>
      <w:r>
        <w:rPr>
          <w:rFonts w:cs="Times New Roman"/>
          <w:color w:val="000000" w:themeColor="text1"/>
          <w:sz w:val="24"/>
          <w:szCs w:val="22"/>
        </w:rPr>
        <w:t>，产品</w:t>
      </w:r>
      <w:r>
        <w:rPr>
          <w:rFonts w:cs="Times New Roman" w:hint="eastAsia"/>
          <w:color w:val="000000" w:themeColor="text1"/>
          <w:sz w:val="24"/>
          <w:szCs w:val="22"/>
        </w:rPr>
        <w:t>储罐</w:t>
      </w:r>
      <w:r>
        <w:rPr>
          <w:rFonts w:cs="Times New Roman"/>
          <w:color w:val="000000" w:themeColor="text1"/>
          <w:sz w:val="24"/>
          <w:szCs w:val="22"/>
        </w:rPr>
        <w:t>可以满足</w:t>
      </w:r>
      <w:r>
        <w:rPr>
          <w:rFonts w:cs="Times New Roman"/>
          <w:color w:val="000000" w:themeColor="text1"/>
          <w:sz w:val="24"/>
          <w:szCs w:val="22"/>
        </w:rPr>
        <w:t>4-5</w:t>
      </w:r>
      <w:r>
        <w:rPr>
          <w:rFonts w:cs="Times New Roman"/>
          <w:color w:val="000000" w:themeColor="text1"/>
          <w:sz w:val="24"/>
          <w:szCs w:val="22"/>
        </w:rPr>
        <w:t>天的产品储存需求。</w:t>
      </w:r>
    </w:p>
    <w:bookmarkEnd w:id="130"/>
    <w:p w:rsidR="00644456" w:rsidRDefault="008031C4">
      <w:pPr>
        <w:pStyle w:val="3"/>
        <w:numPr>
          <w:ilvl w:val="2"/>
          <w:numId w:val="0"/>
        </w:numPr>
        <w:ind w:firstLineChars="200" w:firstLine="482"/>
      </w:pPr>
      <w:r>
        <w:rPr>
          <w:rFonts w:hint="eastAsia"/>
        </w:rPr>
        <w:t>2.4.8</w:t>
      </w:r>
      <w:r>
        <w:rPr>
          <w:rFonts w:hint="eastAsia"/>
        </w:rPr>
        <w:t>项目设备清单</w:t>
      </w:r>
    </w:p>
    <w:p w:rsidR="00644456" w:rsidRDefault="008031C4">
      <w:pPr>
        <w:pStyle w:val="32"/>
        <w:adjustRightInd w:val="0"/>
        <w:snapToGrid w:val="0"/>
        <w:spacing w:after="0" w:line="348" w:lineRule="auto"/>
        <w:ind w:firstLineChars="200" w:firstLine="480"/>
        <w:rPr>
          <w:rFonts w:cs="Times New Roman"/>
          <w:color w:val="000000" w:themeColor="text1"/>
          <w:sz w:val="24"/>
          <w:szCs w:val="22"/>
        </w:rPr>
      </w:pPr>
      <w:r>
        <w:rPr>
          <w:rFonts w:cs="Times New Roman" w:hint="eastAsia"/>
          <w:color w:val="000000" w:themeColor="text1"/>
          <w:sz w:val="24"/>
          <w:szCs w:val="22"/>
        </w:rPr>
        <w:t>根据本项目生产工艺要求，本项目主要生产设备见表</w:t>
      </w:r>
      <w:r>
        <w:rPr>
          <w:rFonts w:cs="Times New Roman" w:hint="eastAsia"/>
          <w:color w:val="000000" w:themeColor="text1"/>
          <w:sz w:val="24"/>
          <w:szCs w:val="22"/>
        </w:rPr>
        <w:t>2.4-11</w:t>
      </w:r>
      <w:r>
        <w:rPr>
          <w:rFonts w:cs="Times New Roman" w:hint="eastAsia"/>
          <w:color w:val="000000" w:themeColor="text1"/>
          <w:sz w:val="24"/>
          <w:szCs w:val="22"/>
        </w:rPr>
        <w:t>。</w:t>
      </w:r>
    </w:p>
    <w:p w:rsidR="00644456" w:rsidRDefault="008031C4">
      <w:pPr>
        <w:autoSpaceDE w:val="0"/>
        <w:autoSpaceDN w:val="0"/>
        <w:adjustRightInd w:val="0"/>
        <w:jc w:val="center"/>
        <w:rPr>
          <w:rFonts w:cs="Times New Roman"/>
          <w:b/>
          <w:color w:val="000000" w:themeColor="text1"/>
          <w:sz w:val="24"/>
          <w:szCs w:val="20"/>
        </w:rPr>
      </w:pPr>
      <w:bookmarkStart w:id="131" w:name="_Hlk148540872"/>
      <w:r>
        <w:rPr>
          <w:rFonts w:cs="Times New Roman" w:hint="eastAsia"/>
          <w:b/>
          <w:color w:val="000000" w:themeColor="text1"/>
          <w:sz w:val="24"/>
          <w:szCs w:val="20"/>
        </w:rPr>
        <w:t>表</w:t>
      </w:r>
      <w:r>
        <w:rPr>
          <w:rFonts w:cs="Times New Roman" w:hint="eastAsia"/>
          <w:b/>
          <w:color w:val="000000" w:themeColor="text1"/>
          <w:sz w:val="24"/>
          <w:szCs w:val="20"/>
        </w:rPr>
        <w:t>2.4-11</w:t>
      </w:r>
      <w:r>
        <w:rPr>
          <w:rFonts w:cs="Times New Roman" w:hint="eastAsia"/>
          <w:b/>
          <w:color w:val="000000" w:themeColor="text1"/>
          <w:sz w:val="24"/>
          <w:szCs w:val="20"/>
        </w:rPr>
        <w:t>项目主要设备清单一览表</w:t>
      </w:r>
    </w:p>
    <w:tbl>
      <w:tblPr>
        <w:tblW w:w="5116"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4"/>
        <w:gridCol w:w="1827"/>
        <w:gridCol w:w="2130"/>
        <w:gridCol w:w="1564"/>
        <w:gridCol w:w="2840"/>
      </w:tblGrid>
      <w:tr w:rsidR="00644456">
        <w:trPr>
          <w:trHeight w:val="380"/>
        </w:trPr>
        <w:tc>
          <w:tcPr>
            <w:tcW w:w="478" w:type="pct"/>
            <w:vAlign w:val="center"/>
          </w:tcPr>
          <w:p w:rsidR="00644456" w:rsidRDefault="008031C4">
            <w:pPr>
              <w:widowControl/>
              <w:adjustRightInd w:val="0"/>
              <w:snapToGrid w:val="0"/>
              <w:jc w:val="center"/>
              <w:textAlignment w:val="center"/>
              <w:rPr>
                <w:rFonts w:cs="Times New Roman"/>
                <w:color w:val="000000" w:themeColor="text1"/>
              </w:rPr>
            </w:pPr>
            <w:bookmarkStart w:id="132" w:name="_Hlk179540579"/>
            <w:r>
              <w:rPr>
                <w:rFonts w:cs="Times New Roman"/>
                <w:color w:val="000000" w:themeColor="text1"/>
              </w:rPr>
              <w:t>序号</w:t>
            </w:r>
          </w:p>
        </w:tc>
        <w:tc>
          <w:tcPr>
            <w:tcW w:w="2140" w:type="pct"/>
            <w:gridSpan w:val="2"/>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设备名称</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数量</w:t>
            </w:r>
          </w:p>
        </w:tc>
        <w:tc>
          <w:tcPr>
            <w:tcW w:w="153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参数</w:t>
            </w:r>
          </w:p>
        </w:tc>
      </w:tr>
      <w:tr w:rsidR="00644456">
        <w:trPr>
          <w:trHeight w:val="90"/>
        </w:trPr>
        <w:tc>
          <w:tcPr>
            <w:tcW w:w="47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p>
        </w:tc>
        <w:tc>
          <w:tcPr>
            <w:tcW w:w="98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添加剂调和系统</w:t>
            </w: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添加剂调和器</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套</w:t>
            </w:r>
          </w:p>
        </w:tc>
        <w:tc>
          <w:tcPr>
            <w:tcW w:w="1536" w:type="pct"/>
            <w:vAlign w:val="center"/>
          </w:tcPr>
          <w:p w:rsidR="00644456" w:rsidRDefault="008031C4">
            <w:pPr>
              <w:widowControl/>
              <w:adjustRightInd w:val="0"/>
              <w:snapToGrid w:val="0"/>
              <w:jc w:val="center"/>
              <w:textAlignment w:val="center"/>
              <w:rPr>
                <w:rFonts w:cs="Times New Roman"/>
                <w:color w:val="000000" w:themeColor="text1"/>
              </w:rPr>
            </w:pPr>
            <w:r>
              <w:rPr>
                <w:rFonts w:eastAsia="TimesNewRomanPSMT" w:cs="Times New Roman"/>
                <w:szCs w:val="24"/>
              </w:rPr>
              <w:t>Ф1000×1800×6mm</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搅拌系统</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套</w:t>
            </w:r>
          </w:p>
        </w:tc>
        <w:tc>
          <w:tcPr>
            <w:tcW w:w="1536" w:type="pct"/>
            <w:vAlign w:val="center"/>
          </w:tcPr>
          <w:p w:rsidR="00644456" w:rsidRDefault="008031C4">
            <w:pPr>
              <w:widowControl/>
              <w:adjustRightInd w:val="0"/>
              <w:snapToGrid w:val="0"/>
              <w:jc w:val="center"/>
              <w:textAlignment w:val="center"/>
              <w:rPr>
                <w:rFonts w:cs="Times New Roman"/>
                <w:color w:val="000000" w:themeColor="text1"/>
              </w:rPr>
            </w:pPr>
            <w:r>
              <w:rPr>
                <w:rFonts w:eastAsia="TimesNewRomanPSMT" w:cs="Times New Roman"/>
                <w:szCs w:val="24"/>
              </w:rPr>
              <w:t>BLD-3-35</w:t>
            </w:r>
          </w:p>
        </w:tc>
      </w:tr>
      <w:tr w:rsidR="00644456">
        <w:trPr>
          <w:trHeight w:val="90"/>
        </w:trPr>
        <w:tc>
          <w:tcPr>
            <w:tcW w:w="47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2</w:t>
            </w:r>
          </w:p>
        </w:tc>
        <w:tc>
          <w:tcPr>
            <w:tcW w:w="98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废机油添加剂混合系统</w:t>
            </w: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混合罐</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搅拌系统（密封）</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套</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3</w:t>
            </w:r>
          </w:p>
        </w:tc>
        <w:tc>
          <w:tcPr>
            <w:tcW w:w="2140" w:type="pct"/>
            <w:gridSpan w:val="2"/>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输油泵</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4</w:t>
            </w:r>
          </w:p>
        </w:tc>
        <w:tc>
          <w:tcPr>
            <w:tcW w:w="2140" w:type="pct"/>
            <w:gridSpan w:val="2"/>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定量循环加油泵</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2</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5</w:t>
            </w:r>
          </w:p>
        </w:tc>
        <w:tc>
          <w:tcPr>
            <w:tcW w:w="98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预处理蒸馏系统</w:t>
            </w: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蒸馏器</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搅拌系统</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套</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6</w:t>
            </w:r>
          </w:p>
        </w:tc>
        <w:tc>
          <w:tcPr>
            <w:tcW w:w="98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基础油蒸馏系统</w:t>
            </w: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基础油蒸馏器</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vAlign w:val="center"/>
          </w:tcPr>
          <w:p w:rsidR="00644456" w:rsidRDefault="008031C4">
            <w:pPr>
              <w:widowControl/>
              <w:adjustRightInd w:val="0"/>
              <w:snapToGrid w:val="0"/>
              <w:jc w:val="center"/>
              <w:textAlignment w:val="center"/>
              <w:rPr>
                <w:rFonts w:cs="Times New Roman"/>
                <w:color w:val="000000" w:themeColor="text1"/>
              </w:rPr>
            </w:pPr>
            <w:r>
              <w:rPr>
                <w:rFonts w:eastAsia="TimesNewRomanPSMT" w:cs="Times New Roman"/>
                <w:szCs w:val="24"/>
              </w:rPr>
              <w:t>Ф2200×8000×12mm</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搅拌系统</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套</w:t>
            </w:r>
          </w:p>
        </w:tc>
        <w:tc>
          <w:tcPr>
            <w:tcW w:w="153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7</w:t>
            </w:r>
          </w:p>
        </w:tc>
        <w:tc>
          <w:tcPr>
            <w:tcW w:w="98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冷却系统</w:t>
            </w: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燃料油冷却器</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3</w:t>
            </w:r>
            <w:r>
              <w:rPr>
                <w:rFonts w:cs="Times New Roman"/>
                <w:color w:val="000000" w:themeColor="text1"/>
              </w:rPr>
              <w:t>台</w:t>
            </w:r>
          </w:p>
        </w:tc>
        <w:tc>
          <w:tcPr>
            <w:tcW w:w="1536" w:type="pct"/>
            <w:vAlign w:val="center"/>
          </w:tcPr>
          <w:p w:rsidR="00644456" w:rsidRDefault="008031C4">
            <w:pPr>
              <w:widowControl/>
              <w:adjustRightInd w:val="0"/>
              <w:snapToGrid w:val="0"/>
              <w:jc w:val="center"/>
              <w:textAlignment w:val="center"/>
              <w:rPr>
                <w:rFonts w:cs="Times New Roman"/>
                <w:color w:val="000000" w:themeColor="text1"/>
              </w:rPr>
            </w:pPr>
            <w:r>
              <w:rPr>
                <w:rFonts w:eastAsia="TimesNewRomanPSMT" w:cs="Times New Roman"/>
                <w:szCs w:val="24"/>
              </w:rPr>
              <w:t>Ф600×2500mm</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基础油冷却器</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6</w:t>
            </w:r>
            <w:r>
              <w:rPr>
                <w:rFonts w:cs="Times New Roman"/>
                <w:color w:val="000000" w:themeColor="text1"/>
              </w:rPr>
              <w:t>台</w:t>
            </w:r>
          </w:p>
        </w:tc>
        <w:tc>
          <w:tcPr>
            <w:tcW w:w="153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8</w:t>
            </w:r>
          </w:p>
        </w:tc>
        <w:tc>
          <w:tcPr>
            <w:tcW w:w="98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燃料油收集系统</w:t>
            </w: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燃料油转换器</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vAlign w:val="center"/>
          </w:tcPr>
          <w:p w:rsidR="00644456" w:rsidRDefault="008031C4">
            <w:pPr>
              <w:widowControl/>
              <w:adjustRightInd w:val="0"/>
              <w:snapToGrid w:val="0"/>
              <w:jc w:val="center"/>
              <w:textAlignment w:val="center"/>
              <w:rPr>
                <w:rFonts w:cs="Times New Roman"/>
                <w:color w:val="000000" w:themeColor="text1"/>
              </w:rPr>
            </w:pPr>
            <w:r>
              <w:rPr>
                <w:rFonts w:eastAsia="TimesNewRomanPSMT" w:cs="Times New Roman"/>
                <w:szCs w:val="24"/>
              </w:rPr>
              <w:t>Ф600×2500mm</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燃料油收集器</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2</w:t>
            </w:r>
            <w:r>
              <w:rPr>
                <w:rFonts w:cs="Times New Roman"/>
                <w:color w:val="000000" w:themeColor="text1"/>
              </w:rPr>
              <w:t>台</w:t>
            </w:r>
          </w:p>
        </w:tc>
        <w:tc>
          <w:tcPr>
            <w:tcW w:w="1536" w:type="pct"/>
            <w:vAlign w:val="center"/>
          </w:tcPr>
          <w:p w:rsidR="00644456" w:rsidRDefault="008031C4">
            <w:pPr>
              <w:widowControl/>
              <w:adjustRightInd w:val="0"/>
              <w:snapToGrid w:val="0"/>
              <w:jc w:val="center"/>
              <w:textAlignment w:val="center"/>
              <w:rPr>
                <w:rFonts w:cs="Times New Roman"/>
                <w:color w:val="000000" w:themeColor="text1"/>
              </w:rPr>
            </w:pPr>
            <w:r>
              <w:rPr>
                <w:rFonts w:eastAsia="TimesNewRomanPSMT" w:cs="Times New Roman"/>
                <w:szCs w:val="24"/>
              </w:rPr>
              <w:t>Ф600×2500mm</w:t>
            </w:r>
          </w:p>
        </w:tc>
      </w:tr>
      <w:tr w:rsidR="00644456">
        <w:trPr>
          <w:trHeight w:val="90"/>
        </w:trPr>
        <w:tc>
          <w:tcPr>
            <w:tcW w:w="47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9</w:t>
            </w:r>
          </w:p>
        </w:tc>
        <w:tc>
          <w:tcPr>
            <w:tcW w:w="98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基础油收集系统</w:t>
            </w: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真空转换系统</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2</w:t>
            </w:r>
            <w:r>
              <w:rPr>
                <w:rFonts w:cs="Times New Roman"/>
                <w:color w:val="000000" w:themeColor="text1"/>
              </w:rPr>
              <w:t>套</w:t>
            </w:r>
          </w:p>
        </w:tc>
        <w:tc>
          <w:tcPr>
            <w:tcW w:w="153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基础油转换器</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基础油收集器</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2</w:t>
            </w:r>
            <w:r>
              <w:rPr>
                <w:rFonts w:cs="Times New Roman"/>
                <w:color w:val="000000" w:themeColor="text1"/>
              </w:rPr>
              <w:t>台</w:t>
            </w:r>
          </w:p>
        </w:tc>
        <w:tc>
          <w:tcPr>
            <w:tcW w:w="153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10</w:t>
            </w:r>
          </w:p>
        </w:tc>
        <w:tc>
          <w:tcPr>
            <w:tcW w:w="98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真空机组</w:t>
            </w: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油式真空系统</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2</w:t>
            </w:r>
            <w:r>
              <w:rPr>
                <w:rFonts w:cs="Times New Roman"/>
                <w:color w:val="000000" w:themeColor="text1"/>
              </w:rPr>
              <w:t>套</w:t>
            </w:r>
          </w:p>
        </w:tc>
        <w:tc>
          <w:tcPr>
            <w:tcW w:w="1536" w:type="pct"/>
            <w:vAlign w:val="center"/>
          </w:tcPr>
          <w:p w:rsidR="00644456" w:rsidRDefault="008031C4">
            <w:pPr>
              <w:widowControl/>
              <w:adjustRightInd w:val="0"/>
              <w:snapToGrid w:val="0"/>
              <w:jc w:val="center"/>
              <w:textAlignment w:val="center"/>
              <w:rPr>
                <w:rFonts w:cs="Times New Roman"/>
                <w:color w:val="000000" w:themeColor="text1"/>
              </w:rPr>
            </w:pPr>
            <w:r>
              <w:rPr>
                <w:rFonts w:eastAsia="TimesNewRomanPSMT" w:cs="Times New Roman"/>
                <w:szCs w:val="24"/>
              </w:rPr>
              <w:t>H-150</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水循环真空系统</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2</w:t>
            </w:r>
            <w:r>
              <w:rPr>
                <w:rFonts w:cs="Times New Roman"/>
                <w:color w:val="000000" w:themeColor="text1"/>
              </w:rPr>
              <w:t>套</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罗茨真空系统</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4</w:t>
            </w:r>
            <w:r>
              <w:rPr>
                <w:rFonts w:cs="Times New Roman"/>
                <w:color w:val="000000" w:themeColor="text1"/>
              </w:rPr>
              <w:t>套</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137"/>
        </w:trPr>
        <w:tc>
          <w:tcPr>
            <w:tcW w:w="478"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11</w:t>
            </w:r>
          </w:p>
        </w:tc>
        <w:tc>
          <w:tcPr>
            <w:tcW w:w="2140" w:type="pct"/>
            <w:gridSpan w:val="2"/>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油浆收集器</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12</w:t>
            </w:r>
          </w:p>
        </w:tc>
        <w:tc>
          <w:tcPr>
            <w:tcW w:w="2140" w:type="pct"/>
            <w:gridSpan w:val="2"/>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排渣装置</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13</w:t>
            </w:r>
          </w:p>
        </w:tc>
        <w:tc>
          <w:tcPr>
            <w:tcW w:w="2140" w:type="pct"/>
            <w:gridSpan w:val="2"/>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高温渣油泵</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14</w:t>
            </w:r>
          </w:p>
        </w:tc>
        <w:tc>
          <w:tcPr>
            <w:tcW w:w="98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溶剂回收</w:t>
            </w: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溶剂回收装置</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套</w:t>
            </w:r>
          </w:p>
        </w:tc>
        <w:tc>
          <w:tcPr>
            <w:tcW w:w="1536" w:type="pct"/>
            <w:vAlign w:val="center"/>
          </w:tcPr>
          <w:p w:rsidR="00644456" w:rsidRDefault="008031C4">
            <w:pPr>
              <w:widowControl/>
              <w:adjustRightInd w:val="0"/>
              <w:snapToGrid w:val="0"/>
              <w:jc w:val="center"/>
              <w:textAlignment w:val="center"/>
              <w:rPr>
                <w:rFonts w:cs="Times New Roman"/>
                <w:color w:val="000000" w:themeColor="text1"/>
              </w:rPr>
            </w:pPr>
            <w:r>
              <w:rPr>
                <w:rFonts w:eastAsia="TimesNewRomanPSMT" w:cs="Times New Roman"/>
                <w:szCs w:val="24"/>
              </w:rPr>
              <w:t>Ф1400×8000×8mm</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搅拌系统</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套</w:t>
            </w:r>
          </w:p>
        </w:tc>
        <w:tc>
          <w:tcPr>
            <w:tcW w:w="153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15</w:t>
            </w:r>
          </w:p>
        </w:tc>
        <w:tc>
          <w:tcPr>
            <w:tcW w:w="98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半成品蒸馏</w:t>
            </w: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半成品基础油罐</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vAlign w:val="center"/>
          </w:tcPr>
          <w:p w:rsidR="00644456" w:rsidRDefault="008031C4">
            <w:pPr>
              <w:widowControl/>
              <w:adjustRightInd w:val="0"/>
              <w:snapToGrid w:val="0"/>
              <w:jc w:val="center"/>
              <w:textAlignment w:val="center"/>
              <w:rPr>
                <w:rFonts w:cs="Times New Roman"/>
                <w:color w:val="000000" w:themeColor="text1"/>
              </w:rPr>
            </w:pPr>
            <w:r>
              <w:rPr>
                <w:rFonts w:eastAsia="TimesNewRomanPSMT" w:cs="Times New Roman"/>
                <w:szCs w:val="24"/>
              </w:rPr>
              <w:t>Ф1800×3300×6mm</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搅拌系统</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套</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16</w:t>
            </w:r>
          </w:p>
        </w:tc>
        <w:tc>
          <w:tcPr>
            <w:tcW w:w="2140" w:type="pct"/>
            <w:gridSpan w:val="2"/>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溶剂罐</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4</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17</w:t>
            </w:r>
          </w:p>
        </w:tc>
        <w:tc>
          <w:tcPr>
            <w:tcW w:w="2140" w:type="pct"/>
            <w:gridSpan w:val="2"/>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溶剂冷却器</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6</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18</w:t>
            </w:r>
          </w:p>
        </w:tc>
        <w:tc>
          <w:tcPr>
            <w:tcW w:w="2140" w:type="pct"/>
            <w:gridSpan w:val="2"/>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溶剂转换器</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2</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19</w:t>
            </w:r>
          </w:p>
        </w:tc>
        <w:tc>
          <w:tcPr>
            <w:tcW w:w="2140" w:type="pct"/>
            <w:gridSpan w:val="2"/>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真空转换器</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2</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lastRenderedPageBreak/>
              <w:t>20</w:t>
            </w:r>
          </w:p>
        </w:tc>
        <w:tc>
          <w:tcPr>
            <w:tcW w:w="98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半成品分离系统</w:t>
            </w: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基础油蒸馏器</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搅拌系统</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套</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21</w:t>
            </w:r>
          </w:p>
        </w:tc>
        <w:tc>
          <w:tcPr>
            <w:tcW w:w="988"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精制分离器</w:t>
            </w:r>
          </w:p>
        </w:tc>
        <w:tc>
          <w:tcPr>
            <w:tcW w:w="1152" w:type="pct"/>
            <w:vAlign w:val="center"/>
          </w:tcPr>
          <w:p w:rsidR="00644456" w:rsidRDefault="00644456">
            <w:pPr>
              <w:widowControl/>
              <w:adjustRightInd w:val="0"/>
              <w:snapToGrid w:val="0"/>
              <w:jc w:val="center"/>
              <w:textAlignment w:val="center"/>
              <w:rPr>
                <w:rFonts w:cs="Times New Roman"/>
                <w:color w:val="000000" w:themeColor="text1"/>
              </w:rPr>
            </w:pP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5</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22</w:t>
            </w:r>
          </w:p>
        </w:tc>
        <w:tc>
          <w:tcPr>
            <w:tcW w:w="98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精制真空系统</w:t>
            </w: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真空泵</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2</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罗茨泵</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4</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23</w:t>
            </w:r>
          </w:p>
        </w:tc>
        <w:tc>
          <w:tcPr>
            <w:tcW w:w="2140" w:type="pct"/>
            <w:gridSpan w:val="2"/>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电控系统</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套</w:t>
            </w:r>
          </w:p>
        </w:tc>
        <w:tc>
          <w:tcPr>
            <w:tcW w:w="1536" w:type="pct"/>
            <w:vAlign w:val="center"/>
          </w:tcPr>
          <w:p w:rsidR="00644456" w:rsidRDefault="00644456">
            <w:pPr>
              <w:widowControl/>
              <w:adjustRightInd w:val="0"/>
              <w:snapToGrid w:val="0"/>
              <w:jc w:val="center"/>
              <w:textAlignment w:val="center"/>
              <w:rPr>
                <w:rFonts w:cs="Times New Roman"/>
                <w:color w:val="000000" w:themeColor="text1"/>
              </w:rPr>
            </w:pPr>
          </w:p>
        </w:tc>
      </w:tr>
      <w:tr w:rsidR="00644456">
        <w:trPr>
          <w:trHeight w:val="90"/>
        </w:trPr>
        <w:tc>
          <w:tcPr>
            <w:tcW w:w="47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24</w:t>
            </w:r>
          </w:p>
        </w:tc>
        <w:tc>
          <w:tcPr>
            <w:tcW w:w="98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szCs w:val="24"/>
              </w:rPr>
              <w:t>三相分离</w:t>
            </w: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szCs w:val="24"/>
              </w:rPr>
              <w:t>中间罐及配套</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4</w:t>
            </w:r>
            <w:r>
              <w:rPr>
                <w:rFonts w:cs="Times New Roman"/>
                <w:color w:val="000000" w:themeColor="text1"/>
              </w:rPr>
              <w:t>套</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szCs w:val="24"/>
              </w:rPr>
              <w:t>辅助加热</w:t>
            </w:r>
            <w:r>
              <w:rPr>
                <w:rFonts w:eastAsia="TimesNewRomanPSMT" w:cs="Times New Roman"/>
                <w:szCs w:val="24"/>
              </w:rPr>
              <w:t>/</w:t>
            </w:r>
            <w:r>
              <w:rPr>
                <w:rFonts w:cs="Times New Roman"/>
                <w:szCs w:val="24"/>
              </w:rPr>
              <w:t>换热装置</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szCs w:val="24"/>
              </w:rPr>
              <w:t>加药装置及配套</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szCs w:val="24"/>
              </w:rPr>
              <w:t>高效三相离心机套装</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15</w:t>
            </w:r>
          </w:p>
        </w:tc>
        <w:tc>
          <w:tcPr>
            <w:tcW w:w="98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szCs w:val="24"/>
              </w:rPr>
              <w:t>废气处理设施</w:t>
            </w:r>
          </w:p>
        </w:tc>
        <w:tc>
          <w:tcPr>
            <w:tcW w:w="1152" w:type="pct"/>
            <w:vAlign w:val="center"/>
          </w:tcPr>
          <w:p w:rsidR="00644456" w:rsidRDefault="008031C4">
            <w:pPr>
              <w:widowControl/>
              <w:adjustRightInd w:val="0"/>
              <w:snapToGrid w:val="0"/>
              <w:jc w:val="center"/>
              <w:textAlignment w:val="center"/>
              <w:rPr>
                <w:rFonts w:cs="Times New Roman"/>
                <w:szCs w:val="24"/>
              </w:rPr>
            </w:pPr>
            <w:r>
              <w:rPr>
                <w:rFonts w:cs="Times New Roman"/>
                <w:szCs w:val="24"/>
              </w:rPr>
              <w:t>三级干式过滤器</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szCs w:val="24"/>
              </w:rPr>
            </w:pPr>
          </w:p>
        </w:tc>
        <w:tc>
          <w:tcPr>
            <w:tcW w:w="1152" w:type="pct"/>
            <w:vAlign w:val="center"/>
          </w:tcPr>
          <w:p w:rsidR="00644456" w:rsidRDefault="008031C4">
            <w:pPr>
              <w:widowControl/>
              <w:adjustRightInd w:val="0"/>
              <w:snapToGrid w:val="0"/>
              <w:jc w:val="center"/>
              <w:textAlignment w:val="center"/>
              <w:rPr>
                <w:rFonts w:cs="Times New Roman"/>
                <w:szCs w:val="24"/>
              </w:rPr>
            </w:pPr>
            <w:r>
              <w:rPr>
                <w:rFonts w:cs="Times New Roman" w:hint="eastAsia"/>
                <w:szCs w:val="24"/>
              </w:rPr>
              <w:t>低氮燃烧</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套</w:t>
            </w:r>
          </w:p>
        </w:tc>
        <w:tc>
          <w:tcPr>
            <w:tcW w:w="1536" w:type="pct"/>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jc w:val="center"/>
              <w:rPr>
                <w:rFonts w:cs="Times New Roman"/>
                <w:szCs w:val="24"/>
              </w:rPr>
            </w:pPr>
            <w:r>
              <w:rPr>
                <w:rFonts w:cs="Times New Roman"/>
                <w:szCs w:val="24"/>
              </w:rPr>
              <w:t>直燃式热氧化炉</w:t>
            </w:r>
            <w:r>
              <w:rPr>
                <w:rFonts w:eastAsia="TimesNewRomanPSMT" w:cs="Times New Roman"/>
                <w:szCs w:val="24"/>
              </w:rPr>
              <w:t>TO</w:t>
            </w:r>
            <w:r>
              <w:rPr>
                <w:rFonts w:cs="Times New Roman"/>
                <w:szCs w:val="24"/>
              </w:rPr>
              <w:t>及配套</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vAlign w:val="center"/>
          </w:tcPr>
          <w:p w:rsidR="00644456" w:rsidRDefault="008031C4">
            <w:pPr>
              <w:widowControl/>
              <w:adjustRightInd w:val="0"/>
              <w:snapToGrid w:val="0"/>
              <w:jc w:val="center"/>
              <w:textAlignment w:val="center"/>
              <w:rPr>
                <w:rFonts w:cs="Times New Roman"/>
                <w:color w:val="000000" w:themeColor="text1"/>
              </w:rPr>
            </w:pPr>
            <w:r>
              <w:rPr>
                <w:rFonts w:eastAsia="TimesNewRomanPSMT" w:cs="Times New Roman"/>
                <w:szCs w:val="24"/>
              </w:rPr>
              <w:t>15000m</w:t>
            </w:r>
            <w:r>
              <w:rPr>
                <w:rFonts w:eastAsia="TimesNewRomanPSMT" w:cs="Times New Roman"/>
                <w:szCs w:val="24"/>
                <w:vertAlign w:val="superscript"/>
              </w:rPr>
              <w:t>3</w:t>
            </w:r>
            <w:r>
              <w:rPr>
                <w:rFonts w:eastAsia="TimesNewRomanPSMT" w:cs="Times New Roman"/>
                <w:szCs w:val="24"/>
              </w:rPr>
              <w:t>/h</w:t>
            </w:r>
            <w:r>
              <w:rPr>
                <w:rFonts w:cs="Times New Roman"/>
                <w:szCs w:val="24"/>
              </w:rPr>
              <w:t>风量</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szCs w:val="24"/>
              </w:rPr>
            </w:pPr>
            <w:r>
              <w:rPr>
                <w:rFonts w:cs="Times New Roman"/>
                <w:szCs w:val="24"/>
              </w:rPr>
              <w:t>烟气余热回收装置</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szCs w:val="24"/>
              </w:rPr>
            </w:pPr>
            <w:r>
              <w:rPr>
                <w:rFonts w:cs="Times New Roman"/>
                <w:szCs w:val="24"/>
              </w:rPr>
              <w:t>一级碱液喷淋塔及配套</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vAlign w:val="center"/>
          </w:tcPr>
          <w:p w:rsidR="00644456" w:rsidRDefault="008031C4">
            <w:pPr>
              <w:widowControl/>
              <w:adjustRightInd w:val="0"/>
              <w:snapToGrid w:val="0"/>
              <w:jc w:val="center"/>
              <w:textAlignment w:val="center"/>
              <w:rPr>
                <w:rFonts w:cs="Times New Roman"/>
                <w:color w:val="000000" w:themeColor="text1"/>
              </w:rPr>
            </w:pPr>
            <w:r>
              <w:rPr>
                <w:rFonts w:eastAsia="TimesNewRomanPSMT" w:cs="Times New Roman"/>
                <w:szCs w:val="24"/>
              </w:rPr>
              <w:t>15000m</w:t>
            </w:r>
            <w:r>
              <w:rPr>
                <w:rFonts w:eastAsia="TimesNewRomanPSMT" w:cs="Times New Roman"/>
                <w:szCs w:val="24"/>
                <w:vertAlign w:val="superscript"/>
              </w:rPr>
              <w:t>3</w:t>
            </w:r>
            <w:r>
              <w:rPr>
                <w:rFonts w:eastAsia="TimesNewRomanPSMT" w:cs="Times New Roman"/>
                <w:szCs w:val="24"/>
              </w:rPr>
              <w:t>/h</w:t>
            </w:r>
            <w:r>
              <w:rPr>
                <w:rFonts w:cs="Times New Roman"/>
                <w:szCs w:val="24"/>
              </w:rPr>
              <w:t>风量</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szCs w:val="24"/>
              </w:rPr>
            </w:pPr>
            <w:r>
              <w:rPr>
                <w:rFonts w:cs="Times New Roman"/>
                <w:szCs w:val="24"/>
              </w:rPr>
              <w:t>二级碱液喷淋塔及配套</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vAlign w:val="center"/>
          </w:tcPr>
          <w:p w:rsidR="00644456" w:rsidRDefault="008031C4">
            <w:pPr>
              <w:widowControl/>
              <w:adjustRightInd w:val="0"/>
              <w:snapToGrid w:val="0"/>
              <w:jc w:val="center"/>
              <w:textAlignment w:val="center"/>
              <w:rPr>
                <w:rFonts w:cs="Times New Roman"/>
                <w:color w:val="000000" w:themeColor="text1"/>
              </w:rPr>
            </w:pPr>
            <w:r>
              <w:rPr>
                <w:rFonts w:eastAsia="TimesNewRomanPSMT" w:cs="Times New Roman"/>
                <w:szCs w:val="24"/>
              </w:rPr>
              <w:t>15000m</w:t>
            </w:r>
            <w:r>
              <w:rPr>
                <w:rFonts w:eastAsia="TimesNewRomanPSMT" w:cs="Times New Roman"/>
                <w:szCs w:val="24"/>
                <w:vertAlign w:val="superscript"/>
              </w:rPr>
              <w:t>3</w:t>
            </w:r>
            <w:r>
              <w:rPr>
                <w:rFonts w:eastAsia="TimesNewRomanPSMT" w:cs="Times New Roman"/>
                <w:szCs w:val="24"/>
              </w:rPr>
              <w:t>/h</w:t>
            </w:r>
            <w:r>
              <w:rPr>
                <w:rFonts w:cs="Times New Roman"/>
                <w:szCs w:val="24"/>
              </w:rPr>
              <w:t>风量</w:t>
            </w:r>
          </w:p>
        </w:tc>
      </w:tr>
      <w:tr w:rsidR="00644456">
        <w:trPr>
          <w:trHeight w:val="90"/>
        </w:trPr>
        <w:tc>
          <w:tcPr>
            <w:tcW w:w="47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16</w:t>
            </w:r>
          </w:p>
        </w:tc>
        <w:tc>
          <w:tcPr>
            <w:tcW w:w="98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废水处理装置</w:t>
            </w:r>
          </w:p>
        </w:tc>
        <w:tc>
          <w:tcPr>
            <w:tcW w:w="1152" w:type="pct"/>
            <w:vAlign w:val="center"/>
          </w:tcPr>
          <w:p w:rsidR="00644456" w:rsidRDefault="008031C4">
            <w:pPr>
              <w:widowControl/>
              <w:adjustRightInd w:val="0"/>
              <w:snapToGrid w:val="0"/>
              <w:jc w:val="center"/>
              <w:textAlignment w:val="center"/>
              <w:rPr>
                <w:rFonts w:cs="Times New Roman"/>
                <w:szCs w:val="24"/>
              </w:rPr>
            </w:pPr>
            <w:r>
              <w:rPr>
                <w:rFonts w:cs="Times New Roman"/>
                <w:szCs w:val="24"/>
              </w:rPr>
              <w:t>电解气浮机</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vAlign w:val="center"/>
          </w:tcPr>
          <w:p w:rsidR="00644456" w:rsidRDefault="008031C4">
            <w:pPr>
              <w:widowControl/>
              <w:adjustRightInd w:val="0"/>
              <w:snapToGrid w:val="0"/>
              <w:jc w:val="center"/>
              <w:textAlignment w:val="center"/>
              <w:rPr>
                <w:rFonts w:eastAsia="TimesNewRomanPSMT" w:cs="Times New Roman"/>
                <w:szCs w:val="24"/>
              </w:rPr>
            </w:pPr>
            <w:r>
              <w:rPr>
                <w:rFonts w:eastAsia="TimesNewRomanPSMT" w:cs="Times New Roman"/>
                <w:szCs w:val="24"/>
              </w:rPr>
              <w:t>3.0×1.5×2.8m</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szCs w:val="24"/>
              </w:rPr>
            </w:pPr>
            <w:r>
              <w:rPr>
                <w:rFonts w:eastAsia="TimesNewRomanPSMT" w:cs="Times New Roman"/>
                <w:szCs w:val="24"/>
              </w:rPr>
              <w:t>A</w:t>
            </w:r>
            <w:r>
              <w:rPr>
                <w:rFonts w:eastAsia="TimesNewRomanPSMT" w:cs="Times New Roman"/>
                <w:sz w:val="14"/>
                <w:szCs w:val="24"/>
              </w:rPr>
              <w:t>2</w:t>
            </w:r>
            <w:r>
              <w:rPr>
                <w:rFonts w:eastAsia="TimesNewRomanPSMT" w:cs="Times New Roman"/>
                <w:szCs w:val="24"/>
              </w:rPr>
              <w:t>O</w:t>
            </w:r>
            <w:r>
              <w:rPr>
                <w:rFonts w:cs="Times New Roman"/>
                <w:szCs w:val="24"/>
              </w:rPr>
              <w:t>一体生化处理装置</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vAlign w:val="center"/>
          </w:tcPr>
          <w:p w:rsidR="00644456" w:rsidRDefault="008031C4">
            <w:pPr>
              <w:widowControl/>
              <w:adjustRightInd w:val="0"/>
              <w:snapToGrid w:val="0"/>
              <w:jc w:val="center"/>
              <w:textAlignment w:val="center"/>
              <w:rPr>
                <w:rFonts w:eastAsia="TimesNewRomanPSMT" w:cs="Times New Roman"/>
                <w:szCs w:val="24"/>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szCs w:val="24"/>
              </w:rPr>
            </w:pPr>
            <w:r>
              <w:rPr>
                <w:rFonts w:cs="Times New Roman"/>
                <w:szCs w:val="24"/>
              </w:rPr>
              <w:t>压滤机（备用）</w:t>
            </w:r>
          </w:p>
        </w:tc>
        <w:tc>
          <w:tcPr>
            <w:tcW w:w="846" w:type="pc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vAlign w:val="center"/>
          </w:tcPr>
          <w:p w:rsidR="00644456" w:rsidRDefault="008031C4">
            <w:pPr>
              <w:widowControl/>
              <w:adjustRightInd w:val="0"/>
              <w:snapToGrid w:val="0"/>
              <w:jc w:val="center"/>
              <w:textAlignment w:val="center"/>
              <w:rPr>
                <w:rFonts w:eastAsia="TimesNewRomanPSMT" w:cs="Times New Roman"/>
                <w:szCs w:val="24"/>
              </w:rPr>
            </w:pPr>
            <w:r>
              <w:rPr>
                <w:rFonts w:cs="Times New Roman"/>
                <w:szCs w:val="24"/>
              </w:rPr>
              <w:t>过滤面积</w:t>
            </w:r>
            <w:r>
              <w:rPr>
                <w:rFonts w:eastAsia="TimesNewRomanPSMT" w:cs="Times New Roman"/>
                <w:szCs w:val="24"/>
              </w:rPr>
              <w:t>10~20m</w:t>
            </w:r>
            <w:r>
              <w:rPr>
                <w:rFonts w:eastAsia="TimesNewRomanPSMT" w:cs="Times New Roman"/>
                <w:sz w:val="14"/>
                <w:szCs w:val="24"/>
              </w:rPr>
              <w:t>2</w:t>
            </w:r>
          </w:p>
        </w:tc>
      </w:tr>
      <w:tr w:rsidR="00644456">
        <w:trPr>
          <w:trHeight w:val="90"/>
        </w:trPr>
        <w:tc>
          <w:tcPr>
            <w:tcW w:w="47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hint="eastAsia"/>
                <w:color w:val="000000" w:themeColor="text1"/>
              </w:rPr>
              <w:t>1</w:t>
            </w:r>
            <w:r>
              <w:rPr>
                <w:rFonts w:cs="Times New Roman"/>
                <w:color w:val="000000" w:themeColor="text1"/>
              </w:rPr>
              <w:t>7</w:t>
            </w:r>
          </w:p>
        </w:tc>
        <w:tc>
          <w:tcPr>
            <w:tcW w:w="988" w:type="pct"/>
            <w:vMerge w:val="restart"/>
            <w:vAlign w:val="center"/>
          </w:tcPr>
          <w:p w:rsidR="00644456" w:rsidRDefault="008031C4">
            <w:pPr>
              <w:widowControl/>
              <w:adjustRightInd w:val="0"/>
              <w:snapToGrid w:val="0"/>
              <w:jc w:val="center"/>
              <w:textAlignment w:val="center"/>
              <w:rPr>
                <w:rFonts w:cs="Times New Roman"/>
                <w:color w:val="000000" w:themeColor="text1"/>
              </w:rPr>
            </w:pPr>
            <w:r>
              <w:rPr>
                <w:rFonts w:cs="Times New Roman" w:hint="eastAsia"/>
                <w:color w:val="000000" w:themeColor="text1"/>
              </w:rPr>
              <w:t>化验室</w:t>
            </w:r>
          </w:p>
        </w:tc>
        <w:tc>
          <w:tcPr>
            <w:tcW w:w="1152" w:type="pct"/>
            <w:vAlign w:val="center"/>
          </w:tcPr>
          <w:p w:rsidR="00644456" w:rsidRDefault="008031C4">
            <w:pPr>
              <w:widowControl/>
              <w:adjustRightInd w:val="0"/>
              <w:snapToGrid w:val="0"/>
              <w:jc w:val="center"/>
              <w:textAlignment w:val="center"/>
              <w:rPr>
                <w:rFonts w:cs="Times New Roman"/>
                <w:szCs w:val="24"/>
              </w:rPr>
            </w:pPr>
            <w:r>
              <w:rPr>
                <w:rFonts w:cs="Times New Roman" w:hint="eastAsia"/>
                <w:szCs w:val="24"/>
              </w:rPr>
              <w:t>石油产品馏程测定仪</w:t>
            </w:r>
          </w:p>
        </w:tc>
        <w:tc>
          <w:tcPr>
            <w:tcW w:w="846" w:type="pct"/>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vAlign w:val="center"/>
          </w:tcPr>
          <w:p w:rsidR="00644456" w:rsidRDefault="008031C4">
            <w:pPr>
              <w:widowControl/>
              <w:adjustRightInd w:val="0"/>
              <w:snapToGrid w:val="0"/>
              <w:jc w:val="center"/>
              <w:textAlignment w:val="center"/>
              <w:rPr>
                <w:rFonts w:cs="Times New Roman"/>
                <w:szCs w:val="24"/>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szCs w:val="24"/>
              </w:rPr>
            </w:pPr>
            <w:r>
              <w:rPr>
                <w:rFonts w:cs="Times New Roman" w:hint="eastAsia"/>
                <w:szCs w:val="24"/>
              </w:rPr>
              <w:t>石油产品凝点测定仪</w:t>
            </w:r>
          </w:p>
        </w:tc>
        <w:tc>
          <w:tcPr>
            <w:tcW w:w="846" w:type="pct"/>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szCs w:val="24"/>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szCs w:val="24"/>
              </w:rPr>
            </w:pPr>
            <w:r>
              <w:rPr>
                <w:rFonts w:cs="Times New Roman" w:hint="eastAsia"/>
                <w:szCs w:val="24"/>
              </w:rPr>
              <w:t>石油产品及添加剂机械杂质测定仪</w:t>
            </w:r>
          </w:p>
        </w:tc>
        <w:tc>
          <w:tcPr>
            <w:tcW w:w="846" w:type="pct"/>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szCs w:val="24"/>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szCs w:val="24"/>
              </w:rPr>
            </w:pPr>
            <w:r>
              <w:rPr>
                <w:rFonts w:cs="Times New Roman" w:hint="eastAsia"/>
                <w:szCs w:val="24"/>
              </w:rPr>
              <w:t>石油产品减压馏程测定仪</w:t>
            </w:r>
          </w:p>
        </w:tc>
        <w:tc>
          <w:tcPr>
            <w:tcW w:w="846" w:type="pct"/>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szCs w:val="24"/>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szCs w:val="24"/>
              </w:rPr>
            </w:pPr>
            <w:r>
              <w:rPr>
                <w:rFonts w:cs="Times New Roman" w:hint="eastAsia"/>
                <w:szCs w:val="24"/>
              </w:rPr>
              <w:t>密度测定</w:t>
            </w:r>
          </w:p>
        </w:tc>
        <w:tc>
          <w:tcPr>
            <w:tcW w:w="846" w:type="pct"/>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szCs w:val="24"/>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szCs w:val="24"/>
              </w:rPr>
            </w:pPr>
            <w:r>
              <w:rPr>
                <w:rFonts w:cs="Times New Roman" w:hint="eastAsia"/>
                <w:szCs w:val="24"/>
              </w:rPr>
              <w:t>运动粘度测定</w:t>
            </w:r>
          </w:p>
        </w:tc>
        <w:tc>
          <w:tcPr>
            <w:tcW w:w="846" w:type="pct"/>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szCs w:val="24"/>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szCs w:val="24"/>
              </w:rPr>
            </w:pPr>
            <w:r>
              <w:rPr>
                <w:rFonts w:cs="Times New Roman" w:hint="eastAsia"/>
                <w:szCs w:val="24"/>
              </w:rPr>
              <w:t>冷滤点测定</w:t>
            </w:r>
          </w:p>
        </w:tc>
        <w:tc>
          <w:tcPr>
            <w:tcW w:w="846" w:type="pct"/>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szCs w:val="24"/>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szCs w:val="24"/>
              </w:rPr>
            </w:pPr>
            <w:r>
              <w:rPr>
                <w:rFonts w:cs="Times New Roman" w:hint="eastAsia"/>
                <w:szCs w:val="24"/>
              </w:rPr>
              <w:t>水分测定仪</w:t>
            </w:r>
          </w:p>
        </w:tc>
        <w:tc>
          <w:tcPr>
            <w:tcW w:w="846" w:type="pct"/>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szCs w:val="24"/>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szCs w:val="24"/>
              </w:rPr>
            </w:pPr>
            <w:r>
              <w:rPr>
                <w:rFonts w:cs="Times New Roman" w:hint="eastAsia"/>
                <w:szCs w:val="24"/>
              </w:rPr>
              <w:t>残炭测定</w:t>
            </w:r>
          </w:p>
        </w:tc>
        <w:tc>
          <w:tcPr>
            <w:tcW w:w="846" w:type="pct"/>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szCs w:val="24"/>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szCs w:val="24"/>
              </w:rPr>
            </w:pPr>
            <w:r>
              <w:rPr>
                <w:rFonts w:cs="Times New Roman" w:hint="eastAsia"/>
                <w:szCs w:val="24"/>
              </w:rPr>
              <w:t>热值测定</w:t>
            </w:r>
          </w:p>
        </w:tc>
        <w:tc>
          <w:tcPr>
            <w:tcW w:w="846" w:type="pct"/>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szCs w:val="24"/>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szCs w:val="24"/>
              </w:rPr>
            </w:pPr>
            <w:r>
              <w:rPr>
                <w:rFonts w:cs="Times New Roman" w:hint="eastAsia"/>
                <w:szCs w:val="24"/>
              </w:rPr>
              <w:t>硫含量测定</w:t>
            </w:r>
          </w:p>
        </w:tc>
        <w:tc>
          <w:tcPr>
            <w:tcW w:w="846" w:type="pct"/>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szCs w:val="24"/>
              </w:rPr>
            </w:pPr>
            <w:r>
              <w:rPr>
                <w:rFonts w:cs="Times New Roman" w:hint="eastAsia"/>
                <w:szCs w:val="24"/>
              </w:rPr>
              <w:t>/</w:t>
            </w:r>
          </w:p>
        </w:tc>
      </w:tr>
      <w:tr w:rsidR="00644456">
        <w:trPr>
          <w:trHeight w:val="90"/>
        </w:trPr>
        <w:tc>
          <w:tcPr>
            <w:tcW w:w="47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988" w:type="pct"/>
            <w:vMerge/>
            <w:vAlign w:val="center"/>
          </w:tcPr>
          <w:p w:rsidR="00644456" w:rsidRDefault="00644456">
            <w:pPr>
              <w:widowControl/>
              <w:adjustRightInd w:val="0"/>
              <w:snapToGrid w:val="0"/>
              <w:jc w:val="center"/>
              <w:textAlignment w:val="center"/>
              <w:rPr>
                <w:rFonts w:cs="Times New Roman"/>
                <w:color w:val="000000" w:themeColor="text1"/>
              </w:rPr>
            </w:pPr>
          </w:p>
        </w:tc>
        <w:tc>
          <w:tcPr>
            <w:tcW w:w="1152" w:type="pct"/>
            <w:vAlign w:val="center"/>
          </w:tcPr>
          <w:p w:rsidR="00644456" w:rsidRDefault="008031C4">
            <w:pPr>
              <w:widowControl/>
              <w:adjustRightInd w:val="0"/>
              <w:snapToGrid w:val="0"/>
              <w:jc w:val="center"/>
              <w:textAlignment w:val="center"/>
              <w:rPr>
                <w:rFonts w:cs="Times New Roman"/>
                <w:szCs w:val="24"/>
              </w:rPr>
            </w:pPr>
            <w:r>
              <w:rPr>
                <w:rFonts w:cs="Times New Roman" w:hint="eastAsia"/>
                <w:szCs w:val="24"/>
              </w:rPr>
              <w:t>胶质测定仪</w:t>
            </w:r>
          </w:p>
        </w:tc>
        <w:tc>
          <w:tcPr>
            <w:tcW w:w="846" w:type="pct"/>
          </w:tcPr>
          <w:p w:rsidR="00644456" w:rsidRDefault="008031C4">
            <w:pPr>
              <w:widowControl/>
              <w:adjustRightInd w:val="0"/>
              <w:snapToGrid w:val="0"/>
              <w:jc w:val="center"/>
              <w:textAlignment w:val="center"/>
              <w:rPr>
                <w:rFonts w:cs="Times New Roman"/>
                <w:color w:val="000000" w:themeColor="text1"/>
              </w:rPr>
            </w:pPr>
            <w:r>
              <w:rPr>
                <w:rFonts w:cs="Times New Roman"/>
                <w:color w:val="000000" w:themeColor="text1"/>
              </w:rPr>
              <w:t>1</w:t>
            </w:r>
            <w:r>
              <w:rPr>
                <w:rFonts w:cs="Times New Roman"/>
                <w:color w:val="000000" w:themeColor="text1"/>
              </w:rPr>
              <w:t>台</w:t>
            </w:r>
          </w:p>
        </w:tc>
        <w:tc>
          <w:tcPr>
            <w:tcW w:w="1536" w:type="pct"/>
          </w:tcPr>
          <w:p w:rsidR="00644456" w:rsidRDefault="008031C4">
            <w:pPr>
              <w:widowControl/>
              <w:adjustRightInd w:val="0"/>
              <w:snapToGrid w:val="0"/>
              <w:jc w:val="center"/>
              <w:textAlignment w:val="center"/>
              <w:rPr>
                <w:rFonts w:cs="Times New Roman"/>
                <w:szCs w:val="24"/>
              </w:rPr>
            </w:pPr>
            <w:r>
              <w:rPr>
                <w:rFonts w:cs="Times New Roman" w:hint="eastAsia"/>
                <w:szCs w:val="24"/>
              </w:rPr>
              <w:t>/</w:t>
            </w:r>
          </w:p>
        </w:tc>
      </w:tr>
    </w:tbl>
    <w:p w:rsidR="00644456" w:rsidRDefault="008031C4">
      <w:pPr>
        <w:pStyle w:val="3"/>
        <w:numPr>
          <w:ilvl w:val="2"/>
          <w:numId w:val="0"/>
        </w:numPr>
        <w:ind w:firstLineChars="200" w:firstLine="482"/>
      </w:pPr>
      <w:bookmarkStart w:id="133" w:name="_Toc180290140"/>
      <w:bookmarkStart w:id="134" w:name="_Toc238292298"/>
      <w:bookmarkStart w:id="135" w:name="_Toc238283438"/>
      <w:bookmarkEnd w:id="131"/>
      <w:bookmarkEnd w:id="132"/>
      <w:r>
        <w:rPr>
          <w:rFonts w:hint="eastAsia"/>
        </w:rPr>
        <w:t>2.4.9</w:t>
      </w:r>
      <w:r>
        <w:rPr>
          <w:rFonts w:hint="eastAsia"/>
        </w:rPr>
        <w:t>物料平衡</w:t>
      </w:r>
      <w:bookmarkEnd w:id="133"/>
      <w:bookmarkEnd w:id="134"/>
      <w:bookmarkEnd w:id="135"/>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本项目物料平衡见表</w:t>
      </w:r>
      <w:r>
        <w:rPr>
          <w:rFonts w:cs="Times New Roman" w:hint="eastAsia"/>
          <w:color w:val="000000" w:themeColor="text1"/>
          <w:kern w:val="0"/>
          <w:sz w:val="24"/>
        </w:rPr>
        <w:t>2.4-12</w:t>
      </w:r>
      <w:r>
        <w:rPr>
          <w:rFonts w:cs="Times New Roman" w:hint="eastAsia"/>
          <w:color w:val="000000" w:themeColor="text1"/>
          <w:kern w:val="0"/>
          <w:sz w:val="24"/>
        </w:rPr>
        <w:t>、平衡图见图</w:t>
      </w:r>
      <w:r>
        <w:rPr>
          <w:rFonts w:cs="Times New Roman" w:hint="eastAsia"/>
          <w:color w:val="000000" w:themeColor="text1"/>
          <w:kern w:val="0"/>
          <w:sz w:val="24"/>
        </w:rPr>
        <w:t>2.4-6</w:t>
      </w:r>
      <w:r>
        <w:rPr>
          <w:rFonts w:cs="Times New Roman" w:hint="eastAsia"/>
          <w:color w:val="000000" w:themeColor="text1"/>
          <w:kern w:val="0"/>
          <w:sz w:val="24"/>
        </w:rPr>
        <w:t>。</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2.4-12</w:t>
      </w:r>
      <w:r>
        <w:rPr>
          <w:rFonts w:cs="Times New Roman" w:hint="eastAsia"/>
          <w:b/>
          <w:color w:val="000000" w:themeColor="text1"/>
          <w:sz w:val="24"/>
          <w:szCs w:val="20"/>
        </w:rPr>
        <w:t>物料平衡表（</w:t>
      </w:r>
      <w:r>
        <w:rPr>
          <w:rFonts w:cs="Times New Roman" w:hint="eastAsia"/>
          <w:b/>
          <w:color w:val="000000" w:themeColor="text1"/>
          <w:sz w:val="24"/>
          <w:szCs w:val="20"/>
        </w:rPr>
        <w:t>t/a</w:t>
      </w:r>
      <w:r>
        <w:rPr>
          <w:rFonts w:cs="Times New Roman" w:hint="eastAsia"/>
          <w:b/>
          <w:color w:val="000000" w:themeColor="text1"/>
          <w:sz w:val="24"/>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1430"/>
        <w:gridCol w:w="1270"/>
        <w:gridCol w:w="1026"/>
        <w:gridCol w:w="1479"/>
        <w:gridCol w:w="1388"/>
        <w:gridCol w:w="1599"/>
      </w:tblGrid>
      <w:tr w:rsidR="00644456">
        <w:trPr>
          <w:trHeight w:val="340"/>
        </w:trPr>
        <w:tc>
          <w:tcPr>
            <w:tcW w:w="4532" w:type="dxa"/>
            <w:gridSpan w:val="4"/>
            <w:vAlign w:val="center"/>
          </w:tcPr>
          <w:p w:rsidR="00644456" w:rsidRDefault="008031C4">
            <w:pPr>
              <w:jc w:val="center"/>
              <w:rPr>
                <w:b/>
                <w:bCs/>
                <w:szCs w:val="21"/>
              </w:rPr>
            </w:pPr>
            <w:r>
              <w:rPr>
                <w:b/>
                <w:bCs/>
                <w:szCs w:val="21"/>
              </w:rPr>
              <w:t>投入</w:t>
            </w:r>
          </w:p>
        </w:tc>
        <w:tc>
          <w:tcPr>
            <w:tcW w:w="4466" w:type="dxa"/>
            <w:gridSpan w:val="3"/>
            <w:vAlign w:val="center"/>
          </w:tcPr>
          <w:p w:rsidR="00644456" w:rsidRDefault="008031C4">
            <w:pPr>
              <w:jc w:val="center"/>
              <w:rPr>
                <w:b/>
                <w:bCs/>
                <w:szCs w:val="21"/>
              </w:rPr>
            </w:pPr>
            <w:r>
              <w:rPr>
                <w:b/>
                <w:bCs/>
                <w:szCs w:val="21"/>
              </w:rPr>
              <w:t>产出</w:t>
            </w:r>
          </w:p>
        </w:tc>
      </w:tr>
      <w:tr w:rsidR="00644456">
        <w:trPr>
          <w:trHeight w:val="317"/>
        </w:trPr>
        <w:tc>
          <w:tcPr>
            <w:tcW w:w="806" w:type="dxa"/>
            <w:vAlign w:val="center"/>
          </w:tcPr>
          <w:p w:rsidR="00644456" w:rsidRDefault="008031C4">
            <w:pPr>
              <w:jc w:val="center"/>
              <w:rPr>
                <w:szCs w:val="21"/>
              </w:rPr>
            </w:pPr>
            <w:r>
              <w:rPr>
                <w:szCs w:val="21"/>
              </w:rPr>
              <w:t>序号</w:t>
            </w:r>
          </w:p>
        </w:tc>
        <w:tc>
          <w:tcPr>
            <w:tcW w:w="1430" w:type="dxa"/>
            <w:vAlign w:val="center"/>
          </w:tcPr>
          <w:p w:rsidR="00644456" w:rsidRDefault="008031C4">
            <w:pPr>
              <w:jc w:val="center"/>
              <w:rPr>
                <w:szCs w:val="21"/>
              </w:rPr>
            </w:pPr>
            <w:r>
              <w:rPr>
                <w:szCs w:val="21"/>
              </w:rPr>
              <w:t>物料名称</w:t>
            </w:r>
          </w:p>
        </w:tc>
        <w:tc>
          <w:tcPr>
            <w:tcW w:w="1270" w:type="dxa"/>
            <w:vAlign w:val="center"/>
          </w:tcPr>
          <w:p w:rsidR="00644456" w:rsidRDefault="008031C4">
            <w:pPr>
              <w:jc w:val="center"/>
              <w:rPr>
                <w:szCs w:val="21"/>
              </w:rPr>
            </w:pPr>
            <w:r>
              <w:rPr>
                <w:szCs w:val="21"/>
              </w:rPr>
              <w:t>数量（</w:t>
            </w:r>
            <w:r>
              <w:rPr>
                <w:szCs w:val="21"/>
              </w:rPr>
              <w:t>t/a</w:t>
            </w:r>
            <w:r>
              <w:rPr>
                <w:szCs w:val="21"/>
              </w:rPr>
              <w:t>）</w:t>
            </w:r>
          </w:p>
        </w:tc>
        <w:tc>
          <w:tcPr>
            <w:tcW w:w="1026" w:type="dxa"/>
            <w:vAlign w:val="center"/>
          </w:tcPr>
          <w:p w:rsidR="00644456" w:rsidRDefault="008031C4">
            <w:pPr>
              <w:jc w:val="center"/>
              <w:rPr>
                <w:szCs w:val="21"/>
              </w:rPr>
            </w:pPr>
            <w:r>
              <w:rPr>
                <w:szCs w:val="21"/>
              </w:rPr>
              <w:t>备注</w:t>
            </w:r>
          </w:p>
        </w:tc>
        <w:tc>
          <w:tcPr>
            <w:tcW w:w="1479" w:type="dxa"/>
            <w:vAlign w:val="center"/>
          </w:tcPr>
          <w:p w:rsidR="00644456" w:rsidRDefault="008031C4">
            <w:pPr>
              <w:jc w:val="center"/>
              <w:rPr>
                <w:szCs w:val="21"/>
              </w:rPr>
            </w:pPr>
            <w:r>
              <w:rPr>
                <w:szCs w:val="21"/>
              </w:rPr>
              <w:t>物料名称</w:t>
            </w:r>
          </w:p>
        </w:tc>
        <w:tc>
          <w:tcPr>
            <w:tcW w:w="1388" w:type="dxa"/>
            <w:vAlign w:val="center"/>
          </w:tcPr>
          <w:p w:rsidR="00644456" w:rsidRDefault="008031C4">
            <w:pPr>
              <w:jc w:val="center"/>
              <w:rPr>
                <w:szCs w:val="21"/>
              </w:rPr>
            </w:pPr>
            <w:r>
              <w:rPr>
                <w:szCs w:val="21"/>
              </w:rPr>
              <w:t>质量（</w:t>
            </w:r>
            <w:r>
              <w:rPr>
                <w:szCs w:val="21"/>
              </w:rPr>
              <w:t>t/a</w:t>
            </w:r>
            <w:r>
              <w:rPr>
                <w:szCs w:val="21"/>
              </w:rPr>
              <w:t>）</w:t>
            </w:r>
          </w:p>
        </w:tc>
        <w:tc>
          <w:tcPr>
            <w:tcW w:w="1599" w:type="dxa"/>
            <w:vAlign w:val="center"/>
          </w:tcPr>
          <w:p w:rsidR="00644456" w:rsidRDefault="008031C4">
            <w:pPr>
              <w:jc w:val="center"/>
              <w:rPr>
                <w:szCs w:val="21"/>
              </w:rPr>
            </w:pPr>
            <w:r>
              <w:rPr>
                <w:szCs w:val="21"/>
              </w:rPr>
              <w:t>备注</w:t>
            </w:r>
          </w:p>
        </w:tc>
      </w:tr>
      <w:tr w:rsidR="00644456">
        <w:trPr>
          <w:trHeight w:val="359"/>
        </w:trPr>
        <w:tc>
          <w:tcPr>
            <w:tcW w:w="806" w:type="dxa"/>
            <w:vAlign w:val="center"/>
          </w:tcPr>
          <w:p w:rsidR="00644456" w:rsidRDefault="008031C4">
            <w:pPr>
              <w:jc w:val="center"/>
              <w:rPr>
                <w:szCs w:val="21"/>
              </w:rPr>
            </w:pPr>
            <w:r>
              <w:rPr>
                <w:szCs w:val="21"/>
              </w:rPr>
              <w:t>1</w:t>
            </w:r>
          </w:p>
        </w:tc>
        <w:tc>
          <w:tcPr>
            <w:tcW w:w="1430" w:type="dxa"/>
            <w:vAlign w:val="center"/>
          </w:tcPr>
          <w:p w:rsidR="00644456" w:rsidRDefault="008031C4">
            <w:pPr>
              <w:jc w:val="center"/>
              <w:rPr>
                <w:szCs w:val="21"/>
              </w:rPr>
            </w:pPr>
            <w:r>
              <w:rPr>
                <w:szCs w:val="21"/>
              </w:rPr>
              <w:t>原料油</w:t>
            </w:r>
          </w:p>
        </w:tc>
        <w:tc>
          <w:tcPr>
            <w:tcW w:w="1270" w:type="dxa"/>
            <w:vAlign w:val="center"/>
          </w:tcPr>
          <w:p w:rsidR="00644456" w:rsidRDefault="008031C4">
            <w:pPr>
              <w:jc w:val="center"/>
              <w:rPr>
                <w:szCs w:val="21"/>
              </w:rPr>
            </w:pPr>
            <w:r>
              <w:rPr>
                <w:szCs w:val="21"/>
              </w:rPr>
              <w:t>30000</w:t>
            </w:r>
          </w:p>
        </w:tc>
        <w:tc>
          <w:tcPr>
            <w:tcW w:w="1026" w:type="dxa"/>
            <w:vAlign w:val="center"/>
          </w:tcPr>
          <w:p w:rsidR="00644456" w:rsidRDefault="00644456">
            <w:pPr>
              <w:jc w:val="center"/>
              <w:rPr>
                <w:szCs w:val="21"/>
              </w:rPr>
            </w:pPr>
          </w:p>
        </w:tc>
        <w:tc>
          <w:tcPr>
            <w:tcW w:w="1479" w:type="dxa"/>
            <w:vAlign w:val="center"/>
          </w:tcPr>
          <w:p w:rsidR="00644456" w:rsidRDefault="008031C4">
            <w:pPr>
              <w:jc w:val="center"/>
              <w:rPr>
                <w:szCs w:val="21"/>
              </w:rPr>
            </w:pPr>
            <w:r>
              <w:rPr>
                <w:szCs w:val="21"/>
              </w:rPr>
              <w:t>燃料油</w:t>
            </w:r>
          </w:p>
        </w:tc>
        <w:tc>
          <w:tcPr>
            <w:tcW w:w="1388" w:type="dxa"/>
            <w:vAlign w:val="center"/>
          </w:tcPr>
          <w:p w:rsidR="00644456" w:rsidRDefault="008031C4">
            <w:pPr>
              <w:jc w:val="center"/>
              <w:rPr>
                <w:szCs w:val="21"/>
              </w:rPr>
            </w:pPr>
            <w:r>
              <w:rPr>
                <w:szCs w:val="21"/>
              </w:rPr>
              <w:t>2</w:t>
            </w:r>
            <w:r>
              <w:rPr>
                <w:rFonts w:hint="eastAsia"/>
                <w:szCs w:val="21"/>
              </w:rPr>
              <w:t>2</w:t>
            </w:r>
            <w:r>
              <w:rPr>
                <w:szCs w:val="21"/>
              </w:rPr>
              <w:t>00</w:t>
            </w:r>
          </w:p>
        </w:tc>
        <w:tc>
          <w:tcPr>
            <w:tcW w:w="1599" w:type="dxa"/>
            <w:vAlign w:val="center"/>
          </w:tcPr>
          <w:p w:rsidR="00644456" w:rsidRDefault="00644456">
            <w:pPr>
              <w:jc w:val="center"/>
              <w:rPr>
                <w:szCs w:val="21"/>
              </w:rPr>
            </w:pPr>
          </w:p>
        </w:tc>
      </w:tr>
      <w:tr w:rsidR="00644456">
        <w:trPr>
          <w:trHeight w:val="340"/>
        </w:trPr>
        <w:tc>
          <w:tcPr>
            <w:tcW w:w="806" w:type="dxa"/>
            <w:vAlign w:val="center"/>
          </w:tcPr>
          <w:p w:rsidR="00644456" w:rsidRDefault="008031C4">
            <w:pPr>
              <w:jc w:val="center"/>
              <w:rPr>
                <w:szCs w:val="21"/>
              </w:rPr>
            </w:pPr>
            <w:r>
              <w:rPr>
                <w:szCs w:val="21"/>
              </w:rPr>
              <w:t>2</w:t>
            </w:r>
          </w:p>
        </w:tc>
        <w:tc>
          <w:tcPr>
            <w:tcW w:w="1430" w:type="dxa"/>
            <w:vAlign w:val="center"/>
          </w:tcPr>
          <w:p w:rsidR="00644456" w:rsidRDefault="008031C4">
            <w:pPr>
              <w:jc w:val="center"/>
              <w:rPr>
                <w:szCs w:val="21"/>
              </w:rPr>
            </w:pPr>
            <w:r>
              <w:rPr>
                <w:szCs w:val="21"/>
              </w:rPr>
              <w:t>石油磺酸钠</w:t>
            </w:r>
          </w:p>
        </w:tc>
        <w:tc>
          <w:tcPr>
            <w:tcW w:w="1270" w:type="dxa"/>
            <w:vAlign w:val="center"/>
          </w:tcPr>
          <w:p w:rsidR="00644456" w:rsidRDefault="008031C4">
            <w:pPr>
              <w:jc w:val="center"/>
              <w:rPr>
                <w:szCs w:val="21"/>
              </w:rPr>
            </w:pPr>
            <w:r>
              <w:rPr>
                <w:szCs w:val="21"/>
              </w:rPr>
              <w:t>300</w:t>
            </w:r>
          </w:p>
        </w:tc>
        <w:tc>
          <w:tcPr>
            <w:tcW w:w="1026" w:type="dxa"/>
            <w:vAlign w:val="center"/>
          </w:tcPr>
          <w:p w:rsidR="00644456" w:rsidRDefault="00644456">
            <w:pPr>
              <w:jc w:val="center"/>
              <w:rPr>
                <w:szCs w:val="21"/>
              </w:rPr>
            </w:pPr>
          </w:p>
        </w:tc>
        <w:tc>
          <w:tcPr>
            <w:tcW w:w="1479" w:type="dxa"/>
            <w:vAlign w:val="center"/>
          </w:tcPr>
          <w:p w:rsidR="00644456" w:rsidRDefault="008031C4">
            <w:pPr>
              <w:jc w:val="center"/>
              <w:rPr>
                <w:szCs w:val="21"/>
              </w:rPr>
            </w:pPr>
            <w:r>
              <w:rPr>
                <w:szCs w:val="21"/>
              </w:rPr>
              <w:t>再生润滑油基础油</w:t>
            </w:r>
          </w:p>
        </w:tc>
        <w:tc>
          <w:tcPr>
            <w:tcW w:w="1388" w:type="dxa"/>
            <w:vAlign w:val="center"/>
          </w:tcPr>
          <w:p w:rsidR="00644456" w:rsidRDefault="008031C4">
            <w:pPr>
              <w:jc w:val="center"/>
              <w:rPr>
                <w:szCs w:val="21"/>
              </w:rPr>
            </w:pPr>
            <w:r>
              <w:rPr>
                <w:szCs w:val="21"/>
              </w:rPr>
              <w:t>20000</w:t>
            </w:r>
          </w:p>
        </w:tc>
        <w:tc>
          <w:tcPr>
            <w:tcW w:w="1599" w:type="dxa"/>
            <w:vAlign w:val="center"/>
          </w:tcPr>
          <w:p w:rsidR="00644456" w:rsidRDefault="00644456">
            <w:pPr>
              <w:jc w:val="center"/>
              <w:rPr>
                <w:szCs w:val="21"/>
              </w:rPr>
            </w:pPr>
          </w:p>
        </w:tc>
      </w:tr>
      <w:tr w:rsidR="00644456">
        <w:trPr>
          <w:trHeight w:val="340"/>
        </w:trPr>
        <w:tc>
          <w:tcPr>
            <w:tcW w:w="806" w:type="dxa"/>
            <w:vAlign w:val="center"/>
          </w:tcPr>
          <w:p w:rsidR="00644456" w:rsidRDefault="008031C4">
            <w:pPr>
              <w:jc w:val="center"/>
              <w:rPr>
                <w:szCs w:val="21"/>
              </w:rPr>
            </w:pPr>
            <w:r>
              <w:rPr>
                <w:szCs w:val="21"/>
              </w:rPr>
              <w:t>3</w:t>
            </w:r>
          </w:p>
        </w:tc>
        <w:tc>
          <w:tcPr>
            <w:tcW w:w="1430" w:type="dxa"/>
            <w:vAlign w:val="center"/>
          </w:tcPr>
          <w:p w:rsidR="00644456" w:rsidRDefault="008031C4">
            <w:pPr>
              <w:jc w:val="center"/>
              <w:rPr>
                <w:szCs w:val="21"/>
              </w:rPr>
            </w:pPr>
            <w:r>
              <w:rPr>
                <w:szCs w:val="21"/>
              </w:rPr>
              <w:t>调配用水</w:t>
            </w:r>
          </w:p>
        </w:tc>
        <w:tc>
          <w:tcPr>
            <w:tcW w:w="1270" w:type="dxa"/>
            <w:vAlign w:val="center"/>
          </w:tcPr>
          <w:p w:rsidR="00644456" w:rsidRDefault="008031C4">
            <w:pPr>
              <w:jc w:val="center"/>
              <w:rPr>
                <w:szCs w:val="21"/>
              </w:rPr>
            </w:pPr>
            <w:r>
              <w:rPr>
                <w:rFonts w:hint="eastAsia"/>
                <w:szCs w:val="21"/>
              </w:rPr>
              <w:t>300</w:t>
            </w:r>
          </w:p>
        </w:tc>
        <w:tc>
          <w:tcPr>
            <w:tcW w:w="1026" w:type="dxa"/>
            <w:vAlign w:val="center"/>
          </w:tcPr>
          <w:p w:rsidR="00644456" w:rsidRDefault="00644456">
            <w:pPr>
              <w:jc w:val="center"/>
              <w:rPr>
                <w:szCs w:val="21"/>
              </w:rPr>
            </w:pPr>
          </w:p>
        </w:tc>
        <w:tc>
          <w:tcPr>
            <w:tcW w:w="1479" w:type="dxa"/>
            <w:vAlign w:val="center"/>
          </w:tcPr>
          <w:p w:rsidR="00644456" w:rsidRDefault="008031C4">
            <w:pPr>
              <w:jc w:val="center"/>
              <w:rPr>
                <w:szCs w:val="21"/>
              </w:rPr>
            </w:pPr>
            <w:r>
              <w:rPr>
                <w:szCs w:val="21"/>
              </w:rPr>
              <w:t>再生尾油</w:t>
            </w:r>
          </w:p>
        </w:tc>
        <w:tc>
          <w:tcPr>
            <w:tcW w:w="1388" w:type="dxa"/>
            <w:vAlign w:val="center"/>
          </w:tcPr>
          <w:p w:rsidR="00644456" w:rsidRDefault="008031C4">
            <w:pPr>
              <w:jc w:val="center"/>
              <w:rPr>
                <w:szCs w:val="21"/>
              </w:rPr>
            </w:pPr>
            <w:r>
              <w:rPr>
                <w:szCs w:val="21"/>
              </w:rPr>
              <w:t>6000</w:t>
            </w:r>
          </w:p>
        </w:tc>
        <w:tc>
          <w:tcPr>
            <w:tcW w:w="1599" w:type="dxa"/>
            <w:vAlign w:val="center"/>
          </w:tcPr>
          <w:p w:rsidR="00644456" w:rsidRDefault="00644456">
            <w:pPr>
              <w:jc w:val="center"/>
              <w:rPr>
                <w:szCs w:val="21"/>
              </w:rPr>
            </w:pPr>
          </w:p>
        </w:tc>
      </w:tr>
      <w:tr w:rsidR="00644456">
        <w:trPr>
          <w:trHeight w:val="340"/>
        </w:trPr>
        <w:tc>
          <w:tcPr>
            <w:tcW w:w="806" w:type="dxa"/>
            <w:vAlign w:val="center"/>
          </w:tcPr>
          <w:p w:rsidR="00644456" w:rsidRDefault="008031C4">
            <w:pPr>
              <w:jc w:val="center"/>
              <w:rPr>
                <w:szCs w:val="21"/>
              </w:rPr>
            </w:pPr>
            <w:r>
              <w:rPr>
                <w:szCs w:val="21"/>
              </w:rPr>
              <w:t>4</w:t>
            </w:r>
          </w:p>
        </w:tc>
        <w:tc>
          <w:tcPr>
            <w:tcW w:w="1430" w:type="dxa"/>
            <w:vAlign w:val="center"/>
          </w:tcPr>
          <w:p w:rsidR="00644456" w:rsidRDefault="008031C4">
            <w:pPr>
              <w:jc w:val="center"/>
              <w:rPr>
                <w:szCs w:val="21"/>
              </w:rPr>
            </w:pPr>
            <w:r>
              <w:rPr>
                <w:szCs w:val="21"/>
              </w:rPr>
              <w:t>溶剂补充量</w:t>
            </w:r>
          </w:p>
        </w:tc>
        <w:tc>
          <w:tcPr>
            <w:tcW w:w="1270" w:type="dxa"/>
            <w:vAlign w:val="center"/>
          </w:tcPr>
          <w:p w:rsidR="00644456" w:rsidRDefault="008031C4">
            <w:pPr>
              <w:jc w:val="center"/>
              <w:rPr>
                <w:szCs w:val="21"/>
              </w:rPr>
            </w:pPr>
            <w:r>
              <w:rPr>
                <w:szCs w:val="21"/>
              </w:rPr>
              <w:t>100</w:t>
            </w:r>
          </w:p>
        </w:tc>
        <w:tc>
          <w:tcPr>
            <w:tcW w:w="1026" w:type="dxa"/>
            <w:vAlign w:val="center"/>
          </w:tcPr>
          <w:p w:rsidR="00644456" w:rsidRDefault="008031C4">
            <w:pPr>
              <w:jc w:val="center"/>
              <w:rPr>
                <w:szCs w:val="21"/>
              </w:rPr>
            </w:pPr>
            <w:r>
              <w:rPr>
                <w:szCs w:val="21"/>
              </w:rPr>
              <w:t>最终进入产品</w:t>
            </w:r>
          </w:p>
        </w:tc>
        <w:tc>
          <w:tcPr>
            <w:tcW w:w="1479" w:type="dxa"/>
            <w:vAlign w:val="center"/>
          </w:tcPr>
          <w:p w:rsidR="00644456" w:rsidRDefault="008031C4">
            <w:pPr>
              <w:jc w:val="center"/>
              <w:rPr>
                <w:szCs w:val="21"/>
              </w:rPr>
            </w:pPr>
            <w:r>
              <w:rPr>
                <w:szCs w:val="21"/>
              </w:rPr>
              <w:t>废气</w:t>
            </w:r>
          </w:p>
        </w:tc>
        <w:tc>
          <w:tcPr>
            <w:tcW w:w="1388" w:type="dxa"/>
            <w:vAlign w:val="center"/>
          </w:tcPr>
          <w:p w:rsidR="00644456" w:rsidRDefault="008031C4">
            <w:pPr>
              <w:jc w:val="center"/>
              <w:rPr>
                <w:szCs w:val="21"/>
              </w:rPr>
            </w:pPr>
            <w:r>
              <w:rPr>
                <w:rFonts w:hint="eastAsia"/>
                <w:szCs w:val="21"/>
              </w:rPr>
              <w:t>1</w:t>
            </w:r>
            <w:r>
              <w:rPr>
                <w:szCs w:val="21"/>
              </w:rPr>
              <w:t>2.1438</w:t>
            </w:r>
          </w:p>
        </w:tc>
        <w:tc>
          <w:tcPr>
            <w:tcW w:w="1599" w:type="dxa"/>
            <w:vAlign w:val="center"/>
          </w:tcPr>
          <w:p w:rsidR="00644456" w:rsidRDefault="00644456">
            <w:pPr>
              <w:jc w:val="center"/>
              <w:rPr>
                <w:szCs w:val="21"/>
              </w:rPr>
            </w:pPr>
          </w:p>
        </w:tc>
      </w:tr>
      <w:tr w:rsidR="00644456">
        <w:trPr>
          <w:trHeight w:val="340"/>
        </w:trPr>
        <w:tc>
          <w:tcPr>
            <w:tcW w:w="806" w:type="dxa"/>
            <w:vAlign w:val="center"/>
          </w:tcPr>
          <w:p w:rsidR="00644456" w:rsidRDefault="00644456">
            <w:pPr>
              <w:jc w:val="center"/>
              <w:rPr>
                <w:szCs w:val="21"/>
              </w:rPr>
            </w:pPr>
          </w:p>
        </w:tc>
        <w:tc>
          <w:tcPr>
            <w:tcW w:w="1430" w:type="dxa"/>
            <w:vAlign w:val="center"/>
          </w:tcPr>
          <w:p w:rsidR="00644456" w:rsidRDefault="00644456">
            <w:pPr>
              <w:jc w:val="center"/>
              <w:rPr>
                <w:szCs w:val="21"/>
              </w:rPr>
            </w:pPr>
          </w:p>
        </w:tc>
        <w:tc>
          <w:tcPr>
            <w:tcW w:w="1270" w:type="dxa"/>
            <w:vAlign w:val="center"/>
          </w:tcPr>
          <w:p w:rsidR="00644456" w:rsidRDefault="00644456">
            <w:pPr>
              <w:jc w:val="center"/>
              <w:rPr>
                <w:szCs w:val="21"/>
              </w:rPr>
            </w:pPr>
          </w:p>
        </w:tc>
        <w:tc>
          <w:tcPr>
            <w:tcW w:w="1026" w:type="dxa"/>
            <w:vAlign w:val="center"/>
          </w:tcPr>
          <w:p w:rsidR="00644456" w:rsidRDefault="00644456">
            <w:pPr>
              <w:jc w:val="center"/>
              <w:rPr>
                <w:szCs w:val="21"/>
              </w:rPr>
            </w:pPr>
          </w:p>
        </w:tc>
        <w:tc>
          <w:tcPr>
            <w:tcW w:w="1479" w:type="dxa"/>
            <w:vAlign w:val="center"/>
          </w:tcPr>
          <w:p w:rsidR="00644456" w:rsidRDefault="008031C4">
            <w:pPr>
              <w:jc w:val="center"/>
              <w:rPr>
                <w:szCs w:val="21"/>
              </w:rPr>
            </w:pPr>
            <w:r>
              <w:rPr>
                <w:szCs w:val="21"/>
              </w:rPr>
              <w:t>废水</w:t>
            </w:r>
          </w:p>
        </w:tc>
        <w:tc>
          <w:tcPr>
            <w:tcW w:w="1388" w:type="dxa"/>
            <w:vAlign w:val="center"/>
          </w:tcPr>
          <w:p w:rsidR="00644456" w:rsidRDefault="008031C4">
            <w:pPr>
              <w:jc w:val="center"/>
              <w:rPr>
                <w:szCs w:val="21"/>
              </w:rPr>
            </w:pPr>
            <w:r>
              <w:rPr>
                <w:rFonts w:hint="eastAsia"/>
                <w:szCs w:val="21"/>
              </w:rPr>
              <w:t>1276</w:t>
            </w:r>
          </w:p>
        </w:tc>
        <w:tc>
          <w:tcPr>
            <w:tcW w:w="1599" w:type="dxa"/>
            <w:vAlign w:val="center"/>
          </w:tcPr>
          <w:p w:rsidR="00644456" w:rsidRDefault="00644456">
            <w:pPr>
              <w:jc w:val="center"/>
              <w:rPr>
                <w:szCs w:val="21"/>
              </w:rPr>
            </w:pPr>
          </w:p>
        </w:tc>
      </w:tr>
      <w:tr w:rsidR="00644456">
        <w:trPr>
          <w:trHeight w:val="340"/>
        </w:trPr>
        <w:tc>
          <w:tcPr>
            <w:tcW w:w="806" w:type="dxa"/>
            <w:vAlign w:val="center"/>
          </w:tcPr>
          <w:p w:rsidR="00644456" w:rsidRDefault="00644456">
            <w:pPr>
              <w:jc w:val="center"/>
              <w:rPr>
                <w:szCs w:val="21"/>
              </w:rPr>
            </w:pPr>
          </w:p>
        </w:tc>
        <w:tc>
          <w:tcPr>
            <w:tcW w:w="1430" w:type="dxa"/>
            <w:vAlign w:val="center"/>
          </w:tcPr>
          <w:p w:rsidR="00644456" w:rsidRDefault="00644456">
            <w:pPr>
              <w:jc w:val="center"/>
              <w:rPr>
                <w:szCs w:val="21"/>
              </w:rPr>
            </w:pPr>
          </w:p>
        </w:tc>
        <w:tc>
          <w:tcPr>
            <w:tcW w:w="1270" w:type="dxa"/>
            <w:vAlign w:val="center"/>
          </w:tcPr>
          <w:p w:rsidR="00644456" w:rsidRDefault="00644456">
            <w:pPr>
              <w:jc w:val="center"/>
              <w:rPr>
                <w:szCs w:val="21"/>
              </w:rPr>
            </w:pPr>
          </w:p>
        </w:tc>
        <w:tc>
          <w:tcPr>
            <w:tcW w:w="1026" w:type="dxa"/>
            <w:vAlign w:val="center"/>
          </w:tcPr>
          <w:p w:rsidR="00644456" w:rsidRDefault="00644456">
            <w:pPr>
              <w:jc w:val="center"/>
              <w:rPr>
                <w:szCs w:val="21"/>
              </w:rPr>
            </w:pPr>
          </w:p>
        </w:tc>
        <w:tc>
          <w:tcPr>
            <w:tcW w:w="1479" w:type="dxa"/>
            <w:vAlign w:val="center"/>
          </w:tcPr>
          <w:p w:rsidR="00644456" w:rsidRDefault="008031C4">
            <w:pPr>
              <w:jc w:val="center"/>
              <w:rPr>
                <w:szCs w:val="21"/>
              </w:rPr>
            </w:pPr>
            <w:r>
              <w:rPr>
                <w:szCs w:val="21"/>
              </w:rPr>
              <w:t>固渣</w:t>
            </w:r>
          </w:p>
        </w:tc>
        <w:tc>
          <w:tcPr>
            <w:tcW w:w="1388" w:type="dxa"/>
            <w:vAlign w:val="center"/>
          </w:tcPr>
          <w:p w:rsidR="00644456" w:rsidRDefault="008031C4">
            <w:pPr>
              <w:jc w:val="center"/>
              <w:rPr>
                <w:szCs w:val="21"/>
              </w:rPr>
            </w:pPr>
            <w:r>
              <w:rPr>
                <w:szCs w:val="21"/>
              </w:rPr>
              <w:t>1211.8562</w:t>
            </w:r>
          </w:p>
        </w:tc>
        <w:tc>
          <w:tcPr>
            <w:tcW w:w="1599" w:type="dxa"/>
            <w:vAlign w:val="center"/>
          </w:tcPr>
          <w:p w:rsidR="00644456" w:rsidRDefault="00644456">
            <w:pPr>
              <w:jc w:val="center"/>
              <w:rPr>
                <w:szCs w:val="21"/>
              </w:rPr>
            </w:pPr>
          </w:p>
        </w:tc>
      </w:tr>
      <w:tr w:rsidR="00644456">
        <w:trPr>
          <w:trHeight w:val="340"/>
        </w:trPr>
        <w:tc>
          <w:tcPr>
            <w:tcW w:w="806" w:type="dxa"/>
            <w:vAlign w:val="center"/>
          </w:tcPr>
          <w:p w:rsidR="00644456" w:rsidRDefault="008031C4">
            <w:pPr>
              <w:jc w:val="center"/>
              <w:rPr>
                <w:szCs w:val="21"/>
              </w:rPr>
            </w:pPr>
            <w:r>
              <w:rPr>
                <w:szCs w:val="21"/>
              </w:rPr>
              <w:t>合计</w:t>
            </w:r>
          </w:p>
        </w:tc>
        <w:tc>
          <w:tcPr>
            <w:tcW w:w="1430" w:type="dxa"/>
            <w:vAlign w:val="center"/>
          </w:tcPr>
          <w:p w:rsidR="00644456" w:rsidRDefault="00644456">
            <w:pPr>
              <w:jc w:val="center"/>
              <w:rPr>
                <w:szCs w:val="21"/>
              </w:rPr>
            </w:pPr>
          </w:p>
        </w:tc>
        <w:tc>
          <w:tcPr>
            <w:tcW w:w="1270" w:type="dxa"/>
            <w:vAlign w:val="center"/>
          </w:tcPr>
          <w:p w:rsidR="00644456" w:rsidRDefault="008031C4">
            <w:pPr>
              <w:jc w:val="center"/>
              <w:rPr>
                <w:szCs w:val="21"/>
              </w:rPr>
            </w:pPr>
            <w:r>
              <w:rPr>
                <w:szCs w:val="21"/>
              </w:rPr>
              <w:t>30</w:t>
            </w:r>
            <w:r>
              <w:rPr>
                <w:rFonts w:hint="eastAsia"/>
                <w:szCs w:val="21"/>
              </w:rPr>
              <w:t>7</w:t>
            </w:r>
            <w:r>
              <w:rPr>
                <w:szCs w:val="21"/>
              </w:rPr>
              <w:t>00</w:t>
            </w:r>
          </w:p>
        </w:tc>
        <w:tc>
          <w:tcPr>
            <w:tcW w:w="1026" w:type="dxa"/>
            <w:vAlign w:val="center"/>
          </w:tcPr>
          <w:p w:rsidR="00644456" w:rsidRDefault="00644456">
            <w:pPr>
              <w:jc w:val="center"/>
              <w:rPr>
                <w:szCs w:val="21"/>
              </w:rPr>
            </w:pPr>
          </w:p>
        </w:tc>
        <w:tc>
          <w:tcPr>
            <w:tcW w:w="1479" w:type="dxa"/>
            <w:vAlign w:val="center"/>
          </w:tcPr>
          <w:p w:rsidR="00644456" w:rsidRDefault="00644456">
            <w:pPr>
              <w:jc w:val="center"/>
              <w:rPr>
                <w:szCs w:val="21"/>
              </w:rPr>
            </w:pPr>
          </w:p>
        </w:tc>
        <w:tc>
          <w:tcPr>
            <w:tcW w:w="1388" w:type="dxa"/>
            <w:vAlign w:val="center"/>
          </w:tcPr>
          <w:p w:rsidR="00644456" w:rsidRDefault="008031C4">
            <w:pPr>
              <w:jc w:val="center"/>
              <w:rPr>
                <w:szCs w:val="21"/>
              </w:rPr>
            </w:pPr>
            <w:r>
              <w:rPr>
                <w:rFonts w:hint="eastAsia"/>
                <w:szCs w:val="21"/>
              </w:rPr>
              <w:t>30700</w:t>
            </w:r>
          </w:p>
        </w:tc>
        <w:tc>
          <w:tcPr>
            <w:tcW w:w="1599" w:type="dxa"/>
            <w:vAlign w:val="center"/>
          </w:tcPr>
          <w:p w:rsidR="00644456" w:rsidRDefault="00644456">
            <w:pPr>
              <w:jc w:val="center"/>
              <w:rPr>
                <w:szCs w:val="21"/>
              </w:rPr>
            </w:pPr>
          </w:p>
        </w:tc>
      </w:tr>
    </w:tbl>
    <w:p w:rsidR="00644456" w:rsidRDefault="00E53F77">
      <w:pPr>
        <w:adjustRightInd w:val="0"/>
        <w:snapToGrid w:val="0"/>
        <w:spacing w:line="360" w:lineRule="auto"/>
        <w:ind w:firstLineChars="200" w:firstLine="480"/>
        <w:rPr>
          <w:rFonts w:cs="Times New Roman"/>
          <w:color w:val="000000" w:themeColor="text1"/>
          <w:kern w:val="0"/>
          <w:sz w:val="24"/>
        </w:rPr>
      </w:pPr>
      <w:r>
        <w:rPr>
          <w:rFonts w:cs="Times New Roman" w:hint="eastAsia"/>
          <w:noProof/>
          <w:color w:val="000000" w:themeColor="text1"/>
          <w:kern w:val="0"/>
          <w:sz w:val="24"/>
        </w:rPr>
        <w:drawing>
          <wp:inline distT="0" distB="0" distL="0" distR="0" wp14:anchorId="6D0EA489" wp14:editId="65CB1407">
            <wp:extent cx="5146140" cy="33051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1387" cy="3308545"/>
                    </a:xfrm>
                    <a:prstGeom prst="rect">
                      <a:avLst/>
                    </a:prstGeom>
                    <a:noFill/>
                    <a:ln>
                      <a:noFill/>
                    </a:ln>
                  </pic:spPr>
                </pic:pic>
              </a:graphicData>
            </a:graphic>
          </wp:inline>
        </w:drawing>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图</w:t>
      </w:r>
      <w:r>
        <w:rPr>
          <w:rFonts w:cs="Times New Roman" w:hint="eastAsia"/>
          <w:b/>
          <w:color w:val="000000" w:themeColor="text1"/>
          <w:sz w:val="24"/>
          <w:szCs w:val="20"/>
        </w:rPr>
        <w:t>2.4-6</w:t>
      </w:r>
      <w:r>
        <w:rPr>
          <w:rFonts w:cs="Times New Roman" w:hint="eastAsia"/>
          <w:b/>
          <w:color w:val="000000" w:themeColor="text1"/>
          <w:sz w:val="24"/>
          <w:szCs w:val="20"/>
        </w:rPr>
        <w:t>物料平衡图</w:t>
      </w:r>
    </w:p>
    <w:p w:rsidR="00644456" w:rsidRDefault="008031C4">
      <w:pPr>
        <w:pStyle w:val="3"/>
        <w:numPr>
          <w:ilvl w:val="2"/>
          <w:numId w:val="0"/>
        </w:numPr>
        <w:ind w:firstLineChars="200" w:firstLine="482"/>
      </w:pPr>
      <w:bookmarkStart w:id="136" w:name="_Hlk153461942"/>
      <w:r>
        <w:rPr>
          <w:rFonts w:hint="eastAsia"/>
        </w:rPr>
        <w:t>2.4.10</w:t>
      </w:r>
      <w:r>
        <w:rPr>
          <w:rFonts w:hint="eastAsia"/>
        </w:rPr>
        <w:t>水平衡</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本项目用水量及排水量详见表</w:t>
      </w:r>
      <w:r>
        <w:rPr>
          <w:rFonts w:cs="Times New Roman" w:hint="eastAsia"/>
          <w:color w:val="000000" w:themeColor="text1"/>
          <w:kern w:val="0"/>
          <w:sz w:val="24"/>
        </w:rPr>
        <w:t>2.4-13</w:t>
      </w:r>
      <w:r>
        <w:rPr>
          <w:rFonts w:cs="Times New Roman" w:hint="eastAsia"/>
          <w:color w:val="000000" w:themeColor="text1"/>
          <w:kern w:val="0"/>
          <w:sz w:val="24"/>
        </w:rPr>
        <w:t>、全厂水平衡图</w:t>
      </w:r>
      <w:r>
        <w:rPr>
          <w:rFonts w:cs="Times New Roman" w:hint="eastAsia"/>
          <w:color w:val="000000" w:themeColor="text1"/>
          <w:kern w:val="0"/>
          <w:sz w:val="24"/>
        </w:rPr>
        <w:t>2.4-7</w:t>
      </w:r>
      <w:r>
        <w:rPr>
          <w:rFonts w:cs="Times New Roman" w:hint="eastAsia"/>
          <w:color w:val="000000" w:themeColor="text1"/>
          <w:kern w:val="0"/>
          <w:sz w:val="24"/>
        </w:rPr>
        <w:t>。</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2.4-13</w:t>
      </w:r>
      <w:r>
        <w:rPr>
          <w:rFonts w:cs="Times New Roman" w:hint="eastAsia"/>
          <w:b/>
          <w:color w:val="000000" w:themeColor="text1"/>
          <w:sz w:val="24"/>
          <w:szCs w:val="20"/>
        </w:rPr>
        <w:t>全厂水平衡（单位</w:t>
      </w:r>
      <w:r>
        <w:rPr>
          <w:rFonts w:cs="Times New Roman" w:hint="eastAsia"/>
          <w:b/>
          <w:color w:val="000000" w:themeColor="text1"/>
          <w:sz w:val="24"/>
          <w:szCs w:val="20"/>
        </w:rPr>
        <w:t>t/a</w:t>
      </w:r>
      <w:r>
        <w:rPr>
          <w:rFonts w:cs="Times New Roman" w:hint="eastAsia"/>
          <w:b/>
          <w:color w:val="000000" w:themeColor="text1"/>
          <w:sz w:val="24"/>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1539"/>
        <w:gridCol w:w="1093"/>
        <w:gridCol w:w="1094"/>
        <w:gridCol w:w="1479"/>
        <w:gridCol w:w="1493"/>
        <w:gridCol w:w="1494"/>
      </w:tblGrid>
      <w:tr w:rsidR="00644456">
        <w:trPr>
          <w:trHeight w:val="90"/>
          <w:jc w:val="center"/>
        </w:trPr>
        <w:tc>
          <w:tcPr>
            <w:tcW w:w="806" w:type="dxa"/>
            <w:vMerge w:val="restart"/>
            <w:vAlign w:val="center"/>
          </w:tcPr>
          <w:p w:rsidR="00644456" w:rsidRDefault="008031C4">
            <w:pPr>
              <w:widowControl/>
              <w:jc w:val="center"/>
              <w:textAlignment w:val="center"/>
              <w:rPr>
                <w:b/>
                <w:bCs/>
                <w:szCs w:val="21"/>
              </w:rPr>
            </w:pPr>
            <w:r>
              <w:rPr>
                <w:b/>
                <w:bCs/>
                <w:szCs w:val="21"/>
                <w:lang w:bidi="ar"/>
              </w:rPr>
              <w:t>序号</w:t>
            </w:r>
          </w:p>
        </w:tc>
        <w:tc>
          <w:tcPr>
            <w:tcW w:w="1539" w:type="dxa"/>
            <w:vMerge w:val="restart"/>
            <w:vAlign w:val="center"/>
          </w:tcPr>
          <w:p w:rsidR="00644456" w:rsidRDefault="008031C4">
            <w:pPr>
              <w:widowControl/>
              <w:jc w:val="center"/>
              <w:textAlignment w:val="center"/>
              <w:rPr>
                <w:b/>
                <w:bCs/>
                <w:szCs w:val="21"/>
              </w:rPr>
            </w:pPr>
            <w:r>
              <w:rPr>
                <w:b/>
                <w:bCs/>
                <w:szCs w:val="21"/>
                <w:lang w:bidi="ar"/>
              </w:rPr>
              <w:t>环节</w:t>
            </w:r>
          </w:p>
        </w:tc>
        <w:tc>
          <w:tcPr>
            <w:tcW w:w="2187" w:type="dxa"/>
            <w:gridSpan w:val="2"/>
            <w:vAlign w:val="center"/>
          </w:tcPr>
          <w:p w:rsidR="00644456" w:rsidRDefault="008031C4">
            <w:pPr>
              <w:widowControl/>
              <w:jc w:val="center"/>
              <w:textAlignment w:val="center"/>
              <w:rPr>
                <w:b/>
                <w:bCs/>
                <w:szCs w:val="21"/>
              </w:rPr>
            </w:pPr>
            <w:r>
              <w:rPr>
                <w:b/>
                <w:bCs/>
                <w:szCs w:val="21"/>
                <w:lang w:bidi="ar"/>
              </w:rPr>
              <w:t>进入系统水量</w:t>
            </w:r>
          </w:p>
        </w:tc>
        <w:tc>
          <w:tcPr>
            <w:tcW w:w="1479" w:type="dxa"/>
            <w:vMerge w:val="restart"/>
            <w:vAlign w:val="center"/>
          </w:tcPr>
          <w:p w:rsidR="00644456" w:rsidRDefault="008031C4">
            <w:pPr>
              <w:widowControl/>
              <w:jc w:val="center"/>
              <w:textAlignment w:val="center"/>
              <w:rPr>
                <w:b/>
                <w:bCs/>
                <w:szCs w:val="21"/>
              </w:rPr>
            </w:pPr>
            <w:r>
              <w:rPr>
                <w:b/>
                <w:bCs/>
                <w:szCs w:val="21"/>
                <w:lang w:bidi="ar"/>
              </w:rPr>
              <w:t>循环水量</w:t>
            </w:r>
          </w:p>
        </w:tc>
        <w:tc>
          <w:tcPr>
            <w:tcW w:w="2987" w:type="dxa"/>
            <w:gridSpan w:val="2"/>
            <w:vAlign w:val="center"/>
          </w:tcPr>
          <w:p w:rsidR="00644456" w:rsidRDefault="008031C4">
            <w:pPr>
              <w:widowControl/>
              <w:jc w:val="center"/>
              <w:textAlignment w:val="center"/>
              <w:rPr>
                <w:b/>
                <w:bCs/>
                <w:szCs w:val="21"/>
              </w:rPr>
            </w:pPr>
            <w:r>
              <w:rPr>
                <w:b/>
                <w:bCs/>
                <w:szCs w:val="21"/>
                <w:lang w:bidi="ar"/>
              </w:rPr>
              <w:t>出系统水量</w:t>
            </w:r>
          </w:p>
        </w:tc>
      </w:tr>
      <w:tr w:rsidR="00644456">
        <w:trPr>
          <w:trHeight w:val="340"/>
          <w:jc w:val="center"/>
        </w:trPr>
        <w:tc>
          <w:tcPr>
            <w:tcW w:w="806" w:type="dxa"/>
            <w:vMerge/>
            <w:vAlign w:val="center"/>
          </w:tcPr>
          <w:p w:rsidR="00644456" w:rsidRDefault="00644456">
            <w:pPr>
              <w:jc w:val="center"/>
              <w:rPr>
                <w:b/>
                <w:bCs/>
                <w:szCs w:val="21"/>
              </w:rPr>
            </w:pPr>
          </w:p>
        </w:tc>
        <w:tc>
          <w:tcPr>
            <w:tcW w:w="1539" w:type="dxa"/>
            <w:vMerge/>
            <w:vAlign w:val="center"/>
          </w:tcPr>
          <w:p w:rsidR="00644456" w:rsidRDefault="00644456">
            <w:pPr>
              <w:jc w:val="center"/>
              <w:rPr>
                <w:b/>
                <w:bCs/>
                <w:szCs w:val="21"/>
              </w:rPr>
            </w:pPr>
          </w:p>
        </w:tc>
        <w:tc>
          <w:tcPr>
            <w:tcW w:w="1093" w:type="dxa"/>
            <w:vAlign w:val="center"/>
          </w:tcPr>
          <w:p w:rsidR="00644456" w:rsidRDefault="008031C4">
            <w:pPr>
              <w:widowControl/>
              <w:jc w:val="center"/>
              <w:textAlignment w:val="center"/>
              <w:rPr>
                <w:b/>
                <w:bCs/>
                <w:szCs w:val="21"/>
              </w:rPr>
            </w:pPr>
            <w:r>
              <w:rPr>
                <w:b/>
                <w:bCs/>
                <w:szCs w:val="21"/>
                <w:lang w:bidi="ar"/>
              </w:rPr>
              <w:t>新鲜水</w:t>
            </w:r>
          </w:p>
        </w:tc>
        <w:tc>
          <w:tcPr>
            <w:tcW w:w="1094" w:type="dxa"/>
            <w:vAlign w:val="center"/>
          </w:tcPr>
          <w:p w:rsidR="00644456" w:rsidRDefault="008031C4">
            <w:pPr>
              <w:widowControl/>
              <w:jc w:val="center"/>
              <w:textAlignment w:val="center"/>
              <w:rPr>
                <w:b/>
                <w:bCs/>
                <w:szCs w:val="21"/>
              </w:rPr>
            </w:pPr>
            <w:r>
              <w:rPr>
                <w:b/>
                <w:bCs/>
                <w:szCs w:val="21"/>
                <w:lang w:bidi="ar"/>
              </w:rPr>
              <w:t>带入水</w:t>
            </w:r>
          </w:p>
        </w:tc>
        <w:tc>
          <w:tcPr>
            <w:tcW w:w="1479" w:type="dxa"/>
            <w:vMerge/>
            <w:vAlign w:val="center"/>
          </w:tcPr>
          <w:p w:rsidR="00644456" w:rsidRDefault="00644456">
            <w:pPr>
              <w:jc w:val="center"/>
              <w:rPr>
                <w:b/>
                <w:bCs/>
                <w:szCs w:val="21"/>
              </w:rPr>
            </w:pPr>
          </w:p>
        </w:tc>
        <w:tc>
          <w:tcPr>
            <w:tcW w:w="1493" w:type="dxa"/>
            <w:vAlign w:val="center"/>
          </w:tcPr>
          <w:p w:rsidR="00644456" w:rsidRDefault="008031C4">
            <w:pPr>
              <w:widowControl/>
              <w:jc w:val="center"/>
              <w:textAlignment w:val="center"/>
              <w:rPr>
                <w:b/>
                <w:bCs/>
                <w:szCs w:val="21"/>
              </w:rPr>
            </w:pPr>
            <w:r>
              <w:rPr>
                <w:b/>
                <w:bCs/>
                <w:szCs w:val="21"/>
                <w:lang w:bidi="ar"/>
              </w:rPr>
              <w:t>消耗量</w:t>
            </w:r>
          </w:p>
        </w:tc>
        <w:tc>
          <w:tcPr>
            <w:tcW w:w="1494" w:type="dxa"/>
            <w:vAlign w:val="center"/>
          </w:tcPr>
          <w:p w:rsidR="00644456" w:rsidRDefault="008031C4">
            <w:pPr>
              <w:widowControl/>
              <w:jc w:val="center"/>
              <w:textAlignment w:val="center"/>
              <w:rPr>
                <w:b/>
                <w:bCs/>
                <w:szCs w:val="21"/>
              </w:rPr>
            </w:pPr>
            <w:r>
              <w:rPr>
                <w:b/>
                <w:bCs/>
                <w:szCs w:val="21"/>
                <w:lang w:bidi="ar"/>
              </w:rPr>
              <w:t>排放量</w:t>
            </w:r>
          </w:p>
        </w:tc>
      </w:tr>
      <w:tr w:rsidR="00644456">
        <w:trPr>
          <w:trHeight w:val="340"/>
          <w:jc w:val="center"/>
        </w:trPr>
        <w:tc>
          <w:tcPr>
            <w:tcW w:w="806" w:type="dxa"/>
            <w:vAlign w:val="center"/>
          </w:tcPr>
          <w:p w:rsidR="00644456" w:rsidRDefault="008031C4">
            <w:pPr>
              <w:widowControl/>
              <w:jc w:val="center"/>
              <w:textAlignment w:val="center"/>
              <w:rPr>
                <w:b/>
                <w:bCs/>
                <w:szCs w:val="21"/>
              </w:rPr>
            </w:pPr>
            <w:r>
              <w:rPr>
                <w:b/>
                <w:bCs/>
                <w:szCs w:val="21"/>
                <w:lang w:bidi="ar"/>
              </w:rPr>
              <w:t>1</w:t>
            </w:r>
          </w:p>
        </w:tc>
        <w:tc>
          <w:tcPr>
            <w:tcW w:w="1539" w:type="dxa"/>
            <w:vAlign w:val="center"/>
          </w:tcPr>
          <w:p w:rsidR="00644456" w:rsidRDefault="008031C4">
            <w:pPr>
              <w:widowControl/>
              <w:jc w:val="center"/>
              <w:textAlignment w:val="center"/>
              <w:rPr>
                <w:szCs w:val="21"/>
              </w:rPr>
            </w:pPr>
            <w:r>
              <w:rPr>
                <w:szCs w:val="21"/>
                <w:lang w:bidi="ar"/>
              </w:rPr>
              <w:t>原料及试剂</w:t>
            </w:r>
          </w:p>
        </w:tc>
        <w:tc>
          <w:tcPr>
            <w:tcW w:w="1093" w:type="dxa"/>
            <w:vAlign w:val="center"/>
          </w:tcPr>
          <w:p w:rsidR="00644456" w:rsidRDefault="008031C4">
            <w:pPr>
              <w:widowControl/>
              <w:jc w:val="center"/>
              <w:textAlignment w:val="center"/>
              <w:rPr>
                <w:szCs w:val="21"/>
                <w:lang w:bidi="ar"/>
              </w:rPr>
            </w:pPr>
            <w:r>
              <w:rPr>
                <w:szCs w:val="21"/>
                <w:lang w:bidi="ar"/>
              </w:rPr>
              <w:t>/</w:t>
            </w:r>
          </w:p>
        </w:tc>
        <w:tc>
          <w:tcPr>
            <w:tcW w:w="1094" w:type="dxa"/>
            <w:vAlign w:val="center"/>
          </w:tcPr>
          <w:p w:rsidR="00644456" w:rsidRDefault="008031C4">
            <w:pPr>
              <w:widowControl/>
              <w:jc w:val="center"/>
              <w:textAlignment w:val="center"/>
              <w:rPr>
                <w:szCs w:val="21"/>
                <w:lang w:bidi="ar"/>
              </w:rPr>
            </w:pPr>
            <w:r>
              <w:rPr>
                <w:szCs w:val="21"/>
                <w:lang w:bidi="ar"/>
              </w:rPr>
              <w:t>1400</w:t>
            </w:r>
          </w:p>
        </w:tc>
        <w:tc>
          <w:tcPr>
            <w:tcW w:w="1479" w:type="dxa"/>
            <w:vAlign w:val="center"/>
          </w:tcPr>
          <w:p w:rsidR="00644456" w:rsidRDefault="008031C4">
            <w:pPr>
              <w:widowControl/>
              <w:jc w:val="center"/>
              <w:textAlignment w:val="center"/>
              <w:rPr>
                <w:szCs w:val="21"/>
              </w:rPr>
            </w:pPr>
            <w:r>
              <w:rPr>
                <w:szCs w:val="21"/>
                <w:lang w:bidi="ar"/>
              </w:rPr>
              <w:t>0</w:t>
            </w:r>
          </w:p>
        </w:tc>
        <w:tc>
          <w:tcPr>
            <w:tcW w:w="1493" w:type="dxa"/>
            <w:vAlign w:val="center"/>
          </w:tcPr>
          <w:p w:rsidR="00644456" w:rsidRDefault="008031C4">
            <w:pPr>
              <w:widowControl/>
              <w:jc w:val="center"/>
              <w:textAlignment w:val="center"/>
              <w:rPr>
                <w:szCs w:val="21"/>
                <w:lang w:bidi="ar"/>
              </w:rPr>
            </w:pPr>
            <w:r>
              <w:rPr>
                <w:szCs w:val="21"/>
                <w:lang w:bidi="ar"/>
              </w:rPr>
              <w:t>124</w:t>
            </w:r>
          </w:p>
        </w:tc>
        <w:tc>
          <w:tcPr>
            <w:tcW w:w="1494" w:type="dxa"/>
            <w:vAlign w:val="center"/>
          </w:tcPr>
          <w:p w:rsidR="00644456" w:rsidRDefault="008031C4">
            <w:pPr>
              <w:widowControl/>
              <w:jc w:val="center"/>
              <w:textAlignment w:val="center"/>
              <w:rPr>
                <w:szCs w:val="21"/>
                <w:lang w:bidi="ar"/>
              </w:rPr>
            </w:pPr>
            <w:r>
              <w:rPr>
                <w:szCs w:val="21"/>
                <w:lang w:bidi="ar"/>
              </w:rPr>
              <w:t>1276</w:t>
            </w:r>
          </w:p>
        </w:tc>
      </w:tr>
      <w:tr w:rsidR="00644456">
        <w:trPr>
          <w:trHeight w:val="340"/>
          <w:jc w:val="center"/>
        </w:trPr>
        <w:tc>
          <w:tcPr>
            <w:tcW w:w="806" w:type="dxa"/>
            <w:vAlign w:val="center"/>
          </w:tcPr>
          <w:p w:rsidR="00644456" w:rsidRDefault="008031C4">
            <w:pPr>
              <w:widowControl/>
              <w:jc w:val="center"/>
              <w:textAlignment w:val="center"/>
              <w:rPr>
                <w:szCs w:val="21"/>
              </w:rPr>
            </w:pPr>
            <w:r>
              <w:rPr>
                <w:szCs w:val="21"/>
                <w:lang w:bidi="ar"/>
              </w:rPr>
              <w:t>2</w:t>
            </w:r>
          </w:p>
        </w:tc>
        <w:tc>
          <w:tcPr>
            <w:tcW w:w="1539" w:type="dxa"/>
            <w:vAlign w:val="center"/>
          </w:tcPr>
          <w:p w:rsidR="00644456" w:rsidRDefault="008031C4">
            <w:pPr>
              <w:widowControl/>
              <w:jc w:val="center"/>
              <w:textAlignment w:val="center"/>
              <w:rPr>
                <w:szCs w:val="21"/>
              </w:rPr>
            </w:pPr>
            <w:r>
              <w:rPr>
                <w:szCs w:val="21"/>
                <w:lang w:bidi="ar"/>
              </w:rPr>
              <w:t>生活用水</w:t>
            </w:r>
          </w:p>
        </w:tc>
        <w:tc>
          <w:tcPr>
            <w:tcW w:w="1093" w:type="dxa"/>
            <w:vAlign w:val="center"/>
          </w:tcPr>
          <w:p w:rsidR="00644456" w:rsidRDefault="008031C4">
            <w:pPr>
              <w:widowControl/>
              <w:jc w:val="center"/>
              <w:textAlignment w:val="center"/>
              <w:rPr>
                <w:szCs w:val="21"/>
                <w:lang w:bidi="ar"/>
              </w:rPr>
            </w:pPr>
            <w:r>
              <w:rPr>
                <w:szCs w:val="21"/>
                <w:lang w:bidi="ar"/>
              </w:rPr>
              <w:t>1440</w:t>
            </w:r>
          </w:p>
        </w:tc>
        <w:tc>
          <w:tcPr>
            <w:tcW w:w="1094" w:type="dxa"/>
            <w:vAlign w:val="center"/>
          </w:tcPr>
          <w:p w:rsidR="00644456" w:rsidRDefault="008031C4">
            <w:pPr>
              <w:widowControl/>
              <w:jc w:val="center"/>
              <w:textAlignment w:val="center"/>
              <w:rPr>
                <w:szCs w:val="21"/>
                <w:lang w:bidi="ar"/>
              </w:rPr>
            </w:pPr>
            <w:r>
              <w:rPr>
                <w:szCs w:val="21"/>
                <w:lang w:bidi="ar"/>
              </w:rPr>
              <w:t>/</w:t>
            </w:r>
          </w:p>
        </w:tc>
        <w:tc>
          <w:tcPr>
            <w:tcW w:w="1479" w:type="dxa"/>
            <w:vAlign w:val="center"/>
          </w:tcPr>
          <w:p w:rsidR="00644456" w:rsidRDefault="008031C4">
            <w:pPr>
              <w:widowControl/>
              <w:jc w:val="center"/>
              <w:textAlignment w:val="center"/>
              <w:rPr>
                <w:szCs w:val="21"/>
              </w:rPr>
            </w:pPr>
            <w:r>
              <w:rPr>
                <w:szCs w:val="21"/>
                <w:lang w:bidi="ar"/>
              </w:rPr>
              <w:t>0</w:t>
            </w:r>
          </w:p>
        </w:tc>
        <w:tc>
          <w:tcPr>
            <w:tcW w:w="1493" w:type="dxa"/>
            <w:vAlign w:val="center"/>
          </w:tcPr>
          <w:p w:rsidR="00644456" w:rsidRDefault="008031C4">
            <w:pPr>
              <w:widowControl/>
              <w:jc w:val="center"/>
              <w:textAlignment w:val="center"/>
              <w:rPr>
                <w:szCs w:val="21"/>
                <w:lang w:bidi="ar"/>
              </w:rPr>
            </w:pPr>
            <w:r>
              <w:rPr>
                <w:szCs w:val="21"/>
                <w:lang w:bidi="ar"/>
              </w:rPr>
              <w:t>216</w:t>
            </w:r>
          </w:p>
        </w:tc>
        <w:tc>
          <w:tcPr>
            <w:tcW w:w="1494" w:type="dxa"/>
            <w:vAlign w:val="center"/>
          </w:tcPr>
          <w:p w:rsidR="00644456" w:rsidRDefault="008031C4">
            <w:pPr>
              <w:widowControl/>
              <w:jc w:val="center"/>
              <w:textAlignment w:val="center"/>
              <w:rPr>
                <w:szCs w:val="21"/>
                <w:lang w:bidi="ar"/>
              </w:rPr>
            </w:pPr>
            <w:r>
              <w:rPr>
                <w:szCs w:val="21"/>
                <w:lang w:bidi="ar"/>
              </w:rPr>
              <w:t>1224</w:t>
            </w:r>
          </w:p>
        </w:tc>
      </w:tr>
      <w:tr w:rsidR="00644456">
        <w:trPr>
          <w:trHeight w:val="90"/>
          <w:jc w:val="center"/>
        </w:trPr>
        <w:tc>
          <w:tcPr>
            <w:tcW w:w="806" w:type="dxa"/>
            <w:vAlign w:val="center"/>
          </w:tcPr>
          <w:p w:rsidR="00644456" w:rsidRDefault="008031C4">
            <w:pPr>
              <w:widowControl/>
              <w:jc w:val="center"/>
              <w:textAlignment w:val="center"/>
              <w:rPr>
                <w:szCs w:val="21"/>
              </w:rPr>
            </w:pPr>
            <w:r>
              <w:rPr>
                <w:szCs w:val="21"/>
                <w:lang w:bidi="ar"/>
              </w:rPr>
              <w:t>3</w:t>
            </w:r>
          </w:p>
        </w:tc>
        <w:tc>
          <w:tcPr>
            <w:tcW w:w="1539" w:type="dxa"/>
            <w:vAlign w:val="center"/>
          </w:tcPr>
          <w:p w:rsidR="00644456" w:rsidRDefault="008031C4">
            <w:pPr>
              <w:widowControl/>
              <w:jc w:val="center"/>
              <w:textAlignment w:val="center"/>
              <w:rPr>
                <w:szCs w:val="21"/>
              </w:rPr>
            </w:pPr>
            <w:r>
              <w:rPr>
                <w:szCs w:val="21"/>
                <w:lang w:bidi="ar"/>
              </w:rPr>
              <w:t>循环冷却水</w:t>
            </w:r>
          </w:p>
        </w:tc>
        <w:tc>
          <w:tcPr>
            <w:tcW w:w="1093" w:type="dxa"/>
            <w:vAlign w:val="center"/>
          </w:tcPr>
          <w:p w:rsidR="00644456" w:rsidRDefault="008031C4">
            <w:pPr>
              <w:widowControl/>
              <w:jc w:val="center"/>
              <w:textAlignment w:val="center"/>
              <w:rPr>
                <w:szCs w:val="21"/>
                <w:lang w:bidi="ar"/>
              </w:rPr>
            </w:pPr>
            <w:r>
              <w:rPr>
                <w:szCs w:val="21"/>
                <w:lang w:bidi="ar"/>
              </w:rPr>
              <w:t>800</w:t>
            </w:r>
          </w:p>
        </w:tc>
        <w:tc>
          <w:tcPr>
            <w:tcW w:w="1094" w:type="dxa"/>
            <w:vAlign w:val="center"/>
          </w:tcPr>
          <w:p w:rsidR="00644456" w:rsidRDefault="008031C4">
            <w:pPr>
              <w:widowControl/>
              <w:jc w:val="center"/>
              <w:textAlignment w:val="center"/>
              <w:rPr>
                <w:szCs w:val="21"/>
                <w:lang w:bidi="ar"/>
              </w:rPr>
            </w:pPr>
            <w:r>
              <w:rPr>
                <w:szCs w:val="21"/>
                <w:lang w:bidi="ar"/>
              </w:rPr>
              <w:t>/</w:t>
            </w:r>
          </w:p>
        </w:tc>
        <w:tc>
          <w:tcPr>
            <w:tcW w:w="1479" w:type="dxa"/>
            <w:vAlign w:val="center"/>
          </w:tcPr>
          <w:p w:rsidR="00644456" w:rsidRDefault="008031C4">
            <w:pPr>
              <w:widowControl/>
              <w:jc w:val="center"/>
              <w:textAlignment w:val="center"/>
              <w:rPr>
                <w:szCs w:val="21"/>
              </w:rPr>
            </w:pPr>
            <w:r>
              <w:rPr>
                <w:szCs w:val="21"/>
                <w:lang w:bidi="ar"/>
              </w:rPr>
              <w:t>10000</w:t>
            </w:r>
          </w:p>
        </w:tc>
        <w:tc>
          <w:tcPr>
            <w:tcW w:w="1493" w:type="dxa"/>
            <w:vAlign w:val="center"/>
          </w:tcPr>
          <w:p w:rsidR="00644456" w:rsidRDefault="008031C4">
            <w:pPr>
              <w:widowControl/>
              <w:jc w:val="center"/>
              <w:textAlignment w:val="center"/>
              <w:rPr>
                <w:szCs w:val="21"/>
                <w:lang w:bidi="ar"/>
              </w:rPr>
            </w:pPr>
            <w:r>
              <w:rPr>
                <w:szCs w:val="21"/>
                <w:lang w:bidi="ar"/>
              </w:rPr>
              <w:t>/</w:t>
            </w:r>
          </w:p>
        </w:tc>
        <w:tc>
          <w:tcPr>
            <w:tcW w:w="1494" w:type="dxa"/>
            <w:vAlign w:val="center"/>
          </w:tcPr>
          <w:p w:rsidR="00644456" w:rsidRDefault="008031C4">
            <w:pPr>
              <w:widowControl/>
              <w:jc w:val="center"/>
              <w:textAlignment w:val="center"/>
              <w:rPr>
                <w:szCs w:val="21"/>
                <w:lang w:bidi="ar"/>
              </w:rPr>
            </w:pPr>
            <w:r>
              <w:rPr>
                <w:szCs w:val="21"/>
                <w:lang w:bidi="ar"/>
              </w:rPr>
              <w:t>800</w:t>
            </w:r>
          </w:p>
        </w:tc>
      </w:tr>
      <w:tr w:rsidR="00644456">
        <w:trPr>
          <w:trHeight w:val="90"/>
          <w:jc w:val="center"/>
        </w:trPr>
        <w:tc>
          <w:tcPr>
            <w:tcW w:w="806" w:type="dxa"/>
            <w:vAlign w:val="center"/>
          </w:tcPr>
          <w:p w:rsidR="00644456" w:rsidRDefault="008031C4">
            <w:pPr>
              <w:widowControl/>
              <w:jc w:val="center"/>
              <w:textAlignment w:val="center"/>
              <w:rPr>
                <w:szCs w:val="21"/>
              </w:rPr>
            </w:pPr>
            <w:r>
              <w:rPr>
                <w:szCs w:val="21"/>
                <w:lang w:bidi="ar"/>
              </w:rPr>
              <w:t>4</w:t>
            </w:r>
          </w:p>
        </w:tc>
        <w:tc>
          <w:tcPr>
            <w:tcW w:w="1539" w:type="dxa"/>
            <w:vAlign w:val="center"/>
          </w:tcPr>
          <w:p w:rsidR="00644456" w:rsidRDefault="008031C4">
            <w:pPr>
              <w:widowControl/>
              <w:jc w:val="center"/>
              <w:textAlignment w:val="center"/>
              <w:rPr>
                <w:szCs w:val="21"/>
              </w:rPr>
            </w:pPr>
            <w:r>
              <w:rPr>
                <w:szCs w:val="21"/>
                <w:lang w:bidi="ar"/>
              </w:rPr>
              <w:t>真空系统用水</w:t>
            </w:r>
          </w:p>
        </w:tc>
        <w:tc>
          <w:tcPr>
            <w:tcW w:w="1093" w:type="dxa"/>
            <w:vAlign w:val="center"/>
          </w:tcPr>
          <w:p w:rsidR="00644456" w:rsidRDefault="008031C4">
            <w:pPr>
              <w:widowControl/>
              <w:jc w:val="center"/>
              <w:textAlignment w:val="center"/>
              <w:rPr>
                <w:szCs w:val="21"/>
                <w:lang w:bidi="ar"/>
              </w:rPr>
            </w:pPr>
            <w:r>
              <w:rPr>
                <w:szCs w:val="21"/>
                <w:lang w:bidi="ar"/>
              </w:rPr>
              <w:t>720</w:t>
            </w:r>
          </w:p>
        </w:tc>
        <w:tc>
          <w:tcPr>
            <w:tcW w:w="1094" w:type="dxa"/>
            <w:vAlign w:val="center"/>
          </w:tcPr>
          <w:p w:rsidR="00644456" w:rsidRDefault="008031C4">
            <w:pPr>
              <w:widowControl/>
              <w:jc w:val="center"/>
              <w:textAlignment w:val="center"/>
              <w:rPr>
                <w:szCs w:val="21"/>
                <w:lang w:bidi="ar"/>
              </w:rPr>
            </w:pPr>
            <w:r>
              <w:rPr>
                <w:szCs w:val="21"/>
                <w:lang w:bidi="ar"/>
              </w:rPr>
              <w:t>/</w:t>
            </w:r>
          </w:p>
        </w:tc>
        <w:tc>
          <w:tcPr>
            <w:tcW w:w="1479" w:type="dxa"/>
            <w:vAlign w:val="center"/>
          </w:tcPr>
          <w:p w:rsidR="00644456" w:rsidRDefault="008031C4">
            <w:pPr>
              <w:widowControl/>
              <w:jc w:val="center"/>
              <w:textAlignment w:val="center"/>
              <w:rPr>
                <w:szCs w:val="21"/>
              </w:rPr>
            </w:pPr>
            <w:r>
              <w:rPr>
                <w:szCs w:val="21"/>
                <w:lang w:bidi="ar"/>
              </w:rPr>
              <w:t>0</w:t>
            </w:r>
          </w:p>
        </w:tc>
        <w:tc>
          <w:tcPr>
            <w:tcW w:w="1493" w:type="dxa"/>
            <w:vAlign w:val="center"/>
          </w:tcPr>
          <w:p w:rsidR="00644456" w:rsidRDefault="008031C4">
            <w:pPr>
              <w:widowControl/>
              <w:jc w:val="center"/>
              <w:textAlignment w:val="center"/>
              <w:rPr>
                <w:szCs w:val="21"/>
                <w:lang w:bidi="ar"/>
              </w:rPr>
            </w:pPr>
            <w:r>
              <w:rPr>
                <w:szCs w:val="21"/>
                <w:lang w:bidi="ar"/>
              </w:rPr>
              <w:t>/</w:t>
            </w:r>
          </w:p>
        </w:tc>
        <w:tc>
          <w:tcPr>
            <w:tcW w:w="1494" w:type="dxa"/>
            <w:vAlign w:val="center"/>
          </w:tcPr>
          <w:p w:rsidR="00644456" w:rsidRDefault="008031C4">
            <w:pPr>
              <w:widowControl/>
              <w:jc w:val="center"/>
              <w:textAlignment w:val="center"/>
              <w:rPr>
                <w:szCs w:val="21"/>
                <w:lang w:bidi="ar"/>
              </w:rPr>
            </w:pPr>
            <w:r>
              <w:rPr>
                <w:szCs w:val="21"/>
                <w:lang w:bidi="ar"/>
              </w:rPr>
              <w:t>720</w:t>
            </w:r>
          </w:p>
        </w:tc>
      </w:tr>
      <w:tr w:rsidR="00644456">
        <w:trPr>
          <w:trHeight w:val="340"/>
          <w:jc w:val="center"/>
        </w:trPr>
        <w:tc>
          <w:tcPr>
            <w:tcW w:w="806" w:type="dxa"/>
            <w:vAlign w:val="center"/>
          </w:tcPr>
          <w:p w:rsidR="00644456" w:rsidRDefault="008031C4">
            <w:pPr>
              <w:widowControl/>
              <w:jc w:val="center"/>
              <w:textAlignment w:val="center"/>
              <w:rPr>
                <w:szCs w:val="21"/>
              </w:rPr>
            </w:pPr>
            <w:r>
              <w:rPr>
                <w:szCs w:val="21"/>
                <w:lang w:bidi="ar"/>
              </w:rPr>
              <w:t>5</w:t>
            </w:r>
          </w:p>
        </w:tc>
        <w:tc>
          <w:tcPr>
            <w:tcW w:w="1539" w:type="dxa"/>
            <w:vAlign w:val="center"/>
          </w:tcPr>
          <w:p w:rsidR="00644456" w:rsidRDefault="008031C4">
            <w:pPr>
              <w:widowControl/>
              <w:jc w:val="center"/>
              <w:textAlignment w:val="center"/>
              <w:rPr>
                <w:szCs w:val="21"/>
              </w:rPr>
            </w:pPr>
            <w:r>
              <w:rPr>
                <w:szCs w:val="21"/>
                <w:lang w:bidi="ar"/>
              </w:rPr>
              <w:t>地面设备冲洗</w:t>
            </w:r>
          </w:p>
        </w:tc>
        <w:tc>
          <w:tcPr>
            <w:tcW w:w="1093" w:type="dxa"/>
            <w:vAlign w:val="center"/>
          </w:tcPr>
          <w:p w:rsidR="00644456" w:rsidRDefault="008031C4">
            <w:pPr>
              <w:widowControl/>
              <w:jc w:val="center"/>
              <w:textAlignment w:val="center"/>
              <w:rPr>
                <w:szCs w:val="21"/>
                <w:lang w:bidi="ar"/>
              </w:rPr>
            </w:pPr>
            <w:r>
              <w:rPr>
                <w:szCs w:val="21"/>
                <w:lang w:bidi="ar"/>
              </w:rPr>
              <w:t>290.25</w:t>
            </w:r>
          </w:p>
        </w:tc>
        <w:tc>
          <w:tcPr>
            <w:tcW w:w="1094" w:type="dxa"/>
            <w:vAlign w:val="center"/>
          </w:tcPr>
          <w:p w:rsidR="00644456" w:rsidRDefault="008031C4">
            <w:pPr>
              <w:widowControl/>
              <w:jc w:val="center"/>
              <w:textAlignment w:val="center"/>
              <w:rPr>
                <w:szCs w:val="21"/>
                <w:lang w:bidi="ar"/>
              </w:rPr>
            </w:pPr>
            <w:r>
              <w:rPr>
                <w:szCs w:val="21"/>
                <w:lang w:bidi="ar"/>
              </w:rPr>
              <w:t>0</w:t>
            </w:r>
          </w:p>
        </w:tc>
        <w:tc>
          <w:tcPr>
            <w:tcW w:w="1479" w:type="dxa"/>
            <w:vAlign w:val="center"/>
          </w:tcPr>
          <w:p w:rsidR="00644456" w:rsidRDefault="008031C4">
            <w:pPr>
              <w:widowControl/>
              <w:jc w:val="center"/>
              <w:textAlignment w:val="center"/>
              <w:rPr>
                <w:szCs w:val="21"/>
              </w:rPr>
            </w:pPr>
            <w:r>
              <w:rPr>
                <w:szCs w:val="21"/>
                <w:lang w:bidi="ar"/>
              </w:rPr>
              <w:t>0</w:t>
            </w:r>
          </w:p>
        </w:tc>
        <w:tc>
          <w:tcPr>
            <w:tcW w:w="1493" w:type="dxa"/>
            <w:vAlign w:val="center"/>
          </w:tcPr>
          <w:p w:rsidR="00644456" w:rsidRDefault="008031C4">
            <w:pPr>
              <w:widowControl/>
              <w:jc w:val="center"/>
              <w:textAlignment w:val="center"/>
              <w:rPr>
                <w:szCs w:val="21"/>
                <w:lang w:bidi="ar"/>
              </w:rPr>
            </w:pPr>
            <w:r>
              <w:rPr>
                <w:szCs w:val="21"/>
                <w:lang w:bidi="ar"/>
              </w:rPr>
              <w:t>29.02</w:t>
            </w:r>
          </w:p>
        </w:tc>
        <w:tc>
          <w:tcPr>
            <w:tcW w:w="1494" w:type="dxa"/>
            <w:vAlign w:val="center"/>
          </w:tcPr>
          <w:p w:rsidR="00644456" w:rsidRDefault="008031C4">
            <w:pPr>
              <w:widowControl/>
              <w:jc w:val="center"/>
              <w:textAlignment w:val="center"/>
              <w:rPr>
                <w:szCs w:val="21"/>
                <w:lang w:bidi="ar"/>
              </w:rPr>
            </w:pPr>
            <w:r>
              <w:rPr>
                <w:szCs w:val="21"/>
                <w:lang w:bidi="ar"/>
              </w:rPr>
              <w:t>261.23</w:t>
            </w:r>
          </w:p>
        </w:tc>
      </w:tr>
      <w:tr w:rsidR="00644456">
        <w:trPr>
          <w:trHeight w:val="340"/>
          <w:jc w:val="center"/>
        </w:trPr>
        <w:tc>
          <w:tcPr>
            <w:tcW w:w="806" w:type="dxa"/>
            <w:vAlign w:val="center"/>
          </w:tcPr>
          <w:p w:rsidR="00644456" w:rsidRDefault="008031C4">
            <w:pPr>
              <w:widowControl/>
              <w:jc w:val="center"/>
              <w:textAlignment w:val="center"/>
              <w:rPr>
                <w:szCs w:val="21"/>
              </w:rPr>
            </w:pPr>
            <w:r>
              <w:rPr>
                <w:szCs w:val="21"/>
                <w:lang w:bidi="ar"/>
              </w:rPr>
              <w:t>6</w:t>
            </w:r>
          </w:p>
        </w:tc>
        <w:tc>
          <w:tcPr>
            <w:tcW w:w="1539" w:type="dxa"/>
            <w:vAlign w:val="center"/>
          </w:tcPr>
          <w:p w:rsidR="00644456" w:rsidRDefault="008031C4">
            <w:pPr>
              <w:widowControl/>
              <w:jc w:val="center"/>
              <w:textAlignment w:val="center"/>
              <w:rPr>
                <w:szCs w:val="21"/>
              </w:rPr>
            </w:pPr>
            <w:r>
              <w:rPr>
                <w:szCs w:val="21"/>
                <w:lang w:bidi="ar"/>
              </w:rPr>
              <w:t>喷淋塔</w:t>
            </w:r>
          </w:p>
        </w:tc>
        <w:tc>
          <w:tcPr>
            <w:tcW w:w="1093" w:type="dxa"/>
            <w:vAlign w:val="center"/>
          </w:tcPr>
          <w:p w:rsidR="00644456" w:rsidRDefault="008031C4">
            <w:pPr>
              <w:widowControl/>
              <w:jc w:val="center"/>
              <w:textAlignment w:val="center"/>
              <w:rPr>
                <w:szCs w:val="21"/>
                <w:lang w:bidi="ar"/>
              </w:rPr>
            </w:pPr>
            <w:r>
              <w:rPr>
                <w:szCs w:val="21"/>
                <w:lang w:bidi="ar"/>
              </w:rPr>
              <w:t>200</w:t>
            </w:r>
          </w:p>
        </w:tc>
        <w:tc>
          <w:tcPr>
            <w:tcW w:w="1094" w:type="dxa"/>
            <w:vAlign w:val="center"/>
          </w:tcPr>
          <w:p w:rsidR="00644456" w:rsidRDefault="008031C4">
            <w:pPr>
              <w:widowControl/>
              <w:jc w:val="center"/>
              <w:textAlignment w:val="center"/>
              <w:rPr>
                <w:szCs w:val="21"/>
                <w:lang w:bidi="ar"/>
              </w:rPr>
            </w:pPr>
            <w:r>
              <w:rPr>
                <w:szCs w:val="21"/>
                <w:lang w:bidi="ar"/>
              </w:rPr>
              <w:t>0</w:t>
            </w:r>
          </w:p>
        </w:tc>
        <w:tc>
          <w:tcPr>
            <w:tcW w:w="1479" w:type="dxa"/>
            <w:vAlign w:val="center"/>
          </w:tcPr>
          <w:p w:rsidR="00644456" w:rsidRDefault="00D04867">
            <w:pPr>
              <w:widowControl/>
              <w:jc w:val="center"/>
              <w:textAlignment w:val="center"/>
              <w:rPr>
                <w:szCs w:val="21"/>
              </w:rPr>
            </w:pPr>
            <w:r>
              <w:rPr>
                <w:szCs w:val="21"/>
                <w:lang w:bidi="ar"/>
              </w:rPr>
              <w:t>2000</w:t>
            </w:r>
          </w:p>
        </w:tc>
        <w:tc>
          <w:tcPr>
            <w:tcW w:w="1493" w:type="dxa"/>
            <w:vAlign w:val="center"/>
          </w:tcPr>
          <w:p w:rsidR="00644456" w:rsidRDefault="008031C4">
            <w:pPr>
              <w:widowControl/>
              <w:jc w:val="center"/>
              <w:textAlignment w:val="center"/>
              <w:rPr>
                <w:szCs w:val="21"/>
              </w:rPr>
            </w:pPr>
            <w:r>
              <w:rPr>
                <w:szCs w:val="21"/>
                <w:lang w:bidi="ar"/>
              </w:rPr>
              <w:t>160</w:t>
            </w:r>
          </w:p>
        </w:tc>
        <w:tc>
          <w:tcPr>
            <w:tcW w:w="1494" w:type="dxa"/>
            <w:vAlign w:val="center"/>
          </w:tcPr>
          <w:p w:rsidR="00644456" w:rsidRDefault="008031C4">
            <w:pPr>
              <w:widowControl/>
              <w:jc w:val="center"/>
              <w:textAlignment w:val="center"/>
              <w:rPr>
                <w:szCs w:val="21"/>
              </w:rPr>
            </w:pPr>
            <w:r>
              <w:rPr>
                <w:szCs w:val="21"/>
                <w:lang w:bidi="ar"/>
              </w:rPr>
              <w:t>40</w:t>
            </w:r>
          </w:p>
        </w:tc>
      </w:tr>
      <w:tr w:rsidR="00644456">
        <w:trPr>
          <w:trHeight w:val="340"/>
          <w:jc w:val="center"/>
        </w:trPr>
        <w:tc>
          <w:tcPr>
            <w:tcW w:w="2345" w:type="dxa"/>
            <w:gridSpan w:val="2"/>
            <w:vAlign w:val="center"/>
          </w:tcPr>
          <w:p w:rsidR="00644456" w:rsidRDefault="008031C4">
            <w:pPr>
              <w:widowControl/>
              <w:jc w:val="center"/>
              <w:textAlignment w:val="center"/>
              <w:rPr>
                <w:szCs w:val="21"/>
              </w:rPr>
            </w:pPr>
            <w:r>
              <w:rPr>
                <w:szCs w:val="21"/>
                <w:lang w:bidi="ar"/>
              </w:rPr>
              <w:t>合计</w:t>
            </w:r>
          </w:p>
        </w:tc>
        <w:tc>
          <w:tcPr>
            <w:tcW w:w="2187" w:type="dxa"/>
            <w:gridSpan w:val="2"/>
            <w:vAlign w:val="center"/>
          </w:tcPr>
          <w:p w:rsidR="00644456" w:rsidRDefault="008031C4">
            <w:pPr>
              <w:widowControl/>
              <w:jc w:val="center"/>
              <w:textAlignment w:val="center"/>
              <w:rPr>
                <w:szCs w:val="21"/>
              </w:rPr>
            </w:pPr>
            <w:r>
              <w:rPr>
                <w:szCs w:val="21"/>
              </w:rPr>
              <w:t>4850.25</w:t>
            </w:r>
          </w:p>
        </w:tc>
        <w:tc>
          <w:tcPr>
            <w:tcW w:w="1479" w:type="dxa"/>
            <w:vAlign w:val="center"/>
          </w:tcPr>
          <w:p w:rsidR="00644456" w:rsidRDefault="008031C4">
            <w:pPr>
              <w:widowControl/>
              <w:jc w:val="center"/>
              <w:textAlignment w:val="center"/>
              <w:rPr>
                <w:szCs w:val="21"/>
              </w:rPr>
            </w:pPr>
            <w:r>
              <w:rPr>
                <w:szCs w:val="21"/>
                <w:lang w:bidi="ar"/>
              </w:rPr>
              <w:t xml:space="preserve">　</w:t>
            </w:r>
          </w:p>
        </w:tc>
        <w:tc>
          <w:tcPr>
            <w:tcW w:w="2987" w:type="dxa"/>
            <w:gridSpan w:val="2"/>
            <w:vAlign w:val="center"/>
          </w:tcPr>
          <w:p w:rsidR="00644456" w:rsidRDefault="008031C4">
            <w:pPr>
              <w:widowControl/>
              <w:jc w:val="center"/>
              <w:textAlignment w:val="center"/>
              <w:rPr>
                <w:szCs w:val="21"/>
              </w:rPr>
            </w:pPr>
            <w:r>
              <w:rPr>
                <w:szCs w:val="21"/>
              </w:rPr>
              <w:t>4850.25</w:t>
            </w:r>
          </w:p>
        </w:tc>
      </w:tr>
      <w:tr w:rsidR="00644456">
        <w:trPr>
          <w:trHeight w:val="356"/>
          <w:jc w:val="center"/>
        </w:trPr>
        <w:tc>
          <w:tcPr>
            <w:tcW w:w="8998" w:type="dxa"/>
            <w:gridSpan w:val="7"/>
            <w:vAlign w:val="center"/>
          </w:tcPr>
          <w:p w:rsidR="00644456" w:rsidRDefault="008031C4">
            <w:pPr>
              <w:widowControl/>
              <w:textAlignment w:val="center"/>
              <w:rPr>
                <w:szCs w:val="21"/>
              </w:rPr>
            </w:pPr>
            <w:r>
              <w:rPr>
                <w:szCs w:val="21"/>
                <w:lang w:bidi="ar"/>
              </w:rPr>
              <w:t>注：本次计算纯水量，扣除了原料携带的废水中的油及固相。</w:t>
            </w:r>
          </w:p>
        </w:tc>
      </w:tr>
    </w:tbl>
    <w:p w:rsidR="00D04867" w:rsidRPr="001543E3" w:rsidRDefault="00D04867" w:rsidP="00D04867">
      <w:pPr>
        <w:adjustRightInd w:val="0"/>
        <w:snapToGrid w:val="0"/>
        <w:spacing w:line="360" w:lineRule="auto"/>
        <w:ind w:firstLineChars="200" w:firstLine="480"/>
        <w:rPr>
          <w:rFonts w:cs="Times New Roman"/>
          <w:color w:val="FF0000"/>
          <w:kern w:val="0"/>
          <w:sz w:val="24"/>
        </w:rPr>
      </w:pPr>
      <w:r w:rsidRPr="001543E3">
        <w:rPr>
          <w:rFonts w:cs="Times New Roman" w:hint="eastAsia"/>
          <w:color w:val="FF0000"/>
          <w:kern w:val="0"/>
          <w:sz w:val="24"/>
        </w:rPr>
        <w:t>本项目最大初期雨水收集量为</w:t>
      </w:r>
      <w:r w:rsidRPr="001543E3">
        <w:rPr>
          <w:rFonts w:cs="Times New Roman" w:hint="eastAsia"/>
          <w:color w:val="FF0000"/>
          <w:kern w:val="0"/>
          <w:sz w:val="24"/>
        </w:rPr>
        <w:t>137.37m</w:t>
      </w:r>
      <w:r w:rsidRPr="001543E3">
        <w:rPr>
          <w:rFonts w:cs="Times New Roman" w:hint="eastAsia"/>
          <w:color w:val="FF0000"/>
          <w:kern w:val="0"/>
          <w:sz w:val="24"/>
          <w:vertAlign w:val="superscript"/>
        </w:rPr>
        <w:t>3</w:t>
      </w:r>
      <w:r w:rsidRPr="001543E3">
        <w:rPr>
          <w:rFonts w:cs="Times New Roman" w:hint="eastAsia"/>
          <w:color w:val="FF0000"/>
          <w:kern w:val="0"/>
          <w:sz w:val="24"/>
        </w:rPr>
        <w:t>。</w:t>
      </w:r>
    </w:p>
    <w:p w:rsidR="00644456" w:rsidRPr="001543E3" w:rsidRDefault="001543E3" w:rsidP="00D04867">
      <w:pPr>
        <w:adjustRightInd w:val="0"/>
        <w:snapToGrid w:val="0"/>
        <w:spacing w:line="360" w:lineRule="auto"/>
        <w:ind w:firstLineChars="200" w:firstLine="480"/>
        <w:rPr>
          <w:rFonts w:cs="Times New Roman"/>
          <w:color w:val="FF0000"/>
          <w:kern w:val="0"/>
          <w:sz w:val="24"/>
        </w:rPr>
      </w:pPr>
      <w:r w:rsidRPr="001543E3">
        <w:rPr>
          <w:rFonts w:cs="Times New Roman" w:hint="eastAsia"/>
          <w:color w:val="FF0000"/>
          <w:kern w:val="0"/>
          <w:sz w:val="24"/>
        </w:rPr>
        <w:t>参考喀什年雨天数平均为</w:t>
      </w:r>
      <w:r w:rsidRPr="001543E3">
        <w:rPr>
          <w:rFonts w:cs="Times New Roman" w:hint="eastAsia"/>
          <w:color w:val="FF0000"/>
          <w:kern w:val="0"/>
          <w:sz w:val="24"/>
        </w:rPr>
        <w:t>19</w:t>
      </w:r>
      <w:r w:rsidRPr="001543E3">
        <w:rPr>
          <w:rFonts w:cs="Times New Roman" w:hint="eastAsia"/>
          <w:color w:val="FF0000"/>
          <w:kern w:val="0"/>
          <w:sz w:val="24"/>
        </w:rPr>
        <w:t>天（本项目位于喀什市疏勒县），年初期雨水量为</w:t>
      </w:r>
      <w:r w:rsidRPr="001543E3">
        <w:rPr>
          <w:rFonts w:cs="Times New Roman" w:hint="eastAsia"/>
          <w:color w:val="FF0000"/>
          <w:kern w:val="0"/>
          <w:sz w:val="24"/>
        </w:rPr>
        <w:t>2610.03m</w:t>
      </w:r>
      <w:r w:rsidRPr="001543E3">
        <w:rPr>
          <w:rFonts w:cs="Times New Roman" w:hint="eastAsia"/>
          <w:color w:val="FF0000"/>
          <w:kern w:val="0"/>
          <w:sz w:val="24"/>
          <w:vertAlign w:val="superscript"/>
        </w:rPr>
        <w:t>3</w:t>
      </w:r>
      <w:r w:rsidRPr="001543E3">
        <w:rPr>
          <w:rFonts w:cs="Times New Roman" w:hint="eastAsia"/>
          <w:color w:val="FF0000"/>
          <w:kern w:val="0"/>
          <w:sz w:val="24"/>
        </w:rPr>
        <w:t>/a</w:t>
      </w:r>
      <w:r w:rsidRPr="001543E3">
        <w:rPr>
          <w:rFonts w:cs="Times New Roman" w:hint="eastAsia"/>
          <w:color w:val="FF0000"/>
          <w:kern w:val="0"/>
          <w:sz w:val="24"/>
        </w:rPr>
        <w:t>，</w:t>
      </w:r>
      <w:r w:rsidR="00D04867" w:rsidRPr="001543E3">
        <w:rPr>
          <w:rFonts w:cs="Times New Roman" w:hint="eastAsia"/>
          <w:color w:val="FF0000"/>
          <w:kern w:val="0"/>
          <w:sz w:val="24"/>
        </w:rPr>
        <w:t>废水中主要污染物为</w:t>
      </w:r>
      <w:r w:rsidR="00D04867" w:rsidRPr="001543E3">
        <w:rPr>
          <w:rFonts w:cs="Times New Roman" w:hint="eastAsia"/>
          <w:color w:val="FF0000"/>
          <w:kern w:val="0"/>
          <w:sz w:val="24"/>
        </w:rPr>
        <w:t>COD</w:t>
      </w:r>
      <w:r w:rsidR="00D04867" w:rsidRPr="001543E3">
        <w:rPr>
          <w:rFonts w:cs="Times New Roman" w:hint="eastAsia"/>
          <w:color w:val="FF0000"/>
          <w:kern w:val="0"/>
          <w:sz w:val="24"/>
        </w:rPr>
        <w:t>、石油类、氨氮等，送厂区污水处理系统。</w:t>
      </w:r>
    </w:p>
    <w:p w:rsidR="00644456" w:rsidRDefault="001543E3" w:rsidP="001543E3">
      <w:pPr>
        <w:adjustRightInd w:val="0"/>
        <w:snapToGrid w:val="0"/>
        <w:spacing w:line="360" w:lineRule="auto"/>
        <w:ind w:firstLineChars="200" w:firstLine="480"/>
        <w:jc w:val="center"/>
        <w:rPr>
          <w:rFonts w:cs="Times New Roman"/>
          <w:color w:val="000000" w:themeColor="text1"/>
          <w:kern w:val="0"/>
          <w:sz w:val="24"/>
        </w:rPr>
      </w:pPr>
      <w:r>
        <w:rPr>
          <w:rFonts w:cs="Times New Roman" w:hint="eastAsia"/>
          <w:noProof/>
          <w:color w:val="000000" w:themeColor="text1"/>
          <w:kern w:val="0"/>
          <w:sz w:val="24"/>
        </w:rPr>
        <w:lastRenderedPageBreak/>
        <w:drawing>
          <wp:inline distT="0" distB="0" distL="0" distR="0" wp14:anchorId="3FB8C694" wp14:editId="7E24DB62">
            <wp:extent cx="4515466" cy="34861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8916" cy="3488814"/>
                    </a:xfrm>
                    <a:prstGeom prst="rect">
                      <a:avLst/>
                    </a:prstGeom>
                    <a:noFill/>
                    <a:ln>
                      <a:noFill/>
                    </a:ln>
                  </pic:spPr>
                </pic:pic>
              </a:graphicData>
            </a:graphic>
          </wp:inline>
        </w:drawing>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图</w:t>
      </w:r>
      <w:r>
        <w:rPr>
          <w:rFonts w:cs="Times New Roman" w:hint="eastAsia"/>
          <w:b/>
          <w:color w:val="000000" w:themeColor="text1"/>
          <w:sz w:val="24"/>
          <w:szCs w:val="20"/>
        </w:rPr>
        <w:t>2.4-7</w:t>
      </w:r>
      <w:r>
        <w:rPr>
          <w:rFonts w:cs="Times New Roman" w:hint="eastAsia"/>
          <w:b/>
          <w:color w:val="000000" w:themeColor="text1"/>
          <w:sz w:val="24"/>
          <w:szCs w:val="20"/>
        </w:rPr>
        <w:t>水平衡图</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137" w:name="_Toc434578040"/>
      <w:bookmarkStart w:id="138" w:name="_Toc155789361"/>
      <w:bookmarkStart w:id="139" w:name="_Toc405280015"/>
      <w:bookmarkStart w:id="140" w:name="_Toc177216869"/>
      <w:bookmarkStart w:id="141" w:name="_Toc412743002"/>
      <w:bookmarkStart w:id="142" w:name="_Toc479669362"/>
      <w:bookmarkStart w:id="143" w:name="_Toc405298909"/>
      <w:bookmarkStart w:id="144" w:name="_Toc432518785"/>
      <w:bookmarkEnd w:id="136"/>
      <w:r>
        <w:rPr>
          <w:rFonts w:cs="Times New Roman" w:hint="eastAsia"/>
          <w:color w:val="000000" w:themeColor="text1"/>
        </w:rPr>
        <w:t>2.5</w:t>
      </w:r>
      <w:r>
        <w:rPr>
          <w:rFonts w:cs="Times New Roman"/>
          <w:color w:val="000000" w:themeColor="text1"/>
        </w:rPr>
        <w:t>工程主要污染工序及治理措施</w:t>
      </w:r>
      <w:bookmarkEnd w:id="137"/>
      <w:bookmarkEnd w:id="138"/>
      <w:bookmarkEnd w:id="139"/>
      <w:bookmarkEnd w:id="140"/>
      <w:bookmarkEnd w:id="141"/>
      <w:bookmarkEnd w:id="142"/>
      <w:bookmarkEnd w:id="143"/>
      <w:bookmarkEnd w:id="144"/>
    </w:p>
    <w:p w:rsidR="00644456" w:rsidRDefault="008031C4">
      <w:pPr>
        <w:pStyle w:val="3"/>
        <w:numPr>
          <w:ilvl w:val="2"/>
          <w:numId w:val="0"/>
        </w:numPr>
        <w:ind w:firstLineChars="200" w:firstLine="482"/>
      </w:pPr>
      <w:r>
        <w:rPr>
          <w:rFonts w:hint="eastAsia"/>
        </w:rPr>
        <w:t>2.5.1</w:t>
      </w:r>
      <w:r>
        <w:rPr>
          <w:rFonts w:hint="eastAsia"/>
        </w:rPr>
        <w:t>施工期污染源及治理措施</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2.5.1.1</w:t>
      </w:r>
      <w:r>
        <w:rPr>
          <w:rFonts w:cs="Times New Roman" w:hint="eastAsia"/>
          <w:snapToGrid w:val="0"/>
          <w:color w:val="000000" w:themeColor="text1"/>
          <w:kern w:val="0"/>
          <w:szCs w:val="24"/>
        </w:rPr>
        <w:t>大气污染治理措施</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对本项目施工期而言，施工期间的废气主要来自土建施工阶段，按起尘的原因可分为风力起尘和动力起尘。其中风力起尘主要是由于露天堆放的建材（如黄沙、水泥等）及裸露的施工区表层浮尘由于天气干燥及大风，产生风力扬尘；动力起尘，主要是在土方的挖掘及挖土机装载、建材包括白灰、水泥、沙子等搬运、装卸及搅拌的过程中，由于外力而产生的尘粒再悬浮而造成，其中施工及装卸车辆造成的扬尘最为严重。</w:t>
      </w:r>
    </w:p>
    <w:p w:rsidR="00644456" w:rsidRDefault="008031C4">
      <w:pPr>
        <w:adjustRightInd w:val="0"/>
        <w:snapToGrid w:val="0"/>
        <w:spacing w:line="360" w:lineRule="auto"/>
        <w:ind w:firstLineChars="200" w:firstLine="482"/>
        <w:rPr>
          <w:rFonts w:cs="Times New Roman"/>
          <w:b/>
          <w:bCs/>
          <w:color w:val="000000" w:themeColor="text1"/>
          <w:kern w:val="0"/>
          <w:sz w:val="24"/>
        </w:rPr>
      </w:pPr>
      <w:r>
        <w:rPr>
          <w:rFonts w:cs="Times New Roman" w:hint="eastAsia"/>
          <w:b/>
          <w:bCs/>
          <w:color w:val="000000" w:themeColor="text1"/>
          <w:kern w:val="0"/>
          <w:sz w:val="24"/>
        </w:rPr>
        <w:t>项目施工期严格落实《防治城市扬尘污染技术规范》（</w:t>
      </w:r>
      <w:r>
        <w:rPr>
          <w:rFonts w:cs="Times New Roman" w:hint="eastAsia"/>
          <w:b/>
          <w:bCs/>
          <w:color w:val="000000" w:themeColor="text1"/>
          <w:kern w:val="0"/>
          <w:sz w:val="24"/>
        </w:rPr>
        <w:t>HJ/T393-2007</w:t>
      </w:r>
      <w:r>
        <w:rPr>
          <w:rFonts w:cs="Times New Roman" w:hint="eastAsia"/>
          <w:b/>
          <w:bCs/>
          <w:color w:val="000000" w:themeColor="text1"/>
          <w:kern w:val="0"/>
          <w:sz w:val="24"/>
        </w:rPr>
        <w:t>）、《建筑工程绿色环保施工管理规范》（</w:t>
      </w:r>
      <w:r>
        <w:rPr>
          <w:rFonts w:cs="Times New Roman" w:hint="eastAsia"/>
          <w:b/>
          <w:bCs/>
          <w:color w:val="000000" w:themeColor="text1"/>
          <w:kern w:val="0"/>
          <w:sz w:val="24"/>
        </w:rPr>
        <w:t>DB65T4060-2017</w:t>
      </w:r>
      <w:r>
        <w:rPr>
          <w:rFonts w:cs="Times New Roman" w:hint="eastAsia"/>
          <w:b/>
          <w:bCs/>
          <w:color w:val="000000" w:themeColor="text1"/>
          <w:kern w:val="0"/>
          <w:sz w:val="24"/>
        </w:rPr>
        <w:t>）要求、《新疆维吾尔自治区大气污染防治条例》（</w:t>
      </w:r>
      <w:r>
        <w:rPr>
          <w:rFonts w:cs="Times New Roman" w:hint="eastAsia"/>
          <w:b/>
          <w:bCs/>
          <w:color w:val="000000" w:themeColor="text1"/>
          <w:kern w:val="0"/>
          <w:sz w:val="24"/>
        </w:rPr>
        <w:t>2019</w:t>
      </w:r>
      <w:r>
        <w:rPr>
          <w:rFonts w:cs="Times New Roman" w:hint="eastAsia"/>
          <w:b/>
          <w:bCs/>
          <w:color w:val="000000" w:themeColor="text1"/>
          <w:kern w:val="0"/>
          <w:sz w:val="24"/>
        </w:rPr>
        <w:t>年</w:t>
      </w:r>
      <w:r>
        <w:rPr>
          <w:rFonts w:cs="Times New Roman" w:hint="eastAsia"/>
          <w:b/>
          <w:bCs/>
          <w:color w:val="000000" w:themeColor="text1"/>
          <w:kern w:val="0"/>
          <w:sz w:val="24"/>
        </w:rPr>
        <w:t>1</w:t>
      </w:r>
      <w:r>
        <w:rPr>
          <w:rFonts w:cs="Times New Roman" w:hint="eastAsia"/>
          <w:b/>
          <w:bCs/>
          <w:color w:val="000000" w:themeColor="text1"/>
          <w:kern w:val="0"/>
          <w:sz w:val="24"/>
        </w:rPr>
        <w:t>月</w:t>
      </w:r>
      <w:r>
        <w:rPr>
          <w:rFonts w:cs="Times New Roman" w:hint="eastAsia"/>
          <w:b/>
          <w:bCs/>
          <w:color w:val="000000" w:themeColor="text1"/>
          <w:kern w:val="0"/>
          <w:sz w:val="24"/>
        </w:rPr>
        <w:t>1</w:t>
      </w:r>
      <w:r>
        <w:rPr>
          <w:rFonts w:cs="Times New Roman" w:hint="eastAsia"/>
          <w:b/>
          <w:bCs/>
          <w:color w:val="000000" w:themeColor="text1"/>
          <w:kern w:val="0"/>
          <w:sz w:val="24"/>
        </w:rPr>
        <w:t>日），建议采取以下防护措施：</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w:t>
      </w:r>
      <w:r>
        <w:rPr>
          <w:rFonts w:cs="Times New Roman" w:hint="eastAsia"/>
          <w:color w:val="000000" w:themeColor="text1"/>
          <w:kern w:val="0"/>
          <w:sz w:val="24"/>
        </w:rPr>
        <w:t>1</w:t>
      </w:r>
      <w:r>
        <w:rPr>
          <w:rFonts w:cs="Times New Roman" w:hint="eastAsia"/>
          <w:color w:val="000000" w:themeColor="text1"/>
          <w:kern w:val="0"/>
          <w:sz w:val="24"/>
        </w:rPr>
        <w:t>）废气防治措施</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加强对施工车辆的检修和维护，严禁使用超期服役和尾气超标的车辆。对施工期进出施工现场车流量进行合理安排，防止施工现场车流量过大。尽可能使用耗油低，排气小的施工车辆，选用优质燃油，减少机械和车辆有害废气排放。施工过程中禁止将废弃的建筑材料作为燃料燃烧。</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w:t>
      </w:r>
      <w:r>
        <w:rPr>
          <w:rFonts w:cs="Times New Roman" w:hint="eastAsia"/>
          <w:color w:val="000000" w:themeColor="text1"/>
          <w:kern w:val="0"/>
          <w:sz w:val="24"/>
        </w:rPr>
        <w:t>2</w:t>
      </w:r>
      <w:r>
        <w:rPr>
          <w:rFonts w:cs="Times New Roman" w:hint="eastAsia"/>
          <w:color w:val="000000" w:themeColor="text1"/>
          <w:kern w:val="0"/>
          <w:sz w:val="24"/>
        </w:rPr>
        <w:t>）扬尘防治措施</w:t>
      </w:r>
    </w:p>
    <w:p w:rsidR="00644456" w:rsidRDefault="008031C4">
      <w:pPr>
        <w:adjustRightInd w:val="0"/>
        <w:snapToGrid w:val="0"/>
        <w:spacing w:line="360" w:lineRule="auto"/>
        <w:ind w:firstLineChars="200" w:firstLine="482"/>
        <w:rPr>
          <w:rFonts w:cs="Times New Roman"/>
          <w:color w:val="000000" w:themeColor="text1"/>
          <w:kern w:val="0"/>
          <w:sz w:val="24"/>
        </w:rPr>
      </w:pPr>
      <w:r>
        <w:rPr>
          <w:rFonts w:cs="Times New Roman" w:hint="eastAsia"/>
          <w:b/>
          <w:bCs/>
          <w:color w:val="000000" w:themeColor="text1"/>
          <w:kern w:val="0"/>
          <w:sz w:val="24"/>
        </w:rPr>
        <w:lastRenderedPageBreak/>
        <w:t>扬尘：</w:t>
      </w:r>
      <w:r>
        <w:rPr>
          <w:rFonts w:cs="Times New Roman" w:hint="eastAsia"/>
          <w:color w:val="000000" w:themeColor="text1"/>
          <w:kern w:val="0"/>
          <w:sz w:val="24"/>
        </w:rPr>
        <w:t>经类比分析，施工场地扬尘浓度平均值约为</w:t>
      </w:r>
      <w:r>
        <w:rPr>
          <w:rFonts w:cs="Times New Roman" w:hint="eastAsia"/>
          <w:color w:val="000000" w:themeColor="text1"/>
          <w:kern w:val="0"/>
          <w:sz w:val="24"/>
        </w:rPr>
        <w:t>3.5mg/m</w:t>
      </w:r>
      <w:r>
        <w:rPr>
          <w:rFonts w:cs="Times New Roman" w:hint="eastAsia"/>
          <w:color w:val="000000" w:themeColor="text1"/>
          <w:kern w:val="0"/>
          <w:sz w:val="24"/>
          <w:vertAlign w:val="superscript"/>
        </w:rPr>
        <w:t>3</w:t>
      </w:r>
      <w:r>
        <w:rPr>
          <w:rFonts w:cs="Times New Roman" w:hint="eastAsia"/>
          <w:color w:val="000000" w:themeColor="text1"/>
          <w:kern w:val="0"/>
          <w:sz w:val="24"/>
        </w:rPr>
        <w:t>。因此，在施工过程中，施工单位必须严格依照城市扬尘防护规定进行施工，尽量减少扬尘对环境的影响程度。为此，施工单位应采取以下措施：</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为使施工过程中产生的粉尘（扬尘）对周围环境空气的影响降低到最低程度，需采取以下防护措施：</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①所有建设施工均有建设单位指定专人负责施工现场扬尘污染措施的实施和监督。所有建设施工工地出入口必须设立环境保护监督牌。必须注明项目名称、建设单位、施工单位、防治扬尘污染现场监督员姓名和联系方式、项目工期、环保措施、举报电话等；</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②施工工地周边百分之百围挡。施工场地周边必须设置</w:t>
      </w:r>
      <w:r>
        <w:rPr>
          <w:rFonts w:cs="Times New Roman" w:hint="eastAsia"/>
          <w:color w:val="000000" w:themeColor="text1"/>
          <w:kern w:val="0"/>
          <w:sz w:val="24"/>
        </w:rPr>
        <w:t>1.8m</w:t>
      </w:r>
      <w:r>
        <w:rPr>
          <w:rFonts w:cs="Times New Roman" w:hint="eastAsia"/>
          <w:color w:val="000000" w:themeColor="text1"/>
          <w:kern w:val="0"/>
          <w:sz w:val="24"/>
        </w:rPr>
        <w:t>以上的硬质围墙或围挡，严禁敞开式作业。围挡地段应设置防溢座，围挡之间以及围挡与防溢座之间无缝隙。对围挡落尘应当定期进行清洗，保证施工工地周围环境整洁；</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③物料堆放百分之百覆盖。施工场地内堆放易产生扬尘污染物料的，必须密闭存放或覆盖；主体工程实施阶段必须使用密闭式安全网进行封闭；</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④出入车辆百分之百冲洗。施工工地现场出入口地面必须硬化处理并设置车辆冲洗台以及配套的排水、泥浆沉淀设施，冲洗设施到位；车辆在驶出工地前，应将车轮、车身冲洗干净，不得带泥上路；</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⑤施工现场地面百分之百硬化。施工现场的主要道路应铺设混凝土或沥青路面，场地内的其他地面应进行绿化或硬化处理。土方开挖阶段，应对施工现场的车辆道路进行简易硬化，并辅以洒水等降尘措施，</w:t>
      </w:r>
      <w:r>
        <w:rPr>
          <w:rFonts w:cs="Times New Roman" w:hint="eastAsia"/>
          <w:b/>
          <w:bCs/>
          <w:color w:val="000000" w:themeColor="text1"/>
          <w:kern w:val="0"/>
          <w:sz w:val="24"/>
        </w:rPr>
        <w:t>本项目使用商品混凝土。</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环评要求运输车辆保持清洁，不得沿途洒落。同时材料运输车辆应避开人车流量高峰时间，不进入城区，做到文明施工。</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⑥施工期间，工地内从建筑上层将具有粉尘逸散型的物料、渣土或废弃物输送至地面或地下楼层时，应采取密闭方式输送，不得凌空抛撒；</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⑧施工项目竣工后</w:t>
      </w:r>
      <w:r>
        <w:rPr>
          <w:rFonts w:cs="Times New Roman" w:hint="eastAsia"/>
          <w:color w:val="000000" w:themeColor="text1"/>
          <w:kern w:val="0"/>
          <w:sz w:val="24"/>
        </w:rPr>
        <w:t>30</w:t>
      </w:r>
      <w:r>
        <w:rPr>
          <w:rFonts w:cs="Times New Roman" w:hint="eastAsia"/>
          <w:color w:val="000000" w:themeColor="text1"/>
          <w:kern w:val="0"/>
          <w:sz w:val="24"/>
        </w:rPr>
        <w:t>日内，施工单位必须平整施工土地，并清除积土、堆物；</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⑨出现五级以上大风天气时，禁止进行土方和拆除施工等易产生扬尘污染的施工作业；</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⑩各类修缮、装饰施工参照上述标准执行。</w:t>
      </w:r>
    </w:p>
    <w:p w:rsidR="00644456" w:rsidRDefault="008031C4">
      <w:pPr>
        <w:adjustRightInd w:val="0"/>
        <w:snapToGrid w:val="0"/>
        <w:spacing w:line="360" w:lineRule="auto"/>
        <w:ind w:firstLineChars="200" w:firstLine="482"/>
        <w:rPr>
          <w:rFonts w:cs="Times New Roman"/>
          <w:b/>
          <w:bCs/>
          <w:color w:val="000000" w:themeColor="text1"/>
          <w:kern w:val="0"/>
          <w:sz w:val="24"/>
        </w:rPr>
      </w:pPr>
      <w:r>
        <w:rPr>
          <w:rFonts w:cs="Times New Roman" w:hint="eastAsia"/>
          <w:b/>
          <w:bCs/>
          <w:color w:val="000000" w:themeColor="text1"/>
          <w:kern w:val="0"/>
          <w:sz w:val="24"/>
        </w:rPr>
        <w:t>采取以上措施后，施工期扬尘对周围大气环境影响较小。</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2.5.1.2</w:t>
      </w:r>
      <w:r>
        <w:rPr>
          <w:rFonts w:cs="Times New Roman" w:hint="eastAsia"/>
          <w:snapToGrid w:val="0"/>
          <w:color w:val="000000" w:themeColor="text1"/>
          <w:kern w:val="0"/>
          <w:szCs w:val="24"/>
        </w:rPr>
        <w:t>废水污染治理措施</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施工期废水主要是工地施工废水和施工人员产生的生活污水。</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lastRenderedPageBreak/>
        <w:t>（</w:t>
      </w:r>
      <w:r>
        <w:rPr>
          <w:rFonts w:cs="Times New Roman" w:hint="eastAsia"/>
          <w:color w:val="000000" w:themeColor="text1"/>
          <w:kern w:val="0"/>
          <w:sz w:val="24"/>
        </w:rPr>
        <w:t>1</w:t>
      </w:r>
      <w:r>
        <w:rPr>
          <w:rFonts w:cs="Times New Roman" w:hint="eastAsia"/>
          <w:color w:val="000000" w:themeColor="text1"/>
          <w:kern w:val="0"/>
          <w:sz w:val="24"/>
        </w:rPr>
        <w:t>）生活污水</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项目施工高峰期施工人数以</w:t>
      </w:r>
      <w:r>
        <w:rPr>
          <w:rFonts w:cs="Times New Roman" w:hint="eastAsia"/>
          <w:color w:val="000000" w:themeColor="text1"/>
          <w:kern w:val="0"/>
          <w:sz w:val="24"/>
        </w:rPr>
        <w:t>50</w:t>
      </w:r>
      <w:r>
        <w:rPr>
          <w:rFonts w:cs="Times New Roman" w:hint="eastAsia"/>
          <w:color w:val="000000" w:themeColor="text1"/>
          <w:kern w:val="0"/>
          <w:sz w:val="24"/>
        </w:rPr>
        <w:t>人计，平均用水定额按</w:t>
      </w:r>
      <w:r>
        <w:rPr>
          <w:rFonts w:cs="Times New Roman" w:hint="eastAsia"/>
          <w:color w:val="000000" w:themeColor="text1"/>
          <w:kern w:val="0"/>
          <w:sz w:val="24"/>
        </w:rPr>
        <w:t>0.05m</w:t>
      </w:r>
      <w:r>
        <w:rPr>
          <w:rFonts w:cs="Times New Roman" w:hint="eastAsia"/>
          <w:color w:val="000000" w:themeColor="text1"/>
          <w:kern w:val="0"/>
          <w:sz w:val="24"/>
          <w:vertAlign w:val="superscript"/>
        </w:rPr>
        <w:t>3</w:t>
      </w:r>
      <w:r>
        <w:rPr>
          <w:rFonts w:cs="Times New Roman" w:hint="eastAsia"/>
          <w:color w:val="000000" w:themeColor="text1"/>
          <w:kern w:val="0"/>
          <w:sz w:val="24"/>
        </w:rPr>
        <w:t>/</w:t>
      </w:r>
      <w:r>
        <w:rPr>
          <w:rFonts w:cs="Times New Roman" w:hint="eastAsia"/>
          <w:color w:val="000000" w:themeColor="text1"/>
          <w:kern w:val="0"/>
          <w:sz w:val="24"/>
        </w:rPr>
        <w:t>人·</w:t>
      </w:r>
      <w:r>
        <w:rPr>
          <w:rFonts w:cs="Times New Roman" w:hint="eastAsia"/>
          <w:color w:val="000000" w:themeColor="text1"/>
          <w:kern w:val="0"/>
          <w:sz w:val="24"/>
        </w:rPr>
        <w:t>d</w:t>
      </w:r>
      <w:r>
        <w:rPr>
          <w:rFonts w:cs="Times New Roman" w:hint="eastAsia"/>
          <w:color w:val="000000" w:themeColor="text1"/>
          <w:kern w:val="0"/>
          <w:sz w:val="24"/>
        </w:rPr>
        <w:t>计取，则施工期生活用水量为</w:t>
      </w:r>
      <w:r>
        <w:rPr>
          <w:rFonts w:cs="Times New Roman" w:hint="eastAsia"/>
          <w:color w:val="000000" w:themeColor="text1"/>
          <w:kern w:val="0"/>
          <w:sz w:val="24"/>
        </w:rPr>
        <w:t>2.5m</w:t>
      </w:r>
      <w:r>
        <w:rPr>
          <w:rFonts w:cs="Times New Roman" w:hint="eastAsia"/>
          <w:color w:val="000000" w:themeColor="text1"/>
          <w:kern w:val="0"/>
          <w:sz w:val="24"/>
          <w:vertAlign w:val="superscript"/>
        </w:rPr>
        <w:t>3</w:t>
      </w:r>
      <w:r>
        <w:rPr>
          <w:rFonts w:cs="Times New Roman" w:hint="eastAsia"/>
          <w:color w:val="000000" w:themeColor="text1"/>
          <w:kern w:val="0"/>
          <w:sz w:val="24"/>
        </w:rPr>
        <w:t>/d</w:t>
      </w:r>
      <w:r>
        <w:rPr>
          <w:rFonts w:cs="Times New Roman" w:hint="eastAsia"/>
          <w:color w:val="000000" w:themeColor="text1"/>
          <w:kern w:val="0"/>
          <w:sz w:val="24"/>
        </w:rPr>
        <w:t>，生活污水生产量按</w:t>
      </w:r>
      <w:r>
        <w:rPr>
          <w:rFonts w:cs="Times New Roman" w:hint="eastAsia"/>
          <w:color w:val="000000" w:themeColor="text1"/>
          <w:kern w:val="0"/>
          <w:sz w:val="24"/>
        </w:rPr>
        <w:t>80%</w:t>
      </w:r>
      <w:r>
        <w:rPr>
          <w:rFonts w:cs="Times New Roman" w:hint="eastAsia"/>
          <w:color w:val="000000" w:themeColor="text1"/>
          <w:kern w:val="0"/>
          <w:sz w:val="24"/>
        </w:rPr>
        <w:t>计算，则项目施工期生活污水日产生量约为</w:t>
      </w:r>
      <w:r>
        <w:rPr>
          <w:rFonts w:cs="Times New Roman" w:hint="eastAsia"/>
          <w:color w:val="000000" w:themeColor="text1"/>
          <w:kern w:val="0"/>
          <w:sz w:val="24"/>
        </w:rPr>
        <w:t>4.0m3/d</w:t>
      </w:r>
      <w:r>
        <w:rPr>
          <w:rFonts w:cs="Times New Roman" w:hint="eastAsia"/>
          <w:color w:val="000000" w:themeColor="text1"/>
          <w:kern w:val="0"/>
          <w:sz w:val="24"/>
        </w:rPr>
        <w:t>。施工人员的生活污水中主要污染物为</w:t>
      </w:r>
      <w:r>
        <w:rPr>
          <w:rFonts w:cs="Times New Roman" w:hint="eastAsia"/>
          <w:color w:val="000000" w:themeColor="text1"/>
          <w:kern w:val="0"/>
          <w:sz w:val="24"/>
        </w:rPr>
        <w:t>COD</w:t>
      </w:r>
      <w:r>
        <w:rPr>
          <w:rFonts w:cs="Times New Roman" w:hint="eastAsia"/>
          <w:color w:val="000000" w:themeColor="text1"/>
          <w:kern w:val="0"/>
          <w:sz w:val="24"/>
        </w:rPr>
        <w:t>、</w:t>
      </w:r>
      <w:r>
        <w:rPr>
          <w:rFonts w:cs="Times New Roman" w:hint="eastAsia"/>
          <w:color w:val="000000" w:themeColor="text1"/>
          <w:kern w:val="0"/>
          <w:sz w:val="24"/>
        </w:rPr>
        <w:t>BOD</w:t>
      </w:r>
      <w:r>
        <w:rPr>
          <w:rFonts w:cs="Times New Roman" w:hint="eastAsia"/>
          <w:color w:val="000000" w:themeColor="text1"/>
          <w:kern w:val="0"/>
          <w:sz w:val="24"/>
          <w:vertAlign w:val="subscript"/>
        </w:rPr>
        <w:t>5</w:t>
      </w:r>
      <w:r>
        <w:rPr>
          <w:rFonts w:cs="Times New Roman" w:hint="eastAsia"/>
          <w:color w:val="000000" w:themeColor="text1"/>
          <w:kern w:val="0"/>
          <w:sz w:val="24"/>
        </w:rPr>
        <w:t>、</w:t>
      </w:r>
      <w:r>
        <w:rPr>
          <w:rFonts w:cs="Times New Roman" w:hint="eastAsia"/>
          <w:color w:val="000000" w:themeColor="text1"/>
          <w:kern w:val="0"/>
          <w:sz w:val="24"/>
        </w:rPr>
        <w:t>NH</w:t>
      </w:r>
      <w:r>
        <w:rPr>
          <w:rFonts w:cs="Times New Roman" w:hint="eastAsia"/>
          <w:color w:val="000000" w:themeColor="text1"/>
          <w:kern w:val="0"/>
          <w:sz w:val="24"/>
          <w:vertAlign w:val="subscript"/>
        </w:rPr>
        <w:t>3</w:t>
      </w:r>
      <w:r>
        <w:rPr>
          <w:rFonts w:cs="Times New Roman" w:hint="eastAsia"/>
          <w:color w:val="000000" w:themeColor="text1"/>
          <w:kern w:val="0"/>
          <w:sz w:val="24"/>
        </w:rPr>
        <w:t>-N</w:t>
      </w:r>
      <w:r>
        <w:rPr>
          <w:rFonts w:cs="Times New Roman" w:hint="eastAsia"/>
          <w:color w:val="000000" w:themeColor="text1"/>
          <w:kern w:val="0"/>
          <w:sz w:val="24"/>
        </w:rPr>
        <w:t>、</w:t>
      </w:r>
      <w:r>
        <w:rPr>
          <w:rFonts w:cs="Times New Roman" w:hint="eastAsia"/>
          <w:color w:val="000000" w:themeColor="text1"/>
          <w:kern w:val="0"/>
          <w:sz w:val="24"/>
        </w:rPr>
        <w:t>SS</w:t>
      </w:r>
      <w:r>
        <w:rPr>
          <w:rFonts w:cs="Times New Roman" w:hint="eastAsia"/>
          <w:color w:val="000000" w:themeColor="text1"/>
          <w:kern w:val="0"/>
          <w:sz w:val="24"/>
        </w:rPr>
        <w:t>等，污染物浓度和产生量为</w:t>
      </w:r>
      <w:r>
        <w:rPr>
          <w:rFonts w:cs="Times New Roman" w:hint="eastAsia"/>
          <w:color w:val="000000" w:themeColor="text1"/>
          <w:kern w:val="0"/>
          <w:sz w:val="24"/>
        </w:rPr>
        <w:t>COD</w:t>
      </w:r>
      <w:r>
        <w:rPr>
          <w:rFonts w:cs="Times New Roman" w:hint="eastAsia"/>
          <w:color w:val="000000" w:themeColor="text1"/>
          <w:kern w:val="0"/>
          <w:sz w:val="24"/>
        </w:rPr>
        <w:t>：</w:t>
      </w:r>
      <w:r>
        <w:rPr>
          <w:rFonts w:cs="Times New Roman" w:hint="eastAsia"/>
          <w:color w:val="000000" w:themeColor="text1"/>
          <w:kern w:val="0"/>
          <w:sz w:val="24"/>
        </w:rPr>
        <w:t>400mg/l</w:t>
      </w:r>
      <w:r>
        <w:rPr>
          <w:rFonts w:cs="Times New Roman" w:hint="eastAsia"/>
          <w:color w:val="000000" w:themeColor="text1"/>
          <w:kern w:val="0"/>
          <w:sz w:val="24"/>
        </w:rPr>
        <w:t>，</w:t>
      </w:r>
      <w:r>
        <w:rPr>
          <w:rFonts w:cs="Times New Roman" w:hint="eastAsia"/>
          <w:color w:val="000000" w:themeColor="text1"/>
          <w:kern w:val="0"/>
          <w:sz w:val="24"/>
        </w:rPr>
        <w:t>0.0008t/a</w:t>
      </w:r>
      <w:r>
        <w:rPr>
          <w:rFonts w:cs="Times New Roman" w:hint="eastAsia"/>
          <w:color w:val="000000" w:themeColor="text1"/>
          <w:kern w:val="0"/>
          <w:sz w:val="24"/>
        </w:rPr>
        <w:t>；</w:t>
      </w:r>
      <w:r>
        <w:rPr>
          <w:rFonts w:cs="Times New Roman" w:hint="eastAsia"/>
          <w:color w:val="000000" w:themeColor="text1"/>
          <w:kern w:val="0"/>
          <w:sz w:val="24"/>
        </w:rPr>
        <w:t>BOD</w:t>
      </w:r>
      <w:r>
        <w:rPr>
          <w:rFonts w:cs="Times New Roman" w:hint="eastAsia"/>
          <w:color w:val="000000" w:themeColor="text1"/>
          <w:kern w:val="0"/>
          <w:sz w:val="24"/>
          <w:vertAlign w:val="subscript"/>
        </w:rPr>
        <w:t>5</w:t>
      </w:r>
      <w:r>
        <w:rPr>
          <w:rFonts w:cs="Times New Roman" w:hint="eastAsia"/>
          <w:color w:val="000000" w:themeColor="text1"/>
          <w:kern w:val="0"/>
          <w:sz w:val="24"/>
        </w:rPr>
        <w:t>：</w:t>
      </w:r>
      <w:r>
        <w:rPr>
          <w:rFonts w:cs="Times New Roman" w:hint="eastAsia"/>
          <w:color w:val="000000" w:themeColor="text1"/>
          <w:kern w:val="0"/>
          <w:sz w:val="24"/>
        </w:rPr>
        <w:t>200mg/l</w:t>
      </w:r>
      <w:r>
        <w:rPr>
          <w:rFonts w:cs="Times New Roman" w:hint="eastAsia"/>
          <w:color w:val="000000" w:themeColor="text1"/>
          <w:kern w:val="0"/>
          <w:sz w:val="24"/>
        </w:rPr>
        <w:t>，</w:t>
      </w:r>
      <w:r>
        <w:rPr>
          <w:rFonts w:cs="Times New Roman" w:hint="eastAsia"/>
          <w:color w:val="000000" w:themeColor="text1"/>
          <w:kern w:val="0"/>
          <w:sz w:val="24"/>
        </w:rPr>
        <w:t>0.0004t/a</w:t>
      </w:r>
      <w:r>
        <w:rPr>
          <w:rFonts w:cs="Times New Roman" w:hint="eastAsia"/>
          <w:color w:val="000000" w:themeColor="text1"/>
          <w:kern w:val="0"/>
          <w:sz w:val="24"/>
        </w:rPr>
        <w:t>；</w:t>
      </w:r>
      <w:r>
        <w:rPr>
          <w:rFonts w:cs="Times New Roman" w:hint="eastAsia"/>
          <w:color w:val="000000" w:themeColor="text1"/>
          <w:kern w:val="0"/>
          <w:sz w:val="24"/>
        </w:rPr>
        <w:t>SS</w:t>
      </w:r>
      <w:r>
        <w:rPr>
          <w:rFonts w:cs="Times New Roman" w:hint="eastAsia"/>
          <w:color w:val="000000" w:themeColor="text1"/>
          <w:kern w:val="0"/>
          <w:sz w:val="24"/>
        </w:rPr>
        <w:t>：</w:t>
      </w:r>
      <w:r>
        <w:rPr>
          <w:rFonts w:cs="Times New Roman" w:hint="eastAsia"/>
          <w:color w:val="000000" w:themeColor="text1"/>
          <w:kern w:val="0"/>
          <w:sz w:val="24"/>
        </w:rPr>
        <w:t>250mg/l</w:t>
      </w:r>
      <w:r>
        <w:rPr>
          <w:rFonts w:cs="Times New Roman" w:hint="eastAsia"/>
          <w:color w:val="000000" w:themeColor="text1"/>
          <w:kern w:val="0"/>
          <w:sz w:val="24"/>
        </w:rPr>
        <w:t>，</w:t>
      </w:r>
      <w:r>
        <w:rPr>
          <w:rFonts w:cs="Times New Roman" w:hint="eastAsia"/>
          <w:color w:val="000000" w:themeColor="text1"/>
          <w:kern w:val="0"/>
          <w:sz w:val="24"/>
        </w:rPr>
        <w:t>0.0005t/a</w:t>
      </w:r>
      <w:r>
        <w:rPr>
          <w:rFonts w:cs="Times New Roman" w:hint="eastAsia"/>
          <w:color w:val="000000" w:themeColor="text1"/>
          <w:kern w:val="0"/>
          <w:sz w:val="24"/>
        </w:rPr>
        <w:t>；</w:t>
      </w:r>
      <w:r>
        <w:rPr>
          <w:rFonts w:cs="Times New Roman" w:hint="eastAsia"/>
          <w:color w:val="000000" w:themeColor="text1"/>
          <w:kern w:val="0"/>
          <w:sz w:val="24"/>
        </w:rPr>
        <w:t>NH</w:t>
      </w:r>
      <w:r>
        <w:rPr>
          <w:rFonts w:cs="Times New Roman" w:hint="eastAsia"/>
          <w:color w:val="000000" w:themeColor="text1"/>
          <w:kern w:val="0"/>
          <w:sz w:val="24"/>
          <w:vertAlign w:val="subscript"/>
        </w:rPr>
        <w:t>3</w:t>
      </w:r>
      <w:r>
        <w:rPr>
          <w:rFonts w:cs="Times New Roman" w:hint="eastAsia"/>
          <w:color w:val="000000" w:themeColor="text1"/>
          <w:kern w:val="0"/>
          <w:sz w:val="24"/>
        </w:rPr>
        <w:t>-N</w:t>
      </w:r>
      <w:r>
        <w:rPr>
          <w:rFonts w:cs="Times New Roman" w:hint="eastAsia"/>
          <w:color w:val="000000" w:themeColor="text1"/>
          <w:kern w:val="0"/>
          <w:sz w:val="24"/>
        </w:rPr>
        <w:t>：</w:t>
      </w:r>
      <w:r>
        <w:rPr>
          <w:rFonts w:cs="Times New Roman" w:hint="eastAsia"/>
          <w:color w:val="000000" w:themeColor="text1"/>
          <w:kern w:val="0"/>
          <w:sz w:val="24"/>
        </w:rPr>
        <w:t>35mg/l</w:t>
      </w:r>
      <w:r>
        <w:rPr>
          <w:rFonts w:cs="Times New Roman" w:hint="eastAsia"/>
          <w:color w:val="000000" w:themeColor="text1"/>
          <w:kern w:val="0"/>
          <w:sz w:val="24"/>
        </w:rPr>
        <w:t>，</w:t>
      </w:r>
      <w:r>
        <w:rPr>
          <w:rFonts w:cs="Times New Roman" w:hint="eastAsia"/>
          <w:color w:val="000000" w:themeColor="text1"/>
          <w:kern w:val="0"/>
          <w:sz w:val="24"/>
        </w:rPr>
        <w:t>0.00007t/a</w:t>
      </w:r>
      <w:r>
        <w:rPr>
          <w:rFonts w:cs="Times New Roman" w:hint="eastAsia"/>
          <w:color w:val="000000" w:themeColor="text1"/>
          <w:kern w:val="0"/>
          <w:sz w:val="24"/>
        </w:rPr>
        <w:t>。</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由于本项目施工场地位于园区，区域污水管网已建成；生活污水依托周边污水处理设施进行处理。</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w:t>
      </w:r>
      <w:r>
        <w:rPr>
          <w:rFonts w:cs="Times New Roman" w:hint="eastAsia"/>
          <w:color w:val="000000" w:themeColor="text1"/>
          <w:kern w:val="0"/>
          <w:sz w:val="24"/>
        </w:rPr>
        <w:t>2</w:t>
      </w:r>
      <w:r>
        <w:rPr>
          <w:rFonts w:cs="Times New Roman" w:hint="eastAsia"/>
          <w:color w:val="000000" w:themeColor="text1"/>
          <w:kern w:val="0"/>
          <w:sz w:val="24"/>
        </w:rPr>
        <w:t>）施工废水</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工地施工废水主要来源于混凝土养护废水、车辆冲洗废水、机械设备清洗水等，其中主要污染物为</w:t>
      </w:r>
      <w:r>
        <w:rPr>
          <w:rFonts w:cs="Times New Roman" w:hint="eastAsia"/>
          <w:color w:val="000000" w:themeColor="text1"/>
          <w:kern w:val="0"/>
          <w:sz w:val="24"/>
        </w:rPr>
        <w:t>SS</w:t>
      </w:r>
      <w:r>
        <w:rPr>
          <w:rFonts w:cs="Times New Roman" w:hint="eastAsia"/>
          <w:color w:val="000000" w:themeColor="text1"/>
          <w:kern w:val="0"/>
          <w:sz w:val="24"/>
        </w:rPr>
        <w:t>以及少量石油类。废水具有悬浮物浓度高、水量少、间歇集中排放的特点。本项目施工期预计每天产生施工废水</w:t>
      </w:r>
      <w:r>
        <w:rPr>
          <w:rFonts w:cs="Times New Roman" w:hint="eastAsia"/>
          <w:color w:val="000000" w:themeColor="text1"/>
          <w:kern w:val="0"/>
          <w:sz w:val="24"/>
        </w:rPr>
        <w:t>5m</w:t>
      </w:r>
      <w:r>
        <w:rPr>
          <w:rFonts w:cs="Times New Roman" w:hint="eastAsia"/>
          <w:color w:val="000000" w:themeColor="text1"/>
          <w:kern w:val="0"/>
          <w:sz w:val="24"/>
          <w:vertAlign w:val="superscript"/>
        </w:rPr>
        <w:t>3</w:t>
      </w:r>
      <w:r>
        <w:rPr>
          <w:rFonts w:cs="Times New Roman" w:hint="eastAsia"/>
          <w:color w:val="000000" w:themeColor="text1"/>
          <w:kern w:val="0"/>
          <w:sz w:val="24"/>
        </w:rPr>
        <w:t>/d</w:t>
      </w:r>
      <w:r>
        <w:rPr>
          <w:rFonts w:cs="Times New Roman" w:hint="eastAsia"/>
          <w:color w:val="000000" w:themeColor="text1"/>
          <w:kern w:val="0"/>
          <w:sz w:val="24"/>
        </w:rPr>
        <w:t>。</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本项目产生的施工废水，如果防治措施不当，容易造成水环境污染。针对不同的废水，需采取不同的防治措施：</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1</w:t>
      </w:r>
      <w:r>
        <w:rPr>
          <w:rFonts w:cs="Times New Roman" w:hint="eastAsia"/>
          <w:color w:val="000000" w:themeColor="text1"/>
          <w:kern w:val="0"/>
          <w:sz w:val="24"/>
        </w:rPr>
        <w:t>）混凝土养护废水：混凝土养护可以直接用薄膜或塑料溶液喷刷在混凝土表面，待溶液挥发后，与混凝土表面结合成一层塑料薄膜，使混凝土与空气隔离，封闭混凝土中水分不再蒸发外溢，水泥依靠混凝土中水分完成水化作用，因用水量较小，且不产生废水，故养护废水可以不需专门处理。若采用其他废水产生量多的方式进行养护，则需修建沉淀池，养护废水经沉淀池收集沉淀池后循环使用，不外排。</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2</w:t>
      </w:r>
      <w:r>
        <w:rPr>
          <w:rFonts w:cs="Times New Roman" w:hint="eastAsia"/>
          <w:color w:val="000000" w:themeColor="text1"/>
          <w:kern w:val="0"/>
          <w:sz w:val="24"/>
        </w:rPr>
        <w:t>）车辆冲洗废水、设备清洗废水：机械和车辆冲洗废水主要污染物为</w:t>
      </w:r>
      <w:r>
        <w:rPr>
          <w:rFonts w:cs="Times New Roman" w:hint="eastAsia"/>
          <w:color w:val="000000" w:themeColor="text1"/>
          <w:kern w:val="0"/>
          <w:sz w:val="24"/>
        </w:rPr>
        <w:t>SS</w:t>
      </w:r>
      <w:r>
        <w:rPr>
          <w:rFonts w:cs="Times New Roman" w:hint="eastAsia"/>
          <w:color w:val="000000" w:themeColor="text1"/>
          <w:kern w:val="0"/>
          <w:sz w:val="24"/>
        </w:rPr>
        <w:t>、石油类。应尽量要求施工机械和车辆到附近专门清洗点或修理点进行清洗和修理，小部分在项目区内进行清洗和修理的施工机械、车辆所产生的含油废水或废弃物，不得随意弃置和倾流，可用容器收集，由有资质单位处置，以防止油污染。机械保养冲洗水、含油污水不得随意排放，要建沉淀池和隔油池，经相应沉淀隔油处理，油污统一收集交由有资质单位统一处理，上清水回用，严禁外排。</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环评要求：施工废水通过隔油、沉淀处理后，上清液可以作为中水回用或用作洒水抑尘，池底泥沙作为固废运往建筑垃圾堆放场，隔油池收集的油污交由资质单位处理。施工废水严禁随意排放。为减少施工废水产生，项目施工期应尽量避开雨季，以免冒雨施工产生大量含</w:t>
      </w:r>
      <w:r>
        <w:rPr>
          <w:rFonts w:cs="Times New Roman" w:hint="eastAsia"/>
          <w:color w:val="000000" w:themeColor="text1"/>
          <w:kern w:val="0"/>
          <w:sz w:val="24"/>
        </w:rPr>
        <w:t>SS</w:t>
      </w:r>
      <w:r>
        <w:rPr>
          <w:rFonts w:cs="Times New Roman" w:hint="eastAsia"/>
          <w:color w:val="000000" w:themeColor="text1"/>
          <w:kern w:val="0"/>
          <w:sz w:val="24"/>
        </w:rPr>
        <w:t>的废水。施工单位除加强对施工废水的排放管理外，还应对员工进行基本环保知识培训，增强环保意识和责任。</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lastRenderedPageBreak/>
        <w:t>综上所述，在严格执行以上环保措施后，项目施工废水对周围环境影响很小。</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2.5.1.3</w:t>
      </w:r>
      <w:r>
        <w:rPr>
          <w:rFonts w:cs="Times New Roman" w:hint="eastAsia"/>
          <w:snapToGrid w:val="0"/>
          <w:color w:val="000000" w:themeColor="text1"/>
          <w:kern w:val="0"/>
          <w:szCs w:val="24"/>
        </w:rPr>
        <w:t>噪声污染治理措施</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施工期间的噪声主要来自施工机械和运输车辆，应该分别采取相应的控制措施，防止噪声影响周围环境和人们的正常生活。</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环评要求在施工过程中应当严格执行施工方案中文明施工所提出的措施以减小对周围敏感点的影响，主要包括以下方面：</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①合理安排施工计划和施工机械设备组合以及施工时间，避免在同一时间集中使用大量的动力机械设备。严格执行《建筑施工场界环境噪声排放标准》（</w:t>
      </w:r>
      <w:r>
        <w:rPr>
          <w:rFonts w:cs="Times New Roman" w:hint="eastAsia"/>
          <w:color w:val="000000" w:themeColor="text1"/>
          <w:kern w:val="0"/>
          <w:sz w:val="24"/>
        </w:rPr>
        <w:t>GB12523-2011</w:t>
      </w:r>
      <w:r>
        <w:rPr>
          <w:rFonts w:cs="Times New Roman" w:hint="eastAsia"/>
          <w:color w:val="000000" w:themeColor="text1"/>
          <w:kern w:val="0"/>
          <w:sz w:val="24"/>
        </w:rPr>
        <w:t>）的要求，在施工过程中，尽量减少运行动力机械设备的数量，尽可能使动力机械设备比较均匀地使用；</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②施工进行合理布局，高噪声设备尽量远离敏感点边界布置；</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③科学安排施工现场运输车辆作业时间，设法压缩汽车数量及行车频率，运输时在施工场地严禁鸣笛；</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④施工单位应选用符合国家有关标准的施工机具和运输车辆，加强机械设备的维护和保养，使其能在正常状态下运转，防止由于机械设备的“带病”工作而提高噪声声级。</w:t>
      </w:r>
    </w:p>
    <w:p w:rsidR="00644456" w:rsidRDefault="008031C4">
      <w:pPr>
        <w:adjustRightInd w:val="0"/>
        <w:snapToGrid w:val="0"/>
        <w:spacing w:line="360" w:lineRule="auto"/>
        <w:ind w:firstLineChars="200" w:firstLine="480"/>
        <w:rPr>
          <w:rFonts w:cs="Times New Roman"/>
          <w:b/>
          <w:bCs/>
          <w:color w:val="000000" w:themeColor="text1"/>
          <w:kern w:val="0"/>
          <w:sz w:val="24"/>
        </w:rPr>
      </w:pPr>
      <w:r>
        <w:rPr>
          <w:rFonts w:cs="Times New Roman" w:hint="eastAsia"/>
          <w:color w:val="000000" w:themeColor="text1"/>
          <w:kern w:val="0"/>
          <w:sz w:val="24"/>
        </w:rPr>
        <w:t>环评要求施工期禁止中午时段及夜间施工，尽量减小施工期对周围敏感目标的影响。对于运输车辆应加强管理，严禁在运输途中鸣笛，禁止夜间运输，尽量减少对沿途敏感目标的影响。</w:t>
      </w:r>
      <w:r>
        <w:rPr>
          <w:rFonts w:cs="Times New Roman" w:hint="eastAsia"/>
          <w:b/>
          <w:bCs/>
          <w:color w:val="000000" w:themeColor="text1"/>
          <w:kern w:val="0"/>
          <w:sz w:val="24"/>
        </w:rPr>
        <w:t>施工期噪声随着施工结束而消失。</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2.5.1.4</w:t>
      </w:r>
      <w:r>
        <w:rPr>
          <w:rFonts w:cs="Times New Roman" w:hint="eastAsia"/>
          <w:snapToGrid w:val="0"/>
          <w:color w:val="000000" w:themeColor="text1"/>
          <w:kern w:val="0"/>
          <w:szCs w:val="24"/>
        </w:rPr>
        <w:t>固体污染废物</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本项目施工期的固体废物主要为施工过程中产生的土石方、施工建筑垃圾、废弃的包装材料等。</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w:t>
      </w:r>
      <w:r>
        <w:rPr>
          <w:rFonts w:cs="Times New Roman" w:hint="eastAsia"/>
          <w:color w:val="000000" w:themeColor="text1"/>
          <w:kern w:val="0"/>
          <w:sz w:val="24"/>
        </w:rPr>
        <w:t>1</w:t>
      </w:r>
      <w:r>
        <w:rPr>
          <w:rFonts w:cs="Times New Roman" w:hint="eastAsia"/>
          <w:color w:val="000000" w:themeColor="text1"/>
          <w:kern w:val="0"/>
          <w:sz w:val="24"/>
        </w:rPr>
        <w:t>）排放源</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施工期固体废弃物主要包括建筑垃圾、装修垃圾、土石方、施工人员生活垃圾。</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ascii="宋体" w:hAnsi="宋体" w:cs="宋体" w:hint="eastAsia"/>
          <w:color w:val="000000" w:themeColor="text1"/>
          <w:kern w:val="0"/>
          <w:sz w:val="24"/>
          <w:lang w:eastAsia="ja-JP"/>
        </w:rPr>
        <w:t>①</w:t>
      </w:r>
      <w:r>
        <w:rPr>
          <w:rFonts w:cs="Times New Roman" w:hint="eastAsia"/>
          <w:color w:val="000000" w:themeColor="text1"/>
          <w:kern w:val="0"/>
          <w:sz w:val="24"/>
        </w:rPr>
        <w:t>建筑垃圾处理</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在施工现场应设置临时建筑废物堆放场并进行密闭处理。施工生产的废料首先应考虑废料的回收利用，对钢筋、钢板、木材等下脚料可分类回收，交废物收购站处理；对不能回收的建筑垃圾，如混凝土废料、含砖、石、砂的杂土等以及不能回填的废渣，应集中堆放，定时清运到指定垃圾场，以免影响环境质量。为确保废弃物处置措施落实，建设单位或施工总承包单位在与建筑垃圾清运公司签订清运合同时，应要求承包公司提供废弃物去向的证明材料，严禁随意倾倒、填埋。进入室内装修阶段时，将会产生大量</w:t>
      </w:r>
      <w:r>
        <w:rPr>
          <w:rFonts w:cs="Times New Roman" w:hint="eastAsia"/>
          <w:color w:val="000000" w:themeColor="text1"/>
          <w:kern w:val="0"/>
          <w:sz w:val="24"/>
        </w:rPr>
        <w:lastRenderedPageBreak/>
        <w:t>的装修垃圾，其量较难计算。一般有废砖头、砂、水泥及木屑等，会产生扬尘，因此不能随意倾倒，而应用编织袋包装后运出屋外，放在指定地点，由市政环卫部门统一清运处理。</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外运以上各种建筑垃圾时，运输车辆不允许超载，出场前一律清洗轮胎，用毡布覆盖，并且应沿指定的方向行驶至指定的建筑垃圾场。</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ascii="宋体" w:hAnsi="宋体" w:cs="宋体" w:hint="eastAsia"/>
          <w:color w:val="000000" w:themeColor="text1"/>
          <w:kern w:val="0"/>
          <w:sz w:val="24"/>
          <w:lang w:eastAsia="ja-JP"/>
        </w:rPr>
        <w:t>②</w:t>
      </w:r>
      <w:r>
        <w:rPr>
          <w:rFonts w:cs="Times New Roman" w:hint="eastAsia"/>
          <w:color w:val="000000" w:themeColor="text1"/>
          <w:kern w:val="0"/>
          <w:sz w:val="24"/>
        </w:rPr>
        <w:t>装修垃圾处理</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装修垃圾一般有废砖头、砂、水泥及木屑等，会产生扬尘，因此不能随意倾倒，而应用编织袋包装后运出屋外，放在指定地点，由环卫部门统一清运处理。</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ascii="宋体" w:hAnsi="宋体" w:cs="宋体" w:hint="eastAsia"/>
          <w:color w:val="000000" w:themeColor="text1"/>
          <w:kern w:val="0"/>
          <w:sz w:val="24"/>
          <w:lang w:eastAsia="ja-JP"/>
        </w:rPr>
        <w:t>③</w:t>
      </w:r>
      <w:r>
        <w:rPr>
          <w:rFonts w:cs="Times New Roman" w:hint="eastAsia"/>
          <w:color w:val="000000" w:themeColor="text1"/>
          <w:kern w:val="0"/>
          <w:sz w:val="24"/>
        </w:rPr>
        <w:t>生活垃圾处理</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施工期施工人员产生的生活垃圾将是固废的另一主要来源。施工人员约</w:t>
      </w:r>
      <w:r>
        <w:rPr>
          <w:rFonts w:cs="Times New Roman" w:hint="eastAsia"/>
          <w:color w:val="000000" w:themeColor="text1"/>
          <w:kern w:val="0"/>
          <w:sz w:val="24"/>
        </w:rPr>
        <w:t>50</w:t>
      </w:r>
      <w:r>
        <w:rPr>
          <w:rFonts w:cs="Times New Roman" w:hint="eastAsia"/>
          <w:color w:val="000000" w:themeColor="text1"/>
          <w:kern w:val="0"/>
          <w:sz w:val="24"/>
        </w:rPr>
        <w:t>人，生活垃圾按</w:t>
      </w:r>
      <w:r>
        <w:rPr>
          <w:rFonts w:cs="Times New Roman" w:hint="eastAsia"/>
          <w:color w:val="000000" w:themeColor="text1"/>
          <w:kern w:val="0"/>
          <w:sz w:val="24"/>
        </w:rPr>
        <w:t>0.5kg/</w:t>
      </w:r>
      <w:r>
        <w:rPr>
          <w:rFonts w:cs="Times New Roman" w:hint="eastAsia"/>
          <w:color w:val="000000" w:themeColor="text1"/>
          <w:kern w:val="0"/>
          <w:sz w:val="24"/>
        </w:rPr>
        <w:t>人·日计，产生量约为</w:t>
      </w:r>
      <w:r>
        <w:rPr>
          <w:rFonts w:cs="Times New Roman" w:hint="eastAsia"/>
          <w:color w:val="000000" w:themeColor="text1"/>
          <w:kern w:val="0"/>
          <w:sz w:val="24"/>
        </w:rPr>
        <w:t>25kg/d</w:t>
      </w:r>
      <w:r>
        <w:rPr>
          <w:rFonts w:cs="Times New Roman" w:hint="eastAsia"/>
          <w:color w:val="000000" w:themeColor="text1"/>
          <w:kern w:val="0"/>
          <w:sz w:val="24"/>
        </w:rPr>
        <w:t>。施工人员每日产生的生活垃圾应经过袋装收集后，委托环卫部门统一清运处理。</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ascii="宋体" w:hAnsi="宋体" w:cs="宋体" w:hint="eastAsia"/>
          <w:color w:val="000000" w:themeColor="text1"/>
          <w:kern w:val="0"/>
          <w:sz w:val="24"/>
          <w:lang w:eastAsia="ja-JP"/>
        </w:rPr>
        <w:t>④</w:t>
      </w:r>
      <w:r>
        <w:rPr>
          <w:rFonts w:cs="Times New Roman" w:hint="eastAsia"/>
          <w:color w:val="000000" w:themeColor="text1"/>
          <w:kern w:val="0"/>
          <w:sz w:val="24"/>
        </w:rPr>
        <w:t>沉淀池泥沙</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施工期施工废水沉淀池泥沙，清掏后用作绿化用土回填。</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⑤土石方</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color w:val="000000" w:themeColor="text1"/>
          <w:kern w:val="0"/>
          <w:sz w:val="24"/>
        </w:rPr>
        <w:t>项目区开挖产生的土石方量较少，可全部用于厂区的平整使用。</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综上所述，项目施工期在严格落实了本环评提出的上述措施后，其施工期的固体废弃物可实现清洁处理和处置，不致造成二次污染。</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2.5.1.5</w:t>
      </w:r>
      <w:r>
        <w:rPr>
          <w:rFonts w:cs="Times New Roman" w:hint="eastAsia"/>
          <w:snapToGrid w:val="0"/>
          <w:color w:val="000000" w:themeColor="text1"/>
          <w:kern w:val="0"/>
          <w:szCs w:val="24"/>
        </w:rPr>
        <w:t>生态环境保护措施</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本项目位于疏勒县高新技术产业开发区；区域属于已建成工业园区，区域无重要敏感生态保护目标，区域生态较为单一。</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项目建设过程中对生态环境会造成一定影响，主要来自污水处理厂建设中的工程占地以及厂区施工及管线施工开挖对地表的扰动等。</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①工程占地</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本项目污水处理厂用地目前为三类工业用地，工程施工后土地利用性质将发生永久性改变，破坏原有植被。施工过程中因挖土、填土等不可避免导致土层松散，致使土壤质地变粗，肥力下降，对区域生态完整性和稳定状况产生一定影响。</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②对土壤环境的影响</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施工作业必然会对原有土壤结构形成扰动，其结果会使土壤原有的土层发生紊乱，造成生熟土和石砾混杂，团粒结构破坏，土壤毛细管断裂，从而导致土壤性质恶化。加</w:t>
      </w:r>
      <w:r>
        <w:rPr>
          <w:rFonts w:cs="Times New Roman" w:hint="eastAsia"/>
          <w:color w:val="000000" w:themeColor="text1"/>
          <w:kern w:val="0"/>
          <w:sz w:val="24"/>
        </w:rPr>
        <w:lastRenderedPageBreak/>
        <w:t>之施工人员的踩踏，运输车辆和重型机械的碾压会造成表层土壤过于紧实，降低土壤的通透性和渗水性。</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③水土流失</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项目土石方开挖、管道开挖、临时堆土、施工碾压等过程中，破坏原有地表植被，形成裸露地表和松散堆土，在雨水的冲刷下易造成水土流失。</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根据现场踏勘，在项目区域无古树名木和珍稀动植物存在。</w:t>
      </w:r>
    </w:p>
    <w:p w:rsidR="00644456" w:rsidRDefault="008031C4">
      <w:pPr>
        <w:adjustRightInd w:val="0"/>
        <w:snapToGrid w:val="0"/>
        <w:spacing w:line="360" w:lineRule="auto"/>
        <w:ind w:firstLineChars="200" w:firstLine="480"/>
        <w:rPr>
          <w:rFonts w:cs="Times New Roman"/>
          <w:color w:val="000000" w:themeColor="text1"/>
          <w:kern w:val="0"/>
          <w:sz w:val="24"/>
        </w:rPr>
      </w:pPr>
      <w:r>
        <w:rPr>
          <w:rFonts w:cs="Times New Roman" w:hint="eastAsia"/>
          <w:color w:val="000000" w:themeColor="text1"/>
          <w:kern w:val="0"/>
          <w:sz w:val="24"/>
        </w:rPr>
        <w:t>环评要求：在施工期现场的防护工作，避免雨水将地面污物进行冲刷，对周边环境造成影响，并且做好施工管理，施工的弃土、弃渣、污水、废水严禁随意倾倒，施工期建设方应加强管理，确保施工期的各项污染物的正确处理。</w:t>
      </w:r>
    </w:p>
    <w:p w:rsidR="00644456" w:rsidRDefault="008031C4">
      <w:pPr>
        <w:adjustRightInd w:val="0"/>
        <w:snapToGrid w:val="0"/>
        <w:spacing w:line="360" w:lineRule="auto"/>
        <w:ind w:firstLineChars="200" w:firstLine="482"/>
        <w:rPr>
          <w:rFonts w:cs="Times New Roman"/>
          <w:b/>
          <w:bCs/>
          <w:color w:val="000000" w:themeColor="text1"/>
          <w:kern w:val="0"/>
          <w:sz w:val="24"/>
        </w:rPr>
      </w:pPr>
      <w:r>
        <w:rPr>
          <w:rFonts w:cs="Times New Roman" w:hint="eastAsia"/>
          <w:b/>
          <w:bCs/>
          <w:color w:val="000000" w:themeColor="text1"/>
          <w:kern w:val="0"/>
          <w:sz w:val="24"/>
        </w:rPr>
        <w:t>综上所述，施工期间提出相应的治理措施是可行的，项目施工期虽然对环境存在一定影响，只要按相关规定，进行文明施工，就可以将项目施工期对外环境的影响减少到最小。施工结束后，以上影响随之消除。</w:t>
      </w:r>
    </w:p>
    <w:p w:rsidR="00644456" w:rsidRDefault="008031C4">
      <w:pPr>
        <w:pStyle w:val="3"/>
        <w:numPr>
          <w:ilvl w:val="2"/>
          <w:numId w:val="0"/>
        </w:numPr>
        <w:ind w:firstLineChars="200" w:firstLine="482"/>
      </w:pPr>
      <w:r>
        <w:rPr>
          <w:rFonts w:hint="eastAsia"/>
        </w:rPr>
        <w:t>2.5.2</w:t>
      </w:r>
      <w:r>
        <w:rPr>
          <w:rFonts w:hint="eastAsia"/>
        </w:rPr>
        <w:t>营运期污染源及治理措施</w:t>
      </w:r>
    </w:p>
    <w:p w:rsidR="00644456" w:rsidRDefault="008031C4">
      <w:pPr>
        <w:pStyle w:val="4"/>
        <w:numPr>
          <w:ilvl w:val="3"/>
          <w:numId w:val="0"/>
        </w:numPr>
        <w:ind w:firstLineChars="200" w:firstLine="482"/>
        <w:rPr>
          <w:rFonts w:cs="Times New Roman"/>
          <w:snapToGrid w:val="0"/>
          <w:color w:val="000000" w:themeColor="text1"/>
          <w:kern w:val="0"/>
          <w:szCs w:val="24"/>
        </w:rPr>
      </w:pPr>
      <w:bookmarkStart w:id="145" w:name="_Hlk160022139"/>
      <w:r>
        <w:rPr>
          <w:rFonts w:cs="Times New Roman" w:hint="eastAsia"/>
          <w:snapToGrid w:val="0"/>
          <w:color w:val="000000" w:themeColor="text1"/>
          <w:kern w:val="0"/>
          <w:szCs w:val="24"/>
        </w:rPr>
        <w:t>2.5.2.1</w:t>
      </w:r>
      <w:r>
        <w:rPr>
          <w:rFonts w:cs="Times New Roman"/>
          <w:snapToGrid w:val="0"/>
          <w:color w:val="000000" w:themeColor="text1"/>
          <w:kern w:val="0"/>
          <w:szCs w:val="24"/>
        </w:rPr>
        <w:t>废气污染物排放及治理</w:t>
      </w:r>
    </w:p>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hint="eastAsia"/>
          <w:bCs/>
          <w:snapToGrid w:val="0"/>
          <w:color w:val="000000" w:themeColor="text1"/>
          <w:kern w:val="0"/>
          <w:sz w:val="24"/>
        </w:rPr>
        <w:t>本项目产生的废气主要是工艺不凝气、导热油锅炉废气、罐区大小呼吸废气、污水处理站废气、装卸区损失废气以及装置区密封损失废气等，主要特征因子为非甲烷总烃、硫化氢、氨等。</w:t>
      </w:r>
    </w:p>
    <w:p w:rsidR="00644456" w:rsidRDefault="008031C4">
      <w:pPr>
        <w:pStyle w:val="5"/>
        <w:numPr>
          <w:ilvl w:val="4"/>
          <w:numId w:val="0"/>
        </w:numPr>
        <w:ind w:firstLine="480"/>
        <w:rPr>
          <w:b/>
          <w:bCs w:val="0"/>
          <w:snapToGrid w:val="0"/>
          <w:color w:val="000000" w:themeColor="text1"/>
        </w:rPr>
      </w:pPr>
      <w:bookmarkStart w:id="146" w:name="_Hlk160525023"/>
      <w:r>
        <w:rPr>
          <w:rFonts w:hint="eastAsia"/>
          <w:b/>
          <w:bCs w:val="0"/>
          <w:snapToGrid w:val="0"/>
          <w:color w:val="000000" w:themeColor="text1"/>
        </w:rPr>
        <w:t>2.5.2.1.1</w:t>
      </w:r>
      <w:r>
        <w:rPr>
          <w:rFonts w:hint="eastAsia"/>
          <w:b/>
          <w:bCs w:val="0"/>
          <w:snapToGrid w:val="0"/>
          <w:color w:val="000000" w:themeColor="text1"/>
        </w:rPr>
        <w:t>工艺不凝气</w:t>
      </w:r>
    </w:p>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hint="eastAsia"/>
          <w:bCs/>
          <w:snapToGrid w:val="0"/>
          <w:color w:val="000000" w:themeColor="text1"/>
          <w:kern w:val="0"/>
          <w:sz w:val="24"/>
        </w:rPr>
        <w:t>根据本项目的生产工艺，有组织废气主要来自蒸馏、精馏及溶剂回收过程产生的不凝气，蒸馏工段的不凝气中的主要污染物为非甲烷总烃、硫化氢和氨，精馏及溶剂回收工段不凝气的主要成分为非甲烷总烃。</w:t>
      </w:r>
    </w:p>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hint="eastAsia"/>
          <w:bCs/>
          <w:snapToGrid w:val="0"/>
          <w:color w:val="000000" w:themeColor="text1"/>
          <w:kern w:val="0"/>
          <w:sz w:val="24"/>
        </w:rPr>
        <w:t>蒸馏、精馏及溶剂回收过程产生的非甲烷总烃源强计算均参考《排放源统计调查产排污核算方法和系数手册》（生态环境部办公厅</w:t>
      </w:r>
      <w:r>
        <w:rPr>
          <w:rFonts w:cs="Times New Roman" w:hint="eastAsia"/>
          <w:bCs/>
          <w:snapToGrid w:val="0"/>
          <w:color w:val="000000" w:themeColor="text1"/>
          <w:kern w:val="0"/>
          <w:sz w:val="24"/>
        </w:rPr>
        <w:t>2021</w:t>
      </w:r>
      <w:r>
        <w:rPr>
          <w:rFonts w:cs="Times New Roman" w:hint="eastAsia"/>
          <w:bCs/>
          <w:snapToGrid w:val="0"/>
          <w:color w:val="000000" w:themeColor="text1"/>
          <w:kern w:val="0"/>
          <w:sz w:val="24"/>
        </w:rPr>
        <w:t>年</w:t>
      </w:r>
      <w:r>
        <w:rPr>
          <w:rFonts w:cs="Times New Roman" w:hint="eastAsia"/>
          <w:bCs/>
          <w:snapToGrid w:val="0"/>
          <w:color w:val="000000" w:themeColor="text1"/>
          <w:kern w:val="0"/>
          <w:sz w:val="24"/>
        </w:rPr>
        <w:t>6</w:t>
      </w:r>
      <w:r>
        <w:rPr>
          <w:rFonts w:cs="Times New Roman" w:hint="eastAsia"/>
          <w:bCs/>
          <w:snapToGrid w:val="0"/>
          <w:color w:val="000000" w:themeColor="text1"/>
          <w:kern w:val="0"/>
          <w:sz w:val="24"/>
        </w:rPr>
        <w:t>月</w:t>
      </w:r>
      <w:r>
        <w:rPr>
          <w:rFonts w:cs="Times New Roman" w:hint="eastAsia"/>
          <w:bCs/>
          <w:snapToGrid w:val="0"/>
          <w:color w:val="000000" w:themeColor="text1"/>
          <w:kern w:val="0"/>
          <w:sz w:val="24"/>
        </w:rPr>
        <w:t>11</w:t>
      </w:r>
      <w:r>
        <w:rPr>
          <w:rFonts w:cs="Times New Roman" w:hint="eastAsia"/>
          <w:bCs/>
          <w:snapToGrid w:val="0"/>
          <w:color w:val="000000" w:themeColor="text1"/>
          <w:kern w:val="0"/>
          <w:sz w:val="24"/>
        </w:rPr>
        <w:t>日）中的</w:t>
      </w:r>
      <w:r w:rsidR="001543E3" w:rsidRPr="001543E3">
        <w:rPr>
          <w:rFonts w:cs="Times New Roman" w:hint="eastAsia"/>
          <w:bCs/>
          <w:snapToGrid w:val="0"/>
          <w:color w:val="FF0000"/>
          <w:kern w:val="0"/>
          <w:sz w:val="24"/>
        </w:rPr>
        <w:t>废弃</w:t>
      </w:r>
      <w:r>
        <w:rPr>
          <w:rFonts w:cs="Times New Roman" w:hint="eastAsia"/>
          <w:bCs/>
          <w:snapToGrid w:val="0"/>
          <w:color w:val="000000" w:themeColor="text1"/>
          <w:kern w:val="0"/>
          <w:sz w:val="24"/>
        </w:rPr>
        <w:t>资源综合利用行业系数手册中的</w:t>
      </w:r>
      <w:r>
        <w:rPr>
          <w:rFonts w:cs="Times New Roman" w:hint="eastAsia"/>
          <w:bCs/>
          <w:snapToGrid w:val="0"/>
          <w:color w:val="000000" w:themeColor="text1"/>
          <w:kern w:val="0"/>
          <w:sz w:val="24"/>
        </w:rPr>
        <w:t>4220</w:t>
      </w:r>
      <w:r>
        <w:rPr>
          <w:rFonts w:cs="Times New Roman" w:hint="eastAsia"/>
          <w:bCs/>
          <w:snapToGrid w:val="0"/>
          <w:color w:val="000000" w:themeColor="text1"/>
          <w:kern w:val="0"/>
          <w:sz w:val="24"/>
        </w:rPr>
        <w:t>中废矿物油再生过程挥发性有机物产生系数</w:t>
      </w:r>
      <w:r>
        <w:rPr>
          <w:rFonts w:cs="Times New Roman" w:hint="eastAsia"/>
          <w:bCs/>
          <w:snapToGrid w:val="0"/>
          <w:color w:val="000000" w:themeColor="text1"/>
          <w:kern w:val="0"/>
          <w:sz w:val="24"/>
        </w:rPr>
        <w:t>275g/t-</w:t>
      </w:r>
      <w:r>
        <w:rPr>
          <w:rFonts w:cs="Times New Roman" w:hint="eastAsia"/>
          <w:bCs/>
          <w:snapToGrid w:val="0"/>
          <w:color w:val="000000" w:themeColor="text1"/>
          <w:kern w:val="0"/>
          <w:sz w:val="24"/>
        </w:rPr>
        <w:t>原料计算，非甲烷总烃年产生量为</w:t>
      </w:r>
      <w:r>
        <w:rPr>
          <w:rFonts w:cs="Times New Roman" w:hint="eastAsia"/>
          <w:bCs/>
          <w:snapToGrid w:val="0"/>
          <w:color w:val="000000" w:themeColor="text1"/>
          <w:kern w:val="0"/>
          <w:sz w:val="24"/>
        </w:rPr>
        <w:t>8.25t/a</w:t>
      </w:r>
      <w:r>
        <w:rPr>
          <w:rFonts w:cs="Times New Roman" w:hint="eastAsia"/>
          <w:bCs/>
          <w:snapToGrid w:val="0"/>
          <w:color w:val="000000" w:themeColor="text1"/>
          <w:kern w:val="0"/>
          <w:sz w:val="24"/>
        </w:rPr>
        <w:t>。</w:t>
      </w:r>
    </w:p>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hint="eastAsia"/>
          <w:bCs/>
          <w:snapToGrid w:val="0"/>
          <w:color w:val="000000" w:themeColor="text1"/>
          <w:kern w:val="0"/>
          <w:sz w:val="24"/>
        </w:rPr>
        <w:t>根据本项目废矿物油来源及成分，本项目回收的废润滑油中含有一定量硫，主要以有机硫的形式存在，含硫化合物在常压下，温度超过</w:t>
      </w:r>
      <w:r>
        <w:rPr>
          <w:rFonts w:cs="Times New Roman" w:hint="eastAsia"/>
          <w:bCs/>
          <w:snapToGrid w:val="0"/>
          <w:color w:val="000000" w:themeColor="text1"/>
          <w:kern w:val="0"/>
          <w:sz w:val="24"/>
        </w:rPr>
        <w:t>160</w:t>
      </w:r>
      <w:r>
        <w:rPr>
          <w:rFonts w:cs="Times New Roman" w:hint="eastAsia"/>
          <w:bCs/>
          <w:snapToGrid w:val="0"/>
          <w:color w:val="000000" w:themeColor="text1"/>
          <w:kern w:val="0"/>
          <w:sz w:val="24"/>
        </w:rPr>
        <w:t>℃时，某些含硫化合物会分解释放出少量的硫化氢。本项目原料废矿物油中硫含量为</w:t>
      </w:r>
      <w:r>
        <w:rPr>
          <w:rFonts w:cs="Times New Roman" w:hint="eastAsia"/>
          <w:bCs/>
          <w:snapToGrid w:val="0"/>
          <w:color w:val="000000" w:themeColor="text1"/>
          <w:kern w:val="0"/>
          <w:sz w:val="24"/>
        </w:rPr>
        <w:t>0.03%</w:t>
      </w:r>
      <w:r>
        <w:rPr>
          <w:rFonts w:cs="Times New Roman" w:hint="eastAsia"/>
          <w:bCs/>
          <w:snapToGrid w:val="0"/>
          <w:color w:val="000000" w:themeColor="text1"/>
          <w:kern w:val="0"/>
          <w:sz w:val="24"/>
        </w:rPr>
        <w:t>，</w:t>
      </w:r>
      <w:r w:rsidRPr="001543E3">
        <w:rPr>
          <w:rFonts w:cs="Times New Roman" w:hint="eastAsia"/>
          <w:bCs/>
          <w:snapToGrid w:val="0"/>
          <w:color w:val="FF0000"/>
          <w:kern w:val="0"/>
          <w:sz w:val="24"/>
        </w:rPr>
        <w:t>同时类比与本项目生产原料、生产工艺相同</w:t>
      </w:r>
      <w:r w:rsidR="001543E3" w:rsidRPr="001543E3">
        <w:rPr>
          <w:rFonts w:cs="Times New Roman" w:hint="eastAsia"/>
          <w:bCs/>
          <w:snapToGrid w:val="0"/>
          <w:color w:val="FF0000"/>
          <w:kern w:val="0"/>
          <w:sz w:val="24"/>
        </w:rPr>
        <w:t>（均采用减压蒸馏</w:t>
      </w:r>
      <w:r w:rsidR="001543E3" w:rsidRPr="001543E3">
        <w:rPr>
          <w:rFonts w:cs="Times New Roman" w:hint="eastAsia"/>
          <w:bCs/>
          <w:snapToGrid w:val="0"/>
          <w:color w:val="FF0000"/>
          <w:kern w:val="0"/>
          <w:sz w:val="24"/>
        </w:rPr>
        <w:t>+</w:t>
      </w:r>
      <w:r w:rsidR="001543E3" w:rsidRPr="001543E3">
        <w:rPr>
          <w:rFonts w:cs="Times New Roman" w:hint="eastAsia"/>
          <w:bCs/>
          <w:snapToGrid w:val="0"/>
          <w:color w:val="FF0000"/>
          <w:kern w:val="0"/>
          <w:sz w:val="24"/>
        </w:rPr>
        <w:t>溶剂精制工艺）</w:t>
      </w:r>
      <w:r w:rsidRPr="001543E3">
        <w:rPr>
          <w:rFonts w:cs="Times New Roman" w:hint="eastAsia"/>
          <w:bCs/>
          <w:snapToGrid w:val="0"/>
          <w:color w:val="FF0000"/>
          <w:kern w:val="0"/>
          <w:sz w:val="24"/>
        </w:rPr>
        <w:t>的《安徽嘉瑞环保科技有限公司废矿物油综合利用项目环境影响报告书》及其竣工环境保护验收监测报告</w:t>
      </w:r>
      <w:r>
        <w:rPr>
          <w:rFonts w:cs="Times New Roman" w:hint="eastAsia"/>
          <w:bCs/>
          <w:snapToGrid w:val="0"/>
          <w:color w:val="000000" w:themeColor="text1"/>
          <w:kern w:val="0"/>
          <w:sz w:val="24"/>
        </w:rPr>
        <w:t>，确定本项</w:t>
      </w:r>
      <w:r>
        <w:rPr>
          <w:rFonts w:cs="Times New Roman" w:hint="eastAsia"/>
          <w:bCs/>
          <w:snapToGrid w:val="0"/>
          <w:color w:val="000000" w:themeColor="text1"/>
          <w:kern w:val="0"/>
          <w:sz w:val="24"/>
        </w:rPr>
        <w:lastRenderedPageBreak/>
        <w:t>目进入不凝气体中硫化氢的量为</w:t>
      </w:r>
      <w:r>
        <w:rPr>
          <w:rFonts w:cs="Times New Roman" w:hint="eastAsia"/>
          <w:bCs/>
          <w:snapToGrid w:val="0"/>
          <w:color w:val="000000" w:themeColor="text1"/>
          <w:kern w:val="0"/>
          <w:sz w:val="24"/>
        </w:rPr>
        <w:t>0.04t/a</w:t>
      </w:r>
      <w:r>
        <w:rPr>
          <w:rFonts w:cs="Times New Roman" w:hint="eastAsia"/>
          <w:bCs/>
          <w:snapToGrid w:val="0"/>
          <w:color w:val="000000" w:themeColor="text1"/>
          <w:kern w:val="0"/>
          <w:sz w:val="24"/>
        </w:rPr>
        <w:t>。</w:t>
      </w:r>
    </w:p>
    <w:p w:rsidR="00644456" w:rsidRDefault="008031C4">
      <w:pPr>
        <w:adjustRightInd w:val="0"/>
        <w:snapToGrid w:val="0"/>
        <w:spacing w:line="360" w:lineRule="auto"/>
        <w:ind w:firstLine="480"/>
        <w:rPr>
          <w:rFonts w:cs="Times New Roman"/>
          <w:bCs/>
          <w:snapToGrid w:val="0"/>
          <w:color w:val="000000" w:themeColor="text1"/>
          <w:kern w:val="0"/>
          <w:sz w:val="24"/>
        </w:rPr>
      </w:pPr>
      <w:r>
        <w:rPr>
          <w:rFonts w:cs="Times New Roman"/>
          <w:b/>
          <w:snapToGrid w:val="0"/>
          <w:color w:val="000000" w:themeColor="text1"/>
          <w:kern w:val="0"/>
          <w:sz w:val="24"/>
        </w:rPr>
        <w:t>治理措施</w:t>
      </w:r>
      <w:r>
        <w:rPr>
          <w:rFonts w:cs="Times New Roman"/>
          <w:bCs/>
          <w:snapToGrid w:val="0"/>
          <w:color w:val="000000" w:themeColor="text1"/>
          <w:kern w:val="0"/>
          <w:sz w:val="24"/>
        </w:rPr>
        <w:t>：</w:t>
      </w:r>
      <w:r w:rsidRPr="00273131">
        <w:rPr>
          <w:rFonts w:cs="Times New Roman" w:hint="eastAsia"/>
          <w:bCs/>
          <w:snapToGrid w:val="0"/>
          <w:color w:val="FF0000"/>
          <w:kern w:val="0"/>
          <w:sz w:val="24"/>
        </w:rPr>
        <w:t>项目设置了</w:t>
      </w:r>
      <w:r w:rsidR="00273131" w:rsidRPr="00273131">
        <w:rPr>
          <w:rFonts w:cs="Times New Roman" w:hint="eastAsia"/>
          <w:bCs/>
          <w:snapToGrid w:val="0"/>
          <w:color w:val="FF0000"/>
          <w:kern w:val="0"/>
          <w:sz w:val="24"/>
        </w:rPr>
        <w:t>密闭管道</w:t>
      </w:r>
      <w:r w:rsidRPr="00273131">
        <w:rPr>
          <w:rFonts w:cs="Times New Roman" w:hint="eastAsia"/>
          <w:bCs/>
          <w:snapToGrid w:val="0"/>
          <w:color w:val="FF0000"/>
          <w:kern w:val="0"/>
          <w:sz w:val="24"/>
        </w:rPr>
        <w:t>负压收集系统，对蒸馏、精馏及溶剂回收过程产生的不凝气进行收集，收集后的废气采用“碱液喷淋</w:t>
      </w:r>
      <w:r w:rsidRPr="00273131">
        <w:rPr>
          <w:rFonts w:cs="Times New Roman" w:hint="eastAsia"/>
          <w:bCs/>
          <w:snapToGrid w:val="0"/>
          <w:color w:val="FF0000"/>
          <w:kern w:val="0"/>
          <w:sz w:val="24"/>
        </w:rPr>
        <w:t>+</w:t>
      </w:r>
      <w:r w:rsidRPr="00273131">
        <w:rPr>
          <w:rFonts w:cs="Times New Roman" w:hint="eastAsia"/>
          <w:bCs/>
          <w:snapToGrid w:val="0"/>
          <w:color w:val="FF0000"/>
          <w:kern w:val="0"/>
          <w:sz w:val="24"/>
        </w:rPr>
        <w:t>干式过滤</w:t>
      </w:r>
      <w:r w:rsidRPr="00273131">
        <w:rPr>
          <w:rFonts w:cs="Times New Roman" w:hint="eastAsia"/>
          <w:bCs/>
          <w:snapToGrid w:val="0"/>
          <w:color w:val="FF0000"/>
          <w:kern w:val="0"/>
          <w:sz w:val="24"/>
        </w:rPr>
        <w:t>+</w:t>
      </w:r>
      <w:r w:rsidRPr="00273131">
        <w:rPr>
          <w:rFonts w:cs="Times New Roman" w:hint="eastAsia"/>
          <w:bCs/>
          <w:snapToGrid w:val="0"/>
          <w:color w:val="FF0000"/>
          <w:kern w:val="0"/>
          <w:sz w:val="24"/>
        </w:rPr>
        <w:t>高温氧化”进行净化处理，净化后的废气通过</w:t>
      </w:r>
      <w:r w:rsidRPr="00273131">
        <w:rPr>
          <w:rFonts w:cs="Times New Roman"/>
          <w:bCs/>
          <w:snapToGrid w:val="0"/>
          <w:color w:val="FF0000"/>
          <w:kern w:val="0"/>
          <w:sz w:val="24"/>
        </w:rPr>
        <w:t>15</w:t>
      </w:r>
      <w:r w:rsidRPr="00273131">
        <w:rPr>
          <w:rFonts w:cs="Times New Roman" w:hint="eastAsia"/>
          <w:bCs/>
          <w:snapToGrid w:val="0"/>
          <w:color w:val="FF0000"/>
          <w:kern w:val="0"/>
          <w:sz w:val="24"/>
        </w:rPr>
        <w:t>m</w:t>
      </w:r>
      <w:r w:rsidRPr="00273131">
        <w:rPr>
          <w:rFonts w:cs="Times New Roman" w:hint="eastAsia"/>
          <w:bCs/>
          <w:snapToGrid w:val="0"/>
          <w:color w:val="FF0000"/>
          <w:kern w:val="0"/>
          <w:sz w:val="24"/>
        </w:rPr>
        <w:t>高的排气筒排放，高温氧化过程产生的热量进行余热回收用于生产。根据《</w:t>
      </w:r>
      <w:r w:rsidRPr="00273131">
        <w:rPr>
          <w:rFonts w:cs="Times New Roman" w:hint="eastAsia"/>
          <w:bCs/>
          <w:snapToGrid w:val="0"/>
          <w:color w:val="FF0000"/>
          <w:kern w:val="0"/>
          <w:sz w:val="24"/>
        </w:rPr>
        <w:t>42</w:t>
      </w:r>
      <w:r w:rsidRPr="00273131">
        <w:rPr>
          <w:rFonts w:cs="Times New Roman" w:hint="eastAsia"/>
          <w:bCs/>
          <w:snapToGrid w:val="0"/>
          <w:color w:val="FF0000"/>
          <w:kern w:val="0"/>
          <w:sz w:val="24"/>
        </w:rPr>
        <w:t>废弃资源综合利用行业系数手册》及本项目设计资料确定该工艺对非甲烷总烃的处理效率为</w:t>
      </w:r>
      <w:r w:rsidRPr="00273131">
        <w:rPr>
          <w:rFonts w:cs="Times New Roman" w:hint="eastAsia"/>
          <w:bCs/>
          <w:snapToGrid w:val="0"/>
          <w:color w:val="FF0000"/>
          <w:kern w:val="0"/>
          <w:sz w:val="24"/>
        </w:rPr>
        <w:t>70%</w:t>
      </w:r>
      <w:r w:rsidRPr="00273131">
        <w:rPr>
          <w:rFonts w:cs="Times New Roman" w:hint="eastAsia"/>
          <w:bCs/>
          <w:snapToGrid w:val="0"/>
          <w:color w:val="FF0000"/>
          <w:kern w:val="0"/>
          <w:sz w:val="24"/>
        </w:rPr>
        <w:t>；碱液喷淋对硫化氢的净化效率为</w:t>
      </w:r>
      <w:r w:rsidRPr="00273131">
        <w:rPr>
          <w:rFonts w:cs="Times New Roman" w:hint="eastAsia"/>
          <w:bCs/>
          <w:snapToGrid w:val="0"/>
          <w:color w:val="FF0000"/>
          <w:kern w:val="0"/>
          <w:sz w:val="24"/>
        </w:rPr>
        <w:t>90%</w:t>
      </w:r>
      <w:r w:rsidRPr="00273131">
        <w:rPr>
          <w:rFonts w:cs="Times New Roman"/>
          <w:bCs/>
          <w:snapToGrid w:val="0"/>
          <w:color w:val="FF0000"/>
          <w:kern w:val="0"/>
          <w:sz w:val="24"/>
        </w:rPr>
        <w:t>。</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2.5-1</w:t>
      </w:r>
      <w:r>
        <w:rPr>
          <w:rFonts w:cs="Times New Roman" w:hint="eastAsia"/>
          <w:b/>
          <w:color w:val="000000" w:themeColor="text1"/>
          <w:sz w:val="24"/>
          <w:szCs w:val="20"/>
        </w:rPr>
        <w:t>有组织废气统计表（单位</w:t>
      </w:r>
      <w:r>
        <w:rPr>
          <w:rFonts w:cs="Times New Roman" w:hint="eastAsia"/>
          <w:b/>
          <w:color w:val="000000" w:themeColor="text1"/>
          <w:sz w:val="24"/>
          <w:szCs w:val="20"/>
        </w:rPr>
        <w:t>t/a</w:t>
      </w:r>
      <w:r>
        <w:rPr>
          <w:rFonts w:cs="Times New Roman" w:hint="eastAsia"/>
          <w:b/>
          <w:color w:val="000000" w:themeColor="text1"/>
          <w:sz w:val="24"/>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
        <w:gridCol w:w="863"/>
        <w:gridCol w:w="752"/>
        <w:gridCol w:w="935"/>
        <w:gridCol w:w="1004"/>
        <w:gridCol w:w="891"/>
        <w:gridCol w:w="750"/>
        <w:gridCol w:w="850"/>
        <w:gridCol w:w="850"/>
        <w:gridCol w:w="947"/>
      </w:tblGrid>
      <w:tr w:rsidR="00644456">
        <w:trPr>
          <w:trHeight w:val="397"/>
          <w:jc w:val="center"/>
        </w:trPr>
        <w:tc>
          <w:tcPr>
            <w:tcW w:w="973" w:type="dxa"/>
            <w:vMerge w:val="restart"/>
            <w:vAlign w:val="center"/>
          </w:tcPr>
          <w:p w:rsidR="00644456" w:rsidRDefault="008031C4">
            <w:pPr>
              <w:widowControl/>
              <w:adjustRightInd w:val="0"/>
              <w:snapToGrid w:val="0"/>
              <w:jc w:val="center"/>
              <w:rPr>
                <w:rFonts w:cs="Times New Roman"/>
                <w:szCs w:val="21"/>
                <w:lang w:bidi="ar"/>
              </w:rPr>
            </w:pPr>
            <w:bookmarkStart w:id="147" w:name="_Hlk177136718"/>
            <w:r>
              <w:rPr>
                <w:rFonts w:cs="Times New Roman"/>
                <w:szCs w:val="21"/>
                <w:lang w:bidi="ar"/>
              </w:rPr>
              <w:t>生产时段</w:t>
            </w:r>
          </w:p>
        </w:tc>
        <w:tc>
          <w:tcPr>
            <w:tcW w:w="863" w:type="dxa"/>
            <w:vMerge w:val="restart"/>
            <w:vAlign w:val="center"/>
          </w:tcPr>
          <w:p w:rsidR="00644456" w:rsidRDefault="008031C4">
            <w:pPr>
              <w:widowControl/>
              <w:adjustRightInd w:val="0"/>
              <w:snapToGrid w:val="0"/>
              <w:jc w:val="center"/>
              <w:rPr>
                <w:rFonts w:cs="Times New Roman"/>
                <w:szCs w:val="21"/>
                <w:lang w:bidi="ar"/>
              </w:rPr>
            </w:pPr>
            <w:r>
              <w:rPr>
                <w:rFonts w:cs="Times New Roman"/>
                <w:szCs w:val="21"/>
                <w:lang w:bidi="ar"/>
              </w:rPr>
              <w:t>污染物</w:t>
            </w:r>
          </w:p>
          <w:p w:rsidR="00644456" w:rsidRDefault="008031C4">
            <w:pPr>
              <w:widowControl/>
              <w:adjustRightInd w:val="0"/>
              <w:snapToGrid w:val="0"/>
              <w:jc w:val="center"/>
              <w:rPr>
                <w:rFonts w:cs="Times New Roman"/>
                <w:szCs w:val="21"/>
                <w:lang w:bidi="ar"/>
              </w:rPr>
            </w:pPr>
            <w:r>
              <w:rPr>
                <w:rFonts w:cs="Times New Roman"/>
                <w:szCs w:val="21"/>
                <w:lang w:bidi="ar"/>
              </w:rPr>
              <w:t>名称</w:t>
            </w:r>
          </w:p>
        </w:tc>
        <w:tc>
          <w:tcPr>
            <w:tcW w:w="752" w:type="dxa"/>
            <w:vMerge w:val="restart"/>
            <w:vAlign w:val="center"/>
          </w:tcPr>
          <w:p w:rsidR="00644456" w:rsidRDefault="008031C4">
            <w:pPr>
              <w:widowControl/>
              <w:adjustRightInd w:val="0"/>
              <w:snapToGrid w:val="0"/>
              <w:jc w:val="center"/>
              <w:rPr>
                <w:rFonts w:cs="Times New Roman"/>
                <w:szCs w:val="21"/>
                <w:lang w:bidi="ar"/>
              </w:rPr>
            </w:pPr>
            <w:r>
              <w:rPr>
                <w:rFonts w:cs="Times New Roman"/>
                <w:szCs w:val="21"/>
                <w:lang w:bidi="ar"/>
              </w:rPr>
              <w:t>风量</w:t>
            </w:r>
            <w:r>
              <w:rPr>
                <w:rFonts w:cs="Times New Roman"/>
                <w:szCs w:val="21"/>
                <w:lang w:bidi="ar"/>
              </w:rPr>
              <w:t>m</w:t>
            </w:r>
            <w:r>
              <w:rPr>
                <w:rFonts w:cs="Times New Roman"/>
                <w:szCs w:val="21"/>
                <w:vertAlign w:val="superscript"/>
                <w:lang w:bidi="ar"/>
              </w:rPr>
              <w:t>3</w:t>
            </w:r>
            <w:r>
              <w:rPr>
                <w:rFonts w:cs="Times New Roman"/>
                <w:szCs w:val="21"/>
                <w:lang w:bidi="ar"/>
              </w:rPr>
              <w:t>/h</w:t>
            </w:r>
          </w:p>
        </w:tc>
        <w:tc>
          <w:tcPr>
            <w:tcW w:w="2830" w:type="dxa"/>
            <w:gridSpan w:val="3"/>
            <w:vAlign w:val="center"/>
          </w:tcPr>
          <w:p w:rsidR="00644456" w:rsidRDefault="008031C4">
            <w:pPr>
              <w:widowControl/>
              <w:adjustRightInd w:val="0"/>
              <w:snapToGrid w:val="0"/>
              <w:jc w:val="center"/>
              <w:rPr>
                <w:rFonts w:cs="Times New Roman"/>
                <w:szCs w:val="21"/>
                <w:lang w:bidi="ar"/>
              </w:rPr>
            </w:pPr>
            <w:r>
              <w:rPr>
                <w:rFonts w:cs="Times New Roman"/>
                <w:szCs w:val="21"/>
                <w:lang w:bidi="ar"/>
              </w:rPr>
              <w:t>产生情况</w:t>
            </w:r>
          </w:p>
        </w:tc>
        <w:tc>
          <w:tcPr>
            <w:tcW w:w="2450" w:type="dxa"/>
            <w:gridSpan w:val="3"/>
            <w:vAlign w:val="center"/>
          </w:tcPr>
          <w:p w:rsidR="00644456" w:rsidRDefault="008031C4">
            <w:pPr>
              <w:widowControl/>
              <w:adjustRightInd w:val="0"/>
              <w:snapToGrid w:val="0"/>
              <w:jc w:val="center"/>
              <w:rPr>
                <w:rFonts w:cs="Times New Roman"/>
                <w:szCs w:val="21"/>
                <w:lang w:bidi="ar"/>
              </w:rPr>
            </w:pPr>
            <w:r>
              <w:rPr>
                <w:rFonts w:cs="Times New Roman"/>
                <w:szCs w:val="21"/>
                <w:lang w:bidi="ar"/>
              </w:rPr>
              <w:t>排放情况</w:t>
            </w:r>
          </w:p>
        </w:tc>
        <w:tc>
          <w:tcPr>
            <w:tcW w:w="947" w:type="dxa"/>
            <w:vMerge w:val="restart"/>
            <w:vAlign w:val="center"/>
          </w:tcPr>
          <w:p w:rsidR="00644456" w:rsidRDefault="008031C4">
            <w:pPr>
              <w:widowControl/>
              <w:adjustRightInd w:val="0"/>
              <w:snapToGrid w:val="0"/>
              <w:jc w:val="center"/>
              <w:rPr>
                <w:rFonts w:cs="Times New Roman"/>
                <w:szCs w:val="21"/>
                <w:lang w:bidi="ar"/>
              </w:rPr>
            </w:pPr>
            <w:r>
              <w:rPr>
                <w:rFonts w:cs="Times New Roman"/>
                <w:szCs w:val="21"/>
                <w:lang w:bidi="ar"/>
              </w:rPr>
              <w:t>有效工作时间</w:t>
            </w:r>
          </w:p>
        </w:tc>
      </w:tr>
      <w:tr w:rsidR="00644456">
        <w:trPr>
          <w:trHeight w:val="340"/>
          <w:jc w:val="center"/>
        </w:trPr>
        <w:tc>
          <w:tcPr>
            <w:tcW w:w="973" w:type="dxa"/>
            <w:vMerge/>
            <w:vAlign w:val="center"/>
          </w:tcPr>
          <w:p w:rsidR="00644456" w:rsidRDefault="00644456">
            <w:pPr>
              <w:widowControl/>
              <w:adjustRightInd w:val="0"/>
              <w:snapToGrid w:val="0"/>
              <w:jc w:val="center"/>
              <w:rPr>
                <w:rFonts w:cs="Times New Roman"/>
                <w:szCs w:val="21"/>
                <w:lang w:bidi="ar"/>
              </w:rPr>
            </w:pPr>
          </w:p>
        </w:tc>
        <w:tc>
          <w:tcPr>
            <w:tcW w:w="863" w:type="dxa"/>
            <w:vMerge/>
            <w:vAlign w:val="center"/>
          </w:tcPr>
          <w:p w:rsidR="00644456" w:rsidRDefault="00644456">
            <w:pPr>
              <w:widowControl/>
              <w:adjustRightInd w:val="0"/>
              <w:snapToGrid w:val="0"/>
              <w:jc w:val="center"/>
              <w:rPr>
                <w:rFonts w:cs="Times New Roman"/>
                <w:szCs w:val="21"/>
                <w:lang w:bidi="ar"/>
              </w:rPr>
            </w:pPr>
          </w:p>
        </w:tc>
        <w:tc>
          <w:tcPr>
            <w:tcW w:w="752" w:type="dxa"/>
            <w:vMerge/>
            <w:vAlign w:val="center"/>
          </w:tcPr>
          <w:p w:rsidR="00644456" w:rsidRDefault="00644456">
            <w:pPr>
              <w:widowControl/>
              <w:adjustRightInd w:val="0"/>
              <w:snapToGrid w:val="0"/>
              <w:jc w:val="center"/>
              <w:rPr>
                <w:rFonts w:cs="Times New Roman"/>
                <w:szCs w:val="21"/>
                <w:lang w:bidi="ar"/>
              </w:rPr>
            </w:pPr>
          </w:p>
        </w:tc>
        <w:tc>
          <w:tcPr>
            <w:tcW w:w="935" w:type="dxa"/>
            <w:vAlign w:val="center"/>
          </w:tcPr>
          <w:p w:rsidR="00644456" w:rsidRDefault="008031C4">
            <w:pPr>
              <w:adjustRightInd w:val="0"/>
              <w:jc w:val="center"/>
              <w:rPr>
                <w:lang w:bidi="ar"/>
              </w:rPr>
            </w:pPr>
            <w:r>
              <w:rPr>
                <w:lang w:bidi="ar"/>
              </w:rPr>
              <w:t>产生量</w:t>
            </w:r>
          </w:p>
          <w:p w:rsidR="00644456" w:rsidRDefault="008031C4">
            <w:pPr>
              <w:adjustRightInd w:val="0"/>
              <w:jc w:val="center"/>
              <w:rPr>
                <w:lang w:bidi="ar"/>
              </w:rPr>
            </w:pPr>
            <w:r>
              <w:rPr>
                <w:lang w:bidi="ar"/>
              </w:rPr>
              <w:t>t/a</w:t>
            </w:r>
          </w:p>
        </w:tc>
        <w:tc>
          <w:tcPr>
            <w:tcW w:w="1004" w:type="dxa"/>
            <w:vAlign w:val="center"/>
          </w:tcPr>
          <w:p w:rsidR="00644456" w:rsidRDefault="008031C4">
            <w:pPr>
              <w:adjustRightInd w:val="0"/>
              <w:jc w:val="center"/>
              <w:rPr>
                <w:lang w:bidi="ar"/>
              </w:rPr>
            </w:pPr>
            <w:r>
              <w:rPr>
                <w:lang w:bidi="ar"/>
              </w:rPr>
              <w:t>速率</w:t>
            </w:r>
          </w:p>
          <w:p w:rsidR="00644456" w:rsidRDefault="008031C4">
            <w:pPr>
              <w:adjustRightInd w:val="0"/>
              <w:jc w:val="center"/>
              <w:rPr>
                <w:lang w:bidi="ar"/>
              </w:rPr>
            </w:pPr>
            <w:r>
              <w:rPr>
                <w:lang w:bidi="ar"/>
              </w:rPr>
              <w:t>kg/h</w:t>
            </w:r>
          </w:p>
        </w:tc>
        <w:tc>
          <w:tcPr>
            <w:tcW w:w="891" w:type="dxa"/>
            <w:vAlign w:val="center"/>
          </w:tcPr>
          <w:p w:rsidR="00644456" w:rsidRDefault="008031C4">
            <w:pPr>
              <w:adjustRightInd w:val="0"/>
              <w:jc w:val="center"/>
              <w:rPr>
                <w:lang w:bidi="ar"/>
              </w:rPr>
            </w:pPr>
            <w:r>
              <w:rPr>
                <w:lang w:bidi="ar"/>
              </w:rPr>
              <w:t>浓度</w:t>
            </w:r>
          </w:p>
          <w:p w:rsidR="00644456" w:rsidRDefault="008031C4">
            <w:pPr>
              <w:adjustRightInd w:val="0"/>
              <w:jc w:val="center"/>
              <w:rPr>
                <w:lang w:bidi="ar"/>
              </w:rPr>
            </w:pPr>
            <w:r>
              <w:rPr>
                <w:lang w:bidi="ar"/>
              </w:rPr>
              <w:t>mg/m</w:t>
            </w:r>
            <w:r>
              <w:rPr>
                <w:vertAlign w:val="superscript"/>
                <w:lang w:bidi="ar"/>
              </w:rPr>
              <w:t>3</w:t>
            </w:r>
          </w:p>
        </w:tc>
        <w:tc>
          <w:tcPr>
            <w:tcW w:w="750" w:type="dxa"/>
            <w:vAlign w:val="center"/>
          </w:tcPr>
          <w:p w:rsidR="00644456" w:rsidRDefault="008031C4">
            <w:pPr>
              <w:adjustRightInd w:val="0"/>
              <w:jc w:val="center"/>
              <w:rPr>
                <w:lang w:bidi="ar"/>
              </w:rPr>
            </w:pPr>
            <w:r>
              <w:rPr>
                <w:lang w:bidi="ar"/>
              </w:rPr>
              <w:t>排放量</w:t>
            </w:r>
            <w:r>
              <w:rPr>
                <w:lang w:bidi="ar"/>
              </w:rPr>
              <w:t>t/a</w:t>
            </w:r>
          </w:p>
        </w:tc>
        <w:tc>
          <w:tcPr>
            <w:tcW w:w="850" w:type="dxa"/>
            <w:vAlign w:val="center"/>
          </w:tcPr>
          <w:p w:rsidR="00644456" w:rsidRDefault="008031C4">
            <w:pPr>
              <w:adjustRightInd w:val="0"/>
              <w:jc w:val="center"/>
              <w:rPr>
                <w:lang w:bidi="ar"/>
              </w:rPr>
            </w:pPr>
            <w:r>
              <w:rPr>
                <w:lang w:bidi="ar"/>
              </w:rPr>
              <w:t>速率</w:t>
            </w:r>
          </w:p>
          <w:p w:rsidR="00644456" w:rsidRDefault="008031C4">
            <w:pPr>
              <w:adjustRightInd w:val="0"/>
              <w:jc w:val="center"/>
              <w:rPr>
                <w:lang w:bidi="ar"/>
              </w:rPr>
            </w:pPr>
            <w:r>
              <w:rPr>
                <w:lang w:bidi="ar"/>
              </w:rPr>
              <w:t>kg/h</w:t>
            </w:r>
          </w:p>
        </w:tc>
        <w:tc>
          <w:tcPr>
            <w:tcW w:w="850" w:type="dxa"/>
            <w:vAlign w:val="center"/>
          </w:tcPr>
          <w:p w:rsidR="00644456" w:rsidRDefault="008031C4">
            <w:pPr>
              <w:adjustRightInd w:val="0"/>
              <w:jc w:val="center"/>
              <w:rPr>
                <w:lang w:bidi="ar"/>
              </w:rPr>
            </w:pPr>
            <w:r>
              <w:rPr>
                <w:lang w:bidi="ar"/>
              </w:rPr>
              <w:t>浓度</w:t>
            </w:r>
          </w:p>
          <w:p w:rsidR="00644456" w:rsidRDefault="008031C4">
            <w:pPr>
              <w:adjustRightInd w:val="0"/>
              <w:jc w:val="center"/>
              <w:rPr>
                <w:lang w:bidi="ar"/>
              </w:rPr>
            </w:pPr>
            <w:r>
              <w:rPr>
                <w:lang w:bidi="ar"/>
              </w:rPr>
              <w:t>mg/m</w:t>
            </w:r>
            <w:r>
              <w:rPr>
                <w:vertAlign w:val="superscript"/>
                <w:lang w:bidi="ar"/>
              </w:rPr>
              <w:t>3</w:t>
            </w:r>
          </w:p>
        </w:tc>
        <w:tc>
          <w:tcPr>
            <w:tcW w:w="947" w:type="dxa"/>
            <w:vMerge/>
            <w:vAlign w:val="center"/>
          </w:tcPr>
          <w:p w:rsidR="00644456" w:rsidRDefault="00644456">
            <w:pPr>
              <w:widowControl/>
              <w:adjustRightInd w:val="0"/>
              <w:snapToGrid w:val="0"/>
              <w:jc w:val="center"/>
              <w:rPr>
                <w:rFonts w:cs="Times New Roman"/>
                <w:szCs w:val="21"/>
                <w:lang w:bidi="ar"/>
              </w:rPr>
            </w:pPr>
          </w:p>
        </w:tc>
      </w:tr>
      <w:tr w:rsidR="00644456">
        <w:trPr>
          <w:trHeight w:val="609"/>
          <w:jc w:val="center"/>
        </w:trPr>
        <w:tc>
          <w:tcPr>
            <w:tcW w:w="973" w:type="dxa"/>
            <w:vMerge w:val="restart"/>
            <w:vAlign w:val="center"/>
          </w:tcPr>
          <w:p w:rsidR="00644456" w:rsidRDefault="008031C4">
            <w:pPr>
              <w:widowControl/>
              <w:adjustRightInd w:val="0"/>
              <w:snapToGrid w:val="0"/>
              <w:jc w:val="center"/>
              <w:rPr>
                <w:rFonts w:cs="Times New Roman"/>
                <w:szCs w:val="21"/>
                <w:lang w:bidi="ar"/>
              </w:rPr>
            </w:pPr>
            <w:r>
              <w:rPr>
                <w:rFonts w:cs="Times New Roman"/>
                <w:szCs w:val="21"/>
                <w:lang w:bidi="ar"/>
              </w:rPr>
              <w:t>废矿物油处理期间</w:t>
            </w:r>
          </w:p>
        </w:tc>
        <w:tc>
          <w:tcPr>
            <w:tcW w:w="863" w:type="dxa"/>
            <w:vAlign w:val="center"/>
          </w:tcPr>
          <w:p w:rsidR="00644456" w:rsidRDefault="008031C4">
            <w:pPr>
              <w:widowControl/>
              <w:adjustRightInd w:val="0"/>
              <w:snapToGrid w:val="0"/>
              <w:jc w:val="center"/>
              <w:rPr>
                <w:rFonts w:cs="Times New Roman"/>
                <w:szCs w:val="21"/>
                <w:lang w:bidi="ar"/>
              </w:rPr>
            </w:pPr>
            <w:r>
              <w:rPr>
                <w:rFonts w:cs="Times New Roman"/>
                <w:szCs w:val="21"/>
                <w:lang w:bidi="ar"/>
              </w:rPr>
              <w:t>非甲烷总烃</w:t>
            </w:r>
          </w:p>
        </w:tc>
        <w:tc>
          <w:tcPr>
            <w:tcW w:w="752" w:type="dxa"/>
            <w:vMerge w:val="restart"/>
            <w:vAlign w:val="center"/>
          </w:tcPr>
          <w:p w:rsidR="00644456" w:rsidRDefault="008031C4">
            <w:pPr>
              <w:widowControl/>
              <w:adjustRightInd w:val="0"/>
              <w:snapToGrid w:val="0"/>
              <w:jc w:val="center"/>
              <w:rPr>
                <w:rFonts w:cs="Times New Roman"/>
                <w:szCs w:val="21"/>
                <w:lang w:bidi="ar"/>
              </w:rPr>
            </w:pPr>
            <w:r>
              <w:rPr>
                <w:rFonts w:cs="Times New Roman"/>
                <w:szCs w:val="21"/>
                <w:lang w:bidi="ar"/>
              </w:rPr>
              <w:t>10000</w:t>
            </w:r>
          </w:p>
        </w:tc>
        <w:tc>
          <w:tcPr>
            <w:tcW w:w="935" w:type="dxa"/>
            <w:vAlign w:val="center"/>
          </w:tcPr>
          <w:p w:rsidR="00644456" w:rsidRDefault="008031C4">
            <w:pPr>
              <w:widowControl/>
              <w:adjustRightInd w:val="0"/>
              <w:snapToGrid w:val="0"/>
              <w:jc w:val="center"/>
              <w:textAlignment w:val="center"/>
              <w:rPr>
                <w:rFonts w:cs="Times New Roman"/>
                <w:szCs w:val="21"/>
                <w:lang w:bidi="ar"/>
              </w:rPr>
            </w:pPr>
            <w:r>
              <w:rPr>
                <w:rFonts w:cs="Times New Roman"/>
                <w:szCs w:val="21"/>
                <w:lang w:bidi="ar"/>
              </w:rPr>
              <w:t>8.250</w:t>
            </w:r>
          </w:p>
        </w:tc>
        <w:tc>
          <w:tcPr>
            <w:tcW w:w="1004" w:type="dxa"/>
            <w:vAlign w:val="center"/>
          </w:tcPr>
          <w:p w:rsidR="00644456" w:rsidRDefault="008031C4">
            <w:pPr>
              <w:widowControl/>
              <w:adjustRightInd w:val="0"/>
              <w:snapToGrid w:val="0"/>
              <w:jc w:val="center"/>
              <w:textAlignment w:val="center"/>
              <w:rPr>
                <w:rFonts w:cs="Times New Roman"/>
                <w:szCs w:val="21"/>
                <w:lang w:bidi="ar"/>
              </w:rPr>
            </w:pPr>
            <w:r>
              <w:rPr>
                <w:rFonts w:cs="Times New Roman"/>
                <w:szCs w:val="21"/>
                <w:lang w:bidi="ar"/>
              </w:rPr>
              <w:t>1.146</w:t>
            </w:r>
          </w:p>
        </w:tc>
        <w:tc>
          <w:tcPr>
            <w:tcW w:w="891" w:type="dxa"/>
            <w:vAlign w:val="center"/>
          </w:tcPr>
          <w:p w:rsidR="00644456" w:rsidRDefault="008031C4">
            <w:pPr>
              <w:widowControl/>
              <w:adjustRightInd w:val="0"/>
              <w:snapToGrid w:val="0"/>
              <w:jc w:val="center"/>
              <w:textAlignment w:val="center"/>
              <w:rPr>
                <w:rFonts w:cs="Times New Roman"/>
                <w:szCs w:val="21"/>
                <w:lang w:bidi="ar"/>
              </w:rPr>
            </w:pPr>
            <w:r>
              <w:rPr>
                <w:rFonts w:cs="Times New Roman"/>
                <w:szCs w:val="21"/>
                <w:lang w:bidi="ar"/>
              </w:rPr>
              <w:t>114.583</w:t>
            </w:r>
          </w:p>
        </w:tc>
        <w:tc>
          <w:tcPr>
            <w:tcW w:w="750" w:type="dxa"/>
            <w:vAlign w:val="center"/>
          </w:tcPr>
          <w:p w:rsidR="00644456" w:rsidRDefault="008031C4">
            <w:pPr>
              <w:widowControl/>
              <w:adjustRightInd w:val="0"/>
              <w:snapToGrid w:val="0"/>
              <w:jc w:val="center"/>
              <w:textAlignment w:val="center"/>
              <w:rPr>
                <w:rFonts w:cs="Times New Roman"/>
                <w:szCs w:val="21"/>
                <w:lang w:bidi="ar"/>
              </w:rPr>
            </w:pPr>
            <w:r>
              <w:rPr>
                <w:rFonts w:cs="Times New Roman"/>
                <w:szCs w:val="21"/>
                <w:lang w:bidi="ar"/>
              </w:rPr>
              <w:t>2.475</w:t>
            </w:r>
          </w:p>
        </w:tc>
        <w:tc>
          <w:tcPr>
            <w:tcW w:w="850" w:type="dxa"/>
            <w:vAlign w:val="center"/>
          </w:tcPr>
          <w:p w:rsidR="00644456" w:rsidRDefault="008031C4">
            <w:pPr>
              <w:widowControl/>
              <w:adjustRightInd w:val="0"/>
              <w:snapToGrid w:val="0"/>
              <w:jc w:val="center"/>
              <w:textAlignment w:val="center"/>
              <w:rPr>
                <w:rFonts w:cs="Times New Roman"/>
                <w:szCs w:val="21"/>
                <w:lang w:bidi="ar"/>
              </w:rPr>
            </w:pPr>
            <w:r>
              <w:rPr>
                <w:rFonts w:cs="Times New Roman"/>
                <w:szCs w:val="21"/>
                <w:lang w:bidi="ar"/>
              </w:rPr>
              <w:t>0.344</w:t>
            </w:r>
          </w:p>
        </w:tc>
        <w:tc>
          <w:tcPr>
            <w:tcW w:w="850" w:type="dxa"/>
            <w:vAlign w:val="center"/>
          </w:tcPr>
          <w:p w:rsidR="00644456" w:rsidRDefault="008031C4">
            <w:pPr>
              <w:widowControl/>
              <w:adjustRightInd w:val="0"/>
              <w:snapToGrid w:val="0"/>
              <w:jc w:val="center"/>
              <w:textAlignment w:val="center"/>
              <w:rPr>
                <w:rFonts w:cs="Times New Roman"/>
                <w:szCs w:val="21"/>
                <w:lang w:bidi="ar"/>
              </w:rPr>
            </w:pPr>
            <w:r>
              <w:rPr>
                <w:rFonts w:cs="Times New Roman"/>
                <w:szCs w:val="21"/>
                <w:lang w:bidi="ar"/>
              </w:rPr>
              <w:t>34.375</w:t>
            </w:r>
          </w:p>
        </w:tc>
        <w:tc>
          <w:tcPr>
            <w:tcW w:w="947" w:type="dxa"/>
            <w:vMerge w:val="restart"/>
            <w:vAlign w:val="center"/>
          </w:tcPr>
          <w:p w:rsidR="00644456" w:rsidRDefault="008031C4">
            <w:pPr>
              <w:widowControl/>
              <w:adjustRightInd w:val="0"/>
              <w:snapToGrid w:val="0"/>
              <w:jc w:val="center"/>
              <w:rPr>
                <w:rFonts w:cs="Times New Roman"/>
                <w:szCs w:val="21"/>
                <w:lang w:bidi="ar"/>
              </w:rPr>
            </w:pPr>
            <w:r>
              <w:rPr>
                <w:rFonts w:cs="Times New Roman"/>
                <w:szCs w:val="21"/>
                <w:lang w:bidi="ar"/>
              </w:rPr>
              <w:t>7200h</w:t>
            </w:r>
          </w:p>
        </w:tc>
      </w:tr>
      <w:tr w:rsidR="00644456">
        <w:trPr>
          <w:trHeight w:val="340"/>
          <w:jc w:val="center"/>
        </w:trPr>
        <w:tc>
          <w:tcPr>
            <w:tcW w:w="973" w:type="dxa"/>
            <w:vMerge/>
            <w:vAlign w:val="center"/>
          </w:tcPr>
          <w:p w:rsidR="00644456" w:rsidRDefault="00644456">
            <w:pPr>
              <w:widowControl/>
              <w:adjustRightInd w:val="0"/>
              <w:snapToGrid w:val="0"/>
              <w:jc w:val="center"/>
              <w:rPr>
                <w:rFonts w:cs="Times New Roman"/>
                <w:szCs w:val="21"/>
                <w:lang w:bidi="ar"/>
              </w:rPr>
            </w:pPr>
          </w:p>
        </w:tc>
        <w:tc>
          <w:tcPr>
            <w:tcW w:w="863" w:type="dxa"/>
            <w:vAlign w:val="center"/>
          </w:tcPr>
          <w:p w:rsidR="00644456" w:rsidRDefault="008031C4">
            <w:pPr>
              <w:widowControl/>
              <w:adjustRightInd w:val="0"/>
              <w:snapToGrid w:val="0"/>
              <w:jc w:val="center"/>
              <w:rPr>
                <w:rFonts w:cs="Times New Roman"/>
                <w:szCs w:val="21"/>
                <w:lang w:bidi="ar"/>
              </w:rPr>
            </w:pPr>
            <w:r>
              <w:rPr>
                <w:rFonts w:cs="Times New Roman"/>
                <w:szCs w:val="21"/>
                <w:lang w:bidi="ar"/>
              </w:rPr>
              <w:t>硫化氢</w:t>
            </w:r>
          </w:p>
        </w:tc>
        <w:tc>
          <w:tcPr>
            <w:tcW w:w="752" w:type="dxa"/>
            <w:vMerge/>
            <w:vAlign w:val="center"/>
          </w:tcPr>
          <w:p w:rsidR="00644456" w:rsidRDefault="00644456">
            <w:pPr>
              <w:widowControl/>
              <w:adjustRightInd w:val="0"/>
              <w:snapToGrid w:val="0"/>
              <w:jc w:val="center"/>
              <w:rPr>
                <w:rFonts w:cs="Times New Roman"/>
                <w:szCs w:val="21"/>
                <w:lang w:bidi="ar"/>
              </w:rPr>
            </w:pPr>
          </w:p>
        </w:tc>
        <w:tc>
          <w:tcPr>
            <w:tcW w:w="935" w:type="dxa"/>
            <w:vAlign w:val="center"/>
          </w:tcPr>
          <w:p w:rsidR="00644456" w:rsidRDefault="008031C4">
            <w:pPr>
              <w:widowControl/>
              <w:adjustRightInd w:val="0"/>
              <w:snapToGrid w:val="0"/>
              <w:jc w:val="center"/>
              <w:textAlignment w:val="center"/>
              <w:rPr>
                <w:rFonts w:cs="Times New Roman"/>
                <w:szCs w:val="21"/>
                <w:lang w:bidi="ar"/>
              </w:rPr>
            </w:pPr>
            <w:r>
              <w:rPr>
                <w:rFonts w:cs="Times New Roman"/>
                <w:szCs w:val="21"/>
                <w:lang w:bidi="ar"/>
              </w:rPr>
              <w:t>0.04</w:t>
            </w:r>
          </w:p>
        </w:tc>
        <w:tc>
          <w:tcPr>
            <w:tcW w:w="1004" w:type="dxa"/>
            <w:vAlign w:val="center"/>
          </w:tcPr>
          <w:p w:rsidR="00644456" w:rsidRDefault="008031C4">
            <w:pPr>
              <w:widowControl/>
              <w:adjustRightInd w:val="0"/>
              <w:snapToGrid w:val="0"/>
              <w:jc w:val="center"/>
              <w:textAlignment w:val="center"/>
              <w:rPr>
                <w:rFonts w:cs="Times New Roman"/>
                <w:szCs w:val="21"/>
                <w:lang w:bidi="ar"/>
              </w:rPr>
            </w:pPr>
            <w:r>
              <w:rPr>
                <w:rFonts w:cs="Times New Roman"/>
                <w:szCs w:val="21"/>
                <w:lang w:bidi="ar"/>
              </w:rPr>
              <w:t>0.006</w:t>
            </w:r>
          </w:p>
        </w:tc>
        <w:tc>
          <w:tcPr>
            <w:tcW w:w="891" w:type="dxa"/>
            <w:vAlign w:val="center"/>
          </w:tcPr>
          <w:p w:rsidR="00644456" w:rsidRDefault="008031C4">
            <w:pPr>
              <w:widowControl/>
              <w:adjustRightInd w:val="0"/>
              <w:snapToGrid w:val="0"/>
              <w:jc w:val="center"/>
              <w:textAlignment w:val="center"/>
              <w:rPr>
                <w:rFonts w:cs="Times New Roman"/>
                <w:szCs w:val="21"/>
                <w:lang w:bidi="ar"/>
              </w:rPr>
            </w:pPr>
            <w:r>
              <w:rPr>
                <w:rFonts w:cs="Times New Roman"/>
                <w:szCs w:val="21"/>
                <w:lang w:bidi="ar"/>
              </w:rPr>
              <w:t>0.6</w:t>
            </w:r>
          </w:p>
        </w:tc>
        <w:tc>
          <w:tcPr>
            <w:tcW w:w="750" w:type="dxa"/>
            <w:vAlign w:val="center"/>
          </w:tcPr>
          <w:p w:rsidR="00644456" w:rsidRDefault="008031C4">
            <w:pPr>
              <w:widowControl/>
              <w:adjustRightInd w:val="0"/>
              <w:snapToGrid w:val="0"/>
              <w:jc w:val="center"/>
              <w:textAlignment w:val="center"/>
              <w:rPr>
                <w:rFonts w:cs="Times New Roman"/>
                <w:szCs w:val="21"/>
                <w:lang w:bidi="ar"/>
              </w:rPr>
            </w:pPr>
            <w:r>
              <w:rPr>
                <w:rFonts w:cs="Times New Roman"/>
                <w:szCs w:val="21"/>
                <w:lang w:bidi="ar"/>
              </w:rPr>
              <w:t>0.004</w:t>
            </w:r>
          </w:p>
        </w:tc>
        <w:tc>
          <w:tcPr>
            <w:tcW w:w="850" w:type="dxa"/>
            <w:vAlign w:val="center"/>
          </w:tcPr>
          <w:p w:rsidR="00644456" w:rsidRDefault="008031C4">
            <w:pPr>
              <w:widowControl/>
              <w:adjustRightInd w:val="0"/>
              <w:snapToGrid w:val="0"/>
              <w:jc w:val="center"/>
              <w:textAlignment w:val="center"/>
              <w:rPr>
                <w:rFonts w:cs="Times New Roman"/>
                <w:szCs w:val="21"/>
                <w:lang w:bidi="ar"/>
              </w:rPr>
            </w:pPr>
            <w:r>
              <w:rPr>
                <w:rFonts w:cs="Times New Roman"/>
                <w:szCs w:val="21"/>
                <w:lang w:bidi="ar"/>
              </w:rPr>
              <w:t>0.0006</w:t>
            </w:r>
          </w:p>
        </w:tc>
        <w:tc>
          <w:tcPr>
            <w:tcW w:w="850" w:type="dxa"/>
            <w:vAlign w:val="center"/>
          </w:tcPr>
          <w:p w:rsidR="00644456" w:rsidRDefault="008031C4">
            <w:pPr>
              <w:widowControl/>
              <w:adjustRightInd w:val="0"/>
              <w:snapToGrid w:val="0"/>
              <w:jc w:val="center"/>
              <w:textAlignment w:val="center"/>
              <w:rPr>
                <w:rFonts w:cs="Times New Roman"/>
                <w:szCs w:val="21"/>
                <w:lang w:bidi="ar"/>
              </w:rPr>
            </w:pPr>
            <w:r>
              <w:rPr>
                <w:rFonts w:cs="Times New Roman"/>
                <w:szCs w:val="21"/>
                <w:lang w:bidi="ar"/>
              </w:rPr>
              <w:t>0.06</w:t>
            </w:r>
          </w:p>
        </w:tc>
        <w:tc>
          <w:tcPr>
            <w:tcW w:w="947" w:type="dxa"/>
            <w:vMerge/>
            <w:vAlign w:val="center"/>
          </w:tcPr>
          <w:p w:rsidR="00644456" w:rsidRDefault="00644456">
            <w:pPr>
              <w:keepNext/>
              <w:keepLines/>
              <w:adjustRightInd w:val="0"/>
              <w:jc w:val="center"/>
              <w:rPr>
                <w:color w:val="FF0000"/>
                <w:szCs w:val="21"/>
              </w:rPr>
            </w:pPr>
          </w:p>
        </w:tc>
      </w:tr>
    </w:tbl>
    <w:bookmarkEnd w:id="147"/>
    <w:p w:rsidR="00644456" w:rsidRDefault="008031C4">
      <w:pPr>
        <w:pStyle w:val="5"/>
        <w:numPr>
          <w:ilvl w:val="4"/>
          <w:numId w:val="0"/>
        </w:numPr>
        <w:ind w:firstLine="480"/>
        <w:rPr>
          <w:b/>
          <w:bCs w:val="0"/>
          <w:snapToGrid w:val="0"/>
          <w:color w:val="000000" w:themeColor="text1"/>
        </w:rPr>
      </w:pPr>
      <w:r>
        <w:rPr>
          <w:rFonts w:hint="eastAsia"/>
          <w:b/>
          <w:bCs w:val="0"/>
          <w:snapToGrid w:val="0"/>
          <w:color w:val="000000" w:themeColor="text1"/>
        </w:rPr>
        <w:t>2.5.2.1.2</w:t>
      </w:r>
      <w:r>
        <w:rPr>
          <w:rFonts w:hint="eastAsia"/>
          <w:b/>
          <w:bCs w:val="0"/>
          <w:snapToGrid w:val="0"/>
          <w:color w:val="000000" w:themeColor="text1"/>
        </w:rPr>
        <w:t>导热油锅炉天然气燃烧废气</w:t>
      </w:r>
    </w:p>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hint="eastAsia"/>
          <w:bCs/>
          <w:snapToGrid w:val="0"/>
          <w:color w:val="000000" w:themeColor="text1"/>
          <w:kern w:val="0"/>
          <w:sz w:val="24"/>
        </w:rPr>
        <w:t>本项目设置</w:t>
      </w:r>
      <w:r>
        <w:rPr>
          <w:rFonts w:cs="Times New Roman"/>
          <w:bCs/>
          <w:snapToGrid w:val="0"/>
          <w:color w:val="000000" w:themeColor="text1"/>
          <w:kern w:val="0"/>
          <w:sz w:val="24"/>
        </w:rPr>
        <w:t>400</w:t>
      </w:r>
      <w:r>
        <w:rPr>
          <w:rFonts w:cs="Times New Roman" w:hint="eastAsia"/>
          <w:bCs/>
          <w:snapToGrid w:val="0"/>
          <w:color w:val="000000" w:themeColor="text1"/>
          <w:kern w:val="0"/>
          <w:sz w:val="24"/>
        </w:rPr>
        <w:t>kW</w:t>
      </w:r>
      <w:r>
        <w:rPr>
          <w:rFonts w:cs="Times New Roman" w:hint="eastAsia"/>
          <w:bCs/>
          <w:snapToGrid w:val="0"/>
          <w:color w:val="000000" w:themeColor="text1"/>
          <w:kern w:val="0"/>
          <w:sz w:val="24"/>
        </w:rPr>
        <w:t>导热油炉锅炉</w:t>
      </w:r>
      <w:r>
        <w:rPr>
          <w:rFonts w:cs="Times New Roman" w:hint="eastAsia"/>
          <w:bCs/>
          <w:snapToGrid w:val="0"/>
          <w:color w:val="000000" w:themeColor="text1"/>
          <w:kern w:val="0"/>
          <w:sz w:val="24"/>
        </w:rPr>
        <w:t>1</w:t>
      </w:r>
      <w:r>
        <w:rPr>
          <w:rFonts w:cs="Times New Roman" w:hint="eastAsia"/>
          <w:bCs/>
          <w:snapToGrid w:val="0"/>
          <w:color w:val="000000" w:themeColor="text1"/>
          <w:kern w:val="0"/>
          <w:sz w:val="24"/>
        </w:rPr>
        <w:t>台，燃料采用天然气，根据设计说明，项目燃气消耗量为</w:t>
      </w:r>
      <w:r>
        <w:rPr>
          <w:rFonts w:cs="Times New Roman" w:hint="eastAsia"/>
          <w:bCs/>
          <w:snapToGrid w:val="0"/>
          <w:color w:val="000000" w:themeColor="text1"/>
          <w:kern w:val="0"/>
          <w:sz w:val="24"/>
        </w:rPr>
        <w:t>1</w:t>
      </w:r>
      <w:r>
        <w:rPr>
          <w:rFonts w:cs="Times New Roman"/>
          <w:bCs/>
          <w:snapToGrid w:val="0"/>
          <w:color w:val="000000" w:themeColor="text1"/>
          <w:kern w:val="0"/>
          <w:sz w:val="24"/>
        </w:rPr>
        <w:t>20</w:t>
      </w:r>
      <w:r>
        <w:rPr>
          <w:rFonts w:cs="Times New Roman" w:hint="eastAsia"/>
          <w:bCs/>
          <w:snapToGrid w:val="0"/>
          <w:color w:val="000000" w:themeColor="text1"/>
          <w:kern w:val="0"/>
          <w:sz w:val="24"/>
        </w:rPr>
        <w:t>m</w:t>
      </w:r>
      <w:r>
        <w:rPr>
          <w:rFonts w:cs="Times New Roman" w:hint="eastAsia"/>
          <w:bCs/>
          <w:snapToGrid w:val="0"/>
          <w:color w:val="000000" w:themeColor="text1"/>
          <w:kern w:val="0"/>
          <w:sz w:val="24"/>
          <w:vertAlign w:val="superscript"/>
        </w:rPr>
        <w:t>3</w:t>
      </w:r>
      <w:r>
        <w:rPr>
          <w:rFonts w:cs="Times New Roman" w:hint="eastAsia"/>
          <w:bCs/>
          <w:snapToGrid w:val="0"/>
          <w:color w:val="000000" w:themeColor="text1"/>
          <w:kern w:val="0"/>
          <w:sz w:val="24"/>
        </w:rPr>
        <w:t>/</w:t>
      </w:r>
      <w:r>
        <w:rPr>
          <w:rFonts w:cs="Times New Roman"/>
          <w:bCs/>
          <w:snapToGrid w:val="0"/>
          <w:color w:val="000000" w:themeColor="text1"/>
          <w:kern w:val="0"/>
          <w:sz w:val="24"/>
        </w:rPr>
        <w:t>h</w:t>
      </w:r>
      <w:r>
        <w:rPr>
          <w:rFonts w:cs="Times New Roman" w:hint="eastAsia"/>
          <w:bCs/>
          <w:snapToGrid w:val="0"/>
          <w:color w:val="000000" w:themeColor="text1"/>
          <w:kern w:val="0"/>
          <w:sz w:val="24"/>
        </w:rPr>
        <w:t>，</w:t>
      </w:r>
      <w:r>
        <w:rPr>
          <w:rFonts w:cs="Times New Roman"/>
          <w:bCs/>
          <w:snapToGrid w:val="0"/>
          <w:color w:val="000000" w:themeColor="text1"/>
          <w:kern w:val="0"/>
          <w:sz w:val="24"/>
        </w:rPr>
        <w:t>86.4</w:t>
      </w:r>
      <w:r>
        <w:rPr>
          <w:rFonts w:cs="Times New Roman" w:hint="eastAsia"/>
          <w:bCs/>
          <w:snapToGrid w:val="0"/>
          <w:color w:val="000000" w:themeColor="text1"/>
          <w:kern w:val="0"/>
          <w:sz w:val="24"/>
        </w:rPr>
        <w:t>万</w:t>
      </w:r>
      <w:r>
        <w:rPr>
          <w:rFonts w:cs="Times New Roman" w:hint="eastAsia"/>
          <w:bCs/>
          <w:snapToGrid w:val="0"/>
          <w:color w:val="000000" w:themeColor="text1"/>
          <w:kern w:val="0"/>
          <w:sz w:val="24"/>
        </w:rPr>
        <w:t>m</w:t>
      </w:r>
      <w:r>
        <w:rPr>
          <w:rFonts w:cs="Times New Roman" w:hint="eastAsia"/>
          <w:bCs/>
          <w:snapToGrid w:val="0"/>
          <w:color w:val="000000" w:themeColor="text1"/>
          <w:kern w:val="0"/>
          <w:sz w:val="24"/>
          <w:vertAlign w:val="superscript"/>
        </w:rPr>
        <w:t>3</w:t>
      </w:r>
      <w:r>
        <w:rPr>
          <w:rFonts w:cs="Times New Roman" w:hint="eastAsia"/>
          <w:bCs/>
          <w:snapToGrid w:val="0"/>
          <w:color w:val="000000" w:themeColor="text1"/>
          <w:kern w:val="0"/>
          <w:sz w:val="24"/>
        </w:rPr>
        <w:t>/a</w:t>
      </w:r>
      <w:r>
        <w:rPr>
          <w:rFonts w:cs="Times New Roman" w:hint="eastAsia"/>
          <w:bCs/>
          <w:snapToGrid w:val="0"/>
          <w:color w:val="000000" w:themeColor="text1"/>
          <w:kern w:val="0"/>
          <w:sz w:val="24"/>
        </w:rPr>
        <w:t>，导热油炉年运行时间</w:t>
      </w:r>
      <w:r>
        <w:rPr>
          <w:rFonts w:cs="Times New Roman"/>
          <w:bCs/>
          <w:snapToGrid w:val="0"/>
          <w:color w:val="000000" w:themeColor="text1"/>
          <w:kern w:val="0"/>
          <w:sz w:val="24"/>
        </w:rPr>
        <w:t>72</w:t>
      </w:r>
      <w:r>
        <w:rPr>
          <w:rFonts w:cs="Times New Roman" w:hint="eastAsia"/>
          <w:bCs/>
          <w:snapToGrid w:val="0"/>
          <w:color w:val="000000" w:themeColor="text1"/>
          <w:kern w:val="0"/>
          <w:sz w:val="24"/>
        </w:rPr>
        <w:t>00h</w:t>
      </w:r>
      <w:r>
        <w:rPr>
          <w:rFonts w:cs="Times New Roman" w:hint="eastAsia"/>
          <w:bCs/>
          <w:snapToGrid w:val="0"/>
          <w:color w:val="000000" w:themeColor="text1"/>
          <w:kern w:val="0"/>
          <w:sz w:val="24"/>
        </w:rPr>
        <w:t>。</w:t>
      </w:r>
    </w:p>
    <w:p w:rsidR="00644456" w:rsidRPr="00273131" w:rsidRDefault="008031C4">
      <w:pPr>
        <w:adjustRightInd w:val="0"/>
        <w:snapToGrid w:val="0"/>
        <w:spacing w:line="360" w:lineRule="auto"/>
        <w:ind w:firstLine="482"/>
        <w:rPr>
          <w:rFonts w:cs="Times New Roman"/>
          <w:bCs/>
          <w:snapToGrid w:val="0"/>
          <w:color w:val="FF0000"/>
          <w:kern w:val="0"/>
          <w:sz w:val="24"/>
        </w:rPr>
      </w:pPr>
      <w:r w:rsidRPr="00273131">
        <w:rPr>
          <w:rFonts w:cs="Times New Roman"/>
          <w:bCs/>
          <w:snapToGrid w:val="0"/>
          <w:color w:val="FF0000"/>
          <w:kern w:val="0"/>
          <w:sz w:val="24"/>
        </w:rPr>
        <w:t>根据《污染源源强核算技术指南锅炉》（</w:t>
      </w:r>
      <w:r w:rsidRPr="00273131">
        <w:rPr>
          <w:rFonts w:cs="Times New Roman"/>
          <w:bCs/>
          <w:snapToGrid w:val="0"/>
          <w:color w:val="FF0000"/>
          <w:kern w:val="0"/>
          <w:sz w:val="24"/>
        </w:rPr>
        <w:t>HJ991-2018</w:t>
      </w:r>
      <w:r w:rsidRPr="00273131">
        <w:rPr>
          <w:rFonts w:cs="Times New Roman"/>
          <w:bCs/>
          <w:snapToGrid w:val="0"/>
          <w:color w:val="FF0000"/>
          <w:kern w:val="0"/>
          <w:sz w:val="24"/>
        </w:rPr>
        <w:t>），锅炉污染源源强核算优先采用物料衡算法，根据</w:t>
      </w:r>
      <w:r w:rsidRPr="00273131">
        <w:rPr>
          <w:rFonts w:cs="Times New Roman"/>
          <w:bCs/>
          <w:snapToGrid w:val="0"/>
          <w:color w:val="FF0000"/>
          <w:kern w:val="0"/>
          <w:sz w:val="24"/>
        </w:rPr>
        <w:t>5.1.2</w:t>
      </w:r>
      <w:r w:rsidRPr="00273131">
        <w:rPr>
          <w:rFonts w:cs="Times New Roman"/>
          <w:bCs/>
          <w:snapToGrid w:val="0"/>
          <w:color w:val="FF0000"/>
          <w:kern w:val="0"/>
          <w:sz w:val="24"/>
        </w:rPr>
        <w:t>条，燃气锅炉颗粒物排放量按照</w:t>
      </w:r>
      <w:r w:rsidRPr="00273131">
        <w:rPr>
          <w:rFonts w:cs="Times New Roman"/>
          <w:bCs/>
          <w:snapToGrid w:val="0"/>
          <w:color w:val="FF0000"/>
          <w:kern w:val="0"/>
          <w:sz w:val="24"/>
        </w:rPr>
        <w:t>5.2</w:t>
      </w:r>
      <w:r w:rsidRPr="00273131">
        <w:rPr>
          <w:rFonts w:cs="Times New Roman"/>
          <w:bCs/>
          <w:snapToGrid w:val="0"/>
          <w:color w:val="FF0000"/>
          <w:kern w:val="0"/>
          <w:sz w:val="24"/>
        </w:rPr>
        <w:t>条类比法或</w:t>
      </w:r>
      <w:r w:rsidRPr="00273131">
        <w:rPr>
          <w:rFonts w:cs="Times New Roman"/>
          <w:bCs/>
          <w:snapToGrid w:val="0"/>
          <w:color w:val="FF0000"/>
          <w:kern w:val="0"/>
          <w:sz w:val="24"/>
        </w:rPr>
        <w:t>5.4</w:t>
      </w:r>
      <w:r w:rsidRPr="00273131">
        <w:rPr>
          <w:rFonts w:cs="Times New Roman"/>
          <w:bCs/>
          <w:snapToGrid w:val="0"/>
          <w:color w:val="FF0000"/>
          <w:kern w:val="0"/>
          <w:sz w:val="24"/>
        </w:rPr>
        <w:t>条产污系数法进行核算。</w:t>
      </w:r>
    </w:p>
    <w:p w:rsidR="00644456" w:rsidRPr="00273131" w:rsidRDefault="008031C4">
      <w:pPr>
        <w:spacing w:line="360" w:lineRule="auto"/>
        <w:ind w:firstLine="482"/>
        <w:rPr>
          <w:rFonts w:cs="Times New Roman"/>
          <w:color w:val="FF0000"/>
          <w:sz w:val="24"/>
          <w:szCs w:val="24"/>
          <w:lang w:bidi="ar"/>
        </w:rPr>
      </w:pPr>
      <w:r w:rsidRPr="00273131">
        <w:rPr>
          <w:rFonts w:cs="Times New Roman" w:hint="eastAsia"/>
          <w:color w:val="FF0000"/>
          <w:sz w:val="24"/>
          <w:szCs w:val="24"/>
          <w:lang w:bidi="ar"/>
        </w:rPr>
        <w:t>SO</w:t>
      </w:r>
      <w:r w:rsidRPr="00273131">
        <w:rPr>
          <w:rFonts w:cs="Times New Roman" w:hint="eastAsia"/>
          <w:color w:val="FF0000"/>
          <w:sz w:val="24"/>
          <w:szCs w:val="24"/>
          <w:vertAlign w:val="subscript"/>
          <w:lang w:bidi="ar"/>
        </w:rPr>
        <w:t>2</w:t>
      </w:r>
      <w:r w:rsidRPr="00273131">
        <w:rPr>
          <w:rFonts w:cs="Times New Roman" w:hint="eastAsia"/>
          <w:color w:val="FF0000"/>
          <w:sz w:val="24"/>
          <w:szCs w:val="24"/>
          <w:lang w:bidi="ar"/>
        </w:rPr>
        <w:t>、</w:t>
      </w:r>
      <w:r w:rsidRPr="00273131">
        <w:rPr>
          <w:rFonts w:cs="Times New Roman" w:hint="eastAsia"/>
          <w:color w:val="FF0000"/>
          <w:sz w:val="24"/>
          <w:szCs w:val="24"/>
          <w:lang w:bidi="ar"/>
        </w:rPr>
        <w:t>NO</w:t>
      </w:r>
      <w:r w:rsidRPr="00273131">
        <w:rPr>
          <w:rFonts w:cs="Times New Roman" w:hint="eastAsia"/>
          <w:color w:val="FF0000"/>
          <w:sz w:val="24"/>
          <w:szCs w:val="24"/>
          <w:vertAlign w:val="subscript"/>
          <w:lang w:bidi="ar"/>
        </w:rPr>
        <w:t>X</w:t>
      </w:r>
      <w:r w:rsidRPr="00273131">
        <w:rPr>
          <w:rFonts w:cs="Times New Roman" w:hint="eastAsia"/>
          <w:color w:val="FF0000"/>
          <w:sz w:val="24"/>
          <w:szCs w:val="24"/>
          <w:lang w:bidi="ar"/>
        </w:rPr>
        <w:t>产生量根据《排污许可证申请与核发技术规范锅炉》（</w:t>
      </w:r>
      <w:r w:rsidRPr="00273131">
        <w:rPr>
          <w:rFonts w:cs="Times New Roman" w:hint="eastAsia"/>
          <w:color w:val="FF0000"/>
          <w:sz w:val="24"/>
          <w:szCs w:val="24"/>
          <w:lang w:bidi="ar"/>
        </w:rPr>
        <w:t>HJ953-2018</w:t>
      </w:r>
      <w:r w:rsidRPr="00273131">
        <w:rPr>
          <w:rFonts w:cs="Times New Roman" w:hint="eastAsia"/>
          <w:color w:val="FF0000"/>
          <w:sz w:val="24"/>
          <w:szCs w:val="24"/>
          <w:lang w:bidi="ar"/>
        </w:rPr>
        <w:t>）表</w:t>
      </w:r>
      <w:r w:rsidRPr="00273131">
        <w:rPr>
          <w:rFonts w:cs="Times New Roman" w:hint="eastAsia"/>
          <w:color w:val="FF0000"/>
          <w:sz w:val="24"/>
          <w:szCs w:val="24"/>
          <w:lang w:bidi="ar"/>
        </w:rPr>
        <w:t>F3</w:t>
      </w:r>
      <w:r w:rsidRPr="00273131">
        <w:rPr>
          <w:rFonts w:cs="Times New Roman" w:hint="eastAsia"/>
          <w:color w:val="FF0000"/>
          <w:sz w:val="24"/>
          <w:szCs w:val="24"/>
          <w:lang w:bidi="ar"/>
        </w:rPr>
        <w:t>燃气工业锅炉的废气产排污系数计算；烟气量根据《环境保护实用数据手册》（胡名操主编）中统计数据计算。</w:t>
      </w:r>
    </w:p>
    <w:p w:rsidR="00273131" w:rsidRPr="00273131" w:rsidRDefault="00273131">
      <w:pPr>
        <w:spacing w:line="360" w:lineRule="auto"/>
        <w:ind w:firstLine="482"/>
        <w:rPr>
          <w:rFonts w:cs="Times New Roman"/>
          <w:color w:val="FF0000"/>
          <w:sz w:val="24"/>
          <w:szCs w:val="24"/>
          <w:lang w:bidi="ar"/>
        </w:rPr>
      </w:pPr>
      <w:r w:rsidRPr="00273131">
        <w:rPr>
          <w:rFonts w:cs="Times New Roman" w:hint="eastAsia"/>
          <w:color w:val="FF0000"/>
          <w:sz w:val="24"/>
          <w:szCs w:val="24"/>
          <w:lang w:bidi="ar"/>
        </w:rPr>
        <w:t>颗粒物的产污系数参考《环境影响评价工程师职业资格登记培训教材：社会区域类环境影响评价》介绍：每燃</w:t>
      </w:r>
      <w:r w:rsidRPr="00273131">
        <w:rPr>
          <w:rFonts w:cs="Times New Roman" w:hint="eastAsia"/>
          <w:color w:val="FF0000"/>
          <w:sz w:val="24"/>
          <w:szCs w:val="24"/>
          <w:lang w:bidi="ar"/>
        </w:rPr>
        <w:t>1000m</w:t>
      </w:r>
      <w:r w:rsidRPr="00273131">
        <w:rPr>
          <w:rFonts w:cs="Times New Roman" w:hint="eastAsia"/>
          <w:color w:val="FF0000"/>
          <w:sz w:val="24"/>
          <w:szCs w:val="24"/>
          <w:lang w:bidi="ar"/>
        </w:rPr>
        <w:t>³天然气排放烟尘</w:t>
      </w:r>
      <w:r w:rsidRPr="00273131">
        <w:rPr>
          <w:rFonts w:cs="Times New Roman" w:hint="eastAsia"/>
          <w:color w:val="FF0000"/>
          <w:sz w:val="24"/>
          <w:szCs w:val="24"/>
          <w:lang w:bidi="ar"/>
        </w:rPr>
        <w:t>0.14kg</w:t>
      </w:r>
      <w:r w:rsidRPr="00273131">
        <w:rPr>
          <w:rFonts w:cs="Times New Roman" w:hint="eastAsia"/>
          <w:color w:val="FF0000"/>
          <w:sz w:val="24"/>
          <w:szCs w:val="24"/>
          <w:lang w:bidi="ar"/>
        </w:rPr>
        <w:t>。</w:t>
      </w:r>
    </w:p>
    <w:p w:rsidR="00644456" w:rsidRDefault="008031C4">
      <w:pPr>
        <w:spacing w:line="360" w:lineRule="auto"/>
        <w:ind w:firstLine="482"/>
        <w:rPr>
          <w:rFonts w:cs="Times New Roman"/>
          <w:sz w:val="24"/>
          <w:szCs w:val="24"/>
          <w:lang w:bidi="ar"/>
        </w:rPr>
      </w:pPr>
      <w:r>
        <w:rPr>
          <w:rFonts w:cs="Times New Roman" w:hint="eastAsia"/>
          <w:sz w:val="24"/>
          <w:szCs w:val="24"/>
          <w:lang w:bidi="ar"/>
        </w:rPr>
        <w:t>本项目燃烧天然气燃料产生的</w:t>
      </w:r>
      <w:r>
        <w:rPr>
          <w:rFonts w:cs="Times New Roman" w:hint="eastAsia"/>
          <w:sz w:val="24"/>
          <w:szCs w:val="24"/>
          <w:lang w:bidi="ar"/>
        </w:rPr>
        <w:t>NOx</w:t>
      </w:r>
      <w:r>
        <w:rPr>
          <w:rFonts w:cs="Times New Roman" w:hint="eastAsia"/>
          <w:sz w:val="24"/>
          <w:szCs w:val="24"/>
          <w:lang w:bidi="ar"/>
        </w:rPr>
        <w:t>、</w:t>
      </w:r>
      <w:r>
        <w:rPr>
          <w:rFonts w:cs="Times New Roman" w:hint="eastAsia"/>
          <w:sz w:val="24"/>
          <w:szCs w:val="24"/>
          <w:lang w:bidi="ar"/>
        </w:rPr>
        <w:t>SO</w:t>
      </w:r>
      <w:r>
        <w:rPr>
          <w:rFonts w:cs="Times New Roman" w:hint="eastAsia"/>
          <w:sz w:val="24"/>
          <w:szCs w:val="24"/>
          <w:vertAlign w:val="subscript"/>
          <w:lang w:bidi="ar"/>
        </w:rPr>
        <w:t>2</w:t>
      </w:r>
      <w:r>
        <w:rPr>
          <w:rFonts w:cs="Times New Roman" w:hint="eastAsia"/>
          <w:sz w:val="24"/>
          <w:szCs w:val="24"/>
          <w:lang w:bidi="ar"/>
        </w:rPr>
        <w:t>、颗粒物产污系数见表</w:t>
      </w:r>
      <w:r>
        <w:rPr>
          <w:rFonts w:cs="Times New Roman" w:hint="eastAsia"/>
          <w:sz w:val="24"/>
          <w:szCs w:val="24"/>
          <w:lang w:bidi="ar"/>
        </w:rPr>
        <w:t>2.5-2</w:t>
      </w:r>
      <w:r>
        <w:rPr>
          <w:rFonts w:cs="Times New Roman" w:hint="eastAsia"/>
          <w:sz w:val="24"/>
          <w:szCs w:val="24"/>
          <w:lang w:bidi="ar"/>
        </w:rPr>
        <w:t>。</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2.5-2</w:t>
      </w:r>
      <w:r>
        <w:rPr>
          <w:rFonts w:cs="Times New Roman" w:hint="eastAsia"/>
          <w:b/>
          <w:color w:val="000000" w:themeColor="text1"/>
          <w:sz w:val="24"/>
          <w:szCs w:val="20"/>
        </w:rPr>
        <w:t>天然气导热油锅炉产排污系数一览表</w:t>
      </w:r>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832"/>
        <w:gridCol w:w="1113"/>
        <w:gridCol w:w="1751"/>
        <w:gridCol w:w="1417"/>
        <w:gridCol w:w="1130"/>
        <w:gridCol w:w="1056"/>
        <w:gridCol w:w="1117"/>
      </w:tblGrid>
      <w:tr w:rsidR="003F7308" w:rsidRPr="003F7308" w:rsidTr="003F7308">
        <w:tc>
          <w:tcPr>
            <w:tcW w:w="694" w:type="dxa"/>
            <w:shd w:val="clear" w:color="auto" w:fill="auto"/>
            <w:vAlign w:val="center"/>
          </w:tcPr>
          <w:p w:rsidR="00644456" w:rsidRPr="003F7308" w:rsidRDefault="008031C4" w:rsidP="003F7308">
            <w:pPr>
              <w:widowControl/>
              <w:adjustRightInd w:val="0"/>
              <w:snapToGrid w:val="0"/>
              <w:jc w:val="center"/>
              <w:rPr>
                <w:rFonts w:cs="Times New Roman"/>
                <w:color w:val="FF0000"/>
                <w:szCs w:val="21"/>
                <w:lang w:bidi="ar"/>
              </w:rPr>
            </w:pPr>
            <w:bookmarkStart w:id="148" w:name="_Hlk144999523"/>
            <w:r w:rsidRPr="003F7308">
              <w:rPr>
                <w:rFonts w:cs="Times New Roman" w:hint="eastAsia"/>
                <w:color w:val="FF0000"/>
                <w:szCs w:val="21"/>
                <w:lang w:bidi="ar"/>
              </w:rPr>
              <w:t>产品</w:t>
            </w:r>
          </w:p>
          <w:p w:rsidR="00644456" w:rsidRPr="003F7308" w:rsidRDefault="008031C4"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名称</w:t>
            </w:r>
          </w:p>
        </w:tc>
        <w:tc>
          <w:tcPr>
            <w:tcW w:w="832" w:type="dxa"/>
            <w:shd w:val="clear" w:color="auto" w:fill="auto"/>
            <w:vAlign w:val="center"/>
          </w:tcPr>
          <w:p w:rsidR="00644456" w:rsidRPr="003F7308" w:rsidRDefault="008031C4"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燃料</w:t>
            </w:r>
          </w:p>
          <w:p w:rsidR="00644456" w:rsidRPr="003F7308" w:rsidRDefault="008031C4"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名称</w:t>
            </w:r>
          </w:p>
        </w:tc>
        <w:tc>
          <w:tcPr>
            <w:tcW w:w="1113" w:type="dxa"/>
            <w:shd w:val="clear" w:color="auto" w:fill="auto"/>
            <w:vAlign w:val="center"/>
          </w:tcPr>
          <w:p w:rsidR="00644456" w:rsidRPr="003F7308" w:rsidRDefault="008031C4"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污染物指标</w:t>
            </w:r>
          </w:p>
        </w:tc>
        <w:tc>
          <w:tcPr>
            <w:tcW w:w="1751" w:type="dxa"/>
            <w:shd w:val="clear" w:color="auto" w:fill="auto"/>
            <w:vAlign w:val="center"/>
          </w:tcPr>
          <w:p w:rsidR="00644456" w:rsidRPr="003F7308" w:rsidRDefault="008031C4"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单位</w:t>
            </w:r>
          </w:p>
        </w:tc>
        <w:tc>
          <w:tcPr>
            <w:tcW w:w="1417" w:type="dxa"/>
            <w:shd w:val="clear" w:color="auto" w:fill="auto"/>
            <w:vAlign w:val="center"/>
          </w:tcPr>
          <w:p w:rsidR="00644456" w:rsidRPr="003F7308" w:rsidRDefault="008031C4"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产污系数</w:t>
            </w:r>
          </w:p>
        </w:tc>
        <w:tc>
          <w:tcPr>
            <w:tcW w:w="1130" w:type="dxa"/>
            <w:shd w:val="clear" w:color="auto" w:fill="auto"/>
            <w:vAlign w:val="center"/>
          </w:tcPr>
          <w:p w:rsidR="00644456" w:rsidRPr="003F7308" w:rsidRDefault="008031C4"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末端治理技术名称</w:t>
            </w:r>
          </w:p>
        </w:tc>
        <w:tc>
          <w:tcPr>
            <w:tcW w:w="1056" w:type="dxa"/>
            <w:shd w:val="clear" w:color="auto" w:fill="auto"/>
            <w:vAlign w:val="center"/>
          </w:tcPr>
          <w:p w:rsidR="00644456" w:rsidRPr="003F7308" w:rsidRDefault="008031C4"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排污系数</w:t>
            </w:r>
          </w:p>
        </w:tc>
        <w:tc>
          <w:tcPr>
            <w:tcW w:w="1117" w:type="dxa"/>
            <w:shd w:val="clear" w:color="auto" w:fill="auto"/>
            <w:vAlign w:val="center"/>
          </w:tcPr>
          <w:p w:rsidR="00644456" w:rsidRPr="003F7308" w:rsidRDefault="008031C4"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标准来源</w:t>
            </w:r>
          </w:p>
        </w:tc>
      </w:tr>
      <w:tr w:rsidR="003F7308" w:rsidRPr="003F7308" w:rsidTr="003F7308">
        <w:tc>
          <w:tcPr>
            <w:tcW w:w="694" w:type="dxa"/>
            <w:vMerge w:val="restart"/>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蒸汽</w:t>
            </w:r>
            <w:r w:rsidRPr="003F7308">
              <w:rPr>
                <w:rFonts w:cs="Times New Roman" w:hint="eastAsia"/>
                <w:color w:val="FF0000"/>
                <w:szCs w:val="21"/>
                <w:lang w:bidi="ar"/>
              </w:rPr>
              <w:t>/</w:t>
            </w:r>
            <w:r w:rsidRPr="003F7308">
              <w:rPr>
                <w:rFonts w:cs="Times New Roman" w:hint="eastAsia"/>
                <w:color w:val="FF0000"/>
                <w:szCs w:val="21"/>
                <w:lang w:bidi="ar"/>
              </w:rPr>
              <w:t>热水</w:t>
            </w:r>
            <w:r w:rsidRPr="003F7308">
              <w:rPr>
                <w:rFonts w:cs="Times New Roman" w:hint="eastAsia"/>
                <w:color w:val="FF0000"/>
                <w:szCs w:val="21"/>
                <w:lang w:bidi="ar"/>
              </w:rPr>
              <w:t>/</w:t>
            </w:r>
            <w:r w:rsidRPr="003F7308">
              <w:rPr>
                <w:rFonts w:cs="Times New Roman" w:hint="eastAsia"/>
                <w:color w:val="FF0000"/>
                <w:szCs w:val="21"/>
                <w:lang w:bidi="ar"/>
              </w:rPr>
              <w:t>其他</w:t>
            </w:r>
          </w:p>
        </w:tc>
        <w:tc>
          <w:tcPr>
            <w:tcW w:w="832" w:type="dxa"/>
            <w:vMerge w:val="restart"/>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天然气</w:t>
            </w:r>
          </w:p>
        </w:tc>
        <w:tc>
          <w:tcPr>
            <w:tcW w:w="1113" w:type="dxa"/>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r w:rsidRPr="003F7308">
              <w:rPr>
                <w:rFonts w:cs="Times New Roman"/>
                <w:color w:val="FF0000"/>
                <w:szCs w:val="21"/>
                <w:lang w:bidi="ar"/>
              </w:rPr>
              <w:t>SO</w:t>
            </w:r>
            <w:r w:rsidRPr="003F7308">
              <w:rPr>
                <w:rFonts w:cs="Times New Roman"/>
                <w:color w:val="FF0000"/>
                <w:szCs w:val="21"/>
                <w:vertAlign w:val="subscript"/>
                <w:lang w:bidi="ar"/>
              </w:rPr>
              <w:t>2</w:t>
            </w:r>
          </w:p>
        </w:tc>
        <w:tc>
          <w:tcPr>
            <w:tcW w:w="1751" w:type="dxa"/>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千克</w:t>
            </w:r>
            <w:r w:rsidRPr="003F7308">
              <w:rPr>
                <w:rFonts w:cs="Times New Roman" w:hint="eastAsia"/>
                <w:color w:val="FF0000"/>
                <w:szCs w:val="21"/>
                <w:lang w:bidi="ar"/>
              </w:rPr>
              <w:t>/</w:t>
            </w:r>
            <w:r w:rsidRPr="003F7308">
              <w:rPr>
                <w:rFonts w:cs="Times New Roman" w:hint="eastAsia"/>
                <w:color w:val="FF0000"/>
                <w:szCs w:val="21"/>
                <w:lang w:bidi="ar"/>
              </w:rPr>
              <w:t>万</w:t>
            </w:r>
            <w:r w:rsidRPr="003F7308">
              <w:rPr>
                <w:rFonts w:cs="Times New Roman"/>
                <w:color w:val="FF0000"/>
                <w:szCs w:val="21"/>
                <w:lang w:bidi="ar"/>
              </w:rPr>
              <w:t>m³</w:t>
            </w:r>
            <w:r w:rsidRPr="003F7308">
              <w:rPr>
                <w:rFonts w:cs="Times New Roman" w:hint="eastAsia"/>
                <w:color w:val="FF0000"/>
                <w:szCs w:val="21"/>
                <w:lang w:bidi="ar"/>
              </w:rPr>
              <w:t>-</w:t>
            </w:r>
            <w:r w:rsidRPr="003F7308">
              <w:rPr>
                <w:rFonts w:cs="Times New Roman" w:hint="eastAsia"/>
                <w:color w:val="FF0000"/>
                <w:szCs w:val="21"/>
                <w:lang w:bidi="ar"/>
              </w:rPr>
              <w:t>燃料</w:t>
            </w:r>
          </w:p>
        </w:tc>
        <w:tc>
          <w:tcPr>
            <w:tcW w:w="1417" w:type="dxa"/>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r w:rsidRPr="003F7308">
              <w:rPr>
                <w:rFonts w:cs="Times New Roman"/>
                <w:color w:val="FF0000"/>
                <w:szCs w:val="21"/>
                <w:lang w:bidi="ar"/>
              </w:rPr>
              <w:t>0.02S</w:t>
            </w:r>
          </w:p>
        </w:tc>
        <w:tc>
          <w:tcPr>
            <w:tcW w:w="1130" w:type="dxa"/>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直排</w:t>
            </w:r>
          </w:p>
        </w:tc>
        <w:tc>
          <w:tcPr>
            <w:tcW w:w="1056" w:type="dxa"/>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r w:rsidRPr="003F7308">
              <w:rPr>
                <w:rFonts w:cs="Times New Roman"/>
                <w:color w:val="FF0000"/>
                <w:szCs w:val="21"/>
                <w:lang w:bidi="ar"/>
              </w:rPr>
              <w:t>0.02S</w:t>
            </w:r>
          </w:p>
        </w:tc>
        <w:tc>
          <w:tcPr>
            <w:tcW w:w="1117" w:type="dxa"/>
            <w:vMerge w:val="restart"/>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《排污许可证申请与核发技术规范锅炉》</w:t>
            </w:r>
          </w:p>
        </w:tc>
      </w:tr>
      <w:tr w:rsidR="003F7308" w:rsidRPr="003F7308" w:rsidTr="003F7308">
        <w:tc>
          <w:tcPr>
            <w:tcW w:w="694" w:type="dxa"/>
            <w:vMerge/>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p>
        </w:tc>
        <w:tc>
          <w:tcPr>
            <w:tcW w:w="832" w:type="dxa"/>
            <w:vMerge/>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p>
        </w:tc>
        <w:tc>
          <w:tcPr>
            <w:tcW w:w="1113" w:type="dxa"/>
            <w:vMerge w:val="restart"/>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r w:rsidRPr="003F7308">
              <w:rPr>
                <w:rFonts w:cs="Times New Roman"/>
                <w:color w:val="FF0000"/>
                <w:szCs w:val="21"/>
                <w:lang w:bidi="ar"/>
              </w:rPr>
              <w:t>NOx</w:t>
            </w:r>
          </w:p>
        </w:tc>
        <w:tc>
          <w:tcPr>
            <w:tcW w:w="1751" w:type="dxa"/>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千克</w:t>
            </w:r>
            <w:r w:rsidRPr="003F7308">
              <w:rPr>
                <w:rFonts w:cs="Times New Roman"/>
                <w:color w:val="FF0000"/>
                <w:szCs w:val="21"/>
                <w:lang w:bidi="ar"/>
              </w:rPr>
              <w:t>/</w:t>
            </w:r>
            <w:r w:rsidRPr="003F7308">
              <w:rPr>
                <w:rFonts w:cs="Times New Roman" w:hint="eastAsia"/>
                <w:color w:val="FF0000"/>
                <w:szCs w:val="21"/>
                <w:lang w:bidi="ar"/>
              </w:rPr>
              <w:t>万</w:t>
            </w:r>
            <w:r w:rsidRPr="003F7308">
              <w:rPr>
                <w:rFonts w:cs="Times New Roman"/>
                <w:color w:val="FF0000"/>
                <w:szCs w:val="21"/>
                <w:lang w:bidi="ar"/>
              </w:rPr>
              <w:t>m</w:t>
            </w:r>
            <w:r w:rsidRPr="003F7308">
              <w:rPr>
                <w:rFonts w:cs="Times New Roman" w:hint="eastAsia"/>
                <w:color w:val="FF0000"/>
                <w:szCs w:val="21"/>
                <w:lang w:bidi="ar"/>
              </w:rPr>
              <w:t>³</w:t>
            </w:r>
            <w:r w:rsidRPr="003F7308">
              <w:rPr>
                <w:rFonts w:cs="Times New Roman"/>
                <w:color w:val="FF0000"/>
                <w:szCs w:val="21"/>
                <w:lang w:bidi="ar"/>
              </w:rPr>
              <w:t>-</w:t>
            </w:r>
            <w:r w:rsidRPr="003F7308">
              <w:rPr>
                <w:rFonts w:cs="Times New Roman" w:hint="eastAsia"/>
                <w:color w:val="FF0000"/>
                <w:szCs w:val="21"/>
                <w:lang w:bidi="ar"/>
              </w:rPr>
              <w:t>燃料</w:t>
            </w:r>
          </w:p>
        </w:tc>
        <w:tc>
          <w:tcPr>
            <w:tcW w:w="1417" w:type="dxa"/>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r w:rsidRPr="003F7308">
              <w:rPr>
                <w:rFonts w:cs="Times New Roman"/>
                <w:color w:val="FF0000"/>
                <w:szCs w:val="21"/>
                <w:lang w:bidi="ar"/>
              </w:rPr>
              <w:t>18.71</w:t>
            </w:r>
            <w:r w:rsidRPr="003F7308">
              <w:rPr>
                <w:rFonts w:cs="Times New Roman" w:hint="eastAsia"/>
                <w:color w:val="FF0000"/>
                <w:szCs w:val="21"/>
                <w:lang w:bidi="ar"/>
              </w:rPr>
              <w:t>（无低氮燃烧）</w:t>
            </w:r>
          </w:p>
        </w:tc>
        <w:tc>
          <w:tcPr>
            <w:tcW w:w="1130" w:type="dxa"/>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直排</w:t>
            </w:r>
          </w:p>
        </w:tc>
        <w:tc>
          <w:tcPr>
            <w:tcW w:w="1056" w:type="dxa"/>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r w:rsidRPr="003F7308">
              <w:rPr>
                <w:rFonts w:cs="Times New Roman"/>
                <w:color w:val="FF0000"/>
                <w:szCs w:val="21"/>
                <w:lang w:bidi="ar"/>
              </w:rPr>
              <w:t>18.71</w:t>
            </w:r>
          </w:p>
        </w:tc>
        <w:tc>
          <w:tcPr>
            <w:tcW w:w="1117" w:type="dxa"/>
            <w:vMerge/>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p>
        </w:tc>
      </w:tr>
      <w:tr w:rsidR="003F7308" w:rsidRPr="003F7308" w:rsidTr="003F7308">
        <w:tc>
          <w:tcPr>
            <w:tcW w:w="694" w:type="dxa"/>
            <w:vMerge/>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p>
        </w:tc>
        <w:tc>
          <w:tcPr>
            <w:tcW w:w="832" w:type="dxa"/>
            <w:vMerge/>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p>
        </w:tc>
        <w:tc>
          <w:tcPr>
            <w:tcW w:w="1113" w:type="dxa"/>
            <w:vMerge/>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p>
        </w:tc>
        <w:tc>
          <w:tcPr>
            <w:tcW w:w="1751" w:type="dxa"/>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千克</w:t>
            </w:r>
            <w:r w:rsidRPr="003F7308">
              <w:rPr>
                <w:rFonts w:cs="Times New Roman"/>
                <w:color w:val="FF0000"/>
                <w:szCs w:val="21"/>
                <w:lang w:bidi="ar"/>
              </w:rPr>
              <w:t>/</w:t>
            </w:r>
            <w:r w:rsidRPr="003F7308">
              <w:rPr>
                <w:rFonts w:cs="Times New Roman" w:hint="eastAsia"/>
                <w:color w:val="FF0000"/>
                <w:szCs w:val="21"/>
                <w:lang w:bidi="ar"/>
              </w:rPr>
              <w:t>万</w:t>
            </w:r>
            <w:r w:rsidRPr="003F7308">
              <w:rPr>
                <w:rFonts w:cs="Times New Roman"/>
                <w:color w:val="FF0000"/>
                <w:szCs w:val="21"/>
                <w:lang w:bidi="ar"/>
              </w:rPr>
              <w:t>m</w:t>
            </w:r>
            <w:r w:rsidRPr="003F7308">
              <w:rPr>
                <w:rFonts w:cs="Times New Roman" w:hint="eastAsia"/>
                <w:color w:val="FF0000"/>
                <w:szCs w:val="21"/>
                <w:lang w:bidi="ar"/>
              </w:rPr>
              <w:t>³</w:t>
            </w:r>
            <w:r w:rsidRPr="003F7308">
              <w:rPr>
                <w:rFonts w:cs="Times New Roman"/>
                <w:color w:val="FF0000"/>
                <w:szCs w:val="21"/>
                <w:lang w:bidi="ar"/>
              </w:rPr>
              <w:t>-</w:t>
            </w:r>
            <w:r w:rsidRPr="003F7308">
              <w:rPr>
                <w:rFonts w:cs="Times New Roman" w:hint="eastAsia"/>
                <w:color w:val="FF0000"/>
                <w:szCs w:val="21"/>
                <w:lang w:bidi="ar"/>
              </w:rPr>
              <w:t>燃料</w:t>
            </w:r>
          </w:p>
        </w:tc>
        <w:tc>
          <w:tcPr>
            <w:tcW w:w="1417" w:type="dxa"/>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r w:rsidRPr="003F7308">
              <w:rPr>
                <w:rFonts w:cs="Times New Roman"/>
                <w:color w:val="FF0000"/>
                <w:szCs w:val="21"/>
                <w:lang w:bidi="ar"/>
              </w:rPr>
              <w:t>9.36</w:t>
            </w:r>
            <w:r w:rsidRPr="003F7308">
              <w:rPr>
                <w:rFonts w:cs="Times New Roman" w:hint="eastAsia"/>
                <w:color w:val="FF0000"/>
                <w:szCs w:val="21"/>
                <w:lang w:bidi="ar"/>
              </w:rPr>
              <w:t>（有低氮燃烧）</w:t>
            </w:r>
          </w:p>
        </w:tc>
        <w:tc>
          <w:tcPr>
            <w:tcW w:w="1130" w:type="dxa"/>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直排</w:t>
            </w:r>
          </w:p>
        </w:tc>
        <w:tc>
          <w:tcPr>
            <w:tcW w:w="1056" w:type="dxa"/>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r w:rsidRPr="003F7308">
              <w:rPr>
                <w:rFonts w:cs="Times New Roman"/>
                <w:color w:val="FF0000"/>
                <w:szCs w:val="21"/>
                <w:lang w:bidi="ar"/>
              </w:rPr>
              <w:t>9.36</w:t>
            </w:r>
          </w:p>
        </w:tc>
        <w:tc>
          <w:tcPr>
            <w:tcW w:w="1117" w:type="dxa"/>
            <w:vMerge/>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p>
        </w:tc>
      </w:tr>
      <w:tr w:rsidR="003F7308" w:rsidRPr="003F7308" w:rsidTr="003F7308">
        <w:tc>
          <w:tcPr>
            <w:tcW w:w="694" w:type="dxa"/>
            <w:vMerge/>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p>
        </w:tc>
        <w:tc>
          <w:tcPr>
            <w:tcW w:w="832" w:type="dxa"/>
            <w:vMerge/>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p>
        </w:tc>
        <w:tc>
          <w:tcPr>
            <w:tcW w:w="1113" w:type="dxa"/>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颗粒物</w:t>
            </w:r>
          </w:p>
        </w:tc>
        <w:tc>
          <w:tcPr>
            <w:tcW w:w="1751" w:type="dxa"/>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千克</w:t>
            </w:r>
            <w:r w:rsidRPr="003F7308">
              <w:rPr>
                <w:rFonts w:cs="Times New Roman"/>
                <w:color w:val="FF0000"/>
                <w:szCs w:val="21"/>
                <w:lang w:bidi="ar"/>
              </w:rPr>
              <w:t>/</w:t>
            </w:r>
            <w:r w:rsidRPr="003F7308">
              <w:rPr>
                <w:rFonts w:cs="Times New Roman" w:hint="eastAsia"/>
                <w:color w:val="FF0000"/>
                <w:szCs w:val="21"/>
                <w:lang w:bidi="ar"/>
              </w:rPr>
              <w:t>万</w:t>
            </w:r>
            <w:r w:rsidRPr="003F7308">
              <w:rPr>
                <w:rFonts w:cs="Times New Roman"/>
                <w:color w:val="FF0000"/>
                <w:szCs w:val="21"/>
                <w:lang w:bidi="ar"/>
              </w:rPr>
              <w:t>m</w:t>
            </w:r>
            <w:r w:rsidRPr="003F7308">
              <w:rPr>
                <w:rFonts w:cs="Times New Roman" w:hint="eastAsia"/>
                <w:color w:val="FF0000"/>
                <w:szCs w:val="21"/>
                <w:lang w:bidi="ar"/>
              </w:rPr>
              <w:t>³</w:t>
            </w:r>
            <w:r w:rsidRPr="003F7308">
              <w:rPr>
                <w:rFonts w:cs="Times New Roman"/>
                <w:color w:val="FF0000"/>
                <w:szCs w:val="21"/>
                <w:lang w:bidi="ar"/>
              </w:rPr>
              <w:t>-</w:t>
            </w:r>
            <w:r w:rsidRPr="003F7308">
              <w:rPr>
                <w:rFonts w:cs="Times New Roman" w:hint="eastAsia"/>
                <w:color w:val="FF0000"/>
                <w:szCs w:val="21"/>
                <w:lang w:bidi="ar"/>
              </w:rPr>
              <w:t>燃料</w:t>
            </w:r>
          </w:p>
        </w:tc>
        <w:tc>
          <w:tcPr>
            <w:tcW w:w="1417" w:type="dxa"/>
            <w:shd w:val="clear" w:color="auto" w:fill="auto"/>
            <w:vAlign w:val="center"/>
          </w:tcPr>
          <w:p w:rsidR="003F7308" w:rsidRPr="003F7308" w:rsidRDefault="00EC17B3" w:rsidP="003F7308">
            <w:pPr>
              <w:widowControl/>
              <w:adjustRightInd w:val="0"/>
              <w:snapToGrid w:val="0"/>
              <w:jc w:val="center"/>
              <w:rPr>
                <w:rFonts w:cs="Times New Roman"/>
                <w:color w:val="FF0000"/>
                <w:szCs w:val="21"/>
                <w:lang w:bidi="ar"/>
              </w:rPr>
            </w:pPr>
            <w:r>
              <w:rPr>
                <w:rFonts w:cs="Times New Roman"/>
                <w:color w:val="FF0000"/>
                <w:szCs w:val="21"/>
                <w:lang w:bidi="ar"/>
              </w:rPr>
              <w:t>1.4</w:t>
            </w:r>
          </w:p>
        </w:tc>
        <w:tc>
          <w:tcPr>
            <w:tcW w:w="1130" w:type="dxa"/>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直排</w:t>
            </w:r>
          </w:p>
        </w:tc>
        <w:tc>
          <w:tcPr>
            <w:tcW w:w="1056" w:type="dxa"/>
            <w:shd w:val="clear" w:color="auto" w:fill="auto"/>
            <w:vAlign w:val="center"/>
          </w:tcPr>
          <w:p w:rsidR="003F7308" w:rsidRPr="003F7308" w:rsidRDefault="00EC17B3" w:rsidP="003F7308">
            <w:pPr>
              <w:widowControl/>
              <w:adjustRightInd w:val="0"/>
              <w:snapToGrid w:val="0"/>
              <w:jc w:val="center"/>
              <w:rPr>
                <w:rFonts w:cs="Times New Roman"/>
                <w:color w:val="FF0000"/>
                <w:szCs w:val="21"/>
                <w:lang w:bidi="ar"/>
              </w:rPr>
            </w:pPr>
            <w:r>
              <w:rPr>
                <w:rFonts w:cs="Times New Roman"/>
                <w:color w:val="FF0000"/>
                <w:szCs w:val="21"/>
                <w:lang w:bidi="ar"/>
              </w:rPr>
              <w:t>1.4</w:t>
            </w:r>
          </w:p>
        </w:tc>
        <w:tc>
          <w:tcPr>
            <w:tcW w:w="1117" w:type="dxa"/>
            <w:shd w:val="clear" w:color="auto" w:fill="auto"/>
            <w:vAlign w:val="center"/>
          </w:tcPr>
          <w:p w:rsidR="003F7308" w:rsidRPr="003F7308" w:rsidRDefault="003F7308"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w:t>
            </w:r>
          </w:p>
        </w:tc>
      </w:tr>
      <w:tr w:rsidR="003F7308" w:rsidRPr="003F7308" w:rsidTr="003F7308">
        <w:tc>
          <w:tcPr>
            <w:tcW w:w="694" w:type="dxa"/>
            <w:vMerge/>
            <w:shd w:val="clear" w:color="auto" w:fill="auto"/>
            <w:vAlign w:val="center"/>
          </w:tcPr>
          <w:p w:rsidR="00644456" w:rsidRPr="003F7308" w:rsidRDefault="00644456" w:rsidP="003F7308">
            <w:pPr>
              <w:widowControl/>
              <w:adjustRightInd w:val="0"/>
              <w:snapToGrid w:val="0"/>
              <w:jc w:val="center"/>
              <w:rPr>
                <w:rFonts w:cs="Times New Roman"/>
                <w:color w:val="FF0000"/>
                <w:szCs w:val="21"/>
                <w:lang w:bidi="ar"/>
              </w:rPr>
            </w:pPr>
          </w:p>
        </w:tc>
        <w:tc>
          <w:tcPr>
            <w:tcW w:w="832" w:type="dxa"/>
            <w:vMerge/>
            <w:shd w:val="clear" w:color="auto" w:fill="auto"/>
            <w:vAlign w:val="center"/>
          </w:tcPr>
          <w:p w:rsidR="00644456" w:rsidRPr="003F7308" w:rsidRDefault="00644456" w:rsidP="003F7308">
            <w:pPr>
              <w:widowControl/>
              <w:adjustRightInd w:val="0"/>
              <w:snapToGrid w:val="0"/>
              <w:jc w:val="center"/>
              <w:rPr>
                <w:rFonts w:cs="Times New Roman"/>
                <w:color w:val="FF0000"/>
                <w:szCs w:val="21"/>
                <w:lang w:bidi="ar"/>
              </w:rPr>
            </w:pPr>
          </w:p>
        </w:tc>
        <w:tc>
          <w:tcPr>
            <w:tcW w:w="1113" w:type="dxa"/>
            <w:shd w:val="clear" w:color="auto" w:fill="auto"/>
            <w:vAlign w:val="center"/>
          </w:tcPr>
          <w:p w:rsidR="00644456" w:rsidRPr="003F7308" w:rsidRDefault="008031C4"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工业废气</w:t>
            </w:r>
          </w:p>
          <w:p w:rsidR="00644456" w:rsidRPr="003F7308" w:rsidRDefault="008031C4"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量</w:t>
            </w:r>
          </w:p>
        </w:tc>
        <w:tc>
          <w:tcPr>
            <w:tcW w:w="1751" w:type="dxa"/>
            <w:shd w:val="clear" w:color="auto" w:fill="auto"/>
            <w:vAlign w:val="center"/>
          </w:tcPr>
          <w:p w:rsidR="00644456" w:rsidRPr="003F7308" w:rsidRDefault="008031C4" w:rsidP="003F7308">
            <w:pPr>
              <w:widowControl/>
              <w:adjustRightInd w:val="0"/>
              <w:snapToGrid w:val="0"/>
              <w:jc w:val="center"/>
              <w:rPr>
                <w:rFonts w:cs="Times New Roman"/>
                <w:color w:val="FF0000"/>
                <w:szCs w:val="21"/>
                <w:lang w:bidi="ar"/>
              </w:rPr>
            </w:pPr>
            <w:r w:rsidRPr="003F7308">
              <w:rPr>
                <w:rFonts w:cs="Times New Roman"/>
                <w:color w:val="FF0000"/>
                <w:szCs w:val="21"/>
                <w:lang w:bidi="ar"/>
              </w:rPr>
              <w:t>m</w:t>
            </w:r>
            <w:r w:rsidRPr="003F7308">
              <w:rPr>
                <w:rFonts w:cs="Times New Roman"/>
                <w:color w:val="FF0000"/>
                <w:szCs w:val="21"/>
                <w:vertAlign w:val="superscript"/>
                <w:lang w:bidi="ar"/>
              </w:rPr>
              <w:t>3</w:t>
            </w:r>
            <w:r w:rsidRPr="003F7308">
              <w:rPr>
                <w:rFonts w:cs="Times New Roman"/>
                <w:color w:val="FF0000"/>
                <w:szCs w:val="21"/>
                <w:lang w:bidi="ar"/>
              </w:rPr>
              <w:t>/</w:t>
            </w:r>
            <w:r w:rsidRPr="003F7308">
              <w:rPr>
                <w:rFonts w:cs="Times New Roman" w:hint="eastAsia"/>
                <w:color w:val="FF0000"/>
                <w:szCs w:val="21"/>
                <w:lang w:bidi="ar"/>
              </w:rPr>
              <w:t>万</w:t>
            </w:r>
            <w:r w:rsidRPr="003F7308">
              <w:rPr>
                <w:rFonts w:cs="Times New Roman"/>
                <w:color w:val="FF0000"/>
                <w:szCs w:val="21"/>
                <w:lang w:bidi="ar"/>
              </w:rPr>
              <w:t>m</w:t>
            </w:r>
            <w:r w:rsidRPr="003F7308">
              <w:rPr>
                <w:rFonts w:cs="Times New Roman" w:hint="eastAsia"/>
                <w:color w:val="FF0000"/>
                <w:szCs w:val="21"/>
                <w:lang w:bidi="ar"/>
              </w:rPr>
              <w:t>³</w:t>
            </w:r>
            <w:r w:rsidRPr="003F7308">
              <w:rPr>
                <w:rFonts w:cs="Times New Roman"/>
                <w:color w:val="FF0000"/>
                <w:szCs w:val="21"/>
                <w:lang w:bidi="ar"/>
              </w:rPr>
              <w:t>-</w:t>
            </w:r>
            <w:r w:rsidRPr="003F7308">
              <w:rPr>
                <w:rFonts w:cs="Times New Roman" w:hint="eastAsia"/>
                <w:color w:val="FF0000"/>
                <w:szCs w:val="21"/>
                <w:lang w:bidi="ar"/>
              </w:rPr>
              <w:t>燃料</w:t>
            </w:r>
          </w:p>
        </w:tc>
        <w:tc>
          <w:tcPr>
            <w:tcW w:w="1417" w:type="dxa"/>
            <w:shd w:val="clear" w:color="auto" w:fill="auto"/>
            <w:vAlign w:val="center"/>
          </w:tcPr>
          <w:p w:rsidR="00644456" w:rsidRPr="003F7308" w:rsidRDefault="008031C4" w:rsidP="003F7308">
            <w:pPr>
              <w:widowControl/>
              <w:adjustRightInd w:val="0"/>
              <w:snapToGrid w:val="0"/>
              <w:jc w:val="center"/>
              <w:rPr>
                <w:rFonts w:cs="Times New Roman"/>
                <w:color w:val="FF0000"/>
                <w:szCs w:val="21"/>
                <w:lang w:bidi="ar"/>
              </w:rPr>
            </w:pPr>
            <w:r w:rsidRPr="003F7308">
              <w:rPr>
                <w:rFonts w:cs="Times New Roman"/>
                <w:color w:val="FF0000"/>
                <w:szCs w:val="21"/>
                <w:lang w:bidi="ar"/>
              </w:rPr>
              <w:t>136259.7</w:t>
            </w:r>
          </w:p>
        </w:tc>
        <w:tc>
          <w:tcPr>
            <w:tcW w:w="1130" w:type="dxa"/>
            <w:shd w:val="clear" w:color="auto" w:fill="auto"/>
            <w:vAlign w:val="center"/>
          </w:tcPr>
          <w:p w:rsidR="00644456" w:rsidRPr="003F7308" w:rsidRDefault="008031C4"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直排</w:t>
            </w:r>
          </w:p>
        </w:tc>
        <w:tc>
          <w:tcPr>
            <w:tcW w:w="1056" w:type="dxa"/>
            <w:shd w:val="clear" w:color="auto" w:fill="auto"/>
            <w:vAlign w:val="center"/>
          </w:tcPr>
          <w:p w:rsidR="00644456" w:rsidRPr="003F7308" w:rsidRDefault="008031C4" w:rsidP="003F7308">
            <w:pPr>
              <w:widowControl/>
              <w:adjustRightInd w:val="0"/>
              <w:snapToGrid w:val="0"/>
              <w:jc w:val="center"/>
              <w:rPr>
                <w:rFonts w:cs="Times New Roman"/>
                <w:color w:val="FF0000"/>
                <w:szCs w:val="21"/>
                <w:lang w:bidi="ar"/>
              </w:rPr>
            </w:pPr>
            <w:r w:rsidRPr="003F7308">
              <w:rPr>
                <w:rFonts w:cs="Times New Roman"/>
                <w:color w:val="FF0000"/>
                <w:szCs w:val="21"/>
                <w:lang w:bidi="ar"/>
              </w:rPr>
              <w:t>136259.7</w:t>
            </w:r>
          </w:p>
        </w:tc>
        <w:tc>
          <w:tcPr>
            <w:tcW w:w="1117" w:type="dxa"/>
            <w:shd w:val="clear" w:color="auto" w:fill="auto"/>
            <w:vAlign w:val="center"/>
          </w:tcPr>
          <w:p w:rsidR="00644456" w:rsidRPr="003F7308" w:rsidRDefault="008031C4" w:rsidP="003F7308">
            <w:pPr>
              <w:widowControl/>
              <w:adjustRightInd w:val="0"/>
              <w:snapToGrid w:val="0"/>
              <w:jc w:val="center"/>
              <w:rPr>
                <w:rFonts w:cs="Times New Roman"/>
                <w:color w:val="FF0000"/>
                <w:szCs w:val="21"/>
                <w:lang w:bidi="ar"/>
              </w:rPr>
            </w:pPr>
            <w:r w:rsidRPr="003F7308">
              <w:rPr>
                <w:rFonts w:cs="Times New Roman" w:hint="eastAsia"/>
                <w:color w:val="FF0000"/>
                <w:szCs w:val="21"/>
                <w:lang w:bidi="ar"/>
              </w:rPr>
              <w:t>《环境保护实用数</w:t>
            </w:r>
            <w:r w:rsidRPr="003F7308">
              <w:rPr>
                <w:rFonts w:cs="Times New Roman" w:hint="eastAsia"/>
                <w:color w:val="FF0000"/>
                <w:szCs w:val="21"/>
                <w:lang w:bidi="ar"/>
              </w:rPr>
              <w:lastRenderedPageBreak/>
              <w:t>据手册》</w:t>
            </w:r>
          </w:p>
        </w:tc>
      </w:tr>
    </w:tbl>
    <w:bookmarkEnd w:id="148"/>
    <w:p w:rsidR="00644456" w:rsidRPr="00273131" w:rsidRDefault="008031C4">
      <w:pPr>
        <w:spacing w:line="360" w:lineRule="auto"/>
        <w:ind w:firstLine="482"/>
        <w:rPr>
          <w:rFonts w:cs="Times New Roman"/>
          <w:b/>
          <w:bCs/>
          <w:sz w:val="24"/>
          <w:szCs w:val="24"/>
          <w:lang w:bidi="ar"/>
        </w:rPr>
      </w:pPr>
      <w:r w:rsidRPr="00273131">
        <w:rPr>
          <w:rFonts w:cs="Times New Roman" w:hint="eastAsia"/>
          <w:b/>
          <w:bCs/>
          <w:sz w:val="24"/>
          <w:szCs w:val="24"/>
          <w:lang w:bidi="ar"/>
        </w:rPr>
        <w:lastRenderedPageBreak/>
        <w:t>备注：</w:t>
      </w:r>
      <w:r w:rsidRPr="00273131">
        <w:rPr>
          <w:rFonts w:cs="Times New Roman" w:hint="eastAsia"/>
          <w:b/>
          <w:bCs/>
          <w:sz w:val="24"/>
          <w:szCs w:val="24"/>
          <w:lang w:bidi="ar"/>
        </w:rPr>
        <w:t>S</w:t>
      </w:r>
      <w:r w:rsidRPr="00273131">
        <w:rPr>
          <w:rFonts w:cs="Times New Roman" w:hint="eastAsia"/>
          <w:b/>
          <w:bCs/>
          <w:sz w:val="24"/>
          <w:szCs w:val="24"/>
          <w:lang w:bidi="ar"/>
        </w:rPr>
        <w:t>为天然气的含硫量，取值</w:t>
      </w:r>
      <w:r w:rsidRPr="00273131">
        <w:rPr>
          <w:rFonts w:cs="Times New Roman" w:hint="eastAsia"/>
          <w:b/>
          <w:bCs/>
          <w:sz w:val="24"/>
          <w:szCs w:val="24"/>
          <w:lang w:bidi="ar"/>
        </w:rPr>
        <w:t>12.31mg/m</w:t>
      </w:r>
      <w:r w:rsidRPr="00273131">
        <w:rPr>
          <w:rFonts w:cs="Times New Roman" w:hint="eastAsia"/>
          <w:b/>
          <w:bCs/>
          <w:sz w:val="24"/>
          <w:szCs w:val="24"/>
          <w:vertAlign w:val="superscript"/>
          <w:lang w:bidi="ar"/>
        </w:rPr>
        <w:t>3</w:t>
      </w:r>
      <w:r w:rsidRPr="00273131">
        <w:rPr>
          <w:rFonts w:cs="Times New Roman" w:hint="eastAsia"/>
          <w:b/>
          <w:bCs/>
          <w:sz w:val="24"/>
          <w:szCs w:val="24"/>
          <w:lang w:bidi="ar"/>
        </w:rPr>
        <w:t>。</w:t>
      </w:r>
    </w:p>
    <w:p w:rsidR="00644456" w:rsidRPr="00273131" w:rsidRDefault="008031C4">
      <w:pPr>
        <w:spacing w:line="360" w:lineRule="auto"/>
        <w:ind w:firstLine="482"/>
        <w:rPr>
          <w:rFonts w:cs="Times New Roman"/>
          <w:b/>
          <w:bCs/>
          <w:sz w:val="24"/>
          <w:szCs w:val="24"/>
          <w:lang w:bidi="ar"/>
        </w:rPr>
      </w:pPr>
      <w:r w:rsidRPr="00273131">
        <w:rPr>
          <w:rFonts w:cs="Times New Roman" w:hint="eastAsia"/>
          <w:b/>
          <w:bCs/>
          <w:sz w:val="24"/>
          <w:szCs w:val="24"/>
          <w:lang w:bidi="ar"/>
        </w:rPr>
        <w:t>烟气量（工业废气量）</w:t>
      </w:r>
      <w:r w:rsidRPr="00273131">
        <w:rPr>
          <w:rFonts w:cs="Times New Roman" w:hint="eastAsia"/>
          <w:b/>
          <w:bCs/>
          <w:sz w:val="24"/>
          <w:szCs w:val="24"/>
          <w:lang w:bidi="ar"/>
        </w:rPr>
        <w:t>=</w:t>
      </w:r>
      <w:r w:rsidRPr="00273131">
        <w:rPr>
          <w:rFonts w:cs="Times New Roman" w:hint="eastAsia"/>
          <w:b/>
          <w:bCs/>
          <w:sz w:val="24"/>
          <w:szCs w:val="24"/>
          <w:lang w:bidi="ar"/>
        </w:rPr>
        <w:t>总天然气量×产污系数，废气排放浓度</w:t>
      </w:r>
      <w:r w:rsidRPr="00273131">
        <w:rPr>
          <w:rFonts w:cs="Times New Roman" w:hint="eastAsia"/>
          <w:b/>
          <w:bCs/>
          <w:sz w:val="24"/>
          <w:szCs w:val="24"/>
          <w:lang w:bidi="ar"/>
        </w:rPr>
        <w:t>=</w:t>
      </w:r>
      <w:r w:rsidRPr="00273131">
        <w:rPr>
          <w:rFonts w:cs="Times New Roman" w:hint="eastAsia"/>
          <w:b/>
          <w:bCs/>
          <w:sz w:val="24"/>
          <w:szCs w:val="24"/>
          <w:lang w:bidi="ar"/>
        </w:rPr>
        <w:t>排放量</w:t>
      </w:r>
      <w:r w:rsidRPr="00273131">
        <w:rPr>
          <w:rFonts w:cs="Times New Roman" w:hint="eastAsia"/>
          <w:b/>
          <w:bCs/>
          <w:sz w:val="24"/>
          <w:szCs w:val="24"/>
          <w:lang w:bidi="ar"/>
        </w:rPr>
        <w:t>/</w:t>
      </w:r>
      <w:r w:rsidRPr="00273131">
        <w:rPr>
          <w:rFonts w:cs="Times New Roman" w:hint="eastAsia"/>
          <w:b/>
          <w:bCs/>
          <w:sz w:val="24"/>
          <w:szCs w:val="24"/>
          <w:lang w:bidi="ar"/>
        </w:rPr>
        <w:t>烟气量。大气污染物及其排放量如下。</w:t>
      </w:r>
    </w:p>
    <w:p w:rsidR="00644456" w:rsidRDefault="008031C4">
      <w:pPr>
        <w:spacing w:line="360" w:lineRule="auto"/>
        <w:ind w:firstLine="482"/>
        <w:rPr>
          <w:rFonts w:cs="Times New Roman"/>
          <w:sz w:val="24"/>
          <w:szCs w:val="24"/>
          <w:lang w:bidi="ar"/>
        </w:rPr>
      </w:pPr>
      <w:r>
        <w:rPr>
          <w:rFonts w:cs="Times New Roman" w:hint="eastAsia"/>
          <w:sz w:val="24"/>
          <w:szCs w:val="24"/>
          <w:lang w:bidi="ar"/>
        </w:rPr>
        <w:t>则本项目导热油炉烟气排放情况见表</w:t>
      </w:r>
      <w:r>
        <w:rPr>
          <w:rFonts w:cs="Times New Roman" w:hint="eastAsia"/>
          <w:sz w:val="24"/>
          <w:szCs w:val="24"/>
          <w:lang w:bidi="ar"/>
        </w:rPr>
        <w:t>2.5-3</w:t>
      </w:r>
      <w:r>
        <w:rPr>
          <w:rFonts w:cs="Times New Roman" w:hint="eastAsia"/>
          <w:sz w:val="24"/>
          <w:szCs w:val="24"/>
          <w:lang w:bidi="ar"/>
        </w:rPr>
        <w:t>。</w:t>
      </w:r>
    </w:p>
    <w:p w:rsidR="00644456" w:rsidRDefault="008031C4">
      <w:pPr>
        <w:autoSpaceDE w:val="0"/>
        <w:autoSpaceDN w:val="0"/>
        <w:adjustRightInd w:val="0"/>
        <w:jc w:val="center"/>
        <w:rPr>
          <w:rFonts w:cs="Times New Roman"/>
          <w:b/>
          <w:color w:val="000000" w:themeColor="text1"/>
          <w:sz w:val="24"/>
          <w:szCs w:val="20"/>
          <w:lang w:val="zh-CN"/>
        </w:rPr>
      </w:pPr>
      <w:r>
        <w:rPr>
          <w:rFonts w:cs="Times New Roman" w:hint="eastAsia"/>
          <w:b/>
          <w:color w:val="000000" w:themeColor="text1"/>
          <w:sz w:val="24"/>
          <w:szCs w:val="20"/>
          <w:lang w:val="zh-CN"/>
        </w:rPr>
        <w:t>表</w:t>
      </w:r>
      <w:r>
        <w:rPr>
          <w:rFonts w:cs="Times New Roman" w:hint="eastAsia"/>
          <w:b/>
          <w:color w:val="000000" w:themeColor="text1"/>
          <w:sz w:val="24"/>
          <w:szCs w:val="20"/>
        </w:rPr>
        <w:t>2.5-3</w:t>
      </w:r>
      <w:r>
        <w:rPr>
          <w:rFonts w:cs="Times New Roman" w:hint="eastAsia"/>
          <w:b/>
          <w:color w:val="000000" w:themeColor="text1"/>
          <w:sz w:val="24"/>
          <w:szCs w:val="20"/>
          <w:lang w:val="zh-CN"/>
        </w:rPr>
        <w:t>导热油炉烟气污染物产生排放情况一览表</w:t>
      </w:r>
    </w:p>
    <w:tbl>
      <w:tblPr>
        <w:tblW w:w="499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792"/>
        <w:gridCol w:w="766"/>
        <w:gridCol w:w="562"/>
        <w:gridCol w:w="792"/>
        <w:gridCol w:w="665"/>
        <w:gridCol w:w="670"/>
        <w:gridCol w:w="526"/>
        <w:gridCol w:w="665"/>
        <w:gridCol w:w="649"/>
        <w:gridCol w:w="571"/>
        <w:gridCol w:w="1066"/>
        <w:gridCol w:w="788"/>
        <w:gridCol w:w="524"/>
      </w:tblGrid>
      <w:tr w:rsidR="00644456">
        <w:trPr>
          <w:trHeight w:val="283"/>
        </w:trPr>
        <w:tc>
          <w:tcPr>
            <w:tcW w:w="438" w:type="pct"/>
            <w:vMerge w:val="restart"/>
            <w:tcBorders>
              <w:top w:val="single" w:sz="6" w:space="0" w:color="auto"/>
              <w:left w:val="single" w:sz="6" w:space="0" w:color="auto"/>
              <w:right w:val="single" w:sz="6" w:space="0" w:color="auto"/>
            </w:tcBorders>
            <w:vAlign w:val="center"/>
          </w:tcPr>
          <w:p w:rsidR="00644456" w:rsidRDefault="008031C4">
            <w:pPr>
              <w:widowControl/>
              <w:snapToGrid w:val="0"/>
              <w:jc w:val="center"/>
              <w:rPr>
                <w:rFonts w:cs="Times New Roman"/>
                <w:szCs w:val="21"/>
              </w:rPr>
            </w:pPr>
            <w:bookmarkStart w:id="149" w:name="_Hlk177138058"/>
            <w:r>
              <w:rPr>
                <w:rFonts w:cs="Times New Roman" w:hint="eastAsia"/>
                <w:szCs w:val="21"/>
                <w:lang w:bidi="ar"/>
              </w:rPr>
              <w:t>名称</w:t>
            </w:r>
          </w:p>
        </w:tc>
        <w:tc>
          <w:tcPr>
            <w:tcW w:w="424" w:type="pct"/>
            <w:vMerge w:val="restart"/>
            <w:tcBorders>
              <w:top w:val="single" w:sz="6" w:space="0" w:color="auto"/>
              <w:left w:val="single" w:sz="6" w:space="0" w:color="auto"/>
              <w:bottom w:val="single" w:sz="6" w:space="0" w:color="auto"/>
              <w:right w:val="single" w:sz="6" w:space="0" w:color="auto"/>
            </w:tcBorders>
            <w:vAlign w:val="center"/>
          </w:tcPr>
          <w:p w:rsidR="00644456" w:rsidRDefault="008031C4">
            <w:pPr>
              <w:widowControl/>
              <w:snapToGrid w:val="0"/>
              <w:jc w:val="center"/>
              <w:rPr>
                <w:rFonts w:cs="Times New Roman"/>
                <w:szCs w:val="21"/>
              </w:rPr>
            </w:pPr>
            <w:r>
              <w:rPr>
                <w:rFonts w:cs="Times New Roman"/>
                <w:szCs w:val="21"/>
                <w:lang w:bidi="ar"/>
              </w:rPr>
              <w:t>废气量</w:t>
            </w:r>
          </w:p>
          <w:p w:rsidR="00644456" w:rsidRDefault="008031C4">
            <w:pPr>
              <w:widowControl/>
              <w:snapToGrid w:val="0"/>
              <w:jc w:val="center"/>
              <w:rPr>
                <w:rFonts w:cs="Times New Roman"/>
                <w:szCs w:val="21"/>
              </w:rPr>
            </w:pPr>
            <w:r>
              <w:rPr>
                <w:rFonts w:cs="Times New Roman"/>
                <w:szCs w:val="21"/>
                <w:lang w:bidi="ar"/>
              </w:rPr>
              <w:t>(m</w:t>
            </w:r>
            <w:r>
              <w:rPr>
                <w:rFonts w:cs="Times New Roman"/>
                <w:szCs w:val="21"/>
                <w:vertAlign w:val="superscript"/>
                <w:lang w:bidi="ar"/>
              </w:rPr>
              <w:t>3</w:t>
            </w:r>
            <w:r>
              <w:rPr>
                <w:rFonts w:cs="Times New Roman"/>
                <w:szCs w:val="21"/>
                <w:lang w:bidi="ar"/>
              </w:rPr>
              <w:t>/h)</w:t>
            </w:r>
          </w:p>
        </w:tc>
        <w:tc>
          <w:tcPr>
            <w:tcW w:w="311" w:type="pct"/>
            <w:vMerge w:val="restart"/>
            <w:tcBorders>
              <w:top w:val="single" w:sz="6" w:space="0" w:color="auto"/>
              <w:left w:val="single" w:sz="6" w:space="0" w:color="auto"/>
              <w:bottom w:val="single" w:sz="6" w:space="0" w:color="auto"/>
              <w:right w:val="single" w:sz="6" w:space="0" w:color="auto"/>
            </w:tcBorders>
            <w:vAlign w:val="center"/>
          </w:tcPr>
          <w:p w:rsidR="00644456" w:rsidRDefault="008031C4">
            <w:pPr>
              <w:widowControl/>
              <w:snapToGrid w:val="0"/>
              <w:jc w:val="center"/>
              <w:rPr>
                <w:rFonts w:cs="Times New Roman"/>
                <w:szCs w:val="21"/>
              </w:rPr>
            </w:pPr>
            <w:r>
              <w:rPr>
                <w:rFonts w:cs="Times New Roman"/>
                <w:szCs w:val="21"/>
                <w:lang w:bidi="ar"/>
              </w:rPr>
              <w:t>年工作时间</w:t>
            </w:r>
            <w:r>
              <w:rPr>
                <w:rFonts w:cs="Times New Roman"/>
                <w:szCs w:val="21"/>
                <w:lang w:bidi="ar"/>
              </w:rPr>
              <w:t>/h</w:t>
            </w:r>
          </w:p>
        </w:tc>
        <w:tc>
          <w:tcPr>
            <w:tcW w:w="438" w:type="pct"/>
            <w:vMerge w:val="restart"/>
            <w:tcBorders>
              <w:top w:val="single" w:sz="6" w:space="0" w:color="auto"/>
              <w:left w:val="single" w:sz="6" w:space="0" w:color="auto"/>
              <w:bottom w:val="single" w:sz="6" w:space="0" w:color="auto"/>
              <w:right w:val="single" w:sz="6" w:space="0" w:color="auto"/>
            </w:tcBorders>
            <w:vAlign w:val="center"/>
          </w:tcPr>
          <w:p w:rsidR="00644456" w:rsidRDefault="008031C4">
            <w:pPr>
              <w:widowControl/>
              <w:snapToGrid w:val="0"/>
              <w:jc w:val="center"/>
              <w:rPr>
                <w:rFonts w:cs="Times New Roman"/>
                <w:szCs w:val="21"/>
              </w:rPr>
            </w:pPr>
            <w:r>
              <w:rPr>
                <w:rFonts w:cs="Times New Roman"/>
                <w:szCs w:val="21"/>
                <w:lang w:bidi="ar"/>
              </w:rPr>
              <w:t>污染物</w:t>
            </w:r>
          </w:p>
        </w:tc>
        <w:tc>
          <w:tcPr>
            <w:tcW w:w="739" w:type="pct"/>
            <w:gridSpan w:val="2"/>
            <w:tcBorders>
              <w:top w:val="single" w:sz="6" w:space="0" w:color="auto"/>
              <w:left w:val="single" w:sz="6" w:space="0" w:color="auto"/>
              <w:bottom w:val="single" w:sz="6" w:space="0" w:color="auto"/>
              <w:right w:val="single" w:sz="6" w:space="0" w:color="auto"/>
            </w:tcBorders>
            <w:vAlign w:val="center"/>
          </w:tcPr>
          <w:p w:rsidR="00644456" w:rsidRDefault="008031C4">
            <w:pPr>
              <w:widowControl/>
              <w:snapToGrid w:val="0"/>
              <w:jc w:val="center"/>
              <w:rPr>
                <w:rFonts w:cs="Times New Roman"/>
                <w:szCs w:val="21"/>
              </w:rPr>
            </w:pPr>
            <w:r>
              <w:rPr>
                <w:rFonts w:cs="Times New Roman"/>
                <w:szCs w:val="21"/>
                <w:lang w:bidi="ar"/>
              </w:rPr>
              <w:t>产生情况</w:t>
            </w:r>
          </w:p>
        </w:tc>
        <w:tc>
          <w:tcPr>
            <w:tcW w:w="291" w:type="pct"/>
            <w:vMerge w:val="restart"/>
            <w:tcBorders>
              <w:top w:val="single" w:sz="6" w:space="0" w:color="auto"/>
              <w:left w:val="single" w:sz="6" w:space="0" w:color="auto"/>
              <w:bottom w:val="single" w:sz="6" w:space="0" w:color="auto"/>
              <w:right w:val="single" w:sz="6" w:space="0" w:color="auto"/>
            </w:tcBorders>
            <w:vAlign w:val="center"/>
          </w:tcPr>
          <w:p w:rsidR="00644456" w:rsidRDefault="008031C4">
            <w:pPr>
              <w:widowControl/>
              <w:snapToGrid w:val="0"/>
              <w:jc w:val="center"/>
              <w:rPr>
                <w:rFonts w:cs="Times New Roman"/>
                <w:szCs w:val="21"/>
              </w:rPr>
            </w:pPr>
            <w:r>
              <w:rPr>
                <w:rFonts w:cs="Times New Roman"/>
                <w:szCs w:val="21"/>
                <w:lang w:bidi="ar"/>
              </w:rPr>
              <w:t>治理方案</w:t>
            </w:r>
          </w:p>
        </w:tc>
        <w:tc>
          <w:tcPr>
            <w:tcW w:w="1043" w:type="pct"/>
            <w:gridSpan w:val="3"/>
            <w:tcBorders>
              <w:top w:val="single" w:sz="6" w:space="0" w:color="auto"/>
              <w:left w:val="single" w:sz="6" w:space="0" w:color="auto"/>
              <w:bottom w:val="single" w:sz="6" w:space="0" w:color="auto"/>
              <w:right w:val="single" w:sz="6" w:space="0" w:color="auto"/>
            </w:tcBorders>
            <w:vAlign w:val="center"/>
          </w:tcPr>
          <w:p w:rsidR="00644456" w:rsidRDefault="008031C4">
            <w:pPr>
              <w:widowControl/>
              <w:snapToGrid w:val="0"/>
              <w:jc w:val="center"/>
              <w:rPr>
                <w:rFonts w:cs="Times New Roman"/>
                <w:szCs w:val="21"/>
              </w:rPr>
            </w:pPr>
            <w:r>
              <w:rPr>
                <w:rFonts w:cs="Times New Roman"/>
                <w:szCs w:val="21"/>
                <w:lang w:bidi="ar"/>
              </w:rPr>
              <w:t>排放状况</w:t>
            </w:r>
          </w:p>
        </w:tc>
        <w:tc>
          <w:tcPr>
            <w:tcW w:w="590" w:type="pct"/>
            <w:vMerge w:val="restart"/>
            <w:tcBorders>
              <w:top w:val="single" w:sz="6" w:space="0" w:color="auto"/>
              <w:left w:val="single" w:sz="6" w:space="0" w:color="auto"/>
              <w:bottom w:val="single" w:sz="6" w:space="0" w:color="auto"/>
              <w:right w:val="single" w:sz="6" w:space="0" w:color="auto"/>
            </w:tcBorders>
            <w:vAlign w:val="center"/>
          </w:tcPr>
          <w:p w:rsidR="00644456" w:rsidRDefault="008031C4">
            <w:pPr>
              <w:widowControl/>
              <w:snapToGrid w:val="0"/>
              <w:jc w:val="center"/>
              <w:rPr>
                <w:rFonts w:cs="Times New Roman"/>
                <w:szCs w:val="21"/>
              </w:rPr>
            </w:pPr>
            <w:r>
              <w:rPr>
                <w:rFonts w:cs="Times New Roman"/>
                <w:szCs w:val="21"/>
                <w:lang w:bidi="ar"/>
              </w:rPr>
              <w:t>排气高度</w:t>
            </w:r>
            <w:r>
              <w:rPr>
                <w:rFonts w:cs="Times New Roman"/>
                <w:szCs w:val="21"/>
                <w:lang w:bidi="ar"/>
              </w:rPr>
              <w:t>/</w:t>
            </w:r>
            <w:r>
              <w:rPr>
                <w:rFonts w:cs="Times New Roman"/>
                <w:szCs w:val="21"/>
                <w:lang w:bidi="ar"/>
              </w:rPr>
              <w:t>内径（</w:t>
            </w:r>
            <w:r>
              <w:rPr>
                <w:rFonts w:cs="Times New Roman"/>
                <w:szCs w:val="21"/>
                <w:lang w:bidi="ar"/>
              </w:rPr>
              <w:t>m</w:t>
            </w:r>
            <w:r>
              <w:rPr>
                <w:rFonts w:cs="Times New Roman"/>
                <w:szCs w:val="21"/>
                <w:lang w:bidi="ar"/>
              </w:rPr>
              <w:t>）</w:t>
            </w:r>
            <w:r>
              <w:rPr>
                <w:rFonts w:cs="Times New Roman"/>
                <w:szCs w:val="21"/>
                <w:lang w:bidi="ar"/>
              </w:rPr>
              <w:t>/</w:t>
            </w:r>
            <w:r>
              <w:rPr>
                <w:rFonts w:cs="Times New Roman"/>
                <w:szCs w:val="21"/>
                <w:lang w:bidi="ar"/>
              </w:rPr>
              <w:t>温度（</w:t>
            </w:r>
            <w:r>
              <w:rPr>
                <w:rFonts w:cs="Times New Roman"/>
                <w:szCs w:val="21"/>
                <w:lang w:bidi="ar"/>
              </w:rPr>
              <w:t>℃</w:t>
            </w:r>
            <w:r>
              <w:rPr>
                <w:rFonts w:cs="Times New Roman"/>
                <w:szCs w:val="21"/>
                <w:lang w:bidi="ar"/>
              </w:rPr>
              <w:t>）</w:t>
            </w:r>
          </w:p>
        </w:tc>
        <w:tc>
          <w:tcPr>
            <w:tcW w:w="436" w:type="pct"/>
            <w:vMerge w:val="restart"/>
            <w:tcBorders>
              <w:top w:val="single" w:sz="6" w:space="0" w:color="auto"/>
              <w:left w:val="single" w:sz="6" w:space="0" w:color="auto"/>
              <w:bottom w:val="single" w:sz="6" w:space="0" w:color="auto"/>
              <w:right w:val="single" w:sz="6" w:space="0" w:color="auto"/>
            </w:tcBorders>
            <w:vAlign w:val="center"/>
          </w:tcPr>
          <w:p w:rsidR="00644456" w:rsidRDefault="008031C4">
            <w:pPr>
              <w:widowControl/>
              <w:snapToGrid w:val="0"/>
              <w:jc w:val="center"/>
              <w:rPr>
                <w:rFonts w:cs="Times New Roman"/>
                <w:szCs w:val="21"/>
              </w:rPr>
            </w:pPr>
            <w:r>
              <w:rPr>
                <w:rFonts w:cs="Times New Roman"/>
                <w:szCs w:val="21"/>
                <w:lang w:bidi="ar"/>
              </w:rPr>
              <w:t>标准限定排放浓度</w:t>
            </w:r>
            <w:r>
              <w:rPr>
                <w:rFonts w:cs="Times New Roman" w:hint="eastAsia"/>
                <w:szCs w:val="21"/>
                <w:lang w:bidi="ar"/>
              </w:rPr>
              <w:t>（</w:t>
            </w:r>
            <w:r>
              <w:rPr>
                <w:rFonts w:cs="Times New Roman"/>
                <w:szCs w:val="21"/>
                <w:lang w:bidi="ar"/>
              </w:rPr>
              <w:t>mg/m</w:t>
            </w:r>
            <w:r>
              <w:rPr>
                <w:rFonts w:cs="Times New Roman"/>
                <w:szCs w:val="21"/>
                <w:vertAlign w:val="superscript"/>
                <w:lang w:bidi="ar"/>
              </w:rPr>
              <w:t>3</w:t>
            </w:r>
            <w:r>
              <w:rPr>
                <w:rFonts w:cs="Times New Roman" w:hint="eastAsia"/>
                <w:szCs w:val="21"/>
                <w:vertAlign w:val="superscript"/>
                <w:lang w:bidi="ar"/>
              </w:rPr>
              <w:t>）</w:t>
            </w:r>
          </w:p>
        </w:tc>
        <w:tc>
          <w:tcPr>
            <w:tcW w:w="290" w:type="pct"/>
            <w:vMerge w:val="restart"/>
            <w:tcBorders>
              <w:top w:val="single" w:sz="6" w:space="0" w:color="auto"/>
              <w:left w:val="single" w:sz="6" w:space="0" w:color="auto"/>
              <w:bottom w:val="single" w:sz="6" w:space="0" w:color="auto"/>
              <w:right w:val="single" w:sz="6" w:space="0" w:color="auto"/>
            </w:tcBorders>
            <w:vAlign w:val="center"/>
          </w:tcPr>
          <w:p w:rsidR="00644456" w:rsidRDefault="008031C4">
            <w:pPr>
              <w:widowControl/>
              <w:snapToGrid w:val="0"/>
              <w:jc w:val="center"/>
              <w:rPr>
                <w:rFonts w:cs="Times New Roman"/>
                <w:szCs w:val="21"/>
              </w:rPr>
            </w:pPr>
            <w:r>
              <w:rPr>
                <w:rFonts w:cs="Times New Roman"/>
                <w:szCs w:val="21"/>
                <w:lang w:bidi="ar"/>
              </w:rPr>
              <w:t>是否</w:t>
            </w:r>
          </w:p>
          <w:p w:rsidR="00644456" w:rsidRDefault="008031C4">
            <w:pPr>
              <w:widowControl/>
              <w:snapToGrid w:val="0"/>
              <w:jc w:val="center"/>
              <w:rPr>
                <w:rFonts w:cs="Times New Roman"/>
                <w:szCs w:val="21"/>
              </w:rPr>
            </w:pPr>
            <w:r>
              <w:rPr>
                <w:rFonts w:cs="Times New Roman"/>
                <w:szCs w:val="21"/>
                <w:lang w:bidi="ar"/>
              </w:rPr>
              <w:t>达标</w:t>
            </w:r>
          </w:p>
        </w:tc>
      </w:tr>
      <w:tr w:rsidR="00644456">
        <w:trPr>
          <w:trHeight w:val="283"/>
        </w:trPr>
        <w:tc>
          <w:tcPr>
            <w:tcW w:w="438" w:type="pct"/>
            <w:vMerge/>
            <w:tcBorders>
              <w:left w:val="single" w:sz="6" w:space="0" w:color="auto"/>
              <w:right w:val="single" w:sz="6" w:space="0" w:color="auto"/>
            </w:tcBorders>
            <w:vAlign w:val="center"/>
          </w:tcPr>
          <w:p w:rsidR="00644456" w:rsidRDefault="00644456">
            <w:pPr>
              <w:rPr>
                <w:rFonts w:cs="Times New Roman"/>
              </w:rPr>
            </w:pPr>
          </w:p>
        </w:tc>
        <w:tc>
          <w:tcPr>
            <w:tcW w:w="424" w:type="pct"/>
            <w:vMerge/>
            <w:tcBorders>
              <w:top w:val="single" w:sz="6" w:space="0" w:color="auto"/>
              <w:left w:val="single" w:sz="6" w:space="0" w:color="auto"/>
              <w:bottom w:val="single" w:sz="6" w:space="0" w:color="auto"/>
              <w:right w:val="single" w:sz="6" w:space="0" w:color="auto"/>
            </w:tcBorders>
            <w:vAlign w:val="center"/>
          </w:tcPr>
          <w:p w:rsidR="00644456" w:rsidRDefault="00644456">
            <w:pPr>
              <w:rPr>
                <w:rFonts w:cs="Times New Roman"/>
              </w:rPr>
            </w:pPr>
          </w:p>
        </w:tc>
        <w:tc>
          <w:tcPr>
            <w:tcW w:w="311" w:type="pct"/>
            <w:vMerge/>
            <w:tcBorders>
              <w:top w:val="single" w:sz="6" w:space="0" w:color="auto"/>
              <w:left w:val="single" w:sz="6" w:space="0" w:color="auto"/>
              <w:bottom w:val="single" w:sz="6" w:space="0" w:color="auto"/>
              <w:right w:val="single" w:sz="6" w:space="0" w:color="auto"/>
            </w:tcBorders>
            <w:vAlign w:val="center"/>
          </w:tcPr>
          <w:p w:rsidR="00644456" w:rsidRDefault="00644456">
            <w:pPr>
              <w:rPr>
                <w:rFonts w:cs="Times New Roman"/>
              </w:rPr>
            </w:pPr>
          </w:p>
        </w:tc>
        <w:tc>
          <w:tcPr>
            <w:tcW w:w="438" w:type="pct"/>
            <w:vMerge/>
            <w:tcBorders>
              <w:top w:val="single" w:sz="6" w:space="0" w:color="auto"/>
              <w:left w:val="single" w:sz="6" w:space="0" w:color="auto"/>
              <w:bottom w:val="single" w:sz="6" w:space="0" w:color="auto"/>
              <w:right w:val="single" w:sz="6" w:space="0" w:color="auto"/>
            </w:tcBorders>
            <w:vAlign w:val="center"/>
          </w:tcPr>
          <w:p w:rsidR="00644456" w:rsidRDefault="00644456">
            <w:pPr>
              <w:rPr>
                <w:rFonts w:cs="Times New Roman"/>
              </w:rPr>
            </w:pPr>
          </w:p>
        </w:tc>
        <w:tc>
          <w:tcPr>
            <w:tcW w:w="368" w:type="pct"/>
            <w:vMerge w:val="restart"/>
            <w:tcBorders>
              <w:top w:val="single" w:sz="6" w:space="0" w:color="auto"/>
              <w:left w:val="single" w:sz="6" w:space="0" w:color="auto"/>
              <w:bottom w:val="single" w:sz="6" w:space="0" w:color="auto"/>
              <w:right w:val="single" w:sz="6" w:space="0" w:color="auto"/>
            </w:tcBorders>
            <w:vAlign w:val="center"/>
          </w:tcPr>
          <w:p w:rsidR="00644456" w:rsidRDefault="008031C4">
            <w:pPr>
              <w:widowControl/>
              <w:snapToGrid w:val="0"/>
              <w:jc w:val="center"/>
              <w:rPr>
                <w:rFonts w:cs="Times New Roman"/>
                <w:szCs w:val="21"/>
              </w:rPr>
            </w:pPr>
            <w:r>
              <w:rPr>
                <w:rFonts w:cs="Times New Roman"/>
                <w:szCs w:val="21"/>
                <w:lang w:bidi="ar"/>
              </w:rPr>
              <w:t>浓度</w:t>
            </w:r>
            <w:r>
              <w:rPr>
                <w:rFonts w:cs="Times New Roman"/>
                <w:szCs w:val="21"/>
                <w:lang w:bidi="ar"/>
              </w:rPr>
              <w:t>mg/m</w:t>
            </w:r>
            <w:r>
              <w:rPr>
                <w:rFonts w:cs="Times New Roman"/>
                <w:szCs w:val="21"/>
                <w:vertAlign w:val="superscript"/>
                <w:lang w:bidi="ar"/>
              </w:rPr>
              <w:t>3</w:t>
            </w:r>
          </w:p>
        </w:tc>
        <w:tc>
          <w:tcPr>
            <w:tcW w:w="371" w:type="pct"/>
            <w:vMerge w:val="restart"/>
            <w:tcBorders>
              <w:top w:val="single" w:sz="6" w:space="0" w:color="auto"/>
              <w:left w:val="single" w:sz="6" w:space="0" w:color="auto"/>
              <w:bottom w:val="single" w:sz="6" w:space="0" w:color="auto"/>
              <w:right w:val="single" w:sz="6" w:space="0" w:color="auto"/>
            </w:tcBorders>
            <w:vAlign w:val="center"/>
          </w:tcPr>
          <w:p w:rsidR="00644456" w:rsidRDefault="008031C4">
            <w:pPr>
              <w:widowControl/>
              <w:snapToGrid w:val="0"/>
              <w:jc w:val="center"/>
              <w:rPr>
                <w:rFonts w:cs="Times New Roman"/>
                <w:szCs w:val="21"/>
              </w:rPr>
            </w:pPr>
            <w:r>
              <w:rPr>
                <w:rFonts w:cs="Times New Roman"/>
                <w:szCs w:val="21"/>
                <w:lang w:bidi="ar"/>
              </w:rPr>
              <w:t>产生量</w:t>
            </w:r>
          </w:p>
          <w:p w:rsidR="00644456" w:rsidRDefault="008031C4">
            <w:pPr>
              <w:snapToGrid w:val="0"/>
              <w:jc w:val="center"/>
              <w:rPr>
                <w:rFonts w:cs="Times New Roman"/>
                <w:szCs w:val="21"/>
              </w:rPr>
            </w:pPr>
            <w:r>
              <w:rPr>
                <w:rFonts w:cs="Times New Roman"/>
                <w:szCs w:val="21"/>
                <w:lang w:bidi="ar"/>
              </w:rPr>
              <w:t>kg/h</w:t>
            </w:r>
          </w:p>
        </w:tc>
        <w:tc>
          <w:tcPr>
            <w:tcW w:w="291" w:type="pct"/>
            <w:vMerge/>
            <w:tcBorders>
              <w:top w:val="single" w:sz="6" w:space="0" w:color="auto"/>
              <w:left w:val="single" w:sz="6" w:space="0" w:color="auto"/>
              <w:bottom w:val="single" w:sz="6" w:space="0" w:color="auto"/>
              <w:right w:val="single" w:sz="6" w:space="0" w:color="auto"/>
            </w:tcBorders>
            <w:vAlign w:val="center"/>
          </w:tcPr>
          <w:p w:rsidR="00644456" w:rsidRDefault="00644456">
            <w:pPr>
              <w:rPr>
                <w:rFonts w:cs="Times New Roman"/>
              </w:rPr>
            </w:pPr>
          </w:p>
        </w:tc>
        <w:tc>
          <w:tcPr>
            <w:tcW w:w="368" w:type="pct"/>
            <w:vMerge w:val="restart"/>
            <w:tcBorders>
              <w:top w:val="single" w:sz="6" w:space="0" w:color="auto"/>
              <w:left w:val="single" w:sz="6" w:space="0" w:color="auto"/>
              <w:bottom w:val="single" w:sz="6" w:space="0" w:color="auto"/>
              <w:right w:val="single" w:sz="6" w:space="0" w:color="auto"/>
            </w:tcBorders>
            <w:vAlign w:val="center"/>
          </w:tcPr>
          <w:p w:rsidR="00644456" w:rsidRDefault="008031C4">
            <w:pPr>
              <w:widowControl/>
              <w:snapToGrid w:val="0"/>
              <w:jc w:val="center"/>
              <w:rPr>
                <w:rFonts w:cs="Times New Roman"/>
                <w:szCs w:val="21"/>
              </w:rPr>
            </w:pPr>
            <w:r>
              <w:rPr>
                <w:rFonts w:cs="Times New Roman"/>
                <w:szCs w:val="21"/>
                <w:lang w:bidi="ar"/>
              </w:rPr>
              <w:t>浓度</w:t>
            </w:r>
            <w:r>
              <w:rPr>
                <w:rFonts w:cs="Times New Roman"/>
                <w:szCs w:val="21"/>
                <w:lang w:bidi="ar"/>
              </w:rPr>
              <w:t>mg/m</w:t>
            </w:r>
            <w:r>
              <w:rPr>
                <w:rFonts w:cs="Times New Roman"/>
                <w:szCs w:val="21"/>
                <w:vertAlign w:val="superscript"/>
                <w:lang w:bidi="ar"/>
              </w:rPr>
              <w:t>3</w:t>
            </w:r>
          </w:p>
        </w:tc>
        <w:tc>
          <w:tcPr>
            <w:tcW w:w="675" w:type="pct"/>
            <w:gridSpan w:val="2"/>
            <w:tcBorders>
              <w:top w:val="single" w:sz="6" w:space="0" w:color="auto"/>
              <w:left w:val="single" w:sz="6" w:space="0" w:color="auto"/>
              <w:bottom w:val="single" w:sz="6" w:space="0" w:color="auto"/>
              <w:right w:val="single" w:sz="6" w:space="0" w:color="auto"/>
            </w:tcBorders>
            <w:vAlign w:val="center"/>
          </w:tcPr>
          <w:p w:rsidR="00644456" w:rsidRDefault="008031C4">
            <w:pPr>
              <w:widowControl/>
              <w:snapToGrid w:val="0"/>
              <w:jc w:val="center"/>
              <w:rPr>
                <w:rFonts w:cs="Times New Roman"/>
                <w:szCs w:val="21"/>
              </w:rPr>
            </w:pPr>
            <w:r>
              <w:rPr>
                <w:rFonts w:cs="Times New Roman"/>
                <w:szCs w:val="21"/>
                <w:lang w:bidi="ar"/>
              </w:rPr>
              <w:t>排放量</w:t>
            </w:r>
          </w:p>
        </w:tc>
        <w:tc>
          <w:tcPr>
            <w:tcW w:w="590" w:type="pct"/>
            <w:vMerge/>
            <w:tcBorders>
              <w:top w:val="single" w:sz="6" w:space="0" w:color="auto"/>
              <w:left w:val="single" w:sz="6" w:space="0" w:color="auto"/>
              <w:bottom w:val="single" w:sz="6" w:space="0" w:color="auto"/>
              <w:right w:val="single" w:sz="6" w:space="0" w:color="auto"/>
            </w:tcBorders>
            <w:vAlign w:val="center"/>
          </w:tcPr>
          <w:p w:rsidR="00644456" w:rsidRDefault="00644456">
            <w:pPr>
              <w:rPr>
                <w:rFonts w:cs="Times New Roman"/>
              </w:rPr>
            </w:pPr>
          </w:p>
        </w:tc>
        <w:tc>
          <w:tcPr>
            <w:tcW w:w="436" w:type="pct"/>
            <w:vMerge/>
            <w:tcBorders>
              <w:top w:val="single" w:sz="6" w:space="0" w:color="auto"/>
              <w:left w:val="single" w:sz="6" w:space="0" w:color="auto"/>
              <w:bottom w:val="single" w:sz="6" w:space="0" w:color="auto"/>
              <w:right w:val="single" w:sz="6" w:space="0" w:color="auto"/>
            </w:tcBorders>
            <w:vAlign w:val="center"/>
          </w:tcPr>
          <w:p w:rsidR="00644456" w:rsidRDefault="00644456">
            <w:pPr>
              <w:rPr>
                <w:rFonts w:cs="Times New Roman"/>
              </w:rPr>
            </w:pPr>
          </w:p>
        </w:tc>
        <w:tc>
          <w:tcPr>
            <w:tcW w:w="290" w:type="pct"/>
            <w:vMerge/>
            <w:tcBorders>
              <w:top w:val="single" w:sz="6" w:space="0" w:color="auto"/>
              <w:left w:val="single" w:sz="6" w:space="0" w:color="auto"/>
              <w:bottom w:val="single" w:sz="6" w:space="0" w:color="auto"/>
              <w:right w:val="single" w:sz="6" w:space="0" w:color="auto"/>
            </w:tcBorders>
            <w:vAlign w:val="center"/>
          </w:tcPr>
          <w:p w:rsidR="00644456" w:rsidRDefault="00644456">
            <w:pPr>
              <w:rPr>
                <w:rFonts w:cs="Times New Roman"/>
              </w:rPr>
            </w:pPr>
          </w:p>
        </w:tc>
      </w:tr>
      <w:tr w:rsidR="00644456">
        <w:trPr>
          <w:trHeight w:val="283"/>
        </w:trPr>
        <w:tc>
          <w:tcPr>
            <w:tcW w:w="438" w:type="pct"/>
            <w:vMerge/>
            <w:tcBorders>
              <w:left w:val="single" w:sz="6" w:space="0" w:color="auto"/>
              <w:bottom w:val="single" w:sz="6" w:space="0" w:color="auto"/>
              <w:right w:val="single" w:sz="6" w:space="0" w:color="auto"/>
            </w:tcBorders>
            <w:vAlign w:val="center"/>
          </w:tcPr>
          <w:p w:rsidR="00644456" w:rsidRDefault="00644456">
            <w:pPr>
              <w:rPr>
                <w:rFonts w:cs="Times New Roman"/>
              </w:rPr>
            </w:pPr>
          </w:p>
        </w:tc>
        <w:tc>
          <w:tcPr>
            <w:tcW w:w="424" w:type="pct"/>
            <w:vMerge/>
            <w:tcBorders>
              <w:top w:val="single" w:sz="6" w:space="0" w:color="auto"/>
              <w:left w:val="single" w:sz="6" w:space="0" w:color="auto"/>
              <w:bottom w:val="single" w:sz="6" w:space="0" w:color="auto"/>
              <w:right w:val="single" w:sz="6" w:space="0" w:color="auto"/>
            </w:tcBorders>
            <w:vAlign w:val="center"/>
          </w:tcPr>
          <w:p w:rsidR="00644456" w:rsidRDefault="00644456">
            <w:pPr>
              <w:rPr>
                <w:rFonts w:cs="Times New Roman"/>
              </w:rPr>
            </w:pPr>
          </w:p>
        </w:tc>
        <w:tc>
          <w:tcPr>
            <w:tcW w:w="311" w:type="pct"/>
            <w:vMerge/>
            <w:tcBorders>
              <w:top w:val="single" w:sz="6" w:space="0" w:color="auto"/>
              <w:left w:val="single" w:sz="6" w:space="0" w:color="auto"/>
              <w:bottom w:val="single" w:sz="6" w:space="0" w:color="auto"/>
              <w:right w:val="single" w:sz="6" w:space="0" w:color="auto"/>
            </w:tcBorders>
            <w:vAlign w:val="center"/>
          </w:tcPr>
          <w:p w:rsidR="00644456" w:rsidRDefault="00644456">
            <w:pPr>
              <w:rPr>
                <w:rFonts w:cs="Times New Roman"/>
              </w:rPr>
            </w:pPr>
          </w:p>
        </w:tc>
        <w:tc>
          <w:tcPr>
            <w:tcW w:w="438" w:type="pct"/>
            <w:vMerge/>
            <w:tcBorders>
              <w:top w:val="single" w:sz="6" w:space="0" w:color="auto"/>
              <w:left w:val="single" w:sz="6" w:space="0" w:color="auto"/>
              <w:bottom w:val="single" w:sz="6" w:space="0" w:color="auto"/>
              <w:right w:val="single" w:sz="6" w:space="0" w:color="auto"/>
            </w:tcBorders>
            <w:vAlign w:val="center"/>
          </w:tcPr>
          <w:p w:rsidR="00644456" w:rsidRDefault="00644456">
            <w:pPr>
              <w:rPr>
                <w:rFonts w:cs="Times New Roman"/>
              </w:rPr>
            </w:pPr>
          </w:p>
        </w:tc>
        <w:tc>
          <w:tcPr>
            <w:tcW w:w="368" w:type="pct"/>
            <w:vMerge/>
            <w:tcBorders>
              <w:top w:val="single" w:sz="6" w:space="0" w:color="auto"/>
              <w:left w:val="single" w:sz="6" w:space="0" w:color="auto"/>
              <w:bottom w:val="single" w:sz="6" w:space="0" w:color="auto"/>
              <w:right w:val="single" w:sz="6" w:space="0" w:color="auto"/>
            </w:tcBorders>
            <w:vAlign w:val="center"/>
          </w:tcPr>
          <w:p w:rsidR="00644456" w:rsidRDefault="00644456">
            <w:pPr>
              <w:rPr>
                <w:rFonts w:cs="Times New Roman"/>
              </w:rPr>
            </w:pPr>
          </w:p>
        </w:tc>
        <w:tc>
          <w:tcPr>
            <w:tcW w:w="371" w:type="pct"/>
            <w:vMerge/>
            <w:tcBorders>
              <w:top w:val="single" w:sz="6" w:space="0" w:color="auto"/>
              <w:left w:val="single" w:sz="6" w:space="0" w:color="auto"/>
              <w:bottom w:val="single" w:sz="6" w:space="0" w:color="auto"/>
              <w:right w:val="single" w:sz="6" w:space="0" w:color="auto"/>
            </w:tcBorders>
            <w:vAlign w:val="center"/>
          </w:tcPr>
          <w:p w:rsidR="00644456" w:rsidRDefault="00644456">
            <w:pPr>
              <w:rPr>
                <w:rFonts w:cs="Times New Roman"/>
              </w:rPr>
            </w:pPr>
          </w:p>
        </w:tc>
        <w:tc>
          <w:tcPr>
            <w:tcW w:w="291" w:type="pct"/>
            <w:vMerge/>
            <w:tcBorders>
              <w:top w:val="single" w:sz="6" w:space="0" w:color="auto"/>
              <w:left w:val="single" w:sz="6" w:space="0" w:color="auto"/>
              <w:bottom w:val="single" w:sz="6" w:space="0" w:color="auto"/>
              <w:right w:val="single" w:sz="6" w:space="0" w:color="auto"/>
            </w:tcBorders>
            <w:vAlign w:val="center"/>
          </w:tcPr>
          <w:p w:rsidR="00644456" w:rsidRDefault="00644456">
            <w:pPr>
              <w:rPr>
                <w:rFonts w:cs="Times New Roman"/>
              </w:rPr>
            </w:pPr>
          </w:p>
        </w:tc>
        <w:tc>
          <w:tcPr>
            <w:tcW w:w="368" w:type="pct"/>
            <w:vMerge/>
            <w:tcBorders>
              <w:top w:val="single" w:sz="6" w:space="0" w:color="auto"/>
              <w:left w:val="single" w:sz="6" w:space="0" w:color="auto"/>
              <w:bottom w:val="single" w:sz="6" w:space="0" w:color="auto"/>
              <w:right w:val="single" w:sz="6" w:space="0" w:color="auto"/>
            </w:tcBorders>
            <w:vAlign w:val="center"/>
          </w:tcPr>
          <w:p w:rsidR="00644456" w:rsidRDefault="00644456">
            <w:pPr>
              <w:rPr>
                <w:rFonts w:cs="Times New Roman"/>
              </w:rPr>
            </w:pPr>
          </w:p>
        </w:tc>
        <w:tc>
          <w:tcPr>
            <w:tcW w:w="359" w:type="pct"/>
            <w:tcBorders>
              <w:top w:val="single" w:sz="6" w:space="0" w:color="auto"/>
              <w:left w:val="single" w:sz="6" w:space="0" w:color="auto"/>
              <w:bottom w:val="single" w:sz="6" w:space="0" w:color="auto"/>
              <w:right w:val="single" w:sz="6" w:space="0" w:color="auto"/>
            </w:tcBorders>
            <w:vAlign w:val="center"/>
          </w:tcPr>
          <w:p w:rsidR="00644456" w:rsidRDefault="008031C4">
            <w:pPr>
              <w:widowControl/>
              <w:snapToGrid w:val="0"/>
              <w:jc w:val="center"/>
              <w:rPr>
                <w:rFonts w:cs="Times New Roman"/>
                <w:szCs w:val="21"/>
              </w:rPr>
            </w:pPr>
            <w:r>
              <w:rPr>
                <w:rFonts w:cs="Times New Roman"/>
                <w:szCs w:val="21"/>
                <w:lang w:bidi="ar"/>
              </w:rPr>
              <w:t>kg/h</w:t>
            </w:r>
          </w:p>
        </w:tc>
        <w:tc>
          <w:tcPr>
            <w:tcW w:w="316" w:type="pct"/>
            <w:tcBorders>
              <w:top w:val="single" w:sz="6" w:space="0" w:color="auto"/>
              <w:left w:val="single" w:sz="6" w:space="0" w:color="auto"/>
              <w:bottom w:val="single" w:sz="6" w:space="0" w:color="auto"/>
              <w:right w:val="single" w:sz="6" w:space="0" w:color="auto"/>
            </w:tcBorders>
            <w:vAlign w:val="center"/>
          </w:tcPr>
          <w:p w:rsidR="00644456" w:rsidRDefault="008031C4">
            <w:pPr>
              <w:widowControl/>
              <w:snapToGrid w:val="0"/>
              <w:jc w:val="center"/>
              <w:rPr>
                <w:rFonts w:cs="Times New Roman"/>
                <w:szCs w:val="21"/>
              </w:rPr>
            </w:pPr>
            <w:r>
              <w:rPr>
                <w:rFonts w:cs="Times New Roman"/>
                <w:szCs w:val="21"/>
                <w:lang w:bidi="ar"/>
              </w:rPr>
              <w:t>t/a</w:t>
            </w:r>
          </w:p>
        </w:tc>
        <w:tc>
          <w:tcPr>
            <w:tcW w:w="590" w:type="pct"/>
            <w:vMerge/>
            <w:tcBorders>
              <w:top w:val="single" w:sz="6" w:space="0" w:color="auto"/>
              <w:left w:val="single" w:sz="6" w:space="0" w:color="auto"/>
              <w:bottom w:val="single" w:sz="6" w:space="0" w:color="auto"/>
              <w:right w:val="single" w:sz="6" w:space="0" w:color="auto"/>
            </w:tcBorders>
            <w:vAlign w:val="center"/>
          </w:tcPr>
          <w:p w:rsidR="00644456" w:rsidRDefault="00644456">
            <w:pPr>
              <w:rPr>
                <w:rFonts w:cs="Times New Roman"/>
              </w:rPr>
            </w:pPr>
          </w:p>
        </w:tc>
        <w:tc>
          <w:tcPr>
            <w:tcW w:w="436" w:type="pct"/>
            <w:vMerge/>
            <w:tcBorders>
              <w:top w:val="single" w:sz="6" w:space="0" w:color="auto"/>
              <w:left w:val="single" w:sz="6" w:space="0" w:color="auto"/>
              <w:bottom w:val="single" w:sz="6" w:space="0" w:color="auto"/>
              <w:right w:val="single" w:sz="6" w:space="0" w:color="auto"/>
            </w:tcBorders>
            <w:vAlign w:val="center"/>
          </w:tcPr>
          <w:p w:rsidR="00644456" w:rsidRDefault="00644456">
            <w:pPr>
              <w:rPr>
                <w:rFonts w:cs="Times New Roman"/>
              </w:rPr>
            </w:pPr>
          </w:p>
        </w:tc>
        <w:tc>
          <w:tcPr>
            <w:tcW w:w="290" w:type="pct"/>
            <w:vMerge/>
            <w:tcBorders>
              <w:top w:val="single" w:sz="6" w:space="0" w:color="auto"/>
              <w:left w:val="single" w:sz="6" w:space="0" w:color="auto"/>
              <w:bottom w:val="single" w:sz="6" w:space="0" w:color="auto"/>
              <w:right w:val="single" w:sz="6" w:space="0" w:color="auto"/>
            </w:tcBorders>
            <w:vAlign w:val="center"/>
          </w:tcPr>
          <w:p w:rsidR="00644456" w:rsidRDefault="00644456">
            <w:pPr>
              <w:rPr>
                <w:rFonts w:cs="Times New Roman"/>
              </w:rPr>
            </w:pPr>
          </w:p>
        </w:tc>
      </w:tr>
      <w:tr w:rsidR="00EC17B3">
        <w:trPr>
          <w:trHeight w:val="283"/>
        </w:trPr>
        <w:tc>
          <w:tcPr>
            <w:tcW w:w="438" w:type="pct"/>
            <w:vMerge w:val="restart"/>
            <w:tcBorders>
              <w:top w:val="single" w:sz="6" w:space="0" w:color="auto"/>
              <w:left w:val="single" w:sz="6" w:space="0" w:color="auto"/>
              <w:right w:val="single" w:sz="6" w:space="0" w:color="auto"/>
            </w:tcBorders>
            <w:vAlign w:val="center"/>
          </w:tcPr>
          <w:p w:rsidR="00EC17B3" w:rsidRDefault="00EC17B3" w:rsidP="00EC17B3">
            <w:pPr>
              <w:widowControl/>
              <w:snapToGrid w:val="0"/>
              <w:jc w:val="center"/>
              <w:rPr>
                <w:rFonts w:cs="Times New Roman"/>
                <w:szCs w:val="21"/>
              </w:rPr>
            </w:pPr>
            <w:r>
              <w:rPr>
                <w:rFonts w:cs="Times New Roman" w:hint="eastAsia"/>
                <w:szCs w:val="21"/>
                <w:lang w:bidi="ar"/>
              </w:rPr>
              <w:t>导热油炉</w:t>
            </w:r>
          </w:p>
        </w:tc>
        <w:tc>
          <w:tcPr>
            <w:tcW w:w="424" w:type="pct"/>
            <w:vMerge w:val="restart"/>
            <w:tcBorders>
              <w:top w:val="single" w:sz="6" w:space="0" w:color="auto"/>
              <w:left w:val="single" w:sz="6" w:space="0" w:color="auto"/>
              <w:bottom w:val="single" w:sz="6" w:space="0" w:color="auto"/>
              <w:right w:val="single" w:sz="6" w:space="0" w:color="auto"/>
            </w:tcBorders>
            <w:vAlign w:val="center"/>
          </w:tcPr>
          <w:p w:rsidR="00EC17B3" w:rsidRDefault="00EC17B3" w:rsidP="00EC17B3">
            <w:pPr>
              <w:widowControl/>
              <w:jc w:val="center"/>
              <w:textAlignment w:val="center"/>
              <w:rPr>
                <w:rFonts w:cs="Times New Roman"/>
                <w:szCs w:val="21"/>
              </w:rPr>
            </w:pPr>
            <w:r>
              <w:rPr>
                <w:rFonts w:cs="Times New Roman"/>
                <w:szCs w:val="21"/>
              </w:rPr>
              <w:t>1635</w:t>
            </w:r>
          </w:p>
        </w:tc>
        <w:tc>
          <w:tcPr>
            <w:tcW w:w="311" w:type="pct"/>
            <w:vMerge w:val="restart"/>
            <w:tcBorders>
              <w:top w:val="single" w:sz="6" w:space="0" w:color="auto"/>
              <w:left w:val="single" w:sz="6" w:space="0" w:color="auto"/>
              <w:bottom w:val="single" w:sz="6" w:space="0" w:color="auto"/>
              <w:right w:val="single" w:sz="6" w:space="0" w:color="auto"/>
            </w:tcBorders>
            <w:vAlign w:val="center"/>
          </w:tcPr>
          <w:p w:rsidR="00EC17B3" w:rsidRDefault="00EC17B3" w:rsidP="00EC17B3">
            <w:pPr>
              <w:widowControl/>
              <w:jc w:val="center"/>
              <w:textAlignment w:val="center"/>
              <w:rPr>
                <w:rFonts w:cs="Times New Roman"/>
                <w:szCs w:val="21"/>
              </w:rPr>
            </w:pPr>
            <w:r>
              <w:rPr>
                <w:rFonts w:cs="Times New Roman"/>
                <w:szCs w:val="21"/>
              </w:rPr>
              <w:t>7200</w:t>
            </w:r>
          </w:p>
        </w:tc>
        <w:tc>
          <w:tcPr>
            <w:tcW w:w="438" w:type="pct"/>
            <w:tcBorders>
              <w:top w:val="single" w:sz="6" w:space="0" w:color="auto"/>
              <w:left w:val="single" w:sz="6" w:space="0" w:color="auto"/>
              <w:bottom w:val="single" w:sz="6" w:space="0" w:color="auto"/>
              <w:right w:val="single" w:sz="6" w:space="0" w:color="auto"/>
            </w:tcBorders>
            <w:vAlign w:val="center"/>
          </w:tcPr>
          <w:p w:rsidR="00EC17B3" w:rsidRDefault="00EC17B3" w:rsidP="00EC17B3">
            <w:pPr>
              <w:widowControl/>
              <w:jc w:val="center"/>
              <w:textAlignment w:val="center"/>
              <w:rPr>
                <w:rFonts w:cs="Times New Roman"/>
                <w:szCs w:val="21"/>
              </w:rPr>
            </w:pPr>
            <w:r>
              <w:rPr>
                <w:rFonts w:cs="Times New Roman"/>
                <w:kern w:val="0"/>
                <w:szCs w:val="21"/>
                <w:lang w:bidi="ar"/>
              </w:rPr>
              <w:t>颗粒物</w:t>
            </w:r>
          </w:p>
        </w:tc>
        <w:tc>
          <w:tcPr>
            <w:tcW w:w="368" w:type="pct"/>
            <w:tcBorders>
              <w:top w:val="single" w:sz="6" w:space="0" w:color="auto"/>
              <w:left w:val="single" w:sz="6" w:space="0" w:color="auto"/>
              <w:bottom w:val="single" w:sz="6" w:space="0" w:color="auto"/>
              <w:right w:val="single" w:sz="6" w:space="0" w:color="auto"/>
            </w:tcBorders>
            <w:vAlign w:val="center"/>
          </w:tcPr>
          <w:p w:rsidR="00EC17B3" w:rsidRDefault="00EC17B3" w:rsidP="00EC17B3">
            <w:pPr>
              <w:widowControl/>
              <w:jc w:val="center"/>
              <w:textAlignment w:val="center"/>
              <w:rPr>
                <w:rFonts w:cs="Times New Roman"/>
                <w:bCs/>
                <w:szCs w:val="21"/>
              </w:rPr>
            </w:pPr>
            <w:r>
              <w:rPr>
                <w:rFonts w:cs="Times New Roman"/>
                <w:bCs/>
                <w:szCs w:val="21"/>
              </w:rPr>
              <w:t>12.31</w:t>
            </w:r>
          </w:p>
        </w:tc>
        <w:tc>
          <w:tcPr>
            <w:tcW w:w="371" w:type="pct"/>
            <w:tcBorders>
              <w:top w:val="single" w:sz="6" w:space="0" w:color="auto"/>
              <w:left w:val="single" w:sz="6" w:space="0" w:color="auto"/>
              <w:bottom w:val="single" w:sz="6" w:space="0" w:color="auto"/>
              <w:right w:val="single" w:sz="6" w:space="0" w:color="auto"/>
            </w:tcBorders>
            <w:vAlign w:val="center"/>
          </w:tcPr>
          <w:p w:rsidR="00EC17B3" w:rsidRDefault="00EC17B3" w:rsidP="00EC17B3">
            <w:pPr>
              <w:widowControl/>
              <w:jc w:val="center"/>
              <w:textAlignment w:val="center"/>
              <w:rPr>
                <w:rFonts w:cs="Times New Roman"/>
                <w:bCs/>
                <w:szCs w:val="21"/>
              </w:rPr>
            </w:pPr>
            <w:r>
              <w:rPr>
                <w:rFonts w:cs="Times New Roman" w:hint="eastAsia"/>
                <w:bCs/>
                <w:szCs w:val="21"/>
              </w:rPr>
              <w:t>0</w:t>
            </w:r>
            <w:r>
              <w:rPr>
                <w:rFonts w:cs="Times New Roman"/>
                <w:bCs/>
                <w:szCs w:val="21"/>
              </w:rPr>
              <w:t>.0168</w:t>
            </w:r>
          </w:p>
        </w:tc>
        <w:tc>
          <w:tcPr>
            <w:tcW w:w="291" w:type="pct"/>
            <w:vMerge w:val="restart"/>
            <w:tcBorders>
              <w:top w:val="single" w:sz="6" w:space="0" w:color="auto"/>
              <w:left w:val="single" w:sz="6" w:space="0" w:color="auto"/>
              <w:right w:val="single" w:sz="6" w:space="0" w:color="auto"/>
            </w:tcBorders>
            <w:vAlign w:val="center"/>
          </w:tcPr>
          <w:p w:rsidR="00EC17B3" w:rsidRDefault="00EC17B3" w:rsidP="00EC17B3">
            <w:pPr>
              <w:widowControl/>
              <w:snapToGrid w:val="0"/>
              <w:jc w:val="center"/>
              <w:rPr>
                <w:rFonts w:cs="Times New Roman"/>
              </w:rPr>
            </w:pPr>
            <w:r>
              <w:rPr>
                <w:rFonts w:cs="Times New Roman" w:hint="eastAsia"/>
              </w:rPr>
              <w:t>低氮燃烧</w:t>
            </w:r>
          </w:p>
        </w:tc>
        <w:tc>
          <w:tcPr>
            <w:tcW w:w="368" w:type="pct"/>
            <w:tcBorders>
              <w:top w:val="single" w:sz="6" w:space="0" w:color="auto"/>
              <w:left w:val="single" w:sz="6" w:space="0" w:color="auto"/>
              <w:bottom w:val="single" w:sz="6" w:space="0" w:color="auto"/>
              <w:right w:val="single" w:sz="6" w:space="0" w:color="auto"/>
            </w:tcBorders>
            <w:vAlign w:val="center"/>
          </w:tcPr>
          <w:p w:rsidR="00EC17B3" w:rsidRDefault="00EC17B3" w:rsidP="00EC17B3">
            <w:pPr>
              <w:widowControl/>
              <w:jc w:val="center"/>
              <w:textAlignment w:val="center"/>
              <w:rPr>
                <w:rFonts w:cs="Times New Roman"/>
                <w:bCs/>
                <w:szCs w:val="21"/>
              </w:rPr>
            </w:pPr>
            <w:r>
              <w:rPr>
                <w:rFonts w:cs="Times New Roman"/>
                <w:bCs/>
                <w:szCs w:val="21"/>
              </w:rPr>
              <w:t>12.31</w:t>
            </w:r>
          </w:p>
        </w:tc>
        <w:tc>
          <w:tcPr>
            <w:tcW w:w="359" w:type="pct"/>
            <w:tcBorders>
              <w:top w:val="single" w:sz="6" w:space="0" w:color="auto"/>
              <w:left w:val="single" w:sz="6" w:space="0" w:color="auto"/>
              <w:bottom w:val="single" w:sz="6" w:space="0" w:color="auto"/>
              <w:right w:val="single" w:sz="6" w:space="0" w:color="auto"/>
            </w:tcBorders>
            <w:vAlign w:val="center"/>
          </w:tcPr>
          <w:p w:rsidR="00EC17B3" w:rsidRDefault="00EC17B3" w:rsidP="00EC17B3">
            <w:pPr>
              <w:widowControl/>
              <w:jc w:val="center"/>
              <w:textAlignment w:val="center"/>
              <w:rPr>
                <w:rFonts w:cs="Times New Roman"/>
                <w:bCs/>
                <w:szCs w:val="21"/>
              </w:rPr>
            </w:pPr>
            <w:r>
              <w:rPr>
                <w:rFonts w:cs="Times New Roman" w:hint="eastAsia"/>
                <w:bCs/>
                <w:szCs w:val="21"/>
              </w:rPr>
              <w:t>0</w:t>
            </w:r>
            <w:r>
              <w:rPr>
                <w:rFonts w:cs="Times New Roman"/>
                <w:bCs/>
                <w:szCs w:val="21"/>
              </w:rPr>
              <w:t>.0168</w:t>
            </w:r>
          </w:p>
        </w:tc>
        <w:tc>
          <w:tcPr>
            <w:tcW w:w="316" w:type="pct"/>
            <w:tcBorders>
              <w:top w:val="single" w:sz="6" w:space="0" w:color="auto"/>
              <w:left w:val="single" w:sz="6" w:space="0" w:color="auto"/>
              <w:bottom w:val="single" w:sz="6" w:space="0" w:color="auto"/>
              <w:right w:val="single" w:sz="6" w:space="0" w:color="auto"/>
            </w:tcBorders>
            <w:vAlign w:val="center"/>
          </w:tcPr>
          <w:p w:rsidR="00EC17B3" w:rsidRDefault="00EC17B3" w:rsidP="00EC17B3">
            <w:pPr>
              <w:widowControl/>
              <w:jc w:val="center"/>
              <w:textAlignment w:val="center"/>
              <w:rPr>
                <w:rFonts w:cs="Times New Roman"/>
                <w:bCs/>
                <w:szCs w:val="21"/>
              </w:rPr>
            </w:pPr>
            <w:r>
              <w:rPr>
                <w:rFonts w:cs="Times New Roman"/>
                <w:bCs/>
                <w:szCs w:val="21"/>
              </w:rPr>
              <w:t>0.121</w:t>
            </w:r>
          </w:p>
        </w:tc>
        <w:tc>
          <w:tcPr>
            <w:tcW w:w="590" w:type="pct"/>
            <w:vMerge w:val="restart"/>
            <w:tcBorders>
              <w:top w:val="single" w:sz="6" w:space="0" w:color="auto"/>
              <w:left w:val="single" w:sz="6" w:space="0" w:color="auto"/>
              <w:bottom w:val="single" w:sz="6" w:space="0" w:color="auto"/>
              <w:right w:val="single" w:sz="6" w:space="0" w:color="auto"/>
            </w:tcBorders>
            <w:vAlign w:val="center"/>
          </w:tcPr>
          <w:p w:rsidR="00EC17B3" w:rsidRDefault="00EC17B3" w:rsidP="00EC17B3">
            <w:pPr>
              <w:snapToGrid w:val="0"/>
              <w:jc w:val="center"/>
              <w:rPr>
                <w:rFonts w:cs="Times New Roman"/>
                <w:szCs w:val="21"/>
              </w:rPr>
            </w:pPr>
            <w:r>
              <w:rPr>
                <w:rFonts w:cs="Times New Roman"/>
                <w:szCs w:val="21"/>
                <w:lang w:bidi="ar"/>
              </w:rPr>
              <w:t>8/0.</w:t>
            </w:r>
            <w:r>
              <w:rPr>
                <w:rFonts w:cs="Times New Roman" w:hint="eastAsia"/>
                <w:szCs w:val="21"/>
                <w:lang w:bidi="ar"/>
              </w:rPr>
              <w:t>3</w:t>
            </w:r>
            <w:r>
              <w:rPr>
                <w:rFonts w:cs="Times New Roman"/>
                <w:szCs w:val="21"/>
                <w:lang w:bidi="ar"/>
              </w:rPr>
              <w:t>/120</w:t>
            </w:r>
          </w:p>
        </w:tc>
        <w:tc>
          <w:tcPr>
            <w:tcW w:w="436" w:type="pct"/>
            <w:tcBorders>
              <w:top w:val="single" w:sz="6" w:space="0" w:color="auto"/>
              <w:left w:val="single" w:sz="6" w:space="0" w:color="auto"/>
              <w:bottom w:val="single" w:sz="6" w:space="0" w:color="auto"/>
              <w:right w:val="single" w:sz="6" w:space="0" w:color="auto"/>
            </w:tcBorders>
            <w:vAlign w:val="center"/>
          </w:tcPr>
          <w:p w:rsidR="00EC17B3" w:rsidRDefault="00EC17B3" w:rsidP="00EC17B3">
            <w:pPr>
              <w:snapToGrid w:val="0"/>
              <w:jc w:val="center"/>
              <w:rPr>
                <w:rFonts w:cs="Times New Roman"/>
                <w:szCs w:val="21"/>
              </w:rPr>
            </w:pPr>
            <w:r>
              <w:rPr>
                <w:rFonts w:cs="Times New Roman"/>
                <w:szCs w:val="21"/>
                <w:lang w:bidi="ar"/>
              </w:rPr>
              <w:t>20</w:t>
            </w:r>
          </w:p>
        </w:tc>
        <w:tc>
          <w:tcPr>
            <w:tcW w:w="290" w:type="pct"/>
            <w:tcBorders>
              <w:top w:val="single" w:sz="6" w:space="0" w:color="auto"/>
              <w:left w:val="single" w:sz="6" w:space="0" w:color="auto"/>
              <w:bottom w:val="single" w:sz="6" w:space="0" w:color="auto"/>
              <w:right w:val="single" w:sz="6" w:space="0" w:color="auto"/>
            </w:tcBorders>
            <w:vAlign w:val="center"/>
          </w:tcPr>
          <w:p w:rsidR="00EC17B3" w:rsidRDefault="00EC17B3" w:rsidP="00EC17B3">
            <w:pPr>
              <w:snapToGrid w:val="0"/>
              <w:jc w:val="center"/>
              <w:rPr>
                <w:rFonts w:cs="Times New Roman"/>
                <w:szCs w:val="21"/>
              </w:rPr>
            </w:pPr>
            <w:r>
              <w:rPr>
                <w:rFonts w:cs="Times New Roman"/>
                <w:szCs w:val="21"/>
                <w:lang w:bidi="ar"/>
              </w:rPr>
              <w:t>达标</w:t>
            </w:r>
          </w:p>
        </w:tc>
      </w:tr>
      <w:tr w:rsidR="00644456">
        <w:trPr>
          <w:trHeight w:val="283"/>
        </w:trPr>
        <w:tc>
          <w:tcPr>
            <w:tcW w:w="438" w:type="pct"/>
            <w:vMerge/>
            <w:tcBorders>
              <w:left w:val="single" w:sz="6" w:space="0" w:color="auto"/>
              <w:right w:val="single" w:sz="6" w:space="0" w:color="auto"/>
            </w:tcBorders>
            <w:vAlign w:val="center"/>
          </w:tcPr>
          <w:p w:rsidR="00644456" w:rsidRDefault="00644456">
            <w:pPr>
              <w:rPr>
                <w:rFonts w:cs="Times New Roman"/>
              </w:rPr>
            </w:pPr>
          </w:p>
        </w:tc>
        <w:tc>
          <w:tcPr>
            <w:tcW w:w="424" w:type="pct"/>
            <w:vMerge/>
            <w:tcBorders>
              <w:top w:val="single" w:sz="6" w:space="0" w:color="auto"/>
              <w:left w:val="single" w:sz="6" w:space="0" w:color="auto"/>
              <w:bottom w:val="single" w:sz="6" w:space="0" w:color="auto"/>
              <w:right w:val="single" w:sz="6" w:space="0" w:color="auto"/>
            </w:tcBorders>
            <w:vAlign w:val="center"/>
          </w:tcPr>
          <w:p w:rsidR="00644456" w:rsidRDefault="00644456">
            <w:pPr>
              <w:jc w:val="center"/>
              <w:rPr>
                <w:rFonts w:cs="Times New Roman"/>
              </w:rPr>
            </w:pPr>
          </w:p>
        </w:tc>
        <w:tc>
          <w:tcPr>
            <w:tcW w:w="311" w:type="pct"/>
            <w:vMerge/>
            <w:tcBorders>
              <w:top w:val="single" w:sz="6" w:space="0" w:color="auto"/>
              <w:left w:val="single" w:sz="6" w:space="0" w:color="auto"/>
              <w:bottom w:val="single" w:sz="6" w:space="0" w:color="auto"/>
              <w:right w:val="single" w:sz="6" w:space="0" w:color="auto"/>
            </w:tcBorders>
            <w:vAlign w:val="center"/>
          </w:tcPr>
          <w:p w:rsidR="00644456" w:rsidRDefault="00644456">
            <w:pPr>
              <w:jc w:val="center"/>
              <w:rPr>
                <w:rFonts w:cs="Times New Roman"/>
              </w:rPr>
            </w:pPr>
          </w:p>
        </w:tc>
        <w:tc>
          <w:tcPr>
            <w:tcW w:w="438" w:type="pct"/>
            <w:tcBorders>
              <w:top w:val="single" w:sz="6" w:space="0" w:color="auto"/>
              <w:left w:val="single" w:sz="6" w:space="0" w:color="auto"/>
              <w:bottom w:val="single" w:sz="6" w:space="0" w:color="auto"/>
              <w:right w:val="single" w:sz="6" w:space="0" w:color="auto"/>
            </w:tcBorders>
            <w:vAlign w:val="center"/>
          </w:tcPr>
          <w:p w:rsidR="00644456" w:rsidRDefault="008031C4">
            <w:pPr>
              <w:widowControl/>
              <w:jc w:val="center"/>
              <w:textAlignment w:val="center"/>
              <w:rPr>
                <w:rFonts w:cs="Times New Roman"/>
                <w:szCs w:val="21"/>
              </w:rPr>
            </w:pPr>
            <w:r>
              <w:rPr>
                <w:rFonts w:cs="Times New Roman"/>
                <w:kern w:val="0"/>
                <w:szCs w:val="21"/>
                <w:lang w:bidi="ar"/>
              </w:rPr>
              <w:t>SO</w:t>
            </w:r>
            <w:r>
              <w:rPr>
                <w:rFonts w:cs="Times New Roman"/>
                <w:kern w:val="0"/>
                <w:szCs w:val="21"/>
                <w:vertAlign w:val="subscript"/>
                <w:lang w:bidi="ar"/>
              </w:rPr>
              <w:t>2</w:t>
            </w:r>
          </w:p>
        </w:tc>
        <w:tc>
          <w:tcPr>
            <w:tcW w:w="368" w:type="pct"/>
            <w:tcBorders>
              <w:top w:val="single" w:sz="6" w:space="0" w:color="auto"/>
              <w:left w:val="single" w:sz="6" w:space="0" w:color="auto"/>
              <w:bottom w:val="single" w:sz="6" w:space="0" w:color="auto"/>
              <w:right w:val="single" w:sz="6" w:space="0" w:color="auto"/>
            </w:tcBorders>
            <w:vAlign w:val="center"/>
          </w:tcPr>
          <w:p w:rsidR="00644456" w:rsidRDefault="008031C4">
            <w:pPr>
              <w:widowControl/>
              <w:jc w:val="center"/>
              <w:textAlignment w:val="center"/>
              <w:rPr>
                <w:rFonts w:cs="Times New Roman"/>
                <w:bCs/>
                <w:szCs w:val="21"/>
              </w:rPr>
            </w:pPr>
            <w:r>
              <w:rPr>
                <w:rFonts w:cs="Times New Roman" w:hint="eastAsia"/>
                <w:bCs/>
                <w:szCs w:val="21"/>
              </w:rPr>
              <w:t>1</w:t>
            </w:r>
            <w:r>
              <w:rPr>
                <w:rFonts w:cs="Times New Roman"/>
                <w:bCs/>
                <w:szCs w:val="21"/>
              </w:rPr>
              <w:t>.8</w:t>
            </w:r>
          </w:p>
        </w:tc>
        <w:tc>
          <w:tcPr>
            <w:tcW w:w="371" w:type="pct"/>
            <w:tcBorders>
              <w:top w:val="single" w:sz="6" w:space="0" w:color="auto"/>
              <w:left w:val="single" w:sz="6" w:space="0" w:color="auto"/>
              <w:bottom w:val="single" w:sz="6" w:space="0" w:color="auto"/>
              <w:right w:val="single" w:sz="6" w:space="0" w:color="auto"/>
            </w:tcBorders>
            <w:vAlign w:val="center"/>
          </w:tcPr>
          <w:p w:rsidR="00644456" w:rsidRDefault="008031C4">
            <w:pPr>
              <w:widowControl/>
              <w:jc w:val="center"/>
              <w:textAlignment w:val="center"/>
              <w:rPr>
                <w:rFonts w:cs="Times New Roman"/>
                <w:bCs/>
                <w:szCs w:val="21"/>
              </w:rPr>
            </w:pPr>
            <w:r>
              <w:rPr>
                <w:rFonts w:cs="Times New Roman" w:hint="eastAsia"/>
                <w:bCs/>
                <w:szCs w:val="21"/>
              </w:rPr>
              <w:t>0</w:t>
            </w:r>
            <w:r>
              <w:rPr>
                <w:rFonts w:cs="Times New Roman"/>
                <w:bCs/>
                <w:szCs w:val="21"/>
              </w:rPr>
              <w:t>.003</w:t>
            </w:r>
          </w:p>
        </w:tc>
        <w:tc>
          <w:tcPr>
            <w:tcW w:w="291" w:type="pct"/>
            <w:vMerge/>
            <w:tcBorders>
              <w:left w:val="single" w:sz="6" w:space="0" w:color="auto"/>
              <w:right w:val="single" w:sz="6" w:space="0" w:color="auto"/>
            </w:tcBorders>
            <w:vAlign w:val="center"/>
          </w:tcPr>
          <w:p w:rsidR="00644456" w:rsidRDefault="00644456">
            <w:pPr>
              <w:rPr>
                <w:rFonts w:cs="Times New Roman"/>
              </w:rPr>
            </w:pPr>
          </w:p>
        </w:tc>
        <w:tc>
          <w:tcPr>
            <w:tcW w:w="368" w:type="pct"/>
            <w:tcBorders>
              <w:top w:val="single" w:sz="6" w:space="0" w:color="auto"/>
              <w:left w:val="single" w:sz="6" w:space="0" w:color="auto"/>
              <w:bottom w:val="single" w:sz="6" w:space="0" w:color="auto"/>
              <w:right w:val="single" w:sz="6" w:space="0" w:color="auto"/>
            </w:tcBorders>
            <w:vAlign w:val="center"/>
          </w:tcPr>
          <w:p w:rsidR="00644456" w:rsidRDefault="008031C4">
            <w:pPr>
              <w:widowControl/>
              <w:jc w:val="center"/>
              <w:textAlignment w:val="center"/>
              <w:rPr>
                <w:rFonts w:cs="Times New Roman"/>
                <w:bCs/>
                <w:szCs w:val="21"/>
              </w:rPr>
            </w:pPr>
            <w:r>
              <w:rPr>
                <w:rFonts w:cs="Times New Roman" w:hint="eastAsia"/>
                <w:bCs/>
                <w:szCs w:val="21"/>
              </w:rPr>
              <w:t>1</w:t>
            </w:r>
            <w:r>
              <w:rPr>
                <w:rFonts w:cs="Times New Roman"/>
                <w:bCs/>
                <w:szCs w:val="21"/>
              </w:rPr>
              <w:t>.8</w:t>
            </w:r>
          </w:p>
        </w:tc>
        <w:tc>
          <w:tcPr>
            <w:tcW w:w="359" w:type="pct"/>
            <w:tcBorders>
              <w:top w:val="single" w:sz="6" w:space="0" w:color="auto"/>
              <w:left w:val="single" w:sz="6" w:space="0" w:color="auto"/>
              <w:bottom w:val="single" w:sz="6" w:space="0" w:color="auto"/>
              <w:right w:val="single" w:sz="6" w:space="0" w:color="auto"/>
            </w:tcBorders>
            <w:vAlign w:val="center"/>
          </w:tcPr>
          <w:p w:rsidR="00644456" w:rsidRDefault="008031C4">
            <w:pPr>
              <w:widowControl/>
              <w:jc w:val="center"/>
              <w:textAlignment w:val="center"/>
              <w:rPr>
                <w:rFonts w:cs="Times New Roman"/>
                <w:bCs/>
                <w:szCs w:val="21"/>
              </w:rPr>
            </w:pPr>
            <w:r>
              <w:rPr>
                <w:rFonts w:cs="Times New Roman" w:hint="eastAsia"/>
                <w:bCs/>
                <w:szCs w:val="21"/>
              </w:rPr>
              <w:t>0</w:t>
            </w:r>
            <w:r>
              <w:rPr>
                <w:rFonts w:cs="Times New Roman"/>
                <w:bCs/>
                <w:szCs w:val="21"/>
              </w:rPr>
              <w:t>.003</w:t>
            </w:r>
          </w:p>
        </w:tc>
        <w:tc>
          <w:tcPr>
            <w:tcW w:w="316" w:type="pct"/>
            <w:tcBorders>
              <w:top w:val="single" w:sz="6" w:space="0" w:color="auto"/>
              <w:left w:val="single" w:sz="6" w:space="0" w:color="auto"/>
              <w:bottom w:val="single" w:sz="6" w:space="0" w:color="auto"/>
              <w:right w:val="single" w:sz="6" w:space="0" w:color="auto"/>
            </w:tcBorders>
            <w:vAlign w:val="center"/>
          </w:tcPr>
          <w:p w:rsidR="00644456" w:rsidRDefault="008031C4">
            <w:pPr>
              <w:widowControl/>
              <w:jc w:val="center"/>
              <w:textAlignment w:val="center"/>
              <w:rPr>
                <w:rFonts w:cs="Times New Roman"/>
                <w:bCs/>
                <w:szCs w:val="21"/>
              </w:rPr>
            </w:pPr>
            <w:r>
              <w:rPr>
                <w:rFonts w:cs="Times New Roman" w:hint="eastAsia"/>
                <w:bCs/>
                <w:szCs w:val="21"/>
              </w:rPr>
              <w:t>0</w:t>
            </w:r>
            <w:r>
              <w:rPr>
                <w:rFonts w:cs="Times New Roman"/>
                <w:bCs/>
                <w:szCs w:val="21"/>
              </w:rPr>
              <w:t>.021</w:t>
            </w:r>
          </w:p>
        </w:tc>
        <w:tc>
          <w:tcPr>
            <w:tcW w:w="590" w:type="pct"/>
            <w:vMerge/>
            <w:tcBorders>
              <w:top w:val="single" w:sz="6" w:space="0" w:color="auto"/>
              <w:left w:val="single" w:sz="6" w:space="0" w:color="auto"/>
              <w:bottom w:val="single" w:sz="6" w:space="0" w:color="auto"/>
              <w:right w:val="single" w:sz="6" w:space="0" w:color="auto"/>
            </w:tcBorders>
            <w:vAlign w:val="center"/>
          </w:tcPr>
          <w:p w:rsidR="00644456" w:rsidRDefault="00644456">
            <w:pPr>
              <w:rPr>
                <w:rFonts w:cs="Times New Roman"/>
              </w:rPr>
            </w:pPr>
          </w:p>
        </w:tc>
        <w:tc>
          <w:tcPr>
            <w:tcW w:w="436" w:type="pct"/>
            <w:tcBorders>
              <w:top w:val="single" w:sz="6" w:space="0" w:color="auto"/>
              <w:left w:val="single" w:sz="6" w:space="0" w:color="auto"/>
              <w:bottom w:val="single" w:sz="6" w:space="0" w:color="auto"/>
              <w:right w:val="single" w:sz="6" w:space="0" w:color="auto"/>
            </w:tcBorders>
            <w:vAlign w:val="center"/>
          </w:tcPr>
          <w:p w:rsidR="00644456" w:rsidRDefault="008031C4">
            <w:pPr>
              <w:snapToGrid w:val="0"/>
              <w:jc w:val="center"/>
              <w:rPr>
                <w:rFonts w:cs="Times New Roman"/>
                <w:szCs w:val="21"/>
              </w:rPr>
            </w:pPr>
            <w:r>
              <w:rPr>
                <w:rFonts w:cs="Times New Roman"/>
                <w:szCs w:val="21"/>
                <w:lang w:bidi="ar"/>
              </w:rPr>
              <w:t>50</w:t>
            </w:r>
          </w:p>
        </w:tc>
        <w:tc>
          <w:tcPr>
            <w:tcW w:w="290" w:type="pct"/>
            <w:tcBorders>
              <w:top w:val="single" w:sz="6" w:space="0" w:color="auto"/>
              <w:left w:val="single" w:sz="6" w:space="0" w:color="auto"/>
              <w:bottom w:val="single" w:sz="6" w:space="0" w:color="auto"/>
              <w:right w:val="single" w:sz="6" w:space="0" w:color="auto"/>
            </w:tcBorders>
            <w:vAlign w:val="center"/>
          </w:tcPr>
          <w:p w:rsidR="00644456" w:rsidRDefault="008031C4">
            <w:pPr>
              <w:widowControl/>
              <w:snapToGrid w:val="0"/>
              <w:jc w:val="center"/>
              <w:rPr>
                <w:rFonts w:cs="Times New Roman"/>
                <w:szCs w:val="21"/>
              </w:rPr>
            </w:pPr>
            <w:r>
              <w:rPr>
                <w:rFonts w:cs="Times New Roman"/>
                <w:szCs w:val="21"/>
                <w:lang w:bidi="ar"/>
              </w:rPr>
              <w:t>达标</w:t>
            </w:r>
          </w:p>
        </w:tc>
      </w:tr>
      <w:tr w:rsidR="00644456">
        <w:trPr>
          <w:trHeight w:val="283"/>
        </w:trPr>
        <w:tc>
          <w:tcPr>
            <w:tcW w:w="438" w:type="pct"/>
            <w:vMerge/>
            <w:tcBorders>
              <w:left w:val="single" w:sz="6" w:space="0" w:color="auto"/>
              <w:bottom w:val="single" w:sz="6" w:space="0" w:color="auto"/>
              <w:right w:val="single" w:sz="6" w:space="0" w:color="auto"/>
            </w:tcBorders>
            <w:vAlign w:val="center"/>
          </w:tcPr>
          <w:p w:rsidR="00644456" w:rsidRDefault="00644456">
            <w:pPr>
              <w:rPr>
                <w:rFonts w:cs="Times New Roman"/>
              </w:rPr>
            </w:pPr>
          </w:p>
        </w:tc>
        <w:tc>
          <w:tcPr>
            <w:tcW w:w="424" w:type="pct"/>
            <w:vMerge/>
            <w:tcBorders>
              <w:top w:val="single" w:sz="6" w:space="0" w:color="auto"/>
              <w:left w:val="single" w:sz="6" w:space="0" w:color="auto"/>
              <w:bottom w:val="single" w:sz="6" w:space="0" w:color="auto"/>
              <w:right w:val="single" w:sz="6" w:space="0" w:color="auto"/>
            </w:tcBorders>
            <w:vAlign w:val="center"/>
          </w:tcPr>
          <w:p w:rsidR="00644456" w:rsidRDefault="00644456">
            <w:pPr>
              <w:jc w:val="center"/>
              <w:rPr>
                <w:rFonts w:cs="Times New Roman"/>
              </w:rPr>
            </w:pPr>
          </w:p>
        </w:tc>
        <w:tc>
          <w:tcPr>
            <w:tcW w:w="311" w:type="pct"/>
            <w:vMerge/>
            <w:tcBorders>
              <w:top w:val="single" w:sz="6" w:space="0" w:color="auto"/>
              <w:left w:val="single" w:sz="6" w:space="0" w:color="auto"/>
              <w:bottom w:val="single" w:sz="6" w:space="0" w:color="auto"/>
              <w:right w:val="single" w:sz="6" w:space="0" w:color="auto"/>
            </w:tcBorders>
            <w:vAlign w:val="center"/>
          </w:tcPr>
          <w:p w:rsidR="00644456" w:rsidRDefault="00644456">
            <w:pPr>
              <w:jc w:val="center"/>
              <w:rPr>
                <w:rFonts w:cs="Times New Roman"/>
              </w:rPr>
            </w:pPr>
          </w:p>
        </w:tc>
        <w:tc>
          <w:tcPr>
            <w:tcW w:w="438" w:type="pct"/>
            <w:tcBorders>
              <w:top w:val="single" w:sz="6" w:space="0" w:color="auto"/>
              <w:left w:val="single" w:sz="6" w:space="0" w:color="auto"/>
              <w:bottom w:val="single" w:sz="6" w:space="0" w:color="auto"/>
              <w:right w:val="single" w:sz="6" w:space="0" w:color="auto"/>
            </w:tcBorders>
            <w:vAlign w:val="center"/>
          </w:tcPr>
          <w:p w:rsidR="00644456" w:rsidRDefault="008031C4">
            <w:pPr>
              <w:widowControl/>
              <w:jc w:val="center"/>
              <w:textAlignment w:val="center"/>
              <w:rPr>
                <w:rFonts w:cs="Times New Roman"/>
                <w:szCs w:val="21"/>
              </w:rPr>
            </w:pPr>
            <w:r>
              <w:rPr>
                <w:rFonts w:cs="Times New Roman"/>
                <w:kern w:val="0"/>
                <w:szCs w:val="21"/>
                <w:lang w:bidi="ar"/>
              </w:rPr>
              <w:t>NO</w:t>
            </w:r>
            <w:r>
              <w:rPr>
                <w:rFonts w:cs="Times New Roman"/>
                <w:kern w:val="0"/>
                <w:szCs w:val="21"/>
                <w:vertAlign w:val="subscript"/>
                <w:lang w:bidi="ar"/>
              </w:rPr>
              <w:t>x</w:t>
            </w:r>
          </w:p>
        </w:tc>
        <w:tc>
          <w:tcPr>
            <w:tcW w:w="368" w:type="pct"/>
            <w:tcBorders>
              <w:top w:val="single" w:sz="6" w:space="0" w:color="auto"/>
              <w:left w:val="single" w:sz="6" w:space="0" w:color="auto"/>
              <w:bottom w:val="single" w:sz="6" w:space="0" w:color="auto"/>
              <w:right w:val="single" w:sz="6" w:space="0" w:color="auto"/>
            </w:tcBorders>
            <w:vAlign w:val="center"/>
          </w:tcPr>
          <w:p w:rsidR="00644456" w:rsidRDefault="008031C4">
            <w:pPr>
              <w:widowControl/>
              <w:jc w:val="center"/>
              <w:textAlignment w:val="center"/>
              <w:rPr>
                <w:rFonts w:cs="Times New Roman"/>
                <w:bCs/>
                <w:szCs w:val="21"/>
              </w:rPr>
            </w:pPr>
            <w:r>
              <w:rPr>
                <w:rFonts w:cs="Times New Roman" w:hint="eastAsia"/>
                <w:bCs/>
                <w:szCs w:val="21"/>
              </w:rPr>
              <w:t>1</w:t>
            </w:r>
            <w:r>
              <w:rPr>
                <w:rFonts w:cs="Times New Roman"/>
                <w:bCs/>
                <w:szCs w:val="21"/>
              </w:rPr>
              <w:t>37.2</w:t>
            </w:r>
          </w:p>
        </w:tc>
        <w:tc>
          <w:tcPr>
            <w:tcW w:w="371" w:type="pct"/>
            <w:tcBorders>
              <w:top w:val="single" w:sz="6" w:space="0" w:color="auto"/>
              <w:left w:val="single" w:sz="6" w:space="0" w:color="auto"/>
              <w:bottom w:val="single" w:sz="6" w:space="0" w:color="auto"/>
              <w:right w:val="single" w:sz="6" w:space="0" w:color="auto"/>
            </w:tcBorders>
            <w:vAlign w:val="center"/>
          </w:tcPr>
          <w:p w:rsidR="00644456" w:rsidRDefault="008031C4">
            <w:pPr>
              <w:widowControl/>
              <w:jc w:val="center"/>
              <w:textAlignment w:val="center"/>
              <w:rPr>
                <w:rFonts w:cs="Times New Roman"/>
                <w:bCs/>
                <w:szCs w:val="21"/>
              </w:rPr>
            </w:pPr>
            <w:r>
              <w:rPr>
                <w:rFonts w:cs="Times New Roman" w:hint="eastAsia"/>
                <w:bCs/>
                <w:szCs w:val="21"/>
              </w:rPr>
              <w:t>0</w:t>
            </w:r>
            <w:r>
              <w:rPr>
                <w:rFonts w:cs="Times New Roman"/>
                <w:bCs/>
                <w:szCs w:val="21"/>
              </w:rPr>
              <w:t>.225</w:t>
            </w:r>
          </w:p>
        </w:tc>
        <w:tc>
          <w:tcPr>
            <w:tcW w:w="291" w:type="pct"/>
            <w:vMerge/>
            <w:tcBorders>
              <w:left w:val="single" w:sz="6" w:space="0" w:color="auto"/>
              <w:right w:val="single" w:sz="6" w:space="0" w:color="auto"/>
            </w:tcBorders>
            <w:vAlign w:val="center"/>
          </w:tcPr>
          <w:p w:rsidR="00644456" w:rsidRDefault="00644456">
            <w:pPr>
              <w:rPr>
                <w:rFonts w:cs="Times New Roman"/>
              </w:rPr>
            </w:pPr>
          </w:p>
        </w:tc>
        <w:tc>
          <w:tcPr>
            <w:tcW w:w="368" w:type="pct"/>
            <w:tcBorders>
              <w:top w:val="single" w:sz="6" w:space="0" w:color="auto"/>
              <w:left w:val="single" w:sz="6" w:space="0" w:color="auto"/>
              <w:bottom w:val="single" w:sz="6" w:space="0" w:color="auto"/>
              <w:right w:val="single" w:sz="6" w:space="0" w:color="auto"/>
            </w:tcBorders>
            <w:vAlign w:val="center"/>
          </w:tcPr>
          <w:p w:rsidR="00644456" w:rsidRDefault="008031C4">
            <w:pPr>
              <w:widowControl/>
              <w:jc w:val="center"/>
              <w:textAlignment w:val="center"/>
              <w:rPr>
                <w:rFonts w:cs="Times New Roman"/>
                <w:bCs/>
                <w:szCs w:val="21"/>
              </w:rPr>
            </w:pPr>
            <w:r>
              <w:rPr>
                <w:rFonts w:cs="Times New Roman" w:hint="eastAsia"/>
                <w:bCs/>
                <w:szCs w:val="21"/>
              </w:rPr>
              <w:t>6</w:t>
            </w:r>
            <w:r>
              <w:rPr>
                <w:rFonts w:cs="Times New Roman"/>
                <w:bCs/>
                <w:szCs w:val="21"/>
              </w:rPr>
              <w:t>8.7</w:t>
            </w:r>
          </w:p>
        </w:tc>
        <w:tc>
          <w:tcPr>
            <w:tcW w:w="359" w:type="pct"/>
            <w:tcBorders>
              <w:top w:val="single" w:sz="6" w:space="0" w:color="auto"/>
              <w:left w:val="single" w:sz="6" w:space="0" w:color="auto"/>
              <w:bottom w:val="single" w:sz="6" w:space="0" w:color="auto"/>
              <w:right w:val="single" w:sz="6" w:space="0" w:color="auto"/>
            </w:tcBorders>
            <w:vAlign w:val="center"/>
          </w:tcPr>
          <w:p w:rsidR="00644456" w:rsidRDefault="008031C4">
            <w:pPr>
              <w:widowControl/>
              <w:jc w:val="center"/>
              <w:textAlignment w:val="center"/>
              <w:rPr>
                <w:rFonts w:cs="Times New Roman"/>
                <w:bCs/>
                <w:szCs w:val="21"/>
              </w:rPr>
            </w:pPr>
            <w:r>
              <w:rPr>
                <w:rFonts w:cs="Times New Roman" w:hint="eastAsia"/>
                <w:bCs/>
                <w:szCs w:val="21"/>
              </w:rPr>
              <w:t>0</w:t>
            </w:r>
            <w:r>
              <w:rPr>
                <w:rFonts w:cs="Times New Roman"/>
                <w:bCs/>
                <w:szCs w:val="21"/>
              </w:rPr>
              <w:t>.112</w:t>
            </w:r>
          </w:p>
        </w:tc>
        <w:tc>
          <w:tcPr>
            <w:tcW w:w="316" w:type="pct"/>
            <w:tcBorders>
              <w:top w:val="single" w:sz="6" w:space="0" w:color="auto"/>
              <w:left w:val="single" w:sz="6" w:space="0" w:color="auto"/>
              <w:bottom w:val="single" w:sz="6" w:space="0" w:color="auto"/>
              <w:right w:val="single" w:sz="6" w:space="0" w:color="auto"/>
            </w:tcBorders>
            <w:vAlign w:val="center"/>
          </w:tcPr>
          <w:p w:rsidR="00644456" w:rsidRDefault="008031C4">
            <w:pPr>
              <w:widowControl/>
              <w:jc w:val="center"/>
              <w:textAlignment w:val="center"/>
              <w:rPr>
                <w:rFonts w:cs="Times New Roman"/>
                <w:bCs/>
                <w:szCs w:val="21"/>
              </w:rPr>
            </w:pPr>
            <w:r>
              <w:rPr>
                <w:rFonts w:cs="Times New Roman" w:hint="eastAsia"/>
                <w:bCs/>
                <w:szCs w:val="21"/>
              </w:rPr>
              <w:t>0</w:t>
            </w:r>
            <w:r>
              <w:rPr>
                <w:rFonts w:cs="Times New Roman"/>
                <w:bCs/>
                <w:szCs w:val="21"/>
              </w:rPr>
              <w:t>.809</w:t>
            </w:r>
          </w:p>
        </w:tc>
        <w:tc>
          <w:tcPr>
            <w:tcW w:w="590" w:type="pct"/>
            <w:vMerge/>
            <w:tcBorders>
              <w:top w:val="single" w:sz="6" w:space="0" w:color="auto"/>
              <w:left w:val="single" w:sz="6" w:space="0" w:color="auto"/>
              <w:bottom w:val="single" w:sz="6" w:space="0" w:color="auto"/>
              <w:right w:val="single" w:sz="6" w:space="0" w:color="auto"/>
            </w:tcBorders>
            <w:vAlign w:val="center"/>
          </w:tcPr>
          <w:p w:rsidR="00644456" w:rsidRDefault="00644456">
            <w:pPr>
              <w:rPr>
                <w:rFonts w:cs="Times New Roman"/>
              </w:rPr>
            </w:pPr>
          </w:p>
        </w:tc>
        <w:tc>
          <w:tcPr>
            <w:tcW w:w="436" w:type="pct"/>
            <w:tcBorders>
              <w:top w:val="single" w:sz="6" w:space="0" w:color="auto"/>
              <w:left w:val="single" w:sz="6" w:space="0" w:color="auto"/>
              <w:bottom w:val="single" w:sz="6" w:space="0" w:color="auto"/>
              <w:right w:val="single" w:sz="6" w:space="0" w:color="auto"/>
            </w:tcBorders>
            <w:vAlign w:val="center"/>
          </w:tcPr>
          <w:p w:rsidR="00644456" w:rsidRDefault="008031C4">
            <w:pPr>
              <w:snapToGrid w:val="0"/>
              <w:jc w:val="center"/>
              <w:rPr>
                <w:rFonts w:cs="Times New Roman"/>
                <w:szCs w:val="21"/>
              </w:rPr>
            </w:pPr>
            <w:r>
              <w:rPr>
                <w:rFonts w:cs="Times New Roman"/>
                <w:szCs w:val="21"/>
                <w:lang w:bidi="ar"/>
              </w:rPr>
              <w:t>200</w:t>
            </w:r>
          </w:p>
        </w:tc>
        <w:tc>
          <w:tcPr>
            <w:tcW w:w="290" w:type="pct"/>
            <w:tcBorders>
              <w:top w:val="single" w:sz="6" w:space="0" w:color="auto"/>
              <w:left w:val="single" w:sz="6" w:space="0" w:color="auto"/>
              <w:bottom w:val="single" w:sz="6" w:space="0" w:color="auto"/>
              <w:right w:val="single" w:sz="6" w:space="0" w:color="auto"/>
            </w:tcBorders>
            <w:vAlign w:val="center"/>
          </w:tcPr>
          <w:p w:rsidR="00644456" w:rsidRDefault="008031C4">
            <w:pPr>
              <w:widowControl/>
              <w:snapToGrid w:val="0"/>
              <w:jc w:val="center"/>
              <w:rPr>
                <w:rFonts w:cs="Times New Roman"/>
                <w:szCs w:val="21"/>
              </w:rPr>
            </w:pPr>
            <w:r>
              <w:rPr>
                <w:rFonts w:cs="Times New Roman"/>
                <w:szCs w:val="21"/>
                <w:lang w:bidi="ar"/>
              </w:rPr>
              <w:t>达标</w:t>
            </w:r>
          </w:p>
        </w:tc>
      </w:tr>
    </w:tbl>
    <w:bookmarkEnd w:id="149"/>
    <w:p w:rsidR="00644456" w:rsidRDefault="008031C4">
      <w:pPr>
        <w:pStyle w:val="5"/>
        <w:numPr>
          <w:ilvl w:val="4"/>
          <w:numId w:val="0"/>
        </w:numPr>
        <w:ind w:firstLine="480"/>
        <w:rPr>
          <w:b/>
          <w:bCs w:val="0"/>
          <w:snapToGrid w:val="0"/>
          <w:color w:val="000000" w:themeColor="text1"/>
        </w:rPr>
      </w:pPr>
      <w:r>
        <w:rPr>
          <w:rFonts w:hint="eastAsia"/>
          <w:b/>
          <w:bCs w:val="0"/>
          <w:snapToGrid w:val="0"/>
          <w:color w:val="000000" w:themeColor="text1"/>
        </w:rPr>
        <w:t>2.5.2.1.3</w:t>
      </w:r>
      <w:r>
        <w:rPr>
          <w:rFonts w:hint="eastAsia"/>
          <w:b/>
          <w:bCs w:val="0"/>
          <w:snapToGrid w:val="0"/>
          <w:color w:val="000000" w:themeColor="text1"/>
        </w:rPr>
        <w:t>罐区产生的废气</w:t>
      </w:r>
    </w:p>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hint="eastAsia"/>
          <w:bCs/>
          <w:snapToGrid w:val="0"/>
          <w:color w:val="000000" w:themeColor="text1"/>
          <w:kern w:val="0"/>
          <w:sz w:val="24"/>
        </w:rPr>
        <w:t>本项目原料油储罐、产品油储罐采用的罐型为固定顶罐，储存在其中的有机液体通过“大呼吸”和“小呼吸”两种方式产生损失</w:t>
      </w:r>
    </w:p>
    <w:p w:rsidR="00644456" w:rsidRDefault="008031C4">
      <w:pPr>
        <w:tabs>
          <w:tab w:val="left" w:pos="3420"/>
        </w:tabs>
        <w:snapToGrid w:val="0"/>
        <w:spacing w:line="360" w:lineRule="auto"/>
        <w:ind w:firstLineChars="200" w:firstLine="482"/>
        <w:rPr>
          <w:b/>
          <w:color w:val="000000" w:themeColor="text1"/>
          <w:sz w:val="24"/>
          <w:szCs w:val="24"/>
        </w:rPr>
      </w:pPr>
      <w:r>
        <w:rPr>
          <w:rFonts w:hint="eastAsia"/>
          <w:b/>
          <w:color w:val="000000" w:themeColor="text1"/>
          <w:sz w:val="24"/>
          <w:szCs w:val="24"/>
        </w:rPr>
        <w:t>1</w:t>
      </w:r>
      <w:r>
        <w:rPr>
          <w:b/>
          <w:color w:val="000000" w:themeColor="text1"/>
          <w:sz w:val="24"/>
          <w:szCs w:val="24"/>
        </w:rPr>
        <w:t>）</w:t>
      </w:r>
      <w:r>
        <w:rPr>
          <w:rFonts w:hint="eastAsia"/>
          <w:b/>
          <w:color w:val="000000" w:themeColor="text1"/>
          <w:sz w:val="24"/>
          <w:szCs w:val="24"/>
        </w:rPr>
        <w:t>小呼吸损耗计算</w:t>
      </w:r>
    </w:p>
    <w:p w:rsidR="00644456" w:rsidRDefault="008031C4">
      <w:pPr>
        <w:tabs>
          <w:tab w:val="left" w:pos="0"/>
        </w:tabs>
        <w:snapToGrid w:val="0"/>
        <w:spacing w:line="360" w:lineRule="auto"/>
        <w:ind w:firstLineChars="200" w:firstLine="480"/>
        <w:rPr>
          <w:color w:val="000000" w:themeColor="text1"/>
          <w:kern w:val="0"/>
          <w:sz w:val="24"/>
          <w:szCs w:val="24"/>
        </w:rPr>
      </w:pPr>
      <w:r>
        <w:rPr>
          <w:rFonts w:hint="eastAsia"/>
          <w:color w:val="000000" w:themeColor="text1"/>
          <w:kern w:val="0"/>
          <w:sz w:val="24"/>
          <w:szCs w:val="24"/>
        </w:rPr>
        <w:t>小呼吸废气是指储罐静止储存时排放的废气，静止储存时，储罐温度昼夜有规律地变化，白天温度升高，热量使化学品蒸气膨胀而造成挥发，晚间温度降低，吸入新鲜空气，为平衡蒸气压，蒸气从液相中蒸发，致使化学品液面上的气体达到新的饱和蒸汽压，造成蒸气的挥发，上述过程昼夜交替进行，形成称为“小呼吸”的废气排放。</w:t>
      </w:r>
    </w:p>
    <w:p w:rsidR="00644456" w:rsidRDefault="008031C4">
      <w:pPr>
        <w:tabs>
          <w:tab w:val="left" w:pos="0"/>
        </w:tabs>
        <w:snapToGrid w:val="0"/>
        <w:spacing w:line="360" w:lineRule="auto"/>
        <w:ind w:firstLineChars="200" w:firstLine="480"/>
        <w:rPr>
          <w:color w:val="000000" w:themeColor="text1"/>
          <w:kern w:val="0"/>
          <w:sz w:val="24"/>
          <w:szCs w:val="24"/>
        </w:rPr>
      </w:pPr>
      <w:r>
        <w:rPr>
          <w:color w:val="000000" w:themeColor="text1"/>
          <w:kern w:val="0"/>
          <w:sz w:val="24"/>
          <w:szCs w:val="24"/>
        </w:rPr>
        <w:t>参考美国《工业污染源</w:t>
      </w:r>
      <w:r>
        <w:rPr>
          <w:rFonts w:hint="eastAsia"/>
          <w:color w:val="000000" w:themeColor="text1"/>
          <w:kern w:val="0"/>
          <w:sz w:val="24"/>
          <w:szCs w:val="24"/>
        </w:rPr>
        <w:t>调查</w:t>
      </w:r>
      <w:r>
        <w:rPr>
          <w:color w:val="000000" w:themeColor="text1"/>
          <w:kern w:val="0"/>
          <w:sz w:val="24"/>
          <w:szCs w:val="24"/>
        </w:rPr>
        <w:t>与研究》第二辑计算公式，固定顶罐小呼吸排放量计算公式为：</w:t>
      </w:r>
    </w:p>
    <w:p w:rsidR="00644456" w:rsidRDefault="008031C4">
      <w:pPr>
        <w:pStyle w:val="afffd"/>
        <w:kinsoku w:val="0"/>
        <w:overflowPunct w:val="0"/>
        <w:autoSpaceDE w:val="0"/>
        <w:autoSpaceDN w:val="0"/>
        <w:adjustRightInd w:val="0"/>
        <w:snapToGrid w:val="0"/>
        <w:spacing w:beforeAutospacing="0" w:afterAutospacing="0" w:line="360" w:lineRule="auto"/>
        <w:jc w:val="center"/>
        <w:rPr>
          <w:color w:val="000000" w:themeColor="text1"/>
          <w:spacing w:val="-1"/>
          <w:szCs w:val="24"/>
        </w:rPr>
      </w:pPr>
      <w:r>
        <w:rPr>
          <w:color w:val="000000" w:themeColor="text1"/>
          <w:szCs w:val="24"/>
        </w:rPr>
        <w:object w:dxaOrig="6060" w:dyaOrig="720" w14:anchorId="54D8FD05">
          <v:shape id="_x0000_i1029" type="#_x0000_t75" style="width:303pt;height:36pt" o:ole="">
            <v:imagedata r:id="rId28" o:title=""/>
          </v:shape>
          <o:OLEObject Type="Embed" ProgID="Equation.3" ShapeID="_x0000_i1029" DrawAspect="Content" ObjectID="_1791290100" r:id="rId29"/>
        </w:object>
      </w:r>
    </w:p>
    <w:p w:rsidR="00644456" w:rsidRDefault="008031C4">
      <w:pPr>
        <w:pStyle w:val="afffd"/>
        <w:kinsoku w:val="0"/>
        <w:overflowPunct w:val="0"/>
        <w:autoSpaceDE w:val="0"/>
        <w:autoSpaceDN w:val="0"/>
        <w:adjustRightInd w:val="0"/>
        <w:snapToGrid w:val="0"/>
        <w:spacing w:beforeAutospacing="0" w:afterAutospacing="0" w:line="360" w:lineRule="auto"/>
        <w:ind w:firstLineChars="300" w:firstLine="714"/>
        <w:rPr>
          <w:color w:val="000000" w:themeColor="text1"/>
          <w:spacing w:val="-1"/>
          <w:szCs w:val="24"/>
        </w:rPr>
      </w:pPr>
      <w:r>
        <w:rPr>
          <w:color w:val="000000" w:themeColor="text1"/>
          <w:spacing w:val="-1"/>
          <w:szCs w:val="24"/>
        </w:rPr>
        <w:t>式中：</w:t>
      </w:r>
      <w:r>
        <w:rPr>
          <w:color w:val="000000" w:themeColor="text1"/>
          <w:spacing w:val="-1"/>
          <w:szCs w:val="24"/>
        </w:rPr>
        <w:t>LB</w:t>
      </w:r>
      <w:r>
        <w:rPr>
          <w:rFonts w:hint="eastAsia"/>
          <w:color w:val="000000" w:themeColor="text1"/>
          <w:spacing w:val="-1"/>
          <w:szCs w:val="24"/>
        </w:rPr>
        <w:t>—</w:t>
      </w:r>
      <w:r>
        <w:rPr>
          <w:color w:val="000000" w:themeColor="text1"/>
          <w:spacing w:val="-1"/>
          <w:szCs w:val="24"/>
        </w:rPr>
        <w:t>固定顶罐的小呼吸排放量（</w:t>
      </w:r>
      <w:r>
        <w:rPr>
          <w:color w:val="000000" w:themeColor="text1"/>
          <w:spacing w:val="-1"/>
          <w:szCs w:val="24"/>
        </w:rPr>
        <w:t>kg/a</w:t>
      </w:r>
      <w:r>
        <w:rPr>
          <w:color w:val="000000" w:themeColor="text1"/>
          <w:spacing w:val="-1"/>
          <w:szCs w:val="24"/>
        </w:rPr>
        <w:t>）；</w:t>
      </w:r>
    </w:p>
    <w:p w:rsidR="00644456" w:rsidRDefault="008031C4">
      <w:pPr>
        <w:pStyle w:val="afffd"/>
        <w:kinsoku w:val="0"/>
        <w:overflowPunct w:val="0"/>
        <w:autoSpaceDE w:val="0"/>
        <w:autoSpaceDN w:val="0"/>
        <w:adjustRightInd w:val="0"/>
        <w:snapToGrid w:val="0"/>
        <w:spacing w:beforeAutospacing="0" w:afterAutospacing="0" w:line="360" w:lineRule="auto"/>
        <w:ind w:firstLineChars="300" w:firstLine="714"/>
        <w:rPr>
          <w:color w:val="000000" w:themeColor="text1"/>
          <w:szCs w:val="24"/>
        </w:rPr>
      </w:pPr>
      <w:r>
        <w:rPr>
          <w:color w:val="000000" w:themeColor="text1"/>
          <w:spacing w:val="-1"/>
          <w:szCs w:val="24"/>
        </w:rPr>
        <w:t>M</w:t>
      </w:r>
      <w:r>
        <w:rPr>
          <w:rFonts w:hint="eastAsia"/>
          <w:color w:val="000000" w:themeColor="text1"/>
          <w:spacing w:val="-1"/>
          <w:szCs w:val="24"/>
        </w:rPr>
        <w:t>—</w:t>
      </w:r>
      <w:r>
        <w:rPr>
          <w:color w:val="000000" w:themeColor="text1"/>
          <w:spacing w:val="-1"/>
          <w:szCs w:val="24"/>
        </w:rPr>
        <w:t>储罐内蒸气的分子量；</w:t>
      </w:r>
    </w:p>
    <w:p w:rsidR="00644456" w:rsidRDefault="008031C4">
      <w:pPr>
        <w:pStyle w:val="afffd"/>
        <w:kinsoku w:val="0"/>
        <w:overflowPunct w:val="0"/>
        <w:autoSpaceDE w:val="0"/>
        <w:autoSpaceDN w:val="0"/>
        <w:adjustRightInd w:val="0"/>
        <w:snapToGrid w:val="0"/>
        <w:spacing w:beforeAutospacing="0" w:afterAutospacing="0" w:line="360" w:lineRule="auto"/>
        <w:ind w:firstLineChars="300" w:firstLine="714"/>
        <w:rPr>
          <w:color w:val="000000" w:themeColor="text1"/>
          <w:spacing w:val="-1"/>
          <w:szCs w:val="24"/>
        </w:rPr>
      </w:pPr>
      <w:r>
        <w:rPr>
          <w:color w:val="000000" w:themeColor="text1"/>
          <w:spacing w:val="-1"/>
          <w:szCs w:val="24"/>
        </w:rPr>
        <w:t>P</w:t>
      </w:r>
      <w:r>
        <w:rPr>
          <w:rFonts w:hint="eastAsia"/>
          <w:color w:val="000000" w:themeColor="text1"/>
          <w:spacing w:val="-1"/>
          <w:szCs w:val="24"/>
        </w:rPr>
        <w:t>—</w:t>
      </w:r>
      <w:r>
        <w:rPr>
          <w:color w:val="000000" w:themeColor="text1"/>
          <w:spacing w:val="-1"/>
          <w:szCs w:val="24"/>
        </w:rPr>
        <w:t>大量液体状态下，真实的蒸气压力（</w:t>
      </w:r>
      <w:r>
        <w:rPr>
          <w:color w:val="000000" w:themeColor="text1"/>
          <w:spacing w:val="-1"/>
          <w:szCs w:val="24"/>
        </w:rPr>
        <w:t>Pa</w:t>
      </w:r>
      <w:r>
        <w:rPr>
          <w:color w:val="000000" w:themeColor="text1"/>
          <w:spacing w:val="-1"/>
          <w:szCs w:val="24"/>
        </w:rPr>
        <w:t>）</w:t>
      </w:r>
      <w:r>
        <w:rPr>
          <w:rFonts w:hint="eastAsia"/>
          <w:color w:val="000000" w:themeColor="text1"/>
          <w:spacing w:val="-1"/>
          <w:szCs w:val="24"/>
        </w:rPr>
        <w:t>。查找同类项目资料，大量液体状态下真实的蒸气压力为</w:t>
      </w:r>
      <w:r>
        <w:rPr>
          <w:rFonts w:hint="eastAsia"/>
          <w:color w:val="000000" w:themeColor="text1"/>
          <w:spacing w:val="-1"/>
          <w:szCs w:val="24"/>
        </w:rPr>
        <w:t>106.4Pa</w:t>
      </w:r>
      <w:r>
        <w:rPr>
          <w:rFonts w:hint="eastAsia"/>
          <w:color w:val="000000" w:themeColor="text1"/>
          <w:spacing w:val="-1"/>
          <w:szCs w:val="24"/>
        </w:rPr>
        <w:t>，</w:t>
      </w:r>
      <w:r>
        <w:rPr>
          <w:color w:val="000000" w:themeColor="text1"/>
          <w:spacing w:val="-1"/>
          <w:szCs w:val="24"/>
        </w:rPr>
        <w:t>本处取</w:t>
      </w:r>
      <w:r>
        <w:rPr>
          <w:color w:val="000000" w:themeColor="text1"/>
          <w:spacing w:val="-1"/>
          <w:szCs w:val="24"/>
        </w:rPr>
        <w:t>106.4Pa</w:t>
      </w:r>
      <w:r>
        <w:rPr>
          <w:color w:val="000000" w:themeColor="text1"/>
          <w:spacing w:val="-1"/>
          <w:szCs w:val="24"/>
        </w:rPr>
        <w:t>；</w:t>
      </w:r>
    </w:p>
    <w:p w:rsidR="00644456" w:rsidRDefault="008031C4">
      <w:pPr>
        <w:pStyle w:val="afffd"/>
        <w:kinsoku w:val="0"/>
        <w:overflowPunct w:val="0"/>
        <w:autoSpaceDE w:val="0"/>
        <w:autoSpaceDN w:val="0"/>
        <w:adjustRightInd w:val="0"/>
        <w:snapToGrid w:val="0"/>
        <w:spacing w:beforeAutospacing="0" w:afterAutospacing="0" w:line="360" w:lineRule="auto"/>
        <w:ind w:firstLineChars="300" w:firstLine="714"/>
        <w:rPr>
          <w:color w:val="000000" w:themeColor="text1"/>
          <w:spacing w:val="-1"/>
          <w:szCs w:val="24"/>
        </w:rPr>
      </w:pPr>
      <w:r>
        <w:rPr>
          <w:color w:val="000000" w:themeColor="text1"/>
          <w:spacing w:val="-1"/>
          <w:szCs w:val="24"/>
        </w:rPr>
        <w:t>D</w:t>
      </w:r>
      <w:r>
        <w:rPr>
          <w:rFonts w:hint="eastAsia"/>
          <w:color w:val="000000" w:themeColor="text1"/>
          <w:spacing w:val="-1"/>
          <w:szCs w:val="24"/>
        </w:rPr>
        <w:t>—</w:t>
      </w:r>
      <w:r>
        <w:rPr>
          <w:color w:val="000000" w:themeColor="text1"/>
          <w:spacing w:val="-1"/>
          <w:szCs w:val="24"/>
        </w:rPr>
        <w:t>罐的直径（</w:t>
      </w:r>
      <w:r>
        <w:rPr>
          <w:color w:val="000000" w:themeColor="text1"/>
          <w:spacing w:val="-1"/>
          <w:szCs w:val="24"/>
        </w:rPr>
        <w:t>m</w:t>
      </w:r>
      <w:r>
        <w:rPr>
          <w:color w:val="000000" w:themeColor="text1"/>
          <w:spacing w:val="-1"/>
          <w:szCs w:val="24"/>
        </w:rPr>
        <w:t>）；</w:t>
      </w:r>
    </w:p>
    <w:p w:rsidR="00644456" w:rsidRDefault="008031C4">
      <w:pPr>
        <w:pStyle w:val="afffd"/>
        <w:kinsoku w:val="0"/>
        <w:overflowPunct w:val="0"/>
        <w:autoSpaceDE w:val="0"/>
        <w:autoSpaceDN w:val="0"/>
        <w:adjustRightInd w:val="0"/>
        <w:snapToGrid w:val="0"/>
        <w:spacing w:beforeAutospacing="0" w:afterAutospacing="0" w:line="360" w:lineRule="auto"/>
        <w:ind w:firstLineChars="300" w:firstLine="714"/>
        <w:rPr>
          <w:color w:val="000000" w:themeColor="text1"/>
          <w:spacing w:val="-1"/>
          <w:szCs w:val="24"/>
        </w:rPr>
      </w:pPr>
      <w:r>
        <w:rPr>
          <w:color w:val="000000" w:themeColor="text1"/>
          <w:spacing w:val="-1"/>
          <w:szCs w:val="24"/>
        </w:rPr>
        <w:t>H</w:t>
      </w:r>
      <w:r>
        <w:rPr>
          <w:rFonts w:hint="eastAsia"/>
          <w:color w:val="000000" w:themeColor="text1"/>
          <w:spacing w:val="-1"/>
          <w:szCs w:val="24"/>
        </w:rPr>
        <w:t>—</w:t>
      </w:r>
      <w:r>
        <w:rPr>
          <w:color w:val="000000" w:themeColor="text1"/>
          <w:spacing w:val="-1"/>
          <w:szCs w:val="24"/>
        </w:rPr>
        <w:t>平均蒸气空间高度（</w:t>
      </w:r>
      <w:r>
        <w:rPr>
          <w:color w:val="000000" w:themeColor="text1"/>
          <w:spacing w:val="-1"/>
          <w:szCs w:val="24"/>
        </w:rPr>
        <w:t>m</w:t>
      </w:r>
      <w:r>
        <w:rPr>
          <w:color w:val="000000" w:themeColor="text1"/>
          <w:spacing w:val="-1"/>
          <w:szCs w:val="24"/>
        </w:rPr>
        <w:t>）；</w:t>
      </w:r>
    </w:p>
    <w:p w:rsidR="00644456" w:rsidRDefault="008031C4">
      <w:pPr>
        <w:snapToGrid w:val="0"/>
        <w:spacing w:line="360" w:lineRule="auto"/>
        <w:ind w:firstLineChars="300" w:firstLine="720"/>
        <w:rPr>
          <w:color w:val="000000" w:themeColor="text1"/>
          <w:sz w:val="24"/>
          <w:szCs w:val="24"/>
        </w:rPr>
      </w:pPr>
      <w:r>
        <w:rPr>
          <w:color w:val="000000" w:themeColor="text1"/>
          <w:sz w:val="24"/>
          <w:szCs w:val="24"/>
        </w:rPr>
        <w:t>△T</w:t>
      </w:r>
      <w:r>
        <w:rPr>
          <w:rFonts w:hint="eastAsia"/>
          <w:color w:val="000000" w:themeColor="text1"/>
          <w:spacing w:val="-1"/>
          <w:sz w:val="24"/>
          <w:szCs w:val="24"/>
        </w:rPr>
        <w:t>—</w:t>
      </w:r>
      <w:r>
        <w:rPr>
          <w:color w:val="000000" w:themeColor="text1"/>
          <w:sz w:val="24"/>
          <w:szCs w:val="24"/>
        </w:rPr>
        <w:t>一天之内的平均温度差（</w:t>
      </w:r>
      <w:r>
        <w:rPr>
          <w:color w:val="000000" w:themeColor="text1"/>
          <w:sz w:val="24"/>
          <w:szCs w:val="24"/>
        </w:rPr>
        <w:t>℃</w:t>
      </w:r>
      <w:r>
        <w:rPr>
          <w:color w:val="000000" w:themeColor="text1"/>
          <w:sz w:val="24"/>
          <w:szCs w:val="24"/>
        </w:rPr>
        <w:t>），本处取</w:t>
      </w:r>
      <w:r>
        <w:rPr>
          <w:color w:val="000000" w:themeColor="text1"/>
          <w:sz w:val="24"/>
          <w:szCs w:val="24"/>
        </w:rPr>
        <w:t>10℃</w:t>
      </w:r>
      <w:r>
        <w:rPr>
          <w:color w:val="000000" w:themeColor="text1"/>
          <w:sz w:val="24"/>
          <w:szCs w:val="24"/>
        </w:rPr>
        <w:t>；</w:t>
      </w:r>
    </w:p>
    <w:p w:rsidR="00644456" w:rsidRDefault="008031C4">
      <w:pPr>
        <w:snapToGrid w:val="0"/>
        <w:spacing w:line="360" w:lineRule="auto"/>
        <w:ind w:firstLineChars="300" w:firstLine="720"/>
        <w:rPr>
          <w:color w:val="000000" w:themeColor="text1"/>
          <w:sz w:val="24"/>
          <w:szCs w:val="24"/>
        </w:rPr>
      </w:pPr>
      <w:r>
        <w:rPr>
          <w:color w:val="000000" w:themeColor="text1"/>
          <w:sz w:val="24"/>
          <w:szCs w:val="24"/>
        </w:rPr>
        <w:t>F</w:t>
      </w:r>
      <w:r>
        <w:rPr>
          <w:color w:val="000000" w:themeColor="text1"/>
          <w:sz w:val="24"/>
          <w:szCs w:val="24"/>
          <w:vertAlign w:val="subscript"/>
        </w:rPr>
        <w:t>P</w:t>
      </w:r>
      <w:r>
        <w:rPr>
          <w:rFonts w:hint="eastAsia"/>
          <w:color w:val="000000" w:themeColor="text1"/>
          <w:spacing w:val="-1"/>
          <w:sz w:val="24"/>
          <w:szCs w:val="24"/>
        </w:rPr>
        <w:t>—</w:t>
      </w:r>
      <w:r>
        <w:rPr>
          <w:color w:val="000000" w:themeColor="text1"/>
          <w:sz w:val="24"/>
          <w:szCs w:val="24"/>
        </w:rPr>
        <w:t>涂层因子（无量纲），根据油漆状况取值在</w:t>
      </w:r>
      <w:r>
        <w:rPr>
          <w:color w:val="000000" w:themeColor="text1"/>
          <w:sz w:val="24"/>
          <w:szCs w:val="24"/>
        </w:rPr>
        <w:t>1~1.5</w:t>
      </w:r>
      <w:r>
        <w:rPr>
          <w:color w:val="000000" w:themeColor="text1"/>
          <w:sz w:val="24"/>
          <w:szCs w:val="24"/>
        </w:rPr>
        <w:t>之间，本处取</w:t>
      </w:r>
      <w:r>
        <w:rPr>
          <w:color w:val="000000" w:themeColor="text1"/>
          <w:sz w:val="24"/>
          <w:szCs w:val="24"/>
        </w:rPr>
        <w:t>1.0</w:t>
      </w:r>
      <w:r>
        <w:rPr>
          <w:color w:val="000000" w:themeColor="text1"/>
          <w:sz w:val="24"/>
          <w:szCs w:val="24"/>
        </w:rPr>
        <w:t>；</w:t>
      </w:r>
    </w:p>
    <w:p w:rsidR="00644456" w:rsidRDefault="008031C4">
      <w:pPr>
        <w:snapToGrid w:val="0"/>
        <w:spacing w:line="360" w:lineRule="auto"/>
        <w:ind w:firstLineChars="300" w:firstLine="720"/>
        <w:rPr>
          <w:color w:val="000000" w:themeColor="text1"/>
          <w:sz w:val="24"/>
          <w:szCs w:val="24"/>
        </w:rPr>
      </w:pPr>
      <w:r>
        <w:rPr>
          <w:color w:val="000000" w:themeColor="text1"/>
          <w:sz w:val="24"/>
          <w:szCs w:val="24"/>
        </w:rPr>
        <w:lastRenderedPageBreak/>
        <w:t>C</w:t>
      </w:r>
      <w:r>
        <w:rPr>
          <w:rFonts w:hint="eastAsia"/>
          <w:color w:val="000000" w:themeColor="text1"/>
          <w:spacing w:val="-1"/>
          <w:sz w:val="24"/>
          <w:szCs w:val="24"/>
        </w:rPr>
        <w:t>—</w:t>
      </w:r>
      <w:r>
        <w:rPr>
          <w:color w:val="000000" w:themeColor="text1"/>
          <w:sz w:val="24"/>
          <w:szCs w:val="24"/>
        </w:rPr>
        <w:t>用于小直径罐的调节因子（无量纲）；</w:t>
      </w:r>
      <w:r>
        <w:rPr>
          <w:color w:val="000000" w:themeColor="text1"/>
          <w:sz w:val="24"/>
          <w:szCs w:val="24"/>
        </w:rPr>
        <w:t>0~9m</w:t>
      </w:r>
      <w:r>
        <w:rPr>
          <w:color w:val="000000" w:themeColor="text1"/>
          <w:sz w:val="24"/>
          <w:szCs w:val="24"/>
        </w:rPr>
        <w:t>之间的罐体；</w:t>
      </w:r>
      <w:r>
        <w:rPr>
          <w:color w:val="000000" w:themeColor="text1"/>
          <w:sz w:val="24"/>
          <w:szCs w:val="24"/>
        </w:rPr>
        <w:t>C=1-0.0123</w:t>
      </w:r>
      <w:r>
        <w:rPr>
          <w:rFonts w:hint="eastAsia"/>
          <w:color w:val="000000" w:themeColor="text1"/>
          <w:sz w:val="24"/>
          <w:szCs w:val="24"/>
        </w:rPr>
        <w:t>(</w:t>
      </w:r>
      <w:r>
        <w:rPr>
          <w:color w:val="000000" w:themeColor="text1"/>
          <w:sz w:val="24"/>
          <w:szCs w:val="24"/>
        </w:rPr>
        <w:t>D-9</w:t>
      </w:r>
      <w:r>
        <w:rPr>
          <w:rFonts w:hint="eastAsia"/>
          <w:color w:val="000000" w:themeColor="text1"/>
          <w:sz w:val="24"/>
          <w:szCs w:val="24"/>
        </w:rPr>
        <w:t>)</w:t>
      </w:r>
      <w:r>
        <w:rPr>
          <w:color w:val="000000" w:themeColor="text1"/>
          <w:sz w:val="24"/>
          <w:szCs w:val="24"/>
          <w:vertAlign w:val="superscript"/>
        </w:rPr>
        <w:t>2</w:t>
      </w:r>
      <w:r>
        <w:rPr>
          <w:color w:val="000000" w:themeColor="text1"/>
          <w:sz w:val="24"/>
          <w:szCs w:val="24"/>
        </w:rPr>
        <w:t>；罐径大于</w:t>
      </w:r>
      <w:r>
        <w:rPr>
          <w:color w:val="000000" w:themeColor="text1"/>
          <w:sz w:val="24"/>
          <w:szCs w:val="24"/>
        </w:rPr>
        <w:t>9m</w:t>
      </w:r>
      <w:r>
        <w:rPr>
          <w:color w:val="000000" w:themeColor="text1"/>
          <w:sz w:val="24"/>
          <w:szCs w:val="24"/>
        </w:rPr>
        <w:t>的</w:t>
      </w:r>
      <w:r>
        <w:rPr>
          <w:color w:val="000000" w:themeColor="text1"/>
          <w:sz w:val="24"/>
          <w:szCs w:val="24"/>
        </w:rPr>
        <w:t>C=1</w:t>
      </w:r>
      <w:r>
        <w:rPr>
          <w:color w:val="000000" w:themeColor="text1"/>
          <w:sz w:val="24"/>
          <w:szCs w:val="24"/>
        </w:rPr>
        <w:t>；</w:t>
      </w:r>
    </w:p>
    <w:p w:rsidR="00644456" w:rsidRDefault="008031C4">
      <w:pPr>
        <w:snapToGrid w:val="0"/>
        <w:spacing w:line="360" w:lineRule="auto"/>
        <w:ind w:firstLineChars="300" w:firstLine="720"/>
        <w:rPr>
          <w:color w:val="000000" w:themeColor="text1"/>
          <w:sz w:val="24"/>
          <w:szCs w:val="24"/>
        </w:rPr>
      </w:pPr>
      <w:r>
        <w:rPr>
          <w:color w:val="000000" w:themeColor="text1"/>
          <w:sz w:val="24"/>
          <w:szCs w:val="24"/>
        </w:rPr>
        <w:t>Kc</w:t>
      </w:r>
      <w:r>
        <w:rPr>
          <w:rFonts w:hint="eastAsia"/>
          <w:color w:val="000000" w:themeColor="text1"/>
          <w:spacing w:val="-1"/>
          <w:sz w:val="24"/>
          <w:szCs w:val="24"/>
        </w:rPr>
        <w:t>—</w:t>
      </w:r>
      <w:r>
        <w:rPr>
          <w:color w:val="000000" w:themeColor="text1"/>
          <w:sz w:val="24"/>
          <w:szCs w:val="24"/>
        </w:rPr>
        <w:t>产品因子（石油原油</w:t>
      </w:r>
      <w:r>
        <w:rPr>
          <w:color w:val="000000" w:themeColor="text1"/>
          <w:sz w:val="24"/>
          <w:szCs w:val="24"/>
        </w:rPr>
        <w:t>Kc</w:t>
      </w:r>
      <w:r>
        <w:rPr>
          <w:color w:val="000000" w:themeColor="text1"/>
          <w:sz w:val="24"/>
          <w:szCs w:val="24"/>
        </w:rPr>
        <w:t>取</w:t>
      </w:r>
      <w:r>
        <w:rPr>
          <w:color w:val="000000" w:themeColor="text1"/>
          <w:sz w:val="24"/>
          <w:szCs w:val="24"/>
        </w:rPr>
        <w:t>0.65</w:t>
      </w:r>
      <w:r>
        <w:rPr>
          <w:color w:val="000000" w:themeColor="text1"/>
          <w:sz w:val="24"/>
          <w:szCs w:val="24"/>
        </w:rPr>
        <w:t>，其他的液体取</w:t>
      </w:r>
      <w:r>
        <w:rPr>
          <w:color w:val="000000" w:themeColor="text1"/>
          <w:sz w:val="24"/>
          <w:szCs w:val="24"/>
        </w:rPr>
        <w:t>1.0</w:t>
      </w:r>
      <w:r>
        <w:rPr>
          <w:color w:val="000000" w:themeColor="text1"/>
          <w:sz w:val="24"/>
          <w:szCs w:val="24"/>
        </w:rPr>
        <w:t>）。</w:t>
      </w:r>
    </w:p>
    <w:p w:rsidR="00644456" w:rsidRDefault="008031C4">
      <w:pPr>
        <w:tabs>
          <w:tab w:val="left" w:pos="3420"/>
        </w:tabs>
        <w:snapToGrid w:val="0"/>
        <w:spacing w:line="360" w:lineRule="auto"/>
        <w:ind w:firstLineChars="200" w:firstLine="482"/>
        <w:rPr>
          <w:b/>
          <w:color w:val="000000" w:themeColor="text1"/>
          <w:sz w:val="24"/>
          <w:szCs w:val="24"/>
        </w:rPr>
      </w:pPr>
      <w:r>
        <w:rPr>
          <w:rFonts w:hint="eastAsia"/>
          <w:b/>
          <w:color w:val="000000" w:themeColor="text1"/>
          <w:sz w:val="24"/>
          <w:szCs w:val="24"/>
        </w:rPr>
        <w:t>2</w:t>
      </w:r>
      <w:r>
        <w:rPr>
          <w:b/>
          <w:color w:val="000000" w:themeColor="text1"/>
          <w:sz w:val="24"/>
          <w:szCs w:val="24"/>
        </w:rPr>
        <w:t>）</w:t>
      </w:r>
      <w:r>
        <w:rPr>
          <w:rFonts w:hint="eastAsia"/>
          <w:b/>
          <w:color w:val="000000" w:themeColor="text1"/>
          <w:sz w:val="24"/>
          <w:szCs w:val="24"/>
        </w:rPr>
        <w:t>大呼吸损耗计算</w:t>
      </w:r>
    </w:p>
    <w:p w:rsidR="00644456" w:rsidRDefault="008031C4">
      <w:pPr>
        <w:tabs>
          <w:tab w:val="left" w:pos="0"/>
        </w:tabs>
        <w:snapToGrid w:val="0"/>
        <w:spacing w:line="360" w:lineRule="auto"/>
        <w:ind w:firstLineChars="200" w:firstLine="476"/>
        <w:rPr>
          <w:color w:val="000000" w:themeColor="text1"/>
          <w:kern w:val="0"/>
          <w:sz w:val="24"/>
          <w:szCs w:val="24"/>
        </w:rPr>
      </w:pPr>
      <w:r>
        <w:rPr>
          <w:rFonts w:hint="eastAsia"/>
          <w:color w:val="000000" w:themeColor="text1"/>
          <w:spacing w:val="-1"/>
          <w:sz w:val="24"/>
          <w:szCs w:val="24"/>
        </w:rPr>
        <w:t>大呼吸排放是由于人为的装料与卸料而产生的损失。因装料的结果，罐内压力超过释放压力时，蒸气从罐内压出；而卸料损失发生于液面排出，空气被抽入罐体内，因空气变成有机蒸气饱和的气体而膨胀，因而超过蒸气空间容纳的能力。</w:t>
      </w:r>
      <w:r>
        <w:rPr>
          <w:color w:val="000000" w:themeColor="text1"/>
          <w:kern w:val="0"/>
          <w:sz w:val="24"/>
          <w:szCs w:val="24"/>
        </w:rPr>
        <w:t>固定顶罐</w:t>
      </w:r>
      <w:r>
        <w:rPr>
          <w:rFonts w:hint="eastAsia"/>
          <w:color w:val="000000" w:themeColor="text1"/>
          <w:kern w:val="0"/>
          <w:sz w:val="24"/>
          <w:szCs w:val="24"/>
        </w:rPr>
        <w:t>大</w:t>
      </w:r>
      <w:r>
        <w:rPr>
          <w:color w:val="000000" w:themeColor="text1"/>
          <w:kern w:val="0"/>
          <w:sz w:val="24"/>
          <w:szCs w:val="24"/>
        </w:rPr>
        <w:t>呼吸排放量计算公式为：</w:t>
      </w:r>
    </w:p>
    <w:p w:rsidR="00644456" w:rsidRDefault="008031C4">
      <w:pPr>
        <w:kinsoku w:val="0"/>
        <w:overflowPunct w:val="0"/>
        <w:autoSpaceDE w:val="0"/>
        <w:autoSpaceDN w:val="0"/>
        <w:adjustRightInd w:val="0"/>
        <w:snapToGrid w:val="0"/>
        <w:spacing w:line="360" w:lineRule="auto"/>
        <w:jc w:val="center"/>
        <w:rPr>
          <w:i/>
          <w:color w:val="000000" w:themeColor="text1"/>
          <w:sz w:val="24"/>
          <w:szCs w:val="24"/>
        </w:rPr>
      </w:pPr>
      <w:r>
        <w:rPr>
          <w:color w:val="000000" w:themeColor="text1"/>
          <w:kern w:val="0"/>
          <w:position w:val="-12"/>
          <w:sz w:val="24"/>
          <w:szCs w:val="24"/>
        </w:rPr>
        <w:object w:dxaOrig="3420" w:dyaOrig="450" w14:anchorId="367CB8DD">
          <v:shape id="_x0000_i1030" type="#_x0000_t75" style="width:171pt;height:22.5pt" o:ole="">
            <v:imagedata r:id="rId30" o:title=""/>
          </v:shape>
          <o:OLEObject Type="Embed" ProgID="Equation.DSMT4" ShapeID="_x0000_i1030" DrawAspect="Content" ObjectID="_1791290101" r:id="rId31"/>
        </w:object>
      </w:r>
    </w:p>
    <w:p w:rsidR="00644456" w:rsidRDefault="008031C4">
      <w:pPr>
        <w:tabs>
          <w:tab w:val="left" w:pos="0"/>
        </w:tabs>
        <w:snapToGrid w:val="0"/>
        <w:spacing w:line="360" w:lineRule="auto"/>
        <w:ind w:firstLineChars="200" w:firstLine="476"/>
        <w:rPr>
          <w:color w:val="000000" w:themeColor="text1"/>
          <w:spacing w:val="-1"/>
          <w:sz w:val="24"/>
          <w:szCs w:val="24"/>
        </w:rPr>
      </w:pPr>
      <w:r>
        <w:rPr>
          <w:color w:val="000000" w:themeColor="text1"/>
          <w:spacing w:val="-1"/>
          <w:sz w:val="24"/>
          <w:szCs w:val="24"/>
        </w:rPr>
        <w:t>式中：</w:t>
      </w:r>
      <w:r>
        <w:rPr>
          <w:color w:val="000000" w:themeColor="text1"/>
          <w:spacing w:val="-1"/>
          <w:sz w:val="24"/>
          <w:szCs w:val="24"/>
        </w:rPr>
        <w:t>LW—</w:t>
      </w:r>
      <w:r>
        <w:rPr>
          <w:color w:val="000000" w:themeColor="text1"/>
          <w:spacing w:val="-1"/>
          <w:sz w:val="24"/>
          <w:szCs w:val="24"/>
        </w:rPr>
        <w:t>固定顶罐的大呼吸排放量（</w:t>
      </w:r>
      <w:r>
        <w:rPr>
          <w:color w:val="000000" w:themeColor="text1"/>
          <w:spacing w:val="-1"/>
          <w:sz w:val="24"/>
          <w:szCs w:val="24"/>
        </w:rPr>
        <w:t>kg/a</w:t>
      </w:r>
      <w:r>
        <w:rPr>
          <w:color w:val="000000" w:themeColor="text1"/>
          <w:spacing w:val="-1"/>
          <w:sz w:val="24"/>
          <w:szCs w:val="24"/>
        </w:rPr>
        <w:t>）</w:t>
      </w:r>
      <w:r>
        <w:rPr>
          <w:rFonts w:hint="eastAsia"/>
          <w:color w:val="000000" w:themeColor="text1"/>
          <w:spacing w:val="-1"/>
          <w:sz w:val="24"/>
          <w:szCs w:val="24"/>
        </w:rPr>
        <w:t>。</w:t>
      </w:r>
    </w:p>
    <w:p w:rsidR="00644456" w:rsidRDefault="008031C4">
      <w:pPr>
        <w:tabs>
          <w:tab w:val="left" w:pos="0"/>
        </w:tabs>
        <w:snapToGrid w:val="0"/>
        <w:spacing w:line="360" w:lineRule="auto"/>
        <w:ind w:firstLineChars="200" w:firstLine="476"/>
        <w:rPr>
          <w:color w:val="000000" w:themeColor="text1"/>
          <w:spacing w:val="-1"/>
          <w:sz w:val="24"/>
          <w:szCs w:val="24"/>
        </w:rPr>
      </w:pPr>
      <w:r>
        <w:rPr>
          <w:color w:val="000000" w:themeColor="text1"/>
          <w:spacing w:val="-1"/>
          <w:sz w:val="24"/>
          <w:szCs w:val="24"/>
        </w:rPr>
        <w:t>KN—</w:t>
      </w:r>
      <w:r>
        <w:rPr>
          <w:color w:val="000000" w:themeColor="text1"/>
          <w:spacing w:val="-1"/>
          <w:sz w:val="24"/>
          <w:szCs w:val="24"/>
        </w:rPr>
        <w:t>周转因子（无量纲），取值按年周转次数（</w:t>
      </w:r>
      <w:r>
        <w:rPr>
          <w:color w:val="000000" w:themeColor="text1"/>
          <w:spacing w:val="-1"/>
          <w:sz w:val="24"/>
          <w:szCs w:val="24"/>
        </w:rPr>
        <w:t>K=</w:t>
      </w:r>
      <w:r>
        <w:rPr>
          <w:color w:val="000000" w:themeColor="text1"/>
          <w:spacing w:val="-1"/>
          <w:sz w:val="24"/>
          <w:szCs w:val="24"/>
        </w:rPr>
        <w:t>年投入量</w:t>
      </w:r>
      <w:r>
        <w:rPr>
          <w:color w:val="000000" w:themeColor="text1"/>
          <w:spacing w:val="-1"/>
          <w:sz w:val="24"/>
          <w:szCs w:val="24"/>
        </w:rPr>
        <w:t>/</w:t>
      </w:r>
      <w:r>
        <w:rPr>
          <w:color w:val="000000" w:themeColor="text1"/>
          <w:spacing w:val="-1"/>
          <w:sz w:val="24"/>
          <w:szCs w:val="24"/>
        </w:rPr>
        <w:t>罐容量）确定；</w:t>
      </w:r>
      <w:r>
        <w:rPr>
          <w:color w:val="000000" w:themeColor="text1"/>
          <w:spacing w:val="-1"/>
          <w:sz w:val="24"/>
          <w:szCs w:val="24"/>
        </w:rPr>
        <w:t>K≤36</w:t>
      </w:r>
      <w:r>
        <w:rPr>
          <w:color w:val="000000" w:themeColor="text1"/>
          <w:spacing w:val="-1"/>
          <w:sz w:val="24"/>
          <w:szCs w:val="24"/>
        </w:rPr>
        <w:t>，</w:t>
      </w:r>
      <w:r>
        <w:rPr>
          <w:color w:val="000000" w:themeColor="text1"/>
          <w:spacing w:val="-1"/>
          <w:sz w:val="24"/>
          <w:szCs w:val="24"/>
        </w:rPr>
        <w:t>KN=1</w:t>
      </w:r>
      <w:r>
        <w:rPr>
          <w:color w:val="000000" w:themeColor="text1"/>
          <w:spacing w:val="-1"/>
          <w:sz w:val="24"/>
          <w:szCs w:val="24"/>
        </w:rPr>
        <w:t>；</w:t>
      </w:r>
      <w:r>
        <w:rPr>
          <w:color w:val="000000" w:themeColor="text1"/>
          <w:spacing w:val="-1"/>
          <w:sz w:val="24"/>
          <w:szCs w:val="24"/>
        </w:rPr>
        <w:t>36</w:t>
      </w:r>
      <w:r>
        <w:rPr>
          <w:color w:val="000000" w:themeColor="text1"/>
          <w:spacing w:val="-1"/>
          <w:sz w:val="24"/>
          <w:szCs w:val="24"/>
        </w:rPr>
        <w:t>＜</w:t>
      </w:r>
      <w:r>
        <w:rPr>
          <w:color w:val="000000" w:themeColor="text1"/>
          <w:spacing w:val="-1"/>
          <w:sz w:val="24"/>
          <w:szCs w:val="24"/>
        </w:rPr>
        <w:t>K≤220</w:t>
      </w:r>
      <w:r>
        <w:rPr>
          <w:color w:val="000000" w:themeColor="text1"/>
          <w:spacing w:val="-1"/>
          <w:sz w:val="24"/>
          <w:szCs w:val="24"/>
        </w:rPr>
        <w:t>，</w:t>
      </w:r>
      <w:r>
        <w:rPr>
          <w:color w:val="000000" w:themeColor="text1"/>
          <w:spacing w:val="-1"/>
          <w:sz w:val="24"/>
          <w:szCs w:val="24"/>
        </w:rPr>
        <w:t>KN=11.467×K</w:t>
      </w:r>
      <w:r>
        <w:rPr>
          <w:color w:val="000000" w:themeColor="text1"/>
          <w:spacing w:val="-1"/>
          <w:sz w:val="24"/>
          <w:szCs w:val="24"/>
          <w:vertAlign w:val="superscript"/>
        </w:rPr>
        <w:t>-0.7026</w:t>
      </w:r>
      <w:r>
        <w:rPr>
          <w:color w:val="000000" w:themeColor="text1"/>
          <w:spacing w:val="-1"/>
          <w:sz w:val="24"/>
          <w:szCs w:val="24"/>
        </w:rPr>
        <w:t>；</w:t>
      </w:r>
      <w:r>
        <w:rPr>
          <w:color w:val="000000" w:themeColor="text1"/>
          <w:spacing w:val="-1"/>
          <w:sz w:val="24"/>
          <w:szCs w:val="24"/>
        </w:rPr>
        <w:t>K</w:t>
      </w:r>
      <w:r>
        <w:rPr>
          <w:color w:val="000000" w:themeColor="text1"/>
          <w:spacing w:val="-1"/>
          <w:sz w:val="24"/>
          <w:szCs w:val="24"/>
        </w:rPr>
        <w:t>＞</w:t>
      </w:r>
      <w:r>
        <w:rPr>
          <w:color w:val="000000" w:themeColor="text1"/>
          <w:spacing w:val="-1"/>
          <w:sz w:val="24"/>
          <w:szCs w:val="24"/>
        </w:rPr>
        <w:t>220</w:t>
      </w:r>
      <w:r>
        <w:rPr>
          <w:color w:val="000000" w:themeColor="text1"/>
          <w:spacing w:val="-1"/>
          <w:sz w:val="24"/>
          <w:szCs w:val="24"/>
        </w:rPr>
        <w:t>，</w:t>
      </w:r>
      <w:r>
        <w:rPr>
          <w:color w:val="000000" w:themeColor="text1"/>
          <w:spacing w:val="-1"/>
          <w:sz w:val="24"/>
          <w:szCs w:val="24"/>
        </w:rPr>
        <w:t>KN=0.26</w:t>
      </w:r>
      <w:r>
        <w:rPr>
          <w:color w:val="000000" w:themeColor="text1"/>
          <w:spacing w:val="-1"/>
          <w:sz w:val="24"/>
          <w:szCs w:val="24"/>
        </w:rPr>
        <w:t>。</w:t>
      </w:r>
    </w:p>
    <w:p w:rsidR="00644456" w:rsidRDefault="008031C4">
      <w:pPr>
        <w:tabs>
          <w:tab w:val="left" w:pos="0"/>
        </w:tabs>
        <w:snapToGrid w:val="0"/>
        <w:spacing w:line="360" w:lineRule="auto"/>
        <w:ind w:firstLineChars="200" w:firstLine="476"/>
        <w:rPr>
          <w:color w:val="000000" w:themeColor="text1"/>
          <w:spacing w:val="-1"/>
          <w:sz w:val="24"/>
          <w:szCs w:val="24"/>
        </w:rPr>
      </w:pPr>
      <w:r>
        <w:rPr>
          <w:color w:val="000000" w:themeColor="text1"/>
          <w:spacing w:val="-1"/>
          <w:sz w:val="24"/>
          <w:szCs w:val="24"/>
        </w:rPr>
        <w:t>V—</w:t>
      </w:r>
      <w:r>
        <w:rPr>
          <w:color w:val="000000" w:themeColor="text1"/>
          <w:spacing w:val="-1"/>
          <w:sz w:val="24"/>
          <w:szCs w:val="24"/>
        </w:rPr>
        <w:t>储罐进料量（</w:t>
      </w:r>
      <w:r>
        <w:rPr>
          <w:color w:val="000000" w:themeColor="text1"/>
          <w:spacing w:val="-1"/>
          <w:sz w:val="24"/>
          <w:szCs w:val="24"/>
        </w:rPr>
        <w:t>m</w:t>
      </w:r>
      <w:r>
        <w:rPr>
          <w:color w:val="000000" w:themeColor="text1"/>
          <w:spacing w:val="-1"/>
          <w:sz w:val="24"/>
          <w:szCs w:val="24"/>
          <w:vertAlign w:val="superscript"/>
        </w:rPr>
        <w:t>3</w:t>
      </w:r>
      <w:r>
        <w:rPr>
          <w:color w:val="000000" w:themeColor="text1"/>
          <w:spacing w:val="-1"/>
          <w:sz w:val="24"/>
          <w:szCs w:val="24"/>
        </w:rPr>
        <w:t>）</w:t>
      </w:r>
      <w:r>
        <w:rPr>
          <w:rFonts w:hint="eastAsia"/>
          <w:color w:val="000000" w:themeColor="text1"/>
          <w:spacing w:val="-1"/>
          <w:sz w:val="24"/>
          <w:szCs w:val="24"/>
        </w:rPr>
        <w:t>。</w:t>
      </w:r>
    </w:p>
    <w:p w:rsidR="00644456" w:rsidRDefault="008031C4">
      <w:pPr>
        <w:kinsoku w:val="0"/>
        <w:overflowPunct w:val="0"/>
        <w:autoSpaceDE w:val="0"/>
        <w:autoSpaceDN w:val="0"/>
        <w:adjustRightInd w:val="0"/>
        <w:snapToGrid w:val="0"/>
        <w:spacing w:line="360" w:lineRule="auto"/>
        <w:ind w:firstLineChars="300" w:firstLine="714"/>
        <w:rPr>
          <w:color w:val="000000" w:themeColor="text1"/>
          <w:spacing w:val="-1"/>
          <w:sz w:val="24"/>
          <w:szCs w:val="24"/>
        </w:rPr>
      </w:pPr>
      <w:r>
        <w:rPr>
          <w:color w:val="000000" w:themeColor="text1"/>
          <w:spacing w:val="-1"/>
          <w:sz w:val="24"/>
          <w:szCs w:val="24"/>
        </w:rPr>
        <w:t>根据</w:t>
      </w:r>
      <w:r>
        <w:rPr>
          <w:rFonts w:hint="eastAsia"/>
          <w:color w:val="000000" w:themeColor="text1"/>
          <w:spacing w:val="-1"/>
          <w:sz w:val="24"/>
          <w:szCs w:val="24"/>
        </w:rPr>
        <w:t>项目</w:t>
      </w:r>
      <w:r>
        <w:rPr>
          <w:color w:val="000000" w:themeColor="text1"/>
          <w:spacing w:val="-1"/>
          <w:sz w:val="24"/>
          <w:szCs w:val="24"/>
        </w:rPr>
        <w:t>储罐规格，确定各参数见下表。</w:t>
      </w:r>
    </w:p>
    <w:p w:rsidR="00644456" w:rsidRDefault="008031C4">
      <w:pPr>
        <w:autoSpaceDE w:val="0"/>
        <w:autoSpaceDN w:val="0"/>
        <w:adjustRightInd w:val="0"/>
        <w:jc w:val="center"/>
        <w:rPr>
          <w:rFonts w:cs="Times New Roman"/>
          <w:b/>
          <w:color w:val="000000" w:themeColor="text1"/>
          <w:sz w:val="24"/>
          <w:szCs w:val="20"/>
        </w:rPr>
      </w:pPr>
      <w:bookmarkStart w:id="150" w:name="_Hlk155607552"/>
      <w:r>
        <w:rPr>
          <w:rFonts w:cs="Times New Roman" w:hint="eastAsia"/>
          <w:b/>
          <w:color w:val="000000" w:themeColor="text1"/>
          <w:sz w:val="24"/>
          <w:szCs w:val="20"/>
        </w:rPr>
        <w:t>表</w:t>
      </w:r>
      <w:r>
        <w:rPr>
          <w:rFonts w:cs="Times New Roman" w:hint="eastAsia"/>
          <w:b/>
          <w:color w:val="000000" w:themeColor="text1"/>
          <w:sz w:val="24"/>
          <w:szCs w:val="20"/>
        </w:rPr>
        <w:t>2.5-4</w:t>
      </w:r>
      <w:r>
        <w:rPr>
          <w:rFonts w:cs="Times New Roman" w:hint="eastAsia"/>
          <w:b/>
          <w:color w:val="000000" w:themeColor="text1"/>
          <w:sz w:val="24"/>
          <w:szCs w:val="20"/>
        </w:rPr>
        <w:t>储罐无组织排放计算参数一览表</w:t>
      </w:r>
    </w:p>
    <w:tbl>
      <w:tblPr>
        <w:tblW w:w="9273" w:type="dxa"/>
        <w:jc w:val="center"/>
        <w:tblBorders>
          <w:top w:val="thinThickSmallGap" w:sz="12" w:space="0" w:color="auto"/>
          <w:left w:val="single" w:sz="4" w:space="0" w:color="auto"/>
          <w:bottom w:val="thinThickSmallGap" w:sz="12" w:space="0" w:color="auto"/>
          <w:right w:val="single" w:sz="4"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266"/>
        <w:gridCol w:w="678"/>
        <w:gridCol w:w="745"/>
        <w:gridCol w:w="775"/>
        <w:gridCol w:w="638"/>
        <w:gridCol w:w="787"/>
        <w:gridCol w:w="763"/>
        <w:gridCol w:w="688"/>
        <w:gridCol w:w="737"/>
        <w:gridCol w:w="678"/>
        <w:gridCol w:w="759"/>
        <w:gridCol w:w="759"/>
      </w:tblGrid>
      <w:tr w:rsidR="00644456">
        <w:trPr>
          <w:cantSplit/>
          <w:trHeight w:val="319"/>
          <w:jc w:val="center"/>
        </w:trPr>
        <w:tc>
          <w:tcPr>
            <w:tcW w:w="12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bookmarkStart w:id="151" w:name="_Hlk154591991"/>
            <w:r>
              <w:rPr>
                <w:rFonts w:cs="Times New Roman" w:hint="eastAsia"/>
                <w:bCs/>
                <w:szCs w:val="21"/>
                <w:lang w:eastAsia="en-US"/>
              </w:rPr>
              <w:t>污染源</w:t>
            </w:r>
          </w:p>
        </w:tc>
        <w:tc>
          <w:tcPr>
            <w:tcW w:w="678"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M</w:t>
            </w:r>
          </w:p>
        </w:tc>
        <w:tc>
          <w:tcPr>
            <w:tcW w:w="745"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P</w:t>
            </w:r>
          </w:p>
        </w:tc>
        <w:tc>
          <w:tcPr>
            <w:tcW w:w="775"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D</w:t>
            </w:r>
          </w:p>
        </w:tc>
        <w:tc>
          <w:tcPr>
            <w:tcW w:w="638"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H</w:t>
            </w:r>
          </w:p>
        </w:tc>
        <w:tc>
          <w:tcPr>
            <w:tcW w:w="787"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w:t>
            </w:r>
            <w:r>
              <w:rPr>
                <w:rFonts w:cs="Times New Roman" w:hint="eastAsia"/>
                <w:bCs/>
                <w:szCs w:val="21"/>
                <w:lang w:eastAsia="en-US"/>
              </w:rPr>
              <w:t>T</w:t>
            </w:r>
          </w:p>
        </w:tc>
        <w:tc>
          <w:tcPr>
            <w:tcW w:w="763"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Fp</w:t>
            </w:r>
          </w:p>
        </w:tc>
        <w:tc>
          <w:tcPr>
            <w:tcW w:w="688"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C</w:t>
            </w:r>
          </w:p>
        </w:tc>
        <w:tc>
          <w:tcPr>
            <w:tcW w:w="737"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KC</w:t>
            </w:r>
          </w:p>
        </w:tc>
        <w:tc>
          <w:tcPr>
            <w:tcW w:w="678"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Kn</w:t>
            </w:r>
          </w:p>
        </w:tc>
        <w:tc>
          <w:tcPr>
            <w:tcW w:w="759"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V</w:t>
            </w:r>
          </w:p>
        </w:tc>
        <w:tc>
          <w:tcPr>
            <w:tcW w:w="759" w:type="dxa"/>
            <w:tcBorders>
              <w:top w:val="single" w:sz="8" w:space="0" w:color="000000"/>
              <w:left w:val="nil"/>
              <w:bottom w:val="single" w:sz="8" w:space="0" w:color="000000"/>
              <w:right w:val="single" w:sz="8" w:space="0" w:color="000000"/>
            </w:tcBorders>
            <w:shd w:val="clear" w:color="auto" w:fill="FFFFFF"/>
          </w:tcPr>
          <w:p w:rsidR="00644456" w:rsidRDefault="008031C4">
            <w:pPr>
              <w:widowControl/>
              <w:jc w:val="center"/>
              <w:textAlignment w:val="center"/>
              <w:rPr>
                <w:rFonts w:cs="Times New Roman"/>
                <w:bCs/>
                <w:szCs w:val="21"/>
              </w:rPr>
            </w:pPr>
            <w:r>
              <w:rPr>
                <w:rFonts w:cs="Times New Roman" w:hint="eastAsia"/>
                <w:bCs/>
                <w:szCs w:val="21"/>
              </w:rPr>
              <w:t>数量</w:t>
            </w:r>
          </w:p>
        </w:tc>
      </w:tr>
      <w:tr w:rsidR="00644456">
        <w:trPr>
          <w:trHeight w:val="339"/>
          <w:jc w:val="center"/>
        </w:trPr>
        <w:tc>
          <w:tcPr>
            <w:tcW w:w="12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rPr>
            </w:pPr>
            <w:r>
              <w:rPr>
                <w:rFonts w:cs="Times New Roman" w:hint="eastAsia"/>
                <w:bCs/>
                <w:szCs w:val="21"/>
              </w:rPr>
              <w:t>原料罐</w:t>
            </w:r>
          </w:p>
        </w:tc>
        <w:tc>
          <w:tcPr>
            <w:tcW w:w="678"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190</w:t>
            </w:r>
          </w:p>
        </w:tc>
        <w:tc>
          <w:tcPr>
            <w:tcW w:w="745"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106.4</w:t>
            </w:r>
          </w:p>
        </w:tc>
        <w:tc>
          <w:tcPr>
            <w:tcW w:w="775"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3.5</w:t>
            </w:r>
          </w:p>
        </w:tc>
        <w:tc>
          <w:tcPr>
            <w:tcW w:w="638"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8</w:t>
            </w:r>
          </w:p>
        </w:tc>
        <w:tc>
          <w:tcPr>
            <w:tcW w:w="787"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10</w:t>
            </w:r>
          </w:p>
        </w:tc>
        <w:tc>
          <w:tcPr>
            <w:tcW w:w="763"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1.0</w:t>
            </w:r>
          </w:p>
        </w:tc>
        <w:tc>
          <w:tcPr>
            <w:tcW w:w="688"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0.59</w:t>
            </w:r>
          </w:p>
        </w:tc>
        <w:tc>
          <w:tcPr>
            <w:tcW w:w="737"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1</w:t>
            </w:r>
          </w:p>
        </w:tc>
        <w:tc>
          <w:tcPr>
            <w:tcW w:w="678"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1</w:t>
            </w:r>
          </w:p>
        </w:tc>
        <w:tc>
          <w:tcPr>
            <w:tcW w:w="759"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34090</w:t>
            </w:r>
          </w:p>
        </w:tc>
        <w:tc>
          <w:tcPr>
            <w:tcW w:w="759" w:type="dxa"/>
            <w:tcBorders>
              <w:top w:val="single" w:sz="8" w:space="0" w:color="000000"/>
              <w:left w:val="nil"/>
              <w:bottom w:val="single" w:sz="8" w:space="0" w:color="000000"/>
              <w:right w:val="single" w:sz="8" w:space="0" w:color="000000"/>
            </w:tcBorders>
            <w:shd w:val="clear" w:color="auto" w:fill="FFFFFF"/>
          </w:tcPr>
          <w:p w:rsidR="00644456" w:rsidRDefault="008031C4">
            <w:pPr>
              <w:widowControl/>
              <w:jc w:val="center"/>
              <w:textAlignment w:val="center"/>
              <w:rPr>
                <w:rFonts w:cs="Times New Roman"/>
                <w:bCs/>
                <w:szCs w:val="21"/>
              </w:rPr>
            </w:pPr>
            <w:r>
              <w:rPr>
                <w:rFonts w:cs="Times New Roman" w:hint="eastAsia"/>
                <w:bCs/>
                <w:szCs w:val="21"/>
              </w:rPr>
              <w:t>5</w:t>
            </w:r>
          </w:p>
        </w:tc>
      </w:tr>
      <w:tr w:rsidR="00644456">
        <w:trPr>
          <w:trHeight w:val="339"/>
          <w:jc w:val="center"/>
        </w:trPr>
        <w:tc>
          <w:tcPr>
            <w:tcW w:w="12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rPr>
            </w:pPr>
            <w:r>
              <w:rPr>
                <w:rFonts w:cs="Times New Roman" w:hint="eastAsia"/>
                <w:bCs/>
                <w:szCs w:val="21"/>
              </w:rPr>
              <w:t>成品罐</w:t>
            </w:r>
          </w:p>
        </w:tc>
        <w:tc>
          <w:tcPr>
            <w:tcW w:w="678"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rPr>
            </w:pPr>
            <w:r>
              <w:rPr>
                <w:rFonts w:cs="Times New Roman" w:hint="eastAsia"/>
                <w:bCs/>
                <w:szCs w:val="21"/>
              </w:rPr>
              <w:t>190</w:t>
            </w:r>
          </w:p>
        </w:tc>
        <w:tc>
          <w:tcPr>
            <w:tcW w:w="745"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106.4</w:t>
            </w:r>
          </w:p>
        </w:tc>
        <w:tc>
          <w:tcPr>
            <w:tcW w:w="775"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rPr>
            </w:pPr>
            <w:r>
              <w:rPr>
                <w:rFonts w:cs="Times New Roman" w:hint="eastAsia"/>
                <w:bCs/>
                <w:szCs w:val="21"/>
              </w:rPr>
              <w:t>3.5</w:t>
            </w:r>
          </w:p>
        </w:tc>
        <w:tc>
          <w:tcPr>
            <w:tcW w:w="638"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8</w:t>
            </w:r>
          </w:p>
        </w:tc>
        <w:tc>
          <w:tcPr>
            <w:tcW w:w="787"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rPr>
            </w:pPr>
            <w:r>
              <w:rPr>
                <w:rFonts w:cs="Times New Roman" w:hint="eastAsia"/>
                <w:bCs/>
                <w:szCs w:val="21"/>
              </w:rPr>
              <w:t>10</w:t>
            </w:r>
          </w:p>
        </w:tc>
        <w:tc>
          <w:tcPr>
            <w:tcW w:w="763"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1.0</w:t>
            </w:r>
          </w:p>
        </w:tc>
        <w:tc>
          <w:tcPr>
            <w:tcW w:w="688"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rPr>
            </w:pPr>
            <w:r>
              <w:rPr>
                <w:rFonts w:cs="Times New Roman" w:hint="eastAsia"/>
                <w:bCs/>
                <w:szCs w:val="21"/>
              </w:rPr>
              <w:t>0.59</w:t>
            </w:r>
          </w:p>
        </w:tc>
        <w:tc>
          <w:tcPr>
            <w:tcW w:w="737"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1</w:t>
            </w:r>
          </w:p>
        </w:tc>
        <w:tc>
          <w:tcPr>
            <w:tcW w:w="678"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rPr>
            </w:pPr>
            <w:r>
              <w:rPr>
                <w:rFonts w:cs="Times New Roman" w:hint="eastAsia"/>
                <w:bCs/>
                <w:szCs w:val="21"/>
              </w:rPr>
              <w:t>1</w:t>
            </w:r>
          </w:p>
        </w:tc>
        <w:tc>
          <w:tcPr>
            <w:tcW w:w="759"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rPr>
            </w:pPr>
            <w:r>
              <w:rPr>
                <w:rFonts w:cs="Times New Roman" w:hint="eastAsia"/>
                <w:bCs/>
                <w:szCs w:val="21"/>
              </w:rPr>
              <w:t>29545</w:t>
            </w:r>
          </w:p>
        </w:tc>
        <w:tc>
          <w:tcPr>
            <w:tcW w:w="759" w:type="dxa"/>
            <w:tcBorders>
              <w:top w:val="single" w:sz="8" w:space="0" w:color="000000"/>
              <w:left w:val="nil"/>
              <w:bottom w:val="single" w:sz="8" w:space="0" w:color="000000"/>
              <w:right w:val="single" w:sz="8" w:space="0" w:color="000000"/>
            </w:tcBorders>
            <w:shd w:val="clear" w:color="auto" w:fill="FFFFFF"/>
          </w:tcPr>
          <w:p w:rsidR="00644456" w:rsidRDefault="008031C4">
            <w:pPr>
              <w:widowControl/>
              <w:jc w:val="center"/>
              <w:textAlignment w:val="center"/>
              <w:rPr>
                <w:rFonts w:cs="Times New Roman"/>
                <w:bCs/>
                <w:szCs w:val="21"/>
              </w:rPr>
            </w:pPr>
            <w:r>
              <w:rPr>
                <w:rFonts w:cs="Times New Roman" w:hint="eastAsia"/>
                <w:bCs/>
                <w:szCs w:val="21"/>
              </w:rPr>
              <w:t>3</w:t>
            </w:r>
          </w:p>
        </w:tc>
      </w:tr>
      <w:tr w:rsidR="00644456">
        <w:trPr>
          <w:trHeight w:val="339"/>
          <w:jc w:val="center"/>
        </w:trPr>
        <w:tc>
          <w:tcPr>
            <w:tcW w:w="12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rPr>
            </w:pPr>
            <w:r>
              <w:rPr>
                <w:rFonts w:cs="Times New Roman" w:hint="eastAsia"/>
                <w:bCs/>
                <w:szCs w:val="21"/>
              </w:rPr>
              <w:t>燃料罐</w:t>
            </w:r>
          </w:p>
        </w:tc>
        <w:tc>
          <w:tcPr>
            <w:tcW w:w="678"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rPr>
            </w:pPr>
            <w:r>
              <w:rPr>
                <w:rFonts w:cs="Times New Roman" w:hint="eastAsia"/>
                <w:bCs/>
                <w:szCs w:val="21"/>
              </w:rPr>
              <w:t>130</w:t>
            </w:r>
          </w:p>
        </w:tc>
        <w:tc>
          <w:tcPr>
            <w:tcW w:w="745"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106.4</w:t>
            </w:r>
          </w:p>
        </w:tc>
        <w:tc>
          <w:tcPr>
            <w:tcW w:w="775"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rPr>
            </w:pPr>
            <w:r>
              <w:rPr>
                <w:rFonts w:cs="Times New Roman" w:hint="eastAsia"/>
                <w:bCs/>
                <w:szCs w:val="21"/>
              </w:rPr>
              <w:t>2.5</w:t>
            </w:r>
          </w:p>
        </w:tc>
        <w:tc>
          <w:tcPr>
            <w:tcW w:w="638"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rPr>
            </w:pPr>
            <w:r>
              <w:rPr>
                <w:rFonts w:cs="Times New Roman" w:hint="eastAsia"/>
                <w:bCs/>
                <w:szCs w:val="21"/>
              </w:rPr>
              <w:t>5.2</w:t>
            </w:r>
          </w:p>
        </w:tc>
        <w:tc>
          <w:tcPr>
            <w:tcW w:w="787"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rPr>
            </w:pPr>
            <w:r>
              <w:rPr>
                <w:rFonts w:cs="Times New Roman" w:hint="eastAsia"/>
                <w:bCs/>
                <w:szCs w:val="21"/>
              </w:rPr>
              <w:t>10</w:t>
            </w:r>
          </w:p>
        </w:tc>
        <w:tc>
          <w:tcPr>
            <w:tcW w:w="763"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rPr>
            </w:pPr>
            <w:r>
              <w:rPr>
                <w:rFonts w:cs="Times New Roman" w:hint="eastAsia"/>
                <w:bCs/>
                <w:szCs w:val="21"/>
              </w:rPr>
              <w:t>1.0</w:t>
            </w:r>
          </w:p>
        </w:tc>
        <w:tc>
          <w:tcPr>
            <w:tcW w:w="688"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rPr>
            </w:pPr>
            <w:r>
              <w:rPr>
                <w:rFonts w:cs="Times New Roman" w:hint="eastAsia"/>
                <w:bCs/>
                <w:szCs w:val="21"/>
              </w:rPr>
              <w:t>0.48</w:t>
            </w:r>
          </w:p>
        </w:tc>
        <w:tc>
          <w:tcPr>
            <w:tcW w:w="737"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rPr>
            </w:pPr>
            <w:r>
              <w:rPr>
                <w:rFonts w:cs="Times New Roman" w:hint="eastAsia"/>
                <w:bCs/>
                <w:szCs w:val="21"/>
              </w:rPr>
              <w:t>1</w:t>
            </w:r>
          </w:p>
        </w:tc>
        <w:tc>
          <w:tcPr>
            <w:tcW w:w="678"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rPr>
            </w:pPr>
            <w:r>
              <w:rPr>
                <w:rFonts w:cs="Times New Roman" w:hint="eastAsia"/>
                <w:bCs/>
                <w:szCs w:val="21"/>
              </w:rPr>
              <w:t>1</w:t>
            </w:r>
          </w:p>
        </w:tc>
        <w:tc>
          <w:tcPr>
            <w:tcW w:w="759"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rPr>
            </w:pPr>
            <w:r>
              <w:rPr>
                <w:rFonts w:cs="Times New Roman" w:hint="eastAsia"/>
                <w:bCs/>
                <w:szCs w:val="21"/>
              </w:rPr>
              <w:t>2272</w:t>
            </w:r>
          </w:p>
        </w:tc>
        <w:tc>
          <w:tcPr>
            <w:tcW w:w="759" w:type="dxa"/>
            <w:tcBorders>
              <w:top w:val="single" w:sz="8" w:space="0" w:color="000000"/>
              <w:left w:val="nil"/>
              <w:bottom w:val="single" w:sz="8" w:space="0" w:color="000000"/>
              <w:right w:val="single" w:sz="8" w:space="0" w:color="000000"/>
            </w:tcBorders>
            <w:shd w:val="clear" w:color="auto" w:fill="FFFFFF"/>
          </w:tcPr>
          <w:p w:rsidR="00644456" w:rsidRDefault="008031C4">
            <w:pPr>
              <w:widowControl/>
              <w:jc w:val="center"/>
              <w:textAlignment w:val="center"/>
              <w:rPr>
                <w:rFonts w:cs="Times New Roman"/>
                <w:bCs/>
                <w:szCs w:val="21"/>
              </w:rPr>
            </w:pPr>
            <w:r>
              <w:rPr>
                <w:rFonts w:cs="Times New Roman" w:hint="eastAsia"/>
                <w:bCs/>
                <w:szCs w:val="21"/>
              </w:rPr>
              <w:t>1</w:t>
            </w:r>
          </w:p>
        </w:tc>
      </w:tr>
    </w:tbl>
    <w:bookmarkEnd w:id="151"/>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2.5-5</w:t>
      </w:r>
      <w:r>
        <w:rPr>
          <w:rFonts w:cs="Times New Roman" w:hint="eastAsia"/>
          <w:b/>
          <w:color w:val="000000" w:themeColor="text1"/>
          <w:sz w:val="24"/>
          <w:szCs w:val="20"/>
        </w:rPr>
        <w:t>储罐大、小呼吸物料损失量一览表</w:t>
      </w:r>
    </w:p>
    <w:tbl>
      <w:tblPr>
        <w:tblW w:w="8638" w:type="dxa"/>
        <w:jc w:val="center"/>
        <w:tblBorders>
          <w:top w:val="thinThickSmallGap" w:sz="12" w:space="0" w:color="auto"/>
          <w:left w:val="single" w:sz="4" w:space="0" w:color="auto"/>
          <w:bottom w:val="thinThickSmallGap" w:sz="12" w:space="0" w:color="auto"/>
          <w:right w:val="single" w:sz="4" w:space="0" w:color="auto"/>
          <w:insideH w:val="single" w:sz="2" w:space="0" w:color="auto"/>
          <w:insideV w:val="single" w:sz="2" w:space="0" w:color="auto"/>
        </w:tblBorders>
        <w:tblLayout w:type="fixed"/>
        <w:tblLook w:val="04A0" w:firstRow="1" w:lastRow="0" w:firstColumn="1" w:lastColumn="0" w:noHBand="0" w:noVBand="1"/>
      </w:tblPr>
      <w:tblGrid>
        <w:gridCol w:w="1156"/>
        <w:gridCol w:w="1417"/>
        <w:gridCol w:w="992"/>
        <w:gridCol w:w="993"/>
        <w:gridCol w:w="1284"/>
        <w:gridCol w:w="1125"/>
        <w:gridCol w:w="1671"/>
      </w:tblGrid>
      <w:tr w:rsidR="00644456">
        <w:trPr>
          <w:trHeight w:val="286"/>
          <w:jc w:val="center"/>
        </w:trPr>
        <w:tc>
          <w:tcPr>
            <w:tcW w:w="11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bookmarkStart w:id="152" w:name="_Hlk154651881"/>
            <w:r>
              <w:rPr>
                <w:rFonts w:cs="Times New Roman" w:hint="eastAsia"/>
                <w:bCs/>
                <w:szCs w:val="21"/>
                <w:lang w:eastAsia="en-US"/>
              </w:rPr>
              <w:t>污染物</w:t>
            </w:r>
          </w:p>
        </w:tc>
        <w:tc>
          <w:tcPr>
            <w:tcW w:w="1417"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污染源</w:t>
            </w:r>
          </w:p>
        </w:tc>
        <w:tc>
          <w:tcPr>
            <w:tcW w:w="992"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LB</w:t>
            </w:r>
            <w:r>
              <w:rPr>
                <w:rFonts w:cs="Times New Roman" w:hint="eastAsia"/>
                <w:bCs/>
                <w:szCs w:val="21"/>
                <w:lang w:eastAsia="en-US"/>
              </w:rPr>
              <w:t>（</w:t>
            </w:r>
            <w:r>
              <w:rPr>
                <w:rFonts w:cs="Times New Roman" w:hint="eastAsia"/>
                <w:bCs/>
                <w:szCs w:val="21"/>
                <w:lang w:eastAsia="en-US"/>
              </w:rPr>
              <w:t>kg/a</w:t>
            </w:r>
            <w:r>
              <w:rPr>
                <w:rFonts w:cs="Times New Roman" w:hint="eastAsia"/>
                <w:bCs/>
                <w:szCs w:val="21"/>
                <w:lang w:eastAsia="en-US"/>
              </w:rPr>
              <w:t>）</w:t>
            </w:r>
          </w:p>
        </w:tc>
        <w:tc>
          <w:tcPr>
            <w:tcW w:w="993"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LW</w:t>
            </w:r>
            <w:r>
              <w:rPr>
                <w:rFonts w:cs="Times New Roman" w:hint="eastAsia"/>
                <w:bCs/>
                <w:szCs w:val="21"/>
                <w:lang w:eastAsia="en-US"/>
              </w:rPr>
              <w:t>（</w:t>
            </w:r>
            <w:r>
              <w:rPr>
                <w:rFonts w:cs="Times New Roman" w:hint="eastAsia"/>
                <w:bCs/>
                <w:szCs w:val="21"/>
                <w:lang w:eastAsia="en-US"/>
              </w:rPr>
              <w:t>kg/a</w:t>
            </w:r>
            <w:r>
              <w:rPr>
                <w:rFonts w:cs="Times New Roman" w:hint="eastAsia"/>
                <w:bCs/>
                <w:szCs w:val="21"/>
                <w:lang w:eastAsia="en-US"/>
              </w:rPr>
              <w:t>）</w:t>
            </w:r>
          </w:p>
        </w:tc>
        <w:tc>
          <w:tcPr>
            <w:tcW w:w="1284"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总损失量（</w:t>
            </w:r>
            <w:r>
              <w:rPr>
                <w:rFonts w:cs="Times New Roman" w:hint="eastAsia"/>
                <w:bCs/>
                <w:szCs w:val="21"/>
                <w:lang w:eastAsia="en-US"/>
              </w:rPr>
              <w:t>kg/a</w:t>
            </w:r>
            <w:r>
              <w:rPr>
                <w:rFonts w:cs="Times New Roman" w:hint="eastAsia"/>
                <w:bCs/>
                <w:szCs w:val="21"/>
                <w:lang w:eastAsia="en-US"/>
              </w:rPr>
              <w:t>）</w:t>
            </w:r>
          </w:p>
        </w:tc>
        <w:tc>
          <w:tcPr>
            <w:tcW w:w="1125"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排放时间（</w:t>
            </w:r>
            <w:r>
              <w:rPr>
                <w:rFonts w:cs="Times New Roman" w:hint="eastAsia"/>
                <w:bCs/>
                <w:szCs w:val="21"/>
                <w:lang w:eastAsia="en-US"/>
              </w:rPr>
              <w:t>h/a</w:t>
            </w:r>
            <w:r>
              <w:rPr>
                <w:rFonts w:cs="Times New Roman" w:hint="eastAsia"/>
                <w:bCs/>
                <w:szCs w:val="21"/>
                <w:lang w:eastAsia="en-US"/>
              </w:rPr>
              <w:t>）</w:t>
            </w:r>
          </w:p>
        </w:tc>
        <w:tc>
          <w:tcPr>
            <w:tcW w:w="1671"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产生速率（</w:t>
            </w:r>
            <w:r>
              <w:rPr>
                <w:rFonts w:cs="Times New Roman" w:hint="eastAsia"/>
                <w:bCs/>
                <w:szCs w:val="21"/>
                <w:lang w:eastAsia="en-US"/>
              </w:rPr>
              <w:t>kg/h</w:t>
            </w:r>
            <w:r>
              <w:rPr>
                <w:rFonts w:cs="Times New Roman" w:hint="eastAsia"/>
                <w:bCs/>
                <w:szCs w:val="21"/>
                <w:lang w:eastAsia="en-US"/>
              </w:rPr>
              <w:t>）</w:t>
            </w:r>
          </w:p>
        </w:tc>
      </w:tr>
      <w:tr w:rsidR="00644456">
        <w:trPr>
          <w:trHeight w:val="286"/>
          <w:jc w:val="center"/>
        </w:trPr>
        <w:tc>
          <w:tcPr>
            <w:tcW w:w="1156" w:type="dxa"/>
            <w:vMerge w:val="restart"/>
            <w:tcBorders>
              <w:top w:val="single" w:sz="8" w:space="0" w:color="000000"/>
              <w:left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非甲烷总烃</w:t>
            </w:r>
          </w:p>
        </w:tc>
        <w:tc>
          <w:tcPr>
            <w:tcW w:w="1417"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原料罐</w:t>
            </w:r>
          </w:p>
        </w:tc>
        <w:tc>
          <w:tcPr>
            <w:tcW w:w="992"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1.10</w:t>
            </w:r>
          </w:p>
        </w:tc>
        <w:tc>
          <w:tcPr>
            <w:tcW w:w="993"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319.82</w:t>
            </w:r>
          </w:p>
        </w:tc>
        <w:tc>
          <w:tcPr>
            <w:tcW w:w="1284"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320.92</w:t>
            </w:r>
          </w:p>
        </w:tc>
        <w:tc>
          <w:tcPr>
            <w:tcW w:w="1125"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7200</w:t>
            </w:r>
          </w:p>
        </w:tc>
        <w:tc>
          <w:tcPr>
            <w:tcW w:w="1671"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0.045</w:t>
            </w:r>
          </w:p>
        </w:tc>
      </w:tr>
      <w:tr w:rsidR="00644456">
        <w:trPr>
          <w:trHeight w:val="286"/>
          <w:jc w:val="center"/>
        </w:trPr>
        <w:tc>
          <w:tcPr>
            <w:tcW w:w="1156" w:type="dxa"/>
            <w:vMerge/>
            <w:tcBorders>
              <w:left w:val="single" w:sz="8" w:space="0" w:color="000000"/>
              <w:right w:val="single" w:sz="8" w:space="0" w:color="000000"/>
            </w:tcBorders>
            <w:shd w:val="clear" w:color="auto" w:fill="FFFFFF"/>
            <w:vAlign w:val="center"/>
          </w:tcPr>
          <w:p w:rsidR="00644456" w:rsidRDefault="00644456">
            <w:pPr>
              <w:widowControl/>
              <w:jc w:val="center"/>
              <w:textAlignment w:val="center"/>
              <w:rPr>
                <w:rFonts w:cs="Times New Roman"/>
                <w:bCs/>
                <w:szCs w:val="21"/>
                <w:lang w:eastAsia="en-US"/>
              </w:rPr>
            </w:pPr>
          </w:p>
        </w:tc>
        <w:tc>
          <w:tcPr>
            <w:tcW w:w="1417"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成品罐</w:t>
            </w:r>
          </w:p>
        </w:tc>
        <w:tc>
          <w:tcPr>
            <w:tcW w:w="992"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1.10</w:t>
            </w:r>
          </w:p>
        </w:tc>
        <w:tc>
          <w:tcPr>
            <w:tcW w:w="993"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191.89</w:t>
            </w:r>
          </w:p>
        </w:tc>
        <w:tc>
          <w:tcPr>
            <w:tcW w:w="1284"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192.99</w:t>
            </w:r>
          </w:p>
        </w:tc>
        <w:tc>
          <w:tcPr>
            <w:tcW w:w="1125"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7200</w:t>
            </w:r>
          </w:p>
        </w:tc>
        <w:tc>
          <w:tcPr>
            <w:tcW w:w="1671"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0.027</w:t>
            </w:r>
          </w:p>
        </w:tc>
      </w:tr>
      <w:tr w:rsidR="00644456">
        <w:trPr>
          <w:trHeight w:val="286"/>
          <w:jc w:val="center"/>
        </w:trPr>
        <w:tc>
          <w:tcPr>
            <w:tcW w:w="1156" w:type="dxa"/>
            <w:vMerge/>
            <w:tcBorders>
              <w:left w:val="single" w:sz="8" w:space="0" w:color="000000"/>
              <w:bottom w:val="single" w:sz="8" w:space="0" w:color="000000"/>
              <w:right w:val="single" w:sz="8" w:space="0" w:color="000000"/>
            </w:tcBorders>
            <w:shd w:val="clear" w:color="auto" w:fill="FFFFFF"/>
            <w:vAlign w:val="center"/>
          </w:tcPr>
          <w:p w:rsidR="00644456" w:rsidRDefault="00644456">
            <w:pPr>
              <w:widowControl/>
              <w:jc w:val="center"/>
              <w:textAlignment w:val="center"/>
              <w:rPr>
                <w:rFonts w:cs="Times New Roman"/>
                <w:bCs/>
                <w:szCs w:val="21"/>
                <w:lang w:eastAsia="en-US"/>
              </w:rPr>
            </w:pPr>
          </w:p>
        </w:tc>
        <w:tc>
          <w:tcPr>
            <w:tcW w:w="1417"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燃料罐</w:t>
            </w:r>
          </w:p>
        </w:tc>
        <w:tc>
          <w:tcPr>
            <w:tcW w:w="992"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3.59</w:t>
            </w:r>
          </w:p>
        </w:tc>
        <w:tc>
          <w:tcPr>
            <w:tcW w:w="993"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13.18</w:t>
            </w:r>
          </w:p>
        </w:tc>
        <w:tc>
          <w:tcPr>
            <w:tcW w:w="1284"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16.77</w:t>
            </w:r>
          </w:p>
        </w:tc>
        <w:tc>
          <w:tcPr>
            <w:tcW w:w="1125"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7200</w:t>
            </w:r>
          </w:p>
        </w:tc>
        <w:tc>
          <w:tcPr>
            <w:tcW w:w="1671" w:type="dxa"/>
            <w:tcBorders>
              <w:top w:val="single" w:sz="8" w:space="0" w:color="000000"/>
              <w:left w:val="nil"/>
              <w:bottom w:val="single" w:sz="8" w:space="0" w:color="000000"/>
              <w:right w:val="single" w:sz="8" w:space="0" w:color="000000"/>
            </w:tcBorders>
            <w:shd w:val="clear" w:color="auto" w:fill="FFFFFF"/>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0.002</w:t>
            </w:r>
          </w:p>
        </w:tc>
      </w:tr>
    </w:tbl>
    <w:bookmarkEnd w:id="150"/>
    <w:bookmarkEnd w:id="152"/>
    <w:p w:rsidR="00644456" w:rsidRDefault="008031C4">
      <w:pPr>
        <w:snapToGrid w:val="0"/>
        <w:spacing w:line="360" w:lineRule="auto"/>
        <w:ind w:firstLineChars="200" w:firstLine="480"/>
        <w:rPr>
          <w:color w:val="000000" w:themeColor="text1"/>
          <w:sz w:val="24"/>
          <w:szCs w:val="24"/>
        </w:rPr>
      </w:pPr>
      <w:r>
        <w:rPr>
          <w:rFonts w:hint="eastAsia"/>
          <w:color w:val="000000" w:themeColor="text1"/>
          <w:sz w:val="24"/>
          <w:szCs w:val="24"/>
        </w:rPr>
        <w:t>项目储罐大、小呼吸废气主要通过大气稀释扩散进行控制。</w:t>
      </w:r>
    </w:p>
    <w:p w:rsidR="00644456" w:rsidRDefault="008031C4">
      <w:pPr>
        <w:pStyle w:val="5"/>
        <w:numPr>
          <w:ilvl w:val="4"/>
          <w:numId w:val="0"/>
        </w:numPr>
        <w:ind w:firstLine="480"/>
        <w:rPr>
          <w:b/>
          <w:bCs w:val="0"/>
          <w:snapToGrid w:val="0"/>
          <w:color w:val="000000" w:themeColor="text1"/>
        </w:rPr>
      </w:pPr>
      <w:r>
        <w:rPr>
          <w:rFonts w:hint="eastAsia"/>
          <w:b/>
          <w:bCs w:val="0"/>
          <w:snapToGrid w:val="0"/>
          <w:color w:val="000000" w:themeColor="text1"/>
        </w:rPr>
        <w:t>2.5.2.1.4</w:t>
      </w:r>
      <w:r>
        <w:rPr>
          <w:rFonts w:hint="eastAsia"/>
          <w:b/>
          <w:bCs w:val="0"/>
          <w:snapToGrid w:val="0"/>
          <w:color w:val="000000" w:themeColor="text1"/>
        </w:rPr>
        <w:t>污水处理站废气</w:t>
      </w:r>
    </w:p>
    <w:p w:rsidR="00644456" w:rsidRDefault="008031C4">
      <w:pPr>
        <w:adjustRightInd w:val="0"/>
        <w:snapToGrid w:val="0"/>
        <w:spacing w:line="360" w:lineRule="auto"/>
        <w:ind w:firstLine="482"/>
        <w:rPr>
          <w:rFonts w:cs="Times New Roman"/>
          <w:bCs/>
          <w:snapToGrid w:val="0"/>
          <w:color w:val="000000" w:themeColor="text1"/>
          <w:kern w:val="0"/>
          <w:sz w:val="24"/>
        </w:rPr>
      </w:pPr>
      <w:bookmarkStart w:id="153" w:name="_Hlk177139843"/>
      <w:r>
        <w:rPr>
          <w:rFonts w:cs="Times New Roman" w:hint="eastAsia"/>
          <w:bCs/>
          <w:snapToGrid w:val="0"/>
          <w:color w:val="000000" w:themeColor="text1"/>
          <w:kern w:val="0"/>
          <w:sz w:val="24"/>
        </w:rPr>
        <w:t>某些物料可能带有异味，另外在污水处理过程中的某些环节，例如生化过程、污泥池等区域可能产生一定臭味。根据对已有同类企业的现场勘查，原料中所带异味不明显。</w:t>
      </w:r>
    </w:p>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bCs/>
          <w:snapToGrid w:val="0"/>
          <w:color w:val="000000" w:themeColor="text1"/>
          <w:kern w:val="0"/>
          <w:sz w:val="24"/>
        </w:rPr>
        <w:t>项目污水处理设施采用</w:t>
      </w:r>
      <w:r>
        <w:rPr>
          <w:rFonts w:cs="Times New Roman"/>
          <w:bCs/>
          <w:snapToGrid w:val="0"/>
          <w:color w:val="000000" w:themeColor="text1"/>
          <w:kern w:val="0"/>
          <w:sz w:val="24"/>
        </w:rPr>
        <w:t>A2O</w:t>
      </w:r>
      <w:r>
        <w:rPr>
          <w:rFonts w:cs="Times New Roman"/>
          <w:bCs/>
          <w:snapToGrid w:val="0"/>
          <w:color w:val="000000" w:themeColor="text1"/>
          <w:kern w:val="0"/>
          <w:sz w:val="24"/>
        </w:rPr>
        <w:t>工艺，该工艺中包含了厌氧</w:t>
      </w:r>
      <w:r>
        <w:rPr>
          <w:rFonts w:cs="Times New Roman"/>
          <w:bCs/>
          <w:snapToGrid w:val="0"/>
          <w:color w:val="000000" w:themeColor="text1"/>
          <w:kern w:val="0"/>
          <w:sz w:val="24"/>
        </w:rPr>
        <w:t>-</w:t>
      </w:r>
      <w:r>
        <w:rPr>
          <w:rFonts w:cs="Times New Roman"/>
          <w:bCs/>
          <w:snapToGrid w:val="0"/>
          <w:color w:val="000000" w:themeColor="text1"/>
          <w:kern w:val="0"/>
          <w:sz w:val="24"/>
        </w:rPr>
        <w:t>缺氧</w:t>
      </w:r>
      <w:r>
        <w:rPr>
          <w:rFonts w:cs="Times New Roman"/>
          <w:bCs/>
          <w:snapToGrid w:val="0"/>
          <w:color w:val="000000" w:themeColor="text1"/>
          <w:kern w:val="0"/>
          <w:sz w:val="24"/>
        </w:rPr>
        <w:t>-</w:t>
      </w:r>
      <w:r>
        <w:rPr>
          <w:rFonts w:cs="Times New Roman"/>
          <w:bCs/>
          <w:snapToGrid w:val="0"/>
          <w:color w:val="000000" w:themeColor="text1"/>
          <w:kern w:val="0"/>
          <w:sz w:val="24"/>
        </w:rPr>
        <w:t>好氧工艺，在生化处理过程中会产生恶臭是本项目污水处理设施恶臭的主要来源。恶臭气体中主要污染物为氨和硫化氢，本次评价中废气污染源强采用类比法及系数法进行核算。</w:t>
      </w:r>
    </w:p>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bCs/>
          <w:snapToGrid w:val="0"/>
          <w:color w:val="000000" w:themeColor="text1"/>
          <w:kern w:val="0"/>
          <w:sz w:val="24"/>
        </w:rPr>
        <w:t>本项目臭气单位面积排放量参考文献《污水泵站的恶臭评价与治理对策》（孟丽红，</w:t>
      </w:r>
      <w:r>
        <w:rPr>
          <w:rFonts w:cs="Times New Roman"/>
          <w:bCs/>
          <w:snapToGrid w:val="0"/>
          <w:color w:val="000000" w:themeColor="text1"/>
          <w:kern w:val="0"/>
          <w:sz w:val="24"/>
        </w:rPr>
        <w:lastRenderedPageBreak/>
        <w:t>杨二辉等）中所述的调查结果，折算不同构筑物单位面积恶臭污染物产生源强，本项目氨及硫化氢的主要在产生在生化反应工段，产生量见表</w:t>
      </w:r>
      <w:r>
        <w:rPr>
          <w:rFonts w:cs="Times New Roman" w:hint="eastAsia"/>
          <w:bCs/>
          <w:snapToGrid w:val="0"/>
          <w:color w:val="000000" w:themeColor="text1"/>
          <w:kern w:val="0"/>
          <w:sz w:val="24"/>
        </w:rPr>
        <w:t>2.5-6</w:t>
      </w:r>
      <w:r>
        <w:rPr>
          <w:rFonts w:cs="Times New Roman"/>
          <w:bCs/>
          <w:snapToGrid w:val="0"/>
          <w:color w:val="000000" w:themeColor="text1"/>
          <w:kern w:val="0"/>
          <w:sz w:val="24"/>
        </w:rPr>
        <w:t>。</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2.5-6</w:t>
      </w:r>
      <w:r>
        <w:rPr>
          <w:rFonts w:cs="Times New Roman" w:hint="eastAsia"/>
          <w:b/>
          <w:color w:val="000000" w:themeColor="text1"/>
          <w:sz w:val="24"/>
          <w:szCs w:val="20"/>
        </w:rPr>
        <w:t>污水处理设施产生的废气统计表（单位</w:t>
      </w:r>
      <w:r>
        <w:rPr>
          <w:rFonts w:cs="Times New Roman" w:hint="eastAsia"/>
          <w:b/>
          <w:color w:val="000000" w:themeColor="text1"/>
          <w:sz w:val="24"/>
          <w:szCs w:val="20"/>
        </w:rPr>
        <w:t>t/a</w:t>
      </w:r>
      <w:r>
        <w:rPr>
          <w:rFonts w:cs="Times New Roman" w:hint="eastAsia"/>
          <w:b/>
          <w:color w:val="000000" w:themeColor="text1"/>
          <w:sz w:val="24"/>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1416"/>
        <w:gridCol w:w="1227"/>
        <w:gridCol w:w="1321"/>
        <w:gridCol w:w="1532"/>
        <w:gridCol w:w="1305"/>
        <w:gridCol w:w="1476"/>
      </w:tblGrid>
      <w:tr w:rsidR="00644456">
        <w:trPr>
          <w:trHeight w:val="340"/>
          <w:jc w:val="center"/>
        </w:trPr>
        <w:tc>
          <w:tcPr>
            <w:tcW w:w="726"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序号</w:t>
            </w:r>
          </w:p>
        </w:tc>
        <w:tc>
          <w:tcPr>
            <w:tcW w:w="1416"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污染物</w:t>
            </w:r>
          </w:p>
        </w:tc>
        <w:tc>
          <w:tcPr>
            <w:tcW w:w="1227"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生化池面积</w:t>
            </w:r>
            <w:r>
              <w:rPr>
                <w:rFonts w:cs="Times New Roman" w:hint="eastAsia"/>
                <w:bCs/>
                <w:szCs w:val="21"/>
                <w:lang w:eastAsia="en-US"/>
              </w:rPr>
              <w:t>m</w:t>
            </w:r>
            <w:r>
              <w:rPr>
                <w:rFonts w:cs="Times New Roman" w:hint="eastAsia"/>
                <w:bCs/>
                <w:szCs w:val="21"/>
                <w:vertAlign w:val="superscript"/>
                <w:lang w:eastAsia="en-US"/>
              </w:rPr>
              <w:t>2</w:t>
            </w:r>
          </w:p>
        </w:tc>
        <w:tc>
          <w:tcPr>
            <w:tcW w:w="1321"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产生系数</w:t>
            </w:r>
            <w:r>
              <w:rPr>
                <w:rFonts w:cs="Times New Roman" w:hint="eastAsia"/>
                <w:bCs/>
                <w:szCs w:val="21"/>
                <w:lang w:eastAsia="en-US"/>
              </w:rPr>
              <w:t>mg/m2*s</w:t>
            </w:r>
          </w:p>
        </w:tc>
        <w:tc>
          <w:tcPr>
            <w:tcW w:w="1532" w:type="dxa"/>
            <w:vAlign w:val="center"/>
          </w:tcPr>
          <w:p w:rsidR="00644456" w:rsidRDefault="008031C4">
            <w:pPr>
              <w:widowControl/>
              <w:jc w:val="center"/>
              <w:textAlignment w:val="center"/>
              <w:rPr>
                <w:rFonts w:cs="Times New Roman"/>
                <w:bCs/>
                <w:szCs w:val="21"/>
              </w:rPr>
            </w:pPr>
            <w:r>
              <w:rPr>
                <w:rFonts w:cs="Times New Roman" w:hint="eastAsia"/>
                <w:bCs/>
                <w:szCs w:val="21"/>
              </w:rPr>
              <w:t>本项目速率（</w:t>
            </w:r>
            <w:r>
              <w:rPr>
                <w:rFonts w:cs="Times New Roman" w:hint="eastAsia"/>
                <w:bCs/>
                <w:szCs w:val="21"/>
              </w:rPr>
              <w:t>kg/h</w:t>
            </w:r>
            <w:r>
              <w:rPr>
                <w:rFonts w:cs="Times New Roman" w:hint="eastAsia"/>
                <w:bCs/>
                <w:szCs w:val="21"/>
              </w:rPr>
              <w:t>）</w:t>
            </w:r>
          </w:p>
        </w:tc>
        <w:tc>
          <w:tcPr>
            <w:tcW w:w="1305"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产生量</w:t>
            </w:r>
          </w:p>
          <w:p w:rsidR="00644456" w:rsidRDefault="008031C4">
            <w:pPr>
              <w:widowControl/>
              <w:jc w:val="center"/>
              <w:textAlignment w:val="center"/>
              <w:rPr>
                <w:rFonts w:cs="Times New Roman"/>
                <w:bCs/>
                <w:szCs w:val="21"/>
                <w:lang w:eastAsia="en-US"/>
              </w:rPr>
            </w:pPr>
            <w:r>
              <w:rPr>
                <w:rFonts w:cs="Times New Roman" w:hint="eastAsia"/>
                <w:bCs/>
                <w:szCs w:val="21"/>
                <w:lang w:eastAsia="en-US"/>
              </w:rPr>
              <w:t>(t/a)</w:t>
            </w:r>
          </w:p>
        </w:tc>
        <w:tc>
          <w:tcPr>
            <w:tcW w:w="1476"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备注</w:t>
            </w:r>
          </w:p>
        </w:tc>
      </w:tr>
      <w:tr w:rsidR="00644456">
        <w:trPr>
          <w:trHeight w:val="340"/>
          <w:jc w:val="center"/>
        </w:trPr>
        <w:tc>
          <w:tcPr>
            <w:tcW w:w="726"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1</w:t>
            </w:r>
          </w:p>
        </w:tc>
        <w:tc>
          <w:tcPr>
            <w:tcW w:w="1416"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氨</w:t>
            </w:r>
          </w:p>
        </w:tc>
        <w:tc>
          <w:tcPr>
            <w:tcW w:w="1227" w:type="dxa"/>
            <w:vMerge w:val="restart"/>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10</w:t>
            </w:r>
          </w:p>
        </w:tc>
        <w:tc>
          <w:tcPr>
            <w:tcW w:w="1321"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0.52</w:t>
            </w:r>
          </w:p>
        </w:tc>
        <w:tc>
          <w:tcPr>
            <w:tcW w:w="1532"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0.004</w:t>
            </w:r>
          </w:p>
        </w:tc>
        <w:tc>
          <w:tcPr>
            <w:tcW w:w="1305"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0.027</w:t>
            </w:r>
          </w:p>
        </w:tc>
        <w:tc>
          <w:tcPr>
            <w:tcW w:w="1476" w:type="dxa"/>
            <w:vMerge w:val="restart"/>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7200h</w:t>
            </w:r>
          </w:p>
        </w:tc>
      </w:tr>
      <w:tr w:rsidR="00644456">
        <w:trPr>
          <w:trHeight w:val="340"/>
          <w:jc w:val="center"/>
        </w:trPr>
        <w:tc>
          <w:tcPr>
            <w:tcW w:w="726"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2</w:t>
            </w:r>
          </w:p>
        </w:tc>
        <w:tc>
          <w:tcPr>
            <w:tcW w:w="1416"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硫化氢</w:t>
            </w:r>
          </w:p>
        </w:tc>
        <w:tc>
          <w:tcPr>
            <w:tcW w:w="1227" w:type="dxa"/>
            <w:vMerge/>
            <w:vAlign w:val="center"/>
          </w:tcPr>
          <w:p w:rsidR="00644456" w:rsidRDefault="00644456">
            <w:pPr>
              <w:widowControl/>
              <w:jc w:val="center"/>
              <w:textAlignment w:val="center"/>
              <w:rPr>
                <w:rFonts w:cs="Times New Roman"/>
                <w:bCs/>
                <w:szCs w:val="21"/>
                <w:lang w:eastAsia="en-US"/>
              </w:rPr>
            </w:pPr>
          </w:p>
        </w:tc>
        <w:tc>
          <w:tcPr>
            <w:tcW w:w="1321"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1.091</w:t>
            </w:r>
            <w:r>
              <w:rPr>
                <w:rFonts w:cs="Times New Roman" w:hint="eastAsia"/>
                <w:bCs/>
                <w:szCs w:val="21"/>
                <w:lang w:eastAsia="en-US"/>
              </w:rPr>
              <w:t>×</w:t>
            </w:r>
            <w:r>
              <w:rPr>
                <w:rFonts w:cs="Times New Roman" w:hint="eastAsia"/>
                <w:bCs/>
                <w:szCs w:val="21"/>
                <w:lang w:eastAsia="en-US"/>
              </w:rPr>
              <w:t>10</w:t>
            </w:r>
            <w:r w:rsidRPr="00E11CE3">
              <w:rPr>
                <w:rFonts w:cs="Times New Roman" w:hint="eastAsia"/>
                <w:bCs/>
                <w:szCs w:val="21"/>
                <w:vertAlign w:val="superscript"/>
                <w:lang w:eastAsia="en-US"/>
              </w:rPr>
              <w:t>-3</w:t>
            </w:r>
          </w:p>
        </w:tc>
        <w:tc>
          <w:tcPr>
            <w:tcW w:w="1532"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0.00001</w:t>
            </w:r>
          </w:p>
        </w:tc>
        <w:tc>
          <w:tcPr>
            <w:tcW w:w="1305"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0.0001</w:t>
            </w:r>
          </w:p>
        </w:tc>
        <w:tc>
          <w:tcPr>
            <w:tcW w:w="1476" w:type="dxa"/>
            <w:vMerge/>
            <w:vAlign w:val="center"/>
          </w:tcPr>
          <w:p w:rsidR="00644456" w:rsidRDefault="00644456">
            <w:pPr>
              <w:keepNext/>
              <w:keepLines/>
              <w:jc w:val="center"/>
              <w:rPr>
                <w:szCs w:val="21"/>
              </w:rPr>
            </w:pPr>
          </w:p>
        </w:tc>
      </w:tr>
    </w:tbl>
    <w:p w:rsidR="00644456" w:rsidRDefault="008031C4">
      <w:pPr>
        <w:pStyle w:val="5"/>
        <w:numPr>
          <w:ilvl w:val="4"/>
          <w:numId w:val="0"/>
        </w:numPr>
        <w:ind w:firstLine="480"/>
        <w:rPr>
          <w:b/>
          <w:bCs w:val="0"/>
          <w:snapToGrid w:val="0"/>
          <w:color w:val="000000" w:themeColor="text1"/>
        </w:rPr>
      </w:pPr>
      <w:bookmarkStart w:id="154" w:name="_Hlk177140122"/>
      <w:bookmarkEnd w:id="153"/>
      <w:r>
        <w:rPr>
          <w:rFonts w:hint="eastAsia"/>
          <w:b/>
          <w:bCs w:val="0"/>
          <w:snapToGrid w:val="0"/>
          <w:color w:val="000000" w:themeColor="text1"/>
        </w:rPr>
        <w:t>2.5.2.1.5</w:t>
      </w:r>
      <w:r>
        <w:rPr>
          <w:rFonts w:hint="eastAsia"/>
          <w:b/>
          <w:bCs w:val="0"/>
          <w:snapToGrid w:val="0"/>
          <w:color w:val="000000" w:themeColor="text1"/>
        </w:rPr>
        <w:t>装卸区车装卸损耗废气</w:t>
      </w:r>
    </w:p>
    <w:bookmarkEnd w:id="154"/>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hint="eastAsia"/>
          <w:bCs/>
          <w:snapToGrid w:val="0"/>
          <w:color w:val="000000" w:themeColor="text1"/>
          <w:kern w:val="0"/>
          <w:sz w:val="24"/>
        </w:rPr>
        <w:t>油品装卸损失与车型和装车方式有关，不同的型式和装车方式，油品的损失差别较大。参考《污染源源强核算技术指南石油炼制工业》挥发性有机液体装卸过程中无组织排放量采用以下公式估算：</w:t>
      </w:r>
    </w:p>
    <w:p w:rsidR="00644456" w:rsidRDefault="008031C4">
      <w:pPr>
        <w:adjustRightInd w:val="0"/>
        <w:snapToGrid w:val="0"/>
        <w:spacing w:line="360" w:lineRule="auto"/>
        <w:ind w:firstLine="482"/>
        <w:rPr>
          <w:rFonts w:cs="Times New Roman"/>
          <w:bCs/>
          <w:snapToGrid w:val="0"/>
          <w:color w:val="000000" w:themeColor="text1"/>
          <w:kern w:val="0"/>
          <w:sz w:val="24"/>
        </w:rPr>
      </w:pPr>
      <w:r>
        <w:rPr>
          <w:noProof/>
        </w:rPr>
        <w:drawing>
          <wp:inline distT="0" distB="0" distL="0" distR="0" wp14:anchorId="537EC2E2" wp14:editId="41074BA4">
            <wp:extent cx="1323340" cy="45656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2"/>
                    <a:stretch>
                      <a:fillRect/>
                    </a:stretch>
                  </pic:blipFill>
                  <pic:spPr>
                    <a:xfrm>
                      <a:off x="0" y="0"/>
                      <a:ext cx="1323810" cy="457143"/>
                    </a:xfrm>
                    <a:prstGeom prst="rect">
                      <a:avLst/>
                    </a:prstGeom>
                  </pic:spPr>
                </pic:pic>
              </a:graphicData>
            </a:graphic>
          </wp:inline>
        </w:drawing>
      </w:r>
    </w:p>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hint="eastAsia"/>
          <w:bCs/>
          <w:snapToGrid w:val="0"/>
          <w:color w:val="000000" w:themeColor="text1"/>
          <w:kern w:val="0"/>
          <w:sz w:val="24"/>
        </w:rPr>
        <w:t>式中：</w:t>
      </w:r>
      <w:r>
        <w:rPr>
          <w:rFonts w:cs="Times New Roman" w:hint="eastAsia"/>
          <w:bCs/>
          <w:snapToGrid w:val="0"/>
          <w:color w:val="000000" w:themeColor="text1"/>
          <w:kern w:val="0"/>
          <w:sz w:val="24"/>
        </w:rPr>
        <w:t>Q</w:t>
      </w:r>
      <w:r>
        <w:rPr>
          <w:rFonts w:cs="Times New Roman" w:hint="eastAsia"/>
          <w:bCs/>
          <w:snapToGrid w:val="0"/>
          <w:color w:val="000000" w:themeColor="text1"/>
          <w:kern w:val="0"/>
          <w:sz w:val="24"/>
        </w:rPr>
        <w:t>产生量—核算时段内挥发性有机液体装载过程挥发性有机物的产生量，</w:t>
      </w:r>
      <w:r>
        <w:rPr>
          <w:rFonts w:cs="Times New Roman" w:hint="eastAsia"/>
          <w:bCs/>
          <w:snapToGrid w:val="0"/>
          <w:color w:val="000000" w:themeColor="text1"/>
          <w:kern w:val="0"/>
          <w:sz w:val="24"/>
        </w:rPr>
        <w:t>t/a</w:t>
      </w:r>
      <w:r>
        <w:rPr>
          <w:rFonts w:cs="Times New Roman" w:hint="eastAsia"/>
          <w:bCs/>
          <w:snapToGrid w:val="0"/>
          <w:color w:val="000000" w:themeColor="text1"/>
          <w:kern w:val="0"/>
          <w:sz w:val="24"/>
        </w:rPr>
        <w:t>；</w:t>
      </w:r>
    </w:p>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hint="eastAsia"/>
          <w:bCs/>
          <w:snapToGrid w:val="0"/>
          <w:color w:val="000000" w:themeColor="text1"/>
          <w:kern w:val="0"/>
          <w:sz w:val="24"/>
        </w:rPr>
        <w:t>LL</w:t>
      </w:r>
      <w:r>
        <w:rPr>
          <w:rFonts w:cs="Times New Roman" w:hint="eastAsia"/>
          <w:bCs/>
          <w:snapToGrid w:val="0"/>
          <w:color w:val="000000" w:themeColor="text1"/>
          <w:kern w:val="0"/>
          <w:sz w:val="24"/>
        </w:rPr>
        <w:t>——挥发性有机液体装载过程中的排放系数，</w:t>
      </w:r>
      <w:r>
        <w:rPr>
          <w:rFonts w:cs="Times New Roman" w:hint="eastAsia"/>
          <w:bCs/>
          <w:snapToGrid w:val="0"/>
          <w:color w:val="000000" w:themeColor="text1"/>
          <w:kern w:val="0"/>
          <w:sz w:val="24"/>
        </w:rPr>
        <w:t>kg/m3</w:t>
      </w:r>
      <w:r>
        <w:rPr>
          <w:rFonts w:cs="Times New Roman" w:hint="eastAsia"/>
          <w:bCs/>
          <w:snapToGrid w:val="0"/>
          <w:color w:val="000000" w:themeColor="text1"/>
          <w:kern w:val="0"/>
          <w:sz w:val="24"/>
        </w:rPr>
        <w:t>；</w:t>
      </w:r>
    </w:p>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hint="eastAsia"/>
          <w:bCs/>
          <w:snapToGrid w:val="0"/>
          <w:color w:val="000000" w:themeColor="text1"/>
          <w:kern w:val="0"/>
          <w:sz w:val="24"/>
        </w:rPr>
        <w:t>Q</w:t>
      </w:r>
      <w:r>
        <w:rPr>
          <w:rFonts w:cs="Times New Roman" w:hint="eastAsia"/>
          <w:bCs/>
          <w:snapToGrid w:val="0"/>
          <w:color w:val="000000" w:themeColor="text1"/>
          <w:kern w:val="0"/>
          <w:sz w:val="24"/>
        </w:rPr>
        <w:t>—核算时段内物料装载量，</w:t>
      </w:r>
      <w:r>
        <w:rPr>
          <w:rFonts w:cs="Times New Roman" w:hint="eastAsia"/>
          <w:bCs/>
          <w:snapToGrid w:val="0"/>
          <w:color w:val="000000" w:themeColor="text1"/>
          <w:kern w:val="0"/>
          <w:sz w:val="24"/>
        </w:rPr>
        <w:t>m3/a</w:t>
      </w:r>
      <w:r>
        <w:rPr>
          <w:rFonts w:cs="Times New Roman" w:hint="eastAsia"/>
          <w:bCs/>
          <w:snapToGrid w:val="0"/>
          <w:color w:val="000000" w:themeColor="text1"/>
          <w:kern w:val="0"/>
          <w:sz w:val="24"/>
        </w:rPr>
        <w:t>。</w:t>
      </w:r>
    </w:p>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hint="eastAsia"/>
          <w:bCs/>
          <w:snapToGrid w:val="0"/>
          <w:color w:val="000000" w:themeColor="text1"/>
          <w:kern w:val="0"/>
          <w:sz w:val="24"/>
        </w:rPr>
        <w:t>装载过程排放系数采取下式计算：</w:t>
      </w:r>
    </w:p>
    <w:p w:rsidR="00644456" w:rsidRDefault="008031C4">
      <w:pPr>
        <w:adjustRightInd w:val="0"/>
        <w:snapToGrid w:val="0"/>
        <w:spacing w:line="360" w:lineRule="auto"/>
        <w:ind w:firstLine="482"/>
        <w:rPr>
          <w:rFonts w:cs="Times New Roman"/>
          <w:bCs/>
          <w:snapToGrid w:val="0"/>
          <w:color w:val="000000" w:themeColor="text1"/>
          <w:kern w:val="0"/>
          <w:sz w:val="24"/>
        </w:rPr>
      </w:pPr>
      <w:r>
        <w:rPr>
          <w:noProof/>
        </w:rPr>
        <w:drawing>
          <wp:inline distT="0" distB="0" distL="0" distR="0" wp14:anchorId="4FEDAFDD" wp14:editId="6C809097">
            <wp:extent cx="1961515" cy="504190"/>
            <wp:effectExtent l="0" t="0" r="63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3"/>
                    <a:stretch>
                      <a:fillRect/>
                    </a:stretch>
                  </pic:blipFill>
                  <pic:spPr>
                    <a:xfrm>
                      <a:off x="0" y="0"/>
                      <a:ext cx="1961905" cy="504762"/>
                    </a:xfrm>
                    <a:prstGeom prst="rect">
                      <a:avLst/>
                    </a:prstGeom>
                  </pic:spPr>
                </pic:pic>
              </a:graphicData>
            </a:graphic>
          </wp:inline>
        </w:drawing>
      </w:r>
    </w:p>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hint="eastAsia"/>
          <w:bCs/>
          <w:snapToGrid w:val="0"/>
          <w:color w:val="000000" w:themeColor="text1"/>
          <w:kern w:val="0"/>
          <w:sz w:val="24"/>
        </w:rPr>
        <w:t>式中：</w:t>
      </w:r>
      <w:r>
        <w:rPr>
          <w:rFonts w:cs="Times New Roman" w:hint="eastAsia"/>
          <w:bCs/>
          <w:snapToGrid w:val="0"/>
          <w:color w:val="000000" w:themeColor="text1"/>
          <w:kern w:val="0"/>
          <w:sz w:val="24"/>
        </w:rPr>
        <w:t>S</w:t>
      </w:r>
      <w:r>
        <w:rPr>
          <w:rFonts w:cs="Times New Roman" w:hint="eastAsia"/>
          <w:bCs/>
          <w:snapToGrid w:val="0"/>
          <w:color w:val="000000" w:themeColor="text1"/>
          <w:kern w:val="0"/>
          <w:sz w:val="24"/>
        </w:rPr>
        <w:t>——饱和系数，无量纲，一般取</w:t>
      </w:r>
      <w:r>
        <w:rPr>
          <w:rFonts w:cs="Times New Roman" w:hint="eastAsia"/>
          <w:bCs/>
          <w:snapToGrid w:val="0"/>
          <w:color w:val="000000" w:themeColor="text1"/>
          <w:kern w:val="0"/>
          <w:sz w:val="24"/>
        </w:rPr>
        <w:t>0.6</w:t>
      </w:r>
      <w:r>
        <w:rPr>
          <w:rFonts w:cs="Times New Roman" w:hint="eastAsia"/>
          <w:bCs/>
          <w:snapToGrid w:val="0"/>
          <w:color w:val="000000" w:themeColor="text1"/>
          <w:kern w:val="0"/>
          <w:sz w:val="24"/>
        </w:rPr>
        <w:t>；</w:t>
      </w:r>
    </w:p>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hint="eastAsia"/>
          <w:bCs/>
          <w:snapToGrid w:val="0"/>
          <w:color w:val="000000" w:themeColor="text1"/>
          <w:kern w:val="0"/>
          <w:sz w:val="24"/>
        </w:rPr>
        <w:t>PT</w:t>
      </w:r>
      <w:r>
        <w:rPr>
          <w:rFonts w:cs="Times New Roman" w:hint="eastAsia"/>
          <w:bCs/>
          <w:snapToGrid w:val="0"/>
          <w:color w:val="000000" w:themeColor="text1"/>
          <w:kern w:val="0"/>
          <w:sz w:val="24"/>
        </w:rPr>
        <w:t>——温度</w:t>
      </w:r>
      <w:r>
        <w:rPr>
          <w:rFonts w:cs="Times New Roman" w:hint="eastAsia"/>
          <w:bCs/>
          <w:snapToGrid w:val="0"/>
          <w:color w:val="000000" w:themeColor="text1"/>
          <w:kern w:val="0"/>
          <w:sz w:val="24"/>
        </w:rPr>
        <w:t>T</w:t>
      </w:r>
      <w:r>
        <w:rPr>
          <w:rFonts w:cs="Times New Roman" w:hint="eastAsia"/>
          <w:bCs/>
          <w:snapToGrid w:val="0"/>
          <w:color w:val="000000" w:themeColor="text1"/>
          <w:kern w:val="0"/>
          <w:sz w:val="24"/>
        </w:rPr>
        <w:t>时装卸液体真实蒸气压，</w:t>
      </w:r>
      <w:r>
        <w:rPr>
          <w:rFonts w:cs="Times New Roman" w:hint="eastAsia"/>
          <w:bCs/>
          <w:snapToGrid w:val="0"/>
          <w:color w:val="000000" w:themeColor="text1"/>
          <w:kern w:val="0"/>
          <w:sz w:val="24"/>
        </w:rPr>
        <w:t>Pa</w:t>
      </w:r>
      <w:r>
        <w:rPr>
          <w:rFonts w:cs="Times New Roman" w:hint="eastAsia"/>
          <w:bCs/>
          <w:snapToGrid w:val="0"/>
          <w:color w:val="000000" w:themeColor="text1"/>
          <w:kern w:val="0"/>
          <w:sz w:val="24"/>
        </w:rPr>
        <w:t>；</w:t>
      </w:r>
    </w:p>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hint="eastAsia"/>
          <w:bCs/>
          <w:snapToGrid w:val="0"/>
          <w:color w:val="000000" w:themeColor="text1"/>
          <w:kern w:val="0"/>
          <w:sz w:val="24"/>
        </w:rPr>
        <w:t>T</w:t>
      </w:r>
      <w:r>
        <w:rPr>
          <w:rFonts w:cs="Times New Roman" w:hint="eastAsia"/>
          <w:bCs/>
          <w:snapToGrid w:val="0"/>
          <w:color w:val="000000" w:themeColor="text1"/>
          <w:kern w:val="0"/>
          <w:sz w:val="24"/>
        </w:rPr>
        <w:t>——物料装载温度，℃；</w:t>
      </w:r>
    </w:p>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hint="eastAsia"/>
          <w:bCs/>
          <w:snapToGrid w:val="0"/>
          <w:color w:val="000000" w:themeColor="text1"/>
          <w:kern w:val="0"/>
          <w:sz w:val="24"/>
        </w:rPr>
        <w:t>MVAP</w:t>
      </w:r>
      <w:r>
        <w:rPr>
          <w:rFonts w:cs="Times New Roman" w:hint="eastAsia"/>
          <w:bCs/>
          <w:snapToGrid w:val="0"/>
          <w:color w:val="000000" w:themeColor="text1"/>
          <w:kern w:val="0"/>
          <w:sz w:val="24"/>
        </w:rPr>
        <w:t>——油气分子量，</w:t>
      </w:r>
      <w:r>
        <w:rPr>
          <w:rFonts w:cs="Times New Roman" w:hint="eastAsia"/>
          <w:bCs/>
          <w:snapToGrid w:val="0"/>
          <w:color w:val="000000" w:themeColor="text1"/>
          <w:kern w:val="0"/>
          <w:sz w:val="24"/>
        </w:rPr>
        <w:t>g/mol</w:t>
      </w:r>
      <w:r>
        <w:rPr>
          <w:rFonts w:cs="Times New Roman" w:hint="eastAsia"/>
          <w:bCs/>
          <w:snapToGrid w:val="0"/>
          <w:color w:val="000000" w:themeColor="text1"/>
          <w:kern w:val="0"/>
          <w:sz w:val="24"/>
        </w:rPr>
        <w:t>。</w:t>
      </w:r>
    </w:p>
    <w:p w:rsidR="00644456" w:rsidRDefault="008031C4">
      <w:pPr>
        <w:adjustRightInd w:val="0"/>
        <w:snapToGrid w:val="0"/>
        <w:spacing w:line="360" w:lineRule="auto"/>
        <w:ind w:firstLine="480"/>
        <w:rPr>
          <w:rFonts w:cs="Times New Roman"/>
          <w:b/>
          <w:snapToGrid w:val="0"/>
          <w:color w:val="000000" w:themeColor="text1"/>
          <w:kern w:val="0"/>
          <w:sz w:val="24"/>
        </w:rPr>
      </w:pPr>
      <w:r>
        <w:rPr>
          <w:rFonts w:cs="Times New Roman" w:hint="eastAsia"/>
          <w:b/>
          <w:snapToGrid w:val="0"/>
          <w:color w:val="000000" w:themeColor="text1"/>
          <w:kern w:val="0"/>
          <w:sz w:val="24"/>
        </w:rPr>
        <w:t>本项目装卸过程中密闭操作，可有效控制挥发性有机物的产生量，控制效率为</w:t>
      </w:r>
      <w:r>
        <w:rPr>
          <w:rFonts w:cs="Times New Roman" w:hint="eastAsia"/>
          <w:b/>
          <w:snapToGrid w:val="0"/>
          <w:color w:val="000000" w:themeColor="text1"/>
          <w:kern w:val="0"/>
          <w:sz w:val="24"/>
        </w:rPr>
        <w:t>90%</w:t>
      </w:r>
      <w:r>
        <w:rPr>
          <w:rFonts w:cs="Times New Roman" w:hint="eastAsia"/>
          <w:b/>
          <w:snapToGrid w:val="0"/>
          <w:color w:val="000000" w:themeColor="text1"/>
          <w:kern w:val="0"/>
          <w:sz w:val="24"/>
        </w:rPr>
        <w:t>。</w:t>
      </w:r>
    </w:p>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hint="eastAsia"/>
          <w:bCs/>
          <w:snapToGrid w:val="0"/>
          <w:color w:val="000000" w:themeColor="text1"/>
          <w:kern w:val="0"/>
          <w:sz w:val="24"/>
        </w:rPr>
        <w:t>汽车装卸过程无组织废气排放情况见表</w:t>
      </w:r>
      <w:r>
        <w:rPr>
          <w:rFonts w:cs="Times New Roman" w:hint="eastAsia"/>
          <w:bCs/>
          <w:snapToGrid w:val="0"/>
          <w:color w:val="000000" w:themeColor="text1"/>
          <w:kern w:val="0"/>
          <w:sz w:val="24"/>
        </w:rPr>
        <w:t>2.5-7</w:t>
      </w:r>
      <w:r>
        <w:rPr>
          <w:rFonts w:cs="Times New Roman" w:hint="eastAsia"/>
          <w:bCs/>
          <w:snapToGrid w:val="0"/>
          <w:color w:val="000000" w:themeColor="text1"/>
          <w:kern w:val="0"/>
          <w:sz w:val="24"/>
        </w:rPr>
        <w:t>。</w:t>
      </w:r>
    </w:p>
    <w:p w:rsidR="00644456" w:rsidRDefault="008031C4">
      <w:pPr>
        <w:autoSpaceDE w:val="0"/>
        <w:autoSpaceDN w:val="0"/>
        <w:adjustRightInd w:val="0"/>
        <w:jc w:val="center"/>
        <w:rPr>
          <w:rFonts w:cs="Times New Roman"/>
          <w:b/>
          <w:color w:val="000000" w:themeColor="text1"/>
          <w:sz w:val="24"/>
          <w:szCs w:val="20"/>
        </w:rPr>
      </w:pPr>
      <w:bookmarkStart w:id="155" w:name="_Hlk177140135"/>
      <w:r>
        <w:rPr>
          <w:rFonts w:cs="Times New Roman" w:hint="eastAsia"/>
          <w:b/>
          <w:color w:val="000000" w:themeColor="text1"/>
          <w:sz w:val="24"/>
          <w:szCs w:val="20"/>
        </w:rPr>
        <w:t>表</w:t>
      </w:r>
      <w:r>
        <w:rPr>
          <w:rFonts w:cs="Times New Roman" w:hint="eastAsia"/>
          <w:b/>
          <w:color w:val="000000" w:themeColor="text1"/>
          <w:sz w:val="24"/>
          <w:szCs w:val="20"/>
        </w:rPr>
        <w:t>2.5-7</w:t>
      </w:r>
      <w:r>
        <w:rPr>
          <w:rFonts w:cs="Times New Roman" w:hint="eastAsia"/>
          <w:b/>
          <w:color w:val="000000" w:themeColor="text1"/>
          <w:sz w:val="24"/>
          <w:szCs w:val="20"/>
        </w:rPr>
        <w:t>装车过程无组织废气排放情况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7"/>
        <w:gridCol w:w="1007"/>
        <w:gridCol w:w="1186"/>
        <w:gridCol w:w="945"/>
        <w:gridCol w:w="1155"/>
        <w:gridCol w:w="1063"/>
        <w:gridCol w:w="1333"/>
        <w:gridCol w:w="1157"/>
      </w:tblGrid>
      <w:tr w:rsidR="00644456">
        <w:trPr>
          <w:trHeight w:val="340"/>
          <w:jc w:val="center"/>
        </w:trPr>
        <w:tc>
          <w:tcPr>
            <w:tcW w:w="967" w:type="dxa"/>
            <w:noWrap/>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物料</w:t>
            </w:r>
          </w:p>
        </w:tc>
        <w:tc>
          <w:tcPr>
            <w:tcW w:w="1007" w:type="dxa"/>
            <w:noWrap/>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污染物</w:t>
            </w:r>
          </w:p>
        </w:tc>
        <w:tc>
          <w:tcPr>
            <w:tcW w:w="1186" w:type="dxa"/>
            <w:noWrap/>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装卸量</w:t>
            </w:r>
          </w:p>
          <w:p w:rsidR="00644456" w:rsidRDefault="008031C4">
            <w:pPr>
              <w:widowControl/>
              <w:jc w:val="center"/>
              <w:textAlignment w:val="center"/>
              <w:rPr>
                <w:rFonts w:cs="Times New Roman"/>
                <w:bCs/>
                <w:szCs w:val="21"/>
                <w:lang w:eastAsia="en-US"/>
              </w:rPr>
            </w:pPr>
            <w:r>
              <w:rPr>
                <w:rFonts w:cs="Times New Roman" w:hint="eastAsia"/>
                <w:bCs/>
                <w:szCs w:val="21"/>
                <w:lang w:eastAsia="en-US"/>
              </w:rPr>
              <w:t>（</w:t>
            </w:r>
            <w:r>
              <w:rPr>
                <w:rFonts w:cs="Times New Roman" w:hint="eastAsia"/>
                <w:bCs/>
                <w:szCs w:val="21"/>
                <w:lang w:eastAsia="en-US"/>
              </w:rPr>
              <w:t>t/a</w:t>
            </w:r>
            <w:r>
              <w:rPr>
                <w:rFonts w:cs="Times New Roman" w:hint="eastAsia"/>
                <w:bCs/>
                <w:szCs w:val="21"/>
                <w:lang w:eastAsia="en-US"/>
              </w:rPr>
              <w:t>）</w:t>
            </w:r>
          </w:p>
        </w:tc>
        <w:tc>
          <w:tcPr>
            <w:tcW w:w="945" w:type="dxa"/>
            <w:noWrap/>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饱和</w:t>
            </w:r>
          </w:p>
          <w:p w:rsidR="00644456" w:rsidRDefault="008031C4">
            <w:pPr>
              <w:widowControl/>
              <w:jc w:val="center"/>
              <w:textAlignment w:val="center"/>
              <w:rPr>
                <w:rFonts w:cs="Times New Roman"/>
                <w:bCs/>
                <w:szCs w:val="21"/>
                <w:lang w:eastAsia="en-US"/>
              </w:rPr>
            </w:pPr>
            <w:r>
              <w:rPr>
                <w:rFonts w:cs="Times New Roman" w:hint="eastAsia"/>
                <w:bCs/>
                <w:szCs w:val="21"/>
                <w:lang w:eastAsia="en-US"/>
              </w:rPr>
              <w:t>系数</w:t>
            </w:r>
          </w:p>
        </w:tc>
        <w:tc>
          <w:tcPr>
            <w:tcW w:w="1155" w:type="dxa"/>
            <w:noWrap/>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蒸汽压</w:t>
            </w:r>
          </w:p>
          <w:p w:rsidR="00644456" w:rsidRDefault="008031C4">
            <w:pPr>
              <w:widowControl/>
              <w:jc w:val="center"/>
              <w:textAlignment w:val="center"/>
              <w:rPr>
                <w:rFonts w:cs="Times New Roman"/>
                <w:bCs/>
                <w:szCs w:val="21"/>
                <w:lang w:eastAsia="en-US"/>
              </w:rPr>
            </w:pPr>
            <w:r>
              <w:rPr>
                <w:rFonts w:cs="Times New Roman" w:hint="eastAsia"/>
                <w:bCs/>
                <w:szCs w:val="21"/>
                <w:lang w:eastAsia="en-US"/>
              </w:rPr>
              <w:t>（</w:t>
            </w:r>
            <w:r>
              <w:rPr>
                <w:rFonts w:cs="Times New Roman" w:hint="eastAsia"/>
                <w:bCs/>
                <w:szCs w:val="21"/>
                <w:lang w:eastAsia="en-US"/>
              </w:rPr>
              <w:t>pa</w:t>
            </w:r>
            <w:r>
              <w:rPr>
                <w:rFonts w:cs="Times New Roman" w:hint="eastAsia"/>
                <w:bCs/>
                <w:szCs w:val="21"/>
                <w:lang w:eastAsia="en-US"/>
              </w:rPr>
              <w:t>）</w:t>
            </w:r>
          </w:p>
        </w:tc>
        <w:tc>
          <w:tcPr>
            <w:tcW w:w="1063" w:type="dxa"/>
            <w:noWrap/>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液体温度</w:t>
            </w:r>
          </w:p>
          <w:p w:rsidR="00644456" w:rsidRDefault="008031C4">
            <w:pPr>
              <w:widowControl/>
              <w:jc w:val="center"/>
              <w:textAlignment w:val="center"/>
              <w:rPr>
                <w:rFonts w:cs="Times New Roman"/>
                <w:bCs/>
                <w:szCs w:val="21"/>
                <w:lang w:eastAsia="en-US"/>
              </w:rPr>
            </w:pPr>
            <w:r>
              <w:rPr>
                <w:rFonts w:cs="Times New Roman" w:hint="eastAsia"/>
                <w:bCs/>
                <w:szCs w:val="21"/>
                <w:lang w:eastAsia="en-US"/>
              </w:rPr>
              <w:t>（℃）</w:t>
            </w:r>
          </w:p>
        </w:tc>
        <w:tc>
          <w:tcPr>
            <w:tcW w:w="1333" w:type="dxa"/>
            <w:noWrap/>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物料分子量</w:t>
            </w:r>
          </w:p>
          <w:p w:rsidR="00644456" w:rsidRDefault="008031C4">
            <w:pPr>
              <w:widowControl/>
              <w:jc w:val="center"/>
              <w:textAlignment w:val="center"/>
              <w:rPr>
                <w:rFonts w:cs="Times New Roman"/>
                <w:bCs/>
                <w:szCs w:val="21"/>
                <w:lang w:eastAsia="en-US"/>
              </w:rPr>
            </w:pPr>
            <w:r>
              <w:rPr>
                <w:rFonts w:cs="Times New Roman" w:hint="eastAsia"/>
                <w:bCs/>
                <w:szCs w:val="21"/>
                <w:lang w:eastAsia="en-US"/>
              </w:rPr>
              <w:t>（</w:t>
            </w:r>
            <w:r>
              <w:rPr>
                <w:rFonts w:cs="Times New Roman" w:hint="eastAsia"/>
                <w:bCs/>
                <w:szCs w:val="21"/>
                <w:lang w:eastAsia="en-US"/>
              </w:rPr>
              <w:t>g/mol</w:t>
            </w:r>
            <w:r>
              <w:rPr>
                <w:rFonts w:cs="Times New Roman" w:hint="eastAsia"/>
                <w:bCs/>
                <w:szCs w:val="21"/>
                <w:lang w:eastAsia="en-US"/>
              </w:rPr>
              <w:t>）</w:t>
            </w:r>
          </w:p>
        </w:tc>
        <w:tc>
          <w:tcPr>
            <w:tcW w:w="1157" w:type="dxa"/>
            <w:noWrap/>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排放量</w:t>
            </w:r>
          </w:p>
          <w:p w:rsidR="00644456" w:rsidRDefault="008031C4">
            <w:pPr>
              <w:widowControl/>
              <w:jc w:val="center"/>
              <w:textAlignment w:val="center"/>
              <w:rPr>
                <w:rFonts w:cs="Times New Roman"/>
                <w:bCs/>
                <w:szCs w:val="21"/>
                <w:lang w:eastAsia="en-US"/>
              </w:rPr>
            </w:pPr>
            <w:r>
              <w:rPr>
                <w:rFonts w:cs="Times New Roman" w:hint="eastAsia"/>
                <w:bCs/>
                <w:szCs w:val="21"/>
                <w:lang w:eastAsia="en-US"/>
              </w:rPr>
              <w:t>（</w:t>
            </w:r>
            <w:r>
              <w:rPr>
                <w:rFonts w:cs="Times New Roman" w:hint="eastAsia"/>
                <w:bCs/>
                <w:szCs w:val="21"/>
                <w:lang w:eastAsia="en-US"/>
              </w:rPr>
              <w:t>t/a</w:t>
            </w:r>
            <w:r>
              <w:rPr>
                <w:rFonts w:cs="Times New Roman" w:hint="eastAsia"/>
                <w:bCs/>
                <w:szCs w:val="21"/>
                <w:lang w:eastAsia="en-US"/>
              </w:rPr>
              <w:t>）</w:t>
            </w:r>
          </w:p>
        </w:tc>
      </w:tr>
      <w:tr w:rsidR="00644456">
        <w:trPr>
          <w:trHeight w:val="340"/>
          <w:jc w:val="center"/>
        </w:trPr>
        <w:tc>
          <w:tcPr>
            <w:tcW w:w="967"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废矿物油</w:t>
            </w:r>
          </w:p>
        </w:tc>
        <w:tc>
          <w:tcPr>
            <w:tcW w:w="1007" w:type="dxa"/>
            <w:noWrap/>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NMHC</w:t>
            </w:r>
          </w:p>
        </w:tc>
        <w:tc>
          <w:tcPr>
            <w:tcW w:w="1186" w:type="dxa"/>
            <w:noWrap/>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30000</w:t>
            </w:r>
          </w:p>
        </w:tc>
        <w:tc>
          <w:tcPr>
            <w:tcW w:w="945" w:type="dxa"/>
            <w:noWrap/>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0.6</w:t>
            </w:r>
          </w:p>
        </w:tc>
        <w:tc>
          <w:tcPr>
            <w:tcW w:w="1155" w:type="dxa"/>
            <w:noWrap/>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200</w:t>
            </w:r>
          </w:p>
        </w:tc>
        <w:tc>
          <w:tcPr>
            <w:tcW w:w="1063"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25</w:t>
            </w:r>
          </w:p>
        </w:tc>
        <w:tc>
          <w:tcPr>
            <w:tcW w:w="1333"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190</w:t>
            </w:r>
          </w:p>
        </w:tc>
        <w:tc>
          <w:tcPr>
            <w:tcW w:w="1157"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0.011</w:t>
            </w:r>
          </w:p>
        </w:tc>
      </w:tr>
      <w:tr w:rsidR="00644456">
        <w:trPr>
          <w:trHeight w:val="340"/>
          <w:jc w:val="center"/>
        </w:trPr>
        <w:tc>
          <w:tcPr>
            <w:tcW w:w="967"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润滑油基础油</w:t>
            </w:r>
          </w:p>
        </w:tc>
        <w:tc>
          <w:tcPr>
            <w:tcW w:w="1007" w:type="dxa"/>
            <w:noWrap/>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NMHC</w:t>
            </w:r>
          </w:p>
        </w:tc>
        <w:tc>
          <w:tcPr>
            <w:tcW w:w="1186" w:type="dxa"/>
            <w:noWrap/>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20000</w:t>
            </w:r>
          </w:p>
        </w:tc>
        <w:tc>
          <w:tcPr>
            <w:tcW w:w="945" w:type="dxa"/>
            <w:noWrap/>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0.6</w:t>
            </w:r>
          </w:p>
        </w:tc>
        <w:tc>
          <w:tcPr>
            <w:tcW w:w="1155" w:type="dxa"/>
            <w:noWrap/>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200</w:t>
            </w:r>
          </w:p>
        </w:tc>
        <w:tc>
          <w:tcPr>
            <w:tcW w:w="1063"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25</w:t>
            </w:r>
          </w:p>
        </w:tc>
        <w:tc>
          <w:tcPr>
            <w:tcW w:w="1333"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190</w:t>
            </w:r>
          </w:p>
        </w:tc>
        <w:tc>
          <w:tcPr>
            <w:tcW w:w="1157"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0.0001</w:t>
            </w:r>
          </w:p>
        </w:tc>
      </w:tr>
      <w:tr w:rsidR="00644456">
        <w:trPr>
          <w:trHeight w:val="316"/>
          <w:jc w:val="center"/>
        </w:trPr>
        <w:tc>
          <w:tcPr>
            <w:tcW w:w="967"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燃料油</w:t>
            </w:r>
          </w:p>
        </w:tc>
        <w:tc>
          <w:tcPr>
            <w:tcW w:w="1007" w:type="dxa"/>
            <w:noWrap/>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NMHC</w:t>
            </w:r>
          </w:p>
        </w:tc>
        <w:tc>
          <w:tcPr>
            <w:tcW w:w="1186" w:type="dxa"/>
            <w:noWrap/>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2200</w:t>
            </w:r>
          </w:p>
        </w:tc>
        <w:tc>
          <w:tcPr>
            <w:tcW w:w="945" w:type="dxa"/>
            <w:noWrap/>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0.6</w:t>
            </w:r>
          </w:p>
        </w:tc>
        <w:tc>
          <w:tcPr>
            <w:tcW w:w="1155" w:type="dxa"/>
            <w:noWrap/>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2</w:t>
            </w:r>
          </w:p>
        </w:tc>
        <w:tc>
          <w:tcPr>
            <w:tcW w:w="1063"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25</w:t>
            </w:r>
          </w:p>
        </w:tc>
        <w:tc>
          <w:tcPr>
            <w:tcW w:w="1333"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130</w:t>
            </w:r>
          </w:p>
        </w:tc>
        <w:tc>
          <w:tcPr>
            <w:tcW w:w="1157"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0.007</w:t>
            </w:r>
          </w:p>
        </w:tc>
      </w:tr>
      <w:tr w:rsidR="00644456">
        <w:trPr>
          <w:trHeight w:val="90"/>
          <w:jc w:val="center"/>
        </w:trPr>
        <w:tc>
          <w:tcPr>
            <w:tcW w:w="967"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再生尾油</w:t>
            </w:r>
          </w:p>
        </w:tc>
        <w:tc>
          <w:tcPr>
            <w:tcW w:w="1007" w:type="dxa"/>
            <w:noWrap/>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NMHC</w:t>
            </w:r>
          </w:p>
        </w:tc>
        <w:tc>
          <w:tcPr>
            <w:tcW w:w="1186" w:type="dxa"/>
            <w:noWrap/>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6000</w:t>
            </w:r>
          </w:p>
        </w:tc>
        <w:tc>
          <w:tcPr>
            <w:tcW w:w="945" w:type="dxa"/>
            <w:noWrap/>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0.6</w:t>
            </w:r>
          </w:p>
        </w:tc>
        <w:tc>
          <w:tcPr>
            <w:tcW w:w="1155" w:type="dxa"/>
            <w:noWrap/>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1.3</w:t>
            </w:r>
          </w:p>
        </w:tc>
        <w:tc>
          <w:tcPr>
            <w:tcW w:w="1063"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25</w:t>
            </w:r>
          </w:p>
        </w:tc>
        <w:tc>
          <w:tcPr>
            <w:tcW w:w="1333"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190</w:t>
            </w:r>
          </w:p>
        </w:tc>
        <w:tc>
          <w:tcPr>
            <w:tcW w:w="1157"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0.0001</w:t>
            </w:r>
          </w:p>
        </w:tc>
      </w:tr>
      <w:tr w:rsidR="00644456">
        <w:trPr>
          <w:trHeight w:val="340"/>
          <w:jc w:val="center"/>
        </w:trPr>
        <w:tc>
          <w:tcPr>
            <w:tcW w:w="7656" w:type="dxa"/>
            <w:gridSpan w:val="7"/>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合计</w:t>
            </w:r>
          </w:p>
        </w:tc>
        <w:tc>
          <w:tcPr>
            <w:tcW w:w="1157" w:type="dxa"/>
            <w:vAlign w:val="center"/>
          </w:tcPr>
          <w:p w:rsidR="00644456" w:rsidRDefault="008031C4">
            <w:pPr>
              <w:widowControl/>
              <w:jc w:val="center"/>
              <w:textAlignment w:val="center"/>
              <w:rPr>
                <w:rFonts w:cs="Times New Roman"/>
                <w:bCs/>
                <w:szCs w:val="21"/>
                <w:lang w:eastAsia="en-US"/>
              </w:rPr>
            </w:pPr>
            <w:r>
              <w:rPr>
                <w:rFonts w:cs="Times New Roman" w:hint="eastAsia"/>
                <w:bCs/>
                <w:szCs w:val="21"/>
                <w:lang w:eastAsia="en-US"/>
              </w:rPr>
              <w:t>0.018</w:t>
            </w:r>
          </w:p>
        </w:tc>
      </w:tr>
    </w:tbl>
    <w:p w:rsidR="00644456" w:rsidRDefault="008031C4">
      <w:pPr>
        <w:pStyle w:val="5"/>
        <w:numPr>
          <w:ilvl w:val="4"/>
          <w:numId w:val="0"/>
        </w:numPr>
        <w:ind w:firstLine="480"/>
        <w:rPr>
          <w:b/>
          <w:bCs w:val="0"/>
          <w:snapToGrid w:val="0"/>
          <w:color w:val="000000" w:themeColor="text1"/>
        </w:rPr>
      </w:pPr>
      <w:bookmarkStart w:id="156" w:name="_Hlk177140140"/>
      <w:bookmarkEnd w:id="155"/>
      <w:r>
        <w:rPr>
          <w:rFonts w:hint="eastAsia"/>
          <w:b/>
          <w:bCs w:val="0"/>
          <w:snapToGrid w:val="0"/>
          <w:color w:val="000000" w:themeColor="text1"/>
        </w:rPr>
        <w:lastRenderedPageBreak/>
        <w:t>2.5.2.1.6</w:t>
      </w:r>
      <w:r>
        <w:rPr>
          <w:rFonts w:hint="eastAsia"/>
          <w:b/>
          <w:bCs w:val="0"/>
          <w:snapToGrid w:val="0"/>
          <w:color w:val="000000" w:themeColor="text1"/>
        </w:rPr>
        <w:t>装置区动静密封点泄漏散发损失</w:t>
      </w:r>
    </w:p>
    <w:bookmarkEnd w:id="156"/>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hint="eastAsia"/>
          <w:bCs/>
          <w:snapToGrid w:val="0"/>
          <w:color w:val="000000" w:themeColor="text1"/>
          <w:kern w:val="0"/>
          <w:sz w:val="24"/>
        </w:rPr>
        <w:t>本项目废矿物油综合利用装置在生产过程中各密封点会泄漏一定量的有机废气。参考环境保护部发布的《石化行业</w:t>
      </w:r>
      <w:r>
        <w:rPr>
          <w:rFonts w:cs="Times New Roman" w:hint="eastAsia"/>
          <w:bCs/>
          <w:snapToGrid w:val="0"/>
          <w:color w:val="000000" w:themeColor="text1"/>
          <w:kern w:val="0"/>
          <w:sz w:val="24"/>
        </w:rPr>
        <w:t>VOCS</w:t>
      </w:r>
      <w:r>
        <w:rPr>
          <w:rFonts w:cs="Times New Roman" w:hint="eastAsia"/>
          <w:bCs/>
          <w:snapToGrid w:val="0"/>
          <w:color w:val="000000" w:themeColor="text1"/>
          <w:kern w:val="0"/>
          <w:sz w:val="24"/>
        </w:rPr>
        <w:t>污染源排查工作指南》（环办〔</w:t>
      </w:r>
      <w:r>
        <w:rPr>
          <w:rFonts w:cs="Times New Roman" w:hint="eastAsia"/>
          <w:bCs/>
          <w:snapToGrid w:val="0"/>
          <w:color w:val="000000" w:themeColor="text1"/>
          <w:kern w:val="0"/>
          <w:sz w:val="24"/>
        </w:rPr>
        <w:t>2015</w:t>
      </w:r>
      <w:r>
        <w:rPr>
          <w:rFonts w:cs="Times New Roman" w:hint="eastAsia"/>
          <w:bCs/>
          <w:snapToGrid w:val="0"/>
          <w:color w:val="000000" w:themeColor="text1"/>
          <w:kern w:val="0"/>
          <w:sz w:val="24"/>
        </w:rPr>
        <w:t>〕</w:t>
      </w:r>
      <w:r>
        <w:rPr>
          <w:rFonts w:cs="Times New Roman" w:hint="eastAsia"/>
          <w:bCs/>
          <w:snapToGrid w:val="0"/>
          <w:color w:val="000000" w:themeColor="text1"/>
          <w:kern w:val="0"/>
          <w:sz w:val="24"/>
        </w:rPr>
        <w:t>104</w:t>
      </w:r>
      <w:r>
        <w:rPr>
          <w:rFonts w:cs="Times New Roman" w:hint="eastAsia"/>
          <w:bCs/>
          <w:snapToGrid w:val="0"/>
          <w:color w:val="000000" w:themeColor="text1"/>
          <w:kern w:val="0"/>
          <w:sz w:val="24"/>
        </w:rPr>
        <w:t>号）附录一提供的核算方法进行计算。</w:t>
      </w:r>
    </w:p>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hint="eastAsia"/>
          <w:bCs/>
          <w:snapToGrid w:val="0"/>
          <w:color w:val="000000" w:themeColor="text1"/>
          <w:kern w:val="0"/>
          <w:sz w:val="24"/>
        </w:rPr>
        <w:t>石油化工密封点有机废气排放速率计算公式为：</w:t>
      </w:r>
    </w:p>
    <w:p w:rsidR="00644456" w:rsidRDefault="008031C4">
      <w:pPr>
        <w:adjustRightInd w:val="0"/>
        <w:snapToGrid w:val="0"/>
        <w:spacing w:line="360" w:lineRule="auto"/>
        <w:ind w:firstLine="482"/>
        <w:rPr>
          <w:rFonts w:cs="Times New Roman"/>
          <w:bCs/>
          <w:snapToGrid w:val="0"/>
          <w:color w:val="000000" w:themeColor="text1"/>
          <w:kern w:val="0"/>
          <w:sz w:val="24"/>
        </w:rPr>
      </w:pPr>
      <w:r>
        <w:rPr>
          <w:noProof/>
        </w:rPr>
        <w:drawing>
          <wp:inline distT="0" distB="0" distL="0" distR="0" wp14:anchorId="1B37F2DC" wp14:editId="4C6C9B17">
            <wp:extent cx="1771650" cy="75501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4"/>
                    <a:stretch>
                      <a:fillRect/>
                    </a:stretch>
                  </pic:blipFill>
                  <pic:spPr>
                    <a:xfrm>
                      <a:off x="0" y="0"/>
                      <a:ext cx="1778389" cy="758332"/>
                    </a:xfrm>
                    <a:prstGeom prst="rect">
                      <a:avLst/>
                    </a:prstGeom>
                  </pic:spPr>
                </pic:pic>
              </a:graphicData>
            </a:graphic>
          </wp:inline>
        </w:drawing>
      </w:r>
    </w:p>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hint="eastAsia"/>
          <w:bCs/>
          <w:snapToGrid w:val="0"/>
          <w:color w:val="000000" w:themeColor="text1"/>
          <w:kern w:val="0"/>
          <w:sz w:val="24"/>
        </w:rPr>
        <w:t>式中：</w:t>
      </w:r>
    </w:p>
    <w:p w:rsidR="00644456" w:rsidRDefault="008031C4">
      <w:pPr>
        <w:adjustRightInd w:val="0"/>
        <w:snapToGrid w:val="0"/>
        <w:spacing w:line="360" w:lineRule="auto"/>
        <w:ind w:firstLine="482"/>
        <w:rPr>
          <w:rFonts w:cs="Times New Roman"/>
          <w:bCs/>
          <w:snapToGrid w:val="0"/>
          <w:color w:val="000000" w:themeColor="text1"/>
          <w:kern w:val="0"/>
          <w:sz w:val="24"/>
        </w:rPr>
      </w:pPr>
      <w:r>
        <w:rPr>
          <w:noProof/>
        </w:rPr>
        <w:drawing>
          <wp:inline distT="0" distB="0" distL="0" distR="0" wp14:anchorId="7D86B1E5" wp14:editId="336397A7">
            <wp:extent cx="381000" cy="2311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5"/>
                    <a:stretch>
                      <a:fillRect/>
                    </a:stretch>
                  </pic:blipFill>
                  <pic:spPr>
                    <a:xfrm>
                      <a:off x="0" y="0"/>
                      <a:ext cx="383987" cy="233404"/>
                    </a:xfrm>
                    <a:prstGeom prst="rect">
                      <a:avLst/>
                    </a:prstGeom>
                  </pic:spPr>
                </pic:pic>
              </a:graphicData>
            </a:graphic>
          </wp:inline>
        </w:drawing>
      </w:r>
      <w:r>
        <w:rPr>
          <w:rFonts w:cs="Times New Roman" w:hint="eastAsia"/>
          <w:bCs/>
          <w:snapToGrid w:val="0"/>
          <w:color w:val="000000" w:themeColor="text1"/>
          <w:kern w:val="0"/>
          <w:sz w:val="24"/>
        </w:rPr>
        <w:t>——某类密封点的</w:t>
      </w:r>
      <w:r>
        <w:rPr>
          <w:rFonts w:cs="Times New Roman" w:hint="eastAsia"/>
          <w:bCs/>
          <w:snapToGrid w:val="0"/>
          <w:color w:val="000000" w:themeColor="text1"/>
          <w:kern w:val="0"/>
          <w:sz w:val="24"/>
        </w:rPr>
        <w:t>TOC</w:t>
      </w:r>
      <w:r>
        <w:rPr>
          <w:rFonts w:cs="Times New Roman" w:hint="eastAsia"/>
          <w:bCs/>
          <w:snapToGrid w:val="0"/>
          <w:color w:val="000000" w:themeColor="text1"/>
          <w:kern w:val="0"/>
          <w:sz w:val="24"/>
        </w:rPr>
        <w:t>排放速率，</w:t>
      </w:r>
      <w:r>
        <w:rPr>
          <w:rFonts w:cs="Times New Roman" w:hint="eastAsia"/>
          <w:bCs/>
          <w:snapToGrid w:val="0"/>
          <w:color w:val="000000" w:themeColor="text1"/>
          <w:kern w:val="0"/>
          <w:sz w:val="24"/>
        </w:rPr>
        <w:t>kg/h</w:t>
      </w:r>
      <w:r>
        <w:rPr>
          <w:rFonts w:cs="Times New Roman" w:hint="eastAsia"/>
          <w:bCs/>
          <w:snapToGrid w:val="0"/>
          <w:color w:val="000000" w:themeColor="text1"/>
          <w:kern w:val="0"/>
          <w:sz w:val="24"/>
        </w:rPr>
        <w:t>；</w:t>
      </w:r>
    </w:p>
    <w:p w:rsidR="00644456" w:rsidRDefault="008031C4">
      <w:pPr>
        <w:adjustRightInd w:val="0"/>
        <w:snapToGrid w:val="0"/>
        <w:spacing w:line="360" w:lineRule="auto"/>
        <w:ind w:firstLine="482"/>
        <w:rPr>
          <w:rFonts w:cs="Times New Roman"/>
          <w:bCs/>
          <w:snapToGrid w:val="0"/>
          <w:color w:val="000000" w:themeColor="text1"/>
          <w:kern w:val="0"/>
          <w:sz w:val="24"/>
        </w:rPr>
      </w:pPr>
      <w:r>
        <w:rPr>
          <w:noProof/>
        </w:rPr>
        <w:drawing>
          <wp:inline distT="0" distB="0" distL="0" distR="0" wp14:anchorId="0EBDA615" wp14:editId="1C9920E3">
            <wp:extent cx="323850" cy="185420"/>
            <wp:effectExtent l="0" t="0" r="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6"/>
                    <a:stretch>
                      <a:fillRect/>
                    </a:stretch>
                  </pic:blipFill>
                  <pic:spPr>
                    <a:xfrm>
                      <a:off x="0" y="0"/>
                      <a:ext cx="326610" cy="187627"/>
                    </a:xfrm>
                    <a:prstGeom prst="rect">
                      <a:avLst/>
                    </a:prstGeom>
                  </pic:spPr>
                </pic:pic>
              </a:graphicData>
            </a:graphic>
          </wp:inline>
        </w:drawing>
      </w:r>
      <w:r>
        <w:rPr>
          <w:rFonts w:cs="Times New Roman" w:hint="eastAsia"/>
          <w:bCs/>
          <w:snapToGrid w:val="0"/>
          <w:color w:val="000000" w:themeColor="text1"/>
          <w:kern w:val="0"/>
          <w:sz w:val="24"/>
        </w:rPr>
        <w:t>——某类密封点的</w:t>
      </w:r>
      <w:r>
        <w:rPr>
          <w:rFonts w:cs="Times New Roman" w:hint="eastAsia"/>
          <w:bCs/>
          <w:snapToGrid w:val="0"/>
          <w:color w:val="000000" w:themeColor="text1"/>
          <w:kern w:val="0"/>
          <w:sz w:val="24"/>
        </w:rPr>
        <w:t>TOC</w:t>
      </w:r>
      <w:r>
        <w:rPr>
          <w:rFonts w:cs="Times New Roman" w:hint="eastAsia"/>
          <w:bCs/>
          <w:snapToGrid w:val="0"/>
          <w:color w:val="000000" w:themeColor="text1"/>
          <w:kern w:val="0"/>
          <w:sz w:val="24"/>
        </w:rPr>
        <w:t>排放速率，</w:t>
      </w:r>
      <w:r>
        <w:rPr>
          <w:rFonts w:cs="Times New Roman" w:hint="eastAsia"/>
          <w:bCs/>
          <w:snapToGrid w:val="0"/>
          <w:color w:val="000000" w:themeColor="text1"/>
          <w:kern w:val="0"/>
          <w:sz w:val="24"/>
        </w:rPr>
        <w:t>kg/h</w:t>
      </w:r>
      <w:r>
        <w:rPr>
          <w:rFonts w:cs="Times New Roman" w:hint="eastAsia"/>
          <w:bCs/>
          <w:snapToGrid w:val="0"/>
          <w:color w:val="000000" w:themeColor="text1"/>
          <w:kern w:val="0"/>
          <w:sz w:val="24"/>
        </w:rPr>
        <w:t>；</w:t>
      </w:r>
    </w:p>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hint="eastAsia"/>
          <w:bCs/>
          <w:snapToGrid w:val="0"/>
          <w:color w:val="000000" w:themeColor="text1"/>
          <w:kern w:val="0"/>
          <w:sz w:val="24"/>
        </w:rPr>
        <w:t>FA</w:t>
      </w:r>
      <w:r>
        <w:rPr>
          <w:rFonts w:cs="Times New Roman" w:hint="eastAsia"/>
          <w:bCs/>
          <w:snapToGrid w:val="0"/>
          <w:color w:val="000000" w:themeColor="text1"/>
          <w:kern w:val="0"/>
          <w:sz w:val="24"/>
        </w:rPr>
        <w:t>——某类密封点排放系数；</w:t>
      </w:r>
    </w:p>
    <w:p w:rsidR="00644456" w:rsidRDefault="008031C4">
      <w:pPr>
        <w:adjustRightInd w:val="0"/>
        <w:snapToGrid w:val="0"/>
        <w:spacing w:line="360" w:lineRule="auto"/>
        <w:ind w:firstLine="482"/>
        <w:rPr>
          <w:rFonts w:cs="Times New Roman"/>
          <w:bCs/>
          <w:snapToGrid w:val="0"/>
          <w:color w:val="000000" w:themeColor="text1"/>
          <w:kern w:val="0"/>
          <w:sz w:val="24"/>
        </w:rPr>
      </w:pPr>
      <w:r>
        <w:rPr>
          <w:noProof/>
        </w:rPr>
        <w:drawing>
          <wp:inline distT="0" distB="0" distL="0" distR="0" wp14:anchorId="398F7337" wp14:editId="4F43DB26">
            <wp:extent cx="495300" cy="17589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7"/>
                    <a:stretch>
                      <a:fillRect/>
                    </a:stretch>
                  </pic:blipFill>
                  <pic:spPr>
                    <a:xfrm>
                      <a:off x="0" y="0"/>
                      <a:ext cx="500740" cy="178229"/>
                    </a:xfrm>
                    <a:prstGeom prst="rect">
                      <a:avLst/>
                    </a:prstGeom>
                  </pic:spPr>
                </pic:pic>
              </a:graphicData>
            </a:graphic>
          </wp:inline>
        </w:drawing>
      </w:r>
      <w:r>
        <w:rPr>
          <w:rFonts w:cs="Times New Roman" w:hint="eastAsia"/>
          <w:bCs/>
          <w:snapToGrid w:val="0"/>
          <w:color w:val="000000" w:themeColor="text1"/>
          <w:kern w:val="0"/>
          <w:sz w:val="24"/>
        </w:rPr>
        <w:t>——物料流中含</w:t>
      </w:r>
      <w:r>
        <w:rPr>
          <w:rFonts w:cs="Times New Roman" w:hint="eastAsia"/>
          <w:bCs/>
          <w:snapToGrid w:val="0"/>
          <w:color w:val="000000" w:themeColor="text1"/>
          <w:kern w:val="0"/>
          <w:sz w:val="24"/>
        </w:rPr>
        <w:t>TOC</w:t>
      </w:r>
      <w:r>
        <w:rPr>
          <w:rFonts w:cs="Times New Roman" w:hint="eastAsia"/>
          <w:bCs/>
          <w:snapToGrid w:val="0"/>
          <w:color w:val="000000" w:themeColor="text1"/>
          <w:kern w:val="0"/>
          <w:sz w:val="24"/>
        </w:rPr>
        <w:t>的平均质量分数；</w:t>
      </w:r>
    </w:p>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hint="eastAsia"/>
          <w:bCs/>
          <w:snapToGrid w:val="0"/>
          <w:color w:val="000000" w:themeColor="text1"/>
          <w:kern w:val="0"/>
          <w:sz w:val="24"/>
        </w:rPr>
        <w:t>N</w:t>
      </w:r>
      <w:r>
        <w:rPr>
          <w:rFonts w:cs="Times New Roman" w:hint="eastAsia"/>
          <w:bCs/>
          <w:snapToGrid w:val="0"/>
          <w:color w:val="000000" w:themeColor="text1"/>
          <w:kern w:val="0"/>
          <w:sz w:val="24"/>
        </w:rPr>
        <w:t>——某类密封点的个数；</w:t>
      </w:r>
    </w:p>
    <w:p w:rsidR="00644456" w:rsidRDefault="008031C4">
      <w:pPr>
        <w:adjustRightInd w:val="0"/>
        <w:snapToGrid w:val="0"/>
        <w:spacing w:line="360" w:lineRule="auto"/>
        <w:ind w:firstLine="482"/>
        <w:rPr>
          <w:rFonts w:cs="Times New Roman"/>
          <w:bCs/>
          <w:snapToGrid w:val="0"/>
          <w:color w:val="000000" w:themeColor="text1"/>
          <w:kern w:val="0"/>
          <w:sz w:val="24"/>
        </w:rPr>
      </w:pPr>
      <w:r>
        <w:rPr>
          <w:noProof/>
        </w:rPr>
        <w:drawing>
          <wp:inline distT="0" distB="0" distL="0" distR="0" wp14:anchorId="793B164B" wp14:editId="6AD3451D">
            <wp:extent cx="335280" cy="247015"/>
            <wp:effectExtent l="0" t="0" r="762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8"/>
                    <a:stretch>
                      <a:fillRect/>
                    </a:stretch>
                  </pic:blipFill>
                  <pic:spPr>
                    <a:xfrm>
                      <a:off x="0" y="0"/>
                      <a:ext cx="339751" cy="250005"/>
                    </a:xfrm>
                    <a:prstGeom prst="rect">
                      <a:avLst/>
                    </a:prstGeom>
                  </pic:spPr>
                </pic:pic>
              </a:graphicData>
            </a:graphic>
          </wp:inline>
        </w:drawing>
      </w:r>
      <w:r>
        <w:rPr>
          <w:rFonts w:cs="Times New Roman" w:hint="eastAsia"/>
          <w:bCs/>
          <w:snapToGrid w:val="0"/>
          <w:color w:val="000000" w:themeColor="text1"/>
          <w:kern w:val="0"/>
          <w:sz w:val="24"/>
        </w:rPr>
        <w:t>——物料流中含</w:t>
      </w:r>
      <w:r>
        <w:rPr>
          <w:rFonts w:cs="Times New Roman" w:hint="eastAsia"/>
          <w:bCs/>
          <w:snapToGrid w:val="0"/>
          <w:color w:val="000000" w:themeColor="text1"/>
          <w:kern w:val="0"/>
          <w:sz w:val="24"/>
        </w:rPr>
        <w:t>VOCS</w:t>
      </w:r>
      <w:r>
        <w:rPr>
          <w:rFonts w:cs="Times New Roman" w:hint="eastAsia"/>
          <w:bCs/>
          <w:snapToGrid w:val="0"/>
          <w:color w:val="000000" w:themeColor="text1"/>
          <w:kern w:val="0"/>
          <w:sz w:val="24"/>
        </w:rPr>
        <w:t>的平均质量分数；</w:t>
      </w:r>
    </w:p>
    <w:p w:rsidR="00644456" w:rsidRDefault="008031C4">
      <w:pPr>
        <w:adjustRightInd w:val="0"/>
        <w:snapToGrid w:val="0"/>
        <w:spacing w:line="360" w:lineRule="auto"/>
        <w:ind w:firstLine="482"/>
        <w:rPr>
          <w:rFonts w:cs="Times New Roman"/>
          <w:bCs/>
          <w:snapToGrid w:val="0"/>
          <w:color w:val="000000" w:themeColor="text1"/>
          <w:kern w:val="0"/>
          <w:sz w:val="24"/>
        </w:rPr>
        <w:sectPr w:rsidR="00644456">
          <w:pgSz w:w="11905" w:h="16838"/>
          <w:pgMar w:top="1440" w:right="1440" w:bottom="1440" w:left="1440" w:header="850" w:footer="992" w:gutter="0"/>
          <w:cols w:space="0"/>
          <w:docGrid w:linePitch="312"/>
        </w:sectPr>
      </w:pPr>
      <w:r>
        <w:rPr>
          <w:rFonts w:cs="Times New Roman" w:hint="eastAsia"/>
          <w:bCs/>
          <w:snapToGrid w:val="0"/>
          <w:color w:val="000000" w:themeColor="text1"/>
          <w:kern w:val="0"/>
          <w:sz w:val="24"/>
        </w:rPr>
        <w:t>根据上述公式，可以计算出废矿物油综合利用装置的无组织有机废气产生量，见表</w:t>
      </w:r>
      <w:r>
        <w:rPr>
          <w:rFonts w:cs="Times New Roman" w:hint="eastAsia"/>
          <w:bCs/>
          <w:snapToGrid w:val="0"/>
          <w:color w:val="000000" w:themeColor="text1"/>
          <w:kern w:val="0"/>
          <w:sz w:val="24"/>
        </w:rPr>
        <w:t>3.3-9</w:t>
      </w:r>
      <w:r>
        <w:rPr>
          <w:rFonts w:cs="Times New Roman" w:hint="eastAsia"/>
          <w:bCs/>
          <w:snapToGrid w:val="0"/>
          <w:color w:val="000000" w:themeColor="text1"/>
          <w:kern w:val="0"/>
          <w:sz w:val="24"/>
        </w:rPr>
        <w:t>。其中，蒸馏装置的无组织有机废气以非甲烷总烃计，溶剂精制装置的无组织有机废气以非甲烷总烃和</w:t>
      </w:r>
      <w:r>
        <w:rPr>
          <w:rFonts w:cs="Times New Roman"/>
          <w:bCs/>
          <w:snapToGrid w:val="0"/>
          <w:color w:val="000000" w:themeColor="text1"/>
          <w:kern w:val="0"/>
          <w:sz w:val="24"/>
        </w:rPr>
        <w:t>NMP</w:t>
      </w:r>
      <w:r>
        <w:rPr>
          <w:rFonts w:cs="Times New Roman" w:hint="eastAsia"/>
          <w:bCs/>
          <w:snapToGrid w:val="0"/>
          <w:color w:val="000000" w:themeColor="text1"/>
          <w:kern w:val="0"/>
          <w:sz w:val="24"/>
        </w:rPr>
        <w:t>为主，根据装置内基础油及</w:t>
      </w:r>
      <w:r>
        <w:rPr>
          <w:rFonts w:cs="Times New Roman" w:hint="eastAsia"/>
          <w:bCs/>
          <w:snapToGrid w:val="0"/>
          <w:color w:val="000000" w:themeColor="text1"/>
          <w:kern w:val="0"/>
          <w:sz w:val="24"/>
        </w:rPr>
        <w:t>DMF</w:t>
      </w:r>
      <w:r>
        <w:rPr>
          <w:rFonts w:cs="Times New Roman" w:hint="eastAsia"/>
          <w:bCs/>
          <w:snapToGrid w:val="0"/>
          <w:color w:val="000000" w:themeColor="text1"/>
          <w:kern w:val="0"/>
          <w:sz w:val="24"/>
        </w:rPr>
        <w:t>的在线量，无组织废气中非甲烷总烃和</w:t>
      </w:r>
      <w:r>
        <w:rPr>
          <w:rFonts w:cs="Times New Roman"/>
          <w:bCs/>
          <w:snapToGrid w:val="0"/>
          <w:color w:val="000000" w:themeColor="text1"/>
          <w:kern w:val="0"/>
          <w:sz w:val="24"/>
        </w:rPr>
        <w:t>NMP</w:t>
      </w:r>
      <w:r>
        <w:rPr>
          <w:rFonts w:cs="Times New Roman" w:hint="eastAsia"/>
          <w:bCs/>
          <w:snapToGrid w:val="0"/>
          <w:color w:val="000000" w:themeColor="text1"/>
          <w:kern w:val="0"/>
          <w:sz w:val="24"/>
        </w:rPr>
        <w:t>的比例拟定为</w:t>
      </w:r>
      <w:r>
        <w:rPr>
          <w:rFonts w:cs="Times New Roman" w:hint="eastAsia"/>
          <w:bCs/>
          <w:snapToGrid w:val="0"/>
          <w:color w:val="000000" w:themeColor="text1"/>
          <w:kern w:val="0"/>
          <w:sz w:val="24"/>
        </w:rPr>
        <w:t>1</w:t>
      </w:r>
      <w:r>
        <w:rPr>
          <w:rFonts w:cs="Times New Roman" w:hint="eastAsia"/>
          <w:bCs/>
          <w:snapToGrid w:val="0"/>
          <w:color w:val="000000" w:themeColor="text1"/>
          <w:kern w:val="0"/>
          <w:sz w:val="24"/>
        </w:rPr>
        <w:t>：</w:t>
      </w:r>
      <w:r>
        <w:rPr>
          <w:rFonts w:cs="Times New Roman" w:hint="eastAsia"/>
          <w:bCs/>
          <w:snapToGrid w:val="0"/>
          <w:color w:val="000000" w:themeColor="text1"/>
          <w:kern w:val="0"/>
          <w:sz w:val="24"/>
        </w:rPr>
        <w:t>2</w:t>
      </w:r>
      <w:r>
        <w:rPr>
          <w:rFonts w:cs="Times New Roman" w:hint="eastAsia"/>
          <w:bCs/>
          <w:snapToGrid w:val="0"/>
          <w:color w:val="000000" w:themeColor="text1"/>
          <w:kern w:val="0"/>
          <w:sz w:val="24"/>
        </w:rPr>
        <w:t>。</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lastRenderedPageBreak/>
        <w:t>表</w:t>
      </w:r>
      <w:r>
        <w:rPr>
          <w:rFonts w:cs="Times New Roman" w:hint="eastAsia"/>
          <w:b/>
          <w:color w:val="000000" w:themeColor="text1"/>
          <w:sz w:val="24"/>
          <w:szCs w:val="20"/>
        </w:rPr>
        <w:t>2.5-8</w:t>
      </w:r>
      <w:r>
        <w:rPr>
          <w:rFonts w:cs="Times New Roman" w:hint="eastAsia"/>
          <w:b/>
          <w:color w:val="000000" w:themeColor="text1"/>
          <w:sz w:val="24"/>
          <w:szCs w:val="20"/>
        </w:rPr>
        <w:t>设备动静密封点</w:t>
      </w:r>
      <w:r>
        <w:rPr>
          <w:rFonts w:cs="Times New Roman" w:hint="eastAsia"/>
          <w:b/>
          <w:color w:val="000000" w:themeColor="text1"/>
          <w:sz w:val="24"/>
          <w:szCs w:val="20"/>
        </w:rPr>
        <w:t>NMHC</w:t>
      </w:r>
      <w:r>
        <w:rPr>
          <w:rFonts w:cs="Times New Roman" w:hint="eastAsia"/>
          <w:b/>
          <w:color w:val="000000" w:themeColor="text1"/>
          <w:sz w:val="24"/>
          <w:szCs w:val="20"/>
        </w:rPr>
        <w:t>产生量估算</w:t>
      </w:r>
    </w:p>
    <w:tbl>
      <w:tblPr>
        <w:tblStyle w:val="affff4"/>
        <w:tblW w:w="0" w:type="auto"/>
        <w:tblLook w:val="04A0" w:firstRow="1" w:lastRow="0" w:firstColumn="1" w:lastColumn="0" w:noHBand="0" w:noVBand="1"/>
      </w:tblPr>
      <w:tblGrid>
        <w:gridCol w:w="988"/>
        <w:gridCol w:w="1504"/>
        <w:gridCol w:w="1246"/>
        <w:gridCol w:w="1246"/>
        <w:gridCol w:w="1532"/>
        <w:gridCol w:w="1139"/>
        <w:gridCol w:w="1554"/>
        <w:gridCol w:w="2134"/>
        <w:gridCol w:w="1296"/>
        <w:gridCol w:w="1248"/>
      </w:tblGrid>
      <w:tr w:rsidR="00644456">
        <w:tc>
          <w:tcPr>
            <w:tcW w:w="988" w:type="dxa"/>
            <w:vAlign w:val="center"/>
          </w:tcPr>
          <w:p w:rsidR="00644456" w:rsidRDefault="008031C4">
            <w:pPr>
              <w:kinsoku w:val="0"/>
              <w:wordWrap w:val="0"/>
              <w:adjustRightInd w:val="0"/>
              <w:snapToGrid w:val="0"/>
              <w:jc w:val="center"/>
              <w:rPr>
                <w:rFonts w:cs="Times New Roman"/>
                <w:color w:val="000000" w:themeColor="text1"/>
                <w:szCs w:val="21"/>
              </w:rPr>
            </w:pPr>
            <w:bookmarkStart w:id="157" w:name="_Hlk177140148"/>
            <w:r>
              <w:rPr>
                <w:rFonts w:cs="Times New Roman" w:hint="eastAsia"/>
                <w:color w:val="000000" w:themeColor="text1"/>
                <w:szCs w:val="21"/>
              </w:rPr>
              <w:t>装置名称</w:t>
            </w:r>
          </w:p>
        </w:tc>
        <w:tc>
          <w:tcPr>
            <w:tcW w:w="1504"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设备</w:t>
            </w:r>
          </w:p>
        </w:tc>
        <w:tc>
          <w:tcPr>
            <w:tcW w:w="1246"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介质类别</w:t>
            </w:r>
          </w:p>
        </w:tc>
        <w:tc>
          <w:tcPr>
            <w:tcW w:w="1246"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设备数量</w:t>
            </w:r>
          </w:p>
        </w:tc>
        <w:tc>
          <w:tcPr>
            <w:tcW w:w="1532"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TOC</w:t>
            </w:r>
            <w:r>
              <w:rPr>
                <w:rFonts w:cs="Times New Roman" w:hint="eastAsia"/>
                <w:color w:val="000000" w:themeColor="text1"/>
                <w:szCs w:val="21"/>
              </w:rPr>
              <w:t>排放因子</w:t>
            </w:r>
            <w:r>
              <w:rPr>
                <w:rFonts w:cs="Times New Roman" w:hint="eastAsia"/>
                <w:color w:val="000000" w:themeColor="text1"/>
                <w:szCs w:val="21"/>
              </w:rPr>
              <w:t>FA(kg/h)</w:t>
            </w:r>
          </w:p>
        </w:tc>
        <w:tc>
          <w:tcPr>
            <w:tcW w:w="1139"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color w:val="000000" w:themeColor="text1"/>
                <w:szCs w:val="21"/>
              </w:rPr>
              <w:t>WFTOC</w:t>
            </w:r>
          </w:p>
        </w:tc>
        <w:tc>
          <w:tcPr>
            <w:tcW w:w="1554"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color w:val="000000" w:themeColor="text1"/>
                <w:szCs w:val="21"/>
              </w:rPr>
              <w:t>WFVOC/WFTOC</w:t>
            </w:r>
          </w:p>
        </w:tc>
        <w:tc>
          <w:tcPr>
            <w:tcW w:w="2134"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操作时间（</w:t>
            </w:r>
            <w:r>
              <w:rPr>
                <w:rFonts w:cs="Times New Roman" w:hint="eastAsia"/>
                <w:color w:val="000000" w:themeColor="text1"/>
                <w:szCs w:val="21"/>
              </w:rPr>
              <w:t>h</w:t>
            </w:r>
            <w:r>
              <w:rPr>
                <w:rFonts w:cs="Times New Roman" w:hint="eastAsia"/>
                <w:color w:val="000000" w:themeColor="text1"/>
                <w:szCs w:val="21"/>
              </w:rPr>
              <w:t>）</w:t>
            </w:r>
          </w:p>
        </w:tc>
        <w:tc>
          <w:tcPr>
            <w:tcW w:w="1248"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VOCs</w:t>
            </w:r>
            <w:r>
              <w:rPr>
                <w:rFonts w:cs="Times New Roman" w:hint="eastAsia"/>
                <w:color w:val="000000" w:themeColor="text1"/>
                <w:szCs w:val="21"/>
              </w:rPr>
              <w:t>排</w:t>
            </w:r>
          </w:p>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放量（</w:t>
            </w:r>
            <w:r>
              <w:rPr>
                <w:rFonts w:cs="Times New Roman" w:hint="eastAsia"/>
                <w:color w:val="000000" w:themeColor="text1"/>
                <w:szCs w:val="21"/>
              </w:rPr>
              <w:t>t/a</w:t>
            </w:r>
            <w:r>
              <w:rPr>
                <w:rFonts w:cs="Times New Roman" w:hint="eastAsia"/>
                <w:color w:val="000000" w:themeColor="text1"/>
                <w:szCs w:val="21"/>
              </w:rPr>
              <w:t>）</w:t>
            </w:r>
          </w:p>
        </w:tc>
        <w:tc>
          <w:tcPr>
            <w:tcW w:w="1248"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VOCs</w:t>
            </w:r>
            <w:r>
              <w:rPr>
                <w:rFonts w:cs="Times New Roman" w:hint="eastAsia"/>
                <w:color w:val="000000" w:themeColor="text1"/>
                <w:szCs w:val="21"/>
              </w:rPr>
              <w:t>排放量（</w:t>
            </w:r>
            <w:r>
              <w:rPr>
                <w:rFonts w:cs="Times New Roman" w:hint="eastAsia"/>
                <w:color w:val="000000" w:themeColor="text1"/>
                <w:szCs w:val="21"/>
              </w:rPr>
              <w:t>kg/h</w:t>
            </w:r>
            <w:r>
              <w:rPr>
                <w:rFonts w:cs="Times New Roman" w:hint="eastAsia"/>
                <w:color w:val="000000" w:themeColor="text1"/>
                <w:szCs w:val="21"/>
              </w:rPr>
              <w:t>）</w:t>
            </w:r>
          </w:p>
        </w:tc>
      </w:tr>
      <w:tr w:rsidR="00644456">
        <w:tc>
          <w:tcPr>
            <w:tcW w:w="988" w:type="dxa"/>
            <w:vMerge w:val="restart"/>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蒸馏装置</w:t>
            </w:r>
          </w:p>
        </w:tc>
        <w:tc>
          <w:tcPr>
            <w:tcW w:w="1504"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阀门</w:t>
            </w:r>
          </w:p>
        </w:tc>
        <w:tc>
          <w:tcPr>
            <w:tcW w:w="1246"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重液体</w:t>
            </w:r>
          </w:p>
        </w:tc>
        <w:tc>
          <w:tcPr>
            <w:tcW w:w="1246"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5</w:t>
            </w:r>
            <w:r>
              <w:rPr>
                <w:rFonts w:cs="Times New Roman"/>
                <w:color w:val="000000" w:themeColor="text1"/>
                <w:szCs w:val="21"/>
              </w:rPr>
              <w:t>0</w:t>
            </w:r>
          </w:p>
        </w:tc>
        <w:tc>
          <w:tcPr>
            <w:tcW w:w="1532"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w:t>
            </w:r>
            <w:r>
              <w:rPr>
                <w:rFonts w:cs="Times New Roman"/>
                <w:color w:val="000000" w:themeColor="text1"/>
                <w:szCs w:val="21"/>
              </w:rPr>
              <w:t>.00023</w:t>
            </w:r>
          </w:p>
        </w:tc>
        <w:tc>
          <w:tcPr>
            <w:tcW w:w="1139"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color w:val="000000" w:themeColor="text1"/>
                <w:szCs w:val="21"/>
              </w:rPr>
              <w:t>100%</w:t>
            </w:r>
          </w:p>
        </w:tc>
        <w:tc>
          <w:tcPr>
            <w:tcW w:w="1554"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1</w:t>
            </w:r>
          </w:p>
        </w:tc>
        <w:tc>
          <w:tcPr>
            <w:tcW w:w="2134"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7</w:t>
            </w:r>
            <w:r>
              <w:rPr>
                <w:rFonts w:cs="Times New Roman"/>
                <w:color w:val="000000" w:themeColor="text1"/>
                <w:szCs w:val="21"/>
              </w:rPr>
              <w:t>200h</w:t>
            </w:r>
          </w:p>
        </w:tc>
        <w:tc>
          <w:tcPr>
            <w:tcW w:w="1248"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0.0576</w:t>
            </w:r>
          </w:p>
        </w:tc>
        <w:tc>
          <w:tcPr>
            <w:tcW w:w="1248"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0.008</w:t>
            </w:r>
          </w:p>
        </w:tc>
      </w:tr>
      <w:tr w:rsidR="00644456">
        <w:tc>
          <w:tcPr>
            <w:tcW w:w="988" w:type="dxa"/>
            <w:vMerge/>
            <w:vAlign w:val="center"/>
          </w:tcPr>
          <w:p w:rsidR="00644456" w:rsidRDefault="00644456">
            <w:pPr>
              <w:kinsoku w:val="0"/>
              <w:wordWrap w:val="0"/>
              <w:adjustRightInd w:val="0"/>
              <w:snapToGrid w:val="0"/>
              <w:jc w:val="center"/>
              <w:rPr>
                <w:rFonts w:cs="Times New Roman"/>
                <w:color w:val="000000" w:themeColor="text1"/>
                <w:szCs w:val="21"/>
              </w:rPr>
            </w:pPr>
          </w:p>
        </w:tc>
        <w:tc>
          <w:tcPr>
            <w:tcW w:w="1504"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法兰、连接件</w:t>
            </w:r>
          </w:p>
        </w:tc>
        <w:tc>
          <w:tcPr>
            <w:tcW w:w="1246"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所有</w:t>
            </w:r>
          </w:p>
        </w:tc>
        <w:tc>
          <w:tcPr>
            <w:tcW w:w="1246"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40</w:t>
            </w:r>
          </w:p>
        </w:tc>
        <w:tc>
          <w:tcPr>
            <w:tcW w:w="1532"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w:t>
            </w:r>
            <w:r>
              <w:rPr>
                <w:rFonts w:cs="Times New Roman"/>
                <w:color w:val="000000" w:themeColor="text1"/>
                <w:szCs w:val="21"/>
              </w:rPr>
              <w:t>.00183</w:t>
            </w:r>
          </w:p>
        </w:tc>
        <w:tc>
          <w:tcPr>
            <w:tcW w:w="1139"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color w:val="000000" w:themeColor="text1"/>
                <w:szCs w:val="21"/>
              </w:rPr>
              <w:t>100%</w:t>
            </w:r>
          </w:p>
        </w:tc>
        <w:tc>
          <w:tcPr>
            <w:tcW w:w="1554" w:type="dxa"/>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1</w:t>
            </w:r>
          </w:p>
        </w:tc>
        <w:tc>
          <w:tcPr>
            <w:tcW w:w="2134" w:type="dxa"/>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7</w:t>
            </w:r>
            <w:r>
              <w:rPr>
                <w:rFonts w:cs="Times New Roman"/>
                <w:color w:val="000000" w:themeColor="text1"/>
                <w:szCs w:val="21"/>
              </w:rPr>
              <w:t>200h</w:t>
            </w:r>
          </w:p>
        </w:tc>
        <w:tc>
          <w:tcPr>
            <w:tcW w:w="1248"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0.3528</w:t>
            </w:r>
          </w:p>
        </w:tc>
        <w:tc>
          <w:tcPr>
            <w:tcW w:w="1248"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0.049</w:t>
            </w:r>
          </w:p>
        </w:tc>
      </w:tr>
      <w:tr w:rsidR="00644456">
        <w:tc>
          <w:tcPr>
            <w:tcW w:w="988" w:type="dxa"/>
            <w:vMerge/>
            <w:vAlign w:val="center"/>
          </w:tcPr>
          <w:p w:rsidR="00644456" w:rsidRDefault="00644456">
            <w:pPr>
              <w:kinsoku w:val="0"/>
              <w:wordWrap w:val="0"/>
              <w:adjustRightInd w:val="0"/>
              <w:snapToGrid w:val="0"/>
              <w:jc w:val="center"/>
              <w:rPr>
                <w:rFonts w:cs="Times New Roman"/>
                <w:color w:val="000000" w:themeColor="text1"/>
                <w:szCs w:val="21"/>
              </w:rPr>
            </w:pPr>
          </w:p>
        </w:tc>
        <w:tc>
          <w:tcPr>
            <w:tcW w:w="1504"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泵</w:t>
            </w:r>
          </w:p>
        </w:tc>
        <w:tc>
          <w:tcPr>
            <w:tcW w:w="1246"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重液体</w:t>
            </w:r>
          </w:p>
        </w:tc>
        <w:tc>
          <w:tcPr>
            <w:tcW w:w="1246"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2</w:t>
            </w:r>
            <w:r>
              <w:rPr>
                <w:rFonts w:cs="Times New Roman"/>
                <w:color w:val="000000" w:themeColor="text1"/>
                <w:szCs w:val="21"/>
              </w:rPr>
              <w:t>1</w:t>
            </w:r>
          </w:p>
        </w:tc>
        <w:tc>
          <w:tcPr>
            <w:tcW w:w="1532"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w:t>
            </w:r>
            <w:r>
              <w:rPr>
                <w:rFonts w:cs="Times New Roman"/>
                <w:color w:val="000000" w:themeColor="text1"/>
                <w:szCs w:val="21"/>
              </w:rPr>
              <w:t>.00862</w:t>
            </w:r>
          </w:p>
        </w:tc>
        <w:tc>
          <w:tcPr>
            <w:tcW w:w="1139"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color w:val="000000" w:themeColor="text1"/>
                <w:szCs w:val="21"/>
              </w:rPr>
              <w:t>100%</w:t>
            </w:r>
          </w:p>
        </w:tc>
        <w:tc>
          <w:tcPr>
            <w:tcW w:w="1554" w:type="dxa"/>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1</w:t>
            </w:r>
          </w:p>
        </w:tc>
        <w:tc>
          <w:tcPr>
            <w:tcW w:w="2134" w:type="dxa"/>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7</w:t>
            </w:r>
            <w:r>
              <w:rPr>
                <w:rFonts w:cs="Times New Roman"/>
                <w:color w:val="000000" w:themeColor="text1"/>
                <w:szCs w:val="21"/>
              </w:rPr>
              <w:t>200h</w:t>
            </w:r>
          </w:p>
        </w:tc>
        <w:tc>
          <w:tcPr>
            <w:tcW w:w="1248"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0.8712</w:t>
            </w:r>
          </w:p>
        </w:tc>
        <w:tc>
          <w:tcPr>
            <w:tcW w:w="1248"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0.121</w:t>
            </w:r>
          </w:p>
        </w:tc>
      </w:tr>
      <w:tr w:rsidR="00644456">
        <w:tc>
          <w:tcPr>
            <w:tcW w:w="988" w:type="dxa"/>
            <w:vMerge/>
            <w:vAlign w:val="center"/>
          </w:tcPr>
          <w:p w:rsidR="00644456" w:rsidRDefault="00644456">
            <w:pPr>
              <w:kinsoku w:val="0"/>
              <w:wordWrap w:val="0"/>
              <w:adjustRightInd w:val="0"/>
              <w:snapToGrid w:val="0"/>
              <w:jc w:val="center"/>
              <w:rPr>
                <w:rFonts w:cs="Times New Roman"/>
                <w:color w:val="000000" w:themeColor="text1"/>
                <w:szCs w:val="21"/>
              </w:rPr>
            </w:pPr>
          </w:p>
        </w:tc>
        <w:tc>
          <w:tcPr>
            <w:tcW w:w="1504"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取样连线系统</w:t>
            </w:r>
          </w:p>
        </w:tc>
        <w:tc>
          <w:tcPr>
            <w:tcW w:w="1246"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所有</w:t>
            </w:r>
          </w:p>
        </w:tc>
        <w:tc>
          <w:tcPr>
            <w:tcW w:w="1246"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5</w:t>
            </w:r>
          </w:p>
        </w:tc>
        <w:tc>
          <w:tcPr>
            <w:tcW w:w="1532"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w:t>
            </w:r>
            <w:r>
              <w:rPr>
                <w:rFonts w:cs="Times New Roman"/>
                <w:color w:val="000000" w:themeColor="text1"/>
                <w:szCs w:val="21"/>
              </w:rPr>
              <w:t>.015</w:t>
            </w:r>
          </w:p>
        </w:tc>
        <w:tc>
          <w:tcPr>
            <w:tcW w:w="1139"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color w:val="000000" w:themeColor="text1"/>
                <w:szCs w:val="21"/>
              </w:rPr>
              <w:t>100%</w:t>
            </w:r>
          </w:p>
        </w:tc>
        <w:tc>
          <w:tcPr>
            <w:tcW w:w="1554" w:type="dxa"/>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1</w:t>
            </w:r>
          </w:p>
        </w:tc>
        <w:tc>
          <w:tcPr>
            <w:tcW w:w="2134" w:type="dxa"/>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7</w:t>
            </w:r>
            <w:r>
              <w:rPr>
                <w:rFonts w:cs="Times New Roman"/>
                <w:color w:val="000000" w:themeColor="text1"/>
                <w:szCs w:val="21"/>
              </w:rPr>
              <w:t>200h</w:t>
            </w:r>
          </w:p>
        </w:tc>
        <w:tc>
          <w:tcPr>
            <w:tcW w:w="1248"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0.36</w:t>
            </w:r>
          </w:p>
        </w:tc>
        <w:tc>
          <w:tcPr>
            <w:tcW w:w="1248"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0.050</w:t>
            </w:r>
          </w:p>
        </w:tc>
      </w:tr>
      <w:tr w:rsidR="00644456">
        <w:tc>
          <w:tcPr>
            <w:tcW w:w="988" w:type="dxa"/>
            <w:vMerge/>
            <w:vAlign w:val="center"/>
          </w:tcPr>
          <w:p w:rsidR="00644456" w:rsidRDefault="00644456">
            <w:pPr>
              <w:kinsoku w:val="0"/>
              <w:wordWrap w:val="0"/>
              <w:adjustRightInd w:val="0"/>
              <w:snapToGrid w:val="0"/>
              <w:jc w:val="center"/>
              <w:rPr>
                <w:rFonts w:cs="Times New Roman"/>
                <w:color w:val="000000" w:themeColor="text1"/>
                <w:szCs w:val="21"/>
              </w:rPr>
            </w:pPr>
          </w:p>
        </w:tc>
        <w:tc>
          <w:tcPr>
            <w:tcW w:w="1504"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小计</w:t>
            </w:r>
          </w:p>
        </w:tc>
        <w:tc>
          <w:tcPr>
            <w:tcW w:w="1246" w:type="dxa"/>
            <w:vAlign w:val="center"/>
          </w:tcPr>
          <w:p w:rsidR="00644456" w:rsidRDefault="00644456">
            <w:pPr>
              <w:kinsoku w:val="0"/>
              <w:wordWrap w:val="0"/>
              <w:adjustRightInd w:val="0"/>
              <w:snapToGrid w:val="0"/>
              <w:jc w:val="center"/>
              <w:rPr>
                <w:rFonts w:cs="Times New Roman"/>
                <w:color w:val="000000" w:themeColor="text1"/>
                <w:szCs w:val="21"/>
              </w:rPr>
            </w:pPr>
          </w:p>
        </w:tc>
        <w:tc>
          <w:tcPr>
            <w:tcW w:w="1246" w:type="dxa"/>
            <w:vAlign w:val="center"/>
          </w:tcPr>
          <w:p w:rsidR="00644456" w:rsidRDefault="00644456">
            <w:pPr>
              <w:kinsoku w:val="0"/>
              <w:wordWrap w:val="0"/>
              <w:adjustRightInd w:val="0"/>
              <w:snapToGrid w:val="0"/>
              <w:jc w:val="center"/>
              <w:rPr>
                <w:rFonts w:cs="Times New Roman"/>
                <w:color w:val="000000" w:themeColor="text1"/>
                <w:szCs w:val="21"/>
              </w:rPr>
            </w:pPr>
          </w:p>
        </w:tc>
        <w:tc>
          <w:tcPr>
            <w:tcW w:w="1532" w:type="dxa"/>
            <w:vAlign w:val="center"/>
          </w:tcPr>
          <w:p w:rsidR="00644456" w:rsidRDefault="00644456">
            <w:pPr>
              <w:kinsoku w:val="0"/>
              <w:wordWrap w:val="0"/>
              <w:adjustRightInd w:val="0"/>
              <w:snapToGrid w:val="0"/>
              <w:jc w:val="center"/>
              <w:rPr>
                <w:rFonts w:cs="Times New Roman"/>
                <w:color w:val="000000" w:themeColor="text1"/>
                <w:szCs w:val="21"/>
              </w:rPr>
            </w:pPr>
          </w:p>
        </w:tc>
        <w:tc>
          <w:tcPr>
            <w:tcW w:w="1139" w:type="dxa"/>
            <w:vAlign w:val="center"/>
          </w:tcPr>
          <w:p w:rsidR="00644456" w:rsidRDefault="00644456">
            <w:pPr>
              <w:kinsoku w:val="0"/>
              <w:wordWrap w:val="0"/>
              <w:adjustRightInd w:val="0"/>
              <w:snapToGrid w:val="0"/>
              <w:jc w:val="center"/>
              <w:rPr>
                <w:rFonts w:cs="Times New Roman"/>
                <w:color w:val="000000" w:themeColor="text1"/>
                <w:szCs w:val="21"/>
              </w:rPr>
            </w:pPr>
          </w:p>
        </w:tc>
        <w:tc>
          <w:tcPr>
            <w:tcW w:w="1554" w:type="dxa"/>
            <w:vAlign w:val="center"/>
          </w:tcPr>
          <w:p w:rsidR="00644456" w:rsidRDefault="00644456">
            <w:pPr>
              <w:kinsoku w:val="0"/>
              <w:wordWrap w:val="0"/>
              <w:adjustRightInd w:val="0"/>
              <w:snapToGrid w:val="0"/>
              <w:jc w:val="center"/>
              <w:rPr>
                <w:rFonts w:cs="Times New Roman"/>
                <w:color w:val="000000" w:themeColor="text1"/>
                <w:szCs w:val="21"/>
              </w:rPr>
            </w:pPr>
          </w:p>
        </w:tc>
        <w:tc>
          <w:tcPr>
            <w:tcW w:w="2134" w:type="dxa"/>
            <w:vAlign w:val="center"/>
          </w:tcPr>
          <w:p w:rsidR="00644456" w:rsidRDefault="00644456">
            <w:pPr>
              <w:kinsoku w:val="0"/>
              <w:wordWrap w:val="0"/>
              <w:adjustRightInd w:val="0"/>
              <w:snapToGrid w:val="0"/>
              <w:jc w:val="center"/>
              <w:rPr>
                <w:rFonts w:cs="Times New Roman"/>
                <w:color w:val="000000" w:themeColor="text1"/>
                <w:szCs w:val="21"/>
              </w:rPr>
            </w:pPr>
          </w:p>
        </w:tc>
        <w:tc>
          <w:tcPr>
            <w:tcW w:w="1248"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1.6416</w:t>
            </w:r>
          </w:p>
        </w:tc>
        <w:tc>
          <w:tcPr>
            <w:tcW w:w="1248"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0.228</w:t>
            </w:r>
          </w:p>
        </w:tc>
      </w:tr>
      <w:tr w:rsidR="00644456">
        <w:tc>
          <w:tcPr>
            <w:tcW w:w="988" w:type="dxa"/>
            <w:vMerge w:val="restart"/>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溶剂精制装置</w:t>
            </w:r>
          </w:p>
        </w:tc>
        <w:tc>
          <w:tcPr>
            <w:tcW w:w="1504"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阀门</w:t>
            </w:r>
          </w:p>
        </w:tc>
        <w:tc>
          <w:tcPr>
            <w:tcW w:w="1246"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重液体</w:t>
            </w:r>
          </w:p>
        </w:tc>
        <w:tc>
          <w:tcPr>
            <w:tcW w:w="1246"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7</w:t>
            </w:r>
            <w:r>
              <w:rPr>
                <w:rFonts w:cs="Times New Roman"/>
                <w:color w:val="000000" w:themeColor="text1"/>
                <w:szCs w:val="21"/>
              </w:rPr>
              <w:t>5</w:t>
            </w:r>
          </w:p>
        </w:tc>
        <w:tc>
          <w:tcPr>
            <w:tcW w:w="1532"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w:t>
            </w:r>
            <w:r>
              <w:rPr>
                <w:rFonts w:cs="Times New Roman"/>
                <w:color w:val="000000" w:themeColor="text1"/>
                <w:szCs w:val="21"/>
              </w:rPr>
              <w:t>.00023</w:t>
            </w:r>
          </w:p>
        </w:tc>
        <w:tc>
          <w:tcPr>
            <w:tcW w:w="1139" w:type="dxa"/>
          </w:tcPr>
          <w:p w:rsidR="00644456" w:rsidRDefault="008031C4">
            <w:pPr>
              <w:kinsoku w:val="0"/>
              <w:wordWrap w:val="0"/>
              <w:adjustRightInd w:val="0"/>
              <w:snapToGrid w:val="0"/>
              <w:jc w:val="center"/>
              <w:rPr>
                <w:rFonts w:cs="Times New Roman"/>
                <w:color w:val="000000" w:themeColor="text1"/>
                <w:szCs w:val="21"/>
              </w:rPr>
            </w:pPr>
            <w:r>
              <w:rPr>
                <w:rFonts w:cs="Times New Roman"/>
                <w:color w:val="000000" w:themeColor="text1"/>
                <w:szCs w:val="21"/>
              </w:rPr>
              <w:t>100%</w:t>
            </w:r>
          </w:p>
        </w:tc>
        <w:tc>
          <w:tcPr>
            <w:tcW w:w="1554" w:type="dxa"/>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1</w:t>
            </w:r>
          </w:p>
        </w:tc>
        <w:tc>
          <w:tcPr>
            <w:tcW w:w="2134" w:type="dxa"/>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7</w:t>
            </w:r>
            <w:r>
              <w:rPr>
                <w:rFonts w:cs="Times New Roman"/>
                <w:color w:val="000000" w:themeColor="text1"/>
                <w:szCs w:val="21"/>
              </w:rPr>
              <w:t>200h</w:t>
            </w:r>
          </w:p>
        </w:tc>
        <w:tc>
          <w:tcPr>
            <w:tcW w:w="1248"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0.0792</w:t>
            </w:r>
          </w:p>
        </w:tc>
        <w:tc>
          <w:tcPr>
            <w:tcW w:w="1248"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0.011</w:t>
            </w:r>
          </w:p>
        </w:tc>
      </w:tr>
      <w:tr w:rsidR="00644456">
        <w:tc>
          <w:tcPr>
            <w:tcW w:w="988" w:type="dxa"/>
            <w:vMerge/>
            <w:vAlign w:val="center"/>
          </w:tcPr>
          <w:p w:rsidR="00644456" w:rsidRDefault="00644456">
            <w:pPr>
              <w:kinsoku w:val="0"/>
              <w:wordWrap w:val="0"/>
              <w:adjustRightInd w:val="0"/>
              <w:snapToGrid w:val="0"/>
              <w:jc w:val="center"/>
              <w:rPr>
                <w:rFonts w:cs="Times New Roman"/>
                <w:color w:val="000000" w:themeColor="text1"/>
                <w:szCs w:val="21"/>
              </w:rPr>
            </w:pPr>
          </w:p>
        </w:tc>
        <w:tc>
          <w:tcPr>
            <w:tcW w:w="1504"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法兰、连接件</w:t>
            </w:r>
          </w:p>
        </w:tc>
        <w:tc>
          <w:tcPr>
            <w:tcW w:w="1246"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所有</w:t>
            </w:r>
          </w:p>
        </w:tc>
        <w:tc>
          <w:tcPr>
            <w:tcW w:w="1246"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45</w:t>
            </w:r>
          </w:p>
        </w:tc>
        <w:tc>
          <w:tcPr>
            <w:tcW w:w="1532"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w:t>
            </w:r>
            <w:r>
              <w:rPr>
                <w:rFonts w:cs="Times New Roman"/>
                <w:color w:val="000000" w:themeColor="text1"/>
                <w:szCs w:val="21"/>
              </w:rPr>
              <w:t>.00183</w:t>
            </w:r>
          </w:p>
        </w:tc>
        <w:tc>
          <w:tcPr>
            <w:tcW w:w="1139" w:type="dxa"/>
          </w:tcPr>
          <w:p w:rsidR="00644456" w:rsidRDefault="008031C4">
            <w:pPr>
              <w:kinsoku w:val="0"/>
              <w:wordWrap w:val="0"/>
              <w:adjustRightInd w:val="0"/>
              <w:snapToGrid w:val="0"/>
              <w:jc w:val="center"/>
              <w:rPr>
                <w:rFonts w:cs="Times New Roman"/>
                <w:color w:val="000000" w:themeColor="text1"/>
                <w:szCs w:val="21"/>
              </w:rPr>
            </w:pPr>
            <w:r>
              <w:rPr>
                <w:rFonts w:cs="Times New Roman"/>
                <w:color w:val="000000" w:themeColor="text1"/>
                <w:szCs w:val="21"/>
              </w:rPr>
              <w:t>100%</w:t>
            </w:r>
          </w:p>
        </w:tc>
        <w:tc>
          <w:tcPr>
            <w:tcW w:w="1554" w:type="dxa"/>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1</w:t>
            </w:r>
          </w:p>
        </w:tc>
        <w:tc>
          <w:tcPr>
            <w:tcW w:w="2134" w:type="dxa"/>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7</w:t>
            </w:r>
            <w:r>
              <w:rPr>
                <w:rFonts w:cs="Times New Roman"/>
                <w:color w:val="000000" w:themeColor="text1"/>
                <w:szCs w:val="21"/>
              </w:rPr>
              <w:t>200h</w:t>
            </w:r>
          </w:p>
        </w:tc>
        <w:tc>
          <w:tcPr>
            <w:tcW w:w="1248"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0.396</w:t>
            </w:r>
          </w:p>
        </w:tc>
        <w:tc>
          <w:tcPr>
            <w:tcW w:w="1248"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0.055</w:t>
            </w:r>
          </w:p>
        </w:tc>
      </w:tr>
      <w:tr w:rsidR="00644456">
        <w:tc>
          <w:tcPr>
            <w:tcW w:w="988" w:type="dxa"/>
            <w:vMerge/>
            <w:vAlign w:val="center"/>
          </w:tcPr>
          <w:p w:rsidR="00644456" w:rsidRDefault="00644456">
            <w:pPr>
              <w:kinsoku w:val="0"/>
              <w:wordWrap w:val="0"/>
              <w:adjustRightInd w:val="0"/>
              <w:snapToGrid w:val="0"/>
              <w:jc w:val="center"/>
              <w:rPr>
                <w:rFonts w:cs="Times New Roman"/>
                <w:color w:val="000000" w:themeColor="text1"/>
                <w:szCs w:val="21"/>
              </w:rPr>
            </w:pPr>
          </w:p>
        </w:tc>
        <w:tc>
          <w:tcPr>
            <w:tcW w:w="1504"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泵</w:t>
            </w:r>
          </w:p>
        </w:tc>
        <w:tc>
          <w:tcPr>
            <w:tcW w:w="1246"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重液体</w:t>
            </w:r>
          </w:p>
        </w:tc>
        <w:tc>
          <w:tcPr>
            <w:tcW w:w="1246"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2</w:t>
            </w:r>
            <w:r>
              <w:rPr>
                <w:rFonts w:cs="Times New Roman"/>
                <w:color w:val="000000" w:themeColor="text1"/>
                <w:szCs w:val="21"/>
              </w:rPr>
              <w:t>0</w:t>
            </w:r>
          </w:p>
        </w:tc>
        <w:tc>
          <w:tcPr>
            <w:tcW w:w="1532"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w:t>
            </w:r>
            <w:r>
              <w:rPr>
                <w:rFonts w:cs="Times New Roman"/>
                <w:color w:val="000000" w:themeColor="text1"/>
                <w:szCs w:val="21"/>
              </w:rPr>
              <w:t>.00862</w:t>
            </w:r>
          </w:p>
        </w:tc>
        <w:tc>
          <w:tcPr>
            <w:tcW w:w="1139" w:type="dxa"/>
          </w:tcPr>
          <w:p w:rsidR="00644456" w:rsidRDefault="008031C4">
            <w:pPr>
              <w:kinsoku w:val="0"/>
              <w:wordWrap w:val="0"/>
              <w:adjustRightInd w:val="0"/>
              <w:snapToGrid w:val="0"/>
              <w:jc w:val="center"/>
              <w:rPr>
                <w:rFonts w:cs="Times New Roman"/>
                <w:color w:val="000000" w:themeColor="text1"/>
                <w:szCs w:val="21"/>
              </w:rPr>
            </w:pPr>
            <w:r>
              <w:rPr>
                <w:rFonts w:cs="Times New Roman"/>
                <w:color w:val="000000" w:themeColor="text1"/>
                <w:szCs w:val="21"/>
              </w:rPr>
              <w:t>100%</w:t>
            </w:r>
          </w:p>
        </w:tc>
        <w:tc>
          <w:tcPr>
            <w:tcW w:w="1554" w:type="dxa"/>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1</w:t>
            </w:r>
          </w:p>
        </w:tc>
        <w:tc>
          <w:tcPr>
            <w:tcW w:w="2134" w:type="dxa"/>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7</w:t>
            </w:r>
            <w:r>
              <w:rPr>
                <w:rFonts w:cs="Times New Roman"/>
                <w:color w:val="000000" w:themeColor="text1"/>
                <w:szCs w:val="21"/>
              </w:rPr>
              <w:t>200h</w:t>
            </w:r>
          </w:p>
        </w:tc>
        <w:tc>
          <w:tcPr>
            <w:tcW w:w="1248"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0.828</w:t>
            </w:r>
          </w:p>
        </w:tc>
        <w:tc>
          <w:tcPr>
            <w:tcW w:w="1248"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0.115</w:t>
            </w:r>
          </w:p>
        </w:tc>
      </w:tr>
      <w:tr w:rsidR="00644456">
        <w:tc>
          <w:tcPr>
            <w:tcW w:w="988" w:type="dxa"/>
            <w:vMerge/>
            <w:vAlign w:val="center"/>
          </w:tcPr>
          <w:p w:rsidR="00644456" w:rsidRDefault="00644456">
            <w:pPr>
              <w:kinsoku w:val="0"/>
              <w:wordWrap w:val="0"/>
              <w:adjustRightInd w:val="0"/>
              <w:snapToGrid w:val="0"/>
              <w:jc w:val="center"/>
              <w:rPr>
                <w:rFonts w:cs="Times New Roman"/>
                <w:color w:val="000000" w:themeColor="text1"/>
                <w:szCs w:val="21"/>
              </w:rPr>
            </w:pPr>
          </w:p>
        </w:tc>
        <w:tc>
          <w:tcPr>
            <w:tcW w:w="1504"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取样连线系统</w:t>
            </w:r>
          </w:p>
        </w:tc>
        <w:tc>
          <w:tcPr>
            <w:tcW w:w="1246"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所有</w:t>
            </w:r>
          </w:p>
        </w:tc>
        <w:tc>
          <w:tcPr>
            <w:tcW w:w="1246"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5</w:t>
            </w:r>
          </w:p>
        </w:tc>
        <w:tc>
          <w:tcPr>
            <w:tcW w:w="1532"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w:t>
            </w:r>
            <w:r>
              <w:rPr>
                <w:rFonts w:cs="Times New Roman"/>
                <w:color w:val="000000" w:themeColor="text1"/>
                <w:szCs w:val="21"/>
              </w:rPr>
              <w:t>.015</w:t>
            </w:r>
          </w:p>
        </w:tc>
        <w:tc>
          <w:tcPr>
            <w:tcW w:w="1139" w:type="dxa"/>
          </w:tcPr>
          <w:p w:rsidR="00644456" w:rsidRDefault="008031C4">
            <w:pPr>
              <w:kinsoku w:val="0"/>
              <w:wordWrap w:val="0"/>
              <w:adjustRightInd w:val="0"/>
              <w:snapToGrid w:val="0"/>
              <w:jc w:val="center"/>
              <w:rPr>
                <w:rFonts w:cs="Times New Roman"/>
                <w:color w:val="000000" w:themeColor="text1"/>
                <w:szCs w:val="21"/>
              </w:rPr>
            </w:pPr>
            <w:r>
              <w:rPr>
                <w:rFonts w:cs="Times New Roman"/>
                <w:color w:val="000000" w:themeColor="text1"/>
                <w:szCs w:val="21"/>
              </w:rPr>
              <w:t>100%</w:t>
            </w:r>
          </w:p>
        </w:tc>
        <w:tc>
          <w:tcPr>
            <w:tcW w:w="1554" w:type="dxa"/>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1</w:t>
            </w:r>
          </w:p>
        </w:tc>
        <w:tc>
          <w:tcPr>
            <w:tcW w:w="2134" w:type="dxa"/>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7</w:t>
            </w:r>
            <w:r>
              <w:rPr>
                <w:rFonts w:cs="Times New Roman"/>
                <w:color w:val="000000" w:themeColor="text1"/>
                <w:szCs w:val="21"/>
              </w:rPr>
              <w:t>200h</w:t>
            </w:r>
          </w:p>
        </w:tc>
        <w:tc>
          <w:tcPr>
            <w:tcW w:w="1248"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0.36</w:t>
            </w:r>
          </w:p>
        </w:tc>
        <w:tc>
          <w:tcPr>
            <w:tcW w:w="1248"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0.050</w:t>
            </w:r>
          </w:p>
        </w:tc>
      </w:tr>
      <w:tr w:rsidR="00644456">
        <w:tc>
          <w:tcPr>
            <w:tcW w:w="988" w:type="dxa"/>
            <w:vMerge/>
            <w:vAlign w:val="center"/>
          </w:tcPr>
          <w:p w:rsidR="00644456" w:rsidRDefault="00644456">
            <w:pPr>
              <w:kinsoku w:val="0"/>
              <w:wordWrap w:val="0"/>
              <w:adjustRightInd w:val="0"/>
              <w:snapToGrid w:val="0"/>
              <w:jc w:val="center"/>
              <w:rPr>
                <w:rFonts w:cs="Times New Roman"/>
                <w:color w:val="000000" w:themeColor="text1"/>
                <w:szCs w:val="21"/>
              </w:rPr>
            </w:pPr>
          </w:p>
        </w:tc>
        <w:tc>
          <w:tcPr>
            <w:tcW w:w="1504"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小计</w:t>
            </w:r>
          </w:p>
        </w:tc>
        <w:tc>
          <w:tcPr>
            <w:tcW w:w="1246" w:type="dxa"/>
            <w:vAlign w:val="center"/>
          </w:tcPr>
          <w:p w:rsidR="00644456" w:rsidRDefault="00644456">
            <w:pPr>
              <w:kinsoku w:val="0"/>
              <w:wordWrap w:val="0"/>
              <w:adjustRightInd w:val="0"/>
              <w:snapToGrid w:val="0"/>
              <w:jc w:val="center"/>
              <w:rPr>
                <w:rFonts w:cs="Times New Roman"/>
                <w:color w:val="000000" w:themeColor="text1"/>
                <w:szCs w:val="21"/>
              </w:rPr>
            </w:pPr>
          </w:p>
        </w:tc>
        <w:tc>
          <w:tcPr>
            <w:tcW w:w="1246" w:type="dxa"/>
            <w:vAlign w:val="center"/>
          </w:tcPr>
          <w:p w:rsidR="00644456" w:rsidRDefault="00644456">
            <w:pPr>
              <w:kinsoku w:val="0"/>
              <w:wordWrap w:val="0"/>
              <w:adjustRightInd w:val="0"/>
              <w:snapToGrid w:val="0"/>
              <w:jc w:val="center"/>
              <w:rPr>
                <w:rFonts w:cs="Times New Roman"/>
                <w:color w:val="000000" w:themeColor="text1"/>
                <w:szCs w:val="21"/>
              </w:rPr>
            </w:pPr>
          </w:p>
        </w:tc>
        <w:tc>
          <w:tcPr>
            <w:tcW w:w="1532" w:type="dxa"/>
            <w:vAlign w:val="center"/>
          </w:tcPr>
          <w:p w:rsidR="00644456" w:rsidRDefault="00644456">
            <w:pPr>
              <w:kinsoku w:val="0"/>
              <w:wordWrap w:val="0"/>
              <w:adjustRightInd w:val="0"/>
              <w:snapToGrid w:val="0"/>
              <w:jc w:val="center"/>
              <w:rPr>
                <w:rFonts w:cs="Times New Roman"/>
                <w:color w:val="000000" w:themeColor="text1"/>
                <w:szCs w:val="21"/>
              </w:rPr>
            </w:pPr>
          </w:p>
        </w:tc>
        <w:tc>
          <w:tcPr>
            <w:tcW w:w="1139" w:type="dxa"/>
            <w:vAlign w:val="center"/>
          </w:tcPr>
          <w:p w:rsidR="00644456" w:rsidRDefault="00644456">
            <w:pPr>
              <w:kinsoku w:val="0"/>
              <w:wordWrap w:val="0"/>
              <w:adjustRightInd w:val="0"/>
              <w:snapToGrid w:val="0"/>
              <w:jc w:val="center"/>
              <w:rPr>
                <w:rFonts w:cs="Times New Roman"/>
                <w:color w:val="000000" w:themeColor="text1"/>
                <w:szCs w:val="21"/>
              </w:rPr>
            </w:pPr>
          </w:p>
        </w:tc>
        <w:tc>
          <w:tcPr>
            <w:tcW w:w="1554" w:type="dxa"/>
            <w:vAlign w:val="center"/>
          </w:tcPr>
          <w:p w:rsidR="00644456" w:rsidRDefault="00644456">
            <w:pPr>
              <w:kinsoku w:val="0"/>
              <w:wordWrap w:val="0"/>
              <w:adjustRightInd w:val="0"/>
              <w:snapToGrid w:val="0"/>
              <w:jc w:val="center"/>
              <w:rPr>
                <w:rFonts w:cs="Times New Roman"/>
                <w:color w:val="000000" w:themeColor="text1"/>
                <w:szCs w:val="21"/>
              </w:rPr>
            </w:pPr>
          </w:p>
        </w:tc>
        <w:tc>
          <w:tcPr>
            <w:tcW w:w="2134" w:type="dxa"/>
            <w:vAlign w:val="center"/>
          </w:tcPr>
          <w:p w:rsidR="00644456" w:rsidRDefault="00644456">
            <w:pPr>
              <w:kinsoku w:val="0"/>
              <w:wordWrap w:val="0"/>
              <w:adjustRightInd w:val="0"/>
              <w:snapToGrid w:val="0"/>
              <w:jc w:val="center"/>
              <w:rPr>
                <w:rFonts w:cs="Times New Roman"/>
                <w:color w:val="000000" w:themeColor="text1"/>
                <w:szCs w:val="21"/>
              </w:rPr>
            </w:pPr>
          </w:p>
        </w:tc>
        <w:tc>
          <w:tcPr>
            <w:tcW w:w="1248" w:type="dxa"/>
            <w:vAlign w:val="center"/>
          </w:tcPr>
          <w:tbl>
            <w:tblPr>
              <w:tblW w:w="1080" w:type="dxa"/>
              <w:tblLook w:val="04A0" w:firstRow="1" w:lastRow="0" w:firstColumn="1" w:lastColumn="0" w:noHBand="0" w:noVBand="1"/>
            </w:tblPr>
            <w:tblGrid>
              <w:gridCol w:w="1080"/>
            </w:tblGrid>
            <w:tr w:rsidR="00644456">
              <w:trPr>
                <w:trHeight w:val="285"/>
              </w:trPr>
              <w:tc>
                <w:tcPr>
                  <w:tcW w:w="1080" w:type="dxa"/>
                  <w:tcBorders>
                    <w:top w:val="nil"/>
                    <w:left w:val="nil"/>
                    <w:bottom w:val="nil"/>
                    <w:right w:val="nil"/>
                  </w:tcBorders>
                  <w:shd w:val="clear" w:color="auto" w:fill="auto"/>
                  <w:noWrap/>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1.6632</w:t>
                  </w:r>
                </w:p>
              </w:tc>
            </w:tr>
          </w:tbl>
          <w:p w:rsidR="00644456" w:rsidRDefault="00644456">
            <w:pPr>
              <w:kinsoku w:val="0"/>
              <w:wordWrap w:val="0"/>
              <w:adjustRightInd w:val="0"/>
              <w:snapToGrid w:val="0"/>
              <w:jc w:val="center"/>
              <w:rPr>
                <w:rFonts w:cs="Times New Roman"/>
                <w:color w:val="000000" w:themeColor="text1"/>
                <w:szCs w:val="21"/>
              </w:rPr>
            </w:pPr>
          </w:p>
        </w:tc>
        <w:tc>
          <w:tcPr>
            <w:tcW w:w="1248"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0.231</w:t>
            </w:r>
          </w:p>
        </w:tc>
      </w:tr>
      <w:tr w:rsidR="00644456">
        <w:tc>
          <w:tcPr>
            <w:tcW w:w="988"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合计</w:t>
            </w:r>
          </w:p>
        </w:tc>
        <w:tc>
          <w:tcPr>
            <w:tcW w:w="1504" w:type="dxa"/>
            <w:vAlign w:val="center"/>
          </w:tcPr>
          <w:p w:rsidR="00644456" w:rsidRDefault="00644456">
            <w:pPr>
              <w:kinsoku w:val="0"/>
              <w:wordWrap w:val="0"/>
              <w:adjustRightInd w:val="0"/>
              <w:snapToGrid w:val="0"/>
              <w:jc w:val="center"/>
              <w:rPr>
                <w:rFonts w:cs="Times New Roman"/>
                <w:color w:val="000000" w:themeColor="text1"/>
                <w:szCs w:val="21"/>
              </w:rPr>
            </w:pPr>
          </w:p>
        </w:tc>
        <w:tc>
          <w:tcPr>
            <w:tcW w:w="1246" w:type="dxa"/>
            <w:vAlign w:val="center"/>
          </w:tcPr>
          <w:p w:rsidR="00644456" w:rsidRDefault="00644456">
            <w:pPr>
              <w:kinsoku w:val="0"/>
              <w:wordWrap w:val="0"/>
              <w:adjustRightInd w:val="0"/>
              <w:snapToGrid w:val="0"/>
              <w:jc w:val="center"/>
              <w:rPr>
                <w:rFonts w:cs="Times New Roman"/>
                <w:color w:val="000000" w:themeColor="text1"/>
                <w:szCs w:val="21"/>
              </w:rPr>
            </w:pPr>
          </w:p>
        </w:tc>
        <w:tc>
          <w:tcPr>
            <w:tcW w:w="1246" w:type="dxa"/>
            <w:vAlign w:val="center"/>
          </w:tcPr>
          <w:p w:rsidR="00644456" w:rsidRDefault="00644456">
            <w:pPr>
              <w:kinsoku w:val="0"/>
              <w:wordWrap w:val="0"/>
              <w:adjustRightInd w:val="0"/>
              <w:snapToGrid w:val="0"/>
              <w:jc w:val="center"/>
              <w:rPr>
                <w:rFonts w:cs="Times New Roman"/>
                <w:color w:val="000000" w:themeColor="text1"/>
                <w:szCs w:val="21"/>
              </w:rPr>
            </w:pPr>
          </w:p>
        </w:tc>
        <w:tc>
          <w:tcPr>
            <w:tcW w:w="1532" w:type="dxa"/>
            <w:vAlign w:val="center"/>
          </w:tcPr>
          <w:p w:rsidR="00644456" w:rsidRDefault="00644456">
            <w:pPr>
              <w:kinsoku w:val="0"/>
              <w:wordWrap w:val="0"/>
              <w:adjustRightInd w:val="0"/>
              <w:snapToGrid w:val="0"/>
              <w:jc w:val="center"/>
              <w:rPr>
                <w:rFonts w:cs="Times New Roman"/>
                <w:color w:val="000000" w:themeColor="text1"/>
                <w:szCs w:val="21"/>
              </w:rPr>
            </w:pPr>
          </w:p>
        </w:tc>
        <w:tc>
          <w:tcPr>
            <w:tcW w:w="1139" w:type="dxa"/>
            <w:vAlign w:val="center"/>
          </w:tcPr>
          <w:p w:rsidR="00644456" w:rsidRDefault="00644456">
            <w:pPr>
              <w:kinsoku w:val="0"/>
              <w:wordWrap w:val="0"/>
              <w:adjustRightInd w:val="0"/>
              <w:snapToGrid w:val="0"/>
              <w:jc w:val="center"/>
              <w:rPr>
                <w:rFonts w:cs="Times New Roman"/>
                <w:color w:val="000000" w:themeColor="text1"/>
                <w:szCs w:val="21"/>
              </w:rPr>
            </w:pPr>
          </w:p>
        </w:tc>
        <w:tc>
          <w:tcPr>
            <w:tcW w:w="1554" w:type="dxa"/>
            <w:vAlign w:val="center"/>
          </w:tcPr>
          <w:p w:rsidR="00644456" w:rsidRDefault="00644456">
            <w:pPr>
              <w:kinsoku w:val="0"/>
              <w:wordWrap w:val="0"/>
              <w:adjustRightInd w:val="0"/>
              <w:snapToGrid w:val="0"/>
              <w:jc w:val="center"/>
              <w:rPr>
                <w:rFonts w:cs="Times New Roman"/>
                <w:color w:val="000000" w:themeColor="text1"/>
                <w:szCs w:val="21"/>
              </w:rPr>
            </w:pPr>
          </w:p>
        </w:tc>
        <w:tc>
          <w:tcPr>
            <w:tcW w:w="2134" w:type="dxa"/>
            <w:vAlign w:val="center"/>
          </w:tcPr>
          <w:p w:rsidR="00644456" w:rsidRDefault="00644456">
            <w:pPr>
              <w:kinsoku w:val="0"/>
              <w:wordWrap w:val="0"/>
              <w:adjustRightInd w:val="0"/>
              <w:snapToGrid w:val="0"/>
              <w:jc w:val="center"/>
              <w:rPr>
                <w:rFonts w:cs="Times New Roman"/>
                <w:color w:val="000000" w:themeColor="text1"/>
                <w:szCs w:val="21"/>
              </w:rPr>
            </w:pPr>
          </w:p>
        </w:tc>
        <w:tc>
          <w:tcPr>
            <w:tcW w:w="1248"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3.3048</w:t>
            </w:r>
          </w:p>
        </w:tc>
        <w:tc>
          <w:tcPr>
            <w:tcW w:w="1248" w:type="dxa"/>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0.459</w:t>
            </w:r>
          </w:p>
        </w:tc>
      </w:tr>
      <w:bookmarkEnd w:id="157"/>
    </w:tbl>
    <w:p w:rsidR="00644456" w:rsidRDefault="00644456">
      <w:pPr>
        <w:pStyle w:val="afffffff3"/>
        <w:rPr>
          <w:rFonts w:eastAsia="宋体"/>
          <w:b/>
          <w:color w:val="000000" w:themeColor="text1"/>
        </w:rPr>
      </w:pPr>
    </w:p>
    <w:p w:rsidR="00644456" w:rsidRDefault="00644456">
      <w:pPr>
        <w:pStyle w:val="afffffff3"/>
        <w:rPr>
          <w:rFonts w:eastAsia="宋体"/>
          <w:b/>
          <w:color w:val="000000" w:themeColor="text1"/>
        </w:rPr>
        <w:sectPr w:rsidR="00644456">
          <w:pgSz w:w="16838" w:h="11905" w:orient="landscape"/>
          <w:pgMar w:top="1440" w:right="1440" w:bottom="1440" w:left="1440" w:header="851" w:footer="992" w:gutter="0"/>
          <w:cols w:space="0"/>
          <w:docGrid w:linePitch="312"/>
        </w:sectPr>
      </w:pPr>
    </w:p>
    <w:bookmarkEnd w:id="145"/>
    <w:bookmarkEnd w:id="146"/>
    <w:p w:rsidR="00644456" w:rsidRDefault="008031C4">
      <w:pPr>
        <w:pStyle w:val="5"/>
        <w:numPr>
          <w:ilvl w:val="4"/>
          <w:numId w:val="0"/>
        </w:numPr>
        <w:ind w:firstLine="480"/>
        <w:rPr>
          <w:b/>
          <w:bCs w:val="0"/>
          <w:snapToGrid w:val="0"/>
          <w:color w:val="000000" w:themeColor="text1"/>
        </w:rPr>
      </w:pPr>
      <w:r>
        <w:rPr>
          <w:rFonts w:hint="eastAsia"/>
          <w:b/>
          <w:bCs w:val="0"/>
          <w:snapToGrid w:val="0"/>
          <w:color w:val="000000" w:themeColor="text1"/>
        </w:rPr>
        <w:lastRenderedPageBreak/>
        <w:t>2.5.2.1.7</w:t>
      </w:r>
      <w:r>
        <w:rPr>
          <w:b/>
          <w:bCs w:val="0"/>
          <w:snapToGrid w:val="0"/>
          <w:color w:val="000000" w:themeColor="text1"/>
        </w:rPr>
        <w:t>废气污染源事故排放</w:t>
      </w:r>
    </w:p>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hint="eastAsia"/>
          <w:bCs/>
          <w:snapToGrid w:val="0"/>
          <w:color w:val="000000" w:themeColor="text1"/>
          <w:kern w:val="0"/>
          <w:sz w:val="24"/>
        </w:rPr>
        <w:t>项目污染源调查包括正常排放及非正常排放工况，非正常工况排放主要为项目生产废气处置设施故障时污染物排放，在完善的管理制度下，多套环保系统同时出现事故排放的概率极小</w:t>
      </w:r>
      <w:r>
        <w:rPr>
          <w:rFonts w:cs="Times New Roman"/>
          <w:bCs/>
          <w:snapToGrid w:val="0"/>
          <w:color w:val="000000" w:themeColor="text1"/>
          <w:kern w:val="0"/>
          <w:sz w:val="24"/>
        </w:rPr>
        <w:t>。</w:t>
      </w:r>
    </w:p>
    <w:bookmarkEnd w:id="126"/>
    <w:p w:rsidR="00644456" w:rsidRDefault="008031C4">
      <w:pPr>
        <w:adjustRightInd w:val="0"/>
        <w:snapToGrid w:val="0"/>
        <w:spacing w:line="360" w:lineRule="auto"/>
        <w:ind w:firstLine="482"/>
        <w:rPr>
          <w:rFonts w:cs="Times New Roman"/>
          <w:bCs/>
          <w:snapToGrid w:val="0"/>
          <w:color w:val="000000" w:themeColor="text1"/>
          <w:kern w:val="0"/>
          <w:sz w:val="24"/>
        </w:rPr>
      </w:pPr>
      <w:r>
        <w:rPr>
          <w:rFonts w:cs="Times New Roman" w:hint="eastAsia"/>
          <w:bCs/>
          <w:snapToGrid w:val="0"/>
          <w:color w:val="000000" w:themeColor="text1"/>
          <w:kern w:val="0"/>
          <w:sz w:val="24"/>
        </w:rPr>
        <w:t>本项目非正常排放主要考虑工艺不凝气治理措施：“碱液喷淋</w:t>
      </w:r>
      <w:r>
        <w:rPr>
          <w:rFonts w:cs="Times New Roman" w:hint="eastAsia"/>
          <w:bCs/>
          <w:snapToGrid w:val="0"/>
          <w:color w:val="000000" w:themeColor="text1"/>
          <w:kern w:val="0"/>
          <w:sz w:val="24"/>
        </w:rPr>
        <w:t>+</w:t>
      </w:r>
      <w:r>
        <w:rPr>
          <w:rFonts w:cs="Times New Roman" w:hint="eastAsia"/>
          <w:bCs/>
          <w:snapToGrid w:val="0"/>
          <w:color w:val="000000" w:themeColor="text1"/>
          <w:kern w:val="0"/>
          <w:sz w:val="24"/>
        </w:rPr>
        <w:t>干式过滤</w:t>
      </w:r>
      <w:r>
        <w:rPr>
          <w:rFonts w:cs="Times New Roman" w:hint="eastAsia"/>
          <w:bCs/>
          <w:snapToGrid w:val="0"/>
          <w:color w:val="000000" w:themeColor="text1"/>
          <w:kern w:val="0"/>
          <w:sz w:val="24"/>
        </w:rPr>
        <w:t>+</w:t>
      </w:r>
      <w:r>
        <w:rPr>
          <w:rFonts w:cs="Times New Roman" w:hint="eastAsia"/>
          <w:bCs/>
          <w:snapToGrid w:val="0"/>
          <w:color w:val="000000" w:themeColor="text1"/>
          <w:kern w:val="0"/>
          <w:sz w:val="24"/>
        </w:rPr>
        <w:t>高温氧化”发生故障，对非甲烷总烃的处理效率为</w:t>
      </w:r>
      <w:r>
        <w:rPr>
          <w:rFonts w:cs="Times New Roman"/>
          <w:bCs/>
          <w:snapToGrid w:val="0"/>
          <w:color w:val="000000" w:themeColor="text1"/>
          <w:kern w:val="0"/>
          <w:sz w:val="24"/>
        </w:rPr>
        <w:t>0</w:t>
      </w:r>
      <w:r>
        <w:rPr>
          <w:rFonts w:cs="Times New Roman" w:hint="eastAsia"/>
          <w:bCs/>
          <w:snapToGrid w:val="0"/>
          <w:color w:val="000000" w:themeColor="text1"/>
          <w:kern w:val="0"/>
          <w:sz w:val="24"/>
        </w:rPr>
        <w:t>%</w:t>
      </w:r>
      <w:r>
        <w:rPr>
          <w:rFonts w:cs="Times New Roman" w:hint="eastAsia"/>
          <w:bCs/>
          <w:snapToGrid w:val="0"/>
          <w:color w:val="000000" w:themeColor="text1"/>
          <w:kern w:val="0"/>
          <w:sz w:val="24"/>
        </w:rPr>
        <w:t>；对硫化氢的净化效率为</w:t>
      </w:r>
      <w:r>
        <w:rPr>
          <w:rFonts w:cs="Times New Roman"/>
          <w:bCs/>
          <w:snapToGrid w:val="0"/>
          <w:color w:val="000000" w:themeColor="text1"/>
          <w:kern w:val="0"/>
          <w:sz w:val="24"/>
        </w:rPr>
        <w:t>0</w:t>
      </w:r>
      <w:r>
        <w:rPr>
          <w:rFonts w:cs="Times New Roman" w:hint="eastAsia"/>
          <w:bCs/>
          <w:snapToGrid w:val="0"/>
          <w:color w:val="000000" w:themeColor="text1"/>
          <w:kern w:val="0"/>
          <w:sz w:val="24"/>
        </w:rPr>
        <w:t>%</w:t>
      </w:r>
      <w:r>
        <w:rPr>
          <w:rFonts w:cs="Times New Roman" w:hint="eastAsia"/>
          <w:bCs/>
          <w:snapToGrid w:val="0"/>
          <w:color w:val="000000" w:themeColor="text1"/>
          <w:kern w:val="0"/>
          <w:sz w:val="24"/>
        </w:rPr>
        <w:t>；</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2.5-9</w:t>
      </w:r>
      <w:r>
        <w:rPr>
          <w:rFonts w:cs="Times New Roman" w:hint="eastAsia"/>
          <w:b/>
          <w:color w:val="000000" w:themeColor="text1"/>
          <w:sz w:val="24"/>
          <w:szCs w:val="20"/>
        </w:rPr>
        <w:t>非正常排放参数表</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98"/>
        <w:gridCol w:w="1737"/>
        <w:gridCol w:w="1425"/>
        <w:gridCol w:w="1417"/>
        <w:gridCol w:w="1424"/>
        <w:gridCol w:w="1421"/>
      </w:tblGrid>
      <w:tr w:rsidR="00644456">
        <w:trPr>
          <w:jc w:val="center"/>
        </w:trPr>
        <w:tc>
          <w:tcPr>
            <w:tcW w:w="1098" w:type="dxa"/>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非正常排放源</w:t>
            </w:r>
          </w:p>
        </w:tc>
        <w:tc>
          <w:tcPr>
            <w:tcW w:w="1737" w:type="dxa"/>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非正常排放原因</w:t>
            </w:r>
          </w:p>
        </w:tc>
        <w:tc>
          <w:tcPr>
            <w:tcW w:w="1425" w:type="dxa"/>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污染物</w:t>
            </w:r>
          </w:p>
        </w:tc>
        <w:tc>
          <w:tcPr>
            <w:tcW w:w="1417" w:type="dxa"/>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非正常排放速率</w:t>
            </w:r>
            <w:r>
              <w:rPr>
                <w:rFonts w:cs="Times New Roman"/>
                <w:color w:val="000000" w:themeColor="text1"/>
                <w:szCs w:val="21"/>
              </w:rPr>
              <w:t>/</w:t>
            </w:r>
            <w:r>
              <w:rPr>
                <w:rFonts w:cs="Times New Roman" w:hint="eastAsia"/>
                <w:color w:val="000000" w:themeColor="text1"/>
                <w:szCs w:val="21"/>
              </w:rPr>
              <w:t>（</w:t>
            </w:r>
            <w:r>
              <w:rPr>
                <w:rFonts w:cs="Times New Roman"/>
                <w:color w:val="000000" w:themeColor="text1"/>
                <w:szCs w:val="21"/>
              </w:rPr>
              <w:t>kg/h</w:t>
            </w:r>
            <w:r>
              <w:rPr>
                <w:rFonts w:cs="Times New Roman" w:hint="eastAsia"/>
                <w:color w:val="000000" w:themeColor="text1"/>
                <w:szCs w:val="21"/>
              </w:rPr>
              <w:t>）</w:t>
            </w:r>
          </w:p>
        </w:tc>
        <w:tc>
          <w:tcPr>
            <w:tcW w:w="1424" w:type="dxa"/>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单次持续时间</w:t>
            </w:r>
            <w:r>
              <w:rPr>
                <w:rFonts w:cs="Times New Roman"/>
                <w:color w:val="000000" w:themeColor="text1"/>
                <w:szCs w:val="21"/>
              </w:rPr>
              <w:t>/h</w:t>
            </w:r>
          </w:p>
        </w:tc>
        <w:tc>
          <w:tcPr>
            <w:tcW w:w="1421" w:type="dxa"/>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年发生频次</w:t>
            </w:r>
            <w:r>
              <w:rPr>
                <w:rFonts w:cs="Times New Roman"/>
                <w:color w:val="000000" w:themeColor="text1"/>
                <w:szCs w:val="21"/>
              </w:rPr>
              <w:t>/</w:t>
            </w:r>
            <w:r>
              <w:rPr>
                <w:rFonts w:cs="Times New Roman" w:hint="eastAsia"/>
                <w:color w:val="000000" w:themeColor="text1"/>
                <w:szCs w:val="21"/>
              </w:rPr>
              <w:t>次</w:t>
            </w:r>
          </w:p>
        </w:tc>
      </w:tr>
      <w:tr w:rsidR="00644456">
        <w:trPr>
          <w:jc w:val="center"/>
        </w:trPr>
        <w:tc>
          <w:tcPr>
            <w:tcW w:w="1098" w:type="dxa"/>
            <w:vMerge w:val="restart"/>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工艺不凝气</w:t>
            </w:r>
          </w:p>
        </w:tc>
        <w:tc>
          <w:tcPr>
            <w:tcW w:w="1737" w:type="dxa"/>
            <w:vMerge w:val="restart"/>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设备故障</w:t>
            </w:r>
          </w:p>
        </w:tc>
        <w:tc>
          <w:tcPr>
            <w:tcW w:w="1425" w:type="dxa"/>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非甲烷总烃</w:t>
            </w:r>
          </w:p>
        </w:tc>
        <w:tc>
          <w:tcPr>
            <w:tcW w:w="1417" w:type="dxa"/>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1.146</w:t>
            </w:r>
          </w:p>
        </w:tc>
        <w:tc>
          <w:tcPr>
            <w:tcW w:w="1424" w:type="dxa"/>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1h</w:t>
            </w:r>
          </w:p>
        </w:tc>
        <w:tc>
          <w:tcPr>
            <w:tcW w:w="1421" w:type="dxa"/>
            <w:vMerge w:val="restart"/>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w:t>
            </w:r>
            <w:r>
              <w:rPr>
                <w:rFonts w:cs="Times New Roman"/>
                <w:color w:val="000000" w:themeColor="text1"/>
                <w:szCs w:val="21"/>
              </w:rPr>
              <w:t>次</w:t>
            </w:r>
            <w:r>
              <w:rPr>
                <w:rFonts w:cs="Times New Roman"/>
                <w:color w:val="000000" w:themeColor="text1"/>
                <w:szCs w:val="21"/>
              </w:rPr>
              <w:t>/</w:t>
            </w:r>
            <w:r>
              <w:rPr>
                <w:rFonts w:cs="Times New Roman"/>
                <w:color w:val="000000" w:themeColor="text1"/>
                <w:szCs w:val="21"/>
              </w:rPr>
              <w:t>年</w:t>
            </w:r>
          </w:p>
        </w:tc>
      </w:tr>
      <w:tr w:rsidR="00644456">
        <w:trPr>
          <w:jc w:val="center"/>
        </w:trPr>
        <w:tc>
          <w:tcPr>
            <w:tcW w:w="1098" w:type="dxa"/>
            <w:vMerge/>
            <w:vAlign w:val="center"/>
          </w:tcPr>
          <w:p w:rsidR="00644456" w:rsidRDefault="00644456">
            <w:pPr>
              <w:adjustRightInd w:val="0"/>
              <w:snapToGrid w:val="0"/>
              <w:jc w:val="center"/>
              <w:rPr>
                <w:rFonts w:cs="Times New Roman"/>
                <w:color w:val="000000" w:themeColor="text1"/>
                <w:szCs w:val="21"/>
              </w:rPr>
            </w:pPr>
          </w:p>
        </w:tc>
        <w:tc>
          <w:tcPr>
            <w:tcW w:w="1737" w:type="dxa"/>
            <w:vMerge/>
            <w:vAlign w:val="center"/>
          </w:tcPr>
          <w:p w:rsidR="00644456" w:rsidRDefault="00644456">
            <w:pPr>
              <w:adjustRightInd w:val="0"/>
              <w:snapToGrid w:val="0"/>
              <w:jc w:val="center"/>
              <w:rPr>
                <w:rFonts w:cs="Times New Roman"/>
                <w:color w:val="000000" w:themeColor="text1"/>
                <w:szCs w:val="21"/>
              </w:rPr>
            </w:pPr>
          </w:p>
        </w:tc>
        <w:tc>
          <w:tcPr>
            <w:tcW w:w="1425" w:type="dxa"/>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硫化氢</w:t>
            </w:r>
          </w:p>
        </w:tc>
        <w:tc>
          <w:tcPr>
            <w:tcW w:w="1417" w:type="dxa"/>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0.006</w:t>
            </w:r>
          </w:p>
        </w:tc>
        <w:tc>
          <w:tcPr>
            <w:tcW w:w="1424" w:type="dxa"/>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1h</w:t>
            </w:r>
          </w:p>
        </w:tc>
        <w:tc>
          <w:tcPr>
            <w:tcW w:w="1421" w:type="dxa"/>
            <w:vMerge/>
            <w:vAlign w:val="center"/>
          </w:tcPr>
          <w:p w:rsidR="00644456" w:rsidRDefault="00644456">
            <w:pPr>
              <w:adjustRightInd w:val="0"/>
              <w:snapToGrid w:val="0"/>
              <w:jc w:val="center"/>
              <w:rPr>
                <w:rFonts w:cs="Times New Roman"/>
                <w:color w:val="000000" w:themeColor="text1"/>
                <w:szCs w:val="21"/>
              </w:rPr>
            </w:pPr>
          </w:p>
        </w:tc>
      </w:tr>
    </w:tbl>
    <w:p w:rsidR="00644456" w:rsidRDefault="00644456">
      <w:pPr>
        <w:pStyle w:val="1f7"/>
        <w:sectPr w:rsidR="00644456">
          <w:pgSz w:w="11905" w:h="16838"/>
          <w:pgMar w:top="1440" w:right="1440" w:bottom="1440" w:left="1440" w:header="850" w:footer="992" w:gutter="0"/>
          <w:cols w:space="0"/>
          <w:docGrid w:linePitch="312"/>
        </w:sectPr>
      </w:pPr>
    </w:p>
    <w:p w:rsidR="00644456" w:rsidRDefault="008031C4">
      <w:pPr>
        <w:autoSpaceDE w:val="0"/>
        <w:autoSpaceDN w:val="0"/>
        <w:adjustRightInd w:val="0"/>
        <w:jc w:val="center"/>
        <w:rPr>
          <w:rFonts w:cs="Times New Roman"/>
          <w:b/>
          <w:color w:val="000000" w:themeColor="text1"/>
          <w:sz w:val="24"/>
          <w:szCs w:val="20"/>
        </w:rPr>
      </w:pPr>
      <w:bookmarkStart w:id="158" w:name="_Hlk153452768"/>
      <w:bookmarkStart w:id="159" w:name="_Hlk148963830"/>
      <w:r>
        <w:rPr>
          <w:rFonts w:cs="Times New Roman" w:hint="eastAsia"/>
          <w:b/>
          <w:color w:val="000000" w:themeColor="text1"/>
          <w:sz w:val="24"/>
          <w:szCs w:val="20"/>
        </w:rPr>
        <w:lastRenderedPageBreak/>
        <w:t>表</w:t>
      </w:r>
      <w:r>
        <w:rPr>
          <w:rFonts w:cs="Times New Roman" w:hint="eastAsia"/>
          <w:b/>
          <w:color w:val="000000" w:themeColor="text1"/>
          <w:sz w:val="24"/>
          <w:szCs w:val="20"/>
        </w:rPr>
        <w:t>2.5-10</w:t>
      </w:r>
      <w:r>
        <w:rPr>
          <w:rFonts w:cs="Times New Roman" w:hint="eastAsia"/>
          <w:b/>
          <w:color w:val="000000" w:themeColor="text1"/>
          <w:sz w:val="24"/>
          <w:szCs w:val="20"/>
        </w:rPr>
        <w:t>工程废气产生及排污状况</w:t>
      </w:r>
    </w:p>
    <w:tbl>
      <w:tblPr>
        <w:tblW w:w="5328"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7"/>
        <w:gridCol w:w="851"/>
        <w:gridCol w:w="875"/>
        <w:gridCol w:w="690"/>
        <w:gridCol w:w="690"/>
        <w:gridCol w:w="687"/>
        <w:gridCol w:w="690"/>
        <w:gridCol w:w="800"/>
        <w:gridCol w:w="767"/>
        <w:gridCol w:w="800"/>
        <w:gridCol w:w="521"/>
        <w:gridCol w:w="660"/>
        <w:gridCol w:w="336"/>
        <w:gridCol w:w="390"/>
        <w:gridCol w:w="381"/>
        <w:gridCol w:w="646"/>
        <w:gridCol w:w="756"/>
        <w:gridCol w:w="521"/>
        <w:gridCol w:w="619"/>
        <w:gridCol w:w="1410"/>
        <w:gridCol w:w="431"/>
        <w:gridCol w:w="646"/>
      </w:tblGrid>
      <w:tr w:rsidR="00644456">
        <w:trPr>
          <w:cantSplit/>
          <w:jc w:val="center"/>
        </w:trPr>
        <w:tc>
          <w:tcPr>
            <w:tcW w:w="238" w:type="pct"/>
            <w:vMerge w:val="restart"/>
            <w:shd w:val="clear" w:color="auto" w:fill="auto"/>
            <w:vAlign w:val="center"/>
          </w:tcPr>
          <w:p w:rsidR="00644456" w:rsidRDefault="008031C4">
            <w:pPr>
              <w:adjustRightInd w:val="0"/>
              <w:snapToGrid w:val="0"/>
              <w:jc w:val="center"/>
              <w:rPr>
                <w:rFonts w:cs="Times New Roman"/>
                <w:b/>
                <w:color w:val="000000" w:themeColor="text1"/>
                <w:szCs w:val="21"/>
              </w:rPr>
            </w:pPr>
            <w:bookmarkStart w:id="160" w:name="_Hlk148615002"/>
            <w:r>
              <w:rPr>
                <w:rFonts w:cs="Times New Roman"/>
                <w:b/>
                <w:color w:val="000000" w:themeColor="text1"/>
                <w:szCs w:val="21"/>
              </w:rPr>
              <w:t>序号</w:t>
            </w:r>
          </w:p>
        </w:tc>
        <w:tc>
          <w:tcPr>
            <w:tcW w:w="580" w:type="pct"/>
            <w:gridSpan w:val="2"/>
            <w:vMerge w:val="restart"/>
            <w:shd w:val="clear" w:color="auto" w:fill="auto"/>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废气名称</w:t>
            </w:r>
          </w:p>
        </w:tc>
        <w:tc>
          <w:tcPr>
            <w:tcW w:w="232" w:type="pct"/>
            <w:vMerge w:val="restart"/>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核算方法</w:t>
            </w:r>
          </w:p>
        </w:tc>
        <w:tc>
          <w:tcPr>
            <w:tcW w:w="232" w:type="pct"/>
            <w:vMerge w:val="restart"/>
            <w:shd w:val="clear" w:color="auto" w:fill="auto"/>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产生量</w:t>
            </w:r>
          </w:p>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Nm</w:t>
            </w:r>
            <w:r>
              <w:rPr>
                <w:rFonts w:cs="Times New Roman"/>
                <w:b/>
                <w:color w:val="000000" w:themeColor="text1"/>
                <w:szCs w:val="21"/>
                <w:vertAlign w:val="superscript"/>
              </w:rPr>
              <w:t>3</w:t>
            </w:r>
            <w:r>
              <w:rPr>
                <w:rFonts w:cs="Times New Roman"/>
                <w:b/>
                <w:color w:val="000000" w:themeColor="text1"/>
                <w:szCs w:val="21"/>
              </w:rPr>
              <w:t>/h</w:t>
            </w:r>
          </w:p>
        </w:tc>
        <w:tc>
          <w:tcPr>
            <w:tcW w:w="231" w:type="pct"/>
            <w:vMerge w:val="restart"/>
            <w:shd w:val="clear" w:color="auto" w:fill="auto"/>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生产</w:t>
            </w:r>
          </w:p>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时间</w:t>
            </w:r>
            <w:r>
              <w:rPr>
                <w:rFonts w:cs="Times New Roman"/>
                <w:b/>
                <w:color w:val="000000" w:themeColor="text1"/>
                <w:szCs w:val="21"/>
              </w:rPr>
              <w:t>h</w:t>
            </w:r>
          </w:p>
        </w:tc>
        <w:tc>
          <w:tcPr>
            <w:tcW w:w="232" w:type="pct"/>
            <w:vMerge w:val="restart"/>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污染物</w:t>
            </w:r>
          </w:p>
        </w:tc>
        <w:tc>
          <w:tcPr>
            <w:tcW w:w="527" w:type="pct"/>
            <w:gridSpan w:val="2"/>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产生状况</w:t>
            </w:r>
          </w:p>
        </w:tc>
        <w:tc>
          <w:tcPr>
            <w:tcW w:w="666" w:type="pct"/>
            <w:gridSpan w:val="3"/>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排放状况</w:t>
            </w:r>
          </w:p>
        </w:tc>
        <w:tc>
          <w:tcPr>
            <w:tcW w:w="843" w:type="pct"/>
            <w:gridSpan w:val="5"/>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排放特征</w:t>
            </w:r>
          </w:p>
        </w:tc>
        <w:tc>
          <w:tcPr>
            <w:tcW w:w="175" w:type="pct"/>
            <w:vMerge w:val="restart"/>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捕集</w:t>
            </w:r>
          </w:p>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率</w:t>
            </w:r>
            <w:r>
              <w:rPr>
                <w:rFonts w:cs="Times New Roman"/>
                <w:b/>
                <w:color w:val="000000" w:themeColor="text1"/>
                <w:szCs w:val="21"/>
              </w:rPr>
              <w:t>%</w:t>
            </w:r>
          </w:p>
        </w:tc>
        <w:tc>
          <w:tcPr>
            <w:tcW w:w="208" w:type="pct"/>
            <w:vMerge w:val="restart"/>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去除</w:t>
            </w:r>
          </w:p>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率</w:t>
            </w:r>
            <w:r>
              <w:rPr>
                <w:rFonts w:cs="Times New Roman"/>
                <w:b/>
                <w:color w:val="000000" w:themeColor="text1"/>
                <w:szCs w:val="21"/>
              </w:rPr>
              <w:t>%</w:t>
            </w:r>
          </w:p>
        </w:tc>
        <w:tc>
          <w:tcPr>
            <w:tcW w:w="474" w:type="pct"/>
            <w:vMerge w:val="restart"/>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治理措施</w:t>
            </w:r>
          </w:p>
        </w:tc>
        <w:tc>
          <w:tcPr>
            <w:tcW w:w="362" w:type="pct"/>
            <w:gridSpan w:val="2"/>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pacing w:val="-10"/>
                <w:szCs w:val="21"/>
              </w:rPr>
              <w:t>排放标准</w:t>
            </w:r>
          </w:p>
        </w:tc>
      </w:tr>
      <w:tr w:rsidR="00644456">
        <w:trPr>
          <w:cantSplit/>
          <w:jc w:val="center"/>
        </w:trPr>
        <w:tc>
          <w:tcPr>
            <w:tcW w:w="238" w:type="pct"/>
            <w:vMerge/>
            <w:shd w:val="clear" w:color="auto" w:fill="auto"/>
            <w:vAlign w:val="center"/>
          </w:tcPr>
          <w:p w:rsidR="00644456" w:rsidRDefault="00644456">
            <w:pPr>
              <w:adjustRightInd w:val="0"/>
              <w:snapToGrid w:val="0"/>
              <w:jc w:val="center"/>
              <w:rPr>
                <w:rFonts w:cs="Times New Roman"/>
                <w:b/>
                <w:color w:val="000000" w:themeColor="text1"/>
                <w:szCs w:val="21"/>
              </w:rPr>
            </w:pPr>
          </w:p>
        </w:tc>
        <w:tc>
          <w:tcPr>
            <w:tcW w:w="580" w:type="pct"/>
            <w:gridSpan w:val="2"/>
            <w:vMerge/>
            <w:shd w:val="clear" w:color="auto" w:fill="auto"/>
            <w:vAlign w:val="center"/>
          </w:tcPr>
          <w:p w:rsidR="00644456" w:rsidRDefault="00644456">
            <w:pPr>
              <w:adjustRightInd w:val="0"/>
              <w:snapToGrid w:val="0"/>
              <w:jc w:val="center"/>
              <w:rPr>
                <w:rFonts w:cs="Times New Roman"/>
                <w:b/>
                <w:color w:val="000000" w:themeColor="text1"/>
                <w:szCs w:val="21"/>
              </w:rPr>
            </w:pPr>
          </w:p>
        </w:tc>
        <w:tc>
          <w:tcPr>
            <w:tcW w:w="232" w:type="pct"/>
            <w:vMerge/>
            <w:vAlign w:val="center"/>
          </w:tcPr>
          <w:p w:rsidR="00644456" w:rsidRDefault="00644456">
            <w:pPr>
              <w:adjustRightInd w:val="0"/>
              <w:snapToGrid w:val="0"/>
              <w:jc w:val="center"/>
              <w:rPr>
                <w:rFonts w:cs="Times New Roman"/>
                <w:b/>
                <w:color w:val="000000" w:themeColor="text1"/>
                <w:szCs w:val="21"/>
              </w:rPr>
            </w:pPr>
          </w:p>
        </w:tc>
        <w:tc>
          <w:tcPr>
            <w:tcW w:w="232" w:type="pct"/>
            <w:vMerge/>
            <w:shd w:val="clear" w:color="auto" w:fill="auto"/>
            <w:vAlign w:val="center"/>
          </w:tcPr>
          <w:p w:rsidR="00644456" w:rsidRDefault="00644456">
            <w:pPr>
              <w:adjustRightInd w:val="0"/>
              <w:snapToGrid w:val="0"/>
              <w:jc w:val="center"/>
              <w:rPr>
                <w:rFonts w:cs="Times New Roman"/>
                <w:b/>
                <w:color w:val="000000" w:themeColor="text1"/>
                <w:szCs w:val="21"/>
              </w:rPr>
            </w:pPr>
          </w:p>
        </w:tc>
        <w:tc>
          <w:tcPr>
            <w:tcW w:w="231" w:type="pct"/>
            <w:vMerge/>
            <w:shd w:val="clear" w:color="auto" w:fill="auto"/>
            <w:vAlign w:val="center"/>
          </w:tcPr>
          <w:p w:rsidR="00644456" w:rsidRDefault="00644456">
            <w:pPr>
              <w:adjustRightInd w:val="0"/>
              <w:snapToGrid w:val="0"/>
              <w:jc w:val="center"/>
              <w:rPr>
                <w:rFonts w:cs="Times New Roman"/>
                <w:b/>
                <w:color w:val="000000" w:themeColor="text1"/>
                <w:szCs w:val="21"/>
              </w:rPr>
            </w:pPr>
          </w:p>
        </w:tc>
        <w:tc>
          <w:tcPr>
            <w:tcW w:w="232" w:type="pct"/>
            <w:vMerge/>
            <w:shd w:val="clear" w:color="auto" w:fill="auto"/>
            <w:vAlign w:val="center"/>
          </w:tcPr>
          <w:p w:rsidR="00644456" w:rsidRDefault="00644456">
            <w:pPr>
              <w:adjustRightInd w:val="0"/>
              <w:snapToGrid w:val="0"/>
              <w:jc w:val="center"/>
              <w:rPr>
                <w:rFonts w:cs="Times New Roman"/>
                <w:b/>
                <w:color w:val="000000" w:themeColor="text1"/>
                <w:szCs w:val="21"/>
              </w:rPr>
            </w:pPr>
          </w:p>
        </w:tc>
        <w:tc>
          <w:tcPr>
            <w:tcW w:w="269" w:type="pct"/>
            <w:vMerge w:val="restart"/>
            <w:shd w:val="clear" w:color="auto" w:fill="auto"/>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浓度</w:t>
            </w:r>
          </w:p>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mg/Nm</w:t>
            </w:r>
            <w:r>
              <w:rPr>
                <w:rFonts w:cs="Times New Roman"/>
                <w:b/>
                <w:color w:val="000000" w:themeColor="text1"/>
                <w:szCs w:val="21"/>
                <w:vertAlign w:val="superscript"/>
              </w:rPr>
              <w:t>3</w:t>
            </w:r>
          </w:p>
        </w:tc>
        <w:tc>
          <w:tcPr>
            <w:tcW w:w="258" w:type="pct"/>
            <w:vMerge w:val="restart"/>
            <w:shd w:val="clear" w:color="auto" w:fill="auto"/>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产生量（</w:t>
            </w:r>
            <w:r>
              <w:rPr>
                <w:rFonts w:cs="Times New Roman"/>
                <w:b/>
                <w:color w:val="000000" w:themeColor="text1"/>
                <w:szCs w:val="21"/>
              </w:rPr>
              <w:t>t/a</w:t>
            </w:r>
            <w:r>
              <w:rPr>
                <w:rFonts w:cs="Times New Roman"/>
                <w:b/>
                <w:color w:val="000000" w:themeColor="text1"/>
                <w:szCs w:val="21"/>
              </w:rPr>
              <w:t>）</w:t>
            </w:r>
          </w:p>
        </w:tc>
        <w:tc>
          <w:tcPr>
            <w:tcW w:w="269" w:type="pct"/>
            <w:vMerge w:val="restart"/>
            <w:shd w:val="clear" w:color="auto" w:fill="auto"/>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浓度</w:t>
            </w:r>
          </w:p>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mg/Nm</w:t>
            </w:r>
            <w:r>
              <w:rPr>
                <w:rFonts w:cs="Times New Roman"/>
                <w:b/>
                <w:color w:val="000000" w:themeColor="text1"/>
                <w:szCs w:val="21"/>
                <w:vertAlign w:val="superscript"/>
              </w:rPr>
              <w:t>3</w:t>
            </w:r>
          </w:p>
        </w:tc>
        <w:tc>
          <w:tcPr>
            <w:tcW w:w="397" w:type="pct"/>
            <w:gridSpan w:val="2"/>
            <w:shd w:val="clear" w:color="auto" w:fill="auto"/>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排放量</w:t>
            </w:r>
          </w:p>
        </w:tc>
        <w:tc>
          <w:tcPr>
            <w:tcW w:w="113" w:type="pct"/>
            <w:vMerge w:val="restart"/>
            <w:shd w:val="clear" w:color="auto" w:fill="auto"/>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H</w:t>
            </w:r>
          </w:p>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(m</w:t>
            </w:r>
            <w:r>
              <w:rPr>
                <w:rFonts w:cs="Times New Roman" w:hint="eastAsia"/>
                <w:b/>
                <w:color w:val="000000" w:themeColor="text1"/>
                <w:szCs w:val="21"/>
              </w:rPr>
              <w:t>)</w:t>
            </w:r>
          </w:p>
        </w:tc>
        <w:tc>
          <w:tcPr>
            <w:tcW w:w="131" w:type="pct"/>
            <w:vMerge w:val="restart"/>
            <w:shd w:val="clear" w:color="auto" w:fill="auto"/>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D</w:t>
            </w:r>
          </w:p>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(m</w:t>
            </w:r>
            <w:r>
              <w:rPr>
                <w:rFonts w:cs="Times New Roman" w:hint="eastAsia"/>
                <w:b/>
                <w:color w:val="000000" w:themeColor="text1"/>
                <w:szCs w:val="21"/>
              </w:rPr>
              <w:t>)</w:t>
            </w:r>
          </w:p>
        </w:tc>
        <w:tc>
          <w:tcPr>
            <w:tcW w:w="128" w:type="pct"/>
            <w:vMerge w:val="restart"/>
            <w:shd w:val="clear" w:color="auto" w:fill="auto"/>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T</w:t>
            </w:r>
          </w:p>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w:t>
            </w:r>
            <w:r>
              <w:rPr>
                <w:rFonts w:ascii="宋体" w:hAnsi="宋体" w:cs="宋体" w:hint="eastAsia"/>
                <w:b/>
                <w:color w:val="000000" w:themeColor="text1"/>
                <w:szCs w:val="21"/>
              </w:rPr>
              <w:t>℃)</w:t>
            </w:r>
          </w:p>
        </w:tc>
        <w:tc>
          <w:tcPr>
            <w:tcW w:w="217" w:type="pct"/>
            <w:vMerge w:val="restart"/>
            <w:shd w:val="clear" w:color="auto" w:fill="auto"/>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排气筒数量</w:t>
            </w:r>
          </w:p>
        </w:tc>
        <w:tc>
          <w:tcPr>
            <w:tcW w:w="254" w:type="pct"/>
            <w:vMerge w:val="restart"/>
            <w:shd w:val="clear" w:color="auto" w:fill="auto"/>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排污许可编号</w:t>
            </w:r>
          </w:p>
        </w:tc>
        <w:tc>
          <w:tcPr>
            <w:tcW w:w="175" w:type="pct"/>
            <w:vMerge/>
            <w:vAlign w:val="center"/>
          </w:tcPr>
          <w:p w:rsidR="00644456" w:rsidRDefault="00644456">
            <w:pPr>
              <w:adjustRightInd w:val="0"/>
              <w:snapToGrid w:val="0"/>
              <w:jc w:val="center"/>
              <w:rPr>
                <w:rFonts w:cs="Times New Roman"/>
                <w:b/>
                <w:color w:val="000000" w:themeColor="text1"/>
                <w:szCs w:val="21"/>
              </w:rPr>
            </w:pPr>
          </w:p>
        </w:tc>
        <w:tc>
          <w:tcPr>
            <w:tcW w:w="208" w:type="pct"/>
            <w:vMerge/>
            <w:vAlign w:val="center"/>
          </w:tcPr>
          <w:p w:rsidR="00644456" w:rsidRDefault="00644456">
            <w:pPr>
              <w:adjustRightInd w:val="0"/>
              <w:snapToGrid w:val="0"/>
              <w:jc w:val="center"/>
              <w:rPr>
                <w:rFonts w:cs="Times New Roman"/>
                <w:b/>
                <w:color w:val="000000" w:themeColor="text1"/>
                <w:szCs w:val="21"/>
              </w:rPr>
            </w:pPr>
          </w:p>
        </w:tc>
        <w:tc>
          <w:tcPr>
            <w:tcW w:w="474" w:type="pct"/>
            <w:vMerge/>
            <w:vAlign w:val="center"/>
          </w:tcPr>
          <w:p w:rsidR="00644456" w:rsidRDefault="00644456">
            <w:pPr>
              <w:adjustRightInd w:val="0"/>
              <w:snapToGrid w:val="0"/>
              <w:jc w:val="center"/>
              <w:rPr>
                <w:rFonts w:cs="Times New Roman"/>
                <w:b/>
                <w:color w:val="000000" w:themeColor="text1"/>
                <w:szCs w:val="21"/>
              </w:rPr>
            </w:pPr>
          </w:p>
        </w:tc>
        <w:tc>
          <w:tcPr>
            <w:tcW w:w="145" w:type="pct"/>
            <w:vMerge w:val="restart"/>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kg/h</w:t>
            </w:r>
          </w:p>
        </w:tc>
        <w:tc>
          <w:tcPr>
            <w:tcW w:w="217" w:type="pct"/>
            <w:vMerge w:val="restart"/>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mg/m</w:t>
            </w:r>
            <w:r>
              <w:rPr>
                <w:rFonts w:cs="Times New Roman"/>
                <w:b/>
                <w:color w:val="000000" w:themeColor="text1"/>
                <w:szCs w:val="21"/>
                <w:vertAlign w:val="superscript"/>
              </w:rPr>
              <w:t>3</w:t>
            </w:r>
          </w:p>
        </w:tc>
      </w:tr>
      <w:tr w:rsidR="00644456">
        <w:trPr>
          <w:cantSplit/>
          <w:jc w:val="center"/>
        </w:trPr>
        <w:tc>
          <w:tcPr>
            <w:tcW w:w="238" w:type="pct"/>
            <w:vMerge/>
            <w:shd w:val="clear" w:color="auto" w:fill="auto"/>
            <w:vAlign w:val="center"/>
          </w:tcPr>
          <w:p w:rsidR="00644456" w:rsidRDefault="00644456">
            <w:pPr>
              <w:adjustRightInd w:val="0"/>
              <w:snapToGrid w:val="0"/>
              <w:jc w:val="center"/>
              <w:rPr>
                <w:rFonts w:cs="Times New Roman"/>
                <w:b/>
                <w:color w:val="000000" w:themeColor="text1"/>
                <w:szCs w:val="21"/>
              </w:rPr>
            </w:pPr>
          </w:p>
        </w:tc>
        <w:tc>
          <w:tcPr>
            <w:tcW w:w="580" w:type="pct"/>
            <w:gridSpan w:val="2"/>
            <w:vMerge/>
            <w:shd w:val="clear" w:color="auto" w:fill="auto"/>
            <w:vAlign w:val="center"/>
          </w:tcPr>
          <w:p w:rsidR="00644456" w:rsidRDefault="00644456">
            <w:pPr>
              <w:adjustRightInd w:val="0"/>
              <w:snapToGrid w:val="0"/>
              <w:jc w:val="center"/>
              <w:rPr>
                <w:rFonts w:cs="Times New Roman"/>
                <w:b/>
                <w:color w:val="000000" w:themeColor="text1"/>
                <w:szCs w:val="21"/>
              </w:rPr>
            </w:pPr>
          </w:p>
        </w:tc>
        <w:tc>
          <w:tcPr>
            <w:tcW w:w="232" w:type="pct"/>
            <w:vMerge/>
            <w:vAlign w:val="center"/>
          </w:tcPr>
          <w:p w:rsidR="00644456" w:rsidRDefault="00644456">
            <w:pPr>
              <w:adjustRightInd w:val="0"/>
              <w:snapToGrid w:val="0"/>
              <w:jc w:val="center"/>
              <w:rPr>
                <w:rFonts w:cs="Times New Roman"/>
                <w:b/>
                <w:color w:val="000000" w:themeColor="text1"/>
                <w:szCs w:val="21"/>
              </w:rPr>
            </w:pPr>
          </w:p>
        </w:tc>
        <w:tc>
          <w:tcPr>
            <w:tcW w:w="232" w:type="pct"/>
            <w:vMerge/>
            <w:shd w:val="clear" w:color="auto" w:fill="auto"/>
            <w:vAlign w:val="center"/>
          </w:tcPr>
          <w:p w:rsidR="00644456" w:rsidRDefault="00644456">
            <w:pPr>
              <w:adjustRightInd w:val="0"/>
              <w:snapToGrid w:val="0"/>
              <w:jc w:val="center"/>
              <w:rPr>
                <w:rFonts w:cs="Times New Roman"/>
                <w:b/>
                <w:color w:val="000000" w:themeColor="text1"/>
                <w:szCs w:val="21"/>
              </w:rPr>
            </w:pPr>
          </w:p>
        </w:tc>
        <w:tc>
          <w:tcPr>
            <w:tcW w:w="231" w:type="pct"/>
            <w:vMerge/>
            <w:shd w:val="clear" w:color="auto" w:fill="auto"/>
            <w:vAlign w:val="center"/>
          </w:tcPr>
          <w:p w:rsidR="00644456" w:rsidRDefault="00644456">
            <w:pPr>
              <w:adjustRightInd w:val="0"/>
              <w:snapToGrid w:val="0"/>
              <w:jc w:val="center"/>
              <w:rPr>
                <w:rFonts w:cs="Times New Roman"/>
                <w:b/>
                <w:color w:val="000000" w:themeColor="text1"/>
                <w:szCs w:val="21"/>
              </w:rPr>
            </w:pPr>
          </w:p>
        </w:tc>
        <w:tc>
          <w:tcPr>
            <w:tcW w:w="232" w:type="pct"/>
            <w:vMerge/>
            <w:shd w:val="clear" w:color="auto" w:fill="auto"/>
            <w:vAlign w:val="center"/>
          </w:tcPr>
          <w:p w:rsidR="00644456" w:rsidRDefault="00644456">
            <w:pPr>
              <w:adjustRightInd w:val="0"/>
              <w:snapToGrid w:val="0"/>
              <w:jc w:val="center"/>
              <w:rPr>
                <w:rFonts w:cs="Times New Roman"/>
                <w:b/>
                <w:color w:val="000000" w:themeColor="text1"/>
                <w:szCs w:val="21"/>
              </w:rPr>
            </w:pPr>
          </w:p>
        </w:tc>
        <w:tc>
          <w:tcPr>
            <w:tcW w:w="269" w:type="pct"/>
            <w:vMerge/>
            <w:shd w:val="clear" w:color="auto" w:fill="auto"/>
            <w:vAlign w:val="center"/>
          </w:tcPr>
          <w:p w:rsidR="00644456" w:rsidRDefault="00644456">
            <w:pPr>
              <w:adjustRightInd w:val="0"/>
              <w:snapToGrid w:val="0"/>
              <w:jc w:val="center"/>
              <w:rPr>
                <w:rFonts w:cs="Times New Roman"/>
                <w:b/>
                <w:color w:val="000000" w:themeColor="text1"/>
                <w:szCs w:val="21"/>
              </w:rPr>
            </w:pPr>
          </w:p>
        </w:tc>
        <w:tc>
          <w:tcPr>
            <w:tcW w:w="258" w:type="pct"/>
            <w:vMerge/>
            <w:shd w:val="clear" w:color="auto" w:fill="auto"/>
            <w:vAlign w:val="center"/>
          </w:tcPr>
          <w:p w:rsidR="00644456" w:rsidRDefault="00644456">
            <w:pPr>
              <w:adjustRightInd w:val="0"/>
              <w:snapToGrid w:val="0"/>
              <w:jc w:val="center"/>
              <w:rPr>
                <w:rFonts w:cs="Times New Roman"/>
                <w:b/>
                <w:color w:val="000000" w:themeColor="text1"/>
                <w:szCs w:val="21"/>
              </w:rPr>
            </w:pPr>
          </w:p>
        </w:tc>
        <w:tc>
          <w:tcPr>
            <w:tcW w:w="269" w:type="pct"/>
            <w:vMerge/>
            <w:shd w:val="clear" w:color="auto" w:fill="auto"/>
            <w:vAlign w:val="center"/>
          </w:tcPr>
          <w:p w:rsidR="00644456" w:rsidRDefault="00644456">
            <w:pPr>
              <w:adjustRightInd w:val="0"/>
              <w:snapToGrid w:val="0"/>
              <w:jc w:val="center"/>
              <w:rPr>
                <w:rFonts w:cs="Times New Roman"/>
                <w:b/>
                <w:color w:val="000000" w:themeColor="text1"/>
                <w:szCs w:val="21"/>
              </w:rPr>
            </w:pPr>
          </w:p>
        </w:tc>
        <w:tc>
          <w:tcPr>
            <w:tcW w:w="175" w:type="pct"/>
            <w:shd w:val="clear" w:color="auto" w:fill="auto"/>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kg/h</w:t>
            </w:r>
          </w:p>
        </w:tc>
        <w:tc>
          <w:tcPr>
            <w:tcW w:w="222" w:type="pct"/>
            <w:shd w:val="clear" w:color="auto" w:fill="auto"/>
            <w:vAlign w:val="center"/>
          </w:tcPr>
          <w:p w:rsidR="00644456" w:rsidRDefault="008031C4">
            <w:pPr>
              <w:adjustRightInd w:val="0"/>
              <w:snapToGrid w:val="0"/>
              <w:jc w:val="center"/>
              <w:rPr>
                <w:rFonts w:cs="Times New Roman"/>
                <w:b/>
                <w:color w:val="000000" w:themeColor="text1"/>
                <w:szCs w:val="21"/>
              </w:rPr>
            </w:pPr>
            <w:r>
              <w:rPr>
                <w:rFonts w:cs="Times New Roman"/>
                <w:b/>
                <w:color w:val="000000" w:themeColor="text1"/>
                <w:szCs w:val="21"/>
              </w:rPr>
              <w:t>t/a</w:t>
            </w:r>
          </w:p>
        </w:tc>
        <w:tc>
          <w:tcPr>
            <w:tcW w:w="113" w:type="pct"/>
            <w:vMerge/>
            <w:shd w:val="clear" w:color="auto" w:fill="auto"/>
            <w:vAlign w:val="center"/>
          </w:tcPr>
          <w:p w:rsidR="00644456" w:rsidRDefault="00644456">
            <w:pPr>
              <w:adjustRightInd w:val="0"/>
              <w:snapToGrid w:val="0"/>
              <w:jc w:val="center"/>
              <w:rPr>
                <w:rFonts w:cs="Times New Roman"/>
                <w:color w:val="000000" w:themeColor="text1"/>
                <w:szCs w:val="21"/>
              </w:rPr>
            </w:pPr>
          </w:p>
        </w:tc>
        <w:tc>
          <w:tcPr>
            <w:tcW w:w="131" w:type="pct"/>
            <w:vMerge/>
            <w:shd w:val="clear" w:color="auto" w:fill="auto"/>
            <w:vAlign w:val="center"/>
          </w:tcPr>
          <w:p w:rsidR="00644456" w:rsidRDefault="00644456">
            <w:pPr>
              <w:adjustRightInd w:val="0"/>
              <w:snapToGrid w:val="0"/>
              <w:jc w:val="center"/>
              <w:rPr>
                <w:rFonts w:cs="Times New Roman"/>
                <w:color w:val="000000" w:themeColor="text1"/>
                <w:szCs w:val="21"/>
              </w:rPr>
            </w:pPr>
          </w:p>
        </w:tc>
        <w:tc>
          <w:tcPr>
            <w:tcW w:w="128" w:type="pct"/>
            <w:vMerge/>
            <w:shd w:val="clear" w:color="auto" w:fill="auto"/>
            <w:vAlign w:val="center"/>
          </w:tcPr>
          <w:p w:rsidR="00644456" w:rsidRDefault="00644456">
            <w:pPr>
              <w:adjustRightInd w:val="0"/>
              <w:snapToGrid w:val="0"/>
              <w:jc w:val="center"/>
              <w:rPr>
                <w:rFonts w:cs="Times New Roman"/>
                <w:color w:val="000000" w:themeColor="text1"/>
                <w:szCs w:val="21"/>
              </w:rPr>
            </w:pPr>
          </w:p>
        </w:tc>
        <w:tc>
          <w:tcPr>
            <w:tcW w:w="217" w:type="pct"/>
            <w:vMerge/>
            <w:shd w:val="clear" w:color="auto" w:fill="auto"/>
            <w:vAlign w:val="center"/>
          </w:tcPr>
          <w:p w:rsidR="00644456" w:rsidRDefault="00644456">
            <w:pPr>
              <w:adjustRightInd w:val="0"/>
              <w:snapToGrid w:val="0"/>
              <w:jc w:val="center"/>
              <w:rPr>
                <w:rFonts w:cs="Times New Roman"/>
                <w:color w:val="000000" w:themeColor="text1"/>
                <w:szCs w:val="21"/>
              </w:rPr>
            </w:pPr>
          </w:p>
        </w:tc>
        <w:tc>
          <w:tcPr>
            <w:tcW w:w="254" w:type="pct"/>
            <w:vMerge/>
            <w:shd w:val="clear" w:color="auto" w:fill="auto"/>
            <w:vAlign w:val="center"/>
          </w:tcPr>
          <w:p w:rsidR="00644456" w:rsidRDefault="00644456">
            <w:pPr>
              <w:adjustRightInd w:val="0"/>
              <w:snapToGrid w:val="0"/>
              <w:jc w:val="center"/>
              <w:rPr>
                <w:rFonts w:cs="Times New Roman"/>
                <w:color w:val="000000" w:themeColor="text1"/>
                <w:szCs w:val="21"/>
              </w:rPr>
            </w:pPr>
          </w:p>
        </w:tc>
        <w:tc>
          <w:tcPr>
            <w:tcW w:w="175" w:type="pct"/>
            <w:vMerge/>
            <w:vAlign w:val="center"/>
          </w:tcPr>
          <w:p w:rsidR="00644456" w:rsidRDefault="00644456">
            <w:pPr>
              <w:adjustRightInd w:val="0"/>
              <w:snapToGrid w:val="0"/>
              <w:jc w:val="center"/>
              <w:rPr>
                <w:rFonts w:cs="Times New Roman"/>
                <w:color w:val="000000" w:themeColor="text1"/>
                <w:szCs w:val="21"/>
              </w:rPr>
            </w:pPr>
          </w:p>
        </w:tc>
        <w:tc>
          <w:tcPr>
            <w:tcW w:w="208" w:type="pct"/>
            <w:vMerge/>
            <w:vAlign w:val="center"/>
          </w:tcPr>
          <w:p w:rsidR="00644456" w:rsidRDefault="00644456">
            <w:pPr>
              <w:adjustRightInd w:val="0"/>
              <w:snapToGrid w:val="0"/>
              <w:jc w:val="center"/>
              <w:rPr>
                <w:rFonts w:cs="Times New Roman"/>
                <w:color w:val="000000" w:themeColor="text1"/>
                <w:szCs w:val="21"/>
              </w:rPr>
            </w:pPr>
          </w:p>
        </w:tc>
        <w:tc>
          <w:tcPr>
            <w:tcW w:w="474" w:type="pct"/>
            <w:vMerge/>
            <w:vAlign w:val="center"/>
          </w:tcPr>
          <w:p w:rsidR="00644456" w:rsidRDefault="00644456">
            <w:pPr>
              <w:adjustRightInd w:val="0"/>
              <w:snapToGrid w:val="0"/>
              <w:jc w:val="center"/>
              <w:rPr>
                <w:rFonts w:cs="Times New Roman"/>
                <w:color w:val="000000" w:themeColor="text1"/>
                <w:szCs w:val="21"/>
              </w:rPr>
            </w:pPr>
          </w:p>
        </w:tc>
        <w:tc>
          <w:tcPr>
            <w:tcW w:w="145" w:type="pct"/>
            <w:vMerge/>
            <w:vAlign w:val="center"/>
          </w:tcPr>
          <w:p w:rsidR="00644456" w:rsidRDefault="00644456">
            <w:pPr>
              <w:adjustRightInd w:val="0"/>
              <w:snapToGrid w:val="0"/>
              <w:jc w:val="center"/>
              <w:rPr>
                <w:rFonts w:cs="Times New Roman"/>
                <w:color w:val="000000" w:themeColor="text1"/>
                <w:szCs w:val="21"/>
              </w:rPr>
            </w:pPr>
          </w:p>
        </w:tc>
        <w:tc>
          <w:tcPr>
            <w:tcW w:w="217" w:type="pct"/>
            <w:vMerge/>
            <w:vAlign w:val="center"/>
          </w:tcPr>
          <w:p w:rsidR="00644456" w:rsidRDefault="00644456">
            <w:pPr>
              <w:adjustRightInd w:val="0"/>
              <w:snapToGrid w:val="0"/>
              <w:jc w:val="center"/>
              <w:rPr>
                <w:rFonts w:cs="Times New Roman"/>
                <w:color w:val="000000" w:themeColor="text1"/>
                <w:szCs w:val="21"/>
              </w:rPr>
            </w:pPr>
          </w:p>
        </w:tc>
      </w:tr>
      <w:tr w:rsidR="00644456">
        <w:trPr>
          <w:cantSplit/>
          <w:jc w:val="center"/>
        </w:trPr>
        <w:tc>
          <w:tcPr>
            <w:tcW w:w="238" w:type="pct"/>
            <w:vMerge w:val="restart"/>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1</w:t>
            </w:r>
          </w:p>
        </w:tc>
        <w:tc>
          <w:tcPr>
            <w:tcW w:w="286" w:type="pct"/>
            <w:vMerge w:val="restart"/>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工艺不凝气</w:t>
            </w:r>
          </w:p>
        </w:tc>
        <w:tc>
          <w:tcPr>
            <w:tcW w:w="294" w:type="pct"/>
            <w:vMerge w:val="restart"/>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有组织</w:t>
            </w:r>
          </w:p>
        </w:tc>
        <w:tc>
          <w:tcPr>
            <w:tcW w:w="232" w:type="pct"/>
            <w:vMerge w:val="restart"/>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系数法</w:t>
            </w:r>
          </w:p>
        </w:tc>
        <w:tc>
          <w:tcPr>
            <w:tcW w:w="232" w:type="pct"/>
            <w:vMerge w:val="restart"/>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12000</w:t>
            </w:r>
          </w:p>
        </w:tc>
        <w:tc>
          <w:tcPr>
            <w:tcW w:w="231" w:type="pct"/>
            <w:vMerge w:val="restart"/>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7200</w:t>
            </w:r>
          </w:p>
        </w:tc>
        <w:tc>
          <w:tcPr>
            <w:tcW w:w="232" w:type="pct"/>
            <w:vAlign w:val="center"/>
          </w:tcPr>
          <w:p w:rsidR="00644456" w:rsidRDefault="008031C4">
            <w:pPr>
              <w:adjustRightInd w:val="0"/>
              <w:snapToGrid w:val="0"/>
              <w:jc w:val="center"/>
              <w:rPr>
                <w:rFonts w:cs="Times New Roman"/>
                <w:color w:val="000000" w:themeColor="text1"/>
                <w:szCs w:val="21"/>
              </w:rPr>
            </w:pPr>
            <w:r>
              <w:rPr>
                <w:rFonts w:cs="Times New Roman"/>
                <w:szCs w:val="21"/>
                <w:lang w:bidi="ar"/>
              </w:rPr>
              <w:t>非甲烷总烃</w:t>
            </w:r>
          </w:p>
        </w:tc>
        <w:tc>
          <w:tcPr>
            <w:tcW w:w="269" w:type="pct"/>
            <w:vAlign w:val="center"/>
          </w:tcPr>
          <w:p w:rsidR="00644456" w:rsidRDefault="008031C4">
            <w:pPr>
              <w:adjustRightInd w:val="0"/>
              <w:snapToGrid w:val="0"/>
              <w:jc w:val="center"/>
              <w:rPr>
                <w:color w:val="000000" w:themeColor="text1"/>
                <w:szCs w:val="21"/>
                <w:u w:val="single"/>
                <w:lang w:val="de-DE"/>
              </w:rPr>
            </w:pPr>
            <w:r>
              <w:rPr>
                <w:rFonts w:cs="Times New Roman"/>
                <w:szCs w:val="21"/>
                <w:lang w:bidi="ar"/>
              </w:rPr>
              <w:t>114.583</w:t>
            </w:r>
          </w:p>
        </w:tc>
        <w:tc>
          <w:tcPr>
            <w:tcW w:w="258" w:type="pct"/>
            <w:vAlign w:val="center"/>
          </w:tcPr>
          <w:p w:rsidR="00644456" w:rsidRDefault="008031C4">
            <w:pPr>
              <w:adjustRightInd w:val="0"/>
              <w:snapToGrid w:val="0"/>
              <w:jc w:val="center"/>
              <w:rPr>
                <w:color w:val="000000" w:themeColor="text1"/>
                <w:szCs w:val="21"/>
                <w:u w:val="single"/>
                <w:lang w:val="de-DE"/>
              </w:rPr>
            </w:pPr>
            <w:r>
              <w:rPr>
                <w:rFonts w:cs="Times New Roman"/>
                <w:szCs w:val="21"/>
                <w:lang w:bidi="ar"/>
              </w:rPr>
              <w:t>8.250</w:t>
            </w:r>
          </w:p>
        </w:tc>
        <w:tc>
          <w:tcPr>
            <w:tcW w:w="269" w:type="pct"/>
            <w:vAlign w:val="center"/>
          </w:tcPr>
          <w:p w:rsidR="00644456" w:rsidRDefault="008031C4">
            <w:pPr>
              <w:adjustRightInd w:val="0"/>
              <w:snapToGrid w:val="0"/>
              <w:jc w:val="center"/>
              <w:rPr>
                <w:color w:val="000000" w:themeColor="text1"/>
                <w:szCs w:val="21"/>
                <w:u w:val="single"/>
                <w:lang w:val="de-DE"/>
              </w:rPr>
            </w:pPr>
            <w:r>
              <w:rPr>
                <w:rFonts w:cs="Times New Roman"/>
                <w:szCs w:val="21"/>
                <w:lang w:bidi="ar"/>
              </w:rPr>
              <w:t>34.375</w:t>
            </w:r>
          </w:p>
        </w:tc>
        <w:tc>
          <w:tcPr>
            <w:tcW w:w="175" w:type="pct"/>
            <w:vAlign w:val="center"/>
          </w:tcPr>
          <w:p w:rsidR="00644456" w:rsidRDefault="008031C4">
            <w:pPr>
              <w:adjustRightInd w:val="0"/>
              <w:snapToGrid w:val="0"/>
              <w:jc w:val="center"/>
              <w:rPr>
                <w:color w:val="000000" w:themeColor="text1"/>
                <w:szCs w:val="21"/>
                <w:u w:val="single"/>
                <w:lang w:val="de-DE"/>
              </w:rPr>
            </w:pPr>
            <w:r>
              <w:rPr>
                <w:rFonts w:cs="Times New Roman"/>
                <w:szCs w:val="21"/>
                <w:lang w:bidi="ar"/>
              </w:rPr>
              <w:t>0.344</w:t>
            </w:r>
          </w:p>
        </w:tc>
        <w:tc>
          <w:tcPr>
            <w:tcW w:w="222" w:type="pct"/>
            <w:vAlign w:val="center"/>
          </w:tcPr>
          <w:p w:rsidR="00644456" w:rsidRDefault="008031C4">
            <w:pPr>
              <w:adjustRightInd w:val="0"/>
              <w:snapToGrid w:val="0"/>
              <w:jc w:val="center"/>
              <w:rPr>
                <w:color w:val="000000" w:themeColor="text1"/>
                <w:szCs w:val="21"/>
                <w:u w:val="single"/>
                <w:lang w:val="de-DE"/>
              </w:rPr>
            </w:pPr>
            <w:r>
              <w:rPr>
                <w:rFonts w:cs="Times New Roman"/>
                <w:szCs w:val="21"/>
                <w:lang w:bidi="ar"/>
              </w:rPr>
              <w:t>2.475</w:t>
            </w:r>
          </w:p>
        </w:tc>
        <w:tc>
          <w:tcPr>
            <w:tcW w:w="113" w:type="pct"/>
            <w:vMerge w:val="restart"/>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15</w:t>
            </w:r>
          </w:p>
        </w:tc>
        <w:tc>
          <w:tcPr>
            <w:tcW w:w="131" w:type="pct"/>
            <w:vMerge w:val="restart"/>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0.5</w:t>
            </w:r>
          </w:p>
        </w:tc>
        <w:tc>
          <w:tcPr>
            <w:tcW w:w="128" w:type="pct"/>
            <w:vMerge w:val="restart"/>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25</w:t>
            </w:r>
          </w:p>
        </w:tc>
        <w:tc>
          <w:tcPr>
            <w:tcW w:w="217" w:type="pct"/>
            <w:vMerge w:val="restart"/>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w:t>
            </w:r>
          </w:p>
        </w:tc>
        <w:tc>
          <w:tcPr>
            <w:tcW w:w="254" w:type="pct"/>
            <w:vMerge w:val="restart"/>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DA001</w:t>
            </w:r>
          </w:p>
        </w:tc>
        <w:tc>
          <w:tcPr>
            <w:tcW w:w="175" w:type="pct"/>
            <w:vMerge w:val="restart"/>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100</w:t>
            </w:r>
          </w:p>
        </w:tc>
        <w:tc>
          <w:tcPr>
            <w:tcW w:w="208" w:type="pct"/>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70</w:t>
            </w:r>
          </w:p>
        </w:tc>
        <w:tc>
          <w:tcPr>
            <w:tcW w:w="474" w:type="pct"/>
            <w:vMerge w:val="restart"/>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碱液喷淋</w:t>
            </w:r>
            <w:r>
              <w:rPr>
                <w:rFonts w:cs="Times New Roman" w:hint="eastAsia"/>
                <w:color w:val="000000" w:themeColor="text1"/>
                <w:szCs w:val="21"/>
              </w:rPr>
              <w:t>+</w:t>
            </w:r>
            <w:r>
              <w:rPr>
                <w:rFonts w:cs="Times New Roman" w:hint="eastAsia"/>
                <w:color w:val="000000" w:themeColor="text1"/>
                <w:szCs w:val="21"/>
              </w:rPr>
              <w:t>干式过滤</w:t>
            </w:r>
            <w:r>
              <w:rPr>
                <w:rFonts w:cs="Times New Roman" w:hint="eastAsia"/>
                <w:color w:val="000000" w:themeColor="text1"/>
                <w:szCs w:val="21"/>
              </w:rPr>
              <w:t>+</w:t>
            </w:r>
            <w:r>
              <w:rPr>
                <w:rFonts w:cs="Times New Roman" w:hint="eastAsia"/>
                <w:color w:val="000000" w:themeColor="text1"/>
                <w:szCs w:val="21"/>
              </w:rPr>
              <w:t>高温氧化</w:t>
            </w:r>
          </w:p>
        </w:tc>
        <w:tc>
          <w:tcPr>
            <w:tcW w:w="145" w:type="pct"/>
            <w:vAlign w:val="center"/>
          </w:tcPr>
          <w:p w:rsidR="00644456" w:rsidRDefault="00721BEC">
            <w:pPr>
              <w:adjustRightInd w:val="0"/>
              <w:snapToGrid w:val="0"/>
              <w:jc w:val="center"/>
              <w:rPr>
                <w:rFonts w:cs="Times New Roman"/>
                <w:color w:val="000000" w:themeColor="text1"/>
                <w:szCs w:val="21"/>
              </w:rPr>
            </w:pPr>
            <w:r>
              <w:rPr>
                <w:rFonts w:cs="Times New Roman" w:hint="eastAsia"/>
                <w:color w:val="000000" w:themeColor="text1"/>
                <w:szCs w:val="21"/>
              </w:rPr>
              <w:t>1</w:t>
            </w:r>
            <w:r>
              <w:rPr>
                <w:rFonts w:cs="Times New Roman"/>
                <w:color w:val="000000" w:themeColor="text1"/>
                <w:szCs w:val="21"/>
              </w:rPr>
              <w:t>0</w:t>
            </w:r>
          </w:p>
        </w:tc>
        <w:tc>
          <w:tcPr>
            <w:tcW w:w="217" w:type="pct"/>
            <w:vAlign w:val="center"/>
          </w:tcPr>
          <w:p w:rsidR="00644456" w:rsidRDefault="00721BEC">
            <w:pPr>
              <w:adjustRightInd w:val="0"/>
              <w:snapToGrid w:val="0"/>
              <w:jc w:val="center"/>
              <w:rPr>
                <w:rFonts w:cs="Times New Roman"/>
                <w:color w:val="000000" w:themeColor="text1"/>
                <w:szCs w:val="21"/>
              </w:rPr>
            </w:pPr>
            <w:r>
              <w:rPr>
                <w:rFonts w:cs="Times New Roman" w:hint="eastAsia"/>
                <w:color w:val="000000" w:themeColor="text1"/>
                <w:szCs w:val="21"/>
              </w:rPr>
              <w:t>1</w:t>
            </w:r>
            <w:r>
              <w:rPr>
                <w:rFonts w:cs="Times New Roman"/>
                <w:color w:val="000000" w:themeColor="text1"/>
                <w:szCs w:val="21"/>
              </w:rPr>
              <w:t>20</w:t>
            </w:r>
          </w:p>
        </w:tc>
      </w:tr>
      <w:tr w:rsidR="00644456">
        <w:trPr>
          <w:cantSplit/>
          <w:jc w:val="center"/>
        </w:trPr>
        <w:tc>
          <w:tcPr>
            <w:tcW w:w="238" w:type="pct"/>
            <w:vMerge/>
            <w:vAlign w:val="center"/>
          </w:tcPr>
          <w:p w:rsidR="00644456" w:rsidRDefault="00644456">
            <w:pPr>
              <w:adjustRightInd w:val="0"/>
              <w:snapToGrid w:val="0"/>
              <w:jc w:val="center"/>
              <w:rPr>
                <w:rFonts w:cs="Times New Roman"/>
                <w:color w:val="000000" w:themeColor="text1"/>
                <w:szCs w:val="21"/>
              </w:rPr>
            </w:pPr>
          </w:p>
        </w:tc>
        <w:tc>
          <w:tcPr>
            <w:tcW w:w="286" w:type="pct"/>
            <w:vMerge/>
            <w:vAlign w:val="center"/>
          </w:tcPr>
          <w:p w:rsidR="00644456" w:rsidRDefault="00644456">
            <w:pPr>
              <w:adjustRightInd w:val="0"/>
              <w:snapToGrid w:val="0"/>
              <w:jc w:val="center"/>
              <w:rPr>
                <w:rFonts w:cs="Times New Roman"/>
                <w:color w:val="000000" w:themeColor="text1"/>
                <w:szCs w:val="21"/>
              </w:rPr>
            </w:pPr>
          </w:p>
        </w:tc>
        <w:tc>
          <w:tcPr>
            <w:tcW w:w="294" w:type="pct"/>
            <w:vMerge/>
            <w:vAlign w:val="center"/>
          </w:tcPr>
          <w:p w:rsidR="00644456" w:rsidRDefault="00644456">
            <w:pPr>
              <w:adjustRightInd w:val="0"/>
              <w:snapToGrid w:val="0"/>
              <w:jc w:val="center"/>
              <w:rPr>
                <w:rFonts w:cs="Times New Roman"/>
                <w:color w:val="000000" w:themeColor="text1"/>
                <w:szCs w:val="21"/>
              </w:rPr>
            </w:pPr>
          </w:p>
        </w:tc>
        <w:tc>
          <w:tcPr>
            <w:tcW w:w="232" w:type="pct"/>
            <w:vMerge/>
            <w:vAlign w:val="center"/>
          </w:tcPr>
          <w:p w:rsidR="00644456" w:rsidRDefault="00644456">
            <w:pPr>
              <w:adjustRightInd w:val="0"/>
              <w:snapToGrid w:val="0"/>
              <w:jc w:val="center"/>
              <w:rPr>
                <w:rFonts w:cs="Times New Roman"/>
                <w:color w:val="000000" w:themeColor="text1"/>
                <w:szCs w:val="21"/>
              </w:rPr>
            </w:pPr>
          </w:p>
        </w:tc>
        <w:tc>
          <w:tcPr>
            <w:tcW w:w="232" w:type="pct"/>
            <w:vMerge/>
            <w:vAlign w:val="center"/>
          </w:tcPr>
          <w:p w:rsidR="00644456" w:rsidRDefault="00644456">
            <w:pPr>
              <w:adjustRightInd w:val="0"/>
              <w:snapToGrid w:val="0"/>
              <w:jc w:val="center"/>
              <w:rPr>
                <w:rFonts w:cs="Times New Roman"/>
                <w:color w:val="000000" w:themeColor="text1"/>
                <w:szCs w:val="21"/>
              </w:rPr>
            </w:pPr>
          </w:p>
        </w:tc>
        <w:tc>
          <w:tcPr>
            <w:tcW w:w="231" w:type="pct"/>
            <w:vMerge/>
            <w:vAlign w:val="center"/>
          </w:tcPr>
          <w:p w:rsidR="00644456" w:rsidRDefault="00644456">
            <w:pPr>
              <w:adjustRightInd w:val="0"/>
              <w:snapToGrid w:val="0"/>
              <w:jc w:val="center"/>
              <w:rPr>
                <w:rFonts w:cs="Times New Roman"/>
                <w:color w:val="000000" w:themeColor="text1"/>
                <w:szCs w:val="21"/>
              </w:rPr>
            </w:pPr>
          </w:p>
        </w:tc>
        <w:tc>
          <w:tcPr>
            <w:tcW w:w="232" w:type="pct"/>
            <w:vAlign w:val="center"/>
          </w:tcPr>
          <w:p w:rsidR="00644456" w:rsidRDefault="008031C4">
            <w:pPr>
              <w:adjustRightInd w:val="0"/>
              <w:snapToGrid w:val="0"/>
              <w:jc w:val="center"/>
              <w:rPr>
                <w:rFonts w:cs="Times New Roman"/>
                <w:color w:val="000000" w:themeColor="text1"/>
                <w:szCs w:val="21"/>
              </w:rPr>
            </w:pPr>
            <w:r>
              <w:rPr>
                <w:rFonts w:cs="Times New Roman"/>
                <w:szCs w:val="21"/>
                <w:lang w:bidi="ar"/>
              </w:rPr>
              <w:t>硫化氢</w:t>
            </w:r>
          </w:p>
        </w:tc>
        <w:tc>
          <w:tcPr>
            <w:tcW w:w="269" w:type="pct"/>
            <w:vAlign w:val="center"/>
          </w:tcPr>
          <w:p w:rsidR="00644456" w:rsidRDefault="008031C4">
            <w:pPr>
              <w:adjustRightInd w:val="0"/>
              <w:snapToGrid w:val="0"/>
              <w:jc w:val="center"/>
              <w:rPr>
                <w:color w:val="000000" w:themeColor="text1"/>
                <w:szCs w:val="21"/>
                <w:u w:val="single"/>
                <w:lang w:val="de-DE"/>
              </w:rPr>
            </w:pPr>
            <w:r>
              <w:rPr>
                <w:rFonts w:cs="Times New Roman"/>
                <w:szCs w:val="21"/>
                <w:lang w:bidi="ar"/>
              </w:rPr>
              <w:t>0.6</w:t>
            </w:r>
          </w:p>
        </w:tc>
        <w:tc>
          <w:tcPr>
            <w:tcW w:w="258" w:type="pct"/>
            <w:vAlign w:val="center"/>
          </w:tcPr>
          <w:p w:rsidR="00644456" w:rsidRDefault="008031C4">
            <w:pPr>
              <w:adjustRightInd w:val="0"/>
              <w:snapToGrid w:val="0"/>
              <w:jc w:val="center"/>
              <w:rPr>
                <w:color w:val="000000" w:themeColor="text1"/>
                <w:szCs w:val="21"/>
                <w:u w:val="single"/>
                <w:lang w:val="de-DE"/>
              </w:rPr>
            </w:pPr>
            <w:r>
              <w:rPr>
                <w:rFonts w:cs="Times New Roman"/>
                <w:szCs w:val="21"/>
                <w:lang w:bidi="ar"/>
              </w:rPr>
              <w:t>0.04</w:t>
            </w:r>
          </w:p>
        </w:tc>
        <w:tc>
          <w:tcPr>
            <w:tcW w:w="269" w:type="pct"/>
            <w:vAlign w:val="center"/>
          </w:tcPr>
          <w:p w:rsidR="00644456" w:rsidRDefault="008031C4">
            <w:pPr>
              <w:adjustRightInd w:val="0"/>
              <w:snapToGrid w:val="0"/>
              <w:jc w:val="center"/>
              <w:rPr>
                <w:color w:val="000000" w:themeColor="text1"/>
                <w:szCs w:val="21"/>
                <w:u w:val="single"/>
                <w:lang w:val="de-DE"/>
              </w:rPr>
            </w:pPr>
            <w:r>
              <w:rPr>
                <w:rFonts w:cs="Times New Roman"/>
                <w:szCs w:val="21"/>
                <w:lang w:bidi="ar"/>
              </w:rPr>
              <w:t>0.06</w:t>
            </w:r>
          </w:p>
        </w:tc>
        <w:tc>
          <w:tcPr>
            <w:tcW w:w="175" w:type="pct"/>
            <w:vAlign w:val="center"/>
          </w:tcPr>
          <w:p w:rsidR="00644456" w:rsidRDefault="008031C4">
            <w:pPr>
              <w:adjustRightInd w:val="0"/>
              <w:snapToGrid w:val="0"/>
              <w:jc w:val="center"/>
              <w:rPr>
                <w:color w:val="000000" w:themeColor="text1"/>
                <w:szCs w:val="21"/>
                <w:u w:val="single"/>
                <w:lang w:val="de-DE"/>
              </w:rPr>
            </w:pPr>
            <w:r>
              <w:rPr>
                <w:rFonts w:cs="Times New Roman"/>
                <w:szCs w:val="21"/>
                <w:lang w:bidi="ar"/>
              </w:rPr>
              <w:t>0.0006</w:t>
            </w:r>
          </w:p>
        </w:tc>
        <w:tc>
          <w:tcPr>
            <w:tcW w:w="222" w:type="pct"/>
            <w:vAlign w:val="center"/>
          </w:tcPr>
          <w:p w:rsidR="00644456" w:rsidRDefault="008031C4">
            <w:pPr>
              <w:adjustRightInd w:val="0"/>
              <w:snapToGrid w:val="0"/>
              <w:jc w:val="center"/>
              <w:rPr>
                <w:color w:val="000000" w:themeColor="text1"/>
                <w:szCs w:val="21"/>
                <w:u w:val="single"/>
                <w:lang w:val="de-DE"/>
              </w:rPr>
            </w:pPr>
            <w:r>
              <w:rPr>
                <w:rFonts w:cs="Times New Roman"/>
                <w:szCs w:val="21"/>
                <w:lang w:bidi="ar"/>
              </w:rPr>
              <w:t>0.004</w:t>
            </w:r>
          </w:p>
        </w:tc>
        <w:tc>
          <w:tcPr>
            <w:tcW w:w="113" w:type="pct"/>
            <w:vMerge/>
            <w:vAlign w:val="center"/>
          </w:tcPr>
          <w:p w:rsidR="00644456" w:rsidRDefault="00644456">
            <w:pPr>
              <w:adjustRightInd w:val="0"/>
              <w:snapToGrid w:val="0"/>
              <w:jc w:val="center"/>
              <w:rPr>
                <w:rFonts w:cs="Times New Roman"/>
                <w:color w:val="000000" w:themeColor="text1"/>
                <w:szCs w:val="21"/>
              </w:rPr>
            </w:pPr>
          </w:p>
        </w:tc>
        <w:tc>
          <w:tcPr>
            <w:tcW w:w="131" w:type="pct"/>
            <w:vMerge/>
            <w:vAlign w:val="center"/>
          </w:tcPr>
          <w:p w:rsidR="00644456" w:rsidRDefault="00644456">
            <w:pPr>
              <w:adjustRightInd w:val="0"/>
              <w:snapToGrid w:val="0"/>
              <w:jc w:val="center"/>
              <w:rPr>
                <w:rFonts w:cs="Times New Roman"/>
                <w:color w:val="000000" w:themeColor="text1"/>
                <w:szCs w:val="21"/>
              </w:rPr>
            </w:pPr>
          </w:p>
        </w:tc>
        <w:tc>
          <w:tcPr>
            <w:tcW w:w="128" w:type="pct"/>
            <w:vMerge/>
            <w:vAlign w:val="center"/>
          </w:tcPr>
          <w:p w:rsidR="00644456" w:rsidRDefault="00644456">
            <w:pPr>
              <w:adjustRightInd w:val="0"/>
              <w:snapToGrid w:val="0"/>
              <w:jc w:val="center"/>
              <w:rPr>
                <w:rFonts w:cs="Times New Roman"/>
                <w:color w:val="000000" w:themeColor="text1"/>
                <w:szCs w:val="21"/>
              </w:rPr>
            </w:pPr>
          </w:p>
        </w:tc>
        <w:tc>
          <w:tcPr>
            <w:tcW w:w="217" w:type="pct"/>
            <w:vMerge/>
            <w:vAlign w:val="center"/>
          </w:tcPr>
          <w:p w:rsidR="00644456" w:rsidRDefault="00644456">
            <w:pPr>
              <w:adjustRightInd w:val="0"/>
              <w:snapToGrid w:val="0"/>
              <w:jc w:val="center"/>
              <w:rPr>
                <w:rFonts w:cs="Times New Roman"/>
                <w:color w:val="000000" w:themeColor="text1"/>
                <w:szCs w:val="21"/>
              </w:rPr>
            </w:pPr>
          </w:p>
        </w:tc>
        <w:tc>
          <w:tcPr>
            <w:tcW w:w="254" w:type="pct"/>
            <w:vMerge/>
            <w:vAlign w:val="center"/>
          </w:tcPr>
          <w:p w:rsidR="00644456" w:rsidRDefault="00644456">
            <w:pPr>
              <w:adjustRightInd w:val="0"/>
              <w:snapToGrid w:val="0"/>
              <w:jc w:val="center"/>
              <w:rPr>
                <w:rFonts w:cs="Times New Roman"/>
                <w:color w:val="000000" w:themeColor="text1"/>
                <w:szCs w:val="21"/>
              </w:rPr>
            </w:pPr>
          </w:p>
        </w:tc>
        <w:tc>
          <w:tcPr>
            <w:tcW w:w="175" w:type="pct"/>
            <w:vMerge/>
            <w:vAlign w:val="center"/>
          </w:tcPr>
          <w:p w:rsidR="00644456" w:rsidRDefault="00644456">
            <w:pPr>
              <w:adjustRightInd w:val="0"/>
              <w:snapToGrid w:val="0"/>
              <w:jc w:val="center"/>
              <w:rPr>
                <w:rFonts w:cs="Times New Roman"/>
                <w:color w:val="000000" w:themeColor="text1"/>
                <w:szCs w:val="21"/>
              </w:rPr>
            </w:pPr>
          </w:p>
        </w:tc>
        <w:tc>
          <w:tcPr>
            <w:tcW w:w="208" w:type="pct"/>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9</w:t>
            </w:r>
            <w:r>
              <w:rPr>
                <w:rFonts w:cs="Times New Roman"/>
                <w:color w:val="000000" w:themeColor="text1"/>
                <w:szCs w:val="21"/>
              </w:rPr>
              <w:t>0</w:t>
            </w:r>
          </w:p>
        </w:tc>
        <w:tc>
          <w:tcPr>
            <w:tcW w:w="474" w:type="pct"/>
            <w:vMerge/>
            <w:vAlign w:val="center"/>
          </w:tcPr>
          <w:p w:rsidR="00644456" w:rsidRDefault="00644456">
            <w:pPr>
              <w:adjustRightInd w:val="0"/>
              <w:snapToGrid w:val="0"/>
              <w:jc w:val="center"/>
              <w:rPr>
                <w:rFonts w:cs="Times New Roman"/>
                <w:color w:val="000000" w:themeColor="text1"/>
                <w:szCs w:val="21"/>
              </w:rPr>
            </w:pPr>
          </w:p>
        </w:tc>
        <w:tc>
          <w:tcPr>
            <w:tcW w:w="145" w:type="pct"/>
            <w:vAlign w:val="center"/>
          </w:tcPr>
          <w:p w:rsidR="00644456" w:rsidRDefault="00721BEC">
            <w:pPr>
              <w:adjustRightInd w:val="0"/>
              <w:snapToGrid w:val="0"/>
              <w:jc w:val="center"/>
              <w:rPr>
                <w:rFonts w:cs="Times New Roman"/>
                <w:color w:val="000000" w:themeColor="text1"/>
                <w:szCs w:val="21"/>
              </w:rPr>
            </w:pPr>
            <w:r>
              <w:rPr>
                <w:rFonts w:cs="Times New Roman" w:hint="eastAsia"/>
                <w:color w:val="000000" w:themeColor="text1"/>
                <w:szCs w:val="21"/>
              </w:rPr>
              <w:t>0</w:t>
            </w:r>
            <w:r>
              <w:rPr>
                <w:rFonts w:cs="Times New Roman"/>
                <w:color w:val="000000" w:themeColor="text1"/>
                <w:szCs w:val="21"/>
              </w:rPr>
              <w:t>.33</w:t>
            </w:r>
          </w:p>
        </w:tc>
        <w:tc>
          <w:tcPr>
            <w:tcW w:w="217" w:type="pct"/>
            <w:vAlign w:val="center"/>
          </w:tcPr>
          <w:p w:rsidR="00644456" w:rsidRDefault="00721BEC">
            <w:pPr>
              <w:adjustRightInd w:val="0"/>
              <w:snapToGrid w:val="0"/>
              <w:jc w:val="center"/>
              <w:rPr>
                <w:rFonts w:cs="Times New Roman"/>
                <w:color w:val="000000" w:themeColor="text1"/>
                <w:szCs w:val="21"/>
              </w:rPr>
            </w:pPr>
            <w:r>
              <w:rPr>
                <w:rFonts w:cs="Times New Roman" w:hint="eastAsia"/>
                <w:color w:val="000000" w:themeColor="text1"/>
                <w:szCs w:val="21"/>
              </w:rPr>
              <w:t>/</w:t>
            </w:r>
          </w:p>
        </w:tc>
      </w:tr>
      <w:tr w:rsidR="00EC17B3">
        <w:trPr>
          <w:cantSplit/>
          <w:jc w:val="center"/>
        </w:trPr>
        <w:tc>
          <w:tcPr>
            <w:tcW w:w="238" w:type="pct"/>
            <w:vMerge w:val="restart"/>
            <w:vAlign w:val="center"/>
          </w:tcPr>
          <w:p w:rsidR="00EC17B3" w:rsidRDefault="00EC17B3" w:rsidP="00EC17B3">
            <w:pPr>
              <w:adjustRightInd w:val="0"/>
              <w:snapToGrid w:val="0"/>
              <w:jc w:val="center"/>
              <w:rPr>
                <w:rFonts w:cs="Times New Roman"/>
                <w:color w:val="000000" w:themeColor="text1"/>
                <w:szCs w:val="21"/>
              </w:rPr>
            </w:pPr>
            <w:r>
              <w:rPr>
                <w:rFonts w:cs="Times New Roman" w:hint="eastAsia"/>
                <w:color w:val="000000" w:themeColor="text1"/>
                <w:szCs w:val="21"/>
              </w:rPr>
              <w:t>2</w:t>
            </w:r>
          </w:p>
        </w:tc>
        <w:tc>
          <w:tcPr>
            <w:tcW w:w="286" w:type="pct"/>
            <w:vMerge w:val="restart"/>
            <w:vAlign w:val="center"/>
          </w:tcPr>
          <w:p w:rsidR="00EC17B3" w:rsidRDefault="00EC17B3" w:rsidP="00EC17B3">
            <w:pPr>
              <w:adjustRightInd w:val="0"/>
              <w:snapToGrid w:val="0"/>
              <w:jc w:val="center"/>
              <w:rPr>
                <w:rFonts w:cs="Times New Roman"/>
                <w:color w:val="000000" w:themeColor="text1"/>
                <w:szCs w:val="21"/>
              </w:rPr>
            </w:pPr>
            <w:r>
              <w:rPr>
                <w:rFonts w:cs="Times New Roman" w:hint="eastAsia"/>
                <w:color w:val="000000" w:themeColor="text1"/>
                <w:szCs w:val="21"/>
              </w:rPr>
              <w:t>导热油锅炉废气</w:t>
            </w:r>
          </w:p>
        </w:tc>
        <w:tc>
          <w:tcPr>
            <w:tcW w:w="294" w:type="pct"/>
            <w:vMerge w:val="restart"/>
            <w:vAlign w:val="center"/>
          </w:tcPr>
          <w:p w:rsidR="00EC17B3" w:rsidRDefault="00EC17B3" w:rsidP="00EC17B3">
            <w:pPr>
              <w:adjustRightInd w:val="0"/>
              <w:snapToGrid w:val="0"/>
              <w:jc w:val="center"/>
              <w:rPr>
                <w:rFonts w:cs="Times New Roman"/>
                <w:color w:val="000000" w:themeColor="text1"/>
                <w:szCs w:val="21"/>
              </w:rPr>
            </w:pPr>
            <w:r>
              <w:rPr>
                <w:rFonts w:cs="Times New Roman" w:hint="eastAsia"/>
                <w:color w:val="000000" w:themeColor="text1"/>
                <w:szCs w:val="21"/>
              </w:rPr>
              <w:t>有组织</w:t>
            </w:r>
          </w:p>
        </w:tc>
        <w:tc>
          <w:tcPr>
            <w:tcW w:w="232" w:type="pct"/>
            <w:vMerge w:val="restart"/>
            <w:vAlign w:val="center"/>
          </w:tcPr>
          <w:p w:rsidR="00EC17B3" w:rsidRDefault="00EC17B3" w:rsidP="00EC17B3">
            <w:pPr>
              <w:adjustRightInd w:val="0"/>
              <w:snapToGrid w:val="0"/>
              <w:jc w:val="center"/>
              <w:rPr>
                <w:rFonts w:cs="Times New Roman"/>
                <w:color w:val="000000" w:themeColor="text1"/>
                <w:szCs w:val="21"/>
              </w:rPr>
            </w:pPr>
            <w:r>
              <w:rPr>
                <w:rFonts w:cs="Times New Roman"/>
                <w:color w:val="000000" w:themeColor="text1"/>
                <w:szCs w:val="21"/>
              </w:rPr>
              <w:t>系数法</w:t>
            </w:r>
          </w:p>
        </w:tc>
        <w:tc>
          <w:tcPr>
            <w:tcW w:w="232" w:type="pct"/>
            <w:vMerge w:val="restart"/>
            <w:vAlign w:val="center"/>
          </w:tcPr>
          <w:p w:rsidR="00EC17B3" w:rsidRDefault="00EC17B3" w:rsidP="00EC17B3">
            <w:pPr>
              <w:adjustRightInd w:val="0"/>
              <w:snapToGrid w:val="0"/>
              <w:jc w:val="center"/>
              <w:rPr>
                <w:rFonts w:cs="Times New Roman"/>
                <w:color w:val="000000" w:themeColor="text1"/>
                <w:szCs w:val="21"/>
              </w:rPr>
            </w:pPr>
            <w:r>
              <w:rPr>
                <w:rFonts w:cs="Times New Roman"/>
                <w:color w:val="000000" w:themeColor="text1"/>
                <w:szCs w:val="21"/>
              </w:rPr>
              <w:t>1635</w:t>
            </w:r>
          </w:p>
        </w:tc>
        <w:tc>
          <w:tcPr>
            <w:tcW w:w="231" w:type="pct"/>
            <w:vMerge w:val="restart"/>
            <w:vAlign w:val="center"/>
          </w:tcPr>
          <w:p w:rsidR="00EC17B3" w:rsidRDefault="00EC17B3" w:rsidP="00EC17B3">
            <w:pPr>
              <w:adjustRightInd w:val="0"/>
              <w:snapToGrid w:val="0"/>
              <w:jc w:val="center"/>
              <w:rPr>
                <w:rFonts w:cs="Times New Roman"/>
                <w:color w:val="000000" w:themeColor="text1"/>
                <w:szCs w:val="21"/>
              </w:rPr>
            </w:pPr>
            <w:r>
              <w:rPr>
                <w:rFonts w:cs="Times New Roman"/>
                <w:color w:val="000000" w:themeColor="text1"/>
                <w:szCs w:val="21"/>
              </w:rPr>
              <w:t>7200</w:t>
            </w:r>
          </w:p>
        </w:tc>
        <w:tc>
          <w:tcPr>
            <w:tcW w:w="232" w:type="pct"/>
            <w:vAlign w:val="center"/>
          </w:tcPr>
          <w:p w:rsidR="00EC17B3" w:rsidRPr="00721BEC" w:rsidRDefault="00EC17B3" w:rsidP="00EC17B3">
            <w:pPr>
              <w:adjustRightInd w:val="0"/>
              <w:snapToGrid w:val="0"/>
              <w:jc w:val="center"/>
              <w:rPr>
                <w:rFonts w:cs="Times New Roman"/>
                <w:color w:val="FF0000"/>
                <w:szCs w:val="21"/>
                <w:lang w:bidi="ar"/>
              </w:rPr>
            </w:pPr>
            <w:r w:rsidRPr="00721BEC">
              <w:rPr>
                <w:rFonts w:cs="Times New Roman"/>
                <w:color w:val="FF0000"/>
                <w:kern w:val="0"/>
                <w:szCs w:val="21"/>
                <w:lang w:bidi="ar"/>
              </w:rPr>
              <w:t>颗粒物</w:t>
            </w:r>
          </w:p>
        </w:tc>
        <w:tc>
          <w:tcPr>
            <w:tcW w:w="269" w:type="pct"/>
            <w:vAlign w:val="center"/>
          </w:tcPr>
          <w:p w:rsidR="00EC17B3" w:rsidRPr="00721BEC" w:rsidRDefault="00EC17B3" w:rsidP="00EC17B3">
            <w:pPr>
              <w:adjustRightInd w:val="0"/>
              <w:snapToGrid w:val="0"/>
              <w:jc w:val="center"/>
              <w:rPr>
                <w:rFonts w:cs="Times New Roman"/>
                <w:color w:val="FF0000"/>
                <w:szCs w:val="21"/>
                <w:lang w:bidi="ar"/>
              </w:rPr>
            </w:pPr>
            <w:r>
              <w:rPr>
                <w:rFonts w:cs="Times New Roman"/>
                <w:bCs/>
                <w:szCs w:val="21"/>
              </w:rPr>
              <w:t>12.31</w:t>
            </w:r>
          </w:p>
        </w:tc>
        <w:tc>
          <w:tcPr>
            <w:tcW w:w="258" w:type="pct"/>
            <w:vAlign w:val="center"/>
          </w:tcPr>
          <w:p w:rsidR="00EC17B3" w:rsidRPr="00721BEC" w:rsidRDefault="00EC17B3" w:rsidP="00EC17B3">
            <w:pPr>
              <w:adjustRightInd w:val="0"/>
              <w:snapToGrid w:val="0"/>
              <w:jc w:val="center"/>
              <w:rPr>
                <w:rFonts w:cs="Times New Roman"/>
                <w:bCs/>
                <w:color w:val="FF0000"/>
                <w:szCs w:val="21"/>
              </w:rPr>
            </w:pPr>
            <w:r>
              <w:rPr>
                <w:rFonts w:cs="Times New Roman" w:hint="eastAsia"/>
                <w:bCs/>
                <w:szCs w:val="21"/>
              </w:rPr>
              <w:t>0</w:t>
            </w:r>
            <w:r>
              <w:rPr>
                <w:rFonts w:cs="Times New Roman"/>
                <w:bCs/>
                <w:szCs w:val="21"/>
              </w:rPr>
              <w:t>.0168</w:t>
            </w:r>
          </w:p>
        </w:tc>
        <w:tc>
          <w:tcPr>
            <w:tcW w:w="269" w:type="pct"/>
            <w:vAlign w:val="center"/>
          </w:tcPr>
          <w:p w:rsidR="00EC17B3" w:rsidRPr="00721BEC" w:rsidRDefault="00EC17B3" w:rsidP="00EC17B3">
            <w:pPr>
              <w:adjustRightInd w:val="0"/>
              <w:snapToGrid w:val="0"/>
              <w:jc w:val="center"/>
              <w:rPr>
                <w:rFonts w:cs="Times New Roman"/>
                <w:color w:val="FF0000"/>
                <w:szCs w:val="21"/>
                <w:lang w:bidi="ar"/>
              </w:rPr>
            </w:pPr>
            <w:r>
              <w:rPr>
                <w:rFonts w:cs="Times New Roman"/>
                <w:bCs/>
                <w:szCs w:val="21"/>
              </w:rPr>
              <w:t>12.31</w:t>
            </w:r>
          </w:p>
        </w:tc>
        <w:tc>
          <w:tcPr>
            <w:tcW w:w="175" w:type="pct"/>
            <w:vAlign w:val="center"/>
          </w:tcPr>
          <w:p w:rsidR="00EC17B3" w:rsidRPr="00721BEC" w:rsidRDefault="00EC17B3" w:rsidP="00EC17B3">
            <w:pPr>
              <w:adjustRightInd w:val="0"/>
              <w:snapToGrid w:val="0"/>
              <w:jc w:val="center"/>
              <w:rPr>
                <w:rFonts w:cs="Times New Roman"/>
                <w:color w:val="FF0000"/>
                <w:szCs w:val="21"/>
                <w:lang w:bidi="ar"/>
              </w:rPr>
            </w:pPr>
            <w:r>
              <w:rPr>
                <w:rFonts w:cs="Times New Roman" w:hint="eastAsia"/>
                <w:bCs/>
                <w:szCs w:val="21"/>
              </w:rPr>
              <w:t>0</w:t>
            </w:r>
            <w:r>
              <w:rPr>
                <w:rFonts w:cs="Times New Roman"/>
                <w:bCs/>
                <w:szCs w:val="21"/>
              </w:rPr>
              <w:t>.0168</w:t>
            </w:r>
          </w:p>
        </w:tc>
        <w:tc>
          <w:tcPr>
            <w:tcW w:w="222" w:type="pct"/>
            <w:vAlign w:val="center"/>
          </w:tcPr>
          <w:p w:rsidR="00EC17B3" w:rsidRPr="00721BEC" w:rsidRDefault="00EC17B3" w:rsidP="00EC17B3">
            <w:pPr>
              <w:adjustRightInd w:val="0"/>
              <w:snapToGrid w:val="0"/>
              <w:jc w:val="center"/>
              <w:rPr>
                <w:rFonts w:cs="Times New Roman"/>
                <w:color w:val="FF0000"/>
                <w:szCs w:val="21"/>
                <w:lang w:bidi="ar"/>
              </w:rPr>
            </w:pPr>
            <w:r>
              <w:rPr>
                <w:rFonts w:cs="Times New Roman"/>
                <w:bCs/>
                <w:szCs w:val="21"/>
              </w:rPr>
              <w:t>0.121</w:t>
            </w:r>
          </w:p>
        </w:tc>
        <w:tc>
          <w:tcPr>
            <w:tcW w:w="113" w:type="pct"/>
            <w:vMerge w:val="restart"/>
            <w:vAlign w:val="center"/>
          </w:tcPr>
          <w:p w:rsidR="00EC17B3" w:rsidRDefault="00EC17B3" w:rsidP="00EC17B3">
            <w:pPr>
              <w:adjustRightInd w:val="0"/>
              <w:snapToGrid w:val="0"/>
              <w:jc w:val="center"/>
              <w:rPr>
                <w:rFonts w:cs="Times New Roman"/>
                <w:color w:val="000000" w:themeColor="text1"/>
                <w:szCs w:val="21"/>
              </w:rPr>
            </w:pPr>
            <w:r>
              <w:rPr>
                <w:rFonts w:cs="Times New Roman" w:hint="eastAsia"/>
                <w:color w:val="000000" w:themeColor="text1"/>
                <w:szCs w:val="21"/>
              </w:rPr>
              <w:t>8</w:t>
            </w:r>
          </w:p>
        </w:tc>
        <w:tc>
          <w:tcPr>
            <w:tcW w:w="131" w:type="pct"/>
            <w:vMerge w:val="restart"/>
            <w:vAlign w:val="center"/>
          </w:tcPr>
          <w:p w:rsidR="00EC17B3" w:rsidRDefault="00EC17B3" w:rsidP="00EC17B3">
            <w:pPr>
              <w:adjustRightInd w:val="0"/>
              <w:snapToGrid w:val="0"/>
              <w:jc w:val="center"/>
              <w:rPr>
                <w:rFonts w:cs="Times New Roman"/>
                <w:color w:val="000000" w:themeColor="text1"/>
                <w:szCs w:val="21"/>
              </w:rPr>
            </w:pPr>
            <w:r>
              <w:rPr>
                <w:rFonts w:cs="Times New Roman" w:hint="eastAsia"/>
                <w:color w:val="000000" w:themeColor="text1"/>
                <w:szCs w:val="21"/>
              </w:rPr>
              <w:t>0</w:t>
            </w:r>
            <w:r>
              <w:rPr>
                <w:rFonts w:cs="Times New Roman"/>
                <w:color w:val="000000" w:themeColor="text1"/>
                <w:szCs w:val="21"/>
              </w:rPr>
              <w:t>.8</w:t>
            </w:r>
          </w:p>
        </w:tc>
        <w:tc>
          <w:tcPr>
            <w:tcW w:w="128" w:type="pct"/>
            <w:vMerge w:val="restart"/>
            <w:vAlign w:val="center"/>
          </w:tcPr>
          <w:p w:rsidR="00EC17B3" w:rsidRDefault="00EC17B3" w:rsidP="00EC17B3">
            <w:pPr>
              <w:adjustRightInd w:val="0"/>
              <w:snapToGrid w:val="0"/>
              <w:jc w:val="center"/>
              <w:rPr>
                <w:rFonts w:cs="Times New Roman"/>
                <w:color w:val="000000" w:themeColor="text1"/>
                <w:szCs w:val="21"/>
              </w:rPr>
            </w:pPr>
            <w:r>
              <w:rPr>
                <w:rFonts w:cs="Times New Roman" w:hint="eastAsia"/>
                <w:color w:val="000000" w:themeColor="text1"/>
                <w:szCs w:val="21"/>
              </w:rPr>
              <w:t>6</w:t>
            </w:r>
            <w:r>
              <w:rPr>
                <w:rFonts w:cs="Times New Roman"/>
                <w:color w:val="000000" w:themeColor="text1"/>
                <w:szCs w:val="21"/>
              </w:rPr>
              <w:t>0</w:t>
            </w:r>
          </w:p>
        </w:tc>
        <w:tc>
          <w:tcPr>
            <w:tcW w:w="217" w:type="pct"/>
            <w:vMerge w:val="restart"/>
            <w:vAlign w:val="center"/>
          </w:tcPr>
          <w:p w:rsidR="00EC17B3" w:rsidRDefault="00EC17B3" w:rsidP="00EC17B3">
            <w:pPr>
              <w:adjustRightInd w:val="0"/>
              <w:snapToGrid w:val="0"/>
              <w:jc w:val="center"/>
              <w:rPr>
                <w:rFonts w:cs="Times New Roman"/>
                <w:color w:val="000000" w:themeColor="text1"/>
                <w:szCs w:val="21"/>
              </w:rPr>
            </w:pPr>
            <w:r>
              <w:rPr>
                <w:rFonts w:cs="Times New Roman"/>
                <w:color w:val="000000" w:themeColor="text1"/>
                <w:szCs w:val="21"/>
              </w:rPr>
              <w:t>1</w:t>
            </w:r>
          </w:p>
        </w:tc>
        <w:tc>
          <w:tcPr>
            <w:tcW w:w="254" w:type="pct"/>
            <w:vMerge w:val="restart"/>
            <w:vAlign w:val="center"/>
          </w:tcPr>
          <w:p w:rsidR="00EC17B3" w:rsidRDefault="00EC17B3" w:rsidP="00EC17B3">
            <w:pPr>
              <w:adjustRightInd w:val="0"/>
              <w:snapToGrid w:val="0"/>
              <w:jc w:val="center"/>
              <w:rPr>
                <w:rFonts w:cs="Times New Roman"/>
                <w:color w:val="000000" w:themeColor="text1"/>
                <w:szCs w:val="21"/>
              </w:rPr>
            </w:pPr>
            <w:r>
              <w:rPr>
                <w:rFonts w:cs="Times New Roman"/>
                <w:color w:val="000000" w:themeColor="text1"/>
                <w:szCs w:val="21"/>
              </w:rPr>
              <w:t>DA002</w:t>
            </w:r>
          </w:p>
        </w:tc>
        <w:tc>
          <w:tcPr>
            <w:tcW w:w="175" w:type="pct"/>
            <w:vMerge w:val="restart"/>
            <w:vAlign w:val="center"/>
          </w:tcPr>
          <w:p w:rsidR="00EC17B3" w:rsidRDefault="00EC17B3" w:rsidP="00EC17B3">
            <w:pPr>
              <w:adjustRightInd w:val="0"/>
              <w:snapToGrid w:val="0"/>
              <w:jc w:val="center"/>
              <w:rPr>
                <w:rFonts w:cs="Times New Roman"/>
                <w:color w:val="000000" w:themeColor="text1"/>
                <w:szCs w:val="21"/>
              </w:rPr>
            </w:pPr>
            <w:r>
              <w:rPr>
                <w:rFonts w:cs="Times New Roman" w:hint="eastAsia"/>
                <w:color w:val="000000" w:themeColor="text1"/>
                <w:szCs w:val="21"/>
              </w:rPr>
              <w:t>1</w:t>
            </w:r>
            <w:r>
              <w:rPr>
                <w:rFonts w:cs="Times New Roman"/>
                <w:color w:val="000000" w:themeColor="text1"/>
                <w:szCs w:val="21"/>
              </w:rPr>
              <w:t>00</w:t>
            </w:r>
          </w:p>
        </w:tc>
        <w:tc>
          <w:tcPr>
            <w:tcW w:w="208" w:type="pct"/>
            <w:vAlign w:val="center"/>
          </w:tcPr>
          <w:p w:rsidR="00EC17B3" w:rsidRDefault="00EC17B3" w:rsidP="00EC17B3">
            <w:pPr>
              <w:adjustRightInd w:val="0"/>
              <w:snapToGrid w:val="0"/>
              <w:jc w:val="center"/>
              <w:rPr>
                <w:rFonts w:cs="Times New Roman"/>
                <w:color w:val="000000" w:themeColor="text1"/>
                <w:szCs w:val="21"/>
              </w:rPr>
            </w:pPr>
            <w:r>
              <w:rPr>
                <w:rFonts w:cs="Times New Roman"/>
                <w:color w:val="000000" w:themeColor="text1"/>
                <w:szCs w:val="21"/>
              </w:rPr>
              <w:t>0</w:t>
            </w:r>
          </w:p>
        </w:tc>
        <w:tc>
          <w:tcPr>
            <w:tcW w:w="474" w:type="pct"/>
            <w:vMerge w:val="restart"/>
            <w:vAlign w:val="center"/>
          </w:tcPr>
          <w:p w:rsidR="00EC17B3" w:rsidRDefault="00EC17B3" w:rsidP="00EC17B3">
            <w:pPr>
              <w:adjustRightInd w:val="0"/>
              <w:snapToGrid w:val="0"/>
              <w:jc w:val="center"/>
              <w:rPr>
                <w:rFonts w:cs="Times New Roman"/>
                <w:color w:val="000000" w:themeColor="text1"/>
                <w:szCs w:val="21"/>
              </w:rPr>
            </w:pPr>
            <w:r>
              <w:rPr>
                <w:rFonts w:cs="Times New Roman" w:hint="eastAsia"/>
                <w:color w:val="000000" w:themeColor="text1"/>
                <w:szCs w:val="21"/>
              </w:rPr>
              <w:t>低氮燃烧</w:t>
            </w:r>
          </w:p>
        </w:tc>
        <w:tc>
          <w:tcPr>
            <w:tcW w:w="145" w:type="pct"/>
            <w:vAlign w:val="center"/>
          </w:tcPr>
          <w:p w:rsidR="00EC17B3" w:rsidRDefault="00EC17B3" w:rsidP="00EC17B3">
            <w:pPr>
              <w:adjustRightInd w:val="0"/>
              <w:snapToGrid w:val="0"/>
              <w:jc w:val="center"/>
              <w:rPr>
                <w:rFonts w:cs="Times New Roman"/>
                <w:color w:val="000000" w:themeColor="text1"/>
                <w:szCs w:val="21"/>
              </w:rPr>
            </w:pPr>
            <w:r>
              <w:rPr>
                <w:rFonts w:cs="Times New Roman" w:hint="eastAsia"/>
                <w:szCs w:val="21"/>
                <w:lang w:bidi="ar"/>
              </w:rPr>
              <w:t>/</w:t>
            </w:r>
          </w:p>
        </w:tc>
        <w:tc>
          <w:tcPr>
            <w:tcW w:w="217" w:type="pct"/>
            <w:vAlign w:val="center"/>
          </w:tcPr>
          <w:p w:rsidR="00EC17B3" w:rsidRDefault="00EC17B3" w:rsidP="00EC17B3">
            <w:pPr>
              <w:adjustRightInd w:val="0"/>
              <w:snapToGrid w:val="0"/>
              <w:jc w:val="center"/>
              <w:rPr>
                <w:rFonts w:cs="Times New Roman"/>
                <w:color w:val="000000" w:themeColor="text1"/>
                <w:szCs w:val="21"/>
              </w:rPr>
            </w:pPr>
            <w:r>
              <w:rPr>
                <w:rFonts w:cs="Times New Roman"/>
                <w:szCs w:val="21"/>
                <w:lang w:bidi="ar"/>
              </w:rPr>
              <w:t>20</w:t>
            </w:r>
          </w:p>
        </w:tc>
      </w:tr>
      <w:tr w:rsidR="00644456">
        <w:trPr>
          <w:cantSplit/>
          <w:jc w:val="center"/>
        </w:trPr>
        <w:tc>
          <w:tcPr>
            <w:tcW w:w="238" w:type="pct"/>
            <w:vMerge/>
            <w:vAlign w:val="center"/>
          </w:tcPr>
          <w:p w:rsidR="00644456" w:rsidRDefault="00644456">
            <w:pPr>
              <w:adjustRightInd w:val="0"/>
              <w:snapToGrid w:val="0"/>
              <w:jc w:val="center"/>
              <w:rPr>
                <w:rFonts w:cs="Times New Roman"/>
                <w:color w:val="000000" w:themeColor="text1"/>
                <w:szCs w:val="21"/>
              </w:rPr>
            </w:pPr>
          </w:p>
        </w:tc>
        <w:tc>
          <w:tcPr>
            <w:tcW w:w="286" w:type="pct"/>
            <w:vMerge/>
            <w:vAlign w:val="center"/>
          </w:tcPr>
          <w:p w:rsidR="00644456" w:rsidRDefault="00644456">
            <w:pPr>
              <w:adjustRightInd w:val="0"/>
              <w:snapToGrid w:val="0"/>
              <w:jc w:val="center"/>
              <w:rPr>
                <w:rFonts w:cs="Times New Roman"/>
                <w:color w:val="000000" w:themeColor="text1"/>
                <w:szCs w:val="21"/>
              </w:rPr>
            </w:pPr>
          </w:p>
        </w:tc>
        <w:tc>
          <w:tcPr>
            <w:tcW w:w="294" w:type="pct"/>
            <w:vMerge/>
            <w:vAlign w:val="center"/>
          </w:tcPr>
          <w:p w:rsidR="00644456" w:rsidRDefault="00644456">
            <w:pPr>
              <w:adjustRightInd w:val="0"/>
              <w:snapToGrid w:val="0"/>
              <w:jc w:val="center"/>
              <w:rPr>
                <w:rFonts w:cs="Times New Roman"/>
                <w:color w:val="000000" w:themeColor="text1"/>
                <w:szCs w:val="21"/>
              </w:rPr>
            </w:pPr>
          </w:p>
        </w:tc>
        <w:tc>
          <w:tcPr>
            <w:tcW w:w="232" w:type="pct"/>
            <w:vMerge/>
            <w:vAlign w:val="center"/>
          </w:tcPr>
          <w:p w:rsidR="00644456" w:rsidRDefault="00644456">
            <w:pPr>
              <w:adjustRightInd w:val="0"/>
              <w:snapToGrid w:val="0"/>
              <w:jc w:val="center"/>
              <w:rPr>
                <w:rFonts w:cs="Times New Roman"/>
                <w:color w:val="000000" w:themeColor="text1"/>
                <w:szCs w:val="21"/>
              </w:rPr>
            </w:pPr>
          </w:p>
        </w:tc>
        <w:tc>
          <w:tcPr>
            <w:tcW w:w="232" w:type="pct"/>
            <w:vMerge/>
            <w:vAlign w:val="center"/>
          </w:tcPr>
          <w:p w:rsidR="00644456" w:rsidRDefault="00644456">
            <w:pPr>
              <w:adjustRightInd w:val="0"/>
              <w:snapToGrid w:val="0"/>
              <w:jc w:val="center"/>
              <w:rPr>
                <w:rFonts w:cs="Times New Roman"/>
                <w:color w:val="000000" w:themeColor="text1"/>
                <w:szCs w:val="21"/>
              </w:rPr>
            </w:pPr>
          </w:p>
        </w:tc>
        <w:tc>
          <w:tcPr>
            <w:tcW w:w="231" w:type="pct"/>
            <w:vMerge/>
            <w:vAlign w:val="center"/>
          </w:tcPr>
          <w:p w:rsidR="00644456" w:rsidRDefault="00644456">
            <w:pPr>
              <w:adjustRightInd w:val="0"/>
              <w:snapToGrid w:val="0"/>
              <w:jc w:val="center"/>
              <w:rPr>
                <w:rFonts w:cs="Times New Roman"/>
                <w:color w:val="000000" w:themeColor="text1"/>
                <w:szCs w:val="21"/>
              </w:rPr>
            </w:pPr>
          </w:p>
        </w:tc>
        <w:tc>
          <w:tcPr>
            <w:tcW w:w="232" w:type="pct"/>
            <w:vAlign w:val="center"/>
          </w:tcPr>
          <w:p w:rsidR="00644456" w:rsidRPr="00721BEC" w:rsidRDefault="008031C4">
            <w:pPr>
              <w:adjustRightInd w:val="0"/>
              <w:snapToGrid w:val="0"/>
              <w:jc w:val="center"/>
              <w:rPr>
                <w:rFonts w:cs="Times New Roman"/>
                <w:color w:val="FF0000"/>
                <w:szCs w:val="21"/>
                <w:lang w:bidi="ar"/>
              </w:rPr>
            </w:pPr>
            <w:r w:rsidRPr="00721BEC">
              <w:rPr>
                <w:rFonts w:cs="Times New Roman"/>
                <w:color w:val="FF0000"/>
                <w:kern w:val="0"/>
                <w:szCs w:val="21"/>
                <w:lang w:bidi="ar"/>
              </w:rPr>
              <w:t>SO</w:t>
            </w:r>
            <w:r w:rsidRPr="00721BEC">
              <w:rPr>
                <w:rFonts w:cs="Times New Roman"/>
                <w:color w:val="FF0000"/>
                <w:kern w:val="0"/>
                <w:szCs w:val="21"/>
                <w:vertAlign w:val="subscript"/>
                <w:lang w:bidi="ar"/>
              </w:rPr>
              <w:t>2</w:t>
            </w:r>
          </w:p>
        </w:tc>
        <w:tc>
          <w:tcPr>
            <w:tcW w:w="269" w:type="pct"/>
            <w:vAlign w:val="center"/>
          </w:tcPr>
          <w:p w:rsidR="00644456" w:rsidRPr="00721BEC" w:rsidRDefault="008031C4">
            <w:pPr>
              <w:adjustRightInd w:val="0"/>
              <w:snapToGrid w:val="0"/>
              <w:jc w:val="center"/>
              <w:rPr>
                <w:rFonts w:cs="Times New Roman"/>
                <w:color w:val="FF0000"/>
                <w:szCs w:val="21"/>
                <w:lang w:bidi="ar"/>
              </w:rPr>
            </w:pPr>
            <w:r w:rsidRPr="00721BEC">
              <w:rPr>
                <w:rFonts w:cs="Times New Roman" w:hint="eastAsia"/>
                <w:bCs/>
                <w:color w:val="FF0000"/>
                <w:szCs w:val="21"/>
              </w:rPr>
              <w:t>1</w:t>
            </w:r>
            <w:r w:rsidRPr="00721BEC">
              <w:rPr>
                <w:rFonts w:cs="Times New Roman"/>
                <w:bCs/>
                <w:color w:val="FF0000"/>
                <w:szCs w:val="21"/>
              </w:rPr>
              <w:t>.8</w:t>
            </w:r>
          </w:p>
        </w:tc>
        <w:tc>
          <w:tcPr>
            <w:tcW w:w="258" w:type="pct"/>
            <w:vAlign w:val="center"/>
          </w:tcPr>
          <w:p w:rsidR="00644456" w:rsidRPr="00721BEC" w:rsidRDefault="008031C4">
            <w:pPr>
              <w:adjustRightInd w:val="0"/>
              <w:snapToGrid w:val="0"/>
              <w:jc w:val="center"/>
              <w:rPr>
                <w:rFonts w:cs="Times New Roman"/>
                <w:bCs/>
                <w:color w:val="FF0000"/>
                <w:szCs w:val="21"/>
              </w:rPr>
            </w:pPr>
            <w:r w:rsidRPr="00721BEC">
              <w:rPr>
                <w:rFonts w:cs="Times New Roman" w:hint="eastAsia"/>
                <w:bCs/>
                <w:color w:val="FF0000"/>
                <w:szCs w:val="21"/>
              </w:rPr>
              <w:t>0.022</w:t>
            </w:r>
          </w:p>
        </w:tc>
        <w:tc>
          <w:tcPr>
            <w:tcW w:w="269" w:type="pct"/>
            <w:vAlign w:val="center"/>
          </w:tcPr>
          <w:p w:rsidR="00644456" w:rsidRPr="00721BEC" w:rsidRDefault="008031C4">
            <w:pPr>
              <w:adjustRightInd w:val="0"/>
              <w:snapToGrid w:val="0"/>
              <w:jc w:val="center"/>
              <w:rPr>
                <w:rFonts w:cs="Times New Roman"/>
                <w:color w:val="FF0000"/>
                <w:szCs w:val="21"/>
                <w:lang w:bidi="ar"/>
              </w:rPr>
            </w:pPr>
            <w:r w:rsidRPr="00721BEC">
              <w:rPr>
                <w:rFonts w:cs="Times New Roman" w:hint="eastAsia"/>
                <w:bCs/>
                <w:color w:val="FF0000"/>
                <w:szCs w:val="21"/>
              </w:rPr>
              <w:t>1</w:t>
            </w:r>
            <w:r w:rsidRPr="00721BEC">
              <w:rPr>
                <w:rFonts w:cs="Times New Roman"/>
                <w:bCs/>
                <w:color w:val="FF0000"/>
                <w:szCs w:val="21"/>
              </w:rPr>
              <w:t>.8</w:t>
            </w:r>
          </w:p>
        </w:tc>
        <w:tc>
          <w:tcPr>
            <w:tcW w:w="175" w:type="pct"/>
            <w:vAlign w:val="center"/>
          </w:tcPr>
          <w:p w:rsidR="00644456" w:rsidRPr="00721BEC" w:rsidRDefault="008031C4">
            <w:pPr>
              <w:adjustRightInd w:val="0"/>
              <w:snapToGrid w:val="0"/>
              <w:jc w:val="center"/>
              <w:rPr>
                <w:rFonts w:cs="Times New Roman"/>
                <w:color w:val="FF0000"/>
                <w:szCs w:val="21"/>
                <w:lang w:bidi="ar"/>
              </w:rPr>
            </w:pPr>
            <w:r w:rsidRPr="00721BEC">
              <w:rPr>
                <w:rFonts w:cs="Times New Roman" w:hint="eastAsia"/>
                <w:bCs/>
                <w:color w:val="FF0000"/>
                <w:szCs w:val="21"/>
              </w:rPr>
              <w:t>0</w:t>
            </w:r>
            <w:r w:rsidRPr="00721BEC">
              <w:rPr>
                <w:rFonts w:cs="Times New Roman"/>
                <w:bCs/>
                <w:color w:val="FF0000"/>
                <w:szCs w:val="21"/>
              </w:rPr>
              <w:t>.003</w:t>
            </w:r>
          </w:p>
        </w:tc>
        <w:tc>
          <w:tcPr>
            <w:tcW w:w="222" w:type="pct"/>
            <w:vAlign w:val="center"/>
          </w:tcPr>
          <w:p w:rsidR="00644456" w:rsidRPr="00721BEC" w:rsidRDefault="008031C4">
            <w:pPr>
              <w:adjustRightInd w:val="0"/>
              <w:snapToGrid w:val="0"/>
              <w:jc w:val="center"/>
              <w:rPr>
                <w:rFonts w:cs="Times New Roman"/>
                <w:color w:val="FF0000"/>
                <w:szCs w:val="21"/>
                <w:lang w:bidi="ar"/>
              </w:rPr>
            </w:pPr>
            <w:r w:rsidRPr="00721BEC">
              <w:rPr>
                <w:rFonts w:cs="Times New Roman" w:hint="eastAsia"/>
                <w:bCs/>
                <w:color w:val="FF0000"/>
                <w:szCs w:val="21"/>
              </w:rPr>
              <w:t>0</w:t>
            </w:r>
            <w:r w:rsidRPr="00721BEC">
              <w:rPr>
                <w:rFonts w:cs="Times New Roman"/>
                <w:bCs/>
                <w:color w:val="FF0000"/>
                <w:szCs w:val="21"/>
              </w:rPr>
              <w:t>.021</w:t>
            </w:r>
          </w:p>
        </w:tc>
        <w:tc>
          <w:tcPr>
            <w:tcW w:w="113" w:type="pct"/>
            <w:vMerge/>
            <w:vAlign w:val="center"/>
          </w:tcPr>
          <w:p w:rsidR="00644456" w:rsidRDefault="00644456">
            <w:pPr>
              <w:adjustRightInd w:val="0"/>
              <w:snapToGrid w:val="0"/>
              <w:jc w:val="center"/>
              <w:rPr>
                <w:rFonts w:cs="Times New Roman"/>
                <w:color w:val="000000" w:themeColor="text1"/>
                <w:szCs w:val="21"/>
              </w:rPr>
            </w:pPr>
          </w:p>
        </w:tc>
        <w:tc>
          <w:tcPr>
            <w:tcW w:w="131" w:type="pct"/>
            <w:vMerge/>
            <w:vAlign w:val="center"/>
          </w:tcPr>
          <w:p w:rsidR="00644456" w:rsidRDefault="00644456">
            <w:pPr>
              <w:adjustRightInd w:val="0"/>
              <w:snapToGrid w:val="0"/>
              <w:jc w:val="center"/>
              <w:rPr>
                <w:rFonts w:cs="Times New Roman"/>
                <w:color w:val="000000" w:themeColor="text1"/>
                <w:szCs w:val="21"/>
              </w:rPr>
            </w:pPr>
          </w:p>
        </w:tc>
        <w:tc>
          <w:tcPr>
            <w:tcW w:w="128" w:type="pct"/>
            <w:vMerge/>
            <w:vAlign w:val="center"/>
          </w:tcPr>
          <w:p w:rsidR="00644456" w:rsidRDefault="00644456">
            <w:pPr>
              <w:adjustRightInd w:val="0"/>
              <w:snapToGrid w:val="0"/>
              <w:jc w:val="center"/>
              <w:rPr>
                <w:rFonts w:cs="Times New Roman"/>
                <w:color w:val="000000" w:themeColor="text1"/>
                <w:szCs w:val="21"/>
              </w:rPr>
            </w:pPr>
          </w:p>
        </w:tc>
        <w:tc>
          <w:tcPr>
            <w:tcW w:w="217" w:type="pct"/>
            <w:vMerge/>
            <w:vAlign w:val="center"/>
          </w:tcPr>
          <w:p w:rsidR="00644456" w:rsidRDefault="00644456">
            <w:pPr>
              <w:adjustRightInd w:val="0"/>
              <w:snapToGrid w:val="0"/>
              <w:jc w:val="center"/>
              <w:rPr>
                <w:rFonts w:cs="Times New Roman"/>
                <w:color w:val="000000" w:themeColor="text1"/>
                <w:szCs w:val="21"/>
              </w:rPr>
            </w:pPr>
          </w:p>
        </w:tc>
        <w:tc>
          <w:tcPr>
            <w:tcW w:w="254" w:type="pct"/>
            <w:vMerge/>
            <w:vAlign w:val="center"/>
          </w:tcPr>
          <w:p w:rsidR="00644456" w:rsidRDefault="00644456">
            <w:pPr>
              <w:adjustRightInd w:val="0"/>
              <w:snapToGrid w:val="0"/>
              <w:jc w:val="center"/>
              <w:rPr>
                <w:rFonts w:cs="Times New Roman"/>
                <w:color w:val="000000" w:themeColor="text1"/>
                <w:szCs w:val="21"/>
              </w:rPr>
            </w:pPr>
          </w:p>
        </w:tc>
        <w:tc>
          <w:tcPr>
            <w:tcW w:w="175" w:type="pct"/>
            <w:vMerge/>
            <w:vAlign w:val="center"/>
          </w:tcPr>
          <w:p w:rsidR="00644456" w:rsidRDefault="00644456">
            <w:pPr>
              <w:adjustRightInd w:val="0"/>
              <w:snapToGrid w:val="0"/>
              <w:jc w:val="center"/>
              <w:rPr>
                <w:rFonts w:cs="Times New Roman"/>
                <w:color w:val="000000" w:themeColor="text1"/>
                <w:szCs w:val="21"/>
              </w:rPr>
            </w:pPr>
          </w:p>
        </w:tc>
        <w:tc>
          <w:tcPr>
            <w:tcW w:w="208" w:type="pct"/>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0</w:t>
            </w:r>
          </w:p>
        </w:tc>
        <w:tc>
          <w:tcPr>
            <w:tcW w:w="474" w:type="pct"/>
            <w:vMerge/>
            <w:vAlign w:val="center"/>
          </w:tcPr>
          <w:p w:rsidR="00644456" w:rsidRDefault="00644456">
            <w:pPr>
              <w:adjustRightInd w:val="0"/>
              <w:snapToGrid w:val="0"/>
              <w:jc w:val="center"/>
              <w:rPr>
                <w:rFonts w:cs="Times New Roman"/>
                <w:color w:val="000000" w:themeColor="text1"/>
                <w:szCs w:val="21"/>
              </w:rPr>
            </w:pPr>
          </w:p>
        </w:tc>
        <w:tc>
          <w:tcPr>
            <w:tcW w:w="145" w:type="pct"/>
            <w:vAlign w:val="center"/>
          </w:tcPr>
          <w:p w:rsidR="00644456" w:rsidRDefault="008031C4">
            <w:pPr>
              <w:adjustRightInd w:val="0"/>
              <w:snapToGrid w:val="0"/>
              <w:jc w:val="center"/>
              <w:rPr>
                <w:rFonts w:cs="Times New Roman"/>
                <w:color w:val="000000" w:themeColor="text1"/>
                <w:szCs w:val="21"/>
              </w:rPr>
            </w:pPr>
            <w:r>
              <w:rPr>
                <w:rFonts w:cs="Times New Roman" w:hint="eastAsia"/>
                <w:szCs w:val="21"/>
                <w:lang w:bidi="ar"/>
              </w:rPr>
              <w:t>/</w:t>
            </w:r>
          </w:p>
        </w:tc>
        <w:tc>
          <w:tcPr>
            <w:tcW w:w="217" w:type="pct"/>
            <w:vAlign w:val="center"/>
          </w:tcPr>
          <w:p w:rsidR="00644456" w:rsidRDefault="008031C4">
            <w:pPr>
              <w:adjustRightInd w:val="0"/>
              <w:snapToGrid w:val="0"/>
              <w:jc w:val="center"/>
              <w:rPr>
                <w:rFonts w:cs="Times New Roman"/>
                <w:color w:val="000000" w:themeColor="text1"/>
                <w:szCs w:val="21"/>
              </w:rPr>
            </w:pPr>
            <w:r>
              <w:rPr>
                <w:rFonts w:cs="Times New Roman"/>
                <w:szCs w:val="21"/>
                <w:lang w:bidi="ar"/>
              </w:rPr>
              <w:t>50</w:t>
            </w:r>
          </w:p>
        </w:tc>
      </w:tr>
      <w:tr w:rsidR="00644456">
        <w:trPr>
          <w:cantSplit/>
          <w:jc w:val="center"/>
        </w:trPr>
        <w:tc>
          <w:tcPr>
            <w:tcW w:w="238" w:type="pct"/>
            <w:vMerge/>
            <w:vAlign w:val="center"/>
          </w:tcPr>
          <w:p w:rsidR="00644456" w:rsidRDefault="00644456">
            <w:pPr>
              <w:adjustRightInd w:val="0"/>
              <w:snapToGrid w:val="0"/>
              <w:jc w:val="center"/>
              <w:rPr>
                <w:rFonts w:cs="Times New Roman"/>
                <w:color w:val="000000" w:themeColor="text1"/>
                <w:szCs w:val="21"/>
              </w:rPr>
            </w:pPr>
          </w:p>
        </w:tc>
        <w:tc>
          <w:tcPr>
            <w:tcW w:w="286" w:type="pct"/>
            <w:vMerge/>
            <w:vAlign w:val="center"/>
          </w:tcPr>
          <w:p w:rsidR="00644456" w:rsidRDefault="00644456">
            <w:pPr>
              <w:adjustRightInd w:val="0"/>
              <w:snapToGrid w:val="0"/>
              <w:jc w:val="center"/>
              <w:rPr>
                <w:rFonts w:cs="Times New Roman"/>
                <w:color w:val="000000" w:themeColor="text1"/>
                <w:szCs w:val="21"/>
              </w:rPr>
            </w:pPr>
          </w:p>
        </w:tc>
        <w:tc>
          <w:tcPr>
            <w:tcW w:w="294" w:type="pct"/>
            <w:vMerge/>
            <w:vAlign w:val="center"/>
          </w:tcPr>
          <w:p w:rsidR="00644456" w:rsidRDefault="00644456">
            <w:pPr>
              <w:adjustRightInd w:val="0"/>
              <w:snapToGrid w:val="0"/>
              <w:jc w:val="center"/>
              <w:rPr>
                <w:rFonts w:cs="Times New Roman"/>
                <w:color w:val="000000" w:themeColor="text1"/>
                <w:szCs w:val="21"/>
              </w:rPr>
            </w:pPr>
          </w:p>
        </w:tc>
        <w:tc>
          <w:tcPr>
            <w:tcW w:w="232" w:type="pct"/>
            <w:vMerge/>
            <w:vAlign w:val="center"/>
          </w:tcPr>
          <w:p w:rsidR="00644456" w:rsidRDefault="00644456">
            <w:pPr>
              <w:adjustRightInd w:val="0"/>
              <w:snapToGrid w:val="0"/>
              <w:jc w:val="center"/>
              <w:rPr>
                <w:rFonts w:cs="Times New Roman"/>
                <w:color w:val="000000" w:themeColor="text1"/>
                <w:szCs w:val="21"/>
              </w:rPr>
            </w:pPr>
          </w:p>
        </w:tc>
        <w:tc>
          <w:tcPr>
            <w:tcW w:w="232" w:type="pct"/>
            <w:vMerge/>
            <w:vAlign w:val="center"/>
          </w:tcPr>
          <w:p w:rsidR="00644456" w:rsidRDefault="00644456">
            <w:pPr>
              <w:adjustRightInd w:val="0"/>
              <w:snapToGrid w:val="0"/>
              <w:jc w:val="center"/>
              <w:rPr>
                <w:rFonts w:cs="Times New Roman"/>
                <w:color w:val="000000" w:themeColor="text1"/>
                <w:szCs w:val="21"/>
              </w:rPr>
            </w:pPr>
          </w:p>
        </w:tc>
        <w:tc>
          <w:tcPr>
            <w:tcW w:w="231" w:type="pct"/>
            <w:vMerge/>
            <w:vAlign w:val="center"/>
          </w:tcPr>
          <w:p w:rsidR="00644456" w:rsidRDefault="00644456">
            <w:pPr>
              <w:adjustRightInd w:val="0"/>
              <w:snapToGrid w:val="0"/>
              <w:jc w:val="center"/>
              <w:rPr>
                <w:rFonts w:cs="Times New Roman"/>
                <w:color w:val="000000" w:themeColor="text1"/>
                <w:szCs w:val="21"/>
              </w:rPr>
            </w:pPr>
          </w:p>
        </w:tc>
        <w:tc>
          <w:tcPr>
            <w:tcW w:w="232" w:type="pct"/>
            <w:vAlign w:val="center"/>
          </w:tcPr>
          <w:p w:rsidR="00644456" w:rsidRPr="00721BEC" w:rsidRDefault="008031C4">
            <w:pPr>
              <w:adjustRightInd w:val="0"/>
              <w:snapToGrid w:val="0"/>
              <w:jc w:val="center"/>
              <w:rPr>
                <w:rFonts w:cs="Times New Roman"/>
                <w:color w:val="FF0000"/>
                <w:szCs w:val="21"/>
                <w:lang w:bidi="ar"/>
              </w:rPr>
            </w:pPr>
            <w:r w:rsidRPr="00721BEC">
              <w:rPr>
                <w:rFonts w:cs="Times New Roman" w:hint="eastAsia"/>
                <w:color w:val="FF0000"/>
                <w:szCs w:val="21"/>
                <w:lang w:bidi="ar"/>
              </w:rPr>
              <w:t>NOx</w:t>
            </w:r>
          </w:p>
        </w:tc>
        <w:tc>
          <w:tcPr>
            <w:tcW w:w="269" w:type="pct"/>
            <w:vAlign w:val="center"/>
          </w:tcPr>
          <w:p w:rsidR="00644456" w:rsidRPr="00721BEC" w:rsidRDefault="008031C4">
            <w:pPr>
              <w:adjustRightInd w:val="0"/>
              <w:snapToGrid w:val="0"/>
              <w:jc w:val="center"/>
              <w:rPr>
                <w:rFonts w:cs="Times New Roman"/>
                <w:color w:val="FF0000"/>
                <w:szCs w:val="21"/>
                <w:lang w:bidi="ar"/>
              </w:rPr>
            </w:pPr>
            <w:r w:rsidRPr="00721BEC">
              <w:rPr>
                <w:rFonts w:cs="Times New Roman" w:hint="eastAsia"/>
                <w:bCs/>
                <w:color w:val="FF0000"/>
                <w:szCs w:val="21"/>
              </w:rPr>
              <w:t>1</w:t>
            </w:r>
            <w:r w:rsidRPr="00721BEC">
              <w:rPr>
                <w:rFonts w:cs="Times New Roman"/>
                <w:bCs/>
                <w:color w:val="FF0000"/>
                <w:szCs w:val="21"/>
              </w:rPr>
              <w:t>37.2</w:t>
            </w:r>
          </w:p>
        </w:tc>
        <w:tc>
          <w:tcPr>
            <w:tcW w:w="258" w:type="pct"/>
            <w:vAlign w:val="center"/>
          </w:tcPr>
          <w:p w:rsidR="00644456" w:rsidRPr="00721BEC" w:rsidRDefault="008031C4">
            <w:pPr>
              <w:adjustRightInd w:val="0"/>
              <w:snapToGrid w:val="0"/>
              <w:jc w:val="center"/>
              <w:rPr>
                <w:rFonts w:cs="Times New Roman"/>
                <w:bCs/>
                <w:color w:val="FF0000"/>
                <w:szCs w:val="21"/>
              </w:rPr>
            </w:pPr>
            <w:r w:rsidRPr="00721BEC">
              <w:rPr>
                <w:rFonts w:cs="Times New Roman" w:hint="eastAsia"/>
                <w:bCs/>
                <w:color w:val="FF0000"/>
                <w:szCs w:val="21"/>
              </w:rPr>
              <w:t>1.620</w:t>
            </w:r>
          </w:p>
        </w:tc>
        <w:tc>
          <w:tcPr>
            <w:tcW w:w="269" w:type="pct"/>
            <w:vAlign w:val="center"/>
          </w:tcPr>
          <w:p w:rsidR="00644456" w:rsidRPr="00721BEC" w:rsidRDefault="008031C4">
            <w:pPr>
              <w:adjustRightInd w:val="0"/>
              <w:snapToGrid w:val="0"/>
              <w:jc w:val="center"/>
              <w:rPr>
                <w:rFonts w:cs="Times New Roman"/>
                <w:color w:val="FF0000"/>
                <w:szCs w:val="21"/>
                <w:lang w:bidi="ar"/>
              </w:rPr>
            </w:pPr>
            <w:r w:rsidRPr="00721BEC">
              <w:rPr>
                <w:rFonts w:cs="Times New Roman" w:hint="eastAsia"/>
                <w:bCs/>
                <w:color w:val="FF0000"/>
                <w:szCs w:val="21"/>
              </w:rPr>
              <w:t>6</w:t>
            </w:r>
            <w:r w:rsidRPr="00721BEC">
              <w:rPr>
                <w:rFonts w:cs="Times New Roman"/>
                <w:bCs/>
                <w:color w:val="FF0000"/>
                <w:szCs w:val="21"/>
              </w:rPr>
              <w:t>8.7</w:t>
            </w:r>
          </w:p>
        </w:tc>
        <w:tc>
          <w:tcPr>
            <w:tcW w:w="175" w:type="pct"/>
            <w:vAlign w:val="center"/>
          </w:tcPr>
          <w:p w:rsidR="00644456" w:rsidRPr="00721BEC" w:rsidRDefault="008031C4">
            <w:pPr>
              <w:adjustRightInd w:val="0"/>
              <w:snapToGrid w:val="0"/>
              <w:jc w:val="center"/>
              <w:rPr>
                <w:rFonts w:cs="Times New Roman"/>
                <w:color w:val="FF0000"/>
                <w:szCs w:val="21"/>
                <w:lang w:bidi="ar"/>
              </w:rPr>
            </w:pPr>
            <w:r w:rsidRPr="00721BEC">
              <w:rPr>
                <w:rFonts w:cs="Times New Roman" w:hint="eastAsia"/>
                <w:bCs/>
                <w:color w:val="FF0000"/>
                <w:szCs w:val="21"/>
              </w:rPr>
              <w:t>0</w:t>
            </w:r>
            <w:r w:rsidRPr="00721BEC">
              <w:rPr>
                <w:rFonts w:cs="Times New Roman"/>
                <w:bCs/>
                <w:color w:val="FF0000"/>
                <w:szCs w:val="21"/>
              </w:rPr>
              <w:t>.112</w:t>
            </w:r>
          </w:p>
        </w:tc>
        <w:tc>
          <w:tcPr>
            <w:tcW w:w="222" w:type="pct"/>
            <w:vAlign w:val="center"/>
          </w:tcPr>
          <w:p w:rsidR="00644456" w:rsidRPr="00721BEC" w:rsidRDefault="008031C4">
            <w:pPr>
              <w:adjustRightInd w:val="0"/>
              <w:snapToGrid w:val="0"/>
              <w:jc w:val="center"/>
              <w:rPr>
                <w:rFonts w:cs="Times New Roman"/>
                <w:color w:val="FF0000"/>
                <w:szCs w:val="21"/>
                <w:lang w:bidi="ar"/>
              </w:rPr>
            </w:pPr>
            <w:r w:rsidRPr="00721BEC">
              <w:rPr>
                <w:rFonts w:cs="Times New Roman" w:hint="eastAsia"/>
                <w:bCs/>
                <w:color w:val="FF0000"/>
                <w:szCs w:val="21"/>
              </w:rPr>
              <w:t>0</w:t>
            </w:r>
            <w:r w:rsidRPr="00721BEC">
              <w:rPr>
                <w:rFonts w:cs="Times New Roman"/>
                <w:bCs/>
                <w:color w:val="FF0000"/>
                <w:szCs w:val="21"/>
              </w:rPr>
              <w:t>.809</w:t>
            </w:r>
          </w:p>
        </w:tc>
        <w:tc>
          <w:tcPr>
            <w:tcW w:w="113" w:type="pct"/>
            <w:vMerge/>
            <w:vAlign w:val="center"/>
          </w:tcPr>
          <w:p w:rsidR="00644456" w:rsidRDefault="00644456">
            <w:pPr>
              <w:adjustRightInd w:val="0"/>
              <w:snapToGrid w:val="0"/>
              <w:jc w:val="center"/>
              <w:rPr>
                <w:rFonts w:cs="Times New Roman"/>
                <w:color w:val="000000" w:themeColor="text1"/>
                <w:szCs w:val="21"/>
              </w:rPr>
            </w:pPr>
          </w:p>
        </w:tc>
        <w:tc>
          <w:tcPr>
            <w:tcW w:w="131" w:type="pct"/>
            <w:vMerge/>
            <w:vAlign w:val="center"/>
          </w:tcPr>
          <w:p w:rsidR="00644456" w:rsidRDefault="00644456">
            <w:pPr>
              <w:adjustRightInd w:val="0"/>
              <w:snapToGrid w:val="0"/>
              <w:jc w:val="center"/>
              <w:rPr>
                <w:rFonts w:cs="Times New Roman"/>
                <w:color w:val="000000" w:themeColor="text1"/>
                <w:szCs w:val="21"/>
              </w:rPr>
            </w:pPr>
          </w:p>
        </w:tc>
        <w:tc>
          <w:tcPr>
            <w:tcW w:w="128" w:type="pct"/>
            <w:vMerge/>
            <w:vAlign w:val="center"/>
          </w:tcPr>
          <w:p w:rsidR="00644456" w:rsidRDefault="00644456">
            <w:pPr>
              <w:adjustRightInd w:val="0"/>
              <w:snapToGrid w:val="0"/>
              <w:jc w:val="center"/>
              <w:rPr>
                <w:rFonts w:cs="Times New Roman"/>
                <w:color w:val="000000" w:themeColor="text1"/>
                <w:szCs w:val="21"/>
              </w:rPr>
            </w:pPr>
          </w:p>
        </w:tc>
        <w:tc>
          <w:tcPr>
            <w:tcW w:w="217" w:type="pct"/>
            <w:vMerge/>
            <w:vAlign w:val="center"/>
          </w:tcPr>
          <w:p w:rsidR="00644456" w:rsidRDefault="00644456">
            <w:pPr>
              <w:adjustRightInd w:val="0"/>
              <w:snapToGrid w:val="0"/>
              <w:jc w:val="center"/>
              <w:rPr>
                <w:rFonts w:cs="Times New Roman"/>
                <w:color w:val="000000" w:themeColor="text1"/>
                <w:szCs w:val="21"/>
              </w:rPr>
            </w:pPr>
          </w:p>
        </w:tc>
        <w:tc>
          <w:tcPr>
            <w:tcW w:w="254" w:type="pct"/>
            <w:vMerge/>
            <w:vAlign w:val="center"/>
          </w:tcPr>
          <w:p w:rsidR="00644456" w:rsidRDefault="00644456">
            <w:pPr>
              <w:adjustRightInd w:val="0"/>
              <w:snapToGrid w:val="0"/>
              <w:jc w:val="center"/>
              <w:rPr>
                <w:rFonts w:cs="Times New Roman"/>
                <w:color w:val="000000" w:themeColor="text1"/>
                <w:szCs w:val="21"/>
              </w:rPr>
            </w:pPr>
          </w:p>
        </w:tc>
        <w:tc>
          <w:tcPr>
            <w:tcW w:w="175" w:type="pct"/>
            <w:vMerge/>
            <w:vAlign w:val="center"/>
          </w:tcPr>
          <w:p w:rsidR="00644456" w:rsidRDefault="00644456">
            <w:pPr>
              <w:adjustRightInd w:val="0"/>
              <w:snapToGrid w:val="0"/>
              <w:jc w:val="center"/>
              <w:rPr>
                <w:rFonts w:cs="Times New Roman"/>
                <w:color w:val="000000" w:themeColor="text1"/>
                <w:szCs w:val="21"/>
              </w:rPr>
            </w:pPr>
          </w:p>
        </w:tc>
        <w:tc>
          <w:tcPr>
            <w:tcW w:w="208" w:type="pct"/>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5</w:t>
            </w:r>
            <w:r>
              <w:rPr>
                <w:rFonts w:cs="Times New Roman"/>
                <w:color w:val="000000" w:themeColor="text1"/>
                <w:szCs w:val="21"/>
              </w:rPr>
              <w:t>0</w:t>
            </w:r>
          </w:p>
        </w:tc>
        <w:tc>
          <w:tcPr>
            <w:tcW w:w="474" w:type="pct"/>
            <w:vMerge/>
            <w:vAlign w:val="center"/>
          </w:tcPr>
          <w:p w:rsidR="00644456" w:rsidRDefault="00644456">
            <w:pPr>
              <w:adjustRightInd w:val="0"/>
              <w:snapToGrid w:val="0"/>
              <w:jc w:val="center"/>
              <w:rPr>
                <w:rFonts w:cs="Times New Roman"/>
                <w:color w:val="000000" w:themeColor="text1"/>
                <w:szCs w:val="21"/>
              </w:rPr>
            </w:pPr>
          </w:p>
        </w:tc>
        <w:tc>
          <w:tcPr>
            <w:tcW w:w="145" w:type="pct"/>
            <w:vAlign w:val="center"/>
          </w:tcPr>
          <w:p w:rsidR="00644456" w:rsidRDefault="008031C4">
            <w:pPr>
              <w:adjustRightInd w:val="0"/>
              <w:snapToGrid w:val="0"/>
              <w:jc w:val="center"/>
              <w:rPr>
                <w:rFonts w:cs="Times New Roman"/>
                <w:color w:val="000000" w:themeColor="text1"/>
                <w:szCs w:val="21"/>
              </w:rPr>
            </w:pPr>
            <w:r>
              <w:rPr>
                <w:rFonts w:cs="Times New Roman" w:hint="eastAsia"/>
                <w:szCs w:val="21"/>
                <w:lang w:bidi="ar"/>
              </w:rPr>
              <w:t>/</w:t>
            </w:r>
          </w:p>
        </w:tc>
        <w:tc>
          <w:tcPr>
            <w:tcW w:w="217" w:type="pct"/>
            <w:vAlign w:val="center"/>
          </w:tcPr>
          <w:p w:rsidR="00644456" w:rsidRDefault="008031C4">
            <w:pPr>
              <w:adjustRightInd w:val="0"/>
              <w:snapToGrid w:val="0"/>
              <w:jc w:val="center"/>
              <w:rPr>
                <w:rFonts w:cs="Times New Roman"/>
                <w:color w:val="000000" w:themeColor="text1"/>
                <w:szCs w:val="21"/>
              </w:rPr>
            </w:pPr>
            <w:r>
              <w:rPr>
                <w:rFonts w:cs="Times New Roman"/>
                <w:szCs w:val="21"/>
                <w:lang w:bidi="ar"/>
              </w:rPr>
              <w:t>200</w:t>
            </w:r>
          </w:p>
        </w:tc>
      </w:tr>
      <w:tr w:rsidR="00644456">
        <w:trPr>
          <w:cantSplit/>
          <w:jc w:val="center"/>
        </w:trPr>
        <w:tc>
          <w:tcPr>
            <w:tcW w:w="238" w:type="pct"/>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3</w:t>
            </w:r>
          </w:p>
        </w:tc>
        <w:tc>
          <w:tcPr>
            <w:tcW w:w="286" w:type="pct"/>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罐区废气</w:t>
            </w:r>
          </w:p>
        </w:tc>
        <w:tc>
          <w:tcPr>
            <w:tcW w:w="294" w:type="pct"/>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无组织</w:t>
            </w:r>
          </w:p>
        </w:tc>
        <w:tc>
          <w:tcPr>
            <w:tcW w:w="232" w:type="pct"/>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系数法</w:t>
            </w:r>
          </w:p>
        </w:tc>
        <w:tc>
          <w:tcPr>
            <w:tcW w:w="232" w:type="pct"/>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w:t>
            </w:r>
          </w:p>
        </w:tc>
        <w:tc>
          <w:tcPr>
            <w:tcW w:w="231" w:type="pct"/>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7</w:t>
            </w:r>
            <w:r>
              <w:rPr>
                <w:rFonts w:cs="Times New Roman"/>
                <w:color w:val="000000" w:themeColor="text1"/>
                <w:szCs w:val="21"/>
              </w:rPr>
              <w:t>200</w:t>
            </w:r>
          </w:p>
        </w:tc>
        <w:tc>
          <w:tcPr>
            <w:tcW w:w="232" w:type="pct"/>
            <w:vAlign w:val="center"/>
          </w:tcPr>
          <w:p w:rsidR="00644456" w:rsidRDefault="008031C4">
            <w:pPr>
              <w:adjustRightInd w:val="0"/>
              <w:snapToGrid w:val="0"/>
              <w:jc w:val="center"/>
              <w:rPr>
                <w:rFonts w:cs="Times New Roman"/>
                <w:szCs w:val="21"/>
                <w:lang w:bidi="ar"/>
              </w:rPr>
            </w:pPr>
            <w:r>
              <w:rPr>
                <w:rFonts w:cs="Times New Roman" w:hint="eastAsia"/>
                <w:szCs w:val="21"/>
                <w:lang w:bidi="ar"/>
              </w:rPr>
              <w:t>非甲烷总烃</w:t>
            </w:r>
          </w:p>
        </w:tc>
        <w:tc>
          <w:tcPr>
            <w:tcW w:w="269" w:type="pct"/>
            <w:vAlign w:val="center"/>
          </w:tcPr>
          <w:p w:rsidR="00644456" w:rsidRDefault="008031C4">
            <w:pPr>
              <w:adjustRightInd w:val="0"/>
              <w:snapToGrid w:val="0"/>
              <w:jc w:val="center"/>
              <w:rPr>
                <w:rFonts w:cs="Times New Roman"/>
                <w:szCs w:val="21"/>
                <w:lang w:bidi="ar"/>
              </w:rPr>
            </w:pPr>
            <w:r>
              <w:rPr>
                <w:rFonts w:cs="Times New Roman" w:hint="eastAsia"/>
                <w:szCs w:val="21"/>
                <w:lang w:bidi="ar"/>
              </w:rPr>
              <w:t>/</w:t>
            </w:r>
          </w:p>
        </w:tc>
        <w:tc>
          <w:tcPr>
            <w:tcW w:w="258" w:type="pct"/>
            <w:vAlign w:val="center"/>
          </w:tcPr>
          <w:p w:rsidR="00644456" w:rsidRDefault="008031C4">
            <w:pPr>
              <w:adjustRightInd w:val="0"/>
              <w:snapToGrid w:val="0"/>
              <w:jc w:val="center"/>
              <w:rPr>
                <w:rFonts w:cs="Times New Roman"/>
                <w:szCs w:val="21"/>
                <w:lang w:bidi="ar"/>
              </w:rPr>
            </w:pPr>
            <w:r>
              <w:rPr>
                <w:rFonts w:cs="Times New Roman" w:hint="eastAsia"/>
                <w:szCs w:val="21"/>
                <w:lang w:bidi="ar"/>
              </w:rPr>
              <w:t>0</w:t>
            </w:r>
            <w:r>
              <w:rPr>
                <w:rFonts w:cs="Times New Roman"/>
                <w:szCs w:val="21"/>
                <w:lang w:bidi="ar"/>
              </w:rPr>
              <w:t>.531</w:t>
            </w:r>
          </w:p>
        </w:tc>
        <w:tc>
          <w:tcPr>
            <w:tcW w:w="269" w:type="pct"/>
            <w:vAlign w:val="center"/>
          </w:tcPr>
          <w:p w:rsidR="00644456" w:rsidRDefault="008031C4">
            <w:pPr>
              <w:adjustRightInd w:val="0"/>
              <w:snapToGrid w:val="0"/>
              <w:jc w:val="center"/>
              <w:rPr>
                <w:rFonts w:cs="Times New Roman"/>
                <w:szCs w:val="21"/>
                <w:lang w:bidi="ar"/>
              </w:rPr>
            </w:pPr>
            <w:r>
              <w:rPr>
                <w:rFonts w:cs="Times New Roman" w:hint="eastAsia"/>
                <w:szCs w:val="21"/>
                <w:lang w:bidi="ar"/>
              </w:rPr>
              <w:t>/</w:t>
            </w:r>
          </w:p>
        </w:tc>
        <w:tc>
          <w:tcPr>
            <w:tcW w:w="175" w:type="pct"/>
            <w:vAlign w:val="center"/>
          </w:tcPr>
          <w:p w:rsidR="00644456" w:rsidRDefault="008031C4">
            <w:pPr>
              <w:adjustRightInd w:val="0"/>
              <w:snapToGrid w:val="0"/>
              <w:jc w:val="center"/>
              <w:rPr>
                <w:rFonts w:cs="Times New Roman"/>
                <w:szCs w:val="21"/>
                <w:lang w:bidi="ar"/>
              </w:rPr>
            </w:pPr>
            <w:r>
              <w:rPr>
                <w:rFonts w:cs="Times New Roman"/>
                <w:szCs w:val="21"/>
                <w:lang w:bidi="ar"/>
              </w:rPr>
              <w:t>0.074</w:t>
            </w:r>
          </w:p>
        </w:tc>
        <w:tc>
          <w:tcPr>
            <w:tcW w:w="222" w:type="pct"/>
            <w:vAlign w:val="center"/>
          </w:tcPr>
          <w:p w:rsidR="00644456" w:rsidRDefault="008031C4">
            <w:pPr>
              <w:adjustRightInd w:val="0"/>
              <w:snapToGrid w:val="0"/>
              <w:jc w:val="center"/>
              <w:rPr>
                <w:rFonts w:cs="Times New Roman"/>
                <w:szCs w:val="21"/>
                <w:lang w:bidi="ar"/>
              </w:rPr>
            </w:pPr>
            <w:r>
              <w:rPr>
                <w:rFonts w:cs="Times New Roman" w:hint="eastAsia"/>
                <w:szCs w:val="21"/>
                <w:lang w:bidi="ar"/>
              </w:rPr>
              <w:t>0</w:t>
            </w:r>
            <w:r>
              <w:rPr>
                <w:rFonts w:cs="Times New Roman"/>
                <w:szCs w:val="21"/>
                <w:lang w:bidi="ar"/>
              </w:rPr>
              <w:t>.531</w:t>
            </w:r>
          </w:p>
        </w:tc>
        <w:tc>
          <w:tcPr>
            <w:tcW w:w="113" w:type="pct"/>
            <w:vAlign w:val="center"/>
          </w:tcPr>
          <w:p w:rsidR="00644456" w:rsidRDefault="008031C4">
            <w:pPr>
              <w:adjustRightInd w:val="0"/>
              <w:snapToGrid w:val="0"/>
              <w:jc w:val="center"/>
              <w:rPr>
                <w:rFonts w:cs="Times New Roman"/>
                <w:color w:val="000000" w:themeColor="text1"/>
                <w:szCs w:val="21"/>
              </w:rPr>
            </w:pPr>
            <w:r>
              <w:rPr>
                <w:rFonts w:cs="Times New Roman" w:hint="eastAsia"/>
                <w:szCs w:val="21"/>
                <w:lang w:bidi="ar"/>
              </w:rPr>
              <w:t>/</w:t>
            </w:r>
          </w:p>
        </w:tc>
        <w:tc>
          <w:tcPr>
            <w:tcW w:w="131" w:type="pct"/>
            <w:vAlign w:val="center"/>
          </w:tcPr>
          <w:p w:rsidR="00644456" w:rsidRDefault="008031C4">
            <w:pPr>
              <w:adjustRightInd w:val="0"/>
              <w:snapToGrid w:val="0"/>
              <w:jc w:val="center"/>
              <w:rPr>
                <w:rFonts w:cs="Times New Roman"/>
                <w:color w:val="000000" w:themeColor="text1"/>
                <w:szCs w:val="21"/>
              </w:rPr>
            </w:pPr>
            <w:r>
              <w:rPr>
                <w:rFonts w:cs="Times New Roman" w:hint="eastAsia"/>
                <w:szCs w:val="21"/>
                <w:lang w:bidi="ar"/>
              </w:rPr>
              <w:t>/</w:t>
            </w:r>
          </w:p>
        </w:tc>
        <w:tc>
          <w:tcPr>
            <w:tcW w:w="128" w:type="pct"/>
            <w:vAlign w:val="center"/>
          </w:tcPr>
          <w:p w:rsidR="00644456" w:rsidRDefault="008031C4">
            <w:pPr>
              <w:adjustRightInd w:val="0"/>
              <w:snapToGrid w:val="0"/>
              <w:jc w:val="center"/>
              <w:rPr>
                <w:rFonts w:cs="Times New Roman"/>
                <w:color w:val="000000" w:themeColor="text1"/>
                <w:szCs w:val="21"/>
              </w:rPr>
            </w:pPr>
            <w:r>
              <w:rPr>
                <w:rFonts w:cs="Times New Roman" w:hint="eastAsia"/>
                <w:szCs w:val="21"/>
                <w:lang w:bidi="ar"/>
              </w:rPr>
              <w:t>/</w:t>
            </w:r>
          </w:p>
        </w:tc>
        <w:tc>
          <w:tcPr>
            <w:tcW w:w="217" w:type="pct"/>
            <w:vAlign w:val="center"/>
          </w:tcPr>
          <w:p w:rsidR="00644456" w:rsidRDefault="008031C4">
            <w:pPr>
              <w:adjustRightInd w:val="0"/>
              <w:snapToGrid w:val="0"/>
              <w:jc w:val="center"/>
              <w:rPr>
                <w:rFonts w:cs="Times New Roman"/>
                <w:color w:val="000000" w:themeColor="text1"/>
                <w:szCs w:val="21"/>
              </w:rPr>
            </w:pPr>
            <w:r>
              <w:rPr>
                <w:rFonts w:cs="Times New Roman" w:hint="eastAsia"/>
                <w:szCs w:val="21"/>
                <w:lang w:bidi="ar"/>
              </w:rPr>
              <w:t>/</w:t>
            </w:r>
          </w:p>
        </w:tc>
        <w:tc>
          <w:tcPr>
            <w:tcW w:w="254" w:type="pct"/>
            <w:vAlign w:val="center"/>
          </w:tcPr>
          <w:p w:rsidR="00644456" w:rsidRDefault="008031C4">
            <w:pPr>
              <w:adjustRightInd w:val="0"/>
              <w:snapToGrid w:val="0"/>
              <w:jc w:val="center"/>
              <w:rPr>
                <w:rFonts w:cs="Times New Roman"/>
                <w:color w:val="000000" w:themeColor="text1"/>
                <w:szCs w:val="21"/>
              </w:rPr>
            </w:pPr>
            <w:r>
              <w:rPr>
                <w:rFonts w:cs="Times New Roman" w:hint="eastAsia"/>
                <w:szCs w:val="21"/>
                <w:lang w:bidi="ar"/>
              </w:rPr>
              <w:t>/</w:t>
            </w:r>
          </w:p>
        </w:tc>
        <w:tc>
          <w:tcPr>
            <w:tcW w:w="175" w:type="pct"/>
            <w:vAlign w:val="center"/>
          </w:tcPr>
          <w:p w:rsidR="00644456" w:rsidRDefault="008031C4">
            <w:pPr>
              <w:adjustRightInd w:val="0"/>
              <w:snapToGrid w:val="0"/>
              <w:jc w:val="center"/>
              <w:rPr>
                <w:rFonts w:cs="Times New Roman"/>
                <w:color w:val="000000" w:themeColor="text1"/>
                <w:szCs w:val="21"/>
              </w:rPr>
            </w:pPr>
            <w:r>
              <w:rPr>
                <w:rFonts w:cs="Times New Roman" w:hint="eastAsia"/>
                <w:szCs w:val="21"/>
                <w:lang w:bidi="ar"/>
              </w:rPr>
              <w:t>/</w:t>
            </w:r>
          </w:p>
        </w:tc>
        <w:tc>
          <w:tcPr>
            <w:tcW w:w="208" w:type="pct"/>
            <w:vAlign w:val="center"/>
          </w:tcPr>
          <w:p w:rsidR="00644456" w:rsidRDefault="008031C4">
            <w:pPr>
              <w:adjustRightInd w:val="0"/>
              <w:snapToGrid w:val="0"/>
              <w:jc w:val="center"/>
              <w:rPr>
                <w:rFonts w:cs="Times New Roman"/>
                <w:color w:val="000000" w:themeColor="text1"/>
                <w:szCs w:val="21"/>
              </w:rPr>
            </w:pPr>
            <w:r>
              <w:rPr>
                <w:rFonts w:cs="Times New Roman" w:hint="eastAsia"/>
                <w:szCs w:val="21"/>
                <w:lang w:bidi="ar"/>
              </w:rPr>
              <w:t>/</w:t>
            </w:r>
          </w:p>
        </w:tc>
        <w:tc>
          <w:tcPr>
            <w:tcW w:w="474" w:type="pct"/>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大气稀释扩散，罐体密封</w:t>
            </w:r>
          </w:p>
        </w:tc>
        <w:tc>
          <w:tcPr>
            <w:tcW w:w="145" w:type="pct"/>
            <w:vAlign w:val="center"/>
          </w:tcPr>
          <w:p w:rsidR="00644456" w:rsidRDefault="008031C4">
            <w:pPr>
              <w:adjustRightInd w:val="0"/>
              <w:snapToGrid w:val="0"/>
              <w:jc w:val="center"/>
              <w:rPr>
                <w:rFonts w:cs="Times New Roman"/>
                <w:color w:val="000000" w:themeColor="text1"/>
                <w:szCs w:val="21"/>
              </w:rPr>
            </w:pPr>
            <w:r>
              <w:rPr>
                <w:rFonts w:cs="Times New Roman" w:hint="eastAsia"/>
                <w:szCs w:val="21"/>
                <w:lang w:bidi="ar"/>
              </w:rPr>
              <w:t>/</w:t>
            </w:r>
          </w:p>
        </w:tc>
        <w:tc>
          <w:tcPr>
            <w:tcW w:w="217" w:type="pct"/>
            <w:vAlign w:val="center"/>
          </w:tcPr>
          <w:p w:rsidR="00644456" w:rsidRDefault="00721BEC">
            <w:pPr>
              <w:adjustRightInd w:val="0"/>
              <w:snapToGrid w:val="0"/>
              <w:jc w:val="center"/>
              <w:rPr>
                <w:rFonts w:cs="Times New Roman"/>
                <w:color w:val="000000" w:themeColor="text1"/>
                <w:szCs w:val="21"/>
              </w:rPr>
            </w:pPr>
            <w:r>
              <w:rPr>
                <w:rFonts w:cs="Times New Roman" w:hint="eastAsia"/>
                <w:color w:val="000000" w:themeColor="text1"/>
                <w:szCs w:val="21"/>
              </w:rPr>
              <w:t>/</w:t>
            </w:r>
          </w:p>
        </w:tc>
      </w:tr>
      <w:tr w:rsidR="00721BEC">
        <w:trPr>
          <w:cantSplit/>
          <w:jc w:val="center"/>
        </w:trPr>
        <w:tc>
          <w:tcPr>
            <w:tcW w:w="238" w:type="pct"/>
            <w:vMerge w:val="restar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4</w:t>
            </w:r>
          </w:p>
        </w:tc>
        <w:tc>
          <w:tcPr>
            <w:tcW w:w="286" w:type="pct"/>
            <w:vMerge w:val="restar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污水处理站废气</w:t>
            </w:r>
          </w:p>
        </w:tc>
        <w:tc>
          <w:tcPr>
            <w:tcW w:w="294" w:type="pct"/>
            <w:vMerge w:val="restar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无组织</w:t>
            </w:r>
          </w:p>
        </w:tc>
        <w:tc>
          <w:tcPr>
            <w:tcW w:w="232" w:type="pct"/>
            <w:vMerge w:val="restar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类比</w:t>
            </w:r>
            <w:r>
              <w:rPr>
                <w:rFonts w:cs="Times New Roman"/>
                <w:color w:val="000000" w:themeColor="text1"/>
                <w:szCs w:val="21"/>
              </w:rPr>
              <w:t>法</w:t>
            </w:r>
          </w:p>
        </w:tc>
        <w:tc>
          <w:tcPr>
            <w:tcW w:w="232" w:type="pct"/>
            <w:vMerge w:val="restar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w:t>
            </w:r>
          </w:p>
        </w:tc>
        <w:tc>
          <w:tcPr>
            <w:tcW w:w="231" w:type="pct"/>
            <w:vMerge w:val="restar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7</w:t>
            </w:r>
            <w:r>
              <w:rPr>
                <w:rFonts w:cs="Times New Roman"/>
                <w:color w:val="000000" w:themeColor="text1"/>
                <w:szCs w:val="21"/>
              </w:rPr>
              <w:t>200</w:t>
            </w:r>
          </w:p>
        </w:tc>
        <w:tc>
          <w:tcPr>
            <w:tcW w:w="232" w:type="pct"/>
            <w:vAlign w:val="center"/>
          </w:tcPr>
          <w:p w:rsidR="00721BEC" w:rsidRDefault="00721BEC" w:rsidP="00721BEC">
            <w:pPr>
              <w:adjustRightInd w:val="0"/>
              <w:snapToGrid w:val="0"/>
              <w:jc w:val="center"/>
              <w:rPr>
                <w:rFonts w:cs="Times New Roman"/>
                <w:szCs w:val="21"/>
                <w:lang w:bidi="ar"/>
              </w:rPr>
            </w:pPr>
            <w:r>
              <w:rPr>
                <w:rFonts w:cs="Times New Roman" w:hint="eastAsia"/>
                <w:szCs w:val="21"/>
                <w:lang w:eastAsia="en-US" w:bidi="ar"/>
              </w:rPr>
              <w:t>氨</w:t>
            </w:r>
          </w:p>
        </w:tc>
        <w:tc>
          <w:tcPr>
            <w:tcW w:w="269" w:type="pct"/>
            <w:vAlign w:val="center"/>
          </w:tcPr>
          <w:p w:rsidR="00721BEC" w:rsidRDefault="00721BEC" w:rsidP="00721BEC">
            <w:pPr>
              <w:adjustRightInd w:val="0"/>
              <w:snapToGrid w:val="0"/>
              <w:jc w:val="center"/>
              <w:rPr>
                <w:rFonts w:cs="Times New Roman"/>
                <w:szCs w:val="21"/>
                <w:lang w:bidi="ar"/>
              </w:rPr>
            </w:pPr>
            <w:r>
              <w:rPr>
                <w:rFonts w:cs="Times New Roman" w:hint="eastAsia"/>
                <w:szCs w:val="21"/>
                <w:lang w:bidi="ar"/>
              </w:rPr>
              <w:t>/</w:t>
            </w:r>
          </w:p>
        </w:tc>
        <w:tc>
          <w:tcPr>
            <w:tcW w:w="258" w:type="pct"/>
            <w:vAlign w:val="center"/>
          </w:tcPr>
          <w:p w:rsidR="00721BEC" w:rsidRDefault="00721BEC" w:rsidP="00721BEC">
            <w:pPr>
              <w:adjustRightInd w:val="0"/>
              <w:snapToGrid w:val="0"/>
              <w:jc w:val="center"/>
              <w:rPr>
                <w:rFonts w:cs="Times New Roman"/>
                <w:szCs w:val="21"/>
                <w:lang w:bidi="ar"/>
              </w:rPr>
            </w:pPr>
            <w:r>
              <w:rPr>
                <w:rFonts w:cs="Times New Roman"/>
                <w:szCs w:val="21"/>
                <w:lang w:bidi="ar"/>
              </w:rPr>
              <w:t>0.027</w:t>
            </w:r>
          </w:p>
        </w:tc>
        <w:tc>
          <w:tcPr>
            <w:tcW w:w="269" w:type="pct"/>
            <w:vAlign w:val="center"/>
          </w:tcPr>
          <w:p w:rsidR="00721BEC" w:rsidRDefault="00721BEC" w:rsidP="00721BEC">
            <w:pPr>
              <w:adjustRightInd w:val="0"/>
              <w:snapToGrid w:val="0"/>
              <w:jc w:val="center"/>
              <w:rPr>
                <w:rFonts w:cs="Times New Roman"/>
                <w:szCs w:val="21"/>
                <w:lang w:bidi="ar"/>
              </w:rPr>
            </w:pPr>
            <w:r>
              <w:rPr>
                <w:rFonts w:cs="Times New Roman" w:hint="eastAsia"/>
                <w:szCs w:val="21"/>
                <w:lang w:bidi="ar"/>
              </w:rPr>
              <w:t>/</w:t>
            </w:r>
          </w:p>
        </w:tc>
        <w:tc>
          <w:tcPr>
            <w:tcW w:w="175" w:type="pct"/>
            <w:vAlign w:val="center"/>
          </w:tcPr>
          <w:p w:rsidR="00721BEC" w:rsidRDefault="00721BEC" w:rsidP="00721BEC">
            <w:pPr>
              <w:adjustRightInd w:val="0"/>
              <w:snapToGrid w:val="0"/>
              <w:jc w:val="center"/>
              <w:rPr>
                <w:rFonts w:cs="Times New Roman"/>
                <w:szCs w:val="21"/>
                <w:lang w:bidi="ar"/>
              </w:rPr>
            </w:pPr>
            <w:r>
              <w:rPr>
                <w:rFonts w:cs="Times New Roman"/>
                <w:szCs w:val="21"/>
                <w:lang w:bidi="ar"/>
              </w:rPr>
              <w:t>0.004</w:t>
            </w:r>
          </w:p>
        </w:tc>
        <w:tc>
          <w:tcPr>
            <w:tcW w:w="222" w:type="pct"/>
            <w:vAlign w:val="center"/>
          </w:tcPr>
          <w:p w:rsidR="00721BEC" w:rsidRDefault="00721BEC" w:rsidP="00721BEC">
            <w:pPr>
              <w:adjustRightInd w:val="0"/>
              <w:snapToGrid w:val="0"/>
              <w:jc w:val="center"/>
              <w:rPr>
                <w:rFonts w:cs="Times New Roman"/>
                <w:szCs w:val="21"/>
                <w:lang w:bidi="ar"/>
              </w:rPr>
            </w:pPr>
            <w:r>
              <w:rPr>
                <w:rFonts w:cs="Times New Roman"/>
                <w:szCs w:val="21"/>
                <w:lang w:bidi="ar"/>
              </w:rPr>
              <w:t>0.027</w:t>
            </w:r>
          </w:p>
        </w:tc>
        <w:tc>
          <w:tcPr>
            <w:tcW w:w="113" w:type="pct"/>
            <w:vMerge w:val="restar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szCs w:val="21"/>
                <w:lang w:bidi="ar"/>
              </w:rPr>
              <w:t>/</w:t>
            </w:r>
          </w:p>
        </w:tc>
        <w:tc>
          <w:tcPr>
            <w:tcW w:w="131" w:type="pct"/>
            <w:vMerge w:val="restar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szCs w:val="21"/>
                <w:lang w:bidi="ar"/>
              </w:rPr>
              <w:t>/</w:t>
            </w:r>
          </w:p>
        </w:tc>
        <w:tc>
          <w:tcPr>
            <w:tcW w:w="128" w:type="pct"/>
            <w:vMerge w:val="restar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szCs w:val="21"/>
                <w:lang w:bidi="ar"/>
              </w:rPr>
              <w:t>/</w:t>
            </w:r>
          </w:p>
        </w:tc>
        <w:tc>
          <w:tcPr>
            <w:tcW w:w="217" w:type="pct"/>
            <w:vMerge w:val="restar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szCs w:val="21"/>
                <w:lang w:bidi="ar"/>
              </w:rPr>
              <w:t>/</w:t>
            </w:r>
          </w:p>
        </w:tc>
        <w:tc>
          <w:tcPr>
            <w:tcW w:w="254" w:type="pct"/>
            <w:vMerge w:val="restar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szCs w:val="21"/>
                <w:lang w:bidi="ar"/>
              </w:rPr>
              <w:t>/</w:t>
            </w:r>
          </w:p>
        </w:tc>
        <w:tc>
          <w:tcPr>
            <w:tcW w:w="175" w:type="pct"/>
            <w:vMerge w:val="restar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szCs w:val="21"/>
                <w:lang w:bidi="ar"/>
              </w:rPr>
              <w:t>/</w:t>
            </w:r>
          </w:p>
        </w:tc>
        <w:tc>
          <w:tcPr>
            <w:tcW w:w="208" w:type="pct"/>
            <w:vMerge w:val="restar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szCs w:val="21"/>
                <w:lang w:bidi="ar"/>
              </w:rPr>
              <w:t>/</w:t>
            </w:r>
          </w:p>
        </w:tc>
        <w:tc>
          <w:tcPr>
            <w:tcW w:w="474" w:type="pct"/>
            <w:vMerge w:val="restar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加盖</w:t>
            </w:r>
          </w:p>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实现密闭</w:t>
            </w:r>
          </w:p>
        </w:tc>
        <w:tc>
          <w:tcPr>
            <w:tcW w:w="145"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szCs w:val="21"/>
                <w:lang w:bidi="ar"/>
              </w:rPr>
              <w:t>/</w:t>
            </w:r>
          </w:p>
        </w:tc>
        <w:tc>
          <w:tcPr>
            <w:tcW w:w="217"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w:t>
            </w:r>
          </w:p>
        </w:tc>
      </w:tr>
      <w:tr w:rsidR="00721BEC">
        <w:trPr>
          <w:cantSplit/>
          <w:jc w:val="center"/>
        </w:trPr>
        <w:tc>
          <w:tcPr>
            <w:tcW w:w="238" w:type="pct"/>
            <w:vMerge/>
            <w:vAlign w:val="center"/>
          </w:tcPr>
          <w:p w:rsidR="00721BEC" w:rsidRDefault="00721BEC" w:rsidP="00721BEC">
            <w:pPr>
              <w:adjustRightInd w:val="0"/>
              <w:snapToGrid w:val="0"/>
              <w:jc w:val="center"/>
              <w:rPr>
                <w:rFonts w:cs="Times New Roman"/>
                <w:color w:val="000000" w:themeColor="text1"/>
                <w:szCs w:val="21"/>
              </w:rPr>
            </w:pPr>
          </w:p>
        </w:tc>
        <w:tc>
          <w:tcPr>
            <w:tcW w:w="286" w:type="pct"/>
            <w:vMerge/>
            <w:vAlign w:val="center"/>
          </w:tcPr>
          <w:p w:rsidR="00721BEC" w:rsidRDefault="00721BEC" w:rsidP="00721BEC">
            <w:pPr>
              <w:adjustRightInd w:val="0"/>
              <w:snapToGrid w:val="0"/>
              <w:jc w:val="center"/>
              <w:rPr>
                <w:rFonts w:cs="Times New Roman"/>
                <w:color w:val="000000" w:themeColor="text1"/>
                <w:szCs w:val="21"/>
              </w:rPr>
            </w:pPr>
          </w:p>
        </w:tc>
        <w:tc>
          <w:tcPr>
            <w:tcW w:w="294" w:type="pct"/>
            <w:vMerge/>
            <w:vAlign w:val="center"/>
          </w:tcPr>
          <w:p w:rsidR="00721BEC" w:rsidRDefault="00721BEC" w:rsidP="00721BEC">
            <w:pPr>
              <w:adjustRightInd w:val="0"/>
              <w:snapToGrid w:val="0"/>
              <w:jc w:val="center"/>
              <w:rPr>
                <w:rFonts w:cs="Times New Roman"/>
                <w:color w:val="000000" w:themeColor="text1"/>
                <w:szCs w:val="21"/>
              </w:rPr>
            </w:pPr>
          </w:p>
        </w:tc>
        <w:tc>
          <w:tcPr>
            <w:tcW w:w="232" w:type="pct"/>
            <w:vMerge/>
            <w:vAlign w:val="center"/>
          </w:tcPr>
          <w:p w:rsidR="00721BEC" w:rsidRDefault="00721BEC" w:rsidP="00721BEC">
            <w:pPr>
              <w:adjustRightInd w:val="0"/>
              <w:snapToGrid w:val="0"/>
              <w:jc w:val="center"/>
              <w:rPr>
                <w:rFonts w:cs="Times New Roman"/>
                <w:color w:val="000000" w:themeColor="text1"/>
                <w:szCs w:val="21"/>
              </w:rPr>
            </w:pPr>
          </w:p>
        </w:tc>
        <w:tc>
          <w:tcPr>
            <w:tcW w:w="232" w:type="pct"/>
            <w:vMerge/>
            <w:vAlign w:val="center"/>
          </w:tcPr>
          <w:p w:rsidR="00721BEC" w:rsidRDefault="00721BEC" w:rsidP="00721BEC">
            <w:pPr>
              <w:adjustRightInd w:val="0"/>
              <w:snapToGrid w:val="0"/>
              <w:jc w:val="center"/>
              <w:rPr>
                <w:rFonts w:cs="Times New Roman"/>
                <w:color w:val="000000" w:themeColor="text1"/>
                <w:szCs w:val="21"/>
              </w:rPr>
            </w:pPr>
          </w:p>
        </w:tc>
        <w:tc>
          <w:tcPr>
            <w:tcW w:w="231" w:type="pct"/>
            <w:vMerge/>
            <w:vAlign w:val="center"/>
          </w:tcPr>
          <w:p w:rsidR="00721BEC" w:rsidRDefault="00721BEC" w:rsidP="00721BEC">
            <w:pPr>
              <w:adjustRightInd w:val="0"/>
              <w:snapToGrid w:val="0"/>
              <w:jc w:val="center"/>
              <w:rPr>
                <w:rFonts w:cs="Times New Roman"/>
                <w:color w:val="000000" w:themeColor="text1"/>
                <w:szCs w:val="21"/>
              </w:rPr>
            </w:pPr>
          </w:p>
        </w:tc>
        <w:tc>
          <w:tcPr>
            <w:tcW w:w="232" w:type="pct"/>
            <w:vAlign w:val="center"/>
          </w:tcPr>
          <w:p w:rsidR="00721BEC" w:rsidRDefault="00721BEC" w:rsidP="00721BEC">
            <w:pPr>
              <w:adjustRightInd w:val="0"/>
              <w:snapToGrid w:val="0"/>
              <w:jc w:val="center"/>
              <w:rPr>
                <w:rFonts w:cs="Times New Roman"/>
                <w:szCs w:val="21"/>
                <w:lang w:bidi="ar"/>
              </w:rPr>
            </w:pPr>
            <w:r>
              <w:rPr>
                <w:rFonts w:cs="Times New Roman" w:hint="eastAsia"/>
                <w:szCs w:val="21"/>
                <w:lang w:eastAsia="en-US" w:bidi="ar"/>
              </w:rPr>
              <w:t>硫化氢</w:t>
            </w:r>
          </w:p>
        </w:tc>
        <w:tc>
          <w:tcPr>
            <w:tcW w:w="269" w:type="pct"/>
            <w:vAlign w:val="center"/>
          </w:tcPr>
          <w:p w:rsidR="00721BEC" w:rsidRDefault="00721BEC" w:rsidP="00721BEC">
            <w:pPr>
              <w:adjustRightInd w:val="0"/>
              <w:snapToGrid w:val="0"/>
              <w:jc w:val="center"/>
              <w:rPr>
                <w:rFonts w:cs="Times New Roman"/>
                <w:szCs w:val="21"/>
                <w:lang w:bidi="ar"/>
              </w:rPr>
            </w:pPr>
            <w:r>
              <w:rPr>
                <w:rFonts w:cs="Times New Roman" w:hint="eastAsia"/>
                <w:szCs w:val="21"/>
                <w:lang w:bidi="ar"/>
              </w:rPr>
              <w:t>/</w:t>
            </w:r>
          </w:p>
        </w:tc>
        <w:tc>
          <w:tcPr>
            <w:tcW w:w="258" w:type="pct"/>
            <w:vAlign w:val="center"/>
          </w:tcPr>
          <w:p w:rsidR="00721BEC" w:rsidRDefault="00721BEC" w:rsidP="00721BEC">
            <w:pPr>
              <w:adjustRightInd w:val="0"/>
              <w:snapToGrid w:val="0"/>
              <w:jc w:val="center"/>
              <w:rPr>
                <w:rFonts w:cs="Times New Roman"/>
                <w:szCs w:val="21"/>
                <w:lang w:bidi="ar"/>
              </w:rPr>
            </w:pPr>
            <w:r>
              <w:rPr>
                <w:rFonts w:cs="Times New Roman"/>
                <w:szCs w:val="21"/>
                <w:lang w:bidi="ar"/>
              </w:rPr>
              <w:t>0.0001</w:t>
            </w:r>
          </w:p>
        </w:tc>
        <w:tc>
          <w:tcPr>
            <w:tcW w:w="269" w:type="pct"/>
            <w:vAlign w:val="center"/>
          </w:tcPr>
          <w:p w:rsidR="00721BEC" w:rsidRDefault="00721BEC" w:rsidP="00721BEC">
            <w:pPr>
              <w:adjustRightInd w:val="0"/>
              <w:snapToGrid w:val="0"/>
              <w:jc w:val="center"/>
              <w:rPr>
                <w:rFonts w:cs="Times New Roman"/>
                <w:szCs w:val="21"/>
                <w:lang w:bidi="ar"/>
              </w:rPr>
            </w:pPr>
            <w:r>
              <w:rPr>
                <w:rFonts w:cs="Times New Roman" w:hint="eastAsia"/>
                <w:szCs w:val="21"/>
                <w:lang w:bidi="ar"/>
              </w:rPr>
              <w:t>/</w:t>
            </w:r>
          </w:p>
        </w:tc>
        <w:tc>
          <w:tcPr>
            <w:tcW w:w="175" w:type="pct"/>
            <w:vAlign w:val="center"/>
          </w:tcPr>
          <w:p w:rsidR="00721BEC" w:rsidRDefault="00721BEC" w:rsidP="00721BEC">
            <w:pPr>
              <w:adjustRightInd w:val="0"/>
              <w:snapToGrid w:val="0"/>
              <w:jc w:val="center"/>
              <w:rPr>
                <w:rFonts w:cs="Times New Roman"/>
                <w:szCs w:val="21"/>
                <w:lang w:bidi="ar"/>
              </w:rPr>
            </w:pPr>
            <w:r>
              <w:rPr>
                <w:rFonts w:cs="Times New Roman"/>
                <w:szCs w:val="21"/>
                <w:lang w:bidi="ar"/>
              </w:rPr>
              <w:t>0.00001</w:t>
            </w:r>
          </w:p>
        </w:tc>
        <w:tc>
          <w:tcPr>
            <w:tcW w:w="222" w:type="pct"/>
            <w:vAlign w:val="center"/>
          </w:tcPr>
          <w:p w:rsidR="00721BEC" w:rsidRDefault="00721BEC" w:rsidP="00721BEC">
            <w:pPr>
              <w:adjustRightInd w:val="0"/>
              <w:snapToGrid w:val="0"/>
              <w:jc w:val="center"/>
              <w:rPr>
                <w:rFonts w:cs="Times New Roman"/>
                <w:szCs w:val="21"/>
                <w:lang w:bidi="ar"/>
              </w:rPr>
            </w:pPr>
            <w:r>
              <w:rPr>
                <w:rFonts w:cs="Times New Roman"/>
                <w:szCs w:val="21"/>
                <w:lang w:bidi="ar"/>
              </w:rPr>
              <w:t>0.0001</w:t>
            </w:r>
          </w:p>
        </w:tc>
        <w:tc>
          <w:tcPr>
            <w:tcW w:w="113" w:type="pct"/>
            <w:vMerge/>
            <w:vAlign w:val="center"/>
          </w:tcPr>
          <w:p w:rsidR="00721BEC" w:rsidRDefault="00721BEC" w:rsidP="00721BEC">
            <w:pPr>
              <w:adjustRightInd w:val="0"/>
              <w:snapToGrid w:val="0"/>
              <w:jc w:val="center"/>
              <w:rPr>
                <w:rFonts w:cs="Times New Roman"/>
                <w:color w:val="000000" w:themeColor="text1"/>
                <w:szCs w:val="21"/>
              </w:rPr>
            </w:pPr>
          </w:p>
        </w:tc>
        <w:tc>
          <w:tcPr>
            <w:tcW w:w="131" w:type="pct"/>
            <w:vMerge/>
            <w:vAlign w:val="center"/>
          </w:tcPr>
          <w:p w:rsidR="00721BEC" w:rsidRDefault="00721BEC" w:rsidP="00721BEC">
            <w:pPr>
              <w:adjustRightInd w:val="0"/>
              <w:snapToGrid w:val="0"/>
              <w:jc w:val="center"/>
              <w:rPr>
                <w:rFonts w:cs="Times New Roman"/>
                <w:color w:val="000000" w:themeColor="text1"/>
                <w:szCs w:val="21"/>
              </w:rPr>
            </w:pPr>
          </w:p>
        </w:tc>
        <w:tc>
          <w:tcPr>
            <w:tcW w:w="128" w:type="pct"/>
            <w:vMerge/>
            <w:vAlign w:val="center"/>
          </w:tcPr>
          <w:p w:rsidR="00721BEC" w:rsidRDefault="00721BEC" w:rsidP="00721BEC">
            <w:pPr>
              <w:adjustRightInd w:val="0"/>
              <w:snapToGrid w:val="0"/>
              <w:jc w:val="center"/>
              <w:rPr>
                <w:rFonts w:cs="Times New Roman"/>
                <w:color w:val="000000" w:themeColor="text1"/>
                <w:szCs w:val="21"/>
              </w:rPr>
            </w:pPr>
          </w:p>
        </w:tc>
        <w:tc>
          <w:tcPr>
            <w:tcW w:w="217" w:type="pct"/>
            <w:vMerge/>
            <w:vAlign w:val="center"/>
          </w:tcPr>
          <w:p w:rsidR="00721BEC" w:rsidRDefault="00721BEC" w:rsidP="00721BEC">
            <w:pPr>
              <w:adjustRightInd w:val="0"/>
              <w:snapToGrid w:val="0"/>
              <w:jc w:val="center"/>
              <w:rPr>
                <w:rFonts w:cs="Times New Roman"/>
                <w:color w:val="000000" w:themeColor="text1"/>
                <w:szCs w:val="21"/>
              </w:rPr>
            </w:pPr>
          </w:p>
        </w:tc>
        <w:tc>
          <w:tcPr>
            <w:tcW w:w="254" w:type="pct"/>
            <w:vMerge/>
            <w:vAlign w:val="center"/>
          </w:tcPr>
          <w:p w:rsidR="00721BEC" w:rsidRDefault="00721BEC" w:rsidP="00721BEC">
            <w:pPr>
              <w:adjustRightInd w:val="0"/>
              <w:snapToGrid w:val="0"/>
              <w:jc w:val="center"/>
              <w:rPr>
                <w:rFonts w:cs="Times New Roman"/>
                <w:color w:val="000000" w:themeColor="text1"/>
                <w:szCs w:val="21"/>
              </w:rPr>
            </w:pPr>
          </w:p>
        </w:tc>
        <w:tc>
          <w:tcPr>
            <w:tcW w:w="175" w:type="pct"/>
            <w:vMerge/>
            <w:vAlign w:val="center"/>
          </w:tcPr>
          <w:p w:rsidR="00721BEC" w:rsidRDefault="00721BEC" w:rsidP="00721BEC">
            <w:pPr>
              <w:adjustRightInd w:val="0"/>
              <w:snapToGrid w:val="0"/>
              <w:jc w:val="center"/>
              <w:rPr>
                <w:rFonts w:cs="Times New Roman"/>
                <w:color w:val="000000" w:themeColor="text1"/>
                <w:szCs w:val="21"/>
              </w:rPr>
            </w:pPr>
          </w:p>
        </w:tc>
        <w:tc>
          <w:tcPr>
            <w:tcW w:w="208" w:type="pct"/>
            <w:vMerge/>
            <w:vAlign w:val="center"/>
          </w:tcPr>
          <w:p w:rsidR="00721BEC" w:rsidRDefault="00721BEC" w:rsidP="00721BEC">
            <w:pPr>
              <w:adjustRightInd w:val="0"/>
              <w:snapToGrid w:val="0"/>
              <w:jc w:val="center"/>
              <w:rPr>
                <w:rFonts w:cs="Times New Roman"/>
                <w:color w:val="000000" w:themeColor="text1"/>
                <w:szCs w:val="21"/>
              </w:rPr>
            </w:pPr>
          </w:p>
        </w:tc>
        <w:tc>
          <w:tcPr>
            <w:tcW w:w="474" w:type="pct"/>
            <w:vMerge/>
            <w:vAlign w:val="center"/>
          </w:tcPr>
          <w:p w:rsidR="00721BEC" w:rsidRDefault="00721BEC" w:rsidP="00721BEC">
            <w:pPr>
              <w:adjustRightInd w:val="0"/>
              <w:snapToGrid w:val="0"/>
              <w:jc w:val="center"/>
              <w:rPr>
                <w:rFonts w:cs="Times New Roman"/>
                <w:color w:val="000000" w:themeColor="text1"/>
                <w:szCs w:val="21"/>
              </w:rPr>
            </w:pPr>
          </w:p>
        </w:tc>
        <w:tc>
          <w:tcPr>
            <w:tcW w:w="145"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szCs w:val="21"/>
                <w:lang w:bidi="ar"/>
              </w:rPr>
              <w:t>/</w:t>
            </w:r>
          </w:p>
        </w:tc>
        <w:tc>
          <w:tcPr>
            <w:tcW w:w="217"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w:t>
            </w:r>
          </w:p>
        </w:tc>
      </w:tr>
      <w:tr w:rsidR="00721BEC">
        <w:trPr>
          <w:cantSplit/>
          <w:jc w:val="center"/>
        </w:trPr>
        <w:tc>
          <w:tcPr>
            <w:tcW w:w="238" w:type="pct"/>
            <w:vMerge/>
            <w:vAlign w:val="center"/>
          </w:tcPr>
          <w:p w:rsidR="00721BEC" w:rsidRDefault="00721BEC" w:rsidP="00721BEC">
            <w:pPr>
              <w:adjustRightInd w:val="0"/>
              <w:snapToGrid w:val="0"/>
              <w:jc w:val="center"/>
              <w:rPr>
                <w:rFonts w:cs="Times New Roman"/>
                <w:color w:val="000000" w:themeColor="text1"/>
                <w:szCs w:val="21"/>
              </w:rPr>
            </w:pPr>
          </w:p>
        </w:tc>
        <w:tc>
          <w:tcPr>
            <w:tcW w:w="286" w:type="pct"/>
            <w:vMerge/>
            <w:vAlign w:val="center"/>
          </w:tcPr>
          <w:p w:rsidR="00721BEC" w:rsidRDefault="00721BEC" w:rsidP="00721BEC">
            <w:pPr>
              <w:adjustRightInd w:val="0"/>
              <w:snapToGrid w:val="0"/>
              <w:jc w:val="center"/>
              <w:rPr>
                <w:rFonts w:cs="Times New Roman"/>
                <w:color w:val="000000" w:themeColor="text1"/>
                <w:szCs w:val="21"/>
              </w:rPr>
            </w:pPr>
          </w:p>
        </w:tc>
        <w:tc>
          <w:tcPr>
            <w:tcW w:w="294" w:type="pct"/>
            <w:vMerge/>
            <w:vAlign w:val="center"/>
          </w:tcPr>
          <w:p w:rsidR="00721BEC" w:rsidRDefault="00721BEC" w:rsidP="00721BEC">
            <w:pPr>
              <w:adjustRightInd w:val="0"/>
              <w:snapToGrid w:val="0"/>
              <w:jc w:val="center"/>
              <w:rPr>
                <w:rFonts w:cs="Times New Roman"/>
                <w:color w:val="000000" w:themeColor="text1"/>
                <w:szCs w:val="21"/>
              </w:rPr>
            </w:pPr>
          </w:p>
        </w:tc>
        <w:tc>
          <w:tcPr>
            <w:tcW w:w="232" w:type="pct"/>
            <w:vMerge/>
            <w:vAlign w:val="center"/>
          </w:tcPr>
          <w:p w:rsidR="00721BEC" w:rsidRDefault="00721BEC" w:rsidP="00721BEC">
            <w:pPr>
              <w:adjustRightInd w:val="0"/>
              <w:snapToGrid w:val="0"/>
              <w:jc w:val="center"/>
              <w:rPr>
                <w:rFonts w:cs="Times New Roman"/>
                <w:color w:val="000000" w:themeColor="text1"/>
                <w:szCs w:val="21"/>
              </w:rPr>
            </w:pPr>
          </w:p>
        </w:tc>
        <w:tc>
          <w:tcPr>
            <w:tcW w:w="232" w:type="pct"/>
            <w:vMerge/>
            <w:vAlign w:val="center"/>
          </w:tcPr>
          <w:p w:rsidR="00721BEC" w:rsidRDefault="00721BEC" w:rsidP="00721BEC">
            <w:pPr>
              <w:adjustRightInd w:val="0"/>
              <w:snapToGrid w:val="0"/>
              <w:jc w:val="center"/>
              <w:rPr>
                <w:rFonts w:cs="Times New Roman"/>
                <w:color w:val="000000" w:themeColor="text1"/>
                <w:szCs w:val="21"/>
              </w:rPr>
            </w:pPr>
          </w:p>
        </w:tc>
        <w:tc>
          <w:tcPr>
            <w:tcW w:w="231" w:type="pct"/>
            <w:vMerge/>
            <w:vAlign w:val="center"/>
          </w:tcPr>
          <w:p w:rsidR="00721BEC" w:rsidRDefault="00721BEC" w:rsidP="00721BEC">
            <w:pPr>
              <w:adjustRightInd w:val="0"/>
              <w:snapToGrid w:val="0"/>
              <w:jc w:val="center"/>
              <w:rPr>
                <w:rFonts w:cs="Times New Roman"/>
                <w:color w:val="000000" w:themeColor="text1"/>
                <w:szCs w:val="21"/>
              </w:rPr>
            </w:pPr>
          </w:p>
        </w:tc>
        <w:tc>
          <w:tcPr>
            <w:tcW w:w="232" w:type="pct"/>
            <w:vAlign w:val="center"/>
          </w:tcPr>
          <w:p w:rsidR="00721BEC" w:rsidRDefault="00721BEC" w:rsidP="00721BEC">
            <w:pPr>
              <w:adjustRightInd w:val="0"/>
              <w:snapToGrid w:val="0"/>
              <w:jc w:val="center"/>
              <w:rPr>
                <w:rFonts w:cs="Times New Roman"/>
                <w:szCs w:val="21"/>
                <w:lang w:bidi="ar"/>
              </w:rPr>
            </w:pPr>
            <w:r>
              <w:rPr>
                <w:rFonts w:cs="Times New Roman" w:hint="eastAsia"/>
                <w:szCs w:val="21"/>
                <w:lang w:bidi="ar"/>
              </w:rPr>
              <w:t>非甲烷总烃</w:t>
            </w:r>
          </w:p>
        </w:tc>
        <w:tc>
          <w:tcPr>
            <w:tcW w:w="269" w:type="pct"/>
            <w:vAlign w:val="center"/>
          </w:tcPr>
          <w:p w:rsidR="00721BEC" w:rsidRDefault="00721BEC" w:rsidP="00721BEC">
            <w:pPr>
              <w:adjustRightInd w:val="0"/>
              <w:snapToGrid w:val="0"/>
              <w:jc w:val="center"/>
              <w:rPr>
                <w:rFonts w:cs="Times New Roman"/>
                <w:szCs w:val="21"/>
                <w:lang w:bidi="ar"/>
              </w:rPr>
            </w:pPr>
            <w:r>
              <w:rPr>
                <w:rFonts w:cs="Times New Roman" w:hint="eastAsia"/>
                <w:szCs w:val="21"/>
                <w:lang w:bidi="ar"/>
              </w:rPr>
              <w:t>/</w:t>
            </w:r>
          </w:p>
        </w:tc>
        <w:tc>
          <w:tcPr>
            <w:tcW w:w="258" w:type="pct"/>
            <w:vAlign w:val="center"/>
          </w:tcPr>
          <w:p w:rsidR="00721BEC" w:rsidRDefault="00721BEC" w:rsidP="00721BEC">
            <w:pPr>
              <w:adjustRightInd w:val="0"/>
              <w:snapToGrid w:val="0"/>
              <w:jc w:val="center"/>
              <w:rPr>
                <w:rFonts w:cs="Times New Roman"/>
                <w:szCs w:val="21"/>
                <w:lang w:bidi="ar"/>
              </w:rPr>
            </w:pPr>
            <w:r>
              <w:rPr>
                <w:rFonts w:cs="Times New Roman" w:hint="eastAsia"/>
                <w:szCs w:val="21"/>
                <w:lang w:bidi="ar"/>
              </w:rPr>
              <w:t>0</w:t>
            </w:r>
            <w:r>
              <w:rPr>
                <w:rFonts w:cs="Times New Roman"/>
                <w:szCs w:val="21"/>
                <w:lang w:bidi="ar"/>
              </w:rPr>
              <w:t>.075</w:t>
            </w:r>
          </w:p>
        </w:tc>
        <w:tc>
          <w:tcPr>
            <w:tcW w:w="269" w:type="pct"/>
            <w:vAlign w:val="center"/>
          </w:tcPr>
          <w:p w:rsidR="00721BEC" w:rsidRDefault="00721BEC" w:rsidP="00721BEC">
            <w:pPr>
              <w:adjustRightInd w:val="0"/>
              <w:snapToGrid w:val="0"/>
              <w:jc w:val="center"/>
              <w:rPr>
                <w:rFonts w:cs="Times New Roman"/>
                <w:szCs w:val="21"/>
                <w:lang w:bidi="ar"/>
              </w:rPr>
            </w:pPr>
            <w:r>
              <w:rPr>
                <w:rFonts w:cs="Times New Roman" w:hint="eastAsia"/>
                <w:szCs w:val="21"/>
                <w:lang w:bidi="ar"/>
              </w:rPr>
              <w:t>/</w:t>
            </w:r>
          </w:p>
        </w:tc>
        <w:tc>
          <w:tcPr>
            <w:tcW w:w="175" w:type="pct"/>
            <w:vAlign w:val="center"/>
          </w:tcPr>
          <w:p w:rsidR="00721BEC" w:rsidRDefault="00721BEC" w:rsidP="00721BEC">
            <w:pPr>
              <w:adjustRightInd w:val="0"/>
              <w:snapToGrid w:val="0"/>
              <w:jc w:val="center"/>
              <w:rPr>
                <w:rFonts w:cs="Times New Roman"/>
                <w:szCs w:val="21"/>
                <w:lang w:bidi="ar"/>
              </w:rPr>
            </w:pPr>
            <w:r>
              <w:rPr>
                <w:rFonts w:cs="Times New Roman" w:hint="eastAsia"/>
                <w:szCs w:val="21"/>
                <w:lang w:bidi="ar"/>
              </w:rPr>
              <w:t>0</w:t>
            </w:r>
            <w:r>
              <w:rPr>
                <w:rFonts w:cs="Times New Roman"/>
                <w:szCs w:val="21"/>
                <w:lang w:bidi="ar"/>
              </w:rPr>
              <w:t>.0104</w:t>
            </w:r>
          </w:p>
        </w:tc>
        <w:tc>
          <w:tcPr>
            <w:tcW w:w="222" w:type="pct"/>
            <w:vAlign w:val="center"/>
          </w:tcPr>
          <w:p w:rsidR="00721BEC" w:rsidRDefault="00721BEC" w:rsidP="00721BEC">
            <w:pPr>
              <w:adjustRightInd w:val="0"/>
              <w:snapToGrid w:val="0"/>
              <w:jc w:val="center"/>
              <w:rPr>
                <w:rFonts w:cs="Times New Roman"/>
                <w:szCs w:val="21"/>
                <w:lang w:bidi="ar"/>
              </w:rPr>
            </w:pPr>
            <w:r>
              <w:rPr>
                <w:rFonts w:cs="Times New Roman" w:hint="eastAsia"/>
                <w:szCs w:val="21"/>
                <w:lang w:bidi="ar"/>
              </w:rPr>
              <w:t>0</w:t>
            </w:r>
            <w:r>
              <w:rPr>
                <w:rFonts w:cs="Times New Roman"/>
                <w:szCs w:val="21"/>
                <w:lang w:bidi="ar"/>
              </w:rPr>
              <w:t>.075</w:t>
            </w:r>
          </w:p>
        </w:tc>
        <w:tc>
          <w:tcPr>
            <w:tcW w:w="113" w:type="pct"/>
            <w:vMerge/>
            <w:vAlign w:val="center"/>
          </w:tcPr>
          <w:p w:rsidR="00721BEC" w:rsidRDefault="00721BEC" w:rsidP="00721BEC">
            <w:pPr>
              <w:adjustRightInd w:val="0"/>
              <w:snapToGrid w:val="0"/>
              <w:jc w:val="center"/>
              <w:rPr>
                <w:rFonts w:cs="Times New Roman"/>
                <w:color w:val="000000" w:themeColor="text1"/>
                <w:szCs w:val="21"/>
              </w:rPr>
            </w:pPr>
          </w:p>
        </w:tc>
        <w:tc>
          <w:tcPr>
            <w:tcW w:w="131" w:type="pct"/>
            <w:vMerge/>
            <w:vAlign w:val="center"/>
          </w:tcPr>
          <w:p w:rsidR="00721BEC" w:rsidRDefault="00721BEC" w:rsidP="00721BEC">
            <w:pPr>
              <w:adjustRightInd w:val="0"/>
              <w:snapToGrid w:val="0"/>
              <w:jc w:val="center"/>
              <w:rPr>
                <w:rFonts w:cs="Times New Roman"/>
                <w:color w:val="000000" w:themeColor="text1"/>
                <w:szCs w:val="21"/>
              </w:rPr>
            </w:pPr>
          </w:p>
        </w:tc>
        <w:tc>
          <w:tcPr>
            <w:tcW w:w="128" w:type="pct"/>
            <w:vMerge/>
            <w:vAlign w:val="center"/>
          </w:tcPr>
          <w:p w:rsidR="00721BEC" w:rsidRDefault="00721BEC" w:rsidP="00721BEC">
            <w:pPr>
              <w:adjustRightInd w:val="0"/>
              <w:snapToGrid w:val="0"/>
              <w:jc w:val="center"/>
              <w:rPr>
                <w:rFonts w:cs="Times New Roman"/>
                <w:color w:val="000000" w:themeColor="text1"/>
                <w:szCs w:val="21"/>
              </w:rPr>
            </w:pPr>
          </w:p>
        </w:tc>
        <w:tc>
          <w:tcPr>
            <w:tcW w:w="217" w:type="pct"/>
            <w:vMerge/>
            <w:vAlign w:val="center"/>
          </w:tcPr>
          <w:p w:rsidR="00721BEC" w:rsidRDefault="00721BEC" w:rsidP="00721BEC">
            <w:pPr>
              <w:adjustRightInd w:val="0"/>
              <w:snapToGrid w:val="0"/>
              <w:jc w:val="center"/>
              <w:rPr>
                <w:rFonts w:cs="Times New Roman"/>
                <w:color w:val="000000" w:themeColor="text1"/>
                <w:szCs w:val="21"/>
              </w:rPr>
            </w:pPr>
          </w:p>
        </w:tc>
        <w:tc>
          <w:tcPr>
            <w:tcW w:w="254" w:type="pct"/>
            <w:vMerge/>
            <w:vAlign w:val="center"/>
          </w:tcPr>
          <w:p w:rsidR="00721BEC" w:rsidRDefault="00721BEC" w:rsidP="00721BEC">
            <w:pPr>
              <w:adjustRightInd w:val="0"/>
              <w:snapToGrid w:val="0"/>
              <w:jc w:val="center"/>
              <w:rPr>
                <w:rFonts w:cs="Times New Roman"/>
                <w:color w:val="000000" w:themeColor="text1"/>
                <w:szCs w:val="21"/>
              </w:rPr>
            </w:pPr>
          </w:p>
        </w:tc>
        <w:tc>
          <w:tcPr>
            <w:tcW w:w="175" w:type="pct"/>
            <w:vMerge/>
            <w:vAlign w:val="center"/>
          </w:tcPr>
          <w:p w:rsidR="00721BEC" w:rsidRDefault="00721BEC" w:rsidP="00721BEC">
            <w:pPr>
              <w:adjustRightInd w:val="0"/>
              <w:snapToGrid w:val="0"/>
              <w:jc w:val="center"/>
              <w:rPr>
                <w:rFonts w:cs="Times New Roman"/>
                <w:color w:val="000000" w:themeColor="text1"/>
                <w:szCs w:val="21"/>
              </w:rPr>
            </w:pPr>
          </w:p>
        </w:tc>
        <w:tc>
          <w:tcPr>
            <w:tcW w:w="208" w:type="pct"/>
            <w:vMerge/>
            <w:vAlign w:val="center"/>
          </w:tcPr>
          <w:p w:rsidR="00721BEC" w:rsidRDefault="00721BEC" w:rsidP="00721BEC">
            <w:pPr>
              <w:adjustRightInd w:val="0"/>
              <w:snapToGrid w:val="0"/>
              <w:jc w:val="center"/>
              <w:rPr>
                <w:rFonts w:cs="Times New Roman"/>
                <w:color w:val="000000" w:themeColor="text1"/>
                <w:szCs w:val="21"/>
              </w:rPr>
            </w:pPr>
          </w:p>
        </w:tc>
        <w:tc>
          <w:tcPr>
            <w:tcW w:w="474" w:type="pct"/>
            <w:vMerge/>
            <w:vAlign w:val="center"/>
          </w:tcPr>
          <w:p w:rsidR="00721BEC" w:rsidRDefault="00721BEC" w:rsidP="00721BEC">
            <w:pPr>
              <w:adjustRightInd w:val="0"/>
              <w:snapToGrid w:val="0"/>
              <w:jc w:val="center"/>
              <w:rPr>
                <w:rFonts w:cs="Times New Roman"/>
                <w:color w:val="000000" w:themeColor="text1"/>
                <w:szCs w:val="21"/>
              </w:rPr>
            </w:pPr>
          </w:p>
        </w:tc>
        <w:tc>
          <w:tcPr>
            <w:tcW w:w="145"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szCs w:val="21"/>
                <w:lang w:bidi="ar"/>
              </w:rPr>
              <w:t>/</w:t>
            </w:r>
          </w:p>
        </w:tc>
        <w:tc>
          <w:tcPr>
            <w:tcW w:w="217"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w:t>
            </w:r>
          </w:p>
        </w:tc>
      </w:tr>
      <w:tr w:rsidR="00721BEC">
        <w:trPr>
          <w:cantSplit/>
          <w:jc w:val="center"/>
        </w:trPr>
        <w:tc>
          <w:tcPr>
            <w:tcW w:w="238"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5</w:t>
            </w:r>
          </w:p>
        </w:tc>
        <w:tc>
          <w:tcPr>
            <w:tcW w:w="286"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装卸区车装卸损耗废气</w:t>
            </w:r>
          </w:p>
        </w:tc>
        <w:tc>
          <w:tcPr>
            <w:tcW w:w="294"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无组织</w:t>
            </w:r>
          </w:p>
        </w:tc>
        <w:tc>
          <w:tcPr>
            <w:tcW w:w="232" w:type="pct"/>
            <w:vAlign w:val="center"/>
          </w:tcPr>
          <w:p w:rsidR="00721BEC" w:rsidRDefault="00721BEC" w:rsidP="00721BEC">
            <w:pPr>
              <w:adjustRightInd w:val="0"/>
              <w:snapToGrid w:val="0"/>
              <w:jc w:val="center"/>
              <w:rPr>
                <w:rFonts w:cs="Times New Roman"/>
                <w:color w:val="000000" w:themeColor="text1"/>
                <w:szCs w:val="21"/>
              </w:rPr>
            </w:pPr>
            <w:r>
              <w:rPr>
                <w:rFonts w:cs="Times New Roman"/>
                <w:color w:val="000000" w:themeColor="text1"/>
                <w:szCs w:val="21"/>
              </w:rPr>
              <w:t>系数法</w:t>
            </w:r>
          </w:p>
        </w:tc>
        <w:tc>
          <w:tcPr>
            <w:tcW w:w="232"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w:t>
            </w:r>
          </w:p>
        </w:tc>
        <w:tc>
          <w:tcPr>
            <w:tcW w:w="231"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7</w:t>
            </w:r>
            <w:r>
              <w:rPr>
                <w:rFonts w:cs="Times New Roman"/>
                <w:color w:val="000000" w:themeColor="text1"/>
                <w:szCs w:val="21"/>
              </w:rPr>
              <w:t>200</w:t>
            </w:r>
          </w:p>
        </w:tc>
        <w:tc>
          <w:tcPr>
            <w:tcW w:w="232" w:type="pct"/>
            <w:vAlign w:val="center"/>
          </w:tcPr>
          <w:p w:rsidR="00721BEC" w:rsidRDefault="00721BEC" w:rsidP="00721BEC">
            <w:pPr>
              <w:adjustRightInd w:val="0"/>
              <w:snapToGrid w:val="0"/>
              <w:jc w:val="center"/>
              <w:rPr>
                <w:rFonts w:cs="Times New Roman"/>
                <w:szCs w:val="21"/>
                <w:lang w:bidi="ar"/>
              </w:rPr>
            </w:pPr>
            <w:r>
              <w:rPr>
                <w:rFonts w:cs="Times New Roman" w:hint="eastAsia"/>
                <w:szCs w:val="21"/>
                <w:lang w:bidi="ar"/>
              </w:rPr>
              <w:t>非甲烷总烃</w:t>
            </w:r>
          </w:p>
        </w:tc>
        <w:tc>
          <w:tcPr>
            <w:tcW w:w="269" w:type="pct"/>
            <w:vAlign w:val="center"/>
          </w:tcPr>
          <w:p w:rsidR="00721BEC" w:rsidRDefault="00721BEC" w:rsidP="00721BEC">
            <w:pPr>
              <w:adjustRightInd w:val="0"/>
              <w:snapToGrid w:val="0"/>
              <w:jc w:val="center"/>
              <w:rPr>
                <w:rFonts w:cs="Times New Roman"/>
                <w:szCs w:val="21"/>
                <w:lang w:bidi="ar"/>
              </w:rPr>
            </w:pPr>
            <w:r>
              <w:rPr>
                <w:rFonts w:cs="Times New Roman" w:hint="eastAsia"/>
                <w:szCs w:val="21"/>
                <w:lang w:bidi="ar"/>
              </w:rPr>
              <w:t>/</w:t>
            </w:r>
          </w:p>
        </w:tc>
        <w:tc>
          <w:tcPr>
            <w:tcW w:w="258" w:type="pct"/>
            <w:vAlign w:val="center"/>
          </w:tcPr>
          <w:p w:rsidR="00721BEC" w:rsidRDefault="00721BEC" w:rsidP="00721BEC">
            <w:pPr>
              <w:adjustRightInd w:val="0"/>
              <w:snapToGrid w:val="0"/>
              <w:jc w:val="center"/>
              <w:rPr>
                <w:rFonts w:cs="Times New Roman"/>
                <w:szCs w:val="21"/>
                <w:lang w:bidi="ar"/>
              </w:rPr>
            </w:pPr>
            <w:r>
              <w:rPr>
                <w:rFonts w:cs="Times New Roman"/>
                <w:szCs w:val="21"/>
                <w:lang w:bidi="ar"/>
              </w:rPr>
              <w:t>0.018</w:t>
            </w:r>
          </w:p>
        </w:tc>
        <w:tc>
          <w:tcPr>
            <w:tcW w:w="269" w:type="pct"/>
            <w:vAlign w:val="center"/>
          </w:tcPr>
          <w:p w:rsidR="00721BEC" w:rsidRDefault="00721BEC" w:rsidP="00721BEC">
            <w:pPr>
              <w:adjustRightInd w:val="0"/>
              <w:snapToGrid w:val="0"/>
              <w:jc w:val="center"/>
              <w:rPr>
                <w:rFonts w:cs="Times New Roman"/>
                <w:szCs w:val="21"/>
                <w:lang w:bidi="ar"/>
              </w:rPr>
            </w:pPr>
            <w:r>
              <w:rPr>
                <w:rFonts w:cs="Times New Roman" w:hint="eastAsia"/>
                <w:szCs w:val="21"/>
                <w:lang w:bidi="ar"/>
              </w:rPr>
              <w:t>/</w:t>
            </w:r>
          </w:p>
        </w:tc>
        <w:tc>
          <w:tcPr>
            <w:tcW w:w="175" w:type="pct"/>
            <w:vAlign w:val="center"/>
          </w:tcPr>
          <w:p w:rsidR="00721BEC" w:rsidRDefault="00721BEC" w:rsidP="00721BEC">
            <w:pPr>
              <w:adjustRightInd w:val="0"/>
              <w:snapToGrid w:val="0"/>
              <w:jc w:val="center"/>
              <w:rPr>
                <w:rFonts w:cs="Times New Roman"/>
                <w:szCs w:val="21"/>
                <w:lang w:bidi="ar"/>
              </w:rPr>
            </w:pPr>
            <w:r>
              <w:rPr>
                <w:rFonts w:cs="Times New Roman" w:hint="eastAsia"/>
                <w:szCs w:val="21"/>
                <w:lang w:bidi="ar"/>
              </w:rPr>
              <w:t>0</w:t>
            </w:r>
            <w:r>
              <w:rPr>
                <w:rFonts w:cs="Times New Roman"/>
                <w:szCs w:val="21"/>
                <w:lang w:bidi="ar"/>
              </w:rPr>
              <w:t>.0025</w:t>
            </w:r>
          </w:p>
        </w:tc>
        <w:tc>
          <w:tcPr>
            <w:tcW w:w="222" w:type="pct"/>
            <w:vAlign w:val="center"/>
          </w:tcPr>
          <w:p w:rsidR="00721BEC" w:rsidRDefault="00721BEC" w:rsidP="00721BEC">
            <w:pPr>
              <w:adjustRightInd w:val="0"/>
              <w:snapToGrid w:val="0"/>
              <w:jc w:val="center"/>
              <w:rPr>
                <w:rFonts w:cs="Times New Roman"/>
                <w:szCs w:val="21"/>
                <w:lang w:bidi="ar"/>
              </w:rPr>
            </w:pPr>
            <w:r>
              <w:rPr>
                <w:rFonts w:cs="Times New Roman"/>
                <w:szCs w:val="21"/>
                <w:lang w:bidi="ar"/>
              </w:rPr>
              <w:t>0.018</w:t>
            </w:r>
          </w:p>
        </w:tc>
        <w:tc>
          <w:tcPr>
            <w:tcW w:w="113"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szCs w:val="21"/>
                <w:lang w:bidi="ar"/>
              </w:rPr>
              <w:t>/</w:t>
            </w:r>
          </w:p>
        </w:tc>
        <w:tc>
          <w:tcPr>
            <w:tcW w:w="131"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szCs w:val="21"/>
                <w:lang w:bidi="ar"/>
              </w:rPr>
              <w:t>/</w:t>
            </w:r>
          </w:p>
        </w:tc>
        <w:tc>
          <w:tcPr>
            <w:tcW w:w="128"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szCs w:val="21"/>
                <w:lang w:bidi="ar"/>
              </w:rPr>
              <w:t>/</w:t>
            </w:r>
          </w:p>
        </w:tc>
        <w:tc>
          <w:tcPr>
            <w:tcW w:w="217"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szCs w:val="21"/>
                <w:lang w:bidi="ar"/>
              </w:rPr>
              <w:t>/</w:t>
            </w:r>
          </w:p>
        </w:tc>
        <w:tc>
          <w:tcPr>
            <w:tcW w:w="254"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szCs w:val="21"/>
                <w:lang w:bidi="ar"/>
              </w:rPr>
              <w:t>/</w:t>
            </w:r>
          </w:p>
        </w:tc>
        <w:tc>
          <w:tcPr>
            <w:tcW w:w="175"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szCs w:val="21"/>
                <w:lang w:bidi="ar"/>
              </w:rPr>
              <w:t>/</w:t>
            </w:r>
          </w:p>
        </w:tc>
        <w:tc>
          <w:tcPr>
            <w:tcW w:w="208"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szCs w:val="21"/>
                <w:lang w:bidi="ar"/>
              </w:rPr>
              <w:t>/</w:t>
            </w:r>
          </w:p>
        </w:tc>
        <w:tc>
          <w:tcPr>
            <w:tcW w:w="474"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密闭装卸</w:t>
            </w:r>
          </w:p>
        </w:tc>
        <w:tc>
          <w:tcPr>
            <w:tcW w:w="145"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szCs w:val="21"/>
                <w:lang w:bidi="ar"/>
              </w:rPr>
              <w:t>/</w:t>
            </w:r>
          </w:p>
        </w:tc>
        <w:tc>
          <w:tcPr>
            <w:tcW w:w="217"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w:t>
            </w:r>
          </w:p>
        </w:tc>
      </w:tr>
      <w:tr w:rsidR="00721BEC">
        <w:trPr>
          <w:cantSplit/>
          <w:jc w:val="center"/>
        </w:trPr>
        <w:tc>
          <w:tcPr>
            <w:tcW w:w="238"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6</w:t>
            </w:r>
          </w:p>
        </w:tc>
        <w:tc>
          <w:tcPr>
            <w:tcW w:w="286"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装置区动静密封点泄漏散发损失</w:t>
            </w:r>
          </w:p>
        </w:tc>
        <w:tc>
          <w:tcPr>
            <w:tcW w:w="294"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无组织</w:t>
            </w:r>
          </w:p>
        </w:tc>
        <w:tc>
          <w:tcPr>
            <w:tcW w:w="232" w:type="pct"/>
            <w:vAlign w:val="center"/>
          </w:tcPr>
          <w:p w:rsidR="00721BEC" w:rsidRDefault="00721BEC" w:rsidP="00721BEC">
            <w:pPr>
              <w:adjustRightInd w:val="0"/>
              <w:snapToGrid w:val="0"/>
              <w:jc w:val="center"/>
              <w:rPr>
                <w:rFonts w:cs="Times New Roman"/>
                <w:color w:val="000000" w:themeColor="text1"/>
                <w:szCs w:val="21"/>
              </w:rPr>
            </w:pPr>
            <w:r>
              <w:rPr>
                <w:rFonts w:cs="Times New Roman"/>
                <w:color w:val="000000" w:themeColor="text1"/>
                <w:szCs w:val="21"/>
              </w:rPr>
              <w:t>系数法</w:t>
            </w:r>
          </w:p>
        </w:tc>
        <w:tc>
          <w:tcPr>
            <w:tcW w:w="232"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w:t>
            </w:r>
          </w:p>
        </w:tc>
        <w:tc>
          <w:tcPr>
            <w:tcW w:w="231"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7</w:t>
            </w:r>
            <w:r>
              <w:rPr>
                <w:rFonts w:cs="Times New Roman"/>
                <w:color w:val="000000" w:themeColor="text1"/>
                <w:szCs w:val="21"/>
              </w:rPr>
              <w:t>200</w:t>
            </w:r>
          </w:p>
        </w:tc>
        <w:tc>
          <w:tcPr>
            <w:tcW w:w="232" w:type="pct"/>
            <w:vAlign w:val="center"/>
          </w:tcPr>
          <w:p w:rsidR="00721BEC" w:rsidRDefault="00721BEC" w:rsidP="00721BEC">
            <w:pPr>
              <w:adjustRightInd w:val="0"/>
              <w:snapToGrid w:val="0"/>
              <w:jc w:val="center"/>
              <w:rPr>
                <w:rFonts w:cs="Times New Roman"/>
                <w:szCs w:val="21"/>
                <w:lang w:bidi="ar"/>
              </w:rPr>
            </w:pPr>
            <w:r>
              <w:rPr>
                <w:rFonts w:cs="Times New Roman" w:hint="eastAsia"/>
                <w:szCs w:val="21"/>
                <w:lang w:bidi="ar"/>
              </w:rPr>
              <w:t>非甲烷总烃</w:t>
            </w:r>
          </w:p>
        </w:tc>
        <w:tc>
          <w:tcPr>
            <w:tcW w:w="269" w:type="pct"/>
            <w:vAlign w:val="center"/>
          </w:tcPr>
          <w:p w:rsidR="00721BEC" w:rsidRDefault="00721BEC" w:rsidP="00721BEC">
            <w:pPr>
              <w:adjustRightInd w:val="0"/>
              <w:snapToGrid w:val="0"/>
              <w:jc w:val="center"/>
              <w:rPr>
                <w:rFonts w:cs="Times New Roman"/>
                <w:szCs w:val="21"/>
                <w:lang w:bidi="ar"/>
              </w:rPr>
            </w:pPr>
            <w:r>
              <w:rPr>
                <w:rFonts w:cs="Times New Roman" w:hint="eastAsia"/>
                <w:szCs w:val="21"/>
                <w:lang w:bidi="ar"/>
              </w:rPr>
              <w:t>/</w:t>
            </w:r>
          </w:p>
        </w:tc>
        <w:tc>
          <w:tcPr>
            <w:tcW w:w="258" w:type="pct"/>
            <w:vAlign w:val="center"/>
          </w:tcPr>
          <w:p w:rsidR="00721BEC" w:rsidRDefault="00721BEC" w:rsidP="00721BEC">
            <w:pPr>
              <w:adjustRightInd w:val="0"/>
              <w:snapToGrid w:val="0"/>
              <w:jc w:val="center"/>
              <w:rPr>
                <w:rFonts w:cs="Times New Roman"/>
                <w:szCs w:val="21"/>
                <w:lang w:bidi="ar"/>
              </w:rPr>
            </w:pPr>
            <w:r>
              <w:rPr>
                <w:rFonts w:cs="Times New Roman" w:hint="eastAsia"/>
                <w:szCs w:val="21"/>
                <w:lang w:bidi="ar"/>
              </w:rPr>
              <w:t>3.3048</w:t>
            </w:r>
          </w:p>
        </w:tc>
        <w:tc>
          <w:tcPr>
            <w:tcW w:w="269" w:type="pct"/>
            <w:vAlign w:val="center"/>
          </w:tcPr>
          <w:p w:rsidR="00721BEC" w:rsidRDefault="00721BEC" w:rsidP="00721BEC">
            <w:pPr>
              <w:adjustRightInd w:val="0"/>
              <w:snapToGrid w:val="0"/>
              <w:jc w:val="center"/>
              <w:rPr>
                <w:rFonts w:cs="Times New Roman"/>
                <w:szCs w:val="21"/>
                <w:lang w:bidi="ar"/>
              </w:rPr>
            </w:pPr>
            <w:r>
              <w:rPr>
                <w:rFonts w:cs="Times New Roman" w:hint="eastAsia"/>
                <w:szCs w:val="21"/>
                <w:lang w:bidi="ar"/>
              </w:rPr>
              <w:t>/</w:t>
            </w:r>
          </w:p>
        </w:tc>
        <w:tc>
          <w:tcPr>
            <w:tcW w:w="175" w:type="pct"/>
            <w:vAlign w:val="center"/>
          </w:tcPr>
          <w:p w:rsidR="00721BEC" w:rsidRDefault="00721BEC" w:rsidP="00721BEC">
            <w:pPr>
              <w:adjustRightInd w:val="0"/>
              <w:snapToGrid w:val="0"/>
              <w:jc w:val="center"/>
              <w:rPr>
                <w:rFonts w:cs="Times New Roman"/>
                <w:szCs w:val="21"/>
                <w:lang w:bidi="ar"/>
              </w:rPr>
            </w:pPr>
            <w:r>
              <w:rPr>
                <w:rFonts w:cs="Times New Roman" w:hint="eastAsia"/>
                <w:szCs w:val="21"/>
                <w:lang w:bidi="ar"/>
              </w:rPr>
              <w:t>0.459</w:t>
            </w:r>
          </w:p>
        </w:tc>
        <w:tc>
          <w:tcPr>
            <w:tcW w:w="222" w:type="pct"/>
            <w:vAlign w:val="center"/>
          </w:tcPr>
          <w:p w:rsidR="00721BEC" w:rsidRDefault="00721BEC" w:rsidP="00721BEC">
            <w:pPr>
              <w:adjustRightInd w:val="0"/>
              <w:snapToGrid w:val="0"/>
              <w:jc w:val="center"/>
              <w:rPr>
                <w:rFonts w:cs="Times New Roman"/>
                <w:szCs w:val="21"/>
                <w:lang w:bidi="ar"/>
              </w:rPr>
            </w:pPr>
            <w:r>
              <w:rPr>
                <w:rFonts w:cs="Times New Roman" w:hint="eastAsia"/>
                <w:szCs w:val="21"/>
                <w:lang w:bidi="ar"/>
              </w:rPr>
              <w:t>3.3048</w:t>
            </w:r>
          </w:p>
        </w:tc>
        <w:tc>
          <w:tcPr>
            <w:tcW w:w="113" w:type="pct"/>
            <w:vAlign w:val="center"/>
          </w:tcPr>
          <w:p w:rsidR="00721BEC" w:rsidRDefault="00721BEC" w:rsidP="00721BEC">
            <w:pPr>
              <w:adjustRightInd w:val="0"/>
              <w:snapToGrid w:val="0"/>
              <w:jc w:val="center"/>
              <w:rPr>
                <w:rFonts w:cs="Times New Roman"/>
                <w:color w:val="000000" w:themeColor="text1"/>
                <w:szCs w:val="21"/>
              </w:rPr>
            </w:pPr>
          </w:p>
        </w:tc>
        <w:tc>
          <w:tcPr>
            <w:tcW w:w="131" w:type="pct"/>
            <w:vAlign w:val="center"/>
          </w:tcPr>
          <w:p w:rsidR="00721BEC" w:rsidRDefault="00721BEC" w:rsidP="00721BEC">
            <w:pPr>
              <w:adjustRightInd w:val="0"/>
              <w:snapToGrid w:val="0"/>
              <w:jc w:val="center"/>
              <w:rPr>
                <w:rFonts w:cs="Times New Roman"/>
                <w:color w:val="000000" w:themeColor="text1"/>
                <w:szCs w:val="21"/>
              </w:rPr>
            </w:pPr>
          </w:p>
        </w:tc>
        <w:tc>
          <w:tcPr>
            <w:tcW w:w="128" w:type="pct"/>
            <w:vAlign w:val="center"/>
          </w:tcPr>
          <w:p w:rsidR="00721BEC" w:rsidRDefault="00721BEC" w:rsidP="00721BEC">
            <w:pPr>
              <w:adjustRightInd w:val="0"/>
              <w:snapToGrid w:val="0"/>
              <w:jc w:val="center"/>
              <w:rPr>
                <w:rFonts w:cs="Times New Roman"/>
                <w:color w:val="000000" w:themeColor="text1"/>
                <w:szCs w:val="21"/>
              </w:rPr>
            </w:pPr>
          </w:p>
        </w:tc>
        <w:tc>
          <w:tcPr>
            <w:tcW w:w="217" w:type="pct"/>
            <w:vAlign w:val="center"/>
          </w:tcPr>
          <w:p w:rsidR="00721BEC" w:rsidRDefault="00721BEC" w:rsidP="00721BEC">
            <w:pPr>
              <w:adjustRightInd w:val="0"/>
              <w:snapToGrid w:val="0"/>
              <w:jc w:val="center"/>
              <w:rPr>
                <w:rFonts w:cs="Times New Roman"/>
                <w:color w:val="000000" w:themeColor="text1"/>
                <w:szCs w:val="21"/>
              </w:rPr>
            </w:pPr>
          </w:p>
        </w:tc>
        <w:tc>
          <w:tcPr>
            <w:tcW w:w="254" w:type="pct"/>
            <w:vAlign w:val="center"/>
          </w:tcPr>
          <w:p w:rsidR="00721BEC" w:rsidRDefault="00721BEC" w:rsidP="00721BEC">
            <w:pPr>
              <w:adjustRightInd w:val="0"/>
              <w:snapToGrid w:val="0"/>
              <w:jc w:val="center"/>
              <w:rPr>
                <w:rFonts w:cs="Times New Roman"/>
                <w:color w:val="000000" w:themeColor="text1"/>
                <w:szCs w:val="21"/>
              </w:rPr>
            </w:pPr>
          </w:p>
        </w:tc>
        <w:tc>
          <w:tcPr>
            <w:tcW w:w="175" w:type="pct"/>
            <w:vAlign w:val="center"/>
          </w:tcPr>
          <w:p w:rsidR="00721BEC" w:rsidRDefault="00721BEC" w:rsidP="00721BEC">
            <w:pPr>
              <w:adjustRightInd w:val="0"/>
              <w:snapToGrid w:val="0"/>
              <w:jc w:val="center"/>
              <w:rPr>
                <w:rFonts w:cs="Times New Roman"/>
                <w:color w:val="000000" w:themeColor="text1"/>
                <w:szCs w:val="21"/>
              </w:rPr>
            </w:pPr>
          </w:p>
        </w:tc>
        <w:tc>
          <w:tcPr>
            <w:tcW w:w="208" w:type="pct"/>
            <w:vAlign w:val="center"/>
          </w:tcPr>
          <w:p w:rsidR="00721BEC" w:rsidRDefault="00721BEC" w:rsidP="00721BEC">
            <w:pPr>
              <w:adjustRightInd w:val="0"/>
              <w:snapToGrid w:val="0"/>
              <w:jc w:val="center"/>
              <w:rPr>
                <w:rFonts w:cs="Times New Roman"/>
                <w:color w:val="000000" w:themeColor="text1"/>
                <w:szCs w:val="21"/>
              </w:rPr>
            </w:pPr>
          </w:p>
        </w:tc>
        <w:tc>
          <w:tcPr>
            <w:tcW w:w="474"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设备密封</w:t>
            </w:r>
          </w:p>
        </w:tc>
        <w:tc>
          <w:tcPr>
            <w:tcW w:w="145"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szCs w:val="21"/>
                <w:lang w:bidi="ar"/>
              </w:rPr>
              <w:t>/</w:t>
            </w:r>
          </w:p>
        </w:tc>
        <w:tc>
          <w:tcPr>
            <w:tcW w:w="217" w:type="pct"/>
            <w:vAlign w:val="center"/>
          </w:tcPr>
          <w:p w:rsidR="00721BEC" w:rsidRDefault="00721BEC" w:rsidP="00721BEC">
            <w:pPr>
              <w:adjustRightInd w:val="0"/>
              <w:snapToGrid w:val="0"/>
              <w:jc w:val="center"/>
              <w:rPr>
                <w:rFonts w:cs="Times New Roman"/>
                <w:color w:val="000000" w:themeColor="text1"/>
                <w:szCs w:val="21"/>
              </w:rPr>
            </w:pPr>
            <w:r>
              <w:rPr>
                <w:rFonts w:cs="Times New Roman" w:hint="eastAsia"/>
                <w:color w:val="000000" w:themeColor="text1"/>
                <w:szCs w:val="21"/>
              </w:rPr>
              <w:t>/</w:t>
            </w:r>
          </w:p>
        </w:tc>
      </w:tr>
      <w:bookmarkEnd w:id="158"/>
      <w:bookmarkEnd w:id="160"/>
    </w:tbl>
    <w:p w:rsidR="00644456" w:rsidRDefault="00644456">
      <w:pPr>
        <w:pStyle w:val="1"/>
        <w:sectPr w:rsidR="00644456">
          <w:headerReference w:type="default" r:id="rId39"/>
          <w:pgSz w:w="16838" w:h="11905" w:orient="landscape"/>
          <w:pgMar w:top="1440" w:right="1440" w:bottom="1440" w:left="1440" w:header="850" w:footer="992" w:gutter="0"/>
          <w:cols w:space="0"/>
          <w:docGrid w:linePitch="312"/>
        </w:sectPr>
      </w:pP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lastRenderedPageBreak/>
        <w:t>2.5.2.2</w:t>
      </w:r>
      <w:r>
        <w:rPr>
          <w:rFonts w:cs="Times New Roman"/>
          <w:snapToGrid w:val="0"/>
          <w:color w:val="000000" w:themeColor="text1"/>
          <w:kern w:val="0"/>
          <w:szCs w:val="24"/>
        </w:rPr>
        <w:t>水污染物排放及治理</w:t>
      </w:r>
    </w:p>
    <w:p w:rsidR="00644456" w:rsidRDefault="008031C4">
      <w:pPr>
        <w:pStyle w:val="5"/>
        <w:numPr>
          <w:ilvl w:val="4"/>
          <w:numId w:val="0"/>
        </w:numPr>
        <w:ind w:firstLine="480"/>
        <w:rPr>
          <w:snapToGrid w:val="0"/>
          <w:color w:val="000000" w:themeColor="text1"/>
        </w:rPr>
      </w:pPr>
      <w:r>
        <w:rPr>
          <w:rFonts w:hint="eastAsia"/>
          <w:snapToGrid w:val="0"/>
          <w:color w:val="000000" w:themeColor="text1"/>
        </w:rPr>
        <w:t>2.5.2.2.1</w:t>
      </w:r>
      <w:r>
        <w:rPr>
          <w:rFonts w:hint="eastAsia"/>
          <w:snapToGrid w:val="0"/>
          <w:color w:val="000000" w:themeColor="text1"/>
        </w:rPr>
        <w:t>生产废水</w:t>
      </w:r>
    </w:p>
    <w:p w:rsidR="00644456" w:rsidRDefault="008031C4">
      <w:pPr>
        <w:pStyle w:val="1f7"/>
        <w:ind w:firstLine="482"/>
        <w:rPr>
          <w:b/>
          <w:bCs/>
        </w:rPr>
      </w:pPr>
      <w:bookmarkStart w:id="161" w:name="_Hlk179287569"/>
      <w:bookmarkStart w:id="162" w:name="_Hlk177207312"/>
      <w:r>
        <w:rPr>
          <w:rFonts w:hint="eastAsia"/>
          <w:b/>
          <w:bCs/>
        </w:rPr>
        <w:t>①三相分离装置废水</w:t>
      </w:r>
    </w:p>
    <w:p w:rsidR="00644456" w:rsidRDefault="008031C4">
      <w:pPr>
        <w:pStyle w:val="1f7"/>
      </w:pPr>
      <w:r>
        <w:rPr>
          <w:rFonts w:hint="eastAsia"/>
        </w:rPr>
        <w:t>本项目废矿物油在原料罐暂存过程中，储罐中下部物料需经过三相分离（固、水、渣）后再进入中和预处理工段，该部分物料在三相分离后产生的含油废水量为</w:t>
      </w:r>
      <w:r>
        <w:rPr>
          <w:rFonts w:hint="eastAsia"/>
        </w:rPr>
        <w:t>705t/a</w:t>
      </w:r>
      <w:r>
        <w:rPr>
          <w:rFonts w:hint="eastAsia"/>
        </w:rPr>
        <w:t>，其主要污染物为</w:t>
      </w:r>
      <w:r>
        <w:rPr>
          <w:rFonts w:hint="eastAsia"/>
        </w:rPr>
        <w:t>pH</w:t>
      </w:r>
      <w:r>
        <w:rPr>
          <w:rFonts w:hint="eastAsia"/>
        </w:rPr>
        <w:t>、</w:t>
      </w:r>
      <w:r>
        <w:rPr>
          <w:rFonts w:hint="eastAsia"/>
        </w:rPr>
        <w:t>COD</w:t>
      </w:r>
      <w:r>
        <w:rPr>
          <w:rFonts w:hint="eastAsia"/>
        </w:rPr>
        <w:t>、</w:t>
      </w:r>
      <w:r>
        <w:rPr>
          <w:rFonts w:hint="eastAsia"/>
        </w:rPr>
        <w:t>NH3-N</w:t>
      </w:r>
      <w:r>
        <w:rPr>
          <w:rFonts w:hint="eastAsia"/>
        </w:rPr>
        <w:t>、总氮、石油类、</w:t>
      </w:r>
      <w:r>
        <w:rPr>
          <w:rFonts w:hint="eastAsia"/>
        </w:rPr>
        <w:t>BOD5</w:t>
      </w:r>
      <w:r>
        <w:rPr>
          <w:rFonts w:hint="eastAsia"/>
        </w:rPr>
        <w:t>、硫化物等</w:t>
      </w:r>
      <w:r>
        <w:t>。</w:t>
      </w:r>
    </w:p>
    <w:p w:rsidR="00644456" w:rsidRDefault="008031C4">
      <w:pPr>
        <w:pStyle w:val="1f7"/>
        <w:ind w:firstLine="482"/>
        <w:rPr>
          <w:b/>
          <w:bCs/>
        </w:rPr>
      </w:pPr>
      <w:r>
        <w:rPr>
          <w:rFonts w:hint="eastAsia"/>
          <w:b/>
          <w:bCs/>
        </w:rPr>
        <w:t>②生产设施以及地面清洗废水</w:t>
      </w:r>
    </w:p>
    <w:p w:rsidR="00644456" w:rsidRDefault="008031C4">
      <w:pPr>
        <w:pStyle w:val="1f7"/>
      </w:pPr>
      <w:r>
        <w:rPr>
          <w:rFonts w:hint="eastAsia"/>
        </w:rPr>
        <w:t>根据本项目工艺生产需求，主要考虑生产装置区、装卸区的地面冲洗，其中装卸区面积</w:t>
      </w:r>
      <w:r>
        <w:t>1470</w:t>
      </w:r>
      <w:r>
        <w:rPr>
          <w:rFonts w:hint="eastAsia"/>
        </w:rPr>
        <w:t>m</w:t>
      </w:r>
      <w:r>
        <w:rPr>
          <w:rFonts w:hint="eastAsia"/>
          <w:vertAlign w:val="superscript"/>
        </w:rPr>
        <w:t>2</w:t>
      </w:r>
      <w:r>
        <w:rPr>
          <w:rFonts w:hint="eastAsia"/>
        </w:rPr>
        <w:t>，生产装置区面积</w:t>
      </w:r>
      <w:r>
        <w:t>3367.5</w:t>
      </w:r>
      <w:r>
        <w:rPr>
          <w:rFonts w:hint="eastAsia"/>
        </w:rPr>
        <w:t>m</w:t>
      </w:r>
      <w:r>
        <w:rPr>
          <w:rFonts w:hint="eastAsia"/>
          <w:vertAlign w:val="superscript"/>
        </w:rPr>
        <w:t>2</w:t>
      </w:r>
      <w:r>
        <w:rPr>
          <w:rFonts w:hint="eastAsia"/>
        </w:rPr>
        <w:t>，合计需冲洗的地面面积有</w:t>
      </w:r>
      <w:r>
        <w:t>4837.5</w:t>
      </w:r>
      <w:r>
        <w:rPr>
          <w:rFonts w:hint="eastAsia"/>
        </w:rPr>
        <w:t>m</w:t>
      </w:r>
      <w:r>
        <w:rPr>
          <w:rFonts w:hint="eastAsia"/>
          <w:vertAlign w:val="superscript"/>
        </w:rPr>
        <w:t>2</w:t>
      </w:r>
      <w:r>
        <w:rPr>
          <w:rFonts w:hint="eastAsia"/>
        </w:rPr>
        <w:t>，冲洗水用水量参考《建筑给排水设计规范》（</w:t>
      </w:r>
      <w:r>
        <w:rPr>
          <w:rFonts w:hint="eastAsia"/>
        </w:rPr>
        <w:t>GB50015-2003</w:t>
      </w:r>
      <w:r>
        <w:rPr>
          <w:rFonts w:hint="eastAsia"/>
        </w:rPr>
        <w:t>）（</w:t>
      </w:r>
      <w:r>
        <w:rPr>
          <w:rFonts w:hint="eastAsia"/>
        </w:rPr>
        <w:t>2009</w:t>
      </w:r>
      <w:r>
        <w:rPr>
          <w:rFonts w:hint="eastAsia"/>
        </w:rPr>
        <w:t>年版），取</w:t>
      </w:r>
      <w:r>
        <w:rPr>
          <w:rFonts w:hint="eastAsia"/>
        </w:rPr>
        <w:t>2.5L/m</w:t>
      </w:r>
      <w:r>
        <w:rPr>
          <w:rFonts w:hint="eastAsia"/>
          <w:vertAlign w:val="superscript"/>
        </w:rPr>
        <w:t>2</w:t>
      </w:r>
      <w:r>
        <w:rPr>
          <w:rFonts w:hint="eastAsia"/>
        </w:rPr>
        <w:t>·次；每半月清洗一次，全年冲洗</w:t>
      </w:r>
      <w:r>
        <w:rPr>
          <w:rFonts w:hint="eastAsia"/>
        </w:rPr>
        <w:t>24</w:t>
      </w:r>
      <w:r>
        <w:rPr>
          <w:rFonts w:hint="eastAsia"/>
        </w:rPr>
        <w:t>次，地面冲洗用水量为</w:t>
      </w:r>
      <w:r>
        <w:t>290.25</w:t>
      </w:r>
      <w:r>
        <w:rPr>
          <w:rFonts w:hint="eastAsia"/>
        </w:rPr>
        <w:t>m3/a</w:t>
      </w:r>
      <w:r>
        <w:rPr>
          <w:rFonts w:hint="eastAsia"/>
        </w:rPr>
        <w:t>。水量部分蒸发损失，损失量约为用水量</w:t>
      </w:r>
      <w:r>
        <w:rPr>
          <w:rFonts w:hint="eastAsia"/>
        </w:rPr>
        <w:t>10%</w:t>
      </w:r>
      <w:r>
        <w:rPr>
          <w:rFonts w:hint="eastAsia"/>
        </w:rPr>
        <w:t>，则废水产生量为</w:t>
      </w:r>
      <w:r>
        <w:t>261.23</w:t>
      </w:r>
      <w:r>
        <w:rPr>
          <w:rFonts w:hint="eastAsia"/>
        </w:rPr>
        <w:t>m3/a</w:t>
      </w:r>
      <w:r>
        <w:rPr>
          <w:rFonts w:hint="eastAsia"/>
        </w:rPr>
        <w:t>（一年以</w:t>
      </w:r>
      <w:r>
        <w:rPr>
          <w:rFonts w:hint="eastAsia"/>
        </w:rPr>
        <w:t>300</w:t>
      </w:r>
      <w:r>
        <w:rPr>
          <w:rFonts w:hint="eastAsia"/>
        </w:rPr>
        <w:t>天计，平均每天约为</w:t>
      </w:r>
      <w:r>
        <w:t>0.87</w:t>
      </w:r>
      <w:r>
        <w:rPr>
          <w:rFonts w:hint="eastAsia"/>
        </w:rPr>
        <w:t>m3/d</w:t>
      </w:r>
      <w:r>
        <w:rPr>
          <w:rFonts w:hint="eastAsia"/>
        </w:rPr>
        <w:t>）。</w:t>
      </w:r>
    </w:p>
    <w:p w:rsidR="00644456" w:rsidRDefault="008031C4">
      <w:pPr>
        <w:pStyle w:val="1f7"/>
        <w:ind w:firstLine="482"/>
        <w:rPr>
          <w:b/>
          <w:bCs/>
        </w:rPr>
      </w:pPr>
      <w:r>
        <w:rPr>
          <w:rFonts w:hint="eastAsia"/>
          <w:b/>
          <w:bCs/>
        </w:rPr>
        <w:t>③冷却水系统排水</w:t>
      </w:r>
    </w:p>
    <w:p w:rsidR="00644456" w:rsidRDefault="008031C4">
      <w:pPr>
        <w:pStyle w:val="1f7"/>
      </w:pPr>
      <w:r>
        <w:rPr>
          <w:rFonts w:hint="eastAsia"/>
        </w:rPr>
        <w:t>根据生产装置循环水用水情况，新建</w:t>
      </w:r>
      <w:r>
        <w:rPr>
          <w:rFonts w:hint="eastAsia"/>
        </w:rPr>
        <w:t>1</w:t>
      </w:r>
      <w:r>
        <w:rPr>
          <w:rFonts w:hint="eastAsia"/>
        </w:rPr>
        <w:t>座循环水系统，该装置循环水最大用量</w:t>
      </w:r>
      <w:r>
        <w:rPr>
          <w:rFonts w:hint="eastAsia"/>
        </w:rPr>
        <w:t>555.55m3/h</w:t>
      </w:r>
      <w:r>
        <w:rPr>
          <w:rFonts w:hint="eastAsia"/>
        </w:rPr>
        <w:t>，设计循环水供水能力</w:t>
      </w:r>
      <w:r>
        <w:rPr>
          <w:rFonts w:hint="eastAsia"/>
        </w:rPr>
        <w:t>600m</w:t>
      </w:r>
      <w:r>
        <w:rPr>
          <w:rFonts w:hint="eastAsia"/>
          <w:vertAlign w:val="superscript"/>
        </w:rPr>
        <w:t>3</w:t>
      </w:r>
      <w:r>
        <w:rPr>
          <w:rFonts w:hint="eastAsia"/>
        </w:rPr>
        <w:t>/h</w:t>
      </w:r>
      <w:r>
        <w:rPr>
          <w:rFonts w:hint="eastAsia"/>
        </w:rPr>
        <w:t>，冷却循环系统主要用于产品的冷却，采用间接冷却方式，循环水在使用一定时间后，会积累一定量的杂质，故需要定期地排放，设计年外排水为</w:t>
      </w:r>
      <w:r>
        <w:rPr>
          <w:rFonts w:hint="eastAsia"/>
        </w:rPr>
        <w:t>800t/a</w:t>
      </w:r>
      <w:r>
        <w:rPr>
          <w:rFonts w:hint="eastAsia"/>
        </w:rPr>
        <w:t>，其主要污染物为</w:t>
      </w:r>
      <w:r>
        <w:rPr>
          <w:rFonts w:hint="eastAsia"/>
        </w:rPr>
        <w:t>SS</w:t>
      </w:r>
      <w:r>
        <w:rPr>
          <w:rFonts w:hint="eastAsia"/>
        </w:rPr>
        <w:t>、</w:t>
      </w:r>
      <w:r>
        <w:rPr>
          <w:rFonts w:hint="eastAsia"/>
        </w:rPr>
        <w:t>TDS</w:t>
      </w:r>
      <w:r>
        <w:rPr>
          <w:rFonts w:hint="eastAsia"/>
        </w:rPr>
        <w:t>。</w:t>
      </w:r>
    </w:p>
    <w:p w:rsidR="00644456" w:rsidRDefault="008031C4">
      <w:pPr>
        <w:pStyle w:val="1f7"/>
        <w:ind w:firstLine="482"/>
        <w:rPr>
          <w:b/>
          <w:bCs/>
        </w:rPr>
      </w:pPr>
      <w:r>
        <w:rPr>
          <w:rFonts w:hint="eastAsia"/>
          <w:b/>
          <w:bCs/>
        </w:rPr>
        <w:t>④真空系统排水</w:t>
      </w:r>
    </w:p>
    <w:p w:rsidR="00644456" w:rsidRDefault="008031C4">
      <w:pPr>
        <w:pStyle w:val="1f7"/>
      </w:pPr>
      <w:r>
        <w:t>本项目真空系统</w:t>
      </w:r>
      <w:r>
        <w:rPr>
          <w:rFonts w:hint="eastAsia"/>
        </w:rPr>
        <w:t>共</w:t>
      </w:r>
      <w:r>
        <w:rPr>
          <w:rFonts w:hint="eastAsia"/>
        </w:rPr>
        <w:t>1</w:t>
      </w:r>
      <w:r>
        <w:t>0</w:t>
      </w:r>
      <w:r>
        <w:rPr>
          <w:rFonts w:hint="eastAsia"/>
        </w:rPr>
        <w:t>套，其中蒸馏系统配置</w:t>
      </w:r>
      <w:r>
        <w:rPr>
          <w:rFonts w:hint="eastAsia"/>
        </w:rPr>
        <w:t>8</w:t>
      </w:r>
      <w:r>
        <w:rPr>
          <w:rFonts w:hint="eastAsia"/>
        </w:rPr>
        <w:t>套，精制工序配置</w:t>
      </w:r>
      <w:r>
        <w:rPr>
          <w:rFonts w:hint="eastAsia"/>
        </w:rPr>
        <w:t>2</w:t>
      </w:r>
      <w:r>
        <w:rPr>
          <w:rFonts w:hint="eastAsia"/>
        </w:rPr>
        <w:t>套，每个真空系统</w:t>
      </w:r>
      <w:r>
        <w:t>配置了供水水箱</w:t>
      </w:r>
      <w:r>
        <w:rPr>
          <w:rFonts w:hint="eastAsia"/>
        </w:rPr>
        <w:t>（</w:t>
      </w:r>
      <w:r>
        <w:rPr>
          <w:rFonts w:hint="eastAsia"/>
        </w:rPr>
        <w:t>3</w:t>
      </w:r>
      <w:r>
        <w:t>m3</w:t>
      </w:r>
      <w:r>
        <w:rPr>
          <w:rFonts w:hint="eastAsia"/>
        </w:rPr>
        <w:t>）</w:t>
      </w:r>
      <w:r>
        <w:t>，</w:t>
      </w:r>
      <w:r>
        <w:rPr>
          <w:rFonts w:hint="eastAsia"/>
        </w:rPr>
        <w:t>水箱水的作用为冷却水环真空泵的机轮和给真空泵气水分离器供水，在抽真空过程，不凝气可能会随管道带入水箱中，部分水溶性物质溶于水中，造成水箱水质污染，故需要定期更换水箱内的水，平均</w:t>
      </w:r>
      <w:r>
        <w:rPr>
          <w:rFonts w:hint="eastAsia"/>
        </w:rPr>
        <w:t>2</w:t>
      </w:r>
      <w:r>
        <w:rPr>
          <w:rFonts w:hint="eastAsia"/>
        </w:rPr>
        <w:t>周更换</w:t>
      </w:r>
      <w:r>
        <w:rPr>
          <w:rFonts w:hint="eastAsia"/>
        </w:rPr>
        <w:t>1</w:t>
      </w:r>
      <w:r>
        <w:rPr>
          <w:rFonts w:hint="eastAsia"/>
        </w:rPr>
        <w:t>次水箱废水，则全年更换</w:t>
      </w:r>
      <w:r>
        <w:rPr>
          <w:rFonts w:hint="eastAsia"/>
        </w:rPr>
        <w:t>24</w:t>
      </w:r>
      <w:r>
        <w:rPr>
          <w:rFonts w:hint="eastAsia"/>
        </w:rPr>
        <w:t>次，每次更换产生的废水为</w:t>
      </w:r>
      <w:r>
        <w:t>30</w:t>
      </w:r>
      <w:r>
        <w:rPr>
          <w:rFonts w:hint="eastAsia"/>
        </w:rPr>
        <w:t>m</w:t>
      </w:r>
      <w:r>
        <w:rPr>
          <w:rFonts w:hint="eastAsia"/>
          <w:vertAlign w:val="superscript"/>
        </w:rPr>
        <w:t>3</w:t>
      </w:r>
      <w:r>
        <w:rPr>
          <w:rFonts w:hint="eastAsia"/>
        </w:rPr>
        <w:t>，则真空泵每年产生的废水量为</w:t>
      </w:r>
      <w:r>
        <w:t>720</w:t>
      </w:r>
      <w:r>
        <w:rPr>
          <w:rFonts w:hint="eastAsia"/>
        </w:rPr>
        <w:t>m3/a</w:t>
      </w:r>
      <w:r>
        <w:rPr>
          <w:rFonts w:hint="eastAsia"/>
        </w:rPr>
        <w:t>（平均每天排放量约为</w:t>
      </w:r>
      <w:r>
        <w:t>2.1</w:t>
      </w:r>
      <w:r>
        <w:rPr>
          <w:rFonts w:hint="eastAsia"/>
        </w:rPr>
        <w:t>m3/d</w:t>
      </w:r>
      <w:r>
        <w:rPr>
          <w:rFonts w:hint="eastAsia"/>
        </w:rPr>
        <w:t>）。</w:t>
      </w:r>
    </w:p>
    <w:p w:rsidR="00644456" w:rsidRDefault="008031C4">
      <w:pPr>
        <w:pStyle w:val="1f7"/>
        <w:ind w:firstLine="482"/>
        <w:rPr>
          <w:b/>
          <w:bCs/>
        </w:rPr>
      </w:pPr>
      <w:r>
        <w:rPr>
          <w:rFonts w:ascii="宋体" w:hAnsi="宋体" w:cs="宋体" w:hint="eastAsia"/>
          <w:b/>
          <w:bCs/>
        </w:rPr>
        <w:t>⑤</w:t>
      </w:r>
      <w:r>
        <w:rPr>
          <w:rFonts w:hint="eastAsia"/>
          <w:b/>
          <w:bCs/>
        </w:rPr>
        <w:t>喷淋废水</w:t>
      </w:r>
    </w:p>
    <w:p w:rsidR="00644456" w:rsidRDefault="008031C4">
      <w:pPr>
        <w:pStyle w:val="1f7"/>
      </w:pPr>
      <w:r>
        <w:t>本项目废气处理设施喷淋装置喷淋液需要定期</w:t>
      </w:r>
      <w:r>
        <w:rPr>
          <w:rFonts w:hint="eastAsia"/>
        </w:rPr>
        <w:t>地</w:t>
      </w:r>
      <w:r>
        <w:t>外排，根据设计年产生的外排水量为</w:t>
      </w:r>
      <w:r>
        <w:t>40t/a</w:t>
      </w:r>
      <w:r>
        <w:t>，其主要污染物为</w:t>
      </w:r>
      <w:r>
        <w:t>pH</w:t>
      </w:r>
      <w:r>
        <w:t>、石油类等</w:t>
      </w:r>
      <w:r>
        <w:rPr>
          <w:rFonts w:hint="eastAsia"/>
        </w:rPr>
        <w:t>。</w:t>
      </w:r>
    </w:p>
    <w:p w:rsidR="00644456" w:rsidRDefault="008031C4">
      <w:pPr>
        <w:pStyle w:val="1f7"/>
        <w:ind w:firstLine="482"/>
        <w:rPr>
          <w:rFonts w:ascii="宋体" w:hAnsi="宋体" w:cs="宋体"/>
          <w:b/>
          <w:bCs/>
        </w:rPr>
      </w:pPr>
      <w:r>
        <w:rPr>
          <w:rFonts w:ascii="宋体" w:hAnsi="宋体" w:cs="宋体" w:hint="eastAsia"/>
          <w:b/>
          <w:bCs/>
        </w:rPr>
        <w:t>⑥蒸馏冷凝水</w:t>
      </w:r>
    </w:p>
    <w:p w:rsidR="00644456" w:rsidRDefault="008031C4">
      <w:pPr>
        <w:pStyle w:val="1f7"/>
      </w:pPr>
      <w:r>
        <w:rPr>
          <w:rFonts w:hint="eastAsia"/>
        </w:rPr>
        <w:t>本项目进入蒸馏系统的经过预处理后的废矿物油在</w:t>
      </w:r>
      <w:r>
        <w:rPr>
          <w:rFonts w:hint="eastAsia"/>
        </w:rPr>
        <w:t>1</w:t>
      </w:r>
      <w:r>
        <w:rPr>
          <w:rFonts w:hint="eastAsia"/>
        </w:rPr>
        <w:t>号蒸馏过程中会产生蒸馏冷</w:t>
      </w:r>
      <w:r>
        <w:rPr>
          <w:rFonts w:hint="eastAsia"/>
        </w:rPr>
        <w:lastRenderedPageBreak/>
        <w:t>凝水，产生量为</w:t>
      </w:r>
      <w:r>
        <w:rPr>
          <w:rFonts w:hint="eastAsia"/>
        </w:rPr>
        <w:t>571t/a</w:t>
      </w:r>
      <w:r>
        <w:rPr>
          <w:rFonts w:hint="eastAsia"/>
        </w:rPr>
        <w:t>，其主要污染物为</w:t>
      </w:r>
      <w:r>
        <w:rPr>
          <w:rFonts w:hint="eastAsia"/>
        </w:rPr>
        <w:t>pH</w:t>
      </w:r>
      <w:r>
        <w:rPr>
          <w:rFonts w:hint="eastAsia"/>
        </w:rPr>
        <w:t>、</w:t>
      </w:r>
      <w:r>
        <w:rPr>
          <w:rFonts w:hint="eastAsia"/>
        </w:rPr>
        <w:t>COD</w:t>
      </w:r>
      <w:r>
        <w:rPr>
          <w:rFonts w:hint="eastAsia"/>
        </w:rPr>
        <w:t>、</w:t>
      </w:r>
      <w:r>
        <w:rPr>
          <w:rFonts w:hint="eastAsia"/>
        </w:rPr>
        <w:t>NH3-N</w:t>
      </w:r>
      <w:r>
        <w:rPr>
          <w:rFonts w:hint="eastAsia"/>
        </w:rPr>
        <w:t>、总氮、石油类、</w:t>
      </w:r>
      <w:r>
        <w:rPr>
          <w:rFonts w:hint="eastAsia"/>
        </w:rPr>
        <w:t>BOD5</w:t>
      </w:r>
      <w:r>
        <w:rPr>
          <w:rFonts w:hint="eastAsia"/>
        </w:rPr>
        <w:t>、硫化物等。</w:t>
      </w:r>
    </w:p>
    <w:p w:rsidR="00644456" w:rsidRDefault="008031C4">
      <w:pPr>
        <w:pStyle w:val="1f7"/>
      </w:pPr>
      <w:r>
        <w:rPr>
          <w:rFonts w:hint="eastAsia"/>
        </w:rPr>
        <w:t>生产废水产生总量为</w:t>
      </w:r>
      <w:r>
        <w:t>3097.23</w:t>
      </w:r>
      <w:r>
        <w:rPr>
          <w:rFonts w:hint="eastAsia"/>
        </w:rPr>
        <w:t>t/a</w:t>
      </w:r>
      <w:r>
        <w:rPr>
          <w:rFonts w:hint="eastAsia"/>
        </w:rPr>
        <w:t>，经收集后全部进入厂区自建的污水处理站进行统一处理，处理后满足《污水综合排放标准》（</w:t>
      </w:r>
      <w:r>
        <w:rPr>
          <w:rFonts w:hint="eastAsia"/>
        </w:rPr>
        <w:t>GB8978-1996</w:t>
      </w:r>
      <w:r>
        <w:rPr>
          <w:rFonts w:hint="eastAsia"/>
        </w:rPr>
        <w:t>）三级标准及污水处理厂的接管标准后，最终与生活废水一同通过市政管网最终废水进入</w:t>
      </w:r>
      <w:r>
        <w:rPr>
          <w:rFonts w:hint="eastAsia"/>
          <w:bCs/>
          <w:color w:val="000000" w:themeColor="text1"/>
          <w:szCs w:val="21"/>
        </w:rPr>
        <w:t>生态钢城污水处理厂</w:t>
      </w:r>
      <w:r>
        <w:rPr>
          <w:rFonts w:hint="eastAsia"/>
        </w:rPr>
        <w:t>处理。</w:t>
      </w:r>
    </w:p>
    <w:p w:rsidR="00644456" w:rsidRDefault="008031C4">
      <w:pPr>
        <w:pStyle w:val="1f7"/>
      </w:pPr>
      <w:r>
        <w:rPr>
          <w:rFonts w:hint="eastAsia"/>
        </w:rPr>
        <w:t>pH</w:t>
      </w:r>
      <w:r>
        <w:rPr>
          <w:rFonts w:hint="eastAsia"/>
        </w:rPr>
        <w:t>、</w:t>
      </w:r>
      <w:r>
        <w:rPr>
          <w:rFonts w:hint="eastAsia"/>
        </w:rPr>
        <w:t>COD</w:t>
      </w:r>
      <w:r>
        <w:rPr>
          <w:rFonts w:hint="eastAsia"/>
        </w:rPr>
        <w:t>、</w:t>
      </w:r>
      <w:r>
        <w:rPr>
          <w:rFonts w:hint="eastAsia"/>
        </w:rPr>
        <w:t>NH3-N</w:t>
      </w:r>
      <w:r>
        <w:rPr>
          <w:rFonts w:hint="eastAsia"/>
        </w:rPr>
        <w:t>、石油类、</w:t>
      </w:r>
      <w:r>
        <w:rPr>
          <w:rFonts w:hint="eastAsia"/>
        </w:rPr>
        <w:t>BOD5</w:t>
      </w:r>
      <w:r>
        <w:rPr>
          <w:rFonts w:hint="eastAsia"/>
        </w:rPr>
        <w:t>、硫化物指标采用类比法，类比项目为《安徽嘉瑞环保科技有限公司废矿物油综合利用项目竣工环境保护验收监测报告》，该项目主体生产工艺系统与本项目类同，已建成规模为</w:t>
      </w:r>
      <w:r>
        <w:rPr>
          <w:rFonts w:hint="eastAsia"/>
        </w:rPr>
        <w:t>4</w:t>
      </w:r>
      <w:r>
        <w:rPr>
          <w:rFonts w:hint="eastAsia"/>
        </w:rPr>
        <w:t>万</w:t>
      </w:r>
      <w:r>
        <w:rPr>
          <w:rFonts w:hint="eastAsia"/>
        </w:rPr>
        <w:t>t/a</w:t>
      </w:r>
      <w:r>
        <w:rPr>
          <w:rFonts w:hint="eastAsia"/>
        </w:rPr>
        <w:t>，废水产生环节及废水处理工艺与本项目相同，因此具有可类比性。</w:t>
      </w:r>
    </w:p>
    <w:bookmarkEnd w:id="161"/>
    <w:p w:rsidR="00644456" w:rsidRDefault="008031C4">
      <w:pPr>
        <w:pStyle w:val="1f7"/>
      </w:pPr>
      <w:r>
        <w:rPr>
          <w:rFonts w:hint="eastAsia"/>
        </w:rPr>
        <w:t>总氮指标产生源强采用系数法，系数选自《排放源统计调查产排污核算方法和系数手册》（生态环境部办公厅</w:t>
      </w:r>
      <w:r>
        <w:rPr>
          <w:rFonts w:hint="eastAsia"/>
        </w:rPr>
        <w:t>2021</w:t>
      </w:r>
      <w:r>
        <w:rPr>
          <w:rFonts w:hint="eastAsia"/>
        </w:rPr>
        <w:t>年</w:t>
      </w:r>
      <w:r>
        <w:rPr>
          <w:rFonts w:hint="eastAsia"/>
        </w:rPr>
        <w:t>6</w:t>
      </w:r>
      <w:r>
        <w:rPr>
          <w:rFonts w:hint="eastAsia"/>
        </w:rPr>
        <w:t>月</w:t>
      </w:r>
      <w:r>
        <w:rPr>
          <w:rFonts w:hint="eastAsia"/>
        </w:rPr>
        <w:t>11</w:t>
      </w:r>
      <w:r>
        <w:rPr>
          <w:rFonts w:hint="eastAsia"/>
        </w:rPr>
        <w:t>日）</w:t>
      </w:r>
      <w:r>
        <w:rPr>
          <w:rFonts w:hint="eastAsia"/>
        </w:rPr>
        <w:t>42</w:t>
      </w:r>
      <w:r>
        <w:rPr>
          <w:rFonts w:hint="eastAsia"/>
        </w:rPr>
        <w:t>废弃资源综合利用行业系数手册</w:t>
      </w:r>
      <w:r>
        <w:rPr>
          <w:rFonts w:hint="eastAsia"/>
        </w:rPr>
        <w:t>-4220</w:t>
      </w:r>
      <w:r>
        <w:rPr>
          <w:rFonts w:hint="eastAsia"/>
        </w:rPr>
        <w:t>非金属废料和碎屑加工行业系数表</w:t>
      </w:r>
      <w:r>
        <w:rPr>
          <w:rFonts w:hint="eastAsia"/>
        </w:rPr>
        <w:t>-</w:t>
      </w:r>
      <w:r>
        <w:rPr>
          <w:rFonts w:hint="eastAsia"/>
        </w:rPr>
        <w:t>废矿物油再生过程中废水中污染物的产物系数。产污系数详见</w:t>
      </w:r>
      <w:r>
        <w:rPr>
          <w:rFonts w:hint="eastAsia"/>
        </w:rPr>
        <w:t>2.5-11</w:t>
      </w:r>
      <w:r>
        <w:rPr>
          <w:rFonts w:hint="eastAsia"/>
        </w:rPr>
        <w:t>。</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2.5-11</w:t>
      </w:r>
      <w:r>
        <w:rPr>
          <w:rFonts w:cs="Times New Roman" w:hint="eastAsia"/>
          <w:b/>
          <w:color w:val="000000" w:themeColor="text1"/>
          <w:sz w:val="24"/>
          <w:szCs w:val="20"/>
        </w:rPr>
        <w:t>本项目废水源强统计表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993"/>
        <w:gridCol w:w="1701"/>
        <w:gridCol w:w="2409"/>
        <w:gridCol w:w="1975"/>
        <w:gridCol w:w="1256"/>
      </w:tblGrid>
      <w:tr w:rsidR="00644456" w:rsidTr="00721BEC">
        <w:trPr>
          <w:trHeight w:val="70"/>
          <w:jc w:val="center"/>
        </w:trPr>
        <w:tc>
          <w:tcPr>
            <w:tcW w:w="1555" w:type="dxa"/>
            <w:gridSpan w:val="2"/>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污染物</w:t>
            </w:r>
          </w:p>
        </w:tc>
        <w:tc>
          <w:tcPr>
            <w:tcW w:w="1701" w:type="dxa"/>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类比源强</w:t>
            </w:r>
            <w:r>
              <w:rPr>
                <w:rFonts w:cs="Times New Roman"/>
                <w:color w:val="000000" w:themeColor="text1"/>
                <w:szCs w:val="21"/>
              </w:rPr>
              <w:t>mg/L</w:t>
            </w:r>
          </w:p>
        </w:tc>
        <w:tc>
          <w:tcPr>
            <w:tcW w:w="2409" w:type="dxa"/>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采取的治理技术</w:t>
            </w:r>
          </w:p>
        </w:tc>
        <w:tc>
          <w:tcPr>
            <w:tcW w:w="1975" w:type="dxa"/>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类比项目验收期间处理效率</w:t>
            </w:r>
            <w:r>
              <w:rPr>
                <w:rFonts w:cs="Times New Roman"/>
                <w:color w:val="000000" w:themeColor="text1"/>
                <w:szCs w:val="21"/>
              </w:rPr>
              <w:t>%</w:t>
            </w:r>
          </w:p>
        </w:tc>
        <w:tc>
          <w:tcPr>
            <w:tcW w:w="1256" w:type="dxa"/>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本项目最终处理效率</w:t>
            </w:r>
            <w:r>
              <w:rPr>
                <w:rFonts w:cs="Times New Roman"/>
                <w:color w:val="000000" w:themeColor="text1"/>
                <w:szCs w:val="21"/>
              </w:rPr>
              <w:t>%</w:t>
            </w:r>
          </w:p>
        </w:tc>
      </w:tr>
      <w:tr w:rsidR="00644456">
        <w:trPr>
          <w:trHeight w:val="411"/>
          <w:jc w:val="center"/>
        </w:trPr>
        <w:tc>
          <w:tcPr>
            <w:tcW w:w="562" w:type="dxa"/>
            <w:vMerge w:val="restart"/>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生产废水</w:t>
            </w:r>
          </w:p>
        </w:tc>
        <w:tc>
          <w:tcPr>
            <w:tcW w:w="993" w:type="dxa"/>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COD</w:t>
            </w:r>
          </w:p>
        </w:tc>
        <w:tc>
          <w:tcPr>
            <w:tcW w:w="1701" w:type="dxa"/>
            <w:vAlign w:val="center"/>
          </w:tcPr>
          <w:p w:rsidR="00644456" w:rsidRPr="00721BEC" w:rsidRDefault="008031C4">
            <w:pPr>
              <w:widowControl/>
              <w:adjustRightInd w:val="0"/>
              <w:snapToGrid w:val="0"/>
              <w:jc w:val="center"/>
              <w:textAlignment w:val="center"/>
              <w:rPr>
                <w:rFonts w:cs="Times New Roman"/>
                <w:color w:val="FF0000"/>
                <w:szCs w:val="21"/>
              </w:rPr>
            </w:pPr>
            <w:r w:rsidRPr="00721BEC">
              <w:rPr>
                <w:rFonts w:cs="Times New Roman"/>
                <w:color w:val="FF0000"/>
                <w:szCs w:val="21"/>
              </w:rPr>
              <w:t>4.76×10</w:t>
            </w:r>
            <w:r w:rsidRPr="00721BEC">
              <w:rPr>
                <w:rFonts w:cs="Times New Roman"/>
                <w:color w:val="FF0000"/>
                <w:szCs w:val="21"/>
                <w:vertAlign w:val="superscript"/>
              </w:rPr>
              <w:t>4</w:t>
            </w:r>
          </w:p>
        </w:tc>
        <w:tc>
          <w:tcPr>
            <w:tcW w:w="2409" w:type="dxa"/>
            <w:vMerge w:val="restart"/>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隔油气浮</w:t>
            </w:r>
            <w:r>
              <w:rPr>
                <w:rFonts w:cs="Times New Roman"/>
                <w:color w:val="000000" w:themeColor="text1"/>
                <w:szCs w:val="21"/>
              </w:rPr>
              <w:t>+</w:t>
            </w:r>
            <w:r>
              <w:rPr>
                <w:rFonts w:cs="Times New Roman"/>
                <w:color w:val="000000" w:themeColor="text1"/>
                <w:szCs w:val="21"/>
              </w:rPr>
              <w:t>厌氧</w:t>
            </w:r>
            <w:r>
              <w:rPr>
                <w:rFonts w:cs="Times New Roman"/>
                <w:color w:val="000000" w:themeColor="text1"/>
                <w:szCs w:val="21"/>
              </w:rPr>
              <w:t>+</w:t>
            </w:r>
            <w:r>
              <w:rPr>
                <w:rFonts w:cs="Times New Roman"/>
                <w:color w:val="000000" w:themeColor="text1"/>
                <w:szCs w:val="21"/>
              </w:rPr>
              <w:t>好氧生化</w:t>
            </w:r>
          </w:p>
        </w:tc>
        <w:tc>
          <w:tcPr>
            <w:tcW w:w="1975" w:type="dxa"/>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˃99</w:t>
            </w:r>
          </w:p>
        </w:tc>
        <w:tc>
          <w:tcPr>
            <w:tcW w:w="1256" w:type="dxa"/>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99</w:t>
            </w:r>
          </w:p>
        </w:tc>
      </w:tr>
      <w:tr w:rsidR="00644456">
        <w:trPr>
          <w:trHeight w:val="315"/>
          <w:jc w:val="center"/>
        </w:trPr>
        <w:tc>
          <w:tcPr>
            <w:tcW w:w="562" w:type="dxa"/>
            <w:vMerge/>
            <w:vAlign w:val="center"/>
          </w:tcPr>
          <w:p w:rsidR="00644456" w:rsidRDefault="00644456">
            <w:pPr>
              <w:adjustRightInd w:val="0"/>
              <w:snapToGrid w:val="0"/>
              <w:jc w:val="center"/>
              <w:rPr>
                <w:rFonts w:cs="Times New Roman"/>
                <w:color w:val="000000" w:themeColor="text1"/>
                <w:szCs w:val="21"/>
              </w:rPr>
            </w:pPr>
          </w:p>
        </w:tc>
        <w:tc>
          <w:tcPr>
            <w:tcW w:w="993" w:type="dxa"/>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NH3-N</w:t>
            </w:r>
          </w:p>
        </w:tc>
        <w:tc>
          <w:tcPr>
            <w:tcW w:w="1701" w:type="dxa"/>
            <w:vAlign w:val="center"/>
          </w:tcPr>
          <w:p w:rsidR="00644456" w:rsidRPr="00721BEC" w:rsidRDefault="008031C4">
            <w:pPr>
              <w:widowControl/>
              <w:adjustRightInd w:val="0"/>
              <w:snapToGrid w:val="0"/>
              <w:jc w:val="center"/>
              <w:textAlignment w:val="center"/>
              <w:rPr>
                <w:rFonts w:cs="Times New Roman"/>
                <w:color w:val="FF0000"/>
                <w:szCs w:val="21"/>
              </w:rPr>
            </w:pPr>
            <w:r w:rsidRPr="00721BEC">
              <w:rPr>
                <w:rFonts w:cs="Times New Roman"/>
                <w:color w:val="FF0000"/>
                <w:szCs w:val="21"/>
              </w:rPr>
              <w:t>561</w:t>
            </w:r>
          </w:p>
        </w:tc>
        <w:tc>
          <w:tcPr>
            <w:tcW w:w="2409" w:type="dxa"/>
            <w:vMerge/>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975" w:type="dxa"/>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˃95</w:t>
            </w:r>
          </w:p>
        </w:tc>
        <w:tc>
          <w:tcPr>
            <w:tcW w:w="1256" w:type="dxa"/>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95</w:t>
            </w:r>
          </w:p>
        </w:tc>
      </w:tr>
      <w:tr w:rsidR="00644456">
        <w:trPr>
          <w:trHeight w:val="357"/>
          <w:jc w:val="center"/>
        </w:trPr>
        <w:tc>
          <w:tcPr>
            <w:tcW w:w="562" w:type="dxa"/>
            <w:vMerge/>
            <w:vAlign w:val="center"/>
          </w:tcPr>
          <w:p w:rsidR="00644456" w:rsidRDefault="00644456">
            <w:pPr>
              <w:adjustRightInd w:val="0"/>
              <w:snapToGrid w:val="0"/>
              <w:jc w:val="center"/>
              <w:rPr>
                <w:rFonts w:cs="Times New Roman"/>
                <w:color w:val="000000" w:themeColor="text1"/>
                <w:szCs w:val="21"/>
              </w:rPr>
            </w:pPr>
          </w:p>
        </w:tc>
        <w:tc>
          <w:tcPr>
            <w:tcW w:w="993" w:type="dxa"/>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石油类</w:t>
            </w:r>
          </w:p>
        </w:tc>
        <w:tc>
          <w:tcPr>
            <w:tcW w:w="1701" w:type="dxa"/>
            <w:vAlign w:val="center"/>
          </w:tcPr>
          <w:p w:rsidR="00644456" w:rsidRPr="00721BEC" w:rsidRDefault="008031C4">
            <w:pPr>
              <w:widowControl/>
              <w:adjustRightInd w:val="0"/>
              <w:snapToGrid w:val="0"/>
              <w:jc w:val="center"/>
              <w:textAlignment w:val="center"/>
              <w:rPr>
                <w:rFonts w:cs="Times New Roman"/>
                <w:color w:val="FF0000"/>
                <w:szCs w:val="21"/>
              </w:rPr>
            </w:pPr>
            <w:r w:rsidRPr="00721BEC">
              <w:rPr>
                <w:rFonts w:cs="Times New Roman"/>
                <w:color w:val="FF0000"/>
                <w:szCs w:val="21"/>
              </w:rPr>
              <w:t>35.6</w:t>
            </w:r>
          </w:p>
        </w:tc>
        <w:tc>
          <w:tcPr>
            <w:tcW w:w="2409" w:type="dxa"/>
            <w:vMerge/>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975" w:type="dxa"/>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˃99</w:t>
            </w:r>
          </w:p>
        </w:tc>
        <w:tc>
          <w:tcPr>
            <w:tcW w:w="1256" w:type="dxa"/>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95</w:t>
            </w:r>
          </w:p>
        </w:tc>
      </w:tr>
      <w:tr w:rsidR="00644456">
        <w:trPr>
          <w:trHeight w:val="357"/>
          <w:jc w:val="center"/>
        </w:trPr>
        <w:tc>
          <w:tcPr>
            <w:tcW w:w="562" w:type="dxa"/>
            <w:vMerge/>
            <w:vAlign w:val="center"/>
          </w:tcPr>
          <w:p w:rsidR="00644456" w:rsidRDefault="00644456">
            <w:pPr>
              <w:adjustRightInd w:val="0"/>
              <w:snapToGrid w:val="0"/>
              <w:jc w:val="center"/>
              <w:rPr>
                <w:rFonts w:cs="Times New Roman"/>
                <w:color w:val="000000" w:themeColor="text1"/>
                <w:szCs w:val="21"/>
              </w:rPr>
            </w:pPr>
          </w:p>
        </w:tc>
        <w:tc>
          <w:tcPr>
            <w:tcW w:w="993" w:type="dxa"/>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BOD5</w:t>
            </w:r>
          </w:p>
        </w:tc>
        <w:tc>
          <w:tcPr>
            <w:tcW w:w="1701" w:type="dxa"/>
            <w:vAlign w:val="center"/>
          </w:tcPr>
          <w:p w:rsidR="00644456" w:rsidRPr="00721BEC" w:rsidRDefault="008031C4">
            <w:pPr>
              <w:widowControl/>
              <w:adjustRightInd w:val="0"/>
              <w:snapToGrid w:val="0"/>
              <w:jc w:val="center"/>
              <w:textAlignment w:val="center"/>
              <w:rPr>
                <w:rFonts w:cs="Times New Roman"/>
                <w:color w:val="FF0000"/>
                <w:szCs w:val="21"/>
              </w:rPr>
            </w:pPr>
            <w:r w:rsidRPr="00721BEC">
              <w:rPr>
                <w:rFonts w:cs="Times New Roman"/>
                <w:color w:val="FF0000"/>
                <w:szCs w:val="21"/>
              </w:rPr>
              <w:t>5.7×10</w:t>
            </w:r>
            <w:r w:rsidRPr="00721BEC">
              <w:rPr>
                <w:rFonts w:cs="Times New Roman"/>
                <w:color w:val="FF0000"/>
                <w:szCs w:val="21"/>
                <w:vertAlign w:val="superscript"/>
              </w:rPr>
              <w:t>3</w:t>
            </w:r>
          </w:p>
        </w:tc>
        <w:tc>
          <w:tcPr>
            <w:tcW w:w="2409" w:type="dxa"/>
            <w:vMerge/>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975" w:type="dxa"/>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˃99</w:t>
            </w:r>
          </w:p>
        </w:tc>
        <w:tc>
          <w:tcPr>
            <w:tcW w:w="1256" w:type="dxa"/>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95</w:t>
            </w:r>
          </w:p>
        </w:tc>
      </w:tr>
      <w:tr w:rsidR="00644456">
        <w:trPr>
          <w:trHeight w:val="357"/>
          <w:jc w:val="center"/>
        </w:trPr>
        <w:tc>
          <w:tcPr>
            <w:tcW w:w="562" w:type="dxa"/>
            <w:vMerge/>
            <w:vAlign w:val="center"/>
          </w:tcPr>
          <w:p w:rsidR="00644456" w:rsidRDefault="00644456">
            <w:pPr>
              <w:adjustRightInd w:val="0"/>
              <w:snapToGrid w:val="0"/>
              <w:jc w:val="center"/>
              <w:rPr>
                <w:rFonts w:cs="Times New Roman"/>
                <w:color w:val="000000" w:themeColor="text1"/>
                <w:szCs w:val="21"/>
              </w:rPr>
            </w:pPr>
          </w:p>
        </w:tc>
        <w:tc>
          <w:tcPr>
            <w:tcW w:w="993" w:type="dxa"/>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硫化物</w:t>
            </w:r>
          </w:p>
        </w:tc>
        <w:tc>
          <w:tcPr>
            <w:tcW w:w="1701" w:type="dxa"/>
            <w:vAlign w:val="center"/>
          </w:tcPr>
          <w:p w:rsidR="00644456" w:rsidRPr="00721BEC" w:rsidRDefault="008031C4">
            <w:pPr>
              <w:widowControl/>
              <w:adjustRightInd w:val="0"/>
              <w:snapToGrid w:val="0"/>
              <w:jc w:val="center"/>
              <w:textAlignment w:val="center"/>
              <w:rPr>
                <w:rFonts w:cs="Times New Roman"/>
                <w:color w:val="FF0000"/>
                <w:szCs w:val="21"/>
              </w:rPr>
            </w:pPr>
            <w:r w:rsidRPr="00721BEC">
              <w:rPr>
                <w:rFonts w:cs="Times New Roman"/>
                <w:color w:val="FF0000"/>
                <w:szCs w:val="21"/>
              </w:rPr>
              <w:t>0.326</w:t>
            </w:r>
          </w:p>
        </w:tc>
        <w:tc>
          <w:tcPr>
            <w:tcW w:w="2409" w:type="dxa"/>
            <w:vMerge/>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975" w:type="dxa"/>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˃90</w:t>
            </w:r>
          </w:p>
        </w:tc>
        <w:tc>
          <w:tcPr>
            <w:tcW w:w="1256" w:type="dxa"/>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90</w:t>
            </w:r>
          </w:p>
        </w:tc>
      </w:tr>
      <w:tr w:rsidR="00644456">
        <w:trPr>
          <w:trHeight w:val="357"/>
          <w:jc w:val="center"/>
        </w:trPr>
        <w:tc>
          <w:tcPr>
            <w:tcW w:w="562" w:type="dxa"/>
            <w:vMerge/>
            <w:vAlign w:val="center"/>
          </w:tcPr>
          <w:p w:rsidR="00644456" w:rsidRDefault="00644456">
            <w:pPr>
              <w:adjustRightInd w:val="0"/>
              <w:snapToGrid w:val="0"/>
              <w:jc w:val="center"/>
              <w:rPr>
                <w:rFonts w:cs="Times New Roman"/>
                <w:color w:val="000000" w:themeColor="text1"/>
                <w:szCs w:val="21"/>
              </w:rPr>
            </w:pPr>
          </w:p>
        </w:tc>
        <w:tc>
          <w:tcPr>
            <w:tcW w:w="993" w:type="dxa"/>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SS</w:t>
            </w:r>
          </w:p>
        </w:tc>
        <w:tc>
          <w:tcPr>
            <w:tcW w:w="1701" w:type="dxa"/>
            <w:vAlign w:val="center"/>
          </w:tcPr>
          <w:p w:rsidR="00644456" w:rsidRPr="00721BEC" w:rsidRDefault="008031C4">
            <w:pPr>
              <w:widowControl/>
              <w:adjustRightInd w:val="0"/>
              <w:snapToGrid w:val="0"/>
              <w:jc w:val="center"/>
              <w:textAlignment w:val="center"/>
              <w:rPr>
                <w:rFonts w:cs="Times New Roman"/>
                <w:color w:val="FF0000"/>
                <w:szCs w:val="21"/>
              </w:rPr>
            </w:pPr>
            <w:r w:rsidRPr="00721BEC">
              <w:rPr>
                <w:rFonts w:cs="Times New Roman"/>
                <w:color w:val="FF0000"/>
                <w:szCs w:val="21"/>
              </w:rPr>
              <w:t>74</w:t>
            </w:r>
          </w:p>
        </w:tc>
        <w:tc>
          <w:tcPr>
            <w:tcW w:w="2409" w:type="dxa"/>
            <w:vMerge/>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975" w:type="dxa"/>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˃90</w:t>
            </w:r>
          </w:p>
        </w:tc>
        <w:tc>
          <w:tcPr>
            <w:tcW w:w="1256" w:type="dxa"/>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90</w:t>
            </w:r>
          </w:p>
        </w:tc>
      </w:tr>
      <w:tr w:rsidR="00644456">
        <w:trPr>
          <w:trHeight w:val="357"/>
          <w:jc w:val="center"/>
        </w:trPr>
        <w:tc>
          <w:tcPr>
            <w:tcW w:w="562" w:type="dxa"/>
            <w:vMerge/>
            <w:vAlign w:val="center"/>
          </w:tcPr>
          <w:p w:rsidR="00644456" w:rsidRDefault="00644456">
            <w:pPr>
              <w:adjustRightInd w:val="0"/>
              <w:snapToGrid w:val="0"/>
              <w:jc w:val="center"/>
              <w:rPr>
                <w:rFonts w:cs="Times New Roman"/>
                <w:color w:val="000000" w:themeColor="text1"/>
                <w:szCs w:val="21"/>
              </w:rPr>
            </w:pPr>
          </w:p>
        </w:tc>
        <w:tc>
          <w:tcPr>
            <w:tcW w:w="993" w:type="dxa"/>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pH</w:t>
            </w:r>
          </w:p>
        </w:tc>
        <w:tc>
          <w:tcPr>
            <w:tcW w:w="1701" w:type="dxa"/>
            <w:vAlign w:val="center"/>
          </w:tcPr>
          <w:p w:rsidR="00644456" w:rsidRPr="00721BEC" w:rsidRDefault="008031C4">
            <w:pPr>
              <w:widowControl/>
              <w:adjustRightInd w:val="0"/>
              <w:snapToGrid w:val="0"/>
              <w:jc w:val="center"/>
              <w:textAlignment w:val="center"/>
              <w:rPr>
                <w:rFonts w:cs="Times New Roman"/>
                <w:color w:val="FF0000"/>
                <w:szCs w:val="21"/>
              </w:rPr>
            </w:pPr>
            <w:r w:rsidRPr="00721BEC">
              <w:rPr>
                <w:rFonts w:cs="Times New Roman"/>
                <w:color w:val="FF0000"/>
                <w:szCs w:val="21"/>
              </w:rPr>
              <w:t>7.1-7.9</w:t>
            </w:r>
          </w:p>
        </w:tc>
        <w:tc>
          <w:tcPr>
            <w:tcW w:w="2409" w:type="dxa"/>
            <w:vMerge/>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975" w:type="dxa"/>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w:t>
            </w:r>
          </w:p>
        </w:tc>
        <w:tc>
          <w:tcPr>
            <w:tcW w:w="1256" w:type="dxa"/>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w:t>
            </w:r>
          </w:p>
        </w:tc>
      </w:tr>
      <w:tr w:rsidR="00644456">
        <w:trPr>
          <w:trHeight w:val="357"/>
          <w:jc w:val="center"/>
        </w:trPr>
        <w:tc>
          <w:tcPr>
            <w:tcW w:w="562" w:type="dxa"/>
            <w:vMerge/>
            <w:vAlign w:val="center"/>
          </w:tcPr>
          <w:p w:rsidR="00644456" w:rsidRDefault="00644456">
            <w:pPr>
              <w:adjustRightInd w:val="0"/>
              <w:snapToGrid w:val="0"/>
              <w:jc w:val="center"/>
              <w:rPr>
                <w:rFonts w:cs="Times New Roman"/>
                <w:color w:val="000000" w:themeColor="text1"/>
                <w:szCs w:val="21"/>
              </w:rPr>
            </w:pPr>
          </w:p>
        </w:tc>
        <w:tc>
          <w:tcPr>
            <w:tcW w:w="993" w:type="dxa"/>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总氮</w:t>
            </w:r>
          </w:p>
        </w:tc>
        <w:tc>
          <w:tcPr>
            <w:tcW w:w="1701" w:type="dxa"/>
            <w:vAlign w:val="center"/>
          </w:tcPr>
          <w:p w:rsidR="00644456" w:rsidRPr="00721BEC" w:rsidRDefault="008031C4">
            <w:pPr>
              <w:widowControl/>
              <w:adjustRightInd w:val="0"/>
              <w:snapToGrid w:val="0"/>
              <w:jc w:val="center"/>
              <w:textAlignment w:val="center"/>
              <w:rPr>
                <w:rFonts w:cs="Times New Roman"/>
                <w:color w:val="FF0000"/>
                <w:szCs w:val="21"/>
              </w:rPr>
            </w:pPr>
            <w:r w:rsidRPr="00721BEC">
              <w:rPr>
                <w:rFonts w:cs="Times New Roman"/>
                <w:color w:val="FF0000"/>
                <w:szCs w:val="21"/>
              </w:rPr>
              <w:t>1.1×10</w:t>
            </w:r>
            <w:r w:rsidRPr="00721BEC">
              <w:rPr>
                <w:rFonts w:cs="Times New Roman"/>
                <w:color w:val="FF0000"/>
                <w:szCs w:val="21"/>
                <w:vertAlign w:val="superscript"/>
              </w:rPr>
              <w:t>3</w:t>
            </w:r>
          </w:p>
        </w:tc>
        <w:tc>
          <w:tcPr>
            <w:tcW w:w="2409" w:type="dxa"/>
            <w:vMerge/>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975" w:type="dxa"/>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w:t>
            </w:r>
          </w:p>
        </w:tc>
        <w:tc>
          <w:tcPr>
            <w:tcW w:w="1256" w:type="dxa"/>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95</w:t>
            </w:r>
          </w:p>
        </w:tc>
      </w:tr>
      <w:tr w:rsidR="00644456">
        <w:trPr>
          <w:trHeight w:val="357"/>
          <w:jc w:val="center"/>
        </w:trPr>
        <w:tc>
          <w:tcPr>
            <w:tcW w:w="8896" w:type="dxa"/>
            <w:gridSpan w:val="6"/>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备注：总氮指标源强为采用系数法核算。本项目处理效率参考《排放源统计调查产排污核算方法和系数手册》（生态环境部办公厅</w:t>
            </w:r>
            <w:r>
              <w:rPr>
                <w:rFonts w:cs="Times New Roman"/>
                <w:color w:val="000000" w:themeColor="text1"/>
                <w:szCs w:val="21"/>
              </w:rPr>
              <w:t>2021</w:t>
            </w:r>
            <w:r>
              <w:rPr>
                <w:rFonts w:cs="Times New Roman"/>
                <w:color w:val="000000" w:themeColor="text1"/>
                <w:szCs w:val="21"/>
              </w:rPr>
              <w:t>年</w:t>
            </w:r>
            <w:r>
              <w:rPr>
                <w:rFonts w:cs="Times New Roman"/>
                <w:color w:val="000000" w:themeColor="text1"/>
                <w:szCs w:val="21"/>
              </w:rPr>
              <w:t>6</w:t>
            </w:r>
            <w:r>
              <w:rPr>
                <w:rFonts w:cs="Times New Roman"/>
                <w:color w:val="000000" w:themeColor="text1"/>
                <w:szCs w:val="21"/>
              </w:rPr>
              <w:t>月</w:t>
            </w:r>
            <w:r>
              <w:rPr>
                <w:rFonts w:cs="Times New Roman"/>
                <w:color w:val="000000" w:themeColor="text1"/>
                <w:szCs w:val="21"/>
              </w:rPr>
              <w:t>11</w:t>
            </w:r>
            <w:r>
              <w:rPr>
                <w:rFonts w:cs="Times New Roman"/>
                <w:color w:val="000000" w:themeColor="text1"/>
                <w:szCs w:val="21"/>
              </w:rPr>
              <w:t>日）</w:t>
            </w:r>
            <w:r>
              <w:rPr>
                <w:rFonts w:cs="Times New Roman"/>
                <w:color w:val="000000" w:themeColor="text1"/>
                <w:szCs w:val="21"/>
              </w:rPr>
              <w:t>42</w:t>
            </w:r>
            <w:r>
              <w:rPr>
                <w:rFonts w:cs="Times New Roman"/>
                <w:color w:val="000000" w:themeColor="text1"/>
                <w:szCs w:val="21"/>
              </w:rPr>
              <w:t>废弃资源综合利用行业系数手册</w:t>
            </w:r>
            <w:r>
              <w:rPr>
                <w:rFonts w:cs="Times New Roman"/>
                <w:color w:val="000000" w:themeColor="text1"/>
                <w:szCs w:val="21"/>
              </w:rPr>
              <w:t>-4220</w:t>
            </w:r>
            <w:r>
              <w:rPr>
                <w:rFonts w:cs="Times New Roman"/>
                <w:color w:val="000000" w:themeColor="text1"/>
                <w:szCs w:val="21"/>
              </w:rPr>
              <w:t>非金属废料和碎屑加工行业系数表进行确定</w:t>
            </w:r>
          </w:p>
        </w:tc>
      </w:tr>
    </w:tbl>
    <w:p w:rsidR="00644456" w:rsidRDefault="008031C4">
      <w:pPr>
        <w:pStyle w:val="5"/>
        <w:numPr>
          <w:ilvl w:val="4"/>
          <w:numId w:val="0"/>
        </w:numPr>
        <w:ind w:firstLine="480"/>
        <w:rPr>
          <w:snapToGrid w:val="0"/>
          <w:color w:val="000000" w:themeColor="text1"/>
        </w:rPr>
      </w:pPr>
      <w:r>
        <w:rPr>
          <w:rFonts w:hint="eastAsia"/>
          <w:snapToGrid w:val="0"/>
          <w:color w:val="000000" w:themeColor="text1"/>
        </w:rPr>
        <w:t>2.5.2.2.2</w:t>
      </w:r>
      <w:r>
        <w:rPr>
          <w:rFonts w:hint="eastAsia"/>
          <w:snapToGrid w:val="0"/>
          <w:color w:val="000000" w:themeColor="text1"/>
        </w:rPr>
        <w:t>生活废水</w:t>
      </w:r>
    </w:p>
    <w:p w:rsidR="00644456" w:rsidRDefault="008031C4">
      <w:pPr>
        <w:adjustRightInd w:val="0"/>
        <w:snapToGrid w:val="0"/>
        <w:spacing w:line="360" w:lineRule="auto"/>
        <w:ind w:firstLineChars="200" w:firstLine="480"/>
        <w:rPr>
          <w:rFonts w:cs="Times New Roman"/>
          <w:color w:val="000000" w:themeColor="text1"/>
          <w:sz w:val="24"/>
        </w:rPr>
      </w:pPr>
      <w:r>
        <w:rPr>
          <w:rFonts w:cs="Times New Roman" w:hint="eastAsia"/>
          <w:color w:val="000000" w:themeColor="text1"/>
          <w:sz w:val="24"/>
        </w:rPr>
        <w:t>项目劳动定员</w:t>
      </w:r>
      <w:r>
        <w:rPr>
          <w:rFonts w:cs="Times New Roman"/>
          <w:color w:val="000000" w:themeColor="text1"/>
          <w:sz w:val="24"/>
        </w:rPr>
        <w:t>60</w:t>
      </w:r>
      <w:r>
        <w:rPr>
          <w:rFonts w:cs="Times New Roman" w:hint="eastAsia"/>
          <w:color w:val="000000" w:themeColor="text1"/>
          <w:sz w:val="24"/>
        </w:rPr>
        <w:t>人，采用三班制，年平均生产</w:t>
      </w:r>
      <w:r>
        <w:rPr>
          <w:rFonts w:cs="Times New Roman" w:hint="eastAsia"/>
          <w:color w:val="000000" w:themeColor="text1"/>
          <w:sz w:val="24"/>
        </w:rPr>
        <w:t>300</w:t>
      </w:r>
      <w:r>
        <w:rPr>
          <w:rFonts w:cs="Times New Roman" w:hint="eastAsia"/>
          <w:color w:val="000000" w:themeColor="text1"/>
          <w:sz w:val="24"/>
        </w:rPr>
        <w:t>天。办公生活污水为连续排放。本项目用水定额参照《新疆维吾尔自治区生活用水定额》选取，本项目内部不设食堂及住宿，因此人均办公用水量按每人</w:t>
      </w:r>
      <w:r>
        <w:rPr>
          <w:rFonts w:cs="Times New Roman" w:hint="eastAsia"/>
          <w:color w:val="000000" w:themeColor="text1"/>
          <w:sz w:val="24"/>
        </w:rPr>
        <w:t>80L/d</w:t>
      </w:r>
      <w:r>
        <w:rPr>
          <w:rFonts w:cs="Times New Roman" w:hint="eastAsia"/>
          <w:color w:val="000000" w:themeColor="text1"/>
          <w:sz w:val="24"/>
        </w:rPr>
        <w:t>计算，则生活用水量为</w:t>
      </w:r>
      <w:r>
        <w:rPr>
          <w:rFonts w:cs="Times New Roman"/>
          <w:color w:val="000000" w:themeColor="text1"/>
          <w:sz w:val="24"/>
        </w:rPr>
        <w:t>4.8</w:t>
      </w:r>
      <w:r>
        <w:rPr>
          <w:rFonts w:cs="Times New Roman" w:hint="eastAsia"/>
          <w:color w:val="000000" w:themeColor="text1"/>
          <w:sz w:val="24"/>
        </w:rPr>
        <w:t>m3/d</w:t>
      </w:r>
      <w:r>
        <w:rPr>
          <w:rFonts w:cs="Times New Roman" w:hint="eastAsia"/>
          <w:color w:val="000000" w:themeColor="text1"/>
          <w:sz w:val="24"/>
        </w:rPr>
        <w:t>（</w:t>
      </w:r>
      <w:r>
        <w:rPr>
          <w:rFonts w:cs="Times New Roman"/>
          <w:color w:val="000000" w:themeColor="text1"/>
          <w:sz w:val="24"/>
        </w:rPr>
        <w:t>1440</w:t>
      </w:r>
      <w:r>
        <w:rPr>
          <w:rFonts w:cs="Times New Roman" w:hint="eastAsia"/>
          <w:color w:val="000000" w:themeColor="text1"/>
          <w:sz w:val="24"/>
        </w:rPr>
        <w:t>m3/a</w:t>
      </w:r>
      <w:r>
        <w:rPr>
          <w:rFonts w:cs="Times New Roman" w:hint="eastAsia"/>
          <w:color w:val="000000" w:themeColor="text1"/>
          <w:sz w:val="24"/>
        </w:rPr>
        <w:t>），产污系数取</w:t>
      </w:r>
      <w:r>
        <w:rPr>
          <w:rFonts w:cs="Times New Roman" w:hint="eastAsia"/>
          <w:color w:val="000000" w:themeColor="text1"/>
          <w:sz w:val="24"/>
        </w:rPr>
        <w:t>0.85</w:t>
      </w:r>
      <w:r>
        <w:rPr>
          <w:rFonts w:cs="Times New Roman" w:hint="eastAsia"/>
          <w:color w:val="000000" w:themeColor="text1"/>
          <w:sz w:val="24"/>
        </w:rPr>
        <w:t>，则项目生活污水量为</w:t>
      </w:r>
      <w:r>
        <w:rPr>
          <w:rFonts w:cs="Times New Roman"/>
          <w:color w:val="000000" w:themeColor="text1"/>
          <w:sz w:val="24"/>
        </w:rPr>
        <w:t>4.08</w:t>
      </w:r>
      <w:r>
        <w:rPr>
          <w:rFonts w:cs="Times New Roman" w:hint="eastAsia"/>
          <w:color w:val="000000" w:themeColor="text1"/>
          <w:sz w:val="24"/>
        </w:rPr>
        <w:t>m3/d</w:t>
      </w:r>
      <w:r>
        <w:rPr>
          <w:rFonts w:cs="Times New Roman" w:hint="eastAsia"/>
          <w:color w:val="000000" w:themeColor="text1"/>
          <w:sz w:val="24"/>
        </w:rPr>
        <w:t>。该废水进入预处理池处理。</w:t>
      </w:r>
    </w:p>
    <w:p w:rsidR="00644456" w:rsidRDefault="00644456">
      <w:pPr>
        <w:adjustRightInd w:val="0"/>
        <w:snapToGrid w:val="0"/>
        <w:spacing w:line="360" w:lineRule="auto"/>
        <w:ind w:firstLineChars="200" w:firstLine="420"/>
      </w:pPr>
    </w:p>
    <w:bookmarkEnd w:id="162"/>
    <w:p w:rsidR="00644456" w:rsidRDefault="008031C4">
      <w:pPr>
        <w:pStyle w:val="5"/>
        <w:numPr>
          <w:ilvl w:val="4"/>
          <w:numId w:val="0"/>
        </w:numPr>
        <w:ind w:firstLine="480"/>
        <w:rPr>
          <w:snapToGrid w:val="0"/>
          <w:color w:val="000000" w:themeColor="text1"/>
        </w:rPr>
      </w:pPr>
      <w:r>
        <w:rPr>
          <w:rFonts w:hint="eastAsia"/>
          <w:snapToGrid w:val="0"/>
          <w:color w:val="000000" w:themeColor="text1"/>
        </w:rPr>
        <w:lastRenderedPageBreak/>
        <w:t>2.5.2.2.3</w:t>
      </w:r>
      <w:r>
        <w:rPr>
          <w:rFonts w:hint="eastAsia"/>
          <w:snapToGrid w:val="0"/>
          <w:color w:val="000000" w:themeColor="text1"/>
        </w:rPr>
        <w:t>初期雨水</w:t>
      </w:r>
    </w:p>
    <w:p w:rsidR="00644456" w:rsidRDefault="008031C4">
      <w:pPr>
        <w:adjustRightInd w:val="0"/>
        <w:snapToGrid w:val="0"/>
        <w:spacing w:line="360" w:lineRule="auto"/>
        <w:ind w:firstLineChars="200" w:firstLine="480"/>
        <w:rPr>
          <w:rFonts w:cs="Times New Roman"/>
          <w:color w:val="000000" w:themeColor="text1"/>
          <w:sz w:val="24"/>
        </w:rPr>
      </w:pPr>
      <w:r>
        <w:rPr>
          <w:rFonts w:cs="Times New Roman" w:hint="eastAsia"/>
          <w:color w:val="000000" w:themeColor="text1"/>
          <w:sz w:val="24"/>
        </w:rPr>
        <w:t>大量的研究表明，雨水径流有明显的初期冲刷作用，即在多数情况下，污染物是集中在初期的数毫米雨量中。建设项目受装卸机械作业过程中跑、冒、滴、漏等影响，当遇到降雨时，地面的污染物被冲洗下来，使得初期径流雨水中含有一定浓度的污染物，为此，建设单位必须对初期雨水进行收集和处理，减少对周围地表水的不利影响。目前在我国对初期雨水量还没有较为统一准确的计算方法。依据《给水排水工程快速设计手册》中相关要求，初期雨水收集时间为</w:t>
      </w:r>
      <w:r>
        <w:rPr>
          <w:rFonts w:cs="Times New Roman" w:hint="eastAsia"/>
          <w:color w:val="000000" w:themeColor="text1"/>
          <w:sz w:val="24"/>
        </w:rPr>
        <w:t>15min</w:t>
      </w:r>
      <w:r>
        <w:rPr>
          <w:rFonts w:cs="Times New Roman" w:hint="eastAsia"/>
          <w:color w:val="000000" w:themeColor="text1"/>
          <w:sz w:val="24"/>
        </w:rPr>
        <w:t>。本报告取下雨初期</w:t>
      </w:r>
      <w:r>
        <w:rPr>
          <w:rFonts w:cs="Times New Roman" w:hint="eastAsia"/>
          <w:color w:val="000000" w:themeColor="text1"/>
          <w:sz w:val="24"/>
        </w:rPr>
        <w:t>15min</w:t>
      </w:r>
      <w:r>
        <w:rPr>
          <w:rFonts w:cs="Times New Roman" w:hint="eastAsia"/>
          <w:color w:val="000000" w:themeColor="text1"/>
          <w:sz w:val="24"/>
        </w:rPr>
        <w:t>的时间来计算初期雨水。</w:t>
      </w:r>
    </w:p>
    <w:p w:rsidR="00644456" w:rsidRDefault="008031C4">
      <w:pPr>
        <w:adjustRightInd w:val="0"/>
        <w:snapToGrid w:val="0"/>
        <w:spacing w:line="360" w:lineRule="auto"/>
        <w:ind w:firstLineChars="200" w:firstLine="480"/>
        <w:rPr>
          <w:rFonts w:cs="Times New Roman"/>
          <w:color w:val="000000" w:themeColor="text1"/>
          <w:sz w:val="24"/>
        </w:rPr>
      </w:pPr>
      <w:r>
        <w:rPr>
          <w:rFonts w:cs="Times New Roman" w:hint="eastAsia"/>
          <w:color w:val="000000" w:themeColor="text1"/>
          <w:sz w:val="24"/>
        </w:rPr>
        <w:t>①一次暴雨最大初期雨水量</w:t>
      </w:r>
    </w:p>
    <w:p w:rsidR="00644456" w:rsidRDefault="008031C4">
      <w:pPr>
        <w:adjustRightInd w:val="0"/>
        <w:snapToGrid w:val="0"/>
        <w:spacing w:line="360" w:lineRule="auto"/>
        <w:ind w:firstLineChars="200" w:firstLine="480"/>
        <w:rPr>
          <w:rFonts w:cs="Times New Roman"/>
          <w:color w:val="000000" w:themeColor="text1"/>
          <w:sz w:val="24"/>
        </w:rPr>
      </w:pPr>
      <w:r>
        <w:rPr>
          <w:rFonts w:cs="Times New Roman" w:hint="eastAsia"/>
          <w:color w:val="000000" w:themeColor="text1"/>
          <w:sz w:val="24"/>
        </w:rPr>
        <w:t>本项目初期雨水量参考暴雨强度公式计算：</w:t>
      </w:r>
    </w:p>
    <w:p w:rsidR="00644456" w:rsidRDefault="008031C4">
      <w:pPr>
        <w:adjustRightInd w:val="0"/>
        <w:snapToGrid w:val="0"/>
        <w:spacing w:line="360" w:lineRule="auto"/>
        <w:ind w:firstLineChars="200" w:firstLine="420"/>
        <w:rPr>
          <w:rFonts w:cs="Times New Roman"/>
          <w:color w:val="000000" w:themeColor="text1"/>
          <w:sz w:val="24"/>
        </w:rPr>
      </w:pPr>
      <w:r>
        <w:rPr>
          <w:noProof/>
        </w:rPr>
        <w:drawing>
          <wp:inline distT="0" distB="0" distL="0" distR="0" wp14:anchorId="460F4BC4" wp14:editId="53DA7D23">
            <wp:extent cx="2152015" cy="43751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0"/>
                    <a:stretch>
                      <a:fillRect/>
                    </a:stretch>
                  </pic:blipFill>
                  <pic:spPr>
                    <a:xfrm>
                      <a:off x="0" y="0"/>
                      <a:ext cx="2152381" cy="438095"/>
                    </a:xfrm>
                    <a:prstGeom prst="rect">
                      <a:avLst/>
                    </a:prstGeom>
                  </pic:spPr>
                </pic:pic>
              </a:graphicData>
            </a:graphic>
          </wp:inline>
        </w:drawing>
      </w:r>
    </w:p>
    <w:p w:rsidR="00644456" w:rsidRDefault="008031C4">
      <w:pPr>
        <w:adjustRightInd w:val="0"/>
        <w:snapToGrid w:val="0"/>
        <w:spacing w:line="360" w:lineRule="auto"/>
        <w:ind w:firstLineChars="200" w:firstLine="420"/>
        <w:rPr>
          <w:rFonts w:cs="Times New Roman"/>
          <w:color w:val="000000" w:themeColor="text1"/>
          <w:sz w:val="24"/>
        </w:rPr>
      </w:pPr>
      <w:r>
        <w:rPr>
          <w:noProof/>
        </w:rPr>
        <w:drawing>
          <wp:inline distT="0" distB="0" distL="0" distR="0" wp14:anchorId="7FFF86DF" wp14:editId="08E60D14">
            <wp:extent cx="1475740" cy="2755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1"/>
                    <a:stretch>
                      <a:fillRect/>
                    </a:stretch>
                  </pic:blipFill>
                  <pic:spPr>
                    <a:xfrm>
                      <a:off x="0" y="0"/>
                      <a:ext cx="1476190" cy="276190"/>
                    </a:xfrm>
                    <a:prstGeom prst="rect">
                      <a:avLst/>
                    </a:prstGeom>
                  </pic:spPr>
                </pic:pic>
              </a:graphicData>
            </a:graphic>
          </wp:inline>
        </w:drawing>
      </w:r>
    </w:p>
    <w:p w:rsidR="00644456" w:rsidRDefault="008031C4">
      <w:pPr>
        <w:adjustRightInd w:val="0"/>
        <w:snapToGrid w:val="0"/>
        <w:spacing w:line="360" w:lineRule="auto"/>
        <w:ind w:firstLineChars="200" w:firstLine="480"/>
        <w:rPr>
          <w:rFonts w:cs="Times New Roman"/>
          <w:color w:val="000000" w:themeColor="text1"/>
          <w:sz w:val="24"/>
        </w:rPr>
      </w:pPr>
      <w:r>
        <w:rPr>
          <w:rFonts w:cs="Times New Roman" w:hint="eastAsia"/>
          <w:color w:val="000000" w:themeColor="text1"/>
          <w:sz w:val="24"/>
        </w:rPr>
        <w:t>式中：</w:t>
      </w:r>
      <w:r>
        <w:rPr>
          <w:rFonts w:cs="Times New Roman" w:hint="eastAsia"/>
          <w:color w:val="000000" w:themeColor="text1"/>
          <w:sz w:val="24"/>
        </w:rPr>
        <w:t>q</w:t>
      </w:r>
      <w:r>
        <w:rPr>
          <w:rFonts w:cs="Times New Roman" w:hint="eastAsia"/>
          <w:color w:val="000000" w:themeColor="text1"/>
          <w:sz w:val="24"/>
        </w:rPr>
        <w:t>——暴雨强度，</w:t>
      </w:r>
      <w:r>
        <w:rPr>
          <w:rFonts w:cs="Times New Roman" w:hint="eastAsia"/>
          <w:color w:val="000000" w:themeColor="text1"/>
          <w:sz w:val="24"/>
        </w:rPr>
        <w:t>L/s</w:t>
      </w:r>
      <w:r>
        <w:rPr>
          <w:rFonts w:cs="Times New Roman" w:hint="eastAsia"/>
          <w:color w:val="000000" w:themeColor="text1"/>
          <w:sz w:val="24"/>
        </w:rPr>
        <w:t>·</w:t>
      </w:r>
      <w:r>
        <w:rPr>
          <w:rFonts w:cs="Times New Roman" w:hint="eastAsia"/>
          <w:color w:val="000000" w:themeColor="text1"/>
          <w:sz w:val="24"/>
        </w:rPr>
        <w:t>hm</w:t>
      </w:r>
      <w:r>
        <w:rPr>
          <w:rFonts w:cs="Times New Roman" w:hint="eastAsia"/>
          <w:color w:val="000000" w:themeColor="text1"/>
          <w:sz w:val="24"/>
          <w:vertAlign w:val="superscript"/>
        </w:rPr>
        <w:t>2</w:t>
      </w:r>
      <w:r>
        <w:rPr>
          <w:rFonts w:cs="Times New Roman" w:hint="eastAsia"/>
          <w:color w:val="000000" w:themeColor="text1"/>
          <w:sz w:val="24"/>
        </w:rPr>
        <w:t>；</w:t>
      </w:r>
    </w:p>
    <w:p w:rsidR="00644456" w:rsidRDefault="008031C4">
      <w:pPr>
        <w:adjustRightInd w:val="0"/>
        <w:snapToGrid w:val="0"/>
        <w:spacing w:line="360" w:lineRule="auto"/>
        <w:ind w:firstLineChars="200" w:firstLine="480"/>
        <w:rPr>
          <w:rFonts w:cs="Times New Roman"/>
          <w:color w:val="000000" w:themeColor="text1"/>
          <w:sz w:val="24"/>
        </w:rPr>
      </w:pPr>
      <w:r>
        <w:rPr>
          <w:rFonts w:cs="Times New Roman" w:hint="eastAsia"/>
          <w:color w:val="000000" w:themeColor="text1"/>
          <w:sz w:val="24"/>
        </w:rPr>
        <w:t>P</w:t>
      </w:r>
      <w:r>
        <w:rPr>
          <w:rFonts w:cs="Times New Roman" w:hint="eastAsia"/>
          <w:color w:val="000000" w:themeColor="text1"/>
          <w:sz w:val="24"/>
        </w:rPr>
        <w:t>——重现期，按</w:t>
      </w:r>
      <w:r>
        <w:rPr>
          <w:rFonts w:cs="Times New Roman" w:hint="eastAsia"/>
          <w:color w:val="000000" w:themeColor="text1"/>
          <w:sz w:val="24"/>
        </w:rPr>
        <w:t>5</w:t>
      </w:r>
      <w:r>
        <w:rPr>
          <w:rFonts w:cs="Times New Roman" w:hint="eastAsia"/>
          <w:color w:val="000000" w:themeColor="text1"/>
          <w:sz w:val="24"/>
        </w:rPr>
        <w:t>年计算；</w:t>
      </w:r>
    </w:p>
    <w:p w:rsidR="00644456" w:rsidRDefault="008031C4">
      <w:pPr>
        <w:adjustRightInd w:val="0"/>
        <w:snapToGrid w:val="0"/>
        <w:spacing w:line="360" w:lineRule="auto"/>
        <w:ind w:firstLineChars="200" w:firstLine="480"/>
        <w:rPr>
          <w:rFonts w:cs="Times New Roman"/>
          <w:color w:val="000000" w:themeColor="text1"/>
          <w:sz w:val="24"/>
        </w:rPr>
      </w:pPr>
      <w:r>
        <w:rPr>
          <w:rFonts w:cs="Times New Roman" w:hint="eastAsia"/>
          <w:color w:val="000000" w:themeColor="text1"/>
          <w:sz w:val="24"/>
        </w:rPr>
        <w:t>t</w:t>
      </w:r>
      <w:r>
        <w:rPr>
          <w:rFonts w:cs="Times New Roman" w:hint="eastAsia"/>
          <w:color w:val="000000" w:themeColor="text1"/>
          <w:sz w:val="24"/>
        </w:rPr>
        <w:t>——降雨历时，按</w:t>
      </w:r>
      <w:r>
        <w:rPr>
          <w:rFonts w:cs="Times New Roman" w:hint="eastAsia"/>
          <w:color w:val="000000" w:themeColor="text1"/>
          <w:sz w:val="24"/>
        </w:rPr>
        <w:t>60min</w:t>
      </w:r>
      <w:r>
        <w:rPr>
          <w:rFonts w:cs="Times New Roman" w:hint="eastAsia"/>
          <w:color w:val="000000" w:themeColor="text1"/>
          <w:sz w:val="24"/>
        </w:rPr>
        <w:t>算；</w:t>
      </w:r>
    </w:p>
    <w:p w:rsidR="00644456" w:rsidRDefault="008031C4">
      <w:pPr>
        <w:adjustRightInd w:val="0"/>
        <w:snapToGrid w:val="0"/>
        <w:spacing w:line="360" w:lineRule="auto"/>
        <w:ind w:firstLineChars="200" w:firstLine="480"/>
        <w:rPr>
          <w:rFonts w:cs="Times New Roman"/>
          <w:color w:val="000000" w:themeColor="text1"/>
          <w:sz w:val="24"/>
        </w:rPr>
      </w:pPr>
      <w:r>
        <w:rPr>
          <w:rFonts w:cs="Times New Roman" w:hint="eastAsia"/>
          <w:color w:val="000000" w:themeColor="text1"/>
          <w:sz w:val="24"/>
        </w:rPr>
        <w:t>Ψ：径流系数，硬化地面（道路路面、人工建筑物屋顶等）的产流系数可取值</w:t>
      </w:r>
      <w:r>
        <w:rPr>
          <w:rFonts w:cs="Times New Roman" w:hint="eastAsia"/>
          <w:color w:val="000000" w:themeColor="text1"/>
          <w:sz w:val="24"/>
        </w:rPr>
        <w:t>0.9</w:t>
      </w:r>
      <w:r>
        <w:rPr>
          <w:rFonts w:cs="Times New Roman" w:hint="eastAsia"/>
          <w:color w:val="000000" w:themeColor="text1"/>
          <w:sz w:val="24"/>
        </w:rPr>
        <w:t>；</w:t>
      </w:r>
    </w:p>
    <w:p w:rsidR="00644456" w:rsidRDefault="008031C4">
      <w:pPr>
        <w:adjustRightInd w:val="0"/>
        <w:snapToGrid w:val="0"/>
        <w:spacing w:line="360" w:lineRule="auto"/>
        <w:ind w:firstLineChars="200" w:firstLine="480"/>
        <w:rPr>
          <w:rFonts w:cs="Times New Roman"/>
          <w:color w:val="000000" w:themeColor="text1"/>
          <w:sz w:val="24"/>
        </w:rPr>
      </w:pPr>
      <w:r>
        <w:rPr>
          <w:rFonts w:cs="Times New Roman" w:hint="eastAsia"/>
          <w:color w:val="000000" w:themeColor="text1"/>
          <w:sz w:val="24"/>
        </w:rPr>
        <w:t>S</w:t>
      </w:r>
      <w:r>
        <w:rPr>
          <w:rFonts w:cs="Times New Roman" w:hint="eastAsia"/>
          <w:color w:val="000000" w:themeColor="text1"/>
          <w:sz w:val="24"/>
        </w:rPr>
        <w:t>：汇水面积（</w:t>
      </w:r>
      <w:r>
        <w:rPr>
          <w:rFonts w:cs="Times New Roman" w:hint="eastAsia"/>
          <w:color w:val="000000" w:themeColor="text1"/>
          <w:sz w:val="24"/>
        </w:rPr>
        <w:t>hm</w:t>
      </w:r>
      <w:r>
        <w:rPr>
          <w:rFonts w:cs="Times New Roman" w:hint="eastAsia"/>
          <w:color w:val="000000" w:themeColor="text1"/>
          <w:sz w:val="24"/>
          <w:vertAlign w:val="superscript"/>
        </w:rPr>
        <w:t>2</w:t>
      </w:r>
      <w:r>
        <w:rPr>
          <w:rFonts w:cs="Times New Roman" w:hint="eastAsia"/>
          <w:color w:val="000000" w:themeColor="text1"/>
          <w:sz w:val="24"/>
        </w:rPr>
        <w:t>），取</w:t>
      </w:r>
      <w:r>
        <w:rPr>
          <w:rFonts w:cs="Times New Roman" w:hint="eastAsia"/>
          <w:color w:val="000000" w:themeColor="text1"/>
          <w:sz w:val="24"/>
        </w:rPr>
        <w:t>1.14hm</w:t>
      </w:r>
      <w:r>
        <w:rPr>
          <w:rFonts w:cs="Times New Roman" w:hint="eastAsia"/>
          <w:color w:val="000000" w:themeColor="text1"/>
          <w:sz w:val="24"/>
          <w:vertAlign w:val="superscript"/>
        </w:rPr>
        <w:t>2</w:t>
      </w:r>
      <w:r>
        <w:rPr>
          <w:rFonts w:cs="Times New Roman" w:hint="eastAsia"/>
          <w:color w:val="000000" w:themeColor="text1"/>
          <w:sz w:val="24"/>
        </w:rPr>
        <w:t>（取全厂占地面积）。</w:t>
      </w:r>
    </w:p>
    <w:p w:rsidR="00644456" w:rsidRDefault="008031C4">
      <w:pPr>
        <w:adjustRightInd w:val="0"/>
        <w:snapToGrid w:val="0"/>
        <w:spacing w:line="360" w:lineRule="auto"/>
        <w:ind w:firstLineChars="200" w:firstLine="480"/>
        <w:rPr>
          <w:rFonts w:cs="Times New Roman"/>
          <w:color w:val="000000" w:themeColor="text1"/>
          <w:sz w:val="24"/>
        </w:rPr>
      </w:pPr>
      <w:r>
        <w:rPr>
          <w:rFonts w:cs="Times New Roman" w:hint="eastAsia"/>
          <w:color w:val="000000" w:themeColor="text1"/>
          <w:sz w:val="24"/>
        </w:rPr>
        <w:t>Q</w:t>
      </w:r>
      <w:r>
        <w:rPr>
          <w:rFonts w:cs="Times New Roman" w:hint="eastAsia"/>
          <w:color w:val="000000" w:themeColor="text1"/>
          <w:sz w:val="24"/>
        </w:rPr>
        <w:t>——雨水流量，</w:t>
      </w:r>
      <w:r>
        <w:rPr>
          <w:rFonts w:cs="Times New Roman" w:hint="eastAsia"/>
          <w:color w:val="000000" w:themeColor="text1"/>
          <w:sz w:val="24"/>
        </w:rPr>
        <w:t>L/s</w:t>
      </w:r>
      <w:r>
        <w:rPr>
          <w:rFonts w:cs="Times New Roman" w:hint="eastAsia"/>
          <w:color w:val="000000" w:themeColor="text1"/>
          <w:sz w:val="24"/>
        </w:rPr>
        <w:t>。</w:t>
      </w:r>
    </w:p>
    <w:p w:rsidR="00644456" w:rsidRDefault="008031C4">
      <w:pPr>
        <w:adjustRightInd w:val="0"/>
        <w:snapToGrid w:val="0"/>
        <w:spacing w:line="360" w:lineRule="auto"/>
        <w:ind w:firstLineChars="200" w:firstLine="480"/>
        <w:rPr>
          <w:rFonts w:cs="Times New Roman"/>
          <w:color w:val="000000" w:themeColor="text1"/>
          <w:sz w:val="24"/>
        </w:rPr>
      </w:pPr>
      <w:r>
        <w:rPr>
          <w:rFonts w:cs="Times New Roman" w:hint="eastAsia"/>
          <w:color w:val="000000" w:themeColor="text1"/>
          <w:sz w:val="24"/>
        </w:rPr>
        <w:t>代入计算得暴雨强度</w:t>
      </w:r>
      <w:r>
        <w:rPr>
          <w:rFonts w:cs="Times New Roman" w:hint="eastAsia"/>
          <w:color w:val="000000" w:themeColor="text1"/>
          <w:sz w:val="24"/>
        </w:rPr>
        <w:t>q=148.77L/s</w:t>
      </w:r>
      <w:r>
        <w:rPr>
          <w:rFonts w:cs="Times New Roman" w:hint="eastAsia"/>
          <w:color w:val="000000" w:themeColor="text1"/>
          <w:sz w:val="24"/>
        </w:rPr>
        <w:t>·</w:t>
      </w:r>
      <w:r>
        <w:rPr>
          <w:rFonts w:cs="Times New Roman" w:hint="eastAsia"/>
          <w:color w:val="000000" w:themeColor="text1"/>
          <w:sz w:val="24"/>
        </w:rPr>
        <w:t>hm</w:t>
      </w:r>
      <w:r w:rsidRPr="001543E3">
        <w:rPr>
          <w:rFonts w:cs="Times New Roman" w:hint="eastAsia"/>
          <w:color w:val="000000" w:themeColor="text1"/>
          <w:sz w:val="24"/>
          <w:vertAlign w:val="superscript"/>
        </w:rPr>
        <w:t>2</w:t>
      </w:r>
      <w:r>
        <w:rPr>
          <w:rFonts w:cs="Times New Roman" w:hint="eastAsia"/>
          <w:color w:val="000000" w:themeColor="text1"/>
          <w:sz w:val="24"/>
        </w:rPr>
        <w:t>，根据收集面积计算得雨水流量</w:t>
      </w:r>
      <w:r>
        <w:rPr>
          <w:rFonts w:cs="Times New Roman" w:hint="eastAsia"/>
          <w:color w:val="000000" w:themeColor="text1"/>
          <w:sz w:val="24"/>
        </w:rPr>
        <w:t>Q</w:t>
      </w:r>
      <w:r>
        <w:rPr>
          <w:rFonts w:cs="Times New Roman" w:hint="eastAsia"/>
          <w:color w:val="000000" w:themeColor="text1"/>
          <w:sz w:val="24"/>
        </w:rPr>
        <w:t>为</w:t>
      </w:r>
      <w:r>
        <w:rPr>
          <w:rFonts w:cs="Times New Roman" w:hint="eastAsia"/>
          <w:color w:val="000000" w:themeColor="text1"/>
          <w:sz w:val="24"/>
        </w:rPr>
        <w:t>152.64L/s</w:t>
      </w:r>
      <w:r>
        <w:rPr>
          <w:rFonts w:cs="Times New Roman" w:hint="eastAsia"/>
          <w:color w:val="000000" w:themeColor="text1"/>
          <w:sz w:val="24"/>
        </w:rPr>
        <w:t>；初期雨水收集时间按</w:t>
      </w:r>
      <w:r>
        <w:rPr>
          <w:rFonts w:cs="Times New Roman" w:hint="eastAsia"/>
          <w:color w:val="000000" w:themeColor="text1"/>
          <w:sz w:val="24"/>
        </w:rPr>
        <w:t>15min</w:t>
      </w:r>
      <w:r>
        <w:rPr>
          <w:rFonts w:cs="Times New Roman" w:hint="eastAsia"/>
          <w:color w:val="000000" w:themeColor="text1"/>
          <w:sz w:val="24"/>
        </w:rPr>
        <w:t>算，则最大初期雨水收集量为</w:t>
      </w:r>
      <w:r>
        <w:rPr>
          <w:rFonts w:cs="Times New Roman" w:hint="eastAsia"/>
          <w:color w:val="000000" w:themeColor="text1"/>
          <w:sz w:val="24"/>
        </w:rPr>
        <w:t>137.37m</w:t>
      </w:r>
      <w:r w:rsidRPr="001543E3">
        <w:rPr>
          <w:rFonts w:cs="Times New Roman" w:hint="eastAsia"/>
          <w:color w:val="000000" w:themeColor="text1"/>
          <w:sz w:val="24"/>
          <w:vertAlign w:val="superscript"/>
        </w:rPr>
        <w:t>3</w:t>
      </w:r>
      <w:r>
        <w:rPr>
          <w:rFonts w:cs="Times New Roman" w:hint="eastAsia"/>
          <w:color w:val="000000" w:themeColor="text1"/>
          <w:sz w:val="24"/>
        </w:rPr>
        <w:t>。</w:t>
      </w:r>
    </w:p>
    <w:p w:rsidR="00644456" w:rsidRDefault="001543E3">
      <w:pPr>
        <w:pStyle w:val="1f7"/>
        <w:ind w:firstLine="482"/>
        <w:rPr>
          <w:rFonts w:ascii="宋体" w:hAnsi="宋体" w:cs="宋体"/>
          <w:b/>
          <w:bCs/>
        </w:rPr>
      </w:pPr>
      <w:r>
        <w:rPr>
          <w:rFonts w:ascii="宋体" w:hAnsi="宋体" w:cs="宋体" w:hint="eastAsia"/>
          <w:b/>
          <w:bCs/>
        </w:rPr>
        <w:t>参考</w:t>
      </w:r>
      <w:r w:rsidRPr="001543E3">
        <w:rPr>
          <w:rFonts w:ascii="宋体" w:hAnsi="宋体" w:cs="宋体" w:hint="eastAsia"/>
          <w:b/>
          <w:bCs/>
        </w:rPr>
        <w:t>喀什年雨天数平均为19天</w:t>
      </w:r>
      <w:r>
        <w:rPr>
          <w:rFonts w:ascii="宋体" w:hAnsi="宋体" w:cs="宋体" w:hint="eastAsia"/>
          <w:b/>
          <w:bCs/>
        </w:rPr>
        <w:t>，年初期雨水量为2</w:t>
      </w:r>
      <w:r>
        <w:rPr>
          <w:rFonts w:ascii="宋体" w:hAnsi="宋体" w:cs="宋体"/>
          <w:b/>
          <w:bCs/>
        </w:rPr>
        <w:t>610.03m</w:t>
      </w:r>
      <w:r w:rsidRPr="001543E3">
        <w:rPr>
          <w:rFonts w:ascii="宋体" w:hAnsi="宋体" w:cs="宋体"/>
          <w:b/>
          <w:bCs/>
          <w:vertAlign w:val="superscript"/>
        </w:rPr>
        <w:t>3</w:t>
      </w:r>
      <w:r>
        <w:rPr>
          <w:rFonts w:ascii="宋体" w:hAnsi="宋体" w:cs="宋体"/>
          <w:b/>
          <w:bCs/>
        </w:rPr>
        <w:t>/a</w:t>
      </w:r>
      <w:r>
        <w:rPr>
          <w:rFonts w:ascii="宋体" w:hAnsi="宋体" w:cs="宋体" w:hint="eastAsia"/>
          <w:b/>
          <w:bCs/>
        </w:rPr>
        <w:t>，</w:t>
      </w:r>
      <w:r w:rsidR="008031C4">
        <w:rPr>
          <w:rFonts w:ascii="宋体" w:hAnsi="宋体" w:cs="宋体" w:hint="eastAsia"/>
          <w:b/>
          <w:bCs/>
        </w:rPr>
        <w:t>废水中主要污染物为COD、石油类、氨氮等，送厂区污水处理系统。</w:t>
      </w:r>
    </w:p>
    <w:p w:rsidR="00644456" w:rsidRDefault="00644456">
      <w:bookmarkStart w:id="163" w:name="_Hlk160548256"/>
      <w:bookmarkStart w:id="164" w:name="_Hlk153452757"/>
      <w:bookmarkStart w:id="165" w:name="_Hlk148963852"/>
      <w:bookmarkEnd w:id="159"/>
    </w:p>
    <w:bookmarkEnd w:id="163"/>
    <w:bookmarkEnd w:id="164"/>
    <w:p w:rsidR="00644456" w:rsidRDefault="00644456">
      <w:pPr>
        <w:rPr>
          <w:color w:val="000000" w:themeColor="text1"/>
        </w:rPr>
      </w:pPr>
    </w:p>
    <w:p w:rsidR="00644456" w:rsidRDefault="00644456">
      <w:pPr>
        <w:rPr>
          <w:color w:val="000000" w:themeColor="text1"/>
        </w:rPr>
        <w:sectPr w:rsidR="00644456">
          <w:headerReference w:type="default" r:id="rId42"/>
          <w:pgSz w:w="11905" w:h="16838"/>
          <w:pgMar w:top="1440" w:right="1440" w:bottom="1440" w:left="1440" w:header="851" w:footer="992" w:gutter="0"/>
          <w:cols w:space="0"/>
        </w:sectPr>
      </w:pPr>
    </w:p>
    <w:p w:rsidR="00644456" w:rsidRDefault="008031C4">
      <w:pPr>
        <w:pStyle w:val="5"/>
        <w:numPr>
          <w:ilvl w:val="4"/>
          <w:numId w:val="0"/>
        </w:numPr>
        <w:ind w:firstLine="480"/>
        <w:rPr>
          <w:snapToGrid w:val="0"/>
          <w:color w:val="000000" w:themeColor="text1"/>
        </w:rPr>
      </w:pPr>
      <w:r>
        <w:rPr>
          <w:rFonts w:hint="eastAsia"/>
          <w:snapToGrid w:val="0"/>
          <w:color w:val="000000" w:themeColor="text1"/>
        </w:rPr>
        <w:lastRenderedPageBreak/>
        <w:t>2.5.2.2.4</w:t>
      </w:r>
      <w:r>
        <w:rPr>
          <w:rFonts w:hint="eastAsia"/>
          <w:snapToGrid w:val="0"/>
          <w:color w:val="000000" w:themeColor="text1"/>
        </w:rPr>
        <w:t>项目废水处理措施及效果</w:t>
      </w:r>
    </w:p>
    <w:p w:rsidR="00644456" w:rsidRDefault="008031C4">
      <w:pPr>
        <w:autoSpaceDE w:val="0"/>
        <w:autoSpaceDN w:val="0"/>
        <w:adjustRightInd w:val="0"/>
        <w:jc w:val="center"/>
        <w:rPr>
          <w:rFonts w:cs="Times New Roman"/>
          <w:b/>
          <w:color w:val="000000" w:themeColor="text1"/>
          <w:sz w:val="24"/>
          <w:szCs w:val="20"/>
        </w:rPr>
      </w:pPr>
      <w:bookmarkStart w:id="166" w:name="_Hlk160548238"/>
      <w:r>
        <w:rPr>
          <w:rFonts w:cs="Times New Roman" w:hint="eastAsia"/>
          <w:b/>
          <w:color w:val="000000" w:themeColor="text1"/>
          <w:sz w:val="24"/>
          <w:szCs w:val="20"/>
        </w:rPr>
        <w:t>表</w:t>
      </w:r>
      <w:r>
        <w:rPr>
          <w:rFonts w:cs="Times New Roman" w:hint="eastAsia"/>
          <w:b/>
          <w:color w:val="000000" w:themeColor="text1"/>
          <w:sz w:val="24"/>
          <w:szCs w:val="20"/>
        </w:rPr>
        <w:t>2.5-12</w:t>
      </w:r>
      <w:r>
        <w:rPr>
          <w:rFonts w:cs="Times New Roman" w:hint="eastAsia"/>
          <w:b/>
          <w:color w:val="000000" w:themeColor="text1"/>
          <w:sz w:val="24"/>
          <w:szCs w:val="20"/>
        </w:rPr>
        <w:t>本项目废水产生及排放情况一览表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01"/>
        <w:gridCol w:w="764"/>
        <w:gridCol w:w="898"/>
        <w:gridCol w:w="851"/>
        <w:gridCol w:w="792"/>
        <w:gridCol w:w="982"/>
        <w:gridCol w:w="1094"/>
        <w:gridCol w:w="985"/>
        <w:gridCol w:w="971"/>
        <w:gridCol w:w="976"/>
        <w:gridCol w:w="767"/>
        <w:gridCol w:w="1177"/>
        <w:gridCol w:w="971"/>
        <w:gridCol w:w="1110"/>
        <w:gridCol w:w="799"/>
      </w:tblGrid>
      <w:tr w:rsidR="00644456">
        <w:trPr>
          <w:trHeight w:val="340"/>
        </w:trPr>
        <w:tc>
          <w:tcPr>
            <w:tcW w:w="801" w:type="dxa"/>
            <w:vMerge w:val="restart"/>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bookmarkStart w:id="167" w:name="_Hlk177140270"/>
            <w:r>
              <w:rPr>
                <w:rFonts w:cs="Times New Roman"/>
                <w:color w:val="000000" w:themeColor="text1"/>
                <w:szCs w:val="21"/>
              </w:rPr>
              <w:t>工序</w:t>
            </w:r>
            <w:r>
              <w:rPr>
                <w:rFonts w:cs="Times New Roman"/>
                <w:color w:val="000000" w:themeColor="text1"/>
                <w:szCs w:val="21"/>
              </w:rPr>
              <w:t>/</w:t>
            </w:r>
          </w:p>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生产线</w:t>
            </w:r>
          </w:p>
        </w:tc>
        <w:tc>
          <w:tcPr>
            <w:tcW w:w="764" w:type="dxa"/>
            <w:vMerge w:val="restart"/>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装置</w:t>
            </w:r>
          </w:p>
        </w:tc>
        <w:tc>
          <w:tcPr>
            <w:tcW w:w="898" w:type="dxa"/>
            <w:vMerge w:val="restart"/>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污染源</w:t>
            </w:r>
          </w:p>
        </w:tc>
        <w:tc>
          <w:tcPr>
            <w:tcW w:w="851" w:type="dxa"/>
            <w:vMerge w:val="restart"/>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污染物</w:t>
            </w:r>
          </w:p>
        </w:tc>
        <w:tc>
          <w:tcPr>
            <w:tcW w:w="3853" w:type="dxa"/>
            <w:gridSpan w:val="4"/>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污染物产生</w:t>
            </w:r>
          </w:p>
        </w:tc>
        <w:tc>
          <w:tcPr>
            <w:tcW w:w="1947" w:type="dxa"/>
            <w:gridSpan w:val="2"/>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治理措施</w:t>
            </w:r>
          </w:p>
        </w:tc>
        <w:tc>
          <w:tcPr>
            <w:tcW w:w="4025" w:type="dxa"/>
            <w:gridSpan w:val="4"/>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污染物排放</w:t>
            </w:r>
          </w:p>
        </w:tc>
        <w:tc>
          <w:tcPr>
            <w:tcW w:w="799" w:type="dxa"/>
            <w:vMerge w:val="restart"/>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排放</w:t>
            </w:r>
          </w:p>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时间</w:t>
            </w:r>
            <w:r>
              <w:rPr>
                <w:rFonts w:cs="Times New Roman" w:hint="eastAsia"/>
                <w:color w:val="000000" w:themeColor="text1"/>
                <w:szCs w:val="21"/>
              </w:rPr>
              <w:t>（</w:t>
            </w:r>
            <w:r>
              <w:rPr>
                <w:rFonts w:cs="Times New Roman"/>
                <w:color w:val="000000" w:themeColor="text1"/>
                <w:szCs w:val="21"/>
              </w:rPr>
              <w:t>h</w:t>
            </w:r>
            <w:r>
              <w:rPr>
                <w:rFonts w:cs="Times New Roman" w:hint="eastAsia"/>
                <w:color w:val="000000" w:themeColor="text1"/>
                <w:szCs w:val="21"/>
              </w:rPr>
              <w:t>）</w:t>
            </w:r>
          </w:p>
        </w:tc>
      </w:tr>
      <w:tr w:rsidR="00644456">
        <w:trPr>
          <w:trHeight w:val="340"/>
        </w:trPr>
        <w:tc>
          <w:tcPr>
            <w:tcW w:w="801"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764"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898"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851"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792"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核算</w:t>
            </w:r>
          </w:p>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方法</w:t>
            </w:r>
          </w:p>
        </w:tc>
        <w:tc>
          <w:tcPr>
            <w:tcW w:w="982"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产生废水量</w:t>
            </w:r>
            <w:r>
              <w:rPr>
                <w:rFonts w:cs="Times New Roman" w:hint="eastAsia"/>
                <w:color w:val="000000" w:themeColor="text1"/>
                <w:szCs w:val="21"/>
              </w:rPr>
              <w:t>（</w:t>
            </w:r>
            <w:r>
              <w:rPr>
                <w:rFonts w:cs="Times New Roman"/>
                <w:color w:val="000000" w:themeColor="text1"/>
                <w:szCs w:val="21"/>
              </w:rPr>
              <w:t>m3/a</w:t>
            </w:r>
            <w:r>
              <w:rPr>
                <w:rFonts w:cs="Times New Roman"/>
                <w:color w:val="000000" w:themeColor="text1"/>
                <w:szCs w:val="21"/>
              </w:rPr>
              <w:t>）</w:t>
            </w:r>
          </w:p>
        </w:tc>
        <w:tc>
          <w:tcPr>
            <w:tcW w:w="1094"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产生浓度</w:t>
            </w:r>
            <w:r>
              <w:rPr>
                <w:rFonts w:cs="Times New Roman" w:hint="eastAsia"/>
                <w:color w:val="000000" w:themeColor="text1"/>
                <w:szCs w:val="21"/>
              </w:rPr>
              <w:t>（</w:t>
            </w:r>
            <w:r>
              <w:rPr>
                <w:rFonts w:cs="Times New Roman"/>
                <w:color w:val="000000" w:themeColor="text1"/>
                <w:szCs w:val="21"/>
              </w:rPr>
              <w:t>mg/L</w:t>
            </w:r>
            <w:r>
              <w:rPr>
                <w:rFonts w:cs="Times New Roman" w:hint="eastAsia"/>
                <w:color w:val="000000" w:themeColor="text1"/>
                <w:szCs w:val="21"/>
              </w:rPr>
              <w:t>）</w:t>
            </w:r>
          </w:p>
        </w:tc>
        <w:tc>
          <w:tcPr>
            <w:tcW w:w="985"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产生量</w:t>
            </w:r>
            <w:r>
              <w:rPr>
                <w:rFonts w:cs="Times New Roman" w:hint="eastAsia"/>
                <w:color w:val="000000" w:themeColor="text1"/>
                <w:szCs w:val="21"/>
              </w:rPr>
              <w:t>（</w:t>
            </w:r>
            <w:r>
              <w:rPr>
                <w:rFonts w:cs="Times New Roman"/>
                <w:color w:val="000000" w:themeColor="text1"/>
                <w:szCs w:val="21"/>
              </w:rPr>
              <w:t>t/a</w:t>
            </w:r>
            <w:r>
              <w:rPr>
                <w:rFonts w:cs="Times New Roman" w:hint="eastAsia"/>
                <w:color w:val="000000" w:themeColor="text1"/>
                <w:szCs w:val="21"/>
              </w:rPr>
              <w:t>）</w:t>
            </w:r>
          </w:p>
        </w:tc>
        <w:tc>
          <w:tcPr>
            <w:tcW w:w="97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工艺</w:t>
            </w:r>
          </w:p>
        </w:tc>
        <w:tc>
          <w:tcPr>
            <w:tcW w:w="976"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效率</w:t>
            </w:r>
            <w:r>
              <w:rPr>
                <w:rFonts w:cs="Times New Roman"/>
                <w:color w:val="000000" w:themeColor="text1"/>
                <w:szCs w:val="21"/>
              </w:rPr>
              <w:t>%</w:t>
            </w:r>
          </w:p>
        </w:tc>
        <w:tc>
          <w:tcPr>
            <w:tcW w:w="767"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核算</w:t>
            </w:r>
          </w:p>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方法</w:t>
            </w:r>
          </w:p>
        </w:tc>
        <w:tc>
          <w:tcPr>
            <w:tcW w:w="1177"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排放废水量</w:t>
            </w:r>
            <w:r>
              <w:rPr>
                <w:rFonts w:cs="Times New Roman" w:hint="eastAsia"/>
                <w:color w:val="000000" w:themeColor="text1"/>
                <w:szCs w:val="21"/>
              </w:rPr>
              <w:t>（</w:t>
            </w:r>
            <w:r>
              <w:rPr>
                <w:rFonts w:cs="Times New Roman"/>
                <w:color w:val="000000" w:themeColor="text1"/>
                <w:szCs w:val="21"/>
              </w:rPr>
              <w:t>m3/a</w:t>
            </w:r>
            <w:r>
              <w:rPr>
                <w:rFonts w:cs="Times New Roman"/>
                <w:color w:val="000000" w:themeColor="text1"/>
                <w:szCs w:val="21"/>
              </w:rPr>
              <w:t>）</w:t>
            </w:r>
          </w:p>
        </w:tc>
        <w:tc>
          <w:tcPr>
            <w:tcW w:w="97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排放浓度</w:t>
            </w:r>
            <w:r>
              <w:rPr>
                <w:rFonts w:cs="Times New Roman" w:hint="eastAsia"/>
                <w:color w:val="000000" w:themeColor="text1"/>
                <w:szCs w:val="21"/>
              </w:rPr>
              <w:t>（</w:t>
            </w:r>
            <w:r>
              <w:rPr>
                <w:rFonts w:cs="Times New Roman"/>
                <w:color w:val="000000" w:themeColor="text1"/>
                <w:szCs w:val="21"/>
              </w:rPr>
              <w:t>mg/L</w:t>
            </w:r>
            <w:r>
              <w:rPr>
                <w:rFonts w:cs="Times New Roman" w:hint="eastAsia"/>
                <w:color w:val="000000" w:themeColor="text1"/>
                <w:szCs w:val="21"/>
              </w:rPr>
              <w:t>）</w:t>
            </w:r>
          </w:p>
        </w:tc>
        <w:tc>
          <w:tcPr>
            <w:tcW w:w="1110"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排放量</w:t>
            </w:r>
            <w:r>
              <w:rPr>
                <w:rFonts w:cs="Times New Roman" w:hint="eastAsia"/>
                <w:color w:val="000000" w:themeColor="text1"/>
                <w:szCs w:val="21"/>
              </w:rPr>
              <w:t>（</w:t>
            </w:r>
            <w:r>
              <w:rPr>
                <w:rFonts w:cs="Times New Roman"/>
                <w:color w:val="000000" w:themeColor="text1"/>
                <w:szCs w:val="21"/>
              </w:rPr>
              <w:t>t/a</w:t>
            </w:r>
            <w:r>
              <w:rPr>
                <w:rFonts w:cs="Times New Roman" w:hint="eastAsia"/>
                <w:color w:val="000000" w:themeColor="text1"/>
                <w:szCs w:val="21"/>
              </w:rPr>
              <w:t>）</w:t>
            </w:r>
          </w:p>
        </w:tc>
        <w:tc>
          <w:tcPr>
            <w:tcW w:w="799"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r>
      <w:tr w:rsidR="00644456">
        <w:trPr>
          <w:trHeight w:val="340"/>
        </w:trPr>
        <w:tc>
          <w:tcPr>
            <w:tcW w:w="801" w:type="dxa"/>
            <w:vMerge w:val="restart"/>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生产区</w:t>
            </w:r>
          </w:p>
        </w:tc>
        <w:tc>
          <w:tcPr>
            <w:tcW w:w="764" w:type="dxa"/>
            <w:vMerge w:val="restart"/>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蒸馏装置等</w:t>
            </w:r>
          </w:p>
        </w:tc>
        <w:tc>
          <w:tcPr>
            <w:tcW w:w="898" w:type="dxa"/>
            <w:vMerge w:val="restart"/>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生产</w:t>
            </w:r>
          </w:p>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废水</w:t>
            </w:r>
          </w:p>
        </w:tc>
        <w:tc>
          <w:tcPr>
            <w:tcW w:w="85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COD</w:t>
            </w:r>
          </w:p>
        </w:tc>
        <w:tc>
          <w:tcPr>
            <w:tcW w:w="792" w:type="dxa"/>
            <w:vMerge w:val="restart"/>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类比</w:t>
            </w:r>
          </w:p>
        </w:tc>
        <w:tc>
          <w:tcPr>
            <w:tcW w:w="982" w:type="dxa"/>
            <w:vMerge w:val="restart"/>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3097.23</w:t>
            </w:r>
          </w:p>
        </w:tc>
        <w:tc>
          <w:tcPr>
            <w:tcW w:w="1094"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4.76×10</w:t>
            </w:r>
            <w:r>
              <w:rPr>
                <w:rFonts w:cs="Times New Roman"/>
                <w:color w:val="000000" w:themeColor="text1"/>
                <w:szCs w:val="21"/>
                <w:vertAlign w:val="superscript"/>
              </w:rPr>
              <w:t>4</w:t>
            </w:r>
          </w:p>
        </w:tc>
        <w:tc>
          <w:tcPr>
            <w:tcW w:w="985"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hint="eastAsia"/>
                <w:color w:val="000000" w:themeColor="text1"/>
                <w:szCs w:val="21"/>
              </w:rPr>
              <w:t>147.428</w:t>
            </w:r>
          </w:p>
        </w:tc>
        <w:tc>
          <w:tcPr>
            <w:tcW w:w="971" w:type="dxa"/>
            <w:vMerge w:val="restart"/>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预处理（电解气浮）</w:t>
            </w:r>
            <w:r>
              <w:rPr>
                <w:rFonts w:cs="Times New Roman"/>
                <w:color w:val="000000" w:themeColor="text1"/>
                <w:szCs w:val="21"/>
              </w:rPr>
              <w:t>+</w:t>
            </w:r>
            <w:r>
              <w:rPr>
                <w:rFonts w:cs="Times New Roman"/>
                <w:color w:val="000000" w:themeColor="text1"/>
                <w:szCs w:val="21"/>
              </w:rPr>
              <w:t>生化处理</w:t>
            </w:r>
            <w:r>
              <w:rPr>
                <w:rFonts w:cs="Times New Roman"/>
                <w:color w:val="000000" w:themeColor="text1"/>
                <w:szCs w:val="21"/>
              </w:rPr>
              <w:t>A2O</w:t>
            </w:r>
          </w:p>
        </w:tc>
        <w:tc>
          <w:tcPr>
            <w:tcW w:w="976"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99</w:t>
            </w:r>
          </w:p>
        </w:tc>
        <w:tc>
          <w:tcPr>
            <w:tcW w:w="767" w:type="dxa"/>
            <w:vMerge w:val="restart"/>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类比</w:t>
            </w:r>
          </w:p>
        </w:tc>
        <w:tc>
          <w:tcPr>
            <w:tcW w:w="1177" w:type="dxa"/>
            <w:vMerge w:val="restart"/>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3097.23</w:t>
            </w:r>
          </w:p>
        </w:tc>
        <w:tc>
          <w:tcPr>
            <w:tcW w:w="97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476.00</w:t>
            </w:r>
          </w:p>
        </w:tc>
        <w:tc>
          <w:tcPr>
            <w:tcW w:w="1110"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hint="eastAsia"/>
                <w:color w:val="000000" w:themeColor="text1"/>
                <w:szCs w:val="21"/>
              </w:rPr>
              <w:t>1.474</w:t>
            </w:r>
          </w:p>
        </w:tc>
        <w:tc>
          <w:tcPr>
            <w:tcW w:w="799" w:type="dxa"/>
            <w:vMerge w:val="restart"/>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7200</w:t>
            </w:r>
          </w:p>
        </w:tc>
      </w:tr>
      <w:tr w:rsidR="00644456">
        <w:trPr>
          <w:trHeight w:val="340"/>
        </w:trPr>
        <w:tc>
          <w:tcPr>
            <w:tcW w:w="801"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764"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898"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85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NH</w:t>
            </w:r>
            <w:r w:rsidRPr="00721BEC">
              <w:rPr>
                <w:rFonts w:cs="Times New Roman"/>
                <w:color w:val="000000" w:themeColor="text1"/>
                <w:szCs w:val="21"/>
                <w:vertAlign w:val="subscript"/>
              </w:rPr>
              <w:t>3</w:t>
            </w:r>
            <w:r>
              <w:rPr>
                <w:rFonts w:cs="Times New Roman"/>
                <w:color w:val="000000" w:themeColor="text1"/>
                <w:szCs w:val="21"/>
              </w:rPr>
              <w:t>-N</w:t>
            </w:r>
          </w:p>
        </w:tc>
        <w:tc>
          <w:tcPr>
            <w:tcW w:w="792"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82"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094"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561</w:t>
            </w:r>
          </w:p>
        </w:tc>
        <w:tc>
          <w:tcPr>
            <w:tcW w:w="985"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hint="eastAsia"/>
                <w:color w:val="000000" w:themeColor="text1"/>
                <w:szCs w:val="21"/>
              </w:rPr>
              <w:t>1.738</w:t>
            </w:r>
          </w:p>
        </w:tc>
        <w:tc>
          <w:tcPr>
            <w:tcW w:w="971"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76"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95</w:t>
            </w:r>
          </w:p>
        </w:tc>
        <w:tc>
          <w:tcPr>
            <w:tcW w:w="767"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177"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7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28.05</w:t>
            </w:r>
          </w:p>
        </w:tc>
        <w:tc>
          <w:tcPr>
            <w:tcW w:w="1110"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hint="eastAsia"/>
                <w:color w:val="000000" w:themeColor="text1"/>
                <w:szCs w:val="21"/>
              </w:rPr>
              <w:t>0.087</w:t>
            </w:r>
          </w:p>
        </w:tc>
        <w:tc>
          <w:tcPr>
            <w:tcW w:w="799"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r>
      <w:tr w:rsidR="00644456">
        <w:trPr>
          <w:trHeight w:val="340"/>
        </w:trPr>
        <w:tc>
          <w:tcPr>
            <w:tcW w:w="801"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764"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898"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85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石油类</w:t>
            </w:r>
          </w:p>
        </w:tc>
        <w:tc>
          <w:tcPr>
            <w:tcW w:w="792"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82"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094"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35.6</w:t>
            </w:r>
          </w:p>
        </w:tc>
        <w:tc>
          <w:tcPr>
            <w:tcW w:w="985"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hint="eastAsia"/>
                <w:color w:val="000000" w:themeColor="text1"/>
                <w:szCs w:val="21"/>
              </w:rPr>
              <w:t>0.110</w:t>
            </w:r>
          </w:p>
        </w:tc>
        <w:tc>
          <w:tcPr>
            <w:tcW w:w="971"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76"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95</w:t>
            </w:r>
          </w:p>
        </w:tc>
        <w:tc>
          <w:tcPr>
            <w:tcW w:w="767"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177"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7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1.78</w:t>
            </w:r>
          </w:p>
        </w:tc>
        <w:tc>
          <w:tcPr>
            <w:tcW w:w="1110"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hint="eastAsia"/>
                <w:color w:val="000000" w:themeColor="text1"/>
                <w:szCs w:val="21"/>
              </w:rPr>
              <w:t>0.006</w:t>
            </w:r>
          </w:p>
        </w:tc>
        <w:tc>
          <w:tcPr>
            <w:tcW w:w="799"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r>
      <w:tr w:rsidR="00644456">
        <w:trPr>
          <w:trHeight w:val="340"/>
        </w:trPr>
        <w:tc>
          <w:tcPr>
            <w:tcW w:w="801"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764"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898"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85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BOD</w:t>
            </w:r>
            <w:r w:rsidRPr="00721BEC">
              <w:rPr>
                <w:rFonts w:cs="Times New Roman"/>
                <w:color w:val="000000" w:themeColor="text1"/>
                <w:szCs w:val="21"/>
                <w:vertAlign w:val="subscript"/>
              </w:rPr>
              <w:t>5</w:t>
            </w:r>
          </w:p>
        </w:tc>
        <w:tc>
          <w:tcPr>
            <w:tcW w:w="792"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82"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094"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5.7×10</w:t>
            </w:r>
            <w:r>
              <w:rPr>
                <w:rFonts w:cs="Times New Roman"/>
                <w:color w:val="000000" w:themeColor="text1"/>
                <w:szCs w:val="21"/>
                <w:vertAlign w:val="superscript"/>
              </w:rPr>
              <w:t>3</w:t>
            </w:r>
          </w:p>
        </w:tc>
        <w:tc>
          <w:tcPr>
            <w:tcW w:w="985"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hint="eastAsia"/>
                <w:color w:val="000000" w:themeColor="text1"/>
                <w:szCs w:val="21"/>
              </w:rPr>
              <w:t>17.654</w:t>
            </w:r>
          </w:p>
        </w:tc>
        <w:tc>
          <w:tcPr>
            <w:tcW w:w="971"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76"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95</w:t>
            </w:r>
          </w:p>
        </w:tc>
        <w:tc>
          <w:tcPr>
            <w:tcW w:w="767"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177"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7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285.00</w:t>
            </w:r>
          </w:p>
        </w:tc>
        <w:tc>
          <w:tcPr>
            <w:tcW w:w="1110"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hint="eastAsia"/>
                <w:color w:val="000000" w:themeColor="text1"/>
                <w:szCs w:val="21"/>
              </w:rPr>
              <w:t>0.883</w:t>
            </w:r>
          </w:p>
        </w:tc>
        <w:tc>
          <w:tcPr>
            <w:tcW w:w="799"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r>
      <w:tr w:rsidR="00644456">
        <w:trPr>
          <w:trHeight w:val="340"/>
        </w:trPr>
        <w:tc>
          <w:tcPr>
            <w:tcW w:w="801"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764"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898"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85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硫化物</w:t>
            </w:r>
          </w:p>
        </w:tc>
        <w:tc>
          <w:tcPr>
            <w:tcW w:w="792"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82"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094"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0.326</w:t>
            </w:r>
          </w:p>
        </w:tc>
        <w:tc>
          <w:tcPr>
            <w:tcW w:w="985"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hint="eastAsia"/>
                <w:color w:val="000000" w:themeColor="text1"/>
                <w:szCs w:val="21"/>
              </w:rPr>
              <w:t>0.001</w:t>
            </w:r>
          </w:p>
        </w:tc>
        <w:tc>
          <w:tcPr>
            <w:tcW w:w="971"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76"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90</w:t>
            </w:r>
          </w:p>
        </w:tc>
        <w:tc>
          <w:tcPr>
            <w:tcW w:w="767"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177"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7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0.0326</w:t>
            </w:r>
          </w:p>
        </w:tc>
        <w:tc>
          <w:tcPr>
            <w:tcW w:w="1110"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hint="eastAsia"/>
                <w:color w:val="000000" w:themeColor="text1"/>
                <w:szCs w:val="21"/>
              </w:rPr>
              <w:t>0.0001</w:t>
            </w:r>
          </w:p>
        </w:tc>
        <w:tc>
          <w:tcPr>
            <w:tcW w:w="799"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r>
      <w:tr w:rsidR="00644456">
        <w:trPr>
          <w:trHeight w:val="340"/>
        </w:trPr>
        <w:tc>
          <w:tcPr>
            <w:tcW w:w="801"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764"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898"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85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SS</w:t>
            </w:r>
          </w:p>
        </w:tc>
        <w:tc>
          <w:tcPr>
            <w:tcW w:w="792"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82"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094"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74</w:t>
            </w:r>
          </w:p>
        </w:tc>
        <w:tc>
          <w:tcPr>
            <w:tcW w:w="985"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hint="eastAsia"/>
                <w:color w:val="000000" w:themeColor="text1"/>
                <w:szCs w:val="21"/>
              </w:rPr>
              <w:t>0.229</w:t>
            </w:r>
          </w:p>
        </w:tc>
        <w:tc>
          <w:tcPr>
            <w:tcW w:w="971"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76"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90</w:t>
            </w:r>
          </w:p>
        </w:tc>
        <w:tc>
          <w:tcPr>
            <w:tcW w:w="767"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177"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7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7.40</w:t>
            </w:r>
          </w:p>
        </w:tc>
        <w:tc>
          <w:tcPr>
            <w:tcW w:w="1110"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hint="eastAsia"/>
                <w:color w:val="000000" w:themeColor="text1"/>
                <w:szCs w:val="21"/>
              </w:rPr>
              <w:t>0.023</w:t>
            </w:r>
          </w:p>
        </w:tc>
        <w:tc>
          <w:tcPr>
            <w:tcW w:w="799"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r>
      <w:tr w:rsidR="00644456">
        <w:trPr>
          <w:trHeight w:val="340"/>
        </w:trPr>
        <w:tc>
          <w:tcPr>
            <w:tcW w:w="801"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764"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898"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85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pH</w:t>
            </w:r>
          </w:p>
        </w:tc>
        <w:tc>
          <w:tcPr>
            <w:tcW w:w="792"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82"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094"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7.1-7.9</w:t>
            </w:r>
          </w:p>
        </w:tc>
        <w:tc>
          <w:tcPr>
            <w:tcW w:w="985"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hint="eastAsia"/>
                <w:color w:val="000000" w:themeColor="text1"/>
                <w:szCs w:val="21"/>
              </w:rPr>
              <w:t>/</w:t>
            </w:r>
          </w:p>
        </w:tc>
        <w:tc>
          <w:tcPr>
            <w:tcW w:w="971"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76"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w:t>
            </w:r>
          </w:p>
        </w:tc>
        <w:tc>
          <w:tcPr>
            <w:tcW w:w="767"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177"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7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7.1-7.9</w:t>
            </w:r>
          </w:p>
        </w:tc>
        <w:tc>
          <w:tcPr>
            <w:tcW w:w="1110"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w:t>
            </w:r>
          </w:p>
        </w:tc>
        <w:tc>
          <w:tcPr>
            <w:tcW w:w="799"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r>
      <w:tr w:rsidR="00644456">
        <w:trPr>
          <w:trHeight w:val="340"/>
        </w:trPr>
        <w:tc>
          <w:tcPr>
            <w:tcW w:w="801"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764"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898"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85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总氮</w:t>
            </w:r>
          </w:p>
        </w:tc>
        <w:tc>
          <w:tcPr>
            <w:tcW w:w="792"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系数法</w:t>
            </w:r>
          </w:p>
        </w:tc>
        <w:tc>
          <w:tcPr>
            <w:tcW w:w="982"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094"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1.1×10</w:t>
            </w:r>
            <w:r>
              <w:rPr>
                <w:rFonts w:cs="Times New Roman"/>
                <w:color w:val="000000" w:themeColor="text1"/>
                <w:szCs w:val="21"/>
                <w:vertAlign w:val="superscript"/>
              </w:rPr>
              <w:t>3</w:t>
            </w:r>
          </w:p>
        </w:tc>
        <w:tc>
          <w:tcPr>
            <w:tcW w:w="985"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hint="eastAsia"/>
                <w:color w:val="000000" w:themeColor="text1"/>
                <w:szCs w:val="21"/>
              </w:rPr>
              <w:t>3.407</w:t>
            </w:r>
          </w:p>
        </w:tc>
        <w:tc>
          <w:tcPr>
            <w:tcW w:w="971"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76"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95</w:t>
            </w:r>
          </w:p>
        </w:tc>
        <w:tc>
          <w:tcPr>
            <w:tcW w:w="767"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系数法</w:t>
            </w:r>
          </w:p>
        </w:tc>
        <w:tc>
          <w:tcPr>
            <w:tcW w:w="1177"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7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55.00</w:t>
            </w:r>
          </w:p>
        </w:tc>
        <w:tc>
          <w:tcPr>
            <w:tcW w:w="1110"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hint="eastAsia"/>
                <w:color w:val="000000" w:themeColor="text1"/>
                <w:szCs w:val="21"/>
              </w:rPr>
              <w:t>0.170</w:t>
            </w:r>
          </w:p>
        </w:tc>
        <w:tc>
          <w:tcPr>
            <w:tcW w:w="799"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r>
      <w:tr w:rsidR="00644456">
        <w:trPr>
          <w:trHeight w:val="340"/>
        </w:trPr>
        <w:tc>
          <w:tcPr>
            <w:tcW w:w="801" w:type="dxa"/>
            <w:vMerge w:val="restart"/>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生活区</w:t>
            </w:r>
          </w:p>
        </w:tc>
        <w:tc>
          <w:tcPr>
            <w:tcW w:w="764" w:type="dxa"/>
            <w:vMerge w:val="restart"/>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职工</w:t>
            </w:r>
          </w:p>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生活</w:t>
            </w:r>
          </w:p>
        </w:tc>
        <w:tc>
          <w:tcPr>
            <w:tcW w:w="898" w:type="dxa"/>
            <w:vMerge w:val="restart"/>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生活</w:t>
            </w:r>
          </w:p>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污水</w:t>
            </w:r>
          </w:p>
        </w:tc>
        <w:tc>
          <w:tcPr>
            <w:tcW w:w="85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SS</w:t>
            </w:r>
          </w:p>
        </w:tc>
        <w:tc>
          <w:tcPr>
            <w:tcW w:w="792" w:type="dxa"/>
            <w:vMerge w:val="restart"/>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类比</w:t>
            </w:r>
          </w:p>
        </w:tc>
        <w:tc>
          <w:tcPr>
            <w:tcW w:w="982" w:type="dxa"/>
            <w:vMerge w:val="restart"/>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1224</w:t>
            </w:r>
          </w:p>
        </w:tc>
        <w:tc>
          <w:tcPr>
            <w:tcW w:w="1094"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200</w:t>
            </w:r>
          </w:p>
        </w:tc>
        <w:tc>
          <w:tcPr>
            <w:tcW w:w="985"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hint="eastAsia"/>
                <w:color w:val="000000" w:themeColor="text1"/>
                <w:szCs w:val="21"/>
              </w:rPr>
              <w:t>0.619</w:t>
            </w:r>
          </w:p>
        </w:tc>
        <w:tc>
          <w:tcPr>
            <w:tcW w:w="971" w:type="dxa"/>
            <w:vMerge w:val="restart"/>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化粪池</w:t>
            </w:r>
          </w:p>
        </w:tc>
        <w:tc>
          <w:tcPr>
            <w:tcW w:w="976"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w:t>
            </w:r>
          </w:p>
        </w:tc>
        <w:tc>
          <w:tcPr>
            <w:tcW w:w="767" w:type="dxa"/>
            <w:vMerge w:val="restart"/>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类比</w:t>
            </w:r>
          </w:p>
        </w:tc>
        <w:tc>
          <w:tcPr>
            <w:tcW w:w="1177" w:type="dxa"/>
            <w:vMerge w:val="restart"/>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1224</w:t>
            </w:r>
          </w:p>
        </w:tc>
        <w:tc>
          <w:tcPr>
            <w:tcW w:w="97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200</w:t>
            </w:r>
          </w:p>
        </w:tc>
        <w:tc>
          <w:tcPr>
            <w:tcW w:w="1110"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hint="eastAsia"/>
                <w:color w:val="000000" w:themeColor="text1"/>
                <w:szCs w:val="21"/>
              </w:rPr>
              <w:t>0.619</w:t>
            </w:r>
          </w:p>
        </w:tc>
        <w:tc>
          <w:tcPr>
            <w:tcW w:w="799" w:type="dxa"/>
            <w:vMerge w:val="restart"/>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7200</w:t>
            </w:r>
          </w:p>
        </w:tc>
      </w:tr>
      <w:tr w:rsidR="00644456">
        <w:trPr>
          <w:trHeight w:val="340"/>
        </w:trPr>
        <w:tc>
          <w:tcPr>
            <w:tcW w:w="801"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764"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898"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85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COD</w:t>
            </w:r>
          </w:p>
        </w:tc>
        <w:tc>
          <w:tcPr>
            <w:tcW w:w="792"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82"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094"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450</w:t>
            </w:r>
          </w:p>
        </w:tc>
        <w:tc>
          <w:tcPr>
            <w:tcW w:w="985"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hint="eastAsia"/>
                <w:color w:val="000000" w:themeColor="text1"/>
                <w:szCs w:val="21"/>
              </w:rPr>
              <w:t>1.394</w:t>
            </w:r>
          </w:p>
        </w:tc>
        <w:tc>
          <w:tcPr>
            <w:tcW w:w="971"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76"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w:t>
            </w:r>
          </w:p>
        </w:tc>
        <w:tc>
          <w:tcPr>
            <w:tcW w:w="767"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177"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7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450</w:t>
            </w:r>
          </w:p>
        </w:tc>
        <w:tc>
          <w:tcPr>
            <w:tcW w:w="1110"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hint="eastAsia"/>
                <w:color w:val="000000" w:themeColor="text1"/>
                <w:szCs w:val="21"/>
              </w:rPr>
              <w:t>1.394</w:t>
            </w:r>
          </w:p>
        </w:tc>
        <w:tc>
          <w:tcPr>
            <w:tcW w:w="799" w:type="dxa"/>
            <w:vMerge/>
            <w:shd w:val="clear" w:color="auto" w:fill="auto"/>
            <w:vAlign w:val="center"/>
          </w:tcPr>
          <w:p w:rsidR="00644456" w:rsidRDefault="00644456">
            <w:pPr>
              <w:jc w:val="center"/>
              <w:rPr>
                <w:color w:val="000000" w:themeColor="text1"/>
                <w:szCs w:val="16"/>
              </w:rPr>
            </w:pPr>
          </w:p>
        </w:tc>
      </w:tr>
      <w:tr w:rsidR="00644456">
        <w:trPr>
          <w:trHeight w:val="340"/>
        </w:trPr>
        <w:tc>
          <w:tcPr>
            <w:tcW w:w="801"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764"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898"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85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BOD</w:t>
            </w:r>
            <w:r w:rsidRPr="00721BEC">
              <w:rPr>
                <w:rFonts w:cs="Times New Roman"/>
                <w:color w:val="000000" w:themeColor="text1"/>
                <w:szCs w:val="21"/>
                <w:vertAlign w:val="subscript"/>
              </w:rPr>
              <w:t>5</w:t>
            </w:r>
          </w:p>
        </w:tc>
        <w:tc>
          <w:tcPr>
            <w:tcW w:w="792"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82"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094"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300</w:t>
            </w:r>
          </w:p>
        </w:tc>
        <w:tc>
          <w:tcPr>
            <w:tcW w:w="985"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hint="eastAsia"/>
                <w:color w:val="000000" w:themeColor="text1"/>
                <w:szCs w:val="21"/>
              </w:rPr>
              <w:t>0.929</w:t>
            </w:r>
          </w:p>
        </w:tc>
        <w:tc>
          <w:tcPr>
            <w:tcW w:w="971"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76"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w:t>
            </w:r>
          </w:p>
        </w:tc>
        <w:tc>
          <w:tcPr>
            <w:tcW w:w="767"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177"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7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300</w:t>
            </w:r>
          </w:p>
        </w:tc>
        <w:tc>
          <w:tcPr>
            <w:tcW w:w="1110"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hint="eastAsia"/>
                <w:color w:val="000000" w:themeColor="text1"/>
                <w:szCs w:val="21"/>
              </w:rPr>
              <w:t>0.929</w:t>
            </w:r>
          </w:p>
        </w:tc>
        <w:tc>
          <w:tcPr>
            <w:tcW w:w="799" w:type="dxa"/>
            <w:vMerge/>
            <w:shd w:val="clear" w:color="auto" w:fill="auto"/>
            <w:vAlign w:val="center"/>
          </w:tcPr>
          <w:p w:rsidR="00644456" w:rsidRDefault="00644456">
            <w:pPr>
              <w:jc w:val="center"/>
              <w:rPr>
                <w:color w:val="000000" w:themeColor="text1"/>
                <w:szCs w:val="16"/>
              </w:rPr>
            </w:pPr>
          </w:p>
        </w:tc>
      </w:tr>
      <w:tr w:rsidR="00644456">
        <w:trPr>
          <w:trHeight w:val="340"/>
        </w:trPr>
        <w:tc>
          <w:tcPr>
            <w:tcW w:w="801"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764"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898"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85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NH</w:t>
            </w:r>
            <w:r w:rsidRPr="00721BEC">
              <w:rPr>
                <w:rFonts w:cs="Times New Roman"/>
                <w:color w:val="000000" w:themeColor="text1"/>
                <w:szCs w:val="21"/>
                <w:vertAlign w:val="subscript"/>
              </w:rPr>
              <w:t>3</w:t>
            </w:r>
            <w:r>
              <w:rPr>
                <w:rFonts w:cs="Times New Roman"/>
                <w:color w:val="000000" w:themeColor="text1"/>
                <w:szCs w:val="21"/>
              </w:rPr>
              <w:t>-N</w:t>
            </w:r>
          </w:p>
        </w:tc>
        <w:tc>
          <w:tcPr>
            <w:tcW w:w="792"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82"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094"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35</w:t>
            </w:r>
          </w:p>
        </w:tc>
        <w:tc>
          <w:tcPr>
            <w:tcW w:w="985"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hint="eastAsia"/>
                <w:color w:val="000000" w:themeColor="text1"/>
                <w:szCs w:val="21"/>
              </w:rPr>
              <w:t>0.108</w:t>
            </w:r>
          </w:p>
        </w:tc>
        <w:tc>
          <w:tcPr>
            <w:tcW w:w="971"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76"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w:t>
            </w:r>
          </w:p>
        </w:tc>
        <w:tc>
          <w:tcPr>
            <w:tcW w:w="767"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1177" w:type="dxa"/>
            <w:vMerge/>
            <w:shd w:val="clear" w:color="auto" w:fill="auto"/>
            <w:vAlign w:val="center"/>
          </w:tcPr>
          <w:p w:rsidR="00644456" w:rsidRDefault="00644456">
            <w:pPr>
              <w:widowControl/>
              <w:adjustRightInd w:val="0"/>
              <w:snapToGrid w:val="0"/>
              <w:jc w:val="center"/>
              <w:textAlignment w:val="center"/>
              <w:rPr>
                <w:rFonts w:cs="Times New Roman"/>
                <w:color w:val="000000" w:themeColor="text1"/>
                <w:szCs w:val="21"/>
              </w:rPr>
            </w:pPr>
          </w:p>
        </w:tc>
        <w:tc>
          <w:tcPr>
            <w:tcW w:w="971"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color w:val="000000" w:themeColor="text1"/>
                <w:szCs w:val="21"/>
              </w:rPr>
              <w:t>35</w:t>
            </w:r>
          </w:p>
        </w:tc>
        <w:tc>
          <w:tcPr>
            <w:tcW w:w="1110" w:type="dxa"/>
            <w:shd w:val="clear" w:color="auto" w:fill="auto"/>
            <w:vAlign w:val="center"/>
          </w:tcPr>
          <w:p w:rsidR="00644456" w:rsidRDefault="008031C4">
            <w:pPr>
              <w:widowControl/>
              <w:adjustRightInd w:val="0"/>
              <w:snapToGrid w:val="0"/>
              <w:jc w:val="center"/>
              <w:textAlignment w:val="center"/>
              <w:rPr>
                <w:rFonts w:cs="Times New Roman"/>
                <w:color w:val="000000" w:themeColor="text1"/>
                <w:szCs w:val="21"/>
              </w:rPr>
            </w:pPr>
            <w:r>
              <w:rPr>
                <w:rFonts w:cs="Times New Roman" w:hint="eastAsia"/>
                <w:color w:val="000000" w:themeColor="text1"/>
                <w:szCs w:val="21"/>
              </w:rPr>
              <w:t>0.108</w:t>
            </w:r>
          </w:p>
        </w:tc>
        <w:tc>
          <w:tcPr>
            <w:tcW w:w="799" w:type="dxa"/>
            <w:vMerge/>
            <w:shd w:val="clear" w:color="auto" w:fill="auto"/>
            <w:vAlign w:val="center"/>
          </w:tcPr>
          <w:p w:rsidR="00644456" w:rsidRDefault="00644456">
            <w:pPr>
              <w:jc w:val="center"/>
              <w:rPr>
                <w:color w:val="000000" w:themeColor="text1"/>
                <w:szCs w:val="16"/>
              </w:rPr>
            </w:pPr>
          </w:p>
        </w:tc>
      </w:tr>
      <w:tr w:rsidR="00CF7BCF" w:rsidTr="008B0FF7">
        <w:trPr>
          <w:trHeight w:val="340"/>
        </w:trPr>
        <w:tc>
          <w:tcPr>
            <w:tcW w:w="801" w:type="dxa"/>
            <w:vMerge w:val="restart"/>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厂区</w:t>
            </w:r>
          </w:p>
        </w:tc>
        <w:tc>
          <w:tcPr>
            <w:tcW w:w="764" w:type="dxa"/>
            <w:vMerge w:val="restart"/>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初期雨水池</w:t>
            </w:r>
          </w:p>
        </w:tc>
        <w:tc>
          <w:tcPr>
            <w:tcW w:w="898" w:type="dxa"/>
            <w:vMerge w:val="restart"/>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初期雨水</w:t>
            </w:r>
          </w:p>
        </w:tc>
        <w:tc>
          <w:tcPr>
            <w:tcW w:w="851" w:type="dxa"/>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color w:val="FF0000"/>
                <w:szCs w:val="21"/>
              </w:rPr>
              <w:t>SS</w:t>
            </w:r>
          </w:p>
        </w:tc>
        <w:tc>
          <w:tcPr>
            <w:tcW w:w="792" w:type="dxa"/>
            <w:vMerge w:val="restart"/>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color w:val="FF0000"/>
                <w:szCs w:val="21"/>
              </w:rPr>
              <w:t>类比</w:t>
            </w:r>
          </w:p>
        </w:tc>
        <w:tc>
          <w:tcPr>
            <w:tcW w:w="982" w:type="dxa"/>
            <w:vMerge w:val="restart"/>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color w:val="FF0000"/>
                <w:szCs w:val="21"/>
              </w:rPr>
              <w:t>2610.03</w:t>
            </w:r>
          </w:p>
        </w:tc>
        <w:tc>
          <w:tcPr>
            <w:tcW w:w="1094" w:type="dxa"/>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2</w:t>
            </w:r>
            <w:r w:rsidRPr="00CF7BCF">
              <w:rPr>
                <w:rFonts w:cs="Times New Roman"/>
                <w:color w:val="FF0000"/>
                <w:szCs w:val="21"/>
              </w:rPr>
              <w:t>00</w:t>
            </w:r>
          </w:p>
        </w:tc>
        <w:tc>
          <w:tcPr>
            <w:tcW w:w="985" w:type="dxa"/>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 xml:space="preserve">0.522 </w:t>
            </w:r>
          </w:p>
        </w:tc>
        <w:tc>
          <w:tcPr>
            <w:tcW w:w="971" w:type="dxa"/>
            <w:vMerge w:val="restart"/>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w:t>
            </w:r>
          </w:p>
        </w:tc>
        <w:tc>
          <w:tcPr>
            <w:tcW w:w="976" w:type="dxa"/>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0</w:t>
            </w:r>
          </w:p>
        </w:tc>
        <w:tc>
          <w:tcPr>
            <w:tcW w:w="767" w:type="dxa"/>
            <w:vMerge w:val="restart"/>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w:t>
            </w:r>
          </w:p>
        </w:tc>
        <w:tc>
          <w:tcPr>
            <w:tcW w:w="1177" w:type="dxa"/>
            <w:vMerge w:val="restart"/>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color w:val="FF0000"/>
                <w:szCs w:val="21"/>
              </w:rPr>
              <w:t>2610.03</w:t>
            </w:r>
          </w:p>
        </w:tc>
        <w:tc>
          <w:tcPr>
            <w:tcW w:w="971" w:type="dxa"/>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2</w:t>
            </w:r>
            <w:r w:rsidRPr="00CF7BCF">
              <w:rPr>
                <w:rFonts w:cs="Times New Roman"/>
                <w:color w:val="FF0000"/>
                <w:szCs w:val="21"/>
              </w:rPr>
              <w:t>00</w:t>
            </w:r>
          </w:p>
        </w:tc>
        <w:tc>
          <w:tcPr>
            <w:tcW w:w="1110" w:type="dxa"/>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 xml:space="preserve">0.522 </w:t>
            </w:r>
          </w:p>
        </w:tc>
        <w:tc>
          <w:tcPr>
            <w:tcW w:w="799" w:type="dxa"/>
            <w:vMerge w:val="restart"/>
            <w:shd w:val="clear" w:color="auto" w:fill="auto"/>
            <w:vAlign w:val="center"/>
          </w:tcPr>
          <w:p w:rsidR="00CF7BCF" w:rsidRDefault="00E159BB" w:rsidP="00CF7BCF">
            <w:pPr>
              <w:jc w:val="center"/>
              <w:rPr>
                <w:color w:val="000000" w:themeColor="text1"/>
                <w:szCs w:val="16"/>
              </w:rPr>
            </w:pPr>
            <w:r>
              <w:rPr>
                <w:color w:val="000000" w:themeColor="text1"/>
                <w:szCs w:val="16"/>
              </w:rPr>
              <w:t>38</w:t>
            </w:r>
          </w:p>
        </w:tc>
      </w:tr>
      <w:tr w:rsidR="00CF7BCF" w:rsidTr="008B0FF7">
        <w:trPr>
          <w:trHeight w:val="340"/>
        </w:trPr>
        <w:tc>
          <w:tcPr>
            <w:tcW w:w="801" w:type="dxa"/>
            <w:vMerge/>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764" w:type="dxa"/>
            <w:vMerge/>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898" w:type="dxa"/>
            <w:vMerge/>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851" w:type="dxa"/>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color w:val="FF0000"/>
                <w:szCs w:val="21"/>
              </w:rPr>
              <w:t>COD</w:t>
            </w:r>
          </w:p>
        </w:tc>
        <w:tc>
          <w:tcPr>
            <w:tcW w:w="792" w:type="dxa"/>
            <w:vMerge/>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982" w:type="dxa"/>
            <w:vMerge/>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1094" w:type="dxa"/>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3</w:t>
            </w:r>
            <w:r w:rsidRPr="00CF7BCF">
              <w:rPr>
                <w:rFonts w:cs="Times New Roman"/>
                <w:color w:val="FF0000"/>
                <w:szCs w:val="21"/>
              </w:rPr>
              <w:t>00</w:t>
            </w:r>
          </w:p>
        </w:tc>
        <w:tc>
          <w:tcPr>
            <w:tcW w:w="985" w:type="dxa"/>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 xml:space="preserve">0.783 </w:t>
            </w:r>
          </w:p>
        </w:tc>
        <w:tc>
          <w:tcPr>
            <w:tcW w:w="971" w:type="dxa"/>
            <w:vMerge/>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976" w:type="dxa"/>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0</w:t>
            </w:r>
          </w:p>
        </w:tc>
        <w:tc>
          <w:tcPr>
            <w:tcW w:w="767" w:type="dxa"/>
            <w:vMerge/>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1177" w:type="dxa"/>
            <w:vMerge/>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971" w:type="dxa"/>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3</w:t>
            </w:r>
            <w:r w:rsidRPr="00CF7BCF">
              <w:rPr>
                <w:rFonts w:cs="Times New Roman"/>
                <w:color w:val="FF0000"/>
                <w:szCs w:val="21"/>
              </w:rPr>
              <w:t>00</w:t>
            </w:r>
          </w:p>
        </w:tc>
        <w:tc>
          <w:tcPr>
            <w:tcW w:w="1110" w:type="dxa"/>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 xml:space="preserve">0.783 </w:t>
            </w:r>
          </w:p>
        </w:tc>
        <w:tc>
          <w:tcPr>
            <w:tcW w:w="799" w:type="dxa"/>
            <w:vMerge/>
            <w:shd w:val="clear" w:color="auto" w:fill="auto"/>
            <w:vAlign w:val="center"/>
          </w:tcPr>
          <w:p w:rsidR="00CF7BCF" w:rsidRDefault="00CF7BCF" w:rsidP="00CF7BCF">
            <w:pPr>
              <w:jc w:val="center"/>
              <w:rPr>
                <w:color w:val="000000" w:themeColor="text1"/>
                <w:szCs w:val="16"/>
              </w:rPr>
            </w:pPr>
          </w:p>
        </w:tc>
      </w:tr>
      <w:tr w:rsidR="00CF7BCF" w:rsidTr="008B0FF7">
        <w:trPr>
          <w:trHeight w:val="340"/>
        </w:trPr>
        <w:tc>
          <w:tcPr>
            <w:tcW w:w="801" w:type="dxa"/>
            <w:vMerge/>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764" w:type="dxa"/>
            <w:vMerge/>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898" w:type="dxa"/>
            <w:vMerge/>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851" w:type="dxa"/>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color w:val="FF0000"/>
                <w:szCs w:val="21"/>
              </w:rPr>
              <w:t>NH</w:t>
            </w:r>
            <w:r w:rsidRPr="00CF7BCF">
              <w:rPr>
                <w:rFonts w:cs="Times New Roman"/>
                <w:color w:val="FF0000"/>
                <w:szCs w:val="21"/>
                <w:vertAlign w:val="subscript"/>
              </w:rPr>
              <w:t>3</w:t>
            </w:r>
            <w:r w:rsidRPr="00CF7BCF">
              <w:rPr>
                <w:rFonts w:cs="Times New Roman"/>
                <w:color w:val="FF0000"/>
                <w:szCs w:val="21"/>
              </w:rPr>
              <w:t>-N</w:t>
            </w:r>
          </w:p>
        </w:tc>
        <w:tc>
          <w:tcPr>
            <w:tcW w:w="792" w:type="dxa"/>
            <w:vMerge/>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982" w:type="dxa"/>
            <w:vMerge/>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1094" w:type="dxa"/>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2</w:t>
            </w:r>
            <w:r w:rsidRPr="00CF7BCF">
              <w:rPr>
                <w:rFonts w:cs="Times New Roman"/>
                <w:color w:val="FF0000"/>
                <w:szCs w:val="21"/>
              </w:rPr>
              <w:t>5</w:t>
            </w:r>
          </w:p>
        </w:tc>
        <w:tc>
          <w:tcPr>
            <w:tcW w:w="985" w:type="dxa"/>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 xml:space="preserve">0.065 </w:t>
            </w:r>
          </w:p>
        </w:tc>
        <w:tc>
          <w:tcPr>
            <w:tcW w:w="971" w:type="dxa"/>
            <w:vMerge/>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976" w:type="dxa"/>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0</w:t>
            </w:r>
          </w:p>
        </w:tc>
        <w:tc>
          <w:tcPr>
            <w:tcW w:w="767" w:type="dxa"/>
            <w:vMerge/>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1177" w:type="dxa"/>
            <w:vMerge/>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971" w:type="dxa"/>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2</w:t>
            </w:r>
            <w:r w:rsidRPr="00CF7BCF">
              <w:rPr>
                <w:rFonts w:cs="Times New Roman"/>
                <w:color w:val="FF0000"/>
                <w:szCs w:val="21"/>
              </w:rPr>
              <w:t>5</w:t>
            </w:r>
          </w:p>
        </w:tc>
        <w:tc>
          <w:tcPr>
            <w:tcW w:w="1110" w:type="dxa"/>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 xml:space="preserve">0.065 </w:t>
            </w:r>
          </w:p>
        </w:tc>
        <w:tc>
          <w:tcPr>
            <w:tcW w:w="799" w:type="dxa"/>
            <w:vMerge/>
            <w:shd w:val="clear" w:color="auto" w:fill="auto"/>
            <w:vAlign w:val="center"/>
          </w:tcPr>
          <w:p w:rsidR="00CF7BCF" w:rsidRDefault="00CF7BCF" w:rsidP="00CF7BCF">
            <w:pPr>
              <w:jc w:val="center"/>
              <w:rPr>
                <w:color w:val="000000" w:themeColor="text1"/>
                <w:szCs w:val="16"/>
              </w:rPr>
            </w:pPr>
          </w:p>
        </w:tc>
      </w:tr>
      <w:tr w:rsidR="00CF7BCF">
        <w:trPr>
          <w:trHeight w:val="340"/>
        </w:trPr>
        <w:tc>
          <w:tcPr>
            <w:tcW w:w="801" w:type="dxa"/>
            <w:vMerge/>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764" w:type="dxa"/>
            <w:vMerge/>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898" w:type="dxa"/>
            <w:vMerge/>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851" w:type="dxa"/>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color w:val="FF0000"/>
                <w:szCs w:val="21"/>
              </w:rPr>
              <w:t>石油类</w:t>
            </w:r>
          </w:p>
        </w:tc>
        <w:tc>
          <w:tcPr>
            <w:tcW w:w="792" w:type="dxa"/>
            <w:vMerge/>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982" w:type="dxa"/>
            <w:vMerge/>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1094" w:type="dxa"/>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2</w:t>
            </w:r>
            <w:r w:rsidRPr="00CF7BCF">
              <w:rPr>
                <w:rFonts w:cs="Times New Roman"/>
                <w:color w:val="FF0000"/>
                <w:szCs w:val="21"/>
              </w:rPr>
              <w:t>00</w:t>
            </w:r>
          </w:p>
        </w:tc>
        <w:tc>
          <w:tcPr>
            <w:tcW w:w="985" w:type="dxa"/>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 xml:space="preserve">0.522 </w:t>
            </w:r>
          </w:p>
        </w:tc>
        <w:tc>
          <w:tcPr>
            <w:tcW w:w="971" w:type="dxa"/>
            <w:vMerge/>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976" w:type="dxa"/>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0</w:t>
            </w:r>
          </w:p>
        </w:tc>
        <w:tc>
          <w:tcPr>
            <w:tcW w:w="767" w:type="dxa"/>
            <w:vMerge/>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1177" w:type="dxa"/>
            <w:vMerge/>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971" w:type="dxa"/>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2</w:t>
            </w:r>
            <w:r w:rsidRPr="00CF7BCF">
              <w:rPr>
                <w:rFonts w:cs="Times New Roman"/>
                <w:color w:val="FF0000"/>
                <w:szCs w:val="21"/>
              </w:rPr>
              <w:t>00</w:t>
            </w:r>
          </w:p>
        </w:tc>
        <w:tc>
          <w:tcPr>
            <w:tcW w:w="1110" w:type="dxa"/>
            <w:shd w:val="clear" w:color="auto" w:fill="auto"/>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 xml:space="preserve">0.522 </w:t>
            </w:r>
          </w:p>
        </w:tc>
        <w:tc>
          <w:tcPr>
            <w:tcW w:w="799" w:type="dxa"/>
            <w:vMerge/>
            <w:shd w:val="clear" w:color="auto" w:fill="auto"/>
            <w:vAlign w:val="center"/>
          </w:tcPr>
          <w:p w:rsidR="00CF7BCF" w:rsidRDefault="00CF7BCF" w:rsidP="00CF7BCF">
            <w:pPr>
              <w:jc w:val="center"/>
              <w:rPr>
                <w:color w:val="000000" w:themeColor="text1"/>
                <w:szCs w:val="16"/>
              </w:rPr>
            </w:pPr>
          </w:p>
        </w:tc>
      </w:tr>
      <w:bookmarkEnd w:id="167"/>
    </w:tbl>
    <w:p w:rsidR="00644456" w:rsidRDefault="00644456"/>
    <w:bookmarkEnd w:id="166"/>
    <w:p w:rsidR="00644456" w:rsidRDefault="00644456"/>
    <w:p w:rsidR="00644456" w:rsidRDefault="00644456">
      <w:pPr>
        <w:pStyle w:val="4"/>
        <w:ind w:left="0" w:firstLineChars="200" w:firstLine="482"/>
        <w:rPr>
          <w:rFonts w:cs="Times New Roman"/>
          <w:snapToGrid w:val="0"/>
          <w:color w:val="000000" w:themeColor="text1"/>
          <w:kern w:val="0"/>
          <w:szCs w:val="24"/>
        </w:rPr>
        <w:sectPr w:rsidR="00644456">
          <w:pgSz w:w="16838" w:h="11905" w:orient="landscape"/>
          <w:pgMar w:top="1440" w:right="1440" w:bottom="1440" w:left="1440" w:header="851" w:footer="992" w:gutter="0"/>
          <w:cols w:space="0"/>
        </w:sectPr>
      </w:pP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lastRenderedPageBreak/>
        <w:t>2.5.2.3</w:t>
      </w:r>
      <w:r>
        <w:rPr>
          <w:rFonts w:cs="Times New Roman"/>
          <w:snapToGrid w:val="0"/>
          <w:color w:val="000000" w:themeColor="text1"/>
          <w:kern w:val="0"/>
          <w:szCs w:val="24"/>
        </w:rPr>
        <w:t>噪声污染源及防治</w:t>
      </w:r>
    </w:p>
    <w:p w:rsidR="00644456" w:rsidRDefault="008031C4">
      <w:pPr>
        <w:spacing w:line="360" w:lineRule="auto"/>
        <w:ind w:firstLineChars="200" w:firstLine="480"/>
        <w:rPr>
          <w:rFonts w:cs="Times New Roman"/>
          <w:bCs/>
          <w:color w:val="000000" w:themeColor="text1"/>
          <w:sz w:val="24"/>
          <w:szCs w:val="24"/>
        </w:rPr>
      </w:pPr>
      <w:r>
        <w:rPr>
          <w:rFonts w:cs="Times New Roman" w:hint="eastAsia"/>
          <w:bCs/>
          <w:snapToGrid w:val="0"/>
          <w:color w:val="000000" w:themeColor="text1"/>
          <w:kern w:val="0"/>
          <w:sz w:val="24"/>
          <w:szCs w:val="24"/>
        </w:rPr>
        <w:t>项目主要噪声设备有生产系统配置的引风机、机泵、压缩机等，原料罐区及产品罐区的泵、污水处理设施的提升泵、压缩机</w:t>
      </w:r>
      <w:r>
        <w:rPr>
          <w:rFonts w:cs="Times New Roman"/>
          <w:bCs/>
          <w:snapToGrid w:val="0"/>
          <w:color w:val="000000" w:themeColor="text1"/>
          <w:kern w:val="0"/>
          <w:sz w:val="24"/>
          <w:szCs w:val="24"/>
        </w:rPr>
        <w:t>，根据类比资料，其噪声强度在</w:t>
      </w:r>
      <w:r>
        <w:rPr>
          <w:rFonts w:cs="Times New Roman"/>
          <w:bCs/>
          <w:snapToGrid w:val="0"/>
          <w:color w:val="000000" w:themeColor="text1"/>
          <w:kern w:val="0"/>
          <w:sz w:val="24"/>
          <w:szCs w:val="24"/>
        </w:rPr>
        <w:t>80</w:t>
      </w:r>
      <w:r>
        <w:rPr>
          <w:rFonts w:cs="Times New Roman"/>
          <w:bCs/>
          <w:snapToGrid w:val="0"/>
          <w:color w:val="000000" w:themeColor="text1"/>
          <w:kern w:val="0"/>
          <w:sz w:val="24"/>
          <w:szCs w:val="24"/>
        </w:rPr>
        <w:t>～</w:t>
      </w:r>
      <w:r>
        <w:rPr>
          <w:rFonts w:cs="Times New Roman"/>
          <w:bCs/>
          <w:snapToGrid w:val="0"/>
          <w:color w:val="000000" w:themeColor="text1"/>
          <w:kern w:val="0"/>
          <w:sz w:val="24"/>
          <w:szCs w:val="24"/>
        </w:rPr>
        <w:t>9</w:t>
      </w:r>
      <w:r>
        <w:rPr>
          <w:rFonts w:cs="Times New Roman" w:hint="eastAsia"/>
          <w:bCs/>
          <w:snapToGrid w:val="0"/>
          <w:color w:val="000000" w:themeColor="text1"/>
          <w:kern w:val="0"/>
          <w:sz w:val="24"/>
          <w:szCs w:val="24"/>
        </w:rPr>
        <w:t>0</w:t>
      </w:r>
      <w:r>
        <w:rPr>
          <w:rFonts w:cs="Times New Roman"/>
          <w:bCs/>
          <w:snapToGrid w:val="0"/>
          <w:color w:val="000000" w:themeColor="text1"/>
          <w:kern w:val="0"/>
          <w:sz w:val="24"/>
          <w:szCs w:val="24"/>
        </w:rPr>
        <w:t>dB</w:t>
      </w:r>
      <w:r>
        <w:rPr>
          <w:rFonts w:cs="Times New Roman"/>
          <w:bCs/>
          <w:snapToGrid w:val="0"/>
          <w:color w:val="000000" w:themeColor="text1"/>
          <w:kern w:val="0"/>
          <w:sz w:val="24"/>
          <w:szCs w:val="24"/>
        </w:rPr>
        <w:t>（</w:t>
      </w:r>
      <w:r>
        <w:rPr>
          <w:rFonts w:cs="Times New Roman"/>
          <w:bCs/>
          <w:snapToGrid w:val="0"/>
          <w:color w:val="000000" w:themeColor="text1"/>
          <w:kern w:val="0"/>
          <w:sz w:val="24"/>
          <w:szCs w:val="24"/>
        </w:rPr>
        <w:t>A</w:t>
      </w:r>
      <w:r>
        <w:rPr>
          <w:rFonts w:cs="Times New Roman"/>
          <w:bCs/>
          <w:snapToGrid w:val="0"/>
          <w:color w:val="000000" w:themeColor="text1"/>
          <w:kern w:val="0"/>
          <w:sz w:val="24"/>
          <w:szCs w:val="24"/>
        </w:rPr>
        <w:t>）的范围内。针对不同噪声源采用隔声、消声、减振、合理布局等治理措施后，可使声源小于</w:t>
      </w:r>
      <w:r>
        <w:rPr>
          <w:rFonts w:cs="Times New Roman" w:hint="eastAsia"/>
          <w:bCs/>
          <w:snapToGrid w:val="0"/>
          <w:color w:val="000000" w:themeColor="text1"/>
          <w:kern w:val="0"/>
          <w:sz w:val="24"/>
          <w:szCs w:val="24"/>
        </w:rPr>
        <w:t>8</w:t>
      </w:r>
      <w:r>
        <w:rPr>
          <w:rFonts w:cs="Times New Roman"/>
          <w:bCs/>
          <w:snapToGrid w:val="0"/>
          <w:color w:val="000000" w:themeColor="text1"/>
          <w:kern w:val="0"/>
          <w:sz w:val="24"/>
          <w:szCs w:val="24"/>
        </w:rPr>
        <w:t>0dB</w:t>
      </w:r>
      <w:r>
        <w:rPr>
          <w:rFonts w:cs="Times New Roman"/>
          <w:bCs/>
          <w:snapToGrid w:val="0"/>
          <w:color w:val="000000" w:themeColor="text1"/>
          <w:kern w:val="0"/>
          <w:sz w:val="24"/>
          <w:szCs w:val="24"/>
        </w:rPr>
        <w:t>（</w:t>
      </w:r>
      <w:r>
        <w:rPr>
          <w:rFonts w:cs="Times New Roman"/>
          <w:bCs/>
          <w:snapToGrid w:val="0"/>
          <w:color w:val="000000" w:themeColor="text1"/>
          <w:kern w:val="0"/>
          <w:sz w:val="24"/>
          <w:szCs w:val="24"/>
        </w:rPr>
        <w:t>A</w:t>
      </w:r>
      <w:r>
        <w:rPr>
          <w:rFonts w:cs="Times New Roman"/>
          <w:bCs/>
          <w:snapToGrid w:val="0"/>
          <w:color w:val="000000" w:themeColor="text1"/>
          <w:kern w:val="0"/>
          <w:sz w:val="24"/>
          <w:szCs w:val="24"/>
        </w:rPr>
        <w:t>）。</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2.5-13</w:t>
      </w:r>
      <w:r>
        <w:rPr>
          <w:rFonts w:cs="Times New Roman" w:hint="eastAsia"/>
          <w:b/>
          <w:color w:val="000000" w:themeColor="text1"/>
          <w:sz w:val="24"/>
          <w:szCs w:val="20"/>
        </w:rPr>
        <w:t>项目噪声源及防治措施</w:t>
      </w:r>
    </w:p>
    <w:tbl>
      <w:tblPr>
        <w:tblW w:w="4869"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6"/>
        <w:gridCol w:w="390"/>
        <w:gridCol w:w="2448"/>
        <w:gridCol w:w="1181"/>
        <w:gridCol w:w="442"/>
        <w:gridCol w:w="438"/>
        <w:gridCol w:w="882"/>
        <w:gridCol w:w="1837"/>
        <w:gridCol w:w="614"/>
      </w:tblGrid>
      <w:tr w:rsidR="00CF7BCF" w:rsidRPr="00CF7BCF" w:rsidTr="00CF7BCF">
        <w:trPr>
          <w:trHeight w:val="872"/>
          <w:jc w:val="center"/>
        </w:trPr>
        <w:tc>
          <w:tcPr>
            <w:tcW w:w="322" w:type="pct"/>
            <w:vAlign w:val="center"/>
          </w:tcPr>
          <w:p w:rsidR="00644456" w:rsidRPr="00CF7BCF" w:rsidRDefault="008031C4">
            <w:pPr>
              <w:widowControl/>
              <w:adjustRightInd w:val="0"/>
              <w:snapToGrid w:val="0"/>
              <w:jc w:val="center"/>
              <w:textAlignment w:val="center"/>
              <w:rPr>
                <w:rFonts w:cs="Times New Roman"/>
                <w:color w:val="FF0000"/>
                <w:szCs w:val="21"/>
              </w:rPr>
            </w:pPr>
            <w:bookmarkStart w:id="168" w:name="_Hlk160442690"/>
            <w:r w:rsidRPr="00CF7BCF">
              <w:rPr>
                <w:rFonts w:cs="Times New Roman" w:hint="eastAsia"/>
                <w:color w:val="FF0000"/>
                <w:szCs w:val="21"/>
              </w:rPr>
              <w:t>项目所在工序</w:t>
            </w:r>
            <w:r w:rsidRPr="00CF7BCF">
              <w:rPr>
                <w:rFonts w:cs="Times New Roman" w:hint="eastAsia"/>
                <w:color w:val="FF0000"/>
                <w:szCs w:val="21"/>
              </w:rPr>
              <w:t>/</w:t>
            </w:r>
            <w:r w:rsidRPr="00CF7BCF">
              <w:rPr>
                <w:rFonts w:cs="Times New Roman" w:hint="eastAsia"/>
                <w:color w:val="FF0000"/>
                <w:szCs w:val="21"/>
              </w:rPr>
              <w:t>车间</w:t>
            </w:r>
          </w:p>
        </w:tc>
        <w:tc>
          <w:tcPr>
            <w:tcW w:w="222" w:type="pct"/>
            <w:vAlign w:val="center"/>
          </w:tcPr>
          <w:p w:rsidR="00644456" w:rsidRPr="00CF7BCF" w:rsidRDefault="008031C4">
            <w:pPr>
              <w:widowControl/>
              <w:adjustRightInd w:val="0"/>
              <w:snapToGrid w:val="0"/>
              <w:jc w:val="center"/>
              <w:textAlignment w:val="center"/>
              <w:rPr>
                <w:rFonts w:cs="Times New Roman"/>
                <w:color w:val="FF0000"/>
                <w:szCs w:val="21"/>
              </w:rPr>
            </w:pPr>
            <w:r w:rsidRPr="00CF7BCF">
              <w:rPr>
                <w:rFonts w:cs="Times New Roman" w:hint="eastAsia"/>
                <w:color w:val="FF0000"/>
                <w:szCs w:val="21"/>
              </w:rPr>
              <w:t>序号</w:t>
            </w:r>
          </w:p>
        </w:tc>
        <w:tc>
          <w:tcPr>
            <w:tcW w:w="1391" w:type="pct"/>
            <w:vAlign w:val="center"/>
          </w:tcPr>
          <w:p w:rsidR="00644456" w:rsidRPr="00CF7BCF" w:rsidRDefault="008031C4">
            <w:pPr>
              <w:widowControl/>
              <w:adjustRightInd w:val="0"/>
              <w:snapToGrid w:val="0"/>
              <w:jc w:val="center"/>
              <w:textAlignment w:val="center"/>
              <w:rPr>
                <w:rFonts w:cs="Times New Roman"/>
                <w:color w:val="FF0000"/>
                <w:szCs w:val="21"/>
              </w:rPr>
            </w:pPr>
            <w:r w:rsidRPr="00CF7BCF">
              <w:rPr>
                <w:rFonts w:cs="Times New Roman" w:hint="eastAsia"/>
                <w:color w:val="FF0000"/>
                <w:szCs w:val="21"/>
              </w:rPr>
              <w:t>设备名称</w:t>
            </w:r>
          </w:p>
        </w:tc>
        <w:tc>
          <w:tcPr>
            <w:tcW w:w="671" w:type="pct"/>
            <w:vAlign w:val="center"/>
          </w:tcPr>
          <w:p w:rsidR="00644456" w:rsidRPr="00CF7BCF" w:rsidRDefault="008031C4">
            <w:pPr>
              <w:widowControl/>
              <w:adjustRightInd w:val="0"/>
              <w:snapToGrid w:val="0"/>
              <w:jc w:val="center"/>
              <w:textAlignment w:val="center"/>
              <w:rPr>
                <w:rFonts w:cs="Times New Roman"/>
                <w:color w:val="FF0000"/>
                <w:szCs w:val="21"/>
              </w:rPr>
            </w:pPr>
            <w:r w:rsidRPr="00CF7BCF">
              <w:rPr>
                <w:rFonts w:cs="Times New Roman" w:hint="eastAsia"/>
                <w:color w:val="FF0000"/>
                <w:szCs w:val="21"/>
              </w:rPr>
              <w:t>型号</w:t>
            </w:r>
          </w:p>
        </w:tc>
        <w:tc>
          <w:tcPr>
            <w:tcW w:w="251" w:type="pct"/>
            <w:vAlign w:val="center"/>
          </w:tcPr>
          <w:p w:rsidR="00644456" w:rsidRPr="00CF7BCF" w:rsidRDefault="008031C4">
            <w:pPr>
              <w:widowControl/>
              <w:adjustRightInd w:val="0"/>
              <w:snapToGrid w:val="0"/>
              <w:jc w:val="center"/>
              <w:textAlignment w:val="center"/>
              <w:rPr>
                <w:rFonts w:cs="Times New Roman"/>
                <w:color w:val="FF0000"/>
                <w:szCs w:val="21"/>
              </w:rPr>
            </w:pPr>
            <w:r w:rsidRPr="00CF7BCF">
              <w:rPr>
                <w:rFonts w:cs="Times New Roman" w:hint="eastAsia"/>
                <w:color w:val="FF0000"/>
                <w:szCs w:val="21"/>
              </w:rPr>
              <w:t>单位</w:t>
            </w:r>
          </w:p>
        </w:tc>
        <w:tc>
          <w:tcPr>
            <w:tcW w:w="249" w:type="pct"/>
            <w:vAlign w:val="center"/>
          </w:tcPr>
          <w:p w:rsidR="00644456" w:rsidRPr="00CF7BCF" w:rsidRDefault="008031C4">
            <w:pPr>
              <w:widowControl/>
              <w:adjustRightInd w:val="0"/>
              <w:snapToGrid w:val="0"/>
              <w:jc w:val="center"/>
              <w:textAlignment w:val="center"/>
              <w:rPr>
                <w:rFonts w:cs="Times New Roman"/>
                <w:color w:val="FF0000"/>
                <w:szCs w:val="21"/>
              </w:rPr>
            </w:pPr>
            <w:r w:rsidRPr="00CF7BCF">
              <w:rPr>
                <w:rFonts w:cs="Times New Roman" w:hint="eastAsia"/>
                <w:color w:val="FF0000"/>
                <w:szCs w:val="21"/>
              </w:rPr>
              <w:t>数量</w:t>
            </w:r>
          </w:p>
        </w:tc>
        <w:tc>
          <w:tcPr>
            <w:tcW w:w="501" w:type="pct"/>
            <w:vAlign w:val="center"/>
          </w:tcPr>
          <w:p w:rsidR="00644456" w:rsidRPr="00CF7BCF" w:rsidRDefault="008031C4">
            <w:pPr>
              <w:widowControl/>
              <w:adjustRightInd w:val="0"/>
              <w:snapToGrid w:val="0"/>
              <w:jc w:val="center"/>
              <w:textAlignment w:val="center"/>
              <w:rPr>
                <w:rFonts w:cs="Times New Roman"/>
                <w:color w:val="FF0000"/>
                <w:szCs w:val="21"/>
              </w:rPr>
            </w:pPr>
            <w:r w:rsidRPr="00CF7BCF">
              <w:rPr>
                <w:rFonts w:cs="Times New Roman" w:hint="eastAsia"/>
                <w:color w:val="FF0000"/>
                <w:szCs w:val="21"/>
              </w:rPr>
              <w:t>治理前声级</w:t>
            </w:r>
            <w:r w:rsidRPr="00CF7BCF">
              <w:rPr>
                <w:rFonts w:cs="Times New Roman" w:hint="eastAsia"/>
                <w:color w:val="FF0000"/>
                <w:szCs w:val="21"/>
              </w:rPr>
              <w:t>dB</w:t>
            </w:r>
            <w:r w:rsidRPr="00CF7BCF">
              <w:rPr>
                <w:rFonts w:cs="Times New Roman" w:hint="eastAsia"/>
                <w:color w:val="FF0000"/>
                <w:szCs w:val="21"/>
              </w:rPr>
              <w:t>（</w:t>
            </w:r>
            <w:r w:rsidRPr="00CF7BCF">
              <w:rPr>
                <w:rFonts w:cs="Times New Roman" w:hint="eastAsia"/>
                <w:color w:val="FF0000"/>
                <w:szCs w:val="21"/>
              </w:rPr>
              <w:t>A</w:t>
            </w:r>
            <w:r w:rsidRPr="00CF7BCF">
              <w:rPr>
                <w:rFonts w:cs="Times New Roman" w:hint="eastAsia"/>
                <w:color w:val="FF0000"/>
                <w:szCs w:val="21"/>
              </w:rPr>
              <w:t>）</w:t>
            </w:r>
          </w:p>
        </w:tc>
        <w:tc>
          <w:tcPr>
            <w:tcW w:w="1044" w:type="pct"/>
            <w:vAlign w:val="center"/>
          </w:tcPr>
          <w:p w:rsidR="00644456" w:rsidRPr="00CF7BCF" w:rsidRDefault="008031C4">
            <w:pPr>
              <w:widowControl/>
              <w:adjustRightInd w:val="0"/>
              <w:snapToGrid w:val="0"/>
              <w:jc w:val="center"/>
              <w:textAlignment w:val="center"/>
              <w:rPr>
                <w:rFonts w:cs="Times New Roman"/>
                <w:color w:val="FF0000"/>
                <w:szCs w:val="21"/>
              </w:rPr>
            </w:pPr>
            <w:r w:rsidRPr="00CF7BCF">
              <w:rPr>
                <w:rFonts w:cs="Times New Roman" w:hint="eastAsia"/>
                <w:color w:val="FF0000"/>
                <w:szCs w:val="21"/>
              </w:rPr>
              <w:t>治理措施</w:t>
            </w:r>
          </w:p>
        </w:tc>
        <w:tc>
          <w:tcPr>
            <w:tcW w:w="349" w:type="pct"/>
            <w:vAlign w:val="center"/>
          </w:tcPr>
          <w:p w:rsidR="00644456" w:rsidRPr="00CF7BCF" w:rsidRDefault="008031C4">
            <w:pPr>
              <w:widowControl/>
              <w:adjustRightInd w:val="0"/>
              <w:snapToGrid w:val="0"/>
              <w:jc w:val="center"/>
              <w:textAlignment w:val="center"/>
              <w:rPr>
                <w:rFonts w:cs="Times New Roman"/>
                <w:color w:val="FF0000"/>
                <w:szCs w:val="21"/>
              </w:rPr>
            </w:pPr>
            <w:r w:rsidRPr="00CF7BCF">
              <w:rPr>
                <w:rFonts w:cs="Times New Roman" w:hint="eastAsia"/>
                <w:color w:val="FF0000"/>
                <w:szCs w:val="21"/>
              </w:rPr>
              <w:t>治理后声级</w:t>
            </w:r>
            <w:r w:rsidRPr="00CF7BCF">
              <w:rPr>
                <w:rFonts w:cs="Times New Roman" w:hint="eastAsia"/>
                <w:color w:val="FF0000"/>
                <w:szCs w:val="21"/>
              </w:rPr>
              <w:t>dB</w:t>
            </w:r>
            <w:r w:rsidRPr="00CF7BCF">
              <w:rPr>
                <w:rFonts w:cs="Times New Roman" w:hint="eastAsia"/>
                <w:color w:val="FF0000"/>
                <w:szCs w:val="21"/>
              </w:rPr>
              <w:t>（</w:t>
            </w:r>
            <w:r w:rsidRPr="00CF7BCF">
              <w:rPr>
                <w:rFonts w:cs="Times New Roman" w:hint="eastAsia"/>
                <w:color w:val="FF0000"/>
                <w:szCs w:val="21"/>
              </w:rPr>
              <w:t>A</w:t>
            </w:r>
            <w:r w:rsidRPr="00CF7BCF">
              <w:rPr>
                <w:rFonts w:cs="Times New Roman" w:hint="eastAsia"/>
                <w:color w:val="FF0000"/>
                <w:szCs w:val="21"/>
              </w:rPr>
              <w:t>）</w:t>
            </w:r>
          </w:p>
        </w:tc>
      </w:tr>
      <w:tr w:rsidR="00CF7BCF" w:rsidRPr="00CF7BCF" w:rsidTr="00CF7BCF">
        <w:trPr>
          <w:trHeight w:val="266"/>
          <w:jc w:val="center"/>
        </w:trPr>
        <w:tc>
          <w:tcPr>
            <w:tcW w:w="322" w:type="pct"/>
            <w:vMerge w:val="restar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厂区</w:t>
            </w:r>
          </w:p>
        </w:tc>
        <w:tc>
          <w:tcPr>
            <w:tcW w:w="222"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1</w:t>
            </w:r>
          </w:p>
        </w:tc>
        <w:tc>
          <w:tcPr>
            <w:tcW w:w="1391"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空压机</w:t>
            </w:r>
          </w:p>
        </w:tc>
        <w:tc>
          <w:tcPr>
            <w:tcW w:w="671"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w:t>
            </w:r>
          </w:p>
        </w:tc>
        <w:tc>
          <w:tcPr>
            <w:tcW w:w="251"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台</w:t>
            </w:r>
          </w:p>
        </w:tc>
        <w:tc>
          <w:tcPr>
            <w:tcW w:w="249"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5</w:t>
            </w:r>
          </w:p>
        </w:tc>
        <w:tc>
          <w:tcPr>
            <w:tcW w:w="501"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90</w:t>
            </w:r>
          </w:p>
        </w:tc>
        <w:tc>
          <w:tcPr>
            <w:tcW w:w="1044" w:type="pct"/>
            <w:vMerge w:val="restar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选用低噪声设备、加柔性接头、基座设减振装置</w:t>
            </w:r>
          </w:p>
        </w:tc>
        <w:tc>
          <w:tcPr>
            <w:tcW w:w="349"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80</w:t>
            </w:r>
          </w:p>
        </w:tc>
      </w:tr>
      <w:tr w:rsidR="00CF7BCF" w:rsidRPr="00CF7BCF" w:rsidTr="00CF7BCF">
        <w:trPr>
          <w:trHeight w:val="266"/>
          <w:jc w:val="center"/>
        </w:trPr>
        <w:tc>
          <w:tcPr>
            <w:tcW w:w="322" w:type="pct"/>
            <w:vMerge/>
            <w:vAlign w:val="center"/>
          </w:tcPr>
          <w:p w:rsidR="00CF7BCF" w:rsidRPr="00CF7BCF" w:rsidRDefault="00CF7BCF">
            <w:pPr>
              <w:widowControl/>
              <w:adjustRightInd w:val="0"/>
              <w:snapToGrid w:val="0"/>
              <w:jc w:val="center"/>
              <w:textAlignment w:val="center"/>
              <w:rPr>
                <w:rFonts w:cs="Times New Roman"/>
                <w:color w:val="FF0000"/>
                <w:szCs w:val="21"/>
              </w:rPr>
            </w:pPr>
          </w:p>
        </w:tc>
        <w:tc>
          <w:tcPr>
            <w:tcW w:w="222"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2</w:t>
            </w:r>
          </w:p>
        </w:tc>
        <w:tc>
          <w:tcPr>
            <w:tcW w:w="1391"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机泵</w:t>
            </w:r>
          </w:p>
        </w:tc>
        <w:tc>
          <w:tcPr>
            <w:tcW w:w="671" w:type="pct"/>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w:t>
            </w:r>
          </w:p>
        </w:tc>
        <w:tc>
          <w:tcPr>
            <w:tcW w:w="251"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台</w:t>
            </w:r>
          </w:p>
        </w:tc>
        <w:tc>
          <w:tcPr>
            <w:tcW w:w="249"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4</w:t>
            </w:r>
          </w:p>
        </w:tc>
        <w:tc>
          <w:tcPr>
            <w:tcW w:w="501"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90</w:t>
            </w:r>
          </w:p>
        </w:tc>
        <w:tc>
          <w:tcPr>
            <w:tcW w:w="1044" w:type="pct"/>
            <w:vMerge/>
            <w:vAlign w:val="center"/>
          </w:tcPr>
          <w:p w:rsidR="00CF7BCF" w:rsidRPr="00CF7BCF" w:rsidRDefault="00CF7BCF">
            <w:pPr>
              <w:widowControl/>
              <w:adjustRightInd w:val="0"/>
              <w:snapToGrid w:val="0"/>
              <w:jc w:val="center"/>
              <w:textAlignment w:val="center"/>
              <w:rPr>
                <w:rFonts w:cs="Times New Roman"/>
                <w:color w:val="FF0000"/>
                <w:szCs w:val="21"/>
              </w:rPr>
            </w:pPr>
          </w:p>
        </w:tc>
        <w:tc>
          <w:tcPr>
            <w:tcW w:w="349"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80</w:t>
            </w:r>
          </w:p>
        </w:tc>
      </w:tr>
      <w:tr w:rsidR="00CF7BCF" w:rsidRPr="00CF7BCF" w:rsidTr="00CF7BCF">
        <w:trPr>
          <w:trHeight w:val="266"/>
          <w:jc w:val="center"/>
        </w:trPr>
        <w:tc>
          <w:tcPr>
            <w:tcW w:w="322" w:type="pct"/>
            <w:vMerge/>
            <w:vAlign w:val="center"/>
          </w:tcPr>
          <w:p w:rsidR="00CF7BCF" w:rsidRPr="00CF7BCF" w:rsidRDefault="00CF7BCF">
            <w:pPr>
              <w:widowControl/>
              <w:adjustRightInd w:val="0"/>
              <w:snapToGrid w:val="0"/>
              <w:jc w:val="center"/>
              <w:textAlignment w:val="center"/>
              <w:rPr>
                <w:rFonts w:cs="Times New Roman"/>
                <w:color w:val="FF0000"/>
                <w:szCs w:val="21"/>
              </w:rPr>
            </w:pPr>
          </w:p>
        </w:tc>
        <w:tc>
          <w:tcPr>
            <w:tcW w:w="222"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3</w:t>
            </w:r>
          </w:p>
        </w:tc>
        <w:tc>
          <w:tcPr>
            <w:tcW w:w="1391"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压缩机</w:t>
            </w:r>
          </w:p>
        </w:tc>
        <w:tc>
          <w:tcPr>
            <w:tcW w:w="671" w:type="pct"/>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w:t>
            </w:r>
          </w:p>
        </w:tc>
        <w:tc>
          <w:tcPr>
            <w:tcW w:w="251"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台</w:t>
            </w:r>
          </w:p>
        </w:tc>
        <w:tc>
          <w:tcPr>
            <w:tcW w:w="249"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4</w:t>
            </w:r>
          </w:p>
        </w:tc>
        <w:tc>
          <w:tcPr>
            <w:tcW w:w="501"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90</w:t>
            </w:r>
          </w:p>
        </w:tc>
        <w:tc>
          <w:tcPr>
            <w:tcW w:w="1044" w:type="pct"/>
            <w:vMerge/>
            <w:vAlign w:val="center"/>
          </w:tcPr>
          <w:p w:rsidR="00CF7BCF" w:rsidRPr="00CF7BCF" w:rsidRDefault="00CF7BCF">
            <w:pPr>
              <w:widowControl/>
              <w:adjustRightInd w:val="0"/>
              <w:snapToGrid w:val="0"/>
              <w:jc w:val="center"/>
              <w:textAlignment w:val="center"/>
              <w:rPr>
                <w:rFonts w:cs="Times New Roman"/>
                <w:color w:val="FF0000"/>
                <w:szCs w:val="21"/>
              </w:rPr>
            </w:pPr>
          </w:p>
        </w:tc>
        <w:tc>
          <w:tcPr>
            <w:tcW w:w="349"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80</w:t>
            </w:r>
          </w:p>
        </w:tc>
      </w:tr>
      <w:tr w:rsidR="00CF7BCF" w:rsidRPr="00CF7BCF" w:rsidTr="00CF7BCF">
        <w:trPr>
          <w:trHeight w:val="280"/>
          <w:jc w:val="center"/>
        </w:trPr>
        <w:tc>
          <w:tcPr>
            <w:tcW w:w="322" w:type="pct"/>
            <w:vMerge/>
            <w:vAlign w:val="center"/>
          </w:tcPr>
          <w:p w:rsidR="00CF7BCF" w:rsidRPr="00CF7BCF" w:rsidRDefault="00CF7BCF">
            <w:pPr>
              <w:widowControl/>
              <w:adjustRightInd w:val="0"/>
              <w:snapToGrid w:val="0"/>
              <w:jc w:val="center"/>
              <w:textAlignment w:val="center"/>
              <w:rPr>
                <w:rFonts w:cs="Times New Roman"/>
                <w:color w:val="FF0000"/>
                <w:szCs w:val="21"/>
              </w:rPr>
            </w:pPr>
          </w:p>
        </w:tc>
        <w:tc>
          <w:tcPr>
            <w:tcW w:w="222"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4</w:t>
            </w:r>
          </w:p>
        </w:tc>
        <w:tc>
          <w:tcPr>
            <w:tcW w:w="1391"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真空泵</w:t>
            </w:r>
          </w:p>
        </w:tc>
        <w:tc>
          <w:tcPr>
            <w:tcW w:w="671" w:type="pct"/>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w:t>
            </w:r>
          </w:p>
        </w:tc>
        <w:tc>
          <w:tcPr>
            <w:tcW w:w="251"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台</w:t>
            </w:r>
          </w:p>
        </w:tc>
        <w:tc>
          <w:tcPr>
            <w:tcW w:w="249"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8</w:t>
            </w:r>
          </w:p>
        </w:tc>
        <w:tc>
          <w:tcPr>
            <w:tcW w:w="501"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90</w:t>
            </w:r>
          </w:p>
        </w:tc>
        <w:tc>
          <w:tcPr>
            <w:tcW w:w="1044" w:type="pct"/>
            <w:vMerge/>
            <w:vAlign w:val="center"/>
          </w:tcPr>
          <w:p w:rsidR="00CF7BCF" w:rsidRPr="00CF7BCF" w:rsidRDefault="00CF7BCF">
            <w:pPr>
              <w:widowControl/>
              <w:adjustRightInd w:val="0"/>
              <w:snapToGrid w:val="0"/>
              <w:jc w:val="center"/>
              <w:textAlignment w:val="center"/>
              <w:rPr>
                <w:rFonts w:cs="Times New Roman"/>
                <w:color w:val="FF0000"/>
                <w:szCs w:val="21"/>
              </w:rPr>
            </w:pPr>
          </w:p>
        </w:tc>
        <w:tc>
          <w:tcPr>
            <w:tcW w:w="349"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80</w:t>
            </w:r>
          </w:p>
        </w:tc>
      </w:tr>
      <w:tr w:rsidR="00CF7BCF" w:rsidRPr="00CF7BCF" w:rsidTr="00CF7BCF">
        <w:trPr>
          <w:trHeight w:val="90"/>
          <w:jc w:val="center"/>
        </w:trPr>
        <w:tc>
          <w:tcPr>
            <w:tcW w:w="322" w:type="pct"/>
            <w:vMerge/>
            <w:vAlign w:val="center"/>
          </w:tcPr>
          <w:p w:rsidR="00CF7BCF" w:rsidRPr="00CF7BCF" w:rsidRDefault="00CF7BCF">
            <w:pPr>
              <w:widowControl/>
              <w:adjustRightInd w:val="0"/>
              <w:snapToGrid w:val="0"/>
              <w:jc w:val="center"/>
              <w:textAlignment w:val="center"/>
              <w:rPr>
                <w:rFonts w:cs="Times New Roman"/>
                <w:color w:val="FF0000"/>
                <w:szCs w:val="21"/>
              </w:rPr>
            </w:pPr>
          </w:p>
        </w:tc>
        <w:tc>
          <w:tcPr>
            <w:tcW w:w="222"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5</w:t>
            </w:r>
          </w:p>
        </w:tc>
        <w:tc>
          <w:tcPr>
            <w:tcW w:w="1391"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提升泵</w:t>
            </w:r>
          </w:p>
        </w:tc>
        <w:tc>
          <w:tcPr>
            <w:tcW w:w="671" w:type="pct"/>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w:t>
            </w:r>
          </w:p>
        </w:tc>
        <w:tc>
          <w:tcPr>
            <w:tcW w:w="251"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台</w:t>
            </w:r>
          </w:p>
        </w:tc>
        <w:tc>
          <w:tcPr>
            <w:tcW w:w="249"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2</w:t>
            </w:r>
          </w:p>
        </w:tc>
        <w:tc>
          <w:tcPr>
            <w:tcW w:w="501"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90</w:t>
            </w:r>
          </w:p>
        </w:tc>
        <w:tc>
          <w:tcPr>
            <w:tcW w:w="1044" w:type="pct"/>
            <w:vMerge/>
            <w:vAlign w:val="center"/>
          </w:tcPr>
          <w:p w:rsidR="00CF7BCF" w:rsidRPr="00CF7BCF" w:rsidRDefault="00CF7BCF">
            <w:pPr>
              <w:widowControl/>
              <w:adjustRightInd w:val="0"/>
              <w:snapToGrid w:val="0"/>
              <w:jc w:val="center"/>
              <w:textAlignment w:val="center"/>
              <w:rPr>
                <w:rFonts w:cs="Times New Roman"/>
                <w:color w:val="FF0000"/>
                <w:szCs w:val="21"/>
              </w:rPr>
            </w:pPr>
          </w:p>
        </w:tc>
        <w:tc>
          <w:tcPr>
            <w:tcW w:w="349"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80</w:t>
            </w:r>
          </w:p>
        </w:tc>
      </w:tr>
      <w:tr w:rsidR="00CF7BCF" w:rsidRPr="00CF7BCF" w:rsidTr="00CF7BCF">
        <w:trPr>
          <w:trHeight w:val="90"/>
          <w:jc w:val="center"/>
        </w:trPr>
        <w:tc>
          <w:tcPr>
            <w:tcW w:w="322" w:type="pct"/>
            <w:vMerge/>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222"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6</w:t>
            </w:r>
          </w:p>
        </w:tc>
        <w:tc>
          <w:tcPr>
            <w:tcW w:w="1391"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搅拌系统</w:t>
            </w:r>
          </w:p>
        </w:tc>
        <w:tc>
          <w:tcPr>
            <w:tcW w:w="671" w:type="pct"/>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w:t>
            </w:r>
          </w:p>
        </w:tc>
        <w:tc>
          <w:tcPr>
            <w:tcW w:w="251"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台</w:t>
            </w:r>
          </w:p>
        </w:tc>
        <w:tc>
          <w:tcPr>
            <w:tcW w:w="249"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2</w:t>
            </w:r>
          </w:p>
        </w:tc>
        <w:tc>
          <w:tcPr>
            <w:tcW w:w="501"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9</w:t>
            </w:r>
            <w:r w:rsidRPr="00CF7BCF">
              <w:rPr>
                <w:rFonts w:cs="Times New Roman"/>
                <w:color w:val="FF0000"/>
                <w:szCs w:val="21"/>
              </w:rPr>
              <w:t>0</w:t>
            </w:r>
          </w:p>
        </w:tc>
        <w:tc>
          <w:tcPr>
            <w:tcW w:w="1044" w:type="pct"/>
            <w:vMerge/>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349"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8</w:t>
            </w:r>
            <w:r w:rsidRPr="00CF7BCF">
              <w:rPr>
                <w:rFonts w:cs="Times New Roman"/>
                <w:color w:val="FF0000"/>
                <w:szCs w:val="21"/>
              </w:rPr>
              <w:t>0</w:t>
            </w:r>
          </w:p>
        </w:tc>
      </w:tr>
      <w:tr w:rsidR="00CF7BCF" w:rsidRPr="00CF7BCF" w:rsidTr="00CF7BCF">
        <w:trPr>
          <w:trHeight w:val="90"/>
          <w:jc w:val="center"/>
        </w:trPr>
        <w:tc>
          <w:tcPr>
            <w:tcW w:w="322" w:type="pct"/>
            <w:vMerge/>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222"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7</w:t>
            </w:r>
          </w:p>
        </w:tc>
        <w:tc>
          <w:tcPr>
            <w:tcW w:w="1391"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高效三相离心机套装</w:t>
            </w:r>
          </w:p>
        </w:tc>
        <w:tc>
          <w:tcPr>
            <w:tcW w:w="671" w:type="pct"/>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w:t>
            </w:r>
          </w:p>
        </w:tc>
        <w:tc>
          <w:tcPr>
            <w:tcW w:w="251"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台</w:t>
            </w:r>
          </w:p>
        </w:tc>
        <w:tc>
          <w:tcPr>
            <w:tcW w:w="249"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color w:val="FF0000"/>
                <w:szCs w:val="21"/>
              </w:rPr>
              <w:t>1</w:t>
            </w:r>
          </w:p>
        </w:tc>
        <w:tc>
          <w:tcPr>
            <w:tcW w:w="501"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color w:val="FF0000"/>
                <w:szCs w:val="21"/>
              </w:rPr>
              <w:t>80</w:t>
            </w:r>
          </w:p>
        </w:tc>
        <w:tc>
          <w:tcPr>
            <w:tcW w:w="1044" w:type="pct"/>
            <w:vMerge/>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349"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7</w:t>
            </w:r>
            <w:r w:rsidRPr="00CF7BCF">
              <w:rPr>
                <w:rFonts w:cs="Times New Roman"/>
                <w:color w:val="FF0000"/>
                <w:szCs w:val="21"/>
              </w:rPr>
              <w:t>0</w:t>
            </w:r>
          </w:p>
        </w:tc>
      </w:tr>
      <w:tr w:rsidR="00CF7BCF" w:rsidRPr="00CF7BCF" w:rsidTr="00CF7BCF">
        <w:trPr>
          <w:trHeight w:val="90"/>
          <w:jc w:val="center"/>
        </w:trPr>
        <w:tc>
          <w:tcPr>
            <w:tcW w:w="322" w:type="pct"/>
            <w:vMerge/>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222"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8</w:t>
            </w:r>
          </w:p>
        </w:tc>
        <w:tc>
          <w:tcPr>
            <w:tcW w:w="1391"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加药装置及配套</w:t>
            </w:r>
          </w:p>
        </w:tc>
        <w:tc>
          <w:tcPr>
            <w:tcW w:w="671" w:type="pct"/>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w:t>
            </w:r>
          </w:p>
        </w:tc>
        <w:tc>
          <w:tcPr>
            <w:tcW w:w="251"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台</w:t>
            </w:r>
          </w:p>
        </w:tc>
        <w:tc>
          <w:tcPr>
            <w:tcW w:w="249"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color w:val="FF0000"/>
                <w:szCs w:val="21"/>
              </w:rPr>
              <w:t>1</w:t>
            </w:r>
          </w:p>
        </w:tc>
        <w:tc>
          <w:tcPr>
            <w:tcW w:w="501"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8</w:t>
            </w:r>
            <w:r w:rsidRPr="00CF7BCF">
              <w:rPr>
                <w:rFonts w:cs="Times New Roman"/>
                <w:color w:val="FF0000"/>
                <w:szCs w:val="21"/>
              </w:rPr>
              <w:t>0</w:t>
            </w:r>
          </w:p>
        </w:tc>
        <w:tc>
          <w:tcPr>
            <w:tcW w:w="1044" w:type="pct"/>
            <w:vMerge/>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349"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7</w:t>
            </w:r>
            <w:r w:rsidRPr="00CF7BCF">
              <w:rPr>
                <w:rFonts w:cs="Times New Roman"/>
                <w:color w:val="FF0000"/>
                <w:szCs w:val="21"/>
              </w:rPr>
              <w:t>0</w:t>
            </w:r>
          </w:p>
        </w:tc>
      </w:tr>
      <w:tr w:rsidR="00CF7BCF" w:rsidRPr="00CF7BCF" w:rsidTr="00CF7BCF">
        <w:trPr>
          <w:trHeight w:val="280"/>
          <w:jc w:val="center"/>
        </w:trPr>
        <w:tc>
          <w:tcPr>
            <w:tcW w:w="322" w:type="pct"/>
            <w:vMerge w:val="restar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环保设施</w:t>
            </w:r>
          </w:p>
        </w:tc>
        <w:tc>
          <w:tcPr>
            <w:tcW w:w="222"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9</w:t>
            </w:r>
          </w:p>
        </w:tc>
        <w:tc>
          <w:tcPr>
            <w:tcW w:w="1391"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环保设施风机</w:t>
            </w:r>
          </w:p>
        </w:tc>
        <w:tc>
          <w:tcPr>
            <w:tcW w:w="671"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w:t>
            </w:r>
          </w:p>
        </w:tc>
        <w:tc>
          <w:tcPr>
            <w:tcW w:w="251"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台</w:t>
            </w:r>
          </w:p>
        </w:tc>
        <w:tc>
          <w:tcPr>
            <w:tcW w:w="249"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2</w:t>
            </w:r>
          </w:p>
        </w:tc>
        <w:tc>
          <w:tcPr>
            <w:tcW w:w="501"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90</w:t>
            </w:r>
          </w:p>
        </w:tc>
        <w:tc>
          <w:tcPr>
            <w:tcW w:w="1044" w:type="pct"/>
            <w:vMerge/>
            <w:vAlign w:val="center"/>
          </w:tcPr>
          <w:p w:rsidR="00CF7BCF" w:rsidRPr="00CF7BCF" w:rsidRDefault="00CF7BCF">
            <w:pPr>
              <w:widowControl/>
              <w:adjustRightInd w:val="0"/>
              <w:snapToGrid w:val="0"/>
              <w:jc w:val="center"/>
              <w:textAlignment w:val="center"/>
              <w:rPr>
                <w:rFonts w:cs="Times New Roman"/>
                <w:color w:val="FF0000"/>
                <w:szCs w:val="21"/>
              </w:rPr>
            </w:pPr>
          </w:p>
        </w:tc>
        <w:tc>
          <w:tcPr>
            <w:tcW w:w="349" w:type="pct"/>
            <w:vAlign w:val="center"/>
          </w:tcPr>
          <w:p w:rsidR="00CF7BCF" w:rsidRPr="00CF7BCF" w:rsidRDefault="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80</w:t>
            </w:r>
          </w:p>
        </w:tc>
      </w:tr>
      <w:tr w:rsidR="00CF7BCF" w:rsidRPr="00CF7BCF" w:rsidTr="00CF7BCF">
        <w:trPr>
          <w:trHeight w:val="280"/>
          <w:jc w:val="center"/>
        </w:trPr>
        <w:tc>
          <w:tcPr>
            <w:tcW w:w="322" w:type="pct"/>
            <w:vMerge/>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222"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1</w:t>
            </w:r>
            <w:r w:rsidRPr="00CF7BCF">
              <w:rPr>
                <w:rFonts w:cs="Times New Roman"/>
                <w:color w:val="FF0000"/>
                <w:szCs w:val="21"/>
              </w:rPr>
              <w:t>0</w:t>
            </w:r>
          </w:p>
        </w:tc>
        <w:tc>
          <w:tcPr>
            <w:tcW w:w="1391"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污水泵</w:t>
            </w:r>
          </w:p>
        </w:tc>
        <w:tc>
          <w:tcPr>
            <w:tcW w:w="671"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251"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台</w:t>
            </w:r>
          </w:p>
        </w:tc>
        <w:tc>
          <w:tcPr>
            <w:tcW w:w="249"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color w:val="FF0000"/>
                <w:szCs w:val="21"/>
              </w:rPr>
              <w:t>1</w:t>
            </w:r>
          </w:p>
        </w:tc>
        <w:tc>
          <w:tcPr>
            <w:tcW w:w="501"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90</w:t>
            </w:r>
          </w:p>
        </w:tc>
        <w:tc>
          <w:tcPr>
            <w:tcW w:w="1044" w:type="pct"/>
            <w:vMerge/>
            <w:vAlign w:val="center"/>
          </w:tcPr>
          <w:p w:rsidR="00CF7BCF" w:rsidRPr="00CF7BCF" w:rsidRDefault="00CF7BCF" w:rsidP="00CF7BCF">
            <w:pPr>
              <w:widowControl/>
              <w:adjustRightInd w:val="0"/>
              <w:snapToGrid w:val="0"/>
              <w:jc w:val="center"/>
              <w:textAlignment w:val="center"/>
              <w:rPr>
                <w:rFonts w:cs="Times New Roman"/>
                <w:color w:val="FF0000"/>
                <w:szCs w:val="21"/>
              </w:rPr>
            </w:pPr>
          </w:p>
        </w:tc>
        <w:tc>
          <w:tcPr>
            <w:tcW w:w="349" w:type="pct"/>
            <w:vAlign w:val="center"/>
          </w:tcPr>
          <w:p w:rsidR="00CF7BCF" w:rsidRPr="00CF7BCF" w:rsidRDefault="00CF7BCF" w:rsidP="00CF7BCF">
            <w:pPr>
              <w:widowControl/>
              <w:adjustRightInd w:val="0"/>
              <w:snapToGrid w:val="0"/>
              <w:jc w:val="center"/>
              <w:textAlignment w:val="center"/>
              <w:rPr>
                <w:rFonts w:cs="Times New Roman"/>
                <w:color w:val="FF0000"/>
                <w:szCs w:val="21"/>
              </w:rPr>
            </w:pPr>
            <w:r w:rsidRPr="00CF7BCF">
              <w:rPr>
                <w:rFonts w:cs="Times New Roman" w:hint="eastAsia"/>
                <w:color w:val="FF0000"/>
                <w:szCs w:val="21"/>
              </w:rPr>
              <w:t>8</w:t>
            </w:r>
            <w:r w:rsidRPr="00CF7BCF">
              <w:rPr>
                <w:rFonts w:cs="Times New Roman"/>
                <w:color w:val="FF0000"/>
                <w:szCs w:val="21"/>
              </w:rPr>
              <w:t>0</w:t>
            </w:r>
          </w:p>
        </w:tc>
      </w:tr>
    </w:tbl>
    <w:bookmarkEnd w:id="168"/>
    <w:p w:rsidR="00644456" w:rsidRDefault="008031C4">
      <w:pPr>
        <w:adjustRightInd w:val="0"/>
        <w:snapToGrid w:val="0"/>
        <w:spacing w:line="360" w:lineRule="auto"/>
        <w:ind w:firstLineChars="218" w:firstLine="523"/>
        <w:rPr>
          <w:rFonts w:cs="Times New Roman"/>
          <w:color w:val="000000" w:themeColor="text1"/>
          <w:sz w:val="24"/>
        </w:rPr>
      </w:pPr>
      <w:r>
        <w:rPr>
          <w:rFonts w:cs="Times New Roman" w:hint="eastAsia"/>
          <w:color w:val="000000" w:themeColor="text1"/>
          <w:sz w:val="24"/>
        </w:rPr>
        <w:t>本项目拟采取以下措施对噪声进行控制：</w:t>
      </w:r>
    </w:p>
    <w:p w:rsidR="00644456" w:rsidRPr="00CF7BCF" w:rsidRDefault="008031C4">
      <w:pPr>
        <w:adjustRightInd w:val="0"/>
        <w:snapToGrid w:val="0"/>
        <w:spacing w:line="360" w:lineRule="auto"/>
        <w:ind w:firstLineChars="218" w:firstLine="523"/>
        <w:rPr>
          <w:rFonts w:cs="Times New Roman"/>
          <w:color w:val="FF0000"/>
          <w:sz w:val="24"/>
        </w:rPr>
      </w:pPr>
      <w:r w:rsidRPr="00CF7BCF">
        <w:rPr>
          <w:rFonts w:cs="Times New Roman" w:hint="eastAsia"/>
          <w:color w:val="FF0000"/>
          <w:sz w:val="24"/>
        </w:rPr>
        <w:t>（</w:t>
      </w:r>
      <w:r w:rsidRPr="00CF7BCF">
        <w:rPr>
          <w:rFonts w:cs="Times New Roman"/>
          <w:color w:val="FF0000"/>
          <w:sz w:val="24"/>
        </w:rPr>
        <w:t>1</w:t>
      </w:r>
      <w:r w:rsidRPr="00CF7BCF">
        <w:rPr>
          <w:rFonts w:cs="Times New Roman" w:hint="eastAsia"/>
          <w:color w:val="FF0000"/>
          <w:sz w:val="24"/>
        </w:rPr>
        <w:t>）优化设备选型、合理布置声源；</w:t>
      </w:r>
    </w:p>
    <w:p w:rsidR="00644456" w:rsidRPr="00CF7BCF" w:rsidRDefault="008031C4">
      <w:pPr>
        <w:adjustRightInd w:val="0"/>
        <w:snapToGrid w:val="0"/>
        <w:spacing w:line="360" w:lineRule="auto"/>
        <w:ind w:firstLineChars="218" w:firstLine="523"/>
        <w:rPr>
          <w:rFonts w:cs="Times New Roman"/>
          <w:color w:val="FF0000"/>
          <w:sz w:val="24"/>
        </w:rPr>
      </w:pPr>
      <w:r w:rsidRPr="00CF7BCF">
        <w:rPr>
          <w:rFonts w:cs="Times New Roman" w:hint="eastAsia"/>
          <w:color w:val="FF0000"/>
          <w:sz w:val="24"/>
        </w:rPr>
        <w:t>（</w:t>
      </w:r>
      <w:r w:rsidRPr="00CF7BCF">
        <w:rPr>
          <w:rFonts w:cs="Times New Roman"/>
          <w:color w:val="FF0000"/>
          <w:sz w:val="24"/>
        </w:rPr>
        <w:t>2</w:t>
      </w:r>
      <w:r w:rsidRPr="00CF7BCF">
        <w:rPr>
          <w:rFonts w:cs="Times New Roman" w:hint="eastAsia"/>
          <w:color w:val="FF0000"/>
          <w:sz w:val="24"/>
        </w:rPr>
        <w:t>）高噪声设备基础设橡胶隔振垫，以减振降噪；水泵吸水管和出水管上均加设可曲绕橡胶接头以减振。</w:t>
      </w:r>
    </w:p>
    <w:p w:rsidR="00644456" w:rsidRPr="00CF7BCF" w:rsidRDefault="008031C4">
      <w:pPr>
        <w:adjustRightInd w:val="0"/>
        <w:snapToGrid w:val="0"/>
        <w:spacing w:line="360" w:lineRule="auto"/>
        <w:ind w:firstLineChars="218" w:firstLine="523"/>
        <w:rPr>
          <w:rFonts w:cs="Times New Roman"/>
          <w:color w:val="FF0000"/>
          <w:sz w:val="24"/>
        </w:rPr>
      </w:pPr>
      <w:r w:rsidRPr="00CF7BCF">
        <w:rPr>
          <w:rFonts w:cs="Times New Roman" w:hint="eastAsia"/>
          <w:color w:val="FF0000"/>
          <w:sz w:val="24"/>
        </w:rPr>
        <w:t>（</w:t>
      </w:r>
      <w:r w:rsidRPr="00CF7BCF">
        <w:rPr>
          <w:rFonts w:cs="Times New Roman"/>
          <w:color w:val="FF0000"/>
          <w:sz w:val="24"/>
        </w:rPr>
        <w:t>3</w:t>
      </w:r>
      <w:r w:rsidRPr="00CF7BCF">
        <w:rPr>
          <w:rFonts w:cs="Times New Roman" w:hint="eastAsia"/>
          <w:color w:val="FF0000"/>
          <w:sz w:val="24"/>
        </w:rPr>
        <w:t>）对风机采取主排风管和通风机的进出风管安装消声器</w:t>
      </w:r>
      <w:r w:rsidR="00CF7BCF" w:rsidRPr="00CF7BCF">
        <w:rPr>
          <w:rFonts w:cs="Times New Roman" w:hint="eastAsia"/>
          <w:color w:val="FF0000"/>
          <w:sz w:val="24"/>
        </w:rPr>
        <w:t>或</w:t>
      </w:r>
      <w:r w:rsidRPr="00CF7BCF">
        <w:rPr>
          <w:rFonts w:cs="Times New Roman" w:hint="eastAsia"/>
          <w:color w:val="FF0000"/>
          <w:sz w:val="24"/>
        </w:rPr>
        <w:t>管道进出口加柔性软接以及减振等降噪措施。</w:t>
      </w:r>
    </w:p>
    <w:p w:rsidR="00644456" w:rsidRDefault="008031C4">
      <w:pPr>
        <w:adjustRightInd w:val="0"/>
        <w:snapToGrid w:val="0"/>
        <w:spacing w:line="360" w:lineRule="auto"/>
        <w:ind w:firstLineChars="218" w:firstLine="525"/>
        <w:rPr>
          <w:rFonts w:cs="Times New Roman"/>
          <w:b/>
          <w:bCs/>
          <w:color w:val="000000" w:themeColor="text1"/>
          <w:sz w:val="24"/>
        </w:rPr>
      </w:pPr>
      <w:r>
        <w:rPr>
          <w:rFonts w:cs="Times New Roman" w:hint="eastAsia"/>
          <w:b/>
          <w:bCs/>
          <w:color w:val="000000" w:themeColor="text1"/>
          <w:sz w:val="24"/>
        </w:rPr>
        <w:t>本项目通过采取选用低噪声设备、底座及连接处加装减振垫等降噪措施后主要噪声源均可降至</w:t>
      </w:r>
      <w:r>
        <w:rPr>
          <w:rFonts w:cs="Times New Roman" w:hint="eastAsia"/>
          <w:b/>
          <w:bCs/>
          <w:color w:val="000000" w:themeColor="text1"/>
          <w:sz w:val="24"/>
        </w:rPr>
        <w:t>80dB</w:t>
      </w:r>
      <w:r>
        <w:rPr>
          <w:rFonts w:cs="Times New Roman" w:hint="eastAsia"/>
          <w:b/>
          <w:bCs/>
          <w:color w:val="000000" w:themeColor="text1"/>
          <w:sz w:val="24"/>
        </w:rPr>
        <w:t>（</w:t>
      </w:r>
      <w:r>
        <w:rPr>
          <w:rFonts w:cs="Times New Roman" w:hint="eastAsia"/>
          <w:b/>
          <w:bCs/>
          <w:color w:val="000000" w:themeColor="text1"/>
          <w:sz w:val="24"/>
        </w:rPr>
        <w:t>A</w:t>
      </w:r>
      <w:r>
        <w:rPr>
          <w:rFonts w:cs="Times New Roman" w:hint="eastAsia"/>
          <w:b/>
          <w:bCs/>
          <w:color w:val="000000" w:themeColor="text1"/>
          <w:sz w:val="24"/>
        </w:rPr>
        <w:t>）以下。</w:t>
      </w:r>
    </w:p>
    <w:p w:rsidR="00644456" w:rsidRDefault="008031C4">
      <w:pPr>
        <w:pStyle w:val="4"/>
        <w:numPr>
          <w:ilvl w:val="3"/>
          <w:numId w:val="0"/>
        </w:numPr>
        <w:ind w:firstLineChars="200" w:firstLine="482"/>
        <w:rPr>
          <w:rFonts w:cs="Times New Roman"/>
          <w:snapToGrid w:val="0"/>
          <w:color w:val="000000" w:themeColor="text1"/>
          <w:kern w:val="0"/>
          <w:szCs w:val="24"/>
        </w:rPr>
      </w:pPr>
      <w:bookmarkStart w:id="169" w:name="_Hlk155773781"/>
      <w:r>
        <w:rPr>
          <w:rFonts w:cs="Times New Roman" w:hint="eastAsia"/>
          <w:snapToGrid w:val="0"/>
          <w:color w:val="000000" w:themeColor="text1"/>
          <w:kern w:val="0"/>
          <w:szCs w:val="24"/>
        </w:rPr>
        <w:t>2.5.2.4</w:t>
      </w:r>
      <w:r>
        <w:rPr>
          <w:rFonts w:cs="Times New Roman"/>
          <w:snapToGrid w:val="0"/>
          <w:color w:val="000000" w:themeColor="text1"/>
          <w:kern w:val="0"/>
          <w:szCs w:val="24"/>
        </w:rPr>
        <w:t>固体废物处置</w:t>
      </w:r>
    </w:p>
    <w:p w:rsidR="00644456" w:rsidRDefault="008031C4">
      <w:pPr>
        <w:adjustRightInd w:val="0"/>
        <w:snapToGrid w:val="0"/>
        <w:spacing w:line="360" w:lineRule="auto"/>
        <w:ind w:firstLineChars="218" w:firstLine="523"/>
        <w:rPr>
          <w:rFonts w:cs="Times New Roman"/>
          <w:color w:val="000000" w:themeColor="text1"/>
          <w:sz w:val="24"/>
        </w:rPr>
      </w:pPr>
      <w:r>
        <w:rPr>
          <w:rFonts w:cs="Times New Roman" w:hint="eastAsia"/>
          <w:color w:val="000000" w:themeColor="text1"/>
          <w:sz w:val="24"/>
        </w:rPr>
        <w:t>本项目产生的固体废物来自三相过滤设施产生的含油废渣，原料油储罐产生的沉淀渣，废导热油，污水处理设施产生的污泥及员工生活垃圾等。</w:t>
      </w:r>
    </w:p>
    <w:p w:rsidR="00644456" w:rsidRDefault="008031C4">
      <w:pPr>
        <w:adjustRightInd w:val="0"/>
        <w:snapToGrid w:val="0"/>
        <w:spacing w:line="360" w:lineRule="auto"/>
        <w:ind w:firstLineChars="218" w:firstLine="523"/>
        <w:rPr>
          <w:rFonts w:cs="Times New Roman"/>
          <w:color w:val="000000" w:themeColor="text1"/>
          <w:sz w:val="24"/>
        </w:rPr>
      </w:pPr>
      <w:r>
        <w:rPr>
          <w:rFonts w:cs="Times New Roman" w:hint="eastAsia"/>
          <w:color w:val="000000" w:themeColor="text1"/>
          <w:sz w:val="24"/>
        </w:rPr>
        <w:t>按照固体废物性质分为一般固废和危险废物</w:t>
      </w:r>
      <w:r>
        <w:rPr>
          <w:rFonts w:cs="Times New Roman"/>
          <w:color w:val="000000" w:themeColor="text1"/>
          <w:sz w:val="24"/>
        </w:rPr>
        <w:t>：</w:t>
      </w:r>
    </w:p>
    <w:p w:rsidR="00644456" w:rsidRDefault="008031C4">
      <w:pPr>
        <w:pStyle w:val="5"/>
        <w:numPr>
          <w:ilvl w:val="4"/>
          <w:numId w:val="0"/>
        </w:numPr>
        <w:ind w:firstLine="480"/>
        <w:rPr>
          <w:snapToGrid w:val="0"/>
          <w:color w:val="000000" w:themeColor="text1"/>
        </w:rPr>
      </w:pPr>
      <w:r>
        <w:rPr>
          <w:rFonts w:hint="eastAsia"/>
          <w:snapToGrid w:val="0"/>
          <w:color w:val="000000" w:themeColor="text1"/>
        </w:rPr>
        <w:t>2.5.2.4.1</w:t>
      </w:r>
      <w:r>
        <w:rPr>
          <w:rFonts w:hint="eastAsia"/>
          <w:snapToGrid w:val="0"/>
          <w:color w:val="000000" w:themeColor="text1"/>
        </w:rPr>
        <w:t>一般固废</w:t>
      </w:r>
    </w:p>
    <w:p w:rsidR="00644456" w:rsidRDefault="008031C4">
      <w:pPr>
        <w:adjustRightInd w:val="0"/>
        <w:snapToGrid w:val="0"/>
        <w:spacing w:line="360" w:lineRule="auto"/>
        <w:ind w:firstLineChars="218" w:firstLine="523"/>
        <w:rPr>
          <w:rFonts w:cs="Times New Roman"/>
          <w:color w:val="000000" w:themeColor="text1"/>
          <w:sz w:val="24"/>
        </w:rPr>
      </w:pPr>
      <w:bookmarkStart w:id="170" w:name="_Hlk160030417"/>
      <w:r>
        <w:rPr>
          <w:rFonts w:cs="Times New Roman" w:hint="eastAsia"/>
          <w:color w:val="000000" w:themeColor="text1"/>
          <w:sz w:val="24"/>
        </w:rPr>
        <w:t>（</w:t>
      </w:r>
      <w:r>
        <w:rPr>
          <w:rFonts w:cs="Times New Roman" w:hint="eastAsia"/>
          <w:color w:val="000000" w:themeColor="text1"/>
          <w:sz w:val="24"/>
        </w:rPr>
        <w:t>1</w:t>
      </w:r>
      <w:r>
        <w:rPr>
          <w:rFonts w:cs="Times New Roman" w:hint="eastAsia"/>
          <w:color w:val="000000" w:themeColor="text1"/>
          <w:sz w:val="24"/>
        </w:rPr>
        <w:t>）办公及生活垃圾产生量按</w:t>
      </w:r>
      <w:r>
        <w:rPr>
          <w:rFonts w:cs="Times New Roman" w:hint="eastAsia"/>
          <w:color w:val="000000" w:themeColor="text1"/>
          <w:sz w:val="24"/>
        </w:rPr>
        <w:t>0.5kg/</w:t>
      </w:r>
      <w:r>
        <w:rPr>
          <w:rFonts w:cs="Times New Roman" w:hint="eastAsia"/>
          <w:color w:val="000000" w:themeColor="text1"/>
          <w:sz w:val="24"/>
        </w:rPr>
        <w:t>人</w:t>
      </w:r>
      <w:r>
        <w:rPr>
          <w:rFonts w:cs="Times New Roman" w:hint="eastAsia"/>
          <w:color w:val="000000" w:themeColor="text1"/>
          <w:sz w:val="24"/>
        </w:rPr>
        <w:t>.d</w:t>
      </w:r>
      <w:r>
        <w:rPr>
          <w:rFonts w:cs="Times New Roman" w:hint="eastAsia"/>
          <w:color w:val="000000" w:themeColor="text1"/>
          <w:sz w:val="24"/>
        </w:rPr>
        <w:t>计算，全厂</w:t>
      </w:r>
      <w:r>
        <w:rPr>
          <w:rFonts w:cs="Times New Roman"/>
          <w:color w:val="000000" w:themeColor="text1"/>
          <w:sz w:val="24"/>
        </w:rPr>
        <w:t>60</w:t>
      </w:r>
      <w:r>
        <w:rPr>
          <w:rFonts w:cs="Times New Roman" w:hint="eastAsia"/>
          <w:color w:val="000000" w:themeColor="text1"/>
          <w:sz w:val="24"/>
        </w:rPr>
        <w:t>人日产生办公及生活垃圾</w:t>
      </w:r>
      <w:r>
        <w:rPr>
          <w:rFonts w:cs="Times New Roman"/>
          <w:color w:val="000000" w:themeColor="text1"/>
          <w:sz w:val="24"/>
        </w:rPr>
        <w:t>30</w:t>
      </w:r>
      <w:r>
        <w:rPr>
          <w:rFonts w:cs="Times New Roman" w:hint="eastAsia"/>
          <w:color w:val="000000" w:themeColor="text1"/>
          <w:sz w:val="24"/>
        </w:rPr>
        <w:t>kg</w:t>
      </w:r>
      <w:r>
        <w:rPr>
          <w:rFonts w:cs="Times New Roman" w:hint="eastAsia"/>
          <w:color w:val="000000" w:themeColor="text1"/>
          <w:sz w:val="24"/>
        </w:rPr>
        <w:t>，年产生量约</w:t>
      </w:r>
      <w:r>
        <w:rPr>
          <w:rFonts w:cs="Times New Roman"/>
          <w:color w:val="000000" w:themeColor="text1"/>
          <w:sz w:val="24"/>
        </w:rPr>
        <w:t>9</w:t>
      </w:r>
      <w:r>
        <w:rPr>
          <w:rFonts w:cs="Times New Roman" w:hint="eastAsia"/>
          <w:color w:val="000000" w:themeColor="text1"/>
          <w:sz w:val="24"/>
        </w:rPr>
        <w:t>t/a</w:t>
      </w:r>
      <w:r>
        <w:rPr>
          <w:rFonts w:cs="Times New Roman" w:hint="eastAsia"/>
          <w:color w:val="000000" w:themeColor="text1"/>
          <w:sz w:val="24"/>
        </w:rPr>
        <w:t>，建设单位统一收集，交由环卫部门运至垃圾填埋场处理。</w:t>
      </w:r>
    </w:p>
    <w:p w:rsidR="00644456" w:rsidRDefault="008031C4">
      <w:pPr>
        <w:adjustRightInd w:val="0"/>
        <w:snapToGrid w:val="0"/>
        <w:spacing w:line="360" w:lineRule="auto"/>
        <w:ind w:firstLineChars="218" w:firstLine="523"/>
        <w:rPr>
          <w:rFonts w:cs="Times New Roman"/>
          <w:color w:val="000000" w:themeColor="text1"/>
          <w:sz w:val="24"/>
        </w:rPr>
      </w:pPr>
      <w:r>
        <w:rPr>
          <w:rFonts w:cs="Times New Roman" w:hint="eastAsia"/>
          <w:color w:val="000000" w:themeColor="text1"/>
          <w:sz w:val="24"/>
        </w:rPr>
        <w:t>（</w:t>
      </w:r>
      <w:r>
        <w:rPr>
          <w:rFonts w:cs="Times New Roman" w:hint="eastAsia"/>
          <w:color w:val="000000" w:themeColor="text1"/>
          <w:sz w:val="24"/>
        </w:rPr>
        <w:t>1</w:t>
      </w:r>
      <w:r>
        <w:rPr>
          <w:rFonts w:cs="Times New Roman" w:hint="eastAsia"/>
          <w:color w:val="000000" w:themeColor="text1"/>
          <w:sz w:val="24"/>
        </w:rPr>
        <w:t>）预处理池污泥：主要为预处理池清掏的污泥，按</w:t>
      </w:r>
      <w:r>
        <w:rPr>
          <w:rFonts w:cs="Times New Roman" w:hint="eastAsia"/>
          <w:color w:val="000000" w:themeColor="text1"/>
          <w:sz w:val="24"/>
        </w:rPr>
        <w:t>8kg/100m</w:t>
      </w:r>
      <w:r>
        <w:rPr>
          <w:rFonts w:cs="Times New Roman" w:hint="eastAsia"/>
          <w:color w:val="000000" w:themeColor="text1"/>
          <w:sz w:val="24"/>
          <w:vertAlign w:val="superscript"/>
        </w:rPr>
        <w:t>3</w:t>
      </w:r>
      <w:r>
        <w:rPr>
          <w:rFonts w:cs="Times New Roman" w:hint="eastAsia"/>
          <w:color w:val="000000" w:themeColor="text1"/>
          <w:sz w:val="24"/>
        </w:rPr>
        <w:t>·</w:t>
      </w:r>
      <w:r>
        <w:rPr>
          <w:rFonts w:cs="Times New Roman" w:hint="eastAsia"/>
          <w:color w:val="000000" w:themeColor="text1"/>
          <w:sz w:val="24"/>
        </w:rPr>
        <w:t>d</w:t>
      </w:r>
      <w:r>
        <w:rPr>
          <w:rFonts w:cs="Times New Roman" w:hint="eastAsia"/>
          <w:color w:val="000000" w:themeColor="text1"/>
          <w:sz w:val="24"/>
        </w:rPr>
        <w:t>（废水）计，</w:t>
      </w:r>
      <w:r>
        <w:rPr>
          <w:rFonts w:cs="Times New Roman" w:hint="eastAsia"/>
          <w:color w:val="000000" w:themeColor="text1"/>
          <w:sz w:val="24"/>
        </w:rPr>
        <w:lastRenderedPageBreak/>
        <w:t>产生量约</w:t>
      </w:r>
      <w:r>
        <w:rPr>
          <w:rFonts w:cs="Times New Roman"/>
          <w:color w:val="000000" w:themeColor="text1"/>
          <w:sz w:val="24"/>
        </w:rPr>
        <w:t>0.098</w:t>
      </w:r>
      <w:r>
        <w:rPr>
          <w:rFonts w:cs="Times New Roman" w:hint="eastAsia"/>
          <w:color w:val="000000" w:themeColor="text1"/>
          <w:sz w:val="24"/>
        </w:rPr>
        <w:t>t/a</w:t>
      </w:r>
      <w:r>
        <w:rPr>
          <w:rFonts w:cs="Times New Roman" w:hint="eastAsia"/>
          <w:color w:val="000000" w:themeColor="text1"/>
          <w:sz w:val="24"/>
        </w:rPr>
        <w:t>。定期委托环卫部门清掏处理。</w:t>
      </w:r>
    </w:p>
    <w:p w:rsidR="00644456" w:rsidRDefault="008031C4">
      <w:pPr>
        <w:pStyle w:val="5"/>
        <w:numPr>
          <w:ilvl w:val="4"/>
          <w:numId w:val="0"/>
        </w:numPr>
        <w:ind w:firstLine="480"/>
        <w:rPr>
          <w:snapToGrid w:val="0"/>
          <w:color w:val="000000" w:themeColor="text1"/>
        </w:rPr>
      </w:pPr>
      <w:r>
        <w:rPr>
          <w:rFonts w:hint="eastAsia"/>
          <w:snapToGrid w:val="0"/>
          <w:color w:val="000000" w:themeColor="text1"/>
        </w:rPr>
        <w:t>2.5.2.4.2</w:t>
      </w:r>
      <w:r>
        <w:rPr>
          <w:rFonts w:hint="eastAsia"/>
          <w:snapToGrid w:val="0"/>
          <w:color w:val="000000" w:themeColor="text1"/>
        </w:rPr>
        <w:t>危险废物</w:t>
      </w:r>
    </w:p>
    <w:p w:rsidR="00644456" w:rsidRDefault="008031C4">
      <w:pPr>
        <w:adjustRightInd w:val="0"/>
        <w:snapToGrid w:val="0"/>
        <w:spacing w:line="360" w:lineRule="auto"/>
        <w:ind w:firstLineChars="218" w:firstLine="523"/>
        <w:rPr>
          <w:rFonts w:cs="Times New Roman"/>
          <w:color w:val="000000" w:themeColor="text1"/>
          <w:sz w:val="24"/>
        </w:rPr>
      </w:pPr>
      <w:r>
        <w:rPr>
          <w:rFonts w:cs="Times New Roman" w:hint="eastAsia"/>
          <w:color w:val="000000" w:themeColor="text1"/>
          <w:sz w:val="24"/>
        </w:rPr>
        <w:t>本次评价按照《建设项目危险废物环境影响评价指南》（</w:t>
      </w:r>
      <w:r>
        <w:rPr>
          <w:rFonts w:cs="Times New Roman" w:hint="eastAsia"/>
          <w:color w:val="000000" w:themeColor="text1"/>
          <w:sz w:val="24"/>
        </w:rPr>
        <w:t>2017</w:t>
      </w:r>
      <w:r>
        <w:rPr>
          <w:rFonts w:cs="Times New Roman" w:hint="eastAsia"/>
          <w:color w:val="000000" w:themeColor="text1"/>
          <w:sz w:val="24"/>
        </w:rPr>
        <w:t>年</w:t>
      </w:r>
      <w:r>
        <w:rPr>
          <w:rFonts w:cs="Times New Roman" w:hint="eastAsia"/>
          <w:color w:val="000000" w:themeColor="text1"/>
          <w:sz w:val="24"/>
        </w:rPr>
        <w:t>10</w:t>
      </w:r>
      <w:r>
        <w:rPr>
          <w:rFonts w:cs="Times New Roman" w:hint="eastAsia"/>
          <w:color w:val="000000" w:themeColor="text1"/>
          <w:sz w:val="24"/>
        </w:rPr>
        <w:t>月</w:t>
      </w:r>
      <w:r>
        <w:rPr>
          <w:rFonts w:cs="Times New Roman" w:hint="eastAsia"/>
          <w:color w:val="000000" w:themeColor="text1"/>
          <w:sz w:val="24"/>
        </w:rPr>
        <w:t>1</w:t>
      </w:r>
      <w:r>
        <w:rPr>
          <w:rFonts w:cs="Times New Roman" w:hint="eastAsia"/>
          <w:color w:val="000000" w:themeColor="text1"/>
          <w:sz w:val="24"/>
        </w:rPr>
        <w:t>日实施）要求进行本项目危险废物的工程分析。主要包括危险废物的产生环节分析和危险性质判定、产生量核算、污染防治措施三大方面。</w:t>
      </w:r>
    </w:p>
    <w:p w:rsidR="00644456" w:rsidRDefault="008031C4">
      <w:pPr>
        <w:adjustRightInd w:val="0"/>
        <w:snapToGrid w:val="0"/>
        <w:spacing w:line="360" w:lineRule="auto"/>
        <w:ind w:firstLineChars="218" w:firstLine="523"/>
        <w:rPr>
          <w:rFonts w:cs="Times New Roman"/>
          <w:color w:val="000000" w:themeColor="text1"/>
          <w:sz w:val="24"/>
        </w:rPr>
      </w:pPr>
      <w:r>
        <w:rPr>
          <w:rFonts w:cs="Times New Roman" w:hint="eastAsia"/>
          <w:color w:val="000000" w:themeColor="text1"/>
          <w:sz w:val="24"/>
        </w:rPr>
        <w:t>（</w:t>
      </w:r>
      <w:r>
        <w:rPr>
          <w:rFonts w:cs="Times New Roman" w:hint="eastAsia"/>
          <w:color w:val="000000" w:themeColor="text1"/>
          <w:sz w:val="24"/>
        </w:rPr>
        <w:t>1</w:t>
      </w:r>
      <w:r>
        <w:rPr>
          <w:rFonts w:cs="Times New Roman" w:hint="eastAsia"/>
          <w:color w:val="000000" w:themeColor="text1"/>
          <w:sz w:val="24"/>
        </w:rPr>
        <w:t>）危险废物产生环节分析和危险性质判定</w:t>
      </w:r>
    </w:p>
    <w:p w:rsidR="00644456" w:rsidRDefault="008031C4">
      <w:pPr>
        <w:adjustRightInd w:val="0"/>
        <w:snapToGrid w:val="0"/>
        <w:spacing w:line="360" w:lineRule="auto"/>
        <w:ind w:firstLineChars="218" w:firstLine="523"/>
        <w:rPr>
          <w:rFonts w:cs="Times New Roman"/>
          <w:color w:val="000000" w:themeColor="text1"/>
          <w:sz w:val="24"/>
        </w:rPr>
      </w:pPr>
      <w:r>
        <w:rPr>
          <w:rFonts w:cs="Times New Roman" w:hint="eastAsia"/>
          <w:color w:val="000000" w:themeColor="text1"/>
          <w:sz w:val="24"/>
        </w:rPr>
        <w:t>①产生环节：</w:t>
      </w:r>
    </w:p>
    <w:p w:rsidR="00644456" w:rsidRDefault="008031C4">
      <w:pPr>
        <w:adjustRightInd w:val="0"/>
        <w:snapToGrid w:val="0"/>
        <w:spacing w:line="360" w:lineRule="auto"/>
        <w:ind w:firstLineChars="218" w:firstLine="523"/>
        <w:rPr>
          <w:rFonts w:cs="Times New Roman"/>
          <w:color w:val="000000" w:themeColor="text1"/>
          <w:sz w:val="24"/>
        </w:rPr>
      </w:pPr>
      <w:r>
        <w:rPr>
          <w:rFonts w:cs="Times New Roman" w:hint="eastAsia"/>
          <w:color w:val="000000" w:themeColor="text1"/>
          <w:sz w:val="24"/>
        </w:rPr>
        <w:t>三相过滤设施产生的含油废渣，原料油储罐产生的沉淀渣，导热油锅炉工段产生的废导热油等。</w:t>
      </w:r>
    </w:p>
    <w:p w:rsidR="00644456" w:rsidRDefault="008031C4">
      <w:pPr>
        <w:adjustRightInd w:val="0"/>
        <w:snapToGrid w:val="0"/>
        <w:spacing w:line="360" w:lineRule="auto"/>
        <w:ind w:firstLineChars="218" w:firstLine="523"/>
        <w:rPr>
          <w:rFonts w:cs="Times New Roman"/>
          <w:color w:val="000000" w:themeColor="text1"/>
          <w:sz w:val="24"/>
        </w:rPr>
      </w:pPr>
      <w:r>
        <w:rPr>
          <w:rFonts w:cs="Times New Roman" w:hint="eastAsia"/>
          <w:color w:val="000000" w:themeColor="text1"/>
          <w:sz w:val="24"/>
        </w:rPr>
        <w:t>②危险性质判定及产生量</w:t>
      </w:r>
    </w:p>
    <w:p w:rsidR="00644456" w:rsidRDefault="008031C4">
      <w:pPr>
        <w:adjustRightInd w:val="0"/>
        <w:snapToGrid w:val="0"/>
        <w:spacing w:line="360" w:lineRule="auto"/>
        <w:ind w:firstLineChars="218" w:firstLine="525"/>
        <w:rPr>
          <w:rFonts w:cs="Times New Roman"/>
          <w:color w:val="000000" w:themeColor="text1"/>
          <w:sz w:val="24"/>
        </w:rPr>
      </w:pPr>
      <w:bookmarkStart w:id="171" w:name="_Hlk177135756"/>
      <w:r>
        <w:rPr>
          <w:rFonts w:cs="Times New Roman" w:hint="eastAsia"/>
          <w:b/>
          <w:bCs/>
          <w:color w:val="000000" w:themeColor="text1"/>
          <w:sz w:val="24"/>
        </w:rPr>
        <w:t>含油废渣：</w:t>
      </w:r>
      <w:r>
        <w:rPr>
          <w:rFonts w:cs="Times New Roman" w:hint="eastAsia"/>
          <w:color w:val="000000" w:themeColor="text1"/>
          <w:sz w:val="24"/>
        </w:rPr>
        <w:t>含油废渣来自原料储罐初步沉淀后，储罐中下部的物料经过三相分离（油、渣、水）预处理后会产生固相含油废渣及储罐定期清罐产生的含油渣。根据物料平衡，这部分含油废渣的量为</w:t>
      </w:r>
      <w:r>
        <w:rPr>
          <w:rFonts w:cs="Times New Roman" w:hint="eastAsia"/>
          <w:color w:val="000000" w:themeColor="text1"/>
          <w:sz w:val="24"/>
        </w:rPr>
        <w:t>1211.8562t/a</w:t>
      </w:r>
      <w:r>
        <w:rPr>
          <w:rFonts w:cs="Times New Roman" w:hint="eastAsia"/>
          <w:color w:val="000000" w:themeColor="text1"/>
          <w:sz w:val="24"/>
        </w:rPr>
        <w:t>。根据《国家危险废物名录》（</w:t>
      </w:r>
      <w:r>
        <w:rPr>
          <w:rFonts w:cs="Times New Roman" w:hint="eastAsia"/>
          <w:color w:val="000000" w:themeColor="text1"/>
          <w:sz w:val="24"/>
        </w:rPr>
        <w:t>2021</w:t>
      </w:r>
      <w:r>
        <w:rPr>
          <w:rFonts w:cs="Times New Roman" w:hint="eastAsia"/>
          <w:color w:val="000000" w:themeColor="text1"/>
          <w:sz w:val="24"/>
        </w:rPr>
        <w:t>版），这部分的废渣属于危险废物，代码为</w:t>
      </w:r>
      <w:r>
        <w:rPr>
          <w:rFonts w:cs="Times New Roman" w:hint="eastAsia"/>
          <w:color w:val="000000" w:themeColor="text1"/>
          <w:sz w:val="24"/>
        </w:rPr>
        <w:t>900-213-08</w:t>
      </w:r>
      <w:r>
        <w:rPr>
          <w:rFonts w:cs="Times New Roman" w:hint="eastAsia"/>
          <w:color w:val="000000" w:themeColor="text1"/>
          <w:sz w:val="24"/>
        </w:rPr>
        <w:t>，产生后暂存在危险废物暂存区，定期委托资质单位处理。</w:t>
      </w:r>
    </w:p>
    <w:p w:rsidR="00644456" w:rsidRDefault="008031C4">
      <w:pPr>
        <w:adjustRightInd w:val="0"/>
        <w:snapToGrid w:val="0"/>
        <w:spacing w:line="360" w:lineRule="auto"/>
        <w:ind w:firstLineChars="218" w:firstLine="525"/>
        <w:rPr>
          <w:rFonts w:cs="Times New Roman"/>
          <w:color w:val="000000" w:themeColor="text1"/>
          <w:sz w:val="24"/>
        </w:rPr>
      </w:pPr>
      <w:r>
        <w:rPr>
          <w:rFonts w:cs="Times New Roman" w:hint="eastAsia"/>
          <w:b/>
          <w:bCs/>
          <w:color w:val="000000" w:themeColor="text1"/>
          <w:sz w:val="24"/>
        </w:rPr>
        <w:t>污水处理设施浮渣、浮油和污泥：</w:t>
      </w:r>
      <w:r>
        <w:rPr>
          <w:rFonts w:cs="Times New Roman" w:hint="eastAsia"/>
          <w:color w:val="000000" w:themeColor="text1"/>
          <w:sz w:val="24"/>
        </w:rPr>
        <w:t>本项目自建的污水处理设施处理含油废水在隔油、气浮等过程中产生的浮渣、浮油及污泥。该部分固废经过三相分离设施处理后，油相进入生产系统再次利用，固相排放量约为</w:t>
      </w:r>
      <w:r>
        <w:rPr>
          <w:rFonts w:cs="Times New Roman" w:hint="eastAsia"/>
          <w:color w:val="000000" w:themeColor="text1"/>
          <w:sz w:val="24"/>
        </w:rPr>
        <w:t>0.2t/a</w:t>
      </w:r>
      <w:r>
        <w:rPr>
          <w:rFonts w:cs="Times New Roman" w:hint="eastAsia"/>
          <w:color w:val="000000" w:themeColor="text1"/>
          <w:sz w:val="24"/>
        </w:rPr>
        <w:t>。根据《国家危险废物名录》（</w:t>
      </w:r>
      <w:r>
        <w:rPr>
          <w:rFonts w:cs="Times New Roman" w:hint="eastAsia"/>
          <w:color w:val="000000" w:themeColor="text1"/>
          <w:sz w:val="24"/>
        </w:rPr>
        <w:t>2021</w:t>
      </w:r>
      <w:r>
        <w:rPr>
          <w:rFonts w:cs="Times New Roman" w:hint="eastAsia"/>
          <w:color w:val="000000" w:themeColor="text1"/>
          <w:sz w:val="24"/>
        </w:rPr>
        <w:t>版），这部分固废属于危险废物，代码为</w:t>
      </w:r>
      <w:r>
        <w:rPr>
          <w:rFonts w:cs="Times New Roman" w:hint="eastAsia"/>
          <w:color w:val="000000" w:themeColor="text1"/>
          <w:sz w:val="24"/>
        </w:rPr>
        <w:t>900-210-08</w:t>
      </w:r>
      <w:r>
        <w:rPr>
          <w:rFonts w:cs="Times New Roman" w:hint="eastAsia"/>
          <w:color w:val="000000" w:themeColor="text1"/>
          <w:sz w:val="24"/>
        </w:rPr>
        <w:t>，产生后暂存在危险废物暂存区，定期委托资质单位处理。</w:t>
      </w:r>
    </w:p>
    <w:p w:rsidR="00644456" w:rsidRDefault="008031C4">
      <w:pPr>
        <w:adjustRightInd w:val="0"/>
        <w:snapToGrid w:val="0"/>
        <w:spacing w:line="360" w:lineRule="auto"/>
        <w:ind w:firstLineChars="218" w:firstLine="525"/>
        <w:rPr>
          <w:rFonts w:cs="Times New Roman"/>
          <w:color w:val="000000" w:themeColor="text1"/>
          <w:sz w:val="24"/>
        </w:rPr>
      </w:pPr>
      <w:r>
        <w:rPr>
          <w:rFonts w:cs="Times New Roman" w:hint="eastAsia"/>
          <w:b/>
          <w:bCs/>
          <w:color w:val="000000" w:themeColor="text1"/>
          <w:sz w:val="24"/>
        </w:rPr>
        <w:t>废导热油</w:t>
      </w:r>
      <w:r>
        <w:rPr>
          <w:rFonts w:cs="Times New Roman" w:hint="eastAsia"/>
          <w:color w:val="000000" w:themeColor="text1"/>
          <w:sz w:val="24"/>
        </w:rPr>
        <w:t>：项目设置</w:t>
      </w:r>
      <w:r>
        <w:rPr>
          <w:rFonts w:cs="Times New Roman" w:hint="eastAsia"/>
          <w:color w:val="000000" w:themeColor="text1"/>
          <w:sz w:val="24"/>
        </w:rPr>
        <w:t>1</w:t>
      </w:r>
      <w:r>
        <w:rPr>
          <w:rFonts w:cs="Times New Roman" w:hint="eastAsia"/>
          <w:color w:val="000000" w:themeColor="text1"/>
          <w:sz w:val="24"/>
        </w:rPr>
        <w:t>台</w:t>
      </w:r>
      <w:r>
        <w:rPr>
          <w:rFonts w:cs="Times New Roman" w:hint="eastAsia"/>
          <w:color w:val="000000" w:themeColor="text1"/>
          <w:sz w:val="24"/>
        </w:rPr>
        <w:t>400KW</w:t>
      </w:r>
      <w:r>
        <w:rPr>
          <w:rFonts w:cs="Times New Roman" w:hint="eastAsia"/>
          <w:color w:val="000000" w:themeColor="text1"/>
          <w:sz w:val="24"/>
        </w:rPr>
        <w:t>导热油炉，炉内容积为</w:t>
      </w:r>
      <w:r>
        <w:rPr>
          <w:rFonts w:cs="Times New Roman" w:hint="eastAsia"/>
          <w:color w:val="000000" w:themeColor="text1"/>
          <w:sz w:val="24"/>
        </w:rPr>
        <w:t>11m3</w:t>
      </w:r>
      <w:r>
        <w:rPr>
          <w:rFonts w:cs="Times New Roman" w:hint="eastAsia"/>
          <w:color w:val="000000" w:themeColor="text1"/>
          <w:sz w:val="24"/>
        </w:rPr>
        <w:t>，导热油的密度为</w:t>
      </w:r>
      <w:r>
        <w:rPr>
          <w:rFonts w:cs="Times New Roman" w:hint="eastAsia"/>
          <w:color w:val="000000" w:themeColor="text1"/>
          <w:sz w:val="24"/>
        </w:rPr>
        <w:t>860kg/m3</w:t>
      </w:r>
      <w:r>
        <w:rPr>
          <w:rFonts w:cs="Times New Roman" w:hint="eastAsia"/>
          <w:color w:val="000000" w:themeColor="text1"/>
          <w:sz w:val="24"/>
        </w:rPr>
        <w:t>，导热油炉两年更换一次，每次更换量为</w:t>
      </w:r>
      <w:r>
        <w:rPr>
          <w:rFonts w:cs="Times New Roman" w:hint="eastAsia"/>
          <w:color w:val="000000" w:themeColor="text1"/>
          <w:sz w:val="24"/>
        </w:rPr>
        <w:t>15.5t</w:t>
      </w:r>
      <w:r>
        <w:rPr>
          <w:rFonts w:cs="Times New Roman" w:hint="eastAsia"/>
          <w:color w:val="000000" w:themeColor="text1"/>
          <w:sz w:val="24"/>
        </w:rPr>
        <w:t>，即每年更换量为</w:t>
      </w:r>
      <w:r>
        <w:rPr>
          <w:rFonts w:cs="Times New Roman" w:hint="eastAsia"/>
          <w:color w:val="000000" w:themeColor="text1"/>
          <w:sz w:val="24"/>
        </w:rPr>
        <w:t>7.8</w:t>
      </w:r>
      <w:r>
        <w:rPr>
          <w:rFonts w:cs="Times New Roman" w:hint="eastAsia"/>
          <w:color w:val="000000" w:themeColor="text1"/>
          <w:sz w:val="24"/>
        </w:rPr>
        <w:t>吨。另外，导热油炉在运行过程中会有少量导热油损失，每年需补充导热油约</w:t>
      </w:r>
      <w:r>
        <w:rPr>
          <w:rFonts w:cs="Times New Roman" w:hint="eastAsia"/>
          <w:color w:val="000000" w:themeColor="text1"/>
          <w:sz w:val="24"/>
        </w:rPr>
        <w:t>0.7t/a</w:t>
      </w:r>
      <w:r>
        <w:rPr>
          <w:rFonts w:cs="Times New Roman" w:hint="eastAsia"/>
          <w:color w:val="000000" w:themeColor="text1"/>
          <w:sz w:val="24"/>
        </w:rPr>
        <w:t>。更换的废导热油属于危险废物，属危险废物</w:t>
      </w:r>
      <w:r>
        <w:rPr>
          <w:rFonts w:cs="Times New Roman" w:hint="eastAsia"/>
          <w:color w:val="000000" w:themeColor="text1"/>
          <w:sz w:val="24"/>
        </w:rPr>
        <w:t>HW08</w:t>
      </w:r>
      <w:r>
        <w:rPr>
          <w:rFonts w:cs="Times New Roman" w:hint="eastAsia"/>
          <w:color w:val="000000" w:themeColor="text1"/>
          <w:sz w:val="24"/>
        </w:rPr>
        <w:t>（</w:t>
      </w:r>
      <w:r>
        <w:rPr>
          <w:rFonts w:cs="Times New Roman" w:hint="eastAsia"/>
          <w:color w:val="000000" w:themeColor="text1"/>
          <w:sz w:val="24"/>
        </w:rPr>
        <w:t>900-249-08</w:t>
      </w:r>
      <w:r>
        <w:rPr>
          <w:rFonts w:cs="Times New Roman" w:hint="eastAsia"/>
          <w:color w:val="000000" w:themeColor="text1"/>
          <w:sz w:val="24"/>
        </w:rPr>
        <w:t>），须交由有资质的单位处理。</w:t>
      </w:r>
    </w:p>
    <w:p w:rsidR="00644456" w:rsidRDefault="008031C4">
      <w:pPr>
        <w:adjustRightInd w:val="0"/>
        <w:snapToGrid w:val="0"/>
        <w:spacing w:line="360" w:lineRule="auto"/>
        <w:ind w:firstLineChars="218" w:firstLine="525"/>
        <w:rPr>
          <w:rFonts w:cs="Times New Roman"/>
          <w:b/>
          <w:bCs/>
          <w:color w:val="000000" w:themeColor="text1"/>
          <w:sz w:val="24"/>
        </w:rPr>
      </w:pPr>
      <w:r>
        <w:rPr>
          <w:rFonts w:cs="Times New Roman"/>
          <w:b/>
          <w:bCs/>
          <w:color w:val="000000" w:themeColor="text1"/>
          <w:sz w:val="24"/>
        </w:rPr>
        <w:t>蒸馏残渣：</w:t>
      </w:r>
      <w:r>
        <w:rPr>
          <w:rFonts w:cs="Times New Roman"/>
          <w:color w:val="000000" w:themeColor="text1"/>
          <w:sz w:val="24"/>
        </w:rPr>
        <w:t>本项目在蒸馏过程中会产生蒸馏残渣，根据物料平衡，这部分含油废渣的量为</w:t>
      </w:r>
      <w:r>
        <w:rPr>
          <w:rFonts w:cs="Times New Roman"/>
          <w:color w:val="000000" w:themeColor="text1"/>
          <w:sz w:val="24"/>
        </w:rPr>
        <w:t>5.974t/a</w:t>
      </w:r>
      <w:r>
        <w:rPr>
          <w:rFonts w:cs="Times New Roman"/>
          <w:color w:val="000000" w:themeColor="text1"/>
          <w:sz w:val="24"/>
        </w:rPr>
        <w:t>。根据《国家危险废物名录》（</w:t>
      </w:r>
      <w:r>
        <w:rPr>
          <w:rFonts w:cs="Times New Roman"/>
          <w:color w:val="000000" w:themeColor="text1"/>
          <w:sz w:val="24"/>
        </w:rPr>
        <w:t>2021</w:t>
      </w:r>
      <w:r>
        <w:rPr>
          <w:rFonts w:cs="Times New Roman"/>
          <w:color w:val="000000" w:themeColor="text1"/>
          <w:sz w:val="24"/>
        </w:rPr>
        <w:t>版），这部分的废渣属于危险废物，代码为</w:t>
      </w:r>
      <w:r>
        <w:rPr>
          <w:rFonts w:cs="Times New Roman"/>
          <w:color w:val="000000" w:themeColor="text1"/>
          <w:sz w:val="24"/>
        </w:rPr>
        <w:t>900-213-08</w:t>
      </w:r>
      <w:r>
        <w:rPr>
          <w:rFonts w:cs="Times New Roman"/>
          <w:color w:val="000000" w:themeColor="text1"/>
          <w:sz w:val="24"/>
        </w:rPr>
        <w:t>，产生后暂存在危险废物暂存区，定期委托资质单位处理。</w:t>
      </w:r>
    </w:p>
    <w:p w:rsidR="00644456" w:rsidRDefault="008031C4">
      <w:pPr>
        <w:adjustRightInd w:val="0"/>
        <w:snapToGrid w:val="0"/>
        <w:spacing w:line="360" w:lineRule="auto"/>
        <w:ind w:firstLineChars="218" w:firstLine="525"/>
        <w:rPr>
          <w:rFonts w:cs="Times New Roman"/>
          <w:b/>
          <w:bCs/>
          <w:color w:val="000000" w:themeColor="text1"/>
          <w:sz w:val="24"/>
        </w:rPr>
      </w:pPr>
      <w:r>
        <w:rPr>
          <w:rFonts w:cs="Times New Roman"/>
          <w:b/>
          <w:bCs/>
          <w:color w:val="000000" w:themeColor="text1"/>
          <w:sz w:val="24"/>
        </w:rPr>
        <w:t>废干式过滤器：</w:t>
      </w:r>
      <w:r>
        <w:rPr>
          <w:rFonts w:cs="Times New Roman"/>
          <w:color w:val="000000" w:themeColor="text1"/>
          <w:sz w:val="24"/>
        </w:rPr>
        <w:t>本项目废气净化设施干式过滤器</w:t>
      </w:r>
      <w:r>
        <w:rPr>
          <w:rFonts w:cs="Times New Roman"/>
          <w:color w:val="000000" w:themeColor="text1"/>
          <w:sz w:val="24"/>
        </w:rPr>
        <w:t>1</w:t>
      </w:r>
      <w:r>
        <w:rPr>
          <w:rFonts w:cs="Times New Roman"/>
          <w:color w:val="000000" w:themeColor="text1"/>
          <w:sz w:val="24"/>
        </w:rPr>
        <w:t>年更换一次，一次更换量为</w:t>
      </w:r>
      <w:r>
        <w:rPr>
          <w:rFonts w:cs="Times New Roman"/>
          <w:color w:val="000000" w:themeColor="text1"/>
          <w:sz w:val="24"/>
        </w:rPr>
        <w:t>0.005t/a</w:t>
      </w:r>
      <w:r>
        <w:rPr>
          <w:rFonts w:cs="Times New Roman"/>
          <w:color w:val="000000" w:themeColor="text1"/>
          <w:sz w:val="24"/>
        </w:rPr>
        <w:t>，其属于危险废物，代码为</w:t>
      </w:r>
      <w:r>
        <w:rPr>
          <w:rFonts w:cs="Times New Roman"/>
          <w:color w:val="000000" w:themeColor="text1"/>
          <w:sz w:val="24"/>
        </w:rPr>
        <w:t>900-249-08</w:t>
      </w:r>
      <w:r>
        <w:rPr>
          <w:rFonts w:cs="Times New Roman"/>
          <w:color w:val="000000" w:themeColor="text1"/>
          <w:sz w:val="24"/>
        </w:rPr>
        <w:t>。</w:t>
      </w:r>
    </w:p>
    <w:p w:rsidR="00644456" w:rsidRDefault="008031C4">
      <w:pPr>
        <w:adjustRightInd w:val="0"/>
        <w:snapToGrid w:val="0"/>
        <w:spacing w:line="360" w:lineRule="auto"/>
        <w:ind w:firstLineChars="218" w:firstLine="525"/>
        <w:rPr>
          <w:rFonts w:cs="Times New Roman"/>
          <w:color w:val="000000" w:themeColor="text1"/>
          <w:sz w:val="24"/>
        </w:rPr>
      </w:pPr>
      <w:r>
        <w:rPr>
          <w:rFonts w:cs="Times New Roman"/>
          <w:b/>
          <w:bCs/>
          <w:color w:val="000000" w:themeColor="text1"/>
          <w:sz w:val="24"/>
        </w:rPr>
        <w:t>其他危险废物：</w:t>
      </w:r>
      <w:r>
        <w:rPr>
          <w:rFonts w:cs="Times New Roman"/>
          <w:color w:val="000000" w:themeColor="text1"/>
          <w:sz w:val="24"/>
        </w:rPr>
        <w:t>考虑本项目回收的废矿物油有部分来自汽车维修企业，回收的废</w:t>
      </w:r>
      <w:r>
        <w:rPr>
          <w:rFonts w:cs="Times New Roman"/>
          <w:color w:val="000000" w:themeColor="text1"/>
          <w:sz w:val="24"/>
        </w:rPr>
        <w:lastRenderedPageBreak/>
        <w:t>矿物油可能会携带部分汽车维修过程中产生的机油滤清器，这类机油滤清器属于危险废物，</w:t>
      </w:r>
      <w:r>
        <w:rPr>
          <w:rFonts w:cs="Times New Roman" w:hint="eastAsia"/>
          <w:color w:val="000000" w:themeColor="text1"/>
          <w:sz w:val="24"/>
        </w:rPr>
        <w:t>产生量为</w:t>
      </w:r>
      <w:r>
        <w:rPr>
          <w:rFonts w:cs="Times New Roman" w:hint="eastAsia"/>
          <w:color w:val="000000" w:themeColor="text1"/>
          <w:sz w:val="24"/>
        </w:rPr>
        <w:t>9</w:t>
      </w:r>
      <w:r>
        <w:rPr>
          <w:rFonts w:cs="Times New Roman"/>
          <w:color w:val="000000" w:themeColor="text1"/>
          <w:sz w:val="24"/>
        </w:rPr>
        <w:t>t/a</w:t>
      </w:r>
      <w:r>
        <w:rPr>
          <w:rFonts w:cs="Times New Roman"/>
          <w:color w:val="000000" w:themeColor="text1"/>
          <w:sz w:val="24"/>
        </w:rPr>
        <w:t>代码为</w:t>
      </w:r>
      <w:r>
        <w:rPr>
          <w:rFonts w:cs="Times New Roman"/>
          <w:color w:val="000000" w:themeColor="text1"/>
          <w:sz w:val="24"/>
        </w:rPr>
        <w:t>900-249-08</w:t>
      </w:r>
      <w:r>
        <w:rPr>
          <w:rFonts w:cs="Times New Roman"/>
          <w:color w:val="000000" w:themeColor="text1"/>
          <w:sz w:val="24"/>
        </w:rPr>
        <w:t>。针对这部分可能存在的危险废物，但要求建设单位在其产生时应及时收集并暂存在危险废物暂存区，定期委托资质单位处理。</w:t>
      </w:r>
    </w:p>
    <w:bookmarkEnd w:id="171"/>
    <w:p w:rsidR="00644456" w:rsidRDefault="00644456">
      <w:pPr>
        <w:adjustRightInd w:val="0"/>
        <w:snapToGrid w:val="0"/>
        <w:spacing w:line="360" w:lineRule="auto"/>
        <w:ind w:firstLineChars="218" w:firstLine="523"/>
        <w:rPr>
          <w:rFonts w:cs="Times New Roman"/>
          <w:color w:val="000000" w:themeColor="text1"/>
          <w:sz w:val="24"/>
        </w:rPr>
      </w:pPr>
    </w:p>
    <w:p w:rsidR="00644456" w:rsidRDefault="00644456">
      <w:pPr>
        <w:adjustRightInd w:val="0"/>
        <w:snapToGrid w:val="0"/>
        <w:spacing w:line="360" w:lineRule="auto"/>
        <w:ind w:firstLineChars="218" w:firstLine="523"/>
        <w:rPr>
          <w:rFonts w:cs="Times New Roman"/>
          <w:color w:val="000000" w:themeColor="text1"/>
          <w:sz w:val="24"/>
        </w:rPr>
        <w:sectPr w:rsidR="00644456">
          <w:pgSz w:w="11905" w:h="16838"/>
          <w:pgMar w:top="1440" w:right="1440" w:bottom="1440" w:left="1440" w:header="850" w:footer="992" w:gutter="0"/>
          <w:cols w:space="0"/>
        </w:sectPr>
      </w:pPr>
    </w:p>
    <w:p w:rsidR="00644456" w:rsidRDefault="008031C4">
      <w:pPr>
        <w:autoSpaceDE w:val="0"/>
        <w:autoSpaceDN w:val="0"/>
        <w:adjustRightInd w:val="0"/>
        <w:jc w:val="center"/>
        <w:rPr>
          <w:rFonts w:cs="Times New Roman"/>
          <w:b/>
          <w:color w:val="000000" w:themeColor="text1"/>
          <w:sz w:val="24"/>
          <w:szCs w:val="20"/>
        </w:rPr>
      </w:pPr>
      <w:bookmarkStart w:id="172" w:name="_Hlk160443422"/>
      <w:bookmarkEnd w:id="170"/>
      <w:r>
        <w:rPr>
          <w:rFonts w:cs="Times New Roman" w:hint="eastAsia"/>
          <w:b/>
          <w:color w:val="000000" w:themeColor="text1"/>
          <w:sz w:val="24"/>
          <w:szCs w:val="20"/>
        </w:rPr>
        <w:lastRenderedPageBreak/>
        <w:t>表</w:t>
      </w:r>
      <w:r>
        <w:rPr>
          <w:rFonts w:cs="Times New Roman" w:hint="eastAsia"/>
          <w:b/>
          <w:color w:val="000000" w:themeColor="text1"/>
          <w:sz w:val="24"/>
          <w:szCs w:val="20"/>
        </w:rPr>
        <w:t>2.5-14</w:t>
      </w:r>
      <w:r>
        <w:rPr>
          <w:rFonts w:cs="Times New Roman" w:hint="eastAsia"/>
          <w:b/>
          <w:color w:val="000000" w:themeColor="text1"/>
          <w:sz w:val="24"/>
          <w:szCs w:val="20"/>
        </w:rPr>
        <w:t>项目运营期产生的危险废物及危废贮存设施情况一览表</w:t>
      </w:r>
    </w:p>
    <w:tbl>
      <w:tblPr>
        <w:tblStyle w:val="affff4"/>
        <w:tblW w:w="13941"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26"/>
        <w:gridCol w:w="1009"/>
        <w:gridCol w:w="776"/>
        <w:gridCol w:w="1196"/>
        <w:gridCol w:w="1101"/>
        <w:gridCol w:w="693"/>
        <w:gridCol w:w="713"/>
        <w:gridCol w:w="693"/>
        <w:gridCol w:w="725"/>
        <w:gridCol w:w="749"/>
        <w:gridCol w:w="986"/>
        <w:gridCol w:w="1153"/>
        <w:gridCol w:w="680"/>
        <w:gridCol w:w="680"/>
        <w:gridCol w:w="870"/>
        <w:gridCol w:w="870"/>
        <w:gridCol w:w="621"/>
      </w:tblGrid>
      <w:tr w:rsidR="00644456">
        <w:trPr>
          <w:trHeight w:val="469"/>
        </w:trPr>
        <w:tc>
          <w:tcPr>
            <w:tcW w:w="426"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序号</w:t>
            </w:r>
          </w:p>
        </w:tc>
        <w:tc>
          <w:tcPr>
            <w:tcW w:w="1106"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危废名称</w:t>
            </w:r>
          </w:p>
        </w:tc>
        <w:tc>
          <w:tcPr>
            <w:tcW w:w="776"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危废类别</w:t>
            </w:r>
          </w:p>
        </w:tc>
        <w:tc>
          <w:tcPr>
            <w:tcW w:w="902"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危废代码</w:t>
            </w:r>
          </w:p>
        </w:tc>
        <w:tc>
          <w:tcPr>
            <w:tcW w:w="792" w:type="dxa"/>
            <w:vAlign w:val="center"/>
          </w:tcPr>
          <w:p w:rsidR="00644456" w:rsidRDefault="008031C4">
            <w:pPr>
              <w:jc w:val="center"/>
              <w:rPr>
                <w:snapToGrid w:val="0"/>
                <w:color w:val="000000" w:themeColor="text1"/>
                <w:szCs w:val="21"/>
              </w:rPr>
            </w:pPr>
            <w:r>
              <w:rPr>
                <w:rFonts w:hint="eastAsia"/>
                <w:snapToGrid w:val="0"/>
                <w:color w:val="000000" w:themeColor="text1"/>
                <w:szCs w:val="21"/>
              </w:rPr>
              <w:t>产生量</w:t>
            </w:r>
          </w:p>
          <w:p w:rsidR="00644456" w:rsidRDefault="008031C4">
            <w:pPr>
              <w:jc w:val="center"/>
              <w:rPr>
                <w:snapToGrid w:val="0"/>
                <w:color w:val="000000" w:themeColor="text1"/>
                <w:szCs w:val="21"/>
              </w:rPr>
            </w:pPr>
            <w:r>
              <w:rPr>
                <w:snapToGrid w:val="0"/>
                <w:color w:val="000000" w:themeColor="text1"/>
                <w:szCs w:val="21"/>
              </w:rPr>
              <w:t>t/a</w:t>
            </w:r>
          </w:p>
        </w:tc>
        <w:tc>
          <w:tcPr>
            <w:tcW w:w="76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产生工序</w:t>
            </w:r>
          </w:p>
        </w:tc>
        <w:tc>
          <w:tcPr>
            <w:tcW w:w="788"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形态</w:t>
            </w:r>
          </w:p>
        </w:tc>
        <w:tc>
          <w:tcPr>
            <w:tcW w:w="76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主要成分</w:t>
            </w:r>
          </w:p>
        </w:tc>
        <w:tc>
          <w:tcPr>
            <w:tcW w:w="80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有害成分</w:t>
            </w:r>
          </w:p>
        </w:tc>
        <w:tc>
          <w:tcPr>
            <w:tcW w:w="778" w:type="dxa"/>
            <w:vAlign w:val="center"/>
          </w:tcPr>
          <w:p w:rsidR="00644456" w:rsidRDefault="008031C4">
            <w:pPr>
              <w:jc w:val="center"/>
              <w:rPr>
                <w:snapToGrid w:val="0"/>
                <w:color w:val="000000" w:themeColor="text1"/>
                <w:szCs w:val="21"/>
              </w:rPr>
            </w:pPr>
            <w:r>
              <w:rPr>
                <w:rFonts w:hint="eastAsia"/>
                <w:snapToGrid w:val="0"/>
                <w:color w:val="000000" w:themeColor="text1"/>
                <w:szCs w:val="21"/>
              </w:rPr>
              <w:t>产废周期</w:t>
            </w:r>
          </w:p>
        </w:tc>
        <w:tc>
          <w:tcPr>
            <w:tcW w:w="1098"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危险特性</w:t>
            </w:r>
          </w:p>
        </w:tc>
        <w:tc>
          <w:tcPr>
            <w:tcW w:w="1288" w:type="dxa"/>
            <w:vAlign w:val="center"/>
          </w:tcPr>
          <w:p w:rsidR="00644456" w:rsidRDefault="008031C4">
            <w:pPr>
              <w:jc w:val="center"/>
              <w:rPr>
                <w:snapToGrid w:val="0"/>
                <w:color w:val="000000" w:themeColor="text1"/>
                <w:szCs w:val="21"/>
              </w:rPr>
            </w:pPr>
            <w:r>
              <w:rPr>
                <w:rFonts w:hint="eastAsia"/>
                <w:snapToGrid w:val="0"/>
                <w:color w:val="000000" w:themeColor="text1"/>
                <w:szCs w:val="21"/>
              </w:rPr>
              <w:t>防治措施</w:t>
            </w:r>
          </w:p>
        </w:tc>
        <w:tc>
          <w:tcPr>
            <w:tcW w:w="746" w:type="dxa"/>
            <w:vAlign w:val="center"/>
          </w:tcPr>
          <w:p w:rsidR="00644456" w:rsidRDefault="008031C4">
            <w:pPr>
              <w:jc w:val="center"/>
              <w:rPr>
                <w:snapToGrid w:val="0"/>
                <w:color w:val="000000" w:themeColor="text1"/>
                <w:szCs w:val="21"/>
              </w:rPr>
            </w:pPr>
            <w:r>
              <w:rPr>
                <w:rFonts w:hint="eastAsia"/>
                <w:snapToGrid w:val="0"/>
                <w:color w:val="000000" w:themeColor="text1"/>
                <w:szCs w:val="21"/>
              </w:rPr>
              <w:t>贮存场所名称</w:t>
            </w:r>
          </w:p>
        </w:tc>
        <w:tc>
          <w:tcPr>
            <w:tcW w:w="746" w:type="dxa"/>
            <w:vAlign w:val="center"/>
          </w:tcPr>
          <w:p w:rsidR="00644456" w:rsidRDefault="008031C4">
            <w:pPr>
              <w:jc w:val="center"/>
              <w:rPr>
                <w:snapToGrid w:val="0"/>
                <w:color w:val="000000" w:themeColor="text1"/>
                <w:szCs w:val="21"/>
              </w:rPr>
            </w:pPr>
            <w:r>
              <w:rPr>
                <w:rFonts w:hint="eastAsia"/>
                <w:snapToGrid w:val="0"/>
                <w:color w:val="000000" w:themeColor="text1"/>
                <w:szCs w:val="21"/>
              </w:rPr>
              <w:t>位置</w:t>
            </w:r>
          </w:p>
        </w:tc>
        <w:tc>
          <w:tcPr>
            <w:tcW w:w="800"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占地面积</w:t>
            </w:r>
          </w:p>
        </w:tc>
        <w:tc>
          <w:tcPr>
            <w:tcW w:w="721" w:type="dxa"/>
            <w:vAlign w:val="center"/>
          </w:tcPr>
          <w:p w:rsidR="00644456" w:rsidRDefault="008031C4">
            <w:pPr>
              <w:jc w:val="center"/>
              <w:rPr>
                <w:snapToGrid w:val="0"/>
                <w:color w:val="000000" w:themeColor="text1"/>
                <w:szCs w:val="21"/>
              </w:rPr>
            </w:pPr>
            <w:r>
              <w:rPr>
                <w:rFonts w:hint="eastAsia"/>
                <w:snapToGrid w:val="0"/>
                <w:color w:val="000000" w:themeColor="text1"/>
                <w:szCs w:val="21"/>
              </w:rPr>
              <w:t>贮存能力</w:t>
            </w:r>
          </w:p>
        </w:tc>
        <w:tc>
          <w:tcPr>
            <w:tcW w:w="645" w:type="dxa"/>
            <w:vAlign w:val="center"/>
          </w:tcPr>
          <w:p w:rsidR="00644456" w:rsidRDefault="008031C4">
            <w:pPr>
              <w:jc w:val="center"/>
              <w:rPr>
                <w:snapToGrid w:val="0"/>
                <w:color w:val="000000" w:themeColor="text1"/>
                <w:szCs w:val="21"/>
              </w:rPr>
            </w:pPr>
            <w:r>
              <w:rPr>
                <w:rFonts w:hint="eastAsia"/>
                <w:snapToGrid w:val="0"/>
                <w:color w:val="000000" w:themeColor="text1"/>
                <w:szCs w:val="21"/>
              </w:rPr>
              <w:t>贮存周期</w:t>
            </w:r>
          </w:p>
        </w:tc>
      </w:tr>
      <w:tr w:rsidR="00644456">
        <w:trPr>
          <w:trHeight w:val="137"/>
        </w:trPr>
        <w:tc>
          <w:tcPr>
            <w:tcW w:w="426" w:type="dxa"/>
            <w:vAlign w:val="center"/>
          </w:tcPr>
          <w:p w:rsidR="00644456" w:rsidRDefault="008031C4">
            <w:pPr>
              <w:jc w:val="center"/>
              <w:rPr>
                <w:snapToGrid w:val="0"/>
                <w:color w:val="000000" w:themeColor="text1"/>
                <w:szCs w:val="21"/>
              </w:rPr>
            </w:pPr>
            <w:r>
              <w:rPr>
                <w:rFonts w:hint="eastAsia"/>
                <w:snapToGrid w:val="0"/>
                <w:color w:val="000000" w:themeColor="text1"/>
                <w:szCs w:val="21"/>
              </w:rPr>
              <w:t>1</w:t>
            </w:r>
          </w:p>
        </w:tc>
        <w:tc>
          <w:tcPr>
            <w:tcW w:w="1106"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含油废渣</w:t>
            </w:r>
          </w:p>
        </w:tc>
        <w:tc>
          <w:tcPr>
            <w:tcW w:w="776" w:type="dxa"/>
            <w:vAlign w:val="center"/>
          </w:tcPr>
          <w:p w:rsidR="00644456" w:rsidRDefault="008031C4">
            <w:pPr>
              <w:jc w:val="center"/>
              <w:rPr>
                <w:snapToGrid w:val="0"/>
                <w:color w:val="000000" w:themeColor="text1"/>
                <w:szCs w:val="21"/>
              </w:rPr>
            </w:pPr>
            <w:r>
              <w:rPr>
                <w:snapToGrid w:val="0"/>
                <w:color w:val="000000" w:themeColor="text1"/>
                <w:szCs w:val="21"/>
              </w:rPr>
              <w:t>HW08</w:t>
            </w:r>
          </w:p>
        </w:tc>
        <w:tc>
          <w:tcPr>
            <w:tcW w:w="902" w:type="dxa"/>
            <w:vAlign w:val="center"/>
          </w:tcPr>
          <w:p w:rsidR="00644456" w:rsidRDefault="008031C4">
            <w:pPr>
              <w:jc w:val="center"/>
              <w:rPr>
                <w:snapToGrid w:val="0"/>
                <w:color w:val="000000" w:themeColor="text1"/>
                <w:szCs w:val="21"/>
              </w:rPr>
            </w:pPr>
            <w:r>
              <w:rPr>
                <w:snapToGrid w:val="0"/>
                <w:color w:val="000000" w:themeColor="text1"/>
                <w:szCs w:val="21"/>
              </w:rPr>
              <w:t>900-213-08</w:t>
            </w:r>
          </w:p>
        </w:tc>
        <w:tc>
          <w:tcPr>
            <w:tcW w:w="792" w:type="dxa"/>
            <w:vAlign w:val="center"/>
          </w:tcPr>
          <w:p w:rsidR="00644456" w:rsidRDefault="008031C4">
            <w:pPr>
              <w:jc w:val="center"/>
              <w:rPr>
                <w:snapToGrid w:val="0"/>
                <w:color w:val="000000" w:themeColor="text1"/>
                <w:szCs w:val="21"/>
              </w:rPr>
            </w:pPr>
            <w:r>
              <w:rPr>
                <w:rFonts w:hint="eastAsia"/>
                <w:snapToGrid w:val="0"/>
                <w:color w:val="000000" w:themeColor="text1"/>
                <w:szCs w:val="21"/>
              </w:rPr>
              <w:t>1211.8562</w:t>
            </w:r>
          </w:p>
        </w:tc>
        <w:tc>
          <w:tcPr>
            <w:tcW w:w="76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储存</w:t>
            </w:r>
          </w:p>
        </w:tc>
        <w:tc>
          <w:tcPr>
            <w:tcW w:w="788" w:type="dxa"/>
            <w:vAlign w:val="center"/>
          </w:tcPr>
          <w:p w:rsidR="00644456" w:rsidRDefault="008031C4">
            <w:pPr>
              <w:jc w:val="center"/>
              <w:rPr>
                <w:snapToGrid w:val="0"/>
                <w:color w:val="000000" w:themeColor="text1"/>
                <w:szCs w:val="21"/>
              </w:rPr>
            </w:pPr>
            <w:r>
              <w:rPr>
                <w:rFonts w:hint="eastAsia"/>
                <w:snapToGrid w:val="0"/>
                <w:color w:val="000000" w:themeColor="text1"/>
                <w:szCs w:val="21"/>
              </w:rPr>
              <w:t>液态</w:t>
            </w:r>
          </w:p>
        </w:tc>
        <w:tc>
          <w:tcPr>
            <w:tcW w:w="76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矿物油</w:t>
            </w:r>
          </w:p>
        </w:tc>
        <w:tc>
          <w:tcPr>
            <w:tcW w:w="803" w:type="dxa"/>
            <w:vMerge w:val="restart"/>
            <w:vAlign w:val="center"/>
          </w:tcPr>
          <w:p w:rsidR="00644456" w:rsidRDefault="008031C4">
            <w:pPr>
              <w:jc w:val="center"/>
              <w:rPr>
                <w:snapToGrid w:val="0"/>
                <w:color w:val="000000" w:themeColor="text1"/>
                <w:szCs w:val="21"/>
              </w:rPr>
            </w:pPr>
            <w:r>
              <w:rPr>
                <w:rFonts w:hint="eastAsia"/>
                <w:snapToGrid w:val="0"/>
                <w:color w:val="000000" w:themeColor="text1"/>
                <w:szCs w:val="21"/>
              </w:rPr>
              <w:t>矿物油</w:t>
            </w:r>
          </w:p>
        </w:tc>
        <w:tc>
          <w:tcPr>
            <w:tcW w:w="778" w:type="dxa"/>
            <w:vAlign w:val="center"/>
          </w:tcPr>
          <w:p w:rsidR="00644456" w:rsidRDefault="008031C4">
            <w:pPr>
              <w:jc w:val="center"/>
              <w:rPr>
                <w:snapToGrid w:val="0"/>
                <w:color w:val="000000" w:themeColor="text1"/>
                <w:szCs w:val="21"/>
              </w:rPr>
            </w:pPr>
            <w:r>
              <w:rPr>
                <w:snapToGrid w:val="0"/>
                <w:color w:val="000000" w:themeColor="text1"/>
                <w:szCs w:val="21"/>
              </w:rPr>
              <w:t>7d</w:t>
            </w:r>
          </w:p>
        </w:tc>
        <w:tc>
          <w:tcPr>
            <w:tcW w:w="1098" w:type="dxa"/>
            <w:vAlign w:val="center"/>
          </w:tcPr>
          <w:p w:rsidR="00644456" w:rsidRDefault="008031C4">
            <w:pPr>
              <w:jc w:val="center"/>
              <w:rPr>
                <w:snapToGrid w:val="0"/>
                <w:color w:val="000000" w:themeColor="text1"/>
                <w:szCs w:val="21"/>
              </w:rPr>
            </w:pPr>
            <w:r>
              <w:rPr>
                <w:snapToGrid w:val="0"/>
                <w:color w:val="000000" w:themeColor="text1"/>
                <w:szCs w:val="21"/>
              </w:rPr>
              <w:t>T</w:t>
            </w:r>
            <w:r>
              <w:rPr>
                <w:snapToGrid w:val="0"/>
                <w:color w:val="000000" w:themeColor="text1"/>
                <w:szCs w:val="21"/>
              </w:rPr>
              <w:t>，</w:t>
            </w:r>
            <w:r>
              <w:rPr>
                <w:snapToGrid w:val="0"/>
                <w:color w:val="000000" w:themeColor="text1"/>
                <w:szCs w:val="21"/>
              </w:rPr>
              <w:t>I</w:t>
            </w:r>
          </w:p>
        </w:tc>
        <w:tc>
          <w:tcPr>
            <w:tcW w:w="1288" w:type="dxa"/>
            <w:vMerge w:val="restart"/>
            <w:vAlign w:val="center"/>
          </w:tcPr>
          <w:p w:rsidR="00644456" w:rsidRDefault="008031C4">
            <w:pPr>
              <w:jc w:val="center"/>
              <w:rPr>
                <w:snapToGrid w:val="0"/>
                <w:color w:val="000000" w:themeColor="text1"/>
                <w:szCs w:val="21"/>
              </w:rPr>
            </w:pPr>
            <w:r>
              <w:rPr>
                <w:rFonts w:hint="eastAsia"/>
                <w:snapToGrid w:val="0"/>
                <w:color w:val="000000" w:themeColor="text1"/>
                <w:szCs w:val="21"/>
              </w:rPr>
              <w:t>暂存于危废暂存间，交由有资质的单位进行回收处置</w:t>
            </w:r>
          </w:p>
        </w:tc>
        <w:tc>
          <w:tcPr>
            <w:tcW w:w="746" w:type="dxa"/>
            <w:vMerge w:val="restart"/>
            <w:vAlign w:val="center"/>
          </w:tcPr>
          <w:p w:rsidR="00644456" w:rsidRDefault="008031C4">
            <w:pPr>
              <w:jc w:val="center"/>
              <w:rPr>
                <w:snapToGrid w:val="0"/>
                <w:color w:val="000000" w:themeColor="text1"/>
                <w:szCs w:val="21"/>
              </w:rPr>
            </w:pPr>
            <w:r>
              <w:rPr>
                <w:rFonts w:hint="eastAsia"/>
                <w:snapToGrid w:val="0"/>
                <w:color w:val="000000" w:themeColor="text1"/>
                <w:szCs w:val="21"/>
              </w:rPr>
              <w:t>危废暂存间</w:t>
            </w:r>
          </w:p>
        </w:tc>
        <w:tc>
          <w:tcPr>
            <w:tcW w:w="746" w:type="dxa"/>
            <w:vMerge w:val="restart"/>
            <w:vAlign w:val="center"/>
          </w:tcPr>
          <w:p w:rsidR="00644456" w:rsidRDefault="008031C4">
            <w:pPr>
              <w:jc w:val="center"/>
              <w:rPr>
                <w:snapToGrid w:val="0"/>
                <w:color w:val="000000" w:themeColor="text1"/>
                <w:szCs w:val="21"/>
              </w:rPr>
            </w:pPr>
            <w:r>
              <w:rPr>
                <w:rFonts w:hint="eastAsia"/>
                <w:snapToGrid w:val="0"/>
                <w:color w:val="000000" w:themeColor="text1"/>
                <w:szCs w:val="21"/>
              </w:rPr>
              <w:t>厂区北侧</w:t>
            </w:r>
          </w:p>
        </w:tc>
        <w:tc>
          <w:tcPr>
            <w:tcW w:w="800" w:type="dxa"/>
            <w:vMerge w:val="restart"/>
            <w:vAlign w:val="center"/>
          </w:tcPr>
          <w:p w:rsidR="00644456" w:rsidRDefault="008031C4">
            <w:pPr>
              <w:jc w:val="center"/>
              <w:rPr>
                <w:snapToGrid w:val="0"/>
                <w:color w:val="000000" w:themeColor="text1"/>
                <w:szCs w:val="21"/>
              </w:rPr>
            </w:pPr>
            <w:r>
              <w:rPr>
                <w:snapToGrid w:val="0"/>
                <w:color w:val="000000" w:themeColor="text1"/>
                <w:szCs w:val="21"/>
              </w:rPr>
              <w:t>1440m</w:t>
            </w:r>
            <w:r>
              <w:rPr>
                <w:snapToGrid w:val="0"/>
                <w:color w:val="000000" w:themeColor="text1"/>
                <w:szCs w:val="21"/>
                <w:vertAlign w:val="superscript"/>
              </w:rPr>
              <w:t>2</w:t>
            </w:r>
          </w:p>
        </w:tc>
        <w:tc>
          <w:tcPr>
            <w:tcW w:w="721" w:type="dxa"/>
            <w:vMerge w:val="restart"/>
            <w:vAlign w:val="center"/>
          </w:tcPr>
          <w:p w:rsidR="00644456" w:rsidRDefault="008031C4">
            <w:pPr>
              <w:jc w:val="center"/>
              <w:rPr>
                <w:snapToGrid w:val="0"/>
                <w:color w:val="000000" w:themeColor="text1"/>
                <w:szCs w:val="21"/>
              </w:rPr>
            </w:pPr>
            <w:r>
              <w:rPr>
                <w:snapToGrid w:val="0"/>
                <w:color w:val="000000" w:themeColor="text1"/>
                <w:szCs w:val="21"/>
              </w:rPr>
              <w:t>1440m</w:t>
            </w:r>
            <w:r>
              <w:rPr>
                <w:snapToGrid w:val="0"/>
                <w:color w:val="000000" w:themeColor="text1"/>
                <w:szCs w:val="21"/>
                <w:vertAlign w:val="superscript"/>
              </w:rPr>
              <w:t>3</w:t>
            </w:r>
          </w:p>
        </w:tc>
        <w:tc>
          <w:tcPr>
            <w:tcW w:w="645" w:type="dxa"/>
            <w:vMerge w:val="restart"/>
            <w:vAlign w:val="center"/>
          </w:tcPr>
          <w:p w:rsidR="00644456" w:rsidRDefault="008031C4">
            <w:pPr>
              <w:jc w:val="center"/>
              <w:rPr>
                <w:snapToGrid w:val="0"/>
                <w:color w:val="000000" w:themeColor="text1"/>
                <w:szCs w:val="21"/>
              </w:rPr>
            </w:pPr>
            <w:r>
              <w:rPr>
                <w:snapToGrid w:val="0"/>
                <w:color w:val="000000" w:themeColor="text1"/>
                <w:szCs w:val="21"/>
              </w:rPr>
              <w:t>60d</w:t>
            </w:r>
          </w:p>
        </w:tc>
      </w:tr>
      <w:tr w:rsidR="00644456">
        <w:trPr>
          <w:trHeight w:val="147"/>
        </w:trPr>
        <w:tc>
          <w:tcPr>
            <w:tcW w:w="426" w:type="dxa"/>
            <w:vAlign w:val="center"/>
          </w:tcPr>
          <w:p w:rsidR="00644456" w:rsidRDefault="008031C4">
            <w:pPr>
              <w:jc w:val="center"/>
              <w:rPr>
                <w:snapToGrid w:val="0"/>
                <w:color w:val="000000" w:themeColor="text1"/>
                <w:szCs w:val="21"/>
              </w:rPr>
            </w:pPr>
            <w:r>
              <w:rPr>
                <w:rFonts w:hint="eastAsia"/>
                <w:snapToGrid w:val="0"/>
                <w:color w:val="000000" w:themeColor="text1"/>
                <w:szCs w:val="21"/>
              </w:rPr>
              <w:t>2</w:t>
            </w:r>
          </w:p>
        </w:tc>
        <w:tc>
          <w:tcPr>
            <w:tcW w:w="1106" w:type="dxa"/>
            <w:vAlign w:val="center"/>
          </w:tcPr>
          <w:p w:rsidR="00644456" w:rsidRDefault="008031C4">
            <w:pPr>
              <w:jc w:val="center"/>
              <w:rPr>
                <w:snapToGrid w:val="0"/>
                <w:color w:val="000000" w:themeColor="text1"/>
                <w:szCs w:val="21"/>
              </w:rPr>
            </w:pPr>
            <w:r>
              <w:rPr>
                <w:rFonts w:hint="eastAsia"/>
                <w:snapToGrid w:val="0"/>
                <w:color w:val="000000" w:themeColor="text1"/>
                <w:szCs w:val="21"/>
              </w:rPr>
              <w:t>污水处理设施浮渣、浮油和污泥</w:t>
            </w:r>
          </w:p>
        </w:tc>
        <w:tc>
          <w:tcPr>
            <w:tcW w:w="776" w:type="dxa"/>
            <w:vAlign w:val="center"/>
          </w:tcPr>
          <w:p w:rsidR="00644456" w:rsidRDefault="008031C4">
            <w:pPr>
              <w:jc w:val="center"/>
              <w:rPr>
                <w:snapToGrid w:val="0"/>
                <w:color w:val="000000" w:themeColor="text1"/>
                <w:szCs w:val="21"/>
              </w:rPr>
            </w:pPr>
            <w:r>
              <w:rPr>
                <w:snapToGrid w:val="0"/>
                <w:color w:val="000000" w:themeColor="text1"/>
                <w:szCs w:val="21"/>
              </w:rPr>
              <w:t>HW08</w:t>
            </w:r>
          </w:p>
        </w:tc>
        <w:tc>
          <w:tcPr>
            <w:tcW w:w="902" w:type="dxa"/>
            <w:vAlign w:val="center"/>
          </w:tcPr>
          <w:p w:rsidR="00644456" w:rsidRDefault="008031C4">
            <w:pPr>
              <w:jc w:val="center"/>
              <w:rPr>
                <w:snapToGrid w:val="0"/>
                <w:color w:val="000000" w:themeColor="text1"/>
                <w:szCs w:val="21"/>
              </w:rPr>
            </w:pPr>
            <w:r>
              <w:rPr>
                <w:snapToGrid w:val="0"/>
                <w:color w:val="000000" w:themeColor="text1"/>
                <w:szCs w:val="21"/>
              </w:rPr>
              <w:t>900-210-08</w:t>
            </w:r>
          </w:p>
        </w:tc>
        <w:tc>
          <w:tcPr>
            <w:tcW w:w="792" w:type="dxa"/>
            <w:vAlign w:val="center"/>
          </w:tcPr>
          <w:p w:rsidR="00644456" w:rsidRDefault="008031C4">
            <w:pPr>
              <w:jc w:val="center"/>
              <w:rPr>
                <w:snapToGrid w:val="0"/>
                <w:color w:val="000000" w:themeColor="text1"/>
                <w:szCs w:val="21"/>
              </w:rPr>
            </w:pPr>
            <w:r>
              <w:rPr>
                <w:rFonts w:hint="eastAsia"/>
                <w:snapToGrid w:val="0"/>
                <w:color w:val="000000" w:themeColor="text1"/>
                <w:szCs w:val="21"/>
              </w:rPr>
              <w:t>0</w:t>
            </w:r>
            <w:r>
              <w:rPr>
                <w:snapToGrid w:val="0"/>
                <w:color w:val="000000" w:themeColor="text1"/>
                <w:szCs w:val="21"/>
              </w:rPr>
              <w:t>.2</w:t>
            </w:r>
          </w:p>
        </w:tc>
        <w:tc>
          <w:tcPr>
            <w:tcW w:w="76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污水处理设施</w:t>
            </w:r>
          </w:p>
        </w:tc>
        <w:tc>
          <w:tcPr>
            <w:tcW w:w="788" w:type="dxa"/>
            <w:vAlign w:val="center"/>
          </w:tcPr>
          <w:p w:rsidR="00644456" w:rsidRDefault="008031C4">
            <w:pPr>
              <w:jc w:val="center"/>
              <w:rPr>
                <w:snapToGrid w:val="0"/>
                <w:color w:val="000000" w:themeColor="text1"/>
                <w:szCs w:val="21"/>
              </w:rPr>
            </w:pPr>
            <w:r>
              <w:rPr>
                <w:rFonts w:hint="eastAsia"/>
                <w:snapToGrid w:val="0"/>
                <w:color w:val="000000" w:themeColor="text1"/>
                <w:szCs w:val="21"/>
              </w:rPr>
              <w:t>液态</w:t>
            </w:r>
          </w:p>
        </w:tc>
        <w:tc>
          <w:tcPr>
            <w:tcW w:w="76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矿物油</w:t>
            </w:r>
          </w:p>
        </w:tc>
        <w:tc>
          <w:tcPr>
            <w:tcW w:w="803" w:type="dxa"/>
            <w:vMerge/>
            <w:vAlign w:val="center"/>
          </w:tcPr>
          <w:p w:rsidR="00644456" w:rsidRDefault="00644456">
            <w:pPr>
              <w:jc w:val="center"/>
              <w:rPr>
                <w:snapToGrid w:val="0"/>
                <w:color w:val="000000" w:themeColor="text1"/>
                <w:szCs w:val="21"/>
              </w:rPr>
            </w:pPr>
          </w:p>
        </w:tc>
        <w:tc>
          <w:tcPr>
            <w:tcW w:w="778" w:type="dxa"/>
            <w:vAlign w:val="center"/>
          </w:tcPr>
          <w:p w:rsidR="00644456" w:rsidRDefault="008031C4">
            <w:pPr>
              <w:jc w:val="center"/>
              <w:rPr>
                <w:snapToGrid w:val="0"/>
                <w:color w:val="000000" w:themeColor="text1"/>
                <w:szCs w:val="21"/>
              </w:rPr>
            </w:pPr>
            <w:r>
              <w:rPr>
                <w:snapToGrid w:val="0"/>
                <w:color w:val="000000" w:themeColor="text1"/>
                <w:szCs w:val="21"/>
              </w:rPr>
              <w:t>30d</w:t>
            </w:r>
          </w:p>
        </w:tc>
        <w:tc>
          <w:tcPr>
            <w:tcW w:w="1098" w:type="dxa"/>
            <w:vAlign w:val="center"/>
          </w:tcPr>
          <w:p w:rsidR="00644456" w:rsidRDefault="008031C4">
            <w:pPr>
              <w:jc w:val="center"/>
              <w:rPr>
                <w:snapToGrid w:val="0"/>
                <w:color w:val="000000" w:themeColor="text1"/>
                <w:szCs w:val="21"/>
              </w:rPr>
            </w:pPr>
            <w:r>
              <w:rPr>
                <w:snapToGrid w:val="0"/>
                <w:color w:val="000000" w:themeColor="text1"/>
                <w:szCs w:val="21"/>
              </w:rPr>
              <w:t>T</w:t>
            </w:r>
            <w:r>
              <w:rPr>
                <w:snapToGrid w:val="0"/>
                <w:color w:val="000000" w:themeColor="text1"/>
                <w:szCs w:val="21"/>
              </w:rPr>
              <w:t>，</w:t>
            </w:r>
            <w:r>
              <w:rPr>
                <w:snapToGrid w:val="0"/>
                <w:color w:val="000000" w:themeColor="text1"/>
                <w:szCs w:val="21"/>
              </w:rPr>
              <w:t>I</w:t>
            </w:r>
          </w:p>
        </w:tc>
        <w:tc>
          <w:tcPr>
            <w:tcW w:w="1288" w:type="dxa"/>
            <w:vMerge/>
            <w:vAlign w:val="center"/>
          </w:tcPr>
          <w:p w:rsidR="00644456" w:rsidRDefault="00644456">
            <w:pPr>
              <w:jc w:val="center"/>
              <w:rPr>
                <w:snapToGrid w:val="0"/>
                <w:color w:val="000000" w:themeColor="text1"/>
                <w:szCs w:val="21"/>
              </w:rPr>
            </w:pPr>
          </w:p>
        </w:tc>
        <w:tc>
          <w:tcPr>
            <w:tcW w:w="746" w:type="dxa"/>
            <w:vMerge/>
            <w:vAlign w:val="center"/>
          </w:tcPr>
          <w:p w:rsidR="00644456" w:rsidRDefault="00644456">
            <w:pPr>
              <w:jc w:val="center"/>
              <w:rPr>
                <w:snapToGrid w:val="0"/>
                <w:color w:val="000000" w:themeColor="text1"/>
                <w:szCs w:val="21"/>
              </w:rPr>
            </w:pPr>
          </w:p>
        </w:tc>
        <w:tc>
          <w:tcPr>
            <w:tcW w:w="746" w:type="dxa"/>
            <w:vMerge/>
            <w:vAlign w:val="center"/>
          </w:tcPr>
          <w:p w:rsidR="00644456" w:rsidRDefault="00644456">
            <w:pPr>
              <w:jc w:val="center"/>
              <w:rPr>
                <w:snapToGrid w:val="0"/>
                <w:color w:val="000000" w:themeColor="text1"/>
                <w:szCs w:val="21"/>
              </w:rPr>
            </w:pPr>
          </w:p>
        </w:tc>
        <w:tc>
          <w:tcPr>
            <w:tcW w:w="800" w:type="dxa"/>
            <w:vMerge/>
            <w:vAlign w:val="center"/>
          </w:tcPr>
          <w:p w:rsidR="00644456" w:rsidRDefault="00644456">
            <w:pPr>
              <w:jc w:val="center"/>
              <w:rPr>
                <w:snapToGrid w:val="0"/>
                <w:color w:val="000000" w:themeColor="text1"/>
                <w:szCs w:val="21"/>
              </w:rPr>
            </w:pPr>
          </w:p>
        </w:tc>
        <w:tc>
          <w:tcPr>
            <w:tcW w:w="721" w:type="dxa"/>
            <w:vMerge/>
            <w:vAlign w:val="center"/>
          </w:tcPr>
          <w:p w:rsidR="00644456" w:rsidRDefault="00644456">
            <w:pPr>
              <w:jc w:val="center"/>
              <w:rPr>
                <w:snapToGrid w:val="0"/>
                <w:color w:val="000000" w:themeColor="text1"/>
                <w:szCs w:val="21"/>
              </w:rPr>
            </w:pPr>
          </w:p>
        </w:tc>
        <w:tc>
          <w:tcPr>
            <w:tcW w:w="645" w:type="dxa"/>
            <w:vMerge/>
            <w:vAlign w:val="center"/>
          </w:tcPr>
          <w:p w:rsidR="00644456" w:rsidRDefault="00644456">
            <w:pPr>
              <w:jc w:val="center"/>
              <w:rPr>
                <w:snapToGrid w:val="0"/>
                <w:color w:val="000000" w:themeColor="text1"/>
                <w:szCs w:val="21"/>
              </w:rPr>
            </w:pPr>
          </w:p>
        </w:tc>
      </w:tr>
      <w:tr w:rsidR="00644456">
        <w:trPr>
          <w:trHeight w:val="147"/>
        </w:trPr>
        <w:tc>
          <w:tcPr>
            <w:tcW w:w="426" w:type="dxa"/>
            <w:vAlign w:val="center"/>
          </w:tcPr>
          <w:p w:rsidR="00644456" w:rsidRDefault="008031C4">
            <w:pPr>
              <w:jc w:val="center"/>
              <w:rPr>
                <w:snapToGrid w:val="0"/>
                <w:color w:val="000000" w:themeColor="text1"/>
                <w:szCs w:val="21"/>
              </w:rPr>
            </w:pPr>
            <w:r>
              <w:rPr>
                <w:rFonts w:hint="eastAsia"/>
                <w:snapToGrid w:val="0"/>
                <w:color w:val="000000" w:themeColor="text1"/>
                <w:szCs w:val="21"/>
              </w:rPr>
              <w:t>3</w:t>
            </w:r>
          </w:p>
        </w:tc>
        <w:tc>
          <w:tcPr>
            <w:tcW w:w="1106"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废导热油</w:t>
            </w:r>
          </w:p>
        </w:tc>
        <w:tc>
          <w:tcPr>
            <w:tcW w:w="776" w:type="dxa"/>
            <w:vAlign w:val="center"/>
          </w:tcPr>
          <w:p w:rsidR="00644456" w:rsidRDefault="008031C4">
            <w:pPr>
              <w:jc w:val="center"/>
              <w:rPr>
                <w:snapToGrid w:val="0"/>
                <w:color w:val="000000" w:themeColor="text1"/>
                <w:szCs w:val="21"/>
              </w:rPr>
            </w:pPr>
            <w:r>
              <w:rPr>
                <w:snapToGrid w:val="0"/>
                <w:color w:val="000000" w:themeColor="text1"/>
                <w:szCs w:val="21"/>
              </w:rPr>
              <w:t>HW08</w:t>
            </w:r>
          </w:p>
        </w:tc>
        <w:tc>
          <w:tcPr>
            <w:tcW w:w="902" w:type="dxa"/>
            <w:vAlign w:val="center"/>
          </w:tcPr>
          <w:p w:rsidR="00644456" w:rsidRDefault="008031C4">
            <w:pPr>
              <w:jc w:val="center"/>
              <w:rPr>
                <w:snapToGrid w:val="0"/>
                <w:color w:val="000000" w:themeColor="text1"/>
                <w:szCs w:val="21"/>
              </w:rPr>
            </w:pPr>
            <w:r>
              <w:rPr>
                <w:snapToGrid w:val="0"/>
                <w:color w:val="000000" w:themeColor="text1"/>
                <w:szCs w:val="21"/>
              </w:rPr>
              <w:t>900-039-49</w:t>
            </w:r>
          </w:p>
        </w:tc>
        <w:tc>
          <w:tcPr>
            <w:tcW w:w="792" w:type="dxa"/>
            <w:vAlign w:val="center"/>
          </w:tcPr>
          <w:p w:rsidR="00644456" w:rsidRDefault="008031C4">
            <w:pPr>
              <w:jc w:val="center"/>
              <w:rPr>
                <w:snapToGrid w:val="0"/>
                <w:color w:val="000000" w:themeColor="text1"/>
                <w:szCs w:val="21"/>
              </w:rPr>
            </w:pPr>
            <w:r>
              <w:rPr>
                <w:rFonts w:hint="eastAsia"/>
                <w:snapToGrid w:val="0"/>
                <w:color w:val="000000" w:themeColor="text1"/>
                <w:szCs w:val="21"/>
              </w:rPr>
              <w:t>0</w:t>
            </w:r>
            <w:r>
              <w:rPr>
                <w:snapToGrid w:val="0"/>
                <w:color w:val="000000" w:themeColor="text1"/>
                <w:szCs w:val="21"/>
              </w:rPr>
              <w:t>.7</w:t>
            </w:r>
          </w:p>
        </w:tc>
        <w:tc>
          <w:tcPr>
            <w:tcW w:w="76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导热油锅炉</w:t>
            </w:r>
          </w:p>
        </w:tc>
        <w:tc>
          <w:tcPr>
            <w:tcW w:w="788" w:type="dxa"/>
            <w:vAlign w:val="center"/>
          </w:tcPr>
          <w:p w:rsidR="00644456" w:rsidRDefault="008031C4">
            <w:pPr>
              <w:jc w:val="center"/>
              <w:rPr>
                <w:snapToGrid w:val="0"/>
                <w:color w:val="000000" w:themeColor="text1"/>
                <w:szCs w:val="21"/>
              </w:rPr>
            </w:pPr>
            <w:r>
              <w:rPr>
                <w:rFonts w:hint="eastAsia"/>
                <w:snapToGrid w:val="0"/>
                <w:color w:val="000000" w:themeColor="text1"/>
                <w:szCs w:val="21"/>
              </w:rPr>
              <w:t>液态</w:t>
            </w:r>
          </w:p>
        </w:tc>
        <w:tc>
          <w:tcPr>
            <w:tcW w:w="76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矿物油</w:t>
            </w:r>
          </w:p>
        </w:tc>
        <w:tc>
          <w:tcPr>
            <w:tcW w:w="803" w:type="dxa"/>
            <w:vMerge/>
            <w:vAlign w:val="center"/>
          </w:tcPr>
          <w:p w:rsidR="00644456" w:rsidRDefault="00644456">
            <w:pPr>
              <w:jc w:val="center"/>
              <w:rPr>
                <w:snapToGrid w:val="0"/>
                <w:color w:val="000000" w:themeColor="text1"/>
                <w:szCs w:val="21"/>
              </w:rPr>
            </w:pPr>
          </w:p>
        </w:tc>
        <w:tc>
          <w:tcPr>
            <w:tcW w:w="778" w:type="dxa"/>
            <w:vAlign w:val="center"/>
          </w:tcPr>
          <w:p w:rsidR="00644456" w:rsidRDefault="008031C4">
            <w:pPr>
              <w:jc w:val="center"/>
              <w:rPr>
                <w:snapToGrid w:val="0"/>
                <w:color w:val="000000" w:themeColor="text1"/>
                <w:szCs w:val="21"/>
              </w:rPr>
            </w:pPr>
            <w:r>
              <w:rPr>
                <w:snapToGrid w:val="0"/>
                <w:color w:val="000000" w:themeColor="text1"/>
                <w:szCs w:val="21"/>
              </w:rPr>
              <w:t>2a</w:t>
            </w:r>
          </w:p>
        </w:tc>
        <w:tc>
          <w:tcPr>
            <w:tcW w:w="1098" w:type="dxa"/>
            <w:vAlign w:val="center"/>
          </w:tcPr>
          <w:p w:rsidR="00644456" w:rsidRDefault="008031C4">
            <w:pPr>
              <w:jc w:val="center"/>
              <w:rPr>
                <w:snapToGrid w:val="0"/>
                <w:color w:val="000000" w:themeColor="text1"/>
                <w:szCs w:val="21"/>
              </w:rPr>
            </w:pPr>
            <w:r>
              <w:rPr>
                <w:snapToGrid w:val="0"/>
                <w:color w:val="000000" w:themeColor="text1"/>
                <w:szCs w:val="21"/>
              </w:rPr>
              <w:t>T</w:t>
            </w:r>
            <w:r>
              <w:rPr>
                <w:snapToGrid w:val="0"/>
                <w:color w:val="000000" w:themeColor="text1"/>
                <w:szCs w:val="21"/>
              </w:rPr>
              <w:t>，</w:t>
            </w:r>
            <w:r>
              <w:rPr>
                <w:snapToGrid w:val="0"/>
                <w:color w:val="000000" w:themeColor="text1"/>
                <w:szCs w:val="21"/>
              </w:rPr>
              <w:t>I</w:t>
            </w:r>
          </w:p>
        </w:tc>
        <w:tc>
          <w:tcPr>
            <w:tcW w:w="1288" w:type="dxa"/>
            <w:vMerge/>
            <w:vAlign w:val="center"/>
          </w:tcPr>
          <w:p w:rsidR="00644456" w:rsidRDefault="00644456">
            <w:pPr>
              <w:jc w:val="center"/>
              <w:rPr>
                <w:snapToGrid w:val="0"/>
                <w:color w:val="000000" w:themeColor="text1"/>
                <w:szCs w:val="21"/>
              </w:rPr>
            </w:pPr>
          </w:p>
        </w:tc>
        <w:tc>
          <w:tcPr>
            <w:tcW w:w="746" w:type="dxa"/>
            <w:vMerge/>
            <w:vAlign w:val="center"/>
          </w:tcPr>
          <w:p w:rsidR="00644456" w:rsidRDefault="00644456">
            <w:pPr>
              <w:jc w:val="center"/>
              <w:rPr>
                <w:snapToGrid w:val="0"/>
                <w:color w:val="000000" w:themeColor="text1"/>
                <w:szCs w:val="21"/>
              </w:rPr>
            </w:pPr>
          </w:p>
        </w:tc>
        <w:tc>
          <w:tcPr>
            <w:tcW w:w="746" w:type="dxa"/>
            <w:vMerge/>
            <w:vAlign w:val="center"/>
          </w:tcPr>
          <w:p w:rsidR="00644456" w:rsidRDefault="00644456">
            <w:pPr>
              <w:jc w:val="center"/>
              <w:rPr>
                <w:snapToGrid w:val="0"/>
                <w:color w:val="000000" w:themeColor="text1"/>
                <w:szCs w:val="21"/>
              </w:rPr>
            </w:pPr>
          </w:p>
        </w:tc>
        <w:tc>
          <w:tcPr>
            <w:tcW w:w="800" w:type="dxa"/>
            <w:vMerge/>
            <w:vAlign w:val="center"/>
          </w:tcPr>
          <w:p w:rsidR="00644456" w:rsidRDefault="00644456">
            <w:pPr>
              <w:jc w:val="center"/>
              <w:rPr>
                <w:snapToGrid w:val="0"/>
                <w:color w:val="000000" w:themeColor="text1"/>
                <w:szCs w:val="21"/>
              </w:rPr>
            </w:pPr>
          </w:p>
        </w:tc>
        <w:tc>
          <w:tcPr>
            <w:tcW w:w="721" w:type="dxa"/>
            <w:vMerge/>
            <w:vAlign w:val="center"/>
          </w:tcPr>
          <w:p w:rsidR="00644456" w:rsidRDefault="00644456">
            <w:pPr>
              <w:jc w:val="center"/>
              <w:rPr>
                <w:snapToGrid w:val="0"/>
                <w:color w:val="000000" w:themeColor="text1"/>
                <w:szCs w:val="21"/>
              </w:rPr>
            </w:pPr>
          </w:p>
        </w:tc>
        <w:tc>
          <w:tcPr>
            <w:tcW w:w="645" w:type="dxa"/>
            <w:vMerge/>
            <w:vAlign w:val="center"/>
          </w:tcPr>
          <w:p w:rsidR="00644456" w:rsidRDefault="00644456">
            <w:pPr>
              <w:jc w:val="center"/>
              <w:rPr>
                <w:snapToGrid w:val="0"/>
                <w:color w:val="000000" w:themeColor="text1"/>
                <w:szCs w:val="21"/>
              </w:rPr>
            </w:pPr>
          </w:p>
        </w:tc>
      </w:tr>
      <w:tr w:rsidR="00644456">
        <w:trPr>
          <w:trHeight w:val="147"/>
        </w:trPr>
        <w:tc>
          <w:tcPr>
            <w:tcW w:w="426" w:type="dxa"/>
            <w:vAlign w:val="center"/>
          </w:tcPr>
          <w:p w:rsidR="00644456" w:rsidRDefault="008031C4">
            <w:pPr>
              <w:jc w:val="center"/>
              <w:rPr>
                <w:snapToGrid w:val="0"/>
                <w:color w:val="000000" w:themeColor="text1"/>
                <w:szCs w:val="21"/>
              </w:rPr>
            </w:pPr>
            <w:r>
              <w:rPr>
                <w:snapToGrid w:val="0"/>
                <w:color w:val="000000" w:themeColor="text1"/>
                <w:szCs w:val="21"/>
              </w:rPr>
              <w:t>4</w:t>
            </w:r>
          </w:p>
        </w:tc>
        <w:tc>
          <w:tcPr>
            <w:tcW w:w="1106" w:type="dxa"/>
            <w:vAlign w:val="center"/>
          </w:tcPr>
          <w:p w:rsidR="00644456" w:rsidRDefault="008031C4">
            <w:pPr>
              <w:jc w:val="center"/>
              <w:rPr>
                <w:snapToGrid w:val="0"/>
                <w:color w:val="000000" w:themeColor="text1"/>
                <w:szCs w:val="21"/>
              </w:rPr>
            </w:pPr>
            <w:r>
              <w:rPr>
                <w:rFonts w:hint="eastAsia"/>
                <w:snapToGrid w:val="0"/>
                <w:color w:val="000000" w:themeColor="text1"/>
                <w:szCs w:val="21"/>
              </w:rPr>
              <w:t>蒸馏残渣</w:t>
            </w:r>
          </w:p>
        </w:tc>
        <w:tc>
          <w:tcPr>
            <w:tcW w:w="776" w:type="dxa"/>
            <w:vAlign w:val="center"/>
          </w:tcPr>
          <w:p w:rsidR="00644456" w:rsidRDefault="008031C4">
            <w:pPr>
              <w:jc w:val="center"/>
              <w:rPr>
                <w:snapToGrid w:val="0"/>
                <w:color w:val="000000" w:themeColor="text1"/>
                <w:szCs w:val="21"/>
              </w:rPr>
            </w:pPr>
            <w:r>
              <w:rPr>
                <w:snapToGrid w:val="0"/>
                <w:color w:val="000000" w:themeColor="text1"/>
                <w:szCs w:val="21"/>
              </w:rPr>
              <w:t>HW08</w:t>
            </w:r>
          </w:p>
        </w:tc>
        <w:tc>
          <w:tcPr>
            <w:tcW w:w="902" w:type="dxa"/>
            <w:vAlign w:val="center"/>
          </w:tcPr>
          <w:p w:rsidR="00644456" w:rsidRDefault="008031C4">
            <w:pPr>
              <w:jc w:val="center"/>
              <w:rPr>
                <w:snapToGrid w:val="0"/>
                <w:color w:val="000000" w:themeColor="text1"/>
                <w:szCs w:val="21"/>
              </w:rPr>
            </w:pPr>
            <w:r>
              <w:rPr>
                <w:snapToGrid w:val="0"/>
                <w:color w:val="000000" w:themeColor="text1"/>
                <w:szCs w:val="21"/>
              </w:rPr>
              <w:t>900-213-08</w:t>
            </w:r>
          </w:p>
        </w:tc>
        <w:tc>
          <w:tcPr>
            <w:tcW w:w="792" w:type="dxa"/>
            <w:vAlign w:val="center"/>
          </w:tcPr>
          <w:p w:rsidR="00644456" w:rsidRDefault="008031C4">
            <w:pPr>
              <w:jc w:val="center"/>
              <w:rPr>
                <w:snapToGrid w:val="0"/>
                <w:color w:val="000000" w:themeColor="text1"/>
                <w:szCs w:val="21"/>
              </w:rPr>
            </w:pPr>
            <w:r>
              <w:rPr>
                <w:rFonts w:hint="eastAsia"/>
                <w:snapToGrid w:val="0"/>
                <w:color w:val="000000" w:themeColor="text1"/>
                <w:szCs w:val="21"/>
              </w:rPr>
              <w:t>5</w:t>
            </w:r>
            <w:r>
              <w:rPr>
                <w:snapToGrid w:val="0"/>
                <w:color w:val="000000" w:themeColor="text1"/>
                <w:szCs w:val="21"/>
              </w:rPr>
              <w:t>.974</w:t>
            </w:r>
          </w:p>
        </w:tc>
        <w:tc>
          <w:tcPr>
            <w:tcW w:w="76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蒸馏器</w:t>
            </w:r>
          </w:p>
        </w:tc>
        <w:tc>
          <w:tcPr>
            <w:tcW w:w="788" w:type="dxa"/>
            <w:vAlign w:val="center"/>
          </w:tcPr>
          <w:p w:rsidR="00644456" w:rsidRDefault="008031C4">
            <w:pPr>
              <w:jc w:val="center"/>
              <w:rPr>
                <w:snapToGrid w:val="0"/>
                <w:color w:val="000000" w:themeColor="text1"/>
                <w:szCs w:val="21"/>
              </w:rPr>
            </w:pPr>
            <w:r>
              <w:rPr>
                <w:rFonts w:hint="eastAsia"/>
                <w:snapToGrid w:val="0"/>
                <w:color w:val="000000" w:themeColor="text1"/>
                <w:szCs w:val="21"/>
              </w:rPr>
              <w:t>液态</w:t>
            </w:r>
          </w:p>
        </w:tc>
        <w:tc>
          <w:tcPr>
            <w:tcW w:w="76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矿物油</w:t>
            </w:r>
          </w:p>
        </w:tc>
        <w:tc>
          <w:tcPr>
            <w:tcW w:w="803" w:type="dxa"/>
            <w:vMerge/>
            <w:vAlign w:val="center"/>
          </w:tcPr>
          <w:p w:rsidR="00644456" w:rsidRDefault="00644456">
            <w:pPr>
              <w:jc w:val="center"/>
              <w:rPr>
                <w:snapToGrid w:val="0"/>
                <w:color w:val="000000" w:themeColor="text1"/>
                <w:szCs w:val="21"/>
              </w:rPr>
            </w:pPr>
          </w:p>
        </w:tc>
        <w:tc>
          <w:tcPr>
            <w:tcW w:w="778" w:type="dxa"/>
            <w:vAlign w:val="center"/>
          </w:tcPr>
          <w:p w:rsidR="00644456" w:rsidRDefault="008031C4">
            <w:pPr>
              <w:jc w:val="center"/>
              <w:rPr>
                <w:snapToGrid w:val="0"/>
                <w:color w:val="000000" w:themeColor="text1"/>
                <w:szCs w:val="21"/>
              </w:rPr>
            </w:pPr>
            <w:r>
              <w:rPr>
                <w:snapToGrid w:val="0"/>
                <w:color w:val="000000" w:themeColor="text1"/>
                <w:szCs w:val="21"/>
              </w:rPr>
              <w:t>7d</w:t>
            </w:r>
          </w:p>
        </w:tc>
        <w:tc>
          <w:tcPr>
            <w:tcW w:w="1098" w:type="dxa"/>
            <w:vAlign w:val="center"/>
          </w:tcPr>
          <w:p w:rsidR="00644456" w:rsidRDefault="008031C4">
            <w:pPr>
              <w:jc w:val="center"/>
              <w:rPr>
                <w:snapToGrid w:val="0"/>
                <w:color w:val="000000" w:themeColor="text1"/>
                <w:szCs w:val="21"/>
              </w:rPr>
            </w:pPr>
            <w:r>
              <w:rPr>
                <w:snapToGrid w:val="0"/>
                <w:color w:val="000000" w:themeColor="text1"/>
                <w:szCs w:val="21"/>
              </w:rPr>
              <w:t>T</w:t>
            </w:r>
            <w:r>
              <w:rPr>
                <w:snapToGrid w:val="0"/>
                <w:color w:val="000000" w:themeColor="text1"/>
                <w:szCs w:val="21"/>
              </w:rPr>
              <w:t>，</w:t>
            </w:r>
            <w:r>
              <w:rPr>
                <w:snapToGrid w:val="0"/>
                <w:color w:val="000000" w:themeColor="text1"/>
                <w:szCs w:val="21"/>
              </w:rPr>
              <w:t>I</w:t>
            </w:r>
          </w:p>
        </w:tc>
        <w:tc>
          <w:tcPr>
            <w:tcW w:w="1288" w:type="dxa"/>
            <w:vMerge/>
            <w:vAlign w:val="center"/>
          </w:tcPr>
          <w:p w:rsidR="00644456" w:rsidRDefault="00644456">
            <w:pPr>
              <w:jc w:val="center"/>
              <w:rPr>
                <w:snapToGrid w:val="0"/>
                <w:color w:val="000000" w:themeColor="text1"/>
                <w:szCs w:val="21"/>
              </w:rPr>
            </w:pPr>
          </w:p>
        </w:tc>
        <w:tc>
          <w:tcPr>
            <w:tcW w:w="746" w:type="dxa"/>
            <w:vMerge/>
            <w:vAlign w:val="center"/>
          </w:tcPr>
          <w:p w:rsidR="00644456" w:rsidRDefault="00644456">
            <w:pPr>
              <w:jc w:val="center"/>
              <w:rPr>
                <w:snapToGrid w:val="0"/>
                <w:color w:val="000000" w:themeColor="text1"/>
                <w:szCs w:val="21"/>
              </w:rPr>
            </w:pPr>
          </w:p>
        </w:tc>
        <w:tc>
          <w:tcPr>
            <w:tcW w:w="746" w:type="dxa"/>
            <w:vMerge/>
            <w:vAlign w:val="center"/>
          </w:tcPr>
          <w:p w:rsidR="00644456" w:rsidRDefault="00644456">
            <w:pPr>
              <w:jc w:val="center"/>
              <w:rPr>
                <w:snapToGrid w:val="0"/>
                <w:color w:val="000000" w:themeColor="text1"/>
                <w:szCs w:val="21"/>
              </w:rPr>
            </w:pPr>
          </w:p>
        </w:tc>
        <w:tc>
          <w:tcPr>
            <w:tcW w:w="800" w:type="dxa"/>
            <w:vMerge/>
            <w:vAlign w:val="center"/>
          </w:tcPr>
          <w:p w:rsidR="00644456" w:rsidRDefault="00644456">
            <w:pPr>
              <w:jc w:val="center"/>
              <w:rPr>
                <w:snapToGrid w:val="0"/>
                <w:color w:val="000000" w:themeColor="text1"/>
                <w:szCs w:val="21"/>
              </w:rPr>
            </w:pPr>
          </w:p>
        </w:tc>
        <w:tc>
          <w:tcPr>
            <w:tcW w:w="721" w:type="dxa"/>
            <w:vMerge/>
            <w:vAlign w:val="center"/>
          </w:tcPr>
          <w:p w:rsidR="00644456" w:rsidRDefault="00644456">
            <w:pPr>
              <w:jc w:val="center"/>
              <w:rPr>
                <w:snapToGrid w:val="0"/>
                <w:color w:val="000000" w:themeColor="text1"/>
                <w:szCs w:val="21"/>
              </w:rPr>
            </w:pPr>
          </w:p>
        </w:tc>
        <w:tc>
          <w:tcPr>
            <w:tcW w:w="645" w:type="dxa"/>
            <w:vMerge/>
            <w:vAlign w:val="center"/>
          </w:tcPr>
          <w:p w:rsidR="00644456" w:rsidRDefault="00644456">
            <w:pPr>
              <w:jc w:val="center"/>
              <w:rPr>
                <w:snapToGrid w:val="0"/>
                <w:color w:val="000000" w:themeColor="text1"/>
                <w:szCs w:val="21"/>
              </w:rPr>
            </w:pPr>
          </w:p>
        </w:tc>
      </w:tr>
      <w:tr w:rsidR="00644456">
        <w:trPr>
          <w:trHeight w:val="147"/>
        </w:trPr>
        <w:tc>
          <w:tcPr>
            <w:tcW w:w="426" w:type="dxa"/>
            <w:vAlign w:val="center"/>
          </w:tcPr>
          <w:p w:rsidR="00644456" w:rsidRDefault="008031C4">
            <w:pPr>
              <w:jc w:val="center"/>
              <w:rPr>
                <w:snapToGrid w:val="0"/>
                <w:color w:val="000000" w:themeColor="text1"/>
                <w:szCs w:val="21"/>
              </w:rPr>
            </w:pPr>
            <w:r>
              <w:rPr>
                <w:rFonts w:hint="eastAsia"/>
                <w:snapToGrid w:val="0"/>
                <w:color w:val="000000" w:themeColor="text1"/>
                <w:szCs w:val="21"/>
              </w:rPr>
              <w:t>5</w:t>
            </w:r>
          </w:p>
        </w:tc>
        <w:tc>
          <w:tcPr>
            <w:tcW w:w="1106"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废干式过滤器</w:t>
            </w:r>
          </w:p>
        </w:tc>
        <w:tc>
          <w:tcPr>
            <w:tcW w:w="776" w:type="dxa"/>
            <w:vAlign w:val="center"/>
          </w:tcPr>
          <w:p w:rsidR="00644456" w:rsidRDefault="008031C4">
            <w:pPr>
              <w:jc w:val="center"/>
              <w:rPr>
                <w:snapToGrid w:val="0"/>
                <w:color w:val="000000" w:themeColor="text1"/>
                <w:szCs w:val="21"/>
              </w:rPr>
            </w:pPr>
            <w:r>
              <w:rPr>
                <w:snapToGrid w:val="0"/>
                <w:color w:val="000000" w:themeColor="text1"/>
                <w:szCs w:val="21"/>
              </w:rPr>
              <w:t>HW08</w:t>
            </w:r>
          </w:p>
        </w:tc>
        <w:tc>
          <w:tcPr>
            <w:tcW w:w="902" w:type="dxa"/>
            <w:vAlign w:val="center"/>
          </w:tcPr>
          <w:p w:rsidR="00644456" w:rsidRDefault="008031C4">
            <w:pPr>
              <w:jc w:val="center"/>
              <w:rPr>
                <w:snapToGrid w:val="0"/>
                <w:color w:val="000000" w:themeColor="text1"/>
                <w:szCs w:val="21"/>
              </w:rPr>
            </w:pPr>
            <w:r>
              <w:rPr>
                <w:snapToGrid w:val="0"/>
                <w:color w:val="000000" w:themeColor="text1"/>
                <w:szCs w:val="21"/>
              </w:rPr>
              <w:t>900-249-08</w:t>
            </w:r>
          </w:p>
        </w:tc>
        <w:tc>
          <w:tcPr>
            <w:tcW w:w="792" w:type="dxa"/>
            <w:vAlign w:val="center"/>
          </w:tcPr>
          <w:p w:rsidR="00644456" w:rsidRDefault="008031C4">
            <w:pPr>
              <w:jc w:val="center"/>
              <w:rPr>
                <w:snapToGrid w:val="0"/>
                <w:color w:val="000000" w:themeColor="text1"/>
                <w:szCs w:val="21"/>
              </w:rPr>
            </w:pPr>
            <w:r>
              <w:rPr>
                <w:rFonts w:hint="eastAsia"/>
                <w:snapToGrid w:val="0"/>
                <w:color w:val="000000" w:themeColor="text1"/>
                <w:szCs w:val="21"/>
              </w:rPr>
              <w:t>0</w:t>
            </w:r>
            <w:r>
              <w:rPr>
                <w:snapToGrid w:val="0"/>
                <w:color w:val="000000" w:themeColor="text1"/>
                <w:szCs w:val="21"/>
              </w:rPr>
              <w:t>.005</w:t>
            </w:r>
          </w:p>
        </w:tc>
        <w:tc>
          <w:tcPr>
            <w:tcW w:w="76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废气处理设施</w:t>
            </w:r>
          </w:p>
        </w:tc>
        <w:tc>
          <w:tcPr>
            <w:tcW w:w="788"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固态</w:t>
            </w:r>
          </w:p>
        </w:tc>
        <w:tc>
          <w:tcPr>
            <w:tcW w:w="76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矿物油</w:t>
            </w:r>
          </w:p>
        </w:tc>
        <w:tc>
          <w:tcPr>
            <w:tcW w:w="803" w:type="dxa"/>
            <w:vMerge/>
            <w:vAlign w:val="center"/>
          </w:tcPr>
          <w:p w:rsidR="00644456" w:rsidRDefault="00644456">
            <w:pPr>
              <w:jc w:val="center"/>
              <w:rPr>
                <w:snapToGrid w:val="0"/>
                <w:color w:val="000000" w:themeColor="text1"/>
                <w:szCs w:val="21"/>
              </w:rPr>
            </w:pPr>
          </w:p>
        </w:tc>
        <w:tc>
          <w:tcPr>
            <w:tcW w:w="778" w:type="dxa"/>
            <w:vAlign w:val="center"/>
          </w:tcPr>
          <w:p w:rsidR="00644456" w:rsidRDefault="008031C4">
            <w:pPr>
              <w:jc w:val="center"/>
              <w:rPr>
                <w:snapToGrid w:val="0"/>
                <w:color w:val="000000" w:themeColor="text1"/>
                <w:szCs w:val="21"/>
              </w:rPr>
            </w:pPr>
            <w:r>
              <w:rPr>
                <w:rFonts w:hint="eastAsia"/>
                <w:snapToGrid w:val="0"/>
                <w:color w:val="000000" w:themeColor="text1"/>
                <w:szCs w:val="21"/>
              </w:rPr>
              <w:t>3</w:t>
            </w:r>
            <w:r>
              <w:rPr>
                <w:snapToGrid w:val="0"/>
                <w:color w:val="000000" w:themeColor="text1"/>
                <w:szCs w:val="21"/>
              </w:rPr>
              <w:t>65d</w:t>
            </w:r>
          </w:p>
        </w:tc>
        <w:tc>
          <w:tcPr>
            <w:tcW w:w="1098" w:type="dxa"/>
            <w:vAlign w:val="center"/>
          </w:tcPr>
          <w:p w:rsidR="00644456" w:rsidRDefault="008031C4">
            <w:pPr>
              <w:jc w:val="center"/>
              <w:rPr>
                <w:snapToGrid w:val="0"/>
                <w:color w:val="000000" w:themeColor="text1"/>
                <w:szCs w:val="21"/>
              </w:rPr>
            </w:pPr>
            <w:r>
              <w:rPr>
                <w:snapToGrid w:val="0"/>
                <w:color w:val="000000" w:themeColor="text1"/>
                <w:szCs w:val="21"/>
              </w:rPr>
              <w:t>T</w:t>
            </w:r>
            <w:r>
              <w:rPr>
                <w:snapToGrid w:val="0"/>
                <w:color w:val="000000" w:themeColor="text1"/>
                <w:szCs w:val="21"/>
              </w:rPr>
              <w:t>，</w:t>
            </w:r>
            <w:r>
              <w:rPr>
                <w:snapToGrid w:val="0"/>
                <w:color w:val="000000" w:themeColor="text1"/>
                <w:szCs w:val="21"/>
              </w:rPr>
              <w:t>I</w:t>
            </w:r>
          </w:p>
        </w:tc>
        <w:tc>
          <w:tcPr>
            <w:tcW w:w="1288" w:type="dxa"/>
            <w:vMerge/>
            <w:vAlign w:val="center"/>
          </w:tcPr>
          <w:p w:rsidR="00644456" w:rsidRDefault="00644456">
            <w:pPr>
              <w:jc w:val="center"/>
              <w:rPr>
                <w:snapToGrid w:val="0"/>
                <w:color w:val="000000" w:themeColor="text1"/>
                <w:szCs w:val="21"/>
              </w:rPr>
            </w:pPr>
          </w:p>
        </w:tc>
        <w:tc>
          <w:tcPr>
            <w:tcW w:w="746" w:type="dxa"/>
            <w:vMerge/>
            <w:vAlign w:val="center"/>
          </w:tcPr>
          <w:p w:rsidR="00644456" w:rsidRDefault="00644456">
            <w:pPr>
              <w:jc w:val="center"/>
              <w:rPr>
                <w:snapToGrid w:val="0"/>
                <w:color w:val="000000" w:themeColor="text1"/>
                <w:szCs w:val="21"/>
              </w:rPr>
            </w:pPr>
          </w:p>
        </w:tc>
        <w:tc>
          <w:tcPr>
            <w:tcW w:w="746" w:type="dxa"/>
            <w:vMerge/>
            <w:vAlign w:val="center"/>
          </w:tcPr>
          <w:p w:rsidR="00644456" w:rsidRDefault="00644456">
            <w:pPr>
              <w:jc w:val="center"/>
              <w:rPr>
                <w:snapToGrid w:val="0"/>
                <w:color w:val="000000" w:themeColor="text1"/>
                <w:szCs w:val="21"/>
              </w:rPr>
            </w:pPr>
          </w:p>
        </w:tc>
        <w:tc>
          <w:tcPr>
            <w:tcW w:w="800" w:type="dxa"/>
            <w:vMerge/>
            <w:vAlign w:val="center"/>
          </w:tcPr>
          <w:p w:rsidR="00644456" w:rsidRDefault="00644456">
            <w:pPr>
              <w:jc w:val="center"/>
              <w:rPr>
                <w:snapToGrid w:val="0"/>
                <w:color w:val="000000" w:themeColor="text1"/>
                <w:szCs w:val="21"/>
              </w:rPr>
            </w:pPr>
          </w:p>
        </w:tc>
        <w:tc>
          <w:tcPr>
            <w:tcW w:w="721" w:type="dxa"/>
            <w:vMerge/>
            <w:vAlign w:val="center"/>
          </w:tcPr>
          <w:p w:rsidR="00644456" w:rsidRDefault="00644456">
            <w:pPr>
              <w:jc w:val="center"/>
              <w:rPr>
                <w:snapToGrid w:val="0"/>
                <w:color w:val="000000" w:themeColor="text1"/>
                <w:szCs w:val="21"/>
              </w:rPr>
            </w:pPr>
          </w:p>
        </w:tc>
        <w:tc>
          <w:tcPr>
            <w:tcW w:w="645" w:type="dxa"/>
            <w:vMerge/>
            <w:vAlign w:val="center"/>
          </w:tcPr>
          <w:p w:rsidR="00644456" w:rsidRDefault="00644456">
            <w:pPr>
              <w:jc w:val="center"/>
              <w:rPr>
                <w:snapToGrid w:val="0"/>
                <w:color w:val="000000" w:themeColor="text1"/>
                <w:szCs w:val="21"/>
              </w:rPr>
            </w:pPr>
          </w:p>
        </w:tc>
      </w:tr>
      <w:tr w:rsidR="00644456">
        <w:trPr>
          <w:trHeight w:val="147"/>
        </w:trPr>
        <w:tc>
          <w:tcPr>
            <w:tcW w:w="426" w:type="dxa"/>
            <w:vAlign w:val="center"/>
          </w:tcPr>
          <w:p w:rsidR="00644456" w:rsidRDefault="008031C4">
            <w:pPr>
              <w:jc w:val="center"/>
              <w:rPr>
                <w:snapToGrid w:val="0"/>
                <w:color w:val="000000" w:themeColor="text1"/>
                <w:szCs w:val="21"/>
              </w:rPr>
            </w:pPr>
            <w:r>
              <w:rPr>
                <w:rFonts w:hint="eastAsia"/>
                <w:snapToGrid w:val="0"/>
                <w:color w:val="000000" w:themeColor="text1"/>
                <w:szCs w:val="21"/>
              </w:rPr>
              <w:t>6</w:t>
            </w:r>
          </w:p>
        </w:tc>
        <w:tc>
          <w:tcPr>
            <w:tcW w:w="1106"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其他危险废物</w:t>
            </w:r>
          </w:p>
        </w:tc>
        <w:tc>
          <w:tcPr>
            <w:tcW w:w="776" w:type="dxa"/>
            <w:vAlign w:val="center"/>
          </w:tcPr>
          <w:p w:rsidR="00644456" w:rsidRDefault="008031C4">
            <w:pPr>
              <w:jc w:val="center"/>
              <w:rPr>
                <w:snapToGrid w:val="0"/>
                <w:color w:val="000000" w:themeColor="text1"/>
                <w:szCs w:val="21"/>
              </w:rPr>
            </w:pPr>
            <w:r>
              <w:rPr>
                <w:snapToGrid w:val="0"/>
                <w:color w:val="000000" w:themeColor="text1"/>
                <w:szCs w:val="21"/>
              </w:rPr>
              <w:t>HW08</w:t>
            </w:r>
          </w:p>
        </w:tc>
        <w:tc>
          <w:tcPr>
            <w:tcW w:w="902" w:type="dxa"/>
            <w:vAlign w:val="center"/>
          </w:tcPr>
          <w:p w:rsidR="00644456" w:rsidRDefault="008031C4">
            <w:pPr>
              <w:jc w:val="center"/>
              <w:rPr>
                <w:snapToGrid w:val="0"/>
                <w:color w:val="000000" w:themeColor="text1"/>
                <w:szCs w:val="21"/>
              </w:rPr>
            </w:pPr>
            <w:r>
              <w:rPr>
                <w:snapToGrid w:val="0"/>
                <w:color w:val="000000" w:themeColor="text1"/>
                <w:szCs w:val="21"/>
              </w:rPr>
              <w:t>900-249-08</w:t>
            </w:r>
          </w:p>
        </w:tc>
        <w:tc>
          <w:tcPr>
            <w:tcW w:w="792" w:type="dxa"/>
            <w:vAlign w:val="center"/>
          </w:tcPr>
          <w:p w:rsidR="00644456" w:rsidRDefault="008031C4">
            <w:pPr>
              <w:jc w:val="center"/>
              <w:rPr>
                <w:snapToGrid w:val="0"/>
                <w:color w:val="000000" w:themeColor="text1"/>
                <w:szCs w:val="21"/>
              </w:rPr>
            </w:pPr>
            <w:r>
              <w:rPr>
                <w:rFonts w:hint="eastAsia"/>
                <w:snapToGrid w:val="0"/>
                <w:color w:val="000000" w:themeColor="text1"/>
                <w:szCs w:val="21"/>
              </w:rPr>
              <w:t>9</w:t>
            </w:r>
          </w:p>
        </w:tc>
        <w:tc>
          <w:tcPr>
            <w:tcW w:w="76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原料进厂</w:t>
            </w:r>
          </w:p>
        </w:tc>
        <w:tc>
          <w:tcPr>
            <w:tcW w:w="788" w:type="dxa"/>
            <w:vAlign w:val="center"/>
          </w:tcPr>
          <w:p w:rsidR="00644456" w:rsidRDefault="008031C4">
            <w:pPr>
              <w:jc w:val="center"/>
              <w:rPr>
                <w:snapToGrid w:val="0"/>
                <w:color w:val="000000" w:themeColor="text1"/>
                <w:szCs w:val="21"/>
              </w:rPr>
            </w:pPr>
            <w:r>
              <w:rPr>
                <w:rFonts w:hint="eastAsia"/>
                <w:snapToGrid w:val="0"/>
                <w:color w:val="000000" w:themeColor="text1"/>
                <w:szCs w:val="21"/>
              </w:rPr>
              <w:t>液态</w:t>
            </w:r>
          </w:p>
        </w:tc>
        <w:tc>
          <w:tcPr>
            <w:tcW w:w="76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矿物油</w:t>
            </w:r>
          </w:p>
        </w:tc>
        <w:tc>
          <w:tcPr>
            <w:tcW w:w="803" w:type="dxa"/>
            <w:vMerge/>
            <w:vAlign w:val="center"/>
          </w:tcPr>
          <w:p w:rsidR="00644456" w:rsidRDefault="00644456">
            <w:pPr>
              <w:jc w:val="center"/>
              <w:rPr>
                <w:snapToGrid w:val="0"/>
                <w:color w:val="000000" w:themeColor="text1"/>
                <w:szCs w:val="21"/>
              </w:rPr>
            </w:pPr>
          </w:p>
        </w:tc>
        <w:tc>
          <w:tcPr>
            <w:tcW w:w="778" w:type="dxa"/>
            <w:vAlign w:val="center"/>
          </w:tcPr>
          <w:p w:rsidR="00644456" w:rsidRDefault="008031C4">
            <w:pPr>
              <w:jc w:val="center"/>
              <w:rPr>
                <w:snapToGrid w:val="0"/>
                <w:color w:val="000000" w:themeColor="text1"/>
                <w:szCs w:val="21"/>
              </w:rPr>
            </w:pPr>
            <w:r>
              <w:rPr>
                <w:rFonts w:hint="eastAsia"/>
                <w:snapToGrid w:val="0"/>
                <w:color w:val="000000" w:themeColor="text1"/>
                <w:szCs w:val="21"/>
              </w:rPr>
              <w:t>1</w:t>
            </w:r>
            <w:r>
              <w:rPr>
                <w:snapToGrid w:val="0"/>
                <w:color w:val="000000" w:themeColor="text1"/>
                <w:szCs w:val="21"/>
              </w:rPr>
              <w:t>d</w:t>
            </w:r>
          </w:p>
        </w:tc>
        <w:tc>
          <w:tcPr>
            <w:tcW w:w="1098" w:type="dxa"/>
            <w:vAlign w:val="center"/>
          </w:tcPr>
          <w:p w:rsidR="00644456" w:rsidRDefault="008031C4">
            <w:pPr>
              <w:jc w:val="center"/>
              <w:rPr>
                <w:snapToGrid w:val="0"/>
                <w:color w:val="000000" w:themeColor="text1"/>
                <w:szCs w:val="21"/>
              </w:rPr>
            </w:pPr>
            <w:r>
              <w:rPr>
                <w:snapToGrid w:val="0"/>
                <w:color w:val="000000" w:themeColor="text1"/>
                <w:szCs w:val="21"/>
              </w:rPr>
              <w:t>T</w:t>
            </w:r>
            <w:r>
              <w:rPr>
                <w:snapToGrid w:val="0"/>
                <w:color w:val="000000" w:themeColor="text1"/>
                <w:szCs w:val="21"/>
              </w:rPr>
              <w:t>，</w:t>
            </w:r>
            <w:r>
              <w:rPr>
                <w:snapToGrid w:val="0"/>
                <w:color w:val="000000" w:themeColor="text1"/>
                <w:szCs w:val="21"/>
              </w:rPr>
              <w:t>I</w:t>
            </w:r>
          </w:p>
        </w:tc>
        <w:tc>
          <w:tcPr>
            <w:tcW w:w="1288" w:type="dxa"/>
            <w:vMerge/>
            <w:vAlign w:val="center"/>
          </w:tcPr>
          <w:p w:rsidR="00644456" w:rsidRDefault="00644456">
            <w:pPr>
              <w:jc w:val="center"/>
              <w:rPr>
                <w:snapToGrid w:val="0"/>
                <w:color w:val="000000" w:themeColor="text1"/>
                <w:szCs w:val="21"/>
              </w:rPr>
            </w:pPr>
          </w:p>
        </w:tc>
        <w:tc>
          <w:tcPr>
            <w:tcW w:w="746" w:type="dxa"/>
            <w:vMerge/>
            <w:vAlign w:val="center"/>
          </w:tcPr>
          <w:p w:rsidR="00644456" w:rsidRDefault="00644456">
            <w:pPr>
              <w:jc w:val="center"/>
              <w:rPr>
                <w:snapToGrid w:val="0"/>
                <w:color w:val="000000" w:themeColor="text1"/>
                <w:szCs w:val="21"/>
              </w:rPr>
            </w:pPr>
          </w:p>
        </w:tc>
        <w:tc>
          <w:tcPr>
            <w:tcW w:w="746" w:type="dxa"/>
            <w:vMerge/>
            <w:vAlign w:val="center"/>
          </w:tcPr>
          <w:p w:rsidR="00644456" w:rsidRDefault="00644456">
            <w:pPr>
              <w:jc w:val="center"/>
              <w:rPr>
                <w:snapToGrid w:val="0"/>
                <w:color w:val="000000" w:themeColor="text1"/>
                <w:szCs w:val="21"/>
              </w:rPr>
            </w:pPr>
          </w:p>
        </w:tc>
        <w:tc>
          <w:tcPr>
            <w:tcW w:w="800" w:type="dxa"/>
            <w:vMerge/>
            <w:vAlign w:val="center"/>
          </w:tcPr>
          <w:p w:rsidR="00644456" w:rsidRDefault="00644456">
            <w:pPr>
              <w:jc w:val="center"/>
              <w:rPr>
                <w:snapToGrid w:val="0"/>
                <w:color w:val="000000" w:themeColor="text1"/>
                <w:szCs w:val="21"/>
              </w:rPr>
            </w:pPr>
          </w:p>
        </w:tc>
        <w:tc>
          <w:tcPr>
            <w:tcW w:w="721" w:type="dxa"/>
            <w:vMerge/>
            <w:vAlign w:val="center"/>
          </w:tcPr>
          <w:p w:rsidR="00644456" w:rsidRDefault="00644456">
            <w:pPr>
              <w:jc w:val="center"/>
              <w:rPr>
                <w:snapToGrid w:val="0"/>
                <w:color w:val="000000" w:themeColor="text1"/>
                <w:szCs w:val="21"/>
              </w:rPr>
            </w:pPr>
          </w:p>
        </w:tc>
        <w:tc>
          <w:tcPr>
            <w:tcW w:w="645" w:type="dxa"/>
            <w:vMerge/>
            <w:vAlign w:val="center"/>
          </w:tcPr>
          <w:p w:rsidR="00644456" w:rsidRDefault="00644456">
            <w:pPr>
              <w:jc w:val="center"/>
              <w:rPr>
                <w:snapToGrid w:val="0"/>
                <w:color w:val="000000" w:themeColor="text1"/>
                <w:szCs w:val="21"/>
              </w:rPr>
            </w:pPr>
          </w:p>
        </w:tc>
      </w:tr>
    </w:tbl>
    <w:p w:rsidR="00644456" w:rsidRDefault="00644456"/>
    <w:p w:rsidR="00644456" w:rsidRDefault="00644456">
      <w:pPr>
        <w:sectPr w:rsidR="00644456">
          <w:pgSz w:w="16838" w:h="11905" w:orient="landscape"/>
          <w:pgMar w:top="1440" w:right="1440" w:bottom="1440" w:left="1440" w:header="851" w:footer="992" w:gutter="0"/>
          <w:cols w:space="0"/>
        </w:sectPr>
      </w:pPr>
    </w:p>
    <w:p w:rsidR="00644456" w:rsidRDefault="008031C4">
      <w:pPr>
        <w:pStyle w:val="5"/>
        <w:numPr>
          <w:ilvl w:val="4"/>
          <w:numId w:val="0"/>
        </w:numPr>
        <w:ind w:firstLine="480"/>
        <w:rPr>
          <w:snapToGrid w:val="0"/>
          <w:color w:val="000000" w:themeColor="text1"/>
        </w:rPr>
      </w:pPr>
      <w:r>
        <w:rPr>
          <w:rFonts w:hint="eastAsia"/>
          <w:snapToGrid w:val="0"/>
          <w:color w:val="000000" w:themeColor="text1"/>
        </w:rPr>
        <w:lastRenderedPageBreak/>
        <w:t>2.5.2.4.3</w:t>
      </w:r>
      <w:r>
        <w:rPr>
          <w:rFonts w:hint="eastAsia"/>
          <w:snapToGrid w:val="0"/>
          <w:color w:val="000000" w:themeColor="text1"/>
        </w:rPr>
        <w:t>项目运营期固体废物汇总</w:t>
      </w:r>
    </w:p>
    <w:p w:rsidR="00644456" w:rsidRDefault="008031C4">
      <w:pPr>
        <w:adjustRightInd w:val="0"/>
        <w:snapToGrid w:val="0"/>
        <w:spacing w:line="360" w:lineRule="auto"/>
        <w:ind w:firstLineChars="200" w:firstLine="480"/>
        <w:rPr>
          <w:rFonts w:cs="Times New Roman"/>
          <w:snapToGrid w:val="0"/>
          <w:color w:val="000000" w:themeColor="text1"/>
          <w:kern w:val="0"/>
          <w:sz w:val="24"/>
        </w:rPr>
      </w:pPr>
      <w:r>
        <w:rPr>
          <w:rFonts w:cs="Times New Roman" w:hint="eastAsia"/>
          <w:snapToGrid w:val="0"/>
          <w:color w:val="000000" w:themeColor="text1"/>
          <w:kern w:val="0"/>
          <w:sz w:val="24"/>
        </w:rPr>
        <w:t>本项目营运期固体废物产生及处置情况见表</w:t>
      </w:r>
      <w:r>
        <w:rPr>
          <w:rFonts w:cs="Times New Roman" w:hint="eastAsia"/>
          <w:snapToGrid w:val="0"/>
          <w:color w:val="000000" w:themeColor="text1"/>
          <w:kern w:val="0"/>
          <w:sz w:val="24"/>
        </w:rPr>
        <w:t>2.5-15</w:t>
      </w:r>
      <w:r>
        <w:rPr>
          <w:rFonts w:cs="Times New Roman" w:hint="eastAsia"/>
          <w:snapToGrid w:val="0"/>
          <w:color w:val="000000" w:themeColor="text1"/>
          <w:kern w:val="0"/>
          <w:sz w:val="24"/>
        </w:rPr>
        <w:t>。</w:t>
      </w:r>
    </w:p>
    <w:p w:rsidR="00644456" w:rsidRDefault="008031C4">
      <w:pPr>
        <w:autoSpaceDE w:val="0"/>
        <w:autoSpaceDN w:val="0"/>
        <w:adjustRightInd w:val="0"/>
        <w:jc w:val="center"/>
        <w:rPr>
          <w:rFonts w:cs="Times New Roman"/>
          <w:b/>
          <w:color w:val="000000" w:themeColor="text1"/>
          <w:sz w:val="24"/>
          <w:szCs w:val="20"/>
        </w:rPr>
      </w:pPr>
      <w:bookmarkStart w:id="173" w:name="_Hlk177204965"/>
      <w:r>
        <w:rPr>
          <w:rFonts w:cs="Times New Roman" w:hint="eastAsia"/>
          <w:b/>
          <w:color w:val="000000" w:themeColor="text1"/>
          <w:sz w:val="24"/>
          <w:szCs w:val="20"/>
        </w:rPr>
        <w:t>表</w:t>
      </w:r>
      <w:r>
        <w:rPr>
          <w:rFonts w:cs="Times New Roman" w:hint="eastAsia"/>
          <w:b/>
          <w:color w:val="000000" w:themeColor="text1"/>
          <w:sz w:val="24"/>
          <w:szCs w:val="20"/>
        </w:rPr>
        <w:t>2.5-15</w:t>
      </w:r>
      <w:r>
        <w:rPr>
          <w:rFonts w:cs="Times New Roman" w:hint="eastAsia"/>
          <w:b/>
          <w:color w:val="000000" w:themeColor="text1"/>
          <w:sz w:val="24"/>
          <w:szCs w:val="20"/>
        </w:rPr>
        <w:t>项目运营期固体废物汇总表</w:t>
      </w:r>
    </w:p>
    <w:tbl>
      <w:tblPr>
        <w:tblStyle w:val="afff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704"/>
        <w:gridCol w:w="2131"/>
        <w:gridCol w:w="1843"/>
        <w:gridCol w:w="1331"/>
        <w:gridCol w:w="1503"/>
        <w:gridCol w:w="1503"/>
      </w:tblGrid>
      <w:tr w:rsidR="00644456">
        <w:tc>
          <w:tcPr>
            <w:tcW w:w="704" w:type="dxa"/>
            <w:vAlign w:val="center"/>
          </w:tcPr>
          <w:p w:rsidR="00644456" w:rsidRDefault="008031C4">
            <w:pPr>
              <w:jc w:val="center"/>
              <w:rPr>
                <w:snapToGrid w:val="0"/>
                <w:color w:val="000000" w:themeColor="text1"/>
                <w:szCs w:val="21"/>
              </w:rPr>
            </w:pPr>
            <w:bookmarkStart w:id="174" w:name="_Hlk160548377"/>
            <w:r>
              <w:rPr>
                <w:rFonts w:hint="eastAsia"/>
                <w:snapToGrid w:val="0"/>
                <w:color w:val="000000" w:themeColor="text1"/>
                <w:szCs w:val="21"/>
              </w:rPr>
              <w:t>编号</w:t>
            </w:r>
          </w:p>
        </w:tc>
        <w:tc>
          <w:tcPr>
            <w:tcW w:w="2131"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废物名称</w:t>
            </w:r>
          </w:p>
        </w:tc>
        <w:tc>
          <w:tcPr>
            <w:tcW w:w="184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主要成分或污染物</w:t>
            </w:r>
          </w:p>
        </w:tc>
        <w:tc>
          <w:tcPr>
            <w:tcW w:w="1331"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固废性质</w:t>
            </w:r>
          </w:p>
        </w:tc>
        <w:tc>
          <w:tcPr>
            <w:tcW w:w="150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产生量（</w:t>
            </w:r>
            <w:r>
              <w:rPr>
                <w:rFonts w:hint="eastAsia"/>
                <w:snapToGrid w:val="0"/>
                <w:color w:val="000000" w:themeColor="text1"/>
                <w:szCs w:val="21"/>
              </w:rPr>
              <w:t>t/a</w:t>
            </w:r>
            <w:r>
              <w:rPr>
                <w:rFonts w:hint="eastAsia"/>
                <w:snapToGrid w:val="0"/>
                <w:color w:val="000000" w:themeColor="text1"/>
                <w:szCs w:val="21"/>
              </w:rPr>
              <w:t>）</w:t>
            </w:r>
          </w:p>
        </w:tc>
        <w:tc>
          <w:tcPr>
            <w:tcW w:w="150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防治措施</w:t>
            </w:r>
          </w:p>
        </w:tc>
      </w:tr>
      <w:tr w:rsidR="00644456">
        <w:tc>
          <w:tcPr>
            <w:tcW w:w="704" w:type="dxa"/>
            <w:vAlign w:val="center"/>
          </w:tcPr>
          <w:p w:rsidR="00644456" w:rsidRDefault="008031C4">
            <w:pPr>
              <w:jc w:val="center"/>
              <w:rPr>
                <w:snapToGrid w:val="0"/>
                <w:color w:val="000000" w:themeColor="text1"/>
                <w:szCs w:val="21"/>
              </w:rPr>
            </w:pPr>
            <w:r>
              <w:rPr>
                <w:rFonts w:hint="eastAsia"/>
                <w:snapToGrid w:val="0"/>
                <w:color w:val="000000" w:themeColor="text1"/>
                <w:szCs w:val="21"/>
              </w:rPr>
              <w:t>1</w:t>
            </w:r>
          </w:p>
        </w:tc>
        <w:tc>
          <w:tcPr>
            <w:tcW w:w="2131" w:type="dxa"/>
            <w:vAlign w:val="center"/>
          </w:tcPr>
          <w:p w:rsidR="00644456" w:rsidRDefault="008031C4">
            <w:pPr>
              <w:jc w:val="center"/>
              <w:rPr>
                <w:snapToGrid w:val="0"/>
                <w:color w:val="000000" w:themeColor="text1"/>
                <w:szCs w:val="21"/>
              </w:rPr>
            </w:pPr>
            <w:r>
              <w:rPr>
                <w:rFonts w:hint="eastAsia"/>
                <w:snapToGrid w:val="0"/>
                <w:color w:val="000000" w:themeColor="text1"/>
                <w:szCs w:val="21"/>
              </w:rPr>
              <w:t>生活垃圾</w:t>
            </w:r>
          </w:p>
        </w:tc>
        <w:tc>
          <w:tcPr>
            <w:tcW w:w="184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生活垃圾</w:t>
            </w:r>
          </w:p>
        </w:tc>
        <w:tc>
          <w:tcPr>
            <w:tcW w:w="1331" w:type="dxa"/>
            <w:vAlign w:val="center"/>
          </w:tcPr>
          <w:p w:rsidR="00644456" w:rsidRDefault="008031C4">
            <w:pPr>
              <w:jc w:val="center"/>
              <w:rPr>
                <w:snapToGrid w:val="0"/>
                <w:color w:val="000000" w:themeColor="text1"/>
                <w:szCs w:val="21"/>
              </w:rPr>
            </w:pPr>
            <w:r>
              <w:rPr>
                <w:rFonts w:hint="eastAsia"/>
                <w:snapToGrid w:val="0"/>
                <w:color w:val="000000" w:themeColor="text1"/>
                <w:szCs w:val="21"/>
              </w:rPr>
              <w:t>一般固废</w:t>
            </w:r>
          </w:p>
        </w:tc>
        <w:tc>
          <w:tcPr>
            <w:tcW w:w="150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9</w:t>
            </w:r>
          </w:p>
        </w:tc>
        <w:tc>
          <w:tcPr>
            <w:tcW w:w="150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环卫部门清运处置</w:t>
            </w:r>
          </w:p>
        </w:tc>
      </w:tr>
      <w:tr w:rsidR="00644456">
        <w:tc>
          <w:tcPr>
            <w:tcW w:w="704" w:type="dxa"/>
            <w:vAlign w:val="center"/>
          </w:tcPr>
          <w:p w:rsidR="00644456" w:rsidRDefault="008031C4">
            <w:pPr>
              <w:jc w:val="center"/>
              <w:rPr>
                <w:snapToGrid w:val="0"/>
                <w:color w:val="000000" w:themeColor="text1"/>
                <w:szCs w:val="21"/>
              </w:rPr>
            </w:pPr>
            <w:r>
              <w:rPr>
                <w:rFonts w:hint="eastAsia"/>
                <w:snapToGrid w:val="0"/>
                <w:color w:val="000000" w:themeColor="text1"/>
                <w:szCs w:val="21"/>
              </w:rPr>
              <w:t>2</w:t>
            </w:r>
          </w:p>
        </w:tc>
        <w:tc>
          <w:tcPr>
            <w:tcW w:w="2131" w:type="dxa"/>
            <w:vAlign w:val="center"/>
          </w:tcPr>
          <w:p w:rsidR="00644456" w:rsidRDefault="008031C4">
            <w:pPr>
              <w:jc w:val="center"/>
              <w:rPr>
                <w:snapToGrid w:val="0"/>
                <w:color w:val="000000" w:themeColor="text1"/>
                <w:szCs w:val="21"/>
              </w:rPr>
            </w:pPr>
            <w:r>
              <w:rPr>
                <w:rFonts w:hint="eastAsia"/>
                <w:snapToGrid w:val="0"/>
                <w:color w:val="000000" w:themeColor="text1"/>
                <w:szCs w:val="21"/>
              </w:rPr>
              <w:t>预处理池污泥</w:t>
            </w:r>
          </w:p>
        </w:tc>
        <w:tc>
          <w:tcPr>
            <w:tcW w:w="1843" w:type="dxa"/>
            <w:vAlign w:val="center"/>
          </w:tcPr>
          <w:p w:rsidR="00644456" w:rsidRDefault="00CF7BCF">
            <w:pPr>
              <w:jc w:val="center"/>
              <w:rPr>
                <w:snapToGrid w:val="0"/>
                <w:color w:val="000000" w:themeColor="text1"/>
                <w:szCs w:val="21"/>
              </w:rPr>
            </w:pPr>
            <w:r w:rsidRPr="00CF7BCF">
              <w:rPr>
                <w:rFonts w:hint="eastAsia"/>
                <w:snapToGrid w:val="0"/>
                <w:color w:val="FF0000"/>
                <w:szCs w:val="21"/>
              </w:rPr>
              <w:t>悬浮物</w:t>
            </w:r>
            <w:r w:rsidR="008031C4" w:rsidRPr="00CF7BCF">
              <w:rPr>
                <w:rFonts w:hint="eastAsia"/>
                <w:snapToGrid w:val="0"/>
                <w:color w:val="FF0000"/>
                <w:szCs w:val="21"/>
              </w:rPr>
              <w:t>等</w:t>
            </w:r>
          </w:p>
        </w:tc>
        <w:tc>
          <w:tcPr>
            <w:tcW w:w="1331" w:type="dxa"/>
            <w:vAlign w:val="center"/>
          </w:tcPr>
          <w:p w:rsidR="00644456" w:rsidRDefault="008031C4">
            <w:pPr>
              <w:jc w:val="center"/>
              <w:rPr>
                <w:snapToGrid w:val="0"/>
                <w:color w:val="000000" w:themeColor="text1"/>
                <w:szCs w:val="21"/>
              </w:rPr>
            </w:pPr>
            <w:r>
              <w:rPr>
                <w:rFonts w:hint="eastAsia"/>
                <w:snapToGrid w:val="0"/>
                <w:color w:val="000000" w:themeColor="text1"/>
                <w:szCs w:val="21"/>
              </w:rPr>
              <w:t>一般固废</w:t>
            </w:r>
          </w:p>
        </w:tc>
        <w:tc>
          <w:tcPr>
            <w:tcW w:w="1503" w:type="dxa"/>
            <w:vAlign w:val="center"/>
          </w:tcPr>
          <w:p w:rsidR="00644456" w:rsidRDefault="008031C4">
            <w:pPr>
              <w:jc w:val="center"/>
              <w:rPr>
                <w:snapToGrid w:val="0"/>
                <w:color w:val="000000" w:themeColor="text1"/>
                <w:szCs w:val="21"/>
              </w:rPr>
            </w:pPr>
            <w:r>
              <w:rPr>
                <w:snapToGrid w:val="0"/>
                <w:color w:val="000000" w:themeColor="text1"/>
                <w:szCs w:val="21"/>
              </w:rPr>
              <w:t>0.098</w:t>
            </w:r>
          </w:p>
        </w:tc>
        <w:tc>
          <w:tcPr>
            <w:tcW w:w="150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环卫清掏</w:t>
            </w:r>
          </w:p>
        </w:tc>
      </w:tr>
      <w:tr w:rsidR="00644456">
        <w:tc>
          <w:tcPr>
            <w:tcW w:w="704" w:type="dxa"/>
            <w:vAlign w:val="center"/>
          </w:tcPr>
          <w:p w:rsidR="00644456" w:rsidRDefault="008031C4">
            <w:pPr>
              <w:jc w:val="center"/>
              <w:rPr>
                <w:snapToGrid w:val="0"/>
                <w:color w:val="000000" w:themeColor="text1"/>
                <w:szCs w:val="21"/>
              </w:rPr>
            </w:pPr>
            <w:r>
              <w:rPr>
                <w:snapToGrid w:val="0"/>
                <w:color w:val="000000" w:themeColor="text1"/>
                <w:szCs w:val="21"/>
              </w:rPr>
              <w:t>3</w:t>
            </w:r>
          </w:p>
        </w:tc>
        <w:tc>
          <w:tcPr>
            <w:tcW w:w="2131"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含油废渣</w:t>
            </w:r>
          </w:p>
        </w:tc>
        <w:tc>
          <w:tcPr>
            <w:tcW w:w="184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矿物油</w:t>
            </w:r>
          </w:p>
        </w:tc>
        <w:tc>
          <w:tcPr>
            <w:tcW w:w="1331"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危险废物</w:t>
            </w:r>
            <w:r>
              <w:rPr>
                <w:rFonts w:hint="eastAsia"/>
                <w:snapToGrid w:val="0"/>
                <w:color w:val="000000" w:themeColor="text1"/>
                <w:szCs w:val="21"/>
              </w:rPr>
              <w:t>HW</w:t>
            </w:r>
            <w:r>
              <w:rPr>
                <w:snapToGrid w:val="0"/>
                <w:color w:val="000000" w:themeColor="text1"/>
                <w:szCs w:val="21"/>
              </w:rPr>
              <w:t>08</w:t>
            </w:r>
          </w:p>
        </w:tc>
        <w:tc>
          <w:tcPr>
            <w:tcW w:w="150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1211.8562</w:t>
            </w:r>
          </w:p>
        </w:tc>
        <w:tc>
          <w:tcPr>
            <w:tcW w:w="1503" w:type="dxa"/>
            <w:vMerge w:val="restart"/>
            <w:vAlign w:val="center"/>
          </w:tcPr>
          <w:p w:rsidR="00644456" w:rsidRDefault="008031C4">
            <w:pPr>
              <w:jc w:val="center"/>
              <w:rPr>
                <w:snapToGrid w:val="0"/>
                <w:color w:val="000000" w:themeColor="text1"/>
                <w:szCs w:val="21"/>
              </w:rPr>
            </w:pPr>
            <w:r>
              <w:rPr>
                <w:rFonts w:hint="eastAsia"/>
                <w:snapToGrid w:val="0"/>
                <w:color w:val="000000" w:themeColor="text1"/>
                <w:szCs w:val="21"/>
              </w:rPr>
              <w:t>送有相应资质的单位处置</w:t>
            </w:r>
          </w:p>
        </w:tc>
      </w:tr>
      <w:tr w:rsidR="00644456">
        <w:tc>
          <w:tcPr>
            <w:tcW w:w="704" w:type="dxa"/>
            <w:vAlign w:val="center"/>
          </w:tcPr>
          <w:p w:rsidR="00644456" w:rsidRDefault="008031C4">
            <w:pPr>
              <w:jc w:val="center"/>
              <w:rPr>
                <w:snapToGrid w:val="0"/>
                <w:color w:val="000000" w:themeColor="text1"/>
                <w:szCs w:val="21"/>
              </w:rPr>
            </w:pPr>
            <w:r>
              <w:rPr>
                <w:snapToGrid w:val="0"/>
                <w:color w:val="000000" w:themeColor="text1"/>
                <w:szCs w:val="21"/>
              </w:rPr>
              <w:t>4</w:t>
            </w:r>
          </w:p>
        </w:tc>
        <w:tc>
          <w:tcPr>
            <w:tcW w:w="2131" w:type="dxa"/>
            <w:vAlign w:val="center"/>
          </w:tcPr>
          <w:p w:rsidR="00644456" w:rsidRDefault="008031C4">
            <w:pPr>
              <w:jc w:val="center"/>
              <w:rPr>
                <w:snapToGrid w:val="0"/>
                <w:color w:val="000000" w:themeColor="text1"/>
                <w:szCs w:val="21"/>
              </w:rPr>
            </w:pPr>
            <w:r>
              <w:rPr>
                <w:rFonts w:hint="eastAsia"/>
                <w:snapToGrid w:val="0"/>
                <w:color w:val="000000" w:themeColor="text1"/>
                <w:szCs w:val="21"/>
              </w:rPr>
              <w:t>污水处理设施浮渣、浮油和污泥</w:t>
            </w:r>
          </w:p>
        </w:tc>
        <w:tc>
          <w:tcPr>
            <w:tcW w:w="184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矿物油</w:t>
            </w:r>
          </w:p>
        </w:tc>
        <w:tc>
          <w:tcPr>
            <w:tcW w:w="1331"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危险废物</w:t>
            </w:r>
            <w:r>
              <w:rPr>
                <w:rFonts w:hint="eastAsia"/>
                <w:snapToGrid w:val="0"/>
                <w:color w:val="000000" w:themeColor="text1"/>
                <w:szCs w:val="21"/>
              </w:rPr>
              <w:t>HW</w:t>
            </w:r>
            <w:r>
              <w:rPr>
                <w:snapToGrid w:val="0"/>
                <w:color w:val="000000" w:themeColor="text1"/>
                <w:szCs w:val="21"/>
              </w:rPr>
              <w:t>08</w:t>
            </w:r>
          </w:p>
        </w:tc>
        <w:tc>
          <w:tcPr>
            <w:tcW w:w="150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0</w:t>
            </w:r>
            <w:r>
              <w:rPr>
                <w:snapToGrid w:val="0"/>
                <w:color w:val="000000" w:themeColor="text1"/>
                <w:szCs w:val="21"/>
              </w:rPr>
              <w:t>.2</w:t>
            </w:r>
          </w:p>
        </w:tc>
        <w:tc>
          <w:tcPr>
            <w:tcW w:w="1503" w:type="dxa"/>
            <w:vMerge/>
            <w:vAlign w:val="center"/>
          </w:tcPr>
          <w:p w:rsidR="00644456" w:rsidRDefault="00644456">
            <w:pPr>
              <w:jc w:val="center"/>
              <w:rPr>
                <w:snapToGrid w:val="0"/>
                <w:color w:val="000000" w:themeColor="text1"/>
                <w:szCs w:val="21"/>
              </w:rPr>
            </w:pPr>
          </w:p>
        </w:tc>
      </w:tr>
      <w:tr w:rsidR="00644456">
        <w:tc>
          <w:tcPr>
            <w:tcW w:w="704" w:type="dxa"/>
            <w:vAlign w:val="center"/>
          </w:tcPr>
          <w:p w:rsidR="00644456" w:rsidRDefault="008031C4">
            <w:pPr>
              <w:jc w:val="center"/>
              <w:rPr>
                <w:snapToGrid w:val="0"/>
                <w:color w:val="000000" w:themeColor="text1"/>
                <w:szCs w:val="21"/>
              </w:rPr>
            </w:pPr>
            <w:r>
              <w:rPr>
                <w:snapToGrid w:val="0"/>
                <w:color w:val="000000" w:themeColor="text1"/>
                <w:szCs w:val="21"/>
              </w:rPr>
              <w:t>5</w:t>
            </w:r>
          </w:p>
        </w:tc>
        <w:tc>
          <w:tcPr>
            <w:tcW w:w="2131"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废导热油</w:t>
            </w:r>
          </w:p>
        </w:tc>
        <w:tc>
          <w:tcPr>
            <w:tcW w:w="184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矿物油</w:t>
            </w:r>
          </w:p>
        </w:tc>
        <w:tc>
          <w:tcPr>
            <w:tcW w:w="1331"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危险废物</w:t>
            </w:r>
            <w:r>
              <w:rPr>
                <w:rFonts w:hint="eastAsia"/>
                <w:snapToGrid w:val="0"/>
                <w:color w:val="000000" w:themeColor="text1"/>
                <w:szCs w:val="21"/>
              </w:rPr>
              <w:t>HW</w:t>
            </w:r>
            <w:r>
              <w:rPr>
                <w:snapToGrid w:val="0"/>
                <w:color w:val="000000" w:themeColor="text1"/>
                <w:szCs w:val="21"/>
              </w:rPr>
              <w:t>08</w:t>
            </w:r>
          </w:p>
        </w:tc>
        <w:tc>
          <w:tcPr>
            <w:tcW w:w="150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0</w:t>
            </w:r>
            <w:r>
              <w:rPr>
                <w:snapToGrid w:val="0"/>
                <w:color w:val="000000" w:themeColor="text1"/>
                <w:szCs w:val="21"/>
              </w:rPr>
              <w:t>.7</w:t>
            </w:r>
          </w:p>
        </w:tc>
        <w:tc>
          <w:tcPr>
            <w:tcW w:w="1503" w:type="dxa"/>
            <w:vMerge/>
            <w:vAlign w:val="center"/>
          </w:tcPr>
          <w:p w:rsidR="00644456" w:rsidRDefault="00644456">
            <w:pPr>
              <w:jc w:val="center"/>
              <w:rPr>
                <w:snapToGrid w:val="0"/>
                <w:color w:val="000000" w:themeColor="text1"/>
                <w:szCs w:val="21"/>
              </w:rPr>
            </w:pPr>
          </w:p>
        </w:tc>
      </w:tr>
      <w:tr w:rsidR="00644456">
        <w:tc>
          <w:tcPr>
            <w:tcW w:w="704" w:type="dxa"/>
            <w:vAlign w:val="center"/>
          </w:tcPr>
          <w:p w:rsidR="00644456" w:rsidRDefault="008031C4">
            <w:pPr>
              <w:jc w:val="center"/>
              <w:rPr>
                <w:snapToGrid w:val="0"/>
                <w:color w:val="000000" w:themeColor="text1"/>
                <w:szCs w:val="21"/>
              </w:rPr>
            </w:pPr>
            <w:r>
              <w:rPr>
                <w:rFonts w:hint="eastAsia"/>
                <w:snapToGrid w:val="0"/>
                <w:color w:val="000000" w:themeColor="text1"/>
                <w:szCs w:val="21"/>
              </w:rPr>
              <w:t>6</w:t>
            </w:r>
          </w:p>
        </w:tc>
        <w:tc>
          <w:tcPr>
            <w:tcW w:w="2131" w:type="dxa"/>
            <w:vAlign w:val="center"/>
          </w:tcPr>
          <w:p w:rsidR="00644456" w:rsidRDefault="008031C4">
            <w:pPr>
              <w:jc w:val="center"/>
              <w:rPr>
                <w:snapToGrid w:val="0"/>
                <w:color w:val="000000" w:themeColor="text1"/>
                <w:szCs w:val="21"/>
              </w:rPr>
            </w:pPr>
            <w:r>
              <w:rPr>
                <w:rFonts w:hint="eastAsia"/>
                <w:snapToGrid w:val="0"/>
                <w:color w:val="000000" w:themeColor="text1"/>
                <w:szCs w:val="21"/>
              </w:rPr>
              <w:t>蒸馏残渣</w:t>
            </w:r>
          </w:p>
        </w:tc>
        <w:tc>
          <w:tcPr>
            <w:tcW w:w="184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矿物油</w:t>
            </w:r>
          </w:p>
        </w:tc>
        <w:tc>
          <w:tcPr>
            <w:tcW w:w="1331"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危险废物</w:t>
            </w:r>
            <w:r>
              <w:rPr>
                <w:rFonts w:hint="eastAsia"/>
                <w:snapToGrid w:val="0"/>
                <w:color w:val="000000" w:themeColor="text1"/>
                <w:szCs w:val="21"/>
              </w:rPr>
              <w:t>HW</w:t>
            </w:r>
            <w:r>
              <w:rPr>
                <w:snapToGrid w:val="0"/>
                <w:color w:val="000000" w:themeColor="text1"/>
                <w:szCs w:val="21"/>
              </w:rPr>
              <w:t>08</w:t>
            </w:r>
          </w:p>
        </w:tc>
        <w:tc>
          <w:tcPr>
            <w:tcW w:w="150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5</w:t>
            </w:r>
            <w:r>
              <w:rPr>
                <w:snapToGrid w:val="0"/>
                <w:color w:val="000000" w:themeColor="text1"/>
                <w:szCs w:val="21"/>
              </w:rPr>
              <w:t>.974</w:t>
            </w:r>
          </w:p>
        </w:tc>
        <w:tc>
          <w:tcPr>
            <w:tcW w:w="1503" w:type="dxa"/>
            <w:vMerge/>
            <w:vAlign w:val="center"/>
          </w:tcPr>
          <w:p w:rsidR="00644456" w:rsidRDefault="00644456">
            <w:pPr>
              <w:jc w:val="center"/>
              <w:rPr>
                <w:snapToGrid w:val="0"/>
                <w:color w:val="000000" w:themeColor="text1"/>
                <w:szCs w:val="21"/>
              </w:rPr>
            </w:pPr>
          </w:p>
        </w:tc>
      </w:tr>
      <w:tr w:rsidR="00644456">
        <w:tc>
          <w:tcPr>
            <w:tcW w:w="704" w:type="dxa"/>
            <w:vAlign w:val="center"/>
          </w:tcPr>
          <w:p w:rsidR="00644456" w:rsidRDefault="008031C4">
            <w:pPr>
              <w:jc w:val="center"/>
              <w:rPr>
                <w:snapToGrid w:val="0"/>
                <w:color w:val="000000" w:themeColor="text1"/>
                <w:szCs w:val="21"/>
              </w:rPr>
            </w:pPr>
            <w:r>
              <w:rPr>
                <w:rFonts w:hint="eastAsia"/>
                <w:snapToGrid w:val="0"/>
                <w:color w:val="000000" w:themeColor="text1"/>
                <w:szCs w:val="21"/>
              </w:rPr>
              <w:t>7</w:t>
            </w:r>
          </w:p>
        </w:tc>
        <w:tc>
          <w:tcPr>
            <w:tcW w:w="2131"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废干式过滤器</w:t>
            </w:r>
          </w:p>
        </w:tc>
        <w:tc>
          <w:tcPr>
            <w:tcW w:w="184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矿物油</w:t>
            </w:r>
          </w:p>
        </w:tc>
        <w:tc>
          <w:tcPr>
            <w:tcW w:w="1331"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危险废物</w:t>
            </w:r>
            <w:r>
              <w:rPr>
                <w:rFonts w:hint="eastAsia"/>
                <w:snapToGrid w:val="0"/>
                <w:color w:val="000000" w:themeColor="text1"/>
                <w:szCs w:val="21"/>
              </w:rPr>
              <w:t>HW</w:t>
            </w:r>
            <w:r>
              <w:rPr>
                <w:snapToGrid w:val="0"/>
                <w:color w:val="000000" w:themeColor="text1"/>
                <w:szCs w:val="21"/>
              </w:rPr>
              <w:t>08</w:t>
            </w:r>
          </w:p>
        </w:tc>
        <w:tc>
          <w:tcPr>
            <w:tcW w:w="150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0</w:t>
            </w:r>
            <w:r>
              <w:rPr>
                <w:snapToGrid w:val="0"/>
                <w:color w:val="000000" w:themeColor="text1"/>
                <w:szCs w:val="21"/>
              </w:rPr>
              <w:t>.005</w:t>
            </w:r>
          </w:p>
        </w:tc>
        <w:tc>
          <w:tcPr>
            <w:tcW w:w="1503" w:type="dxa"/>
            <w:vMerge/>
            <w:vAlign w:val="center"/>
          </w:tcPr>
          <w:p w:rsidR="00644456" w:rsidRDefault="00644456">
            <w:pPr>
              <w:jc w:val="center"/>
              <w:rPr>
                <w:snapToGrid w:val="0"/>
                <w:color w:val="000000" w:themeColor="text1"/>
                <w:szCs w:val="21"/>
              </w:rPr>
            </w:pPr>
          </w:p>
        </w:tc>
      </w:tr>
      <w:tr w:rsidR="00644456">
        <w:tc>
          <w:tcPr>
            <w:tcW w:w="704" w:type="dxa"/>
            <w:vAlign w:val="center"/>
          </w:tcPr>
          <w:p w:rsidR="00644456" w:rsidRDefault="008031C4">
            <w:pPr>
              <w:jc w:val="center"/>
              <w:rPr>
                <w:snapToGrid w:val="0"/>
                <w:color w:val="000000" w:themeColor="text1"/>
                <w:szCs w:val="21"/>
              </w:rPr>
            </w:pPr>
            <w:r>
              <w:rPr>
                <w:rFonts w:hint="eastAsia"/>
                <w:snapToGrid w:val="0"/>
                <w:color w:val="000000" w:themeColor="text1"/>
                <w:szCs w:val="21"/>
              </w:rPr>
              <w:t>8</w:t>
            </w:r>
          </w:p>
        </w:tc>
        <w:tc>
          <w:tcPr>
            <w:tcW w:w="2131"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其他危险废物</w:t>
            </w:r>
          </w:p>
        </w:tc>
        <w:tc>
          <w:tcPr>
            <w:tcW w:w="184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矿物油</w:t>
            </w:r>
          </w:p>
        </w:tc>
        <w:tc>
          <w:tcPr>
            <w:tcW w:w="1331"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危险废物</w:t>
            </w:r>
            <w:r>
              <w:rPr>
                <w:rFonts w:hint="eastAsia"/>
                <w:snapToGrid w:val="0"/>
                <w:color w:val="000000" w:themeColor="text1"/>
                <w:szCs w:val="21"/>
              </w:rPr>
              <w:t>HW</w:t>
            </w:r>
            <w:r>
              <w:rPr>
                <w:snapToGrid w:val="0"/>
                <w:color w:val="000000" w:themeColor="text1"/>
                <w:szCs w:val="21"/>
              </w:rPr>
              <w:t>08</w:t>
            </w:r>
          </w:p>
        </w:tc>
        <w:tc>
          <w:tcPr>
            <w:tcW w:w="1503" w:type="dxa"/>
            <w:vAlign w:val="center"/>
          </w:tcPr>
          <w:p w:rsidR="00644456" w:rsidRDefault="008031C4">
            <w:pPr>
              <w:jc w:val="center"/>
              <w:rPr>
                <w:snapToGrid w:val="0"/>
                <w:color w:val="000000" w:themeColor="text1"/>
                <w:szCs w:val="21"/>
              </w:rPr>
            </w:pPr>
            <w:r>
              <w:rPr>
                <w:rFonts w:hint="eastAsia"/>
                <w:snapToGrid w:val="0"/>
                <w:color w:val="000000" w:themeColor="text1"/>
                <w:szCs w:val="21"/>
              </w:rPr>
              <w:t>9</w:t>
            </w:r>
          </w:p>
        </w:tc>
        <w:tc>
          <w:tcPr>
            <w:tcW w:w="1503" w:type="dxa"/>
            <w:vMerge/>
            <w:vAlign w:val="center"/>
          </w:tcPr>
          <w:p w:rsidR="00644456" w:rsidRDefault="00644456">
            <w:pPr>
              <w:jc w:val="center"/>
              <w:rPr>
                <w:snapToGrid w:val="0"/>
                <w:color w:val="000000" w:themeColor="text1"/>
                <w:szCs w:val="21"/>
              </w:rPr>
            </w:pPr>
          </w:p>
        </w:tc>
      </w:tr>
    </w:tbl>
    <w:p w:rsidR="00644456" w:rsidRDefault="008031C4">
      <w:pPr>
        <w:pStyle w:val="4"/>
        <w:numPr>
          <w:ilvl w:val="3"/>
          <w:numId w:val="0"/>
        </w:numPr>
        <w:ind w:firstLineChars="200" w:firstLine="482"/>
        <w:rPr>
          <w:rFonts w:cs="Times New Roman"/>
          <w:snapToGrid w:val="0"/>
          <w:color w:val="000000" w:themeColor="text1"/>
          <w:kern w:val="0"/>
          <w:szCs w:val="24"/>
        </w:rPr>
      </w:pPr>
      <w:bookmarkStart w:id="175" w:name="_Toc299642932"/>
      <w:bookmarkEnd w:id="169"/>
      <w:bookmarkEnd w:id="172"/>
      <w:bookmarkEnd w:id="173"/>
      <w:bookmarkEnd w:id="174"/>
      <w:r>
        <w:rPr>
          <w:rFonts w:cs="Times New Roman" w:hint="eastAsia"/>
          <w:snapToGrid w:val="0"/>
          <w:color w:val="000000" w:themeColor="text1"/>
          <w:kern w:val="0"/>
          <w:szCs w:val="24"/>
        </w:rPr>
        <w:t>2.5.2.5</w:t>
      </w:r>
      <w:r>
        <w:rPr>
          <w:rFonts w:cs="Times New Roman" w:hint="eastAsia"/>
          <w:snapToGrid w:val="0"/>
          <w:color w:val="000000" w:themeColor="text1"/>
          <w:kern w:val="0"/>
          <w:szCs w:val="24"/>
        </w:rPr>
        <w:t>土壤及地下水污染防治措施</w:t>
      </w:r>
    </w:p>
    <w:p w:rsidR="00644456" w:rsidRDefault="008031C4">
      <w:pPr>
        <w:adjustRightInd w:val="0"/>
        <w:snapToGrid w:val="0"/>
        <w:spacing w:line="360" w:lineRule="auto"/>
        <w:ind w:firstLineChars="200" w:firstLine="480"/>
        <w:rPr>
          <w:rFonts w:cs="Times New Roman"/>
          <w:snapToGrid w:val="0"/>
          <w:color w:val="000000" w:themeColor="text1"/>
          <w:kern w:val="0"/>
          <w:sz w:val="24"/>
        </w:rPr>
      </w:pPr>
      <w:bookmarkStart w:id="176" w:name="_Toc105317815"/>
      <w:bookmarkStart w:id="177" w:name="_Toc304465214"/>
      <w:bookmarkStart w:id="178" w:name="_Toc149561856"/>
      <w:r>
        <w:rPr>
          <w:rFonts w:cs="Times New Roman"/>
          <w:snapToGrid w:val="0"/>
          <w:color w:val="000000" w:themeColor="text1"/>
          <w:kern w:val="0"/>
          <w:sz w:val="24"/>
        </w:rPr>
        <w:t>（</w:t>
      </w:r>
      <w:r>
        <w:rPr>
          <w:rFonts w:cs="Times New Roman"/>
          <w:snapToGrid w:val="0"/>
          <w:color w:val="000000" w:themeColor="text1"/>
          <w:kern w:val="0"/>
          <w:sz w:val="24"/>
        </w:rPr>
        <w:t>1</w:t>
      </w:r>
      <w:r>
        <w:rPr>
          <w:rFonts w:cs="Times New Roman"/>
          <w:snapToGrid w:val="0"/>
          <w:color w:val="000000" w:themeColor="text1"/>
          <w:kern w:val="0"/>
          <w:sz w:val="24"/>
        </w:rPr>
        <w:t>）防止地下水污染控制措施的原则</w:t>
      </w:r>
    </w:p>
    <w:p w:rsidR="00644456" w:rsidRDefault="008031C4">
      <w:pPr>
        <w:adjustRightInd w:val="0"/>
        <w:snapToGrid w:val="0"/>
        <w:spacing w:line="360" w:lineRule="auto"/>
        <w:ind w:firstLineChars="200" w:firstLine="480"/>
        <w:rPr>
          <w:rFonts w:cs="Times New Roman"/>
          <w:snapToGrid w:val="0"/>
          <w:color w:val="000000" w:themeColor="text1"/>
          <w:kern w:val="0"/>
          <w:sz w:val="24"/>
        </w:rPr>
      </w:pPr>
      <w:r>
        <w:rPr>
          <w:rFonts w:cs="Times New Roman"/>
          <w:snapToGrid w:val="0"/>
          <w:color w:val="000000" w:themeColor="text1"/>
          <w:kern w:val="0"/>
          <w:sz w:val="24"/>
        </w:rPr>
        <w:t>地下水污染防治措施应坚持</w:t>
      </w:r>
      <w:r>
        <w:rPr>
          <w:rFonts w:cs="Times New Roman"/>
          <w:snapToGrid w:val="0"/>
          <w:color w:val="000000" w:themeColor="text1"/>
          <w:kern w:val="0"/>
          <w:sz w:val="24"/>
        </w:rPr>
        <w:t>“</w:t>
      </w:r>
      <w:r>
        <w:rPr>
          <w:rFonts w:cs="Times New Roman"/>
          <w:snapToGrid w:val="0"/>
          <w:color w:val="000000" w:themeColor="text1"/>
          <w:kern w:val="0"/>
          <w:sz w:val="24"/>
        </w:rPr>
        <w:t>源头控制、末端防治、污染监控、应急响应</w:t>
      </w:r>
      <w:r>
        <w:rPr>
          <w:rFonts w:cs="Times New Roman"/>
          <w:snapToGrid w:val="0"/>
          <w:color w:val="000000" w:themeColor="text1"/>
          <w:kern w:val="0"/>
          <w:sz w:val="24"/>
        </w:rPr>
        <w:t>”</w:t>
      </w:r>
      <w:r>
        <w:rPr>
          <w:rFonts w:cs="Times New Roman" w:hint="eastAsia"/>
          <w:snapToGrid w:val="0"/>
          <w:color w:val="000000" w:themeColor="text1"/>
          <w:kern w:val="0"/>
          <w:sz w:val="24"/>
        </w:rPr>
        <w:t>相结合</w:t>
      </w:r>
      <w:r>
        <w:rPr>
          <w:rFonts w:cs="Times New Roman"/>
          <w:snapToGrid w:val="0"/>
          <w:color w:val="000000" w:themeColor="text1"/>
          <w:kern w:val="0"/>
          <w:sz w:val="24"/>
        </w:rPr>
        <w:t>的原则</w:t>
      </w:r>
      <w:r>
        <w:rPr>
          <w:rFonts w:cs="Times New Roman" w:hint="eastAsia"/>
          <w:snapToGrid w:val="0"/>
          <w:color w:val="000000" w:themeColor="text1"/>
          <w:kern w:val="0"/>
          <w:sz w:val="24"/>
        </w:rPr>
        <w:t>，</w:t>
      </w:r>
      <w:r>
        <w:rPr>
          <w:rFonts w:cs="Times New Roman"/>
          <w:snapToGrid w:val="0"/>
          <w:color w:val="000000" w:themeColor="text1"/>
          <w:kern w:val="0"/>
          <w:sz w:val="24"/>
        </w:rPr>
        <w:t>采取主动控制和被动控制相结合的措施。</w:t>
      </w:r>
    </w:p>
    <w:p w:rsidR="00644456" w:rsidRDefault="008031C4">
      <w:pPr>
        <w:adjustRightInd w:val="0"/>
        <w:snapToGrid w:val="0"/>
        <w:spacing w:line="360" w:lineRule="auto"/>
        <w:ind w:firstLineChars="200" w:firstLine="480"/>
        <w:rPr>
          <w:rFonts w:cs="Times New Roman"/>
          <w:snapToGrid w:val="0"/>
          <w:color w:val="000000" w:themeColor="text1"/>
          <w:kern w:val="0"/>
          <w:sz w:val="24"/>
        </w:rPr>
      </w:pPr>
      <w:r>
        <w:rPr>
          <w:rFonts w:cs="Times New Roman" w:hint="eastAsia"/>
          <w:snapToGrid w:val="0"/>
          <w:color w:val="000000" w:themeColor="text1"/>
          <w:kern w:val="0"/>
          <w:sz w:val="24"/>
        </w:rPr>
        <w:t>①</w:t>
      </w:r>
      <w:r>
        <w:rPr>
          <w:rFonts w:cs="Times New Roman"/>
          <w:snapToGrid w:val="0"/>
          <w:color w:val="000000" w:themeColor="text1"/>
          <w:kern w:val="0"/>
          <w:sz w:val="24"/>
        </w:rPr>
        <w:t>主动控制即从源头控制措施，主要包括在工艺、设备、污水储存及处理构筑物采取相应措施，防止和降低污染物跑、冒、滴、漏，将污染物泄漏的环境风险事故降到最低程度；</w:t>
      </w:r>
    </w:p>
    <w:p w:rsidR="00644456" w:rsidRDefault="008031C4">
      <w:pPr>
        <w:adjustRightInd w:val="0"/>
        <w:snapToGrid w:val="0"/>
        <w:spacing w:line="360" w:lineRule="auto"/>
        <w:ind w:firstLineChars="200" w:firstLine="480"/>
        <w:rPr>
          <w:rFonts w:cs="Times New Roman"/>
          <w:snapToGrid w:val="0"/>
          <w:color w:val="000000" w:themeColor="text1"/>
          <w:kern w:val="0"/>
          <w:sz w:val="24"/>
        </w:rPr>
      </w:pPr>
      <w:r>
        <w:rPr>
          <w:rFonts w:cs="Times New Roman" w:hint="eastAsia"/>
          <w:snapToGrid w:val="0"/>
          <w:color w:val="000000" w:themeColor="text1"/>
          <w:kern w:val="0"/>
          <w:sz w:val="24"/>
        </w:rPr>
        <w:t>②</w:t>
      </w:r>
      <w:r>
        <w:rPr>
          <w:rFonts w:cs="Times New Roman"/>
          <w:snapToGrid w:val="0"/>
          <w:color w:val="000000" w:themeColor="text1"/>
          <w:kern w:val="0"/>
          <w:sz w:val="24"/>
        </w:rPr>
        <w:t>被动控制即末端控制措施，主要包括项目区内污染区地面的防渗措施和泄漏、渗漏污染物收集措施，即在污染区地面进行防渗处理，防止洒落地面的污染物渗入地下；</w:t>
      </w:r>
    </w:p>
    <w:p w:rsidR="00644456" w:rsidRDefault="008031C4">
      <w:pPr>
        <w:adjustRightInd w:val="0"/>
        <w:snapToGrid w:val="0"/>
        <w:spacing w:line="360" w:lineRule="auto"/>
        <w:ind w:firstLineChars="200" w:firstLine="480"/>
        <w:rPr>
          <w:rFonts w:cs="Times New Roman"/>
          <w:snapToGrid w:val="0"/>
          <w:color w:val="000000" w:themeColor="text1"/>
          <w:kern w:val="0"/>
          <w:sz w:val="24"/>
        </w:rPr>
      </w:pPr>
      <w:r>
        <w:rPr>
          <w:rFonts w:cs="Times New Roman" w:hint="eastAsia"/>
          <w:snapToGrid w:val="0"/>
          <w:color w:val="000000" w:themeColor="text1"/>
          <w:kern w:val="0"/>
          <w:sz w:val="24"/>
        </w:rPr>
        <w:t>③</w:t>
      </w:r>
      <w:r>
        <w:rPr>
          <w:rFonts w:cs="Times New Roman"/>
          <w:snapToGrid w:val="0"/>
          <w:color w:val="000000" w:themeColor="text1"/>
          <w:kern w:val="0"/>
          <w:sz w:val="24"/>
        </w:rPr>
        <w:t>应急响应措施，包括一旦发现地下水污染事故，立即启动应急预案、采取应急措施控制地下水污染，并使污染得到治理。</w:t>
      </w:r>
    </w:p>
    <w:p w:rsidR="00644456" w:rsidRDefault="008031C4">
      <w:pPr>
        <w:adjustRightInd w:val="0"/>
        <w:snapToGrid w:val="0"/>
        <w:spacing w:line="360" w:lineRule="auto"/>
        <w:ind w:firstLineChars="200" w:firstLine="480"/>
        <w:rPr>
          <w:rFonts w:cs="Times New Roman"/>
          <w:snapToGrid w:val="0"/>
          <w:color w:val="000000" w:themeColor="text1"/>
          <w:kern w:val="0"/>
          <w:sz w:val="24"/>
        </w:rPr>
      </w:pPr>
      <w:r>
        <w:rPr>
          <w:rFonts w:cs="Times New Roman"/>
          <w:snapToGrid w:val="0"/>
          <w:color w:val="000000" w:themeColor="text1"/>
          <w:kern w:val="0"/>
          <w:sz w:val="24"/>
        </w:rPr>
        <w:t>（</w:t>
      </w:r>
      <w:r>
        <w:rPr>
          <w:rFonts w:cs="Times New Roman"/>
          <w:snapToGrid w:val="0"/>
          <w:color w:val="000000" w:themeColor="text1"/>
          <w:kern w:val="0"/>
          <w:sz w:val="24"/>
        </w:rPr>
        <w:t>2</w:t>
      </w:r>
      <w:r>
        <w:rPr>
          <w:rFonts w:cs="Times New Roman"/>
          <w:snapToGrid w:val="0"/>
          <w:color w:val="000000" w:themeColor="text1"/>
          <w:kern w:val="0"/>
          <w:sz w:val="24"/>
        </w:rPr>
        <w:t>）项目采取的地下水污染防治措施</w:t>
      </w:r>
    </w:p>
    <w:p w:rsidR="00644456" w:rsidRDefault="008031C4">
      <w:pPr>
        <w:adjustRightInd w:val="0"/>
        <w:snapToGrid w:val="0"/>
        <w:spacing w:line="360" w:lineRule="auto"/>
        <w:ind w:firstLineChars="200" w:firstLine="480"/>
        <w:rPr>
          <w:rFonts w:cs="Times New Roman"/>
          <w:snapToGrid w:val="0"/>
          <w:color w:val="000000" w:themeColor="text1"/>
          <w:kern w:val="0"/>
          <w:sz w:val="24"/>
        </w:rPr>
      </w:pPr>
      <w:r>
        <w:rPr>
          <w:rFonts w:cs="Times New Roman" w:hint="eastAsia"/>
          <w:snapToGrid w:val="0"/>
          <w:color w:val="000000" w:themeColor="text1"/>
          <w:kern w:val="0"/>
          <w:sz w:val="24"/>
        </w:rPr>
        <w:t>本项目建成后，分区防渗措施见下表。</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2.5-16</w:t>
      </w:r>
      <w:r>
        <w:rPr>
          <w:rFonts w:cs="Times New Roman" w:hint="eastAsia"/>
          <w:b/>
          <w:color w:val="000000" w:themeColor="text1"/>
          <w:sz w:val="24"/>
          <w:szCs w:val="20"/>
        </w:rPr>
        <w:t>项目改建后分区防渗措施表</w:t>
      </w:r>
    </w:p>
    <w:tbl>
      <w:tblPr>
        <w:tblW w:w="9017"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65"/>
        <w:gridCol w:w="6768"/>
        <w:gridCol w:w="784"/>
      </w:tblGrid>
      <w:tr w:rsidR="00644456">
        <w:trPr>
          <w:trHeight w:val="310"/>
          <w:jc w:val="center"/>
        </w:trPr>
        <w:tc>
          <w:tcPr>
            <w:tcW w:w="1465" w:type="dxa"/>
            <w:vAlign w:val="center"/>
          </w:tcPr>
          <w:p w:rsidR="00644456" w:rsidRDefault="008031C4">
            <w:pPr>
              <w:jc w:val="center"/>
              <w:rPr>
                <w:b/>
                <w:snapToGrid w:val="0"/>
                <w:color w:val="000000" w:themeColor="text1"/>
                <w:szCs w:val="21"/>
              </w:rPr>
            </w:pPr>
            <w:bookmarkStart w:id="179" w:name="_Hlk177204985"/>
            <w:r>
              <w:rPr>
                <w:rFonts w:hint="eastAsia"/>
                <w:b/>
                <w:snapToGrid w:val="0"/>
                <w:color w:val="000000" w:themeColor="text1"/>
                <w:szCs w:val="21"/>
              </w:rPr>
              <w:t>区域</w:t>
            </w:r>
          </w:p>
        </w:tc>
        <w:tc>
          <w:tcPr>
            <w:tcW w:w="6768" w:type="dxa"/>
            <w:vAlign w:val="center"/>
          </w:tcPr>
          <w:p w:rsidR="00644456" w:rsidRDefault="008031C4">
            <w:pPr>
              <w:jc w:val="center"/>
              <w:rPr>
                <w:b/>
                <w:snapToGrid w:val="0"/>
                <w:color w:val="000000" w:themeColor="text1"/>
                <w:szCs w:val="21"/>
              </w:rPr>
            </w:pPr>
            <w:r>
              <w:rPr>
                <w:rFonts w:hint="eastAsia"/>
                <w:b/>
                <w:snapToGrid w:val="0"/>
                <w:color w:val="000000" w:themeColor="text1"/>
                <w:szCs w:val="21"/>
              </w:rPr>
              <w:t>防渗措施</w:t>
            </w:r>
          </w:p>
        </w:tc>
        <w:tc>
          <w:tcPr>
            <w:tcW w:w="784" w:type="dxa"/>
            <w:vAlign w:val="center"/>
          </w:tcPr>
          <w:p w:rsidR="00644456" w:rsidRDefault="008031C4">
            <w:pPr>
              <w:jc w:val="center"/>
              <w:rPr>
                <w:b/>
                <w:snapToGrid w:val="0"/>
                <w:color w:val="000000" w:themeColor="text1"/>
                <w:szCs w:val="21"/>
              </w:rPr>
            </w:pPr>
            <w:r>
              <w:rPr>
                <w:rFonts w:hint="eastAsia"/>
                <w:b/>
                <w:snapToGrid w:val="0"/>
                <w:color w:val="000000" w:themeColor="text1"/>
                <w:szCs w:val="21"/>
              </w:rPr>
              <w:t>备注</w:t>
            </w:r>
          </w:p>
        </w:tc>
      </w:tr>
      <w:tr w:rsidR="00644456">
        <w:trPr>
          <w:trHeight w:val="310"/>
          <w:jc w:val="center"/>
        </w:trPr>
        <w:tc>
          <w:tcPr>
            <w:tcW w:w="1465" w:type="dxa"/>
            <w:vAlign w:val="center"/>
          </w:tcPr>
          <w:p w:rsidR="00644456" w:rsidRDefault="008031C4">
            <w:pPr>
              <w:jc w:val="center"/>
              <w:rPr>
                <w:snapToGrid w:val="0"/>
                <w:color w:val="000000" w:themeColor="text1"/>
                <w:szCs w:val="21"/>
              </w:rPr>
            </w:pPr>
            <w:r>
              <w:rPr>
                <w:rFonts w:hint="eastAsia"/>
                <w:snapToGrid w:val="0"/>
                <w:color w:val="000000" w:themeColor="text1"/>
                <w:szCs w:val="21"/>
              </w:rPr>
              <w:t>污水</w:t>
            </w:r>
          </w:p>
          <w:p w:rsidR="00644456" w:rsidRDefault="008031C4">
            <w:pPr>
              <w:jc w:val="center"/>
              <w:rPr>
                <w:snapToGrid w:val="0"/>
                <w:color w:val="000000" w:themeColor="text1"/>
                <w:szCs w:val="21"/>
              </w:rPr>
            </w:pPr>
            <w:r>
              <w:rPr>
                <w:rFonts w:hint="eastAsia"/>
                <w:snapToGrid w:val="0"/>
                <w:color w:val="000000" w:themeColor="text1"/>
                <w:szCs w:val="21"/>
              </w:rPr>
              <w:t>处理站</w:t>
            </w:r>
          </w:p>
        </w:tc>
        <w:tc>
          <w:tcPr>
            <w:tcW w:w="6768" w:type="dxa"/>
            <w:vAlign w:val="center"/>
          </w:tcPr>
          <w:p w:rsidR="00644456" w:rsidRDefault="008031C4">
            <w:pPr>
              <w:jc w:val="center"/>
              <w:rPr>
                <w:snapToGrid w:val="0"/>
                <w:color w:val="000000" w:themeColor="text1"/>
                <w:szCs w:val="21"/>
              </w:rPr>
            </w:pPr>
            <w:r>
              <w:rPr>
                <w:rFonts w:hint="eastAsia"/>
                <w:snapToGrid w:val="0"/>
                <w:color w:val="000000" w:themeColor="text1"/>
                <w:szCs w:val="21"/>
              </w:rPr>
              <w:t>重点防渗：地坪（从下至上）及围堰四周采用</w:t>
            </w:r>
            <w:r>
              <w:rPr>
                <w:bCs/>
                <w:color w:val="000000" w:themeColor="text1"/>
                <w:szCs w:val="21"/>
              </w:rPr>
              <w:t>100mm</w:t>
            </w:r>
            <w:r>
              <w:rPr>
                <w:bCs/>
                <w:color w:val="000000" w:themeColor="text1"/>
                <w:szCs w:val="21"/>
              </w:rPr>
              <w:t>厚</w:t>
            </w:r>
            <w:r>
              <w:rPr>
                <w:bCs/>
                <w:color w:val="000000" w:themeColor="text1"/>
                <w:szCs w:val="21"/>
              </w:rPr>
              <w:t>C10</w:t>
            </w:r>
            <w:r>
              <w:rPr>
                <w:bCs/>
                <w:color w:val="000000" w:themeColor="text1"/>
                <w:szCs w:val="21"/>
              </w:rPr>
              <w:t>混凝土垫层</w:t>
            </w:r>
            <w:r>
              <w:rPr>
                <w:bCs/>
                <w:color w:val="000000" w:themeColor="text1"/>
                <w:szCs w:val="21"/>
              </w:rPr>
              <w:t>+200mm</w:t>
            </w:r>
            <w:r>
              <w:rPr>
                <w:bCs/>
                <w:color w:val="000000" w:themeColor="text1"/>
                <w:szCs w:val="21"/>
              </w:rPr>
              <w:t>厚</w:t>
            </w:r>
            <w:r>
              <w:rPr>
                <w:bCs/>
                <w:color w:val="000000" w:themeColor="text1"/>
                <w:szCs w:val="21"/>
              </w:rPr>
              <w:t>C20</w:t>
            </w:r>
            <w:r>
              <w:rPr>
                <w:bCs/>
                <w:color w:val="000000" w:themeColor="text1"/>
                <w:szCs w:val="21"/>
              </w:rPr>
              <w:t>钢筋混凝土沟底（壁）</w:t>
            </w:r>
            <w:r>
              <w:rPr>
                <w:bCs/>
                <w:color w:val="000000" w:themeColor="text1"/>
                <w:szCs w:val="21"/>
              </w:rPr>
              <w:t>+</w:t>
            </w:r>
            <w:r>
              <w:rPr>
                <w:bCs/>
                <w:color w:val="000000" w:themeColor="text1"/>
                <w:szCs w:val="21"/>
              </w:rPr>
              <w:t>耐腐蚀地砖</w:t>
            </w:r>
            <w:r>
              <w:rPr>
                <w:rFonts w:hint="eastAsia"/>
                <w:color w:val="000000" w:themeColor="text1"/>
                <w:szCs w:val="21"/>
              </w:rPr>
              <w:t>进行防渗防腐处理</w:t>
            </w:r>
            <w:r>
              <w:rPr>
                <w:bCs/>
                <w:color w:val="000000" w:themeColor="text1"/>
                <w:szCs w:val="21"/>
              </w:rPr>
              <w:t>，重点防渗区</w:t>
            </w:r>
            <w:r>
              <w:rPr>
                <w:rFonts w:hint="eastAsia"/>
                <w:bCs/>
                <w:color w:val="000000" w:themeColor="text1"/>
                <w:szCs w:val="21"/>
              </w:rPr>
              <w:t>防渗系数</w:t>
            </w:r>
            <w:r>
              <w:rPr>
                <w:bCs/>
                <w:color w:val="000000" w:themeColor="text1"/>
                <w:szCs w:val="21"/>
              </w:rPr>
              <w:t>k≤1×10</w:t>
            </w:r>
            <w:r>
              <w:rPr>
                <w:bCs/>
                <w:color w:val="000000" w:themeColor="text1"/>
                <w:szCs w:val="21"/>
                <w:vertAlign w:val="superscript"/>
              </w:rPr>
              <w:t>-</w:t>
            </w:r>
            <w:r>
              <w:rPr>
                <w:rFonts w:hint="eastAsia"/>
                <w:bCs/>
                <w:color w:val="000000" w:themeColor="text1"/>
                <w:szCs w:val="21"/>
                <w:vertAlign w:val="superscript"/>
              </w:rPr>
              <w:t>10</w:t>
            </w:r>
            <w:r>
              <w:rPr>
                <w:bCs/>
                <w:color w:val="000000" w:themeColor="text1"/>
                <w:szCs w:val="21"/>
              </w:rPr>
              <w:t>cm/s</w:t>
            </w:r>
            <w:r>
              <w:rPr>
                <w:rFonts w:hint="eastAsia"/>
                <w:bCs/>
                <w:color w:val="000000" w:themeColor="text1"/>
                <w:szCs w:val="21"/>
              </w:rPr>
              <w:t>。</w:t>
            </w:r>
          </w:p>
        </w:tc>
        <w:tc>
          <w:tcPr>
            <w:tcW w:w="784" w:type="dxa"/>
            <w:vAlign w:val="center"/>
          </w:tcPr>
          <w:p w:rsidR="00644456" w:rsidRDefault="008031C4">
            <w:pPr>
              <w:jc w:val="center"/>
              <w:rPr>
                <w:snapToGrid w:val="0"/>
                <w:color w:val="000000" w:themeColor="text1"/>
                <w:szCs w:val="21"/>
              </w:rPr>
            </w:pPr>
            <w:r>
              <w:rPr>
                <w:rFonts w:hint="eastAsia"/>
                <w:color w:val="000000" w:themeColor="text1"/>
                <w:szCs w:val="21"/>
              </w:rPr>
              <w:t>新建</w:t>
            </w:r>
          </w:p>
        </w:tc>
      </w:tr>
      <w:tr w:rsidR="00644456">
        <w:trPr>
          <w:trHeight w:val="310"/>
          <w:jc w:val="center"/>
        </w:trPr>
        <w:tc>
          <w:tcPr>
            <w:tcW w:w="1465"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危废暂存间</w:t>
            </w:r>
          </w:p>
        </w:tc>
        <w:tc>
          <w:tcPr>
            <w:tcW w:w="6768" w:type="dxa"/>
            <w:vAlign w:val="center"/>
          </w:tcPr>
          <w:p w:rsidR="00644456" w:rsidRDefault="008031C4">
            <w:pPr>
              <w:jc w:val="center"/>
              <w:rPr>
                <w:snapToGrid w:val="0"/>
                <w:color w:val="000000" w:themeColor="text1"/>
                <w:szCs w:val="21"/>
              </w:rPr>
            </w:pPr>
            <w:r>
              <w:rPr>
                <w:rFonts w:hint="eastAsia"/>
                <w:snapToGrid w:val="0"/>
                <w:color w:val="000000" w:themeColor="text1"/>
                <w:szCs w:val="21"/>
              </w:rPr>
              <w:t>重点防渗：地坪（从下至上）及围堰四周采用</w:t>
            </w:r>
            <w:r>
              <w:rPr>
                <w:bCs/>
                <w:color w:val="000000" w:themeColor="text1"/>
                <w:szCs w:val="21"/>
              </w:rPr>
              <w:t>100mm</w:t>
            </w:r>
            <w:r>
              <w:rPr>
                <w:bCs/>
                <w:color w:val="000000" w:themeColor="text1"/>
                <w:szCs w:val="21"/>
              </w:rPr>
              <w:t>厚</w:t>
            </w:r>
            <w:r>
              <w:rPr>
                <w:bCs/>
                <w:color w:val="000000" w:themeColor="text1"/>
                <w:szCs w:val="21"/>
              </w:rPr>
              <w:t>C10</w:t>
            </w:r>
            <w:r>
              <w:rPr>
                <w:bCs/>
                <w:color w:val="000000" w:themeColor="text1"/>
                <w:szCs w:val="21"/>
              </w:rPr>
              <w:t>混凝土垫</w:t>
            </w:r>
            <w:r>
              <w:rPr>
                <w:bCs/>
                <w:color w:val="000000" w:themeColor="text1"/>
                <w:szCs w:val="21"/>
              </w:rPr>
              <w:lastRenderedPageBreak/>
              <w:t>层</w:t>
            </w:r>
            <w:r>
              <w:rPr>
                <w:bCs/>
                <w:color w:val="000000" w:themeColor="text1"/>
                <w:szCs w:val="21"/>
              </w:rPr>
              <w:t>+200mm</w:t>
            </w:r>
            <w:r>
              <w:rPr>
                <w:bCs/>
                <w:color w:val="000000" w:themeColor="text1"/>
                <w:szCs w:val="21"/>
              </w:rPr>
              <w:t>厚</w:t>
            </w:r>
            <w:r>
              <w:rPr>
                <w:bCs/>
                <w:color w:val="000000" w:themeColor="text1"/>
                <w:szCs w:val="21"/>
              </w:rPr>
              <w:t>C20</w:t>
            </w:r>
            <w:r>
              <w:rPr>
                <w:bCs/>
                <w:color w:val="000000" w:themeColor="text1"/>
                <w:szCs w:val="21"/>
              </w:rPr>
              <w:t>混凝土</w:t>
            </w:r>
            <w:r>
              <w:rPr>
                <w:bCs/>
                <w:color w:val="000000" w:themeColor="text1"/>
                <w:szCs w:val="21"/>
              </w:rPr>
              <w:t>+3mm</w:t>
            </w:r>
            <w:r>
              <w:rPr>
                <w:bCs/>
                <w:color w:val="000000" w:themeColor="text1"/>
                <w:szCs w:val="21"/>
              </w:rPr>
              <w:t>环氧玻璃钢隔离层</w:t>
            </w:r>
            <w:r>
              <w:rPr>
                <w:bCs/>
                <w:color w:val="000000" w:themeColor="text1"/>
                <w:szCs w:val="21"/>
              </w:rPr>
              <w:t>+5mm</w:t>
            </w:r>
            <w:r>
              <w:rPr>
                <w:bCs/>
                <w:color w:val="000000" w:themeColor="text1"/>
                <w:szCs w:val="21"/>
              </w:rPr>
              <w:t>厚环氧胶泥</w:t>
            </w:r>
            <w:r>
              <w:rPr>
                <w:rFonts w:hint="eastAsia"/>
                <w:color w:val="000000" w:themeColor="text1"/>
                <w:szCs w:val="21"/>
              </w:rPr>
              <w:t>进行防渗防腐处理</w:t>
            </w:r>
            <w:r>
              <w:rPr>
                <w:bCs/>
                <w:color w:val="000000" w:themeColor="text1"/>
                <w:szCs w:val="21"/>
              </w:rPr>
              <w:t>，重点防渗区</w:t>
            </w:r>
            <w:r>
              <w:rPr>
                <w:rFonts w:hint="eastAsia"/>
                <w:bCs/>
                <w:color w:val="000000" w:themeColor="text1"/>
                <w:szCs w:val="21"/>
              </w:rPr>
              <w:t>防渗系数</w:t>
            </w:r>
            <w:r>
              <w:rPr>
                <w:bCs/>
                <w:color w:val="000000" w:themeColor="text1"/>
                <w:szCs w:val="21"/>
              </w:rPr>
              <w:t>k≤1×10</w:t>
            </w:r>
            <w:r>
              <w:rPr>
                <w:bCs/>
                <w:color w:val="000000" w:themeColor="text1"/>
                <w:szCs w:val="21"/>
                <w:vertAlign w:val="superscript"/>
              </w:rPr>
              <w:t>-</w:t>
            </w:r>
            <w:r>
              <w:rPr>
                <w:rFonts w:hint="eastAsia"/>
                <w:bCs/>
                <w:color w:val="000000" w:themeColor="text1"/>
                <w:szCs w:val="21"/>
                <w:vertAlign w:val="superscript"/>
              </w:rPr>
              <w:t>10</w:t>
            </w:r>
            <w:r>
              <w:rPr>
                <w:bCs/>
                <w:color w:val="000000" w:themeColor="text1"/>
                <w:szCs w:val="21"/>
              </w:rPr>
              <w:t>cm/s</w:t>
            </w:r>
            <w:r>
              <w:rPr>
                <w:rFonts w:hint="eastAsia"/>
                <w:bCs/>
                <w:color w:val="000000" w:themeColor="text1"/>
                <w:szCs w:val="21"/>
              </w:rPr>
              <w:t>。</w:t>
            </w:r>
          </w:p>
        </w:tc>
        <w:tc>
          <w:tcPr>
            <w:tcW w:w="784" w:type="dxa"/>
            <w:vAlign w:val="center"/>
          </w:tcPr>
          <w:p w:rsidR="00644456" w:rsidRDefault="008031C4">
            <w:pPr>
              <w:jc w:val="center"/>
              <w:rPr>
                <w:color w:val="000000" w:themeColor="text1"/>
                <w:szCs w:val="21"/>
              </w:rPr>
            </w:pPr>
            <w:r>
              <w:rPr>
                <w:rFonts w:hint="eastAsia"/>
                <w:color w:val="000000" w:themeColor="text1"/>
                <w:szCs w:val="21"/>
              </w:rPr>
              <w:lastRenderedPageBreak/>
              <w:t>新建</w:t>
            </w:r>
          </w:p>
        </w:tc>
      </w:tr>
      <w:tr w:rsidR="00644456">
        <w:trPr>
          <w:trHeight w:val="310"/>
          <w:jc w:val="center"/>
        </w:trPr>
        <w:tc>
          <w:tcPr>
            <w:tcW w:w="1465" w:type="dxa"/>
            <w:vAlign w:val="center"/>
          </w:tcPr>
          <w:p w:rsidR="00644456" w:rsidRDefault="008031C4">
            <w:pPr>
              <w:jc w:val="center"/>
              <w:rPr>
                <w:snapToGrid w:val="0"/>
                <w:color w:val="000000" w:themeColor="text1"/>
                <w:szCs w:val="21"/>
              </w:rPr>
            </w:pPr>
            <w:r>
              <w:rPr>
                <w:rFonts w:hint="eastAsia"/>
                <w:snapToGrid w:val="0"/>
                <w:color w:val="000000" w:themeColor="text1"/>
                <w:szCs w:val="21"/>
              </w:rPr>
              <w:t>罐区以及生产区域</w:t>
            </w:r>
          </w:p>
        </w:tc>
        <w:tc>
          <w:tcPr>
            <w:tcW w:w="6768" w:type="dxa"/>
            <w:vAlign w:val="center"/>
          </w:tcPr>
          <w:p w:rsidR="00644456" w:rsidRDefault="008031C4">
            <w:pPr>
              <w:jc w:val="center"/>
              <w:rPr>
                <w:snapToGrid w:val="0"/>
                <w:color w:val="000000" w:themeColor="text1"/>
                <w:szCs w:val="21"/>
              </w:rPr>
            </w:pPr>
            <w:r>
              <w:rPr>
                <w:rFonts w:hint="eastAsia"/>
                <w:snapToGrid w:val="0"/>
                <w:color w:val="000000" w:themeColor="text1"/>
                <w:szCs w:val="21"/>
              </w:rPr>
              <w:t>重点防渗：地坪（从下至上）及围堰四周采用</w:t>
            </w:r>
            <w:r>
              <w:rPr>
                <w:bCs/>
                <w:color w:val="000000" w:themeColor="text1"/>
                <w:szCs w:val="21"/>
              </w:rPr>
              <w:t>100mm</w:t>
            </w:r>
            <w:r>
              <w:rPr>
                <w:bCs/>
                <w:color w:val="000000" w:themeColor="text1"/>
                <w:szCs w:val="21"/>
              </w:rPr>
              <w:t>厚</w:t>
            </w:r>
            <w:r>
              <w:rPr>
                <w:bCs/>
                <w:color w:val="000000" w:themeColor="text1"/>
                <w:szCs w:val="21"/>
              </w:rPr>
              <w:t>C10</w:t>
            </w:r>
            <w:r>
              <w:rPr>
                <w:bCs/>
                <w:color w:val="000000" w:themeColor="text1"/>
                <w:szCs w:val="21"/>
              </w:rPr>
              <w:t>混凝土垫层</w:t>
            </w:r>
            <w:r>
              <w:rPr>
                <w:bCs/>
                <w:color w:val="000000" w:themeColor="text1"/>
                <w:szCs w:val="21"/>
              </w:rPr>
              <w:t>+</w:t>
            </w:r>
            <w:r>
              <w:rPr>
                <w:rFonts w:hint="eastAsia"/>
                <w:bCs/>
                <w:color w:val="000000" w:themeColor="text1"/>
                <w:szCs w:val="21"/>
              </w:rPr>
              <w:t>200</w:t>
            </w:r>
            <w:r>
              <w:rPr>
                <w:bCs/>
                <w:color w:val="000000" w:themeColor="text1"/>
                <w:szCs w:val="21"/>
              </w:rPr>
              <w:t>mm</w:t>
            </w:r>
            <w:r>
              <w:rPr>
                <w:bCs/>
                <w:color w:val="000000" w:themeColor="text1"/>
                <w:szCs w:val="21"/>
              </w:rPr>
              <w:t>厚</w:t>
            </w:r>
            <w:r>
              <w:rPr>
                <w:bCs/>
                <w:color w:val="000000" w:themeColor="text1"/>
                <w:szCs w:val="21"/>
              </w:rPr>
              <w:t>C20</w:t>
            </w:r>
            <w:r>
              <w:rPr>
                <w:bCs/>
                <w:color w:val="000000" w:themeColor="text1"/>
                <w:szCs w:val="21"/>
              </w:rPr>
              <w:t>混凝土</w:t>
            </w:r>
            <w:r>
              <w:rPr>
                <w:bCs/>
                <w:color w:val="000000" w:themeColor="text1"/>
                <w:szCs w:val="21"/>
              </w:rPr>
              <w:t>+3mm</w:t>
            </w:r>
            <w:r>
              <w:rPr>
                <w:bCs/>
                <w:color w:val="000000" w:themeColor="text1"/>
                <w:szCs w:val="21"/>
              </w:rPr>
              <w:t>环氧玻璃钢隔离层</w:t>
            </w:r>
            <w:r>
              <w:rPr>
                <w:bCs/>
                <w:color w:val="000000" w:themeColor="text1"/>
                <w:szCs w:val="21"/>
              </w:rPr>
              <w:t>+</w:t>
            </w:r>
            <w:r>
              <w:rPr>
                <w:bCs/>
                <w:color w:val="000000" w:themeColor="text1"/>
                <w:szCs w:val="21"/>
              </w:rPr>
              <w:t>耐腐蚀地砖</w:t>
            </w:r>
            <w:r>
              <w:rPr>
                <w:rFonts w:hint="eastAsia"/>
                <w:color w:val="000000" w:themeColor="text1"/>
                <w:szCs w:val="21"/>
              </w:rPr>
              <w:t>进行防渗防腐处理</w:t>
            </w:r>
            <w:r>
              <w:rPr>
                <w:bCs/>
                <w:color w:val="000000" w:themeColor="text1"/>
                <w:szCs w:val="21"/>
              </w:rPr>
              <w:t>，重点防渗区</w:t>
            </w:r>
            <w:r>
              <w:rPr>
                <w:rFonts w:hint="eastAsia"/>
                <w:bCs/>
                <w:color w:val="000000" w:themeColor="text1"/>
                <w:szCs w:val="21"/>
              </w:rPr>
              <w:t>防渗系数</w:t>
            </w:r>
            <w:r>
              <w:rPr>
                <w:bCs/>
                <w:color w:val="000000" w:themeColor="text1"/>
                <w:szCs w:val="21"/>
              </w:rPr>
              <w:t>k≤1×10</w:t>
            </w:r>
            <w:r>
              <w:rPr>
                <w:bCs/>
                <w:color w:val="000000" w:themeColor="text1"/>
                <w:szCs w:val="21"/>
                <w:vertAlign w:val="superscript"/>
              </w:rPr>
              <w:t>-</w:t>
            </w:r>
            <w:r>
              <w:rPr>
                <w:rFonts w:hint="eastAsia"/>
                <w:bCs/>
                <w:color w:val="000000" w:themeColor="text1"/>
                <w:szCs w:val="21"/>
                <w:vertAlign w:val="superscript"/>
              </w:rPr>
              <w:t>10</w:t>
            </w:r>
            <w:r>
              <w:rPr>
                <w:bCs/>
                <w:color w:val="000000" w:themeColor="text1"/>
                <w:szCs w:val="21"/>
              </w:rPr>
              <w:t>cm/s</w:t>
            </w:r>
            <w:r>
              <w:rPr>
                <w:rFonts w:hint="eastAsia"/>
                <w:bCs/>
                <w:color w:val="000000" w:themeColor="text1"/>
                <w:szCs w:val="21"/>
              </w:rPr>
              <w:t>。</w:t>
            </w:r>
          </w:p>
        </w:tc>
        <w:tc>
          <w:tcPr>
            <w:tcW w:w="784" w:type="dxa"/>
            <w:vAlign w:val="center"/>
          </w:tcPr>
          <w:p w:rsidR="00644456" w:rsidRDefault="008031C4">
            <w:pPr>
              <w:jc w:val="center"/>
              <w:rPr>
                <w:color w:val="000000" w:themeColor="text1"/>
                <w:szCs w:val="21"/>
              </w:rPr>
            </w:pPr>
            <w:r>
              <w:rPr>
                <w:rFonts w:hint="eastAsia"/>
                <w:color w:val="000000" w:themeColor="text1"/>
                <w:szCs w:val="21"/>
              </w:rPr>
              <w:t>新建</w:t>
            </w:r>
          </w:p>
        </w:tc>
      </w:tr>
      <w:tr w:rsidR="00644456">
        <w:trPr>
          <w:trHeight w:val="310"/>
          <w:jc w:val="center"/>
        </w:trPr>
        <w:tc>
          <w:tcPr>
            <w:tcW w:w="1465" w:type="dxa"/>
            <w:vAlign w:val="center"/>
          </w:tcPr>
          <w:p w:rsidR="00644456" w:rsidRDefault="008031C4">
            <w:pPr>
              <w:jc w:val="center"/>
              <w:rPr>
                <w:snapToGrid w:val="0"/>
                <w:color w:val="000000" w:themeColor="text1"/>
                <w:szCs w:val="21"/>
              </w:rPr>
            </w:pPr>
            <w:r>
              <w:rPr>
                <w:rFonts w:hint="eastAsia"/>
                <w:snapToGrid w:val="0"/>
                <w:color w:val="000000" w:themeColor="text1"/>
                <w:szCs w:val="21"/>
              </w:rPr>
              <w:t>一般固废暂存间、预处理池等</w:t>
            </w:r>
          </w:p>
        </w:tc>
        <w:tc>
          <w:tcPr>
            <w:tcW w:w="6768" w:type="dxa"/>
            <w:vAlign w:val="center"/>
          </w:tcPr>
          <w:p w:rsidR="00644456" w:rsidRDefault="008031C4">
            <w:pPr>
              <w:jc w:val="center"/>
              <w:rPr>
                <w:snapToGrid w:val="0"/>
                <w:color w:val="000000" w:themeColor="text1"/>
                <w:szCs w:val="21"/>
              </w:rPr>
            </w:pPr>
            <w:r>
              <w:rPr>
                <w:rFonts w:hint="eastAsia"/>
                <w:snapToGrid w:val="0"/>
                <w:color w:val="000000" w:themeColor="text1"/>
                <w:szCs w:val="21"/>
              </w:rPr>
              <w:t>一般防渗：地坪（从下至上）</w:t>
            </w:r>
            <w:r>
              <w:rPr>
                <w:bCs/>
                <w:color w:val="000000" w:themeColor="text1"/>
                <w:szCs w:val="21"/>
              </w:rPr>
              <w:t>素土（或粘土）夯实</w:t>
            </w:r>
            <w:r>
              <w:rPr>
                <w:bCs/>
                <w:color w:val="000000" w:themeColor="text1"/>
                <w:szCs w:val="21"/>
              </w:rPr>
              <w:t>+100mm</w:t>
            </w:r>
            <w:r>
              <w:rPr>
                <w:bCs/>
                <w:color w:val="000000" w:themeColor="text1"/>
                <w:szCs w:val="21"/>
              </w:rPr>
              <w:t>厚</w:t>
            </w:r>
            <w:r>
              <w:rPr>
                <w:bCs/>
                <w:color w:val="000000" w:themeColor="text1"/>
                <w:szCs w:val="21"/>
              </w:rPr>
              <w:t>C10</w:t>
            </w:r>
            <w:r>
              <w:rPr>
                <w:bCs/>
                <w:color w:val="000000" w:themeColor="text1"/>
                <w:szCs w:val="21"/>
              </w:rPr>
              <w:t>混凝土垫层</w:t>
            </w:r>
            <w:r>
              <w:rPr>
                <w:bCs/>
                <w:color w:val="000000" w:themeColor="text1"/>
                <w:szCs w:val="21"/>
              </w:rPr>
              <w:t>+250mm</w:t>
            </w:r>
            <w:r>
              <w:rPr>
                <w:bCs/>
                <w:color w:val="000000" w:themeColor="text1"/>
                <w:szCs w:val="21"/>
              </w:rPr>
              <w:t>厚</w:t>
            </w:r>
            <w:r>
              <w:rPr>
                <w:bCs/>
                <w:color w:val="000000" w:themeColor="text1"/>
                <w:szCs w:val="21"/>
              </w:rPr>
              <w:t>C25</w:t>
            </w:r>
            <w:r>
              <w:rPr>
                <w:bCs/>
                <w:color w:val="000000" w:themeColor="text1"/>
                <w:szCs w:val="21"/>
              </w:rPr>
              <w:t>混凝土</w:t>
            </w:r>
            <w:r>
              <w:rPr>
                <w:rFonts w:hint="eastAsia"/>
                <w:color w:val="000000" w:themeColor="text1"/>
                <w:szCs w:val="21"/>
              </w:rPr>
              <w:t>进行防渗处理</w:t>
            </w:r>
            <w:r>
              <w:rPr>
                <w:bCs/>
                <w:color w:val="000000" w:themeColor="text1"/>
                <w:szCs w:val="21"/>
              </w:rPr>
              <w:t>，</w:t>
            </w:r>
            <w:r>
              <w:rPr>
                <w:rFonts w:hint="eastAsia"/>
                <w:bCs/>
                <w:color w:val="000000" w:themeColor="text1"/>
                <w:szCs w:val="21"/>
              </w:rPr>
              <w:t>防渗系数</w:t>
            </w:r>
            <w:r>
              <w:rPr>
                <w:bCs/>
                <w:color w:val="000000" w:themeColor="text1"/>
                <w:szCs w:val="21"/>
              </w:rPr>
              <w:t>≤1×10</w:t>
            </w:r>
            <w:r>
              <w:rPr>
                <w:bCs/>
                <w:color w:val="000000" w:themeColor="text1"/>
                <w:szCs w:val="21"/>
                <w:vertAlign w:val="superscript"/>
              </w:rPr>
              <w:t>-</w:t>
            </w:r>
            <w:r>
              <w:rPr>
                <w:rFonts w:hint="eastAsia"/>
                <w:bCs/>
                <w:color w:val="000000" w:themeColor="text1"/>
                <w:szCs w:val="21"/>
                <w:vertAlign w:val="superscript"/>
              </w:rPr>
              <w:t>7</w:t>
            </w:r>
            <w:r>
              <w:rPr>
                <w:bCs/>
                <w:color w:val="000000" w:themeColor="text1"/>
                <w:szCs w:val="21"/>
              </w:rPr>
              <w:t>cm/s</w:t>
            </w:r>
            <w:r>
              <w:rPr>
                <w:rFonts w:hint="eastAsia"/>
                <w:bCs/>
                <w:color w:val="000000" w:themeColor="text1"/>
                <w:szCs w:val="21"/>
              </w:rPr>
              <w:t>。</w:t>
            </w:r>
          </w:p>
        </w:tc>
        <w:tc>
          <w:tcPr>
            <w:tcW w:w="784" w:type="dxa"/>
            <w:vAlign w:val="center"/>
          </w:tcPr>
          <w:p w:rsidR="00644456" w:rsidRDefault="008031C4">
            <w:pPr>
              <w:jc w:val="center"/>
              <w:rPr>
                <w:color w:val="000000" w:themeColor="text1"/>
                <w:szCs w:val="21"/>
              </w:rPr>
            </w:pPr>
            <w:r>
              <w:rPr>
                <w:rFonts w:hint="eastAsia"/>
                <w:color w:val="000000" w:themeColor="text1"/>
                <w:szCs w:val="21"/>
              </w:rPr>
              <w:t>新建</w:t>
            </w:r>
          </w:p>
        </w:tc>
      </w:tr>
      <w:tr w:rsidR="00644456">
        <w:trPr>
          <w:trHeight w:val="310"/>
          <w:jc w:val="center"/>
        </w:trPr>
        <w:tc>
          <w:tcPr>
            <w:tcW w:w="1465" w:type="dxa"/>
            <w:vAlign w:val="center"/>
          </w:tcPr>
          <w:p w:rsidR="00644456" w:rsidRDefault="008031C4">
            <w:pPr>
              <w:jc w:val="center"/>
              <w:rPr>
                <w:snapToGrid w:val="0"/>
                <w:color w:val="000000" w:themeColor="text1"/>
                <w:szCs w:val="21"/>
              </w:rPr>
            </w:pPr>
            <w:r>
              <w:rPr>
                <w:rFonts w:hint="eastAsia"/>
                <w:snapToGrid w:val="0"/>
                <w:color w:val="000000" w:themeColor="text1"/>
                <w:szCs w:val="21"/>
              </w:rPr>
              <w:t>综合楼</w:t>
            </w:r>
          </w:p>
        </w:tc>
        <w:tc>
          <w:tcPr>
            <w:tcW w:w="6768" w:type="dxa"/>
            <w:vAlign w:val="center"/>
          </w:tcPr>
          <w:p w:rsidR="00644456" w:rsidRDefault="008031C4">
            <w:pPr>
              <w:jc w:val="center"/>
              <w:rPr>
                <w:snapToGrid w:val="0"/>
                <w:color w:val="000000" w:themeColor="text1"/>
                <w:szCs w:val="21"/>
              </w:rPr>
            </w:pPr>
            <w:r>
              <w:rPr>
                <w:rFonts w:hint="eastAsia"/>
                <w:snapToGrid w:val="0"/>
                <w:color w:val="000000" w:themeColor="text1"/>
                <w:szCs w:val="21"/>
              </w:rPr>
              <w:t>一般防渗：地坪采用抗渗混凝土进行硬化处理</w:t>
            </w:r>
            <w:r>
              <w:rPr>
                <w:bCs/>
                <w:color w:val="000000" w:themeColor="text1"/>
                <w:szCs w:val="21"/>
              </w:rPr>
              <w:t>，</w:t>
            </w:r>
            <w:r>
              <w:rPr>
                <w:rFonts w:hint="eastAsia"/>
                <w:bCs/>
                <w:color w:val="000000" w:themeColor="text1"/>
                <w:szCs w:val="21"/>
              </w:rPr>
              <w:t>防渗系数</w:t>
            </w:r>
            <w:r>
              <w:rPr>
                <w:bCs/>
                <w:color w:val="000000" w:themeColor="text1"/>
                <w:szCs w:val="21"/>
              </w:rPr>
              <w:t>≤1×10</w:t>
            </w:r>
            <w:r>
              <w:rPr>
                <w:bCs/>
                <w:color w:val="000000" w:themeColor="text1"/>
                <w:szCs w:val="21"/>
                <w:vertAlign w:val="superscript"/>
              </w:rPr>
              <w:t>-</w:t>
            </w:r>
            <w:r>
              <w:rPr>
                <w:rFonts w:hint="eastAsia"/>
                <w:bCs/>
                <w:color w:val="000000" w:themeColor="text1"/>
                <w:szCs w:val="21"/>
                <w:vertAlign w:val="superscript"/>
              </w:rPr>
              <w:t>7</w:t>
            </w:r>
            <w:r>
              <w:rPr>
                <w:bCs/>
                <w:color w:val="000000" w:themeColor="text1"/>
                <w:szCs w:val="21"/>
              </w:rPr>
              <w:t>cm/s</w:t>
            </w:r>
            <w:r>
              <w:rPr>
                <w:rFonts w:hint="eastAsia"/>
                <w:bCs/>
                <w:color w:val="000000" w:themeColor="text1"/>
                <w:szCs w:val="21"/>
              </w:rPr>
              <w:t>。</w:t>
            </w:r>
          </w:p>
        </w:tc>
        <w:tc>
          <w:tcPr>
            <w:tcW w:w="784" w:type="dxa"/>
            <w:vAlign w:val="center"/>
          </w:tcPr>
          <w:p w:rsidR="00644456" w:rsidRDefault="008031C4">
            <w:pPr>
              <w:jc w:val="center"/>
              <w:rPr>
                <w:color w:val="000000" w:themeColor="text1"/>
                <w:szCs w:val="21"/>
              </w:rPr>
            </w:pPr>
            <w:r>
              <w:rPr>
                <w:rFonts w:hint="eastAsia"/>
                <w:color w:val="000000" w:themeColor="text1"/>
                <w:szCs w:val="21"/>
              </w:rPr>
              <w:t>新建</w:t>
            </w:r>
          </w:p>
        </w:tc>
      </w:tr>
    </w:tbl>
    <w:p w:rsidR="00644456" w:rsidRDefault="008031C4">
      <w:pPr>
        <w:pStyle w:val="20"/>
        <w:numPr>
          <w:ilvl w:val="1"/>
          <w:numId w:val="0"/>
        </w:numPr>
        <w:adjustRightInd w:val="0"/>
        <w:snapToGrid w:val="0"/>
        <w:spacing w:beforeLines="0" w:before="0" w:afterLines="0" w:after="0"/>
        <w:ind w:firstLine="562"/>
        <w:rPr>
          <w:rFonts w:cs="Times New Roman"/>
          <w:color w:val="000000" w:themeColor="text1"/>
        </w:rPr>
      </w:pPr>
      <w:bookmarkStart w:id="180" w:name="_Toc30181"/>
      <w:bookmarkStart w:id="181" w:name="_Toc177216870"/>
      <w:bookmarkStart w:id="182" w:name="_Toc369197779"/>
      <w:bookmarkStart w:id="183" w:name="_Toc369359664"/>
      <w:bookmarkStart w:id="184" w:name="_Toc369334617"/>
      <w:bookmarkStart w:id="185" w:name="_Toc155789362"/>
      <w:bookmarkStart w:id="186" w:name="_Toc369334797"/>
      <w:bookmarkStart w:id="187" w:name="_Toc369191614"/>
      <w:bookmarkStart w:id="188" w:name="_Toc432518789"/>
      <w:bookmarkStart w:id="189" w:name="_Toc434578044"/>
      <w:bookmarkStart w:id="190" w:name="_Toc479669365"/>
      <w:bookmarkEnd w:id="165"/>
      <w:bookmarkEnd w:id="175"/>
      <w:bookmarkEnd w:id="176"/>
      <w:bookmarkEnd w:id="177"/>
      <w:bookmarkEnd w:id="178"/>
      <w:bookmarkEnd w:id="179"/>
      <w:r>
        <w:rPr>
          <w:rFonts w:cs="Times New Roman" w:hint="eastAsia"/>
          <w:color w:val="000000" w:themeColor="text1"/>
        </w:rPr>
        <w:t>2.6</w:t>
      </w:r>
      <w:r>
        <w:rPr>
          <w:rFonts w:cs="Times New Roman"/>
          <w:color w:val="000000" w:themeColor="text1"/>
        </w:rPr>
        <w:t>工程总平面布置</w:t>
      </w:r>
      <w:bookmarkEnd w:id="180"/>
      <w:bookmarkEnd w:id="181"/>
      <w:bookmarkEnd w:id="182"/>
      <w:bookmarkEnd w:id="183"/>
      <w:bookmarkEnd w:id="184"/>
      <w:bookmarkEnd w:id="185"/>
      <w:bookmarkEnd w:id="186"/>
      <w:bookmarkEnd w:id="187"/>
    </w:p>
    <w:p w:rsidR="00644456" w:rsidRDefault="008031C4">
      <w:pPr>
        <w:pStyle w:val="3"/>
        <w:numPr>
          <w:ilvl w:val="2"/>
          <w:numId w:val="0"/>
        </w:numPr>
        <w:ind w:firstLineChars="200" w:firstLine="482"/>
      </w:pPr>
      <w:r>
        <w:rPr>
          <w:rFonts w:hint="eastAsia"/>
        </w:rPr>
        <w:t>2.6.1</w:t>
      </w:r>
      <w:r>
        <w:rPr>
          <w:rFonts w:hint="eastAsia"/>
        </w:rPr>
        <w:t>总平面布置原则</w:t>
      </w:r>
    </w:p>
    <w:p w:rsidR="00644456" w:rsidRDefault="008031C4">
      <w:pPr>
        <w:pStyle w:val="-"/>
        <w:adjustRightInd w:val="0"/>
        <w:snapToGrid w:val="0"/>
        <w:ind w:firstLine="480"/>
        <w:rPr>
          <w:rFonts w:cs="Times New Roman"/>
          <w:color w:val="000000" w:themeColor="text1"/>
        </w:rPr>
      </w:pPr>
      <w:r>
        <w:rPr>
          <w:rFonts w:cs="Times New Roman"/>
          <w:color w:val="000000" w:themeColor="text1"/>
        </w:rPr>
        <w:t>（</w:t>
      </w:r>
      <w:r>
        <w:rPr>
          <w:rFonts w:cs="Times New Roman"/>
          <w:color w:val="000000" w:themeColor="text1"/>
        </w:rPr>
        <w:t>1</w:t>
      </w:r>
      <w:r>
        <w:rPr>
          <w:rFonts w:cs="Times New Roman"/>
          <w:color w:val="000000" w:themeColor="text1"/>
        </w:rPr>
        <w:t>）结合企业远景规划，因地制宜地加以设计。树立企业形象，促进企业可持续发展。</w:t>
      </w:r>
    </w:p>
    <w:p w:rsidR="00644456" w:rsidRDefault="008031C4">
      <w:pPr>
        <w:pStyle w:val="-"/>
        <w:adjustRightInd w:val="0"/>
        <w:snapToGrid w:val="0"/>
        <w:ind w:firstLine="480"/>
        <w:rPr>
          <w:rFonts w:cs="Times New Roman"/>
          <w:color w:val="000000" w:themeColor="text1"/>
        </w:rPr>
      </w:pPr>
      <w:r>
        <w:rPr>
          <w:rFonts w:cs="Times New Roman"/>
          <w:color w:val="000000" w:themeColor="text1"/>
        </w:rPr>
        <w:t>（</w:t>
      </w:r>
      <w:r>
        <w:rPr>
          <w:rFonts w:cs="Times New Roman"/>
          <w:color w:val="000000" w:themeColor="text1"/>
        </w:rPr>
        <w:t>2</w:t>
      </w:r>
      <w:r>
        <w:rPr>
          <w:rFonts w:cs="Times New Roman"/>
          <w:color w:val="000000" w:themeColor="text1"/>
        </w:rPr>
        <w:t>）符合工艺要求，使生产作业线通顺短捷，避免主要生产线交叉</w:t>
      </w:r>
      <w:r>
        <w:rPr>
          <w:rFonts w:cs="Times New Roman" w:hint="eastAsia"/>
          <w:color w:val="000000" w:themeColor="text1"/>
        </w:rPr>
        <w:t>反复</w:t>
      </w:r>
      <w:r>
        <w:rPr>
          <w:rFonts w:cs="Times New Roman"/>
          <w:color w:val="000000" w:themeColor="text1"/>
        </w:rPr>
        <w:t>。</w:t>
      </w:r>
    </w:p>
    <w:p w:rsidR="00644456" w:rsidRDefault="008031C4">
      <w:pPr>
        <w:pStyle w:val="-"/>
        <w:adjustRightInd w:val="0"/>
        <w:snapToGrid w:val="0"/>
        <w:ind w:firstLine="480"/>
        <w:rPr>
          <w:rFonts w:cs="Times New Roman"/>
          <w:color w:val="000000" w:themeColor="text1"/>
        </w:rPr>
      </w:pPr>
      <w:r>
        <w:rPr>
          <w:rFonts w:cs="Times New Roman"/>
          <w:color w:val="000000" w:themeColor="text1"/>
        </w:rPr>
        <w:t>（</w:t>
      </w:r>
      <w:r>
        <w:rPr>
          <w:rFonts w:cs="Times New Roman"/>
          <w:color w:val="000000" w:themeColor="text1"/>
        </w:rPr>
        <w:t>3</w:t>
      </w:r>
      <w:r>
        <w:rPr>
          <w:rFonts w:cs="Times New Roman"/>
          <w:color w:val="000000" w:themeColor="text1"/>
        </w:rPr>
        <w:t>）考虑安全、卫生、厂内建构筑物的间距必须满足防火、卫生、安全等要求，即符合上述设计标准规范。</w:t>
      </w:r>
    </w:p>
    <w:p w:rsidR="00644456" w:rsidRDefault="008031C4">
      <w:pPr>
        <w:pStyle w:val="-"/>
        <w:adjustRightInd w:val="0"/>
        <w:snapToGrid w:val="0"/>
        <w:ind w:firstLine="480"/>
        <w:rPr>
          <w:rFonts w:cs="Times New Roman"/>
          <w:color w:val="000000" w:themeColor="text1"/>
        </w:rPr>
      </w:pPr>
      <w:r>
        <w:rPr>
          <w:rFonts w:cs="Times New Roman"/>
          <w:color w:val="000000" w:themeColor="text1"/>
        </w:rPr>
        <w:t>（</w:t>
      </w:r>
      <w:r>
        <w:rPr>
          <w:rFonts w:cs="Times New Roman"/>
          <w:color w:val="000000" w:themeColor="text1"/>
        </w:rPr>
        <w:t>4</w:t>
      </w:r>
      <w:r>
        <w:rPr>
          <w:rFonts w:cs="Times New Roman"/>
          <w:color w:val="000000" w:themeColor="text1"/>
        </w:rPr>
        <w:t>）将厂区进行功能划分统一管理，方便生产。</w:t>
      </w:r>
    </w:p>
    <w:p w:rsidR="00644456" w:rsidRDefault="008031C4">
      <w:pPr>
        <w:pStyle w:val="-"/>
        <w:adjustRightInd w:val="0"/>
        <w:snapToGrid w:val="0"/>
        <w:ind w:firstLine="480"/>
        <w:rPr>
          <w:rFonts w:cs="Times New Roman"/>
          <w:color w:val="000000" w:themeColor="text1"/>
        </w:rPr>
      </w:pPr>
      <w:r>
        <w:rPr>
          <w:rFonts w:cs="Times New Roman"/>
          <w:color w:val="000000" w:themeColor="text1"/>
        </w:rPr>
        <w:t>（</w:t>
      </w:r>
      <w:r>
        <w:rPr>
          <w:rFonts w:cs="Times New Roman"/>
          <w:color w:val="000000" w:themeColor="text1"/>
        </w:rPr>
        <w:t>5</w:t>
      </w:r>
      <w:r>
        <w:rPr>
          <w:rFonts w:cs="Times New Roman"/>
          <w:color w:val="000000" w:themeColor="text1"/>
        </w:rPr>
        <w:t>）做到物流与人流分离，工艺、公用工程的线路简捷，土地利用率高及投资合理，建筑物平面布局美观、大方，突出与环境协</w:t>
      </w:r>
      <w:r>
        <w:rPr>
          <w:rFonts w:cs="Times New Roman" w:hint="eastAsia"/>
          <w:color w:val="000000" w:themeColor="text1"/>
        </w:rPr>
        <w:t xml:space="preserve"> </w:t>
      </w:r>
      <w:r>
        <w:rPr>
          <w:rFonts w:cs="Times New Roman"/>
          <w:color w:val="000000" w:themeColor="text1"/>
        </w:rPr>
        <w:t>调，还要为企业今后的进一步发展留有充分的余地。</w:t>
      </w:r>
    </w:p>
    <w:p w:rsidR="00644456" w:rsidRDefault="008031C4">
      <w:pPr>
        <w:pStyle w:val="3"/>
        <w:numPr>
          <w:ilvl w:val="2"/>
          <w:numId w:val="0"/>
        </w:numPr>
        <w:ind w:firstLineChars="200" w:firstLine="482"/>
      </w:pPr>
      <w:r>
        <w:rPr>
          <w:rFonts w:hint="eastAsia"/>
        </w:rPr>
        <w:t>2.6.2</w:t>
      </w:r>
      <w:r>
        <w:rPr>
          <w:rFonts w:hint="eastAsia"/>
        </w:rPr>
        <w:t>本项目总平面布置及其合理性分析</w:t>
      </w:r>
    </w:p>
    <w:p w:rsidR="00644456" w:rsidRDefault="008031C4">
      <w:pPr>
        <w:adjustRightInd w:val="0"/>
        <w:snapToGrid w:val="0"/>
        <w:spacing w:line="360" w:lineRule="auto"/>
        <w:ind w:firstLine="480"/>
        <w:rPr>
          <w:rFonts w:cs="Times New Roman"/>
          <w:color w:val="000000" w:themeColor="text1"/>
          <w:sz w:val="24"/>
          <w:szCs w:val="24"/>
        </w:rPr>
      </w:pPr>
      <w:r>
        <w:rPr>
          <w:rFonts w:cs="Times New Roman"/>
          <w:color w:val="000000" w:themeColor="text1"/>
          <w:sz w:val="24"/>
          <w:szCs w:val="24"/>
        </w:rPr>
        <w:t>本项目在</w:t>
      </w:r>
      <w:r>
        <w:rPr>
          <w:rFonts w:cs="Times New Roman" w:hint="eastAsia"/>
          <w:color w:val="000000" w:themeColor="text1"/>
          <w:sz w:val="24"/>
          <w:szCs w:val="24"/>
        </w:rPr>
        <w:t>园区</w:t>
      </w:r>
      <w:r>
        <w:rPr>
          <w:rFonts w:cs="Times New Roman"/>
          <w:color w:val="000000" w:themeColor="text1"/>
          <w:sz w:val="24"/>
          <w:szCs w:val="24"/>
        </w:rPr>
        <w:t>空地上建设。</w:t>
      </w:r>
      <w:r>
        <w:rPr>
          <w:rFonts w:cs="Times New Roman" w:hint="eastAsia"/>
          <w:color w:val="000000" w:themeColor="text1"/>
          <w:sz w:val="24"/>
          <w:szCs w:val="24"/>
        </w:rPr>
        <w:t>整体按照工艺流程布置</w:t>
      </w:r>
      <w:r>
        <w:rPr>
          <w:rFonts w:cs="Times New Roman"/>
          <w:color w:val="000000" w:themeColor="text1"/>
          <w:sz w:val="24"/>
          <w:szCs w:val="24"/>
        </w:rPr>
        <w:t>，布局相对紧凑，同时保证了工艺的流畅性</w:t>
      </w:r>
    </w:p>
    <w:p w:rsidR="00644456" w:rsidRDefault="008031C4">
      <w:pPr>
        <w:adjustRightInd w:val="0"/>
        <w:snapToGrid w:val="0"/>
        <w:spacing w:line="360" w:lineRule="auto"/>
        <w:ind w:firstLine="482"/>
        <w:rPr>
          <w:rFonts w:cs="Times New Roman"/>
          <w:color w:val="000000" w:themeColor="text1"/>
          <w:sz w:val="24"/>
          <w:szCs w:val="24"/>
        </w:rPr>
      </w:pPr>
      <w:r>
        <w:rPr>
          <w:rFonts w:cs="Times New Roman"/>
          <w:b/>
          <w:color w:val="000000" w:themeColor="text1"/>
          <w:sz w:val="24"/>
          <w:szCs w:val="24"/>
        </w:rPr>
        <w:t>总平面布置合理性分析：</w:t>
      </w:r>
      <w:r>
        <w:rPr>
          <w:rFonts w:cs="Times New Roman"/>
          <w:color w:val="000000" w:themeColor="text1"/>
          <w:sz w:val="24"/>
          <w:szCs w:val="24"/>
        </w:rPr>
        <w:t>从工艺角度分析</w:t>
      </w:r>
      <w:r>
        <w:rPr>
          <w:rFonts w:cs="Times New Roman" w:hint="eastAsia"/>
          <w:color w:val="000000" w:themeColor="text1"/>
          <w:sz w:val="24"/>
          <w:szCs w:val="24"/>
        </w:rPr>
        <w:t>。项目厂区划分办公生活区、生产加工区，功能分区明确，各区均相对独立布置，之间有厂区道路连接，各功能区间有道路、绿化相隔</w:t>
      </w:r>
      <w:r>
        <w:rPr>
          <w:rFonts w:cs="Times New Roman"/>
          <w:color w:val="000000" w:themeColor="text1"/>
          <w:sz w:val="24"/>
          <w:szCs w:val="24"/>
        </w:rPr>
        <w:t>，总图布置工艺流程顺畅，场地利用合理；从环保角度分析</w:t>
      </w:r>
      <w:r>
        <w:rPr>
          <w:rFonts w:cs="Times New Roman" w:hint="eastAsia"/>
          <w:color w:val="000000" w:themeColor="text1"/>
          <w:sz w:val="24"/>
          <w:szCs w:val="24"/>
        </w:rPr>
        <w:t>。办公区位于厂区北面且紧邻场内道路，项目生产区域以及罐区均位于厂区南，厂区的下风向，能有效避免运营期废气对办公生活区的影响，同时方便厂区工人和外来人员的出入，避免了生产、办公区的交叉影响。</w:t>
      </w:r>
    </w:p>
    <w:p w:rsidR="00644456" w:rsidRDefault="008031C4">
      <w:pPr>
        <w:adjustRightInd w:val="0"/>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项目生产加工区的主要产噪源都集中厂区中央，通过厂区在采取将产噪设备尽量设置于密闭设备间，且远离厂界，通过噪声治理和衰减，避免了生产车间噪声对办公生活区的影响，保证运营期的设备噪声能够实现厂界达标排放。</w:t>
      </w:r>
    </w:p>
    <w:p w:rsidR="00644456" w:rsidRDefault="008031C4">
      <w:pPr>
        <w:adjustRightInd w:val="0"/>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项目污水处理设施布置于厂区的西南面，在厂区的下风向，由厂区道路和路边绿化</w:t>
      </w:r>
      <w:r>
        <w:rPr>
          <w:rFonts w:cs="Times New Roman" w:hint="eastAsia"/>
          <w:color w:val="000000" w:themeColor="text1"/>
          <w:sz w:val="24"/>
          <w:szCs w:val="24"/>
        </w:rPr>
        <w:lastRenderedPageBreak/>
        <w:t>与生产区、仓储区分隔，避免了对生产、仓储区的影响</w:t>
      </w:r>
      <w:r>
        <w:rPr>
          <w:rFonts w:cs="Times New Roman"/>
          <w:color w:val="000000" w:themeColor="text1"/>
          <w:sz w:val="24"/>
          <w:szCs w:val="24"/>
        </w:rPr>
        <w:t>。</w:t>
      </w:r>
    </w:p>
    <w:p w:rsidR="00644456" w:rsidRDefault="008031C4">
      <w:pPr>
        <w:pStyle w:val="-"/>
        <w:adjustRightInd w:val="0"/>
        <w:snapToGrid w:val="0"/>
        <w:ind w:firstLine="482"/>
        <w:rPr>
          <w:rFonts w:cs="Times New Roman"/>
          <w:b/>
          <w:bCs/>
          <w:color w:val="000000" w:themeColor="text1"/>
        </w:rPr>
      </w:pPr>
      <w:r>
        <w:rPr>
          <w:rFonts w:cs="Times New Roman"/>
          <w:b/>
          <w:bCs/>
          <w:color w:val="000000" w:themeColor="text1"/>
        </w:rPr>
        <w:t>综上，评价认为项目总平面布置功能分区清晰，工艺流程顺畅，物流短捷，人流、物流互不交叉干扰，协调了生产和环保的关系，从环保角度分析其平面布局基本合理。</w:t>
      </w:r>
    </w:p>
    <w:p w:rsidR="00644456" w:rsidRDefault="008031C4">
      <w:pPr>
        <w:pStyle w:val="20"/>
        <w:numPr>
          <w:ilvl w:val="1"/>
          <w:numId w:val="0"/>
        </w:numPr>
        <w:adjustRightInd w:val="0"/>
        <w:snapToGrid w:val="0"/>
        <w:spacing w:beforeLines="0" w:before="0" w:afterLines="0" w:after="0"/>
        <w:ind w:firstLine="562"/>
        <w:rPr>
          <w:rFonts w:cs="Times New Roman"/>
          <w:color w:val="000000" w:themeColor="text1"/>
        </w:rPr>
      </w:pPr>
      <w:bookmarkStart w:id="191" w:name="_Toc155789363"/>
      <w:bookmarkStart w:id="192" w:name="_Toc177216871"/>
      <w:bookmarkStart w:id="193" w:name="_Hlk148963952"/>
      <w:r>
        <w:rPr>
          <w:rFonts w:cs="Times New Roman" w:hint="eastAsia"/>
          <w:color w:val="000000" w:themeColor="text1"/>
        </w:rPr>
        <w:t>2.7</w:t>
      </w:r>
      <w:r>
        <w:rPr>
          <w:rFonts w:cs="Times New Roman" w:hint="eastAsia"/>
          <w:color w:val="000000" w:themeColor="text1"/>
        </w:rPr>
        <w:t>清洁生产</w:t>
      </w:r>
      <w:bookmarkEnd w:id="191"/>
      <w:r>
        <w:rPr>
          <w:rFonts w:cs="Times New Roman" w:hint="eastAsia"/>
          <w:color w:val="000000" w:themeColor="text1"/>
        </w:rPr>
        <w:t>与循环经济</w:t>
      </w:r>
      <w:bookmarkEnd w:id="192"/>
    </w:p>
    <w:p w:rsidR="00644456" w:rsidRDefault="008031C4">
      <w:pPr>
        <w:pStyle w:val="3"/>
        <w:numPr>
          <w:ilvl w:val="2"/>
          <w:numId w:val="0"/>
        </w:numPr>
        <w:ind w:firstLineChars="200" w:firstLine="482"/>
      </w:pPr>
      <w:r>
        <w:rPr>
          <w:rFonts w:hint="eastAsia"/>
        </w:rPr>
        <w:t>2.7.1</w:t>
      </w:r>
      <w:r>
        <w:rPr>
          <w:rFonts w:hint="eastAsia"/>
        </w:rPr>
        <w:t>清洁生产</w:t>
      </w:r>
    </w:p>
    <w:p w:rsidR="00644456" w:rsidRDefault="008031C4">
      <w:pPr>
        <w:adjustRightInd w:val="0"/>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清洁生产是指不断采取改进设计、使用清洁的能源和原料、采用先进的工艺技术与设备、改善管理、综合利用等措施，从源头削减污染，提高资源利用效率，减少或者避免生产、服务和产品使用过程中污染物的产生和排放，以减轻或消除对人类健康和环境的危害。《建设项目环境保护管理条例》规定：工业建设项目应当采用能耗小、污染物产生量小的清洁生产工艺，合理利用自然资源，防止环境污染和生态破坏。清洁生产促进法第</w:t>
      </w:r>
      <w:r>
        <w:rPr>
          <w:rFonts w:cs="Times New Roman"/>
          <w:color w:val="000000" w:themeColor="text1"/>
          <w:sz w:val="24"/>
          <w:szCs w:val="24"/>
        </w:rPr>
        <w:t>18</w:t>
      </w:r>
      <w:r>
        <w:rPr>
          <w:rFonts w:cs="Times New Roman" w:hint="eastAsia"/>
          <w:color w:val="000000" w:themeColor="text1"/>
          <w:sz w:val="24"/>
          <w:szCs w:val="24"/>
        </w:rPr>
        <w:t>条也规定：新建、改建和技改项目应当进行环境影响评价，对原料使用、资源消耗、资源综合利用以及污染物产生与处置等进行分析论证，优先采用资源利用率高以及污染物产生量少的清洁生产技术、工艺和设备。</w:t>
      </w:r>
    </w:p>
    <w:p w:rsidR="00644456" w:rsidRDefault="008031C4">
      <w:pPr>
        <w:adjustRightInd w:val="0"/>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w:t>
      </w:r>
      <w:r>
        <w:rPr>
          <w:rFonts w:cs="Times New Roman"/>
          <w:color w:val="000000" w:themeColor="text1"/>
          <w:sz w:val="24"/>
          <w:szCs w:val="24"/>
        </w:rPr>
        <w:t>1</w:t>
      </w:r>
      <w:r>
        <w:rPr>
          <w:rFonts w:cs="Times New Roman" w:hint="eastAsia"/>
          <w:color w:val="000000" w:themeColor="text1"/>
          <w:sz w:val="24"/>
          <w:szCs w:val="24"/>
        </w:rPr>
        <w:t>）原辅材料的使用</w:t>
      </w:r>
    </w:p>
    <w:p w:rsidR="00644456" w:rsidRDefault="008031C4">
      <w:pPr>
        <w:adjustRightInd w:val="0"/>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项目符合国家有关资源综合利用和发展循环经济的产业政策，本项目打造废矿物油再生利用项目，各工艺环节的固废均得有有效地再次利用。</w:t>
      </w:r>
    </w:p>
    <w:p w:rsidR="00644456" w:rsidRDefault="008031C4">
      <w:pPr>
        <w:adjustRightInd w:val="0"/>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w:t>
      </w:r>
      <w:r>
        <w:rPr>
          <w:rFonts w:cs="Times New Roman"/>
          <w:color w:val="000000" w:themeColor="text1"/>
          <w:sz w:val="24"/>
          <w:szCs w:val="24"/>
        </w:rPr>
        <w:t>2</w:t>
      </w:r>
      <w:r>
        <w:rPr>
          <w:rFonts w:cs="Times New Roman" w:hint="eastAsia"/>
          <w:color w:val="000000" w:themeColor="text1"/>
          <w:sz w:val="24"/>
          <w:szCs w:val="24"/>
        </w:rPr>
        <w:t>）工艺与装备要求</w:t>
      </w:r>
    </w:p>
    <w:p w:rsidR="00644456" w:rsidRDefault="008031C4">
      <w:pPr>
        <w:adjustRightInd w:val="0"/>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采用先进的生产工艺与装备是实现清洁生产的重要途径。生产工艺与装备水平的高低决定了产生废物的数量、种类和对环境影响的大小。</w:t>
      </w:r>
    </w:p>
    <w:p w:rsidR="00644456" w:rsidRDefault="008031C4">
      <w:pPr>
        <w:adjustRightInd w:val="0"/>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本项目选用“减压蒸馏</w:t>
      </w:r>
      <w:r>
        <w:rPr>
          <w:rFonts w:cs="Times New Roman" w:hint="eastAsia"/>
          <w:color w:val="000000" w:themeColor="text1"/>
          <w:sz w:val="24"/>
          <w:szCs w:val="24"/>
        </w:rPr>
        <w:t>+</w:t>
      </w:r>
      <w:r>
        <w:rPr>
          <w:rFonts w:cs="Times New Roman" w:hint="eastAsia"/>
          <w:color w:val="000000" w:themeColor="text1"/>
          <w:sz w:val="24"/>
          <w:szCs w:val="24"/>
        </w:rPr>
        <w:t>溶剂精制”工艺回收利用废润滑油，该工艺满足《废矿物油回收利用污染控制技术规范》（</w:t>
      </w:r>
      <w:r>
        <w:rPr>
          <w:rFonts w:cs="Times New Roman" w:hint="eastAsia"/>
          <w:color w:val="000000" w:themeColor="text1"/>
          <w:sz w:val="24"/>
          <w:szCs w:val="24"/>
        </w:rPr>
        <w:t>HJ607-2011</w:t>
      </w:r>
      <w:r>
        <w:rPr>
          <w:rFonts w:cs="Times New Roman" w:hint="eastAsia"/>
          <w:color w:val="000000" w:themeColor="text1"/>
          <w:sz w:val="24"/>
          <w:szCs w:val="24"/>
        </w:rPr>
        <w:t>）中“废矿物油的再生利用宜采用沉降、过滤、蒸馏、精制和催化裂解工艺”的要求，本项目选取的工艺设备运行稳定、高效节能、自动化程度高、热耦合性好。</w:t>
      </w:r>
    </w:p>
    <w:p w:rsidR="00644456" w:rsidRDefault="008031C4">
      <w:pPr>
        <w:pStyle w:val="1f7"/>
      </w:pPr>
      <w:r>
        <w:rPr>
          <w:rFonts w:hint="eastAsia"/>
        </w:rPr>
        <w:t>（</w:t>
      </w:r>
      <w:r>
        <w:rPr>
          <w:rFonts w:hint="eastAsia"/>
        </w:rPr>
        <w:t>3</w:t>
      </w:r>
      <w:r>
        <w:rPr>
          <w:rFonts w:hint="eastAsia"/>
        </w:rPr>
        <w:t>）资源能源利用指标</w:t>
      </w:r>
    </w:p>
    <w:p w:rsidR="00644456" w:rsidRDefault="008031C4">
      <w:pPr>
        <w:pStyle w:val="1f7"/>
      </w:pPr>
      <w:r>
        <w:rPr>
          <w:rFonts w:hint="eastAsia"/>
        </w:rPr>
        <w:t>本项目能源使用清洁能源天然气、电提供动力。</w:t>
      </w:r>
    </w:p>
    <w:p w:rsidR="00644456" w:rsidRDefault="008031C4">
      <w:pPr>
        <w:pStyle w:val="1f7"/>
      </w:pPr>
      <w:r>
        <w:rPr>
          <w:rFonts w:hint="eastAsia"/>
        </w:rPr>
        <w:t>具体指标如下：</w:t>
      </w:r>
    </w:p>
    <w:p w:rsidR="00644456" w:rsidRPr="00E11CE3" w:rsidRDefault="008031C4">
      <w:pPr>
        <w:pStyle w:val="1f7"/>
        <w:rPr>
          <w:color w:val="FF0000"/>
        </w:rPr>
      </w:pPr>
      <w:bookmarkStart w:id="194" w:name="_Hlk160545541"/>
      <w:r w:rsidRPr="00E11CE3">
        <w:rPr>
          <w:rFonts w:hint="eastAsia"/>
          <w:color w:val="FF0000"/>
        </w:rPr>
        <w:t>①电耗</w:t>
      </w:r>
    </w:p>
    <w:p w:rsidR="00644456" w:rsidRPr="00E11CE3" w:rsidRDefault="008031C4">
      <w:pPr>
        <w:pStyle w:val="1f7"/>
        <w:rPr>
          <w:color w:val="FF0000"/>
        </w:rPr>
      </w:pPr>
      <w:r w:rsidRPr="00E11CE3">
        <w:rPr>
          <w:rFonts w:hint="eastAsia"/>
          <w:color w:val="FF0000"/>
        </w:rPr>
        <w:t>项目耗电量</w:t>
      </w:r>
      <w:r w:rsidR="00CF7BCF" w:rsidRPr="00E11CE3">
        <w:rPr>
          <w:color w:val="FF0000"/>
        </w:rPr>
        <w:t>300</w:t>
      </w:r>
      <w:r w:rsidRPr="00E11CE3">
        <w:rPr>
          <w:rFonts w:hint="eastAsia"/>
          <w:color w:val="FF0000"/>
        </w:rPr>
        <w:t>万</w:t>
      </w:r>
      <w:r w:rsidRPr="00E11CE3">
        <w:rPr>
          <w:rFonts w:hint="eastAsia"/>
          <w:color w:val="FF0000"/>
        </w:rPr>
        <w:t>kWh</w:t>
      </w:r>
      <w:r w:rsidRPr="00E11CE3">
        <w:rPr>
          <w:rFonts w:hint="eastAsia"/>
          <w:color w:val="FF0000"/>
        </w:rPr>
        <w:t>，则单位产品电耗为</w:t>
      </w:r>
      <w:r w:rsidR="00CF7BCF" w:rsidRPr="00E11CE3">
        <w:rPr>
          <w:color w:val="FF0000"/>
        </w:rPr>
        <w:t>106.38</w:t>
      </w:r>
      <w:r w:rsidRPr="00E11CE3">
        <w:rPr>
          <w:rFonts w:hint="eastAsia"/>
          <w:color w:val="FF0000"/>
        </w:rPr>
        <w:t>kWh</w:t>
      </w:r>
      <w:r w:rsidRPr="00E11CE3">
        <w:rPr>
          <w:rFonts w:hint="eastAsia"/>
          <w:color w:val="FF0000"/>
        </w:rPr>
        <w:t>。</w:t>
      </w:r>
    </w:p>
    <w:p w:rsidR="00644456" w:rsidRPr="00E11CE3" w:rsidRDefault="008031C4">
      <w:pPr>
        <w:pStyle w:val="1f7"/>
        <w:rPr>
          <w:color w:val="FF0000"/>
        </w:rPr>
      </w:pPr>
      <w:r w:rsidRPr="00E11CE3">
        <w:rPr>
          <w:rFonts w:hint="eastAsia"/>
          <w:color w:val="FF0000"/>
        </w:rPr>
        <w:t>②工业水耗</w:t>
      </w:r>
    </w:p>
    <w:p w:rsidR="00644456" w:rsidRPr="00E11CE3" w:rsidRDefault="008031C4">
      <w:pPr>
        <w:pStyle w:val="1f7"/>
        <w:rPr>
          <w:color w:val="FF0000"/>
        </w:rPr>
      </w:pPr>
      <w:r w:rsidRPr="00E11CE3">
        <w:rPr>
          <w:rFonts w:hint="eastAsia"/>
          <w:color w:val="FF0000"/>
        </w:rPr>
        <w:t>根据工程分析，项目生产用水为设备清洗等，年耗新水量</w:t>
      </w:r>
      <w:r w:rsidR="00E11CE3" w:rsidRPr="00E11CE3">
        <w:rPr>
          <w:color w:val="FF0000"/>
        </w:rPr>
        <w:t>4850.25</w:t>
      </w:r>
      <w:r w:rsidRPr="00E11CE3">
        <w:rPr>
          <w:rFonts w:hint="eastAsia"/>
          <w:color w:val="FF0000"/>
        </w:rPr>
        <w:t>m</w:t>
      </w:r>
      <w:r w:rsidRPr="00E11CE3">
        <w:rPr>
          <w:rFonts w:hint="eastAsia"/>
          <w:color w:val="FF0000"/>
          <w:vertAlign w:val="superscript"/>
        </w:rPr>
        <w:t>3</w:t>
      </w:r>
      <w:r w:rsidRPr="00E11CE3">
        <w:rPr>
          <w:rFonts w:hint="eastAsia"/>
          <w:color w:val="FF0000"/>
        </w:rPr>
        <w:t>，则单位产品</w:t>
      </w:r>
      <w:r w:rsidRPr="00E11CE3">
        <w:rPr>
          <w:rFonts w:hint="eastAsia"/>
          <w:color w:val="FF0000"/>
        </w:rPr>
        <w:lastRenderedPageBreak/>
        <w:t>水耗</w:t>
      </w:r>
      <w:r w:rsidR="00E11CE3" w:rsidRPr="00E11CE3">
        <w:rPr>
          <w:color w:val="FF0000"/>
        </w:rPr>
        <w:t>0.17</w:t>
      </w:r>
      <w:r w:rsidRPr="00E11CE3">
        <w:rPr>
          <w:rFonts w:hint="eastAsia"/>
          <w:color w:val="FF0000"/>
        </w:rPr>
        <w:t>m</w:t>
      </w:r>
      <w:r w:rsidRPr="00E11CE3">
        <w:rPr>
          <w:rFonts w:hint="eastAsia"/>
          <w:color w:val="FF0000"/>
          <w:vertAlign w:val="superscript"/>
        </w:rPr>
        <w:t>3</w:t>
      </w:r>
      <w:r w:rsidRPr="00E11CE3">
        <w:rPr>
          <w:rFonts w:hint="eastAsia"/>
          <w:color w:val="FF0000"/>
        </w:rPr>
        <w:t>。</w:t>
      </w:r>
    </w:p>
    <w:bookmarkEnd w:id="194"/>
    <w:p w:rsidR="00644456" w:rsidRPr="00E11CE3" w:rsidRDefault="008031C4">
      <w:pPr>
        <w:pStyle w:val="1f7"/>
        <w:rPr>
          <w:color w:val="FF0000"/>
        </w:rPr>
      </w:pPr>
      <w:r w:rsidRPr="00E11CE3">
        <w:rPr>
          <w:rFonts w:hint="eastAsia"/>
          <w:color w:val="FF0000"/>
        </w:rPr>
        <w:t>综上，本项目产品指标符合清洁生产要求。</w:t>
      </w:r>
    </w:p>
    <w:p w:rsidR="00644456" w:rsidRDefault="008031C4">
      <w:pPr>
        <w:pStyle w:val="1f7"/>
      </w:pPr>
      <w:r>
        <w:rPr>
          <w:rFonts w:hint="eastAsia"/>
        </w:rPr>
        <w:t>（</w:t>
      </w:r>
      <w:r>
        <w:rPr>
          <w:rFonts w:hint="eastAsia"/>
        </w:rPr>
        <w:t>4</w:t>
      </w:r>
      <w:r>
        <w:rPr>
          <w:rFonts w:hint="eastAsia"/>
        </w:rPr>
        <w:t>）污染物产生指标</w:t>
      </w:r>
    </w:p>
    <w:p w:rsidR="00644456" w:rsidRDefault="008031C4">
      <w:pPr>
        <w:pStyle w:val="1f7"/>
      </w:pPr>
      <w:r>
        <w:rPr>
          <w:rFonts w:hint="eastAsia"/>
        </w:rPr>
        <w:t>本项目生产过程中污染物产生量较少，生产过程中产生的废水经过预处理后进入生态钢城污水处理厂深度处理后综合利用；生产过程中产生的不凝气采用“三级干式过滤</w:t>
      </w:r>
      <w:r>
        <w:rPr>
          <w:rFonts w:hint="eastAsia"/>
        </w:rPr>
        <w:t>+</w:t>
      </w:r>
      <w:r>
        <w:rPr>
          <w:rFonts w:hint="eastAsia"/>
        </w:rPr>
        <w:t>高温氧化</w:t>
      </w:r>
      <w:r>
        <w:rPr>
          <w:rFonts w:hint="eastAsia"/>
        </w:rPr>
        <w:t>+</w:t>
      </w:r>
      <w:r>
        <w:rPr>
          <w:rFonts w:hint="eastAsia"/>
        </w:rPr>
        <w:t>余热回收</w:t>
      </w:r>
      <w:r>
        <w:rPr>
          <w:rFonts w:hint="eastAsia"/>
        </w:rPr>
        <w:t>+</w:t>
      </w:r>
      <w:r>
        <w:rPr>
          <w:rFonts w:hint="eastAsia"/>
        </w:rPr>
        <w:t>二级碱液喷淋”处理后，有机废气可达标排放；生产过程中产生的噪声通过采取隔声、减震等措施后，也能实现厂界达标；固体废弃物实现合理处理。</w:t>
      </w:r>
    </w:p>
    <w:p w:rsidR="00644456" w:rsidRDefault="008031C4">
      <w:pPr>
        <w:pStyle w:val="1f7"/>
      </w:pPr>
      <w:r>
        <w:rPr>
          <w:rFonts w:hint="eastAsia"/>
        </w:rPr>
        <w:t>（</w:t>
      </w:r>
      <w:r>
        <w:rPr>
          <w:rFonts w:hint="eastAsia"/>
        </w:rPr>
        <w:t>5</w:t>
      </w:r>
      <w:r>
        <w:rPr>
          <w:rFonts w:hint="eastAsia"/>
        </w:rPr>
        <w:t>）废物回收利用指标</w:t>
      </w:r>
    </w:p>
    <w:p w:rsidR="00644456" w:rsidRDefault="008031C4">
      <w:pPr>
        <w:pStyle w:val="1f7"/>
      </w:pPr>
      <w:r>
        <w:rPr>
          <w:rFonts w:hint="eastAsia"/>
        </w:rPr>
        <w:t>本项目属于资源再生利用，将废矿物油转变为可利用的物料，生产过程产生的废油可再回到处理系统进行处理，废气处理设施产生的余热进行了回收利用，减少了电能的消耗，项目将可利用的废物进行充分回收利用，不可利用部分按照相关要求进行处理处置。</w:t>
      </w:r>
    </w:p>
    <w:p w:rsidR="00644456" w:rsidRDefault="008031C4">
      <w:pPr>
        <w:pStyle w:val="1f7"/>
      </w:pPr>
      <w:r>
        <w:rPr>
          <w:rFonts w:hint="eastAsia"/>
        </w:rPr>
        <w:t>（</w:t>
      </w:r>
      <w:r>
        <w:t>6</w:t>
      </w:r>
      <w:r>
        <w:rPr>
          <w:rFonts w:hint="eastAsia"/>
        </w:rPr>
        <w:t>）环境管理要求</w:t>
      </w:r>
    </w:p>
    <w:p w:rsidR="00644456" w:rsidRDefault="008031C4">
      <w:pPr>
        <w:pStyle w:val="1f7"/>
      </w:pPr>
      <w:r>
        <w:rPr>
          <w:rFonts w:hint="eastAsia"/>
        </w:rPr>
        <w:t>本项目符合国家和地方有关环境法律、法规，污染物排放达到国家和地方排放标准、总量控制管理要求。原材料供应商的产品质量、包装和运输等环节均符合相关要求。企业设立质量监督机构，加强原材料质检以及考核产品合格率，同时加强节能的管理，制定节能制度、耗能指标等考核办法，达到节能的效果，此外，设立健全的岗位操作规程和设备维护保养规程等；污染控制设施配套齐全，并保证其正常运行。</w:t>
      </w:r>
    </w:p>
    <w:p w:rsidR="00644456" w:rsidRDefault="008031C4">
      <w:pPr>
        <w:pStyle w:val="1f7"/>
      </w:pPr>
      <w:r>
        <w:rPr>
          <w:rFonts w:hint="eastAsia"/>
        </w:rPr>
        <w:t>清洁生产水平评价：</w:t>
      </w:r>
    </w:p>
    <w:p w:rsidR="00644456" w:rsidRDefault="008031C4">
      <w:pPr>
        <w:pStyle w:val="1f7"/>
      </w:pPr>
      <w:r>
        <w:rPr>
          <w:rFonts w:hint="eastAsia"/>
        </w:rPr>
        <w:t>从上述结论可以看出：废矿物油再生利用过程中的主要工艺装备指标、资源能源利用总体指标、废物回收利用指标，污染物产生指标以及环境管理、废物处理与处置、相关方面环境管理指标均符合清洁生产要求。因此，本项目较好地贯彻了清洁生产的原则。</w:t>
      </w:r>
    </w:p>
    <w:p w:rsidR="00644456" w:rsidRDefault="008031C4">
      <w:pPr>
        <w:pStyle w:val="3"/>
        <w:numPr>
          <w:ilvl w:val="2"/>
          <w:numId w:val="0"/>
        </w:numPr>
        <w:ind w:firstLineChars="200" w:firstLine="482"/>
      </w:pPr>
      <w:r>
        <w:rPr>
          <w:rFonts w:hint="eastAsia"/>
        </w:rPr>
        <w:t>2.7.2</w:t>
      </w:r>
      <w:r>
        <w:rPr>
          <w:rFonts w:hint="eastAsia"/>
        </w:rPr>
        <w:t>循环经济</w:t>
      </w:r>
    </w:p>
    <w:p w:rsidR="00644456" w:rsidRDefault="008031C4">
      <w:pPr>
        <w:pStyle w:val="1f7"/>
      </w:pPr>
      <w:r>
        <w:t>本项目立足提取有价值原料的循环使用，按照</w:t>
      </w:r>
      <w:r>
        <w:t>“</w:t>
      </w:r>
      <w:r>
        <w:t>减量化、再利用、资源化</w:t>
      </w:r>
      <w:r>
        <w:t>”</w:t>
      </w:r>
      <w:r>
        <w:t>的原则，实现资源循环式利用。同时，大力推行清洁生产，从源头上减少了污染物的排放。</w:t>
      </w:r>
    </w:p>
    <w:p w:rsidR="00644456" w:rsidRDefault="008031C4">
      <w:pPr>
        <w:pStyle w:val="1f7"/>
      </w:pPr>
      <w:r>
        <w:t>通过</w:t>
      </w:r>
      <w:r>
        <w:t>“</w:t>
      </w:r>
      <w:r>
        <w:t>提高工艺技术水平减少排污与资源循环利用标本</w:t>
      </w:r>
      <w:r>
        <w:rPr>
          <w:rFonts w:hint="eastAsia"/>
        </w:rPr>
        <w:t>兼</w:t>
      </w:r>
      <w:r>
        <w:t>治</w:t>
      </w:r>
      <w:r>
        <w:t>”</w:t>
      </w:r>
      <w:r>
        <w:t>的循环经济发展模式，取得了较好的效果。</w:t>
      </w:r>
    </w:p>
    <w:p w:rsidR="00644456" w:rsidRDefault="008031C4">
      <w:pPr>
        <w:pStyle w:val="1f7"/>
        <w:ind w:firstLine="482"/>
        <w:rPr>
          <w:b/>
          <w:bCs/>
        </w:rPr>
      </w:pPr>
      <w:r>
        <w:rPr>
          <w:rFonts w:hint="eastAsia"/>
          <w:b/>
          <w:bCs/>
        </w:rPr>
        <w:t>1</w:t>
      </w:r>
      <w:r>
        <w:rPr>
          <w:rFonts w:hint="eastAsia"/>
          <w:b/>
          <w:bCs/>
        </w:rPr>
        <w:t>、</w:t>
      </w:r>
      <w:r>
        <w:rPr>
          <w:b/>
          <w:bCs/>
        </w:rPr>
        <w:t>项目循环经济链条</w:t>
      </w:r>
    </w:p>
    <w:p w:rsidR="00644456" w:rsidRDefault="008031C4">
      <w:pPr>
        <w:pStyle w:val="1f7"/>
      </w:pPr>
      <w:r>
        <w:t>本项目以废矿物油为原料以资源化综合利用为目标，对废矿物油进行分离可实现废矿物油分类回收利用和循环利用，本项目建成后，必将对当地的冶金行业发展产生积极</w:t>
      </w:r>
      <w:r>
        <w:lastRenderedPageBreak/>
        <w:t>的推动作用。</w:t>
      </w:r>
    </w:p>
    <w:p w:rsidR="00644456" w:rsidRDefault="008031C4">
      <w:pPr>
        <w:pStyle w:val="1f7"/>
        <w:ind w:firstLine="482"/>
        <w:rPr>
          <w:b/>
          <w:bCs/>
        </w:rPr>
      </w:pPr>
      <w:r>
        <w:rPr>
          <w:rFonts w:hint="eastAsia"/>
          <w:b/>
          <w:bCs/>
        </w:rPr>
        <w:t>2</w:t>
      </w:r>
      <w:r>
        <w:rPr>
          <w:rFonts w:hint="eastAsia"/>
          <w:b/>
          <w:bCs/>
        </w:rPr>
        <w:t>、</w:t>
      </w:r>
      <w:r>
        <w:rPr>
          <w:b/>
          <w:bCs/>
        </w:rPr>
        <w:t>循环利用分析</w:t>
      </w:r>
    </w:p>
    <w:p w:rsidR="00644456" w:rsidRDefault="008031C4">
      <w:pPr>
        <w:pStyle w:val="1f7"/>
      </w:pPr>
      <w:r>
        <w:t>本项目坚持循环经济的发展理念，通过产业循环式组合、资源循环利用和实施清洁生产，建立了在资源优势转换战略基础上的循环经济发展模式。项目的循环经济理念体现在生产装置的方方面面：</w:t>
      </w:r>
    </w:p>
    <w:p w:rsidR="00644456" w:rsidRDefault="008031C4">
      <w:pPr>
        <w:pStyle w:val="1f7"/>
      </w:pPr>
      <w:r>
        <w:t>本项目处理的废矿物油为危险废物，旨在通过各处理工艺最大限度</w:t>
      </w:r>
      <w:r>
        <w:rPr>
          <w:rFonts w:hint="eastAsia"/>
        </w:rPr>
        <w:t>地</w:t>
      </w:r>
      <w:r>
        <w:t>回收物料中的有用成分，</w:t>
      </w:r>
      <w:r>
        <w:rPr>
          <w:rFonts w:hint="eastAsia"/>
        </w:rPr>
        <w:t>最大限度地将</w:t>
      </w:r>
      <w:r>
        <w:t>物料资源化处理后回用。本项目整体建设符合清洁生产的要求，同时项目采用内部小循环和区域大循环，实现资源最大程度</w:t>
      </w:r>
      <w:r>
        <w:rPr>
          <w:rFonts w:hint="eastAsia"/>
        </w:rPr>
        <w:t>地</w:t>
      </w:r>
      <w:r>
        <w:t>利用和</w:t>
      </w:r>
      <w:r>
        <w:t>“</w:t>
      </w:r>
      <w:r>
        <w:t>三废</w:t>
      </w:r>
      <w:r>
        <w:t>”</w:t>
      </w:r>
      <w:r>
        <w:t>排放最小化，形成了</w:t>
      </w:r>
      <w:r>
        <w:t>“</w:t>
      </w:r>
      <w:r>
        <w:t>资源</w:t>
      </w:r>
      <w:r>
        <w:t>→</w:t>
      </w:r>
      <w:r>
        <w:t>产品</w:t>
      </w:r>
      <w:r>
        <w:t>→</w:t>
      </w:r>
      <w:r>
        <w:t>再生资源</w:t>
      </w:r>
      <w:r>
        <w:t>”</w:t>
      </w:r>
      <w:r>
        <w:t>的反馈式流程，体现了循环经济的</w:t>
      </w:r>
      <w:r>
        <w:t>“</w:t>
      </w:r>
      <w:r>
        <w:t>减量化、再利用、再循环</w:t>
      </w:r>
      <w:r>
        <w:t>”</w:t>
      </w:r>
      <w:r>
        <w:t>原则，不仅增加本工程的经济效益，环境效益和生态效益也得到较大提高，实现环境与经济协调发展。</w:t>
      </w:r>
    </w:p>
    <w:p w:rsidR="00644456" w:rsidRDefault="008031C4">
      <w:pPr>
        <w:pStyle w:val="20"/>
        <w:numPr>
          <w:ilvl w:val="1"/>
          <w:numId w:val="0"/>
        </w:numPr>
        <w:adjustRightInd w:val="0"/>
        <w:snapToGrid w:val="0"/>
        <w:spacing w:beforeLines="0" w:before="0" w:afterLines="0" w:after="0"/>
        <w:ind w:firstLine="562"/>
        <w:rPr>
          <w:rFonts w:cs="Times New Roman"/>
          <w:color w:val="000000" w:themeColor="text1"/>
        </w:rPr>
      </w:pPr>
      <w:bookmarkStart w:id="195" w:name="_Toc177216872"/>
      <w:bookmarkStart w:id="196" w:name="_Toc155789364"/>
      <w:r>
        <w:rPr>
          <w:rFonts w:cs="Times New Roman" w:hint="eastAsia"/>
          <w:color w:val="000000" w:themeColor="text1"/>
        </w:rPr>
        <w:t>2.8</w:t>
      </w:r>
      <w:r>
        <w:rPr>
          <w:rFonts w:cs="Times New Roman" w:hint="eastAsia"/>
          <w:color w:val="000000" w:themeColor="text1"/>
        </w:rPr>
        <w:t>碳排放评价</w:t>
      </w:r>
      <w:bookmarkEnd w:id="195"/>
      <w:bookmarkEnd w:id="196"/>
    </w:p>
    <w:p w:rsidR="00644456" w:rsidRDefault="008031C4">
      <w:pPr>
        <w:pStyle w:val="1f7"/>
      </w:pPr>
      <w:r>
        <w:rPr>
          <w:rFonts w:hint="eastAsia"/>
        </w:rPr>
        <w:t>碳排放是关于温室气体排放的一个总称或简称，温室气体中最主要的组成部分是二氧化碳（</w:t>
      </w:r>
      <w:r>
        <w:rPr>
          <w:rFonts w:hint="eastAsia"/>
        </w:rPr>
        <w:t>CO</w:t>
      </w:r>
      <w:r>
        <w:rPr>
          <w:rFonts w:hint="eastAsia"/>
          <w:vertAlign w:val="subscript"/>
        </w:rPr>
        <w:t>2</w:t>
      </w:r>
      <w:r>
        <w:rPr>
          <w:rFonts w:hint="eastAsia"/>
        </w:rPr>
        <w:t>），因此人们简单地将“碳排放”理解为“二氧化碳排放”。伴随全球气候变暖，人们日益关注到温室气体排放对环境产生的不利影响，我国日益注重碳减排工作的推进，在此大背景下，将碳排放纳入环境影响评价中十分必要。</w:t>
      </w:r>
    </w:p>
    <w:p w:rsidR="00644456" w:rsidRDefault="008031C4">
      <w:pPr>
        <w:pStyle w:val="3"/>
        <w:numPr>
          <w:ilvl w:val="2"/>
          <w:numId w:val="0"/>
        </w:numPr>
        <w:ind w:firstLineChars="200" w:firstLine="482"/>
      </w:pPr>
      <w:r>
        <w:rPr>
          <w:rFonts w:hint="eastAsia"/>
        </w:rPr>
        <w:t>2.8.1</w:t>
      </w:r>
      <w:r>
        <w:rPr>
          <w:rFonts w:hint="eastAsia"/>
        </w:rPr>
        <w:t>原则依据</w:t>
      </w:r>
    </w:p>
    <w:p w:rsidR="00644456" w:rsidRDefault="008031C4">
      <w:pPr>
        <w:pStyle w:val="1f7"/>
      </w:pPr>
      <w:r>
        <w:t>依据</w:t>
      </w:r>
      <w:r>
        <w:rPr>
          <w:rFonts w:hint="eastAsia"/>
        </w:rPr>
        <w:t>《企业温室气体排放报告核查指南》</w:t>
      </w:r>
      <w:r>
        <w:t>《工业企业温室气体排放核算和报告通则》（</w:t>
      </w:r>
      <w:r>
        <w:t>GB/T32150-2015</w:t>
      </w:r>
      <w:r>
        <w:t>）</w:t>
      </w:r>
      <w:r>
        <w:rPr>
          <w:rFonts w:hint="eastAsia"/>
        </w:rPr>
        <w:t>，参照《关于开展重点行业建设项目碳排放环境影响评价试点的通知》（环办环评函〔</w:t>
      </w:r>
      <w:r>
        <w:rPr>
          <w:rFonts w:hint="eastAsia"/>
        </w:rPr>
        <w:t>2021</w:t>
      </w:r>
      <w:r>
        <w:rPr>
          <w:rFonts w:hint="eastAsia"/>
        </w:rPr>
        <w:t>〕</w:t>
      </w:r>
      <w:r>
        <w:rPr>
          <w:rFonts w:hint="eastAsia"/>
        </w:rPr>
        <w:t>346</w:t>
      </w:r>
      <w:r>
        <w:rPr>
          <w:rFonts w:hint="eastAsia"/>
        </w:rPr>
        <w:t>号）等文件规范对本项目的碳排放进行分析</w:t>
      </w:r>
      <w:r>
        <w:t>。</w:t>
      </w:r>
    </w:p>
    <w:p w:rsidR="00644456" w:rsidRDefault="008031C4">
      <w:pPr>
        <w:pStyle w:val="3"/>
        <w:numPr>
          <w:ilvl w:val="2"/>
          <w:numId w:val="0"/>
        </w:numPr>
        <w:ind w:firstLineChars="200" w:firstLine="482"/>
      </w:pPr>
      <w:r>
        <w:rPr>
          <w:rFonts w:hint="eastAsia"/>
        </w:rPr>
        <w:t>2.8.2</w:t>
      </w:r>
      <w:r>
        <w:rPr>
          <w:rFonts w:hint="eastAsia"/>
        </w:rPr>
        <w:t>核算边界确定</w:t>
      </w:r>
    </w:p>
    <w:p w:rsidR="00644456" w:rsidRDefault="008031C4">
      <w:pPr>
        <w:pStyle w:val="1f7"/>
      </w:pPr>
      <w:r>
        <w:rPr>
          <w:rFonts w:hint="eastAsia"/>
        </w:rPr>
        <w:t>评价以企业法人的独立核算单位为边界，核算生产系统产生的温室气体排放。生产系统包括主要生产系统、辅助生产系统以及直接为生产服务的附属生产系统，其中辅助生产系统包括动力、供电、供水、化验、机修、库房、运输等，附属生产系统包括生产指挥系统（厂部）和厂区内为生产服务的部门和单位（如职工食堂、车间浴室等）。本项目厂界作为一个核算单元。</w:t>
      </w:r>
    </w:p>
    <w:p w:rsidR="00644456" w:rsidRDefault="008031C4">
      <w:pPr>
        <w:pStyle w:val="3"/>
        <w:numPr>
          <w:ilvl w:val="2"/>
          <w:numId w:val="0"/>
        </w:numPr>
        <w:ind w:firstLineChars="200" w:firstLine="482"/>
      </w:pPr>
      <w:r>
        <w:rPr>
          <w:rFonts w:hint="eastAsia"/>
        </w:rPr>
        <w:t>2.8.3</w:t>
      </w:r>
      <w:r>
        <w:rPr>
          <w:rFonts w:hint="eastAsia"/>
        </w:rPr>
        <w:t>排放源</w:t>
      </w:r>
    </w:p>
    <w:p w:rsidR="00644456" w:rsidRDefault="008031C4">
      <w:pPr>
        <w:pStyle w:val="1f7"/>
      </w:pPr>
      <w:r>
        <w:rPr>
          <w:rFonts w:hint="eastAsia"/>
        </w:rPr>
        <w:t>本项目生产过程中主要排放源为：</w:t>
      </w:r>
    </w:p>
    <w:p w:rsidR="00644456" w:rsidRDefault="008031C4">
      <w:pPr>
        <w:pStyle w:val="1f7"/>
      </w:pPr>
      <w:r>
        <w:rPr>
          <w:rFonts w:hint="eastAsia"/>
        </w:rPr>
        <w:t>（</w:t>
      </w:r>
      <w:r>
        <w:rPr>
          <w:rFonts w:hint="eastAsia"/>
        </w:rPr>
        <w:t>1</w:t>
      </w:r>
      <w:r>
        <w:rPr>
          <w:rFonts w:hint="eastAsia"/>
        </w:rPr>
        <w:t>）燃料燃烧排放</w:t>
      </w:r>
    </w:p>
    <w:p w:rsidR="00644456" w:rsidRDefault="008031C4">
      <w:pPr>
        <w:pStyle w:val="1f7"/>
      </w:pPr>
      <w:r>
        <w:rPr>
          <w:rFonts w:hint="eastAsia"/>
        </w:rPr>
        <w:t>燃料燃烧排放包括煤、油、气等化石燃料在各种类型的固定燃烧设备（如锅炉、煅</w:t>
      </w:r>
      <w:r>
        <w:rPr>
          <w:rFonts w:hint="eastAsia"/>
        </w:rPr>
        <w:lastRenderedPageBreak/>
        <w:t>烧炉、窑炉、熔炉、内燃机等）或移动燃烧设备（厂内机动车辆）中发生氧化燃烧过程产生的二氧化碳排放。</w:t>
      </w:r>
    </w:p>
    <w:p w:rsidR="00644456" w:rsidRDefault="008031C4">
      <w:pPr>
        <w:pStyle w:val="1f7"/>
      </w:pPr>
      <w:r>
        <w:rPr>
          <w:rFonts w:hint="eastAsia"/>
        </w:rPr>
        <w:t>项目导热油锅炉等设备采用天然气作为燃料，天然气燃烧过程中会产生二氧化碳。</w:t>
      </w:r>
    </w:p>
    <w:p w:rsidR="00644456" w:rsidRDefault="008031C4">
      <w:pPr>
        <w:pStyle w:val="1f7"/>
      </w:pPr>
      <w:r>
        <w:rPr>
          <w:rFonts w:hint="eastAsia"/>
        </w:rPr>
        <w:t>（</w:t>
      </w:r>
      <w:r>
        <w:rPr>
          <w:rFonts w:hint="eastAsia"/>
        </w:rPr>
        <w:t>2</w:t>
      </w:r>
      <w:r>
        <w:rPr>
          <w:rFonts w:hint="eastAsia"/>
        </w:rPr>
        <w:t>）过程排放</w:t>
      </w:r>
    </w:p>
    <w:p w:rsidR="00644456" w:rsidRDefault="008031C4">
      <w:pPr>
        <w:pStyle w:val="1f7"/>
      </w:pPr>
      <w:r>
        <w:rPr>
          <w:rFonts w:hint="eastAsia"/>
        </w:rPr>
        <w:t>过程排放是指化石燃料和其他碳氢化合物用作原材料产生的二氧化碳排放以及碳酸盐使用过程（如石灰石、白云石等用作原材料、助熔剂或脱硫剂等）分解产生的二氧化碳排放。如果存在硝酸或己二酸生产过程，还应包括这些生产过程的氧化亚氮排放。</w:t>
      </w:r>
    </w:p>
    <w:p w:rsidR="00644456" w:rsidRDefault="008031C4">
      <w:pPr>
        <w:pStyle w:val="1f7"/>
      </w:pPr>
      <w:r>
        <w:rPr>
          <w:rFonts w:hint="eastAsia"/>
        </w:rPr>
        <w:t>（</w:t>
      </w:r>
      <w:r>
        <w:rPr>
          <w:rFonts w:hint="eastAsia"/>
        </w:rPr>
        <w:t>3</w:t>
      </w:r>
      <w:r>
        <w:rPr>
          <w:rFonts w:hint="eastAsia"/>
        </w:rPr>
        <w:t>）二氧化碳回收利用量</w:t>
      </w:r>
    </w:p>
    <w:p w:rsidR="00644456" w:rsidRDefault="008031C4">
      <w:pPr>
        <w:pStyle w:val="1f7"/>
      </w:pPr>
      <w:r>
        <w:rPr>
          <w:rFonts w:hint="eastAsia"/>
        </w:rPr>
        <w:t>主要指回收燃料燃烧或工业生产过程产生的二氧化碳并作为产品外供给其他单位从而应予扣减的那部分二氧化碳，不包括企业现场回收自用的部分。</w:t>
      </w:r>
    </w:p>
    <w:p w:rsidR="00644456" w:rsidRDefault="008031C4">
      <w:pPr>
        <w:pStyle w:val="1f7"/>
      </w:pPr>
      <w:r>
        <w:rPr>
          <w:rFonts w:hint="eastAsia"/>
        </w:rPr>
        <w:t>本项目未设置二氧化碳回收装置。</w:t>
      </w:r>
    </w:p>
    <w:p w:rsidR="00644456" w:rsidRDefault="008031C4">
      <w:pPr>
        <w:pStyle w:val="1f7"/>
      </w:pPr>
      <w:r>
        <w:rPr>
          <w:rFonts w:hint="eastAsia"/>
        </w:rPr>
        <w:t>（</w:t>
      </w:r>
      <w:r>
        <w:rPr>
          <w:rFonts w:hint="eastAsia"/>
        </w:rPr>
        <w:t>4</w:t>
      </w:r>
      <w:r>
        <w:rPr>
          <w:rFonts w:hint="eastAsia"/>
        </w:rPr>
        <w:t>）购入的电力、热力产生的排放</w:t>
      </w:r>
    </w:p>
    <w:p w:rsidR="00644456" w:rsidRDefault="008031C4">
      <w:pPr>
        <w:pStyle w:val="1f7"/>
      </w:pPr>
      <w:r>
        <w:rPr>
          <w:rFonts w:hint="eastAsia"/>
        </w:rPr>
        <w:t>生产企业消费的购入电力、热力所对应的二氧化碳排放。</w:t>
      </w:r>
    </w:p>
    <w:p w:rsidR="00644456" w:rsidRDefault="008031C4">
      <w:pPr>
        <w:pStyle w:val="1f7"/>
      </w:pPr>
      <w:r>
        <w:rPr>
          <w:rFonts w:hint="eastAsia"/>
        </w:rPr>
        <w:t>（</w:t>
      </w:r>
      <w:r>
        <w:rPr>
          <w:rFonts w:hint="eastAsia"/>
        </w:rPr>
        <w:t>5</w:t>
      </w:r>
      <w:r>
        <w:rPr>
          <w:rFonts w:hint="eastAsia"/>
        </w:rPr>
        <w:t>）输出的电力、热力产生的排放</w:t>
      </w:r>
    </w:p>
    <w:p w:rsidR="00644456" w:rsidRDefault="008031C4">
      <w:pPr>
        <w:pStyle w:val="1f7"/>
      </w:pPr>
      <w:r>
        <w:rPr>
          <w:rFonts w:hint="eastAsia"/>
        </w:rPr>
        <w:t>化工生产企业输出的电力、热力所对应的二氧化碳排放。</w:t>
      </w:r>
    </w:p>
    <w:p w:rsidR="00644456" w:rsidRDefault="008031C4">
      <w:pPr>
        <w:pStyle w:val="1f7"/>
      </w:pPr>
      <w:r>
        <w:rPr>
          <w:rFonts w:hint="eastAsia"/>
        </w:rPr>
        <w:t>项目不涉及输出的电力、热力。</w:t>
      </w:r>
    </w:p>
    <w:p w:rsidR="00644456" w:rsidRDefault="008031C4">
      <w:pPr>
        <w:pStyle w:val="1f7"/>
      </w:pPr>
      <w:r>
        <w:rPr>
          <w:rFonts w:hint="eastAsia"/>
        </w:rPr>
        <w:t>综上分析，项目涉及燃料燃烧排放、过程排放和购入电力产生的排放。</w:t>
      </w:r>
    </w:p>
    <w:p w:rsidR="00644456" w:rsidRDefault="008031C4">
      <w:pPr>
        <w:pStyle w:val="3"/>
        <w:numPr>
          <w:ilvl w:val="2"/>
          <w:numId w:val="0"/>
        </w:numPr>
        <w:ind w:firstLineChars="200" w:firstLine="482"/>
      </w:pPr>
      <w:r>
        <w:rPr>
          <w:rFonts w:hint="eastAsia"/>
        </w:rPr>
        <w:t>2.8.4</w:t>
      </w:r>
      <w:r>
        <w:rPr>
          <w:rFonts w:hint="eastAsia"/>
        </w:rPr>
        <w:t>核算方法及核算结果</w:t>
      </w:r>
    </w:p>
    <w:p w:rsidR="00644456" w:rsidRDefault="008031C4">
      <w:pPr>
        <w:pStyle w:val="1f7"/>
      </w:pPr>
      <w:r>
        <w:rPr>
          <w:rFonts w:hint="eastAsia"/>
        </w:rPr>
        <w:t>（</w:t>
      </w:r>
      <w:r>
        <w:rPr>
          <w:rFonts w:hint="eastAsia"/>
        </w:rPr>
        <w:t>1</w:t>
      </w:r>
      <w:r>
        <w:rPr>
          <w:rFonts w:hint="eastAsia"/>
        </w:rPr>
        <w:t>）燃料燃烧排放</w:t>
      </w:r>
    </w:p>
    <w:p w:rsidR="00644456" w:rsidRDefault="008031C4">
      <w:pPr>
        <w:pStyle w:val="1f7"/>
      </w:pPr>
      <w:r>
        <w:rPr>
          <w:rFonts w:hint="eastAsia"/>
        </w:rPr>
        <w:t>1</w:t>
      </w:r>
      <w:r>
        <w:rPr>
          <w:rFonts w:hint="eastAsia"/>
        </w:rPr>
        <w:t>）计算公式</w:t>
      </w:r>
    </w:p>
    <w:p w:rsidR="00644456" w:rsidRDefault="008031C4">
      <w:pPr>
        <w:pStyle w:val="1f7"/>
      </w:pPr>
      <w:r>
        <w:rPr>
          <w:rFonts w:hint="eastAsia"/>
          <w:noProof/>
        </w:rPr>
        <w:drawing>
          <wp:inline distT="0" distB="0" distL="0" distR="0" wp14:anchorId="7C9079AD" wp14:editId="4D98D1A4">
            <wp:extent cx="3677920" cy="568325"/>
            <wp:effectExtent l="19050" t="0" r="0" b="0"/>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pic:cNvPicPr>
                      <a:picLocks noChangeAspect="1" noChangeArrowheads="1"/>
                    </pic:cNvPicPr>
                  </pic:nvPicPr>
                  <pic:blipFill>
                    <a:blip r:embed="rId43"/>
                    <a:srcRect/>
                    <a:stretch>
                      <a:fillRect/>
                    </a:stretch>
                  </pic:blipFill>
                  <pic:spPr>
                    <a:xfrm>
                      <a:off x="0" y="0"/>
                      <a:ext cx="3679423" cy="568908"/>
                    </a:xfrm>
                    <a:prstGeom prst="rect">
                      <a:avLst/>
                    </a:prstGeom>
                    <a:noFill/>
                    <a:ln w="9525">
                      <a:noFill/>
                      <a:miter lim="800000"/>
                      <a:headEnd/>
                      <a:tailEnd/>
                    </a:ln>
                  </pic:spPr>
                </pic:pic>
              </a:graphicData>
            </a:graphic>
          </wp:inline>
        </w:drawing>
      </w:r>
    </w:p>
    <w:p w:rsidR="00644456" w:rsidRDefault="008031C4">
      <w:pPr>
        <w:pStyle w:val="1f7"/>
      </w:pPr>
      <w:r>
        <w:rPr>
          <w:rFonts w:hint="eastAsia"/>
        </w:rPr>
        <w:t>式中：</w:t>
      </w:r>
    </w:p>
    <w:p w:rsidR="00644456" w:rsidRDefault="008031C4">
      <w:pPr>
        <w:pStyle w:val="1f7"/>
      </w:pPr>
      <w:r>
        <w:t>E</w:t>
      </w:r>
      <w:r>
        <w:rPr>
          <w:rFonts w:hint="eastAsia"/>
        </w:rPr>
        <w:t>燃烧，</w:t>
      </w:r>
      <w:r>
        <w:rPr>
          <w:rFonts w:hint="eastAsia"/>
        </w:rPr>
        <w:t>i</w:t>
      </w:r>
      <w:r>
        <w:rPr>
          <w:rFonts w:hint="eastAsia"/>
        </w:rPr>
        <w:t>—核算期内单元</w:t>
      </w:r>
      <w:r>
        <w:rPr>
          <w:rFonts w:hint="eastAsia"/>
        </w:rPr>
        <w:t>i</w:t>
      </w:r>
      <w:r>
        <w:rPr>
          <w:rFonts w:hint="eastAsia"/>
        </w:rPr>
        <w:t>的燃料燃烧产生的</w:t>
      </w:r>
      <w:r>
        <w:rPr>
          <w:rFonts w:hint="eastAsia"/>
        </w:rPr>
        <w:t>CO2</w:t>
      </w:r>
      <w:r>
        <w:rPr>
          <w:rFonts w:hint="eastAsia"/>
        </w:rPr>
        <w:t>排放量，单位为吨二氧化碳当量（</w:t>
      </w:r>
      <w:r>
        <w:rPr>
          <w:rFonts w:hint="eastAsia"/>
        </w:rPr>
        <w:t>tCO2e</w:t>
      </w:r>
      <w:r>
        <w:rPr>
          <w:rFonts w:hint="eastAsia"/>
        </w:rPr>
        <w:t>）；</w:t>
      </w:r>
    </w:p>
    <w:p w:rsidR="00644456" w:rsidRDefault="008031C4">
      <w:pPr>
        <w:pStyle w:val="1f7"/>
      </w:pPr>
      <w:r>
        <w:rPr>
          <w:rFonts w:hint="eastAsia"/>
        </w:rPr>
        <w:t>ADj</w:t>
      </w:r>
      <w:r>
        <w:rPr>
          <w:rFonts w:hint="eastAsia"/>
        </w:rPr>
        <w:t>—核算期内第</w:t>
      </w:r>
      <w:r>
        <w:rPr>
          <w:rFonts w:hint="eastAsia"/>
        </w:rPr>
        <w:t>j</w:t>
      </w:r>
      <w:r>
        <w:rPr>
          <w:rFonts w:hint="eastAsia"/>
        </w:rPr>
        <w:t>种化石燃料作为燃料燃烧的消费量，对固体或液体燃料，单位为吨（</w:t>
      </w:r>
      <w:r>
        <w:rPr>
          <w:rFonts w:hint="eastAsia"/>
        </w:rPr>
        <w:t>t</w:t>
      </w:r>
      <w:r>
        <w:rPr>
          <w:rFonts w:hint="eastAsia"/>
        </w:rPr>
        <w:t>），对于气体燃料单位为万标立方米（</w:t>
      </w:r>
      <w:r>
        <w:rPr>
          <w:rFonts w:hint="eastAsia"/>
        </w:rPr>
        <w:t>104Nm</w:t>
      </w:r>
      <w:r>
        <w:rPr>
          <w:rFonts w:hint="eastAsia"/>
          <w:vertAlign w:val="superscript"/>
        </w:rPr>
        <w:t>3</w:t>
      </w:r>
      <w:r>
        <w:rPr>
          <w:rFonts w:hint="eastAsia"/>
        </w:rPr>
        <w:t>）；</w:t>
      </w:r>
    </w:p>
    <w:p w:rsidR="00644456" w:rsidRDefault="008031C4">
      <w:pPr>
        <w:pStyle w:val="1f7"/>
      </w:pPr>
      <w:r>
        <w:rPr>
          <w:rFonts w:hint="eastAsia"/>
        </w:rPr>
        <w:t>CCj</w:t>
      </w:r>
      <w:r>
        <w:rPr>
          <w:rFonts w:hint="eastAsia"/>
        </w:rPr>
        <w:t>—核算期内第</w:t>
      </w:r>
      <w:r>
        <w:rPr>
          <w:rFonts w:hint="eastAsia"/>
        </w:rPr>
        <w:t>j</w:t>
      </w:r>
      <w:r>
        <w:rPr>
          <w:rFonts w:hint="eastAsia"/>
        </w:rPr>
        <w:t>种化石燃料的含碳量，对固体或液体燃料，单位为吨碳每吨（</w:t>
      </w:r>
      <w:r>
        <w:rPr>
          <w:rFonts w:hint="eastAsia"/>
        </w:rPr>
        <w:t>tC/t</w:t>
      </w:r>
      <w:r>
        <w:rPr>
          <w:rFonts w:hint="eastAsia"/>
        </w:rPr>
        <w:t>），对于气体燃料单位为吨碳每万标立方米（</w:t>
      </w:r>
      <w:r>
        <w:rPr>
          <w:rFonts w:hint="eastAsia"/>
        </w:rPr>
        <w:t>tC/10</w:t>
      </w:r>
      <w:r>
        <w:rPr>
          <w:rFonts w:hint="eastAsia"/>
          <w:vertAlign w:val="superscript"/>
        </w:rPr>
        <w:t>4</w:t>
      </w:r>
      <w:r>
        <w:rPr>
          <w:rFonts w:hint="eastAsia"/>
        </w:rPr>
        <w:t>Nm</w:t>
      </w:r>
      <w:r>
        <w:rPr>
          <w:rFonts w:hint="eastAsia"/>
          <w:vertAlign w:val="superscript"/>
        </w:rPr>
        <w:t>3</w:t>
      </w:r>
      <w:r>
        <w:rPr>
          <w:rFonts w:hint="eastAsia"/>
        </w:rPr>
        <w:t>）；</w:t>
      </w:r>
    </w:p>
    <w:p w:rsidR="00644456" w:rsidRDefault="008031C4">
      <w:pPr>
        <w:pStyle w:val="1f7"/>
      </w:pPr>
      <w:r>
        <w:rPr>
          <w:rFonts w:hint="eastAsia"/>
        </w:rPr>
        <w:t>OFj</w:t>
      </w:r>
      <w:r>
        <w:rPr>
          <w:rFonts w:hint="eastAsia"/>
        </w:rPr>
        <w:t>—核算期内第</w:t>
      </w:r>
      <w:r>
        <w:rPr>
          <w:rFonts w:hint="eastAsia"/>
        </w:rPr>
        <w:t>j</w:t>
      </w:r>
      <w:r>
        <w:rPr>
          <w:rFonts w:hint="eastAsia"/>
        </w:rPr>
        <w:t>种化石燃料碳氧化率；</w:t>
      </w:r>
    </w:p>
    <w:p w:rsidR="00644456" w:rsidRDefault="008031C4">
      <w:pPr>
        <w:pStyle w:val="1f7"/>
      </w:pPr>
      <w:r>
        <w:rPr>
          <w:rFonts w:hint="eastAsia"/>
        </w:rPr>
        <w:lastRenderedPageBreak/>
        <w:t>GWPCO2</w:t>
      </w:r>
      <w:r>
        <w:rPr>
          <w:rFonts w:hint="eastAsia"/>
        </w:rPr>
        <w:t>—为二氧化碳全球变暖潜势，取值为</w:t>
      </w:r>
      <w:r>
        <w:rPr>
          <w:rFonts w:hint="eastAsia"/>
        </w:rPr>
        <w:t>1</w:t>
      </w:r>
      <w:r>
        <w:rPr>
          <w:rFonts w:hint="eastAsia"/>
        </w:rPr>
        <w:t>；</w:t>
      </w:r>
    </w:p>
    <w:p w:rsidR="00644456" w:rsidRDefault="008031C4">
      <w:pPr>
        <w:pStyle w:val="1f7"/>
      </w:pPr>
      <w:r>
        <w:rPr>
          <w:rFonts w:hint="eastAsia"/>
        </w:rPr>
        <w:t>44</w:t>
      </w:r>
      <w:r>
        <w:t>/</w:t>
      </w:r>
      <w:r>
        <w:rPr>
          <w:rFonts w:hint="eastAsia"/>
        </w:rPr>
        <w:t>12</w:t>
      </w:r>
      <w:r>
        <w:rPr>
          <w:rFonts w:hint="eastAsia"/>
        </w:rPr>
        <w:t>—二氧化碳与碳的相对分子质量比；</w:t>
      </w:r>
    </w:p>
    <w:p w:rsidR="00644456" w:rsidRDefault="008031C4">
      <w:pPr>
        <w:pStyle w:val="1f7"/>
      </w:pPr>
      <w:r>
        <w:rPr>
          <w:rFonts w:hint="eastAsia"/>
        </w:rPr>
        <w:t>i</w:t>
      </w:r>
      <w:r>
        <w:rPr>
          <w:rFonts w:hint="eastAsia"/>
        </w:rPr>
        <w:t>—为核算单元编号；</w:t>
      </w:r>
    </w:p>
    <w:p w:rsidR="00644456" w:rsidRDefault="008031C4">
      <w:pPr>
        <w:pStyle w:val="1f7"/>
      </w:pPr>
      <w:r>
        <w:rPr>
          <w:rFonts w:hint="eastAsia"/>
        </w:rPr>
        <w:t>j</w:t>
      </w:r>
      <w:r>
        <w:rPr>
          <w:rFonts w:hint="eastAsia"/>
        </w:rPr>
        <w:t>—为化石燃料类型代号。</w:t>
      </w:r>
    </w:p>
    <w:p w:rsidR="00644456" w:rsidRDefault="008031C4">
      <w:pPr>
        <w:pStyle w:val="1f7"/>
      </w:pPr>
      <w:r>
        <w:rPr>
          <w:rFonts w:hint="eastAsia"/>
        </w:rPr>
        <w:t>2</w:t>
      </w:r>
      <w:r>
        <w:rPr>
          <w:rFonts w:hint="eastAsia"/>
        </w:rPr>
        <w:t>）化石燃料含碳量</w:t>
      </w:r>
    </w:p>
    <w:p w:rsidR="00644456" w:rsidRDefault="008031C4">
      <w:pPr>
        <w:pStyle w:val="1f7"/>
      </w:pPr>
      <w:r>
        <w:t>CCj=NCVj×EFj</w:t>
      </w:r>
    </w:p>
    <w:p w:rsidR="00644456" w:rsidRDefault="008031C4">
      <w:pPr>
        <w:pStyle w:val="1f7"/>
      </w:pPr>
      <w:r>
        <w:rPr>
          <w:rFonts w:hint="eastAsia"/>
        </w:rPr>
        <w:t>式中：</w:t>
      </w:r>
    </w:p>
    <w:p w:rsidR="00644456" w:rsidRDefault="008031C4">
      <w:pPr>
        <w:pStyle w:val="1f7"/>
      </w:pPr>
      <w:r>
        <w:rPr>
          <w:rFonts w:hint="eastAsia"/>
        </w:rPr>
        <w:t>NCVj</w:t>
      </w:r>
      <w:r>
        <w:rPr>
          <w:rFonts w:hint="eastAsia"/>
        </w:rPr>
        <w:t>—第</w:t>
      </w:r>
      <w:r>
        <w:rPr>
          <w:rFonts w:hint="eastAsia"/>
        </w:rPr>
        <w:t>j</w:t>
      </w:r>
      <w:r>
        <w:rPr>
          <w:rFonts w:hint="eastAsia"/>
        </w:rPr>
        <w:t>种燃料的低位发热量，天然气的低位发热量为</w:t>
      </w:r>
      <w:r>
        <w:rPr>
          <w:rFonts w:hint="eastAsia"/>
        </w:rPr>
        <w:t>42.652GJ/t</w:t>
      </w:r>
      <w:r>
        <w:rPr>
          <w:rFonts w:hint="eastAsia"/>
        </w:rPr>
        <w:t>、</w:t>
      </w:r>
      <w:r>
        <w:rPr>
          <w:rFonts w:hint="eastAsia"/>
        </w:rPr>
        <w:t>389.31</w:t>
      </w:r>
      <w:r>
        <w:t>GJ/</w:t>
      </w:r>
      <w:r>
        <w:rPr>
          <w:rFonts w:hint="eastAsia"/>
        </w:rPr>
        <w:t>104Nm</w:t>
      </w:r>
      <w:r>
        <w:rPr>
          <w:rFonts w:hint="eastAsia"/>
          <w:vertAlign w:val="superscript"/>
        </w:rPr>
        <w:t>3</w:t>
      </w:r>
      <w:r>
        <w:rPr>
          <w:rFonts w:hint="eastAsia"/>
        </w:rPr>
        <w:t>；</w:t>
      </w:r>
    </w:p>
    <w:p w:rsidR="00644456" w:rsidRDefault="008031C4">
      <w:pPr>
        <w:pStyle w:val="1f7"/>
      </w:pPr>
      <w:r>
        <w:rPr>
          <w:rFonts w:hint="eastAsia"/>
        </w:rPr>
        <w:t>EFj</w:t>
      </w:r>
      <w:r>
        <w:rPr>
          <w:rFonts w:hint="eastAsia"/>
        </w:rPr>
        <w:t>—是第</w:t>
      </w:r>
      <w:r>
        <w:rPr>
          <w:rFonts w:hint="eastAsia"/>
        </w:rPr>
        <w:t>j</w:t>
      </w:r>
      <w:r>
        <w:rPr>
          <w:rFonts w:hint="eastAsia"/>
        </w:rPr>
        <w:t>种燃料的单位热值含碳量，天然气的单位热值含碳量分别为</w:t>
      </w:r>
      <w:r>
        <w:rPr>
          <w:rFonts w:hint="eastAsia"/>
        </w:rPr>
        <w:t>0.0202tC/GJ</w:t>
      </w:r>
      <w:r>
        <w:rPr>
          <w:rFonts w:hint="eastAsia"/>
        </w:rPr>
        <w:t>、</w:t>
      </w:r>
      <w:r>
        <w:t>15.3×10-3</w:t>
      </w:r>
      <w:r>
        <w:rPr>
          <w:rFonts w:hint="eastAsia"/>
        </w:rPr>
        <w:t>tC/GJ</w:t>
      </w:r>
      <w:r>
        <w:rPr>
          <w:rFonts w:hint="eastAsia"/>
        </w:rPr>
        <w:t>。</w:t>
      </w:r>
    </w:p>
    <w:p w:rsidR="00644456" w:rsidRDefault="008031C4">
      <w:pPr>
        <w:pStyle w:val="1f7"/>
      </w:pPr>
      <w:r>
        <w:rPr>
          <w:rFonts w:hint="eastAsia"/>
        </w:rPr>
        <w:t>（</w:t>
      </w:r>
      <w:r>
        <w:t>2</w:t>
      </w:r>
      <w:r>
        <w:rPr>
          <w:rFonts w:hint="eastAsia"/>
        </w:rPr>
        <w:t>）购入电力、热力产生的排放</w:t>
      </w:r>
    </w:p>
    <w:p w:rsidR="00644456" w:rsidRDefault="008031C4">
      <w:pPr>
        <w:pStyle w:val="1f7"/>
      </w:pPr>
      <w:r>
        <w:rPr>
          <w:rFonts w:hint="eastAsia"/>
        </w:rPr>
        <w:t>1</w:t>
      </w:r>
      <w:r>
        <w:rPr>
          <w:rFonts w:hint="eastAsia"/>
        </w:rPr>
        <w:t>）计算公式</w:t>
      </w:r>
    </w:p>
    <w:p w:rsidR="00644456" w:rsidRDefault="008031C4">
      <w:pPr>
        <w:pStyle w:val="1f7"/>
        <w:rPr>
          <w:rFonts w:ascii="宋体" w:hAnsi="宋体"/>
          <w:color w:val="000000" w:themeColor="text1"/>
          <w:szCs w:val="24"/>
        </w:rPr>
      </w:pPr>
      <w:r>
        <w:rPr>
          <w:noProof/>
        </w:rPr>
        <w:drawing>
          <wp:inline distT="0" distB="0" distL="0" distR="0" wp14:anchorId="7AAF5AB7" wp14:editId="34380C07">
            <wp:extent cx="1694815" cy="323215"/>
            <wp:effectExtent l="0" t="0" r="635"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1695238" cy="323810"/>
                    </a:xfrm>
                    <a:prstGeom prst="rect">
                      <a:avLst/>
                    </a:prstGeom>
                  </pic:spPr>
                </pic:pic>
              </a:graphicData>
            </a:graphic>
          </wp:inline>
        </w:drawing>
      </w:r>
    </w:p>
    <w:p w:rsidR="00644456" w:rsidRDefault="008031C4">
      <w:pPr>
        <w:pStyle w:val="1f7"/>
      </w:pPr>
      <w:r>
        <w:rPr>
          <w:rFonts w:hint="eastAsia"/>
        </w:rPr>
        <w:t>式中</w:t>
      </w:r>
    </w:p>
    <w:p w:rsidR="00644456" w:rsidRDefault="008031C4">
      <w:pPr>
        <w:pStyle w:val="1f7"/>
      </w:pPr>
      <w:r>
        <w:rPr>
          <w:rFonts w:hint="eastAsia"/>
        </w:rPr>
        <w:t>E</w:t>
      </w:r>
      <w:r>
        <w:rPr>
          <w:rFonts w:hint="eastAsia"/>
        </w:rPr>
        <w:t>—购入电力或热力所对应的生产环节二氧化碳排放量，单位为吨二氧化碳当量（</w:t>
      </w:r>
      <w:r>
        <w:rPr>
          <w:rFonts w:hint="eastAsia"/>
        </w:rPr>
        <w:t>tCO2e</w:t>
      </w:r>
      <w:r>
        <w:rPr>
          <w:rFonts w:hint="eastAsia"/>
        </w:rPr>
        <w:t>）；</w:t>
      </w:r>
    </w:p>
    <w:p w:rsidR="00644456" w:rsidRDefault="008031C4">
      <w:pPr>
        <w:pStyle w:val="1f7"/>
      </w:pPr>
      <w:r>
        <w:rPr>
          <w:rFonts w:hint="eastAsia"/>
        </w:rPr>
        <w:t>AD</w:t>
      </w:r>
      <w:r>
        <w:rPr>
          <w:rFonts w:hint="eastAsia"/>
        </w:rPr>
        <w:t>—核算和报告年度内的外购电力或热力，单位为兆瓦时（</w:t>
      </w:r>
      <w:r>
        <w:rPr>
          <w:rFonts w:hint="eastAsia"/>
        </w:rPr>
        <w:t>MWh</w:t>
      </w:r>
      <w:r>
        <w:rPr>
          <w:rFonts w:hint="eastAsia"/>
        </w:rPr>
        <w:t>）或吉焦（</w:t>
      </w:r>
      <w:r>
        <w:rPr>
          <w:rFonts w:hint="eastAsia"/>
        </w:rPr>
        <w:t>GJ</w:t>
      </w:r>
      <w:r>
        <w:rPr>
          <w:rFonts w:hint="eastAsia"/>
        </w:rPr>
        <w:t>）；</w:t>
      </w:r>
    </w:p>
    <w:p w:rsidR="00644456" w:rsidRDefault="008031C4">
      <w:pPr>
        <w:pStyle w:val="1f7"/>
      </w:pPr>
      <w:r>
        <w:rPr>
          <w:rFonts w:hint="eastAsia"/>
        </w:rPr>
        <w:t>EF</w:t>
      </w:r>
      <w:r>
        <w:rPr>
          <w:rFonts w:hint="eastAsia"/>
        </w:rPr>
        <w:t>—排放因子，单位为吨二氧化碳每兆瓦时（</w:t>
      </w:r>
      <w:r>
        <w:rPr>
          <w:rFonts w:hint="eastAsia"/>
        </w:rPr>
        <w:t>tCO2/MWh</w:t>
      </w:r>
      <w:r>
        <w:rPr>
          <w:rFonts w:hint="eastAsia"/>
        </w:rPr>
        <w:t>）或吨二氧化碳每吉焦（</w:t>
      </w:r>
      <w:r>
        <w:rPr>
          <w:rFonts w:hint="eastAsia"/>
        </w:rPr>
        <w:t>tCO</w:t>
      </w:r>
      <w:r>
        <w:rPr>
          <w:rFonts w:hint="eastAsia"/>
          <w:vertAlign w:val="subscript"/>
        </w:rPr>
        <w:t>2</w:t>
      </w:r>
      <w:r>
        <w:rPr>
          <w:rFonts w:hint="eastAsia"/>
        </w:rPr>
        <w:t>/GJ</w:t>
      </w:r>
      <w:r>
        <w:rPr>
          <w:rFonts w:hint="eastAsia"/>
        </w:rPr>
        <w:t>）；</w:t>
      </w:r>
    </w:p>
    <w:p w:rsidR="00644456" w:rsidRDefault="008031C4">
      <w:pPr>
        <w:pStyle w:val="1f7"/>
      </w:pPr>
      <w:r>
        <w:rPr>
          <w:rFonts w:hint="eastAsia"/>
        </w:rPr>
        <w:t>GWPCO</w:t>
      </w:r>
      <w:r>
        <w:rPr>
          <w:rFonts w:hint="eastAsia"/>
          <w:vertAlign w:val="subscript"/>
        </w:rPr>
        <w:t>2</w:t>
      </w:r>
      <w:r>
        <w:rPr>
          <w:rFonts w:hint="eastAsia"/>
        </w:rPr>
        <w:t>—二氧化碳全球变暖潜势，取值为</w:t>
      </w:r>
      <w:r>
        <w:rPr>
          <w:rFonts w:hint="eastAsia"/>
        </w:rPr>
        <w:t>1</w:t>
      </w:r>
      <w:r>
        <w:rPr>
          <w:rFonts w:hint="eastAsia"/>
        </w:rPr>
        <w:t>。</w:t>
      </w:r>
    </w:p>
    <w:p w:rsidR="00644456" w:rsidRDefault="008031C4">
      <w:pPr>
        <w:pStyle w:val="1f7"/>
      </w:pPr>
      <w:r>
        <w:rPr>
          <w:rFonts w:hint="eastAsia"/>
        </w:rPr>
        <w:t>生态环境部发布的《关于做好</w:t>
      </w:r>
      <w:r>
        <w:rPr>
          <w:rFonts w:hint="eastAsia"/>
        </w:rPr>
        <w:t>2023-2025</w:t>
      </w:r>
      <w:r>
        <w:rPr>
          <w:rFonts w:hint="eastAsia"/>
        </w:rPr>
        <w:t>年发电行业企业温室气体排放报告管理有关工作的通知》中，明确了</w:t>
      </w:r>
      <w:r>
        <w:rPr>
          <w:rFonts w:hint="eastAsia"/>
        </w:rPr>
        <w:t>2022</w:t>
      </w:r>
      <w:r>
        <w:rPr>
          <w:rFonts w:hint="eastAsia"/>
        </w:rPr>
        <w:t>年度全国电网平均排放因子为</w:t>
      </w:r>
      <w:r>
        <w:rPr>
          <w:rFonts w:hint="eastAsia"/>
        </w:rPr>
        <w:t>0.5703tCO</w:t>
      </w:r>
      <w:r>
        <w:rPr>
          <w:rFonts w:hint="eastAsia"/>
          <w:vertAlign w:val="subscript"/>
        </w:rPr>
        <w:t>2</w:t>
      </w:r>
      <w:r>
        <w:rPr>
          <w:rFonts w:hint="eastAsia"/>
        </w:rPr>
        <w:t>/MWh</w:t>
      </w:r>
      <w:r>
        <w:rPr>
          <w:rFonts w:hint="eastAsia"/>
        </w:rPr>
        <w:t>，热力消费的排放因子取推荐值</w:t>
      </w:r>
      <w:r>
        <w:rPr>
          <w:rFonts w:hint="eastAsia"/>
        </w:rPr>
        <w:t>0.11tCO</w:t>
      </w:r>
      <w:r>
        <w:rPr>
          <w:rFonts w:hint="eastAsia"/>
          <w:vertAlign w:val="subscript"/>
        </w:rPr>
        <w:t>2</w:t>
      </w:r>
      <w:r>
        <w:rPr>
          <w:rFonts w:hint="eastAsia"/>
        </w:rPr>
        <w:t>/GJ</w:t>
      </w:r>
      <w:r>
        <w:rPr>
          <w:rFonts w:hint="eastAsia"/>
        </w:rPr>
        <w:t>。</w:t>
      </w:r>
    </w:p>
    <w:p w:rsidR="00644456" w:rsidRDefault="008031C4">
      <w:pPr>
        <w:pStyle w:val="1f7"/>
      </w:pPr>
      <w:r>
        <w:rPr>
          <w:rFonts w:hint="eastAsia"/>
        </w:rPr>
        <w:t>（</w:t>
      </w:r>
      <w:r>
        <w:t>3</w:t>
      </w:r>
      <w:r>
        <w:rPr>
          <w:rFonts w:hint="eastAsia"/>
        </w:rPr>
        <w:t>）碳排放汇总</w:t>
      </w:r>
    </w:p>
    <w:p w:rsidR="00644456" w:rsidRDefault="008031C4">
      <w:pPr>
        <w:pStyle w:val="1f7"/>
      </w:pPr>
      <w:r>
        <w:rPr>
          <w:rFonts w:hint="eastAsia"/>
        </w:rPr>
        <w:t>温室气体排放总量计算公式为：</w:t>
      </w:r>
    </w:p>
    <w:p w:rsidR="00644456" w:rsidRDefault="008031C4">
      <w:pPr>
        <w:pStyle w:val="1f7"/>
      </w:pPr>
      <w:r>
        <w:rPr>
          <w:rFonts w:hint="eastAsia"/>
        </w:rPr>
        <w:t>E=E</w:t>
      </w:r>
      <w:r>
        <w:rPr>
          <w:rFonts w:hint="eastAsia"/>
        </w:rPr>
        <w:t>燃烧</w:t>
      </w:r>
      <w:r>
        <w:rPr>
          <w:rFonts w:hint="eastAsia"/>
        </w:rPr>
        <w:t>+E</w:t>
      </w:r>
      <w:r>
        <w:rPr>
          <w:rFonts w:hint="eastAsia"/>
        </w:rPr>
        <w:t>购入电</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2.5-17</w:t>
      </w:r>
      <w:r>
        <w:rPr>
          <w:rFonts w:cs="Times New Roman" w:hint="eastAsia"/>
          <w:b/>
          <w:color w:val="000000" w:themeColor="text1"/>
          <w:sz w:val="24"/>
          <w:szCs w:val="20"/>
        </w:rPr>
        <w:t>项目碳排放摘要表。</w:t>
      </w:r>
    </w:p>
    <w:tbl>
      <w:tblPr>
        <w:tblStyle w:val="afff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502"/>
        <w:gridCol w:w="1502"/>
        <w:gridCol w:w="1502"/>
        <w:gridCol w:w="1503"/>
        <w:gridCol w:w="1503"/>
        <w:gridCol w:w="1503"/>
      </w:tblGrid>
      <w:tr w:rsidR="00644456">
        <w:tc>
          <w:tcPr>
            <w:tcW w:w="3004" w:type="dxa"/>
            <w:gridSpan w:val="2"/>
            <w:vAlign w:val="center"/>
          </w:tcPr>
          <w:p w:rsidR="00644456" w:rsidRDefault="008031C4">
            <w:pPr>
              <w:jc w:val="center"/>
            </w:pPr>
            <w:r>
              <w:rPr>
                <w:rFonts w:hint="eastAsia"/>
              </w:rPr>
              <w:t>能源</w:t>
            </w:r>
            <w:r>
              <w:rPr>
                <w:rFonts w:hint="eastAsia"/>
              </w:rPr>
              <w:t>/</w:t>
            </w:r>
            <w:r>
              <w:rPr>
                <w:rFonts w:hint="eastAsia"/>
              </w:rPr>
              <w:t>物料品种</w:t>
            </w:r>
          </w:p>
        </w:tc>
        <w:tc>
          <w:tcPr>
            <w:tcW w:w="1502" w:type="dxa"/>
            <w:vAlign w:val="center"/>
          </w:tcPr>
          <w:p w:rsidR="00644456" w:rsidRDefault="008031C4">
            <w:pPr>
              <w:jc w:val="center"/>
            </w:pPr>
            <w:r>
              <w:rPr>
                <w:rFonts w:hint="eastAsia"/>
              </w:rPr>
              <w:t>计量单位</w:t>
            </w:r>
          </w:p>
        </w:tc>
        <w:tc>
          <w:tcPr>
            <w:tcW w:w="1503" w:type="dxa"/>
            <w:vAlign w:val="center"/>
          </w:tcPr>
          <w:p w:rsidR="00644456" w:rsidRDefault="008031C4">
            <w:pPr>
              <w:jc w:val="center"/>
            </w:pPr>
            <w:r>
              <w:rPr>
                <w:rFonts w:hint="eastAsia"/>
              </w:rPr>
              <w:t>实物量</w:t>
            </w:r>
          </w:p>
        </w:tc>
        <w:tc>
          <w:tcPr>
            <w:tcW w:w="1503" w:type="dxa"/>
            <w:vAlign w:val="center"/>
          </w:tcPr>
          <w:p w:rsidR="00644456" w:rsidRDefault="008031C4">
            <w:pPr>
              <w:jc w:val="center"/>
            </w:pPr>
            <w:r>
              <w:rPr>
                <w:rFonts w:hint="eastAsia"/>
              </w:rPr>
              <w:t>排放因子</w:t>
            </w:r>
          </w:p>
        </w:tc>
        <w:tc>
          <w:tcPr>
            <w:tcW w:w="1503" w:type="dxa"/>
            <w:vAlign w:val="center"/>
          </w:tcPr>
          <w:p w:rsidR="00644456" w:rsidRDefault="008031C4">
            <w:pPr>
              <w:jc w:val="center"/>
            </w:pPr>
            <w:r>
              <w:rPr>
                <w:rFonts w:hint="eastAsia"/>
              </w:rPr>
              <w:t>二氧化碳</w:t>
            </w:r>
          </w:p>
          <w:p w:rsidR="00644456" w:rsidRDefault="008031C4">
            <w:pPr>
              <w:jc w:val="center"/>
            </w:pPr>
            <w:r>
              <w:rPr>
                <w:rFonts w:hint="eastAsia"/>
              </w:rPr>
              <w:t>排放</w:t>
            </w:r>
          </w:p>
        </w:tc>
      </w:tr>
      <w:tr w:rsidR="00644456">
        <w:tc>
          <w:tcPr>
            <w:tcW w:w="1502" w:type="dxa"/>
            <w:vAlign w:val="center"/>
          </w:tcPr>
          <w:p w:rsidR="00644456" w:rsidRDefault="008031C4">
            <w:pPr>
              <w:jc w:val="center"/>
            </w:pPr>
            <w:r>
              <w:rPr>
                <w:rFonts w:hint="eastAsia"/>
              </w:rPr>
              <w:t>燃料燃烧</w:t>
            </w:r>
          </w:p>
        </w:tc>
        <w:tc>
          <w:tcPr>
            <w:tcW w:w="1502" w:type="dxa"/>
            <w:vAlign w:val="center"/>
          </w:tcPr>
          <w:p w:rsidR="00644456" w:rsidRDefault="008031C4">
            <w:pPr>
              <w:jc w:val="center"/>
            </w:pPr>
            <w:r>
              <w:rPr>
                <w:rFonts w:hint="eastAsia"/>
              </w:rPr>
              <w:t>天然气</w:t>
            </w:r>
          </w:p>
        </w:tc>
        <w:tc>
          <w:tcPr>
            <w:tcW w:w="1502" w:type="dxa"/>
            <w:vAlign w:val="center"/>
          </w:tcPr>
          <w:p w:rsidR="00644456" w:rsidRDefault="008031C4">
            <w:pPr>
              <w:jc w:val="center"/>
            </w:pPr>
            <w:r>
              <w:t>10</w:t>
            </w:r>
            <w:r>
              <w:rPr>
                <w:vertAlign w:val="superscript"/>
              </w:rPr>
              <w:t>4</w:t>
            </w:r>
            <w:r>
              <w:t>m</w:t>
            </w:r>
            <w:r>
              <w:rPr>
                <w:vertAlign w:val="superscript"/>
              </w:rPr>
              <w:t>3</w:t>
            </w:r>
          </w:p>
        </w:tc>
        <w:tc>
          <w:tcPr>
            <w:tcW w:w="1503" w:type="dxa"/>
            <w:vAlign w:val="center"/>
          </w:tcPr>
          <w:p w:rsidR="00644456" w:rsidRDefault="008031C4">
            <w:pPr>
              <w:jc w:val="center"/>
            </w:pPr>
            <w:r>
              <w:t>6.16</w:t>
            </w:r>
          </w:p>
        </w:tc>
        <w:tc>
          <w:tcPr>
            <w:tcW w:w="1503" w:type="dxa"/>
            <w:vAlign w:val="center"/>
          </w:tcPr>
          <w:p w:rsidR="00644456" w:rsidRDefault="008031C4">
            <w:pPr>
              <w:jc w:val="center"/>
            </w:pPr>
            <w:r>
              <w:t>15.3</w:t>
            </w:r>
            <w:r>
              <w:rPr>
                <w:rFonts w:hint="eastAsia"/>
              </w:rPr>
              <w:t>×</w:t>
            </w:r>
            <w:r>
              <w:t>10</w:t>
            </w:r>
            <w:r>
              <w:rPr>
                <w:vertAlign w:val="superscript"/>
              </w:rPr>
              <w:t>-3</w:t>
            </w:r>
          </w:p>
          <w:p w:rsidR="00644456" w:rsidRDefault="008031C4">
            <w:pPr>
              <w:jc w:val="center"/>
            </w:pPr>
            <w:r>
              <w:lastRenderedPageBreak/>
              <w:t>tCO2e/GJ</w:t>
            </w:r>
          </w:p>
        </w:tc>
        <w:tc>
          <w:tcPr>
            <w:tcW w:w="1503" w:type="dxa"/>
            <w:vAlign w:val="center"/>
          </w:tcPr>
          <w:p w:rsidR="00644456" w:rsidRDefault="008031C4">
            <w:pPr>
              <w:jc w:val="center"/>
            </w:pPr>
            <w:r>
              <w:lastRenderedPageBreak/>
              <w:t>134.45</w:t>
            </w:r>
          </w:p>
        </w:tc>
      </w:tr>
      <w:tr w:rsidR="00644456">
        <w:tc>
          <w:tcPr>
            <w:tcW w:w="1502" w:type="dxa"/>
            <w:vAlign w:val="center"/>
          </w:tcPr>
          <w:p w:rsidR="00644456" w:rsidRDefault="008031C4">
            <w:pPr>
              <w:jc w:val="center"/>
            </w:pPr>
            <w:r>
              <w:rPr>
                <w:rFonts w:hint="eastAsia"/>
              </w:rPr>
              <w:t>净调入电</w:t>
            </w:r>
          </w:p>
          <w:p w:rsidR="00644456" w:rsidRDefault="008031C4">
            <w:pPr>
              <w:jc w:val="center"/>
            </w:pPr>
            <w:r>
              <w:rPr>
                <w:rFonts w:hint="eastAsia"/>
              </w:rPr>
              <w:t>力</w:t>
            </w:r>
          </w:p>
        </w:tc>
        <w:tc>
          <w:tcPr>
            <w:tcW w:w="1502" w:type="dxa"/>
            <w:vAlign w:val="center"/>
          </w:tcPr>
          <w:p w:rsidR="00644456" w:rsidRDefault="008031C4">
            <w:pPr>
              <w:jc w:val="center"/>
            </w:pPr>
            <w:r>
              <w:rPr>
                <w:rFonts w:hint="eastAsia"/>
              </w:rPr>
              <w:t>电力</w:t>
            </w:r>
          </w:p>
        </w:tc>
        <w:tc>
          <w:tcPr>
            <w:tcW w:w="1502" w:type="dxa"/>
            <w:vAlign w:val="center"/>
          </w:tcPr>
          <w:p w:rsidR="00644456" w:rsidRDefault="008031C4">
            <w:pPr>
              <w:jc w:val="center"/>
            </w:pPr>
            <w:r>
              <w:t>10</w:t>
            </w:r>
            <w:r>
              <w:rPr>
                <w:vertAlign w:val="superscript"/>
              </w:rPr>
              <w:t>4</w:t>
            </w:r>
            <w:r>
              <w:t>kW·h</w:t>
            </w:r>
          </w:p>
        </w:tc>
        <w:tc>
          <w:tcPr>
            <w:tcW w:w="1503" w:type="dxa"/>
            <w:vAlign w:val="center"/>
          </w:tcPr>
          <w:p w:rsidR="00644456" w:rsidRDefault="008031C4">
            <w:pPr>
              <w:jc w:val="center"/>
            </w:pPr>
            <w:r>
              <w:t>4765.88</w:t>
            </w:r>
          </w:p>
        </w:tc>
        <w:tc>
          <w:tcPr>
            <w:tcW w:w="1503" w:type="dxa"/>
            <w:vAlign w:val="center"/>
          </w:tcPr>
          <w:p w:rsidR="00644456" w:rsidRDefault="008031C4">
            <w:pPr>
              <w:jc w:val="center"/>
            </w:pPr>
            <w:r>
              <w:t>0.5703</w:t>
            </w:r>
          </w:p>
          <w:p w:rsidR="00644456" w:rsidRDefault="008031C4">
            <w:pPr>
              <w:jc w:val="center"/>
            </w:pPr>
            <w:r>
              <w:t>tCO2/MWh</w:t>
            </w:r>
          </w:p>
        </w:tc>
        <w:tc>
          <w:tcPr>
            <w:tcW w:w="1503" w:type="dxa"/>
            <w:vAlign w:val="center"/>
          </w:tcPr>
          <w:p w:rsidR="00644456" w:rsidRDefault="008031C4">
            <w:pPr>
              <w:jc w:val="center"/>
            </w:pPr>
            <w:r>
              <w:t>27179.82</w:t>
            </w:r>
          </w:p>
        </w:tc>
      </w:tr>
      <w:tr w:rsidR="00644456">
        <w:tc>
          <w:tcPr>
            <w:tcW w:w="7512" w:type="dxa"/>
            <w:gridSpan w:val="5"/>
            <w:vAlign w:val="center"/>
          </w:tcPr>
          <w:p w:rsidR="00644456" w:rsidRDefault="008031C4">
            <w:pPr>
              <w:jc w:val="center"/>
            </w:pPr>
            <w:r>
              <w:rPr>
                <w:rFonts w:hint="eastAsia"/>
              </w:rPr>
              <w:t>项目碳排放总量</w:t>
            </w:r>
          </w:p>
        </w:tc>
        <w:tc>
          <w:tcPr>
            <w:tcW w:w="1503" w:type="dxa"/>
            <w:vAlign w:val="center"/>
          </w:tcPr>
          <w:p w:rsidR="00644456" w:rsidRDefault="008031C4">
            <w:pPr>
              <w:jc w:val="center"/>
            </w:pPr>
            <w:r>
              <w:t>75463.14</w:t>
            </w:r>
          </w:p>
        </w:tc>
      </w:tr>
      <w:tr w:rsidR="00644456">
        <w:tc>
          <w:tcPr>
            <w:tcW w:w="1502" w:type="dxa"/>
            <w:vAlign w:val="center"/>
          </w:tcPr>
          <w:p w:rsidR="00644456" w:rsidRDefault="008031C4">
            <w:pPr>
              <w:jc w:val="center"/>
            </w:pPr>
            <w:r>
              <w:rPr>
                <w:rFonts w:hint="eastAsia"/>
              </w:rPr>
              <w:t>指标名称</w:t>
            </w:r>
          </w:p>
        </w:tc>
        <w:tc>
          <w:tcPr>
            <w:tcW w:w="1502" w:type="dxa"/>
            <w:vAlign w:val="center"/>
          </w:tcPr>
          <w:p w:rsidR="00644456" w:rsidRDefault="008031C4">
            <w:pPr>
              <w:jc w:val="center"/>
            </w:pPr>
            <w:r>
              <w:rPr>
                <w:rFonts w:hint="eastAsia"/>
              </w:rPr>
              <w:t>单位</w:t>
            </w:r>
          </w:p>
        </w:tc>
        <w:tc>
          <w:tcPr>
            <w:tcW w:w="1502" w:type="dxa"/>
            <w:vAlign w:val="center"/>
          </w:tcPr>
          <w:p w:rsidR="00644456" w:rsidRDefault="008031C4">
            <w:pPr>
              <w:jc w:val="center"/>
            </w:pPr>
            <w:r>
              <w:rPr>
                <w:rFonts w:hint="eastAsia"/>
              </w:rPr>
              <w:t>项目指标值</w:t>
            </w:r>
          </w:p>
        </w:tc>
        <w:tc>
          <w:tcPr>
            <w:tcW w:w="1503" w:type="dxa"/>
            <w:vAlign w:val="center"/>
          </w:tcPr>
          <w:p w:rsidR="00644456" w:rsidRDefault="008031C4">
            <w:pPr>
              <w:jc w:val="center"/>
            </w:pPr>
            <w:r>
              <w:rPr>
                <w:rFonts w:hint="eastAsia"/>
              </w:rPr>
              <w:t>同类项目</w:t>
            </w:r>
          </w:p>
        </w:tc>
        <w:tc>
          <w:tcPr>
            <w:tcW w:w="1503" w:type="dxa"/>
            <w:vAlign w:val="center"/>
          </w:tcPr>
          <w:p w:rsidR="00644456" w:rsidRDefault="008031C4">
            <w:pPr>
              <w:jc w:val="center"/>
            </w:pPr>
            <w:r>
              <w:rPr>
                <w:rFonts w:hint="eastAsia"/>
              </w:rPr>
              <w:t>先进水平</w:t>
            </w:r>
          </w:p>
        </w:tc>
        <w:tc>
          <w:tcPr>
            <w:tcW w:w="1503" w:type="dxa"/>
            <w:vAlign w:val="center"/>
          </w:tcPr>
          <w:p w:rsidR="00644456" w:rsidRDefault="008031C4">
            <w:pPr>
              <w:jc w:val="center"/>
            </w:pPr>
            <w:r>
              <w:rPr>
                <w:rFonts w:hint="eastAsia"/>
              </w:rPr>
              <w:t>对比结果</w:t>
            </w:r>
          </w:p>
        </w:tc>
      </w:tr>
      <w:tr w:rsidR="00644456">
        <w:tc>
          <w:tcPr>
            <w:tcW w:w="1502" w:type="dxa"/>
            <w:vAlign w:val="center"/>
          </w:tcPr>
          <w:p w:rsidR="00644456" w:rsidRDefault="008031C4">
            <w:pPr>
              <w:jc w:val="center"/>
            </w:pPr>
            <w:r>
              <w:rPr>
                <w:rFonts w:hint="eastAsia"/>
              </w:rPr>
              <w:t>单位产品</w:t>
            </w:r>
          </w:p>
          <w:p w:rsidR="00644456" w:rsidRDefault="008031C4">
            <w:pPr>
              <w:jc w:val="center"/>
            </w:pPr>
            <w:r>
              <w:rPr>
                <w:rFonts w:hint="eastAsia"/>
              </w:rPr>
              <w:t>碳排放</w:t>
            </w:r>
          </w:p>
        </w:tc>
        <w:tc>
          <w:tcPr>
            <w:tcW w:w="1502" w:type="dxa"/>
            <w:vAlign w:val="center"/>
          </w:tcPr>
          <w:p w:rsidR="00644456" w:rsidRDefault="008031C4">
            <w:pPr>
              <w:jc w:val="center"/>
            </w:pPr>
            <w:r>
              <w:rPr>
                <w:rFonts w:hint="eastAsia"/>
              </w:rPr>
              <w:t>tCO2e/</w:t>
            </w:r>
            <w:r>
              <w:rPr>
                <w:rFonts w:hint="eastAsia"/>
              </w:rPr>
              <w:t>万米</w:t>
            </w:r>
          </w:p>
        </w:tc>
        <w:tc>
          <w:tcPr>
            <w:tcW w:w="1502" w:type="dxa"/>
            <w:vAlign w:val="center"/>
          </w:tcPr>
          <w:p w:rsidR="00644456" w:rsidRDefault="008031C4">
            <w:pPr>
              <w:jc w:val="center"/>
            </w:pPr>
            <w:r>
              <w:t>50.31</w:t>
            </w:r>
          </w:p>
        </w:tc>
        <w:tc>
          <w:tcPr>
            <w:tcW w:w="1503" w:type="dxa"/>
            <w:vAlign w:val="center"/>
          </w:tcPr>
          <w:p w:rsidR="00644456" w:rsidRDefault="008031C4">
            <w:pPr>
              <w:jc w:val="center"/>
            </w:pPr>
            <w:r>
              <w:rPr>
                <w:rFonts w:hint="eastAsia"/>
              </w:rPr>
              <w:t>/</w:t>
            </w:r>
          </w:p>
        </w:tc>
        <w:tc>
          <w:tcPr>
            <w:tcW w:w="1503" w:type="dxa"/>
            <w:vAlign w:val="center"/>
          </w:tcPr>
          <w:p w:rsidR="00644456" w:rsidRDefault="008031C4">
            <w:pPr>
              <w:jc w:val="center"/>
            </w:pPr>
            <w:r>
              <w:rPr>
                <w:rFonts w:hint="eastAsia"/>
              </w:rPr>
              <w:t>/</w:t>
            </w:r>
          </w:p>
        </w:tc>
        <w:tc>
          <w:tcPr>
            <w:tcW w:w="1503" w:type="dxa"/>
            <w:vAlign w:val="center"/>
          </w:tcPr>
          <w:p w:rsidR="00644456" w:rsidRDefault="008031C4">
            <w:pPr>
              <w:jc w:val="center"/>
            </w:pPr>
            <w:r>
              <w:rPr>
                <w:rFonts w:hint="eastAsia"/>
              </w:rPr>
              <w:t>/</w:t>
            </w:r>
          </w:p>
        </w:tc>
      </w:tr>
    </w:tbl>
    <w:p w:rsidR="00644456" w:rsidRDefault="008031C4">
      <w:pPr>
        <w:pStyle w:val="1f7"/>
      </w:pPr>
      <w:r>
        <w:rPr>
          <w:rFonts w:hint="eastAsia"/>
        </w:rPr>
        <w:t>本项目碳排放量为</w:t>
      </w:r>
      <w:r>
        <w:rPr>
          <w:rFonts w:hint="eastAsia"/>
        </w:rPr>
        <w:t>75463.14t/a</w:t>
      </w:r>
      <w:r>
        <w:rPr>
          <w:rFonts w:hint="eastAsia"/>
        </w:rPr>
        <w:t>。单位产品二氧化碳排放量为</w:t>
      </w:r>
      <w:r>
        <w:rPr>
          <w:rFonts w:hint="eastAsia"/>
        </w:rPr>
        <w:t>50.31tCO2e/</w:t>
      </w:r>
      <w:r>
        <w:rPr>
          <w:rFonts w:hint="eastAsia"/>
        </w:rPr>
        <w:t>万米，单位工业产值二氧化碳排放量为</w:t>
      </w:r>
      <w:r>
        <w:rPr>
          <w:rFonts w:hint="eastAsia"/>
        </w:rPr>
        <w:t>0.85tCO2e/</w:t>
      </w:r>
      <w:r>
        <w:rPr>
          <w:rFonts w:hint="eastAsia"/>
        </w:rPr>
        <w:t>万元，单位工业增加值二氧化碳排放量为</w:t>
      </w:r>
      <w:r>
        <w:rPr>
          <w:rFonts w:hint="eastAsia"/>
        </w:rPr>
        <w:t>1.41tCO2e/</w:t>
      </w:r>
      <w:r>
        <w:rPr>
          <w:rFonts w:hint="eastAsia"/>
        </w:rPr>
        <w:t>万元。</w:t>
      </w:r>
    </w:p>
    <w:p w:rsidR="00644456" w:rsidRDefault="008031C4">
      <w:pPr>
        <w:pStyle w:val="3"/>
        <w:numPr>
          <w:ilvl w:val="2"/>
          <w:numId w:val="0"/>
        </w:numPr>
        <w:ind w:firstLineChars="200" w:firstLine="482"/>
      </w:pPr>
      <w:r>
        <w:rPr>
          <w:rFonts w:hint="eastAsia"/>
        </w:rPr>
        <w:t>2.8.5</w:t>
      </w:r>
      <w:r>
        <w:rPr>
          <w:rFonts w:hint="eastAsia"/>
        </w:rPr>
        <w:t>碳排放评价</w:t>
      </w:r>
    </w:p>
    <w:p w:rsidR="00644456" w:rsidRDefault="008031C4">
      <w:pPr>
        <w:pStyle w:val="1f7"/>
      </w:pPr>
      <w:r>
        <w:rPr>
          <w:rFonts w:hint="eastAsia"/>
        </w:rPr>
        <w:t>目前喀什市未发布“十四五”碳排放强度下降目标值、“十四五”末考核年碳排放强度、达峰年年度碳排放总量，因此暂无法对碳排放绩效、碳排放强度考核、碳达峰进行影响评价。</w:t>
      </w:r>
    </w:p>
    <w:p w:rsidR="00644456" w:rsidRDefault="008031C4">
      <w:pPr>
        <w:pStyle w:val="3"/>
        <w:numPr>
          <w:ilvl w:val="2"/>
          <w:numId w:val="0"/>
        </w:numPr>
        <w:ind w:firstLineChars="200" w:firstLine="482"/>
      </w:pPr>
      <w:r>
        <w:rPr>
          <w:rFonts w:hint="eastAsia"/>
        </w:rPr>
        <w:t>2.8.6</w:t>
      </w:r>
      <w:r>
        <w:rPr>
          <w:rFonts w:hint="eastAsia"/>
        </w:rPr>
        <w:t>碳减排潜力分析</w:t>
      </w:r>
    </w:p>
    <w:p w:rsidR="00644456" w:rsidRDefault="008031C4">
      <w:pPr>
        <w:pStyle w:val="1f7"/>
      </w:pPr>
      <w:r>
        <w:rPr>
          <w:rFonts w:hint="eastAsia"/>
        </w:rPr>
        <w:t>（</w:t>
      </w:r>
      <w:r>
        <w:rPr>
          <w:rFonts w:hint="eastAsia"/>
        </w:rPr>
        <w:t>1</w:t>
      </w:r>
      <w:r>
        <w:rPr>
          <w:rFonts w:hint="eastAsia"/>
        </w:rPr>
        <w:t>）在生产运营过程中应主要注重节能、加强循环利用；优先选用高效节能生产设备、节能灯具、节能器具等节能新产品。</w:t>
      </w:r>
    </w:p>
    <w:p w:rsidR="00644456" w:rsidRDefault="008031C4">
      <w:pPr>
        <w:pStyle w:val="1f7"/>
      </w:pPr>
      <w:r>
        <w:rPr>
          <w:rFonts w:hint="eastAsia"/>
        </w:rPr>
        <w:t>（</w:t>
      </w:r>
      <w:r>
        <w:rPr>
          <w:rFonts w:hint="eastAsia"/>
        </w:rPr>
        <w:t>2</w:t>
      </w:r>
      <w:r>
        <w:rPr>
          <w:rFonts w:hint="eastAsia"/>
        </w:rPr>
        <w:t>）用电设备在设计选择上要注意设备之间的合理动力匹配，变压器布置在负荷中心范围内。</w:t>
      </w:r>
    </w:p>
    <w:p w:rsidR="00644456" w:rsidRDefault="008031C4">
      <w:pPr>
        <w:pStyle w:val="1f7"/>
      </w:pPr>
      <w:r>
        <w:rPr>
          <w:rFonts w:hint="eastAsia"/>
        </w:rPr>
        <w:t>（</w:t>
      </w:r>
      <w:r>
        <w:rPr>
          <w:rFonts w:hint="eastAsia"/>
        </w:rPr>
        <w:t>3</w:t>
      </w:r>
      <w:r>
        <w:rPr>
          <w:rFonts w:hint="eastAsia"/>
        </w:rPr>
        <w:t>）在能源管理方面，进一步完善公司能源管理体系；在完善日常设备能源管理和规范设备操作的基础上，加强了现场“跑、冒、滴、漏”的检查和整治力度，做好水、电、风、暖等各类能源的平衡供应。</w:t>
      </w:r>
    </w:p>
    <w:p w:rsidR="00644456" w:rsidRDefault="008031C4">
      <w:pPr>
        <w:pStyle w:val="1f7"/>
      </w:pPr>
      <w:r>
        <w:rPr>
          <w:rFonts w:hint="eastAsia"/>
        </w:rPr>
        <w:t>（</w:t>
      </w:r>
      <w:r>
        <w:rPr>
          <w:rFonts w:hint="eastAsia"/>
        </w:rPr>
        <w:t>4</w:t>
      </w:r>
      <w:r>
        <w:rPr>
          <w:rFonts w:hint="eastAsia"/>
        </w:rPr>
        <w:t>）在节约用电方面，从保持合理功率因数、降低无功损耗、精益供电方式等方面着手，精益求精，提高供电质量和平稳率；对变压器运行进行综合分析，合理调整运行方式，实现节能降耗的目的。</w:t>
      </w:r>
    </w:p>
    <w:p w:rsidR="00644456" w:rsidRDefault="008031C4">
      <w:pPr>
        <w:pStyle w:val="3"/>
        <w:numPr>
          <w:ilvl w:val="2"/>
          <w:numId w:val="0"/>
        </w:numPr>
        <w:ind w:firstLineChars="200" w:firstLine="482"/>
      </w:pPr>
      <w:r>
        <w:rPr>
          <w:rFonts w:hint="eastAsia"/>
        </w:rPr>
        <w:t>2.8.7</w:t>
      </w:r>
      <w:r>
        <w:rPr>
          <w:rFonts w:hint="eastAsia"/>
        </w:rPr>
        <w:t>碳排放评价结论与建议</w:t>
      </w:r>
    </w:p>
    <w:p w:rsidR="00644456" w:rsidRDefault="008031C4">
      <w:pPr>
        <w:pStyle w:val="1f7"/>
      </w:pPr>
      <w:r>
        <w:t>本项目以企业法人独立核算单位为边界，核算生产系统产生的温室气体排放。主要排放源为燃料燃烧排放、购入电力</w:t>
      </w:r>
      <w:r>
        <w:rPr>
          <w:rFonts w:hint="eastAsia"/>
        </w:rPr>
        <w:t>、热力，本项目碳排放量为</w:t>
      </w:r>
      <w:r>
        <w:rPr>
          <w:rFonts w:hint="eastAsia"/>
        </w:rPr>
        <w:t>75463.14t/a</w:t>
      </w:r>
      <w:r>
        <w:rPr>
          <w:rFonts w:hint="eastAsia"/>
        </w:rPr>
        <w:t>。单位产品二氧化碳排放量为</w:t>
      </w:r>
      <w:r>
        <w:rPr>
          <w:rFonts w:hint="eastAsia"/>
        </w:rPr>
        <w:t>50.31tCO</w:t>
      </w:r>
      <w:r>
        <w:rPr>
          <w:rFonts w:hint="eastAsia"/>
          <w:vertAlign w:val="subscript"/>
        </w:rPr>
        <w:t>2</w:t>
      </w:r>
      <w:r>
        <w:rPr>
          <w:rFonts w:hint="eastAsia"/>
        </w:rPr>
        <w:t>e/</w:t>
      </w:r>
      <w:r>
        <w:rPr>
          <w:rFonts w:hint="eastAsia"/>
        </w:rPr>
        <w:t>万米，单位工业产值二氧化碳排放量为</w:t>
      </w:r>
      <w:r>
        <w:rPr>
          <w:rFonts w:hint="eastAsia"/>
        </w:rPr>
        <w:t>0.85tCO</w:t>
      </w:r>
      <w:r>
        <w:rPr>
          <w:rFonts w:hint="eastAsia"/>
          <w:vertAlign w:val="subscript"/>
        </w:rPr>
        <w:t>2</w:t>
      </w:r>
      <w:r>
        <w:rPr>
          <w:rFonts w:hint="eastAsia"/>
        </w:rPr>
        <w:t>e/</w:t>
      </w:r>
      <w:r>
        <w:rPr>
          <w:rFonts w:hint="eastAsia"/>
        </w:rPr>
        <w:t>万元，单位工业增加值二氧化碳排放量为</w:t>
      </w:r>
      <w:r>
        <w:rPr>
          <w:rFonts w:hint="eastAsia"/>
        </w:rPr>
        <w:t>1.41tCO</w:t>
      </w:r>
      <w:r>
        <w:rPr>
          <w:rFonts w:hint="eastAsia"/>
          <w:vertAlign w:val="subscript"/>
        </w:rPr>
        <w:t>2</w:t>
      </w:r>
      <w:r>
        <w:rPr>
          <w:rFonts w:hint="eastAsia"/>
        </w:rPr>
        <w:t>e/</w:t>
      </w:r>
      <w:r>
        <w:rPr>
          <w:rFonts w:hint="eastAsia"/>
        </w:rPr>
        <w:t>万元</w:t>
      </w:r>
      <w:r>
        <w:t>。</w:t>
      </w:r>
    </w:p>
    <w:p w:rsidR="00644456" w:rsidRDefault="008031C4">
      <w:pPr>
        <w:pStyle w:val="1f7"/>
      </w:pPr>
      <w:r>
        <w:t>在工艺设计、设备选型、建筑材料、电气系统、节能管理等方面，本项目均采用了一系列节能措施以生产中各个环节的节能降耗</w:t>
      </w:r>
      <w:r>
        <w:rPr>
          <w:rFonts w:hint="eastAsia"/>
        </w:rPr>
        <w:t>，本项目单位能耗属于行业先进水平，所</w:t>
      </w:r>
      <w:r>
        <w:rPr>
          <w:rFonts w:hint="eastAsia"/>
        </w:rPr>
        <w:lastRenderedPageBreak/>
        <w:t>以项目碳排放强度能够达到同行业先进水平。</w:t>
      </w:r>
    </w:p>
    <w:p w:rsidR="00644456" w:rsidRDefault="008031C4">
      <w:pPr>
        <w:pStyle w:val="20"/>
        <w:numPr>
          <w:ilvl w:val="1"/>
          <w:numId w:val="0"/>
        </w:numPr>
        <w:adjustRightInd w:val="0"/>
        <w:snapToGrid w:val="0"/>
        <w:spacing w:beforeLines="0" w:before="0" w:afterLines="0" w:after="0"/>
        <w:ind w:firstLine="562"/>
        <w:rPr>
          <w:rFonts w:cs="Times New Roman"/>
          <w:color w:val="000000" w:themeColor="text1"/>
        </w:rPr>
      </w:pPr>
      <w:bookmarkStart w:id="197" w:name="_Toc155789365"/>
      <w:bookmarkStart w:id="198" w:name="_Toc177216873"/>
      <w:r>
        <w:rPr>
          <w:rFonts w:cs="Times New Roman" w:hint="eastAsia"/>
          <w:color w:val="000000" w:themeColor="text1"/>
        </w:rPr>
        <w:t>2.9</w:t>
      </w:r>
      <w:r>
        <w:rPr>
          <w:rFonts w:cs="Times New Roman" w:hint="eastAsia"/>
          <w:color w:val="000000" w:themeColor="text1"/>
        </w:rPr>
        <w:t>总量控制与</w:t>
      </w:r>
      <w:r>
        <w:rPr>
          <w:rFonts w:cs="Times New Roman"/>
          <w:color w:val="000000" w:themeColor="text1"/>
        </w:rPr>
        <w:t>项目</w:t>
      </w:r>
      <w:bookmarkEnd w:id="197"/>
      <w:r>
        <w:rPr>
          <w:rFonts w:cs="Times New Roman" w:hint="eastAsia"/>
          <w:color w:val="000000" w:themeColor="text1"/>
        </w:rPr>
        <w:t>污染物排放情况</w:t>
      </w:r>
      <w:bookmarkEnd w:id="198"/>
    </w:p>
    <w:p w:rsidR="00644456" w:rsidRDefault="008031C4">
      <w:pPr>
        <w:pStyle w:val="3"/>
        <w:numPr>
          <w:ilvl w:val="2"/>
          <w:numId w:val="0"/>
        </w:numPr>
        <w:ind w:firstLineChars="200" w:firstLine="482"/>
      </w:pPr>
      <w:r>
        <w:rPr>
          <w:rFonts w:hint="eastAsia"/>
        </w:rPr>
        <w:t>2.9.1</w:t>
      </w:r>
      <w:r>
        <w:rPr>
          <w:rFonts w:hint="eastAsia"/>
        </w:rPr>
        <w:t>总量控制</w:t>
      </w:r>
    </w:p>
    <w:p w:rsidR="00644456" w:rsidRDefault="008031C4">
      <w:pPr>
        <w:adjustRightInd w:val="0"/>
        <w:snapToGrid w:val="0"/>
        <w:spacing w:line="360" w:lineRule="auto"/>
        <w:ind w:firstLineChars="224" w:firstLine="540"/>
        <w:rPr>
          <w:rFonts w:cs="Times New Roman"/>
          <w:b/>
          <w:bCs/>
          <w:snapToGrid w:val="0"/>
          <w:color w:val="000000" w:themeColor="text1"/>
          <w:kern w:val="0"/>
          <w:sz w:val="24"/>
        </w:rPr>
      </w:pPr>
      <w:r>
        <w:rPr>
          <w:rFonts w:cs="Times New Roman" w:hint="eastAsia"/>
          <w:b/>
          <w:bCs/>
          <w:snapToGrid w:val="0"/>
          <w:color w:val="000000" w:themeColor="text1"/>
          <w:kern w:val="0"/>
          <w:sz w:val="24"/>
        </w:rPr>
        <w:t>根据国务院《关于印发大气污染防治行动计划的通知》（国发〔</w:t>
      </w:r>
      <w:r>
        <w:rPr>
          <w:rFonts w:cs="Times New Roman" w:hint="eastAsia"/>
          <w:b/>
          <w:bCs/>
          <w:snapToGrid w:val="0"/>
          <w:color w:val="000000" w:themeColor="text1"/>
          <w:kern w:val="0"/>
          <w:sz w:val="24"/>
        </w:rPr>
        <w:t>2013</w:t>
      </w:r>
      <w:r>
        <w:rPr>
          <w:rFonts w:cs="Times New Roman" w:hint="eastAsia"/>
          <w:b/>
          <w:bCs/>
          <w:snapToGrid w:val="0"/>
          <w:color w:val="000000" w:themeColor="text1"/>
          <w:kern w:val="0"/>
          <w:sz w:val="24"/>
        </w:rPr>
        <w:t>〕</w:t>
      </w:r>
      <w:r>
        <w:rPr>
          <w:rFonts w:cs="Times New Roman" w:hint="eastAsia"/>
          <w:b/>
          <w:bCs/>
          <w:snapToGrid w:val="0"/>
          <w:color w:val="000000" w:themeColor="text1"/>
          <w:kern w:val="0"/>
          <w:sz w:val="24"/>
        </w:rPr>
        <w:t>37</w:t>
      </w:r>
      <w:r>
        <w:rPr>
          <w:rFonts w:cs="Times New Roman" w:hint="eastAsia"/>
          <w:b/>
          <w:bCs/>
          <w:snapToGrid w:val="0"/>
          <w:color w:val="000000" w:themeColor="text1"/>
          <w:kern w:val="0"/>
          <w:sz w:val="24"/>
        </w:rPr>
        <w:t>号）、《关于印发水污染防治行动计划的通知》（国发〔</w:t>
      </w:r>
      <w:r>
        <w:rPr>
          <w:rFonts w:cs="Times New Roman" w:hint="eastAsia"/>
          <w:b/>
          <w:bCs/>
          <w:snapToGrid w:val="0"/>
          <w:color w:val="000000" w:themeColor="text1"/>
          <w:kern w:val="0"/>
          <w:sz w:val="24"/>
        </w:rPr>
        <w:t>2015</w:t>
      </w:r>
      <w:r>
        <w:rPr>
          <w:rFonts w:cs="Times New Roman" w:hint="eastAsia"/>
          <w:b/>
          <w:bCs/>
          <w:snapToGrid w:val="0"/>
          <w:color w:val="000000" w:themeColor="text1"/>
          <w:kern w:val="0"/>
          <w:sz w:val="24"/>
        </w:rPr>
        <w:t>〕</w:t>
      </w:r>
      <w:r>
        <w:rPr>
          <w:rFonts w:cs="Times New Roman" w:hint="eastAsia"/>
          <w:b/>
          <w:bCs/>
          <w:snapToGrid w:val="0"/>
          <w:color w:val="000000" w:themeColor="text1"/>
          <w:kern w:val="0"/>
          <w:sz w:val="24"/>
        </w:rPr>
        <w:t>17</w:t>
      </w:r>
      <w:r>
        <w:rPr>
          <w:rFonts w:cs="Times New Roman" w:hint="eastAsia"/>
          <w:b/>
          <w:bCs/>
          <w:snapToGrid w:val="0"/>
          <w:color w:val="000000" w:themeColor="text1"/>
          <w:kern w:val="0"/>
          <w:sz w:val="24"/>
        </w:rPr>
        <w:t>号）、原国家环保总局《排污许可证试点工作方案》等文件中规定的实施污染物种类与原则，为做好评价区总量控制工作，建议本项目废水和废气总量控制指标如下：</w:t>
      </w:r>
    </w:p>
    <w:p w:rsidR="00644456" w:rsidRDefault="008031C4">
      <w:pPr>
        <w:adjustRightInd w:val="0"/>
        <w:snapToGrid w:val="0"/>
        <w:spacing w:line="360" w:lineRule="auto"/>
        <w:ind w:firstLineChars="224" w:firstLine="538"/>
        <w:rPr>
          <w:rFonts w:cs="Times New Roman"/>
          <w:snapToGrid w:val="0"/>
          <w:color w:val="000000" w:themeColor="text1"/>
          <w:kern w:val="0"/>
          <w:sz w:val="24"/>
        </w:rPr>
      </w:pPr>
      <w:r>
        <w:rPr>
          <w:rFonts w:cs="Times New Roman" w:hint="eastAsia"/>
          <w:snapToGrid w:val="0"/>
          <w:color w:val="000000" w:themeColor="text1"/>
          <w:kern w:val="0"/>
          <w:sz w:val="24"/>
        </w:rPr>
        <w:t>根据工程分析，本项目污染物主要为</w:t>
      </w:r>
      <w:r>
        <w:rPr>
          <w:rFonts w:cs="Times New Roman" w:hint="eastAsia"/>
          <w:snapToGrid w:val="0"/>
          <w:color w:val="000000" w:themeColor="text1"/>
          <w:kern w:val="0"/>
          <w:sz w:val="24"/>
        </w:rPr>
        <w:t>CODcr</w:t>
      </w:r>
      <w:r>
        <w:rPr>
          <w:rFonts w:cs="Times New Roman" w:hint="eastAsia"/>
          <w:snapToGrid w:val="0"/>
          <w:color w:val="000000" w:themeColor="text1"/>
          <w:kern w:val="0"/>
          <w:sz w:val="24"/>
        </w:rPr>
        <w:t>、</w:t>
      </w:r>
      <w:r>
        <w:rPr>
          <w:rFonts w:cs="Times New Roman" w:hint="eastAsia"/>
          <w:snapToGrid w:val="0"/>
          <w:color w:val="000000" w:themeColor="text1"/>
          <w:kern w:val="0"/>
          <w:sz w:val="24"/>
        </w:rPr>
        <w:t>BOD</w:t>
      </w:r>
      <w:r>
        <w:rPr>
          <w:rFonts w:cs="Times New Roman" w:hint="eastAsia"/>
          <w:snapToGrid w:val="0"/>
          <w:color w:val="000000" w:themeColor="text1"/>
          <w:kern w:val="0"/>
          <w:sz w:val="24"/>
          <w:vertAlign w:val="subscript"/>
        </w:rPr>
        <w:t>5</w:t>
      </w:r>
      <w:r>
        <w:rPr>
          <w:rFonts w:cs="Times New Roman" w:hint="eastAsia"/>
          <w:snapToGrid w:val="0"/>
          <w:color w:val="000000" w:themeColor="text1"/>
          <w:kern w:val="0"/>
          <w:sz w:val="24"/>
        </w:rPr>
        <w:t>、</w:t>
      </w:r>
      <w:r>
        <w:rPr>
          <w:rFonts w:cs="Times New Roman" w:hint="eastAsia"/>
          <w:snapToGrid w:val="0"/>
          <w:color w:val="000000" w:themeColor="text1"/>
          <w:kern w:val="0"/>
          <w:sz w:val="24"/>
        </w:rPr>
        <w:t>NH</w:t>
      </w:r>
      <w:r>
        <w:rPr>
          <w:rFonts w:cs="Times New Roman" w:hint="eastAsia"/>
          <w:snapToGrid w:val="0"/>
          <w:color w:val="000000" w:themeColor="text1"/>
          <w:kern w:val="0"/>
          <w:sz w:val="24"/>
          <w:vertAlign w:val="subscript"/>
        </w:rPr>
        <w:t>3</w:t>
      </w:r>
      <w:r>
        <w:rPr>
          <w:rFonts w:cs="Times New Roman" w:hint="eastAsia"/>
          <w:snapToGrid w:val="0"/>
          <w:color w:val="000000" w:themeColor="text1"/>
          <w:kern w:val="0"/>
          <w:sz w:val="24"/>
        </w:rPr>
        <w:t>-N</w:t>
      </w:r>
      <w:r>
        <w:rPr>
          <w:rFonts w:cs="Times New Roman" w:hint="eastAsia"/>
          <w:snapToGrid w:val="0"/>
          <w:color w:val="000000" w:themeColor="text1"/>
          <w:kern w:val="0"/>
          <w:sz w:val="24"/>
        </w:rPr>
        <w:t>、</w:t>
      </w:r>
      <w:r>
        <w:rPr>
          <w:rFonts w:cs="Times New Roman" w:hint="eastAsia"/>
          <w:snapToGrid w:val="0"/>
          <w:color w:val="000000" w:themeColor="text1"/>
          <w:kern w:val="0"/>
          <w:sz w:val="24"/>
        </w:rPr>
        <w:t>TN</w:t>
      </w:r>
      <w:r>
        <w:rPr>
          <w:rFonts w:cs="Times New Roman" w:hint="eastAsia"/>
          <w:snapToGrid w:val="0"/>
          <w:color w:val="000000" w:themeColor="text1"/>
          <w:kern w:val="0"/>
          <w:sz w:val="24"/>
        </w:rPr>
        <w:t>、</w:t>
      </w:r>
      <w:r>
        <w:rPr>
          <w:rFonts w:cs="Times New Roman" w:hint="eastAsia"/>
          <w:snapToGrid w:val="0"/>
          <w:color w:val="000000" w:themeColor="text1"/>
          <w:kern w:val="0"/>
          <w:sz w:val="24"/>
        </w:rPr>
        <w:t>TP</w:t>
      </w:r>
      <w:r>
        <w:rPr>
          <w:rFonts w:cs="Times New Roman" w:hint="eastAsia"/>
          <w:snapToGrid w:val="0"/>
          <w:color w:val="000000" w:themeColor="text1"/>
          <w:kern w:val="0"/>
          <w:sz w:val="24"/>
        </w:rPr>
        <w:t>、</w:t>
      </w:r>
      <w:r>
        <w:rPr>
          <w:rFonts w:cs="Times New Roman" w:hint="eastAsia"/>
          <w:snapToGrid w:val="0"/>
          <w:color w:val="000000" w:themeColor="text1"/>
          <w:kern w:val="0"/>
          <w:sz w:val="24"/>
        </w:rPr>
        <w:t>SS</w:t>
      </w:r>
      <w:r>
        <w:rPr>
          <w:rFonts w:cs="Times New Roman" w:hint="eastAsia"/>
          <w:snapToGrid w:val="0"/>
          <w:color w:val="000000" w:themeColor="text1"/>
          <w:kern w:val="0"/>
          <w:sz w:val="24"/>
        </w:rPr>
        <w:t>、石油类，不存在有毒有害物质，为非持久性污染物。生产废水经收集后全部进入厂区自建的污水处理站进行统一处理，处理后满足《污水综合排放标准》（</w:t>
      </w:r>
      <w:r>
        <w:rPr>
          <w:rFonts w:cs="Times New Roman" w:hint="eastAsia"/>
          <w:snapToGrid w:val="0"/>
          <w:color w:val="000000" w:themeColor="text1"/>
          <w:kern w:val="0"/>
          <w:sz w:val="24"/>
        </w:rPr>
        <w:t>GB8978-1996</w:t>
      </w:r>
      <w:r>
        <w:rPr>
          <w:rFonts w:cs="Times New Roman" w:hint="eastAsia"/>
          <w:snapToGrid w:val="0"/>
          <w:color w:val="000000" w:themeColor="text1"/>
          <w:kern w:val="0"/>
          <w:sz w:val="24"/>
        </w:rPr>
        <w:t>）三级标准及污水处理厂的接管标准后，最终与经预处理池处理后的生活废水一同通过市政管网最终废水进入生态钢城污水处理厂处理。</w:t>
      </w:r>
    </w:p>
    <w:p w:rsidR="00644456" w:rsidRDefault="008031C4">
      <w:pPr>
        <w:adjustRightInd w:val="0"/>
        <w:snapToGrid w:val="0"/>
        <w:spacing w:line="360" w:lineRule="auto"/>
        <w:ind w:firstLineChars="224" w:firstLine="540"/>
        <w:rPr>
          <w:rFonts w:cs="Times New Roman"/>
          <w:b/>
          <w:bCs/>
          <w:snapToGrid w:val="0"/>
          <w:color w:val="000000" w:themeColor="text1"/>
          <w:kern w:val="0"/>
          <w:sz w:val="24"/>
        </w:rPr>
      </w:pPr>
      <w:r>
        <w:rPr>
          <w:rFonts w:cs="Times New Roman" w:hint="eastAsia"/>
          <w:b/>
          <w:bCs/>
          <w:snapToGrid w:val="0"/>
          <w:color w:val="000000" w:themeColor="text1"/>
          <w:kern w:val="0"/>
          <w:sz w:val="24"/>
        </w:rPr>
        <w:t>不需要设置废水总量控制指标。</w:t>
      </w:r>
    </w:p>
    <w:p w:rsidR="00644456" w:rsidRPr="00E11CE3" w:rsidRDefault="008031C4">
      <w:pPr>
        <w:adjustRightInd w:val="0"/>
        <w:snapToGrid w:val="0"/>
        <w:spacing w:line="360" w:lineRule="auto"/>
        <w:ind w:firstLineChars="224" w:firstLine="538"/>
        <w:rPr>
          <w:rFonts w:cs="Times New Roman"/>
          <w:snapToGrid w:val="0"/>
          <w:color w:val="FF0000"/>
          <w:kern w:val="0"/>
          <w:sz w:val="24"/>
        </w:rPr>
      </w:pPr>
      <w:bookmarkStart w:id="199" w:name="_Hlk155775203"/>
      <w:bookmarkStart w:id="200" w:name="_Hlk155086343"/>
      <w:r w:rsidRPr="00E11CE3">
        <w:rPr>
          <w:rFonts w:cs="Times New Roman" w:hint="eastAsia"/>
          <w:snapToGrid w:val="0"/>
          <w:color w:val="FF0000"/>
          <w:kern w:val="0"/>
          <w:sz w:val="24"/>
        </w:rPr>
        <w:t>大气建议总量控制指标见表</w:t>
      </w:r>
      <w:r w:rsidRPr="00E11CE3">
        <w:rPr>
          <w:rFonts w:cs="Times New Roman" w:hint="eastAsia"/>
          <w:snapToGrid w:val="0"/>
          <w:color w:val="FF0000"/>
          <w:kern w:val="0"/>
          <w:sz w:val="24"/>
        </w:rPr>
        <w:t>2.9-1</w:t>
      </w:r>
      <w:r w:rsidRPr="00E11CE3">
        <w:rPr>
          <w:rFonts w:cs="Times New Roman" w:hint="eastAsia"/>
          <w:snapToGrid w:val="0"/>
          <w:color w:val="FF0000"/>
          <w:kern w:val="0"/>
          <w:sz w:val="24"/>
        </w:rPr>
        <w:t>、</w:t>
      </w:r>
      <w:r w:rsidRPr="00E11CE3">
        <w:rPr>
          <w:rFonts w:cs="Times New Roman" w:hint="eastAsia"/>
          <w:snapToGrid w:val="0"/>
          <w:color w:val="FF0000"/>
          <w:kern w:val="0"/>
          <w:sz w:val="24"/>
        </w:rPr>
        <w:t>2.9-2</w:t>
      </w:r>
      <w:r w:rsidRPr="00E11CE3">
        <w:rPr>
          <w:rFonts w:cs="Times New Roman" w:hint="eastAsia"/>
          <w:snapToGrid w:val="0"/>
          <w:color w:val="FF0000"/>
          <w:kern w:val="0"/>
          <w:sz w:val="24"/>
        </w:rPr>
        <w:t>。</w:t>
      </w:r>
    </w:p>
    <w:p w:rsidR="00644456" w:rsidRPr="00E11CE3" w:rsidRDefault="008031C4">
      <w:pPr>
        <w:autoSpaceDE w:val="0"/>
        <w:autoSpaceDN w:val="0"/>
        <w:adjustRightInd w:val="0"/>
        <w:jc w:val="center"/>
        <w:rPr>
          <w:rFonts w:cs="Times New Roman"/>
          <w:b/>
          <w:color w:val="FF0000"/>
          <w:sz w:val="24"/>
          <w:szCs w:val="20"/>
        </w:rPr>
      </w:pPr>
      <w:r w:rsidRPr="00E11CE3">
        <w:rPr>
          <w:rFonts w:cs="Times New Roman" w:hint="eastAsia"/>
          <w:b/>
          <w:color w:val="FF0000"/>
          <w:sz w:val="24"/>
          <w:szCs w:val="20"/>
        </w:rPr>
        <w:t>表</w:t>
      </w:r>
      <w:r w:rsidRPr="00E11CE3">
        <w:rPr>
          <w:rFonts w:cs="Times New Roman" w:hint="eastAsia"/>
          <w:b/>
          <w:color w:val="FF0000"/>
          <w:sz w:val="24"/>
          <w:szCs w:val="20"/>
        </w:rPr>
        <w:t>2.9-1</w:t>
      </w:r>
      <w:r w:rsidRPr="00E11CE3">
        <w:rPr>
          <w:rFonts w:cs="Times New Roman" w:hint="eastAsia"/>
          <w:b/>
          <w:color w:val="FF0000"/>
          <w:sz w:val="24"/>
          <w:szCs w:val="20"/>
        </w:rPr>
        <w:t>项目大气污染物有组织总量控制建议指标（</w:t>
      </w:r>
      <w:r w:rsidRPr="00E11CE3">
        <w:rPr>
          <w:rFonts w:cs="Times New Roman" w:hint="eastAsia"/>
          <w:b/>
          <w:color w:val="FF0000"/>
          <w:sz w:val="24"/>
          <w:szCs w:val="20"/>
        </w:rPr>
        <w:t>t/a</w:t>
      </w:r>
      <w:r w:rsidRPr="00E11CE3">
        <w:rPr>
          <w:rFonts w:cs="Times New Roman" w:hint="eastAsia"/>
          <w:b/>
          <w:color w:val="FF0000"/>
          <w:sz w:val="24"/>
          <w:szCs w:val="20"/>
        </w:rPr>
        <w:t>）</w:t>
      </w:r>
    </w:p>
    <w:tbl>
      <w:tblPr>
        <w:tblW w:w="7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1615"/>
        <w:gridCol w:w="3337"/>
      </w:tblGrid>
      <w:tr w:rsidR="00644456" w:rsidRPr="00E11CE3">
        <w:trPr>
          <w:trHeight w:val="247"/>
          <w:jc w:val="center"/>
        </w:trPr>
        <w:tc>
          <w:tcPr>
            <w:tcW w:w="0" w:type="auto"/>
            <w:gridSpan w:val="2"/>
            <w:vAlign w:val="center"/>
          </w:tcPr>
          <w:p w:rsidR="00644456" w:rsidRPr="00E11CE3" w:rsidRDefault="008031C4">
            <w:pPr>
              <w:pStyle w:val="af"/>
              <w:spacing w:after="0"/>
              <w:jc w:val="center"/>
              <w:rPr>
                <w:color w:val="FF0000"/>
                <w:szCs w:val="21"/>
              </w:rPr>
            </w:pPr>
            <w:r w:rsidRPr="00E11CE3">
              <w:rPr>
                <w:rFonts w:hint="eastAsia"/>
                <w:color w:val="FF0000"/>
                <w:szCs w:val="21"/>
              </w:rPr>
              <w:t>项目</w:t>
            </w:r>
          </w:p>
        </w:tc>
        <w:tc>
          <w:tcPr>
            <w:tcW w:w="0" w:type="auto"/>
            <w:vAlign w:val="center"/>
          </w:tcPr>
          <w:p w:rsidR="00644456" w:rsidRPr="00E11CE3" w:rsidRDefault="008031C4">
            <w:pPr>
              <w:spacing w:line="240" w:lineRule="exact"/>
              <w:ind w:leftChars="-50" w:left="-105" w:rightChars="-50" w:right="-105"/>
              <w:jc w:val="center"/>
              <w:rPr>
                <w:color w:val="FF0000"/>
                <w:szCs w:val="21"/>
              </w:rPr>
            </w:pPr>
            <w:r w:rsidRPr="00E11CE3">
              <w:rPr>
                <w:rFonts w:hint="eastAsia"/>
                <w:color w:val="FF0000"/>
                <w:szCs w:val="21"/>
              </w:rPr>
              <w:t>核算年排放量（</w:t>
            </w:r>
            <w:r w:rsidRPr="00E11CE3">
              <w:rPr>
                <w:rFonts w:hint="eastAsia"/>
                <w:color w:val="FF0000"/>
                <w:szCs w:val="21"/>
              </w:rPr>
              <w:t>t/a</w:t>
            </w:r>
            <w:r w:rsidRPr="00E11CE3">
              <w:rPr>
                <w:rFonts w:hint="eastAsia"/>
                <w:color w:val="FF0000"/>
                <w:szCs w:val="21"/>
              </w:rPr>
              <w:t>）</w:t>
            </w:r>
          </w:p>
        </w:tc>
      </w:tr>
      <w:tr w:rsidR="00E11CE3" w:rsidRPr="00E11CE3" w:rsidTr="00E11CE3">
        <w:trPr>
          <w:trHeight w:val="263"/>
          <w:jc w:val="center"/>
        </w:trPr>
        <w:tc>
          <w:tcPr>
            <w:tcW w:w="2581" w:type="dxa"/>
            <w:vMerge w:val="restart"/>
            <w:vAlign w:val="center"/>
          </w:tcPr>
          <w:p w:rsidR="00644456" w:rsidRPr="00E11CE3" w:rsidRDefault="008031C4">
            <w:pPr>
              <w:pStyle w:val="af"/>
              <w:jc w:val="center"/>
              <w:rPr>
                <w:color w:val="FF0000"/>
                <w:szCs w:val="21"/>
              </w:rPr>
            </w:pPr>
            <w:r w:rsidRPr="00E11CE3">
              <w:rPr>
                <w:rFonts w:hint="eastAsia"/>
                <w:color w:val="FF0000"/>
                <w:szCs w:val="21"/>
              </w:rPr>
              <w:t>有组织</w:t>
            </w:r>
            <w:r w:rsidRPr="00E11CE3">
              <w:rPr>
                <w:color w:val="FF0000"/>
                <w:szCs w:val="21"/>
              </w:rPr>
              <w:t>排放合计</w:t>
            </w:r>
          </w:p>
        </w:tc>
        <w:tc>
          <w:tcPr>
            <w:tcW w:w="1615" w:type="dxa"/>
            <w:vAlign w:val="center"/>
          </w:tcPr>
          <w:p w:rsidR="00644456" w:rsidRPr="00E11CE3" w:rsidRDefault="008031C4">
            <w:pPr>
              <w:adjustRightInd w:val="0"/>
              <w:snapToGrid w:val="0"/>
              <w:jc w:val="center"/>
              <w:rPr>
                <w:color w:val="FF0000"/>
                <w:szCs w:val="21"/>
              </w:rPr>
            </w:pPr>
            <w:r w:rsidRPr="00E11CE3">
              <w:rPr>
                <w:rFonts w:cs="Times New Roman"/>
                <w:color w:val="FF0000"/>
                <w:szCs w:val="21"/>
                <w:lang w:bidi="ar"/>
              </w:rPr>
              <w:t>非甲烷总烃</w:t>
            </w:r>
          </w:p>
        </w:tc>
        <w:tc>
          <w:tcPr>
            <w:tcW w:w="3337" w:type="dxa"/>
            <w:vAlign w:val="center"/>
          </w:tcPr>
          <w:p w:rsidR="00644456" w:rsidRPr="00E11CE3" w:rsidRDefault="008031C4">
            <w:pPr>
              <w:adjustRightInd w:val="0"/>
              <w:snapToGrid w:val="0"/>
              <w:jc w:val="center"/>
              <w:rPr>
                <w:color w:val="FF0000"/>
                <w:szCs w:val="21"/>
              </w:rPr>
            </w:pPr>
            <w:r w:rsidRPr="00E11CE3">
              <w:rPr>
                <w:rFonts w:cs="Times New Roman"/>
                <w:color w:val="FF0000"/>
                <w:szCs w:val="21"/>
                <w:lang w:bidi="ar"/>
              </w:rPr>
              <w:t>2.475</w:t>
            </w:r>
          </w:p>
        </w:tc>
      </w:tr>
      <w:tr w:rsidR="00E11CE3" w:rsidRPr="00E11CE3" w:rsidTr="00E11CE3">
        <w:trPr>
          <w:trHeight w:val="247"/>
          <w:jc w:val="center"/>
        </w:trPr>
        <w:tc>
          <w:tcPr>
            <w:tcW w:w="2581" w:type="dxa"/>
            <w:vMerge/>
            <w:vAlign w:val="center"/>
          </w:tcPr>
          <w:p w:rsidR="00644456" w:rsidRPr="00E11CE3" w:rsidRDefault="00644456">
            <w:pPr>
              <w:pStyle w:val="af"/>
              <w:spacing w:after="0"/>
              <w:jc w:val="center"/>
              <w:rPr>
                <w:color w:val="FF0000"/>
                <w:szCs w:val="21"/>
              </w:rPr>
            </w:pPr>
          </w:p>
        </w:tc>
        <w:tc>
          <w:tcPr>
            <w:tcW w:w="1615" w:type="dxa"/>
            <w:vAlign w:val="center"/>
          </w:tcPr>
          <w:p w:rsidR="00644456" w:rsidRPr="00E11CE3" w:rsidRDefault="008031C4">
            <w:pPr>
              <w:adjustRightInd w:val="0"/>
              <w:snapToGrid w:val="0"/>
              <w:jc w:val="center"/>
              <w:rPr>
                <w:rFonts w:cs="Times New Roman"/>
                <w:color w:val="FF0000"/>
                <w:szCs w:val="21"/>
              </w:rPr>
            </w:pPr>
            <w:r w:rsidRPr="00E11CE3">
              <w:rPr>
                <w:rFonts w:cs="Times New Roman"/>
                <w:color w:val="FF0000"/>
                <w:kern w:val="0"/>
                <w:szCs w:val="21"/>
                <w:lang w:bidi="ar"/>
              </w:rPr>
              <w:t>SO</w:t>
            </w:r>
            <w:r w:rsidRPr="00E11CE3">
              <w:rPr>
                <w:rFonts w:cs="Times New Roman"/>
                <w:color w:val="FF0000"/>
                <w:kern w:val="0"/>
                <w:szCs w:val="21"/>
                <w:vertAlign w:val="subscript"/>
                <w:lang w:bidi="ar"/>
              </w:rPr>
              <w:t>2</w:t>
            </w:r>
          </w:p>
        </w:tc>
        <w:tc>
          <w:tcPr>
            <w:tcW w:w="3337" w:type="dxa"/>
            <w:vAlign w:val="center"/>
          </w:tcPr>
          <w:p w:rsidR="00644456" w:rsidRPr="00E11CE3" w:rsidRDefault="008031C4">
            <w:pPr>
              <w:adjustRightInd w:val="0"/>
              <w:snapToGrid w:val="0"/>
              <w:jc w:val="center"/>
              <w:rPr>
                <w:color w:val="FF0000"/>
                <w:szCs w:val="21"/>
              </w:rPr>
            </w:pPr>
            <w:r w:rsidRPr="00E11CE3">
              <w:rPr>
                <w:rFonts w:cs="Times New Roman" w:hint="eastAsia"/>
                <w:bCs/>
                <w:color w:val="FF0000"/>
                <w:szCs w:val="21"/>
              </w:rPr>
              <w:t>0</w:t>
            </w:r>
            <w:r w:rsidRPr="00E11CE3">
              <w:rPr>
                <w:rFonts w:cs="Times New Roman"/>
                <w:bCs/>
                <w:color w:val="FF0000"/>
                <w:szCs w:val="21"/>
              </w:rPr>
              <w:t>.021</w:t>
            </w:r>
          </w:p>
        </w:tc>
      </w:tr>
      <w:tr w:rsidR="00E11CE3" w:rsidRPr="00E11CE3" w:rsidTr="00E11CE3">
        <w:trPr>
          <w:trHeight w:val="247"/>
          <w:jc w:val="center"/>
        </w:trPr>
        <w:tc>
          <w:tcPr>
            <w:tcW w:w="2581" w:type="dxa"/>
            <w:vMerge/>
            <w:vAlign w:val="center"/>
          </w:tcPr>
          <w:p w:rsidR="00644456" w:rsidRPr="00E11CE3" w:rsidRDefault="00644456">
            <w:pPr>
              <w:pStyle w:val="af"/>
              <w:spacing w:after="0"/>
              <w:jc w:val="center"/>
              <w:rPr>
                <w:color w:val="FF0000"/>
                <w:szCs w:val="21"/>
              </w:rPr>
            </w:pPr>
          </w:p>
        </w:tc>
        <w:tc>
          <w:tcPr>
            <w:tcW w:w="1615" w:type="dxa"/>
            <w:vAlign w:val="center"/>
          </w:tcPr>
          <w:p w:rsidR="00644456" w:rsidRPr="00E11CE3" w:rsidRDefault="008031C4">
            <w:pPr>
              <w:adjustRightInd w:val="0"/>
              <w:snapToGrid w:val="0"/>
              <w:jc w:val="center"/>
              <w:rPr>
                <w:rFonts w:cs="Times New Roman"/>
                <w:color w:val="FF0000"/>
                <w:szCs w:val="21"/>
              </w:rPr>
            </w:pPr>
            <w:r w:rsidRPr="00E11CE3">
              <w:rPr>
                <w:rFonts w:cs="Times New Roman" w:hint="eastAsia"/>
                <w:color w:val="FF0000"/>
                <w:szCs w:val="21"/>
                <w:lang w:bidi="ar"/>
              </w:rPr>
              <w:t>NOx</w:t>
            </w:r>
          </w:p>
        </w:tc>
        <w:tc>
          <w:tcPr>
            <w:tcW w:w="3337" w:type="dxa"/>
            <w:vAlign w:val="center"/>
          </w:tcPr>
          <w:p w:rsidR="00644456" w:rsidRPr="00E11CE3" w:rsidRDefault="008031C4">
            <w:pPr>
              <w:adjustRightInd w:val="0"/>
              <w:snapToGrid w:val="0"/>
              <w:jc w:val="center"/>
              <w:rPr>
                <w:color w:val="FF0000"/>
                <w:szCs w:val="21"/>
              </w:rPr>
            </w:pPr>
            <w:r w:rsidRPr="00E11CE3">
              <w:rPr>
                <w:rFonts w:cs="Times New Roman" w:hint="eastAsia"/>
                <w:bCs/>
                <w:color w:val="FF0000"/>
                <w:szCs w:val="21"/>
              </w:rPr>
              <w:t>0</w:t>
            </w:r>
            <w:r w:rsidRPr="00E11CE3">
              <w:rPr>
                <w:rFonts w:cs="Times New Roman"/>
                <w:bCs/>
                <w:color w:val="FF0000"/>
                <w:szCs w:val="21"/>
              </w:rPr>
              <w:t>.809</w:t>
            </w:r>
          </w:p>
        </w:tc>
      </w:tr>
    </w:tbl>
    <w:p w:rsidR="00644456" w:rsidRPr="00E11CE3" w:rsidRDefault="008031C4">
      <w:pPr>
        <w:autoSpaceDE w:val="0"/>
        <w:autoSpaceDN w:val="0"/>
        <w:adjustRightInd w:val="0"/>
        <w:jc w:val="center"/>
        <w:rPr>
          <w:rFonts w:cs="Times New Roman"/>
          <w:b/>
          <w:color w:val="FF0000"/>
          <w:sz w:val="24"/>
          <w:szCs w:val="20"/>
        </w:rPr>
      </w:pPr>
      <w:r w:rsidRPr="00E11CE3">
        <w:rPr>
          <w:rFonts w:cs="Times New Roman" w:hint="eastAsia"/>
          <w:b/>
          <w:color w:val="FF0000"/>
          <w:sz w:val="24"/>
          <w:szCs w:val="20"/>
        </w:rPr>
        <w:t>表</w:t>
      </w:r>
      <w:r w:rsidRPr="00E11CE3">
        <w:rPr>
          <w:rFonts w:cs="Times New Roman" w:hint="eastAsia"/>
          <w:b/>
          <w:color w:val="FF0000"/>
          <w:sz w:val="24"/>
          <w:szCs w:val="20"/>
        </w:rPr>
        <w:t>2.9-2</w:t>
      </w:r>
      <w:r w:rsidRPr="00E11CE3">
        <w:rPr>
          <w:rFonts w:cs="Times New Roman" w:hint="eastAsia"/>
          <w:b/>
          <w:color w:val="FF0000"/>
          <w:sz w:val="24"/>
          <w:szCs w:val="20"/>
        </w:rPr>
        <w:t>项目大气污染物无组织总量控制建议指标（</w:t>
      </w:r>
      <w:r w:rsidRPr="00E11CE3">
        <w:rPr>
          <w:rFonts w:cs="Times New Roman" w:hint="eastAsia"/>
          <w:b/>
          <w:color w:val="FF0000"/>
          <w:sz w:val="24"/>
          <w:szCs w:val="20"/>
        </w:rPr>
        <w:t>t/a</w:t>
      </w:r>
      <w:r w:rsidRPr="00E11CE3">
        <w:rPr>
          <w:rFonts w:cs="Times New Roman" w:hint="eastAsia"/>
          <w:b/>
          <w:color w:val="FF0000"/>
          <w:sz w:val="24"/>
          <w:szCs w:val="20"/>
        </w:rPr>
        <w:t>）</w:t>
      </w:r>
    </w:p>
    <w:tbl>
      <w:tblPr>
        <w:tblW w:w="7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1381"/>
        <w:gridCol w:w="3279"/>
      </w:tblGrid>
      <w:tr w:rsidR="00644456" w:rsidRPr="00E11CE3">
        <w:trPr>
          <w:trHeight w:val="246"/>
          <w:jc w:val="center"/>
        </w:trPr>
        <w:tc>
          <w:tcPr>
            <w:tcW w:w="0" w:type="auto"/>
            <w:gridSpan w:val="2"/>
            <w:vAlign w:val="center"/>
          </w:tcPr>
          <w:p w:rsidR="00644456" w:rsidRPr="00E11CE3" w:rsidRDefault="008031C4">
            <w:pPr>
              <w:pStyle w:val="af"/>
              <w:spacing w:after="0"/>
              <w:jc w:val="center"/>
              <w:rPr>
                <w:color w:val="FF0000"/>
                <w:szCs w:val="21"/>
              </w:rPr>
            </w:pPr>
            <w:r w:rsidRPr="00E11CE3">
              <w:rPr>
                <w:rFonts w:hint="eastAsia"/>
                <w:color w:val="FF0000"/>
                <w:szCs w:val="21"/>
              </w:rPr>
              <w:t>项目</w:t>
            </w:r>
          </w:p>
        </w:tc>
        <w:tc>
          <w:tcPr>
            <w:tcW w:w="0" w:type="auto"/>
            <w:vAlign w:val="center"/>
          </w:tcPr>
          <w:p w:rsidR="00644456" w:rsidRPr="00E11CE3" w:rsidRDefault="008031C4">
            <w:pPr>
              <w:spacing w:line="240" w:lineRule="exact"/>
              <w:ind w:leftChars="-50" w:left="-105" w:rightChars="-50" w:right="-105"/>
              <w:jc w:val="center"/>
              <w:rPr>
                <w:color w:val="FF0000"/>
                <w:szCs w:val="21"/>
              </w:rPr>
            </w:pPr>
            <w:r w:rsidRPr="00E11CE3">
              <w:rPr>
                <w:rFonts w:hint="eastAsia"/>
                <w:color w:val="FF0000"/>
                <w:szCs w:val="21"/>
              </w:rPr>
              <w:t>核算年排放量（</w:t>
            </w:r>
            <w:r w:rsidRPr="00E11CE3">
              <w:rPr>
                <w:rFonts w:hint="eastAsia"/>
                <w:color w:val="FF0000"/>
                <w:szCs w:val="21"/>
              </w:rPr>
              <w:t>t/a</w:t>
            </w:r>
            <w:r w:rsidRPr="00E11CE3">
              <w:rPr>
                <w:rFonts w:hint="eastAsia"/>
                <w:color w:val="FF0000"/>
                <w:szCs w:val="21"/>
              </w:rPr>
              <w:t>）</w:t>
            </w:r>
          </w:p>
        </w:tc>
      </w:tr>
      <w:tr w:rsidR="00E11CE3" w:rsidRPr="00E11CE3">
        <w:trPr>
          <w:trHeight w:val="261"/>
          <w:jc w:val="center"/>
        </w:trPr>
        <w:tc>
          <w:tcPr>
            <w:tcW w:w="2916" w:type="dxa"/>
            <w:vAlign w:val="center"/>
          </w:tcPr>
          <w:p w:rsidR="00644456" w:rsidRPr="00E11CE3" w:rsidRDefault="008031C4">
            <w:pPr>
              <w:pStyle w:val="af"/>
              <w:jc w:val="center"/>
              <w:rPr>
                <w:color w:val="FF0000"/>
                <w:szCs w:val="21"/>
              </w:rPr>
            </w:pPr>
            <w:r w:rsidRPr="00E11CE3">
              <w:rPr>
                <w:rFonts w:hint="eastAsia"/>
                <w:color w:val="FF0000"/>
                <w:szCs w:val="21"/>
              </w:rPr>
              <w:t>无组织</w:t>
            </w:r>
            <w:r w:rsidRPr="00E11CE3">
              <w:rPr>
                <w:color w:val="FF0000"/>
                <w:szCs w:val="21"/>
              </w:rPr>
              <w:t>排放合计</w:t>
            </w:r>
          </w:p>
        </w:tc>
        <w:tc>
          <w:tcPr>
            <w:tcW w:w="1381" w:type="dxa"/>
            <w:vAlign w:val="center"/>
          </w:tcPr>
          <w:p w:rsidR="00644456" w:rsidRPr="00E11CE3" w:rsidRDefault="008031C4">
            <w:pPr>
              <w:adjustRightInd w:val="0"/>
              <w:snapToGrid w:val="0"/>
              <w:jc w:val="center"/>
              <w:rPr>
                <w:color w:val="FF0000"/>
                <w:szCs w:val="21"/>
              </w:rPr>
            </w:pPr>
            <w:r w:rsidRPr="00E11CE3">
              <w:rPr>
                <w:rFonts w:cs="Times New Roman" w:hint="eastAsia"/>
                <w:color w:val="FF0000"/>
                <w:szCs w:val="21"/>
                <w:lang w:bidi="ar"/>
              </w:rPr>
              <w:t>非甲烷总烃</w:t>
            </w:r>
          </w:p>
        </w:tc>
        <w:tc>
          <w:tcPr>
            <w:tcW w:w="0" w:type="auto"/>
            <w:vAlign w:val="center"/>
          </w:tcPr>
          <w:p w:rsidR="00644456" w:rsidRPr="00E11CE3" w:rsidRDefault="008B0FF7">
            <w:pPr>
              <w:spacing w:line="240" w:lineRule="exact"/>
              <w:ind w:leftChars="-50" w:left="-105" w:rightChars="-50" w:right="-105"/>
              <w:jc w:val="center"/>
              <w:rPr>
                <w:color w:val="FF0000"/>
                <w:szCs w:val="21"/>
              </w:rPr>
            </w:pPr>
            <w:r w:rsidRPr="008B0FF7">
              <w:rPr>
                <w:color w:val="FF0000"/>
                <w:szCs w:val="21"/>
              </w:rPr>
              <w:t>3.8538</w:t>
            </w:r>
          </w:p>
        </w:tc>
      </w:tr>
    </w:tbl>
    <w:p w:rsidR="00644456" w:rsidRPr="00E11CE3" w:rsidRDefault="008031C4">
      <w:pPr>
        <w:adjustRightInd w:val="0"/>
        <w:snapToGrid w:val="0"/>
        <w:spacing w:line="360" w:lineRule="auto"/>
        <w:ind w:firstLineChars="224" w:firstLine="538"/>
        <w:rPr>
          <w:rFonts w:cs="Times New Roman"/>
          <w:snapToGrid w:val="0"/>
          <w:color w:val="FF0000"/>
          <w:kern w:val="0"/>
          <w:sz w:val="24"/>
        </w:rPr>
      </w:pPr>
      <w:r w:rsidRPr="00E11CE3">
        <w:rPr>
          <w:rFonts w:cs="Times New Roman"/>
          <w:snapToGrid w:val="0"/>
          <w:color w:val="FF0000"/>
          <w:kern w:val="0"/>
          <w:sz w:val="24"/>
        </w:rPr>
        <w:t>全厂大气污染物总量控制指标见下表。</w:t>
      </w:r>
    </w:p>
    <w:p w:rsidR="00644456" w:rsidRPr="00E11CE3" w:rsidRDefault="008031C4">
      <w:pPr>
        <w:autoSpaceDE w:val="0"/>
        <w:autoSpaceDN w:val="0"/>
        <w:adjustRightInd w:val="0"/>
        <w:jc w:val="center"/>
        <w:rPr>
          <w:rFonts w:cs="Times New Roman"/>
          <w:b/>
          <w:color w:val="FF0000"/>
          <w:sz w:val="24"/>
          <w:szCs w:val="20"/>
        </w:rPr>
      </w:pPr>
      <w:r w:rsidRPr="00E11CE3">
        <w:rPr>
          <w:rFonts w:cs="Times New Roman" w:hint="eastAsia"/>
          <w:b/>
          <w:color w:val="FF0000"/>
          <w:sz w:val="24"/>
          <w:szCs w:val="20"/>
        </w:rPr>
        <w:t>表</w:t>
      </w:r>
      <w:r w:rsidRPr="00E11CE3">
        <w:rPr>
          <w:rFonts w:cs="Times New Roman" w:hint="eastAsia"/>
          <w:b/>
          <w:color w:val="FF0000"/>
          <w:sz w:val="24"/>
          <w:szCs w:val="20"/>
        </w:rPr>
        <w:t>2.9-3</w:t>
      </w:r>
      <w:r w:rsidRPr="00E11CE3">
        <w:rPr>
          <w:rFonts w:cs="Times New Roman" w:hint="eastAsia"/>
          <w:b/>
          <w:color w:val="FF0000"/>
          <w:sz w:val="24"/>
          <w:szCs w:val="20"/>
        </w:rPr>
        <w:t>大气污染物总量控制建议指标（</w:t>
      </w:r>
      <w:r w:rsidRPr="00E11CE3">
        <w:rPr>
          <w:rFonts w:cs="Times New Roman" w:hint="eastAsia"/>
          <w:b/>
          <w:color w:val="FF0000"/>
          <w:sz w:val="24"/>
          <w:szCs w:val="20"/>
        </w:rPr>
        <w:t>t/a</w:t>
      </w:r>
      <w:r w:rsidRPr="00E11CE3">
        <w:rPr>
          <w:rFonts w:cs="Times New Roman" w:hint="eastAsia"/>
          <w:b/>
          <w:color w:val="FF0000"/>
          <w:sz w:val="24"/>
          <w:szCs w:val="20"/>
        </w:rPr>
        <w:t>）</w:t>
      </w:r>
    </w:p>
    <w:tbl>
      <w:tblPr>
        <w:tblW w:w="4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1913"/>
        <w:gridCol w:w="2764"/>
      </w:tblGrid>
      <w:tr w:rsidR="00E11CE3" w:rsidRPr="00E11CE3" w:rsidTr="00E11CE3">
        <w:trPr>
          <w:trHeight w:val="499"/>
          <w:jc w:val="center"/>
        </w:trPr>
        <w:tc>
          <w:tcPr>
            <w:tcW w:w="3173" w:type="pct"/>
            <w:gridSpan w:val="2"/>
            <w:vAlign w:val="center"/>
          </w:tcPr>
          <w:p w:rsidR="00644456" w:rsidRPr="00E11CE3" w:rsidRDefault="008031C4">
            <w:pPr>
              <w:widowControl/>
              <w:jc w:val="center"/>
              <w:textAlignment w:val="center"/>
              <w:rPr>
                <w:color w:val="FF0000"/>
                <w:szCs w:val="21"/>
              </w:rPr>
            </w:pPr>
            <w:r w:rsidRPr="00E11CE3">
              <w:rPr>
                <w:color w:val="FF0000"/>
                <w:szCs w:val="21"/>
              </w:rPr>
              <w:t>总量控制的污染物名称</w:t>
            </w:r>
          </w:p>
        </w:tc>
        <w:tc>
          <w:tcPr>
            <w:tcW w:w="1827" w:type="pct"/>
            <w:vAlign w:val="center"/>
          </w:tcPr>
          <w:p w:rsidR="00644456" w:rsidRPr="00E11CE3" w:rsidRDefault="008031C4">
            <w:pPr>
              <w:widowControl/>
              <w:jc w:val="center"/>
              <w:textAlignment w:val="center"/>
              <w:rPr>
                <w:color w:val="FF0000"/>
                <w:szCs w:val="21"/>
              </w:rPr>
            </w:pPr>
            <w:r w:rsidRPr="00E11CE3">
              <w:rPr>
                <w:rFonts w:hint="eastAsia"/>
                <w:color w:val="FF0000"/>
                <w:szCs w:val="21"/>
              </w:rPr>
              <w:t>核算</w:t>
            </w:r>
            <w:r w:rsidRPr="00E11CE3">
              <w:rPr>
                <w:color w:val="FF0000"/>
                <w:szCs w:val="21"/>
              </w:rPr>
              <w:t>控制指标</w:t>
            </w:r>
          </w:p>
          <w:p w:rsidR="00644456" w:rsidRPr="00E11CE3" w:rsidRDefault="00644456">
            <w:pPr>
              <w:widowControl/>
              <w:jc w:val="center"/>
              <w:textAlignment w:val="center"/>
              <w:rPr>
                <w:color w:val="FF0000"/>
                <w:szCs w:val="21"/>
              </w:rPr>
            </w:pPr>
          </w:p>
        </w:tc>
      </w:tr>
      <w:tr w:rsidR="00E11CE3" w:rsidRPr="00E11CE3" w:rsidTr="00E11CE3">
        <w:trPr>
          <w:trHeight w:val="265"/>
          <w:jc w:val="center"/>
        </w:trPr>
        <w:tc>
          <w:tcPr>
            <w:tcW w:w="1908" w:type="pct"/>
            <w:vMerge w:val="restart"/>
            <w:vAlign w:val="center"/>
          </w:tcPr>
          <w:p w:rsidR="00644456" w:rsidRPr="00E11CE3" w:rsidRDefault="008031C4">
            <w:pPr>
              <w:widowControl/>
              <w:jc w:val="center"/>
              <w:textAlignment w:val="center"/>
              <w:rPr>
                <w:color w:val="FF0000"/>
                <w:szCs w:val="21"/>
              </w:rPr>
            </w:pPr>
            <w:r w:rsidRPr="00E11CE3">
              <w:rPr>
                <w:color w:val="FF0000"/>
                <w:szCs w:val="21"/>
              </w:rPr>
              <w:t>大气污染物</w:t>
            </w:r>
          </w:p>
        </w:tc>
        <w:tc>
          <w:tcPr>
            <w:tcW w:w="1265" w:type="pct"/>
            <w:vAlign w:val="center"/>
          </w:tcPr>
          <w:p w:rsidR="00644456" w:rsidRPr="00E11CE3" w:rsidRDefault="008031C4">
            <w:pPr>
              <w:adjustRightInd w:val="0"/>
              <w:snapToGrid w:val="0"/>
              <w:jc w:val="center"/>
              <w:rPr>
                <w:color w:val="FF0000"/>
                <w:szCs w:val="21"/>
              </w:rPr>
            </w:pPr>
            <w:r w:rsidRPr="00E11CE3">
              <w:rPr>
                <w:rFonts w:cs="Times New Roman"/>
                <w:color w:val="FF0000"/>
                <w:szCs w:val="21"/>
                <w:lang w:bidi="ar"/>
              </w:rPr>
              <w:t>非甲烷总烃</w:t>
            </w:r>
          </w:p>
        </w:tc>
        <w:tc>
          <w:tcPr>
            <w:tcW w:w="1827" w:type="pct"/>
            <w:vAlign w:val="center"/>
          </w:tcPr>
          <w:p w:rsidR="00644456" w:rsidRPr="00E11CE3" w:rsidRDefault="008B0FF7">
            <w:pPr>
              <w:widowControl/>
              <w:jc w:val="center"/>
              <w:textAlignment w:val="center"/>
              <w:rPr>
                <w:color w:val="FF0000"/>
                <w:szCs w:val="21"/>
              </w:rPr>
            </w:pPr>
            <w:r w:rsidRPr="008B0FF7">
              <w:rPr>
                <w:color w:val="FF0000"/>
                <w:kern w:val="0"/>
                <w:szCs w:val="21"/>
                <w:u w:val="single"/>
              </w:rPr>
              <w:t>6.3288</w:t>
            </w:r>
          </w:p>
        </w:tc>
      </w:tr>
      <w:tr w:rsidR="00E11CE3" w:rsidRPr="00E11CE3" w:rsidTr="00E11CE3">
        <w:trPr>
          <w:trHeight w:val="269"/>
          <w:jc w:val="center"/>
        </w:trPr>
        <w:tc>
          <w:tcPr>
            <w:tcW w:w="1908" w:type="pct"/>
            <w:vMerge/>
            <w:vAlign w:val="center"/>
          </w:tcPr>
          <w:p w:rsidR="00644456" w:rsidRPr="00E11CE3" w:rsidRDefault="00644456">
            <w:pPr>
              <w:widowControl/>
              <w:jc w:val="center"/>
              <w:textAlignment w:val="center"/>
              <w:rPr>
                <w:color w:val="FF0000"/>
                <w:szCs w:val="21"/>
              </w:rPr>
            </w:pPr>
          </w:p>
        </w:tc>
        <w:tc>
          <w:tcPr>
            <w:tcW w:w="1265" w:type="pct"/>
            <w:vAlign w:val="center"/>
          </w:tcPr>
          <w:p w:rsidR="00644456" w:rsidRPr="00E11CE3" w:rsidRDefault="008031C4">
            <w:pPr>
              <w:adjustRightInd w:val="0"/>
              <w:snapToGrid w:val="0"/>
              <w:jc w:val="center"/>
              <w:rPr>
                <w:rFonts w:cs="Times New Roman"/>
                <w:color w:val="FF0000"/>
                <w:szCs w:val="21"/>
              </w:rPr>
            </w:pPr>
            <w:r w:rsidRPr="00E11CE3">
              <w:rPr>
                <w:rFonts w:cs="Times New Roman"/>
                <w:color w:val="FF0000"/>
                <w:kern w:val="0"/>
                <w:szCs w:val="21"/>
                <w:lang w:bidi="ar"/>
              </w:rPr>
              <w:t>SO</w:t>
            </w:r>
            <w:r w:rsidRPr="00E11CE3">
              <w:rPr>
                <w:rFonts w:cs="Times New Roman"/>
                <w:color w:val="FF0000"/>
                <w:kern w:val="0"/>
                <w:szCs w:val="21"/>
                <w:vertAlign w:val="subscript"/>
                <w:lang w:bidi="ar"/>
              </w:rPr>
              <w:t>2</w:t>
            </w:r>
          </w:p>
        </w:tc>
        <w:tc>
          <w:tcPr>
            <w:tcW w:w="1827" w:type="pct"/>
            <w:vAlign w:val="center"/>
          </w:tcPr>
          <w:p w:rsidR="00644456" w:rsidRPr="00E11CE3" w:rsidRDefault="008031C4">
            <w:pPr>
              <w:adjustRightInd w:val="0"/>
              <w:snapToGrid w:val="0"/>
              <w:jc w:val="center"/>
              <w:rPr>
                <w:color w:val="FF0000"/>
                <w:szCs w:val="21"/>
              </w:rPr>
            </w:pPr>
            <w:r w:rsidRPr="00E11CE3">
              <w:rPr>
                <w:rFonts w:cs="Times New Roman" w:hint="eastAsia"/>
                <w:bCs/>
                <w:color w:val="FF0000"/>
                <w:szCs w:val="21"/>
              </w:rPr>
              <w:t>0</w:t>
            </w:r>
            <w:r w:rsidRPr="00E11CE3">
              <w:rPr>
                <w:rFonts w:cs="Times New Roman"/>
                <w:bCs/>
                <w:color w:val="FF0000"/>
                <w:szCs w:val="21"/>
              </w:rPr>
              <w:t>.021</w:t>
            </w:r>
          </w:p>
        </w:tc>
      </w:tr>
      <w:tr w:rsidR="00E11CE3" w:rsidRPr="00E11CE3" w:rsidTr="00E11CE3">
        <w:trPr>
          <w:trHeight w:val="269"/>
          <w:jc w:val="center"/>
        </w:trPr>
        <w:tc>
          <w:tcPr>
            <w:tcW w:w="1908" w:type="pct"/>
            <w:vMerge/>
            <w:vAlign w:val="center"/>
          </w:tcPr>
          <w:p w:rsidR="00644456" w:rsidRPr="00E11CE3" w:rsidRDefault="00644456">
            <w:pPr>
              <w:widowControl/>
              <w:jc w:val="center"/>
              <w:textAlignment w:val="center"/>
              <w:rPr>
                <w:color w:val="FF0000"/>
                <w:szCs w:val="21"/>
              </w:rPr>
            </w:pPr>
          </w:p>
        </w:tc>
        <w:tc>
          <w:tcPr>
            <w:tcW w:w="1265" w:type="pct"/>
            <w:vAlign w:val="center"/>
          </w:tcPr>
          <w:p w:rsidR="00644456" w:rsidRPr="00E11CE3" w:rsidRDefault="008031C4">
            <w:pPr>
              <w:adjustRightInd w:val="0"/>
              <w:snapToGrid w:val="0"/>
              <w:jc w:val="center"/>
              <w:rPr>
                <w:rFonts w:cs="Times New Roman"/>
                <w:color w:val="FF0000"/>
                <w:szCs w:val="21"/>
              </w:rPr>
            </w:pPr>
            <w:r w:rsidRPr="00E11CE3">
              <w:rPr>
                <w:rFonts w:cs="Times New Roman" w:hint="eastAsia"/>
                <w:color w:val="FF0000"/>
                <w:szCs w:val="21"/>
                <w:lang w:bidi="ar"/>
              </w:rPr>
              <w:t>NOx</w:t>
            </w:r>
          </w:p>
        </w:tc>
        <w:tc>
          <w:tcPr>
            <w:tcW w:w="1827" w:type="pct"/>
            <w:vAlign w:val="center"/>
          </w:tcPr>
          <w:p w:rsidR="00644456" w:rsidRPr="00E11CE3" w:rsidRDefault="008031C4">
            <w:pPr>
              <w:adjustRightInd w:val="0"/>
              <w:snapToGrid w:val="0"/>
              <w:jc w:val="center"/>
              <w:rPr>
                <w:color w:val="FF0000"/>
                <w:szCs w:val="21"/>
              </w:rPr>
            </w:pPr>
            <w:r w:rsidRPr="00E11CE3">
              <w:rPr>
                <w:rFonts w:cs="Times New Roman" w:hint="eastAsia"/>
                <w:bCs/>
                <w:color w:val="FF0000"/>
                <w:szCs w:val="21"/>
              </w:rPr>
              <w:t>0</w:t>
            </w:r>
            <w:r w:rsidRPr="00E11CE3">
              <w:rPr>
                <w:rFonts w:cs="Times New Roman"/>
                <w:bCs/>
                <w:color w:val="FF0000"/>
                <w:szCs w:val="21"/>
              </w:rPr>
              <w:t>.809</w:t>
            </w:r>
          </w:p>
        </w:tc>
      </w:tr>
    </w:tbl>
    <w:bookmarkEnd w:id="199"/>
    <w:p w:rsidR="00644456" w:rsidRDefault="008031C4">
      <w:pPr>
        <w:pStyle w:val="3"/>
        <w:numPr>
          <w:ilvl w:val="2"/>
          <w:numId w:val="0"/>
        </w:numPr>
        <w:ind w:firstLineChars="200" w:firstLine="482"/>
      </w:pPr>
      <w:r>
        <w:rPr>
          <w:rFonts w:hint="eastAsia"/>
        </w:rPr>
        <w:t>2.9.2</w:t>
      </w:r>
      <w:r>
        <w:rPr>
          <w:rFonts w:hint="eastAsia"/>
        </w:rPr>
        <w:t>总污染排放统计</w:t>
      </w:r>
    </w:p>
    <w:p w:rsidR="00644456" w:rsidRDefault="008031C4">
      <w:pPr>
        <w:pStyle w:val="1f7"/>
      </w:pPr>
      <w:bookmarkStart w:id="201" w:name="_Toc7756"/>
      <w:bookmarkStart w:id="202" w:name="_Toc436191256"/>
      <w:bookmarkStart w:id="203" w:name="_Toc453129271"/>
      <w:bookmarkStart w:id="204" w:name="_Toc424983438"/>
      <w:bookmarkStart w:id="205" w:name="_Toc424995967"/>
      <w:bookmarkStart w:id="206" w:name="_Toc422563417"/>
      <w:bookmarkStart w:id="207" w:name="_Toc484402649"/>
      <w:bookmarkStart w:id="208" w:name="_Toc436130159"/>
      <w:bookmarkStart w:id="209" w:name="_Toc453167168"/>
      <w:bookmarkStart w:id="210" w:name="_Toc422562153"/>
      <w:bookmarkStart w:id="211" w:name="_Toc483622996"/>
      <w:bookmarkEnd w:id="188"/>
      <w:bookmarkEnd w:id="189"/>
      <w:bookmarkEnd w:id="190"/>
      <w:bookmarkEnd w:id="193"/>
      <w:bookmarkEnd w:id="200"/>
      <w:r>
        <w:rPr>
          <w:rFonts w:hint="eastAsia"/>
        </w:rPr>
        <w:t>本项目排放污染物统计：</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2.9-4</w:t>
      </w:r>
      <w:r>
        <w:rPr>
          <w:rFonts w:cs="Times New Roman" w:hint="eastAsia"/>
          <w:b/>
          <w:color w:val="000000" w:themeColor="text1"/>
          <w:sz w:val="24"/>
          <w:szCs w:val="20"/>
        </w:rPr>
        <w:t>工程“三废”排放量统计表</w:t>
      </w:r>
    </w:p>
    <w:tbl>
      <w:tblPr>
        <w:tblW w:w="53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
        <w:gridCol w:w="1305"/>
        <w:gridCol w:w="1597"/>
        <w:gridCol w:w="1305"/>
        <w:gridCol w:w="2890"/>
        <w:gridCol w:w="1250"/>
        <w:gridCol w:w="1086"/>
      </w:tblGrid>
      <w:tr w:rsidR="00E11CE3" w:rsidRPr="00E11CE3" w:rsidTr="00E11CE3">
        <w:trPr>
          <w:jc w:val="center"/>
        </w:trPr>
        <w:tc>
          <w:tcPr>
            <w:tcW w:w="222" w:type="pct"/>
            <w:vAlign w:val="center"/>
          </w:tcPr>
          <w:p w:rsidR="00644456" w:rsidRPr="00E11CE3" w:rsidRDefault="008031C4">
            <w:pPr>
              <w:adjustRightInd w:val="0"/>
              <w:snapToGrid w:val="0"/>
              <w:jc w:val="center"/>
              <w:rPr>
                <w:color w:val="FF0000"/>
                <w:szCs w:val="21"/>
              </w:rPr>
            </w:pPr>
            <w:bookmarkStart w:id="212" w:name="_Hlk153965029"/>
            <w:r w:rsidRPr="00E11CE3">
              <w:rPr>
                <w:rFonts w:hint="eastAsia"/>
                <w:color w:val="FF0000"/>
                <w:szCs w:val="21"/>
              </w:rPr>
              <w:t>种类</w:t>
            </w:r>
          </w:p>
        </w:tc>
        <w:tc>
          <w:tcPr>
            <w:tcW w:w="1470" w:type="pct"/>
            <w:gridSpan w:val="2"/>
            <w:vAlign w:val="center"/>
          </w:tcPr>
          <w:p w:rsidR="00644456" w:rsidRPr="00E11CE3" w:rsidRDefault="008031C4">
            <w:pPr>
              <w:adjustRightInd w:val="0"/>
              <w:snapToGrid w:val="0"/>
              <w:jc w:val="center"/>
              <w:rPr>
                <w:color w:val="FF0000"/>
                <w:szCs w:val="21"/>
              </w:rPr>
            </w:pPr>
            <w:r w:rsidRPr="00E11CE3">
              <w:rPr>
                <w:rFonts w:hint="eastAsia"/>
                <w:color w:val="FF0000"/>
                <w:szCs w:val="21"/>
              </w:rPr>
              <w:t>产污</w:t>
            </w:r>
          </w:p>
          <w:p w:rsidR="00644456" w:rsidRPr="00E11CE3" w:rsidRDefault="008031C4">
            <w:pPr>
              <w:adjustRightInd w:val="0"/>
              <w:snapToGrid w:val="0"/>
              <w:jc w:val="center"/>
              <w:rPr>
                <w:color w:val="FF0000"/>
                <w:szCs w:val="21"/>
              </w:rPr>
            </w:pPr>
            <w:r w:rsidRPr="00E11CE3">
              <w:rPr>
                <w:rFonts w:hint="eastAsia"/>
                <w:color w:val="FF0000"/>
                <w:szCs w:val="21"/>
              </w:rPr>
              <w:t>源点</w:t>
            </w:r>
          </w:p>
        </w:tc>
        <w:tc>
          <w:tcPr>
            <w:tcW w:w="661"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产生量</w:t>
            </w:r>
          </w:p>
        </w:tc>
        <w:tc>
          <w:tcPr>
            <w:tcW w:w="1464"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治理措施</w:t>
            </w:r>
          </w:p>
        </w:tc>
        <w:tc>
          <w:tcPr>
            <w:tcW w:w="633"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排放量</w:t>
            </w:r>
          </w:p>
        </w:tc>
        <w:tc>
          <w:tcPr>
            <w:tcW w:w="550"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处理效率及排放去向</w:t>
            </w:r>
          </w:p>
        </w:tc>
      </w:tr>
      <w:tr w:rsidR="00E11CE3" w:rsidRPr="00E11CE3" w:rsidTr="00E11CE3">
        <w:trPr>
          <w:jc w:val="center"/>
        </w:trPr>
        <w:tc>
          <w:tcPr>
            <w:tcW w:w="222" w:type="pct"/>
            <w:vMerge w:val="restart"/>
            <w:vAlign w:val="center"/>
          </w:tcPr>
          <w:p w:rsidR="00644456" w:rsidRPr="00E11CE3" w:rsidRDefault="008031C4">
            <w:pPr>
              <w:pStyle w:val="38"/>
            </w:pPr>
            <w:r w:rsidRPr="00E11CE3">
              <w:rPr>
                <w:rFonts w:hint="eastAsia"/>
              </w:rPr>
              <w:t>废气</w:t>
            </w:r>
          </w:p>
        </w:tc>
        <w:tc>
          <w:tcPr>
            <w:tcW w:w="661" w:type="pct"/>
            <w:vMerge w:val="restart"/>
            <w:vAlign w:val="center"/>
          </w:tcPr>
          <w:p w:rsidR="00644456" w:rsidRPr="00E11CE3" w:rsidRDefault="008031C4">
            <w:pPr>
              <w:pStyle w:val="38"/>
            </w:pPr>
            <w:r w:rsidRPr="00E11CE3">
              <w:rPr>
                <w:rFonts w:hint="eastAsia"/>
              </w:rPr>
              <w:t>工艺不凝气</w:t>
            </w:r>
          </w:p>
        </w:tc>
        <w:tc>
          <w:tcPr>
            <w:tcW w:w="809" w:type="pct"/>
          </w:tcPr>
          <w:p w:rsidR="00644456" w:rsidRPr="00E11CE3" w:rsidRDefault="008031C4">
            <w:pPr>
              <w:pStyle w:val="38"/>
            </w:pPr>
            <w:r w:rsidRPr="00E11CE3">
              <w:t>非甲烷总烃</w:t>
            </w:r>
          </w:p>
        </w:tc>
        <w:tc>
          <w:tcPr>
            <w:tcW w:w="661" w:type="pct"/>
            <w:vAlign w:val="center"/>
          </w:tcPr>
          <w:p w:rsidR="00644456" w:rsidRPr="00E11CE3" w:rsidRDefault="008031C4">
            <w:pPr>
              <w:pStyle w:val="38"/>
            </w:pPr>
            <w:r w:rsidRPr="00E11CE3">
              <w:t>8.250</w:t>
            </w:r>
          </w:p>
        </w:tc>
        <w:tc>
          <w:tcPr>
            <w:tcW w:w="1464" w:type="pct"/>
            <w:vMerge w:val="restart"/>
            <w:vAlign w:val="center"/>
          </w:tcPr>
          <w:p w:rsidR="00644456" w:rsidRPr="00E11CE3" w:rsidRDefault="008031C4">
            <w:pPr>
              <w:pStyle w:val="38"/>
            </w:pPr>
            <w:r w:rsidRPr="00E11CE3">
              <w:rPr>
                <w:rFonts w:hint="eastAsia"/>
              </w:rPr>
              <w:t>碱液喷淋</w:t>
            </w:r>
            <w:r w:rsidRPr="00E11CE3">
              <w:rPr>
                <w:rFonts w:hint="eastAsia"/>
              </w:rPr>
              <w:t>+</w:t>
            </w:r>
            <w:r w:rsidRPr="00E11CE3">
              <w:rPr>
                <w:rFonts w:hint="eastAsia"/>
              </w:rPr>
              <w:t>干式过滤</w:t>
            </w:r>
            <w:r w:rsidRPr="00E11CE3">
              <w:rPr>
                <w:rFonts w:hint="eastAsia"/>
              </w:rPr>
              <w:t>+</w:t>
            </w:r>
            <w:r w:rsidRPr="00E11CE3">
              <w:rPr>
                <w:rFonts w:hint="eastAsia"/>
              </w:rPr>
              <w:t>高温氧化</w:t>
            </w:r>
            <w:r w:rsidRPr="00E11CE3">
              <w:rPr>
                <w:rFonts w:hint="eastAsia"/>
              </w:rPr>
              <w:t>+</w:t>
            </w:r>
            <w:r w:rsidRPr="00E11CE3">
              <w:t>15m</w:t>
            </w:r>
            <w:r w:rsidRPr="00E11CE3">
              <w:rPr>
                <w:rFonts w:hint="eastAsia"/>
              </w:rPr>
              <w:t>排气筒</w:t>
            </w:r>
          </w:p>
        </w:tc>
        <w:tc>
          <w:tcPr>
            <w:tcW w:w="633" w:type="pct"/>
            <w:vAlign w:val="center"/>
          </w:tcPr>
          <w:p w:rsidR="00644456" w:rsidRPr="00E11CE3" w:rsidRDefault="008031C4">
            <w:pPr>
              <w:pStyle w:val="38"/>
            </w:pPr>
            <w:r w:rsidRPr="00E11CE3">
              <w:t>2.475</w:t>
            </w:r>
          </w:p>
        </w:tc>
        <w:tc>
          <w:tcPr>
            <w:tcW w:w="550" w:type="pct"/>
            <w:vMerge w:val="restart"/>
            <w:vAlign w:val="center"/>
          </w:tcPr>
          <w:p w:rsidR="00644456" w:rsidRPr="00E11CE3" w:rsidRDefault="008031C4">
            <w:pPr>
              <w:pStyle w:val="38"/>
            </w:pPr>
            <w:r w:rsidRPr="00E11CE3">
              <w:rPr>
                <w:rFonts w:hint="eastAsia"/>
              </w:rPr>
              <w:t>大气</w:t>
            </w:r>
          </w:p>
          <w:p w:rsidR="00644456" w:rsidRPr="00E11CE3" w:rsidRDefault="008031C4">
            <w:pPr>
              <w:pStyle w:val="38"/>
            </w:pPr>
            <w:r w:rsidRPr="00E11CE3">
              <w:rPr>
                <w:rFonts w:hint="eastAsia"/>
              </w:rPr>
              <w:t>环境</w:t>
            </w:r>
          </w:p>
        </w:tc>
      </w:tr>
      <w:tr w:rsidR="00E11CE3" w:rsidRPr="00E11CE3" w:rsidTr="00E11CE3">
        <w:trPr>
          <w:jc w:val="center"/>
        </w:trPr>
        <w:tc>
          <w:tcPr>
            <w:tcW w:w="222" w:type="pct"/>
            <w:vMerge/>
            <w:vAlign w:val="center"/>
          </w:tcPr>
          <w:p w:rsidR="00644456" w:rsidRPr="00E11CE3" w:rsidRDefault="00644456">
            <w:pPr>
              <w:pStyle w:val="38"/>
            </w:pPr>
          </w:p>
        </w:tc>
        <w:tc>
          <w:tcPr>
            <w:tcW w:w="661" w:type="pct"/>
            <w:vMerge/>
            <w:vAlign w:val="center"/>
          </w:tcPr>
          <w:p w:rsidR="00644456" w:rsidRPr="00E11CE3" w:rsidRDefault="00644456">
            <w:pPr>
              <w:pStyle w:val="38"/>
            </w:pPr>
          </w:p>
        </w:tc>
        <w:tc>
          <w:tcPr>
            <w:tcW w:w="809" w:type="pct"/>
          </w:tcPr>
          <w:p w:rsidR="00644456" w:rsidRPr="00E11CE3" w:rsidRDefault="008031C4">
            <w:pPr>
              <w:pStyle w:val="38"/>
            </w:pPr>
            <w:r w:rsidRPr="00E11CE3">
              <w:t>硫化氢</w:t>
            </w:r>
          </w:p>
        </w:tc>
        <w:tc>
          <w:tcPr>
            <w:tcW w:w="661" w:type="pct"/>
            <w:vAlign w:val="center"/>
          </w:tcPr>
          <w:p w:rsidR="00644456" w:rsidRPr="00E11CE3" w:rsidRDefault="008031C4">
            <w:pPr>
              <w:pStyle w:val="38"/>
            </w:pPr>
            <w:r w:rsidRPr="00E11CE3">
              <w:t>0.04</w:t>
            </w:r>
          </w:p>
        </w:tc>
        <w:tc>
          <w:tcPr>
            <w:tcW w:w="1464" w:type="pct"/>
            <w:vMerge/>
            <w:vAlign w:val="center"/>
          </w:tcPr>
          <w:p w:rsidR="00644456" w:rsidRPr="00E11CE3" w:rsidRDefault="00644456">
            <w:pPr>
              <w:pStyle w:val="38"/>
            </w:pPr>
          </w:p>
        </w:tc>
        <w:tc>
          <w:tcPr>
            <w:tcW w:w="633" w:type="pct"/>
            <w:vAlign w:val="center"/>
          </w:tcPr>
          <w:p w:rsidR="00644456" w:rsidRPr="00E11CE3" w:rsidRDefault="008031C4">
            <w:pPr>
              <w:pStyle w:val="38"/>
            </w:pPr>
            <w:r w:rsidRPr="00E11CE3">
              <w:t>0.004</w:t>
            </w:r>
          </w:p>
        </w:tc>
        <w:tc>
          <w:tcPr>
            <w:tcW w:w="550" w:type="pct"/>
            <w:vMerge/>
            <w:vAlign w:val="center"/>
          </w:tcPr>
          <w:p w:rsidR="00644456" w:rsidRPr="00E11CE3" w:rsidRDefault="00644456">
            <w:pPr>
              <w:pStyle w:val="38"/>
            </w:pPr>
          </w:p>
        </w:tc>
      </w:tr>
      <w:tr w:rsidR="00E11CE3" w:rsidRPr="00E11CE3" w:rsidTr="00E11CE3">
        <w:trPr>
          <w:jc w:val="center"/>
        </w:trPr>
        <w:tc>
          <w:tcPr>
            <w:tcW w:w="222" w:type="pct"/>
            <w:vMerge/>
            <w:vAlign w:val="center"/>
          </w:tcPr>
          <w:p w:rsidR="00644456" w:rsidRPr="00E11CE3" w:rsidRDefault="00644456">
            <w:pPr>
              <w:pStyle w:val="38"/>
            </w:pPr>
          </w:p>
        </w:tc>
        <w:tc>
          <w:tcPr>
            <w:tcW w:w="661" w:type="pct"/>
            <w:vMerge w:val="restart"/>
            <w:vAlign w:val="center"/>
          </w:tcPr>
          <w:p w:rsidR="00644456" w:rsidRPr="00E11CE3" w:rsidRDefault="008031C4">
            <w:pPr>
              <w:pStyle w:val="38"/>
            </w:pPr>
            <w:r w:rsidRPr="00E11CE3">
              <w:rPr>
                <w:rFonts w:hint="eastAsia"/>
              </w:rPr>
              <w:t>导热油锅炉废气</w:t>
            </w:r>
          </w:p>
        </w:tc>
        <w:tc>
          <w:tcPr>
            <w:tcW w:w="809" w:type="pct"/>
            <w:vAlign w:val="center"/>
          </w:tcPr>
          <w:p w:rsidR="00644456" w:rsidRPr="00E11CE3" w:rsidRDefault="008031C4">
            <w:pPr>
              <w:pStyle w:val="38"/>
            </w:pPr>
            <w:r w:rsidRPr="00E11CE3">
              <w:t>颗粒物</w:t>
            </w:r>
          </w:p>
        </w:tc>
        <w:tc>
          <w:tcPr>
            <w:tcW w:w="661" w:type="pct"/>
            <w:vAlign w:val="center"/>
          </w:tcPr>
          <w:p w:rsidR="00644456" w:rsidRPr="00E11CE3" w:rsidRDefault="00EC17B3">
            <w:pPr>
              <w:pStyle w:val="38"/>
            </w:pPr>
            <w:r>
              <w:t>0.121</w:t>
            </w:r>
          </w:p>
        </w:tc>
        <w:tc>
          <w:tcPr>
            <w:tcW w:w="1464" w:type="pct"/>
            <w:vMerge w:val="restart"/>
            <w:vAlign w:val="center"/>
          </w:tcPr>
          <w:p w:rsidR="00644456" w:rsidRPr="00E11CE3" w:rsidRDefault="008031C4">
            <w:pPr>
              <w:pStyle w:val="38"/>
            </w:pPr>
            <w:r w:rsidRPr="00E11CE3">
              <w:rPr>
                <w:rFonts w:hint="eastAsia"/>
              </w:rPr>
              <w:t>低氮燃烧</w:t>
            </w:r>
            <w:r w:rsidRPr="00E11CE3">
              <w:rPr>
                <w:rFonts w:hint="eastAsia"/>
              </w:rPr>
              <w:t>+</w:t>
            </w:r>
            <w:r w:rsidRPr="00E11CE3">
              <w:t>8m</w:t>
            </w:r>
            <w:r w:rsidRPr="00E11CE3">
              <w:rPr>
                <w:rFonts w:hint="eastAsia"/>
              </w:rPr>
              <w:t>排气筒</w:t>
            </w:r>
          </w:p>
        </w:tc>
        <w:tc>
          <w:tcPr>
            <w:tcW w:w="633" w:type="pct"/>
            <w:vAlign w:val="center"/>
          </w:tcPr>
          <w:p w:rsidR="00644456" w:rsidRPr="00E11CE3" w:rsidRDefault="00E11CE3">
            <w:pPr>
              <w:pStyle w:val="38"/>
            </w:pPr>
            <w:r w:rsidRPr="00E11CE3">
              <w:t>0.</w:t>
            </w:r>
            <w:r w:rsidR="00EC17B3">
              <w:t>121</w:t>
            </w:r>
          </w:p>
        </w:tc>
        <w:tc>
          <w:tcPr>
            <w:tcW w:w="550" w:type="pct"/>
            <w:vMerge/>
            <w:vAlign w:val="center"/>
          </w:tcPr>
          <w:p w:rsidR="00644456" w:rsidRPr="00E11CE3" w:rsidRDefault="00644456">
            <w:pPr>
              <w:pStyle w:val="38"/>
            </w:pPr>
          </w:p>
        </w:tc>
      </w:tr>
      <w:tr w:rsidR="00E11CE3" w:rsidRPr="00E11CE3" w:rsidTr="00E11CE3">
        <w:trPr>
          <w:jc w:val="center"/>
        </w:trPr>
        <w:tc>
          <w:tcPr>
            <w:tcW w:w="222" w:type="pct"/>
            <w:vMerge/>
            <w:vAlign w:val="center"/>
          </w:tcPr>
          <w:p w:rsidR="00644456" w:rsidRPr="00E11CE3" w:rsidRDefault="00644456">
            <w:pPr>
              <w:pStyle w:val="38"/>
            </w:pPr>
          </w:p>
        </w:tc>
        <w:tc>
          <w:tcPr>
            <w:tcW w:w="661" w:type="pct"/>
            <w:vMerge/>
            <w:vAlign w:val="center"/>
          </w:tcPr>
          <w:p w:rsidR="00644456" w:rsidRPr="00E11CE3" w:rsidRDefault="00644456">
            <w:pPr>
              <w:pStyle w:val="38"/>
            </w:pPr>
          </w:p>
        </w:tc>
        <w:tc>
          <w:tcPr>
            <w:tcW w:w="809" w:type="pct"/>
            <w:vAlign w:val="center"/>
          </w:tcPr>
          <w:p w:rsidR="00644456" w:rsidRPr="00E11CE3" w:rsidRDefault="008031C4">
            <w:pPr>
              <w:pStyle w:val="38"/>
            </w:pPr>
            <w:r w:rsidRPr="00E11CE3">
              <w:t>SO2</w:t>
            </w:r>
          </w:p>
        </w:tc>
        <w:tc>
          <w:tcPr>
            <w:tcW w:w="661" w:type="pct"/>
            <w:vAlign w:val="center"/>
          </w:tcPr>
          <w:p w:rsidR="00644456" w:rsidRPr="00E11CE3" w:rsidRDefault="008031C4">
            <w:pPr>
              <w:pStyle w:val="38"/>
            </w:pPr>
            <w:r w:rsidRPr="00E11CE3">
              <w:rPr>
                <w:rFonts w:hint="eastAsia"/>
              </w:rPr>
              <w:t>0.022</w:t>
            </w:r>
          </w:p>
        </w:tc>
        <w:tc>
          <w:tcPr>
            <w:tcW w:w="1464" w:type="pct"/>
            <w:vMerge/>
            <w:vAlign w:val="center"/>
          </w:tcPr>
          <w:p w:rsidR="00644456" w:rsidRPr="00E11CE3" w:rsidRDefault="00644456">
            <w:pPr>
              <w:pStyle w:val="38"/>
            </w:pPr>
          </w:p>
        </w:tc>
        <w:tc>
          <w:tcPr>
            <w:tcW w:w="633" w:type="pct"/>
            <w:vAlign w:val="center"/>
          </w:tcPr>
          <w:p w:rsidR="00644456" w:rsidRPr="00E11CE3" w:rsidRDefault="008031C4">
            <w:pPr>
              <w:pStyle w:val="38"/>
            </w:pPr>
            <w:r w:rsidRPr="00E11CE3">
              <w:rPr>
                <w:rFonts w:hint="eastAsia"/>
              </w:rPr>
              <w:t>0</w:t>
            </w:r>
            <w:r w:rsidRPr="00E11CE3">
              <w:t>.021</w:t>
            </w:r>
          </w:p>
        </w:tc>
        <w:tc>
          <w:tcPr>
            <w:tcW w:w="550" w:type="pct"/>
            <w:vMerge/>
            <w:vAlign w:val="center"/>
          </w:tcPr>
          <w:p w:rsidR="00644456" w:rsidRPr="00E11CE3" w:rsidRDefault="00644456">
            <w:pPr>
              <w:pStyle w:val="38"/>
            </w:pPr>
          </w:p>
        </w:tc>
      </w:tr>
      <w:tr w:rsidR="00E11CE3" w:rsidRPr="00E11CE3" w:rsidTr="00E11CE3">
        <w:trPr>
          <w:jc w:val="center"/>
        </w:trPr>
        <w:tc>
          <w:tcPr>
            <w:tcW w:w="222" w:type="pct"/>
            <w:vMerge/>
            <w:vAlign w:val="center"/>
          </w:tcPr>
          <w:p w:rsidR="00644456" w:rsidRPr="00E11CE3" w:rsidRDefault="00644456">
            <w:pPr>
              <w:pStyle w:val="38"/>
            </w:pPr>
          </w:p>
        </w:tc>
        <w:tc>
          <w:tcPr>
            <w:tcW w:w="661" w:type="pct"/>
            <w:vMerge/>
            <w:vAlign w:val="center"/>
          </w:tcPr>
          <w:p w:rsidR="00644456" w:rsidRPr="00E11CE3" w:rsidRDefault="00644456">
            <w:pPr>
              <w:pStyle w:val="38"/>
            </w:pPr>
          </w:p>
        </w:tc>
        <w:tc>
          <w:tcPr>
            <w:tcW w:w="809" w:type="pct"/>
            <w:vAlign w:val="center"/>
          </w:tcPr>
          <w:p w:rsidR="00644456" w:rsidRPr="00E11CE3" w:rsidRDefault="008031C4">
            <w:pPr>
              <w:pStyle w:val="38"/>
            </w:pPr>
            <w:r w:rsidRPr="00E11CE3">
              <w:t>NOx</w:t>
            </w:r>
          </w:p>
        </w:tc>
        <w:tc>
          <w:tcPr>
            <w:tcW w:w="661" w:type="pct"/>
            <w:vAlign w:val="center"/>
          </w:tcPr>
          <w:p w:rsidR="00644456" w:rsidRPr="00E11CE3" w:rsidRDefault="008031C4">
            <w:pPr>
              <w:pStyle w:val="38"/>
            </w:pPr>
            <w:r w:rsidRPr="00E11CE3">
              <w:rPr>
                <w:rFonts w:hint="eastAsia"/>
              </w:rPr>
              <w:t>1.620</w:t>
            </w:r>
          </w:p>
        </w:tc>
        <w:tc>
          <w:tcPr>
            <w:tcW w:w="1464" w:type="pct"/>
            <w:vMerge/>
            <w:vAlign w:val="center"/>
          </w:tcPr>
          <w:p w:rsidR="00644456" w:rsidRPr="00E11CE3" w:rsidRDefault="00644456">
            <w:pPr>
              <w:pStyle w:val="38"/>
            </w:pPr>
          </w:p>
        </w:tc>
        <w:tc>
          <w:tcPr>
            <w:tcW w:w="633" w:type="pct"/>
            <w:vAlign w:val="center"/>
          </w:tcPr>
          <w:p w:rsidR="00644456" w:rsidRPr="00E11CE3" w:rsidRDefault="008031C4">
            <w:pPr>
              <w:pStyle w:val="38"/>
            </w:pPr>
            <w:r w:rsidRPr="00E11CE3">
              <w:rPr>
                <w:rFonts w:hint="eastAsia"/>
              </w:rPr>
              <w:t>0</w:t>
            </w:r>
            <w:r w:rsidRPr="00E11CE3">
              <w:t>.809</w:t>
            </w:r>
          </w:p>
        </w:tc>
        <w:tc>
          <w:tcPr>
            <w:tcW w:w="550" w:type="pct"/>
            <w:vMerge/>
            <w:vAlign w:val="center"/>
          </w:tcPr>
          <w:p w:rsidR="00644456" w:rsidRPr="00E11CE3" w:rsidRDefault="00644456">
            <w:pPr>
              <w:pStyle w:val="38"/>
            </w:pPr>
          </w:p>
        </w:tc>
      </w:tr>
      <w:tr w:rsidR="00E11CE3" w:rsidRPr="00E11CE3" w:rsidTr="00E11CE3">
        <w:trPr>
          <w:jc w:val="center"/>
        </w:trPr>
        <w:tc>
          <w:tcPr>
            <w:tcW w:w="222" w:type="pct"/>
            <w:vMerge/>
            <w:vAlign w:val="center"/>
          </w:tcPr>
          <w:p w:rsidR="00644456" w:rsidRPr="00E11CE3" w:rsidRDefault="00644456">
            <w:pPr>
              <w:pStyle w:val="38"/>
            </w:pPr>
          </w:p>
        </w:tc>
        <w:tc>
          <w:tcPr>
            <w:tcW w:w="661" w:type="pct"/>
            <w:vAlign w:val="center"/>
          </w:tcPr>
          <w:p w:rsidR="00644456" w:rsidRPr="00E11CE3" w:rsidRDefault="008031C4">
            <w:pPr>
              <w:pStyle w:val="38"/>
            </w:pPr>
            <w:r w:rsidRPr="00E11CE3">
              <w:rPr>
                <w:rFonts w:hint="eastAsia"/>
              </w:rPr>
              <w:t>罐区废气</w:t>
            </w:r>
          </w:p>
        </w:tc>
        <w:tc>
          <w:tcPr>
            <w:tcW w:w="809" w:type="pct"/>
            <w:vAlign w:val="center"/>
          </w:tcPr>
          <w:p w:rsidR="00644456" w:rsidRPr="00E11CE3" w:rsidRDefault="008031C4">
            <w:pPr>
              <w:pStyle w:val="38"/>
            </w:pPr>
            <w:r w:rsidRPr="00E11CE3">
              <w:rPr>
                <w:rFonts w:hint="eastAsia"/>
              </w:rPr>
              <w:t>非甲烷总烃</w:t>
            </w:r>
          </w:p>
        </w:tc>
        <w:tc>
          <w:tcPr>
            <w:tcW w:w="661" w:type="pct"/>
            <w:vAlign w:val="center"/>
          </w:tcPr>
          <w:p w:rsidR="00644456" w:rsidRPr="00E11CE3" w:rsidRDefault="008031C4">
            <w:pPr>
              <w:pStyle w:val="38"/>
            </w:pPr>
            <w:r w:rsidRPr="00E11CE3">
              <w:t>0.531</w:t>
            </w:r>
          </w:p>
        </w:tc>
        <w:tc>
          <w:tcPr>
            <w:tcW w:w="1464" w:type="pct"/>
            <w:vAlign w:val="center"/>
          </w:tcPr>
          <w:p w:rsidR="00644456" w:rsidRPr="00E11CE3" w:rsidRDefault="008031C4">
            <w:pPr>
              <w:pStyle w:val="38"/>
            </w:pPr>
            <w:r w:rsidRPr="00E11CE3">
              <w:rPr>
                <w:rFonts w:hint="eastAsia"/>
              </w:rPr>
              <w:t>大气稀释扩散，罐体密封</w:t>
            </w:r>
          </w:p>
        </w:tc>
        <w:tc>
          <w:tcPr>
            <w:tcW w:w="633" w:type="pct"/>
            <w:vAlign w:val="center"/>
          </w:tcPr>
          <w:p w:rsidR="00644456" w:rsidRPr="00E11CE3" w:rsidRDefault="008031C4">
            <w:pPr>
              <w:pStyle w:val="38"/>
            </w:pPr>
            <w:r w:rsidRPr="00E11CE3">
              <w:t>0.531</w:t>
            </w:r>
          </w:p>
        </w:tc>
        <w:tc>
          <w:tcPr>
            <w:tcW w:w="550" w:type="pct"/>
            <w:vMerge/>
            <w:vAlign w:val="center"/>
          </w:tcPr>
          <w:p w:rsidR="00644456" w:rsidRPr="00E11CE3" w:rsidRDefault="00644456">
            <w:pPr>
              <w:pStyle w:val="38"/>
            </w:pPr>
          </w:p>
        </w:tc>
      </w:tr>
      <w:tr w:rsidR="00E11CE3" w:rsidRPr="00E11CE3" w:rsidTr="00E11CE3">
        <w:trPr>
          <w:jc w:val="center"/>
        </w:trPr>
        <w:tc>
          <w:tcPr>
            <w:tcW w:w="222" w:type="pct"/>
            <w:vMerge/>
            <w:vAlign w:val="center"/>
          </w:tcPr>
          <w:p w:rsidR="00644456" w:rsidRPr="00E11CE3" w:rsidRDefault="00644456">
            <w:pPr>
              <w:pStyle w:val="38"/>
            </w:pPr>
          </w:p>
        </w:tc>
        <w:tc>
          <w:tcPr>
            <w:tcW w:w="661" w:type="pct"/>
            <w:vMerge w:val="restart"/>
            <w:vAlign w:val="center"/>
          </w:tcPr>
          <w:p w:rsidR="00644456" w:rsidRPr="00E11CE3" w:rsidRDefault="008031C4">
            <w:pPr>
              <w:pStyle w:val="38"/>
            </w:pPr>
            <w:r w:rsidRPr="00E11CE3">
              <w:rPr>
                <w:rFonts w:hint="eastAsia"/>
              </w:rPr>
              <w:t>污水处理站废气</w:t>
            </w:r>
          </w:p>
        </w:tc>
        <w:tc>
          <w:tcPr>
            <w:tcW w:w="809" w:type="pct"/>
            <w:vAlign w:val="center"/>
          </w:tcPr>
          <w:p w:rsidR="00644456" w:rsidRPr="00E11CE3" w:rsidRDefault="008031C4">
            <w:pPr>
              <w:pStyle w:val="38"/>
            </w:pPr>
            <w:r w:rsidRPr="00E11CE3">
              <w:t>氨</w:t>
            </w:r>
          </w:p>
        </w:tc>
        <w:tc>
          <w:tcPr>
            <w:tcW w:w="661" w:type="pct"/>
            <w:vAlign w:val="center"/>
          </w:tcPr>
          <w:p w:rsidR="00644456" w:rsidRPr="00E11CE3" w:rsidRDefault="008031C4">
            <w:pPr>
              <w:pStyle w:val="38"/>
            </w:pPr>
            <w:r w:rsidRPr="00E11CE3">
              <w:t>0.027</w:t>
            </w:r>
          </w:p>
        </w:tc>
        <w:tc>
          <w:tcPr>
            <w:tcW w:w="1464" w:type="pct"/>
            <w:vMerge w:val="restart"/>
            <w:vAlign w:val="center"/>
          </w:tcPr>
          <w:p w:rsidR="00644456" w:rsidRPr="00E11CE3" w:rsidRDefault="008031C4">
            <w:pPr>
              <w:pStyle w:val="38"/>
            </w:pPr>
            <w:r w:rsidRPr="00E11CE3">
              <w:rPr>
                <w:rFonts w:hint="eastAsia"/>
              </w:rPr>
              <w:t>加盖实现密闭</w:t>
            </w:r>
          </w:p>
        </w:tc>
        <w:tc>
          <w:tcPr>
            <w:tcW w:w="633" w:type="pct"/>
            <w:vAlign w:val="center"/>
          </w:tcPr>
          <w:p w:rsidR="00644456" w:rsidRPr="00E11CE3" w:rsidRDefault="008031C4">
            <w:pPr>
              <w:pStyle w:val="38"/>
            </w:pPr>
            <w:r w:rsidRPr="00E11CE3">
              <w:t>0.027</w:t>
            </w:r>
          </w:p>
        </w:tc>
        <w:tc>
          <w:tcPr>
            <w:tcW w:w="550" w:type="pct"/>
            <w:vMerge/>
            <w:vAlign w:val="center"/>
          </w:tcPr>
          <w:p w:rsidR="00644456" w:rsidRPr="00E11CE3" w:rsidRDefault="00644456">
            <w:pPr>
              <w:pStyle w:val="38"/>
            </w:pPr>
          </w:p>
        </w:tc>
      </w:tr>
      <w:tr w:rsidR="00E11CE3" w:rsidRPr="00E11CE3" w:rsidTr="00E11CE3">
        <w:trPr>
          <w:jc w:val="center"/>
        </w:trPr>
        <w:tc>
          <w:tcPr>
            <w:tcW w:w="222" w:type="pct"/>
            <w:vMerge/>
            <w:vAlign w:val="center"/>
          </w:tcPr>
          <w:p w:rsidR="00644456" w:rsidRPr="00E11CE3" w:rsidRDefault="00644456">
            <w:pPr>
              <w:pStyle w:val="38"/>
            </w:pPr>
          </w:p>
        </w:tc>
        <w:tc>
          <w:tcPr>
            <w:tcW w:w="661" w:type="pct"/>
            <w:vMerge/>
            <w:vAlign w:val="center"/>
          </w:tcPr>
          <w:p w:rsidR="00644456" w:rsidRPr="00E11CE3" w:rsidRDefault="00644456">
            <w:pPr>
              <w:pStyle w:val="38"/>
            </w:pPr>
          </w:p>
        </w:tc>
        <w:tc>
          <w:tcPr>
            <w:tcW w:w="809" w:type="pct"/>
            <w:vAlign w:val="center"/>
          </w:tcPr>
          <w:p w:rsidR="00644456" w:rsidRPr="00E11CE3" w:rsidRDefault="008031C4">
            <w:pPr>
              <w:pStyle w:val="38"/>
            </w:pPr>
            <w:r w:rsidRPr="00E11CE3">
              <w:t>硫化氢</w:t>
            </w:r>
          </w:p>
        </w:tc>
        <w:tc>
          <w:tcPr>
            <w:tcW w:w="661" w:type="pct"/>
            <w:vAlign w:val="center"/>
          </w:tcPr>
          <w:p w:rsidR="00644456" w:rsidRPr="00E11CE3" w:rsidRDefault="008031C4">
            <w:pPr>
              <w:pStyle w:val="38"/>
            </w:pPr>
            <w:r w:rsidRPr="00E11CE3">
              <w:t>0.0001</w:t>
            </w:r>
          </w:p>
        </w:tc>
        <w:tc>
          <w:tcPr>
            <w:tcW w:w="1464" w:type="pct"/>
            <w:vMerge/>
            <w:vAlign w:val="center"/>
          </w:tcPr>
          <w:p w:rsidR="00644456" w:rsidRPr="00E11CE3" w:rsidRDefault="00644456">
            <w:pPr>
              <w:pStyle w:val="38"/>
            </w:pPr>
          </w:p>
        </w:tc>
        <w:tc>
          <w:tcPr>
            <w:tcW w:w="633" w:type="pct"/>
            <w:vAlign w:val="center"/>
          </w:tcPr>
          <w:p w:rsidR="00644456" w:rsidRPr="00E11CE3" w:rsidRDefault="008031C4">
            <w:pPr>
              <w:pStyle w:val="38"/>
            </w:pPr>
            <w:r w:rsidRPr="00E11CE3">
              <w:t>0.0001</w:t>
            </w:r>
          </w:p>
        </w:tc>
        <w:tc>
          <w:tcPr>
            <w:tcW w:w="550" w:type="pct"/>
            <w:vMerge/>
            <w:vAlign w:val="center"/>
          </w:tcPr>
          <w:p w:rsidR="00644456" w:rsidRPr="00E11CE3" w:rsidRDefault="00644456">
            <w:pPr>
              <w:pStyle w:val="38"/>
            </w:pPr>
          </w:p>
        </w:tc>
      </w:tr>
      <w:tr w:rsidR="00E11CE3" w:rsidRPr="00E11CE3" w:rsidTr="00E11CE3">
        <w:trPr>
          <w:jc w:val="center"/>
        </w:trPr>
        <w:tc>
          <w:tcPr>
            <w:tcW w:w="222" w:type="pct"/>
            <w:vMerge/>
            <w:vAlign w:val="center"/>
          </w:tcPr>
          <w:p w:rsidR="00644456" w:rsidRPr="00E11CE3" w:rsidRDefault="00644456">
            <w:pPr>
              <w:pStyle w:val="38"/>
            </w:pPr>
          </w:p>
        </w:tc>
        <w:tc>
          <w:tcPr>
            <w:tcW w:w="661" w:type="pct"/>
            <w:vAlign w:val="center"/>
          </w:tcPr>
          <w:p w:rsidR="00644456" w:rsidRPr="00E11CE3" w:rsidRDefault="008031C4">
            <w:pPr>
              <w:pStyle w:val="38"/>
            </w:pPr>
            <w:r w:rsidRPr="00E11CE3">
              <w:rPr>
                <w:rFonts w:hint="eastAsia"/>
              </w:rPr>
              <w:t>装卸区车装卸损耗废气</w:t>
            </w:r>
          </w:p>
        </w:tc>
        <w:tc>
          <w:tcPr>
            <w:tcW w:w="809" w:type="pct"/>
            <w:vAlign w:val="center"/>
          </w:tcPr>
          <w:p w:rsidR="00644456" w:rsidRPr="00E11CE3" w:rsidRDefault="008031C4">
            <w:pPr>
              <w:pStyle w:val="38"/>
            </w:pPr>
            <w:r w:rsidRPr="00E11CE3">
              <w:rPr>
                <w:rFonts w:hint="eastAsia"/>
              </w:rPr>
              <w:t>非甲烷总烃</w:t>
            </w:r>
          </w:p>
        </w:tc>
        <w:tc>
          <w:tcPr>
            <w:tcW w:w="661" w:type="pct"/>
            <w:vAlign w:val="center"/>
          </w:tcPr>
          <w:p w:rsidR="00644456" w:rsidRPr="00E11CE3" w:rsidRDefault="008031C4">
            <w:pPr>
              <w:pStyle w:val="38"/>
            </w:pPr>
            <w:r w:rsidRPr="00E11CE3">
              <w:t>0.018</w:t>
            </w:r>
          </w:p>
        </w:tc>
        <w:tc>
          <w:tcPr>
            <w:tcW w:w="1464" w:type="pct"/>
            <w:vAlign w:val="center"/>
          </w:tcPr>
          <w:p w:rsidR="00644456" w:rsidRPr="00E11CE3" w:rsidRDefault="008031C4">
            <w:pPr>
              <w:pStyle w:val="38"/>
            </w:pPr>
            <w:r w:rsidRPr="00E11CE3">
              <w:rPr>
                <w:rFonts w:hint="eastAsia"/>
              </w:rPr>
              <w:t>密闭装卸</w:t>
            </w:r>
          </w:p>
        </w:tc>
        <w:tc>
          <w:tcPr>
            <w:tcW w:w="633" w:type="pct"/>
            <w:vAlign w:val="center"/>
          </w:tcPr>
          <w:p w:rsidR="00644456" w:rsidRPr="00E11CE3" w:rsidRDefault="008031C4">
            <w:pPr>
              <w:pStyle w:val="38"/>
            </w:pPr>
            <w:r w:rsidRPr="00E11CE3">
              <w:t>0.018</w:t>
            </w:r>
          </w:p>
        </w:tc>
        <w:tc>
          <w:tcPr>
            <w:tcW w:w="550" w:type="pct"/>
            <w:vMerge/>
            <w:vAlign w:val="center"/>
          </w:tcPr>
          <w:p w:rsidR="00644456" w:rsidRPr="00E11CE3" w:rsidRDefault="00644456">
            <w:pPr>
              <w:pStyle w:val="38"/>
            </w:pPr>
          </w:p>
        </w:tc>
      </w:tr>
      <w:tr w:rsidR="00E11CE3" w:rsidRPr="00E11CE3" w:rsidTr="00E11CE3">
        <w:trPr>
          <w:jc w:val="center"/>
        </w:trPr>
        <w:tc>
          <w:tcPr>
            <w:tcW w:w="222" w:type="pct"/>
            <w:vMerge/>
            <w:vAlign w:val="center"/>
          </w:tcPr>
          <w:p w:rsidR="00644456" w:rsidRPr="00E11CE3" w:rsidRDefault="00644456">
            <w:pPr>
              <w:pStyle w:val="38"/>
            </w:pPr>
          </w:p>
        </w:tc>
        <w:tc>
          <w:tcPr>
            <w:tcW w:w="661" w:type="pct"/>
            <w:vAlign w:val="center"/>
          </w:tcPr>
          <w:p w:rsidR="00644456" w:rsidRPr="00E11CE3" w:rsidRDefault="008031C4">
            <w:pPr>
              <w:pStyle w:val="38"/>
            </w:pPr>
            <w:r w:rsidRPr="00E11CE3">
              <w:rPr>
                <w:rFonts w:hint="eastAsia"/>
              </w:rPr>
              <w:t>装置区动静密封点泄漏散发损失</w:t>
            </w:r>
          </w:p>
        </w:tc>
        <w:tc>
          <w:tcPr>
            <w:tcW w:w="809" w:type="pct"/>
            <w:vAlign w:val="center"/>
          </w:tcPr>
          <w:p w:rsidR="00644456" w:rsidRPr="00E11CE3" w:rsidRDefault="008031C4">
            <w:pPr>
              <w:pStyle w:val="38"/>
            </w:pPr>
            <w:r w:rsidRPr="00E11CE3">
              <w:rPr>
                <w:rFonts w:hint="eastAsia"/>
              </w:rPr>
              <w:t>非甲烷总烃</w:t>
            </w:r>
          </w:p>
        </w:tc>
        <w:tc>
          <w:tcPr>
            <w:tcW w:w="661" w:type="pct"/>
            <w:vAlign w:val="center"/>
          </w:tcPr>
          <w:p w:rsidR="00644456" w:rsidRPr="00E11CE3" w:rsidRDefault="008031C4">
            <w:pPr>
              <w:pStyle w:val="38"/>
            </w:pPr>
            <w:r w:rsidRPr="00E11CE3">
              <w:t>4.096</w:t>
            </w:r>
          </w:p>
        </w:tc>
        <w:tc>
          <w:tcPr>
            <w:tcW w:w="1464" w:type="pct"/>
            <w:vAlign w:val="center"/>
          </w:tcPr>
          <w:p w:rsidR="00644456" w:rsidRPr="00E11CE3" w:rsidRDefault="008031C4">
            <w:pPr>
              <w:pStyle w:val="38"/>
            </w:pPr>
            <w:r w:rsidRPr="00E11CE3">
              <w:rPr>
                <w:rFonts w:hint="eastAsia"/>
              </w:rPr>
              <w:t>设备密封</w:t>
            </w:r>
          </w:p>
        </w:tc>
        <w:tc>
          <w:tcPr>
            <w:tcW w:w="633" w:type="pct"/>
            <w:vAlign w:val="center"/>
          </w:tcPr>
          <w:p w:rsidR="00644456" w:rsidRPr="00E11CE3" w:rsidRDefault="008031C4">
            <w:pPr>
              <w:pStyle w:val="38"/>
            </w:pPr>
            <w:r w:rsidRPr="00E11CE3">
              <w:t>4.096</w:t>
            </w:r>
          </w:p>
        </w:tc>
        <w:tc>
          <w:tcPr>
            <w:tcW w:w="550" w:type="pct"/>
            <w:vMerge/>
            <w:vAlign w:val="center"/>
          </w:tcPr>
          <w:p w:rsidR="00644456" w:rsidRPr="00E11CE3" w:rsidRDefault="00644456">
            <w:pPr>
              <w:pStyle w:val="38"/>
            </w:pPr>
          </w:p>
        </w:tc>
      </w:tr>
      <w:tr w:rsidR="00E11CE3" w:rsidRPr="00E11CE3" w:rsidTr="00E11CE3">
        <w:trPr>
          <w:jc w:val="center"/>
        </w:trPr>
        <w:tc>
          <w:tcPr>
            <w:tcW w:w="222" w:type="pct"/>
            <w:vMerge w:val="restart"/>
            <w:vAlign w:val="center"/>
          </w:tcPr>
          <w:p w:rsidR="00644456" w:rsidRPr="00E11CE3" w:rsidRDefault="008031C4">
            <w:pPr>
              <w:adjustRightInd w:val="0"/>
              <w:snapToGrid w:val="0"/>
              <w:jc w:val="center"/>
              <w:rPr>
                <w:color w:val="FF0000"/>
                <w:szCs w:val="21"/>
              </w:rPr>
            </w:pPr>
            <w:r w:rsidRPr="00E11CE3">
              <w:rPr>
                <w:rFonts w:hint="eastAsia"/>
                <w:color w:val="FF0000"/>
                <w:szCs w:val="21"/>
              </w:rPr>
              <w:t>废水</w:t>
            </w:r>
          </w:p>
        </w:tc>
        <w:tc>
          <w:tcPr>
            <w:tcW w:w="1470" w:type="pct"/>
            <w:gridSpan w:val="2"/>
            <w:vAlign w:val="center"/>
          </w:tcPr>
          <w:p w:rsidR="00644456" w:rsidRPr="00E11CE3" w:rsidRDefault="008031C4">
            <w:pPr>
              <w:widowControl/>
              <w:adjustRightInd w:val="0"/>
              <w:snapToGrid w:val="0"/>
              <w:jc w:val="center"/>
              <w:textAlignment w:val="center"/>
              <w:rPr>
                <w:color w:val="FF0000"/>
                <w:lang w:val="de-DE"/>
              </w:rPr>
            </w:pPr>
            <w:r w:rsidRPr="00E11CE3">
              <w:rPr>
                <w:rFonts w:cs="Times New Roman"/>
                <w:color w:val="FF0000"/>
                <w:szCs w:val="21"/>
              </w:rPr>
              <w:t>生产废水</w:t>
            </w:r>
          </w:p>
        </w:tc>
        <w:tc>
          <w:tcPr>
            <w:tcW w:w="661" w:type="pct"/>
            <w:vAlign w:val="center"/>
          </w:tcPr>
          <w:p w:rsidR="00644456" w:rsidRPr="00E11CE3" w:rsidRDefault="008031C4">
            <w:pPr>
              <w:pStyle w:val="38"/>
            </w:pPr>
            <w:r w:rsidRPr="00E11CE3">
              <w:t>3097.23</w:t>
            </w:r>
          </w:p>
        </w:tc>
        <w:tc>
          <w:tcPr>
            <w:tcW w:w="1464" w:type="pct"/>
            <w:vAlign w:val="center"/>
          </w:tcPr>
          <w:p w:rsidR="00644456" w:rsidRPr="00E11CE3" w:rsidRDefault="008031C4">
            <w:pPr>
              <w:pStyle w:val="38"/>
            </w:pPr>
            <w:r w:rsidRPr="00E11CE3">
              <w:rPr>
                <w:rFonts w:hint="eastAsia"/>
              </w:rPr>
              <w:t>进入废水处理站处理</w:t>
            </w:r>
          </w:p>
        </w:tc>
        <w:tc>
          <w:tcPr>
            <w:tcW w:w="633" w:type="pct"/>
            <w:vMerge w:val="restart"/>
            <w:vAlign w:val="center"/>
          </w:tcPr>
          <w:p w:rsidR="00644456" w:rsidRPr="00E11CE3" w:rsidRDefault="008031C4">
            <w:pPr>
              <w:pStyle w:val="38"/>
            </w:pPr>
            <w:r w:rsidRPr="00E11CE3">
              <w:rPr>
                <w:rFonts w:hint="eastAsia"/>
              </w:rPr>
              <w:t>厂区排入园区管网合计</w:t>
            </w:r>
          </w:p>
          <w:p w:rsidR="00644456" w:rsidRPr="00E11CE3" w:rsidRDefault="008031C4">
            <w:pPr>
              <w:pStyle w:val="38"/>
            </w:pPr>
            <w:r w:rsidRPr="00E11CE3">
              <w:t>4321.23</w:t>
            </w:r>
            <w:r w:rsidRPr="00E11CE3">
              <w:rPr>
                <w:rFonts w:hint="eastAsia"/>
              </w:rPr>
              <w:t>t/d</w:t>
            </w:r>
          </w:p>
        </w:tc>
        <w:tc>
          <w:tcPr>
            <w:tcW w:w="550"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合理处置</w:t>
            </w:r>
          </w:p>
        </w:tc>
      </w:tr>
      <w:tr w:rsidR="00E11CE3" w:rsidRPr="00E11CE3" w:rsidTr="00E11CE3">
        <w:trPr>
          <w:jc w:val="center"/>
        </w:trPr>
        <w:tc>
          <w:tcPr>
            <w:tcW w:w="222" w:type="pct"/>
            <w:vMerge/>
            <w:vAlign w:val="center"/>
          </w:tcPr>
          <w:p w:rsidR="00644456" w:rsidRPr="00E11CE3" w:rsidRDefault="00644456">
            <w:pPr>
              <w:adjustRightInd w:val="0"/>
              <w:snapToGrid w:val="0"/>
              <w:jc w:val="center"/>
              <w:rPr>
                <w:color w:val="FF0000"/>
                <w:szCs w:val="21"/>
              </w:rPr>
            </w:pPr>
          </w:p>
        </w:tc>
        <w:tc>
          <w:tcPr>
            <w:tcW w:w="1470" w:type="pct"/>
            <w:gridSpan w:val="2"/>
            <w:vAlign w:val="center"/>
          </w:tcPr>
          <w:p w:rsidR="00644456" w:rsidRPr="00E11CE3" w:rsidRDefault="008031C4">
            <w:pPr>
              <w:pStyle w:val="38"/>
              <w:rPr>
                <w:lang w:val="de-DE"/>
              </w:rPr>
            </w:pPr>
            <w:r w:rsidRPr="00E11CE3">
              <w:rPr>
                <w:rFonts w:hint="eastAsia"/>
                <w:lang w:val="de-DE"/>
              </w:rPr>
              <w:t>生活废水</w:t>
            </w:r>
          </w:p>
        </w:tc>
        <w:tc>
          <w:tcPr>
            <w:tcW w:w="661" w:type="pct"/>
            <w:vAlign w:val="center"/>
          </w:tcPr>
          <w:p w:rsidR="00644456" w:rsidRPr="00E11CE3" w:rsidRDefault="008031C4">
            <w:pPr>
              <w:pStyle w:val="38"/>
            </w:pPr>
            <w:r w:rsidRPr="00E11CE3">
              <w:t>1224</w:t>
            </w:r>
          </w:p>
        </w:tc>
        <w:tc>
          <w:tcPr>
            <w:tcW w:w="1464" w:type="pct"/>
            <w:vAlign w:val="center"/>
          </w:tcPr>
          <w:p w:rsidR="00644456" w:rsidRPr="00E11CE3" w:rsidRDefault="008031C4">
            <w:pPr>
              <w:pStyle w:val="38"/>
            </w:pPr>
            <w:r w:rsidRPr="00E11CE3">
              <w:rPr>
                <w:rFonts w:hint="eastAsia"/>
              </w:rPr>
              <w:t>进入预处理池处理</w:t>
            </w:r>
          </w:p>
        </w:tc>
        <w:tc>
          <w:tcPr>
            <w:tcW w:w="633" w:type="pct"/>
            <w:vMerge/>
            <w:vAlign w:val="center"/>
          </w:tcPr>
          <w:p w:rsidR="00644456" w:rsidRPr="00E11CE3" w:rsidRDefault="00644456">
            <w:pPr>
              <w:pStyle w:val="38"/>
            </w:pPr>
          </w:p>
        </w:tc>
        <w:tc>
          <w:tcPr>
            <w:tcW w:w="550"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合理处置</w:t>
            </w:r>
          </w:p>
        </w:tc>
      </w:tr>
      <w:tr w:rsidR="00E11CE3" w:rsidRPr="00E11CE3" w:rsidTr="00E11CE3">
        <w:trPr>
          <w:jc w:val="center"/>
        </w:trPr>
        <w:tc>
          <w:tcPr>
            <w:tcW w:w="222" w:type="pct"/>
            <w:vMerge w:val="restart"/>
            <w:vAlign w:val="center"/>
          </w:tcPr>
          <w:p w:rsidR="00644456" w:rsidRPr="00E11CE3" w:rsidRDefault="008031C4">
            <w:pPr>
              <w:adjustRightInd w:val="0"/>
              <w:snapToGrid w:val="0"/>
              <w:jc w:val="center"/>
              <w:rPr>
                <w:color w:val="FF0000"/>
                <w:szCs w:val="21"/>
              </w:rPr>
            </w:pPr>
            <w:bookmarkStart w:id="213" w:name="_Hlk154646899"/>
            <w:r w:rsidRPr="00E11CE3">
              <w:rPr>
                <w:rFonts w:hint="eastAsia"/>
                <w:color w:val="FF0000"/>
                <w:szCs w:val="21"/>
              </w:rPr>
              <w:t>固废</w:t>
            </w:r>
          </w:p>
        </w:tc>
        <w:tc>
          <w:tcPr>
            <w:tcW w:w="1470" w:type="pct"/>
            <w:gridSpan w:val="2"/>
            <w:vAlign w:val="center"/>
          </w:tcPr>
          <w:p w:rsidR="00644456" w:rsidRPr="00E11CE3" w:rsidRDefault="008031C4">
            <w:pPr>
              <w:adjustRightInd w:val="0"/>
              <w:snapToGrid w:val="0"/>
              <w:jc w:val="center"/>
              <w:rPr>
                <w:color w:val="FF0000"/>
                <w:szCs w:val="21"/>
              </w:rPr>
            </w:pPr>
            <w:r w:rsidRPr="00E11CE3">
              <w:rPr>
                <w:rFonts w:hint="eastAsia"/>
                <w:snapToGrid w:val="0"/>
                <w:color w:val="FF0000"/>
                <w:szCs w:val="21"/>
              </w:rPr>
              <w:t>生活垃圾</w:t>
            </w:r>
          </w:p>
        </w:tc>
        <w:tc>
          <w:tcPr>
            <w:tcW w:w="661" w:type="pct"/>
            <w:vAlign w:val="center"/>
          </w:tcPr>
          <w:p w:rsidR="00644456" w:rsidRPr="00E11CE3" w:rsidRDefault="008031C4">
            <w:pPr>
              <w:adjustRightInd w:val="0"/>
              <w:snapToGrid w:val="0"/>
              <w:jc w:val="center"/>
              <w:rPr>
                <w:color w:val="FF0000"/>
                <w:szCs w:val="21"/>
              </w:rPr>
            </w:pPr>
            <w:r w:rsidRPr="00E11CE3">
              <w:rPr>
                <w:rFonts w:hint="eastAsia"/>
                <w:snapToGrid w:val="0"/>
                <w:color w:val="FF0000"/>
                <w:szCs w:val="21"/>
              </w:rPr>
              <w:t>9</w:t>
            </w:r>
          </w:p>
        </w:tc>
        <w:tc>
          <w:tcPr>
            <w:tcW w:w="1464" w:type="pct"/>
            <w:vAlign w:val="center"/>
          </w:tcPr>
          <w:p w:rsidR="00644456" w:rsidRPr="00E11CE3" w:rsidRDefault="008031C4">
            <w:pPr>
              <w:adjustRightInd w:val="0"/>
              <w:snapToGrid w:val="0"/>
              <w:jc w:val="center"/>
              <w:rPr>
                <w:color w:val="FF0000"/>
                <w:szCs w:val="21"/>
              </w:rPr>
            </w:pPr>
            <w:r w:rsidRPr="00E11CE3">
              <w:rPr>
                <w:rFonts w:hint="eastAsia"/>
                <w:snapToGrid w:val="0"/>
                <w:color w:val="FF0000"/>
                <w:szCs w:val="21"/>
              </w:rPr>
              <w:t>环卫部门清运处置</w:t>
            </w:r>
          </w:p>
        </w:tc>
        <w:tc>
          <w:tcPr>
            <w:tcW w:w="633"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0t/a</w:t>
            </w:r>
          </w:p>
        </w:tc>
        <w:tc>
          <w:tcPr>
            <w:tcW w:w="550"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合理处置</w:t>
            </w:r>
          </w:p>
        </w:tc>
      </w:tr>
      <w:tr w:rsidR="00E11CE3" w:rsidRPr="00E11CE3" w:rsidTr="00E11CE3">
        <w:trPr>
          <w:jc w:val="center"/>
        </w:trPr>
        <w:tc>
          <w:tcPr>
            <w:tcW w:w="222" w:type="pct"/>
            <w:vMerge/>
            <w:vAlign w:val="center"/>
          </w:tcPr>
          <w:p w:rsidR="00644456" w:rsidRPr="00E11CE3" w:rsidRDefault="00644456">
            <w:pPr>
              <w:adjustRightInd w:val="0"/>
              <w:snapToGrid w:val="0"/>
              <w:jc w:val="center"/>
              <w:rPr>
                <w:color w:val="FF0000"/>
                <w:szCs w:val="21"/>
              </w:rPr>
            </w:pPr>
          </w:p>
        </w:tc>
        <w:tc>
          <w:tcPr>
            <w:tcW w:w="1470" w:type="pct"/>
            <w:gridSpan w:val="2"/>
            <w:vAlign w:val="center"/>
          </w:tcPr>
          <w:p w:rsidR="00644456" w:rsidRPr="00E11CE3" w:rsidRDefault="008031C4">
            <w:pPr>
              <w:adjustRightInd w:val="0"/>
              <w:snapToGrid w:val="0"/>
              <w:jc w:val="center"/>
              <w:rPr>
                <w:color w:val="FF0000"/>
                <w:szCs w:val="21"/>
              </w:rPr>
            </w:pPr>
            <w:r w:rsidRPr="00E11CE3">
              <w:rPr>
                <w:rFonts w:hint="eastAsia"/>
                <w:snapToGrid w:val="0"/>
                <w:color w:val="FF0000"/>
                <w:szCs w:val="21"/>
              </w:rPr>
              <w:t>预处理池污泥</w:t>
            </w:r>
          </w:p>
        </w:tc>
        <w:tc>
          <w:tcPr>
            <w:tcW w:w="661" w:type="pct"/>
            <w:vAlign w:val="center"/>
          </w:tcPr>
          <w:p w:rsidR="00644456" w:rsidRPr="00E11CE3" w:rsidRDefault="008031C4">
            <w:pPr>
              <w:adjustRightInd w:val="0"/>
              <w:snapToGrid w:val="0"/>
              <w:jc w:val="center"/>
              <w:rPr>
                <w:color w:val="FF0000"/>
                <w:szCs w:val="21"/>
              </w:rPr>
            </w:pPr>
            <w:r w:rsidRPr="00E11CE3">
              <w:rPr>
                <w:snapToGrid w:val="0"/>
                <w:color w:val="FF0000"/>
                <w:szCs w:val="21"/>
              </w:rPr>
              <w:t>0.098</w:t>
            </w:r>
          </w:p>
        </w:tc>
        <w:tc>
          <w:tcPr>
            <w:tcW w:w="1464" w:type="pct"/>
            <w:vAlign w:val="center"/>
          </w:tcPr>
          <w:p w:rsidR="00644456" w:rsidRPr="00E11CE3" w:rsidRDefault="008031C4">
            <w:pPr>
              <w:adjustRightInd w:val="0"/>
              <w:snapToGrid w:val="0"/>
              <w:jc w:val="center"/>
              <w:rPr>
                <w:color w:val="FF0000"/>
                <w:szCs w:val="21"/>
              </w:rPr>
            </w:pPr>
            <w:r w:rsidRPr="00E11CE3">
              <w:rPr>
                <w:rFonts w:hint="eastAsia"/>
                <w:snapToGrid w:val="0"/>
                <w:color w:val="FF0000"/>
                <w:szCs w:val="21"/>
              </w:rPr>
              <w:t>环卫清掏</w:t>
            </w:r>
          </w:p>
        </w:tc>
        <w:tc>
          <w:tcPr>
            <w:tcW w:w="633"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0t/a</w:t>
            </w:r>
          </w:p>
        </w:tc>
        <w:tc>
          <w:tcPr>
            <w:tcW w:w="550"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合理处置</w:t>
            </w:r>
          </w:p>
        </w:tc>
      </w:tr>
      <w:tr w:rsidR="00E11CE3" w:rsidRPr="00E11CE3" w:rsidTr="00E11CE3">
        <w:trPr>
          <w:jc w:val="center"/>
        </w:trPr>
        <w:tc>
          <w:tcPr>
            <w:tcW w:w="222" w:type="pct"/>
            <w:vMerge/>
            <w:vAlign w:val="center"/>
          </w:tcPr>
          <w:p w:rsidR="00644456" w:rsidRPr="00E11CE3" w:rsidRDefault="00644456">
            <w:pPr>
              <w:adjustRightInd w:val="0"/>
              <w:snapToGrid w:val="0"/>
              <w:jc w:val="center"/>
              <w:rPr>
                <w:color w:val="FF0000"/>
                <w:szCs w:val="21"/>
              </w:rPr>
            </w:pPr>
          </w:p>
        </w:tc>
        <w:tc>
          <w:tcPr>
            <w:tcW w:w="1470" w:type="pct"/>
            <w:gridSpan w:val="2"/>
            <w:vAlign w:val="center"/>
          </w:tcPr>
          <w:p w:rsidR="00644456" w:rsidRPr="00E11CE3" w:rsidRDefault="008031C4">
            <w:pPr>
              <w:adjustRightInd w:val="0"/>
              <w:snapToGrid w:val="0"/>
              <w:jc w:val="center"/>
              <w:rPr>
                <w:color w:val="FF0000"/>
                <w:szCs w:val="21"/>
              </w:rPr>
            </w:pPr>
            <w:r w:rsidRPr="00E11CE3">
              <w:rPr>
                <w:rFonts w:hint="eastAsia"/>
                <w:snapToGrid w:val="0"/>
                <w:color w:val="FF0000"/>
                <w:szCs w:val="21"/>
              </w:rPr>
              <w:t>含油废渣</w:t>
            </w:r>
          </w:p>
        </w:tc>
        <w:tc>
          <w:tcPr>
            <w:tcW w:w="661" w:type="pct"/>
            <w:vAlign w:val="center"/>
          </w:tcPr>
          <w:p w:rsidR="00644456" w:rsidRPr="00E11CE3" w:rsidRDefault="008031C4">
            <w:pPr>
              <w:adjustRightInd w:val="0"/>
              <w:snapToGrid w:val="0"/>
              <w:jc w:val="center"/>
              <w:rPr>
                <w:color w:val="FF0000"/>
                <w:szCs w:val="21"/>
              </w:rPr>
            </w:pPr>
            <w:r w:rsidRPr="00E11CE3">
              <w:rPr>
                <w:rFonts w:hint="eastAsia"/>
                <w:snapToGrid w:val="0"/>
                <w:color w:val="FF0000"/>
                <w:szCs w:val="21"/>
              </w:rPr>
              <w:t>1211.8562</w:t>
            </w:r>
          </w:p>
        </w:tc>
        <w:tc>
          <w:tcPr>
            <w:tcW w:w="1464" w:type="pct"/>
            <w:vMerge w:val="restart"/>
            <w:vAlign w:val="center"/>
          </w:tcPr>
          <w:p w:rsidR="00644456" w:rsidRPr="00E11CE3" w:rsidRDefault="008031C4">
            <w:pPr>
              <w:adjustRightInd w:val="0"/>
              <w:snapToGrid w:val="0"/>
              <w:jc w:val="center"/>
              <w:rPr>
                <w:color w:val="FF0000"/>
                <w:szCs w:val="21"/>
              </w:rPr>
            </w:pPr>
            <w:r w:rsidRPr="00E11CE3">
              <w:rPr>
                <w:rFonts w:hint="eastAsia"/>
                <w:color w:val="FF0000"/>
                <w:szCs w:val="21"/>
              </w:rPr>
              <w:t>交由相应资质的单位处置</w:t>
            </w:r>
          </w:p>
        </w:tc>
        <w:tc>
          <w:tcPr>
            <w:tcW w:w="633"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0t/a</w:t>
            </w:r>
          </w:p>
        </w:tc>
        <w:tc>
          <w:tcPr>
            <w:tcW w:w="550"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合理处置</w:t>
            </w:r>
          </w:p>
        </w:tc>
      </w:tr>
      <w:tr w:rsidR="00E11CE3" w:rsidRPr="00E11CE3" w:rsidTr="00E11CE3">
        <w:trPr>
          <w:jc w:val="center"/>
        </w:trPr>
        <w:tc>
          <w:tcPr>
            <w:tcW w:w="222" w:type="pct"/>
            <w:vMerge/>
            <w:vAlign w:val="center"/>
          </w:tcPr>
          <w:p w:rsidR="00644456" w:rsidRPr="00E11CE3" w:rsidRDefault="00644456">
            <w:pPr>
              <w:adjustRightInd w:val="0"/>
              <w:snapToGrid w:val="0"/>
              <w:jc w:val="center"/>
              <w:rPr>
                <w:color w:val="FF0000"/>
                <w:szCs w:val="21"/>
              </w:rPr>
            </w:pPr>
          </w:p>
        </w:tc>
        <w:tc>
          <w:tcPr>
            <w:tcW w:w="1470" w:type="pct"/>
            <w:gridSpan w:val="2"/>
            <w:vAlign w:val="center"/>
          </w:tcPr>
          <w:p w:rsidR="00644456" w:rsidRPr="00E11CE3" w:rsidRDefault="008031C4">
            <w:pPr>
              <w:adjustRightInd w:val="0"/>
              <w:snapToGrid w:val="0"/>
              <w:jc w:val="center"/>
              <w:rPr>
                <w:color w:val="FF0000"/>
                <w:szCs w:val="21"/>
              </w:rPr>
            </w:pPr>
            <w:r w:rsidRPr="00E11CE3">
              <w:rPr>
                <w:rFonts w:hint="eastAsia"/>
                <w:snapToGrid w:val="0"/>
                <w:color w:val="FF0000"/>
                <w:szCs w:val="21"/>
              </w:rPr>
              <w:t>污水处理设施浮渣、浮油和污泥</w:t>
            </w:r>
          </w:p>
        </w:tc>
        <w:tc>
          <w:tcPr>
            <w:tcW w:w="661" w:type="pct"/>
            <w:vAlign w:val="center"/>
          </w:tcPr>
          <w:p w:rsidR="00644456" w:rsidRPr="00E11CE3" w:rsidRDefault="008031C4">
            <w:pPr>
              <w:adjustRightInd w:val="0"/>
              <w:snapToGrid w:val="0"/>
              <w:jc w:val="center"/>
              <w:rPr>
                <w:color w:val="FF0000"/>
                <w:szCs w:val="21"/>
              </w:rPr>
            </w:pPr>
            <w:r w:rsidRPr="00E11CE3">
              <w:rPr>
                <w:rFonts w:hint="eastAsia"/>
                <w:snapToGrid w:val="0"/>
                <w:color w:val="FF0000"/>
                <w:szCs w:val="21"/>
              </w:rPr>
              <w:t>0</w:t>
            </w:r>
            <w:r w:rsidRPr="00E11CE3">
              <w:rPr>
                <w:snapToGrid w:val="0"/>
                <w:color w:val="FF0000"/>
                <w:szCs w:val="21"/>
              </w:rPr>
              <w:t>.2</w:t>
            </w:r>
          </w:p>
        </w:tc>
        <w:tc>
          <w:tcPr>
            <w:tcW w:w="1464" w:type="pct"/>
            <w:vMerge/>
            <w:vAlign w:val="center"/>
          </w:tcPr>
          <w:p w:rsidR="00644456" w:rsidRPr="00E11CE3" w:rsidRDefault="00644456">
            <w:pPr>
              <w:adjustRightInd w:val="0"/>
              <w:snapToGrid w:val="0"/>
              <w:jc w:val="center"/>
              <w:rPr>
                <w:color w:val="FF0000"/>
                <w:szCs w:val="21"/>
              </w:rPr>
            </w:pPr>
          </w:p>
        </w:tc>
        <w:tc>
          <w:tcPr>
            <w:tcW w:w="633"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0t/a</w:t>
            </w:r>
          </w:p>
        </w:tc>
        <w:tc>
          <w:tcPr>
            <w:tcW w:w="550"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合理处置</w:t>
            </w:r>
          </w:p>
        </w:tc>
      </w:tr>
      <w:tr w:rsidR="00E11CE3" w:rsidRPr="00E11CE3" w:rsidTr="00E11CE3">
        <w:trPr>
          <w:jc w:val="center"/>
        </w:trPr>
        <w:tc>
          <w:tcPr>
            <w:tcW w:w="222" w:type="pct"/>
            <w:vMerge/>
            <w:vAlign w:val="center"/>
          </w:tcPr>
          <w:p w:rsidR="00644456" w:rsidRPr="00E11CE3" w:rsidRDefault="00644456">
            <w:pPr>
              <w:adjustRightInd w:val="0"/>
              <w:snapToGrid w:val="0"/>
              <w:jc w:val="center"/>
              <w:rPr>
                <w:color w:val="FF0000"/>
                <w:szCs w:val="21"/>
              </w:rPr>
            </w:pPr>
          </w:p>
        </w:tc>
        <w:tc>
          <w:tcPr>
            <w:tcW w:w="1470" w:type="pct"/>
            <w:gridSpan w:val="2"/>
            <w:vAlign w:val="center"/>
          </w:tcPr>
          <w:p w:rsidR="00644456" w:rsidRPr="00E11CE3" w:rsidRDefault="008031C4">
            <w:pPr>
              <w:adjustRightInd w:val="0"/>
              <w:snapToGrid w:val="0"/>
              <w:jc w:val="center"/>
              <w:rPr>
                <w:color w:val="FF0000"/>
                <w:szCs w:val="21"/>
              </w:rPr>
            </w:pPr>
            <w:r w:rsidRPr="00E11CE3">
              <w:rPr>
                <w:rFonts w:hint="eastAsia"/>
                <w:snapToGrid w:val="0"/>
                <w:color w:val="FF0000"/>
                <w:szCs w:val="21"/>
              </w:rPr>
              <w:t>废导热油</w:t>
            </w:r>
          </w:p>
        </w:tc>
        <w:tc>
          <w:tcPr>
            <w:tcW w:w="661" w:type="pct"/>
            <w:vAlign w:val="center"/>
          </w:tcPr>
          <w:p w:rsidR="00644456" w:rsidRPr="00E11CE3" w:rsidRDefault="008031C4">
            <w:pPr>
              <w:adjustRightInd w:val="0"/>
              <w:snapToGrid w:val="0"/>
              <w:jc w:val="center"/>
              <w:rPr>
                <w:color w:val="FF0000"/>
                <w:szCs w:val="21"/>
              </w:rPr>
            </w:pPr>
            <w:r w:rsidRPr="00E11CE3">
              <w:rPr>
                <w:rFonts w:hint="eastAsia"/>
                <w:snapToGrid w:val="0"/>
                <w:color w:val="FF0000"/>
                <w:szCs w:val="21"/>
              </w:rPr>
              <w:t>0</w:t>
            </w:r>
            <w:r w:rsidRPr="00E11CE3">
              <w:rPr>
                <w:snapToGrid w:val="0"/>
                <w:color w:val="FF0000"/>
                <w:szCs w:val="21"/>
              </w:rPr>
              <w:t>.7</w:t>
            </w:r>
          </w:p>
        </w:tc>
        <w:tc>
          <w:tcPr>
            <w:tcW w:w="1464" w:type="pct"/>
            <w:vMerge/>
            <w:vAlign w:val="center"/>
          </w:tcPr>
          <w:p w:rsidR="00644456" w:rsidRPr="00E11CE3" w:rsidRDefault="00644456">
            <w:pPr>
              <w:adjustRightInd w:val="0"/>
              <w:snapToGrid w:val="0"/>
              <w:jc w:val="center"/>
              <w:rPr>
                <w:color w:val="FF0000"/>
                <w:szCs w:val="21"/>
              </w:rPr>
            </w:pPr>
          </w:p>
        </w:tc>
        <w:tc>
          <w:tcPr>
            <w:tcW w:w="633"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0t/a</w:t>
            </w:r>
          </w:p>
        </w:tc>
        <w:tc>
          <w:tcPr>
            <w:tcW w:w="550"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合理处置</w:t>
            </w:r>
          </w:p>
        </w:tc>
      </w:tr>
      <w:tr w:rsidR="00E11CE3" w:rsidRPr="00E11CE3" w:rsidTr="00E11CE3">
        <w:trPr>
          <w:jc w:val="center"/>
        </w:trPr>
        <w:tc>
          <w:tcPr>
            <w:tcW w:w="222" w:type="pct"/>
            <w:vMerge/>
            <w:vAlign w:val="center"/>
          </w:tcPr>
          <w:p w:rsidR="00644456" w:rsidRPr="00E11CE3" w:rsidRDefault="00644456">
            <w:pPr>
              <w:adjustRightInd w:val="0"/>
              <w:snapToGrid w:val="0"/>
              <w:jc w:val="center"/>
              <w:rPr>
                <w:color w:val="FF0000"/>
                <w:szCs w:val="21"/>
              </w:rPr>
            </w:pPr>
          </w:p>
        </w:tc>
        <w:tc>
          <w:tcPr>
            <w:tcW w:w="1470" w:type="pct"/>
            <w:gridSpan w:val="2"/>
            <w:vAlign w:val="center"/>
          </w:tcPr>
          <w:p w:rsidR="00644456" w:rsidRPr="00E11CE3" w:rsidRDefault="008031C4">
            <w:pPr>
              <w:adjustRightInd w:val="0"/>
              <w:snapToGrid w:val="0"/>
              <w:jc w:val="center"/>
              <w:rPr>
                <w:color w:val="FF0000"/>
                <w:szCs w:val="21"/>
              </w:rPr>
            </w:pPr>
            <w:r w:rsidRPr="00E11CE3">
              <w:rPr>
                <w:rFonts w:hint="eastAsia"/>
                <w:snapToGrid w:val="0"/>
                <w:color w:val="FF0000"/>
                <w:szCs w:val="21"/>
              </w:rPr>
              <w:t>蒸馏残渣</w:t>
            </w:r>
          </w:p>
        </w:tc>
        <w:tc>
          <w:tcPr>
            <w:tcW w:w="661" w:type="pct"/>
            <w:vAlign w:val="center"/>
          </w:tcPr>
          <w:p w:rsidR="00644456" w:rsidRPr="00E11CE3" w:rsidRDefault="008031C4">
            <w:pPr>
              <w:adjustRightInd w:val="0"/>
              <w:snapToGrid w:val="0"/>
              <w:jc w:val="center"/>
              <w:rPr>
                <w:color w:val="FF0000"/>
                <w:szCs w:val="21"/>
              </w:rPr>
            </w:pPr>
            <w:r w:rsidRPr="00E11CE3">
              <w:rPr>
                <w:rFonts w:hint="eastAsia"/>
                <w:snapToGrid w:val="0"/>
                <w:color w:val="FF0000"/>
                <w:szCs w:val="21"/>
              </w:rPr>
              <w:t>5</w:t>
            </w:r>
            <w:r w:rsidRPr="00E11CE3">
              <w:rPr>
                <w:snapToGrid w:val="0"/>
                <w:color w:val="FF0000"/>
                <w:szCs w:val="21"/>
              </w:rPr>
              <w:t>.974</w:t>
            </w:r>
          </w:p>
        </w:tc>
        <w:tc>
          <w:tcPr>
            <w:tcW w:w="1464" w:type="pct"/>
            <w:vMerge/>
            <w:vAlign w:val="center"/>
          </w:tcPr>
          <w:p w:rsidR="00644456" w:rsidRPr="00E11CE3" w:rsidRDefault="00644456">
            <w:pPr>
              <w:adjustRightInd w:val="0"/>
              <w:snapToGrid w:val="0"/>
              <w:jc w:val="center"/>
              <w:rPr>
                <w:color w:val="FF0000"/>
                <w:szCs w:val="21"/>
              </w:rPr>
            </w:pPr>
          </w:p>
        </w:tc>
        <w:tc>
          <w:tcPr>
            <w:tcW w:w="633"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0t/a</w:t>
            </w:r>
          </w:p>
        </w:tc>
        <w:tc>
          <w:tcPr>
            <w:tcW w:w="550"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合理处置</w:t>
            </w:r>
          </w:p>
        </w:tc>
      </w:tr>
      <w:tr w:rsidR="00E11CE3" w:rsidRPr="00E11CE3" w:rsidTr="00E11CE3">
        <w:trPr>
          <w:jc w:val="center"/>
        </w:trPr>
        <w:tc>
          <w:tcPr>
            <w:tcW w:w="222" w:type="pct"/>
            <w:vMerge/>
            <w:vAlign w:val="center"/>
          </w:tcPr>
          <w:p w:rsidR="00644456" w:rsidRPr="00E11CE3" w:rsidRDefault="00644456">
            <w:pPr>
              <w:adjustRightInd w:val="0"/>
              <w:snapToGrid w:val="0"/>
              <w:jc w:val="center"/>
              <w:rPr>
                <w:color w:val="FF0000"/>
                <w:szCs w:val="21"/>
              </w:rPr>
            </w:pPr>
          </w:p>
        </w:tc>
        <w:tc>
          <w:tcPr>
            <w:tcW w:w="1470" w:type="pct"/>
            <w:gridSpan w:val="2"/>
            <w:vAlign w:val="center"/>
          </w:tcPr>
          <w:p w:rsidR="00644456" w:rsidRPr="00E11CE3" w:rsidRDefault="008031C4">
            <w:pPr>
              <w:adjustRightInd w:val="0"/>
              <w:snapToGrid w:val="0"/>
              <w:jc w:val="center"/>
              <w:rPr>
                <w:color w:val="FF0000"/>
                <w:szCs w:val="21"/>
              </w:rPr>
            </w:pPr>
            <w:r w:rsidRPr="00E11CE3">
              <w:rPr>
                <w:rFonts w:hint="eastAsia"/>
                <w:snapToGrid w:val="0"/>
                <w:color w:val="FF0000"/>
                <w:szCs w:val="21"/>
              </w:rPr>
              <w:t>废干式过滤器</w:t>
            </w:r>
          </w:p>
        </w:tc>
        <w:tc>
          <w:tcPr>
            <w:tcW w:w="661" w:type="pct"/>
            <w:vAlign w:val="center"/>
          </w:tcPr>
          <w:p w:rsidR="00644456" w:rsidRPr="00E11CE3" w:rsidRDefault="008031C4">
            <w:pPr>
              <w:adjustRightInd w:val="0"/>
              <w:snapToGrid w:val="0"/>
              <w:jc w:val="center"/>
              <w:rPr>
                <w:color w:val="FF0000"/>
                <w:szCs w:val="21"/>
              </w:rPr>
            </w:pPr>
            <w:r w:rsidRPr="00E11CE3">
              <w:rPr>
                <w:rFonts w:hint="eastAsia"/>
                <w:snapToGrid w:val="0"/>
                <w:color w:val="FF0000"/>
                <w:szCs w:val="21"/>
              </w:rPr>
              <w:t>0</w:t>
            </w:r>
            <w:r w:rsidRPr="00E11CE3">
              <w:rPr>
                <w:snapToGrid w:val="0"/>
                <w:color w:val="FF0000"/>
                <w:szCs w:val="21"/>
              </w:rPr>
              <w:t>.005</w:t>
            </w:r>
          </w:p>
        </w:tc>
        <w:tc>
          <w:tcPr>
            <w:tcW w:w="1464" w:type="pct"/>
            <w:vMerge/>
            <w:vAlign w:val="center"/>
          </w:tcPr>
          <w:p w:rsidR="00644456" w:rsidRPr="00E11CE3" w:rsidRDefault="00644456">
            <w:pPr>
              <w:adjustRightInd w:val="0"/>
              <w:snapToGrid w:val="0"/>
              <w:jc w:val="center"/>
              <w:rPr>
                <w:color w:val="FF0000"/>
                <w:szCs w:val="21"/>
              </w:rPr>
            </w:pPr>
          </w:p>
        </w:tc>
        <w:tc>
          <w:tcPr>
            <w:tcW w:w="633"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0t/a</w:t>
            </w:r>
          </w:p>
        </w:tc>
        <w:tc>
          <w:tcPr>
            <w:tcW w:w="550"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合理处置</w:t>
            </w:r>
          </w:p>
        </w:tc>
      </w:tr>
      <w:tr w:rsidR="00E11CE3" w:rsidRPr="00E11CE3" w:rsidTr="00E11CE3">
        <w:trPr>
          <w:jc w:val="center"/>
        </w:trPr>
        <w:tc>
          <w:tcPr>
            <w:tcW w:w="222" w:type="pct"/>
            <w:vMerge/>
            <w:vAlign w:val="center"/>
          </w:tcPr>
          <w:p w:rsidR="00644456" w:rsidRPr="00E11CE3" w:rsidRDefault="00644456">
            <w:pPr>
              <w:adjustRightInd w:val="0"/>
              <w:snapToGrid w:val="0"/>
              <w:jc w:val="center"/>
              <w:rPr>
                <w:color w:val="FF0000"/>
                <w:szCs w:val="21"/>
              </w:rPr>
            </w:pPr>
          </w:p>
        </w:tc>
        <w:tc>
          <w:tcPr>
            <w:tcW w:w="1470" w:type="pct"/>
            <w:gridSpan w:val="2"/>
            <w:vAlign w:val="center"/>
          </w:tcPr>
          <w:p w:rsidR="00644456" w:rsidRPr="00E11CE3" w:rsidRDefault="008031C4">
            <w:pPr>
              <w:adjustRightInd w:val="0"/>
              <w:snapToGrid w:val="0"/>
              <w:jc w:val="center"/>
              <w:rPr>
                <w:color w:val="FF0000"/>
                <w:szCs w:val="21"/>
              </w:rPr>
            </w:pPr>
            <w:r w:rsidRPr="00E11CE3">
              <w:rPr>
                <w:rFonts w:hint="eastAsia"/>
                <w:snapToGrid w:val="0"/>
                <w:color w:val="FF0000"/>
                <w:szCs w:val="21"/>
              </w:rPr>
              <w:t>其他危险废物</w:t>
            </w:r>
          </w:p>
        </w:tc>
        <w:tc>
          <w:tcPr>
            <w:tcW w:w="661" w:type="pct"/>
            <w:vAlign w:val="center"/>
          </w:tcPr>
          <w:p w:rsidR="00644456" w:rsidRPr="00E11CE3" w:rsidRDefault="008031C4">
            <w:pPr>
              <w:adjustRightInd w:val="0"/>
              <w:snapToGrid w:val="0"/>
              <w:jc w:val="center"/>
              <w:rPr>
                <w:color w:val="FF0000"/>
                <w:szCs w:val="21"/>
              </w:rPr>
            </w:pPr>
            <w:r w:rsidRPr="00E11CE3">
              <w:rPr>
                <w:rFonts w:hint="eastAsia"/>
                <w:snapToGrid w:val="0"/>
                <w:color w:val="FF0000"/>
                <w:szCs w:val="21"/>
              </w:rPr>
              <w:t>9</w:t>
            </w:r>
          </w:p>
        </w:tc>
        <w:tc>
          <w:tcPr>
            <w:tcW w:w="1464" w:type="pct"/>
            <w:vMerge/>
            <w:vAlign w:val="center"/>
          </w:tcPr>
          <w:p w:rsidR="00644456" w:rsidRPr="00E11CE3" w:rsidRDefault="00644456">
            <w:pPr>
              <w:adjustRightInd w:val="0"/>
              <w:snapToGrid w:val="0"/>
              <w:jc w:val="center"/>
              <w:rPr>
                <w:color w:val="FF0000"/>
                <w:szCs w:val="21"/>
              </w:rPr>
            </w:pPr>
          </w:p>
        </w:tc>
        <w:tc>
          <w:tcPr>
            <w:tcW w:w="633" w:type="pct"/>
            <w:vAlign w:val="center"/>
          </w:tcPr>
          <w:p w:rsidR="00644456" w:rsidRPr="00E11CE3" w:rsidRDefault="008031C4">
            <w:pPr>
              <w:adjustRightInd w:val="0"/>
              <w:snapToGrid w:val="0"/>
              <w:jc w:val="center"/>
              <w:rPr>
                <w:color w:val="FF0000"/>
                <w:szCs w:val="21"/>
              </w:rPr>
            </w:pPr>
            <w:r w:rsidRPr="00E11CE3">
              <w:rPr>
                <w:color w:val="FF0000"/>
                <w:szCs w:val="21"/>
              </w:rPr>
              <w:t>0</w:t>
            </w:r>
            <w:r w:rsidRPr="00E11CE3">
              <w:rPr>
                <w:rFonts w:hint="eastAsia"/>
                <w:color w:val="FF0000"/>
                <w:szCs w:val="21"/>
              </w:rPr>
              <w:t>t/d</w:t>
            </w:r>
          </w:p>
        </w:tc>
        <w:tc>
          <w:tcPr>
            <w:tcW w:w="550"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合理处置</w:t>
            </w:r>
          </w:p>
        </w:tc>
      </w:tr>
      <w:bookmarkEnd w:id="213"/>
      <w:tr w:rsidR="00E11CE3" w:rsidRPr="00E11CE3" w:rsidTr="00E11CE3">
        <w:trPr>
          <w:jc w:val="center"/>
        </w:trPr>
        <w:tc>
          <w:tcPr>
            <w:tcW w:w="222"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噪声</w:t>
            </w:r>
          </w:p>
        </w:tc>
        <w:tc>
          <w:tcPr>
            <w:tcW w:w="1470" w:type="pct"/>
            <w:gridSpan w:val="2"/>
            <w:vAlign w:val="center"/>
          </w:tcPr>
          <w:p w:rsidR="00644456" w:rsidRPr="00E11CE3" w:rsidRDefault="008031C4">
            <w:pPr>
              <w:adjustRightInd w:val="0"/>
              <w:snapToGrid w:val="0"/>
              <w:jc w:val="center"/>
              <w:rPr>
                <w:color w:val="FF0000"/>
                <w:szCs w:val="21"/>
              </w:rPr>
            </w:pPr>
            <w:r w:rsidRPr="00E11CE3">
              <w:rPr>
                <w:rFonts w:hint="eastAsia"/>
                <w:color w:val="FF0000"/>
                <w:szCs w:val="21"/>
              </w:rPr>
              <w:t>设备设施</w:t>
            </w:r>
          </w:p>
        </w:tc>
        <w:tc>
          <w:tcPr>
            <w:tcW w:w="661" w:type="pct"/>
            <w:vAlign w:val="center"/>
          </w:tcPr>
          <w:p w:rsidR="00644456" w:rsidRPr="00E11CE3" w:rsidRDefault="008031C4">
            <w:pPr>
              <w:pStyle w:val="38"/>
            </w:pPr>
            <w:r w:rsidRPr="00E11CE3">
              <w:rPr>
                <w:rFonts w:hint="eastAsia"/>
              </w:rPr>
              <w:t>80~90dB(A)</w:t>
            </w:r>
          </w:p>
        </w:tc>
        <w:tc>
          <w:tcPr>
            <w:tcW w:w="1464"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选用低噪声设备，安装减震垫，墙体阻隔，距离衰减</w:t>
            </w:r>
          </w:p>
        </w:tc>
        <w:tc>
          <w:tcPr>
            <w:tcW w:w="633"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昼间：≤</w:t>
            </w:r>
            <w:r w:rsidRPr="00E11CE3">
              <w:rPr>
                <w:rFonts w:hint="eastAsia"/>
                <w:color w:val="FF0000"/>
                <w:szCs w:val="21"/>
              </w:rPr>
              <w:t>65dB(A)</w:t>
            </w:r>
          </w:p>
          <w:p w:rsidR="00644456" w:rsidRPr="00E11CE3" w:rsidRDefault="008031C4">
            <w:pPr>
              <w:adjustRightInd w:val="0"/>
              <w:snapToGrid w:val="0"/>
              <w:jc w:val="center"/>
              <w:rPr>
                <w:color w:val="FF0000"/>
                <w:szCs w:val="21"/>
              </w:rPr>
            </w:pPr>
            <w:r w:rsidRPr="00E11CE3">
              <w:rPr>
                <w:rFonts w:hint="eastAsia"/>
                <w:color w:val="FF0000"/>
                <w:szCs w:val="21"/>
              </w:rPr>
              <w:t>夜间：≤</w:t>
            </w:r>
            <w:r w:rsidRPr="00E11CE3">
              <w:rPr>
                <w:rFonts w:hint="eastAsia"/>
                <w:color w:val="FF0000"/>
                <w:szCs w:val="21"/>
              </w:rPr>
              <w:t>55dB(A)</w:t>
            </w:r>
          </w:p>
        </w:tc>
        <w:tc>
          <w:tcPr>
            <w:tcW w:w="550" w:type="pct"/>
            <w:vAlign w:val="center"/>
          </w:tcPr>
          <w:p w:rsidR="00644456" w:rsidRPr="00E11CE3" w:rsidRDefault="008031C4">
            <w:pPr>
              <w:adjustRightInd w:val="0"/>
              <w:snapToGrid w:val="0"/>
              <w:jc w:val="center"/>
              <w:rPr>
                <w:color w:val="FF0000"/>
                <w:szCs w:val="21"/>
              </w:rPr>
            </w:pPr>
            <w:r w:rsidRPr="00E11CE3">
              <w:rPr>
                <w:rFonts w:hint="eastAsia"/>
                <w:color w:val="FF0000"/>
                <w:szCs w:val="21"/>
              </w:rPr>
              <w:t>厂界</w:t>
            </w:r>
          </w:p>
          <w:p w:rsidR="00644456" w:rsidRPr="00E11CE3" w:rsidRDefault="008031C4">
            <w:pPr>
              <w:adjustRightInd w:val="0"/>
              <w:snapToGrid w:val="0"/>
              <w:jc w:val="center"/>
              <w:rPr>
                <w:color w:val="FF0000"/>
                <w:szCs w:val="21"/>
              </w:rPr>
            </w:pPr>
            <w:r w:rsidRPr="00E11CE3">
              <w:rPr>
                <w:rFonts w:hint="eastAsia"/>
                <w:color w:val="FF0000"/>
                <w:szCs w:val="21"/>
              </w:rPr>
              <w:t>达标</w:t>
            </w:r>
          </w:p>
        </w:tc>
      </w:tr>
      <w:bookmarkEnd w:id="212"/>
    </w:tbl>
    <w:p w:rsidR="00644456" w:rsidRDefault="00644456">
      <w:pPr>
        <w:pStyle w:val="1f7"/>
        <w:sectPr w:rsidR="00644456">
          <w:pgSz w:w="11905" w:h="16838"/>
          <w:pgMar w:top="1440" w:right="1440" w:bottom="1440" w:left="1440" w:header="850" w:footer="992" w:gutter="0"/>
          <w:cols w:space="0"/>
        </w:sectPr>
      </w:pPr>
    </w:p>
    <w:p w:rsidR="00644456" w:rsidRDefault="008031C4">
      <w:pPr>
        <w:pStyle w:val="1"/>
        <w:numPr>
          <w:ilvl w:val="0"/>
          <w:numId w:val="0"/>
        </w:numPr>
      </w:pPr>
      <w:bookmarkStart w:id="214" w:name="_Toc177216874"/>
      <w:bookmarkStart w:id="215" w:name="_Toc155789366"/>
      <w:r>
        <w:rPr>
          <w:rFonts w:hint="eastAsia"/>
        </w:rPr>
        <w:lastRenderedPageBreak/>
        <w:t>第</w:t>
      </w:r>
      <w:r>
        <w:rPr>
          <w:rFonts w:hint="eastAsia"/>
        </w:rPr>
        <w:t xml:space="preserve"> 3 </w:t>
      </w:r>
      <w:r>
        <w:rPr>
          <w:rFonts w:hint="eastAsia"/>
        </w:rPr>
        <w:t>章</w:t>
      </w:r>
      <w:r>
        <w:rPr>
          <w:rFonts w:hint="eastAsia"/>
        </w:rPr>
        <w:t xml:space="preserve"> </w:t>
      </w:r>
      <w:r>
        <w:t>区域环境概况</w:t>
      </w:r>
      <w:bookmarkEnd w:id="201"/>
      <w:bookmarkEnd w:id="214"/>
      <w:bookmarkEnd w:id="215"/>
    </w:p>
    <w:p w:rsidR="00644456" w:rsidRDefault="008031C4">
      <w:pPr>
        <w:pStyle w:val="20"/>
        <w:numPr>
          <w:ilvl w:val="1"/>
          <w:numId w:val="0"/>
        </w:numPr>
        <w:snapToGrid w:val="0"/>
        <w:spacing w:beforeLines="0" w:before="0" w:afterLines="0" w:after="0"/>
        <w:ind w:firstLine="562"/>
        <w:rPr>
          <w:rFonts w:cs="Times New Roman"/>
          <w:color w:val="000000" w:themeColor="text1"/>
        </w:rPr>
      </w:pPr>
      <w:bookmarkStart w:id="216" w:name="_Toc1273"/>
      <w:bookmarkStart w:id="217" w:name="_Toc1380"/>
      <w:bookmarkStart w:id="218" w:name="_Toc177216875"/>
      <w:bookmarkStart w:id="219" w:name="_Toc8712"/>
      <w:bookmarkStart w:id="220" w:name="_Toc155789367"/>
      <w:r>
        <w:rPr>
          <w:rFonts w:cs="Times New Roman" w:hint="eastAsia"/>
          <w:color w:val="000000" w:themeColor="text1"/>
        </w:rPr>
        <w:t>3.1</w:t>
      </w:r>
      <w:r>
        <w:rPr>
          <w:rFonts w:cs="Times New Roman"/>
          <w:color w:val="000000" w:themeColor="text1"/>
        </w:rPr>
        <w:t>自然环境调查与评价</w:t>
      </w:r>
      <w:bookmarkEnd w:id="216"/>
      <w:bookmarkEnd w:id="217"/>
      <w:bookmarkEnd w:id="218"/>
      <w:bookmarkEnd w:id="219"/>
      <w:bookmarkEnd w:id="220"/>
    </w:p>
    <w:p w:rsidR="00644456" w:rsidRDefault="008031C4">
      <w:pPr>
        <w:pStyle w:val="3"/>
        <w:numPr>
          <w:ilvl w:val="2"/>
          <w:numId w:val="0"/>
        </w:numPr>
        <w:ind w:firstLineChars="200" w:firstLine="482"/>
      </w:pPr>
      <w:bookmarkStart w:id="221" w:name="_Toc329088349"/>
      <w:bookmarkStart w:id="222" w:name="_Toc249434895"/>
      <w:bookmarkStart w:id="223" w:name="_Toc184803251"/>
      <w:bookmarkStart w:id="224" w:name="_Toc357495559"/>
      <w:r>
        <w:rPr>
          <w:rFonts w:hint="eastAsia"/>
        </w:rPr>
        <w:t>3.1.1</w:t>
      </w:r>
      <w:r>
        <w:rPr>
          <w:rFonts w:hint="eastAsia"/>
        </w:rPr>
        <w:t>地理位置</w:t>
      </w:r>
    </w:p>
    <w:p w:rsidR="00644456" w:rsidRDefault="008031C4">
      <w:pPr>
        <w:autoSpaceDE w:val="0"/>
        <w:autoSpaceDN w:val="0"/>
        <w:snapToGrid w:val="0"/>
        <w:spacing w:line="360" w:lineRule="auto"/>
        <w:ind w:firstLine="480"/>
        <w:rPr>
          <w:rFonts w:cs="Times New Roman"/>
          <w:color w:val="000000" w:themeColor="text1"/>
          <w:sz w:val="24"/>
          <w:szCs w:val="24"/>
        </w:rPr>
      </w:pPr>
      <w:bookmarkStart w:id="225" w:name="_Toc518507555"/>
      <w:bookmarkStart w:id="226" w:name="_Toc21540"/>
      <w:bookmarkStart w:id="227" w:name="_Toc422563424"/>
      <w:bookmarkStart w:id="228" w:name="_Toc484402656"/>
      <w:bookmarkStart w:id="229" w:name="_Toc483623002"/>
      <w:bookmarkStart w:id="230" w:name="_Toc424983445"/>
      <w:bookmarkStart w:id="231" w:name="_Toc424995974"/>
      <w:bookmarkStart w:id="232" w:name="_Toc453129278"/>
      <w:bookmarkStart w:id="233" w:name="_Toc453167175"/>
      <w:bookmarkStart w:id="234" w:name="_Toc436130166"/>
      <w:bookmarkStart w:id="235" w:name="_Toc422562160"/>
      <w:bookmarkStart w:id="236" w:name="_Toc436191263"/>
      <w:bookmarkEnd w:id="202"/>
      <w:bookmarkEnd w:id="203"/>
      <w:bookmarkEnd w:id="204"/>
      <w:bookmarkEnd w:id="205"/>
      <w:bookmarkEnd w:id="206"/>
      <w:bookmarkEnd w:id="207"/>
      <w:bookmarkEnd w:id="208"/>
      <w:bookmarkEnd w:id="209"/>
      <w:bookmarkEnd w:id="210"/>
      <w:bookmarkEnd w:id="211"/>
      <w:bookmarkEnd w:id="221"/>
      <w:bookmarkEnd w:id="222"/>
      <w:bookmarkEnd w:id="223"/>
      <w:bookmarkEnd w:id="224"/>
      <w:r>
        <w:rPr>
          <w:rFonts w:cs="Times New Roman" w:hint="eastAsia"/>
          <w:color w:val="000000" w:themeColor="text1"/>
          <w:sz w:val="24"/>
          <w:szCs w:val="24"/>
        </w:rPr>
        <w:t>疏勒县位于新疆维吾尔自治区西南部，地处塔里木盆地西缘古老的喀什噶尔绿洲中部，处于东经</w:t>
      </w:r>
      <w:r>
        <w:rPr>
          <w:rFonts w:cs="Times New Roman" w:hint="eastAsia"/>
          <w:color w:val="000000" w:themeColor="text1"/>
          <w:sz w:val="24"/>
          <w:szCs w:val="24"/>
        </w:rPr>
        <w:t>75</w:t>
      </w:r>
      <w:r>
        <w:rPr>
          <w:rFonts w:cs="Times New Roman" w:hint="eastAsia"/>
          <w:color w:val="000000" w:themeColor="text1"/>
          <w:sz w:val="24"/>
          <w:szCs w:val="24"/>
        </w:rPr>
        <w:t>°</w:t>
      </w:r>
      <w:r>
        <w:rPr>
          <w:rFonts w:cs="Times New Roman" w:hint="eastAsia"/>
          <w:color w:val="000000" w:themeColor="text1"/>
          <w:sz w:val="24"/>
          <w:szCs w:val="24"/>
        </w:rPr>
        <w:t>47</w:t>
      </w:r>
      <w:r>
        <w:rPr>
          <w:rFonts w:cs="Times New Roman" w:hint="eastAsia"/>
          <w:color w:val="000000" w:themeColor="text1"/>
          <w:sz w:val="24"/>
          <w:szCs w:val="24"/>
        </w:rPr>
        <w:t>′～</w:t>
      </w:r>
      <w:r>
        <w:rPr>
          <w:rFonts w:cs="Times New Roman" w:hint="eastAsia"/>
          <w:color w:val="000000" w:themeColor="text1"/>
          <w:sz w:val="24"/>
          <w:szCs w:val="24"/>
        </w:rPr>
        <w:t>76</w:t>
      </w:r>
      <w:r>
        <w:rPr>
          <w:rFonts w:cs="Times New Roman" w:hint="eastAsia"/>
          <w:color w:val="000000" w:themeColor="text1"/>
          <w:sz w:val="24"/>
          <w:szCs w:val="24"/>
        </w:rPr>
        <w:t>°</w:t>
      </w:r>
      <w:r>
        <w:rPr>
          <w:rFonts w:cs="Times New Roman" w:hint="eastAsia"/>
          <w:color w:val="000000" w:themeColor="text1"/>
          <w:sz w:val="24"/>
          <w:szCs w:val="24"/>
        </w:rPr>
        <w:t>55</w:t>
      </w:r>
      <w:r>
        <w:rPr>
          <w:rFonts w:cs="Times New Roman" w:hint="eastAsia"/>
          <w:color w:val="000000" w:themeColor="text1"/>
          <w:sz w:val="24"/>
          <w:szCs w:val="24"/>
        </w:rPr>
        <w:t>′，北纬</w:t>
      </w:r>
      <w:r>
        <w:rPr>
          <w:rFonts w:cs="Times New Roman" w:hint="eastAsia"/>
          <w:color w:val="000000" w:themeColor="text1"/>
          <w:sz w:val="24"/>
          <w:szCs w:val="24"/>
        </w:rPr>
        <w:t>38</w:t>
      </w:r>
      <w:r>
        <w:rPr>
          <w:rFonts w:cs="Times New Roman" w:hint="eastAsia"/>
          <w:color w:val="000000" w:themeColor="text1"/>
          <w:sz w:val="24"/>
          <w:szCs w:val="24"/>
        </w:rPr>
        <w:t>°</w:t>
      </w:r>
      <w:r>
        <w:rPr>
          <w:rFonts w:cs="Times New Roman" w:hint="eastAsia"/>
          <w:color w:val="000000" w:themeColor="text1"/>
          <w:sz w:val="24"/>
          <w:szCs w:val="24"/>
        </w:rPr>
        <w:t>50</w:t>
      </w:r>
      <w:r>
        <w:rPr>
          <w:rFonts w:cs="Times New Roman" w:hint="eastAsia"/>
          <w:color w:val="000000" w:themeColor="text1"/>
          <w:sz w:val="24"/>
          <w:szCs w:val="24"/>
        </w:rPr>
        <w:t>′～</w:t>
      </w:r>
      <w:r>
        <w:rPr>
          <w:rFonts w:cs="Times New Roman" w:hint="eastAsia"/>
          <w:color w:val="000000" w:themeColor="text1"/>
          <w:sz w:val="24"/>
          <w:szCs w:val="24"/>
        </w:rPr>
        <w:t>39</w:t>
      </w:r>
      <w:r>
        <w:rPr>
          <w:rFonts w:cs="Times New Roman" w:hint="eastAsia"/>
          <w:color w:val="000000" w:themeColor="text1"/>
          <w:sz w:val="24"/>
          <w:szCs w:val="24"/>
        </w:rPr>
        <w:t>°</w:t>
      </w:r>
      <w:r>
        <w:rPr>
          <w:rFonts w:cs="Times New Roman" w:hint="eastAsia"/>
          <w:color w:val="000000" w:themeColor="text1"/>
          <w:sz w:val="24"/>
          <w:szCs w:val="24"/>
        </w:rPr>
        <w:t>28</w:t>
      </w:r>
      <w:r>
        <w:rPr>
          <w:rFonts w:cs="Times New Roman" w:hint="eastAsia"/>
          <w:color w:val="000000" w:themeColor="text1"/>
          <w:sz w:val="24"/>
          <w:szCs w:val="24"/>
        </w:rPr>
        <w:t>′之间。东连伽师、岳普湖县，西接疏附县及克孜勒苏柯尔克孜自治州阿克陶县，南邻英吉沙县，西北和疏附县毗邻，北隔克孜勒河与喀什市、疏附县相望。</w:t>
      </w:r>
    </w:p>
    <w:p w:rsidR="00644456" w:rsidRDefault="008031C4">
      <w:pPr>
        <w:autoSpaceDE w:val="0"/>
        <w:autoSpaceDN w:val="0"/>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疏勒高新技术产业开发区—生态钢城产业园四至范围：东至喀叶高等级公路、南至疏勒县与英吉沙县交界、西至疏勒县与阿克陶县交界、北至艾尔木东乡。用地规模为</w:t>
      </w:r>
      <w:r>
        <w:rPr>
          <w:rFonts w:cs="Times New Roman" w:hint="eastAsia"/>
          <w:color w:val="000000" w:themeColor="text1"/>
          <w:sz w:val="24"/>
          <w:szCs w:val="24"/>
        </w:rPr>
        <w:t>26.93</w:t>
      </w:r>
      <w:r>
        <w:rPr>
          <w:rFonts w:cs="Times New Roman" w:hint="eastAsia"/>
          <w:color w:val="000000" w:themeColor="text1"/>
          <w:sz w:val="24"/>
          <w:szCs w:val="24"/>
        </w:rPr>
        <w:t>平方公里。</w:t>
      </w:r>
    </w:p>
    <w:p w:rsidR="00644456" w:rsidRDefault="008031C4">
      <w:pPr>
        <w:autoSpaceDE w:val="0"/>
        <w:autoSpaceDN w:val="0"/>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项目位于疏勒高新技术产业开发区—生态钢城产业园中的化工聚集区，中心地理坐标为北纬</w:t>
      </w:r>
      <w:r>
        <w:rPr>
          <w:rFonts w:cs="Times New Roman" w:hint="eastAsia"/>
          <w:color w:val="000000" w:themeColor="text1"/>
          <w:sz w:val="24"/>
          <w:szCs w:val="24"/>
        </w:rPr>
        <w:t>44</w:t>
      </w:r>
      <w:r>
        <w:rPr>
          <w:rFonts w:cs="Times New Roman" w:hint="eastAsia"/>
          <w:color w:val="000000" w:themeColor="text1"/>
          <w:sz w:val="24"/>
          <w:szCs w:val="24"/>
        </w:rPr>
        <w:t>°</w:t>
      </w:r>
      <w:r>
        <w:rPr>
          <w:rFonts w:cs="Times New Roman" w:hint="eastAsia"/>
          <w:color w:val="000000" w:themeColor="text1"/>
          <w:sz w:val="24"/>
          <w:szCs w:val="24"/>
        </w:rPr>
        <w:t>20</w:t>
      </w:r>
      <w:r>
        <w:rPr>
          <w:rFonts w:cs="Times New Roman" w:hint="eastAsia"/>
          <w:color w:val="000000" w:themeColor="text1"/>
          <w:sz w:val="24"/>
          <w:szCs w:val="24"/>
        </w:rPr>
        <w:t>′</w:t>
      </w:r>
      <w:r>
        <w:rPr>
          <w:rFonts w:cs="Times New Roman" w:hint="eastAsia"/>
          <w:color w:val="000000" w:themeColor="text1"/>
          <w:sz w:val="24"/>
          <w:szCs w:val="24"/>
        </w:rPr>
        <w:t>16.551</w:t>
      </w:r>
      <w:r>
        <w:rPr>
          <w:rFonts w:cs="Times New Roman" w:hint="eastAsia"/>
          <w:color w:val="000000" w:themeColor="text1"/>
          <w:sz w:val="24"/>
          <w:szCs w:val="24"/>
        </w:rPr>
        <w:t>″，东经</w:t>
      </w:r>
      <w:r>
        <w:rPr>
          <w:rFonts w:cs="Times New Roman" w:hint="eastAsia"/>
          <w:color w:val="000000" w:themeColor="text1"/>
          <w:sz w:val="24"/>
          <w:szCs w:val="24"/>
        </w:rPr>
        <w:t>84</w:t>
      </w:r>
      <w:r>
        <w:rPr>
          <w:rFonts w:cs="Times New Roman" w:hint="eastAsia"/>
          <w:color w:val="000000" w:themeColor="text1"/>
          <w:sz w:val="24"/>
          <w:szCs w:val="24"/>
        </w:rPr>
        <w:t>°</w:t>
      </w:r>
      <w:r>
        <w:rPr>
          <w:rFonts w:cs="Times New Roman" w:hint="eastAsia"/>
          <w:color w:val="000000" w:themeColor="text1"/>
          <w:sz w:val="24"/>
          <w:szCs w:val="24"/>
        </w:rPr>
        <w:t>16</w:t>
      </w:r>
      <w:r>
        <w:rPr>
          <w:rFonts w:cs="Times New Roman" w:hint="eastAsia"/>
          <w:color w:val="000000" w:themeColor="text1"/>
          <w:sz w:val="24"/>
          <w:szCs w:val="24"/>
        </w:rPr>
        <w:t>′</w:t>
      </w:r>
      <w:r>
        <w:rPr>
          <w:rFonts w:cs="Times New Roman" w:hint="eastAsia"/>
          <w:color w:val="000000" w:themeColor="text1"/>
          <w:sz w:val="24"/>
          <w:szCs w:val="24"/>
        </w:rPr>
        <w:t>27.149</w:t>
      </w:r>
      <w:r>
        <w:rPr>
          <w:rFonts w:cs="Times New Roman" w:hint="eastAsia"/>
          <w:color w:val="000000" w:themeColor="text1"/>
          <w:sz w:val="24"/>
          <w:szCs w:val="24"/>
        </w:rPr>
        <w:t>″。本项目所在地理位置见附图</w:t>
      </w:r>
      <w:r>
        <w:rPr>
          <w:rFonts w:cs="Times New Roman" w:hint="eastAsia"/>
          <w:color w:val="000000" w:themeColor="text1"/>
          <w:sz w:val="24"/>
          <w:szCs w:val="24"/>
        </w:rPr>
        <w:t>1</w:t>
      </w:r>
      <w:r>
        <w:rPr>
          <w:rFonts w:cs="Times New Roman"/>
          <w:color w:val="000000" w:themeColor="text1"/>
          <w:sz w:val="24"/>
          <w:szCs w:val="24"/>
        </w:rPr>
        <w:t>。</w:t>
      </w:r>
    </w:p>
    <w:p w:rsidR="00644456" w:rsidRDefault="008031C4">
      <w:pPr>
        <w:pStyle w:val="3"/>
        <w:numPr>
          <w:ilvl w:val="2"/>
          <w:numId w:val="0"/>
        </w:numPr>
        <w:ind w:firstLineChars="200" w:firstLine="482"/>
      </w:pPr>
      <w:r>
        <w:rPr>
          <w:rFonts w:hint="eastAsia"/>
        </w:rPr>
        <w:t>3.1.2</w:t>
      </w:r>
      <w:r>
        <w:rPr>
          <w:rFonts w:hint="eastAsia"/>
        </w:rPr>
        <w:t>地形、地貌</w:t>
      </w:r>
      <w:bookmarkEnd w:id="225"/>
    </w:p>
    <w:p w:rsidR="00644456" w:rsidRDefault="008031C4">
      <w:pPr>
        <w:snapToGrid w:val="0"/>
        <w:spacing w:line="360" w:lineRule="auto"/>
        <w:ind w:firstLineChars="200" w:firstLine="480"/>
        <w:rPr>
          <w:rFonts w:cs="Times New Roman"/>
          <w:color w:val="000000" w:themeColor="text1"/>
          <w:sz w:val="24"/>
        </w:rPr>
      </w:pPr>
      <w:bookmarkStart w:id="237" w:name="_Toc518507556"/>
      <w:r>
        <w:rPr>
          <w:rFonts w:cs="Times New Roman" w:hint="eastAsia"/>
          <w:color w:val="000000" w:themeColor="text1"/>
          <w:sz w:val="24"/>
        </w:rPr>
        <w:t>疏勒县地处克孜勒河、盖孜河和库山河冲积平原中游地区，境内地势平坦，仅在东南部的沙漠区地形起伏较大。县境海拔最高点在西部，为</w:t>
      </w:r>
      <w:r>
        <w:rPr>
          <w:rFonts w:cs="Times New Roman" w:hint="eastAsia"/>
          <w:color w:val="000000" w:themeColor="text1"/>
          <w:sz w:val="24"/>
        </w:rPr>
        <w:t>1310</w:t>
      </w:r>
      <w:r>
        <w:rPr>
          <w:rFonts w:cs="Times New Roman" w:hint="eastAsia"/>
          <w:color w:val="000000" w:themeColor="text1"/>
          <w:sz w:val="24"/>
        </w:rPr>
        <w:t>米；最低点在东部，为</w:t>
      </w:r>
      <w:r>
        <w:rPr>
          <w:rFonts w:cs="Times New Roman" w:hint="eastAsia"/>
          <w:color w:val="000000" w:themeColor="text1"/>
          <w:sz w:val="24"/>
        </w:rPr>
        <w:t>1198</w:t>
      </w:r>
      <w:r>
        <w:rPr>
          <w:rFonts w:cs="Times New Roman" w:hint="eastAsia"/>
          <w:color w:val="000000" w:themeColor="text1"/>
          <w:sz w:val="24"/>
        </w:rPr>
        <w:t>米。按地形倾向和地貌成因，全县可分为三大地貌单元。克孜勒河冲积平原：大体分布于疏勒县－岳普湖县公路以北，海拔介于</w:t>
      </w:r>
      <w:r>
        <w:rPr>
          <w:rFonts w:cs="Times New Roman" w:hint="eastAsia"/>
          <w:color w:val="000000" w:themeColor="text1"/>
          <w:sz w:val="24"/>
        </w:rPr>
        <w:t>1310</w:t>
      </w:r>
      <w:r>
        <w:rPr>
          <w:rFonts w:cs="Times New Roman" w:hint="eastAsia"/>
          <w:color w:val="000000" w:themeColor="text1"/>
          <w:sz w:val="24"/>
        </w:rPr>
        <w:t>～</w:t>
      </w:r>
      <w:r>
        <w:rPr>
          <w:rFonts w:cs="Times New Roman" w:hint="eastAsia"/>
          <w:color w:val="000000" w:themeColor="text1"/>
          <w:sz w:val="24"/>
        </w:rPr>
        <w:t>1224</w:t>
      </w:r>
      <w:r>
        <w:rPr>
          <w:rFonts w:cs="Times New Roman" w:hint="eastAsia"/>
          <w:color w:val="000000" w:themeColor="text1"/>
          <w:sz w:val="24"/>
        </w:rPr>
        <w:t>米之间，地势向北东东向倾斜，地表坡降</w:t>
      </w:r>
      <w:r>
        <w:rPr>
          <w:rFonts w:cs="Times New Roman" w:hint="eastAsia"/>
          <w:color w:val="000000" w:themeColor="text1"/>
          <w:sz w:val="24"/>
        </w:rPr>
        <w:t>2.86</w:t>
      </w:r>
      <w:r>
        <w:rPr>
          <w:rFonts w:cs="Times New Roman" w:hint="eastAsia"/>
          <w:color w:val="000000" w:themeColor="text1"/>
          <w:sz w:val="24"/>
        </w:rPr>
        <w:t>‰。该区克孜勒河分为南北两支由西向东流过。历史上南支曾从洋大曼多与亚曼牙乡之间汇入北支，在两乡之间留下古河道和牛轭湖地貌形态。后又向东北移，现从亚曼牙乡与岳普湖县之间汇入北支。</w:t>
      </w:r>
    </w:p>
    <w:p w:rsidR="00644456" w:rsidRDefault="008031C4">
      <w:pPr>
        <w:snapToGrid w:val="0"/>
        <w:spacing w:line="360" w:lineRule="auto"/>
        <w:ind w:firstLineChars="200" w:firstLine="480"/>
        <w:rPr>
          <w:rFonts w:cs="Times New Roman"/>
          <w:color w:val="000000" w:themeColor="text1"/>
          <w:sz w:val="24"/>
        </w:rPr>
      </w:pPr>
      <w:r>
        <w:rPr>
          <w:rFonts w:cs="Times New Roman" w:hint="eastAsia"/>
          <w:color w:val="000000" w:themeColor="text1"/>
          <w:sz w:val="24"/>
        </w:rPr>
        <w:t>盖孜河－库山河冲积平原：分布于疏勒县－岳普湖县公路以南，海拔介于</w:t>
      </w:r>
      <w:r>
        <w:rPr>
          <w:rFonts w:cs="Times New Roman" w:hint="eastAsia"/>
          <w:color w:val="000000" w:themeColor="text1"/>
          <w:sz w:val="24"/>
        </w:rPr>
        <w:t>1295</w:t>
      </w:r>
      <w:r>
        <w:rPr>
          <w:rFonts w:cs="Times New Roman" w:hint="eastAsia"/>
          <w:color w:val="000000" w:themeColor="text1"/>
          <w:sz w:val="24"/>
        </w:rPr>
        <w:t>～</w:t>
      </w:r>
      <w:r>
        <w:rPr>
          <w:rFonts w:cs="Times New Roman" w:hint="eastAsia"/>
          <w:color w:val="000000" w:themeColor="text1"/>
          <w:sz w:val="24"/>
        </w:rPr>
        <w:t>1200</w:t>
      </w:r>
      <w:r>
        <w:rPr>
          <w:rFonts w:cs="Times New Roman" w:hint="eastAsia"/>
          <w:color w:val="000000" w:themeColor="text1"/>
          <w:sz w:val="24"/>
        </w:rPr>
        <w:t>米之间，地势倾向东微偏南，地表坡降</w:t>
      </w:r>
      <w:r>
        <w:rPr>
          <w:rFonts w:cs="Times New Roman" w:hint="eastAsia"/>
          <w:color w:val="000000" w:themeColor="text1"/>
          <w:sz w:val="24"/>
        </w:rPr>
        <w:t>2.86</w:t>
      </w:r>
      <w:r>
        <w:rPr>
          <w:rFonts w:cs="Times New Roman" w:hint="eastAsia"/>
          <w:color w:val="000000" w:themeColor="text1"/>
          <w:sz w:val="24"/>
        </w:rPr>
        <w:t>‰。该区盖孜河（又名岳普湖河）河道宽泛，在库木西力克乡贝希塔木村以东，发育河流泛滥平原。本区较克孜勒河冲积平原区，沙丘地及沼泽湿地分布更为广泛。布古拉库木沙漠：分布于县境东南部，面积较广，海拔介于</w:t>
      </w:r>
      <w:r>
        <w:rPr>
          <w:rFonts w:cs="Times New Roman" w:hint="eastAsia"/>
          <w:color w:val="000000" w:themeColor="text1"/>
          <w:sz w:val="24"/>
        </w:rPr>
        <w:t>1231</w:t>
      </w:r>
      <w:r>
        <w:rPr>
          <w:rFonts w:cs="Times New Roman" w:hint="eastAsia"/>
          <w:color w:val="000000" w:themeColor="text1"/>
          <w:sz w:val="24"/>
        </w:rPr>
        <w:t>～</w:t>
      </w:r>
      <w:r>
        <w:rPr>
          <w:rFonts w:cs="Times New Roman" w:hint="eastAsia"/>
          <w:color w:val="000000" w:themeColor="text1"/>
          <w:sz w:val="24"/>
        </w:rPr>
        <w:t>1198</w:t>
      </w:r>
      <w:r>
        <w:rPr>
          <w:rFonts w:cs="Times New Roman" w:hint="eastAsia"/>
          <w:color w:val="000000" w:themeColor="text1"/>
          <w:sz w:val="24"/>
        </w:rPr>
        <w:t>米之间。地势总体倾向北东北向，地面坡降</w:t>
      </w:r>
      <w:r>
        <w:rPr>
          <w:rFonts w:cs="Times New Roman" w:hint="eastAsia"/>
          <w:color w:val="000000" w:themeColor="text1"/>
          <w:sz w:val="24"/>
        </w:rPr>
        <w:t>1.3</w:t>
      </w:r>
      <w:r>
        <w:rPr>
          <w:rFonts w:cs="Times New Roman" w:hint="eastAsia"/>
          <w:color w:val="000000" w:themeColor="text1"/>
          <w:sz w:val="24"/>
        </w:rPr>
        <w:t>‰。该区从东南向中部、北部依次分布着波状沙丘、多垄沙地和风蚀残丘等地貌景观。</w:t>
      </w:r>
    </w:p>
    <w:p w:rsidR="00644456" w:rsidRDefault="008031C4">
      <w:pPr>
        <w:snapToGrid w:val="0"/>
        <w:spacing w:line="360" w:lineRule="auto"/>
        <w:ind w:firstLineChars="200" w:firstLine="480"/>
        <w:rPr>
          <w:rFonts w:cs="Times New Roman"/>
          <w:color w:val="000000" w:themeColor="text1"/>
          <w:sz w:val="24"/>
        </w:rPr>
      </w:pPr>
      <w:r>
        <w:rPr>
          <w:rFonts w:cs="Times New Roman" w:hint="eastAsia"/>
          <w:color w:val="000000" w:themeColor="text1"/>
          <w:sz w:val="24"/>
        </w:rPr>
        <w:t>拟建场地位于冲洪积平原地带，地形较为平整</w:t>
      </w:r>
      <w:r>
        <w:rPr>
          <w:rFonts w:cs="Times New Roman"/>
          <w:color w:val="000000" w:themeColor="text1"/>
          <w:sz w:val="24"/>
        </w:rPr>
        <w:t>。</w:t>
      </w:r>
    </w:p>
    <w:bookmarkEnd w:id="237"/>
    <w:p w:rsidR="00644456" w:rsidRDefault="008031C4">
      <w:pPr>
        <w:pStyle w:val="3"/>
        <w:numPr>
          <w:ilvl w:val="2"/>
          <w:numId w:val="0"/>
        </w:numPr>
        <w:ind w:firstLineChars="200" w:firstLine="482"/>
      </w:pPr>
      <w:r>
        <w:rPr>
          <w:rFonts w:hint="eastAsia"/>
        </w:rPr>
        <w:t>3.1.3</w:t>
      </w:r>
      <w:r>
        <w:rPr>
          <w:rFonts w:hint="eastAsia"/>
        </w:rPr>
        <w:t>地质条件</w:t>
      </w:r>
    </w:p>
    <w:p w:rsidR="00644456" w:rsidRDefault="008031C4">
      <w:pPr>
        <w:autoSpaceDE w:val="0"/>
        <w:autoSpaceDN w:val="0"/>
        <w:adjustRightInd w:val="0"/>
        <w:snapToGrid w:val="0"/>
        <w:spacing w:line="360" w:lineRule="auto"/>
        <w:ind w:firstLine="480"/>
        <w:rPr>
          <w:rFonts w:cs="Times New Roman"/>
          <w:snapToGrid w:val="0"/>
          <w:color w:val="000000" w:themeColor="text1"/>
          <w:sz w:val="24"/>
          <w:szCs w:val="24"/>
        </w:rPr>
      </w:pPr>
      <w:r>
        <w:rPr>
          <w:rFonts w:cs="Times New Roman" w:hint="eastAsia"/>
          <w:snapToGrid w:val="0"/>
          <w:color w:val="000000" w:themeColor="text1"/>
          <w:sz w:val="24"/>
          <w:szCs w:val="24"/>
        </w:rPr>
        <w:t>区域属于上更新统</w:t>
      </w:r>
      <w:r>
        <w:rPr>
          <w:rFonts w:cs="Times New Roman" w:hint="eastAsia"/>
          <w:snapToGrid w:val="0"/>
          <w:color w:val="000000" w:themeColor="text1"/>
          <w:sz w:val="24"/>
          <w:szCs w:val="24"/>
        </w:rPr>
        <w:t>-</w:t>
      </w:r>
      <w:r>
        <w:rPr>
          <w:rFonts w:cs="Times New Roman" w:hint="eastAsia"/>
          <w:snapToGrid w:val="0"/>
          <w:color w:val="000000" w:themeColor="text1"/>
          <w:sz w:val="24"/>
          <w:szCs w:val="24"/>
        </w:rPr>
        <w:t>全新统冲积层（</w:t>
      </w:r>
      <w:r>
        <w:rPr>
          <w:rFonts w:cs="Times New Roman" w:hint="eastAsia"/>
          <w:snapToGrid w:val="0"/>
          <w:color w:val="000000" w:themeColor="text1"/>
          <w:sz w:val="24"/>
          <w:szCs w:val="24"/>
        </w:rPr>
        <w:t>Qal3-4</w:t>
      </w:r>
      <w:r>
        <w:rPr>
          <w:rFonts w:cs="Times New Roman" w:hint="eastAsia"/>
          <w:snapToGrid w:val="0"/>
          <w:color w:val="000000" w:themeColor="text1"/>
          <w:sz w:val="24"/>
          <w:szCs w:val="24"/>
        </w:rPr>
        <w:t>），广泛分布于佰什克然木乡</w:t>
      </w:r>
      <w:r>
        <w:rPr>
          <w:rFonts w:cs="Times New Roman" w:hint="eastAsia"/>
          <w:snapToGrid w:val="0"/>
          <w:color w:val="000000" w:themeColor="text1"/>
          <w:sz w:val="24"/>
          <w:szCs w:val="24"/>
        </w:rPr>
        <w:t>-</w:t>
      </w:r>
      <w:r>
        <w:rPr>
          <w:rFonts w:cs="Times New Roman" w:hint="eastAsia"/>
          <w:snapToGrid w:val="0"/>
          <w:color w:val="000000" w:themeColor="text1"/>
          <w:sz w:val="24"/>
          <w:szCs w:val="24"/>
        </w:rPr>
        <w:t>木什乡以</w:t>
      </w:r>
      <w:r>
        <w:rPr>
          <w:rFonts w:cs="Times New Roman" w:hint="eastAsia"/>
          <w:snapToGrid w:val="0"/>
          <w:color w:val="000000" w:themeColor="text1"/>
          <w:sz w:val="24"/>
          <w:szCs w:val="24"/>
        </w:rPr>
        <w:lastRenderedPageBreak/>
        <w:t>南、兰干乡</w:t>
      </w:r>
      <w:r>
        <w:rPr>
          <w:rFonts w:cs="Times New Roman" w:hint="eastAsia"/>
          <w:snapToGrid w:val="0"/>
          <w:color w:val="000000" w:themeColor="text1"/>
          <w:sz w:val="24"/>
          <w:szCs w:val="24"/>
        </w:rPr>
        <w:t>-</w:t>
      </w:r>
      <w:r>
        <w:rPr>
          <w:rFonts w:cs="Times New Roman" w:hint="eastAsia"/>
          <w:snapToGrid w:val="0"/>
          <w:color w:val="000000" w:themeColor="text1"/>
          <w:sz w:val="24"/>
          <w:szCs w:val="24"/>
        </w:rPr>
        <w:t>布拉克苏乡</w:t>
      </w:r>
      <w:r>
        <w:rPr>
          <w:rFonts w:cs="Times New Roman" w:hint="eastAsia"/>
          <w:snapToGrid w:val="0"/>
          <w:color w:val="000000" w:themeColor="text1"/>
          <w:sz w:val="24"/>
          <w:szCs w:val="24"/>
        </w:rPr>
        <w:t>-</w:t>
      </w:r>
      <w:r>
        <w:rPr>
          <w:rFonts w:cs="Times New Roman" w:hint="eastAsia"/>
          <w:snapToGrid w:val="0"/>
          <w:color w:val="000000" w:themeColor="text1"/>
          <w:sz w:val="24"/>
          <w:szCs w:val="24"/>
        </w:rPr>
        <w:t>塔什米里克乡以东及铁日木乡</w:t>
      </w:r>
      <w:r>
        <w:rPr>
          <w:rFonts w:cs="Times New Roman" w:hint="eastAsia"/>
          <w:snapToGrid w:val="0"/>
          <w:color w:val="000000" w:themeColor="text1"/>
          <w:sz w:val="24"/>
          <w:szCs w:val="24"/>
        </w:rPr>
        <w:t>-</w:t>
      </w:r>
      <w:r>
        <w:rPr>
          <w:rFonts w:cs="Times New Roman" w:hint="eastAsia"/>
          <w:snapToGrid w:val="0"/>
          <w:color w:val="000000" w:themeColor="text1"/>
          <w:sz w:val="24"/>
          <w:szCs w:val="24"/>
        </w:rPr>
        <w:t>阿克陶县城以北的广大细土平原地区。沉积物的颗粒表现为上粗下细，在沉积旋回中具明显的二元结构，该层自北向南、由西向东、自南向北方向地层颗粒逐渐变细，地层物质来源于西部、北部的西南天山及西南部的昆仑山。</w:t>
      </w:r>
    </w:p>
    <w:p w:rsidR="00644456" w:rsidRDefault="008031C4">
      <w:pPr>
        <w:autoSpaceDE w:val="0"/>
        <w:autoSpaceDN w:val="0"/>
        <w:adjustRightInd w:val="0"/>
        <w:snapToGrid w:val="0"/>
        <w:spacing w:line="360" w:lineRule="auto"/>
        <w:ind w:firstLine="480"/>
        <w:rPr>
          <w:rFonts w:cs="Times New Roman"/>
          <w:snapToGrid w:val="0"/>
          <w:color w:val="000000" w:themeColor="text1"/>
          <w:sz w:val="24"/>
          <w:szCs w:val="24"/>
        </w:rPr>
      </w:pPr>
      <w:r>
        <w:rPr>
          <w:rFonts w:cs="Times New Roman" w:hint="eastAsia"/>
          <w:snapToGrid w:val="0"/>
          <w:color w:val="000000" w:themeColor="text1"/>
          <w:sz w:val="24"/>
          <w:szCs w:val="24"/>
        </w:rPr>
        <w:t>本项目所在区域新构造运动不强烈，地震设防烈度为</w:t>
      </w:r>
      <w:r>
        <w:rPr>
          <w:rFonts w:cs="Times New Roman" w:hint="eastAsia"/>
          <w:snapToGrid w:val="0"/>
          <w:color w:val="000000" w:themeColor="text1"/>
          <w:sz w:val="24"/>
          <w:szCs w:val="24"/>
        </w:rPr>
        <w:t>8</w:t>
      </w:r>
      <w:r>
        <w:rPr>
          <w:rFonts w:cs="Times New Roman" w:hint="eastAsia"/>
          <w:snapToGrid w:val="0"/>
          <w:color w:val="000000" w:themeColor="text1"/>
          <w:sz w:val="24"/>
          <w:szCs w:val="24"/>
        </w:rPr>
        <w:t>度。</w:t>
      </w:r>
    </w:p>
    <w:p w:rsidR="00644456" w:rsidRDefault="008031C4">
      <w:pPr>
        <w:pStyle w:val="3"/>
        <w:numPr>
          <w:ilvl w:val="2"/>
          <w:numId w:val="0"/>
        </w:numPr>
        <w:ind w:firstLineChars="200" w:firstLine="482"/>
      </w:pPr>
      <w:r>
        <w:rPr>
          <w:rFonts w:hint="eastAsia"/>
        </w:rPr>
        <w:t>3.1.4</w:t>
      </w:r>
      <w:r>
        <w:rPr>
          <w:rFonts w:hint="eastAsia"/>
        </w:rPr>
        <w:t>水文及水文地质</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w:t>
      </w:r>
      <w:r>
        <w:rPr>
          <w:rFonts w:cs="Times New Roman" w:hint="eastAsia"/>
          <w:color w:val="000000" w:themeColor="text1"/>
          <w:sz w:val="24"/>
          <w:szCs w:val="24"/>
        </w:rPr>
        <w:t>1</w:t>
      </w:r>
      <w:r>
        <w:rPr>
          <w:rFonts w:cs="Times New Roman" w:hint="eastAsia"/>
          <w:color w:val="000000" w:themeColor="text1"/>
          <w:sz w:val="24"/>
          <w:szCs w:val="24"/>
        </w:rPr>
        <w:t>）地表水</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疏勒县境共有</w:t>
      </w:r>
      <w:r>
        <w:rPr>
          <w:rFonts w:cs="Times New Roman" w:hint="eastAsia"/>
          <w:color w:val="000000" w:themeColor="text1"/>
          <w:sz w:val="24"/>
          <w:szCs w:val="24"/>
        </w:rPr>
        <w:t>6</w:t>
      </w:r>
      <w:r>
        <w:rPr>
          <w:rFonts w:cs="Times New Roman" w:hint="eastAsia"/>
          <w:color w:val="000000" w:themeColor="text1"/>
          <w:sz w:val="24"/>
          <w:szCs w:val="24"/>
        </w:rPr>
        <w:t>条河流，分别为喀什噶尔河、克孜勒河、盖孜河、库山河、排孜阿瓦提河和岳普湖河。园区所在区域内有</w:t>
      </w:r>
      <w:r>
        <w:rPr>
          <w:rFonts w:cs="Times New Roman" w:hint="eastAsia"/>
          <w:color w:val="000000" w:themeColor="text1"/>
          <w:sz w:val="24"/>
          <w:szCs w:val="24"/>
        </w:rPr>
        <w:t>2</w:t>
      </w:r>
      <w:r>
        <w:rPr>
          <w:rFonts w:cs="Times New Roman" w:hint="eastAsia"/>
          <w:color w:val="000000" w:themeColor="text1"/>
          <w:sz w:val="24"/>
          <w:szCs w:val="24"/>
        </w:rPr>
        <w:t>条河流，为克孜勒河和排孜阿瓦提河。</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1</w:t>
      </w:r>
      <w:r>
        <w:rPr>
          <w:rFonts w:cs="Times New Roman" w:hint="eastAsia"/>
          <w:color w:val="000000" w:themeColor="text1"/>
          <w:sz w:val="24"/>
          <w:szCs w:val="24"/>
        </w:rPr>
        <w:t>）喀什噶尔河</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喀什噶尔河，是位于中国新疆塔里木盆地西部的一条内流河，发源于帕米尔西北部天山支脉阿里山，流经乌恰、疏勒、伽师、巴楚、阿瓦提等县，全长</w:t>
      </w:r>
      <w:r>
        <w:rPr>
          <w:rFonts w:cs="Times New Roman" w:hint="eastAsia"/>
          <w:color w:val="000000" w:themeColor="text1"/>
          <w:sz w:val="24"/>
          <w:szCs w:val="24"/>
        </w:rPr>
        <w:t>1200</w:t>
      </w:r>
      <w:r>
        <w:rPr>
          <w:rFonts w:cs="Times New Roman" w:hint="eastAsia"/>
          <w:color w:val="000000" w:themeColor="text1"/>
          <w:sz w:val="24"/>
          <w:szCs w:val="24"/>
        </w:rPr>
        <w:t>公里，平均宽度</w:t>
      </w:r>
      <w:r>
        <w:rPr>
          <w:rFonts w:cs="Times New Roman" w:hint="eastAsia"/>
          <w:color w:val="000000" w:themeColor="text1"/>
          <w:sz w:val="24"/>
          <w:szCs w:val="24"/>
        </w:rPr>
        <w:t>40</w:t>
      </w:r>
      <w:r>
        <w:rPr>
          <w:rFonts w:cs="Times New Roman" w:hint="eastAsia"/>
          <w:color w:val="000000" w:themeColor="text1"/>
          <w:sz w:val="24"/>
          <w:szCs w:val="24"/>
        </w:rPr>
        <w:t>米。</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喀什噶尔河流域由克孜河、盖孜河、库山河、依格孜牙河、恰克马克河、吐曼河和布谷孜河七条河流组成，多年平均地表水资源为</w:t>
      </w:r>
      <w:r>
        <w:rPr>
          <w:rFonts w:cs="Times New Roman" w:hint="eastAsia"/>
          <w:color w:val="000000" w:themeColor="text1"/>
          <w:sz w:val="24"/>
          <w:szCs w:val="24"/>
        </w:rPr>
        <w:t>38.14</w:t>
      </w:r>
      <w:r>
        <w:rPr>
          <w:rFonts w:cs="Times New Roman" w:hint="eastAsia"/>
          <w:color w:val="000000" w:themeColor="text1"/>
          <w:sz w:val="24"/>
          <w:szCs w:val="24"/>
        </w:rPr>
        <w:t>亿立方米。喀什噶尔河河流喀什灌区平原灌区总土地面积为</w:t>
      </w:r>
      <w:r>
        <w:rPr>
          <w:rFonts w:cs="Times New Roman" w:hint="eastAsia"/>
          <w:color w:val="000000" w:themeColor="text1"/>
          <w:sz w:val="24"/>
          <w:szCs w:val="24"/>
        </w:rPr>
        <w:t>2242.48</w:t>
      </w:r>
      <w:r>
        <w:rPr>
          <w:rFonts w:cs="Times New Roman" w:hint="eastAsia"/>
          <w:color w:val="000000" w:themeColor="text1"/>
          <w:sz w:val="24"/>
          <w:szCs w:val="24"/>
        </w:rPr>
        <w:t>万亩，其中耕地面积</w:t>
      </w:r>
      <w:r>
        <w:rPr>
          <w:rFonts w:cs="Times New Roman" w:hint="eastAsia"/>
          <w:color w:val="000000" w:themeColor="text1"/>
          <w:sz w:val="24"/>
          <w:szCs w:val="24"/>
        </w:rPr>
        <w:t>249</w:t>
      </w:r>
      <w:r>
        <w:rPr>
          <w:rFonts w:cs="Times New Roman" w:hint="eastAsia"/>
          <w:color w:val="000000" w:themeColor="text1"/>
          <w:sz w:val="24"/>
          <w:szCs w:val="24"/>
        </w:rPr>
        <w:t>万亩，灌溉面积</w:t>
      </w:r>
      <w:r>
        <w:rPr>
          <w:rFonts w:cs="Times New Roman" w:hint="eastAsia"/>
          <w:color w:val="000000" w:themeColor="text1"/>
          <w:sz w:val="24"/>
          <w:szCs w:val="24"/>
        </w:rPr>
        <w:t>450</w:t>
      </w:r>
      <w:r>
        <w:rPr>
          <w:rFonts w:cs="Times New Roman" w:hint="eastAsia"/>
          <w:color w:val="000000" w:themeColor="text1"/>
          <w:sz w:val="24"/>
          <w:szCs w:val="24"/>
        </w:rPr>
        <w:t>万亩。灌区行政区划范围包括疏勒县、喀什市、疏附县、伽师县、岳普湖县、英吉沙县、兵团农三师的伽师总场、</w:t>
      </w:r>
      <w:r>
        <w:rPr>
          <w:rFonts w:cs="Times New Roman" w:hint="eastAsia"/>
          <w:color w:val="000000" w:themeColor="text1"/>
          <w:sz w:val="24"/>
          <w:szCs w:val="24"/>
        </w:rPr>
        <w:t>41</w:t>
      </w:r>
      <w:r>
        <w:rPr>
          <w:rFonts w:cs="Times New Roman" w:hint="eastAsia"/>
          <w:color w:val="000000" w:themeColor="text1"/>
          <w:sz w:val="24"/>
          <w:szCs w:val="24"/>
        </w:rPr>
        <w:t>团、</w:t>
      </w:r>
      <w:r>
        <w:rPr>
          <w:rFonts w:cs="Times New Roman" w:hint="eastAsia"/>
          <w:color w:val="000000" w:themeColor="text1"/>
          <w:sz w:val="24"/>
          <w:szCs w:val="24"/>
        </w:rPr>
        <w:t>42</w:t>
      </w:r>
      <w:r>
        <w:rPr>
          <w:rFonts w:cs="Times New Roman" w:hint="eastAsia"/>
          <w:color w:val="000000" w:themeColor="text1"/>
          <w:sz w:val="24"/>
          <w:szCs w:val="24"/>
        </w:rPr>
        <w:t>团。目前灌区引水渠首共有</w:t>
      </w:r>
      <w:r>
        <w:rPr>
          <w:rFonts w:cs="Times New Roman" w:hint="eastAsia"/>
          <w:color w:val="000000" w:themeColor="text1"/>
          <w:sz w:val="24"/>
          <w:szCs w:val="24"/>
        </w:rPr>
        <w:t>18</w:t>
      </w:r>
      <w:r>
        <w:rPr>
          <w:rFonts w:cs="Times New Roman" w:hint="eastAsia"/>
          <w:color w:val="000000" w:themeColor="text1"/>
          <w:sz w:val="24"/>
          <w:szCs w:val="24"/>
        </w:rPr>
        <w:t>座，其中控制性引水枢纽</w:t>
      </w:r>
      <w:r>
        <w:rPr>
          <w:rFonts w:cs="Times New Roman" w:hint="eastAsia"/>
          <w:color w:val="000000" w:themeColor="text1"/>
          <w:sz w:val="24"/>
          <w:szCs w:val="24"/>
        </w:rPr>
        <w:t>10</w:t>
      </w:r>
      <w:r>
        <w:rPr>
          <w:rFonts w:cs="Times New Roman" w:hint="eastAsia"/>
          <w:color w:val="000000" w:themeColor="text1"/>
          <w:sz w:val="24"/>
          <w:szCs w:val="24"/>
        </w:rPr>
        <w:t>座，流域共有引水总干渠</w:t>
      </w:r>
      <w:r>
        <w:rPr>
          <w:rFonts w:cs="Times New Roman" w:hint="eastAsia"/>
          <w:color w:val="000000" w:themeColor="text1"/>
          <w:sz w:val="24"/>
          <w:szCs w:val="24"/>
        </w:rPr>
        <w:t>4</w:t>
      </w:r>
      <w:r>
        <w:rPr>
          <w:rFonts w:cs="Times New Roman" w:hint="eastAsia"/>
          <w:color w:val="000000" w:themeColor="text1"/>
          <w:sz w:val="24"/>
          <w:szCs w:val="24"/>
        </w:rPr>
        <w:t>条，引水干渠</w:t>
      </w:r>
      <w:r>
        <w:rPr>
          <w:rFonts w:cs="Times New Roman" w:hint="eastAsia"/>
          <w:color w:val="000000" w:themeColor="text1"/>
          <w:sz w:val="24"/>
          <w:szCs w:val="24"/>
        </w:rPr>
        <w:t>60</w:t>
      </w:r>
      <w:r>
        <w:rPr>
          <w:rFonts w:cs="Times New Roman" w:hint="eastAsia"/>
          <w:color w:val="000000" w:themeColor="text1"/>
          <w:sz w:val="24"/>
          <w:szCs w:val="24"/>
        </w:rPr>
        <w:t>条，支渠</w:t>
      </w:r>
      <w:r>
        <w:rPr>
          <w:rFonts w:cs="Times New Roman" w:hint="eastAsia"/>
          <w:color w:val="000000" w:themeColor="text1"/>
          <w:sz w:val="24"/>
          <w:szCs w:val="24"/>
        </w:rPr>
        <w:t>505</w:t>
      </w:r>
      <w:r>
        <w:rPr>
          <w:rFonts w:cs="Times New Roman" w:hint="eastAsia"/>
          <w:color w:val="000000" w:themeColor="text1"/>
          <w:sz w:val="24"/>
          <w:szCs w:val="24"/>
        </w:rPr>
        <w:t>条，</w:t>
      </w:r>
      <w:r>
        <w:rPr>
          <w:rFonts w:cs="Times New Roman" w:hint="eastAsia"/>
          <w:color w:val="000000" w:themeColor="text1"/>
          <w:sz w:val="24"/>
          <w:szCs w:val="24"/>
        </w:rPr>
        <w:t>1m3/s</w:t>
      </w:r>
      <w:r>
        <w:rPr>
          <w:rFonts w:cs="Times New Roman" w:hint="eastAsia"/>
          <w:color w:val="000000" w:themeColor="text1"/>
          <w:sz w:val="24"/>
          <w:szCs w:val="24"/>
        </w:rPr>
        <w:t>以上的斗渠</w:t>
      </w:r>
      <w:r>
        <w:rPr>
          <w:rFonts w:cs="Times New Roman" w:hint="eastAsia"/>
          <w:color w:val="000000" w:themeColor="text1"/>
          <w:sz w:val="24"/>
          <w:szCs w:val="24"/>
        </w:rPr>
        <w:t>516</w:t>
      </w:r>
      <w:r>
        <w:rPr>
          <w:rFonts w:cs="Times New Roman" w:hint="eastAsia"/>
          <w:color w:val="000000" w:themeColor="text1"/>
          <w:sz w:val="24"/>
          <w:szCs w:val="24"/>
        </w:rPr>
        <w:t>条，以上各级渠道共计</w:t>
      </w:r>
      <w:r>
        <w:rPr>
          <w:rFonts w:cs="Times New Roman" w:hint="eastAsia"/>
          <w:color w:val="000000" w:themeColor="text1"/>
          <w:sz w:val="24"/>
          <w:szCs w:val="24"/>
        </w:rPr>
        <w:t>1085</w:t>
      </w:r>
      <w:r>
        <w:rPr>
          <w:rFonts w:cs="Times New Roman" w:hint="eastAsia"/>
          <w:color w:val="000000" w:themeColor="text1"/>
          <w:sz w:val="24"/>
          <w:szCs w:val="24"/>
        </w:rPr>
        <w:t>条。灌区共有排水干渠</w:t>
      </w:r>
      <w:r>
        <w:rPr>
          <w:rFonts w:cs="Times New Roman" w:hint="eastAsia"/>
          <w:color w:val="000000" w:themeColor="text1"/>
          <w:sz w:val="24"/>
          <w:szCs w:val="24"/>
        </w:rPr>
        <w:t>30</w:t>
      </w:r>
      <w:r>
        <w:rPr>
          <w:rFonts w:cs="Times New Roman" w:hint="eastAsia"/>
          <w:color w:val="000000" w:themeColor="text1"/>
          <w:sz w:val="24"/>
          <w:szCs w:val="24"/>
        </w:rPr>
        <w:t>条。平均渠系利用系数</w:t>
      </w:r>
      <w:r>
        <w:rPr>
          <w:rFonts w:cs="Times New Roman" w:hint="eastAsia"/>
          <w:color w:val="000000" w:themeColor="text1"/>
          <w:sz w:val="24"/>
          <w:szCs w:val="24"/>
        </w:rPr>
        <w:t>0.46.</w:t>
      </w:r>
      <w:r>
        <w:rPr>
          <w:rFonts w:cs="Times New Roman" w:hint="eastAsia"/>
          <w:color w:val="000000" w:themeColor="text1"/>
          <w:sz w:val="24"/>
          <w:szCs w:val="24"/>
        </w:rPr>
        <w:t>克孜河、盖孜河、库山河三河灌区内水网交织，互相联系。</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2</w:t>
      </w:r>
      <w:r>
        <w:rPr>
          <w:rFonts w:cs="Times New Roman" w:hint="eastAsia"/>
          <w:color w:val="000000" w:themeColor="text1"/>
          <w:sz w:val="24"/>
          <w:szCs w:val="24"/>
        </w:rPr>
        <w:t>）克孜勒河</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克孜勒河是流经喀什市最大的河流，属喀什噶尔河水系，发源于海拔</w:t>
      </w:r>
      <w:r>
        <w:rPr>
          <w:rFonts w:cs="Times New Roman" w:hint="eastAsia"/>
          <w:color w:val="000000" w:themeColor="text1"/>
          <w:sz w:val="24"/>
          <w:szCs w:val="24"/>
        </w:rPr>
        <w:t>6048</w:t>
      </w:r>
      <w:r>
        <w:rPr>
          <w:rFonts w:cs="Times New Roman" w:hint="eastAsia"/>
          <w:color w:val="000000" w:themeColor="text1"/>
          <w:sz w:val="24"/>
          <w:szCs w:val="24"/>
        </w:rPr>
        <w:t>米的特拉普齐亚峰。全长</w:t>
      </w:r>
      <w:r>
        <w:rPr>
          <w:rFonts w:cs="Times New Roman" w:hint="eastAsia"/>
          <w:color w:val="000000" w:themeColor="text1"/>
          <w:sz w:val="24"/>
          <w:szCs w:val="24"/>
        </w:rPr>
        <w:t>778</w:t>
      </w:r>
      <w:r>
        <w:rPr>
          <w:rFonts w:cs="Times New Roman" w:hint="eastAsia"/>
          <w:color w:val="000000" w:themeColor="text1"/>
          <w:sz w:val="24"/>
          <w:szCs w:val="24"/>
        </w:rPr>
        <w:t>千米，我国境内流长</w:t>
      </w:r>
      <w:r>
        <w:rPr>
          <w:rFonts w:cs="Times New Roman" w:hint="eastAsia"/>
          <w:color w:val="000000" w:themeColor="text1"/>
          <w:sz w:val="24"/>
          <w:szCs w:val="24"/>
        </w:rPr>
        <w:t>600</w:t>
      </w:r>
      <w:r>
        <w:rPr>
          <w:rFonts w:cs="Times New Roman" w:hint="eastAsia"/>
          <w:color w:val="000000" w:themeColor="text1"/>
          <w:sz w:val="24"/>
          <w:szCs w:val="24"/>
        </w:rPr>
        <w:t>千米，流向自西向东。流经克孜勒苏柯尔克孜自治州乌恰县，喀什地区疏附、疏勒、喀什、伽师、巴楚等县市，汇入喀什噶尔河。水域面积</w:t>
      </w:r>
      <w:r>
        <w:rPr>
          <w:rFonts w:cs="Times New Roman" w:hint="eastAsia"/>
          <w:color w:val="000000" w:themeColor="text1"/>
          <w:sz w:val="24"/>
          <w:szCs w:val="24"/>
        </w:rPr>
        <w:t>15100</w:t>
      </w:r>
      <w:r>
        <w:rPr>
          <w:rFonts w:cs="Times New Roman" w:hint="eastAsia"/>
          <w:color w:val="000000" w:themeColor="text1"/>
          <w:sz w:val="24"/>
          <w:szCs w:val="24"/>
        </w:rPr>
        <w:t>平方千米。克孜勒河于喀什市夏马勒巴格乡科克艾日克处进入市区，自西向东沿喀什市西南缘流过至喀什市良种场的恰瓦克处出境，市内流长</w:t>
      </w:r>
      <w:r>
        <w:rPr>
          <w:rFonts w:cs="Times New Roman" w:hint="eastAsia"/>
          <w:color w:val="000000" w:themeColor="text1"/>
          <w:sz w:val="24"/>
          <w:szCs w:val="24"/>
        </w:rPr>
        <w:t>14</w:t>
      </w:r>
      <w:r>
        <w:rPr>
          <w:rFonts w:cs="Times New Roman" w:hint="eastAsia"/>
          <w:color w:val="000000" w:themeColor="text1"/>
          <w:sz w:val="24"/>
          <w:szCs w:val="24"/>
        </w:rPr>
        <w:t>千米，河床平均宽度</w:t>
      </w:r>
      <w:r>
        <w:rPr>
          <w:rFonts w:cs="Times New Roman" w:hint="eastAsia"/>
          <w:color w:val="000000" w:themeColor="text1"/>
          <w:sz w:val="24"/>
          <w:szCs w:val="24"/>
        </w:rPr>
        <w:t>80</w:t>
      </w:r>
      <w:r>
        <w:rPr>
          <w:rFonts w:cs="Times New Roman" w:hint="eastAsia"/>
          <w:color w:val="000000" w:themeColor="text1"/>
          <w:sz w:val="24"/>
          <w:szCs w:val="24"/>
        </w:rPr>
        <w:t>米。</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克孜勒河水主要是由冰川雪水、泉水和雨水汇集而成。正常流量为</w:t>
      </w:r>
      <w:r>
        <w:rPr>
          <w:rFonts w:cs="Times New Roman" w:hint="eastAsia"/>
          <w:color w:val="000000" w:themeColor="text1"/>
          <w:sz w:val="24"/>
          <w:szCs w:val="24"/>
        </w:rPr>
        <w:t>62.12</w:t>
      </w:r>
      <w:r>
        <w:rPr>
          <w:rFonts w:cs="Times New Roman" w:hint="eastAsia"/>
          <w:color w:val="000000" w:themeColor="text1"/>
          <w:sz w:val="24"/>
          <w:szCs w:val="24"/>
        </w:rPr>
        <w:t>立方米</w:t>
      </w:r>
      <w:r>
        <w:rPr>
          <w:rFonts w:cs="Times New Roman" w:hint="eastAsia"/>
          <w:color w:val="000000" w:themeColor="text1"/>
          <w:sz w:val="24"/>
          <w:szCs w:val="24"/>
        </w:rPr>
        <w:t>/</w:t>
      </w:r>
      <w:r>
        <w:rPr>
          <w:rFonts w:cs="Times New Roman" w:hint="eastAsia"/>
          <w:color w:val="000000" w:themeColor="text1"/>
          <w:sz w:val="24"/>
          <w:szCs w:val="24"/>
        </w:rPr>
        <w:t>秒，年径流量</w:t>
      </w:r>
      <w:r>
        <w:rPr>
          <w:rFonts w:cs="Times New Roman" w:hint="eastAsia"/>
          <w:color w:val="000000" w:themeColor="text1"/>
          <w:sz w:val="24"/>
          <w:szCs w:val="24"/>
        </w:rPr>
        <w:t>19.59</w:t>
      </w:r>
      <w:r>
        <w:rPr>
          <w:rFonts w:cs="Times New Roman" w:hint="eastAsia"/>
          <w:color w:val="000000" w:themeColor="text1"/>
          <w:sz w:val="24"/>
          <w:szCs w:val="24"/>
        </w:rPr>
        <w:t>亿立方米。河水年际分布差距不大，季节分布悬殊。</w:t>
      </w:r>
      <w:r>
        <w:rPr>
          <w:rFonts w:cs="Times New Roman" w:hint="eastAsia"/>
          <w:color w:val="000000" w:themeColor="text1"/>
          <w:sz w:val="24"/>
          <w:szCs w:val="24"/>
        </w:rPr>
        <w:t>4</w:t>
      </w:r>
      <w:r>
        <w:rPr>
          <w:rFonts w:cs="Times New Roman" w:hint="eastAsia"/>
          <w:color w:val="000000" w:themeColor="text1"/>
          <w:sz w:val="24"/>
          <w:szCs w:val="24"/>
        </w:rPr>
        <w:t>～</w:t>
      </w:r>
      <w:r>
        <w:rPr>
          <w:rFonts w:cs="Times New Roman" w:hint="eastAsia"/>
          <w:color w:val="000000" w:themeColor="text1"/>
          <w:sz w:val="24"/>
          <w:szCs w:val="24"/>
        </w:rPr>
        <w:t>9</w:t>
      </w:r>
      <w:r>
        <w:rPr>
          <w:rFonts w:cs="Times New Roman" w:hint="eastAsia"/>
          <w:color w:val="000000" w:themeColor="text1"/>
          <w:sz w:val="24"/>
          <w:szCs w:val="24"/>
        </w:rPr>
        <w:t>月为洪水</w:t>
      </w:r>
      <w:r>
        <w:rPr>
          <w:rFonts w:cs="Times New Roman" w:hint="eastAsia"/>
          <w:color w:val="000000" w:themeColor="text1"/>
          <w:sz w:val="24"/>
          <w:szCs w:val="24"/>
        </w:rPr>
        <w:lastRenderedPageBreak/>
        <w:t>期，水量约占年水量的</w:t>
      </w:r>
      <w:r>
        <w:rPr>
          <w:rFonts w:cs="Times New Roman" w:hint="eastAsia"/>
          <w:color w:val="000000" w:themeColor="text1"/>
          <w:sz w:val="24"/>
          <w:szCs w:val="24"/>
        </w:rPr>
        <w:t>80%</w:t>
      </w:r>
      <w:r>
        <w:rPr>
          <w:rFonts w:cs="Times New Roman" w:hint="eastAsia"/>
          <w:color w:val="000000" w:themeColor="text1"/>
          <w:sz w:val="24"/>
          <w:szCs w:val="24"/>
        </w:rPr>
        <w:t>；枯水期为</w:t>
      </w:r>
      <w:r>
        <w:rPr>
          <w:rFonts w:cs="Times New Roman" w:hint="eastAsia"/>
          <w:color w:val="000000" w:themeColor="text1"/>
          <w:sz w:val="24"/>
          <w:szCs w:val="24"/>
        </w:rPr>
        <w:t>10</w:t>
      </w:r>
      <w:r>
        <w:rPr>
          <w:rFonts w:cs="Times New Roman" w:hint="eastAsia"/>
          <w:color w:val="000000" w:themeColor="text1"/>
          <w:sz w:val="24"/>
          <w:szCs w:val="24"/>
        </w:rPr>
        <w:t>月至次年</w:t>
      </w:r>
      <w:r>
        <w:rPr>
          <w:rFonts w:cs="Times New Roman" w:hint="eastAsia"/>
          <w:color w:val="000000" w:themeColor="text1"/>
          <w:sz w:val="24"/>
          <w:szCs w:val="24"/>
        </w:rPr>
        <w:t>3</w:t>
      </w:r>
      <w:r>
        <w:rPr>
          <w:rFonts w:cs="Times New Roman" w:hint="eastAsia"/>
          <w:color w:val="000000" w:themeColor="text1"/>
          <w:sz w:val="24"/>
          <w:szCs w:val="24"/>
        </w:rPr>
        <w:t>月，水量约占年水量的</w:t>
      </w:r>
      <w:r>
        <w:rPr>
          <w:rFonts w:cs="Times New Roman" w:hint="eastAsia"/>
          <w:color w:val="000000" w:themeColor="text1"/>
          <w:sz w:val="24"/>
          <w:szCs w:val="24"/>
        </w:rPr>
        <w:t>20%</w:t>
      </w:r>
      <w:r>
        <w:rPr>
          <w:rFonts w:cs="Times New Roman" w:hint="eastAsia"/>
          <w:color w:val="000000" w:themeColor="text1"/>
          <w:sz w:val="24"/>
          <w:szCs w:val="24"/>
        </w:rPr>
        <w:t>。枯洪季节水量比值可达</w:t>
      </w:r>
      <w:r>
        <w:rPr>
          <w:rFonts w:cs="Times New Roman" w:hint="eastAsia"/>
          <w:color w:val="000000" w:themeColor="text1"/>
          <w:sz w:val="24"/>
          <w:szCs w:val="24"/>
        </w:rPr>
        <w:t>1:45</w:t>
      </w:r>
      <w:r>
        <w:rPr>
          <w:rFonts w:cs="Times New Roman" w:hint="eastAsia"/>
          <w:color w:val="000000" w:themeColor="text1"/>
          <w:sz w:val="24"/>
          <w:szCs w:val="24"/>
        </w:rPr>
        <w:t>。最大流量</w:t>
      </w:r>
      <w:r>
        <w:rPr>
          <w:rFonts w:cs="Times New Roman" w:hint="eastAsia"/>
          <w:color w:val="000000" w:themeColor="text1"/>
          <w:sz w:val="24"/>
          <w:szCs w:val="24"/>
        </w:rPr>
        <w:t>1400</w:t>
      </w:r>
      <w:r>
        <w:rPr>
          <w:rFonts w:cs="Times New Roman" w:hint="eastAsia"/>
          <w:color w:val="000000" w:themeColor="text1"/>
          <w:sz w:val="24"/>
          <w:szCs w:val="24"/>
        </w:rPr>
        <w:t>立方米</w:t>
      </w:r>
      <w:r>
        <w:rPr>
          <w:rFonts w:cs="Times New Roman" w:hint="eastAsia"/>
          <w:color w:val="000000" w:themeColor="text1"/>
          <w:sz w:val="24"/>
          <w:szCs w:val="24"/>
        </w:rPr>
        <w:t>/</w:t>
      </w:r>
      <w:r>
        <w:rPr>
          <w:rFonts w:cs="Times New Roman" w:hint="eastAsia"/>
          <w:color w:val="000000" w:themeColor="text1"/>
          <w:sz w:val="24"/>
          <w:szCs w:val="24"/>
        </w:rPr>
        <w:t>秒，最小流量</w:t>
      </w:r>
      <w:r>
        <w:rPr>
          <w:rFonts w:cs="Times New Roman" w:hint="eastAsia"/>
          <w:color w:val="000000" w:themeColor="text1"/>
          <w:sz w:val="24"/>
          <w:szCs w:val="24"/>
        </w:rPr>
        <w:t>9.6</w:t>
      </w:r>
      <w:r>
        <w:rPr>
          <w:rFonts w:cs="Times New Roman" w:hint="eastAsia"/>
          <w:color w:val="000000" w:themeColor="text1"/>
          <w:sz w:val="24"/>
          <w:szCs w:val="24"/>
        </w:rPr>
        <w:t>立方米</w:t>
      </w:r>
      <w:r>
        <w:rPr>
          <w:rFonts w:cs="Times New Roman" w:hint="eastAsia"/>
          <w:color w:val="000000" w:themeColor="text1"/>
          <w:sz w:val="24"/>
          <w:szCs w:val="24"/>
        </w:rPr>
        <w:t>/</w:t>
      </w:r>
      <w:r>
        <w:rPr>
          <w:rFonts w:cs="Times New Roman" w:hint="eastAsia"/>
          <w:color w:val="000000" w:themeColor="text1"/>
          <w:sz w:val="24"/>
          <w:szCs w:val="24"/>
        </w:rPr>
        <w:t>秒。在市区流程内平均流速达</w:t>
      </w:r>
      <w:r>
        <w:rPr>
          <w:rFonts w:cs="Times New Roman" w:hint="eastAsia"/>
          <w:color w:val="000000" w:themeColor="text1"/>
          <w:sz w:val="24"/>
          <w:szCs w:val="24"/>
        </w:rPr>
        <w:t>3.7</w:t>
      </w:r>
      <w:r>
        <w:rPr>
          <w:rFonts w:cs="Times New Roman" w:hint="eastAsia"/>
          <w:color w:val="000000" w:themeColor="text1"/>
          <w:sz w:val="24"/>
          <w:szCs w:val="24"/>
        </w:rPr>
        <w:t>米</w:t>
      </w:r>
      <w:r>
        <w:rPr>
          <w:rFonts w:cs="Times New Roman" w:hint="eastAsia"/>
          <w:color w:val="000000" w:themeColor="text1"/>
          <w:sz w:val="24"/>
          <w:szCs w:val="24"/>
        </w:rPr>
        <w:t>/</w:t>
      </w:r>
      <w:r>
        <w:rPr>
          <w:rFonts w:cs="Times New Roman" w:hint="eastAsia"/>
          <w:color w:val="000000" w:themeColor="text1"/>
          <w:sz w:val="24"/>
          <w:szCs w:val="24"/>
        </w:rPr>
        <w:t>秒，克孜勒河在市区流程内平均坡降为</w:t>
      </w:r>
      <w:r>
        <w:rPr>
          <w:rFonts w:cs="Times New Roman" w:hint="eastAsia"/>
          <w:color w:val="000000" w:themeColor="text1"/>
          <w:sz w:val="24"/>
          <w:szCs w:val="24"/>
        </w:rPr>
        <w:t>1.94</w:t>
      </w:r>
      <w:r>
        <w:rPr>
          <w:rFonts w:cs="Times New Roman" w:hint="eastAsia"/>
          <w:color w:val="000000" w:themeColor="text1"/>
          <w:sz w:val="24"/>
          <w:szCs w:val="24"/>
        </w:rPr>
        <w:t>‰。河水</w:t>
      </w:r>
      <w:r>
        <w:rPr>
          <w:rFonts w:cs="Times New Roman" w:hint="eastAsia"/>
          <w:color w:val="000000" w:themeColor="text1"/>
          <w:sz w:val="24"/>
          <w:szCs w:val="24"/>
        </w:rPr>
        <w:t>12</w:t>
      </w:r>
      <w:r>
        <w:rPr>
          <w:rFonts w:cs="Times New Roman" w:hint="eastAsia"/>
          <w:color w:val="000000" w:themeColor="text1"/>
          <w:sz w:val="24"/>
          <w:szCs w:val="24"/>
        </w:rPr>
        <w:t>月</w:t>
      </w:r>
      <w:r>
        <w:rPr>
          <w:rFonts w:cs="Times New Roman" w:hint="eastAsia"/>
          <w:color w:val="000000" w:themeColor="text1"/>
          <w:sz w:val="24"/>
          <w:szCs w:val="24"/>
        </w:rPr>
        <w:t>10</w:t>
      </w:r>
      <w:r>
        <w:rPr>
          <w:rFonts w:cs="Times New Roman" w:hint="eastAsia"/>
          <w:color w:val="000000" w:themeColor="text1"/>
          <w:sz w:val="24"/>
          <w:szCs w:val="24"/>
        </w:rPr>
        <w:t>日前后开始结冰，翌年</w:t>
      </w:r>
      <w:r>
        <w:rPr>
          <w:rFonts w:cs="Times New Roman" w:hint="eastAsia"/>
          <w:color w:val="000000" w:themeColor="text1"/>
          <w:sz w:val="24"/>
          <w:szCs w:val="24"/>
        </w:rPr>
        <w:t>2</w:t>
      </w:r>
      <w:r>
        <w:rPr>
          <w:rFonts w:cs="Times New Roman" w:hint="eastAsia"/>
          <w:color w:val="000000" w:themeColor="text1"/>
          <w:sz w:val="24"/>
          <w:szCs w:val="24"/>
        </w:rPr>
        <w:t>月中旬解冻。</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克孜勒河上游因流经中、新生代红色泥岩区，地层极易侵蚀，所以含泥沙量大，并呈红色。年均含沙量</w:t>
      </w:r>
      <w:r>
        <w:rPr>
          <w:rFonts w:cs="Times New Roman" w:hint="eastAsia"/>
          <w:color w:val="000000" w:themeColor="text1"/>
          <w:sz w:val="24"/>
          <w:szCs w:val="24"/>
        </w:rPr>
        <w:t>5.93</w:t>
      </w:r>
      <w:r>
        <w:rPr>
          <w:rFonts w:cs="Times New Roman" w:hint="eastAsia"/>
          <w:color w:val="000000" w:themeColor="text1"/>
          <w:sz w:val="24"/>
          <w:szCs w:val="24"/>
        </w:rPr>
        <w:t>公斤</w:t>
      </w:r>
      <w:r>
        <w:rPr>
          <w:rFonts w:cs="Times New Roman" w:hint="eastAsia"/>
          <w:color w:val="000000" w:themeColor="text1"/>
          <w:sz w:val="24"/>
          <w:szCs w:val="24"/>
        </w:rPr>
        <w:t>/</w:t>
      </w:r>
      <w:r>
        <w:rPr>
          <w:rFonts w:cs="Times New Roman" w:hint="eastAsia"/>
          <w:color w:val="000000" w:themeColor="text1"/>
          <w:sz w:val="24"/>
          <w:szCs w:val="24"/>
        </w:rPr>
        <w:t>立方米，</w:t>
      </w:r>
      <w:r>
        <w:rPr>
          <w:rFonts w:cs="Times New Roman" w:hint="eastAsia"/>
          <w:color w:val="000000" w:themeColor="text1"/>
          <w:sz w:val="24"/>
          <w:szCs w:val="24"/>
        </w:rPr>
        <w:t>8</w:t>
      </w:r>
      <w:r>
        <w:rPr>
          <w:rFonts w:cs="Times New Roman" w:hint="eastAsia"/>
          <w:color w:val="000000" w:themeColor="text1"/>
          <w:sz w:val="24"/>
          <w:szCs w:val="24"/>
        </w:rPr>
        <w:t>月份含沙量达</w:t>
      </w:r>
      <w:r>
        <w:rPr>
          <w:rFonts w:cs="Times New Roman" w:hint="eastAsia"/>
          <w:color w:val="000000" w:themeColor="text1"/>
          <w:sz w:val="24"/>
          <w:szCs w:val="24"/>
        </w:rPr>
        <w:t>9.19</w:t>
      </w:r>
      <w:r>
        <w:rPr>
          <w:rFonts w:cs="Times New Roman" w:hint="eastAsia"/>
          <w:color w:val="000000" w:themeColor="text1"/>
          <w:sz w:val="24"/>
          <w:szCs w:val="24"/>
        </w:rPr>
        <w:t>公斤</w:t>
      </w:r>
      <w:r>
        <w:rPr>
          <w:rFonts w:cs="Times New Roman" w:hint="eastAsia"/>
          <w:color w:val="000000" w:themeColor="text1"/>
          <w:sz w:val="24"/>
          <w:szCs w:val="24"/>
        </w:rPr>
        <w:t>/</w:t>
      </w:r>
      <w:r>
        <w:rPr>
          <w:rFonts w:cs="Times New Roman" w:hint="eastAsia"/>
          <w:color w:val="000000" w:themeColor="text1"/>
          <w:sz w:val="24"/>
          <w:szCs w:val="24"/>
        </w:rPr>
        <w:t>立方米，</w:t>
      </w:r>
      <w:r>
        <w:rPr>
          <w:rFonts w:cs="Times New Roman" w:hint="eastAsia"/>
          <w:color w:val="000000" w:themeColor="text1"/>
          <w:sz w:val="24"/>
          <w:szCs w:val="24"/>
        </w:rPr>
        <w:t>1</w:t>
      </w:r>
      <w:r>
        <w:rPr>
          <w:rFonts w:cs="Times New Roman" w:hint="eastAsia"/>
          <w:color w:val="000000" w:themeColor="text1"/>
          <w:sz w:val="24"/>
          <w:szCs w:val="24"/>
        </w:rPr>
        <w:t>月份</w:t>
      </w:r>
      <w:r>
        <w:rPr>
          <w:rFonts w:cs="Times New Roman" w:hint="eastAsia"/>
          <w:color w:val="000000" w:themeColor="text1"/>
          <w:sz w:val="24"/>
          <w:szCs w:val="24"/>
        </w:rPr>
        <w:t>0.137</w:t>
      </w:r>
      <w:r>
        <w:rPr>
          <w:rFonts w:cs="Times New Roman" w:hint="eastAsia"/>
          <w:color w:val="000000" w:themeColor="text1"/>
          <w:sz w:val="24"/>
          <w:szCs w:val="24"/>
        </w:rPr>
        <w:t>公斤</w:t>
      </w:r>
      <w:r>
        <w:rPr>
          <w:rFonts w:cs="Times New Roman" w:hint="eastAsia"/>
          <w:color w:val="000000" w:themeColor="text1"/>
          <w:sz w:val="24"/>
          <w:szCs w:val="24"/>
        </w:rPr>
        <w:t>/</w:t>
      </w:r>
      <w:r>
        <w:rPr>
          <w:rFonts w:cs="Times New Roman" w:hint="eastAsia"/>
          <w:color w:val="000000" w:themeColor="text1"/>
          <w:sz w:val="24"/>
          <w:szCs w:val="24"/>
        </w:rPr>
        <w:t>立方米，全年输沙量</w:t>
      </w:r>
      <w:r>
        <w:rPr>
          <w:rFonts w:cs="Times New Roman" w:hint="eastAsia"/>
          <w:color w:val="000000" w:themeColor="text1"/>
          <w:sz w:val="24"/>
          <w:szCs w:val="24"/>
        </w:rPr>
        <w:t>89</w:t>
      </w:r>
      <w:r>
        <w:rPr>
          <w:rFonts w:cs="Times New Roman" w:hint="eastAsia"/>
          <w:color w:val="000000" w:themeColor="text1"/>
          <w:sz w:val="24"/>
          <w:szCs w:val="24"/>
        </w:rPr>
        <w:t>万吨。泥沙颗粒较细，平均粒径</w:t>
      </w:r>
      <w:r>
        <w:rPr>
          <w:rFonts w:cs="Times New Roman" w:hint="eastAsia"/>
          <w:color w:val="000000" w:themeColor="text1"/>
          <w:sz w:val="24"/>
          <w:szCs w:val="24"/>
        </w:rPr>
        <w:t>0.0582</w:t>
      </w:r>
      <w:r>
        <w:rPr>
          <w:rFonts w:cs="Times New Roman" w:hint="eastAsia"/>
          <w:color w:val="000000" w:themeColor="text1"/>
          <w:sz w:val="24"/>
          <w:szCs w:val="24"/>
        </w:rPr>
        <w:t>毫米，下游更细，粒径在</w:t>
      </w:r>
      <w:r>
        <w:rPr>
          <w:rFonts w:cs="Times New Roman" w:hint="eastAsia"/>
          <w:color w:val="000000" w:themeColor="text1"/>
          <w:sz w:val="24"/>
          <w:szCs w:val="24"/>
        </w:rPr>
        <w:t>0.0275</w:t>
      </w:r>
      <w:r>
        <w:rPr>
          <w:rFonts w:cs="Times New Roman" w:hint="eastAsia"/>
          <w:color w:val="000000" w:themeColor="text1"/>
          <w:sz w:val="24"/>
          <w:szCs w:val="24"/>
        </w:rPr>
        <w:t>毫米以下，致使流域土质为粉质粘土和轻质壤土。</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克孜勒河水矿化度较高（</w:t>
      </w:r>
      <w:r>
        <w:rPr>
          <w:rFonts w:cs="Times New Roman" w:hint="eastAsia"/>
          <w:color w:val="000000" w:themeColor="text1"/>
          <w:sz w:val="24"/>
          <w:szCs w:val="24"/>
        </w:rPr>
        <w:t>590.1</w:t>
      </w:r>
      <w:r>
        <w:rPr>
          <w:rFonts w:cs="Times New Roman" w:hint="eastAsia"/>
          <w:color w:val="000000" w:themeColor="text1"/>
          <w:sz w:val="24"/>
          <w:szCs w:val="24"/>
        </w:rPr>
        <w:t>毫米</w:t>
      </w:r>
      <w:r>
        <w:rPr>
          <w:rFonts w:cs="Times New Roman" w:hint="eastAsia"/>
          <w:color w:val="000000" w:themeColor="text1"/>
          <w:sz w:val="24"/>
          <w:szCs w:val="24"/>
        </w:rPr>
        <w:t>/</w:t>
      </w:r>
      <w:r>
        <w:rPr>
          <w:rFonts w:cs="Times New Roman" w:hint="eastAsia"/>
          <w:color w:val="000000" w:themeColor="text1"/>
          <w:sz w:val="24"/>
          <w:szCs w:val="24"/>
        </w:rPr>
        <w:t>升），水质较硬、较差，但因含</w:t>
      </w:r>
      <w:r>
        <w:rPr>
          <w:rFonts w:cs="Times New Roman" w:hint="eastAsia"/>
          <w:color w:val="000000" w:themeColor="text1"/>
          <w:sz w:val="24"/>
          <w:szCs w:val="24"/>
        </w:rPr>
        <w:t>SO4</w:t>
      </w:r>
      <w:r>
        <w:rPr>
          <w:rFonts w:cs="Times New Roman" w:hint="eastAsia"/>
          <w:color w:val="000000" w:themeColor="text1"/>
          <w:sz w:val="24"/>
          <w:szCs w:val="24"/>
        </w:rPr>
        <w:t>及</w:t>
      </w:r>
      <w:r>
        <w:rPr>
          <w:rFonts w:cs="Times New Roman" w:hint="eastAsia"/>
          <w:color w:val="000000" w:themeColor="text1"/>
          <w:sz w:val="24"/>
          <w:szCs w:val="24"/>
        </w:rPr>
        <w:t>Ca</w:t>
      </w:r>
      <w:r>
        <w:rPr>
          <w:rFonts w:cs="Times New Roman" w:hint="eastAsia"/>
          <w:color w:val="000000" w:themeColor="text1"/>
          <w:sz w:val="24"/>
          <w:szCs w:val="24"/>
        </w:rPr>
        <w:t>较高，所以危害较小，有利于改良土壤。该灌区没有碱土分布。</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3</w:t>
      </w:r>
      <w:r>
        <w:rPr>
          <w:rFonts w:cs="Times New Roman" w:hint="eastAsia"/>
          <w:color w:val="000000" w:themeColor="text1"/>
          <w:sz w:val="24"/>
          <w:szCs w:val="24"/>
        </w:rPr>
        <w:t>）盖孜河</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发源于昆仑山慕士塔格、公格尔、阿克塞巴什等山峰，集水面积</w:t>
      </w:r>
      <w:r>
        <w:rPr>
          <w:rFonts w:cs="Times New Roman" w:hint="eastAsia"/>
          <w:color w:val="000000" w:themeColor="text1"/>
          <w:sz w:val="24"/>
          <w:szCs w:val="24"/>
        </w:rPr>
        <w:t>8400</w:t>
      </w:r>
      <w:r>
        <w:rPr>
          <w:rFonts w:cs="Times New Roman" w:hint="eastAsia"/>
          <w:color w:val="000000" w:themeColor="text1"/>
          <w:sz w:val="24"/>
          <w:szCs w:val="24"/>
        </w:rPr>
        <w:t>平方公里（克勒克以上），全长</w:t>
      </w:r>
      <w:r>
        <w:rPr>
          <w:rFonts w:cs="Times New Roman" w:hint="eastAsia"/>
          <w:color w:val="000000" w:themeColor="text1"/>
          <w:sz w:val="24"/>
          <w:szCs w:val="24"/>
        </w:rPr>
        <w:t>320</w:t>
      </w:r>
      <w:r>
        <w:rPr>
          <w:rFonts w:cs="Times New Roman" w:hint="eastAsia"/>
          <w:color w:val="000000" w:themeColor="text1"/>
          <w:sz w:val="24"/>
          <w:szCs w:val="24"/>
        </w:rPr>
        <w:t>公里。年均径流量</w:t>
      </w:r>
      <w:r>
        <w:rPr>
          <w:rFonts w:cs="Times New Roman" w:hint="eastAsia"/>
          <w:color w:val="000000" w:themeColor="text1"/>
          <w:sz w:val="24"/>
          <w:szCs w:val="24"/>
        </w:rPr>
        <w:t>9.64</w:t>
      </w:r>
      <w:r>
        <w:rPr>
          <w:rFonts w:cs="Times New Roman" w:hint="eastAsia"/>
          <w:color w:val="000000" w:themeColor="text1"/>
          <w:sz w:val="24"/>
          <w:szCs w:val="24"/>
        </w:rPr>
        <w:t>亿立方米，最大</w:t>
      </w:r>
      <w:r>
        <w:rPr>
          <w:rFonts w:cs="Times New Roman" w:hint="eastAsia"/>
          <w:color w:val="000000" w:themeColor="text1"/>
          <w:sz w:val="24"/>
          <w:szCs w:val="24"/>
        </w:rPr>
        <w:t>11.78</w:t>
      </w:r>
      <w:r>
        <w:rPr>
          <w:rFonts w:cs="Times New Roman" w:hint="eastAsia"/>
          <w:color w:val="000000" w:themeColor="text1"/>
          <w:sz w:val="24"/>
          <w:szCs w:val="24"/>
        </w:rPr>
        <w:t>亿立方米（</w:t>
      </w:r>
      <w:r>
        <w:rPr>
          <w:rFonts w:cs="Times New Roman" w:hint="eastAsia"/>
          <w:color w:val="000000" w:themeColor="text1"/>
          <w:sz w:val="24"/>
          <w:szCs w:val="24"/>
        </w:rPr>
        <w:t>1959</w:t>
      </w:r>
      <w:r>
        <w:rPr>
          <w:rFonts w:cs="Times New Roman" w:hint="eastAsia"/>
          <w:color w:val="000000" w:themeColor="text1"/>
          <w:sz w:val="24"/>
          <w:szCs w:val="24"/>
        </w:rPr>
        <w:t>年），最小</w:t>
      </w:r>
      <w:r>
        <w:rPr>
          <w:rFonts w:cs="Times New Roman" w:hint="eastAsia"/>
          <w:color w:val="000000" w:themeColor="text1"/>
          <w:sz w:val="24"/>
          <w:szCs w:val="24"/>
        </w:rPr>
        <w:t>6.53</w:t>
      </w:r>
      <w:r>
        <w:rPr>
          <w:rFonts w:cs="Times New Roman" w:hint="eastAsia"/>
          <w:color w:val="000000" w:themeColor="text1"/>
          <w:sz w:val="24"/>
          <w:szCs w:val="24"/>
        </w:rPr>
        <w:t>亿立方米（</w:t>
      </w:r>
      <w:r>
        <w:rPr>
          <w:rFonts w:cs="Times New Roman" w:hint="eastAsia"/>
          <w:color w:val="000000" w:themeColor="text1"/>
          <w:sz w:val="24"/>
          <w:szCs w:val="24"/>
        </w:rPr>
        <w:t>1972</w:t>
      </w:r>
      <w:r>
        <w:rPr>
          <w:rFonts w:cs="Times New Roman" w:hint="eastAsia"/>
          <w:color w:val="000000" w:themeColor="text1"/>
          <w:sz w:val="24"/>
          <w:szCs w:val="24"/>
        </w:rPr>
        <w:t>年）。疏勒县年均引水</w:t>
      </w:r>
      <w:r>
        <w:rPr>
          <w:rFonts w:cs="Times New Roman" w:hint="eastAsia"/>
          <w:color w:val="000000" w:themeColor="text1"/>
          <w:sz w:val="24"/>
          <w:szCs w:val="24"/>
        </w:rPr>
        <w:t>2.79</w:t>
      </w:r>
      <w:r>
        <w:rPr>
          <w:rFonts w:cs="Times New Roman" w:hint="eastAsia"/>
          <w:color w:val="000000" w:themeColor="text1"/>
          <w:sz w:val="24"/>
          <w:szCs w:val="24"/>
        </w:rPr>
        <w:t>亿立方米，灌溉巴合齐、塔孜洪、英尔力克、罕南力克、库木西力克、塔尕尔其等</w:t>
      </w:r>
      <w:r>
        <w:rPr>
          <w:rFonts w:cs="Times New Roman" w:hint="eastAsia"/>
          <w:color w:val="000000" w:themeColor="text1"/>
          <w:sz w:val="24"/>
          <w:szCs w:val="24"/>
        </w:rPr>
        <w:t>6</w:t>
      </w:r>
      <w:r>
        <w:rPr>
          <w:rFonts w:cs="Times New Roman" w:hint="eastAsia"/>
          <w:color w:val="000000" w:themeColor="text1"/>
          <w:sz w:val="24"/>
          <w:szCs w:val="24"/>
        </w:rPr>
        <w:t>个乡镇，计</w:t>
      </w:r>
      <w:r>
        <w:rPr>
          <w:rFonts w:cs="Times New Roman" w:hint="eastAsia"/>
          <w:color w:val="000000" w:themeColor="text1"/>
          <w:sz w:val="24"/>
          <w:szCs w:val="24"/>
        </w:rPr>
        <w:t>29.32</w:t>
      </w:r>
      <w:r>
        <w:rPr>
          <w:rFonts w:cs="Times New Roman" w:hint="eastAsia"/>
          <w:color w:val="000000" w:themeColor="text1"/>
          <w:sz w:val="24"/>
          <w:szCs w:val="24"/>
        </w:rPr>
        <w:t>万亩耕地。</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盖孜河含沙量年均</w:t>
      </w:r>
      <w:r>
        <w:rPr>
          <w:rFonts w:cs="Times New Roman" w:hint="eastAsia"/>
          <w:color w:val="000000" w:themeColor="text1"/>
          <w:sz w:val="24"/>
          <w:szCs w:val="24"/>
        </w:rPr>
        <w:t>2.86</w:t>
      </w:r>
      <w:r>
        <w:rPr>
          <w:rFonts w:cs="Times New Roman" w:hint="eastAsia"/>
          <w:color w:val="000000" w:themeColor="text1"/>
          <w:sz w:val="24"/>
          <w:szCs w:val="24"/>
        </w:rPr>
        <w:t>公斤</w:t>
      </w:r>
      <w:r>
        <w:rPr>
          <w:rFonts w:cs="Times New Roman" w:hint="eastAsia"/>
          <w:color w:val="000000" w:themeColor="text1"/>
          <w:sz w:val="24"/>
          <w:szCs w:val="24"/>
        </w:rPr>
        <w:t>/</w:t>
      </w:r>
      <w:r>
        <w:rPr>
          <w:rFonts w:cs="Times New Roman" w:hint="eastAsia"/>
          <w:color w:val="000000" w:themeColor="text1"/>
          <w:sz w:val="24"/>
          <w:szCs w:val="24"/>
        </w:rPr>
        <w:t>立方米，沙粒较粗，易于沉淀。每年输入沙粒约</w:t>
      </w:r>
      <w:r>
        <w:rPr>
          <w:rFonts w:cs="Times New Roman" w:hint="eastAsia"/>
          <w:color w:val="000000" w:themeColor="text1"/>
          <w:sz w:val="24"/>
          <w:szCs w:val="24"/>
        </w:rPr>
        <w:t>137</w:t>
      </w:r>
      <w:r>
        <w:rPr>
          <w:rFonts w:cs="Times New Roman" w:hint="eastAsia"/>
          <w:color w:val="000000" w:themeColor="text1"/>
          <w:sz w:val="24"/>
          <w:szCs w:val="24"/>
        </w:rPr>
        <w:t>万吨，致使灌溉渠系淤沙较严重。盖孜河水总硬度</w:t>
      </w:r>
      <w:r>
        <w:rPr>
          <w:rFonts w:cs="Times New Roman" w:hint="eastAsia"/>
          <w:color w:val="000000" w:themeColor="text1"/>
          <w:sz w:val="24"/>
          <w:szCs w:val="24"/>
        </w:rPr>
        <w:t>3.85</w:t>
      </w:r>
      <w:r>
        <w:rPr>
          <w:rFonts w:cs="Times New Roman" w:hint="eastAsia"/>
          <w:color w:val="000000" w:themeColor="text1"/>
          <w:sz w:val="24"/>
          <w:szCs w:val="24"/>
        </w:rPr>
        <w:t>毫克当量</w:t>
      </w:r>
      <w:r>
        <w:rPr>
          <w:rFonts w:cs="Times New Roman" w:hint="eastAsia"/>
          <w:color w:val="000000" w:themeColor="text1"/>
          <w:sz w:val="24"/>
          <w:szCs w:val="24"/>
        </w:rPr>
        <w:t>/</w:t>
      </w:r>
      <w:r>
        <w:rPr>
          <w:rFonts w:cs="Times New Roman" w:hint="eastAsia"/>
          <w:color w:val="000000" w:themeColor="text1"/>
          <w:sz w:val="24"/>
          <w:szCs w:val="24"/>
        </w:rPr>
        <w:t>升，总碱度</w:t>
      </w:r>
      <w:r>
        <w:rPr>
          <w:rFonts w:cs="Times New Roman" w:hint="eastAsia"/>
          <w:color w:val="000000" w:themeColor="text1"/>
          <w:sz w:val="24"/>
          <w:szCs w:val="24"/>
        </w:rPr>
        <w:t>2.884</w:t>
      </w:r>
      <w:r>
        <w:rPr>
          <w:rFonts w:cs="Times New Roman" w:hint="eastAsia"/>
          <w:color w:val="000000" w:themeColor="text1"/>
          <w:sz w:val="24"/>
          <w:szCs w:val="24"/>
        </w:rPr>
        <w:t>毫克当量</w:t>
      </w:r>
      <w:r>
        <w:rPr>
          <w:rFonts w:cs="Times New Roman" w:hint="eastAsia"/>
          <w:color w:val="000000" w:themeColor="text1"/>
          <w:sz w:val="24"/>
          <w:szCs w:val="24"/>
        </w:rPr>
        <w:t>/</w:t>
      </w:r>
      <w:r>
        <w:rPr>
          <w:rFonts w:cs="Times New Roman" w:hint="eastAsia"/>
          <w:color w:val="000000" w:themeColor="text1"/>
          <w:sz w:val="24"/>
          <w:szCs w:val="24"/>
        </w:rPr>
        <w:t>升，水质较好。</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4</w:t>
      </w:r>
      <w:r>
        <w:rPr>
          <w:rFonts w:cs="Times New Roman" w:hint="eastAsia"/>
          <w:color w:val="000000" w:themeColor="text1"/>
          <w:sz w:val="24"/>
          <w:szCs w:val="24"/>
        </w:rPr>
        <w:t>）库山河</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发源于昆仑山的慕士塔格和公格尔山峰，集水面积</w:t>
      </w:r>
      <w:r>
        <w:rPr>
          <w:rFonts w:cs="Times New Roman" w:hint="eastAsia"/>
          <w:color w:val="000000" w:themeColor="text1"/>
          <w:sz w:val="24"/>
          <w:szCs w:val="24"/>
        </w:rPr>
        <w:t>2120</w:t>
      </w:r>
      <w:r>
        <w:rPr>
          <w:rFonts w:cs="Times New Roman" w:hint="eastAsia"/>
          <w:color w:val="000000" w:themeColor="text1"/>
          <w:sz w:val="24"/>
          <w:szCs w:val="24"/>
        </w:rPr>
        <w:t>平方公里（沙曼以上），河长</w:t>
      </w:r>
      <w:r>
        <w:rPr>
          <w:rFonts w:cs="Times New Roman" w:hint="eastAsia"/>
          <w:color w:val="000000" w:themeColor="text1"/>
          <w:sz w:val="24"/>
          <w:szCs w:val="24"/>
        </w:rPr>
        <w:t>114</w:t>
      </w:r>
      <w:r>
        <w:rPr>
          <w:rFonts w:cs="Times New Roman" w:hint="eastAsia"/>
          <w:color w:val="000000" w:themeColor="text1"/>
          <w:sz w:val="24"/>
          <w:szCs w:val="24"/>
        </w:rPr>
        <w:t>公里。年均径流量</w:t>
      </w:r>
      <w:r>
        <w:rPr>
          <w:rFonts w:cs="Times New Roman" w:hint="eastAsia"/>
          <w:color w:val="000000" w:themeColor="text1"/>
          <w:sz w:val="24"/>
          <w:szCs w:val="24"/>
        </w:rPr>
        <w:t>6.34</w:t>
      </w:r>
      <w:r>
        <w:rPr>
          <w:rFonts w:cs="Times New Roman" w:hint="eastAsia"/>
          <w:color w:val="000000" w:themeColor="text1"/>
          <w:sz w:val="24"/>
          <w:szCs w:val="24"/>
        </w:rPr>
        <w:t>亿立方米，丰水年</w:t>
      </w:r>
      <w:r>
        <w:rPr>
          <w:rFonts w:cs="Times New Roman" w:hint="eastAsia"/>
          <w:color w:val="000000" w:themeColor="text1"/>
          <w:sz w:val="24"/>
          <w:szCs w:val="24"/>
        </w:rPr>
        <w:t>8.05</w:t>
      </w:r>
      <w:r>
        <w:rPr>
          <w:rFonts w:cs="Times New Roman" w:hint="eastAsia"/>
          <w:color w:val="000000" w:themeColor="text1"/>
          <w:sz w:val="24"/>
          <w:szCs w:val="24"/>
        </w:rPr>
        <w:t>亿立方米（</w:t>
      </w:r>
      <w:r>
        <w:rPr>
          <w:rFonts w:cs="Times New Roman" w:hint="eastAsia"/>
          <w:color w:val="000000" w:themeColor="text1"/>
          <w:sz w:val="24"/>
          <w:szCs w:val="24"/>
        </w:rPr>
        <w:t>1959</w:t>
      </w:r>
      <w:r>
        <w:rPr>
          <w:rFonts w:cs="Times New Roman" w:hint="eastAsia"/>
          <w:color w:val="000000" w:themeColor="text1"/>
          <w:sz w:val="24"/>
          <w:szCs w:val="24"/>
        </w:rPr>
        <w:t>年），枯水年</w:t>
      </w:r>
      <w:r>
        <w:rPr>
          <w:rFonts w:cs="Times New Roman" w:hint="eastAsia"/>
          <w:color w:val="000000" w:themeColor="text1"/>
          <w:sz w:val="24"/>
          <w:szCs w:val="24"/>
        </w:rPr>
        <w:t>4.28</w:t>
      </w:r>
      <w:r>
        <w:rPr>
          <w:rFonts w:cs="Times New Roman" w:hint="eastAsia"/>
          <w:color w:val="000000" w:themeColor="text1"/>
          <w:sz w:val="24"/>
          <w:szCs w:val="24"/>
        </w:rPr>
        <w:t>亿立方米（</w:t>
      </w:r>
      <w:r>
        <w:rPr>
          <w:rFonts w:cs="Times New Roman" w:hint="eastAsia"/>
          <w:color w:val="000000" w:themeColor="text1"/>
          <w:sz w:val="24"/>
          <w:szCs w:val="24"/>
        </w:rPr>
        <w:t>1965</w:t>
      </w:r>
      <w:r>
        <w:rPr>
          <w:rFonts w:cs="Times New Roman" w:hint="eastAsia"/>
          <w:color w:val="000000" w:themeColor="text1"/>
          <w:sz w:val="24"/>
          <w:szCs w:val="24"/>
        </w:rPr>
        <w:t>年）。疏勒县引用</w:t>
      </w:r>
      <w:r>
        <w:rPr>
          <w:rFonts w:cs="Times New Roman" w:hint="eastAsia"/>
          <w:color w:val="000000" w:themeColor="text1"/>
          <w:sz w:val="24"/>
          <w:szCs w:val="24"/>
        </w:rPr>
        <w:t>1.04</w:t>
      </w:r>
      <w:r>
        <w:rPr>
          <w:rFonts w:cs="Times New Roman" w:hint="eastAsia"/>
          <w:color w:val="000000" w:themeColor="text1"/>
          <w:sz w:val="24"/>
          <w:szCs w:val="24"/>
        </w:rPr>
        <w:t>亿立方米，灌溉艾尔木东、牙甫泉、阿拉力、英阿瓦提、阿拉甫</w:t>
      </w:r>
      <w:r>
        <w:rPr>
          <w:rFonts w:cs="Times New Roman" w:hint="eastAsia"/>
          <w:color w:val="000000" w:themeColor="text1"/>
          <w:sz w:val="24"/>
          <w:szCs w:val="24"/>
        </w:rPr>
        <w:t>5</w:t>
      </w:r>
      <w:r>
        <w:rPr>
          <w:rFonts w:cs="Times New Roman" w:hint="eastAsia"/>
          <w:color w:val="000000" w:themeColor="text1"/>
          <w:sz w:val="24"/>
          <w:szCs w:val="24"/>
        </w:rPr>
        <w:t>个乡镇</w:t>
      </w:r>
      <w:r>
        <w:rPr>
          <w:rFonts w:cs="Times New Roman" w:hint="eastAsia"/>
          <w:color w:val="000000" w:themeColor="text1"/>
          <w:sz w:val="24"/>
          <w:szCs w:val="24"/>
        </w:rPr>
        <w:t>17.7</w:t>
      </w:r>
      <w:r>
        <w:rPr>
          <w:rFonts w:cs="Times New Roman" w:hint="eastAsia"/>
          <w:color w:val="000000" w:themeColor="text1"/>
          <w:sz w:val="24"/>
          <w:szCs w:val="24"/>
        </w:rPr>
        <w:t>万亩耕地。库山河年均含沙量</w:t>
      </w:r>
      <w:r>
        <w:rPr>
          <w:rFonts w:cs="Times New Roman" w:hint="eastAsia"/>
          <w:color w:val="000000" w:themeColor="text1"/>
          <w:sz w:val="24"/>
          <w:szCs w:val="24"/>
        </w:rPr>
        <w:t>2.83</w:t>
      </w:r>
      <w:r>
        <w:rPr>
          <w:rFonts w:cs="Times New Roman" w:hint="eastAsia"/>
          <w:color w:val="000000" w:themeColor="text1"/>
          <w:sz w:val="24"/>
          <w:szCs w:val="24"/>
        </w:rPr>
        <w:t>公斤</w:t>
      </w:r>
      <w:r>
        <w:rPr>
          <w:rFonts w:cs="Times New Roman" w:hint="eastAsia"/>
          <w:color w:val="000000" w:themeColor="text1"/>
          <w:sz w:val="24"/>
          <w:szCs w:val="24"/>
        </w:rPr>
        <w:t>/</w:t>
      </w:r>
      <w:r>
        <w:rPr>
          <w:rFonts w:cs="Times New Roman" w:hint="eastAsia"/>
          <w:color w:val="000000" w:themeColor="text1"/>
          <w:sz w:val="24"/>
          <w:szCs w:val="24"/>
        </w:rPr>
        <w:t>立方米，年均输沙量</w:t>
      </w:r>
      <w:r>
        <w:rPr>
          <w:rFonts w:cs="Times New Roman" w:hint="eastAsia"/>
          <w:color w:val="000000" w:themeColor="text1"/>
          <w:sz w:val="24"/>
          <w:szCs w:val="24"/>
        </w:rPr>
        <w:t>182</w:t>
      </w:r>
      <w:r>
        <w:rPr>
          <w:rFonts w:cs="Times New Roman" w:hint="eastAsia"/>
          <w:color w:val="000000" w:themeColor="text1"/>
          <w:sz w:val="24"/>
          <w:szCs w:val="24"/>
        </w:rPr>
        <w:t>万吨，沙粒较粗，沙粒径平均</w:t>
      </w:r>
      <w:r>
        <w:rPr>
          <w:rFonts w:cs="Times New Roman" w:hint="eastAsia"/>
          <w:color w:val="000000" w:themeColor="text1"/>
          <w:sz w:val="24"/>
          <w:szCs w:val="24"/>
        </w:rPr>
        <w:t>0.182</w:t>
      </w:r>
      <w:r>
        <w:rPr>
          <w:rFonts w:cs="Times New Roman" w:hint="eastAsia"/>
          <w:color w:val="000000" w:themeColor="text1"/>
          <w:sz w:val="24"/>
          <w:szCs w:val="24"/>
        </w:rPr>
        <w:t>毫米，粒径小于</w:t>
      </w:r>
      <w:r>
        <w:rPr>
          <w:rFonts w:cs="Times New Roman" w:hint="eastAsia"/>
          <w:color w:val="000000" w:themeColor="text1"/>
          <w:sz w:val="24"/>
          <w:szCs w:val="24"/>
        </w:rPr>
        <w:t>0.025</w:t>
      </w:r>
      <w:r>
        <w:rPr>
          <w:rFonts w:cs="Times New Roman" w:hint="eastAsia"/>
          <w:color w:val="000000" w:themeColor="text1"/>
          <w:sz w:val="24"/>
          <w:szCs w:val="24"/>
        </w:rPr>
        <w:t>毫米的占</w:t>
      </w:r>
      <w:r>
        <w:rPr>
          <w:rFonts w:cs="Times New Roman" w:hint="eastAsia"/>
          <w:color w:val="000000" w:themeColor="text1"/>
          <w:sz w:val="24"/>
          <w:szCs w:val="24"/>
        </w:rPr>
        <w:t>18</w:t>
      </w:r>
      <w:r>
        <w:rPr>
          <w:rFonts w:cs="Times New Roman" w:hint="eastAsia"/>
          <w:color w:val="000000" w:themeColor="text1"/>
          <w:sz w:val="24"/>
          <w:szCs w:val="24"/>
        </w:rPr>
        <w:t>％，大于</w:t>
      </w:r>
      <w:r>
        <w:rPr>
          <w:rFonts w:cs="Times New Roman" w:hint="eastAsia"/>
          <w:color w:val="000000" w:themeColor="text1"/>
          <w:sz w:val="24"/>
          <w:szCs w:val="24"/>
        </w:rPr>
        <w:t>0.25</w:t>
      </w:r>
      <w:r>
        <w:rPr>
          <w:rFonts w:cs="Times New Roman" w:hint="eastAsia"/>
          <w:color w:val="000000" w:themeColor="text1"/>
          <w:sz w:val="24"/>
          <w:szCs w:val="24"/>
        </w:rPr>
        <w:t>毫米的占</w:t>
      </w:r>
      <w:r>
        <w:rPr>
          <w:rFonts w:cs="Times New Roman" w:hint="eastAsia"/>
          <w:color w:val="000000" w:themeColor="text1"/>
          <w:sz w:val="24"/>
          <w:szCs w:val="24"/>
        </w:rPr>
        <w:t>29</w:t>
      </w:r>
      <w:r>
        <w:rPr>
          <w:rFonts w:cs="Times New Roman" w:hint="eastAsia"/>
          <w:color w:val="000000" w:themeColor="text1"/>
          <w:sz w:val="24"/>
          <w:szCs w:val="24"/>
        </w:rPr>
        <w:t>％。因疏勒县引水量小，进沙量也小，渠系无严重淤沙危害。库山河水总硬度</w:t>
      </w:r>
      <w:r>
        <w:rPr>
          <w:rFonts w:cs="Times New Roman" w:hint="eastAsia"/>
          <w:color w:val="000000" w:themeColor="text1"/>
          <w:sz w:val="24"/>
          <w:szCs w:val="24"/>
        </w:rPr>
        <w:t>3.625</w:t>
      </w:r>
      <w:r>
        <w:rPr>
          <w:rFonts w:cs="Times New Roman" w:hint="eastAsia"/>
          <w:color w:val="000000" w:themeColor="text1"/>
          <w:sz w:val="24"/>
          <w:szCs w:val="24"/>
        </w:rPr>
        <w:t>毫克当量</w:t>
      </w:r>
      <w:r>
        <w:rPr>
          <w:rFonts w:cs="Times New Roman" w:hint="eastAsia"/>
          <w:color w:val="000000" w:themeColor="text1"/>
          <w:sz w:val="24"/>
          <w:szCs w:val="24"/>
        </w:rPr>
        <w:t>/</w:t>
      </w:r>
      <w:r>
        <w:rPr>
          <w:rFonts w:cs="Times New Roman" w:hint="eastAsia"/>
          <w:color w:val="000000" w:themeColor="text1"/>
          <w:sz w:val="24"/>
          <w:szCs w:val="24"/>
        </w:rPr>
        <w:t>升，总碱度</w:t>
      </w:r>
      <w:r>
        <w:rPr>
          <w:rFonts w:cs="Times New Roman" w:hint="eastAsia"/>
          <w:color w:val="000000" w:themeColor="text1"/>
          <w:sz w:val="24"/>
          <w:szCs w:val="24"/>
        </w:rPr>
        <w:t>2.453</w:t>
      </w:r>
      <w:r>
        <w:rPr>
          <w:rFonts w:cs="Times New Roman" w:hint="eastAsia"/>
          <w:color w:val="000000" w:themeColor="text1"/>
          <w:sz w:val="24"/>
          <w:szCs w:val="24"/>
        </w:rPr>
        <w:t>毫克当量</w:t>
      </w:r>
      <w:r>
        <w:rPr>
          <w:rFonts w:cs="Times New Roman" w:hint="eastAsia"/>
          <w:color w:val="000000" w:themeColor="text1"/>
          <w:sz w:val="24"/>
          <w:szCs w:val="24"/>
        </w:rPr>
        <w:t>/</w:t>
      </w:r>
      <w:r>
        <w:rPr>
          <w:rFonts w:cs="Times New Roman" w:hint="eastAsia"/>
          <w:color w:val="000000" w:themeColor="text1"/>
          <w:sz w:val="24"/>
          <w:szCs w:val="24"/>
        </w:rPr>
        <w:t>升，水质较好。</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5</w:t>
      </w:r>
      <w:r>
        <w:rPr>
          <w:rFonts w:cs="Times New Roman" w:hint="eastAsia"/>
          <w:color w:val="000000" w:themeColor="text1"/>
          <w:sz w:val="24"/>
          <w:szCs w:val="24"/>
        </w:rPr>
        <w:t>）排孜阿瓦提河</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排孜阿瓦提河流经县境</w:t>
      </w:r>
      <w:r>
        <w:rPr>
          <w:rFonts w:cs="Times New Roman" w:hint="eastAsia"/>
          <w:color w:val="000000" w:themeColor="text1"/>
          <w:sz w:val="24"/>
          <w:szCs w:val="24"/>
        </w:rPr>
        <w:t>51.5</w:t>
      </w:r>
      <w:r>
        <w:rPr>
          <w:rFonts w:cs="Times New Roman" w:hint="eastAsia"/>
          <w:color w:val="000000" w:themeColor="text1"/>
          <w:sz w:val="24"/>
          <w:szCs w:val="24"/>
        </w:rPr>
        <w:t>公里，西起巴仁乡克其其村，东至亚曼牙乡阿亚克盖米桑村，汇入克孜勒河。河水四季长流，洪水期流量</w:t>
      </w:r>
      <w:r>
        <w:rPr>
          <w:rFonts w:cs="Times New Roman" w:hint="eastAsia"/>
          <w:color w:val="000000" w:themeColor="text1"/>
          <w:sz w:val="24"/>
          <w:szCs w:val="24"/>
        </w:rPr>
        <w:t>100</w:t>
      </w:r>
      <w:r>
        <w:rPr>
          <w:rFonts w:cs="Times New Roman" w:hint="eastAsia"/>
          <w:color w:val="000000" w:themeColor="text1"/>
          <w:sz w:val="24"/>
          <w:szCs w:val="24"/>
        </w:rPr>
        <w:t>立方米</w:t>
      </w:r>
      <w:r>
        <w:rPr>
          <w:rFonts w:cs="Times New Roman" w:hint="eastAsia"/>
          <w:color w:val="000000" w:themeColor="text1"/>
          <w:sz w:val="24"/>
          <w:szCs w:val="24"/>
        </w:rPr>
        <w:t>/</w:t>
      </w:r>
      <w:r>
        <w:rPr>
          <w:rFonts w:cs="Times New Roman" w:hint="eastAsia"/>
          <w:color w:val="000000" w:themeColor="text1"/>
          <w:sz w:val="24"/>
          <w:szCs w:val="24"/>
        </w:rPr>
        <w:t>秒，枯水期仅</w:t>
      </w:r>
      <w:r>
        <w:rPr>
          <w:rFonts w:cs="Times New Roman" w:hint="eastAsia"/>
          <w:color w:val="000000" w:themeColor="text1"/>
          <w:sz w:val="24"/>
          <w:szCs w:val="24"/>
        </w:rPr>
        <w:t>5</w:t>
      </w:r>
      <w:r>
        <w:rPr>
          <w:rFonts w:cs="Times New Roman" w:hint="eastAsia"/>
          <w:color w:val="000000" w:themeColor="text1"/>
          <w:sz w:val="24"/>
          <w:szCs w:val="24"/>
        </w:rPr>
        <w:t>立方米</w:t>
      </w:r>
      <w:r>
        <w:rPr>
          <w:rFonts w:cs="Times New Roman" w:hint="eastAsia"/>
          <w:color w:val="000000" w:themeColor="text1"/>
          <w:sz w:val="24"/>
          <w:szCs w:val="24"/>
        </w:rPr>
        <w:t>/</w:t>
      </w:r>
      <w:r>
        <w:rPr>
          <w:rFonts w:cs="Times New Roman" w:hint="eastAsia"/>
          <w:color w:val="000000" w:themeColor="text1"/>
          <w:sz w:val="24"/>
          <w:szCs w:val="24"/>
        </w:rPr>
        <w:t>秒。</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lastRenderedPageBreak/>
        <w:t>6</w:t>
      </w:r>
      <w:r>
        <w:rPr>
          <w:rFonts w:cs="Times New Roman" w:hint="eastAsia"/>
          <w:color w:val="000000" w:themeColor="text1"/>
          <w:sz w:val="24"/>
          <w:szCs w:val="24"/>
        </w:rPr>
        <w:t>）岳普湖河</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岳普湖河流经县境</w:t>
      </w:r>
      <w:r>
        <w:rPr>
          <w:rFonts w:cs="Times New Roman" w:hint="eastAsia"/>
          <w:color w:val="000000" w:themeColor="text1"/>
          <w:sz w:val="24"/>
          <w:szCs w:val="24"/>
        </w:rPr>
        <w:t>48.5</w:t>
      </w:r>
      <w:r>
        <w:rPr>
          <w:rFonts w:cs="Times New Roman" w:hint="eastAsia"/>
          <w:color w:val="000000" w:themeColor="text1"/>
          <w:sz w:val="24"/>
          <w:szCs w:val="24"/>
        </w:rPr>
        <w:t>公里。西起巴合齐乡三道桥分水闸，东至库木西力克乡托万艾日克村，出境流入岳普湖县。河水常年流，洪水期流量为</w:t>
      </w:r>
      <w:r>
        <w:rPr>
          <w:rFonts w:cs="Times New Roman" w:hint="eastAsia"/>
          <w:color w:val="000000" w:themeColor="text1"/>
          <w:sz w:val="24"/>
          <w:szCs w:val="24"/>
        </w:rPr>
        <w:t>200</w:t>
      </w:r>
      <w:r>
        <w:rPr>
          <w:rFonts w:cs="Times New Roman" w:hint="eastAsia"/>
          <w:color w:val="000000" w:themeColor="text1"/>
          <w:sz w:val="24"/>
          <w:szCs w:val="24"/>
        </w:rPr>
        <w:t>立方米</w:t>
      </w:r>
      <w:r>
        <w:rPr>
          <w:rFonts w:cs="Times New Roman" w:hint="eastAsia"/>
          <w:color w:val="000000" w:themeColor="text1"/>
          <w:sz w:val="24"/>
          <w:szCs w:val="24"/>
        </w:rPr>
        <w:t>/</w:t>
      </w:r>
      <w:r>
        <w:rPr>
          <w:rFonts w:cs="Times New Roman" w:hint="eastAsia"/>
          <w:color w:val="000000" w:themeColor="text1"/>
          <w:sz w:val="24"/>
          <w:szCs w:val="24"/>
        </w:rPr>
        <w:t>秒，枯水期流量为</w:t>
      </w:r>
      <w:r>
        <w:rPr>
          <w:rFonts w:cs="Times New Roman" w:hint="eastAsia"/>
          <w:color w:val="000000" w:themeColor="text1"/>
          <w:sz w:val="24"/>
          <w:szCs w:val="24"/>
        </w:rPr>
        <w:t>10</w:t>
      </w:r>
      <w:r>
        <w:rPr>
          <w:rFonts w:cs="Times New Roman" w:hint="eastAsia"/>
          <w:color w:val="000000" w:themeColor="text1"/>
          <w:sz w:val="24"/>
          <w:szCs w:val="24"/>
        </w:rPr>
        <w:t>立方米</w:t>
      </w:r>
      <w:r>
        <w:rPr>
          <w:rFonts w:cs="Times New Roman" w:hint="eastAsia"/>
          <w:color w:val="000000" w:themeColor="text1"/>
          <w:sz w:val="24"/>
          <w:szCs w:val="24"/>
        </w:rPr>
        <w:t>/</w:t>
      </w:r>
      <w:r>
        <w:rPr>
          <w:rFonts w:cs="Times New Roman" w:hint="eastAsia"/>
          <w:color w:val="000000" w:themeColor="text1"/>
          <w:sz w:val="24"/>
          <w:szCs w:val="24"/>
        </w:rPr>
        <w:t>秒。</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w:t>
      </w:r>
      <w:r>
        <w:rPr>
          <w:rFonts w:cs="Times New Roman" w:hint="eastAsia"/>
          <w:color w:val="000000" w:themeColor="text1"/>
          <w:sz w:val="24"/>
          <w:szCs w:val="24"/>
        </w:rPr>
        <w:t>2</w:t>
      </w:r>
      <w:r>
        <w:rPr>
          <w:rFonts w:cs="Times New Roman" w:hint="eastAsia"/>
          <w:color w:val="000000" w:themeColor="text1"/>
          <w:sz w:val="24"/>
          <w:szCs w:val="24"/>
        </w:rPr>
        <w:t>）地下水</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本项目区域属于克孜勒河一恰克马克河平原区水文地质单元。</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1</w:t>
      </w:r>
      <w:r>
        <w:rPr>
          <w:rFonts w:cs="Times New Roman" w:hint="eastAsia"/>
          <w:color w:val="000000" w:themeColor="text1"/>
          <w:sz w:val="24"/>
          <w:szCs w:val="24"/>
        </w:rPr>
        <w:t>）地下水赋存条件</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该调查区地下水的埋藏分布受地质、地貌、岩性、水文等因素决定，第四系松散岩类孔隙水为本区域的主要地下水类型。</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a.</w:t>
      </w:r>
      <w:r>
        <w:rPr>
          <w:rFonts w:cs="Times New Roman" w:hint="eastAsia"/>
          <w:color w:val="000000" w:themeColor="text1"/>
          <w:sz w:val="24"/>
          <w:szCs w:val="24"/>
        </w:rPr>
        <w:t>上覆潜水</w:t>
      </w:r>
      <w:r>
        <w:rPr>
          <w:rFonts w:cs="Times New Roman" w:hint="eastAsia"/>
          <w:color w:val="000000" w:themeColor="text1"/>
          <w:sz w:val="24"/>
          <w:szCs w:val="24"/>
        </w:rPr>
        <w:t>.</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该地区表层分布有</w:t>
      </w:r>
      <w:r>
        <w:rPr>
          <w:rFonts w:cs="Times New Roman" w:hint="eastAsia"/>
          <w:color w:val="000000" w:themeColor="text1"/>
          <w:sz w:val="24"/>
          <w:szCs w:val="24"/>
        </w:rPr>
        <w:t>3-30</w:t>
      </w:r>
      <w:r>
        <w:rPr>
          <w:rFonts w:cs="Times New Roman" w:hint="eastAsia"/>
          <w:color w:val="000000" w:themeColor="text1"/>
          <w:sz w:val="24"/>
          <w:szCs w:val="24"/>
        </w:rPr>
        <w:t>米厚的亚砂土、亚粘土层，构成砂卵砾石含水层的覆盖层，但冲洪积平原上游区上部含水层水位埋深低于覆盖层的底板，上部含水层为潜水含水层。冲洪积平原中下游区其下部含水层水位埋深一般高于覆盖层的底板，作为其相对隔水顶板，但由于隔水作用相对较弱，其含水层与西部、北部的潜水呈连续分布，水力性质基本一致。水位埋深大致由北西向南东由深变浅，潜水含水层底板埋深在</w:t>
      </w:r>
      <w:r>
        <w:rPr>
          <w:rFonts w:cs="Times New Roman" w:hint="eastAsia"/>
          <w:color w:val="000000" w:themeColor="text1"/>
          <w:sz w:val="24"/>
          <w:szCs w:val="24"/>
        </w:rPr>
        <w:t>80-120</w:t>
      </w:r>
      <w:r>
        <w:rPr>
          <w:rFonts w:cs="Times New Roman" w:hint="eastAsia"/>
          <w:color w:val="000000" w:themeColor="text1"/>
          <w:sz w:val="24"/>
          <w:szCs w:val="24"/>
        </w:rPr>
        <w:t>米。富水性北向南逐渐增大，换算单井涌水量由</w:t>
      </w:r>
      <w:r>
        <w:rPr>
          <w:rFonts w:cs="Times New Roman" w:hint="eastAsia"/>
          <w:color w:val="000000" w:themeColor="text1"/>
          <w:sz w:val="24"/>
          <w:szCs w:val="24"/>
        </w:rPr>
        <w:t>1000-3000m3/d</w:t>
      </w:r>
      <w:r>
        <w:rPr>
          <w:rFonts w:cs="Times New Roman" w:hint="eastAsia"/>
          <w:color w:val="000000" w:themeColor="text1"/>
          <w:sz w:val="24"/>
          <w:szCs w:val="24"/>
        </w:rPr>
        <w:t>增大到</w:t>
      </w:r>
      <w:r>
        <w:rPr>
          <w:rFonts w:cs="Times New Roman" w:hint="eastAsia"/>
          <w:color w:val="000000" w:themeColor="text1"/>
          <w:sz w:val="24"/>
          <w:szCs w:val="24"/>
        </w:rPr>
        <w:t>3000-5000m3/d</w:t>
      </w:r>
      <w:r>
        <w:rPr>
          <w:rFonts w:cs="Times New Roman" w:hint="eastAsia"/>
          <w:color w:val="000000" w:themeColor="text1"/>
          <w:sz w:val="24"/>
          <w:szCs w:val="24"/>
        </w:rPr>
        <w:t>又减小到</w:t>
      </w:r>
      <w:r>
        <w:rPr>
          <w:rFonts w:cs="Times New Roman" w:hint="eastAsia"/>
          <w:color w:val="000000" w:themeColor="text1"/>
          <w:sz w:val="24"/>
          <w:szCs w:val="24"/>
        </w:rPr>
        <w:t>1000-3000m3/d</w:t>
      </w:r>
      <w:r>
        <w:rPr>
          <w:rFonts w:cs="Times New Roman" w:hint="eastAsia"/>
          <w:color w:val="000000" w:themeColor="text1"/>
          <w:sz w:val="24"/>
          <w:szCs w:val="24"/>
        </w:rPr>
        <w:t>；富水性由西向东，换算单井涌水量从小于</w:t>
      </w:r>
      <w:r>
        <w:rPr>
          <w:rFonts w:cs="Times New Roman" w:hint="eastAsia"/>
          <w:color w:val="000000" w:themeColor="text1"/>
          <w:sz w:val="24"/>
          <w:szCs w:val="24"/>
        </w:rPr>
        <w:t>1000m3/d</w:t>
      </w:r>
      <w:r>
        <w:rPr>
          <w:rFonts w:cs="Times New Roman" w:hint="eastAsia"/>
          <w:color w:val="000000" w:themeColor="text1"/>
          <w:sz w:val="24"/>
          <w:szCs w:val="24"/>
        </w:rPr>
        <w:t>变化到</w:t>
      </w:r>
      <w:r>
        <w:rPr>
          <w:rFonts w:cs="Times New Roman" w:hint="eastAsia"/>
          <w:color w:val="000000" w:themeColor="text1"/>
          <w:sz w:val="24"/>
          <w:szCs w:val="24"/>
        </w:rPr>
        <w:t>1000-3000m3/d</w:t>
      </w:r>
      <w:r>
        <w:rPr>
          <w:rFonts w:cs="Times New Roman" w:hint="eastAsia"/>
          <w:color w:val="000000" w:themeColor="text1"/>
          <w:sz w:val="24"/>
          <w:szCs w:val="24"/>
        </w:rPr>
        <w:t>，增大到</w:t>
      </w:r>
      <w:r>
        <w:rPr>
          <w:rFonts w:cs="Times New Roman" w:hint="eastAsia"/>
          <w:color w:val="000000" w:themeColor="text1"/>
          <w:sz w:val="24"/>
          <w:szCs w:val="24"/>
        </w:rPr>
        <w:t>3000-5000m3/d</w:t>
      </w:r>
      <w:r>
        <w:rPr>
          <w:rFonts w:cs="Times New Roman" w:hint="eastAsia"/>
          <w:color w:val="000000" w:themeColor="text1"/>
          <w:sz w:val="24"/>
          <w:szCs w:val="24"/>
        </w:rPr>
        <w:t>又减小到</w:t>
      </w:r>
      <w:r>
        <w:rPr>
          <w:rFonts w:cs="Times New Roman" w:hint="eastAsia"/>
          <w:color w:val="000000" w:themeColor="text1"/>
          <w:sz w:val="24"/>
          <w:szCs w:val="24"/>
        </w:rPr>
        <w:t>1000-3000m3/d</w:t>
      </w:r>
      <w:r>
        <w:rPr>
          <w:rFonts w:cs="Times New Roman" w:hint="eastAsia"/>
          <w:color w:val="000000" w:themeColor="text1"/>
          <w:sz w:val="24"/>
          <w:szCs w:val="24"/>
        </w:rPr>
        <w:t>。</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b.</w:t>
      </w:r>
      <w:r>
        <w:rPr>
          <w:rFonts w:cs="Times New Roman" w:hint="eastAsia"/>
          <w:color w:val="000000" w:themeColor="text1"/>
          <w:sz w:val="24"/>
          <w:szCs w:val="24"/>
        </w:rPr>
        <w:t>下伏承压水</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该地区埋藏分布于潜水含水层之下，含水层顶板埋深在</w:t>
      </w:r>
      <w:r>
        <w:rPr>
          <w:rFonts w:cs="Times New Roman" w:hint="eastAsia"/>
          <w:color w:val="000000" w:themeColor="text1"/>
          <w:sz w:val="24"/>
          <w:szCs w:val="24"/>
        </w:rPr>
        <w:t>80-120</w:t>
      </w:r>
      <w:r>
        <w:rPr>
          <w:rFonts w:cs="Times New Roman" w:hint="eastAsia"/>
          <w:color w:val="000000" w:themeColor="text1"/>
          <w:sz w:val="24"/>
          <w:szCs w:val="24"/>
        </w:rPr>
        <w:t>米，厚度</w:t>
      </w:r>
      <w:r>
        <w:rPr>
          <w:rFonts w:cs="Times New Roman" w:hint="eastAsia"/>
          <w:color w:val="000000" w:themeColor="text1"/>
          <w:sz w:val="24"/>
          <w:szCs w:val="24"/>
        </w:rPr>
        <w:t>10-20</w:t>
      </w:r>
      <w:r>
        <w:rPr>
          <w:rFonts w:cs="Times New Roman" w:hint="eastAsia"/>
          <w:color w:val="000000" w:themeColor="text1"/>
          <w:sz w:val="24"/>
          <w:szCs w:val="24"/>
        </w:rPr>
        <w:t>米，隔水底板埋深在</w:t>
      </w:r>
      <w:r>
        <w:rPr>
          <w:rFonts w:cs="Times New Roman" w:hint="eastAsia"/>
          <w:color w:val="000000" w:themeColor="text1"/>
          <w:sz w:val="24"/>
          <w:szCs w:val="24"/>
        </w:rPr>
        <w:t>180-210</w:t>
      </w:r>
      <w:r>
        <w:rPr>
          <w:rFonts w:cs="Times New Roman" w:hint="eastAsia"/>
          <w:color w:val="000000" w:themeColor="text1"/>
          <w:sz w:val="24"/>
          <w:szCs w:val="24"/>
        </w:rPr>
        <w:t>米。由西向东、由北向南含水层介质颗粒逐渐变细，由砂卵砾石过渡到砂砾石、中粗砂，渗透性能逐渐减弱，含水层厚度一般在</w:t>
      </w:r>
      <w:r>
        <w:rPr>
          <w:rFonts w:cs="Times New Roman" w:hint="eastAsia"/>
          <w:color w:val="000000" w:themeColor="text1"/>
          <w:sz w:val="24"/>
          <w:szCs w:val="24"/>
        </w:rPr>
        <w:t>100-130</w:t>
      </w:r>
      <w:r>
        <w:rPr>
          <w:rFonts w:cs="Times New Roman" w:hint="eastAsia"/>
          <w:color w:val="000000" w:themeColor="text1"/>
          <w:sz w:val="24"/>
          <w:szCs w:val="24"/>
        </w:rPr>
        <w:t>米，水头高度一般在</w:t>
      </w:r>
      <w:r>
        <w:rPr>
          <w:rFonts w:cs="Times New Roman" w:hint="eastAsia"/>
          <w:color w:val="000000" w:themeColor="text1"/>
          <w:sz w:val="24"/>
          <w:szCs w:val="24"/>
        </w:rPr>
        <w:t>+6.03-60.45</w:t>
      </w:r>
      <w:r>
        <w:rPr>
          <w:rFonts w:cs="Times New Roman" w:hint="eastAsia"/>
          <w:color w:val="000000" w:themeColor="text1"/>
          <w:sz w:val="24"/>
          <w:szCs w:val="24"/>
        </w:rPr>
        <w:t>米。富水性由北向南逐渐增大，换算单井涌水量由</w:t>
      </w:r>
      <w:r>
        <w:rPr>
          <w:rFonts w:cs="Times New Roman" w:hint="eastAsia"/>
          <w:color w:val="000000" w:themeColor="text1"/>
          <w:sz w:val="24"/>
          <w:szCs w:val="24"/>
        </w:rPr>
        <w:t>1000-3000m3/d</w:t>
      </w:r>
      <w:r>
        <w:rPr>
          <w:rFonts w:cs="Times New Roman" w:hint="eastAsia"/>
          <w:color w:val="000000" w:themeColor="text1"/>
          <w:sz w:val="24"/>
          <w:szCs w:val="24"/>
        </w:rPr>
        <w:t>增大到</w:t>
      </w:r>
      <w:r>
        <w:rPr>
          <w:rFonts w:cs="Times New Roman" w:hint="eastAsia"/>
          <w:color w:val="000000" w:themeColor="text1"/>
          <w:sz w:val="24"/>
          <w:szCs w:val="24"/>
        </w:rPr>
        <w:t>3000-5000m3/d</w:t>
      </w:r>
      <w:r>
        <w:rPr>
          <w:rFonts w:cs="Times New Roman" w:hint="eastAsia"/>
          <w:color w:val="000000" w:themeColor="text1"/>
          <w:sz w:val="24"/>
          <w:szCs w:val="24"/>
        </w:rPr>
        <w:t>又减小到</w:t>
      </w:r>
      <w:r>
        <w:rPr>
          <w:rFonts w:cs="Times New Roman" w:hint="eastAsia"/>
          <w:color w:val="000000" w:themeColor="text1"/>
          <w:sz w:val="24"/>
          <w:szCs w:val="24"/>
        </w:rPr>
        <w:t>1000-3000m3/d</w:t>
      </w:r>
      <w:r>
        <w:rPr>
          <w:rFonts w:cs="Times New Roman" w:hint="eastAsia"/>
          <w:color w:val="000000" w:themeColor="text1"/>
          <w:sz w:val="24"/>
          <w:szCs w:val="24"/>
        </w:rPr>
        <w:t>；富水性由西向东，换算单井涌水量从小于</w:t>
      </w:r>
      <w:r>
        <w:rPr>
          <w:rFonts w:cs="Times New Roman" w:hint="eastAsia"/>
          <w:color w:val="000000" w:themeColor="text1"/>
          <w:sz w:val="24"/>
          <w:szCs w:val="24"/>
        </w:rPr>
        <w:t>1000m3/d</w:t>
      </w:r>
      <w:r>
        <w:rPr>
          <w:rFonts w:cs="Times New Roman" w:hint="eastAsia"/>
          <w:color w:val="000000" w:themeColor="text1"/>
          <w:sz w:val="24"/>
          <w:szCs w:val="24"/>
        </w:rPr>
        <w:t>变化到</w:t>
      </w:r>
      <w:r>
        <w:rPr>
          <w:rFonts w:cs="Times New Roman" w:hint="eastAsia"/>
          <w:color w:val="000000" w:themeColor="text1"/>
          <w:sz w:val="24"/>
          <w:szCs w:val="24"/>
        </w:rPr>
        <w:t>1000-3000m3/d</w:t>
      </w:r>
      <w:r>
        <w:rPr>
          <w:rFonts w:cs="Times New Roman" w:hint="eastAsia"/>
          <w:color w:val="000000" w:themeColor="text1"/>
          <w:sz w:val="24"/>
          <w:szCs w:val="24"/>
        </w:rPr>
        <w:t>，增大到</w:t>
      </w:r>
      <w:r>
        <w:rPr>
          <w:rFonts w:cs="Times New Roman" w:hint="eastAsia"/>
          <w:color w:val="000000" w:themeColor="text1"/>
          <w:sz w:val="24"/>
          <w:szCs w:val="24"/>
        </w:rPr>
        <w:t>3000-5000m3/d</w:t>
      </w:r>
      <w:r>
        <w:rPr>
          <w:rFonts w:cs="Times New Roman" w:hint="eastAsia"/>
          <w:color w:val="000000" w:themeColor="text1"/>
          <w:sz w:val="24"/>
          <w:szCs w:val="24"/>
        </w:rPr>
        <w:t>又减小到</w:t>
      </w:r>
      <w:r>
        <w:rPr>
          <w:rFonts w:cs="Times New Roman" w:hint="eastAsia"/>
          <w:color w:val="000000" w:themeColor="text1"/>
          <w:sz w:val="24"/>
          <w:szCs w:val="24"/>
        </w:rPr>
        <w:t>1000-3000m3/d</w:t>
      </w:r>
      <w:r>
        <w:rPr>
          <w:rFonts w:cs="Times New Roman" w:hint="eastAsia"/>
          <w:color w:val="000000" w:themeColor="text1"/>
          <w:sz w:val="24"/>
          <w:szCs w:val="24"/>
        </w:rPr>
        <w:t>。</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2</w:t>
      </w:r>
      <w:r>
        <w:rPr>
          <w:rFonts w:cs="Times New Roman" w:hint="eastAsia"/>
          <w:color w:val="000000" w:themeColor="text1"/>
          <w:sz w:val="24"/>
          <w:szCs w:val="24"/>
        </w:rPr>
        <w:t>）地下水补径排特征</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①地下水补给条件</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克孜勒河一恰克马克河平原调查区内地下水主要接受西部克孜勒河、北部恰克马克河的引水渠水入渗补给、田间灌溉入渗、侧向径流入渗，以及井泉水回归入渗、大气降水入渗、山前暴雨洪流入渗、潜流补给、河道入渗补给。</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lastRenderedPageBreak/>
        <w:t>②地下水径流条件</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克孜勒河一恰克马克河平原调查区内地下水径流，主要受地形地貌、含水层结构的影响，地下水的总体流向与地形坡降趋势相似，受北部恰克马克河冲洪积地貌及西部克孜勒河冲洪积地貌的综合影响，地下水径流总体方向是由北西流向南东。含水层水力坡度一般</w:t>
      </w:r>
      <w:r>
        <w:rPr>
          <w:rFonts w:cs="Times New Roman" w:hint="eastAsia"/>
          <w:color w:val="000000" w:themeColor="text1"/>
          <w:sz w:val="24"/>
          <w:szCs w:val="24"/>
        </w:rPr>
        <w:t>2%-8.0%</w:t>
      </w:r>
      <w:r>
        <w:rPr>
          <w:rFonts w:cs="Times New Roman" w:hint="eastAsia"/>
          <w:color w:val="000000" w:themeColor="text1"/>
          <w:sz w:val="24"/>
          <w:szCs w:val="24"/>
        </w:rPr>
        <w:t>，地下水总体运动规律表现为由西向东、由北向南水力坡度逐渐减小。</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③地下水排泄条件</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区内地下水的主要排泄方式为人工开采、泉水溢出和地下水蒸发、植被的蒸腾以及侧向流出调查区。</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3</w:t>
      </w:r>
      <w:r>
        <w:rPr>
          <w:rFonts w:cs="Times New Roman" w:hint="eastAsia"/>
          <w:color w:val="000000" w:themeColor="text1"/>
          <w:sz w:val="24"/>
          <w:szCs w:val="24"/>
        </w:rPr>
        <w:t>）地下水化学特征</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①潜水</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该含水层主要接受阿瓦提渠渠水入渗、克孜勒河、吐曼河及少部分恰克马克河河水的入渗补给，其水化学特征主要受到补给来源、含水层岩性、地下水径流条件的影响。</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潜水水化学作用以浓缩</w:t>
      </w:r>
      <w:r>
        <w:rPr>
          <w:rFonts w:cs="Times New Roman" w:hint="eastAsia"/>
          <w:color w:val="000000" w:themeColor="text1"/>
          <w:sz w:val="24"/>
          <w:szCs w:val="24"/>
        </w:rPr>
        <w:t>-</w:t>
      </w:r>
      <w:r>
        <w:rPr>
          <w:rFonts w:cs="Times New Roman" w:hint="eastAsia"/>
          <w:color w:val="000000" w:themeColor="text1"/>
          <w:sz w:val="24"/>
          <w:szCs w:val="24"/>
        </w:rPr>
        <w:t>溶滤作用为主，水化学类型以</w:t>
      </w:r>
      <w:r>
        <w:rPr>
          <w:rFonts w:cs="Times New Roman" w:hint="eastAsia"/>
          <w:color w:val="000000" w:themeColor="text1"/>
          <w:sz w:val="24"/>
          <w:szCs w:val="24"/>
        </w:rPr>
        <w:t>SO4-CaMg</w:t>
      </w:r>
      <w:r>
        <w:rPr>
          <w:rFonts w:cs="Times New Roman" w:hint="eastAsia"/>
          <w:color w:val="000000" w:themeColor="text1"/>
          <w:sz w:val="24"/>
          <w:szCs w:val="24"/>
        </w:rPr>
        <w:t>（</w:t>
      </w:r>
      <w:r>
        <w:rPr>
          <w:rFonts w:cs="Times New Roman" w:hint="eastAsia"/>
          <w:color w:val="000000" w:themeColor="text1"/>
          <w:sz w:val="24"/>
          <w:szCs w:val="24"/>
        </w:rPr>
        <w:t>Na</w:t>
      </w:r>
      <w:r>
        <w:rPr>
          <w:rFonts w:cs="Times New Roman" w:hint="eastAsia"/>
          <w:color w:val="000000" w:themeColor="text1"/>
          <w:sz w:val="24"/>
          <w:szCs w:val="24"/>
        </w:rPr>
        <w:t>）型为主，西部山前及东北部局部地段为</w:t>
      </w:r>
      <w:r>
        <w:rPr>
          <w:rFonts w:cs="Times New Roman" w:hint="eastAsia"/>
          <w:color w:val="000000" w:themeColor="text1"/>
          <w:sz w:val="24"/>
          <w:szCs w:val="24"/>
        </w:rPr>
        <w:t>SO4Cl(HCO3)-Na.Mg</w:t>
      </w:r>
      <w:r>
        <w:rPr>
          <w:rFonts w:cs="Times New Roman" w:hint="eastAsia"/>
          <w:color w:val="000000" w:themeColor="text1"/>
          <w:sz w:val="24"/>
          <w:szCs w:val="24"/>
        </w:rPr>
        <w:t>型。克孜勒河</w:t>
      </w:r>
      <w:r>
        <w:rPr>
          <w:rFonts w:cs="Times New Roman" w:hint="eastAsia"/>
          <w:color w:val="000000" w:themeColor="text1"/>
          <w:sz w:val="24"/>
          <w:szCs w:val="24"/>
        </w:rPr>
        <w:t>-</w:t>
      </w:r>
      <w:r>
        <w:rPr>
          <w:rFonts w:cs="Times New Roman" w:hint="eastAsia"/>
          <w:color w:val="000000" w:themeColor="text1"/>
          <w:sz w:val="24"/>
          <w:szCs w:val="24"/>
        </w:rPr>
        <w:t>恰克马克河冲洪积平原潜水水化学特征在水平方向上，呈现出主要水化学指标沿河流流程的增加而逐渐增大的趋势。硫酸盐含量从西部山前平原区的</w:t>
      </w:r>
      <w:r>
        <w:rPr>
          <w:rFonts w:cs="Times New Roman" w:hint="eastAsia"/>
          <w:color w:val="000000" w:themeColor="text1"/>
          <w:sz w:val="24"/>
          <w:szCs w:val="24"/>
        </w:rPr>
        <w:t>430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升逐渐向东部增大到</w:t>
      </w:r>
      <w:r>
        <w:rPr>
          <w:rFonts w:cs="Times New Roman" w:hint="eastAsia"/>
          <w:color w:val="000000" w:themeColor="text1"/>
          <w:sz w:val="24"/>
          <w:szCs w:val="24"/>
        </w:rPr>
        <w:t>440-630-1400-1760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升，最大可达</w:t>
      </w:r>
      <w:r>
        <w:rPr>
          <w:rFonts w:cs="Times New Roman" w:hint="eastAsia"/>
          <w:color w:val="000000" w:themeColor="text1"/>
          <w:sz w:val="24"/>
          <w:szCs w:val="24"/>
        </w:rPr>
        <w:t>3900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升；硬度含量从西部山前平原区的</w:t>
      </w:r>
      <w:r>
        <w:rPr>
          <w:rFonts w:cs="Times New Roman" w:hint="eastAsia"/>
          <w:color w:val="000000" w:themeColor="text1"/>
          <w:sz w:val="24"/>
          <w:szCs w:val="24"/>
        </w:rPr>
        <w:t>520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升逐渐向东部增大到</w:t>
      </w:r>
      <w:r>
        <w:rPr>
          <w:rFonts w:cs="Times New Roman" w:hint="eastAsia"/>
          <w:color w:val="000000" w:themeColor="text1"/>
          <w:sz w:val="24"/>
          <w:szCs w:val="24"/>
        </w:rPr>
        <w:t>580-790-1550-2030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升，最大可达</w:t>
      </w:r>
      <w:r>
        <w:rPr>
          <w:rFonts w:cs="Times New Roman" w:hint="eastAsia"/>
          <w:color w:val="000000" w:themeColor="text1"/>
          <w:sz w:val="24"/>
          <w:szCs w:val="24"/>
        </w:rPr>
        <w:t>3160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升；矿化度从西部山前平原区的</w:t>
      </w:r>
      <w:r>
        <w:rPr>
          <w:rFonts w:cs="Times New Roman" w:hint="eastAsia"/>
          <w:color w:val="000000" w:themeColor="text1"/>
          <w:sz w:val="24"/>
          <w:szCs w:val="24"/>
        </w:rPr>
        <w:t>830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升逐渐向东部增大到</w:t>
      </w:r>
      <w:r>
        <w:rPr>
          <w:rFonts w:cs="Times New Roman" w:hint="eastAsia"/>
          <w:color w:val="000000" w:themeColor="text1"/>
          <w:sz w:val="24"/>
          <w:szCs w:val="24"/>
        </w:rPr>
        <w:t>940-1180-2540-3360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升，最大可达</w:t>
      </w:r>
      <w:r>
        <w:rPr>
          <w:rFonts w:cs="Times New Roman" w:hint="eastAsia"/>
          <w:color w:val="000000" w:themeColor="text1"/>
          <w:sz w:val="24"/>
          <w:szCs w:val="24"/>
        </w:rPr>
        <w:t>6870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垂直方向上，呈现出主要潜水水化学指标随着钻孔深度的增加而逐渐减小的趋势。硫酸盐含量由浅部</w:t>
      </w:r>
      <w:r>
        <w:rPr>
          <w:rFonts w:cs="Times New Roman" w:hint="eastAsia"/>
          <w:color w:val="000000" w:themeColor="text1"/>
          <w:sz w:val="24"/>
          <w:szCs w:val="24"/>
        </w:rPr>
        <w:t>100</w:t>
      </w:r>
      <w:r>
        <w:rPr>
          <w:rFonts w:cs="Times New Roman" w:hint="eastAsia"/>
          <w:color w:val="000000" w:themeColor="text1"/>
          <w:sz w:val="24"/>
          <w:szCs w:val="24"/>
        </w:rPr>
        <w:t>米的</w:t>
      </w:r>
      <w:r>
        <w:rPr>
          <w:rFonts w:cs="Times New Roman" w:hint="eastAsia"/>
          <w:color w:val="000000" w:themeColor="text1"/>
          <w:sz w:val="24"/>
          <w:szCs w:val="24"/>
        </w:rPr>
        <w:t>670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升逐渐向深部</w:t>
      </w:r>
      <w:r>
        <w:rPr>
          <w:rFonts w:cs="Times New Roman" w:hint="eastAsia"/>
          <w:color w:val="000000" w:themeColor="text1"/>
          <w:sz w:val="24"/>
          <w:szCs w:val="24"/>
        </w:rPr>
        <w:t>200</w:t>
      </w:r>
      <w:r>
        <w:rPr>
          <w:rFonts w:cs="Times New Roman" w:hint="eastAsia"/>
          <w:color w:val="000000" w:themeColor="text1"/>
          <w:sz w:val="24"/>
          <w:szCs w:val="24"/>
        </w:rPr>
        <w:t>米减小到</w:t>
      </w:r>
      <w:r>
        <w:rPr>
          <w:rFonts w:cs="Times New Roman" w:hint="eastAsia"/>
          <w:color w:val="000000" w:themeColor="text1"/>
          <w:sz w:val="24"/>
          <w:szCs w:val="24"/>
        </w:rPr>
        <w:t>440-430-370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升；硬度由浅部</w:t>
      </w:r>
      <w:r>
        <w:rPr>
          <w:rFonts w:cs="Times New Roman" w:hint="eastAsia"/>
          <w:color w:val="000000" w:themeColor="text1"/>
          <w:sz w:val="24"/>
          <w:szCs w:val="24"/>
        </w:rPr>
        <w:t>100</w:t>
      </w:r>
      <w:r>
        <w:rPr>
          <w:rFonts w:cs="Times New Roman" w:hint="eastAsia"/>
          <w:color w:val="000000" w:themeColor="text1"/>
          <w:sz w:val="24"/>
          <w:szCs w:val="24"/>
        </w:rPr>
        <w:t>米的</w:t>
      </w:r>
      <w:r>
        <w:rPr>
          <w:rFonts w:cs="Times New Roman" w:hint="eastAsia"/>
          <w:color w:val="000000" w:themeColor="text1"/>
          <w:sz w:val="24"/>
          <w:szCs w:val="24"/>
        </w:rPr>
        <w:t>770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升逐渐向深部</w:t>
      </w:r>
      <w:r>
        <w:rPr>
          <w:rFonts w:cs="Times New Roman" w:hint="eastAsia"/>
          <w:color w:val="000000" w:themeColor="text1"/>
          <w:sz w:val="24"/>
          <w:szCs w:val="24"/>
        </w:rPr>
        <w:t>200</w:t>
      </w:r>
      <w:r>
        <w:rPr>
          <w:rFonts w:cs="Times New Roman" w:hint="eastAsia"/>
          <w:color w:val="000000" w:themeColor="text1"/>
          <w:sz w:val="24"/>
          <w:szCs w:val="24"/>
        </w:rPr>
        <w:t>米减小到</w:t>
      </w:r>
      <w:r>
        <w:rPr>
          <w:rFonts w:cs="Times New Roman" w:hint="eastAsia"/>
          <w:color w:val="000000" w:themeColor="text1"/>
          <w:sz w:val="24"/>
          <w:szCs w:val="24"/>
        </w:rPr>
        <w:t>500-520-410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升；矿化度由浅部</w:t>
      </w:r>
      <w:r>
        <w:rPr>
          <w:rFonts w:cs="Times New Roman" w:hint="eastAsia"/>
          <w:color w:val="000000" w:themeColor="text1"/>
          <w:sz w:val="24"/>
          <w:szCs w:val="24"/>
        </w:rPr>
        <w:t>100</w:t>
      </w:r>
      <w:r>
        <w:rPr>
          <w:rFonts w:cs="Times New Roman" w:hint="eastAsia"/>
          <w:color w:val="000000" w:themeColor="text1"/>
          <w:sz w:val="24"/>
          <w:szCs w:val="24"/>
        </w:rPr>
        <w:t>米的</w:t>
      </w:r>
      <w:r>
        <w:rPr>
          <w:rFonts w:cs="Times New Roman" w:hint="eastAsia"/>
          <w:color w:val="000000" w:themeColor="text1"/>
          <w:sz w:val="24"/>
          <w:szCs w:val="24"/>
        </w:rPr>
        <w:t>1220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升逐渐向深部</w:t>
      </w:r>
      <w:r>
        <w:rPr>
          <w:rFonts w:cs="Times New Roman" w:hint="eastAsia"/>
          <w:color w:val="000000" w:themeColor="text1"/>
          <w:sz w:val="24"/>
          <w:szCs w:val="24"/>
        </w:rPr>
        <w:t>200</w:t>
      </w:r>
      <w:r>
        <w:rPr>
          <w:rFonts w:cs="Times New Roman" w:hint="eastAsia"/>
          <w:color w:val="000000" w:themeColor="text1"/>
          <w:sz w:val="24"/>
          <w:szCs w:val="24"/>
        </w:rPr>
        <w:t>米减小到</w:t>
      </w:r>
      <w:r>
        <w:rPr>
          <w:rFonts w:cs="Times New Roman" w:hint="eastAsia"/>
          <w:color w:val="000000" w:themeColor="text1"/>
          <w:sz w:val="24"/>
          <w:szCs w:val="24"/>
        </w:rPr>
        <w:t>800-830-720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②下伏承压水</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主要受到上游克孜勒河冲洪积平原地下水侧向径流补给的影响，其二层承压水水化学类型与克孜勒河河水水化学类型基本一致，均为</w:t>
      </w:r>
      <w:r>
        <w:rPr>
          <w:rFonts w:cs="Times New Roman" w:hint="eastAsia"/>
          <w:color w:val="000000" w:themeColor="text1"/>
          <w:sz w:val="24"/>
          <w:szCs w:val="24"/>
        </w:rPr>
        <w:t>SO4-Ca</w:t>
      </w:r>
      <w:r>
        <w:rPr>
          <w:rFonts w:cs="Times New Roman" w:hint="eastAsia"/>
          <w:color w:val="000000" w:themeColor="text1"/>
          <w:sz w:val="24"/>
          <w:szCs w:val="24"/>
        </w:rPr>
        <w:t>型。克孜勒河</w:t>
      </w:r>
      <w:r>
        <w:rPr>
          <w:rFonts w:cs="Times New Roman" w:hint="eastAsia"/>
          <w:color w:val="000000" w:themeColor="text1"/>
          <w:sz w:val="24"/>
          <w:szCs w:val="24"/>
        </w:rPr>
        <w:t>-</w:t>
      </w:r>
      <w:r>
        <w:rPr>
          <w:rFonts w:cs="Times New Roman" w:hint="eastAsia"/>
          <w:color w:val="000000" w:themeColor="text1"/>
          <w:sz w:val="24"/>
          <w:szCs w:val="24"/>
        </w:rPr>
        <w:t>恰克马克河冲洪积平原承压水水化学特征在水平方向上，呈现出主要水化学指标沿河流流程的增加而逐渐增大的趋势。硫酸盐含量从中西部山前平原区的</w:t>
      </w:r>
      <w:r>
        <w:rPr>
          <w:rFonts w:cs="Times New Roman" w:hint="eastAsia"/>
          <w:color w:val="000000" w:themeColor="text1"/>
          <w:sz w:val="24"/>
          <w:szCs w:val="24"/>
        </w:rPr>
        <w:t>510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升逐渐向东部增大到</w:t>
      </w:r>
      <w:r>
        <w:rPr>
          <w:rFonts w:cs="Times New Roman" w:hint="eastAsia"/>
          <w:color w:val="000000" w:themeColor="text1"/>
          <w:sz w:val="24"/>
          <w:szCs w:val="24"/>
        </w:rPr>
        <w:t>660-1070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升；硬度含量从西部山前平原区的</w:t>
      </w:r>
      <w:r>
        <w:rPr>
          <w:rFonts w:cs="Times New Roman" w:hint="eastAsia"/>
          <w:color w:val="000000" w:themeColor="text1"/>
          <w:sz w:val="24"/>
          <w:szCs w:val="24"/>
        </w:rPr>
        <w:t>930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升逐渐向东部增大到</w:t>
      </w:r>
      <w:r>
        <w:rPr>
          <w:rFonts w:cs="Times New Roman" w:hint="eastAsia"/>
          <w:color w:val="000000" w:themeColor="text1"/>
          <w:sz w:val="24"/>
          <w:szCs w:val="24"/>
        </w:rPr>
        <w:lastRenderedPageBreak/>
        <w:t>1310-1950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升；矿化度从西部山前平原区的</w:t>
      </w:r>
      <w:r>
        <w:rPr>
          <w:rFonts w:cs="Times New Roman" w:hint="eastAsia"/>
          <w:color w:val="000000" w:themeColor="text1"/>
          <w:sz w:val="24"/>
          <w:szCs w:val="24"/>
        </w:rPr>
        <w:t>580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升逐渐向东部增大到</w:t>
      </w:r>
      <w:r>
        <w:rPr>
          <w:rFonts w:cs="Times New Roman" w:hint="eastAsia"/>
          <w:color w:val="000000" w:themeColor="text1"/>
          <w:sz w:val="24"/>
          <w:szCs w:val="24"/>
        </w:rPr>
        <w:t>810-1170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垂直方向上，呈现出主要承压水水化学指标随着钻孔深度的增加而逐渐减小的趋势。硫酸盐含量由浅部</w:t>
      </w:r>
      <w:r>
        <w:rPr>
          <w:rFonts w:cs="Times New Roman" w:hint="eastAsia"/>
          <w:color w:val="000000" w:themeColor="text1"/>
          <w:sz w:val="24"/>
          <w:szCs w:val="24"/>
        </w:rPr>
        <w:t>162</w:t>
      </w:r>
      <w:r>
        <w:rPr>
          <w:rFonts w:cs="Times New Roman" w:hint="eastAsia"/>
          <w:color w:val="000000" w:themeColor="text1"/>
          <w:sz w:val="24"/>
          <w:szCs w:val="24"/>
        </w:rPr>
        <w:t>米的</w:t>
      </w:r>
      <w:r>
        <w:rPr>
          <w:rFonts w:cs="Times New Roman" w:hint="eastAsia"/>
          <w:color w:val="000000" w:themeColor="text1"/>
          <w:sz w:val="24"/>
          <w:szCs w:val="24"/>
        </w:rPr>
        <w:t>1070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升逐渐向深部</w:t>
      </w:r>
      <w:r>
        <w:rPr>
          <w:rFonts w:cs="Times New Roman" w:hint="eastAsia"/>
          <w:color w:val="000000" w:themeColor="text1"/>
          <w:sz w:val="24"/>
          <w:szCs w:val="24"/>
        </w:rPr>
        <w:t>174</w:t>
      </w:r>
      <w:r>
        <w:rPr>
          <w:rFonts w:cs="Times New Roman" w:hint="eastAsia"/>
          <w:color w:val="000000" w:themeColor="text1"/>
          <w:sz w:val="24"/>
          <w:szCs w:val="24"/>
        </w:rPr>
        <w:t>米减小到</w:t>
      </w:r>
      <w:r>
        <w:rPr>
          <w:rFonts w:cs="Times New Roman" w:hint="eastAsia"/>
          <w:color w:val="000000" w:themeColor="text1"/>
          <w:sz w:val="24"/>
          <w:szCs w:val="24"/>
        </w:rPr>
        <w:t>660-510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升；硬度由浅部</w:t>
      </w:r>
      <w:r>
        <w:rPr>
          <w:rFonts w:cs="Times New Roman" w:hint="eastAsia"/>
          <w:color w:val="000000" w:themeColor="text1"/>
          <w:sz w:val="24"/>
          <w:szCs w:val="24"/>
        </w:rPr>
        <w:t>162</w:t>
      </w:r>
      <w:r>
        <w:rPr>
          <w:rFonts w:cs="Times New Roman" w:hint="eastAsia"/>
          <w:color w:val="000000" w:themeColor="text1"/>
          <w:sz w:val="24"/>
          <w:szCs w:val="24"/>
        </w:rPr>
        <w:t>米的</w:t>
      </w:r>
      <w:r>
        <w:rPr>
          <w:rFonts w:cs="Times New Roman" w:hint="eastAsia"/>
          <w:color w:val="000000" w:themeColor="text1"/>
          <w:sz w:val="24"/>
          <w:szCs w:val="24"/>
        </w:rPr>
        <w:t>1170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升逐渐向深部</w:t>
      </w:r>
      <w:r>
        <w:rPr>
          <w:rFonts w:cs="Times New Roman" w:hint="eastAsia"/>
          <w:color w:val="000000" w:themeColor="text1"/>
          <w:sz w:val="24"/>
          <w:szCs w:val="24"/>
        </w:rPr>
        <w:t>174</w:t>
      </w:r>
      <w:r>
        <w:rPr>
          <w:rFonts w:cs="Times New Roman" w:hint="eastAsia"/>
          <w:color w:val="000000" w:themeColor="text1"/>
          <w:sz w:val="24"/>
          <w:szCs w:val="24"/>
        </w:rPr>
        <w:t>米减小到</w:t>
      </w:r>
      <w:r>
        <w:rPr>
          <w:rFonts w:cs="Times New Roman" w:hint="eastAsia"/>
          <w:color w:val="000000" w:themeColor="text1"/>
          <w:sz w:val="24"/>
          <w:szCs w:val="24"/>
        </w:rPr>
        <w:t>810-580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升；矿化度由浅部</w:t>
      </w:r>
      <w:r>
        <w:rPr>
          <w:rFonts w:cs="Times New Roman" w:hint="eastAsia"/>
          <w:color w:val="000000" w:themeColor="text1"/>
          <w:sz w:val="24"/>
          <w:szCs w:val="24"/>
        </w:rPr>
        <w:t>162</w:t>
      </w:r>
      <w:r>
        <w:rPr>
          <w:rFonts w:cs="Times New Roman" w:hint="eastAsia"/>
          <w:color w:val="000000" w:themeColor="text1"/>
          <w:sz w:val="24"/>
          <w:szCs w:val="24"/>
        </w:rPr>
        <w:t>米的</w:t>
      </w:r>
      <w:r>
        <w:rPr>
          <w:rFonts w:cs="Times New Roman" w:hint="eastAsia"/>
          <w:color w:val="000000" w:themeColor="text1"/>
          <w:sz w:val="24"/>
          <w:szCs w:val="24"/>
        </w:rPr>
        <w:t>1950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升逐渐向深部</w:t>
      </w:r>
      <w:r>
        <w:rPr>
          <w:rFonts w:cs="Times New Roman" w:hint="eastAsia"/>
          <w:color w:val="000000" w:themeColor="text1"/>
          <w:sz w:val="24"/>
          <w:szCs w:val="24"/>
        </w:rPr>
        <w:t>174</w:t>
      </w:r>
      <w:r>
        <w:rPr>
          <w:rFonts w:cs="Times New Roman" w:hint="eastAsia"/>
          <w:color w:val="000000" w:themeColor="text1"/>
          <w:sz w:val="24"/>
          <w:szCs w:val="24"/>
        </w:rPr>
        <w:t>米减小到</w:t>
      </w:r>
      <w:r>
        <w:rPr>
          <w:rFonts w:cs="Times New Roman" w:hint="eastAsia"/>
          <w:color w:val="000000" w:themeColor="text1"/>
          <w:sz w:val="24"/>
          <w:szCs w:val="24"/>
        </w:rPr>
        <w:t>1310-930</w:t>
      </w:r>
      <w:r>
        <w:rPr>
          <w:rFonts w:cs="Times New Roman" w:hint="eastAsia"/>
          <w:color w:val="000000" w:themeColor="text1"/>
          <w:sz w:val="24"/>
          <w:szCs w:val="24"/>
        </w:rPr>
        <w:t>毫克</w:t>
      </w:r>
      <w:r>
        <w:rPr>
          <w:rFonts w:cs="Times New Roman" w:hint="eastAsia"/>
          <w:color w:val="000000" w:themeColor="text1"/>
          <w:sz w:val="24"/>
          <w:szCs w:val="24"/>
        </w:rPr>
        <w:t>/</w:t>
      </w:r>
      <w:r>
        <w:rPr>
          <w:rFonts w:cs="Times New Roman" w:hint="eastAsia"/>
          <w:color w:val="000000" w:themeColor="text1"/>
          <w:sz w:val="24"/>
          <w:szCs w:val="24"/>
        </w:rPr>
        <w:t>升。</w:t>
      </w:r>
    </w:p>
    <w:p w:rsidR="00644456" w:rsidRDefault="008031C4">
      <w:pPr>
        <w:pStyle w:val="3"/>
        <w:numPr>
          <w:ilvl w:val="2"/>
          <w:numId w:val="0"/>
        </w:numPr>
        <w:ind w:firstLineChars="200" w:firstLine="482"/>
      </w:pPr>
      <w:r>
        <w:rPr>
          <w:rFonts w:hint="eastAsia"/>
        </w:rPr>
        <w:t>3.1.5</w:t>
      </w:r>
      <w:r>
        <w:rPr>
          <w:rFonts w:hint="eastAsia"/>
        </w:rPr>
        <w:t>气候特征</w:t>
      </w:r>
    </w:p>
    <w:p w:rsidR="00644456" w:rsidRDefault="008031C4">
      <w:pPr>
        <w:pStyle w:val="1fd"/>
        <w:rPr>
          <w:bCs/>
          <w:color w:val="000000" w:themeColor="text1"/>
        </w:rPr>
      </w:pPr>
      <w:r>
        <w:rPr>
          <w:rFonts w:hint="eastAsia"/>
          <w:bCs/>
          <w:color w:val="000000" w:themeColor="text1"/>
        </w:rPr>
        <w:t>本项目所在地属暖温带大陆性干旱气候，四季分明，冬季略长。晴好天气多，光照充足，降水稀少，蒸发量大，空气干燥，昼夜温差大。</w:t>
      </w:r>
    </w:p>
    <w:p w:rsidR="00644456" w:rsidRDefault="008031C4">
      <w:pPr>
        <w:pStyle w:val="1fd"/>
        <w:rPr>
          <w:bCs/>
          <w:color w:val="000000" w:themeColor="text1"/>
        </w:rPr>
      </w:pPr>
      <w:r>
        <w:rPr>
          <w:rFonts w:hint="eastAsia"/>
          <w:bCs/>
          <w:color w:val="000000" w:themeColor="text1"/>
        </w:rPr>
        <w:t>降水：年降雨量平均</w:t>
      </w:r>
      <w:r>
        <w:rPr>
          <w:rFonts w:hint="eastAsia"/>
          <w:bCs/>
          <w:color w:val="000000" w:themeColor="text1"/>
        </w:rPr>
        <w:t>65</w:t>
      </w:r>
      <w:r>
        <w:rPr>
          <w:rFonts w:hint="eastAsia"/>
          <w:bCs/>
          <w:color w:val="000000" w:themeColor="text1"/>
        </w:rPr>
        <w:t>毫米，多集中在春。夏两季，约占全年降水量的</w:t>
      </w:r>
      <w:r>
        <w:rPr>
          <w:rFonts w:hint="eastAsia"/>
          <w:bCs/>
          <w:color w:val="000000" w:themeColor="text1"/>
        </w:rPr>
        <w:t>80</w:t>
      </w:r>
      <w:r>
        <w:rPr>
          <w:rFonts w:hint="eastAsia"/>
          <w:bCs/>
          <w:color w:val="000000" w:themeColor="text1"/>
        </w:rPr>
        <w:t>％左右，其中春季降雨最多。降水量年际变化较大，最多年份达</w:t>
      </w:r>
      <w:r>
        <w:rPr>
          <w:rFonts w:hint="eastAsia"/>
          <w:bCs/>
          <w:color w:val="000000" w:themeColor="text1"/>
        </w:rPr>
        <w:t>140</w:t>
      </w:r>
      <w:r>
        <w:rPr>
          <w:rFonts w:hint="eastAsia"/>
          <w:bCs/>
          <w:color w:val="000000" w:themeColor="text1"/>
        </w:rPr>
        <w:t>毫米，最少年份只有</w:t>
      </w:r>
      <w:r>
        <w:rPr>
          <w:rFonts w:hint="eastAsia"/>
          <w:bCs/>
          <w:color w:val="000000" w:themeColor="text1"/>
        </w:rPr>
        <w:t>20</w:t>
      </w:r>
      <w:r>
        <w:rPr>
          <w:rFonts w:hint="eastAsia"/>
          <w:bCs/>
          <w:color w:val="000000" w:themeColor="text1"/>
        </w:rPr>
        <w:t>毫米。历年平均降雪量为</w:t>
      </w:r>
      <w:r>
        <w:rPr>
          <w:rFonts w:hint="eastAsia"/>
          <w:bCs/>
          <w:color w:val="000000" w:themeColor="text1"/>
        </w:rPr>
        <w:t>11</w:t>
      </w:r>
      <w:r>
        <w:rPr>
          <w:rFonts w:hint="eastAsia"/>
          <w:bCs/>
          <w:color w:val="000000" w:themeColor="text1"/>
        </w:rPr>
        <w:t>毫米。最大降雪量达</w:t>
      </w:r>
      <w:r>
        <w:rPr>
          <w:rFonts w:hint="eastAsia"/>
          <w:bCs/>
          <w:color w:val="000000" w:themeColor="text1"/>
        </w:rPr>
        <w:t>26</w:t>
      </w:r>
      <w:r>
        <w:rPr>
          <w:rFonts w:hint="eastAsia"/>
          <w:bCs/>
          <w:color w:val="000000" w:themeColor="text1"/>
        </w:rPr>
        <w:t>厘米，最少年份无降雪。历年平均降雪日数</w:t>
      </w:r>
      <w:r>
        <w:rPr>
          <w:rFonts w:hint="eastAsia"/>
          <w:bCs/>
          <w:color w:val="000000" w:themeColor="text1"/>
        </w:rPr>
        <w:t>4</w:t>
      </w:r>
      <w:r>
        <w:rPr>
          <w:rFonts w:hint="eastAsia"/>
          <w:bCs/>
          <w:color w:val="000000" w:themeColor="text1"/>
        </w:rPr>
        <w:t>～</w:t>
      </w:r>
      <w:r>
        <w:rPr>
          <w:rFonts w:hint="eastAsia"/>
          <w:bCs/>
          <w:color w:val="000000" w:themeColor="text1"/>
        </w:rPr>
        <w:t>8</w:t>
      </w:r>
      <w:r>
        <w:rPr>
          <w:rFonts w:hint="eastAsia"/>
          <w:bCs/>
          <w:color w:val="000000" w:themeColor="text1"/>
        </w:rPr>
        <w:t>天，初雪最早在</w:t>
      </w:r>
      <w:r>
        <w:rPr>
          <w:rFonts w:hint="eastAsia"/>
          <w:bCs/>
          <w:color w:val="000000" w:themeColor="text1"/>
        </w:rPr>
        <w:t>11</w:t>
      </w:r>
      <w:r>
        <w:rPr>
          <w:rFonts w:hint="eastAsia"/>
          <w:bCs/>
          <w:color w:val="000000" w:themeColor="text1"/>
        </w:rPr>
        <w:t>月</w:t>
      </w:r>
      <w:r>
        <w:rPr>
          <w:rFonts w:hint="eastAsia"/>
          <w:bCs/>
          <w:color w:val="000000" w:themeColor="text1"/>
        </w:rPr>
        <w:t>10</w:t>
      </w:r>
      <w:r>
        <w:rPr>
          <w:rFonts w:hint="eastAsia"/>
          <w:bCs/>
          <w:color w:val="000000" w:themeColor="text1"/>
        </w:rPr>
        <w:t>日，最晚在翌年</w:t>
      </w:r>
      <w:r>
        <w:rPr>
          <w:rFonts w:hint="eastAsia"/>
          <w:bCs/>
          <w:color w:val="000000" w:themeColor="text1"/>
        </w:rPr>
        <w:t>4</w:t>
      </w:r>
      <w:r>
        <w:rPr>
          <w:rFonts w:hint="eastAsia"/>
          <w:bCs/>
          <w:color w:val="000000" w:themeColor="text1"/>
        </w:rPr>
        <w:t>月</w:t>
      </w:r>
      <w:r>
        <w:rPr>
          <w:rFonts w:hint="eastAsia"/>
          <w:bCs/>
          <w:color w:val="000000" w:themeColor="text1"/>
        </w:rPr>
        <w:t>18</w:t>
      </w:r>
      <w:r>
        <w:rPr>
          <w:rFonts w:hint="eastAsia"/>
          <w:bCs/>
          <w:color w:val="000000" w:themeColor="text1"/>
        </w:rPr>
        <w:t>日。一般降雪初日为</w:t>
      </w:r>
      <w:r>
        <w:rPr>
          <w:rFonts w:hint="eastAsia"/>
          <w:bCs/>
          <w:color w:val="000000" w:themeColor="text1"/>
        </w:rPr>
        <w:t>12</w:t>
      </w:r>
      <w:r>
        <w:rPr>
          <w:rFonts w:hint="eastAsia"/>
          <w:bCs/>
          <w:color w:val="000000" w:themeColor="text1"/>
        </w:rPr>
        <w:t>月</w:t>
      </w:r>
      <w:r>
        <w:rPr>
          <w:rFonts w:hint="eastAsia"/>
          <w:bCs/>
          <w:color w:val="000000" w:themeColor="text1"/>
        </w:rPr>
        <w:t>12</w:t>
      </w:r>
      <w:r>
        <w:rPr>
          <w:rFonts w:hint="eastAsia"/>
          <w:bCs/>
          <w:color w:val="000000" w:themeColor="text1"/>
        </w:rPr>
        <w:t>日，终日在</w:t>
      </w:r>
      <w:r>
        <w:rPr>
          <w:rFonts w:hint="eastAsia"/>
          <w:bCs/>
          <w:color w:val="000000" w:themeColor="text1"/>
        </w:rPr>
        <w:t>2</w:t>
      </w:r>
      <w:r>
        <w:rPr>
          <w:rFonts w:hint="eastAsia"/>
          <w:bCs/>
          <w:color w:val="000000" w:themeColor="text1"/>
        </w:rPr>
        <w:t>月</w:t>
      </w:r>
      <w:r>
        <w:rPr>
          <w:rFonts w:hint="eastAsia"/>
          <w:bCs/>
          <w:color w:val="000000" w:themeColor="text1"/>
        </w:rPr>
        <w:t>23</w:t>
      </w:r>
      <w:r>
        <w:rPr>
          <w:rFonts w:hint="eastAsia"/>
          <w:bCs/>
          <w:color w:val="000000" w:themeColor="text1"/>
        </w:rPr>
        <w:t>日。平均积雪日数</w:t>
      </w:r>
      <w:r>
        <w:rPr>
          <w:rFonts w:hint="eastAsia"/>
          <w:bCs/>
          <w:color w:val="000000" w:themeColor="text1"/>
        </w:rPr>
        <w:t>29</w:t>
      </w:r>
      <w:r>
        <w:rPr>
          <w:rFonts w:hint="eastAsia"/>
          <w:bCs/>
          <w:color w:val="000000" w:themeColor="text1"/>
        </w:rPr>
        <w:t>天，最多</w:t>
      </w:r>
      <w:r>
        <w:rPr>
          <w:rFonts w:hint="eastAsia"/>
          <w:bCs/>
          <w:color w:val="000000" w:themeColor="text1"/>
        </w:rPr>
        <w:t>90</w:t>
      </w:r>
      <w:r>
        <w:rPr>
          <w:rFonts w:hint="eastAsia"/>
          <w:bCs/>
          <w:color w:val="000000" w:themeColor="text1"/>
        </w:rPr>
        <w:t>天，最少为零，最大积雪深度</w:t>
      </w:r>
      <w:r>
        <w:rPr>
          <w:rFonts w:hint="eastAsia"/>
          <w:bCs/>
          <w:color w:val="000000" w:themeColor="text1"/>
        </w:rPr>
        <w:t>46</w:t>
      </w:r>
      <w:r>
        <w:rPr>
          <w:rFonts w:hint="eastAsia"/>
          <w:bCs/>
          <w:color w:val="000000" w:themeColor="text1"/>
        </w:rPr>
        <w:t>厘米。</w:t>
      </w:r>
    </w:p>
    <w:p w:rsidR="00644456" w:rsidRDefault="008031C4">
      <w:pPr>
        <w:pStyle w:val="1fd"/>
        <w:rPr>
          <w:bCs/>
          <w:color w:val="000000" w:themeColor="text1"/>
        </w:rPr>
      </w:pPr>
      <w:r>
        <w:rPr>
          <w:rFonts w:hint="eastAsia"/>
          <w:bCs/>
          <w:color w:val="000000" w:themeColor="text1"/>
        </w:rPr>
        <w:t>蒸发：气候干燥，蒸发量大，年均水分蒸发量</w:t>
      </w:r>
      <w:r>
        <w:rPr>
          <w:rFonts w:hint="eastAsia"/>
          <w:bCs/>
          <w:color w:val="000000" w:themeColor="text1"/>
        </w:rPr>
        <w:t>2604.9</w:t>
      </w:r>
      <w:r>
        <w:rPr>
          <w:rFonts w:hint="eastAsia"/>
          <w:bCs/>
          <w:color w:val="000000" w:themeColor="text1"/>
        </w:rPr>
        <w:t>毫米，为降水量的</w:t>
      </w:r>
      <w:r>
        <w:rPr>
          <w:rFonts w:hint="eastAsia"/>
          <w:bCs/>
          <w:color w:val="000000" w:themeColor="text1"/>
        </w:rPr>
        <w:t>40.7</w:t>
      </w:r>
      <w:r>
        <w:rPr>
          <w:rFonts w:hint="eastAsia"/>
          <w:bCs/>
          <w:color w:val="000000" w:themeColor="text1"/>
        </w:rPr>
        <w:t>倍。夏季（</w:t>
      </w:r>
      <w:r>
        <w:rPr>
          <w:rFonts w:hint="eastAsia"/>
          <w:bCs/>
          <w:color w:val="000000" w:themeColor="text1"/>
        </w:rPr>
        <w:t>6</w:t>
      </w:r>
      <w:r>
        <w:rPr>
          <w:rFonts w:hint="eastAsia"/>
          <w:bCs/>
          <w:color w:val="000000" w:themeColor="text1"/>
        </w:rPr>
        <w:t>～</w:t>
      </w:r>
      <w:r>
        <w:rPr>
          <w:rFonts w:hint="eastAsia"/>
          <w:bCs/>
          <w:color w:val="000000" w:themeColor="text1"/>
        </w:rPr>
        <w:t>8</w:t>
      </w:r>
      <w:r>
        <w:rPr>
          <w:rFonts w:hint="eastAsia"/>
          <w:bCs/>
          <w:color w:val="000000" w:themeColor="text1"/>
        </w:rPr>
        <w:t>月）蒸发量较大，最大达</w:t>
      </w:r>
      <w:r>
        <w:rPr>
          <w:rFonts w:hint="eastAsia"/>
          <w:bCs/>
          <w:color w:val="000000" w:themeColor="text1"/>
        </w:rPr>
        <w:t>466.8</w:t>
      </w:r>
      <w:r>
        <w:rPr>
          <w:rFonts w:hint="eastAsia"/>
          <w:bCs/>
          <w:color w:val="000000" w:themeColor="text1"/>
        </w:rPr>
        <w:t>毫米；冬季（</w:t>
      </w:r>
      <w:r>
        <w:rPr>
          <w:rFonts w:hint="eastAsia"/>
          <w:bCs/>
          <w:color w:val="000000" w:themeColor="text1"/>
        </w:rPr>
        <w:t>12</w:t>
      </w:r>
      <w:r>
        <w:rPr>
          <w:rFonts w:hint="eastAsia"/>
          <w:bCs/>
          <w:color w:val="000000" w:themeColor="text1"/>
        </w:rPr>
        <w:t>～</w:t>
      </w:r>
      <w:r>
        <w:rPr>
          <w:rFonts w:hint="eastAsia"/>
          <w:bCs/>
          <w:color w:val="000000" w:themeColor="text1"/>
        </w:rPr>
        <w:t>1</w:t>
      </w:r>
      <w:r>
        <w:rPr>
          <w:rFonts w:hint="eastAsia"/>
          <w:bCs/>
          <w:color w:val="000000" w:themeColor="text1"/>
        </w:rPr>
        <w:t>月）蒸发量较小，仅有</w:t>
      </w:r>
      <w:r>
        <w:rPr>
          <w:rFonts w:hint="eastAsia"/>
          <w:bCs/>
          <w:color w:val="000000" w:themeColor="text1"/>
        </w:rPr>
        <w:t>12.5</w:t>
      </w:r>
      <w:r>
        <w:rPr>
          <w:rFonts w:hint="eastAsia"/>
          <w:bCs/>
          <w:color w:val="000000" w:themeColor="text1"/>
        </w:rPr>
        <w:t>毫米。年均相对湿度</w:t>
      </w:r>
      <w:r>
        <w:rPr>
          <w:rFonts w:hint="eastAsia"/>
          <w:bCs/>
          <w:color w:val="000000" w:themeColor="text1"/>
        </w:rPr>
        <w:t>49.9</w:t>
      </w:r>
      <w:r>
        <w:rPr>
          <w:rFonts w:hint="eastAsia"/>
          <w:bCs/>
          <w:color w:val="000000" w:themeColor="text1"/>
        </w:rPr>
        <w:t>％，年均绝对湿度</w:t>
      </w:r>
      <w:r>
        <w:rPr>
          <w:rFonts w:hint="eastAsia"/>
          <w:bCs/>
          <w:color w:val="000000" w:themeColor="text1"/>
        </w:rPr>
        <w:t>6.8</w:t>
      </w:r>
      <w:r>
        <w:rPr>
          <w:rFonts w:hint="eastAsia"/>
          <w:bCs/>
          <w:color w:val="000000" w:themeColor="text1"/>
        </w:rPr>
        <w:t>毫米，干燥度</w:t>
      </w:r>
      <w:r>
        <w:rPr>
          <w:rFonts w:hint="eastAsia"/>
          <w:bCs/>
          <w:color w:val="000000" w:themeColor="text1"/>
        </w:rPr>
        <w:t>13.84</w:t>
      </w:r>
      <w:r>
        <w:rPr>
          <w:rFonts w:hint="eastAsia"/>
          <w:bCs/>
          <w:color w:val="000000" w:themeColor="text1"/>
        </w:rPr>
        <w:t>。</w:t>
      </w:r>
    </w:p>
    <w:p w:rsidR="00644456" w:rsidRDefault="008031C4">
      <w:pPr>
        <w:pStyle w:val="1fd"/>
        <w:rPr>
          <w:bCs/>
          <w:color w:val="000000" w:themeColor="text1"/>
        </w:rPr>
      </w:pPr>
      <w:r>
        <w:rPr>
          <w:rFonts w:hint="eastAsia"/>
          <w:bCs/>
          <w:color w:val="000000" w:themeColor="text1"/>
        </w:rPr>
        <w:t>气温：年平均气温</w:t>
      </w:r>
      <w:r>
        <w:rPr>
          <w:rFonts w:hint="eastAsia"/>
          <w:bCs/>
          <w:color w:val="000000" w:themeColor="text1"/>
        </w:rPr>
        <w:t>11.7</w:t>
      </w:r>
      <w:r>
        <w:rPr>
          <w:rFonts w:hint="eastAsia"/>
          <w:bCs/>
          <w:color w:val="000000" w:themeColor="text1"/>
        </w:rPr>
        <w:t>℃，年较差</w:t>
      </w:r>
      <w:r>
        <w:rPr>
          <w:rFonts w:hint="eastAsia"/>
          <w:bCs/>
          <w:color w:val="000000" w:themeColor="text1"/>
        </w:rPr>
        <w:t>32.3</w:t>
      </w:r>
      <w:r>
        <w:rPr>
          <w:rFonts w:hint="eastAsia"/>
          <w:bCs/>
          <w:color w:val="000000" w:themeColor="text1"/>
        </w:rPr>
        <w:t>℃，年平均日较差</w:t>
      </w:r>
      <w:r>
        <w:rPr>
          <w:rFonts w:hint="eastAsia"/>
          <w:bCs/>
          <w:color w:val="000000" w:themeColor="text1"/>
        </w:rPr>
        <w:t>12.4</w:t>
      </w:r>
      <w:r>
        <w:rPr>
          <w:rFonts w:hint="eastAsia"/>
          <w:bCs/>
          <w:color w:val="000000" w:themeColor="text1"/>
        </w:rPr>
        <w:t>℃。</w:t>
      </w:r>
      <w:r>
        <w:rPr>
          <w:rFonts w:hint="eastAsia"/>
          <w:bCs/>
          <w:color w:val="000000" w:themeColor="text1"/>
        </w:rPr>
        <w:t>1</w:t>
      </w:r>
      <w:r>
        <w:rPr>
          <w:rFonts w:hint="eastAsia"/>
          <w:bCs/>
          <w:color w:val="000000" w:themeColor="text1"/>
        </w:rPr>
        <w:t>月份气温最低，平均气温</w:t>
      </w:r>
      <w:r>
        <w:rPr>
          <w:rFonts w:hint="eastAsia"/>
          <w:bCs/>
          <w:color w:val="000000" w:themeColor="text1"/>
        </w:rPr>
        <w:t>-6.5</w:t>
      </w:r>
      <w:r>
        <w:rPr>
          <w:rFonts w:hint="eastAsia"/>
          <w:bCs/>
          <w:color w:val="000000" w:themeColor="text1"/>
        </w:rPr>
        <w:t>℃，极端最低气温</w:t>
      </w:r>
      <w:r>
        <w:rPr>
          <w:rFonts w:hint="eastAsia"/>
          <w:bCs/>
          <w:color w:val="000000" w:themeColor="text1"/>
        </w:rPr>
        <w:t>-24.4</w:t>
      </w:r>
      <w:r>
        <w:rPr>
          <w:rFonts w:hint="eastAsia"/>
          <w:bCs/>
          <w:color w:val="000000" w:themeColor="text1"/>
        </w:rPr>
        <w:t>℃；</w:t>
      </w:r>
      <w:r>
        <w:rPr>
          <w:rFonts w:hint="eastAsia"/>
          <w:bCs/>
          <w:color w:val="000000" w:themeColor="text1"/>
        </w:rPr>
        <w:t>7</w:t>
      </w:r>
      <w:r>
        <w:rPr>
          <w:rFonts w:hint="eastAsia"/>
          <w:bCs/>
          <w:color w:val="000000" w:themeColor="text1"/>
        </w:rPr>
        <w:t>月份气温最高，平均气温</w:t>
      </w:r>
      <w:r>
        <w:rPr>
          <w:rFonts w:hint="eastAsia"/>
          <w:bCs/>
          <w:color w:val="000000" w:themeColor="text1"/>
        </w:rPr>
        <w:t>25.8</w:t>
      </w:r>
      <w:r>
        <w:rPr>
          <w:rFonts w:hint="eastAsia"/>
          <w:bCs/>
          <w:color w:val="000000" w:themeColor="text1"/>
        </w:rPr>
        <w:t>℃，极端最高气温</w:t>
      </w:r>
      <w:r>
        <w:rPr>
          <w:rFonts w:hint="eastAsia"/>
          <w:bCs/>
          <w:color w:val="000000" w:themeColor="text1"/>
        </w:rPr>
        <w:t>40.1</w:t>
      </w:r>
      <w:r>
        <w:rPr>
          <w:rFonts w:hint="eastAsia"/>
          <w:bCs/>
          <w:color w:val="000000" w:themeColor="text1"/>
        </w:rPr>
        <w:t>℃。</w:t>
      </w:r>
    </w:p>
    <w:p w:rsidR="00644456" w:rsidRDefault="008031C4">
      <w:pPr>
        <w:pStyle w:val="1fd"/>
        <w:rPr>
          <w:bCs/>
          <w:color w:val="000000" w:themeColor="text1"/>
        </w:rPr>
      </w:pPr>
      <w:r>
        <w:rPr>
          <w:rFonts w:hint="eastAsia"/>
          <w:bCs/>
          <w:color w:val="000000" w:themeColor="text1"/>
        </w:rPr>
        <w:t>风：多大风，年均</w:t>
      </w:r>
      <w:r>
        <w:rPr>
          <w:rFonts w:hint="eastAsia"/>
          <w:bCs/>
          <w:color w:val="000000" w:themeColor="text1"/>
        </w:rPr>
        <w:t>23</w:t>
      </w:r>
      <w:r>
        <w:rPr>
          <w:rFonts w:hint="eastAsia"/>
          <w:bCs/>
          <w:color w:val="000000" w:themeColor="text1"/>
        </w:rPr>
        <w:t>次，最大风速可达</w:t>
      </w:r>
      <w:r>
        <w:rPr>
          <w:rFonts w:hint="eastAsia"/>
          <w:bCs/>
          <w:color w:val="000000" w:themeColor="text1"/>
        </w:rPr>
        <w:t>27</w:t>
      </w:r>
      <w:r>
        <w:rPr>
          <w:rFonts w:hint="eastAsia"/>
          <w:bCs/>
          <w:color w:val="000000" w:themeColor="text1"/>
        </w:rPr>
        <w:t>米</w:t>
      </w:r>
      <w:r>
        <w:rPr>
          <w:rFonts w:hint="eastAsia"/>
          <w:bCs/>
          <w:color w:val="000000" w:themeColor="text1"/>
        </w:rPr>
        <w:t>/</w:t>
      </w:r>
      <w:r>
        <w:rPr>
          <w:rFonts w:hint="eastAsia"/>
          <w:bCs/>
          <w:color w:val="000000" w:themeColor="text1"/>
        </w:rPr>
        <w:t>秒。春、夏季节（</w:t>
      </w:r>
      <w:r>
        <w:rPr>
          <w:rFonts w:hint="eastAsia"/>
          <w:bCs/>
          <w:color w:val="000000" w:themeColor="text1"/>
        </w:rPr>
        <w:t>4</w:t>
      </w:r>
      <w:r>
        <w:rPr>
          <w:rFonts w:hint="eastAsia"/>
          <w:bCs/>
          <w:color w:val="000000" w:themeColor="text1"/>
        </w:rPr>
        <w:t>～</w:t>
      </w:r>
      <w:r>
        <w:rPr>
          <w:rFonts w:hint="eastAsia"/>
          <w:bCs/>
          <w:color w:val="000000" w:themeColor="text1"/>
        </w:rPr>
        <w:t>7</w:t>
      </w:r>
      <w:r>
        <w:rPr>
          <w:rFonts w:hint="eastAsia"/>
          <w:bCs/>
          <w:color w:val="000000" w:themeColor="text1"/>
        </w:rPr>
        <w:t>月）大风频繁，约占全年大风日数</w:t>
      </w:r>
      <w:r>
        <w:rPr>
          <w:rFonts w:hint="eastAsia"/>
          <w:bCs/>
          <w:color w:val="000000" w:themeColor="text1"/>
        </w:rPr>
        <w:t>70</w:t>
      </w:r>
      <w:r>
        <w:rPr>
          <w:rFonts w:hint="eastAsia"/>
          <w:bCs/>
          <w:color w:val="000000" w:themeColor="text1"/>
        </w:rPr>
        <w:t>％以上，平均每月</w:t>
      </w:r>
      <w:r>
        <w:rPr>
          <w:rFonts w:hint="eastAsia"/>
          <w:bCs/>
          <w:color w:val="000000" w:themeColor="text1"/>
        </w:rPr>
        <w:t>3</w:t>
      </w:r>
      <w:r>
        <w:rPr>
          <w:rFonts w:hint="eastAsia"/>
          <w:bCs/>
          <w:color w:val="000000" w:themeColor="text1"/>
        </w:rPr>
        <w:t>～</w:t>
      </w:r>
      <w:r>
        <w:rPr>
          <w:rFonts w:hint="eastAsia"/>
          <w:bCs/>
          <w:color w:val="000000" w:themeColor="text1"/>
        </w:rPr>
        <w:t>6</w:t>
      </w:r>
      <w:r>
        <w:rPr>
          <w:rFonts w:hint="eastAsia"/>
          <w:bCs/>
          <w:color w:val="000000" w:themeColor="text1"/>
        </w:rPr>
        <w:t>天，多则</w:t>
      </w:r>
      <w:r>
        <w:rPr>
          <w:rFonts w:hint="eastAsia"/>
          <w:bCs/>
          <w:color w:val="000000" w:themeColor="text1"/>
        </w:rPr>
        <w:t>11</w:t>
      </w:r>
      <w:r>
        <w:rPr>
          <w:rFonts w:hint="eastAsia"/>
          <w:bCs/>
          <w:color w:val="000000" w:themeColor="text1"/>
        </w:rPr>
        <w:t>天。</w:t>
      </w:r>
      <w:r>
        <w:rPr>
          <w:rFonts w:hint="eastAsia"/>
          <w:bCs/>
          <w:color w:val="000000" w:themeColor="text1"/>
        </w:rPr>
        <w:t>4~5</w:t>
      </w:r>
      <w:r>
        <w:rPr>
          <w:rFonts w:hint="eastAsia"/>
          <w:bCs/>
          <w:color w:val="000000" w:themeColor="text1"/>
        </w:rPr>
        <w:t>月</w:t>
      </w:r>
    </w:p>
    <w:p w:rsidR="00644456" w:rsidRPr="00E11CE3" w:rsidRDefault="008031C4">
      <w:pPr>
        <w:pStyle w:val="1fd"/>
        <w:rPr>
          <w:bCs/>
          <w:color w:val="FF0000"/>
        </w:rPr>
      </w:pPr>
      <w:r>
        <w:rPr>
          <w:rFonts w:hint="eastAsia"/>
          <w:bCs/>
          <w:color w:val="000000" w:themeColor="text1"/>
        </w:rPr>
        <w:t>大风持续时间长，最长连续日数为</w:t>
      </w:r>
      <w:r>
        <w:rPr>
          <w:rFonts w:hint="eastAsia"/>
          <w:bCs/>
          <w:color w:val="000000" w:themeColor="text1"/>
        </w:rPr>
        <w:t>6</w:t>
      </w:r>
      <w:r>
        <w:rPr>
          <w:rFonts w:hint="eastAsia"/>
          <w:bCs/>
          <w:color w:val="000000" w:themeColor="text1"/>
        </w:rPr>
        <w:t>天，八级大风年均</w:t>
      </w:r>
      <w:r>
        <w:rPr>
          <w:rFonts w:hint="eastAsia"/>
          <w:bCs/>
          <w:color w:val="000000" w:themeColor="text1"/>
        </w:rPr>
        <w:t>25</w:t>
      </w:r>
      <w:r>
        <w:rPr>
          <w:rFonts w:hint="eastAsia"/>
          <w:bCs/>
          <w:color w:val="000000" w:themeColor="text1"/>
        </w:rPr>
        <w:t>次，最多</w:t>
      </w:r>
      <w:r>
        <w:rPr>
          <w:rFonts w:hint="eastAsia"/>
          <w:bCs/>
          <w:color w:val="000000" w:themeColor="text1"/>
        </w:rPr>
        <w:t>37</w:t>
      </w:r>
      <w:r>
        <w:rPr>
          <w:rFonts w:hint="eastAsia"/>
          <w:bCs/>
          <w:color w:val="000000" w:themeColor="text1"/>
        </w:rPr>
        <w:t>次。</w:t>
      </w:r>
      <w:r>
        <w:rPr>
          <w:rFonts w:hint="eastAsia"/>
          <w:bCs/>
          <w:color w:val="000000" w:themeColor="text1"/>
        </w:rPr>
        <w:t>3</w:t>
      </w:r>
      <w:r>
        <w:rPr>
          <w:rFonts w:hint="eastAsia"/>
          <w:bCs/>
          <w:color w:val="000000" w:themeColor="text1"/>
        </w:rPr>
        <w:t>～</w:t>
      </w:r>
      <w:r>
        <w:rPr>
          <w:rFonts w:hint="eastAsia"/>
          <w:bCs/>
          <w:color w:val="000000" w:themeColor="text1"/>
        </w:rPr>
        <w:t>7</w:t>
      </w:r>
      <w:r>
        <w:rPr>
          <w:rFonts w:hint="eastAsia"/>
          <w:bCs/>
          <w:color w:val="000000" w:themeColor="text1"/>
        </w:rPr>
        <w:t>月常有沙尘暴天气，期间浮尘遮天蔽日，能见度极低，可持续</w:t>
      </w:r>
      <w:r>
        <w:rPr>
          <w:rFonts w:hint="eastAsia"/>
          <w:bCs/>
          <w:color w:val="000000" w:themeColor="text1"/>
        </w:rPr>
        <w:t>3</w:t>
      </w:r>
      <w:r>
        <w:rPr>
          <w:rFonts w:hint="eastAsia"/>
          <w:bCs/>
          <w:color w:val="000000" w:themeColor="text1"/>
        </w:rPr>
        <w:t>～</w:t>
      </w:r>
      <w:r>
        <w:rPr>
          <w:rFonts w:hint="eastAsia"/>
          <w:bCs/>
          <w:color w:val="000000" w:themeColor="text1"/>
        </w:rPr>
        <w:t>5</w:t>
      </w:r>
      <w:r>
        <w:rPr>
          <w:rFonts w:hint="eastAsia"/>
          <w:bCs/>
          <w:color w:val="000000" w:themeColor="text1"/>
        </w:rPr>
        <w:t>天，影响飞机起落，导致农作物不能进行光合作用。沙尘暴天气年均</w:t>
      </w:r>
      <w:r>
        <w:rPr>
          <w:rFonts w:hint="eastAsia"/>
          <w:bCs/>
          <w:color w:val="000000" w:themeColor="text1"/>
        </w:rPr>
        <w:t>13</w:t>
      </w:r>
      <w:r>
        <w:rPr>
          <w:rFonts w:hint="eastAsia"/>
          <w:bCs/>
          <w:color w:val="000000" w:themeColor="text1"/>
        </w:rPr>
        <w:t>天。此外，夏季（</w:t>
      </w:r>
      <w:r>
        <w:rPr>
          <w:rFonts w:hint="eastAsia"/>
          <w:bCs/>
          <w:color w:val="000000" w:themeColor="text1"/>
        </w:rPr>
        <w:t>5</w:t>
      </w:r>
      <w:r>
        <w:rPr>
          <w:rFonts w:hint="eastAsia"/>
          <w:bCs/>
          <w:color w:val="000000" w:themeColor="text1"/>
        </w:rPr>
        <w:t>～</w:t>
      </w:r>
      <w:r>
        <w:rPr>
          <w:rFonts w:hint="eastAsia"/>
          <w:bCs/>
          <w:color w:val="000000" w:themeColor="text1"/>
        </w:rPr>
        <w:t>6</w:t>
      </w:r>
      <w:r>
        <w:rPr>
          <w:rFonts w:hint="eastAsia"/>
          <w:bCs/>
          <w:color w:val="000000" w:themeColor="text1"/>
        </w:rPr>
        <w:t>月）常出现干热风，给小麦成熟造成危害，历年干热风平均出现</w:t>
      </w:r>
      <w:r>
        <w:rPr>
          <w:rFonts w:hint="eastAsia"/>
          <w:bCs/>
          <w:color w:val="000000" w:themeColor="text1"/>
        </w:rPr>
        <w:t>14</w:t>
      </w:r>
      <w:r>
        <w:rPr>
          <w:rFonts w:hint="eastAsia"/>
          <w:bCs/>
          <w:color w:val="000000" w:themeColor="text1"/>
        </w:rPr>
        <w:t>次。多年平均风速一般在</w:t>
      </w:r>
      <w:r>
        <w:rPr>
          <w:rFonts w:hint="eastAsia"/>
          <w:bCs/>
          <w:color w:val="000000" w:themeColor="text1"/>
        </w:rPr>
        <w:t>2</w:t>
      </w:r>
      <w:r>
        <w:rPr>
          <w:rFonts w:hint="eastAsia"/>
          <w:bCs/>
          <w:color w:val="000000" w:themeColor="text1"/>
        </w:rPr>
        <w:t>米</w:t>
      </w:r>
      <w:r>
        <w:rPr>
          <w:rFonts w:hint="eastAsia"/>
          <w:bCs/>
          <w:color w:val="000000" w:themeColor="text1"/>
        </w:rPr>
        <w:t>/</w:t>
      </w:r>
      <w:r>
        <w:rPr>
          <w:rFonts w:hint="eastAsia"/>
          <w:bCs/>
          <w:color w:val="000000" w:themeColor="text1"/>
        </w:rPr>
        <w:t>秒，定时最大风速</w:t>
      </w:r>
      <w:r>
        <w:rPr>
          <w:rFonts w:hint="eastAsia"/>
          <w:bCs/>
          <w:color w:val="000000" w:themeColor="text1"/>
        </w:rPr>
        <w:t>20</w:t>
      </w:r>
      <w:r>
        <w:rPr>
          <w:rFonts w:hint="eastAsia"/>
          <w:bCs/>
          <w:color w:val="000000" w:themeColor="text1"/>
        </w:rPr>
        <w:t>米</w:t>
      </w:r>
      <w:r>
        <w:rPr>
          <w:rFonts w:hint="eastAsia"/>
          <w:bCs/>
          <w:color w:val="000000" w:themeColor="text1"/>
        </w:rPr>
        <w:t>/</w:t>
      </w:r>
      <w:r>
        <w:rPr>
          <w:rFonts w:hint="eastAsia"/>
          <w:bCs/>
          <w:color w:val="000000" w:themeColor="text1"/>
        </w:rPr>
        <w:t>秒，瞬时特大风速</w:t>
      </w:r>
      <w:r>
        <w:rPr>
          <w:rFonts w:hint="eastAsia"/>
          <w:bCs/>
          <w:color w:val="000000" w:themeColor="text1"/>
        </w:rPr>
        <w:t>30</w:t>
      </w:r>
      <w:r>
        <w:rPr>
          <w:rFonts w:hint="eastAsia"/>
          <w:bCs/>
          <w:color w:val="000000" w:themeColor="text1"/>
        </w:rPr>
        <w:t>米</w:t>
      </w:r>
      <w:r>
        <w:rPr>
          <w:rFonts w:hint="eastAsia"/>
          <w:bCs/>
          <w:color w:val="000000" w:themeColor="text1"/>
        </w:rPr>
        <w:t>/</w:t>
      </w:r>
      <w:r>
        <w:rPr>
          <w:rFonts w:hint="eastAsia"/>
          <w:bCs/>
          <w:color w:val="000000" w:themeColor="text1"/>
        </w:rPr>
        <w:t>秒（相当于八级大风）。风速的年变化，春季（</w:t>
      </w:r>
      <w:r>
        <w:rPr>
          <w:rFonts w:hint="eastAsia"/>
          <w:bCs/>
          <w:color w:val="000000" w:themeColor="text1"/>
        </w:rPr>
        <w:t>4</w:t>
      </w:r>
      <w:r>
        <w:rPr>
          <w:rFonts w:hint="eastAsia"/>
          <w:bCs/>
          <w:color w:val="000000" w:themeColor="text1"/>
        </w:rPr>
        <w:t>～</w:t>
      </w:r>
      <w:r>
        <w:rPr>
          <w:rFonts w:hint="eastAsia"/>
          <w:bCs/>
          <w:color w:val="000000" w:themeColor="text1"/>
        </w:rPr>
        <w:t>6</w:t>
      </w:r>
      <w:r>
        <w:rPr>
          <w:rFonts w:hint="eastAsia"/>
          <w:bCs/>
          <w:color w:val="000000" w:themeColor="text1"/>
        </w:rPr>
        <w:t>月）较大，平均</w:t>
      </w:r>
      <w:r>
        <w:rPr>
          <w:rFonts w:hint="eastAsia"/>
          <w:bCs/>
          <w:color w:val="000000" w:themeColor="text1"/>
        </w:rPr>
        <w:t>2.6</w:t>
      </w:r>
      <w:r>
        <w:rPr>
          <w:rFonts w:hint="eastAsia"/>
          <w:bCs/>
          <w:color w:val="000000" w:themeColor="text1"/>
        </w:rPr>
        <w:t>米</w:t>
      </w:r>
      <w:r>
        <w:rPr>
          <w:rFonts w:hint="eastAsia"/>
          <w:bCs/>
          <w:color w:val="000000" w:themeColor="text1"/>
        </w:rPr>
        <w:t>/</w:t>
      </w:r>
      <w:r>
        <w:rPr>
          <w:rFonts w:hint="eastAsia"/>
          <w:bCs/>
          <w:color w:val="000000" w:themeColor="text1"/>
        </w:rPr>
        <w:t>秒。夏季次之。冬季风速最小，平均在</w:t>
      </w:r>
      <w:r>
        <w:rPr>
          <w:rFonts w:hint="eastAsia"/>
          <w:bCs/>
          <w:color w:val="000000" w:themeColor="text1"/>
        </w:rPr>
        <w:t>1.2</w:t>
      </w:r>
      <w:r>
        <w:rPr>
          <w:rFonts w:hint="eastAsia"/>
          <w:bCs/>
          <w:color w:val="000000" w:themeColor="text1"/>
        </w:rPr>
        <w:t>米</w:t>
      </w:r>
      <w:r>
        <w:rPr>
          <w:rFonts w:hint="eastAsia"/>
          <w:bCs/>
          <w:color w:val="000000" w:themeColor="text1"/>
        </w:rPr>
        <w:t>/</w:t>
      </w:r>
      <w:r>
        <w:rPr>
          <w:rFonts w:hint="eastAsia"/>
          <w:bCs/>
          <w:color w:val="000000" w:themeColor="text1"/>
        </w:rPr>
        <w:t>秒，静风时间多。风速的日变化，一般午后、傍晚或云生云消时较大，下半夜至清晨风</w:t>
      </w:r>
      <w:r>
        <w:rPr>
          <w:rFonts w:hint="eastAsia"/>
          <w:bCs/>
          <w:color w:val="000000" w:themeColor="text1"/>
        </w:rPr>
        <w:lastRenderedPageBreak/>
        <w:t>速较小。受西部大范围山脉及地形的影响，静风占全年各风向的</w:t>
      </w:r>
      <w:r>
        <w:rPr>
          <w:rFonts w:hint="eastAsia"/>
          <w:bCs/>
          <w:color w:val="000000" w:themeColor="text1"/>
        </w:rPr>
        <w:t>26</w:t>
      </w:r>
      <w:r>
        <w:rPr>
          <w:rFonts w:hint="eastAsia"/>
          <w:bCs/>
          <w:color w:val="000000" w:themeColor="text1"/>
        </w:rPr>
        <w:t>％～</w:t>
      </w:r>
      <w:r>
        <w:rPr>
          <w:rFonts w:hint="eastAsia"/>
          <w:bCs/>
          <w:color w:val="000000" w:themeColor="text1"/>
        </w:rPr>
        <w:t>27</w:t>
      </w:r>
      <w:r>
        <w:rPr>
          <w:rFonts w:hint="eastAsia"/>
          <w:bCs/>
          <w:color w:val="000000" w:themeColor="text1"/>
        </w:rPr>
        <w:t>％。受西伯利亚及蒙古高原冷空气的影响，全年出现西北风频率较高，占全年各风向总和的</w:t>
      </w:r>
      <w:r>
        <w:rPr>
          <w:rFonts w:hint="eastAsia"/>
          <w:bCs/>
          <w:color w:val="000000" w:themeColor="text1"/>
        </w:rPr>
        <w:t>18</w:t>
      </w:r>
      <w:r>
        <w:rPr>
          <w:rFonts w:hint="eastAsia"/>
          <w:bCs/>
          <w:color w:val="000000" w:themeColor="text1"/>
        </w:rPr>
        <w:t>％，东北风占</w:t>
      </w:r>
      <w:r>
        <w:rPr>
          <w:rFonts w:hint="eastAsia"/>
          <w:bCs/>
          <w:color w:val="000000" w:themeColor="text1"/>
        </w:rPr>
        <w:t>11</w:t>
      </w:r>
      <w:r>
        <w:rPr>
          <w:rFonts w:hint="eastAsia"/>
          <w:bCs/>
          <w:color w:val="000000" w:themeColor="text1"/>
        </w:rPr>
        <w:t>％，西南风的出现频率最低，占全年各风向总和的</w:t>
      </w:r>
      <w:r>
        <w:rPr>
          <w:rFonts w:hint="eastAsia"/>
          <w:bCs/>
          <w:color w:val="000000" w:themeColor="text1"/>
        </w:rPr>
        <w:t>5</w:t>
      </w:r>
      <w:r>
        <w:rPr>
          <w:rFonts w:hint="eastAsia"/>
          <w:bCs/>
          <w:color w:val="000000" w:themeColor="text1"/>
        </w:rPr>
        <w:t>％。此外，东风时有发生，并伴有强浮尘或弱浮尘现象出现。全年最少有</w:t>
      </w:r>
      <w:r>
        <w:rPr>
          <w:rFonts w:hint="eastAsia"/>
          <w:bCs/>
          <w:color w:val="000000" w:themeColor="text1"/>
        </w:rPr>
        <w:t>10</w:t>
      </w:r>
      <w:r>
        <w:rPr>
          <w:rFonts w:hint="eastAsia"/>
          <w:bCs/>
          <w:color w:val="000000" w:themeColor="text1"/>
        </w:rPr>
        <w:t>次大风日，最多</w:t>
      </w:r>
      <w:r>
        <w:rPr>
          <w:rFonts w:hint="eastAsia"/>
          <w:bCs/>
          <w:color w:val="000000" w:themeColor="text1"/>
        </w:rPr>
        <w:t>40</w:t>
      </w:r>
      <w:r>
        <w:rPr>
          <w:rFonts w:hint="eastAsia"/>
          <w:bCs/>
          <w:color w:val="000000" w:themeColor="text1"/>
        </w:rPr>
        <w:t>日。</w:t>
      </w:r>
      <w:r w:rsidRPr="00E11CE3">
        <w:rPr>
          <w:rFonts w:hint="eastAsia"/>
          <w:bCs/>
          <w:color w:val="FF0000"/>
        </w:rPr>
        <w:t>大风多出现在</w:t>
      </w:r>
      <w:r w:rsidRPr="00E11CE3">
        <w:rPr>
          <w:rFonts w:hint="eastAsia"/>
          <w:bCs/>
          <w:color w:val="FF0000"/>
        </w:rPr>
        <w:t>4</w:t>
      </w:r>
      <w:r w:rsidRPr="00E11CE3">
        <w:rPr>
          <w:rFonts w:hint="eastAsia"/>
          <w:bCs/>
          <w:color w:val="FF0000"/>
        </w:rPr>
        <w:t>～</w:t>
      </w:r>
      <w:r w:rsidRPr="00E11CE3">
        <w:rPr>
          <w:rFonts w:hint="eastAsia"/>
          <w:bCs/>
          <w:color w:val="FF0000"/>
        </w:rPr>
        <w:t>7</w:t>
      </w:r>
      <w:r w:rsidRPr="00E11CE3">
        <w:rPr>
          <w:rFonts w:hint="eastAsia"/>
          <w:bCs/>
          <w:color w:val="FF0000"/>
        </w:rPr>
        <w:t>月，以</w:t>
      </w:r>
      <w:r w:rsidRPr="00E11CE3">
        <w:rPr>
          <w:rFonts w:hint="eastAsia"/>
          <w:bCs/>
          <w:color w:val="FF0000"/>
        </w:rPr>
        <w:t>5</w:t>
      </w:r>
      <w:r w:rsidRPr="00E11CE3">
        <w:rPr>
          <w:rFonts w:hint="eastAsia"/>
          <w:bCs/>
          <w:color w:val="FF0000"/>
        </w:rPr>
        <w:t>月份和</w:t>
      </w:r>
      <w:r w:rsidRPr="00E11CE3">
        <w:rPr>
          <w:rFonts w:hint="eastAsia"/>
          <w:bCs/>
          <w:color w:val="FF0000"/>
        </w:rPr>
        <w:t>6</w:t>
      </w:r>
      <w:r w:rsidRPr="00E11CE3">
        <w:rPr>
          <w:rFonts w:hint="eastAsia"/>
          <w:bCs/>
          <w:color w:val="FF0000"/>
        </w:rPr>
        <w:t>月份次数最多，</w:t>
      </w:r>
      <w:r w:rsidRPr="00E11CE3">
        <w:rPr>
          <w:rFonts w:hint="eastAsia"/>
          <w:bCs/>
          <w:color w:val="FF0000"/>
        </w:rPr>
        <w:t>9</w:t>
      </w:r>
      <w:r w:rsidRPr="00E11CE3">
        <w:rPr>
          <w:rFonts w:hint="eastAsia"/>
          <w:bCs/>
          <w:color w:val="FF0000"/>
        </w:rPr>
        <w:t>月份基本结束，至翌年</w:t>
      </w:r>
      <w:r w:rsidRPr="00E11CE3">
        <w:rPr>
          <w:rFonts w:hint="eastAsia"/>
          <w:bCs/>
          <w:color w:val="FF0000"/>
        </w:rPr>
        <w:t>3</w:t>
      </w:r>
      <w:r w:rsidRPr="00E11CE3">
        <w:rPr>
          <w:rFonts w:hint="eastAsia"/>
          <w:bCs/>
          <w:color w:val="FF0000"/>
        </w:rPr>
        <w:t>月份基本无大风。大风日持续时间最长为</w:t>
      </w:r>
      <w:r w:rsidRPr="00E11CE3">
        <w:rPr>
          <w:rFonts w:hint="eastAsia"/>
          <w:bCs/>
          <w:color w:val="FF0000"/>
        </w:rPr>
        <w:t>14</w:t>
      </w:r>
      <w:r w:rsidRPr="00E11CE3">
        <w:rPr>
          <w:rFonts w:hint="eastAsia"/>
          <w:bCs/>
          <w:color w:val="FF0000"/>
        </w:rPr>
        <w:t>小时</w:t>
      </w:r>
      <w:r w:rsidRPr="00E11CE3">
        <w:rPr>
          <w:rFonts w:hint="eastAsia"/>
          <w:bCs/>
          <w:color w:val="FF0000"/>
        </w:rPr>
        <w:t>53</w:t>
      </w:r>
      <w:r w:rsidRPr="00E11CE3">
        <w:rPr>
          <w:rFonts w:hint="eastAsia"/>
          <w:bCs/>
          <w:color w:val="FF0000"/>
        </w:rPr>
        <w:t>分</w:t>
      </w:r>
      <w:r w:rsidR="00E11CE3" w:rsidRPr="00E11CE3">
        <w:rPr>
          <w:rFonts w:hint="eastAsia"/>
          <w:bCs/>
          <w:color w:val="FF0000"/>
        </w:rPr>
        <w:t>，</w:t>
      </w:r>
      <w:r w:rsidRPr="00E11CE3">
        <w:rPr>
          <w:rFonts w:hint="eastAsia"/>
          <w:bCs/>
          <w:color w:val="FF0000"/>
        </w:rPr>
        <w:t>常年主导风向为西北风</w:t>
      </w:r>
      <w:r w:rsidR="00E11CE3" w:rsidRPr="00E11CE3">
        <w:rPr>
          <w:rFonts w:hint="eastAsia"/>
          <w:bCs/>
          <w:color w:val="FF0000"/>
        </w:rPr>
        <w:t>。</w:t>
      </w:r>
    </w:p>
    <w:p w:rsidR="00644456" w:rsidRDefault="008031C4">
      <w:pPr>
        <w:pStyle w:val="3"/>
        <w:numPr>
          <w:ilvl w:val="2"/>
          <w:numId w:val="0"/>
        </w:numPr>
        <w:ind w:firstLineChars="200" w:firstLine="482"/>
      </w:pPr>
      <w:r>
        <w:rPr>
          <w:rFonts w:hint="eastAsia"/>
        </w:rPr>
        <w:t>3.1.6</w:t>
      </w:r>
      <w:r>
        <w:rPr>
          <w:rFonts w:hint="eastAsia"/>
        </w:rPr>
        <w:t>生态环境现状</w:t>
      </w:r>
    </w:p>
    <w:p w:rsidR="00644456" w:rsidRDefault="008031C4">
      <w:pPr>
        <w:snapToGrid w:val="0"/>
        <w:spacing w:line="360" w:lineRule="auto"/>
        <w:ind w:firstLine="480"/>
        <w:rPr>
          <w:rFonts w:cs="Times New Roman"/>
          <w:color w:val="000000" w:themeColor="text1"/>
          <w:sz w:val="24"/>
          <w:szCs w:val="24"/>
        </w:rPr>
      </w:pPr>
      <w:r>
        <w:rPr>
          <w:rFonts w:cs="Times New Roman" w:hint="eastAsia"/>
          <w:color w:val="000000" w:themeColor="text1"/>
          <w:sz w:val="24"/>
          <w:szCs w:val="24"/>
        </w:rPr>
        <w:t>根据《新疆生态功能区划》，疏勒高新技术产业开发区属于塔里木盆地暖温荒漠及绿洲农业生态区（Ⅳ）——塔里木盆地西部、北部荒漠及绿洲农业生态亚区（Ⅳ</w:t>
      </w:r>
      <w:r>
        <w:rPr>
          <w:rFonts w:cs="Times New Roman" w:hint="eastAsia"/>
          <w:color w:val="000000" w:themeColor="text1"/>
          <w:sz w:val="24"/>
          <w:szCs w:val="24"/>
        </w:rPr>
        <w:t>1</w:t>
      </w:r>
      <w:r>
        <w:rPr>
          <w:rFonts w:cs="Times New Roman" w:hint="eastAsia"/>
          <w:color w:val="000000" w:themeColor="text1"/>
          <w:sz w:val="24"/>
          <w:szCs w:val="24"/>
        </w:rPr>
        <w:t>）——喀什三角洲绿洲农业盐渍化敏感生态功能区（</w:t>
      </w:r>
      <w:r>
        <w:rPr>
          <w:rFonts w:cs="Times New Roman" w:hint="eastAsia"/>
          <w:color w:val="000000" w:themeColor="text1"/>
          <w:sz w:val="24"/>
          <w:szCs w:val="24"/>
        </w:rPr>
        <w:t>57</w:t>
      </w:r>
      <w:r>
        <w:rPr>
          <w:rFonts w:cs="Times New Roman" w:hint="eastAsia"/>
          <w:color w:val="000000" w:themeColor="text1"/>
          <w:sz w:val="24"/>
          <w:szCs w:val="24"/>
        </w:rPr>
        <w:t>），具体见下表。主要特征具体见下表。</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3.1-1</w:t>
      </w:r>
      <w:r>
        <w:rPr>
          <w:rFonts w:cs="Times New Roman" w:hint="eastAsia"/>
          <w:b/>
          <w:color w:val="000000" w:themeColor="text1"/>
          <w:sz w:val="24"/>
          <w:szCs w:val="20"/>
        </w:rPr>
        <w:t>生态功能区划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7253"/>
      </w:tblGrid>
      <w:tr w:rsidR="00644456">
        <w:trPr>
          <w:trHeight w:val="20"/>
          <w:jc w:val="center"/>
        </w:trPr>
        <w:tc>
          <w:tcPr>
            <w:tcW w:w="1863" w:type="dxa"/>
            <w:vAlign w:val="center"/>
          </w:tcPr>
          <w:p w:rsidR="00644456" w:rsidRDefault="008031C4">
            <w:pPr>
              <w:snapToGrid w:val="0"/>
              <w:spacing w:line="360" w:lineRule="exact"/>
              <w:jc w:val="center"/>
              <w:rPr>
                <w:rFonts w:cs="Times New Roman"/>
                <w:snapToGrid w:val="0"/>
                <w:color w:val="000000"/>
                <w:kern w:val="0"/>
                <w:szCs w:val="21"/>
              </w:rPr>
            </w:pPr>
            <w:r>
              <w:rPr>
                <w:rFonts w:cs="Times New Roman" w:hint="eastAsia"/>
                <w:snapToGrid w:val="0"/>
                <w:color w:val="000000"/>
                <w:kern w:val="0"/>
                <w:szCs w:val="21"/>
              </w:rPr>
              <w:t>名称</w:t>
            </w:r>
          </w:p>
          <w:p w:rsidR="00644456" w:rsidRDefault="008031C4">
            <w:pPr>
              <w:snapToGrid w:val="0"/>
              <w:spacing w:line="360" w:lineRule="exact"/>
              <w:jc w:val="center"/>
              <w:rPr>
                <w:rFonts w:cs="Times New Roman"/>
                <w:snapToGrid w:val="0"/>
                <w:color w:val="000000"/>
                <w:kern w:val="0"/>
                <w:szCs w:val="21"/>
              </w:rPr>
            </w:pPr>
            <w:r>
              <w:rPr>
                <w:rFonts w:cs="Times New Roman" w:hint="eastAsia"/>
                <w:snapToGrid w:val="0"/>
                <w:color w:val="000000"/>
                <w:kern w:val="0"/>
                <w:szCs w:val="21"/>
              </w:rPr>
              <w:t>内容</w:t>
            </w:r>
          </w:p>
        </w:tc>
        <w:tc>
          <w:tcPr>
            <w:tcW w:w="6796" w:type="dxa"/>
            <w:vAlign w:val="center"/>
          </w:tcPr>
          <w:p w:rsidR="00644456" w:rsidRDefault="008031C4">
            <w:pPr>
              <w:snapToGrid w:val="0"/>
              <w:spacing w:line="360" w:lineRule="exact"/>
              <w:jc w:val="center"/>
              <w:rPr>
                <w:rFonts w:cs="Times New Roman"/>
                <w:snapToGrid w:val="0"/>
                <w:color w:val="000000"/>
                <w:kern w:val="0"/>
                <w:szCs w:val="21"/>
              </w:rPr>
            </w:pPr>
            <w:r>
              <w:rPr>
                <w:rFonts w:cs="Times New Roman" w:hint="eastAsia"/>
                <w:color w:val="000000"/>
                <w:szCs w:val="21"/>
              </w:rPr>
              <w:t>塔里木盆地暖温荒漠及绿洲农业生态区（Ⅳ）——塔里木盆地西部、北部荒漠及绿洲农业生态亚区（Ⅳ</w:t>
            </w:r>
            <w:r>
              <w:rPr>
                <w:rFonts w:cs="Times New Roman" w:hint="eastAsia"/>
                <w:color w:val="000000"/>
                <w:szCs w:val="21"/>
                <w:vertAlign w:val="subscript"/>
              </w:rPr>
              <w:t>1</w:t>
            </w:r>
            <w:r>
              <w:rPr>
                <w:rFonts w:cs="Times New Roman" w:hint="eastAsia"/>
                <w:color w:val="000000"/>
                <w:szCs w:val="21"/>
                <w:vertAlign w:val="subscript"/>
              </w:rPr>
              <w:t>）</w:t>
            </w:r>
            <w:r>
              <w:rPr>
                <w:rFonts w:cs="Times New Roman" w:hint="eastAsia"/>
                <w:color w:val="000000"/>
                <w:szCs w:val="21"/>
              </w:rPr>
              <w:t>——喀什三角洲绿洲农业盐渍化敏感生态功能区（</w:t>
            </w:r>
            <w:r>
              <w:rPr>
                <w:rFonts w:cs="Times New Roman" w:hint="eastAsia"/>
                <w:color w:val="000000"/>
                <w:szCs w:val="21"/>
              </w:rPr>
              <w:t>57</w:t>
            </w:r>
            <w:r>
              <w:rPr>
                <w:rFonts w:cs="Times New Roman" w:hint="eastAsia"/>
                <w:color w:val="000000"/>
                <w:szCs w:val="21"/>
              </w:rPr>
              <w:t>）</w:t>
            </w:r>
          </w:p>
        </w:tc>
      </w:tr>
      <w:tr w:rsidR="00644456">
        <w:trPr>
          <w:trHeight w:val="20"/>
          <w:jc w:val="center"/>
        </w:trPr>
        <w:tc>
          <w:tcPr>
            <w:tcW w:w="1863" w:type="dxa"/>
            <w:vAlign w:val="center"/>
          </w:tcPr>
          <w:p w:rsidR="00644456" w:rsidRDefault="008031C4">
            <w:pPr>
              <w:snapToGrid w:val="0"/>
              <w:spacing w:line="360" w:lineRule="exact"/>
              <w:jc w:val="center"/>
              <w:rPr>
                <w:rFonts w:cs="Times New Roman"/>
                <w:snapToGrid w:val="0"/>
                <w:color w:val="000000"/>
                <w:kern w:val="0"/>
                <w:szCs w:val="21"/>
              </w:rPr>
            </w:pPr>
            <w:r>
              <w:rPr>
                <w:rFonts w:cs="Times New Roman" w:hint="eastAsia"/>
                <w:snapToGrid w:val="0"/>
                <w:color w:val="000000"/>
                <w:kern w:val="0"/>
                <w:szCs w:val="21"/>
              </w:rPr>
              <w:t>主要生态服务功能</w:t>
            </w:r>
          </w:p>
        </w:tc>
        <w:tc>
          <w:tcPr>
            <w:tcW w:w="6796" w:type="dxa"/>
            <w:vAlign w:val="center"/>
          </w:tcPr>
          <w:p w:rsidR="00644456" w:rsidRDefault="008031C4">
            <w:pPr>
              <w:snapToGrid w:val="0"/>
              <w:spacing w:line="360" w:lineRule="exact"/>
              <w:jc w:val="center"/>
              <w:rPr>
                <w:rFonts w:cs="Times New Roman"/>
                <w:snapToGrid w:val="0"/>
                <w:color w:val="000000"/>
                <w:kern w:val="0"/>
                <w:szCs w:val="21"/>
              </w:rPr>
            </w:pPr>
            <w:r>
              <w:rPr>
                <w:rFonts w:cs="Times New Roman" w:hint="eastAsia"/>
                <w:snapToGrid w:val="0"/>
                <w:color w:val="000000"/>
                <w:kern w:val="0"/>
                <w:szCs w:val="21"/>
              </w:rPr>
              <w:t>农畜产品生产、荒漠化控制、旅游</w:t>
            </w:r>
          </w:p>
        </w:tc>
      </w:tr>
      <w:tr w:rsidR="00644456">
        <w:trPr>
          <w:trHeight w:val="20"/>
          <w:jc w:val="center"/>
        </w:trPr>
        <w:tc>
          <w:tcPr>
            <w:tcW w:w="1863" w:type="dxa"/>
            <w:vAlign w:val="center"/>
          </w:tcPr>
          <w:p w:rsidR="00644456" w:rsidRDefault="008031C4">
            <w:pPr>
              <w:snapToGrid w:val="0"/>
              <w:spacing w:line="360" w:lineRule="exact"/>
              <w:jc w:val="center"/>
              <w:rPr>
                <w:rFonts w:cs="Times New Roman"/>
                <w:snapToGrid w:val="0"/>
                <w:color w:val="000000"/>
                <w:kern w:val="0"/>
                <w:szCs w:val="21"/>
              </w:rPr>
            </w:pPr>
            <w:r>
              <w:rPr>
                <w:rFonts w:cs="Times New Roman" w:hint="eastAsia"/>
                <w:snapToGrid w:val="0"/>
                <w:color w:val="000000"/>
                <w:kern w:val="0"/>
                <w:szCs w:val="21"/>
              </w:rPr>
              <w:t>主要生态环境问题</w:t>
            </w:r>
          </w:p>
        </w:tc>
        <w:tc>
          <w:tcPr>
            <w:tcW w:w="6796" w:type="dxa"/>
            <w:vAlign w:val="center"/>
          </w:tcPr>
          <w:p w:rsidR="00644456" w:rsidRDefault="008031C4">
            <w:pPr>
              <w:snapToGrid w:val="0"/>
              <w:spacing w:line="360" w:lineRule="exact"/>
              <w:jc w:val="center"/>
              <w:rPr>
                <w:rFonts w:cs="Times New Roman"/>
                <w:snapToGrid w:val="0"/>
                <w:color w:val="000000"/>
                <w:kern w:val="0"/>
                <w:szCs w:val="21"/>
              </w:rPr>
            </w:pPr>
            <w:r>
              <w:rPr>
                <w:rFonts w:cs="Times New Roman" w:hint="eastAsia"/>
                <w:snapToGrid w:val="0"/>
                <w:color w:val="000000"/>
                <w:kern w:val="0"/>
                <w:szCs w:val="21"/>
              </w:rPr>
              <w:t>土壤盐渍化、三角洲下部天然水质差、城市污水处理滞后、浮尘天气多、土壤质量下降</w:t>
            </w:r>
          </w:p>
        </w:tc>
      </w:tr>
      <w:tr w:rsidR="00644456">
        <w:trPr>
          <w:trHeight w:val="20"/>
          <w:jc w:val="center"/>
        </w:trPr>
        <w:tc>
          <w:tcPr>
            <w:tcW w:w="1863" w:type="dxa"/>
            <w:vAlign w:val="center"/>
          </w:tcPr>
          <w:p w:rsidR="00644456" w:rsidRDefault="008031C4">
            <w:pPr>
              <w:snapToGrid w:val="0"/>
              <w:spacing w:line="360" w:lineRule="exact"/>
              <w:jc w:val="center"/>
              <w:rPr>
                <w:rFonts w:cs="Times New Roman"/>
                <w:snapToGrid w:val="0"/>
                <w:color w:val="000000"/>
                <w:kern w:val="0"/>
                <w:szCs w:val="21"/>
              </w:rPr>
            </w:pPr>
            <w:r>
              <w:rPr>
                <w:rFonts w:cs="Times New Roman" w:hint="eastAsia"/>
                <w:snapToGrid w:val="0"/>
                <w:color w:val="000000"/>
                <w:kern w:val="0"/>
                <w:szCs w:val="21"/>
              </w:rPr>
              <w:t>主要生态敏感因子、敏感程度</w:t>
            </w:r>
          </w:p>
        </w:tc>
        <w:tc>
          <w:tcPr>
            <w:tcW w:w="6796" w:type="dxa"/>
            <w:vAlign w:val="center"/>
          </w:tcPr>
          <w:p w:rsidR="00644456" w:rsidRDefault="008031C4">
            <w:pPr>
              <w:snapToGrid w:val="0"/>
              <w:spacing w:line="360" w:lineRule="exact"/>
              <w:jc w:val="center"/>
              <w:rPr>
                <w:rFonts w:cs="Times New Roman"/>
                <w:snapToGrid w:val="0"/>
                <w:color w:val="000000"/>
                <w:kern w:val="0"/>
                <w:szCs w:val="21"/>
              </w:rPr>
            </w:pPr>
            <w:r>
              <w:rPr>
                <w:rFonts w:cs="Times New Roman" w:hint="eastAsia"/>
                <w:snapToGrid w:val="0"/>
                <w:color w:val="000000"/>
                <w:kern w:val="0"/>
                <w:szCs w:val="21"/>
              </w:rPr>
              <w:t>生物多样性及其生境中度敏感，土地沙漠化、土壤盐渍化高度敏感</w:t>
            </w:r>
          </w:p>
        </w:tc>
      </w:tr>
      <w:tr w:rsidR="00644456">
        <w:trPr>
          <w:trHeight w:val="20"/>
          <w:jc w:val="center"/>
        </w:trPr>
        <w:tc>
          <w:tcPr>
            <w:tcW w:w="1863" w:type="dxa"/>
            <w:vAlign w:val="center"/>
          </w:tcPr>
          <w:p w:rsidR="00644456" w:rsidRDefault="008031C4">
            <w:pPr>
              <w:snapToGrid w:val="0"/>
              <w:spacing w:line="360" w:lineRule="exact"/>
              <w:jc w:val="center"/>
              <w:rPr>
                <w:rFonts w:cs="Times New Roman"/>
                <w:snapToGrid w:val="0"/>
                <w:color w:val="000000"/>
                <w:kern w:val="0"/>
                <w:szCs w:val="21"/>
              </w:rPr>
            </w:pPr>
            <w:r>
              <w:rPr>
                <w:rFonts w:cs="Times New Roman" w:hint="eastAsia"/>
                <w:snapToGrid w:val="0"/>
                <w:color w:val="000000"/>
                <w:kern w:val="0"/>
                <w:szCs w:val="21"/>
              </w:rPr>
              <w:t>主要保护目标</w:t>
            </w:r>
          </w:p>
        </w:tc>
        <w:tc>
          <w:tcPr>
            <w:tcW w:w="6796" w:type="dxa"/>
            <w:vAlign w:val="center"/>
          </w:tcPr>
          <w:p w:rsidR="00644456" w:rsidRDefault="008031C4">
            <w:pPr>
              <w:snapToGrid w:val="0"/>
              <w:spacing w:line="360" w:lineRule="exact"/>
              <w:jc w:val="center"/>
              <w:rPr>
                <w:rFonts w:cs="Times New Roman"/>
                <w:snapToGrid w:val="0"/>
                <w:color w:val="000000"/>
                <w:kern w:val="0"/>
                <w:szCs w:val="21"/>
              </w:rPr>
            </w:pPr>
            <w:r>
              <w:rPr>
                <w:rFonts w:cs="Times New Roman" w:hint="eastAsia"/>
                <w:snapToGrid w:val="0"/>
                <w:color w:val="000000"/>
                <w:kern w:val="0"/>
                <w:szCs w:val="21"/>
              </w:rPr>
              <w:t>保护人群身体健康、保护水资源、保护农田、保护荒漠植被、保护文物古迹与民俗风情</w:t>
            </w:r>
          </w:p>
        </w:tc>
      </w:tr>
      <w:tr w:rsidR="00644456">
        <w:trPr>
          <w:trHeight w:val="20"/>
          <w:jc w:val="center"/>
        </w:trPr>
        <w:tc>
          <w:tcPr>
            <w:tcW w:w="1863" w:type="dxa"/>
            <w:vAlign w:val="center"/>
          </w:tcPr>
          <w:p w:rsidR="00644456" w:rsidRDefault="008031C4">
            <w:pPr>
              <w:snapToGrid w:val="0"/>
              <w:spacing w:line="360" w:lineRule="exact"/>
              <w:jc w:val="center"/>
              <w:rPr>
                <w:rFonts w:cs="Times New Roman"/>
                <w:snapToGrid w:val="0"/>
                <w:color w:val="000000"/>
                <w:kern w:val="0"/>
                <w:szCs w:val="21"/>
              </w:rPr>
            </w:pPr>
            <w:r>
              <w:rPr>
                <w:rFonts w:cs="Times New Roman" w:hint="eastAsia"/>
                <w:snapToGrid w:val="0"/>
                <w:color w:val="000000"/>
                <w:kern w:val="0"/>
                <w:szCs w:val="21"/>
              </w:rPr>
              <w:t>主要保护措施</w:t>
            </w:r>
          </w:p>
        </w:tc>
        <w:tc>
          <w:tcPr>
            <w:tcW w:w="6796" w:type="dxa"/>
            <w:vAlign w:val="center"/>
          </w:tcPr>
          <w:p w:rsidR="00644456" w:rsidRDefault="008031C4">
            <w:pPr>
              <w:snapToGrid w:val="0"/>
              <w:spacing w:line="360" w:lineRule="exact"/>
              <w:jc w:val="center"/>
              <w:rPr>
                <w:rFonts w:cs="Times New Roman"/>
                <w:snapToGrid w:val="0"/>
                <w:color w:val="000000"/>
                <w:kern w:val="0"/>
                <w:szCs w:val="21"/>
              </w:rPr>
            </w:pPr>
            <w:r>
              <w:rPr>
                <w:rFonts w:cs="Times New Roman" w:hint="eastAsia"/>
                <w:snapToGrid w:val="0"/>
                <w:color w:val="000000"/>
                <w:kern w:val="0"/>
                <w:szCs w:val="21"/>
              </w:rPr>
              <w:t>改善人畜饮用水质、防治地方病、引洪放淤扩大植被覆盖、建设城镇污水处理系统、加强农田投入品的使用管理</w:t>
            </w:r>
          </w:p>
        </w:tc>
      </w:tr>
      <w:tr w:rsidR="00644456">
        <w:trPr>
          <w:trHeight w:val="20"/>
          <w:jc w:val="center"/>
        </w:trPr>
        <w:tc>
          <w:tcPr>
            <w:tcW w:w="1863" w:type="dxa"/>
            <w:vAlign w:val="center"/>
          </w:tcPr>
          <w:p w:rsidR="00644456" w:rsidRDefault="008031C4">
            <w:pPr>
              <w:snapToGrid w:val="0"/>
              <w:spacing w:line="360" w:lineRule="exact"/>
              <w:jc w:val="center"/>
              <w:rPr>
                <w:rFonts w:cs="Times New Roman"/>
                <w:snapToGrid w:val="0"/>
                <w:color w:val="000000"/>
                <w:kern w:val="0"/>
                <w:szCs w:val="21"/>
              </w:rPr>
            </w:pPr>
            <w:r>
              <w:rPr>
                <w:rFonts w:cs="Times New Roman" w:hint="eastAsia"/>
                <w:snapToGrid w:val="0"/>
                <w:color w:val="000000"/>
                <w:kern w:val="0"/>
                <w:szCs w:val="21"/>
              </w:rPr>
              <w:t>适宜发展方向</w:t>
            </w:r>
          </w:p>
        </w:tc>
        <w:tc>
          <w:tcPr>
            <w:tcW w:w="6796" w:type="dxa"/>
            <w:vAlign w:val="center"/>
          </w:tcPr>
          <w:p w:rsidR="00644456" w:rsidRDefault="008031C4">
            <w:pPr>
              <w:snapToGrid w:val="0"/>
              <w:spacing w:line="360" w:lineRule="exact"/>
              <w:jc w:val="center"/>
              <w:rPr>
                <w:rFonts w:cs="Times New Roman"/>
                <w:snapToGrid w:val="0"/>
                <w:color w:val="000000"/>
                <w:kern w:val="0"/>
                <w:szCs w:val="21"/>
              </w:rPr>
            </w:pPr>
            <w:r>
              <w:rPr>
                <w:rFonts w:cs="Times New Roman" w:hint="eastAsia"/>
                <w:snapToGrid w:val="0"/>
                <w:color w:val="000000"/>
                <w:kern w:val="0"/>
                <w:szCs w:val="21"/>
              </w:rPr>
              <w:t>以农牧业为基础，建设棉花及特色林果业基地，发展民俗风情旅游</w:t>
            </w:r>
          </w:p>
        </w:tc>
      </w:tr>
    </w:tbl>
    <w:p w:rsidR="00644456" w:rsidRDefault="008031C4">
      <w:pPr>
        <w:pStyle w:val="1fd"/>
        <w:ind w:firstLine="482"/>
        <w:rPr>
          <w:b/>
          <w:color w:val="000000" w:themeColor="text1"/>
        </w:rPr>
      </w:pPr>
      <w:r>
        <w:rPr>
          <w:rFonts w:hint="eastAsia"/>
          <w:b/>
          <w:color w:val="000000" w:themeColor="text1"/>
        </w:rPr>
        <w:t>本项目位于工业园区内，也不取用地下水，项目占地范围及周边没有国家及自治区保护动植物分布。</w:t>
      </w:r>
    </w:p>
    <w:p w:rsidR="00644456" w:rsidRDefault="008031C4">
      <w:pPr>
        <w:pStyle w:val="20"/>
        <w:numPr>
          <w:ilvl w:val="1"/>
          <w:numId w:val="0"/>
        </w:numPr>
        <w:snapToGrid w:val="0"/>
        <w:spacing w:beforeLines="0" w:before="0" w:afterLines="0" w:after="0"/>
        <w:ind w:firstLine="562"/>
        <w:rPr>
          <w:rFonts w:cs="Times New Roman"/>
          <w:color w:val="000000" w:themeColor="text1"/>
        </w:rPr>
      </w:pPr>
      <w:bookmarkStart w:id="238" w:name="_Toc155789368"/>
      <w:bookmarkStart w:id="239" w:name="_Toc177216876"/>
      <w:r>
        <w:rPr>
          <w:rFonts w:cs="Times New Roman" w:hint="eastAsia"/>
          <w:color w:val="000000" w:themeColor="text1"/>
        </w:rPr>
        <w:t>3.2</w:t>
      </w:r>
      <w:r>
        <w:rPr>
          <w:rFonts w:cs="Times New Roman" w:hint="eastAsia"/>
          <w:color w:val="000000"/>
        </w:rPr>
        <w:t>疏勒高新技术产业开发区—生态钢城产业园</w:t>
      </w:r>
      <w:r>
        <w:rPr>
          <w:rFonts w:cs="Times New Roman" w:hint="eastAsia"/>
          <w:color w:val="000000" w:themeColor="text1"/>
        </w:rPr>
        <w:t>概况情况介</w:t>
      </w:r>
      <w:r>
        <w:rPr>
          <w:rFonts w:cs="Times New Roman"/>
          <w:color w:val="000000" w:themeColor="text1"/>
        </w:rPr>
        <w:t>绍</w:t>
      </w:r>
      <w:bookmarkEnd w:id="238"/>
      <w:bookmarkEnd w:id="239"/>
    </w:p>
    <w:p w:rsidR="00644456" w:rsidRDefault="008031C4">
      <w:pPr>
        <w:pStyle w:val="3"/>
        <w:numPr>
          <w:ilvl w:val="2"/>
          <w:numId w:val="0"/>
        </w:numPr>
        <w:ind w:firstLineChars="200" w:firstLine="482"/>
      </w:pPr>
      <w:r>
        <w:rPr>
          <w:rFonts w:hint="eastAsia"/>
        </w:rPr>
        <w:t>3.2.1</w:t>
      </w:r>
      <w:r>
        <w:rPr>
          <w:rFonts w:hint="eastAsia"/>
        </w:rPr>
        <w:t>规划期限</w:t>
      </w:r>
    </w:p>
    <w:p w:rsidR="00644456" w:rsidRDefault="008031C4">
      <w:pPr>
        <w:pStyle w:val="1fd"/>
        <w:rPr>
          <w:color w:val="000000" w:themeColor="text1"/>
        </w:rPr>
      </w:pPr>
      <w:r>
        <w:rPr>
          <w:rFonts w:hint="eastAsia"/>
          <w:color w:val="000000" w:themeColor="text1"/>
        </w:rPr>
        <w:t>规划基准年为</w:t>
      </w:r>
      <w:r>
        <w:rPr>
          <w:rFonts w:hint="eastAsia"/>
          <w:color w:val="000000" w:themeColor="text1"/>
        </w:rPr>
        <w:t>2020</w:t>
      </w:r>
      <w:r>
        <w:rPr>
          <w:rFonts w:hint="eastAsia"/>
          <w:color w:val="000000" w:themeColor="text1"/>
        </w:rPr>
        <w:t>年。规划期限为</w:t>
      </w:r>
      <w:r>
        <w:rPr>
          <w:rFonts w:hint="eastAsia"/>
          <w:color w:val="000000" w:themeColor="text1"/>
        </w:rPr>
        <w:t>2021</w:t>
      </w:r>
      <w:r>
        <w:rPr>
          <w:rFonts w:hint="eastAsia"/>
          <w:color w:val="000000" w:themeColor="text1"/>
        </w:rPr>
        <w:t>～</w:t>
      </w:r>
      <w:r>
        <w:rPr>
          <w:rFonts w:hint="eastAsia"/>
          <w:color w:val="000000" w:themeColor="text1"/>
        </w:rPr>
        <w:t>2035</w:t>
      </w:r>
      <w:r>
        <w:rPr>
          <w:rFonts w:hint="eastAsia"/>
          <w:color w:val="000000" w:themeColor="text1"/>
        </w:rPr>
        <w:t>年，分两个建设周期，其中近期为</w:t>
      </w:r>
      <w:r>
        <w:rPr>
          <w:rFonts w:hint="eastAsia"/>
          <w:color w:val="000000" w:themeColor="text1"/>
        </w:rPr>
        <w:t>2021</w:t>
      </w:r>
      <w:r>
        <w:rPr>
          <w:rFonts w:hint="eastAsia"/>
          <w:color w:val="000000" w:themeColor="text1"/>
        </w:rPr>
        <w:t>年～</w:t>
      </w:r>
      <w:r>
        <w:rPr>
          <w:rFonts w:hint="eastAsia"/>
          <w:color w:val="000000" w:themeColor="text1"/>
        </w:rPr>
        <w:t>2025</w:t>
      </w:r>
      <w:r>
        <w:rPr>
          <w:rFonts w:hint="eastAsia"/>
          <w:color w:val="000000" w:themeColor="text1"/>
        </w:rPr>
        <w:t>年，远期为</w:t>
      </w:r>
      <w:r>
        <w:rPr>
          <w:rFonts w:hint="eastAsia"/>
          <w:color w:val="000000" w:themeColor="text1"/>
        </w:rPr>
        <w:t>2026</w:t>
      </w:r>
      <w:r>
        <w:rPr>
          <w:rFonts w:hint="eastAsia"/>
          <w:color w:val="000000" w:themeColor="text1"/>
        </w:rPr>
        <w:t>年～</w:t>
      </w:r>
      <w:r>
        <w:rPr>
          <w:rFonts w:hint="eastAsia"/>
          <w:color w:val="000000" w:themeColor="text1"/>
        </w:rPr>
        <w:t>2035</w:t>
      </w:r>
      <w:r>
        <w:rPr>
          <w:rFonts w:hint="eastAsia"/>
          <w:color w:val="000000" w:themeColor="text1"/>
        </w:rPr>
        <w:t>年。</w:t>
      </w:r>
    </w:p>
    <w:p w:rsidR="00644456" w:rsidRDefault="008031C4">
      <w:pPr>
        <w:pStyle w:val="3"/>
        <w:numPr>
          <w:ilvl w:val="2"/>
          <w:numId w:val="0"/>
        </w:numPr>
        <w:ind w:firstLineChars="200" w:firstLine="482"/>
      </w:pPr>
      <w:r>
        <w:rPr>
          <w:rFonts w:hint="eastAsia"/>
        </w:rPr>
        <w:t>3.2.2</w:t>
      </w:r>
      <w:r>
        <w:rPr>
          <w:rFonts w:hint="eastAsia"/>
        </w:rPr>
        <w:t>规划范围及发展规模</w:t>
      </w:r>
    </w:p>
    <w:p w:rsidR="00644456" w:rsidRDefault="008031C4">
      <w:pPr>
        <w:pStyle w:val="1fd"/>
        <w:rPr>
          <w:color w:val="000000" w:themeColor="text1"/>
        </w:rPr>
      </w:pPr>
      <w:r>
        <w:rPr>
          <w:rFonts w:hint="eastAsia"/>
          <w:color w:val="000000" w:themeColor="text1"/>
        </w:rPr>
        <w:t>四至范围：东至喀叶高等级公路、南至疏勒县与英吉沙县交界、西至疏勒县与阿克</w:t>
      </w:r>
      <w:r>
        <w:rPr>
          <w:rFonts w:hint="eastAsia"/>
          <w:color w:val="000000" w:themeColor="text1"/>
        </w:rPr>
        <w:lastRenderedPageBreak/>
        <w:t>陶县交界、北至艾尔木东乡。用地规模为</w:t>
      </w:r>
      <w:r>
        <w:rPr>
          <w:rFonts w:hint="eastAsia"/>
          <w:color w:val="000000" w:themeColor="text1"/>
        </w:rPr>
        <w:t>26.93</w:t>
      </w:r>
      <w:r>
        <w:rPr>
          <w:rFonts w:hint="eastAsia"/>
          <w:color w:val="000000" w:themeColor="text1"/>
        </w:rPr>
        <w:t>平方公里。预计工业园区</w:t>
      </w:r>
      <w:r>
        <w:rPr>
          <w:rFonts w:hint="eastAsia"/>
          <w:color w:val="000000" w:themeColor="text1"/>
        </w:rPr>
        <w:t>2035</w:t>
      </w:r>
      <w:r>
        <w:rPr>
          <w:rFonts w:hint="eastAsia"/>
          <w:color w:val="000000" w:themeColor="text1"/>
        </w:rPr>
        <w:t>年就业人口规模</w:t>
      </w:r>
      <w:r>
        <w:rPr>
          <w:rFonts w:hint="eastAsia"/>
          <w:color w:val="000000" w:themeColor="text1"/>
        </w:rPr>
        <w:t>4.5</w:t>
      </w:r>
      <w:r>
        <w:rPr>
          <w:rFonts w:hint="eastAsia"/>
          <w:color w:val="000000" w:themeColor="text1"/>
        </w:rPr>
        <w:t>万人。</w:t>
      </w:r>
    </w:p>
    <w:p w:rsidR="00644456" w:rsidRDefault="008031C4">
      <w:pPr>
        <w:pStyle w:val="3"/>
        <w:numPr>
          <w:ilvl w:val="2"/>
          <w:numId w:val="0"/>
        </w:numPr>
        <w:ind w:firstLineChars="200" w:firstLine="482"/>
      </w:pPr>
      <w:r>
        <w:rPr>
          <w:rFonts w:hint="eastAsia"/>
        </w:rPr>
        <w:t>3.2.3</w:t>
      </w:r>
      <w:r>
        <w:rPr>
          <w:rFonts w:hint="eastAsia"/>
        </w:rPr>
        <w:t>产业发展定位及空间布局</w:t>
      </w:r>
    </w:p>
    <w:p w:rsidR="00644456" w:rsidRDefault="008031C4">
      <w:pPr>
        <w:pStyle w:val="1fd"/>
        <w:rPr>
          <w:color w:val="000000" w:themeColor="text1"/>
        </w:rPr>
      </w:pPr>
      <w:r>
        <w:rPr>
          <w:rFonts w:hint="eastAsia"/>
          <w:color w:val="000000" w:themeColor="text1"/>
        </w:rPr>
        <w:t>规划新能源及生物工程区、钢铁产业区、电镀产业区、精细化工产业聚集区、畜牧产业区。其中精细化工产业聚集区以化工材料、农药、医药、循环产业为重点产业，配套发展仓储物流产业。</w:t>
      </w:r>
    </w:p>
    <w:p w:rsidR="00644456" w:rsidRDefault="008031C4">
      <w:pPr>
        <w:pStyle w:val="3"/>
        <w:numPr>
          <w:ilvl w:val="2"/>
          <w:numId w:val="0"/>
        </w:numPr>
        <w:ind w:firstLineChars="200" w:firstLine="482"/>
      </w:pPr>
      <w:r>
        <w:rPr>
          <w:rFonts w:hint="eastAsia"/>
        </w:rPr>
        <w:t>3.2.4</w:t>
      </w:r>
      <w:r>
        <w:rPr>
          <w:rFonts w:hint="eastAsia"/>
        </w:rPr>
        <w:t>用地布局</w:t>
      </w:r>
    </w:p>
    <w:p w:rsidR="00644456" w:rsidRDefault="008031C4">
      <w:pPr>
        <w:pStyle w:val="1fd"/>
        <w:rPr>
          <w:color w:val="000000" w:themeColor="text1"/>
        </w:rPr>
      </w:pPr>
      <w:r>
        <w:rPr>
          <w:rFonts w:hint="eastAsia"/>
          <w:color w:val="000000" w:themeColor="text1"/>
        </w:rPr>
        <w:t>生态钢城产业园总规划用地</w:t>
      </w:r>
      <w:r>
        <w:rPr>
          <w:rFonts w:hint="eastAsia"/>
          <w:color w:val="000000" w:themeColor="text1"/>
        </w:rPr>
        <w:t>2693.00</w:t>
      </w:r>
      <w:r>
        <w:rPr>
          <w:rFonts w:hint="eastAsia"/>
          <w:color w:val="000000" w:themeColor="text1"/>
        </w:rPr>
        <w:t>公顷，其中，包括建设用地</w:t>
      </w:r>
      <w:r>
        <w:rPr>
          <w:rFonts w:hint="eastAsia"/>
          <w:color w:val="000000" w:themeColor="text1"/>
        </w:rPr>
        <w:t>1002.85</w:t>
      </w:r>
      <w:r>
        <w:rPr>
          <w:rFonts w:hint="eastAsia"/>
          <w:color w:val="000000" w:themeColor="text1"/>
        </w:rPr>
        <w:t>公顷，非建设用地</w:t>
      </w:r>
      <w:r>
        <w:rPr>
          <w:rFonts w:hint="eastAsia"/>
          <w:color w:val="000000" w:themeColor="text1"/>
        </w:rPr>
        <w:t>1690.15</w:t>
      </w:r>
      <w:r>
        <w:rPr>
          <w:rFonts w:hint="eastAsia"/>
          <w:color w:val="000000" w:themeColor="text1"/>
        </w:rPr>
        <w:t>公顷。</w:t>
      </w:r>
    </w:p>
    <w:p w:rsidR="00644456" w:rsidRDefault="008031C4">
      <w:pPr>
        <w:pStyle w:val="1fd"/>
        <w:rPr>
          <w:color w:val="000000" w:themeColor="text1"/>
        </w:rPr>
      </w:pPr>
      <w:r>
        <w:rPr>
          <w:rFonts w:hint="eastAsia"/>
          <w:color w:val="000000" w:themeColor="text1"/>
        </w:rPr>
        <w:t>1</w:t>
      </w:r>
      <w:r>
        <w:rPr>
          <w:rFonts w:hint="eastAsia"/>
          <w:color w:val="000000" w:themeColor="text1"/>
        </w:rPr>
        <w:t>、工业用地</w:t>
      </w:r>
    </w:p>
    <w:p w:rsidR="00644456" w:rsidRDefault="008031C4">
      <w:pPr>
        <w:pStyle w:val="1fd"/>
        <w:rPr>
          <w:color w:val="000000" w:themeColor="text1"/>
        </w:rPr>
      </w:pPr>
      <w:r>
        <w:rPr>
          <w:rFonts w:hint="eastAsia"/>
          <w:color w:val="000000" w:themeColor="text1"/>
        </w:rPr>
        <w:t>规划商工业用地</w:t>
      </w:r>
      <w:r>
        <w:rPr>
          <w:rFonts w:hint="eastAsia"/>
          <w:color w:val="000000" w:themeColor="text1"/>
        </w:rPr>
        <w:t>556.02</w:t>
      </w:r>
      <w:r>
        <w:rPr>
          <w:rFonts w:hint="eastAsia"/>
          <w:color w:val="000000" w:themeColor="text1"/>
        </w:rPr>
        <w:t>公顷，占园区建设用地的</w:t>
      </w:r>
      <w:r>
        <w:rPr>
          <w:rFonts w:hint="eastAsia"/>
          <w:color w:val="000000" w:themeColor="text1"/>
        </w:rPr>
        <w:t>20.78%</w:t>
      </w:r>
      <w:r>
        <w:rPr>
          <w:rFonts w:hint="eastAsia"/>
          <w:color w:val="000000" w:themeColor="text1"/>
        </w:rPr>
        <w:t>。其中，二类工业用地</w:t>
      </w:r>
      <w:r>
        <w:rPr>
          <w:rFonts w:hint="eastAsia"/>
          <w:color w:val="000000" w:themeColor="text1"/>
        </w:rPr>
        <w:t>22.46</w:t>
      </w:r>
      <w:r>
        <w:rPr>
          <w:rFonts w:hint="eastAsia"/>
          <w:color w:val="000000" w:themeColor="text1"/>
        </w:rPr>
        <w:t>公顷，三类工业用地</w:t>
      </w:r>
      <w:r>
        <w:rPr>
          <w:rFonts w:hint="eastAsia"/>
          <w:color w:val="000000" w:themeColor="text1"/>
        </w:rPr>
        <w:t>533.56</w:t>
      </w:r>
      <w:r>
        <w:rPr>
          <w:rFonts w:hint="eastAsia"/>
          <w:color w:val="000000" w:themeColor="text1"/>
        </w:rPr>
        <w:t>公顷。</w:t>
      </w:r>
    </w:p>
    <w:p w:rsidR="00E11CE3" w:rsidRPr="00E11CE3" w:rsidRDefault="00E11CE3">
      <w:pPr>
        <w:pStyle w:val="1fd"/>
        <w:ind w:firstLine="482"/>
        <w:rPr>
          <w:b/>
          <w:bCs/>
          <w:color w:val="000000" w:themeColor="text1"/>
        </w:rPr>
      </w:pPr>
      <w:r w:rsidRPr="00E11CE3">
        <w:rPr>
          <w:rFonts w:hint="eastAsia"/>
          <w:b/>
          <w:bCs/>
          <w:color w:val="000000" w:themeColor="text1"/>
        </w:rPr>
        <w:t>本项目用地性质为三类工业用地。</w:t>
      </w:r>
    </w:p>
    <w:p w:rsidR="00644456" w:rsidRDefault="008031C4">
      <w:pPr>
        <w:pStyle w:val="3"/>
        <w:numPr>
          <w:ilvl w:val="2"/>
          <w:numId w:val="0"/>
        </w:numPr>
        <w:ind w:firstLineChars="200" w:firstLine="482"/>
      </w:pPr>
      <w:r>
        <w:rPr>
          <w:rFonts w:hint="eastAsia"/>
        </w:rPr>
        <w:t>3.2.5</w:t>
      </w:r>
      <w:r>
        <w:rPr>
          <w:rFonts w:hint="eastAsia"/>
        </w:rPr>
        <w:t>道路交通规划</w:t>
      </w:r>
    </w:p>
    <w:p w:rsidR="00644456" w:rsidRDefault="008031C4">
      <w:pPr>
        <w:pStyle w:val="1fd"/>
        <w:rPr>
          <w:color w:val="000000" w:themeColor="text1"/>
        </w:rPr>
      </w:pPr>
      <w:r>
        <w:rPr>
          <w:rFonts w:hint="eastAsia"/>
          <w:color w:val="000000" w:themeColor="text1"/>
        </w:rPr>
        <w:t>园区的主要对外交通通过吐和高速与周边区域联系。</w:t>
      </w:r>
    </w:p>
    <w:p w:rsidR="00E11CE3" w:rsidRPr="00E11CE3" w:rsidRDefault="00E11CE3" w:rsidP="00E11CE3">
      <w:pPr>
        <w:pStyle w:val="1fd"/>
        <w:ind w:firstLine="482"/>
        <w:rPr>
          <w:b/>
          <w:bCs/>
          <w:color w:val="000000" w:themeColor="text1"/>
        </w:rPr>
      </w:pPr>
      <w:r w:rsidRPr="00E11CE3">
        <w:rPr>
          <w:rFonts w:hint="eastAsia"/>
          <w:b/>
          <w:bCs/>
          <w:color w:val="000000" w:themeColor="text1"/>
        </w:rPr>
        <w:t>本项目西侧链接幸福路，可满足本项目交通需要。</w:t>
      </w:r>
    </w:p>
    <w:p w:rsidR="00644456" w:rsidRDefault="008031C4">
      <w:pPr>
        <w:pStyle w:val="1fd"/>
        <w:rPr>
          <w:color w:val="000000" w:themeColor="text1"/>
        </w:rPr>
      </w:pPr>
      <w:r>
        <w:rPr>
          <w:rFonts w:hint="eastAsia"/>
          <w:color w:val="000000" w:themeColor="text1"/>
        </w:rPr>
        <w:t>4.2.6</w:t>
      </w:r>
      <w:r>
        <w:rPr>
          <w:rFonts w:hint="eastAsia"/>
          <w:color w:val="000000" w:themeColor="text1"/>
        </w:rPr>
        <w:t>绿化景观系统规划</w:t>
      </w:r>
    </w:p>
    <w:p w:rsidR="00644456" w:rsidRDefault="008031C4">
      <w:pPr>
        <w:pStyle w:val="1fd"/>
        <w:rPr>
          <w:color w:val="000000" w:themeColor="text1"/>
        </w:rPr>
      </w:pPr>
      <w:r>
        <w:rPr>
          <w:rFonts w:hint="eastAsia"/>
          <w:color w:val="000000" w:themeColor="text1"/>
        </w:rPr>
        <w:t>防护绿地主要包括高速路两侧绿地，以及作为园区与周边农用地分割、为园区公路、加油站隔离防护的绿地。强调生态屏障功能，通过大规模大尺度的绿化形成生态隔离效果。规划防护绿地面积</w:t>
      </w:r>
      <w:r>
        <w:rPr>
          <w:rFonts w:hint="eastAsia"/>
          <w:color w:val="000000" w:themeColor="text1"/>
        </w:rPr>
        <w:t>215.38</w:t>
      </w:r>
      <w:r>
        <w:rPr>
          <w:rFonts w:hint="eastAsia"/>
          <w:color w:val="000000" w:themeColor="text1"/>
        </w:rPr>
        <w:t>公顷。</w:t>
      </w:r>
    </w:p>
    <w:p w:rsidR="00644456" w:rsidRDefault="008031C4">
      <w:pPr>
        <w:pStyle w:val="3"/>
        <w:numPr>
          <w:ilvl w:val="2"/>
          <w:numId w:val="0"/>
        </w:numPr>
        <w:ind w:firstLineChars="200" w:firstLine="482"/>
      </w:pPr>
      <w:r>
        <w:rPr>
          <w:rFonts w:hint="eastAsia"/>
        </w:rPr>
        <w:t>3.2.6</w:t>
      </w:r>
      <w:r>
        <w:rPr>
          <w:rFonts w:hint="eastAsia"/>
        </w:rPr>
        <w:t>给水工程规划</w:t>
      </w:r>
    </w:p>
    <w:p w:rsidR="00644456" w:rsidRDefault="008031C4">
      <w:pPr>
        <w:pStyle w:val="1fd"/>
        <w:rPr>
          <w:color w:val="000000" w:themeColor="text1"/>
        </w:rPr>
      </w:pPr>
      <w:r>
        <w:rPr>
          <w:rFonts w:hint="eastAsia"/>
          <w:color w:val="000000" w:themeColor="text1"/>
        </w:rPr>
        <w:t>1</w:t>
      </w:r>
      <w:r>
        <w:rPr>
          <w:rFonts w:hint="eastAsia"/>
          <w:color w:val="000000" w:themeColor="text1"/>
        </w:rPr>
        <w:t>、给水系统规划</w:t>
      </w:r>
    </w:p>
    <w:p w:rsidR="00644456" w:rsidRDefault="008031C4">
      <w:pPr>
        <w:pStyle w:val="1fd"/>
        <w:rPr>
          <w:color w:val="000000" w:themeColor="text1"/>
        </w:rPr>
      </w:pPr>
      <w:r>
        <w:rPr>
          <w:rFonts w:hint="eastAsia"/>
          <w:color w:val="000000" w:themeColor="text1"/>
        </w:rPr>
        <w:t>供水系统规划：采用分质供水系统，高水质水供给居民生活用水及对水质要求较高的工业等用水，中水供给对水质要求较低的工业、道路、冲洗等用水。</w:t>
      </w:r>
    </w:p>
    <w:p w:rsidR="00644456" w:rsidRDefault="008031C4">
      <w:pPr>
        <w:pStyle w:val="1fd"/>
        <w:rPr>
          <w:color w:val="000000" w:themeColor="text1"/>
        </w:rPr>
      </w:pPr>
      <w:r>
        <w:rPr>
          <w:rFonts w:hint="eastAsia"/>
          <w:color w:val="000000" w:themeColor="text1"/>
        </w:rPr>
        <w:t>规划期内用水由规划水厂供给，占地面积</w:t>
      </w:r>
      <w:r>
        <w:rPr>
          <w:rFonts w:hint="eastAsia"/>
          <w:color w:val="000000" w:themeColor="text1"/>
        </w:rPr>
        <w:t>3.27</w:t>
      </w:r>
      <w:r>
        <w:rPr>
          <w:rFonts w:hint="eastAsia"/>
          <w:color w:val="000000" w:themeColor="text1"/>
        </w:rPr>
        <w:t>公顷，远期考虑外部补水。远景规划自东向西沿中央防护绿带引入用水。</w:t>
      </w:r>
    </w:p>
    <w:p w:rsidR="00644456" w:rsidRDefault="008031C4">
      <w:pPr>
        <w:pStyle w:val="1fd"/>
        <w:rPr>
          <w:color w:val="000000" w:themeColor="text1"/>
        </w:rPr>
      </w:pPr>
      <w:r>
        <w:rPr>
          <w:rFonts w:hint="eastAsia"/>
          <w:color w:val="000000" w:themeColor="text1"/>
        </w:rPr>
        <w:t>2</w:t>
      </w:r>
      <w:r>
        <w:rPr>
          <w:rFonts w:hint="eastAsia"/>
          <w:color w:val="000000" w:themeColor="text1"/>
        </w:rPr>
        <w:t>、消防用水</w:t>
      </w:r>
    </w:p>
    <w:p w:rsidR="00644456" w:rsidRDefault="008031C4">
      <w:pPr>
        <w:pStyle w:val="1fd"/>
        <w:rPr>
          <w:color w:val="000000" w:themeColor="text1"/>
        </w:rPr>
      </w:pPr>
      <w:r>
        <w:rPr>
          <w:rFonts w:hint="eastAsia"/>
          <w:color w:val="000000" w:themeColor="text1"/>
        </w:rPr>
        <w:t>规划区采用生活、消防统一的供水系统，有工业用水管道的地方可采用工业、消防统一的供水系统，消防水压采用低压制，按规范每隔</w:t>
      </w:r>
      <w:r>
        <w:rPr>
          <w:rFonts w:hint="eastAsia"/>
          <w:color w:val="000000" w:themeColor="text1"/>
        </w:rPr>
        <w:t>120</w:t>
      </w:r>
      <w:r>
        <w:rPr>
          <w:rFonts w:hint="eastAsia"/>
          <w:color w:val="000000" w:themeColor="text1"/>
        </w:rPr>
        <w:t>米左右设置一个室外地上式消火栓。布置消火栓的管道管径不应小于</w:t>
      </w:r>
      <w:r>
        <w:rPr>
          <w:rFonts w:hint="eastAsia"/>
          <w:color w:val="000000" w:themeColor="text1"/>
        </w:rPr>
        <w:t>DN100</w:t>
      </w:r>
      <w:r>
        <w:rPr>
          <w:rFonts w:hint="eastAsia"/>
          <w:color w:val="000000" w:themeColor="text1"/>
        </w:rPr>
        <w:t>。</w:t>
      </w:r>
    </w:p>
    <w:p w:rsidR="00644456" w:rsidRDefault="008031C4">
      <w:pPr>
        <w:pStyle w:val="1fd"/>
        <w:rPr>
          <w:color w:val="000000" w:themeColor="text1"/>
        </w:rPr>
      </w:pPr>
      <w:r>
        <w:rPr>
          <w:rFonts w:hint="eastAsia"/>
          <w:color w:val="000000" w:themeColor="text1"/>
        </w:rPr>
        <w:lastRenderedPageBreak/>
        <w:t>3</w:t>
      </w:r>
      <w:r>
        <w:rPr>
          <w:rFonts w:hint="eastAsia"/>
          <w:color w:val="000000" w:themeColor="text1"/>
        </w:rPr>
        <w:t>、给水管道布置</w:t>
      </w:r>
    </w:p>
    <w:p w:rsidR="00644456" w:rsidRDefault="008031C4">
      <w:pPr>
        <w:pStyle w:val="1fd"/>
        <w:rPr>
          <w:color w:val="000000" w:themeColor="text1"/>
        </w:rPr>
      </w:pPr>
      <w:r>
        <w:rPr>
          <w:rFonts w:hint="eastAsia"/>
          <w:color w:val="000000" w:themeColor="text1"/>
        </w:rPr>
        <w:t>规划生活配套区主要为生活用水，布置一套生活用水管道，工业区布置生活、工业两套供水管道。</w:t>
      </w:r>
    </w:p>
    <w:p w:rsidR="00644456" w:rsidRDefault="008031C4">
      <w:pPr>
        <w:pStyle w:val="1fd"/>
        <w:rPr>
          <w:color w:val="000000" w:themeColor="text1"/>
        </w:rPr>
      </w:pPr>
      <w:r>
        <w:rPr>
          <w:rFonts w:hint="eastAsia"/>
          <w:color w:val="000000" w:themeColor="text1"/>
        </w:rPr>
        <w:t>供水管网根据用户的用水要求合理分布于整个区块，以满足各用户对水量、水压的要求，在考虑施工维修方便的原则下，尽可能缩短供水管线的总长度并且供水管道尽可能以最短距离到达各用水户。</w:t>
      </w:r>
    </w:p>
    <w:p w:rsidR="00644456" w:rsidRDefault="008031C4">
      <w:pPr>
        <w:pStyle w:val="1fd"/>
        <w:rPr>
          <w:color w:val="000000" w:themeColor="text1"/>
        </w:rPr>
      </w:pPr>
      <w:r>
        <w:rPr>
          <w:rFonts w:hint="eastAsia"/>
          <w:color w:val="000000" w:themeColor="text1"/>
        </w:rPr>
        <w:t>4</w:t>
      </w:r>
      <w:r>
        <w:rPr>
          <w:rFonts w:hint="eastAsia"/>
          <w:color w:val="000000" w:themeColor="text1"/>
        </w:rPr>
        <w:t>、管道材料</w:t>
      </w:r>
    </w:p>
    <w:p w:rsidR="00644456" w:rsidRDefault="008031C4">
      <w:pPr>
        <w:pStyle w:val="1fd"/>
        <w:rPr>
          <w:color w:val="000000" w:themeColor="text1"/>
        </w:rPr>
      </w:pPr>
      <w:r>
        <w:rPr>
          <w:rFonts w:hint="eastAsia"/>
          <w:color w:val="000000" w:themeColor="text1"/>
        </w:rPr>
        <w:t>生活用水管道可采用球墨铸铁管或</w:t>
      </w:r>
      <w:r>
        <w:rPr>
          <w:rFonts w:hint="eastAsia"/>
          <w:color w:val="000000" w:themeColor="text1"/>
        </w:rPr>
        <w:t>PE</w:t>
      </w:r>
      <w:r>
        <w:rPr>
          <w:rFonts w:hint="eastAsia"/>
          <w:color w:val="000000" w:themeColor="text1"/>
        </w:rPr>
        <w:t>管。考虑工业园区环境有一定的腐蚀性，工业用水管道建议采用防腐管材，如玻璃钢管、</w:t>
      </w:r>
      <w:r>
        <w:rPr>
          <w:rFonts w:hint="eastAsia"/>
          <w:color w:val="000000" w:themeColor="text1"/>
        </w:rPr>
        <w:t>PE</w:t>
      </w:r>
      <w:r>
        <w:rPr>
          <w:rFonts w:hint="eastAsia"/>
          <w:color w:val="000000" w:themeColor="text1"/>
        </w:rPr>
        <w:t>管等。</w:t>
      </w:r>
    </w:p>
    <w:p w:rsidR="00644456" w:rsidRDefault="008031C4">
      <w:pPr>
        <w:pStyle w:val="3"/>
        <w:numPr>
          <w:ilvl w:val="2"/>
          <w:numId w:val="0"/>
        </w:numPr>
        <w:ind w:firstLineChars="200" w:firstLine="482"/>
      </w:pPr>
      <w:r>
        <w:rPr>
          <w:rFonts w:hint="eastAsia"/>
        </w:rPr>
        <w:t>3.2.7</w:t>
      </w:r>
      <w:r>
        <w:rPr>
          <w:rFonts w:hint="eastAsia"/>
        </w:rPr>
        <w:t>排水工程规划</w:t>
      </w:r>
    </w:p>
    <w:p w:rsidR="00644456" w:rsidRDefault="008031C4">
      <w:pPr>
        <w:pStyle w:val="1fd"/>
        <w:rPr>
          <w:color w:val="000000" w:themeColor="text1"/>
        </w:rPr>
      </w:pPr>
      <w:r>
        <w:rPr>
          <w:rFonts w:hint="eastAsia"/>
          <w:color w:val="000000" w:themeColor="text1"/>
        </w:rPr>
        <w:t>1</w:t>
      </w:r>
      <w:r>
        <w:rPr>
          <w:rFonts w:hint="eastAsia"/>
          <w:color w:val="000000" w:themeColor="text1"/>
        </w:rPr>
        <w:t>、污水系统</w:t>
      </w:r>
    </w:p>
    <w:p w:rsidR="00644456" w:rsidRDefault="008031C4">
      <w:pPr>
        <w:pStyle w:val="1fd"/>
        <w:rPr>
          <w:color w:val="000000" w:themeColor="text1"/>
        </w:rPr>
      </w:pPr>
      <w:r>
        <w:rPr>
          <w:rFonts w:hint="eastAsia"/>
          <w:color w:val="000000" w:themeColor="text1"/>
        </w:rPr>
        <w:t>规划区自建污水处理厂处理污水，用地面积</w:t>
      </w:r>
      <w:r>
        <w:rPr>
          <w:rFonts w:hint="eastAsia"/>
          <w:color w:val="000000" w:themeColor="text1"/>
        </w:rPr>
        <w:t>11.62</w:t>
      </w:r>
      <w:r>
        <w:rPr>
          <w:rFonts w:hint="eastAsia"/>
          <w:color w:val="000000" w:themeColor="text1"/>
        </w:rPr>
        <w:t>公顷，位置可选择于规划区中间道路南侧，污水经处理达标后排放生态湿地中。</w:t>
      </w:r>
    </w:p>
    <w:p w:rsidR="00644456" w:rsidRDefault="008031C4">
      <w:pPr>
        <w:pStyle w:val="1fd"/>
        <w:rPr>
          <w:color w:val="000000" w:themeColor="text1"/>
        </w:rPr>
      </w:pPr>
      <w:r>
        <w:rPr>
          <w:rFonts w:hint="eastAsia"/>
          <w:color w:val="000000" w:themeColor="text1"/>
        </w:rPr>
        <w:t>2</w:t>
      </w:r>
      <w:r>
        <w:rPr>
          <w:rFonts w:hint="eastAsia"/>
          <w:color w:val="000000" w:themeColor="text1"/>
        </w:rPr>
        <w:t>、污水管布置</w:t>
      </w:r>
    </w:p>
    <w:p w:rsidR="00644456" w:rsidRDefault="008031C4">
      <w:pPr>
        <w:pStyle w:val="1fd"/>
        <w:rPr>
          <w:color w:val="000000" w:themeColor="text1"/>
        </w:rPr>
      </w:pPr>
      <w:r>
        <w:rPr>
          <w:rFonts w:hint="eastAsia"/>
          <w:color w:val="000000" w:themeColor="text1"/>
        </w:rPr>
        <w:t>本区污水自西往东、自南向北经收集后排入污水处理厂。</w:t>
      </w:r>
    </w:p>
    <w:p w:rsidR="00644456" w:rsidRDefault="008031C4">
      <w:pPr>
        <w:pStyle w:val="1fd"/>
        <w:rPr>
          <w:color w:val="000000" w:themeColor="text1"/>
        </w:rPr>
      </w:pPr>
      <w:r>
        <w:rPr>
          <w:rFonts w:hint="eastAsia"/>
          <w:color w:val="000000" w:themeColor="text1"/>
        </w:rPr>
        <w:t>污水管的布置应尽量方便道路两侧污水的接入并尽可能在管线较短，埋深较小的情况下，让最大区域的污水自流接入，管道定线时要充分利用地形，尽量使管道的排水方向与地形趋势一致，顺坡排放，尽量少穿河道及障碍物。</w:t>
      </w:r>
    </w:p>
    <w:p w:rsidR="00644456" w:rsidRDefault="008031C4">
      <w:pPr>
        <w:pStyle w:val="1fd"/>
        <w:rPr>
          <w:color w:val="000000" w:themeColor="text1"/>
        </w:rPr>
      </w:pPr>
      <w:r>
        <w:rPr>
          <w:rFonts w:hint="eastAsia"/>
          <w:color w:val="000000" w:themeColor="text1"/>
        </w:rPr>
        <w:t>污水主干管，管径为</w:t>
      </w:r>
      <w:r>
        <w:rPr>
          <w:rFonts w:hint="eastAsia"/>
          <w:color w:val="000000" w:themeColor="text1"/>
        </w:rPr>
        <w:t>DN60</w:t>
      </w:r>
      <w:r>
        <w:rPr>
          <w:rFonts w:hint="eastAsia"/>
          <w:color w:val="000000" w:themeColor="text1"/>
        </w:rPr>
        <w:t>，最小设计坡度</w:t>
      </w:r>
      <w:r>
        <w:rPr>
          <w:rFonts w:hint="eastAsia"/>
          <w:color w:val="000000" w:themeColor="text1"/>
        </w:rPr>
        <w:t>0.3%</w:t>
      </w:r>
      <w:r>
        <w:rPr>
          <w:rFonts w:hint="eastAsia"/>
          <w:color w:val="000000" w:themeColor="text1"/>
        </w:rPr>
        <w:t>；污水管道在生活配套内管径为</w:t>
      </w:r>
      <w:r>
        <w:rPr>
          <w:rFonts w:hint="eastAsia"/>
          <w:color w:val="000000" w:themeColor="text1"/>
        </w:rPr>
        <w:t>DN300-DN600</w:t>
      </w:r>
      <w:r>
        <w:rPr>
          <w:rFonts w:hint="eastAsia"/>
          <w:color w:val="000000" w:themeColor="text1"/>
        </w:rPr>
        <w:t>，最小设计坡度</w:t>
      </w:r>
      <w:r>
        <w:rPr>
          <w:rFonts w:hint="eastAsia"/>
          <w:color w:val="000000" w:themeColor="text1"/>
        </w:rPr>
        <w:t>0.3%</w:t>
      </w:r>
      <w:r>
        <w:rPr>
          <w:rFonts w:hint="eastAsia"/>
          <w:color w:val="000000" w:themeColor="text1"/>
        </w:rPr>
        <w:t>。</w:t>
      </w:r>
    </w:p>
    <w:p w:rsidR="00644456" w:rsidRDefault="008031C4">
      <w:pPr>
        <w:pStyle w:val="1fd"/>
        <w:rPr>
          <w:color w:val="000000" w:themeColor="text1"/>
        </w:rPr>
      </w:pPr>
      <w:r>
        <w:rPr>
          <w:rFonts w:hint="eastAsia"/>
          <w:color w:val="000000" w:themeColor="text1"/>
        </w:rPr>
        <w:t>3</w:t>
      </w:r>
      <w:r>
        <w:rPr>
          <w:rFonts w:hint="eastAsia"/>
          <w:color w:val="000000" w:themeColor="text1"/>
        </w:rPr>
        <w:t>、中水系统工程</w:t>
      </w:r>
    </w:p>
    <w:p w:rsidR="00644456" w:rsidRDefault="008031C4">
      <w:pPr>
        <w:pStyle w:val="1fd"/>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）中水预测</w:t>
      </w:r>
    </w:p>
    <w:p w:rsidR="00644456" w:rsidRDefault="008031C4">
      <w:pPr>
        <w:pStyle w:val="1fd"/>
        <w:rPr>
          <w:color w:val="000000" w:themeColor="text1"/>
        </w:rPr>
      </w:pPr>
      <w:r>
        <w:rPr>
          <w:rFonts w:hint="eastAsia"/>
          <w:color w:val="000000" w:themeColor="text1"/>
        </w:rPr>
        <w:t>中水需求量大于</w:t>
      </w:r>
      <w:r>
        <w:rPr>
          <w:rFonts w:hint="eastAsia"/>
          <w:color w:val="000000" w:themeColor="text1"/>
        </w:rPr>
        <w:t>1320.45</w:t>
      </w:r>
      <w:r>
        <w:rPr>
          <w:rFonts w:hint="eastAsia"/>
          <w:color w:val="000000" w:themeColor="text1"/>
        </w:rPr>
        <w:t>万</w:t>
      </w:r>
      <w:r>
        <w:rPr>
          <w:rFonts w:hint="eastAsia"/>
          <w:color w:val="000000" w:themeColor="text1"/>
        </w:rPr>
        <w:t>m3/</w:t>
      </w:r>
      <w:r>
        <w:rPr>
          <w:rFonts w:hint="eastAsia"/>
          <w:color w:val="000000" w:themeColor="text1"/>
        </w:rPr>
        <w:t>年，根据污水量计算，则中水循环率需大于</w:t>
      </w:r>
      <w:r>
        <w:rPr>
          <w:rFonts w:hint="eastAsia"/>
          <w:color w:val="000000" w:themeColor="text1"/>
        </w:rPr>
        <w:t>37.5%</w:t>
      </w:r>
      <w:r>
        <w:rPr>
          <w:rFonts w:hint="eastAsia"/>
          <w:color w:val="000000" w:themeColor="text1"/>
        </w:rPr>
        <w:t>。</w:t>
      </w:r>
    </w:p>
    <w:p w:rsidR="00644456" w:rsidRDefault="008031C4">
      <w:pPr>
        <w:pStyle w:val="1fd"/>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）中水系统规划</w:t>
      </w:r>
    </w:p>
    <w:p w:rsidR="00644456" w:rsidRDefault="008031C4">
      <w:pPr>
        <w:pStyle w:val="1fd"/>
        <w:rPr>
          <w:color w:val="000000" w:themeColor="text1"/>
        </w:rPr>
      </w:pPr>
      <w:r>
        <w:rPr>
          <w:rFonts w:hint="eastAsia"/>
          <w:color w:val="000000" w:themeColor="text1"/>
        </w:rPr>
        <w:t>园区企业排放废水先经企业自行处理达标后排入园区下水道，最后进入污水处理厂，经处理出水达到《城镇污水处理厂污染物排放标准》（</w:t>
      </w:r>
      <w:r>
        <w:rPr>
          <w:rFonts w:hint="eastAsia"/>
          <w:color w:val="000000" w:themeColor="text1"/>
        </w:rPr>
        <w:t>GB18918-2002</w:t>
      </w:r>
      <w:r>
        <w:rPr>
          <w:rFonts w:hint="eastAsia"/>
          <w:color w:val="000000" w:themeColor="text1"/>
        </w:rPr>
        <w:t>）一级</w:t>
      </w:r>
      <w:r>
        <w:rPr>
          <w:rFonts w:hint="eastAsia"/>
          <w:color w:val="000000" w:themeColor="text1"/>
        </w:rPr>
        <w:t>A</w:t>
      </w:r>
      <w:r>
        <w:rPr>
          <w:rFonts w:hint="eastAsia"/>
          <w:color w:val="000000" w:themeColor="text1"/>
        </w:rPr>
        <w:t>标准后进行利用。利用的方式主要是用于园区周边的绿化。</w:t>
      </w:r>
    </w:p>
    <w:p w:rsidR="00644456" w:rsidRDefault="008031C4">
      <w:pPr>
        <w:pStyle w:val="1fd"/>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）中水管网布置</w:t>
      </w:r>
    </w:p>
    <w:p w:rsidR="00644456" w:rsidRDefault="008031C4">
      <w:pPr>
        <w:pStyle w:val="1fd"/>
        <w:rPr>
          <w:color w:val="000000" w:themeColor="text1"/>
        </w:rPr>
      </w:pPr>
      <w:r>
        <w:rPr>
          <w:rFonts w:hint="eastAsia"/>
          <w:color w:val="000000" w:themeColor="text1"/>
        </w:rPr>
        <w:t>采用生活杂用水管网系统，主要供公共建筑、住宅、工厂等冲刷厕所、清扫地面、浇洒道路，浇洒草地花园及补充冷却水、清洗汽车等。</w:t>
      </w:r>
    </w:p>
    <w:p w:rsidR="00644456" w:rsidRDefault="008031C4">
      <w:pPr>
        <w:pStyle w:val="1fd"/>
        <w:rPr>
          <w:color w:val="000000" w:themeColor="text1"/>
        </w:rPr>
      </w:pPr>
      <w:r>
        <w:rPr>
          <w:rFonts w:hint="eastAsia"/>
          <w:color w:val="000000" w:themeColor="text1"/>
        </w:rPr>
        <w:lastRenderedPageBreak/>
        <w:t>中水系统管网布置与给水排水管网相似，应保持其独立，禁止与自来水系统相混接。管网采用环状与枝状相结合的形式。管道管径为</w:t>
      </w:r>
      <w:r>
        <w:rPr>
          <w:rFonts w:hint="eastAsia"/>
          <w:color w:val="000000" w:themeColor="text1"/>
        </w:rPr>
        <w:t>DN400-DN600</w:t>
      </w:r>
      <w:r>
        <w:rPr>
          <w:rFonts w:hint="eastAsia"/>
          <w:color w:val="000000" w:themeColor="text1"/>
        </w:rPr>
        <w:t>。</w:t>
      </w:r>
    </w:p>
    <w:p w:rsidR="00644456" w:rsidRDefault="008031C4">
      <w:pPr>
        <w:pStyle w:val="3"/>
        <w:numPr>
          <w:ilvl w:val="2"/>
          <w:numId w:val="0"/>
        </w:numPr>
        <w:ind w:firstLineChars="200" w:firstLine="482"/>
      </w:pPr>
      <w:r>
        <w:rPr>
          <w:rFonts w:hint="eastAsia"/>
        </w:rPr>
        <w:t>3.2.8</w:t>
      </w:r>
      <w:r>
        <w:rPr>
          <w:rFonts w:hint="eastAsia"/>
        </w:rPr>
        <w:t>供热规划</w:t>
      </w:r>
    </w:p>
    <w:p w:rsidR="00644456" w:rsidRDefault="008031C4">
      <w:pPr>
        <w:pStyle w:val="1fd"/>
        <w:rPr>
          <w:color w:val="000000" w:themeColor="text1"/>
        </w:rPr>
      </w:pPr>
      <w:r>
        <w:rPr>
          <w:rFonts w:hint="eastAsia"/>
          <w:color w:val="000000" w:themeColor="text1"/>
        </w:rPr>
        <w:t>生态钢城分散供热区域可以按照实际条件选择供热热源。</w:t>
      </w:r>
    </w:p>
    <w:p w:rsidR="00644456" w:rsidRDefault="008031C4">
      <w:pPr>
        <w:pStyle w:val="3"/>
        <w:numPr>
          <w:ilvl w:val="2"/>
          <w:numId w:val="0"/>
        </w:numPr>
        <w:ind w:firstLineChars="200" w:firstLine="482"/>
      </w:pPr>
      <w:r>
        <w:rPr>
          <w:rFonts w:hint="eastAsia"/>
        </w:rPr>
        <w:t>3.2.9</w:t>
      </w:r>
      <w:r>
        <w:rPr>
          <w:rFonts w:hint="eastAsia"/>
        </w:rPr>
        <w:t>电力工程规划</w:t>
      </w:r>
    </w:p>
    <w:p w:rsidR="00644456" w:rsidRDefault="008031C4">
      <w:pPr>
        <w:pStyle w:val="1fd"/>
        <w:rPr>
          <w:color w:val="000000" w:themeColor="text1"/>
        </w:rPr>
      </w:pPr>
      <w:r>
        <w:rPr>
          <w:rFonts w:hint="eastAsia"/>
          <w:color w:val="000000" w:themeColor="text1"/>
        </w:rPr>
        <w:t>规划区范围内规划一处</w:t>
      </w:r>
      <w:r>
        <w:rPr>
          <w:rFonts w:hint="eastAsia"/>
          <w:color w:val="000000" w:themeColor="text1"/>
        </w:rPr>
        <w:t>110KV</w:t>
      </w:r>
      <w:r>
        <w:rPr>
          <w:rFonts w:hint="eastAsia"/>
          <w:color w:val="000000" w:themeColor="text1"/>
        </w:rPr>
        <w:t>变电站，用地面积</w:t>
      </w:r>
      <w:r>
        <w:rPr>
          <w:rFonts w:hint="eastAsia"/>
          <w:color w:val="000000" w:themeColor="text1"/>
        </w:rPr>
        <w:t>4.43</w:t>
      </w:r>
      <w:r>
        <w:rPr>
          <w:rFonts w:hint="eastAsia"/>
          <w:color w:val="000000" w:themeColor="text1"/>
        </w:rPr>
        <w:t>公顷。疏勒县境内无可用电源，</w:t>
      </w:r>
      <w:r>
        <w:rPr>
          <w:rFonts w:hint="eastAsia"/>
          <w:color w:val="000000" w:themeColor="text1"/>
        </w:rPr>
        <w:t>220kV</w:t>
      </w:r>
      <w:r>
        <w:rPr>
          <w:rFonts w:hint="eastAsia"/>
          <w:color w:val="000000" w:themeColor="text1"/>
        </w:rPr>
        <w:t>喀</w:t>
      </w:r>
      <w:r>
        <w:rPr>
          <w:rFonts w:hint="eastAsia"/>
          <w:color w:val="000000" w:themeColor="text1"/>
        </w:rPr>
        <w:t>-</w:t>
      </w:r>
      <w:r>
        <w:rPr>
          <w:rFonts w:hint="eastAsia"/>
          <w:color w:val="000000" w:themeColor="text1"/>
        </w:rPr>
        <w:t>莎线经过境内，</w:t>
      </w:r>
      <w:r>
        <w:rPr>
          <w:rFonts w:hint="eastAsia"/>
          <w:color w:val="000000" w:themeColor="text1"/>
        </w:rPr>
        <w:t>220kV</w:t>
      </w:r>
      <w:r>
        <w:rPr>
          <w:rFonts w:hint="eastAsia"/>
          <w:color w:val="000000" w:themeColor="text1"/>
        </w:rPr>
        <w:t>送电线路沿经十二路西侧防护绿带自南接入</w:t>
      </w:r>
      <w:r>
        <w:rPr>
          <w:rFonts w:hint="eastAsia"/>
          <w:color w:val="000000" w:themeColor="text1"/>
        </w:rPr>
        <w:t>110kV</w:t>
      </w:r>
      <w:r>
        <w:rPr>
          <w:rFonts w:hint="eastAsia"/>
          <w:color w:val="000000" w:themeColor="text1"/>
        </w:rPr>
        <w:t>变电站；二次侧压直接降为</w:t>
      </w:r>
      <w:r>
        <w:rPr>
          <w:rFonts w:hint="eastAsia"/>
          <w:color w:val="000000" w:themeColor="text1"/>
        </w:rPr>
        <w:t>10kV</w:t>
      </w:r>
      <w:r>
        <w:rPr>
          <w:rFonts w:hint="eastAsia"/>
          <w:color w:val="000000" w:themeColor="text1"/>
        </w:rPr>
        <w:t>，以</w:t>
      </w:r>
      <w:r>
        <w:rPr>
          <w:rFonts w:hint="eastAsia"/>
          <w:color w:val="000000" w:themeColor="text1"/>
        </w:rPr>
        <w:t>10KV</w:t>
      </w:r>
      <w:r>
        <w:rPr>
          <w:rFonts w:hint="eastAsia"/>
          <w:color w:val="000000" w:themeColor="text1"/>
        </w:rPr>
        <w:t>低压配电网向各个区域供电，电网结构采用网格式。</w:t>
      </w:r>
      <w:r>
        <w:rPr>
          <w:rFonts w:hint="eastAsia"/>
          <w:color w:val="000000" w:themeColor="text1"/>
        </w:rPr>
        <w:t>110kV</w:t>
      </w:r>
      <w:r>
        <w:rPr>
          <w:rFonts w:hint="eastAsia"/>
          <w:color w:val="000000" w:themeColor="text1"/>
        </w:rPr>
        <w:t>电力线路采用架空敷设，按规划预留的高压走廊统一布置，走廊控制宽度按</w:t>
      </w:r>
      <w:r>
        <w:rPr>
          <w:rFonts w:hint="eastAsia"/>
          <w:color w:val="000000" w:themeColor="text1"/>
        </w:rPr>
        <w:t>30-40</w:t>
      </w:r>
      <w:r>
        <w:rPr>
          <w:rFonts w:hint="eastAsia"/>
          <w:color w:val="000000" w:themeColor="text1"/>
        </w:rPr>
        <w:t>米控制。</w:t>
      </w:r>
      <w:r>
        <w:rPr>
          <w:rFonts w:hint="eastAsia"/>
          <w:color w:val="000000" w:themeColor="text1"/>
        </w:rPr>
        <w:t>10kV</w:t>
      </w:r>
      <w:r>
        <w:rPr>
          <w:rFonts w:hint="eastAsia"/>
          <w:color w:val="000000" w:themeColor="text1"/>
        </w:rPr>
        <w:t>电力线路采用架空和电缆埋地敷设相结合，主干道上以电缆埋地敷设为主，次干道和支路可采用架空和电缆埋地结合。电缆埋地采用电缆沟和管道相结合，变电所、开闭所出线集中的路段采用电缆沟敷设。</w:t>
      </w:r>
    </w:p>
    <w:p w:rsidR="00644456" w:rsidRDefault="008031C4">
      <w:pPr>
        <w:pStyle w:val="3"/>
        <w:numPr>
          <w:ilvl w:val="2"/>
          <w:numId w:val="0"/>
        </w:numPr>
        <w:ind w:firstLineChars="200" w:firstLine="482"/>
      </w:pPr>
      <w:r>
        <w:rPr>
          <w:rFonts w:hint="eastAsia"/>
        </w:rPr>
        <w:t>3.2.10</w:t>
      </w:r>
      <w:r>
        <w:rPr>
          <w:rFonts w:hint="eastAsia"/>
        </w:rPr>
        <w:t>燃气工程规划</w:t>
      </w:r>
    </w:p>
    <w:p w:rsidR="00644456" w:rsidRDefault="008031C4">
      <w:pPr>
        <w:pStyle w:val="1fd"/>
        <w:rPr>
          <w:color w:val="000000" w:themeColor="text1"/>
        </w:rPr>
      </w:pPr>
      <w:r>
        <w:rPr>
          <w:rFonts w:hint="eastAsia"/>
          <w:color w:val="000000" w:themeColor="text1"/>
        </w:rPr>
        <w:t>规划燃气管网采用低压一级系统。</w:t>
      </w:r>
    </w:p>
    <w:p w:rsidR="00644456" w:rsidRDefault="008031C4">
      <w:pPr>
        <w:pStyle w:val="3"/>
        <w:numPr>
          <w:ilvl w:val="2"/>
          <w:numId w:val="0"/>
        </w:numPr>
        <w:ind w:firstLineChars="200" w:firstLine="482"/>
      </w:pPr>
      <w:r>
        <w:rPr>
          <w:rFonts w:hint="eastAsia"/>
        </w:rPr>
        <w:t>3.2.11</w:t>
      </w:r>
      <w:r>
        <w:rPr>
          <w:rFonts w:hint="eastAsia"/>
        </w:rPr>
        <w:t>环境基础设施现状</w:t>
      </w:r>
    </w:p>
    <w:p w:rsidR="00644456" w:rsidRDefault="008031C4">
      <w:pPr>
        <w:pStyle w:val="1fd"/>
        <w:rPr>
          <w:color w:val="000000" w:themeColor="text1"/>
        </w:rPr>
      </w:pPr>
      <w:r>
        <w:rPr>
          <w:rFonts w:hint="eastAsia"/>
          <w:color w:val="000000" w:themeColor="text1"/>
        </w:rPr>
        <w:t>1</w:t>
      </w:r>
      <w:r>
        <w:rPr>
          <w:rFonts w:hint="eastAsia"/>
          <w:color w:val="000000" w:themeColor="text1"/>
        </w:rPr>
        <w:t>、供水设施</w:t>
      </w:r>
    </w:p>
    <w:p w:rsidR="00644456" w:rsidRPr="00E11CE3" w:rsidRDefault="008031C4">
      <w:pPr>
        <w:pStyle w:val="1fd"/>
        <w:ind w:firstLine="482"/>
        <w:rPr>
          <w:b/>
          <w:bCs/>
          <w:color w:val="FF0000"/>
        </w:rPr>
      </w:pPr>
      <w:r w:rsidRPr="00E11CE3">
        <w:rPr>
          <w:rFonts w:hint="eastAsia"/>
          <w:b/>
          <w:bCs/>
          <w:color w:val="FF0000"/>
        </w:rPr>
        <w:t>生态钢城现状水厂已建成，设计日供水量为</w:t>
      </w:r>
      <w:r w:rsidRPr="00E11CE3">
        <w:rPr>
          <w:rFonts w:hint="eastAsia"/>
          <w:b/>
          <w:bCs/>
          <w:color w:val="FF0000"/>
        </w:rPr>
        <w:t>0.25</w:t>
      </w:r>
      <w:r w:rsidRPr="00E11CE3">
        <w:rPr>
          <w:rFonts w:hint="eastAsia"/>
          <w:b/>
          <w:bCs/>
          <w:color w:val="FF0000"/>
        </w:rPr>
        <w:t>万</w:t>
      </w:r>
      <w:r w:rsidRPr="00E11CE3">
        <w:rPr>
          <w:rFonts w:hint="eastAsia"/>
          <w:b/>
          <w:bCs/>
          <w:color w:val="FF0000"/>
        </w:rPr>
        <w:t>m</w:t>
      </w:r>
      <w:r w:rsidRPr="00E11CE3">
        <w:rPr>
          <w:rFonts w:hint="eastAsia"/>
          <w:b/>
          <w:bCs/>
          <w:color w:val="FF0000"/>
          <w:vertAlign w:val="superscript"/>
        </w:rPr>
        <w:t>3</w:t>
      </w:r>
      <w:r w:rsidRPr="00E11CE3">
        <w:rPr>
          <w:rFonts w:hint="eastAsia"/>
          <w:b/>
          <w:bCs/>
          <w:color w:val="FF0000"/>
        </w:rPr>
        <w:t>/d</w:t>
      </w:r>
      <w:r w:rsidRPr="00E11CE3">
        <w:rPr>
          <w:rFonts w:hint="eastAsia"/>
          <w:b/>
          <w:bCs/>
          <w:color w:val="FF0000"/>
        </w:rPr>
        <w:t>，设计水源为地下水，</w:t>
      </w:r>
      <w:r w:rsidR="00E11CE3" w:rsidRPr="00E11CE3">
        <w:rPr>
          <w:rFonts w:hint="eastAsia"/>
          <w:b/>
          <w:bCs/>
          <w:color w:val="FF0000"/>
        </w:rPr>
        <w:t>本项目供水来自齐鲁大道南侧接入</w:t>
      </w:r>
      <w:r w:rsidRPr="00E11CE3">
        <w:rPr>
          <w:rFonts w:hint="eastAsia"/>
          <w:b/>
          <w:bCs/>
          <w:color w:val="FF0000"/>
        </w:rPr>
        <w:t>。</w:t>
      </w:r>
    </w:p>
    <w:p w:rsidR="00644456" w:rsidRDefault="008031C4">
      <w:pPr>
        <w:pStyle w:val="1fd"/>
        <w:rPr>
          <w:color w:val="000000" w:themeColor="text1"/>
        </w:rPr>
      </w:pPr>
      <w:r>
        <w:rPr>
          <w:rFonts w:hint="eastAsia"/>
          <w:color w:val="000000" w:themeColor="text1"/>
        </w:rPr>
        <w:t>2</w:t>
      </w:r>
      <w:r>
        <w:rPr>
          <w:rFonts w:hint="eastAsia"/>
          <w:color w:val="000000" w:themeColor="text1"/>
        </w:rPr>
        <w:t>、排水设施</w:t>
      </w:r>
    </w:p>
    <w:p w:rsidR="00644456" w:rsidRDefault="008031C4">
      <w:pPr>
        <w:pStyle w:val="1fd"/>
        <w:rPr>
          <w:color w:val="000000" w:themeColor="text1"/>
        </w:rPr>
      </w:pPr>
      <w:r>
        <w:rPr>
          <w:rFonts w:hint="eastAsia"/>
          <w:color w:val="000000" w:themeColor="text1"/>
        </w:rPr>
        <w:t>生态钢城排水依托生态钢城污水处理厂，该污水处理厂位于生态钢城内（</w:t>
      </w:r>
      <w:r>
        <w:rPr>
          <w:rFonts w:hint="eastAsia"/>
          <w:color w:val="000000" w:themeColor="text1"/>
        </w:rPr>
        <w:t>A</w:t>
      </w:r>
      <w:r>
        <w:rPr>
          <w:rFonts w:hint="eastAsia"/>
          <w:color w:val="000000" w:themeColor="text1"/>
        </w:rPr>
        <w:t>号道路南侧），厂址坐标为：东经</w:t>
      </w:r>
      <w:r>
        <w:rPr>
          <w:rFonts w:hint="eastAsia"/>
          <w:color w:val="000000" w:themeColor="text1"/>
        </w:rPr>
        <w:t>76</w:t>
      </w:r>
      <w:r>
        <w:rPr>
          <w:rFonts w:hint="eastAsia"/>
          <w:color w:val="000000" w:themeColor="text1"/>
        </w:rPr>
        <w:t>°</w:t>
      </w:r>
      <w:r>
        <w:rPr>
          <w:rFonts w:hint="eastAsia"/>
          <w:color w:val="000000" w:themeColor="text1"/>
        </w:rPr>
        <w:t>11</w:t>
      </w:r>
      <w:r>
        <w:rPr>
          <w:rFonts w:hint="eastAsia"/>
          <w:color w:val="000000" w:themeColor="text1"/>
        </w:rPr>
        <w:t>′</w:t>
      </w:r>
      <w:r>
        <w:rPr>
          <w:rFonts w:hint="eastAsia"/>
          <w:color w:val="000000" w:themeColor="text1"/>
        </w:rPr>
        <w:t>47.75</w:t>
      </w:r>
      <w:r>
        <w:rPr>
          <w:rFonts w:hint="eastAsia"/>
          <w:color w:val="000000" w:themeColor="text1"/>
        </w:rPr>
        <w:t>″，北纬</w:t>
      </w:r>
      <w:r>
        <w:rPr>
          <w:rFonts w:hint="eastAsia"/>
          <w:color w:val="000000" w:themeColor="text1"/>
        </w:rPr>
        <w:t>39</w:t>
      </w:r>
      <w:r>
        <w:rPr>
          <w:rFonts w:hint="eastAsia"/>
          <w:color w:val="000000" w:themeColor="text1"/>
        </w:rPr>
        <w:t>°</w:t>
      </w:r>
      <w:r>
        <w:rPr>
          <w:rFonts w:hint="eastAsia"/>
          <w:color w:val="000000" w:themeColor="text1"/>
        </w:rPr>
        <w:t>3</w:t>
      </w:r>
      <w:r>
        <w:rPr>
          <w:rFonts w:hint="eastAsia"/>
          <w:color w:val="000000" w:themeColor="text1"/>
        </w:rPr>
        <w:t>′</w:t>
      </w:r>
      <w:r>
        <w:rPr>
          <w:rFonts w:hint="eastAsia"/>
          <w:color w:val="000000" w:themeColor="text1"/>
        </w:rPr>
        <w:t>52.50</w:t>
      </w:r>
      <w:r>
        <w:rPr>
          <w:rFonts w:hint="eastAsia"/>
          <w:color w:val="000000" w:themeColor="text1"/>
        </w:rPr>
        <w:t>″，污水处理厂占地</w:t>
      </w:r>
      <w:r>
        <w:rPr>
          <w:rFonts w:hint="eastAsia"/>
          <w:color w:val="000000" w:themeColor="text1"/>
        </w:rPr>
        <w:t>8000m2</w:t>
      </w:r>
      <w:r>
        <w:rPr>
          <w:rFonts w:hint="eastAsia"/>
          <w:color w:val="000000" w:themeColor="text1"/>
        </w:rPr>
        <w:t>，处理规模为</w:t>
      </w:r>
      <w:r>
        <w:rPr>
          <w:rFonts w:hint="eastAsia"/>
          <w:color w:val="000000" w:themeColor="text1"/>
        </w:rPr>
        <w:t>2500m3/d</w:t>
      </w:r>
      <w:r>
        <w:rPr>
          <w:rFonts w:hint="eastAsia"/>
          <w:color w:val="000000" w:themeColor="text1"/>
        </w:rPr>
        <w:t>，设计出水水质满足《城镇污水处理厂污染物排放标准》（</w:t>
      </w:r>
      <w:r>
        <w:rPr>
          <w:rFonts w:hint="eastAsia"/>
          <w:color w:val="000000" w:themeColor="text1"/>
        </w:rPr>
        <w:t>GB18918-2002</w:t>
      </w:r>
      <w:r>
        <w:rPr>
          <w:rFonts w:hint="eastAsia"/>
          <w:color w:val="000000" w:themeColor="text1"/>
        </w:rPr>
        <w:t>）的一级</w:t>
      </w:r>
      <w:r>
        <w:rPr>
          <w:rFonts w:hint="eastAsia"/>
          <w:color w:val="000000" w:themeColor="text1"/>
        </w:rPr>
        <w:t>A</w:t>
      </w:r>
      <w:r>
        <w:rPr>
          <w:rFonts w:hint="eastAsia"/>
          <w:color w:val="000000" w:themeColor="text1"/>
        </w:rPr>
        <w:t>标准用于道路清扫用水以及灌溉期园区绿化，非灌溉期尾水通过密闭管道排入距离污水处理厂南侧</w:t>
      </w:r>
      <w:r>
        <w:rPr>
          <w:rFonts w:hint="eastAsia"/>
          <w:color w:val="000000" w:themeColor="text1"/>
        </w:rPr>
        <w:t>350m</w:t>
      </w:r>
      <w:r>
        <w:rPr>
          <w:rFonts w:hint="eastAsia"/>
          <w:color w:val="000000" w:themeColor="text1"/>
        </w:rPr>
        <w:t>的生态钢城人工湖暂存。根据调查，尾水管网目前已经建好。</w:t>
      </w:r>
    </w:p>
    <w:p w:rsidR="00644456" w:rsidRDefault="008031C4">
      <w:pPr>
        <w:pStyle w:val="1fd"/>
        <w:rPr>
          <w:color w:val="000000" w:themeColor="text1"/>
        </w:rPr>
      </w:pPr>
      <w:r>
        <w:rPr>
          <w:rFonts w:hint="eastAsia"/>
          <w:color w:val="000000" w:themeColor="text1"/>
        </w:rPr>
        <w:t>3</w:t>
      </w:r>
      <w:r>
        <w:rPr>
          <w:rFonts w:hint="eastAsia"/>
          <w:color w:val="000000" w:themeColor="text1"/>
        </w:rPr>
        <w:t>、供热设施</w:t>
      </w:r>
    </w:p>
    <w:p w:rsidR="00644456" w:rsidRDefault="008031C4">
      <w:pPr>
        <w:pStyle w:val="1fd"/>
        <w:rPr>
          <w:color w:val="000000" w:themeColor="text1"/>
        </w:rPr>
      </w:pPr>
      <w:r>
        <w:rPr>
          <w:rFonts w:hint="eastAsia"/>
          <w:color w:val="000000" w:themeColor="text1"/>
        </w:rPr>
        <w:t>生态钢城初建期供热由钢铁生产余热供给，目前钢厂停产，加之园区内闲置企业较多，实际热负荷需求不大，目前该区供热主要由电采暖解决。</w:t>
      </w:r>
    </w:p>
    <w:p w:rsidR="00644456" w:rsidRDefault="008031C4">
      <w:pPr>
        <w:pStyle w:val="1fd"/>
        <w:rPr>
          <w:color w:val="000000" w:themeColor="text1"/>
        </w:rPr>
      </w:pPr>
      <w:r>
        <w:rPr>
          <w:rFonts w:hint="eastAsia"/>
          <w:color w:val="000000" w:themeColor="text1"/>
        </w:rPr>
        <w:t>4</w:t>
      </w:r>
      <w:r>
        <w:rPr>
          <w:rFonts w:hint="eastAsia"/>
          <w:color w:val="000000" w:themeColor="text1"/>
        </w:rPr>
        <w:t>、供电设施</w:t>
      </w:r>
    </w:p>
    <w:p w:rsidR="00644456" w:rsidRDefault="008031C4">
      <w:pPr>
        <w:pStyle w:val="1fd"/>
        <w:rPr>
          <w:color w:val="000000" w:themeColor="text1"/>
        </w:rPr>
      </w:pPr>
      <w:r>
        <w:rPr>
          <w:rFonts w:hint="eastAsia"/>
          <w:color w:val="000000" w:themeColor="text1"/>
        </w:rPr>
        <w:t>生态钢城作为新开发区域，现建成部分</w:t>
      </w:r>
      <w:r>
        <w:rPr>
          <w:rFonts w:hint="eastAsia"/>
          <w:color w:val="000000" w:themeColor="text1"/>
        </w:rPr>
        <w:t>110</w:t>
      </w:r>
      <w:r>
        <w:rPr>
          <w:rFonts w:hint="eastAsia"/>
          <w:color w:val="000000" w:themeColor="text1"/>
        </w:rPr>
        <w:t>千伏输电线路，由于园区企业多数停产，</w:t>
      </w:r>
      <w:r>
        <w:rPr>
          <w:rFonts w:hint="eastAsia"/>
          <w:color w:val="000000" w:themeColor="text1"/>
        </w:rPr>
        <w:lastRenderedPageBreak/>
        <w:t>用电负荷不稳定，目前无在建配电设施。</w:t>
      </w:r>
    </w:p>
    <w:p w:rsidR="00644456" w:rsidRDefault="008031C4">
      <w:pPr>
        <w:pStyle w:val="1fd"/>
        <w:rPr>
          <w:color w:val="000000" w:themeColor="text1"/>
        </w:rPr>
      </w:pPr>
      <w:r>
        <w:rPr>
          <w:rFonts w:hint="eastAsia"/>
          <w:color w:val="000000" w:themeColor="text1"/>
        </w:rPr>
        <w:t>5</w:t>
      </w:r>
      <w:r>
        <w:rPr>
          <w:rFonts w:hint="eastAsia"/>
          <w:color w:val="000000" w:themeColor="text1"/>
        </w:rPr>
        <w:t>、供气设施</w:t>
      </w:r>
    </w:p>
    <w:p w:rsidR="00644456" w:rsidRDefault="008031C4">
      <w:pPr>
        <w:pStyle w:val="1fd"/>
        <w:rPr>
          <w:color w:val="000000" w:themeColor="text1"/>
        </w:rPr>
      </w:pPr>
      <w:r>
        <w:rPr>
          <w:rFonts w:hint="eastAsia"/>
          <w:color w:val="000000" w:themeColor="text1"/>
        </w:rPr>
        <w:t>疏勒县现状天然气由喀什市天然气门站供应，天然气气源来自柯尔克孜自治州境内的阿克气田。喀什市天然气门站采用高压输气管道将天然气输送至疏勒县城，然后通过疏勒县城天然气高中压调压站，调压后的天然气进入疏勒县城中压一级输配管道。疏勒高新经济技术产业园区内现有两处高中压燃气调压站，分别位于齐鲁工业园区和山东物流园贸易区，园区内天然气均引自以上两处调压站，中压</w:t>
      </w:r>
      <w:r>
        <w:rPr>
          <w:rFonts w:hint="eastAsia"/>
          <w:color w:val="000000" w:themeColor="text1"/>
        </w:rPr>
        <w:t>0.4MPa</w:t>
      </w:r>
      <w:r>
        <w:rPr>
          <w:rFonts w:hint="eastAsia"/>
          <w:color w:val="000000" w:themeColor="text1"/>
        </w:rPr>
        <w:t>输出。</w:t>
      </w:r>
    </w:p>
    <w:p w:rsidR="00644456" w:rsidRDefault="008031C4">
      <w:pPr>
        <w:pStyle w:val="1fd"/>
        <w:rPr>
          <w:color w:val="000000" w:themeColor="text1"/>
        </w:rPr>
      </w:pPr>
      <w:r>
        <w:rPr>
          <w:rFonts w:hint="eastAsia"/>
          <w:color w:val="000000" w:themeColor="text1"/>
        </w:rPr>
        <w:t>6</w:t>
      </w:r>
      <w:r>
        <w:rPr>
          <w:rFonts w:hint="eastAsia"/>
          <w:color w:val="000000" w:themeColor="text1"/>
        </w:rPr>
        <w:t>、固废处理场</w:t>
      </w:r>
    </w:p>
    <w:p w:rsidR="00644456" w:rsidRDefault="008031C4">
      <w:pPr>
        <w:pStyle w:val="1fd"/>
        <w:rPr>
          <w:color w:val="000000" w:themeColor="text1"/>
        </w:rPr>
      </w:pPr>
      <w:r>
        <w:rPr>
          <w:rFonts w:hint="eastAsia"/>
          <w:color w:val="000000" w:themeColor="text1"/>
        </w:rPr>
        <w:t>疏勒高新技术产业开发区内正在建设一座固废填埋场，位于生态钢城内（</w:t>
      </w:r>
      <w:r>
        <w:rPr>
          <w:rFonts w:hint="eastAsia"/>
          <w:color w:val="000000" w:themeColor="text1"/>
        </w:rPr>
        <w:t>C</w:t>
      </w:r>
      <w:r>
        <w:rPr>
          <w:rFonts w:hint="eastAsia"/>
          <w:color w:val="000000" w:themeColor="text1"/>
        </w:rPr>
        <w:t>号道路南侧），项目区坐标为：东经</w:t>
      </w:r>
      <w:r>
        <w:rPr>
          <w:rFonts w:hint="eastAsia"/>
          <w:color w:val="000000" w:themeColor="text1"/>
        </w:rPr>
        <w:t>76</w:t>
      </w:r>
      <w:r>
        <w:rPr>
          <w:rFonts w:hint="eastAsia"/>
          <w:color w:val="000000" w:themeColor="text1"/>
        </w:rPr>
        <w:t>°</w:t>
      </w:r>
      <w:r>
        <w:rPr>
          <w:rFonts w:hint="eastAsia"/>
          <w:color w:val="000000" w:themeColor="text1"/>
        </w:rPr>
        <w:t>8</w:t>
      </w:r>
      <w:r>
        <w:rPr>
          <w:rFonts w:hint="eastAsia"/>
          <w:color w:val="000000" w:themeColor="text1"/>
        </w:rPr>
        <w:t>′</w:t>
      </w:r>
      <w:r>
        <w:rPr>
          <w:rFonts w:hint="eastAsia"/>
          <w:color w:val="000000" w:themeColor="text1"/>
        </w:rPr>
        <w:t>43.90</w:t>
      </w:r>
      <w:r>
        <w:rPr>
          <w:rFonts w:hint="eastAsia"/>
          <w:color w:val="000000" w:themeColor="text1"/>
        </w:rPr>
        <w:t>″，北纬</w:t>
      </w:r>
      <w:r>
        <w:rPr>
          <w:rFonts w:hint="eastAsia"/>
          <w:color w:val="000000" w:themeColor="text1"/>
        </w:rPr>
        <w:t>39</w:t>
      </w:r>
      <w:r>
        <w:rPr>
          <w:rFonts w:hint="eastAsia"/>
          <w:color w:val="000000" w:themeColor="text1"/>
        </w:rPr>
        <w:t>°</w:t>
      </w:r>
      <w:r>
        <w:rPr>
          <w:rFonts w:hint="eastAsia"/>
          <w:color w:val="000000" w:themeColor="text1"/>
        </w:rPr>
        <w:t>3</w:t>
      </w:r>
      <w:r>
        <w:rPr>
          <w:rFonts w:hint="eastAsia"/>
          <w:color w:val="000000" w:themeColor="text1"/>
        </w:rPr>
        <w:t>′</w:t>
      </w:r>
      <w:r>
        <w:rPr>
          <w:rFonts w:hint="eastAsia"/>
          <w:color w:val="000000" w:themeColor="text1"/>
        </w:rPr>
        <w:t>4.06</w:t>
      </w:r>
      <w:r>
        <w:rPr>
          <w:rFonts w:hint="eastAsia"/>
          <w:color w:val="000000" w:themeColor="text1"/>
        </w:rPr>
        <w:t>″，填埋场占地面积</w:t>
      </w:r>
      <w:r>
        <w:rPr>
          <w:rFonts w:hint="eastAsia"/>
          <w:color w:val="000000" w:themeColor="text1"/>
        </w:rPr>
        <w:t>53334m2</w:t>
      </w:r>
      <w:r>
        <w:rPr>
          <w:rFonts w:hint="eastAsia"/>
          <w:color w:val="000000" w:themeColor="text1"/>
        </w:rPr>
        <w:t>，有效库容达</w:t>
      </w:r>
      <w:r>
        <w:rPr>
          <w:rFonts w:hint="eastAsia"/>
          <w:color w:val="000000" w:themeColor="text1"/>
        </w:rPr>
        <w:t>10</w:t>
      </w:r>
      <w:r>
        <w:rPr>
          <w:rFonts w:hint="eastAsia"/>
          <w:color w:val="000000" w:themeColor="text1"/>
        </w:rPr>
        <w:t>万</w:t>
      </w:r>
      <w:r>
        <w:rPr>
          <w:rFonts w:hint="eastAsia"/>
          <w:color w:val="000000" w:themeColor="text1"/>
        </w:rPr>
        <w:t>m3</w:t>
      </w:r>
      <w:r>
        <w:rPr>
          <w:rFonts w:hint="eastAsia"/>
          <w:color w:val="000000" w:themeColor="text1"/>
        </w:rPr>
        <w:t>，日处理量为</w:t>
      </w:r>
      <w:r>
        <w:rPr>
          <w:rFonts w:hint="eastAsia"/>
          <w:color w:val="000000" w:themeColor="text1"/>
        </w:rPr>
        <w:t>150t/d</w:t>
      </w:r>
      <w:r>
        <w:rPr>
          <w:rFonts w:hint="eastAsia"/>
          <w:color w:val="000000" w:themeColor="text1"/>
        </w:rPr>
        <w:t>，主要处置疏勒高新技术产业开发区内未能被综合利用的一般工业固废，设计服务年限为</w:t>
      </w:r>
      <w:r>
        <w:rPr>
          <w:rFonts w:hint="eastAsia"/>
          <w:color w:val="000000" w:themeColor="text1"/>
        </w:rPr>
        <w:t>10</w:t>
      </w:r>
      <w:r>
        <w:rPr>
          <w:rFonts w:hint="eastAsia"/>
          <w:color w:val="000000" w:themeColor="text1"/>
        </w:rPr>
        <w:t>年。该项目于</w:t>
      </w:r>
      <w:r>
        <w:rPr>
          <w:rFonts w:hint="eastAsia"/>
          <w:color w:val="000000" w:themeColor="text1"/>
        </w:rPr>
        <w:t>2020</w:t>
      </w:r>
      <w:r>
        <w:rPr>
          <w:rFonts w:hint="eastAsia"/>
          <w:color w:val="000000" w:themeColor="text1"/>
        </w:rPr>
        <w:t>年</w:t>
      </w:r>
      <w:r>
        <w:rPr>
          <w:rFonts w:hint="eastAsia"/>
          <w:color w:val="000000" w:themeColor="text1"/>
        </w:rPr>
        <w:t>2</w:t>
      </w:r>
      <w:r>
        <w:rPr>
          <w:rFonts w:hint="eastAsia"/>
          <w:color w:val="000000" w:themeColor="text1"/>
        </w:rPr>
        <w:t>月取得新疆维吾尔自治区生态环境厅·新环审〔</w:t>
      </w:r>
      <w:r>
        <w:rPr>
          <w:rFonts w:hint="eastAsia"/>
          <w:color w:val="000000" w:themeColor="text1"/>
        </w:rPr>
        <w:t>2020</w:t>
      </w:r>
      <w:r>
        <w:rPr>
          <w:rFonts w:hint="eastAsia"/>
          <w:color w:val="000000" w:themeColor="text1"/>
        </w:rPr>
        <w:t>〕</w:t>
      </w:r>
      <w:r>
        <w:rPr>
          <w:rFonts w:hint="eastAsia"/>
          <w:color w:val="000000" w:themeColor="text1"/>
        </w:rPr>
        <w:t>32</w:t>
      </w:r>
      <w:r>
        <w:rPr>
          <w:rFonts w:hint="eastAsia"/>
          <w:color w:val="000000" w:themeColor="text1"/>
        </w:rPr>
        <w:t>号《关于疏勒高新技术产业开发区固废垃圾填埋场建设项目环境影响报告书的批复》，目前尚未建成。</w:t>
      </w:r>
    </w:p>
    <w:p w:rsidR="00644456" w:rsidRDefault="008031C4">
      <w:pPr>
        <w:pStyle w:val="20"/>
        <w:numPr>
          <w:ilvl w:val="1"/>
          <w:numId w:val="0"/>
        </w:numPr>
        <w:snapToGrid w:val="0"/>
        <w:spacing w:beforeLines="0" w:before="0" w:afterLines="0" w:after="0"/>
        <w:ind w:firstLine="562"/>
        <w:rPr>
          <w:rFonts w:cs="Times New Roman"/>
          <w:color w:val="000000" w:themeColor="text1"/>
        </w:rPr>
      </w:pPr>
      <w:bookmarkStart w:id="240" w:name="_Toc155789369"/>
      <w:bookmarkStart w:id="241" w:name="_Toc177216877"/>
      <w:r>
        <w:rPr>
          <w:rFonts w:cs="Times New Roman" w:hint="eastAsia"/>
          <w:color w:val="000000" w:themeColor="text1"/>
        </w:rPr>
        <w:t>3.3</w:t>
      </w:r>
      <w:r>
        <w:rPr>
          <w:rFonts w:cs="Times New Roman"/>
          <w:color w:val="000000" w:themeColor="text1"/>
        </w:rPr>
        <w:t>环境空气现状监测与评价</w:t>
      </w:r>
      <w:bookmarkEnd w:id="226"/>
      <w:bookmarkEnd w:id="240"/>
      <w:bookmarkEnd w:id="241"/>
    </w:p>
    <w:p w:rsidR="00644456" w:rsidRDefault="008031C4">
      <w:pPr>
        <w:pStyle w:val="3"/>
        <w:numPr>
          <w:ilvl w:val="2"/>
          <w:numId w:val="0"/>
        </w:numPr>
        <w:ind w:firstLineChars="200" w:firstLine="482"/>
      </w:pPr>
      <w:r>
        <w:rPr>
          <w:rFonts w:hint="eastAsia"/>
        </w:rPr>
        <w:t>3.3.1</w:t>
      </w:r>
      <w:r>
        <w:rPr>
          <w:rFonts w:hint="eastAsia"/>
        </w:rPr>
        <w:t>项目所在区域达标区判断</w:t>
      </w:r>
    </w:p>
    <w:p w:rsidR="00644456" w:rsidRDefault="008031C4">
      <w:pPr>
        <w:pStyle w:val="1fd"/>
        <w:kinsoku w:val="0"/>
        <w:wordWrap w:val="0"/>
        <w:rPr>
          <w:color w:val="000000" w:themeColor="text1"/>
        </w:rPr>
      </w:pPr>
      <w:bookmarkStart w:id="242" w:name="_Toc44241586"/>
      <w:bookmarkStart w:id="243" w:name="_Hlk71032212"/>
      <w:r>
        <w:rPr>
          <w:rFonts w:hint="eastAsia"/>
          <w:color w:val="000000" w:themeColor="text1"/>
        </w:rPr>
        <w:t>根据《环境影响评价技术导则</w:t>
      </w:r>
      <w:r>
        <w:rPr>
          <w:rFonts w:hint="eastAsia"/>
          <w:color w:val="000000" w:themeColor="text1"/>
        </w:rPr>
        <w:t>-</w:t>
      </w:r>
      <w:r>
        <w:rPr>
          <w:rFonts w:hint="eastAsia"/>
          <w:color w:val="000000" w:themeColor="text1"/>
        </w:rPr>
        <w:t>大气环境》（</w:t>
      </w:r>
      <w:r>
        <w:rPr>
          <w:rFonts w:hint="eastAsia"/>
          <w:color w:val="000000" w:themeColor="text1"/>
        </w:rPr>
        <w:t>H.J2.2-2018</w:t>
      </w:r>
      <w:r>
        <w:rPr>
          <w:rFonts w:hint="eastAsia"/>
          <w:color w:val="000000" w:themeColor="text1"/>
        </w:rPr>
        <w:t>）对环境质量现状数据的要求，本项目基本污染物环境质量现状评价采用环境专业知识服务系统（</w:t>
      </w:r>
      <w:r>
        <w:rPr>
          <w:rFonts w:hint="eastAsia"/>
          <w:color w:val="000000" w:themeColor="text1"/>
        </w:rPr>
        <w:t>https</w:t>
      </w:r>
      <w:r>
        <w:rPr>
          <w:rFonts w:hint="eastAsia"/>
          <w:color w:val="000000" w:themeColor="text1"/>
        </w:rPr>
        <w:t>：</w:t>
      </w:r>
      <w:r>
        <w:rPr>
          <w:rFonts w:hint="eastAsia"/>
          <w:color w:val="000000" w:themeColor="text1"/>
        </w:rPr>
        <w:t>//www.zq12369.com/environment.php?city=%E6%98%8C%E5%90%89%E5%B7%9E&amp;tab=city</w:t>
      </w:r>
      <w:r>
        <w:rPr>
          <w:rFonts w:hint="eastAsia"/>
          <w:color w:val="000000" w:themeColor="text1"/>
        </w:rPr>
        <w:t>）发布的</w:t>
      </w:r>
      <w:r>
        <w:rPr>
          <w:rFonts w:hint="eastAsia"/>
          <w:color w:val="000000" w:themeColor="text1"/>
        </w:rPr>
        <w:t>2023</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w:t>
      </w:r>
      <w:r>
        <w:rPr>
          <w:rFonts w:hint="eastAsia"/>
          <w:color w:val="000000" w:themeColor="text1"/>
        </w:rPr>
        <w:t>日至</w:t>
      </w:r>
      <w:r>
        <w:rPr>
          <w:rFonts w:hint="eastAsia"/>
          <w:color w:val="000000" w:themeColor="text1"/>
        </w:rPr>
        <w:t>2023</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30</w:t>
      </w:r>
      <w:r>
        <w:rPr>
          <w:rFonts w:hint="eastAsia"/>
          <w:color w:val="000000" w:themeColor="text1"/>
        </w:rPr>
        <w:t>日喀什地区空气质量数据，其数据来源于生态环境部环境监测总站空气质量实时发布网站发布的喀什地区三个国控监测点监测数据</w:t>
      </w:r>
      <w:r>
        <w:rPr>
          <w:rFonts w:hint="eastAsia"/>
          <w:color w:val="000000" w:themeColor="text1"/>
        </w:rPr>
        <w:t>(</w:t>
      </w:r>
      <w:r>
        <w:rPr>
          <w:rFonts w:hint="eastAsia"/>
          <w:color w:val="000000" w:themeColor="text1"/>
        </w:rPr>
        <w:t>市环境监测站、五办、巡警大队监测点位</w:t>
      </w:r>
      <w:r>
        <w:rPr>
          <w:rFonts w:hint="eastAsia"/>
          <w:color w:val="000000" w:themeColor="text1"/>
        </w:rPr>
        <w:t>)</w:t>
      </w:r>
      <w:r>
        <w:rPr>
          <w:rFonts w:hint="eastAsia"/>
          <w:color w:val="000000" w:themeColor="text1"/>
        </w:rPr>
        <w:t>，本次环评选取距离项目区最近的巡警大队监测点位的监测数据作为本次评价依据。</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3.3-1</w:t>
      </w:r>
      <w:r>
        <w:rPr>
          <w:rFonts w:cs="Times New Roman" w:hint="eastAsia"/>
          <w:b/>
          <w:color w:val="000000" w:themeColor="text1"/>
          <w:sz w:val="24"/>
          <w:szCs w:val="20"/>
        </w:rPr>
        <w:t>区域环境空气质量现状评价表</w:t>
      </w:r>
    </w:p>
    <w:tbl>
      <w:tblPr>
        <w:tblW w:w="4998"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65"/>
        <w:gridCol w:w="2792"/>
        <w:gridCol w:w="1462"/>
        <w:gridCol w:w="1326"/>
        <w:gridCol w:w="1330"/>
        <w:gridCol w:w="1162"/>
      </w:tblGrid>
      <w:tr w:rsidR="00644456">
        <w:trPr>
          <w:trHeight w:val="340"/>
        </w:trPr>
        <w:tc>
          <w:tcPr>
            <w:tcW w:w="630"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污染物</w:t>
            </w:r>
          </w:p>
        </w:tc>
        <w:tc>
          <w:tcPr>
            <w:tcW w:w="1511" w:type="pct"/>
            <w:vAlign w:val="center"/>
          </w:tcPr>
          <w:p w:rsidR="00644456" w:rsidRDefault="008031C4">
            <w:pPr>
              <w:adjustRightInd w:val="0"/>
              <w:snapToGrid w:val="0"/>
              <w:spacing w:line="240" w:lineRule="atLeast"/>
              <w:jc w:val="center"/>
              <w:rPr>
                <w:rFonts w:cs="Times New Roman"/>
                <w:kern w:val="0"/>
                <w:szCs w:val="21"/>
              </w:rPr>
            </w:pPr>
            <w:r>
              <w:rPr>
                <w:rFonts w:cs="Times New Roman" w:hint="eastAsia"/>
                <w:kern w:val="0"/>
                <w:szCs w:val="21"/>
              </w:rPr>
              <w:t>年度</w:t>
            </w:r>
            <w:r>
              <w:rPr>
                <w:rFonts w:cs="Times New Roman"/>
                <w:kern w:val="0"/>
                <w:szCs w:val="21"/>
              </w:rPr>
              <w:t>评价指标</w:t>
            </w:r>
          </w:p>
        </w:tc>
        <w:tc>
          <w:tcPr>
            <w:tcW w:w="791"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现状浓度</w:t>
            </w:r>
          </w:p>
          <w:p w:rsidR="00644456" w:rsidRDefault="008031C4">
            <w:pPr>
              <w:adjustRightInd w:val="0"/>
              <w:snapToGrid w:val="0"/>
              <w:spacing w:line="240" w:lineRule="atLeast"/>
              <w:jc w:val="center"/>
              <w:rPr>
                <w:rFonts w:cs="Times New Roman"/>
                <w:kern w:val="0"/>
                <w:szCs w:val="21"/>
              </w:rPr>
            </w:pPr>
            <w:r>
              <w:rPr>
                <w:rFonts w:cs="Times New Roman"/>
                <w:kern w:val="0"/>
                <w:szCs w:val="21"/>
              </w:rPr>
              <w:t>（</w:t>
            </w:r>
            <w:r>
              <w:rPr>
                <w:rFonts w:cs="Times New Roman" w:hint="eastAsia"/>
                <w:kern w:val="0"/>
                <w:szCs w:val="21"/>
              </w:rPr>
              <w:t>μ</w:t>
            </w:r>
            <w:r>
              <w:rPr>
                <w:rFonts w:cs="Times New Roman" w:hint="eastAsia"/>
                <w:kern w:val="0"/>
                <w:szCs w:val="21"/>
              </w:rPr>
              <w:t>g/m3</w:t>
            </w:r>
            <w:r>
              <w:rPr>
                <w:rFonts w:cs="Times New Roman"/>
                <w:kern w:val="0"/>
                <w:szCs w:val="21"/>
              </w:rPr>
              <w:t>）</w:t>
            </w:r>
          </w:p>
        </w:tc>
        <w:tc>
          <w:tcPr>
            <w:tcW w:w="718"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标准值</w:t>
            </w:r>
          </w:p>
          <w:p w:rsidR="00644456" w:rsidRDefault="008031C4">
            <w:pPr>
              <w:adjustRightInd w:val="0"/>
              <w:snapToGrid w:val="0"/>
              <w:spacing w:line="240" w:lineRule="atLeast"/>
              <w:jc w:val="center"/>
              <w:rPr>
                <w:rFonts w:cs="Times New Roman"/>
                <w:kern w:val="0"/>
                <w:szCs w:val="21"/>
              </w:rPr>
            </w:pPr>
            <w:r>
              <w:rPr>
                <w:rFonts w:cs="Times New Roman"/>
                <w:kern w:val="0"/>
                <w:szCs w:val="21"/>
              </w:rPr>
              <w:t>（</w:t>
            </w:r>
            <w:r>
              <w:rPr>
                <w:rFonts w:cs="Times New Roman" w:hint="eastAsia"/>
                <w:kern w:val="0"/>
                <w:szCs w:val="21"/>
              </w:rPr>
              <w:t>μ</w:t>
            </w:r>
            <w:r>
              <w:rPr>
                <w:rFonts w:cs="Times New Roman" w:hint="eastAsia"/>
                <w:kern w:val="0"/>
                <w:szCs w:val="21"/>
              </w:rPr>
              <w:t>g/m3</w:t>
            </w:r>
            <w:r>
              <w:rPr>
                <w:rFonts w:cs="Times New Roman"/>
                <w:kern w:val="0"/>
                <w:szCs w:val="21"/>
              </w:rPr>
              <w:t>）</w:t>
            </w:r>
          </w:p>
        </w:tc>
        <w:tc>
          <w:tcPr>
            <w:tcW w:w="720"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占标率</w:t>
            </w:r>
            <w:r>
              <w:rPr>
                <w:rFonts w:cs="Times New Roman"/>
                <w:kern w:val="0"/>
                <w:szCs w:val="21"/>
              </w:rPr>
              <w:t>%</w:t>
            </w:r>
          </w:p>
        </w:tc>
        <w:tc>
          <w:tcPr>
            <w:tcW w:w="629"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达标情况</w:t>
            </w:r>
          </w:p>
        </w:tc>
      </w:tr>
      <w:tr w:rsidR="00644456">
        <w:trPr>
          <w:trHeight w:val="340"/>
        </w:trPr>
        <w:tc>
          <w:tcPr>
            <w:tcW w:w="630"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SO</w:t>
            </w:r>
            <w:r>
              <w:rPr>
                <w:rFonts w:cs="Times New Roman"/>
                <w:kern w:val="0"/>
                <w:szCs w:val="21"/>
                <w:vertAlign w:val="subscript"/>
              </w:rPr>
              <w:t>2</w:t>
            </w:r>
          </w:p>
        </w:tc>
        <w:tc>
          <w:tcPr>
            <w:tcW w:w="1511"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年平均质量浓度</w:t>
            </w:r>
          </w:p>
        </w:tc>
        <w:tc>
          <w:tcPr>
            <w:tcW w:w="791" w:type="pct"/>
            <w:vAlign w:val="center"/>
          </w:tcPr>
          <w:p w:rsidR="00644456" w:rsidRDefault="008031C4">
            <w:pPr>
              <w:adjustRightInd w:val="0"/>
              <w:snapToGrid w:val="0"/>
              <w:spacing w:line="240" w:lineRule="atLeast"/>
              <w:jc w:val="center"/>
              <w:rPr>
                <w:rFonts w:cs="Times New Roman"/>
                <w:kern w:val="0"/>
                <w:szCs w:val="21"/>
              </w:rPr>
            </w:pPr>
            <w:r>
              <w:rPr>
                <w:rFonts w:cs="Times New Roman" w:hint="eastAsia"/>
                <w:kern w:val="0"/>
                <w:szCs w:val="21"/>
              </w:rPr>
              <w:t>6</w:t>
            </w:r>
          </w:p>
        </w:tc>
        <w:tc>
          <w:tcPr>
            <w:tcW w:w="718"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60</w:t>
            </w:r>
          </w:p>
        </w:tc>
        <w:tc>
          <w:tcPr>
            <w:tcW w:w="720" w:type="pct"/>
            <w:vAlign w:val="center"/>
          </w:tcPr>
          <w:p w:rsidR="00644456" w:rsidRDefault="008031C4">
            <w:pPr>
              <w:adjustRightInd w:val="0"/>
              <w:snapToGrid w:val="0"/>
              <w:spacing w:line="240" w:lineRule="atLeast"/>
              <w:jc w:val="center"/>
              <w:rPr>
                <w:rFonts w:cs="Times New Roman"/>
                <w:kern w:val="0"/>
                <w:szCs w:val="21"/>
              </w:rPr>
            </w:pPr>
            <w:r>
              <w:rPr>
                <w:rFonts w:cs="Times New Roman" w:hint="eastAsia"/>
                <w:kern w:val="0"/>
                <w:szCs w:val="21"/>
              </w:rPr>
              <w:t>10</w:t>
            </w:r>
          </w:p>
        </w:tc>
        <w:tc>
          <w:tcPr>
            <w:tcW w:w="629"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达标</w:t>
            </w:r>
          </w:p>
        </w:tc>
      </w:tr>
      <w:tr w:rsidR="00644456">
        <w:trPr>
          <w:trHeight w:val="315"/>
        </w:trPr>
        <w:tc>
          <w:tcPr>
            <w:tcW w:w="630"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NO</w:t>
            </w:r>
            <w:r>
              <w:rPr>
                <w:rFonts w:cs="Times New Roman"/>
                <w:kern w:val="0"/>
                <w:szCs w:val="21"/>
                <w:vertAlign w:val="subscript"/>
              </w:rPr>
              <w:t>2</w:t>
            </w:r>
          </w:p>
        </w:tc>
        <w:tc>
          <w:tcPr>
            <w:tcW w:w="1511"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年平均质量浓度</w:t>
            </w:r>
          </w:p>
        </w:tc>
        <w:tc>
          <w:tcPr>
            <w:tcW w:w="791" w:type="pct"/>
            <w:vAlign w:val="center"/>
          </w:tcPr>
          <w:p w:rsidR="00644456" w:rsidRDefault="008031C4">
            <w:pPr>
              <w:adjustRightInd w:val="0"/>
              <w:snapToGrid w:val="0"/>
              <w:spacing w:line="240" w:lineRule="atLeast"/>
              <w:jc w:val="center"/>
              <w:rPr>
                <w:rFonts w:cs="Times New Roman"/>
                <w:kern w:val="0"/>
                <w:szCs w:val="21"/>
              </w:rPr>
            </w:pPr>
            <w:r>
              <w:rPr>
                <w:rFonts w:cs="Times New Roman" w:hint="eastAsia"/>
                <w:kern w:val="0"/>
                <w:szCs w:val="21"/>
              </w:rPr>
              <w:t>35</w:t>
            </w:r>
          </w:p>
        </w:tc>
        <w:tc>
          <w:tcPr>
            <w:tcW w:w="718"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40</w:t>
            </w:r>
          </w:p>
        </w:tc>
        <w:tc>
          <w:tcPr>
            <w:tcW w:w="720" w:type="pct"/>
            <w:vAlign w:val="center"/>
          </w:tcPr>
          <w:p w:rsidR="00644456" w:rsidRDefault="008031C4">
            <w:pPr>
              <w:adjustRightInd w:val="0"/>
              <w:snapToGrid w:val="0"/>
              <w:spacing w:line="240" w:lineRule="atLeast"/>
              <w:jc w:val="center"/>
              <w:rPr>
                <w:rFonts w:cs="Times New Roman"/>
                <w:kern w:val="0"/>
                <w:szCs w:val="21"/>
              </w:rPr>
            </w:pPr>
            <w:r>
              <w:rPr>
                <w:rFonts w:cs="Times New Roman" w:hint="eastAsia"/>
                <w:kern w:val="0"/>
                <w:szCs w:val="21"/>
              </w:rPr>
              <w:t>87.5</w:t>
            </w:r>
          </w:p>
        </w:tc>
        <w:tc>
          <w:tcPr>
            <w:tcW w:w="629"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达标</w:t>
            </w:r>
          </w:p>
        </w:tc>
      </w:tr>
      <w:tr w:rsidR="00644456">
        <w:trPr>
          <w:trHeight w:val="340"/>
        </w:trPr>
        <w:tc>
          <w:tcPr>
            <w:tcW w:w="630"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CO</w:t>
            </w:r>
          </w:p>
        </w:tc>
        <w:tc>
          <w:tcPr>
            <w:tcW w:w="1511"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95%</w:t>
            </w:r>
            <w:r>
              <w:rPr>
                <w:rFonts w:cs="Times New Roman"/>
                <w:kern w:val="0"/>
                <w:szCs w:val="21"/>
              </w:rPr>
              <w:t>日平均</w:t>
            </w:r>
          </w:p>
        </w:tc>
        <w:tc>
          <w:tcPr>
            <w:tcW w:w="791" w:type="pct"/>
            <w:vAlign w:val="center"/>
          </w:tcPr>
          <w:p w:rsidR="00644456" w:rsidRDefault="008031C4">
            <w:pPr>
              <w:adjustRightInd w:val="0"/>
              <w:snapToGrid w:val="0"/>
              <w:spacing w:line="240" w:lineRule="atLeast"/>
              <w:jc w:val="center"/>
              <w:rPr>
                <w:rFonts w:cs="Times New Roman"/>
                <w:kern w:val="0"/>
                <w:szCs w:val="21"/>
              </w:rPr>
            </w:pPr>
            <w:r>
              <w:rPr>
                <w:rFonts w:cs="Times New Roman" w:hint="eastAsia"/>
                <w:kern w:val="0"/>
                <w:szCs w:val="21"/>
              </w:rPr>
              <w:t>2.8</w:t>
            </w:r>
            <w:r>
              <w:rPr>
                <w:rFonts w:cs="Times New Roman"/>
                <w:kern w:val="0"/>
                <w:szCs w:val="21"/>
              </w:rPr>
              <w:t>mg/m</w:t>
            </w:r>
            <w:r>
              <w:rPr>
                <w:rFonts w:cs="Times New Roman"/>
                <w:kern w:val="0"/>
                <w:szCs w:val="21"/>
                <w:vertAlign w:val="superscript"/>
              </w:rPr>
              <w:t>3</w:t>
            </w:r>
          </w:p>
        </w:tc>
        <w:tc>
          <w:tcPr>
            <w:tcW w:w="718"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4.0mg/m</w:t>
            </w:r>
            <w:r>
              <w:rPr>
                <w:rFonts w:cs="Times New Roman"/>
                <w:kern w:val="0"/>
                <w:szCs w:val="21"/>
                <w:vertAlign w:val="superscript"/>
              </w:rPr>
              <w:t>3</w:t>
            </w:r>
          </w:p>
        </w:tc>
        <w:tc>
          <w:tcPr>
            <w:tcW w:w="720" w:type="pct"/>
            <w:vAlign w:val="center"/>
          </w:tcPr>
          <w:p w:rsidR="00644456" w:rsidRDefault="008031C4">
            <w:pPr>
              <w:adjustRightInd w:val="0"/>
              <w:snapToGrid w:val="0"/>
              <w:spacing w:line="240" w:lineRule="atLeast"/>
              <w:jc w:val="center"/>
              <w:rPr>
                <w:rFonts w:cs="Times New Roman"/>
                <w:kern w:val="0"/>
                <w:szCs w:val="21"/>
              </w:rPr>
            </w:pPr>
            <w:r>
              <w:rPr>
                <w:rFonts w:cs="Times New Roman" w:hint="eastAsia"/>
                <w:kern w:val="0"/>
                <w:szCs w:val="21"/>
              </w:rPr>
              <w:t>70</w:t>
            </w:r>
          </w:p>
        </w:tc>
        <w:tc>
          <w:tcPr>
            <w:tcW w:w="629"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达标</w:t>
            </w:r>
          </w:p>
        </w:tc>
      </w:tr>
      <w:tr w:rsidR="00644456">
        <w:trPr>
          <w:trHeight w:val="340"/>
        </w:trPr>
        <w:tc>
          <w:tcPr>
            <w:tcW w:w="630"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O</w:t>
            </w:r>
            <w:r>
              <w:rPr>
                <w:rFonts w:cs="Times New Roman"/>
                <w:kern w:val="0"/>
                <w:szCs w:val="21"/>
                <w:vertAlign w:val="subscript"/>
              </w:rPr>
              <w:t>3</w:t>
            </w:r>
          </w:p>
        </w:tc>
        <w:tc>
          <w:tcPr>
            <w:tcW w:w="1511"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日最大</w:t>
            </w:r>
            <w:r>
              <w:rPr>
                <w:rFonts w:cs="Times New Roman"/>
                <w:kern w:val="0"/>
                <w:szCs w:val="21"/>
              </w:rPr>
              <w:t>8h</w:t>
            </w:r>
            <w:r>
              <w:rPr>
                <w:rFonts w:cs="Times New Roman"/>
                <w:kern w:val="0"/>
                <w:szCs w:val="21"/>
              </w:rPr>
              <w:t>滑动平均质量浓度第</w:t>
            </w:r>
            <w:r>
              <w:rPr>
                <w:rFonts w:cs="Times New Roman"/>
                <w:kern w:val="0"/>
                <w:szCs w:val="21"/>
              </w:rPr>
              <w:t>90</w:t>
            </w:r>
            <w:r>
              <w:rPr>
                <w:rFonts w:cs="Times New Roman"/>
                <w:kern w:val="0"/>
                <w:szCs w:val="21"/>
              </w:rPr>
              <w:t>百分数位</w:t>
            </w:r>
          </w:p>
        </w:tc>
        <w:tc>
          <w:tcPr>
            <w:tcW w:w="791" w:type="pct"/>
            <w:vAlign w:val="center"/>
          </w:tcPr>
          <w:p w:rsidR="00644456" w:rsidRDefault="008031C4">
            <w:pPr>
              <w:adjustRightInd w:val="0"/>
              <w:snapToGrid w:val="0"/>
              <w:spacing w:line="240" w:lineRule="atLeast"/>
              <w:jc w:val="center"/>
              <w:rPr>
                <w:rFonts w:cs="Times New Roman"/>
                <w:kern w:val="0"/>
                <w:szCs w:val="21"/>
              </w:rPr>
            </w:pPr>
            <w:r>
              <w:rPr>
                <w:rFonts w:cs="Times New Roman" w:hint="eastAsia"/>
                <w:kern w:val="0"/>
                <w:szCs w:val="21"/>
              </w:rPr>
              <w:t>141</w:t>
            </w:r>
          </w:p>
        </w:tc>
        <w:tc>
          <w:tcPr>
            <w:tcW w:w="718"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160</w:t>
            </w:r>
          </w:p>
        </w:tc>
        <w:tc>
          <w:tcPr>
            <w:tcW w:w="720" w:type="pct"/>
            <w:vAlign w:val="center"/>
          </w:tcPr>
          <w:p w:rsidR="00644456" w:rsidRDefault="008031C4">
            <w:pPr>
              <w:adjustRightInd w:val="0"/>
              <w:snapToGrid w:val="0"/>
              <w:spacing w:line="240" w:lineRule="atLeast"/>
              <w:jc w:val="center"/>
              <w:rPr>
                <w:rFonts w:cs="Times New Roman"/>
                <w:kern w:val="0"/>
                <w:szCs w:val="21"/>
              </w:rPr>
            </w:pPr>
            <w:r>
              <w:rPr>
                <w:rFonts w:cs="Times New Roman" w:hint="eastAsia"/>
                <w:kern w:val="0"/>
                <w:szCs w:val="21"/>
              </w:rPr>
              <w:t>88.1</w:t>
            </w:r>
          </w:p>
        </w:tc>
        <w:tc>
          <w:tcPr>
            <w:tcW w:w="629" w:type="pct"/>
            <w:vAlign w:val="center"/>
          </w:tcPr>
          <w:p w:rsidR="00644456" w:rsidRDefault="008031C4">
            <w:pPr>
              <w:adjustRightInd w:val="0"/>
              <w:snapToGrid w:val="0"/>
              <w:spacing w:line="240" w:lineRule="atLeast"/>
              <w:jc w:val="center"/>
              <w:rPr>
                <w:rFonts w:cs="Times New Roman"/>
                <w:b/>
                <w:bCs/>
                <w:kern w:val="0"/>
                <w:szCs w:val="21"/>
              </w:rPr>
            </w:pPr>
            <w:r>
              <w:rPr>
                <w:rFonts w:cs="Times New Roman"/>
                <w:kern w:val="0"/>
                <w:szCs w:val="21"/>
              </w:rPr>
              <w:t>达标</w:t>
            </w:r>
          </w:p>
        </w:tc>
      </w:tr>
      <w:tr w:rsidR="00644456">
        <w:trPr>
          <w:trHeight w:val="340"/>
        </w:trPr>
        <w:tc>
          <w:tcPr>
            <w:tcW w:w="630"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PM</w:t>
            </w:r>
            <w:r>
              <w:rPr>
                <w:rFonts w:cs="Times New Roman"/>
                <w:kern w:val="0"/>
                <w:szCs w:val="21"/>
                <w:vertAlign w:val="subscript"/>
              </w:rPr>
              <w:t>10</w:t>
            </w:r>
          </w:p>
        </w:tc>
        <w:tc>
          <w:tcPr>
            <w:tcW w:w="1511"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年平均质量浓度</w:t>
            </w:r>
          </w:p>
        </w:tc>
        <w:tc>
          <w:tcPr>
            <w:tcW w:w="791" w:type="pct"/>
            <w:vAlign w:val="center"/>
          </w:tcPr>
          <w:p w:rsidR="00644456" w:rsidRDefault="008031C4">
            <w:pPr>
              <w:adjustRightInd w:val="0"/>
              <w:snapToGrid w:val="0"/>
              <w:spacing w:line="240" w:lineRule="atLeast"/>
              <w:jc w:val="center"/>
              <w:rPr>
                <w:rFonts w:cs="Times New Roman"/>
                <w:kern w:val="0"/>
                <w:szCs w:val="21"/>
              </w:rPr>
            </w:pPr>
            <w:r>
              <w:rPr>
                <w:rFonts w:cs="Times New Roman" w:hint="eastAsia"/>
                <w:kern w:val="0"/>
                <w:szCs w:val="21"/>
              </w:rPr>
              <w:t>132</w:t>
            </w:r>
          </w:p>
        </w:tc>
        <w:tc>
          <w:tcPr>
            <w:tcW w:w="718"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70</w:t>
            </w:r>
          </w:p>
        </w:tc>
        <w:tc>
          <w:tcPr>
            <w:tcW w:w="720" w:type="pct"/>
            <w:vAlign w:val="center"/>
          </w:tcPr>
          <w:p w:rsidR="00644456" w:rsidRDefault="008031C4">
            <w:pPr>
              <w:adjustRightInd w:val="0"/>
              <w:snapToGrid w:val="0"/>
              <w:spacing w:line="240" w:lineRule="atLeast"/>
              <w:jc w:val="center"/>
              <w:rPr>
                <w:rFonts w:cs="Times New Roman"/>
                <w:kern w:val="0"/>
                <w:szCs w:val="21"/>
              </w:rPr>
            </w:pPr>
            <w:r>
              <w:rPr>
                <w:rFonts w:cs="Times New Roman" w:hint="eastAsia"/>
                <w:kern w:val="0"/>
                <w:szCs w:val="21"/>
              </w:rPr>
              <w:t>188.6</w:t>
            </w:r>
          </w:p>
        </w:tc>
        <w:tc>
          <w:tcPr>
            <w:tcW w:w="629" w:type="pct"/>
            <w:vAlign w:val="center"/>
          </w:tcPr>
          <w:p w:rsidR="00644456" w:rsidRDefault="008031C4">
            <w:pPr>
              <w:adjustRightInd w:val="0"/>
              <w:snapToGrid w:val="0"/>
              <w:spacing w:line="240" w:lineRule="atLeast"/>
              <w:jc w:val="center"/>
              <w:rPr>
                <w:rFonts w:cs="Times New Roman"/>
                <w:b/>
                <w:bCs/>
                <w:kern w:val="0"/>
                <w:szCs w:val="21"/>
              </w:rPr>
            </w:pPr>
            <w:r>
              <w:rPr>
                <w:rFonts w:cs="Times New Roman" w:hint="eastAsia"/>
                <w:kern w:val="0"/>
                <w:szCs w:val="21"/>
              </w:rPr>
              <w:t>超标</w:t>
            </w:r>
          </w:p>
        </w:tc>
      </w:tr>
      <w:tr w:rsidR="00644456">
        <w:trPr>
          <w:trHeight w:val="340"/>
        </w:trPr>
        <w:tc>
          <w:tcPr>
            <w:tcW w:w="630"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lastRenderedPageBreak/>
              <w:t>PM</w:t>
            </w:r>
            <w:r>
              <w:rPr>
                <w:rFonts w:cs="Times New Roman"/>
                <w:kern w:val="0"/>
                <w:szCs w:val="21"/>
                <w:vertAlign w:val="subscript"/>
              </w:rPr>
              <w:t>2.5</w:t>
            </w:r>
          </w:p>
        </w:tc>
        <w:tc>
          <w:tcPr>
            <w:tcW w:w="1511"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年平均质量浓度</w:t>
            </w:r>
          </w:p>
        </w:tc>
        <w:tc>
          <w:tcPr>
            <w:tcW w:w="791" w:type="pct"/>
            <w:vAlign w:val="center"/>
          </w:tcPr>
          <w:p w:rsidR="00644456" w:rsidRDefault="008031C4">
            <w:pPr>
              <w:adjustRightInd w:val="0"/>
              <w:snapToGrid w:val="0"/>
              <w:spacing w:line="240" w:lineRule="atLeast"/>
              <w:jc w:val="center"/>
              <w:rPr>
                <w:rFonts w:cs="Times New Roman"/>
                <w:kern w:val="0"/>
                <w:szCs w:val="21"/>
              </w:rPr>
            </w:pPr>
            <w:r>
              <w:rPr>
                <w:rFonts w:cs="Times New Roman" w:hint="eastAsia"/>
                <w:kern w:val="0"/>
                <w:szCs w:val="21"/>
              </w:rPr>
              <w:t>47</w:t>
            </w:r>
          </w:p>
        </w:tc>
        <w:tc>
          <w:tcPr>
            <w:tcW w:w="718" w:type="pct"/>
            <w:vAlign w:val="center"/>
          </w:tcPr>
          <w:p w:rsidR="00644456" w:rsidRDefault="008031C4">
            <w:pPr>
              <w:adjustRightInd w:val="0"/>
              <w:snapToGrid w:val="0"/>
              <w:spacing w:line="240" w:lineRule="atLeast"/>
              <w:jc w:val="center"/>
              <w:rPr>
                <w:rFonts w:cs="Times New Roman"/>
                <w:kern w:val="0"/>
                <w:szCs w:val="21"/>
              </w:rPr>
            </w:pPr>
            <w:r>
              <w:rPr>
                <w:rFonts w:cs="Times New Roman"/>
                <w:kern w:val="0"/>
                <w:szCs w:val="21"/>
              </w:rPr>
              <w:t>35</w:t>
            </w:r>
          </w:p>
        </w:tc>
        <w:tc>
          <w:tcPr>
            <w:tcW w:w="720" w:type="pct"/>
            <w:vAlign w:val="center"/>
          </w:tcPr>
          <w:p w:rsidR="00644456" w:rsidRDefault="008031C4">
            <w:pPr>
              <w:adjustRightInd w:val="0"/>
              <w:snapToGrid w:val="0"/>
              <w:spacing w:line="240" w:lineRule="atLeast"/>
              <w:jc w:val="center"/>
              <w:rPr>
                <w:rFonts w:cs="Times New Roman"/>
                <w:kern w:val="0"/>
                <w:szCs w:val="21"/>
              </w:rPr>
            </w:pPr>
            <w:r>
              <w:rPr>
                <w:rFonts w:cs="Times New Roman" w:hint="eastAsia"/>
                <w:kern w:val="0"/>
                <w:szCs w:val="21"/>
              </w:rPr>
              <w:t>134.3</w:t>
            </w:r>
          </w:p>
        </w:tc>
        <w:tc>
          <w:tcPr>
            <w:tcW w:w="629" w:type="pct"/>
            <w:vAlign w:val="center"/>
          </w:tcPr>
          <w:p w:rsidR="00644456" w:rsidRDefault="008031C4">
            <w:pPr>
              <w:adjustRightInd w:val="0"/>
              <w:snapToGrid w:val="0"/>
              <w:spacing w:line="240" w:lineRule="atLeast"/>
              <w:jc w:val="center"/>
              <w:rPr>
                <w:rFonts w:cs="Times New Roman"/>
                <w:kern w:val="0"/>
                <w:szCs w:val="21"/>
              </w:rPr>
            </w:pPr>
            <w:r>
              <w:rPr>
                <w:rFonts w:cs="Times New Roman" w:hint="eastAsia"/>
                <w:kern w:val="0"/>
                <w:szCs w:val="21"/>
              </w:rPr>
              <w:t>超标</w:t>
            </w:r>
          </w:p>
        </w:tc>
      </w:tr>
    </w:tbl>
    <w:p w:rsidR="00644456" w:rsidRDefault="008031C4">
      <w:pPr>
        <w:pStyle w:val="1fd"/>
        <w:rPr>
          <w:color w:val="000000" w:themeColor="text1"/>
        </w:rPr>
      </w:pPr>
      <w:r>
        <w:rPr>
          <w:rFonts w:hint="eastAsia"/>
          <w:color w:val="000000" w:themeColor="text1"/>
        </w:rPr>
        <w:t>项目所在区域</w:t>
      </w:r>
      <w:r>
        <w:rPr>
          <w:rFonts w:hint="eastAsia"/>
          <w:color w:val="000000" w:themeColor="text1"/>
        </w:rPr>
        <w:t>PM</w:t>
      </w:r>
      <w:r>
        <w:rPr>
          <w:rFonts w:hint="eastAsia"/>
          <w:color w:val="000000" w:themeColor="text1"/>
          <w:vertAlign w:val="subscript"/>
        </w:rPr>
        <w:t>10</w:t>
      </w:r>
      <w:r>
        <w:rPr>
          <w:rFonts w:hint="eastAsia"/>
          <w:color w:val="000000" w:themeColor="text1"/>
        </w:rPr>
        <w:t>、</w:t>
      </w:r>
      <w:r>
        <w:rPr>
          <w:rFonts w:hint="eastAsia"/>
          <w:color w:val="000000" w:themeColor="text1"/>
        </w:rPr>
        <w:t>PM</w:t>
      </w:r>
      <w:r>
        <w:rPr>
          <w:rFonts w:hint="eastAsia"/>
          <w:color w:val="000000" w:themeColor="text1"/>
          <w:vertAlign w:val="subscript"/>
        </w:rPr>
        <w:t>2.5</w:t>
      </w:r>
      <w:r>
        <w:rPr>
          <w:rFonts w:hint="eastAsia"/>
          <w:color w:val="000000" w:themeColor="text1"/>
        </w:rPr>
        <w:t>年平均浓度均超过《环境空气质量标准》（</w:t>
      </w:r>
      <w:r>
        <w:rPr>
          <w:rFonts w:hint="eastAsia"/>
          <w:color w:val="000000" w:themeColor="text1"/>
        </w:rPr>
        <w:t>GB3095-2012</w:t>
      </w:r>
      <w:r>
        <w:rPr>
          <w:rFonts w:hint="eastAsia"/>
          <w:color w:val="000000" w:themeColor="text1"/>
        </w:rPr>
        <w:t>）的二级标准要求；</w:t>
      </w:r>
      <w:r>
        <w:rPr>
          <w:rFonts w:hint="eastAsia"/>
          <w:color w:val="000000" w:themeColor="text1"/>
        </w:rPr>
        <w:t>O</w:t>
      </w:r>
      <w:r>
        <w:rPr>
          <w:rFonts w:hint="eastAsia"/>
          <w:color w:val="000000" w:themeColor="text1"/>
          <w:vertAlign w:val="subscript"/>
        </w:rPr>
        <w:t>3</w:t>
      </w:r>
      <w:r>
        <w:rPr>
          <w:rFonts w:hint="eastAsia"/>
          <w:color w:val="000000" w:themeColor="text1"/>
        </w:rPr>
        <w:t>最大</w:t>
      </w:r>
      <w:r>
        <w:rPr>
          <w:rFonts w:hint="eastAsia"/>
          <w:color w:val="000000" w:themeColor="text1"/>
        </w:rPr>
        <w:t>8</w:t>
      </w:r>
      <w:r>
        <w:rPr>
          <w:rFonts w:hint="eastAsia"/>
          <w:color w:val="000000" w:themeColor="text1"/>
        </w:rPr>
        <w:t>小时平均浓度及</w:t>
      </w:r>
      <w:r>
        <w:rPr>
          <w:rFonts w:hint="eastAsia"/>
          <w:color w:val="000000" w:themeColor="text1"/>
        </w:rPr>
        <w:t>NO</w:t>
      </w:r>
      <w:r>
        <w:rPr>
          <w:rFonts w:hint="eastAsia"/>
          <w:color w:val="000000" w:themeColor="text1"/>
          <w:vertAlign w:val="subscript"/>
        </w:rPr>
        <w:t>2</w:t>
      </w:r>
      <w:r>
        <w:rPr>
          <w:rFonts w:hint="eastAsia"/>
          <w:color w:val="000000" w:themeColor="text1"/>
        </w:rPr>
        <w:t>、</w:t>
      </w:r>
      <w:r>
        <w:rPr>
          <w:rFonts w:hint="eastAsia"/>
          <w:color w:val="000000" w:themeColor="text1"/>
        </w:rPr>
        <w:t>CO</w:t>
      </w:r>
      <w:r>
        <w:rPr>
          <w:rFonts w:hint="eastAsia"/>
          <w:color w:val="000000" w:themeColor="text1"/>
        </w:rPr>
        <w:t>、</w:t>
      </w:r>
      <w:r>
        <w:rPr>
          <w:rFonts w:hint="eastAsia"/>
          <w:color w:val="000000" w:themeColor="text1"/>
        </w:rPr>
        <w:t>SO</w:t>
      </w:r>
      <w:r>
        <w:rPr>
          <w:rFonts w:hint="eastAsia"/>
          <w:color w:val="000000" w:themeColor="text1"/>
          <w:vertAlign w:val="subscript"/>
        </w:rPr>
        <w:t>2</w:t>
      </w:r>
      <w:r>
        <w:rPr>
          <w:rFonts w:hint="eastAsia"/>
          <w:color w:val="000000" w:themeColor="text1"/>
        </w:rPr>
        <w:t>的日、年均浓度均满足《环境空气质量标准》（</w:t>
      </w:r>
      <w:r>
        <w:rPr>
          <w:rFonts w:hint="eastAsia"/>
          <w:color w:val="000000" w:themeColor="text1"/>
        </w:rPr>
        <w:t>GB3095-2012</w:t>
      </w:r>
      <w:r>
        <w:rPr>
          <w:rFonts w:hint="eastAsia"/>
          <w:color w:val="000000" w:themeColor="text1"/>
        </w:rPr>
        <w:t>）的二级标准要求，本项目所在区域为非达标区域</w:t>
      </w:r>
      <w:r>
        <w:rPr>
          <w:color w:val="000000" w:themeColor="text1"/>
        </w:rPr>
        <w:t>。</w:t>
      </w:r>
    </w:p>
    <w:p w:rsidR="00644456" w:rsidRDefault="008031C4">
      <w:pPr>
        <w:pStyle w:val="1fd"/>
        <w:rPr>
          <w:color w:val="000000" w:themeColor="text1"/>
        </w:rPr>
      </w:pPr>
      <w:r>
        <w:rPr>
          <w:rFonts w:hint="eastAsia"/>
          <w:color w:val="000000" w:themeColor="text1"/>
        </w:rPr>
        <w:t>根据《关于在南疆四地州深度贫困地区实施〈环境影响评价技术导则大气环境（</w:t>
      </w:r>
      <w:r>
        <w:rPr>
          <w:rFonts w:hint="eastAsia"/>
          <w:color w:val="000000" w:themeColor="text1"/>
        </w:rPr>
        <w:t>HJ2.2-2018</w:t>
      </w:r>
      <w:r>
        <w:rPr>
          <w:rFonts w:hint="eastAsia"/>
          <w:color w:val="000000" w:themeColor="text1"/>
        </w:rPr>
        <w:t>）〉差别化政策有关事宜的复函》（环办环评函〔</w:t>
      </w:r>
      <w:r>
        <w:rPr>
          <w:rFonts w:hint="eastAsia"/>
          <w:color w:val="000000" w:themeColor="text1"/>
        </w:rPr>
        <w:t>2019</w:t>
      </w:r>
      <w:r>
        <w:rPr>
          <w:rFonts w:hint="eastAsia"/>
          <w:color w:val="000000" w:themeColor="text1"/>
        </w:rPr>
        <w:t>〕</w:t>
      </w:r>
      <w:r>
        <w:rPr>
          <w:rFonts w:hint="eastAsia"/>
          <w:color w:val="000000" w:themeColor="text1"/>
        </w:rPr>
        <w:t>590</w:t>
      </w:r>
      <w:r>
        <w:rPr>
          <w:rFonts w:hint="eastAsia"/>
          <w:color w:val="000000" w:themeColor="text1"/>
        </w:rPr>
        <w:t>号）要求，对喀什地区实行环境影响评价差别化政策，可不进行颗粒物区域削减。本项目实施后建设单位应不断强化大气污染防治措施。</w:t>
      </w:r>
    </w:p>
    <w:p w:rsidR="00644456" w:rsidRDefault="008031C4">
      <w:pPr>
        <w:pStyle w:val="3"/>
        <w:numPr>
          <w:ilvl w:val="2"/>
          <w:numId w:val="0"/>
        </w:numPr>
        <w:ind w:firstLineChars="200" w:firstLine="482"/>
      </w:pPr>
      <w:r>
        <w:rPr>
          <w:rFonts w:hint="eastAsia"/>
        </w:rPr>
        <w:t>3.3.2</w:t>
      </w:r>
      <w:r>
        <w:rPr>
          <w:rFonts w:hint="eastAsia"/>
        </w:rPr>
        <w:t>特征因子监测</w:t>
      </w:r>
    </w:p>
    <w:bookmarkEnd w:id="242"/>
    <w:p w:rsidR="00644456" w:rsidRDefault="008031C4">
      <w:pPr>
        <w:pStyle w:val="1fd"/>
        <w:rPr>
          <w:color w:val="000000" w:themeColor="text1"/>
        </w:rPr>
      </w:pPr>
      <w:r>
        <w:rPr>
          <w:color w:val="000000" w:themeColor="text1"/>
        </w:rPr>
        <w:t>根据《</w:t>
      </w:r>
      <w:r>
        <w:rPr>
          <w:rFonts w:hint="eastAsia"/>
          <w:color w:val="000000" w:themeColor="text1"/>
        </w:rPr>
        <w:t>建设项目</w:t>
      </w:r>
      <w:r>
        <w:rPr>
          <w:color w:val="000000" w:themeColor="text1"/>
        </w:rPr>
        <w:t>环境影响评价技术导则总纲》（</w:t>
      </w:r>
      <w:r>
        <w:rPr>
          <w:color w:val="000000" w:themeColor="text1"/>
        </w:rPr>
        <w:t>HJ2.1-2016</w:t>
      </w:r>
      <w:r>
        <w:rPr>
          <w:color w:val="000000" w:themeColor="text1"/>
        </w:rPr>
        <w:t>）和《环境影响评价技术导则大气环境》（</w:t>
      </w:r>
      <w:r>
        <w:rPr>
          <w:color w:val="000000" w:themeColor="text1"/>
        </w:rPr>
        <w:t>HJ2.2-20</w:t>
      </w:r>
      <w:r>
        <w:rPr>
          <w:rFonts w:hint="eastAsia"/>
          <w:color w:val="000000" w:themeColor="text1"/>
        </w:rPr>
        <w:t>1</w:t>
      </w:r>
      <w:r>
        <w:rPr>
          <w:color w:val="000000" w:themeColor="text1"/>
        </w:rPr>
        <w:t>8</w:t>
      </w:r>
      <w:r>
        <w:rPr>
          <w:color w:val="000000" w:themeColor="text1"/>
        </w:rPr>
        <w:t>）的要求，结合项目区周边人群分布情况及环境保护目标、源分布特征和气象条件等。</w:t>
      </w:r>
    </w:p>
    <w:p w:rsidR="00644456" w:rsidRDefault="008031C4">
      <w:pPr>
        <w:pStyle w:val="1fd"/>
        <w:rPr>
          <w:b/>
          <w:bCs/>
          <w:color w:val="000000" w:themeColor="text1"/>
        </w:rPr>
      </w:pPr>
      <w:r>
        <w:rPr>
          <w:rFonts w:hint="eastAsia"/>
          <w:color w:val="000000" w:themeColor="text1"/>
        </w:rPr>
        <w:t>环评期间建设项目委托新疆锡水金山环境科技有限公司对本项目环境空气监测因子非甲烷总烃进行监测（报告编号：</w:t>
      </w:r>
      <w:r>
        <w:rPr>
          <w:rFonts w:hint="eastAsia"/>
          <w:color w:val="000000" w:themeColor="text1"/>
        </w:rPr>
        <w:t>WT202408181</w:t>
      </w:r>
      <w:r>
        <w:rPr>
          <w:rFonts w:hint="eastAsia"/>
          <w:color w:val="000000" w:themeColor="text1"/>
        </w:rPr>
        <w:t>），</w:t>
      </w:r>
      <w:r>
        <w:rPr>
          <w:rFonts w:hint="eastAsia"/>
          <w:b/>
          <w:bCs/>
          <w:color w:val="000000" w:themeColor="text1"/>
        </w:rPr>
        <w:t>项目监测因子颗粒物、氮氧化物、氨、硫化氢和臭气浓度引用新疆锡水金山环境科技有限公司于</w:t>
      </w:r>
      <w:r>
        <w:rPr>
          <w:rFonts w:hint="eastAsia"/>
          <w:b/>
          <w:bCs/>
          <w:color w:val="000000" w:themeColor="text1"/>
        </w:rPr>
        <w:t>2023.5.16-2023.5.22</w:t>
      </w:r>
      <w:r>
        <w:rPr>
          <w:rFonts w:hint="eastAsia"/>
          <w:b/>
          <w:bCs/>
          <w:color w:val="000000" w:themeColor="text1"/>
        </w:rPr>
        <w:t>对“疏勒县表面处理生态工业园（化工园区）基础设施配套建设项目—电镀污水处理厂项目”的现状监测结果</w:t>
      </w:r>
      <w:r>
        <w:rPr>
          <w:b/>
          <w:bCs/>
          <w:color w:val="000000" w:themeColor="text1"/>
        </w:rPr>
        <w:t>。</w:t>
      </w:r>
    </w:p>
    <w:p w:rsidR="00644456" w:rsidRDefault="008031C4">
      <w:pPr>
        <w:pStyle w:val="1fd"/>
        <w:rPr>
          <w:color w:val="000000" w:themeColor="text1"/>
        </w:rPr>
      </w:pPr>
      <w:r>
        <w:rPr>
          <w:color w:val="000000" w:themeColor="text1"/>
        </w:rPr>
        <w:t>（</w:t>
      </w:r>
      <w:r>
        <w:rPr>
          <w:color w:val="000000" w:themeColor="text1"/>
        </w:rPr>
        <w:t>1</w:t>
      </w:r>
      <w:r>
        <w:rPr>
          <w:color w:val="000000" w:themeColor="text1"/>
        </w:rPr>
        <w:t>）大气监测点位</w:t>
      </w:r>
    </w:p>
    <w:p w:rsidR="00644456" w:rsidRDefault="008031C4">
      <w:pPr>
        <w:pStyle w:val="1fd"/>
        <w:rPr>
          <w:color w:val="000000" w:themeColor="text1"/>
        </w:rPr>
      </w:pPr>
      <w:r>
        <w:rPr>
          <w:rFonts w:hint="eastAsia"/>
          <w:color w:val="000000" w:themeColor="text1"/>
        </w:rPr>
        <w:t>本项目设置</w:t>
      </w:r>
      <w:r>
        <w:rPr>
          <w:rFonts w:hint="eastAsia"/>
          <w:color w:val="000000" w:themeColor="text1"/>
        </w:rPr>
        <w:t>1</w:t>
      </w:r>
      <w:r>
        <w:rPr>
          <w:rFonts w:hint="eastAsia"/>
          <w:color w:val="000000" w:themeColor="text1"/>
        </w:rPr>
        <w:t>个监测点位，同时引用</w:t>
      </w:r>
      <w:r>
        <w:rPr>
          <w:rFonts w:hint="eastAsia"/>
          <w:color w:val="000000" w:themeColor="text1"/>
        </w:rPr>
        <w:t>2</w:t>
      </w:r>
      <w:r>
        <w:rPr>
          <w:rFonts w:hint="eastAsia"/>
          <w:color w:val="000000" w:themeColor="text1"/>
        </w:rPr>
        <w:t>个点位，</w:t>
      </w:r>
      <w:r>
        <w:rPr>
          <w:color w:val="000000" w:themeColor="text1"/>
        </w:rPr>
        <w:t>具体监测布点情况统计见表</w:t>
      </w:r>
      <w:r>
        <w:rPr>
          <w:rFonts w:hint="eastAsia"/>
          <w:color w:val="000000" w:themeColor="text1"/>
        </w:rPr>
        <w:t>3.3</w:t>
      </w:r>
      <w:r>
        <w:rPr>
          <w:color w:val="000000" w:themeColor="text1"/>
        </w:rPr>
        <w:t>-</w:t>
      </w:r>
      <w:r>
        <w:rPr>
          <w:rFonts w:hint="eastAsia"/>
          <w:color w:val="000000" w:themeColor="text1"/>
        </w:rPr>
        <w:t>2</w:t>
      </w:r>
      <w:r>
        <w:rPr>
          <w:color w:val="000000" w:themeColor="text1"/>
        </w:rPr>
        <w:t>。</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3.3-2</w:t>
      </w:r>
      <w:r>
        <w:rPr>
          <w:rFonts w:cs="Times New Roman" w:hint="eastAsia"/>
          <w:b/>
          <w:color w:val="000000" w:themeColor="text1"/>
          <w:sz w:val="24"/>
          <w:szCs w:val="20"/>
        </w:rPr>
        <w:t>环境空气现状监测点位</w:t>
      </w:r>
    </w:p>
    <w:tbl>
      <w:tblPr>
        <w:tblW w:w="5115"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62"/>
        <w:gridCol w:w="1763"/>
        <w:gridCol w:w="1284"/>
        <w:gridCol w:w="1284"/>
        <w:gridCol w:w="1854"/>
        <w:gridCol w:w="2443"/>
      </w:tblGrid>
      <w:tr w:rsidR="00B35AB3" w:rsidRPr="00B35AB3" w:rsidTr="00B35AB3">
        <w:trPr>
          <w:trHeight w:val="340"/>
          <w:jc w:val="center"/>
        </w:trPr>
        <w:tc>
          <w:tcPr>
            <w:tcW w:w="356" w:type="pct"/>
            <w:vAlign w:val="center"/>
          </w:tcPr>
          <w:p w:rsidR="00644456" w:rsidRPr="00B35AB3" w:rsidRDefault="008031C4">
            <w:pPr>
              <w:spacing w:line="320" w:lineRule="exact"/>
              <w:jc w:val="center"/>
              <w:rPr>
                <w:b/>
                <w:bCs/>
                <w:color w:val="FF0000"/>
                <w:szCs w:val="21"/>
              </w:rPr>
            </w:pPr>
            <w:r w:rsidRPr="00B35AB3">
              <w:rPr>
                <w:rFonts w:hAnsi="宋体"/>
                <w:b/>
                <w:bCs/>
                <w:color w:val="FF0000"/>
                <w:szCs w:val="21"/>
              </w:rPr>
              <w:t>编号</w:t>
            </w:r>
          </w:p>
        </w:tc>
        <w:tc>
          <w:tcPr>
            <w:tcW w:w="949" w:type="pct"/>
            <w:vAlign w:val="center"/>
          </w:tcPr>
          <w:p w:rsidR="00644456" w:rsidRPr="00B35AB3" w:rsidRDefault="008031C4">
            <w:pPr>
              <w:spacing w:line="320" w:lineRule="exact"/>
              <w:jc w:val="center"/>
              <w:rPr>
                <w:b/>
                <w:bCs/>
                <w:color w:val="FF0000"/>
                <w:szCs w:val="21"/>
              </w:rPr>
            </w:pPr>
            <w:r w:rsidRPr="00B35AB3">
              <w:rPr>
                <w:rFonts w:hAnsi="宋体"/>
                <w:b/>
                <w:bCs/>
                <w:color w:val="FF0000"/>
                <w:szCs w:val="21"/>
              </w:rPr>
              <w:t>监测点位置</w:t>
            </w:r>
          </w:p>
        </w:tc>
        <w:tc>
          <w:tcPr>
            <w:tcW w:w="691" w:type="pct"/>
            <w:vAlign w:val="center"/>
          </w:tcPr>
          <w:p w:rsidR="00644456" w:rsidRPr="00B35AB3" w:rsidRDefault="008031C4">
            <w:pPr>
              <w:spacing w:line="320" w:lineRule="exact"/>
              <w:jc w:val="center"/>
              <w:rPr>
                <w:b/>
                <w:bCs/>
                <w:color w:val="FF0000"/>
                <w:szCs w:val="21"/>
              </w:rPr>
            </w:pPr>
            <w:r w:rsidRPr="00B35AB3">
              <w:rPr>
                <w:rFonts w:hAnsi="宋体"/>
                <w:b/>
                <w:bCs/>
                <w:color w:val="FF0000"/>
                <w:szCs w:val="21"/>
              </w:rPr>
              <w:t>方位</w:t>
            </w:r>
          </w:p>
        </w:tc>
        <w:tc>
          <w:tcPr>
            <w:tcW w:w="691" w:type="pct"/>
            <w:vAlign w:val="center"/>
          </w:tcPr>
          <w:p w:rsidR="00644456" w:rsidRPr="00B35AB3" w:rsidRDefault="008031C4">
            <w:pPr>
              <w:jc w:val="center"/>
              <w:rPr>
                <w:b/>
                <w:bCs/>
                <w:color w:val="FF0000"/>
                <w:szCs w:val="21"/>
              </w:rPr>
            </w:pPr>
            <w:r w:rsidRPr="00B35AB3">
              <w:rPr>
                <w:rFonts w:hAnsi="宋体"/>
                <w:b/>
                <w:bCs/>
                <w:color w:val="FF0000"/>
                <w:szCs w:val="21"/>
              </w:rPr>
              <w:t>距离（</w:t>
            </w:r>
            <w:r w:rsidRPr="00B35AB3">
              <w:rPr>
                <w:b/>
                <w:bCs/>
                <w:color w:val="FF0000"/>
                <w:szCs w:val="21"/>
              </w:rPr>
              <w:t>m</w:t>
            </w:r>
            <w:r w:rsidRPr="00B35AB3">
              <w:rPr>
                <w:rFonts w:hAnsi="宋体"/>
                <w:b/>
                <w:bCs/>
                <w:color w:val="FF0000"/>
                <w:szCs w:val="21"/>
              </w:rPr>
              <w:t>）</w:t>
            </w:r>
          </w:p>
        </w:tc>
        <w:tc>
          <w:tcPr>
            <w:tcW w:w="998" w:type="pct"/>
            <w:vAlign w:val="center"/>
          </w:tcPr>
          <w:p w:rsidR="00644456" w:rsidRPr="00B35AB3" w:rsidRDefault="008031C4">
            <w:pPr>
              <w:spacing w:line="320" w:lineRule="exact"/>
              <w:jc w:val="center"/>
              <w:rPr>
                <w:b/>
                <w:bCs/>
                <w:color w:val="FF0000"/>
                <w:szCs w:val="21"/>
              </w:rPr>
            </w:pPr>
            <w:r w:rsidRPr="00B35AB3">
              <w:rPr>
                <w:rFonts w:hAnsi="宋体"/>
                <w:b/>
                <w:bCs/>
                <w:color w:val="FF0000"/>
                <w:szCs w:val="21"/>
              </w:rPr>
              <w:t>项目所在地环境功能</w:t>
            </w:r>
          </w:p>
        </w:tc>
        <w:tc>
          <w:tcPr>
            <w:tcW w:w="1315" w:type="pct"/>
            <w:vAlign w:val="center"/>
          </w:tcPr>
          <w:p w:rsidR="00644456" w:rsidRPr="00B35AB3" w:rsidRDefault="008031C4">
            <w:pPr>
              <w:spacing w:line="320" w:lineRule="exact"/>
              <w:jc w:val="center"/>
              <w:rPr>
                <w:rFonts w:hAnsi="宋体"/>
                <w:b/>
                <w:bCs/>
                <w:color w:val="FF0000"/>
                <w:szCs w:val="21"/>
              </w:rPr>
            </w:pPr>
            <w:r w:rsidRPr="00B35AB3">
              <w:rPr>
                <w:color w:val="FF0000"/>
              </w:rPr>
              <w:t>监测因子</w:t>
            </w:r>
          </w:p>
        </w:tc>
      </w:tr>
      <w:tr w:rsidR="00B35AB3" w:rsidRPr="00B35AB3" w:rsidTr="00B35AB3">
        <w:trPr>
          <w:trHeight w:val="248"/>
          <w:jc w:val="center"/>
        </w:trPr>
        <w:tc>
          <w:tcPr>
            <w:tcW w:w="356" w:type="pct"/>
            <w:vAlign w:val="center"/>
          </w:tcPr>
          <w:p w:rsidR="00644456" w:rsidRPr="00B35AB3" w:rsidRDefault="008031C4">
            <w:pPr>
              <w:spacing w:line="320" w:lineRule="exact"/>
              <w:jc w:val="center"/>
              <w:rPr>
                <w:color w:val="FF0000"/>
                <w:szCs w:val="21"/>
              </w:rPr>
            </w:pPr>
            <w:r w:rsidRPr="00B35AB3">
              <w:rPr>
                <w:color w:val="FF0000"/>
                <w:szCs w:val="21"/>
              </w:rPr>
              <w:t>1#</w:t>
            </w:r>
          </w:p>
        </w:tc>
        <w:tc>
          <w:tcPr>
            <w:tcW w:w="949" w:type="pct"/>
            <w:vAlign w:val="center"/>
          </w:tcPr>
          <w:p w:rsidR="00644456" w:rsidRPr="00B35AB3" w:rsidRDefault="008031C4">
            <w:pPr>
              <w:spacing w:line="320" w:lineRule="exact"/>
              <w:jc w:val="center"/>
              <w:rPr>
                <w:color w:val="FF0000"/>
                <w:szCs w:val="21"/>
              </w:rPr>
            </w:pPr>
            <w:r w:rsidRPr="00B35AB3">
              <w:rPr>
                <w:rFonts w:cs="Times New Roman" w:hint="eastAsia"/>
                <w:bCs/>
                <w:color w:val="FF0000"/>
                <w:szCs w:val="21"/>
              </w:rPr>
              <w:t>项目区下风向</w:t>
            </w:r>
            <w:r w:rsidRPr="00B35AB3">
              <w:rPr>
                <w:rFonts w:cs="Times New Roman" w:hint="eastAsia"/>
                <w:bCs/>
                <w:color w:val="FF0000"/>
                <w:szCs w:val="21"/>
              </w:rPr>
              <w:t>1</w:t>
            </w:r>
            <w:r w:rsidRPr="00B35AB3">
              <w:rPr>
                <w:rFonts w:cs="Times New Roman" w:hint="eastAsia"/>
                <w:bCs/>
                <w:color w:val="FF0000"/>
                <w:szCs w:val="21"/>
                <w:vertAlign w:val="superscript"/>
              </w:rPr>
              <w:t>#</w:t>
            </w:r>
          </w:p>
        </w:tc>
        <w:tc>
          <w:tcPr>
            <w:tcW w:w="691" w:type="pct"/>
            <w:vAlign w:val="center"/>
          </w:tcPr>
          <w:p w:rsidR="00644456" w:rsidRPr="00B35AB3" w:rsidRDefault="008031C4">
            <w:pPr>
              <w:spacing w:line="320" w:lineRule="exact"/>
              <w:jc w:val="center"/>
              <w:rPr>
                <w:color w:val="FF0000"/>
                <w:szCs w:val="21"/>
              </w:rPr>
            </w:pPr>
            <w:r w:rsidRPr="00B35AB3">
              <w:rPr>
                <w:rFonts w:hAnsi="宋体" w:hint="eastAsia"/>
                <w:color w:val="FF0000"/>
                <w:szCs w:val="21"/>
              </w:rPr>
              <w:t>项目东南侧</w:t>
            </w:r>
          </w:p>
        </w:tc>
        <w:tc>
          <w:tcPr>
            <w:tcW w:w="691" w:type="pct"/>
            <w:vAlign w:val="center"/>
          </w:tcPr>
          <w:p w:rsidR="00644456" w:rsidRPr="00B35AB3" w:rsidRDefault="008031C4">
            <w:pPr>
              <w:spacing w:line="320" w:lineRule="exact"/>
              <w:jc w:val="center"/>
              <w:rPr>
                <w:color w:val="FF0000"/>
                <w:szCs w:val="21"/>
              </w:rPr>
            </w:pPr>
            <w:r w:rsidRPr="00B35AB3">
              <w:rPr>
                <w:rFonts w:hint="eastAsia"/>
                <w:color w:val="FF0000"/>
                <w:szCs w:val="21"/>
              </w:rPr>
              <w:t>0.5km</w:t>
            </w:r>
          </w:p>
        </w:tc>
        <w:tc>
          <w:tcPr>
            <w:tcW w:w="998" w:type="pct"/>
            <w:vAlign w:val="center"/>
          </w:tcPr>
          <w:p w:rsidR="00644456" w:rsidRPr="00B35AB3" w:rsidRDefault="008031C4">
            <w:pPr>
              <w:spacing w:line="320" w:lineRule="exact"/>
              <w:jc w:val="center"/>
              <w:rPr>
                <w:color w:val="FF0000"/>
                <w:szCs w:val="21"/>
              </w:rPr>
            </w:pPr>
            <w:r w:rsidRPr="00B35AB3">
              <w:rPr>
                <w:rFonts w:hAnsi="宋体"/>
                <w:color w:val="FF0000"/>
                <w:szCs w:val="21"/>
              </w:rPr>
              <w:t>二类</w:t>
            </w:r>
          </w:p>
        </w:tc>
        <w:tc>
          <w:tcPr>
            <w:tcW w:w="1315" w:type="pct"/>
            <w:vAlign w:val="center"/>
          </w:tcPr>
          <w:p w:rsidR="00644456" w:rsidRPr="00B35AB3" w:rsidRDefault="008031C4">
            <w:pPr>
              <w:spacing w:line="320" w:lineRule="exact"/>
              <w:jc w:val="center"/>
              <w:rPr>
                <w:rFonts w:hAnsi="宋体"/>
                <w:color w:val="FF0000"/>
                <w:szCs w:val="21"/>
              </w:rPr>
            </w:pPr>
            <w:r w:rsidRPr="00B35AB3">
              <w:rPr>
                <w:rFonts w:hint="eastAsia"/>
                <w:color w:val="FF0000"/>
              </w:rPr>
              <w:t>非甲烷总烃</w:t>
            </w:r>
          </w:p>
        </w:tc>
      </w:tr>
      <w:tr w:rsidR="00B35AB3" w:rsidRPr="00B35AB3" w:rsidTr="00B35AB3">
        <w:trPr>
          <w:trHeight w:val="90"/>
          <w:jc w:val="center"/>
        </w:trPr>
        <w:tc>
          <w:tcPr>
            <w:tcW w:w="356" w:type="pct"/>
            <w:vAlign w:val="center"/>
          </w:tcPr>
          <w:p w:rsidR="00644456" w:rsidRPr="00B35AB3" w:rsidRDefault="008031C4">
            <w:pPr>
              <w:spacing w:line="320" w:lineRule="exact"/>
              <w:jc w:val="center"/>
              <w:rPr>
                <w:color w:val="FF0000"/>
                <w:szCs w:val="21"/>
              </w:rPr>
            </w:pPr>
            <w:r w:rsidRPr="00B35AB3">
              <w:rPr>
                <w:rFonts w:hint="eastAsia"/>
                <w:color w:val="FF0000"/>
                <w:szCs w:val="21"/>
              </w:rPr>
              <w:t>2#</w:t>
            </w:r>
          </w:p>
        </w:tc>
        <w:tc>
          <w:tcPr>
            <w:tcW w:w="949" w:type="pct"/>
            <w:vAlign w:val="center"/>
          </w:tcPr>
          <w:p w:rsidR="00644456" w:rsidRPr="00B35AB3" w:rsidRDefault="008031C4">
            <w:pPr>
              <w:spacing w:line="360" w:lineRule="exact"/>
              <w:jc w:val="center"/>
              <w:rPr>
                <w:rFonts w:cs="Times New Roman"/>
                <w:bCs/>
                <w:color w:val="FF0000"/>
                <w:szCs w:val="21"/>
              </w:rPr>
            </w:pPr>
            <w:r w:rsidRPr="00B35AB3">
              <w:rPr>
                <w:rFonts w:cs="Times New Roman" w:hint="eastAsia"/>
                <w:color w:val="FF0000"/>
                <w:kern w:val="0"/>
                <w:szCs w:val="21"/>
              </w:rPr>
              <w:t>DQ1#</w:t>
            </w:r>
          </w:p>
        </w:tc>
        <w:tc>
          <w:tcPr>
            <w:tcW w:w="691" w:type="pct"/>
            <w:vAlign w:val="center"/>
          </w:tcPr>
          <w:p w:rsidR="00644456" w:rsidRPr="00B35AB3" w:rsidRDefault="008031C4">
            <w:pPr>
              <w:spacing w:line="320" w:lineRule="exact"/>
              <w:jc w:val="center"/>
              <w:rPr>
                <w:rFonts w:hAnsi="宋体"/>
                <w:color w:val="FF0000"/>
                <w:szCs w:val="21"/>
              </w:rPr>
            </w:pPr>
            <w:r w:rsidRPr="00B35AB3">
              <w:rPr>
                <w:rFonts w:hAnsi="宋体" w:hint="eastAsia"/>
                <w:color w:val="FF0000"/>
                <w:szCs w:val="21"/>
              </w:rPr>
              <w:t>项目北侧</w:t>
            </w:r>
          </w:p>
        </w:tc>
        <w:tc>
          <w:tcPr>
            <w:tcW w:w="691" w:type="pct"/>
            <w:vAlign w:val="center"/>
          </w:tcPr>
          <w:p w:rsidR="00644456" w:rsidRPr="00B35AB3" w:rsidRDefault="008031C4">
            <w:pPr>
              <w:spacing w:line="320" w:lineRule="exact"/>
              <w:jc w:val="center"/>
              <w:rPr>
                <w:color w:val="FF0000"/>
                <w:szCs w:val="21"/>
              </w:rPr>
            </w:pPr>
            <w:r w:rsidRPr="00B35AB3">
              <w:rPr>
                <w:rFonts w:hint="eastAsia"/>
                <w:color w:val="FF0000"/>
                <w:szCs w:val="21"/>
              </w:rPr>
              <w:t>0.6km</w:t>
            </w:r>
          </w:p>
        </w:tc>
        <w:tc>
          <w:tcPr>
            <w:tcW w:w="998" w:type="pct"/>
            <w:vAlign w:val="center"/>
          </w:tcPr>
          <w:p w:rsidR="00644456" w:rsidRPr="00B35AB3" w:rsidRDefault="008031C4">
            <w:pPr>
              <w:spacing w:line="320" w:lineRule="exact"/>
              <w:jc w:val="center"/>
              <w:rPr>
                <w:rFonts w:hAnsi="宋体"/>
                <w:color w:val="FF0000"/>
                <w:szCs w:val="21"/>
              </w:rPr>
            </w:pPr>
            <w:r w:rsidRPr="00B35AB3">
              <w:rPr>
                <w:rFonts w:hAnsi="宋体"/>
                <w:color w:val="FF0000"/>
                <w:szCs w:val="21"/>
              </w:rPr>
              <w:t>二类</w:t>
            </w:r>
          </w:p>
        </w:tc>
        <w:tc>
          <w:tcPr>
            <w:tcW w:w="1315" w:type="pct"/>
            <w:vMerge w:val="restart"/>
            <w:vAlign w:val="center"/>
          </w:tcPr>
          <w:p w:rsidR="00644456" w:rsidRPr="00B35AB3" w:rsidRDefault="008031C4">
            <w:pPr>
              <w:spacing w:line="320" w:lineRule="exact"/>
              <w:jc w:val="center"/>
              <w:rPr>
                <w:rFonts w:hAnsi="宋体"/>
                <w:color w:val="FF0000"/>
                <w:szCs w:val="21"/>
              </w:rPr>
            </w:pPr>
            <w:r w:rsidRPr="00B35AB3">
              <w:rPr>
                <w:rFonts w:cs="Times New Roman"/>
                <w:color w:val="FF0000"/>
                <w:kern w:val="0"/>
                <w:szCs w:val="21"/>
              </w:rPr>
              <w:t>氨（</w:t>
            </w:r>
            <w:r w:rsidRPr="00B35AB3">
              <w:rPr>
                <w:rFonts w:cs="Times New Roman"/>
                <w:color w:val="FF0000"/>
                <w:kern w:val="0"/>
                <w:szCs w:val="21"/>
              </w:rPr>
              <w:t>1h</w:t>
            </w:r>
            <w:r w:rsidRPr="00B35AB3">
              <w:rPr>
                <w:rFonts w:cs="Times New Roman"/>
                <w:color w:val="FF0000"/>
                <w:kern w:val="0"/>
                <w:szCs w:val="21"/>
              </w:rPr>
              <w:t>平均）、硫化氢（</w:t>
            </w:r>
            <w:r w:rsidRPr="00B35AB3">
              <w:rPr>
                <w:rFonts w:cs="Times New Roman"/>
                <w:color w:val="FF0000"/>
                <w:kern w:val="0"/>
                <w:szCs w:val="21"/>
              </w:rPr>
              <w:t>1h</w:t>
            </w:r>
            <w:r w:rsidRPr="00B35AB3">
              <w:rPr>
                <w:rFonts w:cs="Times New Roman"/>
                <w:color w:val="FF0000"/>
                <w:kern w:val="0"/>
                <w:szCs w:val="21"/>
              </w:rPr>
              <w:t>平均）、臭气浓度、氮氧化物（</w:t>
            </w:r>
            <w:r w:rsidRPr="00B35AB3">
              <w:rPr>
                <w:rFonts w:cs="Times New Roman"/>
                <w:color w:val="FF0000"/>
                <w:kern w:val="0"/>
                <w:szCs w:val="21"/>
              </w:rPr>
              <w:t>1h</w:t>
            </w:r>
            <w:r w:rsidRPr="00B35AB3">
              <w:rPr>
                <w:rFonts w:cs="Times New Roman"/>
                <w:color w:val="FF0000"/>
                <w:kern w:val="0"/>
                <w:szCs w:val="21"/>
              </w:rPr>
              <w:t>平均）</w:t>
            </w:r>
            <w:r w:rsidRPr="00B35AB3">
              <w:rPr>
                <w:rFonts w:cs="Times New Roman" w:hint="eastAsia"/>
                <w:color w:val="FF0000"/>
                <w:kern w:val="0"/>
                <w:szCs w:val="21"/>
              </w:rPr>
              <w:t>、总悬浮颗粒物（</w:t>
            </w:r>
            <w:r w:rsidRPr="00B35AB3">
              <w:rPr>
                <w:rFonts w:cs="Times New Roman" w:hint="eastAsia"/>
                <w:color w:val="FF0000"/>
                <w:kern w:val="0"/>
                <w:szCs w:val="21"/>
              </w:rPr>
              <w:t>24h</w:t>
            </w:r>
            <w:r w:rsidRPr="00B35AB3">
              <w:rPr>
                <w:rFonts w:cs="Times New Roman" w:hint="eastAsia"/>
                <w:color w:val="FF0000"/>
                <w:kern w:val="0"/>
                <w:szCs w:val="21"/>
              </w:rPr>
              <w:t>平均）</w:t>
            </w:r>
          </w:p>
        </w:tc>
      </w:tr>
      <w:tr w:rsidR="00B35AB3" w:rsidRPr="00B35AB3" w:rsidTr="00B35AB3">
        <w:trPr>
          <w:trHeight w:val="248"/>
          <w:jc w:val="center"/>
        </w:trPr>
        <w:tc>
          <w:tcPr>
            <w:tcW w:w="356" w:type="pct"/>
            <w:vAlign w:val="center"/>
          </w:tcPr>
          <w:p w:rsidR="00644456" w:rsidRPr="00B35AB3" w:rsidRDefault="008031C4">
            <w:pPr>
              <w:spacing w:line="320" w:lineRule="exact"/>
              <w:jc w:val="center"/>
              <w:rPr>
                <w:color w:val="FF0000"/>
                <w:szCs w:val="21"/>
              </w:rPr>
            </w:pPr>
            <w:r w:rsidRPr="00B35AB3">
              <w:rPr>
                <w:rFonts w:hint="eastAsia"/>
                <w:color w:val="FF0000"/>
                <w:szCs w:val="21"/>
              </w:rPr>
              <w:t>3#</w:t>
            </w:r>
          </w:p>
        </w:tc>
        <w:tc>
          <w:tcPr>
            <w:tcW w:w="949" w:type="pct"/>
            <w:vAlign w:val="center"/>
          </w:tcPr>
          <w:p w:rsidR="00644456" w:rsidRPr="00B35AB3" w:rsidRDefault="008031C4">
            <w:pPr>
              <w:spacing w:line="360" w:lineRule="exact"/>
              <w:jc w:val="center"/>
              <w:rPr>
                <w:rFonts w:cs="Times New Roman"/>
                <w:bCs/>
                <w:color w:val="FF0000"/>
                <w:szCs w:val="21"/>
              </w:rPr>
            </w:pPr>
            <w:r w:rsidRPr="00B35AB3">
              <w:rPr>
                <w:rFonts w:cs="Times New Roman" w:hint="eastAsia"/>
                <w:color w:val="FF0000"/>
                <w:kern w:val="0"/>
                <w:szCs w:val="21"/>
              </w:rPr>
              <w:t>DQ2#</w:t>
            </w:r>
          </w:p>
        </w:tc>
        <w:tc>
          <w:tcPr>
            <w:tcW w:w="691" w:type="pct"/>
            <w:vAlign w:val="center"/>
          </w:tcPr>
          <w:p w:rsidR="00644456" w:rsidRPr="00B35AB3" w:rsidRDefault="008031C4">
            <w:pPr>
              <w:spacing w:line="320" w:lineRule="exact"/>
              <w:jc w:val="center"/>
              <w:rPr>
                <w:rFonts w:hAnsi="宋体"/>
                <w:color w:val="FF0000"/>
                <w:szCs w:val="21"/>
              </w:rPr>
            </w:pPr>
            <w:r w:rsidRPr="00B35AB3">
              <w:rPr>
                <w:rFonts w:hAnsi="宋体" w:hint="eastAsia"/>
                <w:color w:val="FF0000"/>
                <w:szCs w:val="21"/>
              </w:rPr>
              <w:t>项目东北侧</w:t>
            </w:r>
          </w:p>
        </w:tc>
        <w:tc>
          <w:tcPr>
            <w:tcW w:w="691" w:type="pct"/>
            <w:vAlign w:val="center"/>
          </w:tcPr>
          <w:p w:rsidR="00644456" w:rsidRPr="00B35AB3" w:rsidRDefault="008031C4">
            <w:pPr>
              <w:spacing w:line="320" w:lineRule="exact"/>
              <w:jc w:val="center"/>
              <w:rPr>
                <w:color w:val="FF0000"/>
                <w:szCs w:val="21"/>
              </w:rPr>
            </w:pPr>
            <w:r w:rsidRPr="00B35AB3">
              <w:rPr>
                <w:rFonts w:hint="eastAsia"/>
                <w:color w:val="FF0000"/>
                <w:szCs w:val="21"/>
              </w:rPr>
              <w:t>0.3km</w:t>
            </w:r>
          </w:p>
        </w:tc>
        <w:tc>
          <w:tcPr>
            <w:tcW w:w="998" w:type="pct"/>
            <w:vAlign w:val="center"/>
          </w:tcPr>
          <w:p w:rsidR="00644456" w:rsidRPr="00B35AB3" w:rsidRDefault="008031C4">
            <w:pPr>
              <w:spacing w:line="320" w:lineRule="exact"/>
              <w:jc w:val="center"/>
              <w:rPr>
                <w:rFonts w:hAnsi="宋体"/>
                <w:color w:val="FF0000"/>
                <w:szCs w:val="21"/>
              </w:rPr>
            </w:pPr>
            <w:r w:rsidRPr="00B35AB3">
              <w:rPr>
                <w:rFonts w:hAnsi="宋体"/>
                <w:color w:val="FF0000"/>
                <w:szCs w:val="21"/>
              </w:rPr>
              <w:t>二类</w:t>
            </w:r>
          </w:p>
        </w:tc>
        <w:tc>
          <w:tcPr>
            <w:tcW w:w="1315" w:type="pct"/>
            <w:vMerge/>
            <w:vAlign w:val="center"/>
          </w:tcPr>
          <w:p w:rsidR="00644456" w:rsidRPr="00B35AB3" w:rsidRDefault="00644456">
            <w:pPr>
              <w:spacing w:line="320" w:lineRule="exact"/>
              <w:jc w:val="center"/>
              <w:rPr>
                <w:rFonts w:hAnsi="宋体"/>
                <w:color w:val="FF0000"/>
                <w:szCs w:val="21"/>
              </w:rPr>
            </w:pPr>
          </w:p>
        </w:tc>
      </w:tr>
    </w:tbl>
    <w:p w:rsidR="00644456" w:rsidRDefault="008031C4">
      <w:pPr>
        <w:pStyle w:val="1fd"/>
        <w:rPr>
          <w:color w:val="000000" w:themeColor="text1"/>
        </w:rPr>
      </w:pPr>
      <w:r>
        <w:rPr>
          <w:color w:val="000000" w:themeColor="text1"/>
        </w:rPr>
        <w:t>（</w:t>
      </w:r>
      <w:r>
        <w:rPr>
          <w:color w:val="000000" w:themeColor="text1"/>
        </w:rPr>
        <w:t>2</w:t>
      </w:r>
      <w:r>
        <w:rPr>
          <w:color w:val="000000" w:themeColor="text1"/>
        </w:rPr>
        <w:t>）监测因子</w:t>
      </w:r>
    </w:p>
    <w:p w:rsidR="00644456" w:rsidRDefault="008031C4">
      <w:pPr>
        <w:pStyle w:val="1fd"/>
        <w:rPr>
          <w:color w:val="000000" w:themeColor="text1"/>
        </w:rPr>
      </w:pPr>
      <w:r>
        <w:rPr>
          <w:rFonts w:hint="eastAsia"/>
          <w:color w:val="000000" w:themeColor="text1"/>
        </w:rPr>
        <w:t>非甲烷总烃、颗粒物、氮氧化物、氨、硫化氢和臭气浓度</w:t>
      </w:r>
      <w:r>
        <w:rPr>
          <w:color w:val="000000" w:themeColor="text1"/>
        </w:rPr>
        <w:t>。</w:t>
      </w:r>
    </w:p>
    <w:p w:rsidR="00644456" w:rsidRDefault="008031C4">
      <w:pPr>
        <w:pStyle w:val="1fd"/>
        <w:rPr>
          <w:color w:val="000000" w:themeColor="text1"/>
        </w:rPr>
      </w:pPr>
      <w:r>
        <w:rPr>
          <w:color w:val="000000" w:themeColor="text1"/>
        </w:rPr>
        <w:t>（</w:t>
      </w:r>
      <w:r>
        <w:rPr>
          <w:color w:val="000000" w:themeColor="text1"/>
        </w:rPr>
        <w:t>3</w:t>
      </w:r>
      <w:r>
        <w:rPr>
          <w:color w:val="000000" w:themeColor="text1"/>
        </w:rPr>
        <w:t>）监测时间及频次</w:t>
      </w:r>
    </w:p>
    <w:p w:rsidR="00644456" w:rsidRDefault="008031C4">
      <w:pPr>
        <w:pStyle w:val="1fd"/>
        <w:rPr>
          <w:color w:val="000000" w:themeColor="text1"/>
        </w:rPr>
      </w:pPr>
      <w:r>
        <w:rPr>
          <w:rFonts w:hint="eastAsia"/>
          <w:color w:val="000000" w:themeColor="text1"/>
        </w:rPr>
        <w:t>连续监测</w:t>
      </w:r>
      <w:r>
        <w:rPr>
          <w:rFonts w:hint="eastAsia"/>
          <w:color w:val="000000" w:themeColor="text1"/>
        </w:rPr>
        <w:t>7</w:t>
      </w:r>
      <w:r>
        <w:rPr>
          <w:rFonts w:hint="eastAsia"/>
          <w:color w:val="000000" w:themeColor="text1"/>
        </w:rPr>
        <w:t>天进行，每天监测</w:t>
      </w:r>
      <w:r>
        <w:rPr>
          <w:rFonts w:hint="eastAsia"/>
          <w:color w:val="000000" w:themeColor="text1"/>
        </w:rPr>
        <w:t>4</w:t>
      </w:r>
      <w:r>
        <w:rPr>
          <w:rFonts w:hint="eastAsia"/>
          <w:color w:val="000000" w:themeColor="text1"/>
        </w:rPr>
        <w:t>次</w:t>
      </w:r>
      <w:r>
        <w:rPr>
          <w:color w:val="000000" w:themeColor="text1"/>
        </w:rPr>
        <w:t>。</w:t>
      </w:r>
    </w:p>
    <w:p w:rsidR="00644456" w:rsidRDefault="008031C4">
      <w:pPr>
        <w:pStyle w:val="1fd"/>
        <w:rPr>
          <w:color w:val="000000" w:themeColor="text1"/>
        </w:rPr>
      </w:pPr>
      <w:r>
        <w:rPr>
          <w:color w:val="000000" w:themeColor="text1"/>
        </w:rPr>
        <w:t>（</w:t>
      </w:r>
      <w:r>
        <w:rPr>
          <w:rFonts w:hint="eastAsia"/>
          <w:color w:val="000000" w:themeColor="text1"/>
        </w:rPr>
        <w:t>4</w:t>
      </w:r>
      <w:r>
        <w:rPr>
          <w:color w:val="000000" w:themeColor="text1"/>
        </w:rPr>
        <w:t>）评价标准</w:t>
      </w:r>
    </w:p>
    <w:p w:rsidR="00644456" w:rsidRDefault="008031C4">
      <w:pPr>
        <w:pStyle w:val="1fd"/>
        <w:rPr>
          <w:color w:val="000000" w:themeColor="text1"/>
        </w:rPr>
      </w:pPr>
      <w:r>
        <w:rPr>
          <w:rFonts w:hint="eastAsia"/>
          <w:color w:val="000000" w:themeColor="text1"/>
        </w:rPr>
        <w:lastRenderedPageBreak/>
        <w:t>非甲烷总烃</w:t>
      </w:r>
      <w:r>
        <w:rPr>
          <w:color w:val="000000" w:themeColor="text1"/>
        </w:rPr>
        <w:t>执行</w:t>
      </w:r>
      <w:r>
        <w:rPr>
          <w:rFonts w:hint="eastAsia"/>
          <w:color w:val="000000" w:themeColor="text1"/>
        </w:rPr>
        <w:t>《大气污染物综合排放标准详解》推荐值要求，氨、硫化氢执行《环境影响评价技术导则大气环境》（</w:t>
      </w:r>
      <w:r>
        <w:rPr>
          <w:rFonts w:hint="eastAsia"/>
          <w:color w:val="000000" w:themeColor="text1"/>
        </w:rPr>
        <w:t>HJ2.2-2018</w:t>
      </w:r>
      <w:r>
        <w:rPr>
          <w:rFonts w:hint="eastAsia"/>
          <w:color w:val="000000" w:themeColor="text1"/>
        </w:rPr>
        <w:t>）附录</w:t>
      </w:r>
      <w:r>
        <w:rPr>
          <w:rFonts w:hint="eastAsia"/>
          <w:color w:val="000000" w:themeColor="text1"/>
        </w:rPr>
        <w:t>D</w:t>
      </w:r>
      <w:r>
        <w:rPr>
          <w:rFonts w:hint="eastAsia"/>
          <w:color w:val="000000" w:themeColor="text1"/>
        </w:rPr>
        <w:t>标准限值要求，总悬浮颗粒物、氮氧化物执行《环境空气质量标准》（</w:t>
      </w:r>
      <w:r>
        <w:rPr>
          <w:rFonts w:hint="eastAsia"/>
          <w:color w:val="000000" w:themeColor="text1"/>
        </w:rPr>
        <w:t>GB3095-2012</w:t>
      </w:r>
      <w:r>
        <w:rPr>
          <w:rFonts w:hint="eastAsia"/>
          <w:color w:val="000000" w:themeColor="text1"/>
        </w:rPr>
        <w:t>）二级标准限值要求，由于臭气浓度国家未发布相关质量标准，因此本次评价仅列出监测结果。</w:t>
      </w:r>
      <w:r>
        <w:rPr>
          <w:color w:val="000000" w:themeColor="text1"/>
        </w:rPr>
        <w:t>具体限值见表</w:t>
      </w:r>
      <w:r>
        <w:rPr>
          <w:rFonts w:hint="eastAsia"/>
          <w:color w:val="000000" w:themeColor="text1"/>
        </w:rPr>
        <w:t>3.3-3</w:t>
      </w:r>
      <w:r>
        <w:rPr>
          <w:color w:val="000000" w:themeColor="text1"/>
        </w:rPr>
        <w:t>。</w:t>
      </w:r>
    </w:p>
    <w:p w:rsidR="00644456" w:rsidRDefault="008031C4">
      <w:pPr>
        <w:autoSpaceDE w:val="0"/>
        <w:autoSpaceDN w:val="0"/>
        <w:adjustRightInd w:val="0"/>
        <w:jc w:val="center"/>
        <w:rPr>
          <w:rFonts w:cs="Times New Roman"/>
          <w:b/>
          <w:color w:val="000000" w:themeColor="text1"/>
          <w:sz w:val="24"/>
          <w:szCs w:val="20"/>
          <w:vertAlign w:val="superscript"/>
        </w:rPr>
      </w:pPr>
      <w:r>
        <w:rPr>
          <w:rFonts w:cs="Times New Roman" w:hint="eastAsia"/>
          <w:b/>
          <w:color w:val="000000" w:themeColor="text1"/>
          <w:sz w:val="24"/>
          <w:szCs w:val="20"/>
        </w:rPr>
        <w:t>表</w:t>
      </w:r>
      <w:r>
        <w:rPr>
          <w:rFonts w:cs="Times New Roman" w:hint="eastAsia"/>
          <w:b/>
          <w:color w:val="000000" w:themeColor="text1"/>
          <w:sz w:val="24"/>
          <w:szCs w:val="20"/>
        </w:rPr>
        <w:t>3.3-3</w:t>
      </w:r>
      <w:r>
        <w:rPr>
          <w:rFonts w:cs="Times New Roman" w:hint="eastAsia"/>
          <w:b/>
          <w:color w:val="000000" w:themeColor="text1"/>
          <w:sz w:val="24"/>
          <w:szCs w:val="20"/>
        </w:rPr>
        <w:t>区域环境空气质量标准值单位：μ</w:t>
      </w:r>
      <w:r>
        <w:rPr>
          <w:rFonts w:cs="Times New Roman" w:hint="eastAsia"/>
          <w:b/>
          <w:color w:val="000000" w:themeColor="text1"/>
          <w:sz w:val="24"/>
          <w:szCs w:val="20"/>
        </w:rPr>
        <w:t>g/m</w:t>
      </w:r>
      <w:r>
        <w:rPr>
          <w:rFonts w:cs="Times New Roman" w:hint="eastAsia"/>
          <w:b/>
          <w:color w:val="000000" w:themeColor="text1"/>
          <w:sz w:val="24"/>
          <w:szCs w:val="20"/>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3"/>
        <w:gridCol w:w="1276"/>
        <w:gridCol w:w="1275"/>
        <w:gridCol w:w="1284"/>
        <w:gridCol w:w="3663"/>
      </w:tblGrid>
      <w:tr w:rsidR="00644456" w:rsidRPr="00B35AB3">
        <w:trPr>
          <w:cantSplit/>
          <w:jc w:val="center"/>
        </w:trPr>
        <w:tc>
          <w:tcPr>
            <w:tcW w:w="871" w:type="pct"/>
            <w:vMerge w:val="restart"/>
            <w:vAlign w:val="center"/>
          </w:tcPr>
          <w:p w:rsidR="00644456" w:rsidRPr="00B35AB3" w:rsidRDefault="008031C4">
            <w:pPr>
              <w:adjustRightInd w:val="0"/>
              <w:jc w:val="center"/>
              <w:rPr>
                <w:b/>
                <w:bCs/>
                <w:color w:val="FF0000"/>
                <w:szCs w:val="21"/>
              </w:rPr>
            </w:pPr>
            <w:r w:rsidRPr="00B35AB3">
              <w:rPr>
                <w:rFonts w:ascii="宋体" w:hAnsi="宋体" w:hint="eastAsia"/>
                <w:b/>
                <w:bCs/>
                <w:color w:val="FF0000"/>
                <w:szCs w:val="21"/>
              </w:rPr>
              <w:t>污染物</w:t>
            </w:r>
          </w:p>
        </w:tc>
        <w:tc>
          <w:tcPr>
            <w:tcW w:w="2111" w:type="pct"/>
            <w:gridSpan w:val="3"/>
            <w:vAlign w:val="center"/>
          </w:tcPr>
          <w:p w:rsidR="00644456" w:rsidRPr="00B35AB3" w:rsidRDefault="008031C4">
            <w:pPr>
              <w:adjustRightInd w:val="0"/>
              <w:jc w:val="center"/>
              <w:rPr>
                <w:b/>
                <w:bCs/>
                <w:color w:val="FF0000"/>
                <w:szCs w:val="21"/>
              </w:rPr>
            </w:pPr>
            <w:r w:rsidRPr="00B35AB3">
              <w:rPr>
                <w:rFonts w:ascii="宋体" w:hAnsi="宋体" w:hint="eastAsia"/>
                <w:b/>
                <w:bCs/>
                <w:color w:val="FF0000"/>
                <w:szCs w:val="21"/>
              </w:rPr>
              <w:t>各项污染物的浓度限值</w:t>
            </w:r>
          </w:p>
        </w:tc>
        <w:tc>
          <w:tcPr>
            <w:tcW w:w="2017" w:type="pct"/>
            <w:vMerge w:val="restart"/>
            <w:vAlign w:val="center"/>
          </w:tcPr>
          <w:p w:rsidR="00644456" w:rsidRPr="00B35AB3" w:rsidRDefault="008031C4">
            <w:pPr>
              <w:adjustRightInd w:val="0"/>
              <w:jc w:val="center"/>
              <w:rPr>
                <w:b/>
                <w:bCs/>
                <w:color w:val="FF0000"/>
                <w:szCs w:val="21"/>
              </w:rPr>
            </w:pPr>
            <w:r w:rsidRPr="00B35AB3">
              <w:rPr>
                <w:rFonts w:ascii="宋体" w:hAnsi="宋体" w:hint="eastAsia"/>
                <w:b/>
                <w:bCs/>
                <w:color w:val="FF0000"/>
                <w:szCs w:val="21"/>
              </w:rPr>
              <w:t>依据</w:t>
            </w:r>
          </w:p>
        </w:tc>
      </w:tr>
      <w:tr w:rsidR="00644456" w:rsidRPr="00B35AB3">
        <w:trPr>
          <w:cantSplit/>
          <w:jc w:val="center"/>
        </w:trPr>
        <w:tc>
          <w:tcPr>
            <w:tcW w:w="871" w:type="pct"/>
            <w:vMerge/>
            <w:vAlign w:val="center"/>
          </w:tcPr>
          <w:p w:rsidR="00644456" w:rsidRPr="00B35AB3" w:rsidRDefault="00644456">
            <w:pPr>
              <w:autoSpaceDE w:val="0"/>
              <w:autoSpaceDN w:val="0"/>
              <w:adjustRightInd w:val="0"/>
              <w:jc w:val="center"/>
              <w:rPr>
                <w:color w:val="FF0000"/>
                <w:szCs w:val="21"/>
              </w:rPr>
            </w:pPr>
          </w:p>
        </w:tc>
        <w:tc>
          <w:tcPr>
            <w:tcW w:w="702" w:type="pct"/>
            <w:vAlign w:val="center"/>
          </w:tcPr>
          <w:p w:rsidR="00644456" w:rsidRPr="00B35AB3" w:rsidRDefault="008031C4">
            <w:pPr>
              <w:autoSpaceDE w:val="0"/>
              <w:autoSpaceDN w:val="0"/>
              <w:adjustRightInd w:val="0"/>
              <w:jc w:val="center"/>
              <w:rPr>
                <w:color w:val="FF0000"/>
                <w:szCs w:val="21"/>
              </w:rPr>
            </w:pPr>
            <w:r w:rsidRPr="00B35AB3">
              <w:rPr>
                <w:rFonts w:hint="eastAsia"/>
                <w:color w:val="FF0000"/>
                <w:szCs w:val="21"/>
              </w:rPr>
              <w:t>1</w:t>
            </w:r>
            <w:r w:rsidRPr="00B35AB3">
              <w:rPr>
                <w:rFonts w:hint="eastAsia"/>
                <w:color w:val="FF0000"/>
                <w:szCs w:val="21"/>
              </w:rPr>
              <w:t>小时平均</w:t>
            </w:r>
          </w:p>
        </w:tc>
        <w:tc>
          <w:tcPr>
            <w:tcW w:w="702" w:type="pct"/>
            <w:vAlign w:val="center"/>
          </w:tcPr>
          <w:p w:rsidR="00644456" w:rsidRPr="00B35AB3" w:rsidRDefault="008031C4">
            <w:pPr>
              <w:autoSpaceDE w:val="0"/>
              <w:autoSpaceDN w:val="0"/>
              <w:adjustRightInd w:val="0"/>
              <w:jc w:val="center"/>
              <w:rPr>
                <w:color w:val="FF0000"/>
                <w:szCs w:val="21"/>
              </w:rPr>
            </w:pPr>
            <w:r w:rsidRPr="00B35AB3">
              <w:rPr>
                <w:rFonts w:hint="eastAsia"/>
                <w:color w:val="FF0000"/>
                <w:szCs w:val="21"/>
              </w:rPr>
              <w:t>日平均</w:t>
            </w:r>
          </w:p>
        </w:tc>
        <w:tc>
          <w:tcPr>
            <w:tcW w:w="706" w:type="pct"/>
            <w:vAlign w:val="center"/>
          </w:tcPr>
          <w:p w:rsidR="00644456" w:rsidRPr="00B35AB3" w:rsidRDefault="008031C4">
            <w:pPr>
              <w:autoSpaceDE w:val="0"/>
              <w:autoSpaceDN w:val="0"/>
              <w:adjustRightInd w:val="0"/>
              <w:jc w:val="center"/>
              <w:rPr>
                <w:color w:val="FF0000"/>
                <w:szCs w:val="21"/>
              </w:rPr>
            </w:pPr>
            <w:r w:rsidRPr="00B35AB3">
              <w:rPr>
                <w:rFonts w:hint="eastAsia"/>
                <w:color w:val="FF0000"/>
                <w:szCs w:val="21"/>
              </w:rPr>
              <w:t>年平均</w:t>
            </w:r>
          </w:p>
        </w:tc>
        <w:tc>
          <w:tcPr>
            <w:tcW w:w="2017" w:type="pct"/>
            <w:vMerge/>
            <w:vAlign w:val="center"/>
          </w:tcPr>
          <w:p w:rsidR="00644456" w:rsidRPr="00B35AB3" w:rsidRDefault="00644456">
            <w:pPr>
              <w:autoSpaceDE w:val="0"/>
              <w:autoSpaceDN w:val="0"/>
              <w:adjustRightInd w:val="0"/>
              <w:jc w:val="center"/>
              <w:rPr>
                <w:color w:val="FF0000"/>
                <w:szCs w:val="21"/>
              </w:rPr>
            </w:pPr>
          </w:p>
        </w:tc>
      </w:tr>
      <w:tr w:rsidR="00644456" w:rsidRPr="00B35AB3">
        <w:trPr>
          <w:cantSplit/>
          <w:jc w:val="center"/>
        </w:trPr>
        <w:tc>
          <w:tcPr>
            <w:tcW w:w="871" w:type="pct"/>
            <w:vAlign w:val="center"/>
          </w:tcPr>
          <w:p w:rsidR="00644456" w:rsidRPr="00B35AB3" w:rsidRDefault="008031C4">
            <w:pPr>
              <w:autoSpaceDE w:val="0"/>
              <w:autoSpaceDN w:val="0"/>
              <w:adjustRightInd w:val="0"/>
              <w:jc w:val="center"/>
              <w:rPr>
                <w:color w:val="FF0000"/>
                <w:szCs w:val="21"/>
              </w:rPr>
            </w:pPr>
            <w:r w:rsidRPr="00B35AB3">
              <w:rPr>
                <w:rFonts w:hint="eastAsia"/>
                <w:color w:val="FF0000"/>
              </w:rPr>
              <w:t>非甲烷总烃</w:t>
            </w:r>
          </w:p>
        </w:tc>
        <w:tc>
          <w:tcPr>
            <w:tcW w:w="702" w:type="pct"/>
            <w:vAlign w:val="center"/>
          </w:tcPr>
          <w:p w:rsidR="00644456" w:rsidRPr="00B35AB3" w:rsidRDefault="00B35AB3">
            <w:pPr>
              <w:autoSpaceDE w:val="0"/>
              <w:autoSpaceDN w:val="0"/>
              <w:adjustRightInd w:val="0"/>
              <w:jc w:val="center"/>
              <w:rPr>
                <w:color w:val="FF0000"/>
                <w:szCs w:val="21"/>
              </w:rPr>
            </w:pPr>
            <w:r w:rsidRPr="00B35AB3">
              <w:rPr>
                <w:color w:val="FF0000"/>
                <w:szCs w:val="21"/>
              </w:rPr>
              <w:t>2000</w:t>
            </w:r>
          </w:p>
        </w:tc>
        <w:tc>
          <w:tcPr>
            <w:tcW w:w="702" w:type="pct"/>
            <w:vAlign w:val="center"/>
          </w:tcPr>
          <w:p w:rsidR="00644456" w:rsidRPr="00B35AB3" w:rsidRDefault="008031C4">
            <w:pPr>
              <w:autoSpaceDE w:val="0"/>
              <w:autoSpaceDN w:val="0"/>
              <w:adjustRightInd w:val="0"/>
              <w:jc w:val="center"/>
              <w:rPr>
                <w:color w:val="FF0000"/>
                <w:szCs w:val="21"/>
              </w:rPr>
            </w:pPr>
            <w:r w:rsidRPr="00B35AB3">
              <w:rPr>
                <w:rFonts w:hint="eastAsia"/>
                <w:color w:val="FF0000"/>
                <w:szCs w:val="21"/>
              </w:rPr>
              <w:t>/</w:t>
            </w:r>
          </w:p>
        </w:tc>
        <w:tc>
          <w:tcPr>
            <w:tcW w:w="706" w:type="pct"/>
            <w:vAlign w:val="center"/>
          </w:tcPr>
          <w:p w:rsidR="00644456" w:rsidRPr="00B35AB3" w:rsidRDefault="008031C4">
            <w:pPr>
              <w:autoSpaceDE w:val="0"/>
              <w:autoSpaceDN w:val="0"/>
              <w:adjustRightInd w:val="0"/>
              <w:jc w:val="center"/>
              <w:rPr>
                <w:color w:val="FF0000"/>
                <w:szCs w:val="21"/>
              </w:rPr>
            </w:pPr>
            <w:r w:rsidRPr="00B35AB3">
              <w:rPr>
                <w:rFonts w:hint="eastAsia"/>
                <w:color w:val="FF0000"/>
                <w:szCs w:val="21"/>
              </w:rPr>
              <w:t>/</w:t>
            </w:r>
          </w:p>
        </w:tc>
        <w:tc>
          <w:tcPr>
            <w:tcW w:w="2017" w:type="pct"/>
            <w:vAlign w:val="center"/>
          </w:tcPr>
          <w:p w:rsidR="00644456" w:rsidRPr="00B35AB3" w:rsidRDefault="008031C4">
            <w:pPr>
              <w:autoSpaceDE w:val="0"/>
              <w:autoSpaceDN w:val="0"/>
              <w:adjustRightInd w:val="0"/>
              <w:jc w:val="center"/>
              <w:rPr>
                <w:color w:val="FF0000"/>
                <w:szCs w:val="21"/>
              </w:rPr>
            </w:pPr>
            <w:r w:rsidRPr="00B35AB3">
              <w:rPr>
                <w:rFonts w:hint="eastAsia"/>
                <w:color w:val="FF0000"/>
                <w:szCs w:val="21"/>
              </w:rPr>
              <w:t>《大气污染物综合排放标准详解》推荐值要求。</w:t>
            </w:r>
          </w:p>
        </w:tc>
      </w:tr>
      <w:tr w:rsidR="00644456" w:rsidRPr="00B35AB3">
        <w:trPr>
          <w:cantSplit/>
          <w:jc w:val="center"/>
        </w:trPr>
        <w:tc>
          <w:tcPr>
            <w:tcW w:w="871" w:type="pct"/>
            <w:vAlign w:val="center"/>
          </w:tcPr>
          <w:p w:rsidR="00644456" w:rsidRPr="00B35AB3" w:rsidRDefault="008031C4">
            <w:pPr>
              <w:autoSpaceDE w:val="0"/>
              <w:autoSpaceDN w:val="0"/>
              <w:adjustRightInd w:val="0"/>
              <w:jc w:val="center"/>
              <w:rPr>
                <w:color w:val="FF0000"/>
              </w:rPr>
            </w:pPr>
            <w:r w:rsidRPr="00B35AB3">
              <w:rPr>
                <w:rFonts w:hint="eastAsia"/>
                <w:color w:val="FF0000"/>
                <w:szCs w:val="21"/>
              </w:rPr>
              <w:t>TSP</w:t>
            </w:r>
          </w:p>
        </w:tc>
        <w:tc>
          <w:tcPr>
            <w:tcW w:w="702" w:type="pct"/>
            <w:vAlign w:val="center"/>
          </w:tcPr>
          <w:p w:rsidR="00644456" w:rsidRPr="00B35AB3" w:rsidRDefault="008031C4">
            <w:pPr>
              <w:autoSpaceDE w:val="0"/>
              <w:autoSpaceDN w:val="0"/>
              <w:adjustRightInd w:val="0"/>
              <w:jc w:val="center"/>
              <w:rPr>
                <w:color w:val="FF0000"/>
                <w:szCs w:val="21"/>
              </w:rPr>
            </w:pPr>
            <w:r w:rsidRPr="00B35AB3">
              <w:rPr>
                <w:rFonts w:hint="eastAsia"/>
                <w:color w:val="FF0000"/>
                <w:szCs w:val="21"/>
              </w:rPr>
              <w:t>/</w:t>
            </w:r>
          </w:p>
        </w:tc>
        <w:tc>
          <w:tcPr>
            <w:tcW w:w="702" w:type="pct"/>
            <w:vAlign w:val="center"/>
          </w:tcPr>
          <w:p w:rsidR="00644456" w:rsidRPr="00B35AB3" w:rsidRDefault="008031C4">
            <w:pPr>
              <w:autoSpaceDE w:val="0"/>
              <w:autoSpaceDN w:val="0"/>
              <w:adjustRightInd w:val="0"/>
              <w:jc w:val="center"/>
              <w:rPr>
                <w:color w:val="FF0000"/>
                <w:szCs w:val="21"/>
              </w:rPr>
            </w:pPr>
            <w:r w:rsidRPr="00B35AB3">
              <w:rPr>
                <w:rFonts w:hint="eastAsia"/>
                <w:color w:val="FF0000"/>
                <w:szCs w:val="21"/>
              </w:rPr>
              <w:t>300</w:t>
            </w:r>
          </w:p>
        </w:tc>
        <w:tc>
          <w:tcPr>
            <w:tcW w:w="706" w:type="pct"/>
            <w:vAlign w:val="center"/>
          </w:tcPr>
          <w:p w:rsidR="00644456" w:rsidRPr="00B35AB3" w:rsidRDefault="008031C4">
            <w:pPr>
              <w:autoSpaceDE w:val="0"/>
              <w:autoSpaceDN w:val="0"/>
              <w:adjustRightInd w:val="0"/>
              <w:jc w:val="center"/>
              <w:rPr>
                <w:color w:val="FF0000"/>
                <w:szCs w:val="21"/>
              </w:rPr>
            </w:pPr>
            <w:r w:rsidRPr="00B35AB3">
              <w:rPr>
                <w:rFonts w:hint="eastAsia"/>
                <w:color w:val="FF0000"/>
                <w:szCs w:val="21"/>
              </w:rPr>
              <w:t>2</w:t>
            </w:r>
            <w:r w:rsidRPr="00B35AB3">
              <w:rPr>
                <w:color w:val="FF0000"/>
                <w:szCs w:val="21"/>
              </w:rPr>
              <w:t>00</w:t>
            </w:r>
          </w:p>
        </w:tc>
        <w:tc>
          <w:tcPr>
            <w:tcW w:w="2017" w:type="pct"/>
            <w:vMerge w:val="restart"/>
            <w:vAlign w:val="center"/>
          </w:tcPr>
          <w:p w:rsidR="00644456" w:rsidRPr="00B35AB3" w:rsidRDefault="008031C4">
            <w:pPr>
              <w:autoSpaceDE w:val="0"/>
              <w:autoSpaceDN w:val="0"/>
              <w:adjustRightInd w:val="0"/>
              <w:jc w:val="center"/>
              <w:rPr>
                <w:color w:val="FF0000"/>
                <w:szCs w:val="21"/>
              </w:rPr>
            </w:pPr>
            <w:r w:rsidRPr="00B35AB3">
              <w:rPr>
                <w:rFonts w:hint="eastAsia"/>
                <w:color w:val="FF0000"/>
                <w:szCs w:val="21"/>
              </w:rPr>
              <w:t>《环境空气质量标准》（</w:t>
            </w:r>
            <w:r w:rsidRPr="00B35AB3">
              <w:rPr>
                <w:rFonts w:hint="eastAsia"/>
                <w:color w:val="FF0000"/>
                <w:szCs w:val="21"/>
              </w:rPr>
              <w:t>GB3095-2012</w:t>
            </w:r>
            <w:r w:rsidRPr="00B35AB3">
              <w:rPr>
                <w:rFonts w:hint="eastAsia"/>
                <w:color w:val="FF0000"/>
                <w:szCs w:val="21"/>
              </w:rPr>
              <w:t>）</w:t>
            </w:r>
          </w:p>
        </w:tc>
      </w:tr>
      <w:tr w:rsidR="00644456" w:rsidRPr="00B35AB3">
        <w:trPr>
          <w:cantSplit/>
          <w:jc w:val="center"/>
        </w:trPr>
        <w:tc>
          <w:tcPr>
            <w:tcW w:w="871" w:type="pct"/>
            <w:vAlign w:val="center"/>
          </w:tcPr>
          <w:p w:rsidR="00644456" w:rsidRPr="00B35AB3" w:rsidRDefault="008031C4">
            <w:pPr>
              <w:autoSpaceDE w:val="0"/>
              <w:autoSpaceDN w:val="0"/>
              <w:adjustRightInd w:val="0"/>
              <w:jc w:val="center"/>
              <w:rPr>
                <w:color w:val="FF0000"/>
              </w:rPr>
            </w:pPr>
            <w:r w:rsidRPr="00B35AB3">
              <w:rPr>
                <w:rFonts w:hint="eastAsia"/>
                <w:color w:val="FF0000"/>
                <w:szCs w:val="21"/>
              </w:rPr>
              <w:t>氮氧化物</w:t>
            </w:r>
          </w:p>
        </w:tc>
        <w:tc>
          <w:tcPr>
            <w:tcW w:w="702" w:type="pct"/>
            <w:vAlign w:val="center"/>
          </w:tcPr>
          <w:p w:rsidR="00644456" w:rsidRPr="00B35AB3" w:rsidRDefault="008031C4">
            <w:pPr>
              <w:autoSpaceDE w:val="0"/>
              <w:autoSpaceDN w:val="0"/>
              <w:adjustRightInd w:val="0"/>
              <w:jc w:val="center"/>
              <w:rPr>
                <w:color w:val="FF0000"/>
                <w:szCs w:val="21"/>
              </w:rPr>
            </w:pPr>
            <w:r w:rsidRPr="00B35AB3">
              <w:rPr>
                <w:rFonts w:hint="eastAsia"/>
                <w:color w:val="FF0000"/>
                <w:szCs w:val="21"/>
              </w:rPr>
              <w:t>250</w:t>
            </w:r>
          </w:p>
        </w:tc>
        <w:tc>
          <w:tcPr>
            <w:tcW w:w="702" w:type="pct"/>
            <w:vAlign w:val="center"/>
          </w:tcPr>
          <w:p w:rsidR="00644456" w:rsidRPr="00B35AB3" w:rsidRDefault="008031C4">
            <w:pPr>
              <w:autoSpaceDE w:val="0"/>
              <w:autoSpaceDN w:val="0"/>
              <w:adjustRightInd w:val="0"/>
              <w:jc w:val="center"/>
              <w:rPr>
                <w:color w:val="FF0000"/>
                <w:szCs w:val="21"/>
              </w:rPr>
            </w:pPr>
            <w:r w:rsidRPr="00B35AB3">
              <w:rPr>
                <w:rFonts w:hint="eastAsia"/>
                <w:color w:val="FF0000"/>
                <w:szCs w:val="21"/>
              </w:rPr>
              <w:t>1</w:t>
            </w:r>
            <w:r w:rsidRPr="00B35AB3">
              <w:rPr>
                <w:color w:val="FF0000"/>
                <w:szCs w:val="21"/>
              </w:rPr>
              <w:t>00</w:t>
            </w:r>
          </w:p>
        </w:tc>
        <w:tc>
          <w:tcPr>
            <w:tcW w:w="706" w:type="pct"/>
            <w:vAlign w:val="center"/>
          </w:tcPr>
          <w:p w:rsidR="00644456" w:rsidRPr="00B35AB3" w:rsidRDefault="008031C4">
            <w:pPr>
              <w:autoSpaceDE w:val="0"/>
              <w:autoSpaceDN w:val="0"/>
              <w:adjustRightInd w:val="0"/>
              <w:jc w:val="center"/>
              <w:rPr>
                <w:color w:val="FF0000"/>
                <w:szCs w:val="21"/>
              </w:rPr>
            </w:pPr>
            <w:r w:rsidRPr="00B35AB3">
              <w:rPr>
                <w:rFonts w:hint="eastAsia"/>
                <w:color w:val="FF0000"/>
                <w:szCs w:val="21"/>
              </w:rPr>
              <w:t>5</w:t>
            </w:r>
            <w:r w:rsidRPr="00B35AB3">
              <w:rPr>
                <w:color w:val="FF0000"/>
                <w:szCs w:val="21"/>
              </w:rPr>
              <w:t>0</w:t>
            </w:r>
          </w:p>
        </w:tc>
        <w:tc>
          <w:tcPr>
            <w:tcW w:w="2017" w:type="pct"/>
            <w:vMerge/>
            <w:vAlign w:val="center"/>
          </w:tcPr>
          <w:p w:rsidR="00644456" w:rsidRPr="00B35AB3" w:rsidRDefault="00644456">
            <w:pPr>
              <w:autoSpaceDE w:val="0"/>
              <w:autoSpaceDN w:val="0"/>
              <w:adjustRightInd w:val="0"/>
              <w:jc w:val="center"/>
              <w:rPr>
                <w:color w:val="FF0000"/>
                <w:szCs w:val="21"/>
              </w:rPr>
            </w:pPr>
          </w:p>
        </w:tc>
      </w:tr>
      <w:tr w:rsidR="00644456" w:rsidRPr="00B35AB3">
        <w:trPr>
          <w:cantSplit/>
          <w:jc w:val="center"/>
        </w:trPr>
        <w:tc>
          <w:tcPr>
            <w:tcW w:w="871" w:type="pct"/>
            <w:vAlign w:val="center"/>
          </w:tcPr>
          <w:p w:rsidR="00644456" w:rsidRPr="00B35AB3" w:rsidRDefault="008031C4">
            <w:pPr>
              <w:autoSpaceDE w:val="0"/>
              <w:autoSpaceDN w:val="0"/>
              <w:adjustRightInd w:val="0"/>
              <w:jc w:val="center"/>
              <w:rPr>
                <w:color w:val="FF0000"/>
              </w:rPr>
            </w:pPr>
            <w:r w:rsidRPr="00B35AB3">
              <w:rPr>
                <w:rFonts w:hint="eastAsia"/>
                <w:color w:val="FF0000"/>
                <w:szCs w:val="21"/>
              </w:rPr>
              <w:t>氨</w:t>
            </w:r>
          </w:p>
        </w:tc>
        <w:tc>
          <w:tcPr>
            <w:tcW w:w="702" w:type="pct"/>
            <w:vAlign w:val="center"/>
          </w:tcPr>
          <w:p w:rsidR="00644456" w:rsidRPr="00B35AB3" w:rsidRDefault="008031C4">
            <w:pPr>
              <w:autoSpaceDE w:val="0"/>
              <w:autoSpaceDN w:val="0"/>
              <w:adjustRightInd w:val="0"/>
              <w:jc w:val="center"/>
              <w:rPr>
                <w:color w:val="FF0000"/>
                <w:szCs w:val="21"/>
              </w:rPr>
            </w:pPr>
            <w:r w:rsidRPr="00B35AB3">
              <w:rPr>
                <w:rFonts w:hint="eastAsia"/>
                <w:color w:val="FF0000"/>
                <w:szCs w:val="21"/>
              </w:rPr>
              <w:t>200</w:t>
            </w:r>
          </w:p>
        </w:tc>
        <w:tc>
          <w:tcPr>
            <w:tcW w:w="702" w:type="pct"/>
            <w:vAlign w:val="center"/>
          </w:tcPr>
          <w:p w:rsidR="00644456" w:rsidRPr="00B35AB3" w:rsidRDefault="008031C4">
            <w:pPr>
              <w:autoSpaceDE w:val="0"/>
              <w:autoSpaceDN w:val="0"/>
              <w:adjustRightInd w:val="0"/>
              <w:jc w:val="center"/>
              <w:rPr>
                <w:color w:val="FF0000"/>
                <w:szCs w:val="21"/>
              </w:rPr>
            </w:pPr>
            <w:r w:rsidRPr="00B35AB3">
              <w:rPr>
                <w:rFonts w:hint="eastAsia"/>
                <w:color w:val="FF0000"/>
                <w:szCs w:val="21"/>
              </w:rPr>
              <w:t>/</w:t>
            </w:r>
          </w:p>
        </w:tc>
        <w:tc>
          <w:tcPr>
            <w:tcW w:w="706" w:type="pct"/>
            <w:vAlign w:val="center"/>
          </w:tcPr>
          <w:p w:rsidR="00644456" w:rsidRPr="00B35AB3" w:rsidRDefault="008031C4">
            <w:pPr>
              <w:autoSpaceDE w:val="0"/>
              <w:autoSpaceDN w:val="0"/>
              <w:adjustRightInd w:val="0"/>
              <w:jc w:val="center"/>
              <w:rPr>
                <w:color w:val="FF0000"/>
                <w:szCs w:val="21"/>
              </w:rPr>
            </w:pPr>
            <w:r w:rsidRPr="00B35AB3">
              <w:rPr>
                <w:rFonts w:hint="eastAsia"/>
                <w:color w:val="FF0000"/>
                <w:szCs w:val="21"/>
              </w:rPr>
              <w:t>/</w:t>
            </w:r>
          </w:p>
        </w:tc>
        <w:tc>
          <w:tcPr>
            <w:tcW w:w="2017" w:type="pct"/>
            <w:vMerge w:val="restart"/>
            <w:vAlign w:val="center"/>
          </w:tcPr>
          <w:p w:rsidR="00644456" w:rsidRPr="00B35AB3" w:rsidRDefault="008031C4">
            <w:pPr>
              <w:autoSpaceDE w:val="0"/>
              <w:autoSpaceDN w:val="0"/>
              <w:adjustRightInd w:val="0"/>
              <w:jc w:val="center"/>
              <w:rPr>
                <w:color w:val="FF0000"/>
                <w:szCs w:val="21"/>
              </w:rPr>
            </w:pPr>
            <w:r w:rsidRPr="00B35AB3">
              <w:rPr>
                <w:rFonts w:hint="eastAsia"/>
                <w:color w:val="FF0000"/>
                <w:szCs w:val="21"/>
              </w:rPr>
              <w:t>《环境影响评价技术导则—大气环境》（</w:t>
            </w:r>
            <w:r w:rsidRPr="00B35AB3">
              <w:rPr>
                <w:rFonts w:hint="eastAsia"/>
                <w:color w:val="FF0000"/>
                <w:szCs w:val="21"/>
              </w:rPr>
              <w:t>HJ2.2-2018</w:t>
            </w:r>
            <w:r w:rsidRPr="00B35AB3">
              <w:rPr>
                <w:rFonts w:hint="eastAsia"/>
                <w:color w:val="FF0000"/>
                <w:szCs w:val="21"/>
              </w:rPr>
              <w:t>）附录</w:t>
            </w:r>
            <w:r w:rsidRPr="00B35AB3">
              <w:rPr>
                <w:rFonts w:hint="eastAsia"/>
                <w:color w:val="FF0000"/>
                <w:szCs w:val="21"/>
              </w:rPr>
              <w:t>D</w:t>
            </w:r>
            <w:r w:rsidRPr="00B35AB3">
              <w:rPr>
                <w:rFonts w:hint="eastAsia"/>
                <w:color w:val="FF0000"/>
                <w:szCs w:val="21"/>
              </w:rPr>
              <w:t>中标准限值</w:t>
            </w:r>
          </w:p>
        </w:tc>
      </w:tr>
      <w:tr w:rsidR="00644456" w:rsidRPr="00B35AB3">
        <w:trPr>
          <w:cantSplit/>
          <w:jc w:val="center"/>
        </w:trPr>
        <w:tc>
          <w:tcPr>
            <w:tcW w:w="871" w:type="pct"/>
            <w:vAlign w:val="center"/>
          </w:tcPr>
          <w:p w:rsidR="00644456" w:rsidRPr="00B35AB3" w:rsidRDefault="008031C4">
            <w:pPr>
              <w:autoSpaceDE w:val="0"/>
              <w:autoSpaceDN w:val="0"/>
              <w:adjustRightInd w:val="0"/>
              <w:jc w:val="center"/>
              <w:rPr>
                <w:color w:val="FF0000"/>
              </w:rPr>
            </w:pPr>
            <w:r w:rsidRPr="00B35AB3">
              <w:rPr>
                <w:rFonts w:hint="eastAsia"/>
                <w:color w:val="FF0000"/>
                <w:szCs w:val="21"/>
              </w:rPr>
              <w:t>硫化氢</w:t>
            </w:r>
          </w:p>
        </w:tc>
        <w:tc>
          <w:tcPr>
            <w:tcW w:w="702" w:type="pct"/>
            <w:vAlign w:val="center"/>
          </w:tcPr>
          <w:p w:rsidR="00644456" w:rsidRPr="00B35AB3" w:rsidRDefault="008031C4">
            <w:pPr>
              <w:autoSpaceDE w:val="0"/>
              <w:autoSpaceDN w:val="0"/>
              <w:adjustRightInd w:val="0"/>
              <w:jc w:val="center"/>
              <w:rPr>
                <w:color w:val="FF0000"/>
                <w:szCs w:val="21"/>
              </w:rPr>
            </w:pPr>
            <w:r w:rsidRPr="00B35AB3">
              <w:rPr>
                <w:rFonts w:hint="eastAsia"/>
                <w:color w:val="FF0000"/>
                <w:szCs w:val="21"/>
              </w:rPr>
              <w:t>10</w:t>
            </w:r>
          </w:p>
        </w:tc>
        <w:tc>
          <w:tcPr>
            <w:tcW w:w="702" w:type="pct"/>
            <w:vAlign w:val="center"/>
          </w:tcPr>
          <w:p w:rsidR="00644456" w:rsidRPr="00B35AB3" w:rsidRDefault="008031C4">
            <w:pPr>
              <w:autoSpaceDE w:val="0"/>
              <w:autoSpaceDN w:val="0"/>
              <w:adjustRightInd w:val="0"/>
              <w:jc w:val="center"/>
              <w:rPr>
                <w:color w:val="FF0000"/>
                <w:szCs w:val="21"/>
              </w:rPr>
            </w:pPr>
            <w:r w:rsidRPr="00B35AB3">
              <w:rPr>
                <w:rFonts w:hint="eastAsia"/>
                <w:color w:val="FF0000"/>
                <w:szCs w:val="21"/>
              </w:rPr>
              <w:t>/</w:t>
            </w:r>
          </w:p>
        </w:tc>
        <w:tc>
          <w:tcPr>
            <w:tcW w:w="706" w:type="pct"/>
            <w:vAlign w:val="center"/>
          </w:tcPr>
          <w:p w:rsidR="00644456" w:rsidRPr="00B35AB3" w:rsidRDefault="008031C4">
            <w:pPr>
              <w:autoSpaceDE w:val="0"/>
              <w:autoSpaceDN w:val="0"/>
              <w:adjustRightInd w:val="0"/>
              <w:jc w:val="center"/>
              <w:rPr>
                <w:color w:val="FF0000"/>
                <w:szCs w:val="21"/>
              </w:rPr>
            </w:pPr>
            <w:r w:rsidRPr="00B35AB3">
              <w:rPr>
                <w:rFonts w:hint="eastAsia"/>
                <w:color w:val="FF0000"/>
                <w:szCs w:val="21"/>
              </w:rPr>
              <w:t>/</w:t>
            </w:r>
          </w:p>
        </w:tc>
        <w:tc>
          <w:tcPr>
            <w:tcW w:w="2017" w:type="pct"/>
            <w:vMerge/>
            <w:vAlign w:val="center"/>
          </w:tcPr>
          <w:p w:rsidR="00644456" w:rsidRPr="00B35AB3" w:rsidRDefault="00644456">
            <w:pPr>
              <w:autoSpaceDE w:val="0"/>
              <w:autoSpaceDN w:val="0"/>
              <w:adjustRightInd w:val="0"/>
              <w:jc w:val="center"/>
              <w:rPr>
                <w:color w:val="FF0000"/>
                <w:szCs w:val="21"/>
              </w:rPr>
            </w:pPr>
          </w:p>
        </w:tc>
      </w:tr>
    </w:tbl>
    <w:p w:rsidR="00644456" w:rsidRDefault="008031C4">
      <w:pPr>
        <w:pStyle w:val="1fd"/>
        <w:rPr>
          <w:color w:val="000000" w:themeColor="text1"/>
        </w:rPr>
      </w:pPr>
      <w:r>
        <w:rPr>
          <w:color w:val="000000" w:themeColor="text1"/>
        </w:rPr>
        <w:t>（</w:t>
      </w:r>
      <w:r>
        <w:rPr>
          <w:rFonts w:hint="eastAsia"/>
          <w:color w:val="000000" w:themeColor="text1"/>
        </w:rPr>
        <w:t>5</w:t>
      </w:r>
      <w:r>
        <w:rPr>
          <w:color w:val="000000" w:themeColor="text1"/>
        </w:rPr>
        <w:t>）评价方法</w:t>
      </w:r>
    </w:p>
    <w:p w:rsidR="00644456" w:rsidRDefault="008031C4">
      <w:pPr>
        <w:pStyle w:val="1fd"/>
        <w:rPr>
          <w:color w:val="000000" w:themeColor="text1"/>
        </w:rPr>
      </w:pPr>
      <w:r>
        <w:rPr>
          <w:color w:val="000000" w:themeColor="text1"/>
        </w:rPr>
        <w:t>大气环境现状采用单项指数法进行评价。评价公式：</w:t>
      </w:r>
    </w:p>
    <w:p w:rsidR="00644456" w:rsidRDefault="008031C4">
      <w:pPr>
        <w:pStyle w:val="1fd"/>
        <w:rPr>
          <w:color w:val="000000" w:themeColor="text1"/>
        </w:rPr>
      </w:pPr>
      <w:r>
        <w:rPr>
          <w:color w:val="000000" w:themeColor="text1"/>
        </w:rPr>
        <w:object w:dxaOrig="1060" w:dyaOrig="761" w14:anchorId="48E1D513">
          <v:shape id="_x0000_i1031" type="#_x0000_t75" style="width:53.25pt;height:38.25pt" o:ole="">
            <v:imagedata r:id="rId45" o:title=""/>
          </v:shape>
          <o:OLEObject Type="Embed" ProgID="Equation.DSMT4" ShapeID="_x0000_i1031" DrawAspect="Content" ObjectID="_1791290102" r:id="rId46"/>
        </w:object>
      </w:r>
    </w:p>
    <w:p w:rsidR="00644456" w:rsidRDefault="008031C4">
      <w:pPr>
        <w:pStyle w:val="1fd"/>
        <w:rPr>
          <w:color w:val="000000" w:themeColor="text1"/>
        </w:rPr>
      </w:pPr>
      <w:r>
        <w:rPr>
          <w:color w:val="000000" w:themeColor="text1"/>
        </w:rPr>
        <w:t>式中：</w:t>
      </w:r>
      <w:r>
        <w:rPr>
          <w:color w:val="000000" w:themeColor="text1"/>
        </w:rPr>
        <w:t>Ii—i</w:t>
      </w:r>
      <w:r>
        <w:rPr>
          <w:color w:val="000000" w:themeColor="text1"/>
        </w:rPr>
        <w:t>种污染物的单项指数；</w:t>
      </w:r>
    </w:p>
    <w:p w:rsidR="00644456" w:rsidRDefault="008031C4">
      <w:pPr>
        <w:pStyle w:val="1fd"/>
        <w:rPr>
          <w:color w:val="000000" w:themeColor="text1"/>
        </w:rPr>
      </w:pPr>
      <w:r>
        <w:rPr>
          <w:color w:val="000000" w:themeColor="text1"/>
        </w:rPr>
        <w:t>Ci—i</w:t>
      </w:r>
      <w:r>
        <w:rPr>
          <w:color w:val="000000" w:themeColor="text1"/>
        </w:rPr>
        <w:t>种污染物的实测浓度（</w:t>
      </w:r>
      <w:r>
        <w:rPr>
          <w:color w:val="000000" w:themeColor="text1"/>
        </w:rPr>
        <w:t>mg/Nm</w:t>
      </w:r>
      <w:r>
        <w:rPr>
          <w:color w:val="000000" w:themeColor="text1"/>
          <w:vertAlign w:val="superscript"/>
        </w:rPr>
        <w:t>3</w:t>
      </w:r>
      <w:r>
        <w:rPr>
          <w:color w:val="000000" w:themeColor="text1"/>
        </w:rPr>
        <w:t>）；</w:t>
      </w:r>
    </w:p>
    <w:p w:rsidR="00644456" w:rsidRDefault="008031C4">
      <w:pPr>
        <w:pStyle w:val="1fd"/>
        <w:rPr>
          <w:color w:val="000000" w:themeColor="text1"/>
        </w:rPr>
      </w:pPr>
      <w:r>
        <w:rPr>
          <w:color w:val="000000" w:themeColor="text1"/>
        </w:rPr>
        <w:t>Si—i</w:t>
      </w:r>
      <w:r>
        <w:rPr>
          <w:color w:val="000000" w:themeColor="text1"/>
        </w:rPr>
        <w:t>种污染物物质评价标准（</w:t>
      </w:r>
      <w:r>
        <w:rPr>
          <w:color w:val="000000" w:themeColor="text1"/>
        </w:rPr>
        <w:t>mg/Nm</w:t>
      </w:r>
      <w:r>
        <w:rPr>
          <w:color w:val="000000" w:themeColor="text1"/>
          <w:vertAlign w:val="superscript"/>
        </w:rPr>
        <w:t>3</w:t>
      </w:r>
      <w:r>
        <w:rPr>
          <w:color w:val="000000" w:themeColor="text1"/>
        </w:rPr>
        <w:t>）；</w:t>
      </w:r>
    </w:p>
    <w:p w:rsidR="00644456" w:rsidRDefault="008031C4">
      <w:pPr>
        <w:pStyle w:val="1fd"/>
        <w:rPr>
          <w:color w:val="000000" w:themeColor="text1"/>
        </w:rPr>
      </w:pPr>
      <w:r>
        <w:rPr>
          <w:color w:val="000000" w:themeColor="text1"/>
        </w:rPr>
        <w:t>（</w:t>
      </w:r>
      <w:r>
        <w:rPr>
          <w:rFonts w:hint="eastAsia"/>
          <w:color w:val="000000" w:themeColor="text1"/>
        </w:rPr>
        <w:t>7</w:t>
      </w:r>
      <w:r>
        <w:rPr>
          <w:color w:val="000000" w:themeColor="text1"/>
        </w:rPr>
        <w:t>）评价结果分析</w:t>
      </w:r>
    </w:p>
    <w:p w:rsidR="00644456" w:rsidRDefault="008031C4">
      <w:pPr>
        <w:pStyle w:val="1fd"/>
        <w:rPr>
          <w:color w:val="000000" w:themeColor="text1"/>
        </w:rPr>
      </w:pPr>
      <w:r>
        <w:rPr>
          <w:color w:val="000000" w:themeColor="text1"/>
        </w:rPr>
        <w:t>本项目空气环境现状评价结果如下：</w:t>
      </w:r>
    </w:p>
    <w:p w:rsidR="00644456" w:rsidRDefault="008031C4">
      <w:pPr>
        <w:pStyle w:val="-5"/>
        <w:numPr>
          <w:ilvl w:val="0"/>
          <w:numId w:val="0"/>
        </w:numPr>
        <w:rPr>
          <w:rFonts w:eastAsia="宋体" w:cs="Times New Roman"/>
          <w:b/>
          <w:color w:val="000000" w:themeColor="text1"/>
          <w:sz w:val="24"/>
          <w:szCs w:val="24"/>
        </w:rPr>
      </w:pPr>
      <w:r>
        <w:rPr>
          <w:rFonts w:eastAsia="宋体" w:cs="Times New Roman" w:hint="eastAsia"/>
          <w:b/>
          <w:color w:val="000000" w:themeColor="text1"/>
          <w:sz w:val="24"/>
          <w:szCs w:val="24"/>
        </w:rPr>
        <w:t>表</w:t>
      </w:r>
      <w:r>
        <w:rPr>
          <w:rFonts w:eastAsia="宋体" w:cs="Times New Roman" w:hint="eastAsia"/>
          <w:b/>
          <w:color w:val="000000" w:themeColor="text1"/>
          <w:sz w:val="24"/>
          <w:szCs w:val="24"/>
        </w:rPr>
        <w:t>3</w:t>
      </w:r>
      <w:r>
        <w:rPr>
          <w:rFonts w:eastAsia="宋体" w:cs="Times New Roman" w:hint="eastAsia"/>
          <w:b/>
          <w:color w:val="000000" w:themeColor="text1"/>
          <w:sz w:val="24"/>
          <w:szCs w:val="20"/>
        </w:rPr>
        <w:t>.3-4</w:t>
      </w:r>
      <w:r>
        <w:rPr>
          <w:rFonts w:eastAsia="宋体" w:cs="Times New Roman" w:hint="eastAsia"/>
          <w:b/>
          <w:color w:val="000000" w:themeColor="text1"/>
          <w:sz w:val="24"/>
          <w:szCs w:val="20"/>
        </w:rPr>
        <w:t>环境空气质量现状评价结果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903"/>
        <w:gridCol w:w="862"/>
        <w:gridCol w:w="1142"/>
        <w:gridCol w:w="905"/>
        <w:gridCol w:w="1130"/>
        <w:gridCol w:w="1162"/>
        <w:gridCol w:w="1037"/>
        <w:gridCol w:w="758"/>
        <w:gridCol w:w="649"/>
      </w:tblGrid>
      <w:tr w:rsidR="00644456">
        <w:trPr>
          <w:jc w:val="center"/>
        </w:trPr>
        <w:tc>
          <w:tcPr>
            <w:tcW w:w="695" w:type="dxa"/>
            <w:vMerge w:val="restart"/>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点位名称</w:t>
            </w:r>
          </w:p>
        </w:tc>
        <w:tc>
          <w:tcPr>
            <w:tcW w:w="1767" w:type="dxa"/>
            <w:gridSpan w:val="2"/>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监测点坐标</w:t>
            </w:r>
          </w:p>
        </w:tc>
        <w:tc>
          <w:tcPr>
            <w:tcW w:w="1144" w:type="dxa"/>
            <w:vMerge w:val="restart"/>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污染物</w:t>
            </w:r>
          </w:p>
        </w:tc>
        <w:tc>
          <w:tcPr>
            <w:tcW w:w="906" w:type="dxa"/>
            <w:vMerge w:val="restart"/>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平均时间</w:t>
            </w:r>
          </w:p>
        </w:tc>
        <w:tc>
          <w:tcPr>
            <w:tcW w:w="1132" w:type="dxa"/>
            <w:vMerge w:val="restart"/>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评价标准</w:t>
            </w:r>
            <w:r w:rsidRPr="00B35AB3">
              <w:rPr>
                <w:rFonts w:hint="eastAsia"/>
                <w:color w:val="FF0000"/>
                <w:szCs w:val="21"/>
              </w:rPr>
              <w:t>/</w:t>
            </w:r>
            <w:r w:rsidRPr="00B35AB3">
              <w:rPr>
                <w:rFonts w:hint="eastAsia"/>
                <w:color w:val="FF0000"/>
                <w:szCs w:val="21"/>
              </w:rPr>
              <w:t>（μ</w:t>
            </w:r>
            <w:r w:rsidRPr="00B35AB3">
              <w:rPr>
                <w:rFonts w:hint="eastAsia"/>
                <w:color w:val="FF0000"/>
                <w:szCs w:val="21"/>
              </w:rPr>
              <w:t>g/m</w:t>
            </w:r>
            <w:r w:rsidRPr="00B35AB3">
              <w:rPr>
                <w:rFonts w:hint="eastAsia"/>
                <w:color w:val="FF0000"/>
                <w:szCs w:val="21"/>
                <w:vertAlign w:val="superscript"/>
              </w:rPr>
              <w:t>3</w:t>
            </w:r>
            <w:r w:rsidRPr="00B35AB3">
              <w:rPr>
                <w:rFonts w:hint="eastAsia"/>
                <w:color w:val="FF0000"/>
                <w:szCs w:val="21"/>
              </w:rPr>
              <w:t>）</w:t>
            </w:r>
          </w:p>
        </w:tc>
        <w:tc>
          <w:tcPr>
            <w:tcW w:w="1164" w:type="dxa"/>
            <w:vMerge w:val="restart"/>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监测浓度范围</w:t>
            </w:r>
            <w:r w:rsidRPr="00B35AB3">
              <w:rPr>
                <w:rFonts w:hint="eastAsia"/>
                <w:color w:val="FF0000"/>
                <w:szCs w:val="21"/>
              </w:rPr>
              <w:t>/</w:t>
            </w:r>
            <w:r w:rsidRPr="00B35AB3">
              <w:rPr>
                <w:rFonts w:hint="eastAsia"/>
                <w:color w:val="FF0000"/>
                <w:szCs w:val="21"/>
              </w:rPr>
              <w:t>（μ</w:t>
            </w:r>
            <w:r w:rsidRPr="00B35AB3">
              <w:rPr>
                <w:rFonts w:hint="eastAsia"/>
                <w:color w:val="FF0000"/>
                <w:szCs w:val="21"/>
              </w:rPr>
              <w:t>g/m</w:t>
            </w:r>
            <w:r w:rsidRPr="00B35AB3">
              <w:rPr>
                <w:rFonts w:hint="eastAsia"/>
                <w:color w:val="FF0000"/>
                <w:szCs w:val="21"/>
                <w:vertAlign w:val="superscript"/>
              </w:rPr>
              <w:t>3</w:t>
            </w:r>
            <w:r w:rsidRPr="00B35AB3">
              <w:rPr>
                <w:rFonts w:hint="eastAsia"/>
                <w:color w:val="FF0000"/>
                <w:szCs w:val="21"/>
              </w:rPr>
              <w:t>）</w:t>
            </w:r>
          </w:p>
        </w:tc>
        <w:tc>
          <w:tcPr>
            <w:tcW w:w="1039" w:type="dxa"/>
            <w:vMerge w:val="restart"/>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最大浓度占标率</w:t>
            </w:r>
            <w:r w:rsidRPr="00B35AB3">
              <w:rPr>
                <w:rFonts w:hint="eastAsia"/>
                <w:color w:val="FF0000"/>
                <w:szCs w:val="21"/>
              </w:rPr>
              <w:t>/%</w:t>
            </w:r>
          </w:p>
        </w:tc>
        <w:tc>
          <w:tcPr>
            <w:tcW w:w="759" w:type="dxa"/>
            <w:vMerge w:val="restart"/>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超标率</w:t>
            </w:r>
            <w:r w:rsidRPr="00B35AB3">
              <w:rPr>
                <w:rFonts w:hint="eastAsia"/>
                <w:color w:val="FF0000"/>
                <w:szCs w:val="21"/>
              </w:rPr>
              <w:t>/%</w:t>
            </w:r>
          </w:p>
        </w:tc>
        <w:tc>
          <w:tcPr>
            <w:tcW w:w="650" w:type="dxa"/>
            <w:vMerge w:val="restart"/>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达标情况</w:t>
            </w:r>
          </w:p>
        </w:tc>
      </w:tr>
      <w:tr w:rsidR="00644456">
        <w:trPr>
          <w:jc w:val="center"/>
        </w:trPr>
        <w:tc>
          <w:tcPr>
            <w:tcW w:w="695" w:type="dxa"/>
            <w:vMerge/>
            <w:vAlign w:val="center"/>
          </w:tcPr>
          <w:p w:rsidR="00644456" w:rsidRPr="00B35AB3" w:rsidRDefault="00644456">
            <w:pPr>
              <w:autoSpaceDE w:val="0"/>
              <w:autoSpaceDN w:val="0"/>
              <w:adjustRightInd w:val="0"/>
              <w:snapToGrid w:val="0"/>
              <w:jc w:val="center"/>
              <w:rPr>
                <w:color w:val="FF0000"/>
                <w:szCs w:val="21"/>
              </w:rPr>
            </w:pPr>
          </w:p>
        </w:tc>
        <w:tc>
          <w:tcPr>
            <w:tcW w:w="904"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东经</w:t>
            </w:r>
          </w:p>
        </w:tc>
        <w:tc>
          <w:tcPr>
            <w:tcW w:w="863"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北纬</w:t>
            </w:r>
          </w:p>
        </w:tc>
        <w:tc>
          <w:tcPr>
            <w:tcW w:w="1144" w:type="dxa"/>
            <w:vMerge/>
            <w:vAlign w:val="center"/>
          </w:tcPr>
          <w:p w:rsidR="00644456" w:rsidRPr="00B35AB3" w:rsidRDefault="00644456">
            <w:pPr>
              <w:autoSpaceDE w:val="0"/>
              <w:autoSpaceDN w:val="0"/>
              <w:adjustRightInd w:val="0"/>
              <w:snapToGrid w:val="0"/>
              <w:jc w:val="center"/>
              <w:rPr>
                <w:color w:val="FF0000"/>
                <w:szCs w:val="21"/>
              </w:rPr>
            </w:pPr>
          </w:p>
        </w:tc>
        <w:tc>
          <w:tcPr>
            <w:tcW w:w="906" w:type="dxa"/>
            <w:vMerge/>
            <w:vAlign w:val="center"/>
          </w:tcPr>
          <w:p w:rsidR="00644456" w:rsidRPr="00B35AB3" w:rsidRDefault="00644456">
            <w:pPr>
              <w:autoSpaceDE w:val="0"/>
              <w:autoSpaceDN w:val="0"/>
              <w:adjustRightInd w:val="0"/>
              <w:snapToGrid w:val="0"/>
              <w:jc w:val="center"/>
              <w:rPr>
                <w:color w:val="FF0000"/>
                <w:szCs w:val="21"/>
              </w:rPr>
            </w:pPr>
          </w:p>
        </w:tc>
        <w:tc>
          <w:tcPr>
            <w:tcW w:w="1132" w:type="dxa"/>
            <w:vMerge/>
            <w:vAlign w:val="center"/>
          </w:tcPr>
          <w:p w:rsidR="00644456" w:rsidRPr="00B35AB3" w:rsidRDefault="00644456">
            <w:pPr>
              <w:autoSpaceDE w:val="0"/>
              <w:autoSpaceDN w:val="0"/>
              <w:adjustRightInd w:val="0"/>
              <w:snapToGrid w:val="0"/>
              <w:jc w:val="center"/>
              <w:rPr>
                <w:color w:val="FF0000"/>
                <w:szCs w:val="21"/>
              </w:rPr>
            </w:pPr>
          </w:p>
        </w:tc>
        <w:tc>
          <w:tcPr>
            <w:tcW w:w="1164" w:type="dxa"/>
            <w:vMerge/>
            <w:vAlign w:val="center"/>
          </w:tcPr>
          <w:p w:rsidR="00644456" w:rsidRPr="00B35AB3" w:rsidRDefault="00644456">
            <w:pPr>
              <w:autoSpaceDE w:val="0"/>
              <w:autoSpaceDN w:val="0"/>
              <w:adjustRightInd w:val="0"/>
              <w:snapToGrid w:val="0"/>
              <w:jc w:val="center"/>
              <w:rPr>
                <w:color w:val="FF0000"/>
                <w:szCs w:val="21"/>
              </w:rPr>
            </w:pPr>
          </w:p>
        </w:tc>
        <w:tc>
          <w:tcPr>
            <w:tcW w:w="1039" w:type="dxa"/>
            <w:vMerge/>
            <w:vAlign w:val="center"/>
          </w:tcPr>
          <w:p w:rsidR="00644456" w:rsidRPr="00B35AB3" w:rsidRDefault="00644456">
            <w:pPr>
              <w:autoSpaceDE w:val="0"/>
              <w:autoSpaceDN w:val="0"/>
              <w:adjustRightInd w:val="0"/>
              <w:snapToGrid w:val="0"/>
              <w:jc w:val="center"/>
              <w:rPr>
                <w:color w:val="FF0000"/>
                <w:szCs w:val="21"/>
              </w:rPr>
            </w:pPr>
          </w:p>
        </w:tc>
        <w:tc>
          <w:tcPr>
            <w:tcW w:w="759" w:type="dxa"/>
            <w:vMerge/>
            <w:vAlign w:val="center"/>
          </w:tcPr>
          <w:p w:rsidR="00644456" w:rsidRPr="00B35AB3" w:rsidRDefault="00644456">
            <w:pPr>
              <w:autoSpaceDE w:val="0"/>
              <w:autoSpaceDN w:val="0"/>
              <w:adjustRightInd w:val="0"/>
              <w:snapToGrid w:val="0"/>
              <w:jc w:val="center"/>
              <w:rPr>
                <w:color w:val="FF0000"/>
                <w:szCs w:val="21"/>
              </w:rPr>
            </w:pPr>
          </w:p>
        </w:tc>
        <w:tc>
          <w:tcPr>
            <w:tcW w:w="650" w:type="dxa"/>
            <w:vMerge/>
            <w:vAlign w:val="center"/>
          </w:tcPr>
          <w:p w:rsidR="00644456" w:rsidRPr="00B35AB3" w:rsidRDefault="00644456">
            <w:pPr>
              <w:autoSpaceDE w:val="0"/>
              <w:autoSpaceDN w:val="0"/>
              <w:adjustRightInd w:val="0"/>
              <w:snapToGrid w:val="0"/>
              <w:jc w:val="center"/>
              <w:rPr>
                <w:color w:val="FF0000"/>
                <w:szCs w:val="21"/>
              </w:rPr>
            </w:pPr>
          </w:p>
        </w:tc>
      </w:tr>
      <w:tr w:rsidR="00644456">
        <w:trPr>
          <w:jc w:val="center"/>
        </w:trPr>
        <w:tc>
          <w:tcPr>
            <w:tcW w:w="695" w:type="dxa"/>
            <w:vMerge w:val="restart"/>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DQ1#</w:t>
            </w:r>
          </w:p>
        </w:tc>
        <w:tc>
          <w:tcPr>
            <w:tcW w:w="904" w:type="dxa"/>
            <w:vMerge w:val="restart"/>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76</w:t>
            </w:r>
            <w:r w:rsidRPr="00B35AB3">
              <w:rPr>
                <w:rFonts w:hint="eastAsia"/>
                <w:color w:val="FF0000"/>
                <w:szCs w:val="21"/>
              </w:rPr>
              <w:t>°</w:t>
            </w:r>
            <w:r w:rsidRPr="00B35AB3">
              <w:rPr>
                <w:rFonts w:hint="eastAsia"/>
                <w:color w:val="FF0000"/>
                <w:szCs w:val="21"/>
              </w:rPr>
              <w:t>09</w:t>
            </w:r>
            <w:r w:rsidRPr="00B35AB3">
              <w:rPr>
                <w:rFonts w:hint="eastAsia"/>
                <w:color w:val="FF0000"/>
                <w:szCs w:val="21"/>
              </w:rPr>
              <w:t>′</w:t>
            </w:r>
            <w:r w:rsidRPr="00B35AB3">
              <w:rPr>
                <w:rFonts w:hint="eastAsia"/>
                <w:color w:val="FF0000"/>
                <w:szCs w:val="21"/>
              </w:rPr>
              <w:t>43.88</w:t>
            </w:r>
            <w:r w:rsidRPr="00B35AB3">
              <w:rPr>
                <w:rFonts w:hint="eastAsia"/>
                <w:color w:val="FF0000"/>
                <w:szCs w:val="21"/>
              </w:rPr>
              <w:t>″</w:t>
            </w:r>
          </w:p>
        </w:tc>
        <w:tc>
          <w:tcPr>
            <w:tcW w:w="863" w:type="dxa"/>
            <w:vMerge w:val="restart"/>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39</w:t>
            </w:r>
            <w:r w:rsidRPr="00B35AB3">
              <w:rPr>
                <w:rFonts w:hint="eastAsia"/>
                <w:color w:val="FF0000"/>
                <w:szCs w:val="21"/>
              </w:rPr>
              <w:t>°</w:t>
            </w:r>
            <w:r w:rsidRPr="00B35AB3">
              <w:rPr>
                <w:rFonts w:hint="eastAsia"/>
                <w:color w:val="FF0000"/>
                <w:szCs w:val="21"/>
              </w:rPr>
              <w:t>03</w:t>
            </w:r>
            <w:r w:rsidRPr="00B35AB3">
              <w:rPr>
                <w:rFonts w:hint="eastAsia"/>
                <w:color w:val="FF0000"/>
                <w:szCs w:val="21"/>
              </w:rPr>
              <w:t>′</w:t>
            </w:r>
            <w:r w:rsidRPr="00B35AB3">
              <w:rPr>
                <w:rFonts w:hint="eastAsia"/>
                <w:color w:val="FF0000"/>
                <w:szCs w:val="21"/>
              </w:rPr>
              <w:t>51.25</w:t>
            </w:r>
            <w:r w:rsidRPr="00B35AB3">
              <w:rPr>
                <w:rFonts w:hint="eastAsia"/>
                <w:color w:val="FF0000"/>
                <w:szCs w:val="21"/>
              </w:rPr>
              <w:t>″</w:t>
            </w:r>
          </w:p>
        </w:tc>
        <w:tc>
          <w:tcPr>
            <w:tcW w:w="1144"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TSP</w:t>
            </w:r>
          </w:p>
        </w:tc>
        <w:tc>
          <w:tcPr>
            <w:tcW w:w="906"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24h</w:t>
            </w:r>
            <w:r w:rsidRPr="00B35AB3">
              <w:rPr>
                <w:rFonts w:hint="eastAsia"/>
                <w:color w:val="FF0000"/>
                <w:szCs w:val="21"/>
              </w:rPr>
              <w:t>平均</w:t>
            </w:r>
          </w:p>
        </w:tc>
        <w:tc>
          <w:tcPr>
            <w:tcW w:w="1132"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300</w:t>
            </w:r>
          </w:p>
        </w:tc>
        <w:tc>
          <w:tcPr>
            <w:tcW w:w="1164"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227-259</w:t>
            </w:r>
          </w:p>
        </w:tc>
        <w:tc>
          <w:tcPr>
            <w:tcW w:w="1039"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86.3</w:t>
            </w:r>
          </w:p>
        </w:tc>
        <w:tc>
          <w:tcPr>
            <w:tcW w:w="759"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0</w:t>
            </w:r>
          </w:p>
        </w:tc>
        <w:tc>
          <w:tcPr>
            <w:tcW w:w="650"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达标</w:t>
            </w:r>
          </w:p>
        </w:tc>
      </w:tr>
      <w:tr w:rsidR="00644456">
        <w:trPr>
          <w:jc w:val="center"/>
        </w:trPr>
        <w:tc>
          <w:tcPr>
            <w:tcW w:w="695" w:type="dxa"/>
            <w:vMerge/>
            <w:vAlign w:val="center"/>
          </w:tcPr>
          <w:p w:rsidR="00644456" w:rsidRPr="00B35AB3" w:rsidRDefault="00644456">
            <w:pPr>
              <w:autoSpaceDE w:val="0"/>
              <w:autoSpaceDN w:val="0"/>
              <w:adjustRightInd w:val="0"/>
              <w:snapToGrid w:val="0"/>
              <w:jc w:val="center"/>
              <w:rPr>
                <w:color w:val="FF0000"/>
                <w:szCs w:val="21"/>
              </w:rPr>
            </w:pPr>
          </w:p>
        </w:tc>
        <w:tc>
          <w:tcPr>
            <w:tcW w:w="904" w:type="dxa"/>
            <w:vMerge/>
            <w:vAlign w:val="center"/>
          </w:tcPr>
          <w:p w:rsidR="00644456" w:rsidRPr="00B35AB3" w:rsidRDefault="00644456">
            <w:pPr>
              <w:autoSpaceDE w:val="0"/>
              <w:autoSpaceDN w:val="0"/>
              <w:adjustRightInd w:val="0"/>
              <w:snapToGrid w:val="0"/>
              <w:jc w:val="center"/>
              <w:rPr>
                <w:color w:val="FF0000"/>
                <w:szCs w:val="21"/>
              </w:rPr>
            </w:pPr>
          </w:p>
        </w:tc>
        <w:tc>
          <w:tcPr>
            <w:tcW w:w="863" w:type="dxa"/>
            <w:vMerge/>
            <w:vAlign w:val="center"/>
          </w:tcPr>
          <w:p w:rsidR="00644456" w:rsidRPr="00B35AB3" w:rsidRDefault="00644456">
            <w:pPr>
              <w:autoSpaceDE w:val="0"/>
              <w:autoSpaceDN w:val="0"/>
              <w:adjustRightInd w:val="0"/>
              <w:snapToGrid w:val="0"/>
              <w:jc w:val="center"/>
              <w:rPr>
                <w:color w:val="FF0000"/>
                <w:szCs w:val="21"/>
              </w:rPr>
            </w:pPr>
          </w:p>
        </w:tc>
        <w:tc>
          <w:tcPr>
            <w:tcW w:w="1144"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氮氧化物</w:t>
            </w:r>
          </w:p>
        </w:tc>
        <w:tc>
          <w:tcPr>
            <w:tcW w:w="906"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1h</w:t>
            </w:r>
            <w:r w:rsidRPr="00B35AB3">
              <w:rPr>
                <w:rFonts w:hint="eastAsia"/>
                <w:color w:val="FF0000"/>
                <w:szCs w:val="21"/>
              </w:rPr>
              <w:t>平均</w:t>
            </w:r>
          </w:p>
        </w:tc>
        <w:tc>
          <w:tcPr>
            <w:tcW w:w="1132"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250</w:t>
            </w:r>
          </w:p>
        </w:tc>
        <w:tc>
          <w:tcPr>
            <w:tcW w:w="1164"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26-58</w:t>
            </w:r>
          </w:p>
        </w:tc>
        <w:tc>
          <w:tcPr>
            <w:tcW w:w="1039"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23.2</w:t>
            </w:r>
          </w:p>
        </w:tc>
        <w:tc>
          <w:tcPr>
            <w:tcW w:w="759"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0</w:t>
            </w:r>
          </w:p>
        </w:tc>
        <w:tc>
          <w:tcPr>
            <w:tcW w:w="650"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达标</w:t>
            </w:r>
          </w:p>
        </w:tc>
      </w:tr>
      <w:tr w:rsidR="00644456">
        <w:trPr>
          <w:jc w:val="center"/>
        </w:trPr>
        <w:tc>
          <w:tcPr>
            <w:tcW w:w="695" w:type="dxa"/>
            <w:vMerge/>
            <w:vAlign w:val="center"/>
          </w:tcPr>
          <w:p w:rsidR="00644456" w:rsidRPr="00B35AB3" w:rsidRDefault="00644456">
            <w:pPr>
              <w:autoSpaceDE w:val="0"/>
              <w:autoSpaceDN w:val="0"/>
              <w:adjustRightInd w:val="0"/>
              <w:snapToGrid w:val="0"/>
              <w:jc w:val="center"/>
              <w:rPr>
                <w:color w:val="FF0000"/>
                <w:szCs w:val="21"/>
              </w:rPr>
            </w:pPr>
          </w:p>
        </w:tc>
        <w:tc>
          <w:tcPr>
            <w:tcW w:w="904" w:type="dxa"/>
            <w:vMerge/>
            <w:vAlign w:val="center"/>
          </w:tcPr>
          <w:p w:rsidR="00644456" w:rsidRPr="00B35AB3" w:rsidRDefault="00644456">
            <w:pPr>
              <w:autoSpaceDE w:val="0"/>
              <w:autoSpaceDN w:val="0"/>
              <w:adjustRightInd w:val="0"/>
              <w:snapToGrid w:val="0"/>
              <w:jc w:val="center"/>
              <w:rPr>
                <w:color w:val="FF0000"/>
                <w:szCs w:val="21"/>
              </w:rPr>
            </w:pPr>
          </w:p>
        </w:tc>
        <w:tc>
          <w:tcPr>
            <w:tcW w:w="863" w:type="dxa"/>
            <w:vMerge/>
            <w:vAlign w:val="center"/>
          </w:tcPr>
          <w:p w:rsidR="00644456" w:rsidRPr="00B35AB3" w:rsidRDefault="00644456">
            <w:pPr>
              <w:autoSpaceDE w:val="0"/>
              <w:autoSpaceDN w:val="0"/>
              <w:adjustRightInd w:val="0"/>
              <w:snapToGrid w:val="0"/>
              <w:jc w:val="center"/>
              <w:rPr>
                <w:color w:val="FF0000"/>
                <w:szCs w:val="21"/>
              </w:rPr>
            </w:pPr>
          </w:p>
        </w:tc>
        <w:tc>
          <w:tcPr>
            <w:tcW w:w="1144"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氨</w:t>
            </w:r>
          </w:p>
        </w:tc>
        <w:tc>
          <w:tcPr>
            <w:tcW w:w="906"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1h</w:t>
            </w:r>
            <w:r w:rsidRPr="00B35AB3">
              <w:rPr>
                <w:rFonts w:hint="eastAsia"/>
                <w:color w:val="FF0000"/>
                <w:szCs w:val="21"/>
              </w:rPr>
              <w:t>平均</w:t>
            </w:r>
          </w:p>
        </w:tc>
        <w:tc>
          <w:tcPr>
            <w:tcW w:w="1132"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200</w:t>
            </w:r>
          </w:p>
        </w:tc>
        <w:tc>
          <w:tcPr>
            <w:tcW w:w="1164"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60-70</w:t>
            </w:r>
          </w:p>
        </w:tc>
        <w:tc>
          <w:tcPr>
            <w:tcW w:w="1039"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35</w:t>
            </w:r>
          </w:p>
        </w:tc>
        <w:tc>
          <w:tcPr>
            <w:tcW w:w="759"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0</w:t>
            </w:r>
          </w:p>
        </w:tc>
        <w:tc>
          <w:tcPr>
            <w:tcW w:w="650"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达标</w:t>
            </w:r>
          </w:p>
        </w:tc>
      </w:tr>
      <w:tr w:rsidR="00644456">
        <w:trPr>
          <w:jc w:val="center"/>
        </w:trPr>
        <w:tc>
          <w:tcPr>
            <w:tcW w:w="695" w:type="dxa"/>
            <w:vMerge/>
            <w:vAlign w:val="center"/>
          </w:tcPr>
          <w:p w:rsidR="00644456" w:rsidRPr="00B35AB3" w:rsidRDefault="00644456">
            <w:pPr>
              <w:autoSpaceDE w:val="0"/>
              <w:autoSpaceDN w:val="0"/>
              <w:adjustRightInd w:val="0"/>
              <w:snapToGrid w:val="0"/>
              <w:jc w:val="center"/>
              <w:rPr>
                <w:color w:val="FF0000"/>
                <w:szCs w:val="21"/>
              </w:rPr>
            </w:pPr>
          </w:p>
        </w:tc>
        <w:tc>
          <w:tcPr>
            <w:tcW w:w="904" w:type="dxa"/>
            <w:vMerge/>
            <w:vAlign w:val="center"/>
          </w:tcPr>
          <w:p w:rsidR="00644456" w:rsidRPr="00B35AB3" w:rsidRDefault="00644456">
            <w:pPr>
              <w:autoSpaceDE w:val="0"/>
              <w:autoSpaceDN w:val="0"/>
              <w:adjustRightInd w:val="0"/>
              <w:snapToGrid w:val="0"/>
              <w:jc w:val="center"/>
              <w:rPr>
                <w:color w:val="FF0000"/>
                <w:szCs w:val="21"/>
              </w:rPr>
            </w:pPr>
          </w:p>
        </w:tc>
        <w:tc>
          <w:tcPr>
            <w:tcW w:w="863" w:type="dxa"/>
            <w:vMerge/>
            <w:vAlign w:val="center"/>
          </w:tcPr>
          <w:p w:rsidR="00644456" w:rsidRPr="00B35AB3" w:rsidRDefault="00644456">
            <w:pPr>
              <w:autoSpaceDE w:val="0"/>
              <w:autoSpaceDN w:val="0"/>
              <w:adjustRightInd w:val="0"/>
              <w:snapToGrid w:val="0"/>
              <w:jc w:val="center"/>
              <w:rPr>
                <w:color w:val="FF0000"/>
                <w:szCs w:val="21"/>
              </w:rPr>
            </w:pPr>
          </w:p>
        </w:tc>
        <w:tc>
          <w:tcPr>
            <w:tcW w:w="1144"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硫化氢</w:t>
            </w:r>
          </w:p>
        </w:tc>
        <w:tc>
          <w:tcPr>
            <w:tcW w:w="906"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1h</w:t>
            </w:r>
            <w:r w:rsidRPr="00B35AB3">
              <w:rPr>
                <w:rFonts w:hint="eastAsia"/>
                <w:color w:val="FF0000"/>
                <w:szCs w:val="21"/>
              </w:rPr>
              <w:t>平均</w:t>
            </w:r>
          </w:p>
        </w:tc>
        <w:tc>
          <w:tcPr>
            <w:tcW w:w="1132"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10</w:t>
            </w:r>
          </w:p>
        </w:tc>
        <w:tc>
          <w:tcPr>
            <w:tcW w:w="1164"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&lt;5</w:t>
            </w:r>
          </w:p>
        </w:tc>
        <w:tc>
          <w:tcPr>
            <w:tcW w:w="1039"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50</w:t>
            </w:r>
          </w:p>
        </w:tc>
        <w:tc>
          <w:tcPr>
            <w:tcW w:w="759"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0</w:t>
            </w:r>
          </w:p>
        </w:tc>
        <w:tc>
          <w:tcPr>
            <w:tcW w:w="650"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达标</w:t>
            </w:r>
          </w:p>
        </w:tc>
      </w:tr>
      <w:tr w:rsidR="00644456">
        <w:trPr>
          <w:jc w:val="center"/>
        </w:trPr>
        <w:tc>
          <w:tcPr>
            <w:tcW w:w="695" w:type="dxa"/>
            <w:vMerge/>
            <w:vAlign w:val="center"/>
          </w:tcPr>
          <w:p w:rsidR="00644456" w:rsidRPr="00B35AB3" w:rsidRDefault="00644456">
            <w:pPr>
              <w:autoSpaceDE w:val="0"/>
              <w:autoSpaceDN w:val="0"/>
              <w:adjustRightInd w:val="0"/>
              <w:snapToGrid w:val="0"/>
              <w:jc w:val="center"/>
              <w:rPr>
                <w:color w:val="FF0000"/>
                <w:szCs w:val="21"/>
              </w:rPr>
            </w:pPr>
          </w:p>
        </w:tc>
        <w:tc>
          <w:tcPr>
            <w:tcW w:w="904" w:type="dxa"/>
            <w:vMerge/>
            <w:vAlign w:val="center"/>
          </w:tcPr>
          <w:p w:rsidR="00644456" w:rsidRPr="00B35AB3" w:rsidRDefault="00644456">
            <w:pPr>
              <w:autoSpaceDE w:val="0"/>
              <w:autoSpaceDN w:val="0"/>
              <w:adjustRightInd w:val="0"/>
              <w:snapToGrid w:val="0"/>
              <w:jc w:val="center"/>
              <w:rPr>
                <w:color w:val="FF0000"/>
                <w:szCs w:val="21"/>
              </w:rPr>
            </w:pPr>
          </w:p>
        </w:tc>
        <w:tc>
          <w:tcPr>
            <w:tcW w:w="863" w:type="dxa"/>
            <w:vMerge/>
            <w:vAlign w:val="center"/>
          </w:tcPr>
          <w:p w:rsidR="00644456" w:rsidRPr="00B35AB3" w:rsidRDefault="00644456">
            <w:pPr>
              <w:autoSpaceDE w:val="0"/>
              <w:autoSpaceDN w:val="0"/>
              <w:adjustRightInd w:val="0"/>
              <w:snapToGrid w:val="0"/>
              <w:jc w:val="center"/>
              <w:rPr>
                <w:color w:val="FF0000"/>
                <w:szCs w:val="21"/>
              </w:rPr>
            </w:pPr>
          </w:p>
        </w:tc>
        <w:tc>
          <w:tcPr>
            <w:tcW w:w="1144"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臭气浓度</w:t>
            </w:r>
          </w:p>
        </w:tc>
        <w:tc>
          <w:tcPr>
            <w:tcW w:w="906"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一次值</w:t>
            </w:r>
          </w:p>
        </w:tc>
        <w:tc>
          <w:tcPr>
            <w:tcW w:w="1132"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w:t>
            </w:r>
          </w:p>
        </w:tc>
        <w:tc>
          <w:tcPr>
            <w:tcW w:w="1164"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&lt;10</w:t>
            </w:r>
            <w:r w:rsidRPr="00B35AB3">
              <w:rPr>
                <w:rFonts w:hint="eastAsia"/>
                <w:color w:val="FF0000"/>
                <w:szCs w:val="21"/>
              </w:rPr>
              <w:t>（无量纲）</w:t>
            </w:r>
          </w:p>
        </w:tc>
        <w:tc>
          <w:tcPr>
            <w:tcW w:w="1039"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w:t>
            </w:r>
          </w:p>
        </w:tc>
        <w:tc>
          <w:tcPr>
            <w:tcW w:w="759"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w:t>
            </w:r>
          </w:p>
        </w:tc>
        <w:tc>
          <w:tcPr>
            <w:tcW w:w="650"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w:t>
            </w:r>
          </w:p>
        </w:tc>
      </w:tr>
      <w:tr w:rsidR="00644456">
        <w:trPr>
          <w:jc w:val="center"/>
        </w:trPr>
        <w:tc>
          <w:tcPr>
            <w:tcW w:w="695" w:type="dxa"/>
            <w:vMerge w:val="restart"/>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DQ2#</w:t>
            </w:r>
          </w:p>
        </w:tc>
        <w:tc>
          <w:tcPr>
            <w:tcW w:w="904" w:type="dxa"/>
            <w:vMerge w:val="restart"/>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76</w:t>
            </w:r>
            <w:r w:rsidRPr="00B35AB3">
              <w:rPr>
                <w:rFonts w:hint="eastAsia"/>
                <w:color w:val="FF0000"/>
                <w:szCs w:val="21"/>
              </w:rPr>
              <w:t>°</w:t>
            </w:r>
            <w:r w:rsidRPr="00B35AB3">
              <w:rPr>
                <w:rFonts w:hint="eastAsia"/>
                <w:color w:val="FF0000"/>
                <w:szCs w:val="21"/>
              </w:rPr>
              <w:t>09</w:t>
            </w:r>
            <w:r w:rsidRPr="00B35AB3">
              <w:rPr>
                <w:rFonts w:hint="eastAsia"/>
                <w:color w:val="FF0000"/>
                <w:szCs w:val="21"/>
              </w:rPr>
              <w:t>′</w:t>
            </w:r>
            <w:r w:rsidRPr="00B35AB3">
              <w:rPr>
                <w:rFonts w:hint="eastAsia"/>
                <w:color w:val="FF0000"/>
                <w:szCs w:val="21"/>
              </w:rPr>
              <w:t>46.58</w:t>
            </w:r>
            <w:r w:rsidRPr="00B35AB3">
              <w:rPr>
                <w:rFonts w:hint="eastAsia"/>
                <w:color w:val="FF0000"/>
                <w:szCs w:val="21"/>
              </w:rPr>
              <w:t>″</w:t>
            </w:r>
          </w:p>
        </w:tc>
        <w:tc>
          <w:tcPr>
            <w:tcW w:w="863" w:type="dxa"/>
            <w:vMerge w:val="restart"/>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39</w:t>
            </w:r>
            <w:r w:rsidRPr="00B35AB3">
              <w:rPr>
                <w:rFonts w:hint="eastAsia"/>
                <w:color w:val="FF0000"/>
                <w:szCs w:val="21"/>
              </w:rPr>
              <w:t>°</w:t>
            </w:r>
            <w:r w:rsidRPr="00B35AB3">
              <w:rPr>
                <w:rFonts w:hint="eastAsia"/>
                <w:color w:val="FF0000"/>
                <w:szCs w:val="21"/>
              </w:rPr>
              <w:t>03</w:t>
            </w:r>
            <w:r w:rsidRPr="00B35AB3">
              <w:rPr>
                <w:rFonts w:hint="eastAsia"/>
                <w:color w:val="FF0000"/>
                <w:szCs w:val="21"/>
              </w:rPr>
              <w:t>′</w:t>
            </w:r>
            <w:r w:rsidRPr="00B35AB3">
              <w:rPr>
                <w:rFonts w:hint="eastAsia"/>
                <w:color w:val="FF0000"/>
                <w:szCs w:val="21"/>
              </w:rPr>
              <w:t>50.63</w:t>
            </w:r>
            <w:r w:rsidRPr="00B35AB3">
              <w:rPr>
                <w:rFonts w:hint="eastAsia"/>
                <w:color w:val="FF0000"/>
                <w:szCs w:val="21"/>
              </w:rPr>
              <w:t>″</w:t>
            </w:r>
          </w:p>
        </w:tc>
        <w:tc>
          <w:tcPr>
            <w:tcW w:w="1144"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TSP</w:t>
            </w:r>
          </w:p>
        </w:tc>
        <w:tc>
          <w:tcPr>
            <w:tcW w:w="906"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24h</w:t>
            </w:r>
            <w:r w:rsidRPr="00B35AB3">
              <w:rPr>
                <w:rFonts w:hint="eastAsia"/>
                <w:color w:val="FF0000"/>
                <w:szCs w:val="21"/>
              </w:rPr>
              <w:t>平均</w:t>
            </w:r>
          </w:p>
        </w:tc>
        <w:tc>
          <w:tcPr>
            <w:tcW w:w="1132"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300</w:t>
            </w:r>
          </w:p>
        </w:tc>
        <w:tc>
          <w:tcPr>
            <w:tcW w:w="1164"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226-259</w:t>
            </w:r>
          </w:p>
        </w:tc>
        <w:tc>
          <w:tcPr>
            <w:tcW w:w="1039"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86.3</w:t>
            </w:r>
          </w:p>
        </w:tc>
        <w:tc>
          <w:tcPr>
            <w:tcW w:w="759"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0</w:t>
            </w:r>
          </w:p>
        </w:tc>
        <w:tc>
          <w:tcPr>
            <w:tcW w:w="650"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达标</w:t>
            </w:r>
          </w:p>
        </w:tc>
      </w:tr>
      <w:tr w:rsidR="00644456">
        <w:trPr>
          <w:jc w:val="center"/>
        </w:trPr>
        <w:tc>
          <w:tcPr>
            <w:tcW w:w="695" w:type="dxa"/>
            <w:vMerge/>
            <w:vAlign w:val="center"/>
          </w:tcPr>
          <w:p w:rsidR="00644456" w:rsidRPr="00B35AB3" w:rsidRDefault="00644456">
            <w:pPr>
              <w:autoSpaceDE w:val="0"/>
              <w:autoSpaceDN w:val="0"/>
              <w:adjustRightInd w:val="0"/>
              <w:snapToGrid w:val="0"/>
              <w:jc w:val="center"/>
              <w:rPr>
                <w:color w:val="FF0000"/>
                <w:szCs w:val="21"/>
              </w:rPr>
            </w:pPr>
          </w:p>
        </w:tc>
        <w:tc>
          <w:tcPr>
            <w:tcW w:w="904" w:type="dxa"/>
            <w:vMerge/>
            <w:vAlign w:val="center"/>
          </w:tcPr>
          <w:p w:rsidR="00644456" w:rsidRPr="00B35AB3" w:rsidRDefault="00644456">
            <w:pPr>
              <w:autoSpaceDE w:val="0"/>
              <w:autoSpaceDN w:val="0"/>
              <w:adjustRightInd w:val="0"/>
              <w:snapToGrid w:val="0"/>
              <w:jc w:val="center"/>
              <w:rPr>
                <w:color w:val="FF0000"/>
                <w:szCs w:val="21"/>
              </w:rPr>
            </w:pPr>
          </w:p>
        </w:tc>
        <w:tc>
          <w:tcPr>
            <w:tcW w:w="863" w:type="dxa"/>
            <w:vMerge/>
            <w:vAlign w:val="center"/>
          </w:tcPr>
          <w:p w:rsidR="00644456" w:rsidRPr="00B35AB3" w:rsidRDefault="00644456">
            <w:pPr>
              <w:autoSpaceDE w:val="0"/>
              <w:autoSpaceDN w:val="0"/>
              <w:adjustRightInd w:val="0"/>
              <w:snapToGrid w:val="0"/>
              <w:jc w:val="center"/>
              <w:rPr>
                <w:color w:val="FF0000"/>
                <w:szCs w:val="21"/>
              </w:rPr>
            </w:pPr>
          </w:p>
        </w:tc>
        <w:tc>
          <w:tcPr>
            <w:tcW w:w="1144"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氮氧化物</w:t>
            </w:r>
          </w:p>
        </w:tc>
        <w:tc>
          <w:tcPr>
            <w:tcW w:w="906"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1h</w:t>
            </w:r>
            <w:r w:rsidRPr="00B35AB3">
              <w:rPr>
                <w:rFonts w:hint="eastAsia"/>
                <w:color w:val="FF0000"/>
                <w:szCs w:val="21"/>
              </w:rPr>
              <w:t>平均</w:t>
            </w:r>
          </w:p>
        </w:tc>
        <w:tc>
          <w:tcPr>
            <w:tcW w:w="1132"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250</w:t>
            </w:r>
          </w:p>
        </w:tc>
        <w:tc>
          <w:tcPr>
            <w:tcW w:w="1164"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10-23</w:t>
            </w:r>
          </w:p>
        </w:tc>
        <w:tc>
          <w:tcPr>
            <w:tcW w:w="1039"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9.2</w:t>
            </w:r>
          </w:p>
        </w:tc>
        <w:tc>
          <w:tcPr>
            <w:tcW w:w="759"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0</w:t>
            </w:r>
          </w:p>
        </w:tc>
        <w:tc>
          <w:tcPr>
            <w:tcW w:w="650"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达标</w:t>
            </w:r>
          </w:p>
        </w:tc>
      </w:tr>
      <w:tr w:rsidR="00644456">
        <w:trPr>
          <w:jc w:val="center"/>
        </w:trPr>
        <w:tc>
          <w:tcPr>
            <w:tcW w:w="695" w:type="dxa"/>
            <w:vMerge/>
            <w:vAlign w:val="center"/>
          </w:tcPr>
          <w:p w:rsidR="00644456" w:rsidRPr="00B35AB3" w:rsidRDefault="00644456">
            <w:pPr>
              <w:autoSpaceDE w:val="0"/>
              <w:autoSpaceDN w:val="0"/>
              <w:adjustRightInd w:val="0"/>
              <w:snapToGrid w:val="0"/>
              <w:jc w:val="center"/>
              <w:rPr>
                <w:color w:val="FF0000"/>
                <w:szCs w:val="21"/>
              </w:rPr>
            </w:pPr>
          </w:p>
        </w:tc>
        <w:tc>
          <w:tcPr>
            <w:tcW w:w="904" w:type="dxa"/>
            <w:vMerge/>
            <w:vAlign w:val="center"/>
          </w:tcPr>
          <w:p w:rsidR="00644456" w:rsidRPr="00B35AB3" w:rsidRDefault="00644456">
            <w:pPr>
              <w:autoSpaceDE w:val="0"/>
              <w:autoSpaceDN w:val="0"/>
              <w:adjustRightInd w:val="0"/>
              <w:snapToGrid w:val="0"/>
              <w:jc w:val="center"/>
              <w:rPr>
                <w:color w:val="FF0000"/>
                <w:szCs w:val="21"/>
              </w:rPr>
            </w:pPr>
          </w:p>
        </w:tc>
        <w:tc>
          <w:tcPr>
            <w:tcW w:w="863" w:type="dxa"/>
            <w:vMerge/>
            <w:vAlign w:val="center"/>
          </w:tcPr>
          <w:p w:rsidR="00644456" w:rsidRPr="00B35AB3" w:rsidRDefault="00644456">
            <w:pPr>
              <w:autoSpaceDE w:val="0"/>
              <w:autoSpaceDN w:val="0"/>
              <w:adjustRightInd w:val="0"/>
              <w:snapToGrid w:val="0"/>
              <w:jc w:val="center"/>
              <w:rPr>
                <w:color w:val="FF0000"/>
                <w:szCs w:val="21"/>
              </w:rPr>
            </w:pPr>
          </w:p>
        </w:tc>
        <w:tc>
          <w:tcPr>
            <w:tcW w:w="1144"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氨</w:t>
            </w:r>
          </w:p>
        </w:tc>
        <w:tc>
          <w:tcPr>
            <w:tcW w:w="906"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1h</w:t>
            </w:r>
            <w:r w:rsidRPr="00B35AB3">
              <w:rPr>
                <w:rFonts w:hint="eastAsia"/>
                <w:color w:val="FF0000"/>
                <w:szCs w:val="21"/>
              </w:rPr>
              <w:t>平均</w:t>
            </w:r>
          </w:p>
        </w:tc>
        <w:tc>
          <w:tcPr>
            <w:tcW w:w="1132"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200</w:t>
            </w:r>
          </w:p>
        </w:tc>
        <w:tc>
          <w:tcPr>
            <w:tcW w:w="1164"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10-30</w:t>
            </w:r>
          </w:p>
        </w:tc>
        <w:tc>
          <w:tcPr>
            <w:tcW w:w="1039"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15</w:t>
            </w:r>
          </w:p>
        </w:tc>
        <w:tc>
          <w:tcPr>
            <w:tcW w:w="759"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0</w:t>
            </w:r>
          </w:p>
        </w:tc>
        <w:tc>
          <w:tcPr>
            <w:tcW w:w="650"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达标</w:t>
            </w:r>
          </w:p>
        </w:tc>
      </w:tr>
      <w:tr w:rsidR="00644456">
        <w:trPr>
          <w:jc w:val="center"/>
        </w:trPr>
        <w:tc>
          <w:tcPr>
            <w:tcW w:w="695" w:type="dxa"/>
            <w:vMerge/>
            <w:vAlign w:val="center"/>
          </w:tcPr>
          <w:p w:rsidR="00644456" w:rsidRPr="00B35AB3" w:rsidRDefault="00644456">
            <w:pPr>
              <w:autoSpaceDE w:val="0"/>
              <w:autoSpaceDN w:val="0"/>
              <w:adjustRightInd w:val="0"/>
              <w:snapToGrid w:val="0"/>
              <w:jc w:val="center"/>
              <w:rPr>
                <w:color w:val="FF0000"/>
                <w:szCs w:val="21"/>
              </w:rPr>
            </w:pPr>
          </w:p>
        </w:tc>
        <w:tc>
          <w:tcPr>
            <w:tcW w:w="904" w:type="dxa"/>
            <w:vMerge/>
            <w:vAlign w:val="center"/>
          </w:tcPr>
          <w:p w:rsidR="00644456" w:rsidRPr="00B35AB3" w:rsidRDefault="00644456">
            <w:pPr>
              <w:autoSpaceDE w:val="0"/>
              <w:autoSpaceDN w:val="0"/>
              <w:adjustRightInd w:val="0"/>
              <w:snapToGrid w:val="0"/>
              <w:jc w:val="center"/>
              <w:rPr>
                <w:color w:val="FF0000"/>
                <w:szCs w:val="21"/>
              </w:rPr>
            </w:pPr>
          </w:p>
        </w:tc>
        <w:tc>
          <w:tcPr>
            <w:tcW w:w="863" w:type="dxa"/>
            <w:vMerge/>
            <w:vAlign w:val="center"/>
          </w:tcPr>
          <w:p w:rsidR="00644456" w:rsidRPr="00B35AB3" w:rsidRDefault="00644456">
            <w:pPr>
              <w:autoSpaceDE w:val="0"/>
              <w:autoSpaceDN w:val="0"/>
              <w:adjustRightInd w:val="0"/>
              <w:snapToGrid w:val="0"/>
              <w:jc w:val="center"/>
              <w:rPr>
                <w:color w:val="FF0000"/>
                <w:szCs w:val="21"/>
              </w:rPr>
            </w:pPr>
          </w:p>
        </w:tc>
        <w:tc>
          <w:tcPr>
            <w:tcW w:w="1144"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硫化氢</w:t>
            </w:r>
          </w:p>
        </w:tc>
        <w:tc>
          <w:tcPr>
            <w:tcW w:w="906"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1h</w:t>
            </w:r>
            <w:r w:rsidRPr="00B35AB3">
              <w:rPr>
                <w:rFonts w:hint="eastAsia"/>
                <w:color w:val="FF0000"/>
                <w:szCs w:val="21"/>
              </w:rPr>
              <w:t>平均</w:t>
            </w:r>
          </w:p>
        </w:tc>
        <w:tc>
          <w:tcPr>
            <w:tcW w:w="1132"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10</w:t>
            </w:r>
          </w:p>
        </w:tc>
        <w:tc>
          <w:tcPr>
            <w:tcW w:w="1164"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&lt;5</w:t>
            </w:r>
          </w:p>
        </w:tc>
        <w:tc>
          <w:tcPr>
            <w:tcW w:w="1039"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50</w:t>
            </w:r>
          </w:p>
        </w:tc>
        <w:tc>
          <w:tcPr>
            <w:tcW w:w="759"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0</w:t>
            </w:r>
          </w:p>
        </w:tc>
        <w:tc>
          <w:tcPr>
            <w:tcW w:w="650"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达标</w:t>
            </w:r>
          </w:p>
        </w:tc>
      </w:tr>
      <w:tr w:rsidR="00644456">
        <w:trPr>
          <w:jc w:val="center"/>
        </w:trPr>
        <w:tc>
          <w:tcPr>
            <w:tcW w:w="695" w:type="dxa"/>
            <w:vMerge/>
            <w:vAlign w:val="center"/>
          </w:tcPr>
          <w:p w:rsidR="00644456" w:rsidRPr="00B35AB3" w:rsidRDefault="00644456">
            <w:pPr>
              <w:autoSpaceDE w:val="0"/>
              <w:autoSpaceDN w:val="0"/>
              <w:adjustRightInd w:val="0"/>
              <w:snapToGrid w:val="0"/>
              <w:jc w:val="center"/>
              <w:rPr>
                <w:color w:val="FF0000"/>
                <w:szCs w:val="21"/>
              </w:rPr>
            </w:pPr>
          </w:p>
        </w:tc>
        <w:tc>
          <w:tcPr>
            <w:tcW w:w="904" w:type="dxa"/>
            <w:vMerge/>
            <w:vAlign w:val="center"/>
          </w:tcPr>
          <w:p w:rsidR="00644456" w:rsidRPr="00B35AB3" w:rsidRDefault="00644456">
            <w:pPr>
              <w:autoSpaceDE w:val="0"/>
              <w:autoSpaceDN w:val="0"/>
              <w:adjustRightInd w:val="0"/>
              <w:snapToGrid w:val="0"/>
              <w:jc w:val="center"/>
              <w:rPr>
                <w:color w:val="FF0000"/>
                <w:szCs w:val="21"/>
              </w:rPr>
            </w:pPr>
          </w:p>
        </w:tc>
        <w:tc>
          <w:tcPr>
            <w:tcW w:w="863" w:type="dxa"/>
            <w:vMerge/>
            <w:vAlign w:val="center"/>
          </w:tcPr>
          <w:p w:rsidR="00644456" w:rsidRPr="00B35AB3" w:rsidRDefault="00644456">
            <w:pPr>
              <w:autoSpaceDE w:val="0"/>
              <w:autoSpaceDN w:val="0"/>
              <w:adjustRightInd w:val="0"/>
              <w:snapToGrid w:val="0"/>
              <w:jc w:val="center"/>
              <w:rPr>
                <w:color w:val="FF0000"/>
                <w:szCs w:val="21"/>
              </w:rPr>
            </w:pPr>
          </w:p>
        </w:tc>
        <w:tc>
          <w:tcPr>
            <w:tcW w:w="1144"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臭气浓度</w:t>
            </w:r>
          </w:p>
        </w:tc>
        <w:tc>
          <w:tcPr>
            <w:tcW w:w="906"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一次值</w:t>
            </w:r>
          </w:p>
        </w:tc>
        <w:tc>
          <w:tcPr>
            <w:tcW w:w="1132"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w:t>
            </w:r>
          </w:p>
        </w:tc>
        <w:tc>
          <w:tcPr>
            <w:tcW w:w="1164"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&lt;10</w:t>
            </w:r>
            <w:r w:rsidRPr="00B35AB3">
              <w:rPr>
                <w:rFonts w:hint="eastAsia"/>
                <w:color w:val="FF0000"/>
                <w:szCs w:val="21"/>
              </w:rPr>
              <w:t>（无量纲）</w:t>
            </w:r>
          </w:p>
        </w:tc>
        <w:tc>
          <w:tcPr>
            <w:tcW w:w="1039"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w:t>
            </w:r>
          </w:p>
        </w:tc>
        <w:tc>
          <w:tcPr>
            <w:tcW w:w="759"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w:t>
            </w:r>
          </w:p>
        </w:tc>
        <w:tc>
          <w:tcPr>
            <w:tcW w:w="650"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w:t>
            </w:r>
          </w:p>
        </w:tc>
      </w:tr>
      <w:tr w:rsidR="00644456">
        <w:trPr>
          <w:jc w:val="center"/>
        </w:trPr>
        <w:tc>
          <w:tcPr>
            <w:tcW w:w="695"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本项</w:t>
            </w:r>
            <w:r w:rsidRPr="00B35AB3">
              <w:rPr>
                <w:rFonts w:hint="eastAsia"/>
                <w:color w:val="FF0000"/>
                <w:szCs w:val="21"/>
              </w:rPr>
              <w:lastRenderedPageBreak/>
              <w:t>目下风向</w:t>
            </w:r>
          </w:p>
        </w:tc>
        <w:tc>
          <w:tcPr>
            <w:tcW w:w="904"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lastRenderedPageBreak/>
              <w:t>76</w:t>
            </w:r>
            <w:r w:rsidRPr="00B35AB3">
              <w:rPr>
                <w:color w:val="FF0000"/>
                <w:szCs w:val="21"/>
              </w:rPr>
              <w:t>°</w:t>
            </w:r>
            <w:r w:rsidRPr="00B35AB3">
              <w:rPr>
                <w:rFonts w:hint="eastAsia"/>
                <w:color w:val="FF0000"/>
                <w:szCs w:val="21"/>
              </w:rPr>
              <w:t>9</w:t>
            </w:r>
            <w:r w:rsidRPr="00B35AB3">
              <w:rPr>
                <w:color w:val="FF0000"/>
                <w:szCs w:val="21"/>
              </w:rPr>
              <w:t>′</w:t>
            </w:r>
            <w:r w:rsidRPr="00B35AB3">
              <w:rPr>
                <w:rFonts w:hint="eastAsia"/>
                <w:color w:val="FF0000"/>
                <w:szCs w:val="21"/>
              </w:rPr>
              <w:t>6.</w:t>
            </w:r>
            <w:r w:rsidRPr="00B35AB3">
              <w:rPr>
                <w:rFonts w:hint="eastAsia"/>
                <w:color w:val="FF0000"/>
                <w:szCs w:val="21"/>
              </w:rPr>
              <w:lastRenderedPageBreak/>
              <w:t>40</w:t>
            </w:r>
            <w:r w:rsidRPr="00B35AB3">
              <w:rPr>
                <w:color w:val="FF0000"/>
                <w:szCs w:val="21"/>
              </w:rPr>
              <w:t>″</w:t>
            </w:r>
          </w:p>
        </w:tc>
        <w:tc>
          <w:tcPr>
            <w:tcW w:w="863"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lastRenderedPageBreak/>
              <w:t>39</w:t>
            </w:r>
            <w:r w:rsidRPr="00B35AB3">
              <w:rPr>
                <w:color w:val="FF0000"/>
                <w:szCs w:val="21"/>
              </w:rPr>
              <w:t>°</w:t>
            </w:r>
            <w:r w:rsidRPr="00B35AB3">
              <w:rPr>
                <w:rFonts w:hint="eastAsia"/>
                <w:color w:val="FF0000"/>
                <w:szCs w:val="21"/>
              </w:rPr>
              <w:t>3</w:t>
            </w:r>
            <w:r w:rsidRPr="00B35AB3">
              <w:rPr>
                <w:color w:val="FF0000"/>
                <w:szCs w:val="21"/>
              </w:rPr>
              <w:t>′</w:t>
            </w:r>
            <w:r w:rsidRPr="00B35AB3">
              <w:rPr>
                <w:rFonts w:hint="eastAsia"/>
                <w:color w:val="FF0000"/>
                <w:szCs w:val="21"/>
              </w:rPr>
              <w:t>3</w:t>
            </w:r>
            <w:r w:rsidRPr="00B35AB3">
              <w:rPr>
                <w:rFonts w:hint="eastAsia"/>
                <w:color w:val="FF0000"/>
                <w:szCs w:val="21"/>
              </w:rPr>
              <w:lastRenderedPageBreak/>
              <w:t>1.74</w:t>
            </w:r>
            <w:r w:rsidRPr="00B35AB3">
              <w:rPr>
                <w:color w:val="FF0000"/>
                <w:szCs w:val="21"/>
              </w:rPr>
              <w:t>″</w:t>
            </w:r>
          </w:p>
        </w:tc>
        <w:tc>
          <w:tcPr>
            <w:tcW w:w="1144"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rPr>
              <w:lastRenderedPageBreak/>
              <w:t>非甲烷总</w:t>
            </w:r>
            <w:r w:rsidRPr="00B35AB3">
              <w:rPr>
                <w:rFonts w:hint="eastAsia"/>
                <w:color w:val="FF0000"/>
              </w:rPr>
              <w:lastRenderedPageBreak/>
              <w:t>烃</w:t>
            </w:r>
          </w:p>
        </w:tc>
        <w:tc>
          <w:tcPr>
            <w:tcW w:w="906"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lastRenderedPageBreak/>
              <w:t>1h</w:t>
            </w:r>
            <w:r w:rsidRPr="00B35AB3">
              <w:rPr>
                <w:rFonts w:hint="eastAsia"/>
                <w:color w:val="FF0000"/>
                <w:szCs w:val="21"/>
              </w:rPr>
              <w:t>平均</w:t>
            </w:r>
          </w:p>
        </w:tc>
        <w:tc>
          <w:tcPr>
            <w:tcW w:w="1132"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2.0</w:t>
            </w:r>
            <w:r w:rsidR="00B35AB3" w:rsidRPr="00B35AB3">
              <w:rPr>
                <w:color w:val="FF0000"/>
              </w:rPr>
              <w:t xml:space="preserve"> </w:t>
            </w:r>
            <w:r w:rsidR="00B35AB3" w:rsidRPr="00B35AB3">
              <w:rPr>
                <w:color w:val="FF0000"/>
                <w:szCs w:val="21"/>
              </w:rPr>
              <w:t>mg/m</w:t>
            </w:r>
            <w:r w:rsidR="00B35AB3" w:rsidRPr="00B35AB3">
              <w:rPr>
                <w:color w:val="FF0000"/>
                <w:szCs w:val="21"/>
                <w:vertAlign w:val="superscript"/>
              </w:rPr>
              <w:t>3</w:t>
            </w:r>
          </w:p>
        </w:tc>
        <w:tc>
          <w:tcPr>
            <w:tcW w:w="1164"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0.63-0.69</w:t>
            </w:r>
            <w:r w:rsidR="00B35AB3" w:rsidRPr="00B35AB3">
              <w:rPr>
                <w:color w:val="FF0000"/>
                <w:szCs w:val="21"/>
              </w:rPr>
              <w:t xml:space="preserve"> </w:t>
            </w:r>
            <w:r w:rsidR="00B35AB3" w:rsidRPr="00B35AB3">
              <w:rPr>
                <w:color w:val="FF0000"/>
                <w:szCs w:val="21"/>
              </w:rPr>
              <w:lastRenderedPageBreak/>
              <w:t>mg/m</w:t>
            </w:r>
            <w:r w:rsidR="00B35AB3" w:rsidRPr="00B35AB3">
              <w:rPr>
                <w:color w:val="FF0000"/>
                <w:szCs w:val="21"/>
                <w:vertAlign w:val="superscript"/>
              </w:rPr>
              <w:t>3</w:t>
            </w:r>
          </w:p>
        </w:tc>
        <w:tc>
          <w:tcPr>
            <w:tcW w:w="1039"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lastRenderedPageBreak/>
              <w:t>0.345</w:t>
            </w:r>
          </w:p>
        </w:tc>
        <w:tc>
          <w:tcPr>
            <w:tcW w:w="759"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0</w:t>
            </w:r>
          </w:p>
        </w:tc>
        <w:tc>
          <w:tcPr>
            <w:tcW w:w="650" w:type="dxa"/>
            <w:vAlign w:val="center"/>
          </w:tcPr>
          <w:p w:rsidR="00644456" w:rsidRPr="00B35AB3" w:rsidRDefault="008031C4">
            <w:pPr>
              <w:autoSpaceDE w:val="0"/>
              <w:autoSpaceDN w:val="0"/>
              <w:adjustRightInd w:val="0"/>
              <w:snapToGrid w:val="0"/>
              <w:jc w:val="center"/>
              <w:rPr>
                <w:color w:val="FF0000"/>
                <w:szCs w:val="21"/>
              </w:rPr>
            </w:pPr>
            <w:r w:rsidRPr="00B35AB3">
              <w:rPr>
                <w:rFonts w:hint="eastAsia"/>
                <w:color w:val="FF0000"/>
                <w:szCs w:val="21"/>
              </w:rPr>
              <w:t>达标</w:t>
            </w:r>
          </w:p>
        </w:tc>
      </w:tr>
    </w:tbl>
    <w:p w:rsidR="00644456" w:rsidRDefault="008031C4">
      <w:pPr>
        <w:pStyle w:val="1fd"/>
        <w:rPr>
          <w:color w:val="000000" w:themeColor="text1"/>
        </w:rPr>
      </w:pPr>
      <w:r>
        <w:rPr>
          <w:color w:val="000000" w:themeColor="text1"/>
        </w:rPr>
        <w:t>由上表可知，环境空气质量现状监测点中</w:t>
      </w:r>
      <w:r>
        <w:rPr>
          <w:color w:val="000000" w:themeColor="text1"/>
        </w:rPr>
        <w:t>TSP</w:t>
      </w:r>
      <w:r>
        <w:rPr>
          <w:rFonts w:hint="eastAsia"/>
          <w:color w:val="000000" w:themeColor="text1"/>
        </w:rPr>
        <w:t>、硫化氢、氨</w:t>
      </w:r>
      <w:r>
        <w:rPr>
          <w:color w:val="000000" w:themeColor="text1"/>
        </w:rPr>
        <w:t>的</w:t>
      </w:r>
      <w:r>
        <w:rPr>
          <w:color w:val="000000" w:themeColor="text1"/>
        </w:rPr>
        <w:t>Ii</w:t>
      </w:r>
      <w:r>
        <w:rPr>
          <w:color w:val="000000" w:themeColor="text1"/>
        </w:rPr>
        <w:t>值均小于</w:t>
      </w:r>
      <w:r>
        <w:rPr>
          <w:color w:val="000000" w:themeColor="text1"/>
        </w:rPr>
        <w:t>1</w:t>
      </w:r>
      <w:r>
        <w:rPr>
          <w:color w:val="000000" w:themeColor="text1"/>
        </w:rPr>
        <w:t>，</w:t>
      </w:r>
      <w:r>
        <w:rPr>
          <w:color w:val="000000" w:themeColor="text1"/>
        </w:rPr>
        <w:t>TSP</w:t>
      </w:r>
      <w:r>
        <w:rPr>
          <w:color w:val="000000" w:themeColor="text1"/>
        </w:rPr>
        <w:t>的</w:t>
      </w:r>
      <w:r>
        <w:rPr>
          <w:color w:val="000000" w:themeColor="text1"/>
        </w:rPr>
        <w:t>24</w:t>
      </w:r>
      <w:r>
        <w:rPr>
          <w:color w:val="000000" w:themeColor="text1"/>
        </w:rPr>
        <w:t>小时平均浓度满足《环境空气质量标准》（</w:t>
      </w:r>
      <w:r>
        <w:rPr>
          <w:color w:val="000000" w:themeColor="text1"/>
        </w:rPr>
        <w:t>GB3095-2012</w:t>
      </w:r>
      <w:r>
        <w:rPr>
          <w:color w:val="000000" w:themeColor="text1"/>
        </w:rPr>
        <w:t>）中的二级标准要求</w:t>
      </w:r>
      <w:r>
        <w:rPr>
          <w:rFonts w:hint="eastAsia"/>
          <w:color w:val="000000" w:themeColor="text1"/>
        </w:rPr>
        <w:t>；硫化氢、氨</w:t>
      </w:r>
      <w:r>
        <w:rPr>
          <w:rFonts w:hint="eastAsia"/>
          <w:color w:val="000000" w:themeColor="text1"/>
        </w:rPr>
        <w:t>1</w:t>
      </w:r>
      <w:r>
        <w:rPr>
          <w:rFonts w:hint="eastAsia"/>
          <w:color w:val="000000" w:themeColor="text1"/>
        </w:rPr>
        <w:t>小时平均浓度满足《环境影响评价技术导则—大气环境》（</w:t>
      </w:r>
      <w:r>
        <w:rPr>
          <w:rFonts w:hint="eastAsia"/>
          <w:color w:val="000000" w:themeColor="text1"/>
        </w:rPr>
        <w:t>HJ2.2-2018</w:t>
      </w:r>
      <w:r>
        <w:rPr>
          <w:rFonts w:hint="eastAsia"/>
          <w:color w:val="000000" w:themeColor="text1"/>
        </w:rPr>
        <w:t>）附录</w:t>
      </w:r>
      <w:r>
        <w:rPr>
          <w:rFonts w:hint="eastAsia"/>
          <w:color w:val="000000" w:themeColor="text1"/>
        </w:rPr>
        <w:t>D</w:t>
      </w:r>
      <w:r>
        <w:rPr>
          <w:rFonts w:hint="eastAsia"/>
          <w:color w:val="000000" w:themeColor="text1"/>
        </w:rPr>
        <w:t>中标准限值</w:t>
      </w:r>
      <w:r>
        <w:rPr>
          <w:color w:val="000000" w:themeColor="text1"/>
        </w:rPr>
        <w:t>。项目所在区域环境空气质量现状良好。</w:t>
      </w:r>
    </w:p>
    <w:p w:rsidR="00644456" w:rsidRDefault="008031C4">
      <w:pPr>
        <w:pStyle w:val="20"/>
        <w:numPr>
          <w:ilvl w:val="1"/>
          <w:numId w:val="0"/>
        </w:numPr>
        <w:adjustRightInd w:val="0"/>
        <w:snapToGrid w:val="0"/>
        <w:spacing w:beforeLines="0" w:before="0" w:afterLines="0" w:after="0"/>
        <w:ind w:firstLine="562"/>
        <w:rPr>
          <w:rFonts w:cs="Times New Roman"/>
          <w:color w:val="000000" w:themeColor="text1"/>
        </w:rPr>
      </w:pPr>
      <w:bookmarkStart w:id="244" w:name="_Toc177216878"/>
      <w:bookmarkStart w:id="245" w:name="_Toc155789370"/>
      <w:bookmarkStart w:id="246" w:name="_Toc56715037"/>
      <w:bookmarkStart w:id="247" w:name="_Toc11642"/>
      <w:r>
        <w:rPr>
          <w:rFonts w:cs="Times New Roman" w:hint="eastAsia"/>
          <w:color w:val="000000" w:themeColor="text1"/>
        </w:rPr>
        <w:t>3.4</w:t>
      </w:r>
      <w:r>
        <w:rPr>
          <w:rFonts w:cs="Times New Roman"/>
          <w:color w:val="000000" w:themeColor="text1"/>
        </w:rPr>
        <w:t>地表水环境现状监测及评价</w:t>
      </w:r>
      <w:bookmarkEnd w:id="244"/>
      <w:bookmarkEnd w:id="245"/>
    </w:p>
    <w:p w:rsidR="00644456" w:rsidRDefault="008031C4">
      <w:pPr>
        <w:pStyle w:val="1fd"/>
        <w:rPr>
          <w:color w:val="000000" w:themeColor="text1"/>
        </w:rPr>
      </w:pPr>
      <w:r>
        <w:rPr>
          <w:rFonts w:hint="eastAsia"/>
          <w:color w:val="000000" w:themeColor="text1"/>
        </w:rPr>
        <w:t>本项目周边无天然地表水体，同时废水经本项目污水处理厂处理达标后排入生态钢城污水处理厂进一步处理达标后，用于园区绿化灌溉或道路清扫，不外排。</w:t>
      </w:r>
    </w:p>
    <w:p w:rsidR="00644456" w:rsidRDefault="008031C4">
      <w:pPr>
        <w:pStyle w:val="1fd"/>
        <w:rPr>
          <w:color w:val="FF0000"/>
        </w:rPr>
      </w:pPr>
      <w:r>
        <w:rPr>
          <w:rFonts w:hint="eastAsia"/>
          <w:color w:val="000000" w:themeColor="text1"/>
        </w:rPr>
        <w:t>因此，本项目不与地表水体发生关联。</w:t>
      </w:r>
    </w:p>
    <w:p w:rsidR="00644456" w:rsidRDefault="008031C4">
      <w:pPr>
        <w:pStyle w:val="20"/>
        <w:numPr>
          <w:ilvl w:val="1"/>
          <w:numId w:val="0"/>
        </w:numPr>
        <w:snapToGrid w:val="0"/>
        <w:spacing w:beforeLines="0" w:before="0" w:afterLines="0" w:after="0"/>
        <w:ind w:firstLine="562"/>
        <w:rPr>
          <w:rFonts w:cs="Times New Roman"/>
          <w:color w:val="000000" w:themeColor="text1"/>
        </w:rPr>
      </w:pPr>
      <w:bookmarkStart w:id="248" w:name="_Toc177216879"/>
      <w:bookmarkStart w:id="249" w:name="_Toc155789371"/>
      <w:bookmarkEnd w:id="246"/>
      <w:r>
        <w:rPr>
          <w:rFonts w:cs="Times New Roman" w:hint="eastAsia"/>
          <w:color w:val="000000" w:themeColor="text1"/>
        </w:rPr>
        <w:t>3.5</w:t>
      </w:r>
      <w:r>
        <w:rPr>
          <w:rFonts w:cs="Times New Roman"/>
          <w:color w:val="000000" w:themeColor="text1"/>
        </w:rPr>
        <w:t>地下水质量现状监测及评价</w:t>
      </w:r>
      <w:bookmarkEnd w:id="248"/>
      <w:bookmarkEnd w:id="249"/>
    </w:p>
    <w:p w:rsidR="00644456" w:rsidRDefault="008031C4">
      <w:pPr>
        <w:spacing w:line="360" w:lineRule="auto"/>
        <w:ind w:firstLineChars="200" w:firstLine="480"/>
        <w:rPr>
          <w:color w:val="000000" w:themeColor="text1"/>
          <w:sz w:val="24"/>
          <w:szCs w:val="24"/>
          <w:u w:val="single"/>
        </w:rPr>
      </w:pPr>
      <w:bookmarkStart w:id="250" w:name="_Hlk90619420"/>
      <w:bookmarkStart w:id="251" w:name="_Toc56715038"/>
      <w:r>
        <w:rPr>
          <w:rFonts w:hint="eastAsia"/>
          <w:color w:val="000000" w:themeColor="text1"/>
          <w:sz w:val="24"/>
          <w:szCs w:val="24"/>
          <w:u w:val="single"/>
        </w:rPr>
        <w:t>（</w:t>
      </w:r>
      <w:r>
        <w:rPr>
          <w:rFonts w:hint="eastAsia"/>
          <w:color w:val="000000" w:themeColor="text1"/>
          <w:sz w:val="24"/>
          <w:szCs w:val="24"/>
          <w:u w:val="single"/>
        </w:rPr>
        <w:t>1</w:t>
      </w:r>
      <w:r>
        <w:rPr>
          <w:rFonts w:hint="eastAsia"/>
          <w:color w:val="000000" w:themeColor="text1"/>
          <w:sz w:val="24"/>
          <w:szCs w:val="24"/>
          <w:u w:val="single"/>
        </w:rPr>
        <w:t>）水质监测点</w:t>
      </w:r>
    </w:p>
    <w:p w:rsidR="00644456" w:rsidRDefault="008031C4">
      <w:pPr>
        <w:spacing w:line="360" w:lineRule="auto"/>
        <w:ind w:firstLineChars="200" w:firstLine="480"/>
        <w:rPr>
          <w:color w:val="000000" w:themeColor="text1"/>
          <w:sz w:val="24"/>
          <w:szCs w:val="24"/>
        </w:rPr>
      </w:pPr>
      <w:r>
        <w:rPr>
          <w:rFonts w:hint="eastAsia"/>
          <w:color w:val="000000" w:themeColor="text1"/>
          <w:sz w:val="24"/>
          <w:szCs w:val="24"/>
        </w:rPr>
        <w:t>根据</w:t>
      </w:r>
      <w:r>
        <w:rPr>
          <w:color w:val="000000" w:themeColor="text1"/>
          <w:sz w:val="24"/>
          <w:szCs w:val="24"/>
        </w:rPr>
        <w:t>《环境影响评价技术导则地下水环境》（</w:t>
      </w:r>
      <w:r>
        <w:rPr>
          <w:color w:val="000000" w:themeColor="text1"/>
          <w:sz w:val="24"/>
          <w:szCs w:val="24"/>
        </w:rPr>
        <w:t>HJ610-201</w:t>
      </w:r>
      <w:r>
        <w:rPr>
          <w:rFonts w:hint="eastAsia"/>
          <w:color w:val="000000" w:themeColor="text1"/>
          <w:sz w:val="24"/>
          <w:szCs w:val="24"/>
        </w:rPr>
        <w:t>6</w:t>
      </w:r>
      <w:r>
        <w:rPr>
          <w:color w:val="000000" w:themeColor="text1"/>
          <w:sz w:val="24"/>
          <w:szCs w:val="24"/>
        </w:rPr>
        <w:t>）</w:t>
      </w:r>
      <w:r>
        <w:rPr>
          <w:rFonts w:hint="eastAsia"/>
          <w:color w:val="000000" w:themeColor="text1"/>
          <w:sz w:val="24"/>
          <w:szCs w:val="24"/>
        </w:rPr>
        <w:t>中现状监测布点原则：二级评价项目潜水含水层的水质监测点位应不少于</w:t>
      </w:r>
      <w:r>
        <w:rPr>
          <w:rFonts w:hint="eastAsia"/>
          <w:color w:val="000000" w:themeColor="text1"/>
          <w:sz w:val="24"/>
          <w:szCs w:val="24"/>
        </w:rPr>
        <w:t>5</w:t>
      </w:r>
      <w:r>
        <w:rPr>
          <w:rFonts w:hint="eastAsia"/>
          <w:color w:val="000000" w:themeColor="text1"/>
          <w:sz w:val="24"/>
          <w:szCs w:val="24"/>
        </w:rPr>
        <w:t>个，可能受建设项目影响且具有饮用水开发利用价值的含水层</w:t>
      </w:r>
      <w:r>
        <w:rPr>
          <w:rFonts w:hint="eastAsia"/>
          <w:color w:val="000000" w:themeColor="text1"/>
          <w:sz w:val="24"/>
          <w:szCs w:val="24"/>
        </w:rPr>
        <w:t>2-4</w:t>
      </w:r>
      <w:r>
        <w:rPr>
          <w:rFonts w:hint="eastAsia"/>
          <w:color w:val="000000" w:themeColor="text1"/>
          <w:sz w:val="24"/>
          <w:szCs w:val="24"/>
        </w:rPr>
        <w:t>个。原则上建设项目场地上游和两侧的地下水水质监测点均不得少于</w:t>
      </w:r>
      <w:r>
        <w:rPr>
          <w:rFonts w:hint="eastAsia"/>
          <w:color w:val="000000" w:themeColor="text1"/>
          <w:sz w:val="24"/>
          <w:szCs w:val="24"/>
        </w:rPr>
        <w:t>1</w:t>
      </w:r>
      <w:r>
        <w:rPr>
          <w:rFonts w:hint="eastAsia"/>
          <w:color w:val="000000" w:themeColor="text1"/>
          <w:sz w:val="24"/>
          <w:szCs w:val="24"/>
        </w:rPr>
        <w:t>个，建设项目场地及下游影响区的地下水水质监测点各不得少于</w:t>
      </w:r>
      <w:r>
        <w:rPr>
          <w:rFonts w:hint="eastAsia"/>
          <w:color w:val="000000" w:themeColor="text1"/>
          <w:sz w:val="24"/>
          <w:szCs w:val="24"/>
        </w:rPr>
        <w:t>2</w:t>
      </w:r>
      <w:r>
        <w:rPr>
          <w:rFonts w:hint="eastAsia"/>
          <w:color w:val="000000" w:themeColor="text1"/>
          <w:sz w:val="24"/>
          <w:szCs w:val="24"/>
        </w:rPr>
        <w:t>个。</w:t>
      </w:r>
    </w:p>
    <w:p w:rsidR="00644456" w:rsidRDefault="008031C4">
      <w:pPr>
        <w:spacing w:line="360" w:lineRule="auto"/>
        <w:ind w:firstLineChars="200" w:firstLine="480"/>
        <w:rPr>
          <w:rFonts w:hAnsi="宋体"/>
          <w:color w:val="000000" w:themeColor="text1"/>
          <w:sz w:val="24"/>
          <w:szCs w:val="24"/>
        </w:rPr>
      </w:pPr>
      <w:r>
        <w:rPr>
          <w:rFonts w:hint="eastAsia"/>
          <w:color w:val="000000" w:themeColor="text1"/>
          <w:sz w:val="24"/>
          <w:szCs w:val="24"/>
        </w:rPr>
        <w:t>本项目地下水评价工作等级为二级，本项目收集上游</w:t>
      </w:r>
      <w:r>
        <w:rPr>
          <w:color w:val="000000" w:themeColor="text1"/>
          <w:sz w:val="24"/>
          <w:szCs w:val="24"/>
        </w:rPr>
        <w:t>1</w:t>
      </w:r>
      <w:r>
        <w:rPr>
          <w:rFonts w:hint="eastAsia"/>
          <w:color w:val="000000" w:themeColor="text1"/>
          <w:sz w:val="24"/>
          <w:szCs w:val="24"/>
        </w:rPr>
        <w:t>个监测点、侧向</w:t>
      </w:r>
      <w:r>
        <w:rPr>
          <w:rFonts w:hint="eastAsia"/>
          <w:color w:val="000000" w:themeColor="text1"/>
          <w:sz w:val="24"/>
          <w:szCs w:val="24"/>
        </w:rPr>
        <w:t>2</w:t>
      </w:r>
      <w:r>
        <w:rPr>
          <w:rFonts w:hint="eastAsia"/>
          <w:color w:val="000000" w:themeColor="text1"/>
          <w:sz w:val="24"/>
          <w:szCs w:val="24"/>
        </w:rPr>
        <w:t>个监测点、建设项目场地及下游</w:t>
      </w:r>
      <w:r>
        <w:rPr>
          <w:color w:val="000000" w:themeColor="text1"/>
          <w:sz w:val="24"/>
          <w:szCs w:val="24"/>
        </w:rPr>
        <w:t>2</w:t>
      </w:r>
      <w:r>
        <w:rPr>
          <w:rFonts w:hint="eastAsia"/>
          <w:color w:val="000000" w:themeColor="text1"/>
          <w:sz w:val="24"/>
          <w:szCs w:val="24"/>
        </w:rPr>
        <w:t>个监测点，共</w:t>
      </w:r>
      <w:r>
        <w:rPr>
          <w:color w:val="000000" w:themeColor="text1"/>
          <w:sz w:val="24"/>
          <w:szCs w:val="24"/>
        </w:rPr>
        <w:t>5</w:t>
      </w:r>
      <w:r>
        <w:rPr>
          <w:rFonts w:hint="eastAsia"/>
          <w:color w:val="000000" w:themeColor="text1"/>
          <w:sz w:val="24"/>
          <w:szCs w:val="24"/>
        </w:rPr>
        <w:t>个地下水水质监测点，项目地下水监测点位分布</w:t>
      </w:r>
      <w:r>
        <w:rPr>
          <w:color w:val="000000" w:themeColor="text1"/>
          <w:sz w:val="24"/>
          <w:szCs w:val="24"/>
        </w:rPr>
        <w:t>满足《环境影响评价技术导则地下水环境》（</w:t>
      </w:r>
      <w:r>
        <w:rPr>
          <w:color w:val="000000" w:themeColor="text1"/>
          <w:sz w:val="24"/>
          <w:szCs w:val="24"/>
        </w:rPr>
        <w:t>HJ610-2016</w:t>
      </w:r>
      <w:r>
        <w:rPr>
          <w:color w:val="000000" w:themeColor="text1"/>
          <w:sz w:val="24"/>
          <w:szCs w:val="24"/>
        </w:rPr>
        <w:t>）</w:t>
      </w:r>
      <w:r>
        <w:rPr>
          <w:color w:val="000000" w:themeColor="text1"/>
          <w:sz w:val="24"/>
          <w:szCs w:val="24"/>
        </w:rPr>
        <w:t>8.3.3.3</w:t>
      </w:r>
      <w:r>
        <w:rPr>
          <w:color w:val="000000" w:themeColor="text1"/>
          <w:sz w:val="24"/>
          <w:szCs w:val="24"/>
        </w:rPr>
        <w:t>现状监测点布设要求。</w:t>
      </w:r>
      <w:r>
        <w:rPr>
          <w:rFonts w:hint="eastAsia"/>
          <w:color w:val="000000" w:themeColor="text1"/>
          <w:sz w:val="24"/>
          <w:szCs w:val="24"/>
        </w:rPr>
        <w:t>同时</w:t>
      </w:r>
      <w:r>
        <w:rPr>
          <w:color w:val="000000" w:themeColor="text1"/>
          <w:sz w:val="24"/>
          <w:szCs w:val="24"/>
        </w:rPr>
        <w:t>5</w:t>
      </w:r>
      <w:r>
        <w:rPr>
          <w:rFonts w:hint="eastAsia"/>
          <w:color w:val="000000" w:themeColor="text1"/>
          <w:sz w:val="24"/>
          <w:szCs w:val="24"/>
        </w:rPr>
        <w:t>个地下水水质监测点均位于项目所在区域统一地下水流场内，具有一定的代表性。</w:t>
      </w:r>
    </w:p>
    <w:bookmarkEnd w:id="250"/>
    <w:p w:rsidR="00644456" w:rsidRDefault="008031C4">
      <w:pPr>
        <w:pStyle w:val="1fd"/>
        <w:rPr>
          <w:color w:val="000000" w:themeColor="text1"/>
        </w:rPr>
      </w:pPr>
      <w:r>
        <w:rPr>
          <w:rFonts w:hint="eastAsia"/>
          <w:color w:val="000000" w:themeColor="text1"/>
        </w:rPr>
        <w:t>本项目引用的监测点位见下表。</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3.5-1</w:t>
      </w:r>
      <w:r>
        <w:rPr>
          <w:rFonts w:cs="Times New Roman" w:hint="eastAsia"/>
          <w:b/>
          <w:color w:val="000000" w:themeColor="text1"/>
          <w:sz w:val="24"/>
          <w:szCs w:val="20"/>
        </w:rPr>
        <w:t>地下水水质监测点位位置</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1"/>
        <w:gridCol w:w="1391"/>
        <w:gridCol w:w="2248"/>
        <w:gridCol w:w="1997"/>
        <w:gridCol w:w="1382"/>
        <w:gridCol w:w="1288"/>
      </w:tblGrid>
      <w:tr w:rsidR="00644456">
        <w:trPr>
          <w:jc w:val="center"/>
        </w:trPr>
        <w:tc>
          <w:tcPr>
            <w:tcW w:w="504" w:type="pct"/>
            <w:vAlign w:val="center"/>
          </w:tcPr>
          <w:p w:rsidR="00644456" w:rsidRDefault="008031C4">
            <w:pPr>
              <w:widowControl/>
              <w:snapToGrid w:val="0"/>
              <w:jc w:val="center"/>
              <w:rPr>
                <w:rFonts w:cs="Times New Roman"/>
                <w:color w:val="000000" w:themeColor="text1"/>
                <w:kern w:val="0"/>
                <w:szCs w:val="21"/>
              </w:rPr>
            </w:pPr>
            <w:bookmarkStart w:id="252" w:name="_Hlk164866422"/>
            <w:r>
              <w:rPr>
                <w:rFonts w:cs="Times New Roman"/>
                <w:color w:val="000000" w:themeColor="text1"/>
                <w:kern w:val="0"/>
                <w:szCs w:val="21"/>
              </w:rPr>
              <w:t>编号</w:t>
            </w:r>
          </w:p>
        </w:tc>
        <w:tc>
          <w:tcPr>
            <w:tcW w:w="753" w:type="pct"/>
            <w:vAlign w:val="center"/>
          </w:tcPr>
          <w:p w:rsidR="00644456" w:rsidRDefault="008031C4">
            <w:pPr>
              <w:widowControl/>
              <w:snapToGrid w:val="0"/>
              <w:jc w:val="center"/>
              <w:rPr>
                <w:rFonts w:cs="Times New Roman"/>
                <w:color w:val="000000" w:themeColor="text1"/>
                <w:kern w:val="0"/>
                <w:szCs w:val="21"/>
              </w:rPr>
            </w:pPr>
            <w:r>
              <w:rPr>
                <w:rFonts w:cs="Times New Roman"/>
                <w:color w:val="000000" w:themeColor="text1"/>
                <w:kern w:val="0"/>
                <w:szCs w:val="21"/>
              </w:rPr>
              <w:t>地下水采样</w:t>
            </w:r>
          </w:p>
          <w:p w:rsidR="00644456" w:rsidRDefault="008031C4">
            <w:pPr>
              <w:widowControl/>
              <w:snapToGrid w:val="0"/>
              <w:jc w:val="center"/>
              <w:rPr>
                <w:rFonts w:cs="Times New Roman"/>
                <w:color w:val="000000" w:themeColor="text1"/>
                <w:kern w:val="0"/>
                <w:szCs w:val="21"/>
              </w:rPr>
            </w:pPr>
            <w:r>
              <w:rPr>
                <w:rFonts w:cs="Times New Roman"/>
                <w:color w:val="000000" w:themeColor="text1"/>
                <w:kern w:val="0"/>
                <w:szCs w:val="21"/>
              </w:rPr>
              <w:t>点位</w:t>
            </w:r>
          </w:p>
        </w:tc>
        <w:tc>
          <w:tcPr>
            <w:tcW w:w="1217" w:type="pct"/>
            <w:vAlign w:val="center"/>
          </w:tcPr>
          <w:p w:rsidR="00644456" w:rsidRDefault="008031C4">
            <w:pPr>
              <w:widowControl/>
              <w:snapToGrid w:val="0"/>
              <w:jc w:val="center"/>
              <w:rPr>
                <w:rFonts w:cs="Times New Roman"/>
                <w:color w:val="000000" w:themeColor="text1"/>
                <w:kern w:val="0"/>
                <w:szCs w:val="21"/>
              </w:rPr>
            </w:pPr>
            <w:r>
              <w:rPr>
                <w:rFonts w:cs="Times New Roman"/>
                <w:color w:val="000000" w:themeColor="text1"/>
                <w:kern w:val="0"/>
                <w:szCs w:val="21"/>
              </w:rPr>
              <w:t>监测点位经纬度</w:t>
            </w:r>
          </w:p>
        </w:tc>
        <w:tc>
          <w:tcPr>
            <w:tcW w:w="1081" w:type="pct"/>
            <w:vAlign w:val="center"/>
          </w:tcPr>
          <w:p w:rsidR="00644456" w:rsidRDefault="008031C4">
            <w:pPr>
              <w:widowControl/>
              <w:snapToGrid w:val="0"/>
              <w:jc w:val="center"/>
              <w:rPr>
                <w:rFonts w:cs="Times New Roman"/>
                <w:color w:val="000000" w:themeColor="text1"/>
                <w:kern w:val="0"/>
                <w:szCs w:val="21"/>
              </w:rPr>
            </w:pPr>
            <w:r>
              <w:rPr>
                <w:rFonts w:cs="Times New Roman"/>
                <w:color w:val="000000" w:themeColor="text1"/>
                <w:kern w:val="0"/>
                <w:szCs w:val="21"/>
              </w:rPr>
              <w:t>与本项目位置关系</w:t>
            </w:r>
            <w:r>
              <w:rPr>
                <w:rFonts w:cs="Times New Roman" w:hint="eastAsia"/>
                <w:color w:val="000000" w:themeColor="text1"/>
                <w:kern w:val="0"/>
                <w:szCs w:val="21"/>
              </w:rPr>
              <w:t>、方位、距离</w:t>
            </w:r>
          </w:p>
        </w:tc>
        <w:tc>
          <w:tcPr>
            <w:tcW w:w="748" w:type="pct"/>
            <w:vAlign w:val="center"/>
          </w:tcPr>
          <w:p w:rsidR="00644456" w:rsidRDefault="008031C4">
            <w:pPr>
              <w:widowControl/>
              <w:snapToGrid w:val="0"/>
              <w:jc w:val="center"/>
              <w:rPr>
                <w:rFonts w:cs="Times New Roman"/>
                <w:color w:val="000000" w:themeColor="text1"/>
                <w:kern w:val="0"/>
                <w:szCs w:val="21"/>
              </w:rPr>
            </w:pPr>
            <w:r>
              <w:rPr>
                <w:rFonts w:cs="Times New Roman" w:hint="eastAsia"/>
                <w:color w:val="000000" w:themeColor="text1"/>
                <w:kern w:val="0"/>
                <w:szCs w:val="21"/>
              </w:rPr>
              <w:t>相对项目区高差（</w:t>
            </w:r>
            <w:r>
              <w:rPr>
                <w:rFonts w:cs="Times New Roman" w:hint="eastAsia"/>
                <w:color w:val="000000" w:themeColor="text1"/>
                <w:kern w:val="0"/>
                <w:szCs w:val="21"/>
              </w:rPr>
              <w:t>m</w:t>
            </w:r>
            <w:r>
              <w:rPr>
                <w:rFonts w:cs="Times New Roman" w:hint="eastAsia"/>
                <w:color w:val="000000" w:themeColor="text1"/>
                <w:kern w:val="0"/>
                <w:szCs w:val="21"/>
              </w:rPr>
              <w:t>）</w:t>
            </w:r>
          </w:p>
        </w:tc>
        <w:tc>
          <w:tcPr>
            <w:tcW w:w="697" w:type="pct"/>
            <w:vAlign w:val="center"/>
          </w:tcPr>
          <w:p w:rsidR="00644456" w:rsidRDefault="008031C4">
            <w:pPr>
              <w:widowControl/>
              <w:snapToGrid w:val="0"/>
              <w:jc w:val="center"/>
              <w:rPr>
                <w:rFonts w:cs="Times New Roman"/>
                <w:color w:val="000000" w:themeColor="text1"/>
                <w:kern w:val="0"/>
                <w:szCs w:val="21"/>
              </w:rPr>
            </w:pPr>
            <w:r>
              <w:rPr>
                <w:rFonts w:cs="Times New Roman" w:hint="eastAsia"/>
                <w:color w:val="000000" w:themeColor="text1"/>
                <w:kern w:val="0"/>
                <w:szCs w:val="21"/>
              </w:rPr>
              <w:t>监测时间</w:t>
            </w:r>
          </w:p>
        </w:tc>
      </w:tr>
      <w:tr w:rsidR="00644456">
        <w:trPr>
          <w:jc w:val="center"/>
        </w:trPr>
        <w:tc>
          <w:tcPr>
            <w:tcW w:w="504" w:type="pct"/>
            <w:vAlign w:val="center"/>
          </w:tcPr>
          <w:p w:rsidR="00644456" w:rsidRDefault="008031C4">
            <w:pPr>
              <w:widowControl/>
              <w:snapToGrid w:val="0"/>
              <w:jc w:val="center"/>
              <w:rPr>
                <w:rFonts w:cs="Times New Roman"/>
                <w:color w:val="000000" w:themeColor="text1"/>
                <w:kern w:val="0"/>
                <w:szCs w:val="21"/>
              </w:rPr>
            </w:pPr>
            <w:r>
              <w:rPr>
                <w:rFonts w:cs="Times New Roman"/>
                <w:color w:val="000000" w:themeColor="text1"/>
                <w:kern w:val="0"/>
                <w:szCs w:val="21"/>
              </w:rPr>
              <w:t>1#</w:t>
            </w:r>
          </w:p>
        </w:tc>
        <w:tc>
          <w:tcPr>
            <w:tcW w:w="753" w:type="pct"/>
            <w:vAlign w:val="center"/>
          </w:tcPr>
          <w:p w:rsidR="00644456" w:rsidRDefault="008031C4">
            <w:pPr>
              <w:snapToGrid w:val="0"/>
              <w:jc w:val="center"/>
              <w:rPr>
                <w:rFonts w:cs="Times New Roman"/>
                <w:color w:val="000000" w:themeColor="text1"/>
                <w:kern w:val="0"/>
                <w:szCs w:val="21"/>
              </w:rPr>
            </w:pPr>
            <w:r>
              <w:rPr>
                <w:rFonts w:cs="Times New Roman" w:hint="eastAsia"/>
                <w:color w:val="000000"/>
                <w:kern w:val="0"/>
                <w:szCs w:val="21"/>
              </w:rPr>
              <w:t>DXS1#</w:t>
            </w:r>
          </w:p>
        </w:tc>
        <w:tc>
          <w:tcPr>
            <w:tcW w:w="1217" w:type="pct"/>
            <w:vAlign w:val="center"/>
          </w:tcPr>
          <w:p w:rsidR="00644456" w:rsidRDefault="008031C4">
            <w:pPr>
              <w:snapToGrid w:val="0"/>
              <w:jc w:val="center"/>
              <w:rPr>
                <w:rFonts w:cs="Times New Roman"/>
                <w:color w:val="000000"/>
                <w:kern w:val="0"/>
                <w:szCs w:val="21"/>
              </w:rPr>
            </w:pPr>
            <w:r>
              <w:rPr>
                <w:rFonts w:cs="Times New Roman" w:hint="eastAsia"/>
                <w:color w:val="000000"/>
                <w:kern w:val="0"/>
                <w:szCs w:val="21"/>
              </w:rPr>
              <w:t>E</w:t>
            </w:r>
            <w:r>
              <w:rPr>
                <w:rFonts w:cs="Times New Roman" w:hint="eastAsia"/>
                <w:color w:val="000000"/>
                <w:kern w:val="0"/>
                <w:szCs w:val="21"/>
              </w:rPr>
              <w:t>：</w:t>
            </w:r>
            <w:r>
              <w:rPr>
                <w:rFonts w:cs="Times New Roman" w:hint="eastAsia"/>
                <w:color w:val="000000"/>
                <w:kern w:val="0"/>
                <w:szCs w:val="21"/>
              </w:rPr>
              <w:t>76</w:t>
            </w:r>
            <w:r>
              <w:rPr>
                <w:rFonts w:cs="Times New Roman" w:hint="eastAsia"/>
                <w:color w:val="000000"/>
                <w:kern w:val="0"/>
                <w:szCs w:val="21"/>
              </w:rPr>
              <w:t>°</w:t>
            </w:r>
            <w:r>
              <w:rPr>
                <w:rFonts w:cs="Times New Roman" w:hint="eastAsia"/>
                <w:color w:val="000000"/>
                <w:kern w:val="0"/>
                <w:szCs w:val="21"/>
              </w:rPr>
              <w:t>09</w:t>
            </w:r>
            <w:r>
              <w:rPr>
                <w:rFonts w:cs="Times New Roman" w:hint="eastAsia"/>
                <w:color w:val="000000"/>
                <w:kern w:val="0"/>
                <w:szCs w:val="21"/>
              </w:rPr>
              <w:t>′</w:t>
            </w:r>
            <w:r>
              <w:rPr>
                <w:rFonts w:cs="Times New Roman" w:hint="eastAsia"/>
                <w:color w:val="000000"/>
                <w:kern w:val="0"/>
                <w:szCs w:val="21"/>
              </w:rPr>
              <w:t>45.13</w:t>
            </w:r>
            <w:r>
              <w:rPr>
                <w:rFonts w:cs="Times New Roman" w:hint="eastAsia"/>
                <w:color w:val="000000"/>
                <w:kern w:val="0"/>
                <w:szCs w:val="21"/>
              </w:rPr>
              <w:t>″</w:t>
            </w:r>
          </w:p>
          <w:p w:rsidR="00644456" w:rsidRDefault="008031C4">
            <w:pPr>
              <w:snapToGrid w:val="0"/>
              <w:jc w:val="center"/>
              <w:rPr>
                <w:rFonts w:cs="Times New Roman"/>
                <w:color w:val="000000" w:themeColor="text1"/>
                <w:kern w:val="0"/>
                <w:szCs w:val="21"/>
              </w:rPr>
            </w:pPr>
            <w:r>
              <w:rPr>
                <w:rFonts w:cs="Times New Roman" w:hint="eastAsia"/>
                <w:color w:val="000000"/>
                <w:kern w:val="0"/>
                <w:szCs w:val="21"/>
              </w:rPr>
              <w:t>N</w:t>
            </w:r>
            <w:r>
              <w:rPr>
                <w:rFonts w:cs="Times New Roman" w:hint="eastAsia"/>
                <w:color w:val="000000"/>
                <w:kern w:val="0"/>
                <w:szCs w:val="21"/>
              </w:rPr>
              <w:t>：</w:t>
            </w:r>
            <w:r>
              <w:rPr>
                <w:rFonts w:cs="Times New Roman" w:hint="eastAsia"/>
                <w:color w:val="000000"/>
                <w:kern w:val="0"/>
                <w:szCs w:val="21"/>
              </w:rPr>
              <w:t>39</w:t>
            </w:r>
            <w:r>
              <w:rPr>
                <w:rFonts w:cs="Times New Roman" w:hint="eastAsia"/>
                <w:color w:val="000000"/>
                <w:kern w:val="0"/>
                <w:szCs w:val="21"/>
              </w:rPr>
              <w:t>°</w:t>
            </w:r>
            <w:r>
              <w:rPr>
                <w:rFonts w:cs="Times New Roman" w:hint="eastAsia"/>
                <w:color w:val="000000"/>
                <w:kern w:val="0"/>
                <w:szCs w:val="21"/>
              </w:rPr>
              <w:t>03</w:t>
            </w:r>
            <w:r>
              <w:rPr>
                <w:rFonts w:cs="Times New Roman" w:hint="eastAsia"/>
                <w:color w:val="000000"/>
                <w:kern w:val="0"/>
                <w:szCs w:val="21"/>
              </w:rPr>
              <w:t>′</w:t>
            </w:r>
            <w:r>
              <w:rPr>
                <w:rFonts w:cs="Times New Roman" w:hint="eastAsia"/>
                <w:color w:val="000000"/>
                <w:kern w:val="0"/>
                <w:szCs w:val="21"/>
              </w:rPr>
              <w:t>51.47</w:t>
            </w:r>
            <w:r>
              <w:rPr>
                <w:rFonts w:cs="Times New Roman" w:hint="eastAsia"/>
                <w:color w:val="000000"/>
                <w:kern w:val="0"/>
                <w:szCs w:val="21"/>
              </w:rPr>
              <w:t>″</w:t>
            </w:r>
          </w:p>
        </w:tc>
        <w:tc>
          <w:tcPr>
            <w:tcW w:w="1081" w:type="pct"/>
            <w:vAlign w:val="center"/>
          </w:tcPr>
          <w:p w:rsidR="00644456" w:rsidRDefault="008031C4">
            <w:pPr>
              <w:tabs>
                <w:tab w:val="left" w:pos="6555"/>
              </w:tabs>
              <w:snapToGrid w:val="0"/>
              <w:jc w:val="center"/>
              <w:rPr>
                <w:rFonts w:cs="Times New Roman"/>
                <w:color w:val="000000" w:themeColor="text1"/>
                <w:kern w:val="0"/>
                <w:szCs w:val="21"/>
              </w:rPr>
            </w:pPr>
            <w:r>
              <w:rPr>
                <w:rFonts w:cs="Times New Roman" w:hint="eastAsia"/>
                <w:color w:val="000000" w:themeColor="text1"/>
                <w:kern w:val="0"/>
                <w:szCs w:val="21"/>
              </w:rPr>
              <w:t>地下水侧向，东北面</w:t>
            </w:r>
            <w:r>
              <w:rPr>
                <w:rFonts w:cs="Times New Roman" w:hint="eastAsia"/>
                <w:color w:val="000000" w:themeColor="text1"/>
                <w:kern w:val="0"/>
                <w:szCs w:val="21"/>
              </w:rPr>
              <w:t>1</w:t>
            </w:r>
            <w:r>
              <w:rPr>
                <w:rFonts w:cs="Times New Roman"/>
                <w:color w:val="000000" w:themeColor="text1"/>
                <w:kern w:val="0"/>
                <w:szCs w:val="21"/>
              </w:rPr>
              <w:t>015m</w:t>
            </w:r>
          </w:p>
        </w:tc>
        <w:tc>
          <w:tcPr>
            <w:tcW w:w="748" w:type="pct"/>
            <w:vAlign w:val="center"/>
          </w:tcPr>
          <w:p w:rsidR="00644456" w:rsidRDefault="008031C4">
            <w:pPr>
              <w:tabs>
                <w:tab w:val="left" w:pos="6555"/>
              </w:tabs>
              <w:snapToGrid w:val="0"/>
              <w:jc w:val="center"/>
              <w:rPr>
                <w:rFonts w:cs="Times New Roman"/>
                <w:color w:val="000000" w:themeColor="text1"/>
                <w:kern w:val="0"/>
                <w:szCs w:val="21"/>
              </w:rPr>
            </w:pPr>
            <w:r>
              <w:rPr>
                <w:rFonts w:cs="Times New Roman"/>
                <w:color w:val="000000" w:themeColor="text1"/>
                <w:kern w:val="0"/>
                <w:szCs w:val="21"/>
              </w:rPr>
              <w:t>+2</w:t>
            </w:r>
          </w:p>
        </w:tc>
        <w:tc>
          <w:tcPr>
            <w:tcW w:w="697" w:type="pct"/>
            <w:vMerge w:val="restart"/>
            <w:vAlign w:val="center"/>
          </w:tcPr>
          <w:p w:rsidR="00644456" w:rsidRDefault="008031C4">
            <w:pPr>
              <w:widowControl/>
              <w:snapToGrid w:val="0"/>
              <w:jc w:val="center"/>
              <w:rPr>
                <w:rFonts w:cs="Times New Roman"/>
                <w:color w:val="000000" w:themeColor="text1"/>
                <w:kern w:val="0"/>
                <w:szCs w:val="21"/>
              </w:rPr>
            </w:pPr>
            <w:r>
              <w:rPr>
                <w:rFonts w:cs="Times New Roman" w:hint="eastAsia"/>
                <w:color w:val="000000" w:themeColor="text1"/>
                <w:kern w:val="0"/>
                <w:szCs w:val="21"/>
              </w:rPr>
              <w:t>2023</w:t>
            </w:r>
            <w:r>
              <w:rPr>
                <w:rFonts w:cs="Times New Roman" w:hint="eastAsia"/>
                <w:color w:val="000000" w:themeColor="text1"/>
                <w:kern w:val="0"/>
                <w:szCs w:val="21"/>
              </w:rPr>
              <w:t>年</w:t>
            </w:r>
            <w:r>
              <w:rPr>
                <w:rFonts w:cs="Times New Roman" w:hint="eastAsia"/>
                <w:color w:val="000000" w:themeColor="text1"/>
                <w:kern w:val="0"/>
                <w:szCs w:val="21"/>
              </w:rPr>
              <w:t>5</w:t>
            </w:r>
            <w:r>
              <w:rPr>
                <w:rFonts w:cs="Times New Roman" w:hint="eastAsia"/>
                <w:color w:val="000000" w:themeColor="text1"/>
                <w:kern w:val="0"/>
                <w:szCs w:val="21"/>
              </w:rPr>
              <w:t>月</w:t>
            </w:r>
            <w:r>
              <w:rPr>
                <w:rFonts w:cs="Times New Roman" w:hint="eastAsia"/>
                <w:color w:val="000000" w:themeColor="text1"/>
                <w:kern w:val="0"/>
                <w:szCs w:val="21"/>
              </w:rPr>
              <w:t>19</w:t>
            </w:r>
            <w:r>
              <w:rPr>
                <w:rFonts w:cs="Times New Roman" w:hint="eastAsia"/>
                <w:color w:val="000000" w:themeColor="text1"/>
                <w:kern w:val="0"/>
                <w:szCs w:val="21"/>
              </w:rPr>
              <w:t>日</w:t>
            </w:r>
          </w:p>
        </w:tc>
      </w:tr>
      <w:tr w:rsidR="00644456">
        <w:trPr>
          <w:jc w:val="center"/>
        </w:trPr>
        <w:tc>
          <w:tcPr>
            <w:tcW w:w="504" w:type="pct"/>
            <w:vAlign w:val="center"/>
          </w:tcPr>
          <w:p w:rsidR="00644456" w:rsidRDefault="008031C4">
            <w:pPr>
              <w:widowControl/>
              <w:snapToGrid w:val="0"/>
              <w:jc w:val="center"/>
              <w:rPr>
                <w:rFonts w:cs="Times New Roman"/>
                <w:color w:val="000000" w:themeColor="text1"/>
                <w:kern w:val="0"/>
                <w:szCs w:val="21"/>
              </w:rPr>
            </w:pPr>
            <w:r>
              <w:rPr>
                <w:rFonts w:cs="Times New Roman"/>
                <w:color w:val="000000" w:themeColor="text1"/>
                <w:kern w:val="0"/>
                <w:szCs w:val="21"/>
              </w:rPr>
              <w:t>2#</w:t>
            </w:r>
          </w:p>
        </w:tc>
        <w:tc>
          <w:tcPr>
            <w:tcW w:w="753" w:type="pct"/>
            <w:vAlign w:val="center"/>
          </w:tcPr>
          <w:p w:rsidR="00644456" w:rsidRDefault="008031C4">
            <w:pPr>
              <w:snapToGrid w:val="0"/>
              <w:jc w:val="center"/>
              <w:rPr>
                <w:rFonts w:cs="Times New Roman"/>
                <w:color w:val="000000" w:themeColor="text1"/>
                <w:kern w:val="0"/>
                <w:szCs w:val="21"/>
              </w:rPr>
            </w:pPr>
            <w:r>
              <w:rPr>
                <w:rFonts w:cs="Times New Roman" w:hint="eastAsia"/>
                <w:color w:val="000000"/>
                <w:kern w:val="0"/>
                <w:szCs w:val="21"/>
              </w:rPr>
              <w:t>DXS2#</w:t>
            </w:r>
          </w:p>
        </w:tc>
        <w:tc>
          <w:tcPr>
            <w:tcW w:w="1217" w:type="pct"/>
            <w:vAlign w:val="center"/>
          </w:tcPr>
          <w:p w:rsidR="00644456" w:rsidRDefault="008031C4">
            <w:pPr>
              <w:snapToGrid w:val="0"/>
              <w:jc w:val="center"/>
              <w:rPr>
                <w:rFonts w:cs="Times New Roman"/>
                <w:color w:val="000000"/>
                <w:kern w:val="0"/>
                <w:szCs w:val="21"/>
              </w:rPr>
            </w:pPr>
            <w:r>
              <w:rPr>
                <w:rFonts w:cs="Times New Roman" w:hint="eastAsia"/>
                <w:color w:val="000000"/>
                <w:kern w:val="0"/>
                <w:szCs w:val="21"/>
              </w:rPr>
              <w:t>E</w:t>
            </w:r>
            <w:r>
              <w:rPr>
                <w:rFonts w:cs="Times New Roman" w:hint="eastAsia"/>
                <w:color w:val="000000"/>
                <w:kern w:val="0"/>
                <w:szCs w:val="21"/>
              </w:rPr>
              <w:t>：</w:t>
            </w:r>
            <w:r>
              <w:rPr>
                <w:rFonts w:cs="Times New Roman" w:hint="eastAsia"/>
                <w:color w:val="000000"/>
                <w:kern w:val="0"/>
                <w:szCs w:val="21"/>
              </w:rPr>
              <w:t>76</w:t>
            </w:r>
            <w:r>
              <w:rPr>
                <w:rFonts w:cs="Times New Roman" w:hint="eastAsia"/>
                <w:color w:val="000000"/>
                <w:kern w:val="0"/>
                <w:szCs w:val="21"/>
              </w:rPr>
              <w:t>°</w:t>
            </w:r>
            <w:r>
              <w:rPr>
                <w:rFonts w:cs="Times New Roman" w:hint="eastAsia"/>
                <w:color w:val="000000"/>
                <w:kern w:val="0"/>
                <w:szCs w:val="21"/>
              </w:rPr>
              <w:t>09</w:t>
            </w:r>
            <w:r>
              <w:rPr>
                <w:rFonts w:cs="Times New Roman" w:hint="eastAsia"/>
                <w:color w:val="000000"/>
                <w:kern w:val="0"/>
                <w:szCs w:val="21"/>
              </w:rPr>
              <w:t>′</w:t>
            </w:r>
            <w:r>
              <w:rPr>
                <w:rFonts w:cs="Times New Roman" w:hint="eastAsia"/>
                <w:color w:val="000000"/>
                <w:kern w:val="0"/>
                <w:szCs w:val="21"/>
              </w:rPr>
              <w:t>27.73</w:t>
            </w:r>
            <w:r>
              <w:rPr>
                <w:rFonts w:cs="Times New Roman" w:hint="eastAsia"/>
                <w:color w:val="000000"/>
                <w:kern w:val="0"/>
                <w:szCs w:val="21"/>
              </w:rPr>
              <w:t>″</w:t>
            </w:r>
          </w:p>
          <w:p w:rsidR="00644456" w:rsidRDefault="008031C4">
            <w:pPr>
              <w:snapToGrid w:val="0"/>
              <w:jc w:val="center"/>
              <w:rPr>
                <w:rFonts w:cs="Times New Roman"/>
                <w:color w:val="000000"/>
                <w:kern w:val="0"/>
                <w:szCs w:val="21"/>
              </w:rPr>
            </w:pPr>
            <w:r>
              <w:rPr>
                <w:rFonts w:cs="Times New Roman" w:hint="eastAsia"/>
                <w:color w:val="000000"/>
                <w:kern w:val="0"/>
                <w:szCs w:val="21"/>
              </w:rPr>
              <w:t>N</w:t>
            </w:r>
            <w:r>
              <w:rPr>
                <w:rFonts w:cs="Times New Roman" w:hint="eastAsia"/>
                <w:color w:val="000000"/>
                <w:kern w:val="0"/>
                <w:szCs w:val="21"/>
              </w:rPr>
              <w:t>：</w:t>
            </w:r>
            <w:r>
              <w:rPr>
                <w:rFonts w:cs="Times New Roman" w:hint="eastAsia"/>
                <w:color w:val="000000"/>
                <w:kern w:val="0"/>
                <w:szCs w:val="21"/>
              </w:rPr>
              <w:t>39</w:t>
            </w:r>
            <w:r>
              <w:rPr>
                <w:rFonts w:cs="Times New Roman" w:hint="eastAsia"/>
                <w:color w:val="000000"/>
                <w:kern w:val="0"/>
                <w:szCs w:val="21"/>
              </w:rPr>
              <w:t>°</w:t>
            </w:r>
            <w:r>
              <w:rPr>
                <w:rFonts w:cs="Times New Roman" w:hint="eastAsia"/>
                <w:color w:val="000000"/>
                <w:kern w:val="0"/>
                <w:szCs w:val="21"/>
              </w:rPr>
              <w:t>03</w:t>
            </w:r>
            <w:r>
              <w:rPr>
                <w:rFonts w:cs="Times New Roman" w:hint="eastAsia"/>
                <w:color w:val="000000"/>
                <w:kern w:val="0"/>
                <w:szCs w:val="21"/>
              </w:rPr>
              <w:t>′</w:t>
            </w:r>
            <w:r>
              <w:rPr>
                <w:rFonts w:cs="Times New Roman" w:hint="eastAsia"/>
                <w:color w:val="000000"/>
                <w:kern w:val="0"/>
                <w:szCs w:val="21"/>
              </w:rPr>
              <w:t>59.42</w:t>
            </w:r>
            <w:r>
              <w:rPr>
                <w:rFonts w:cs="Times New Roman" w:hint="eastAsia"/>
                <w:color w:val="000000"/>
                <w:kern w:val="0"/>
                <w:szCs w:val="21"/>
              </w:rPr>
              <w:t>″</w:t>
            </w:r>
          </w:p>
        </w:tc>
        <w:tc>
          <w:tcPr>
            <w:tcW w:w="1081" w:type="pct"/>
            <w:vAlign w:val="center"/>
          </w:tcPr>
          <w:p w:rsidR="00644456" w:rsidRDefault="008031C4">
            <w:pPr>
              <w:tabs>
                <w:tab w:val="left" w:pos="6555"/>
              </w:tabs>
              <w:snapToGrid w:val="0"/>
              <w:jc w:val="center"/>
              <w:rPr>
                <w:rFonts w:cs="Times New Roman"/>
                <w:color w:val="000000" w:themeColor="text1"/>
                <w:kern w:val="0"/>
                <w:szCs w:val="21"/>
              </w:rPr>
            </w:pPr>
            <w:r>
              <w:rPr>
                <w:rFonts w:cs="Times New Roman" w:hint="eastAsia"/>
                <w:color w:val="000000" w:themeColor="text1"/>
                <w:kern w:val="0"/>
                <w:szCs w:val="21"/>
              </w:rPr>
              <w:t>地下水流向上游，东北面</w:t>
            </w:r>
            <w:r>
              <w:rPr>
                <w:rFonts w:cs="Times New Roman" w:hint="eastAsia"/>
                <w:color w:val="000000" w:themeColor="text1"/>
                <w:kern w:val="0"/>
                <w:szCs w:val="21"/>
              </w:rPr>
              <w:t>1</w:t>
            </w:r>
            <w:r>
              <w:rPr>
                <w:rFonts w:cs="Times New Roman"/>
                <w:color w:val="000000" w:themeColor="text1"/>
                <w:kern w:val="0"/>
                <w:szCs w:val="21"/>
              </w:rPr>
              <w:t>001m</w:t>
            </w:r>
          </w:p>
        </w:tc>
        <w:tc>
          <w:tcPr>
            <w:tcW w:w="748" w:type="pct"/>
            <w:vAlign w:val="center"/>
          </w:tcPr>
          <w:p w:rsidR="00644456" w:rsidRDefault="008031C4">
            <w:pPr>
              <w:tabs>
                <w:tab w:val="left" w:pos="6555"/>
              </w:tabs>
              <w:snapToGrid w:val="0"/>
              <w:jc w:val="center"/>
              <w:rPr>
                <w:rFonts w:cs="Times New Roman"/>
                <w:color w:val="000000" w:themeColor="text1"/>
                <w:kern w:val="0"/>
                <w:szCs w:val="21"/>
              </w:rPr>
            </w:pPr>
            <w:r>
              <w:rPr>
                <w:rFonts w:cs="Times New Roman"/>
                <w:color w:val="000000" w:themeColor="text1"/>
                <w:kern w:val="0"/>
                <w:szCs w:val="21"/>
              </w:rPr>
              <w:t>+4</w:t>
            </w:r>
          </w:p>
        </w:tc>
        <w:tc>
          <w:tcPr>
            <w:tcW w:w="697" w:type="pct"/>
            <w:vMerge/>
            <w:vAlign w:val="center"/>
          </w:tcPr>
          <w:p w:rsidR="00644456" w:rsidRDefault="00644456">
            <w:pPr>
              <w:widowControl/>
              <w:snapToGrid w:val="0"/>
              <w:jc w:val="center"/>
              <w:rPr>
                <w:rFonts w:cs="Times New Roman"/>
                <w:color w:val="000000" w:themeColor="text1"/>
                <w:kern w:val="0"/>
                <w:szCs w:val="21"/>
              </w:rPr>
            </w:pPr>
          </w:p>
        </w:tc>
      </w:tr>
      <w:tr w:rsidR="00644456">
        <w:trPr>
          <w:jc w:val="center"/>
        </w:trPr>
        <w:tc>
          <w:tcPr>
            <w:tcW w:w="504" w:type="pct"/>
            <w:vAlign w:val="center"/>
          </w:tcPr>
          <w:p w:rsidR="00644456" w:rsidRDefault="008031C4">
            <w:pPr>
              <w:widowControl/>
              <w:snapToGrid w:val="0"/>
              <w:jc w:val="center"/>
              <w:rPr>
                <w:rFonts w:cs="Times New Roman"/>
                <w:color w:val="000000" w:themeColor="text1"/>
                <w:kern w:val="0"/>
                <w:szCs w:val="21"/>
              </w:rPr>
            </w:pPr>
            <w:r>
              <w:rPr>
                <w:rFonts w:cs="Times New Roman" w:hint="eastAsia"/>
                <w:color w:val="000000" w:themeColor="text1"/>
                <w:kern w:val="0"/>
                <w:szCs w:val="21"/>
              </w:rPr>
              <w:t>3#</w:t>
            </w:r>
          </w:p>
        </w:tc>
        <w:tc>
          <w:tcPr>
            <w:tcW w:w="753" w:type="pct"/>
            <w:vAlign w:val="center"/>
          </w:tcPr>
          <w:p w:rsidR="00644456" w:rsidRDefault="008031C4">
            <w:pPr>
              <w:snapToGrid w:val="0"/>
              <w:jc w:val="center"/>
              <w:rPr>
                <w:rFonts w:cs="Times New Roman"/>
                <w:color w:val="000000" w:themeColor="text1"/>
                <w:kern w:val="0"/>
                <w:szCs w:val="21"/>
              </w:rPr>
            </w:pPr>
            <w:r>
              <w:rPr>
                <w:rFonts w:cs="Times New Roman" w:hint="eastAsia"/>
                <w:color w:val="000000"/>
                <w:kern w:val="0"/>
                <w:szCs w:val="21"/>
              </w:rPr>
              <w:t>DXS3#</w:t>
            </w:r>
          </w:p>
        </w:tc>
        <w:tc>
          <w:tcPr>
            <w:tcW w:w="1217" w:type="pct"/>
            <w:vAlign w:val="center"/>
          </w:tcPr>
          <w:p w:rsidR="00644456" w:rsidRDefault="008031C4">
            <w:pPr>
              <w:snapToGrid w:val="0"/>
              <w:jc w:val="center"/>
              <w:rPr>
                <w:rFonts w:cs="Times New Roman"/>
                <w:color w:val="000000"/>
                <w:kern w:val="0"/>
                <w:szCs w:val="21"/>
              </w:rPr>
            </w:pPr>
            <w:r>
              <w:rPr>
                <w:rFonts w:cs="Times New Roman" w:hint="eastAsia"/>
                <w:color w:val="000000"/>
                <w:kern w:val="0"/>
                <w:szCs w:val="21"/>
              </w:rPr>
              <w:t>E</w:t>
            </w:r>
            <w:r>
              <w:rPr>
                <w:rFonts w:cs="Times New Roman" w:hint="eastAsia"/>
                <w:color w:val="000000"/>
                <w:kern w:val="0"/>
                <w:szCs w:val="21"/>
              </w:rPr>
              <w:t>：</w:t>
            </w:r>
            <w:r>
              <w:rPr>
                <w:rFonts w:cs="Times New Roman" w:hint="eastAsia"/>
                <w:color w:val="000000"/>
                <w:kern w:val="0"/>
                <w:szCs w:val="21"/>
              </w:rPr>
              <w:t>76</w:t>
            </w:r>
            <w:r>
              <w:rPr>
                <w:rFonts w:cs="Times New Roman" w:hint="eastAsia"/>
                <w:color w:val="000000"/>
                <w:kern w:val="0"/>
                <w:szCs w:val="21"/>
              </w:rPr>
              <w:t>°</w:t>
            </w:r>
            <w:r>
              <w:rPr>
                <w:rFonts w:cs="Times New Roman" w:hint="eastAsia"/>
                <w:color w:val="000000"/>
                <w:kern w:val="0"/>
                <w:szCs w:val="21"/>
              </w:rPr>
              <w:t>09</w:t>
            </w:r>
            <w:r>
              <w:rPr>
                <w:rFonts w:cs="Times New Roman" w:hint="eastAsia"/>
                <w:color w:val="000000"/>
                <w:kern w:val="0"/>
                <w:szCs w:val="21"/>
              </w:rPr>
              <w:t>′</w:t>
            </w:r>
            <w:r>
              <w:rPr>
                <w:rFonts w:cs="Times New Roman" w:hint="eastAsia"/>
                <w:color w:val="000000"/>
                <w:kern w:val="0"/>
                <w:szCs w:val="21"/>
              </w:rPr>
              <w:t>47.99</w:t>
            </w:r>
            <w:r>
              <w:rPr>
                <w:rFonts w:cs="Times New Roman" w:hint="eastAsia"/>
                <w:color w:val="000000"/>
                <w:kern w:val="0"/>
                <w:szCs w:val="21"/>
              </w:rPr>
              <w:t>″</w:t>
            </w:r>
          </w:p>
          <w:p w:rsidR="00644456" w:rsidRDefault="008031C4">
            <w:pPr>
              <w:snapToGrid w:val="0"/>
              <w:jc w:val="center"/>
              <w:rPr>
                <w:rFonts w:cs="Times New Roman"/>
                <w:color w:val="000000"/>
                <w:kern w:val="0"/>
                <w:szCs w:val="21"/>
              </w:rPr>
            </w:pPr>
            <w:r>
              <w:rPr>
                <w:rFonts w:cs="Times New Roman" w:hint="eastAsia"/>
                <w:color w:val="000000"/>
                <w:kern w:val="0"/>
                <w:szCs w:val="21"/>
              </w:rPr>
              <w:t>N</w:t>
            </w:r>
            <w:r>
              <w:rPr>
                <w:rFonts w:cs="Times New Roman" w:hint="eastAsia"/>
                <w:color w:val="000000"/>
                <w:kern w:val="0"/>
                <w:szCs w:val="21"/>
              </w:rPr>
              <w:t>：</w:t>
            </w:r>
            <w:r>
              <w:rPr>
                <w:rFonts w:cs="Times New Roman" w:hint="eastAsia"/>
                <w:color w:val="000000"/>
                <w:kern w:val="0"/>
                <w:szCs w:val="21"/>
              </w:rPr>
              <w:t>39</w:t>
            </w:r>
            <w:r>
              <w:rPr>
                <w:rFonts w:cs="Times New Roman" w:hint="eastAsia"/>
                <w:color w:val="000000"/>
                <w:kern w:val="0"/>
                <w:szCs w:val="21"/>
              </w:rPr>
              <w:t>°</w:t>
            </w:r>
            <w:r>
              <w:rPr>
                <w:rFonts w:cs="Times New Roman" w:hint="eastAsia"/>
                <w:color w:val="000000"/>
                <w:kern w:val="0"/>
                <w:szCs w:val="21"/>
              </w:rPr>
              <w:t>03</w:t>
            </w:r>
            <w:r>
              <w:rPr>
                <w:rFonts w:cs="Times New Roman" w:hint="eastAsia"/>
                <w:color w:val="000000"/>
                <w:kern w:val="0"/>
                <w:szCs w:val="21"/>
              </w:rPr>
              <w:t>′</w:t>
            </w:r>
            <w:r>
              <w:rPr>
                <w:rFonts w:cs="Times New Roman" w:hint="eastAsia"/>
                <w:color w:val="000000"/>
                <w:kern w:val="0"/>
                <w:szCs w:val="21"/>
              </w:rPr>
              <w:t>50.81</w:t>
            </w:r>
            <w:r>
              <w:rPr>
                <w:rFonts w:cs="Times New Roman" w:hint="eastAsia"/>
                <w:color w:val="000000"/>
                <w:kern w:val="0"/>
                <w:szCs w:val="21"/>
              </w:rPr>
              <w:t>″</w:t>
            </w:r>
          </w:p>
        </w:tc>
        <w:tc>
          <w:tcPr>
            <w:tcW w:w="1081" w:type="pct"/>
            <w:vAlign w:val="center"/>
          </w:tcPr>
          <w:p w:rsidR="00644456" w:rsidRDefault="008031C4">
            <w:pPr>
              <w:tabs>
                <w:tab w:val="left" w:pos="6555"/>
              </w:tabs>
              <w:snapToGrid w:val="0"/>
              <w:jc w:val="center"/>
              <w:rPr>
                <w:rFonts w:cs="Times New Roman"/>
                <w:color w:val="000000" w:themeColor="text1"/>
                <w:kern w:val="0"/>
                <w:szCs w:val="21"/>
              </w:rPr>
            </w:pPr>
            <w:r>
              <w:rPr>
                <w:rFonts w:cs="Times New Roman" w:hint="eastAsia"/>
                <w:color w:val="000000" w:themeColor="text1"/>
                <w:kern w:val="0"/>
                <w:szCs w:val="21"/>
              </w:rPr>
              <w:t>地下水侧向，东北面</w:t>
            </w:r>
            <w:r>
              <w:rPr>
                <w:rFonts w:cs="Times New Roman"/>
                <w:color w:val="000000" w:themeColor="text1"/>
                <w:kern w:val="0"/>
                <w:szCs w:val="21"/>
              </w:rPr>
              <w:t>1150m</w:t>
            </w:r>
          </w:p>
        </w:tc>
        <w:tc>
          <w:tcPr>
            <w:tcW w:w="748" w:type="pct"/>
            <w:vAlign w:val="center"/>
          </w:tcPr>
          <w:p w:rsidR="00644456" w:rsidRDefault="008031C4">
            <w:pPr>
              <w:tabs>
                <w:tab w:val="left" w:pos="6555"/>
              </w:tabs>
              <w:snapToGrid w:val="0"/>
              <w:jc w:val="center"/>
              <w:rPr>
                <w:rFonts w:cs="Times New Roman"/>
                <w:color w:val="000000" w:themeColor="text1"/>
                <w:kern w:val="0"/>
                <w:szCs w:val="21"/>
              </w:rPr>
            </w:pPr>
            <w:r>
              <w:rPr>
                <w:rFonts w:cs="Times New Roman"/>
                <w:color w:val="000000" w:themeColor="text1"/>
                <w:kern w:val="0"/>
                <w:szCs w:val="21"/>
              </w:rPr>
              <w:t>-2</w:t>
            </w:r>
          </w:p>
        </w:tc>
        <w:tc>
          <w:tcPr>
            <w:tcW w:w="697" w:type="pct"/>
            <w:vMerge/>
            <w:vAlign w:val="center"/>
          </w:tcPr>
          <w:p w:rsidR="00644456" w:rsidRDefault="00644456">
            <w:pPr>
              <w:widowControl/>
              <w:snapToGrid w:val="0"/>
              <w:jc w:val="center"/>
              <w:rPr>
                <w:rFonts w:cs="Times New Roman"/>
                <w:color w:val="000000" w:themeColor="text1"/>
                <w:kern w:val="0"/>
                <w:szCs w:val="21"/>
              </w:rPr>
            </w:pPr>
          </w:p>
        </w:tc>
      </w:tr>
      <w:tr w:rsidR="00644456">
        <w:trPr>
          <w:jc w:val="center"/>
        </w:trPr>
        <w:tc>
          <w:tcPr>
            <w:tcW w:w="504" w:type="pct"/>
            <w:vAlign w:val="center"/>
          </w:tcPr>
          <w:p w:rsidR="00644456" w:rsidRDefault="008031C4">
            <w:pPr>
              <w:widowControl/>
              <w:snapToGrid w:val="0"/>
              <w:jc w:val="center"/>
              <w:rPr>
                <w:rFonts w:cs="Times New Roman"/>
                <w:color w:val="000000" w:themeColor="text1"/>
                <w:kern w:val="0"/>
                <w:szCs w:val="21"/>
              </w:rPr>
            </w:pPr>
            <w:r>
              <w:rPr>
                <w:rFonts w:cs="Times New Roman" w:hint="eastAsia"/>
                <w:color w:val="000000" w:themeColor="text1"/>
                <w:kern w:val="0"/>
                <w:szCs w:val="21"/>
              </w:rPr>
              <w:t>4#</w:t>
            </w:r>
          </w:p>
        </w:tc>
        <w:tc>
          <w:tcPr>
            <w:tcW w:w="753" w:type="pct"/>
            <w:vAlign w:val="center"/>
          </w:tcPr>
          <w:p w:rsidR="00644456" w:rsidRDefault="008031C4">
            <w:pPr>
              <w:snapToGrid w:val="0"/>
              <w:jc w:val="center"/>
              <w:rPr>
                <w:rFonts w:cs="Times New Roman"/>
                <w:color w:val="000000" w:themeColor="text1"/>
                <w:kern w:val="0"/>
                <w:szCs w:val="21"/>
              </w:rPr>
            </w:pPr>
            <w:r>
              <w:rPr>
                <w:rFonts w:cs="Times New Roman" w:hint="eastAsia"/>
                <w:color w:val="000000"/>
                <w:kern w:val="0"/>
                <w:szCs w:val="21"/>
              </w:rPr>
              <w:t>DXS4#</w:t>
            </w:r>
          </w:p>
        </w:tc>
        <w:tc>
          <w:tcPr>
            <w:tcW w:w="1217" w:type="pct"/>
            <w:vAlign w:val="center"/>
          </w:tcPr>
          <w:p w:rsidR="00644456" w:rsidRDefault="008031C4">
            <w:pPr>
              <w:snapToGrid w:val="0"/>
              <w:jc w:val="center"/>
              <w:rPr>
                <w:rFonts w:cs="Times New Roman"/>
                <w:color w:val="000000"/>
                <w:kern w:val="0"/>
                <w:szCs w:val="21"/>
              </w:rPr>
            </w:pPr>
            <w:r>
              <w:rPr>
                <w:rFonts w:cs="Times New Roman" w:hint="eastAsia"/>
                <w:color w:val="000000"/>
                <w:kern w:val="0"/>
                <w:szCs w:val="21"/>
              </w:rPr>
              <w:t>E</w:t>
            </w:r>
            <w:r>
              <w:rPr>
                <w:rFonts w:cs="Times New Roman" w:hint="eastAsia"/>
                <w:color w:val="000000"/>
                <w:kern w:val="0"/>
                <w:szCs w:val="21"/>
              </w:rPr>
              <w:t>：</w:t>
            </w:r>
            <w:r>
              <w:rPr>
                <w:rFonts w:cs="Times New Roman" w:hint="eastAsia"/>
                <w:color w:val="000000"/>
                <w:kern w:val="0"/>
                <w:szCs w:val="21"/>
              </w:rPr>
              <w:t>76</w:t>
            </w:r>
            <w:r>
              <w:rPr>
                <w:rFonts w:cs="Times New Roman" w:hint="eastAsia"/>
                <w:color w:val="000000"/>
                <w:kern w:val="0"/>
                <w:szCs w:val="21"/>
              </w:rPr>
              <w:t>°</w:t>
            </w:r>
            <w:r>
              <w:rPr>
                <w:rFonts w:cs="Times New Roman" w:hint="eastAsia"/>
                <w:color w:val="000000"/>
                <w:kern w:val="0"/>
                <w:szCs w:val="21"/>
              </w:rPr>
              <w:t>09</w:t>
            </w:r>
            <w:r>
              <w:rPr>
                <w:rFonts w:cs="Times New Roman" w:hint="eastAsia"/>
                <w:color w:val="000000"/>
                <w:kern w:val="0"/>
                <w:szCs w:val="21"/>
              </w:rPr>
              <w:t>′</w:t>
            </w:r>
            <w:r>
              <w:rPr>
                <w:rFonts w:cs="Times New Roman" w:hint="eastAsia"/>
                <w:color w:val="000000"/>
                <w:kern w:val="0"/>
                <w:szCs w:val="21"/>
              </w:rPr>
              <w:t>26.12</w:t>
            </w:r>
            <w:r>
              <w:rPr>
                <w:rFonts w:cs="Times New Roman" w:hint="eastAsia"/>
                <w:color w:val="000000"/>
                <w:kern w:val="0"/>
                <w:szCs w:val="21"/>
              </w:rPr>
              <w:t>″</w:t>
            </w:r>
          </w:p>
          <w:p w:rsidR="00644456" w:rsidRDefault="008031C4">
            <w:pPr>
              <w:snapToGrid w:val="0"/>
              <w:jc w:val="center"/>
              <w:rPr>
                <w:rFonts w:cs="Times New Roman"/>
                <w:color w:val="000000"/>
                <w:kern w:val="0"/>
                <w:szCs w:val="21"/>
              </w:rPr>
            </w:pPr>
            <w:r>
              <w:rPr>
                <w:rFonts w:cs="Times New Roman" w:hint="eastAsia"/>
                <w:color w:val="000000"/>
                <w:kern w:val="0"/>
                <w:szCs w:val="21"/>
              </w:rPr>
              <w:t>N</w:t>
            </w:r>
            <w:r>
              <w:rPr>
                <w:rFonts w:cs="Times New Roman" w:hint="eastAsia"/>
                <w:color w:val="000000"/>
                <w:kern w:val="0"/>
                <w:szCs w:val="21"/>
              </w:rPr>
              <w:t>：</w:t>
            </w:r>
            <w:r>
              <w:rPr>
                <w:rFonts w:cs="Times New Roman" w:hint="eastAsia"/>
                <w:color w:val="000000"/>
                <w:kern w:val="0"/>
                <w:szCs w:val="21"/>
              </w:rPr>
              <w:t>39</w:t>
            </w:r>
            <w:r>
              <w:rPr>
                <w:rFonts w:cs="Times New Roman" w:hint="eastAsia"/>
                <w:color w:val="000000"/>
                <w:kern w:val="0"/>
                <w:szCs w:val="21"/>
              </w:rPr>
              <w:t>°</w:t>
            </w:r>
            <w:r>
              <w:rPr>
                <w:rFonts w:cs="Times New Roman" w:hint="eastAsia"/>
                <w:color w:val="000000"/>
                <w:kern w:val="0"/>
                <w:szCs w:val="21"/>
              </w:rPr>
              <w:t>03</w:t>
            </w:r>
            <w:r>
              <w:rPr>
                <w:rFonts w:cs="Times New Roman" w:hint="eastAsia"/>
                <w:color w:val="000000"/>
                <w:kern w:val="0"/>
                <w:szCs w:val="21"/>
              </w:rPr>
              <w:t>′</w:t>
            </w:r>
            <w:r>
              <w:rPr>
                <w:rFonts w:cs="Times New Roman" w:hint="eastAsia"/>
                <w:color w:val="000000"/>
                <w:kern w:val="0"/>
                <w:szCs w:val="21"/>
              </w:rPr>
              <w:t>10.63</w:t>
            </w:r>
            <w:r>
              <w:rPr>
                <w:rFonts w:cs="Times New Roman" w:hint="eastAsia"/>
                <w:color w:val="000000"/>
                <w:kern w:val="0"/>
                <w:szCs w:val="21"/>
              </w:rPr>
              <w:t>″</w:t>
            </w:r>
          </w:p>
        </w:tc>
        <w:tc>
          <w:tcPr>
            <w:tcW w:w="1081" w:type="pct"/>
            <w:vAlign w:val="center"/>
          </w:tcPr>
          <w:p w:rsidR="00644456" w:rsidRDefault="008031C4">
            <w:pPr>
              <w:tabs>
                <w:tab w:val="left" w:pos="6555"/>
              </w:tabs>
              <w:snapToGrid w:val="0"/>
              <w:jc w:val="center"/>
              <w:rPr>
                <w:rFonts w:cs="Times New Roman"/>
                <w:color w:val="000000" w:themeColor="text1"/>
                <w:kern w:val="0"/>
                <w:szCs w:val="21"/>
              </w:rPr>
            </w:pPr>
            <w:r>
              <w:rPr>
                <w:rFonts w:cs="Times New Roman" w:hint="eastAsia"/>
                <w:color w:val="000000" w:themeColor="text1"/>
                <w:kern w:val="0"/>
                <w:szCs w:val="21"/>
              </w:rPr>
              <w:t>地下水流向下游，东南面</w:t>
            </w:r>
            <w:r>
              <w:rPr>
                <w:rFonts w:cs="Times New Roman"/>
                <w:color w:val="000000" w:themeColor="text1"/>
                <w:kern w:val="0"/>
                <w:szCs w:val="21"/>
              </w:rPr>
              <w:t>93m</w:t>
            </w:r>
          </w:p>
        </w:tc>
        <w:tc>
          <w:tcPr>
            <w:tcW w:w="748" w:type="pct"/>
            <w:vAlign w:val="center"/>
          </w:tcPr>
          <w:p w:rsidR="00644456" w:rsidRDefault="008031C4">
            <w:pPr>
              <w:tabs>
                <w:tab w:val="left" w:pos="6555"/>
              </w:tabs>
              <w:snapToGrid w:val="0"/>
              <w:jc w:val="center"/>
              <w:rPr>
                <w:rFonts w:cs="Times New Roman"/>
                <w:color w:val="000000" w:themeColor="text1"/>
                <w:kern w:val="0"/>
                <w:szCs w:val="21"/>
              </w:rPr>
            </w:pPr>
            <w:r>
              <w:rPr>
                <w:rFonts w:cs="Times New Roman"/>
                <w:color w:val="000000" w:themeColor="text1"/>
                <w:kern w:val="0"/>
                <w:szCs w:val="21"/>
              </w:rPr>
              <w:t>+5</w:t>
            </w:r>
          </w:p>
        </w:tc>
        <w:tc>
          <w:tcPr>
            <w:tcW w:w="697" w:type="pct"/>
            <w:vMerge/>
            <w:vAlign w:val="center"/>
          </w:tcPr>
          <w:p w:rsidR="00644456" w:rsidRDefault="00644456">
            <w:pPr>
              <w:widowControl/>
              <w:snapToGrid w:val="0"/>
              <w:jc w:val="center"/>
              <w:rPr>
                <w:rFonts w:cs="Times New Roman"/>
                <w:color w:val="000000" w:themeColor="text1"/>
                <w:kern w:val="0"/>
                <w:szCs w:val="21"/>
              </w:rPr>
            </w:pPr>
          </w:p>
        </w:tc>
      </w:tr>
      <w:tr w:rsidR="00644456">
        <w:trPr>
          <w:jc w:val="center"/>
        </w:trPr>
        <w:tc>
          <w:tcPr>
            <w:tcW w:w="504" w:type="pct"/>
            <w:vAlign w:val="center"/>
          </w:tcPr>
          <w:p w:rsidR="00644456" w:rsidRDefault="008031C4">
            <w:pPr>
              <w:widowControl/>
              <w:snapToGrid w:val="0"/>
              <w:jc w:val="center"/>
              <w:rPr>
                <w:rFonts w:cs="Times New Roman"/>
                <w:color w:val="000000" w:themeColor="text1"/>
                <w:kern w:val="0"/>
                <w:szCs w:val="21"/>
              </w:rPr>
            </w:pPr>
            <w:r>
              <w:rPr>
                <w:rFonts w:cs="Times New Roman" w:hint="eastAsia"/>
                <w:color w:val="000000" w:themeColor="text1"/>
                <w:kern w:val="0"/>
                <w:szCs w:val="21"/>
              </w:rPr>
              <w:t>5</w:t>
            </w:r>
            <w:r>
              <w:rPr>
                <w:rFonts w:cs="Times New Roman"/>
                <w:color w:val="000000" w:themeColor="text1"/>
                <w:kern w:val="0"/>
                <w:szCs w:val="21"/>
              </w:rPr>
              <w:t>#</w:t>
            </w:r>
          </w:p>
        </w:tc>
        <w:tc>
          <w:tcPr>
            <w:tcW w:w="753" w:type="pct"/>
            <w:vAlign w:val="center"/>
          </w:tcPr>
          <w:p w:rsidR="00644456" w:rsidRDefault="008031C4">
            <w:pPr>
              <w:snapToGrid w:val="0"/>
              <w:jc w:val="center"/>
              <w:rPr>
                <w:rFonts w:cs="Times New Roman"/>
                <w:color w:val="000000" w:themeColor="text1"/>
                <w:kern w:val="0"/>
                <w:szCs w:val="21"/>
              </w:rPr>
            </w:pPr>
            <w:r>
              <w:rPr>
                <w:rFonts w:cs="Times New Roman" w:hint="eastAsia"/>
                <w:color w:val="000000"/>
                <w:kern w:val="0"/>
                <w:szCs w:val="21"/>
              </w:rPr>
              <w:t>DXS5#</w:t>
            </w:r>
          </w:p>
        </w:tc>
        <w:tc>
          <w:tcPr>
            <w:tcW w:w="1217" w:type="pct"/>
            <w:vAlign w:val="center"/>
          </w:tcPr>
          <w:p w:rsidR="00644456" w:rsidRDefault="008031C4">
            <w:pPr>
              <w:snapToGrid w:val="0"/>
              <w:jc w:val="center"/>
              <w:rPr>
                <w:rFonts w:cs="Times New Roman"/>
                <w:color w:val="000000"/>
                <w:kern w:val="0"/>
                <w:szCs w:val="21"/>
              </w:rPr>
            </w:pPr>
            <w:r>
              <w:rPr>
                <w:rFonts w:cs="Times New Roman" w:hint="eastAsia"/>
                <w:color w:val="000000"/>
                <w:kern w:val="0"/>
                <w:szCs w:val="21"/>
              </w:rPr>
              <w:t>E</w:t>
            </w:r>
            <w:r>
              <w:rPr>
                <w:rFonts w:cs="Times New Roman" w:hint="eastAsia"/>
                <w:color w:val="000000"/>
                <w:kern w:val="0"/>
                <w:szCs w:val="21"/>
              </w:rPr>
              <w:t>：</w:t>
            </w:r>
            <w:r>
              <w:rPr>
                <w:rFonts w:cs="Times New Roman" w:hint="eastAsia"/>
                <w:color w:val="000000"/>
                <w:kern w:val="0"/>
                <w:szCs w:val="21"/>
              </w:rPr>
              <w:t>76</w:t>
            </w:r>
            <w:r>
              <w:rPr>
                <w:rFonts w:cs="Times New Roman" w:hint="eastAsia"/>
                <w:color w:val="000000"/>
                <w:kern w:val="0"/>
                <w:szCs w:val="21"/>
              </w:rPr>
              <w:t>°</w:t>
            </w:r>
            <w:r>
              <w:rPr>
                <w:rFonts w:cs="Times New Roman" w:hint="eastAsia"/>
                <w:color w:val="000000"/>
                <w:kern w:val="0"/>
                <w:szCs w:val="21"/>
              </w:rPr>
              <w:t>10</w:t>
            </w:r>
            <w:r>
              <w:rPr>
                <w:rFonts w:cs="Times New Roman" w:hint="eastAsia"/>
                <w:color w:val="000000"/>
                <w:kern w:val="0"/>
                <w:szCs w:val="21"/>
              </w:rPr>
              <w:t>′</w:t>
            </w:r>
            <w:r>
              <w:rPr>
                <w:rFonts w:cs="Times New Roman" w:hint="eastAsia"/>
                <w:color w:val="000000"/>
                <w:kern w:val="0"/>
                <w:szCs w:val="21"/>
              </w:rPr>
              <w:t>16.47</w:t>
            </w:r>
            <w:r>
              <w:rPr>
                <w:rFonts w:cs="Times New Roman" w:hint="eastAsia"/>
                <w:color w:val="000000"/>
                <w:kern w:val="0"/>
                <w:szCs w:val="21"/>
              </w:rPr>
              <w:t>″</w:t>
            </w:r>
          </w:p>
          <w:p w:rsidR="00644456" w:rsidRDefault="008031C4">
            <w:pPr>
              <w:snapToGrid w:val="0"/>
              <w:jc w:val="center"/>
              <w:rPr>
                <w:rFonts w:cs="Times New Roman"/>
                <w:color w:val="000000"/>
                <w:kern w:val="0"/>
                <w:szCs w:val="21"/>
              </w:rPr>
            </w:pPr>
            <w:r>
              <w:rPr>
                <w:rFonts w:cs="Times New Roman" w:hint="eastAsia"/>
                <w:color w:val="000000"/>
                <w:kern w:val="0"/>
                <w:szCs w:val="21"/>
              </w:rPr>
              <w:t>N</w:t>
            </w:r>
            <w:r>
              <w:rPr>
                <w:rFonts w:cs="Times New Roman" w:hint="eastAsia"/>
                <w:color w:val="000000"/>
                <w:kern w:val="0"/>
                <w:szCs w:val="21"/>
              </w:rPr>
              <w:t>：</w:t>
            </w:r>
            <w:r>
              <w:rPr>
                <w:rFonts w:cs="Times New Roman" w:hint="eastAsia"/>
                <w:color w:val="000000"/>
                <w:kern w:val="0"/>
                <w:szCs w:val="21"/>
              </w:rPr>
              <w:t>39</w:t>
            </w:r>
            <w:r>
              <w:rPr>
                <w:rFonts w:cs="Times New Roman" w:hint="eastAsia"/>
                <w:color w:val="000000"/>
                <w:kern w:val="0"/>
                <w:szCs w:val="21"/>
              </w:rPr>
              <w:t>°</w:t>
            </w:r>
            <w:r>
              <w:rPr>
                <w:rFonts w:cs="Times New Roman" w:hint="eastAsia"/>
                <w:color w:val="000000"/>
                <w:kern w:val="0"/>
                <w:szCs w:val="21"/>
              </w:rPr>
              <w:t>04</w:t>
            </w:r>
            <w:r>
              <w:rPr>
                <w:rFonts w:cs="Times New Roman" w:hint="eastAsia"/>
                <w:color w:val="000000"/>
                <w:kern w:val="0"/>
                <w:szCs w:val="21"/>
              </w:rPr>
              <w:t>′</w:t>
            </w:r>
            <w:r>
              <w:rPr>
                <w:rFonts w:cs="Times New Roman" w:hint="eastAsia"/>
                <w:color w:val="000000"/>
                <w:kern w:val="0"/>
                <w:szCs w:val="21"/>
              </w:rPr>
              <w:t>14.42</w:t>
            </w:r>
            <w:r>
              <w:rPr>
                <w:rFonts w:cs="Times New Roman" w:hint="eastAsia"/>
                <w:color w:val="000000"/>
                <w:kern w:val="0"/>
                <w:szCs w:val="21"/>
              </w:rPr>
              <w:t>″</w:t>
            </w:r>
          </w:p>
        </w:tc>
        <w:tc>
          <w:tcPr>
            <w:tcW w:w="1081" w:type="pct"/>
            <w:vAlign w:val="center"/>
          </w:tcPr>
          <w:p w:rsidR="00644456" w:rsidRDefault="008031C4">
            <w:pPr>
              <w:tabs>
                <w:tab w:val="left" w:pos="6555"/>
              </w:tabs>
              <w:snapToGrid w:val="0"/>
              <w:jc w:val="center"/>
              <w:rPr>
                <w:rFonts w:cs="Times New Roman"/>
                <w:color w:val="000000" w:themeColor="text1"/>
                <w:kern w:val="0"/>
                <w:szCs w:val="21"/>
              </w:rPr>
            </w:pPr>
            <w:r>
              <w:rPr>
                <w:rFonts w:cs="Times New Roman" w:hint="eastAsia"/>
                <w:color w:val="000000" w:themeColor="text1"/>
                <w:kern w:val="0"/>
                <w:szCs w:val="21"/>
              </w:rPr>
              <w:t>地下水侧向，东北面</w:t>
            </w:r>
            <w:r>
              <w:rPr>
                <w:rFonts w:cs="Times New Roman"/>
                <w:color w:val="000000" w:themeColor="text1"/>
                <w:kern w:val="0"/>
                <w:szCs w:val="21"/>
              </w:rPr>
              <w:t>1350m</w:t>
            </w:r>
          </w:p>
        </w:tc>
        <w:tc>
          <w:tcPr>
            <w:tcW w:w="748" w:type="pct"/>
            <w:vAlign w:val="center"/>
          </w:tcPr>
          <w:p w:rsidR="00644456" w:rsidRDefault="008031C4">
            <w:pPr>
              <w:tabs>
                <w:tab w:val="left" w:pos="6555"/>
              </w:tabs>
              <w:snapToGrid w:val="0"/>
              <w:jc w:val="center"/>
              <w:rPr>
                <w:rFonts w:cs="Times New Roman"/>
                <w:color w:val="000000" w:themeColor="text1"/>
                <w:kern w:val="0"/>
                <w:szCs w:val="21"/>
              </w:rPr>
            </w:pPr>
            <w:r>
              <w:rPr>
                <w:rFonts w:cs="Times New Roman"/>
                <w:color w:val="000000" w:themeColor="text1"/>
                <w:kern w:val="0"/>
                <w:szCs w:val="21"/>
              </w:rPr>
              <w:t>+10</w:t>
            </w:r>
          </w:p>
        </w:tc>
        <w:tc>
          <w:tcPr>
            <w:tcW w:w="697" w:type="pct"/>
            <w:vMerge/>
            <w:vAlign w:val="center"/>
          </w:tcPr>
          <w:p w:rsidR="00644456" w:rsidRDefault="00644456">
            <w:pPr>
              <w:widowControl/>
              <w:snapToGrid w:val="0"/>
              <w:jc w:val="center"/>
              <w:rPr>
                <w:rFonts w:cs="Times New Roman"/>
                <w:color w:val="000000" w:themeColor="text1"/>
                <w:kern w:val="0"/>
                <w:szCs w:val="21"/>
              </w:rPr>
            </w:pPr>
          </w:p>
        </w:tc>
      </w:tr>
    </w:tbl>
    <w:bookmarkEnd w:id="252"/>
    <w:p w:rsidR="00644456" w:rsidRDefault="008031C4">
      <w:pPr>
        <w:spacing w:line="360" w:lineRule="auto"/>
        <w:ind w:firstLineChars="200" w:firstLine="482"/>
        <w:rPr>
          <w:b/>
          <w:color w:val="000000" w:themeColor="text1"/>
          <w:sz w:val="24"/>
          <w:szCs w:val="24"/>
          <w:u w:val="single"/>
        </w:rPr>
      </w:pPr>
      <w:r>
        <w:rPr>
          <w:rFonts w:hint="eastAsia"/>
          <w:b/>
          <w:color w:val="000000" w:themeColor="text1"/>
          <w:sz w:val="24"/>
          <w:szCs w:val="24"/>
          <w:u w:val="single"/>
        </w:rPr>
        <w:t>（</w:t>
      </w:r>
      <w:r>
        <w:rPr>
          <w:rFonts w:hint="eastAsia"/>
          <w:b/>
          <w:color w:val="000000" w:themeColor="text1"/>
          <w:sz w:val="24"/>
          <w:szCs w:val="24"/>
          <w:u w:val="single"/>
        </w:rPr>
        <w:t>2</w:t>
      </w:r>
      <w:r>
        <w:rPr>
          <w:rFonts w:hint="eastAsia"/>
          <w:b/>
          <w:color w:val="000000" w:themeColor="text1"/>
          <w:sz w:val="24"/>
          <w:szCs w:val="24"/>
          <w:u w:val="single"/>
        </w:rPr>
        <w:t>）水位监测点</w:t>
      </w:r>
    </w:p>
    <w:p w:rsidR="00644456" w:rsidRDefault="008031C4">
      <w:pPr>
        <w:spacing w:line="360" w:lineRule="auto"/>
        <w:ind w:firstLineChars="200" w:firstLine="480"/>
        <w:rPr>
          <w:color w:val="000000" w:themeColor="text1"/>
          <w:sz w:val="24"/>
          <w:szCs w:val="24"/>
        </w:rPr>
      </w:pPr>
      <w:r>
        <w:rPr>
          <w:rFonts w:hint="eastAsia"/>
          <w:color w:val="000000" w:themeColor="text1"/>
          <w:sz w:val="24"/>
          <w:szCs w:val="24"/>
        </w:rPr>
        <w:lastRenderedPageBreak/>
        <w:t>根据</w:t>
      </w:r>
      <w:r>
        <w:rPr>
          <w:color w:val="000000" w:themeColor="text1"/>
          <w:sz w:val="24"/>
          <w:szCs w:val="24"/>
        </w:rPr>
        <w:t>《环境影响评价技术导则地下水环境》（</w:t>
      </w:r>
      <w:r>
        <w:rPr>
          <w:color w:val="000000" w:themeColor="text1"/>
          <w:sz w:val="24"/>
          <w:szCs w:val="24"/>
        </w:rPr>
        <w:t>HJ610-201</w:t>
      </w:r>
      <w:r>
        <w:rPr>
          <w:rFonts w:hint="eastAsia"/>
          <w:color w:val="000000" w:themeColor="text1"/>
          <w:sz w:val="24"/>
          <w:szCs w:val="24"/>
        </w:rPr>
        <w:t>6</w:t>
      </w:r>
      <w:r>
        <w:rPr>
          <w:color w:val="000000" w:themeColor="text1"/>
          <w:sz w:val="24"/>
          <w:szCs w:val="24"/>
        </w:rPr>
        <w:t>）</w:t>
      </w:r>
      <w:r>
        <w:rPr>
          <w:rFonts w:hint="eastAsia"/>
          <w:color w:val="000000" w:themeColor="text1"/>
          <w:sz w:val="24"/>
          <w:szCs w:val="24"/>
        </w:rPr>
        <w:t>：“一般情况下，地下水水位监测点数宜大于相应评价级别地下水水质监测点数的</w:t>
      </w:r>
      <w:r>
        <w:rPr>
          <w:rFonts w:hint="eastAsia"/>
          <w:color w:val="000000" w:themeColor="text1"/>
          <w:sz w:val="24"/>
          <w:szCs w:val="24"/>
        </w:rPr>
        <w:t>2</w:t>
      </w:r>
      <w:r>
        <w:rPr>
          <w:rFonts w:hint="eastAsia"/>
          <w:color w:val="000000" w:themeColor="text1"/>
          <w:sz w:val="24"/>
          <w:szCs w:val="24"/>
        </w:rPr>
        <w:t>倍。”本项目地下评价等级为二级，按照导则要求，应至少设置</w:t>
      </w:r>
      <w:r>
        <w:rPr>
          <w:rFonts w:hint="eastAsia"/>
          <w:color w:val="000000" w:themeColor="text1"/>
          <w:sz w:val="24"/>
          <w:szCs w:val="24"/>
        </w:rPr>
        <w:t>5</w:t>
      </w:r>
      <w:r>
        <w:rPr>
          <w:rFonts w:hint="eastAsia"/>
          <w:color w:val="000000" w:themeColor="text1"/>
          <w:sz w:val="24"/>
          <w:szCs w:val="24"/>
        </w:rPr>
        <w:t>个地下水水质监测点，因此本项目地下水水位监测点数不少于</w:t>
      </w:r>
      <w:r>
        <w:rPr>
          <w:color w:val="000000" w:themeColor="text1"/>
          <w:sz w:val="24"/>
          <w:szCs w:val="24"/>
        </w:rPr>
        <w:t>10</w:t>
      </w:r>
      <w:r>
        <w:rPr>
          <w:rFonts w:hint="eastAsia"/>
          <w:color w:val="000000" w:themeColor="text1"/>
          <w:sz w:val="24"/>
          <w:szCs w:val="24"/>
        </w:rPr>
        <w:t>个，</w:t>
      </w:r>
      <w:r>
        <w:rPr>
          <w:rFonts w:hint="eastAsia"/>
          <w:b/>
          <w:bCs/>
          <w:color w:val="000000" w:themeColor="text1"/>
          <w:sz w:val="24"/>
          <w:szCs w:val="24"/>
        </w:rPr>
        <w:t>本次调查了</w:t>
      </w:r>
      <w:r>
        <w:rPr>
          <w:b/>
          <w:bCs/>
          <w:color w:val="000000" w:themeColor="text1"/>
          <w:sz w:val="24"/>
          <w:szCs w:val="24"/>
        </w:rPr>
        <w:t>10</w:t>
      </w:r>
      <w:r>
        <w:rPr>
          <w:rFonts w:hint="eastAsia"/>
          <w:b/>
          <w:bCs/>
          <w:color w:val="000000" w:themeColor="text1"/>
          <w:sz w:val="24"/>
          <w:szCs w:val="24"/>
        </w:rPr>
        <w:t>个水位监测点</w:t>
      </w:r>
      <w:r>
        <w:rPr>
          <w:rFonts w:hint="eastAsia"/>
          <w:color w:val="000000" w:themeColor="text1"/>
          <w:sz w:val="24"/>
          <w:szCs w:val="24"/>
        </w:rPr>
        <w:t>，详见下表。</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3.5-2</w:t>
      </w:r>
      <w:r>
        <w:rPr>
          <w:rFonts w:cs="Times New Roman" w:hint="eastAsia"/>
          <w:b/>
          <w:color w:val="000000" w:themeColor="text1"/>
          <w:sz w:val="24"/>
          <w:szCs w:val="20"/>
        </w:rPr>
        <w:t>水位监测点统计表</w:t>
      </w:r>
    </w:p>
    <w:tbl>
      <w:tblPr>
        <w:tblW w:w="494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03"/>
        <w:gridCol w:w="4313"/>
        <w:gridCol w:w="1306"/>
        <w:gridCol w:w="1017"/>
        <w:gridCol w:w="1306"/>
      </w:tblGrid>
      <w:tr w:rsidR="00644456">
        <w:tc>
          <w:tcPr>
            <w:tcW w:w="658" w:type="pct"/>
            <w:tcBorders>
              <w:top w:val="single" w:sz="12" w:space="0" w:color="auto"/>
              <w:left w:val="nil"/>
              <w:bottom w:val="single" w:sz="6" w:space="0" w:color="auto"/>
              <w:right w:val="single" w:sz="6" w:space="0" w:color="auto"/>
            </w:tcBorders>
            <w:vAlign w:val="center"/>
          </w:tcPr>
          <w:p w:rsidR="00644456" w:rsidRDefault="008031C4">
            <w:pPr>
              <w:adjustRightInd w:val="0"/>
              <w:snapToGrid w:val="0"/>
              <w:jc w:val="center"/>
              <w:rPr>
                <w:b/>
                <w:color w:val="000000" w:themeColor="text1"/>
                <w:szCs w:val="21"/>
                <w:u w:val="single"/>
              </w:rPr>
            </w:pPr>
            <w:bookmarkStart w:id="253" w:name="_Hlk164866524"/>
            <w:r>
              <w:rPr>
                <w:rFonts w:hint="eastAsia"/>
                <w:b/>
                <w:color w:val="000000" w:themeColor="text1"/>
                <w:szCs w:val="21"/>
                <w:u w:val="single"/>
              </w:rPr>
              <w:t>监测点</w:t>
            </w:r>
          </w:p>
        </w:tc>
        <w:tc>
          <w:tcPr>
            <w:tcW w:w="2358" w:type="pct"/>
            <w:tcBorders>
              <w:top w:val="single" w:sz="12" w:space="0" w:color="auto"/>
              <w:left w:val="single" w:sz="6" w:space="0" w:color="auto"/>
              <w:bottom w:val="single" w:sz="6" w:space="0" w:color="auto"/>
              <w:right w:val="single" w:sz="4" w:space="0" w:color="auto"/>
            </w:tcBorders>
            <w:vAlign w:val="center"/>
          </w:tcPr>
          <w:p w:rsidR="00644456" w:rsidRDefault="008031C4">
            <w:pPr>
              <w:adjustRightInd w:val="0"/>
              <w:snapToGrid w:val="0"/>
              <w:jc w:val="center"/>
              <w:rPr>
                <w:b/>
                <w:color w:val="000000" w:themeColor="text1"/>
                <w:szCs w:val="21"/>
                <w:u w:val="single"/>
              </w:rPr>
            </w:pPr>
            <w:r>
              <w:rPr>
                <w:rFonts w:hint="eastAsia"/>
                <w:b/>
                <w:color w:val="000000" w:themeColor="text1"/>
                <w:szCs w:val="21"/>
                <w:u w:val="single"/>
              </w:rPr>
              <w:t>经纬度</w:t>
            </w:r>
          </w:p>
        </w:tc>
        <w:tc>
          <w:tcPr>
            <w:tcW w:w="714" w:type="pct"/>
            <w:tcBorders>
              <w:top w:val="single" w:sz="12" w:space="0" w:color="auto"/>
              <w:left w:val="single" w:sz="6" w:space="0" w:color="auto"/>
              <w:bottom w:val="single" w:sz="6" w:space="0" w:color="auto"/>
              <w:right w:val="single" w:sz="4" w:space="0" w:color="auto"/>
            </w:tcBorders>
            <w:vAlign w:val="center"/>
          </w:tcPr>
          <w:p w:rsidR="00644456" w:rsidRDefault="008031C4">
            <w:pPr>
              <w:adjustRightInd w:val="0"/>
              <w:snapToGrid w:val="0"/>
              <w:jc w:val="center"/>
              <w:rPr>
                <w:b/>
                <w:color w:val="000000" w:themeColor="text1"/>
                <w:szCs w:val="21"/>
                <w:u w:val="single"/>
              </w:rPr>
            </w:pPr>
            <w:r>
              <w:rPr>
                <w:rFonts w:hint="eastAsia"/>
                <w:b/>
                <w:color w:val="000000" w:themeColor="text1"/>
                <w:szCs w:val="21"/>
                <w:u w:val="single"/>
              </w:rPr>
              <w:t>井口高程（</w:t>
            </w:r>
            <w:r>
              <w:rPr>
                <w:b/>
                <w:color w:val="000000" w:themeColor="text1"/>
                <w:szCs w:val="21"/>
                <w:u w:val="single"/>
              </w:rPr>
              <w:t>m</w:t>
            </w:r>
            <w:r>
              <w:rPr>
                <w:rFonts w:hint="eastAsia"/>
                <w:b/>
                <w:color w:val="000000" w:themeColor="text1"/>
                <w:szCs w:val="21"/>
                <w:u w:val="single"/>
              </w:rPr>
              <w:t>）</w:t>
            </w:r>
          </w:p>
        </w:tc>
        <w:tc>
          <w:tcPr>
            <w:tcW w:w="556" w:type="pct"/>
            <w:tcBorders>
              <w:top w:val="single" w:sz="12" w:space="0" w:color="auto"/>
              <w:left w:val="single" w:sz="6" w:space="0" w:color="auto"/>
              <w:bottom w:val="single" w:sz="6" w:space="0" w:color="auto"/>
              <w:right w:val="single" w:sz="4" w:space="0" w:color="auto"/>
            </w:tcBorders>
            <w:vAlign w:val="center"/>
          </w:tcPr>
          <w:p w:rsidR="00644456" w:rsidRDefault="008031C4">
            <w:pPr>
              <w:adjustRightInd w:val="0"/>
              <w:snapToGrid w:val="0"/>
              <w:jc w:val="center"/>
              <w:rPr>
                <w:b/>
                <w:color w:val="000000" w:themeColor="text1"/>
                <w:szCs w:val="21"/>
                <w:u w:val="single"/>
              </w:rPr>
            </w:pPr>
            <w:r>
              <w:rPr>
                <w:rFonts w:hint="eastAsia"/>
                <w:b/>
                <w:color w:val="000000" w:themeColor="text1"/>
                <w:szCs w:val="21"/>
                <w:u w:val="single"/>
              </w:rPr>
              <w:t>埋深（</w:t>
            </w:r>
            <w:r>
              <w:rPr>
                <w:b/>
                <w:color w:val="000000" w:themeColor="text1"/>
                <w:szCs w:val="21"/>
                <w:u w:val="single"/>
              </w:rPr>
              <w:t>m</w:t>
            </w:r>
            <w:r>
              <w:rPr>
                <w:rFonts w:hint="eastAsia"/>
                <w:b/>
                <w:color w:val="000000" w:themeColor="text1"/>
                <w:szCs w:val="21"/>
                <w:u w:val="single"/>
              </w:rPr>
              <w:t>）</w:t>
            </w:r>
          </w:p>
        </w:tc>
        <w:tc>
          <w:tcPr>
            <w:tcW w:w="714" w:type="pct"/>
            <w:tcBorders>
              <w:top w:val="single" w:sz="12" w:space="0" w:color="auto"/>
              <w:left w:val="single" w:sz="6" w:space="0" w:color="auto"/>
              <w:bottom w:val="single" w:sz="6" w:space="0" w:color="auto"/>
              <w:right w:val="nil"/>
            </w:tcBorders>
            <w:vAlign w:val="center"/>
          </w:tcPr>
          <w:p w:rsidR="00644456" w:rsidRDefault="008031C4">
            <w:pPr>
              <w:adjustRightInd w:val="0"/>
              <w:snapToGrid w:val="0"/>
              <w:jc w:val="center"/>
              <w:rPr>
                <w:b/>
                <w:bCs/>
                <w:color w:val="000000" w:themeColor="text1"/>
                <w:szCs w:val="21"/>
                <w:u w:val="single"/>
              </w:rPr>
            </w:pPr>
            <w:r>
              <w:rPr>
                <w:rFonts w:hint="eastAsia"/>
                <w:b/>
                <w:color w:val="000000" w:themeColor="text1"/>
                <w:szCs w:val="21"/>
                <w:u w:val="single"/>
              </w:rPr>
              <w:t>海拔水位（</w:t>
            </w:r>
            <w:r>
              <w:rPr>
                <w:b/>
                <w:color w:val="000000" w:themeColor="text1"/>
                <w:szCs w:val="21"/>
                <w:u w:val="single"/>
              </w:rPr>
              <w:t>m</w:t>
            </w:r>
            <w:r>
              <w:rPr>
                <w:rFonts w:hint="eastAsia"/>
                <w:b/>
                <w:color w:val="000000" w:themeColor="text1"/>
                <w:szCs w:val="21"/>
                <w:u w:val="single"/>
              </w:rPr>
              <w:t>）</w:t>
            </w:r>
          </w:p>
        </w:tc>
      </w:tr>
      <w:tr w:rsidR="00644456">
        <w:tc>
          <w:tcPr>
            <w:tcW w:w="658" w:type="pct"/>
            <w:tcBorders>
              <w:top w:val="single" w:sz="6" w:space="0" w:color="auto"/>
              <w:left w:val="nil"/>
              <w:bottom w:val="single" w:sz="6" w:space="0" w:color="auto"/>
              <w:right w:val="single" w:sz="6" w:space="0" w:color="auto"/>
            </w:tcBorders>
            <w:vAlign w:val="center"/>
          </w:tcPr>
          <w:p w:rsidR="00644456" w:rsidRDefault="008031C4">
            <w:pPr>
              <w:adjustRightInd w:val="0"/>
              <w:snapToGrid w:val="0"/>
              <w:jc w:val="center"/>
              <w:rPr>
                <w:color w:val="000000" w:themeColor="text1"/>
                <w:szCs w:val="21"/>
                <w:u w:val="single"/>
              </w:rPr>
            </w:pPr>
            <w:r>
              <w:rPr>
                <w:color w:val="000000" w:themeColor="text1"/>
                <w:szCs w:val="21"/>
                <w:u w:val="single"/>
              </w:rPr>
              <w:t>1#</w:t>
            </w:r>
          </w:p>
        </w:tc>
        <w:tc>
          <w:tcPr>
            <w:tcW w:w="2358" w:type="pct"/>
            <w:tcBorders>
              <w:top w:val="single" w:sz="6" w:space="0" w:color="auto"/>
              <w:left w:val="single" w:sz="6" w:space="0" w:color="auto"/>
              <w:bottom w:val="single" w:sz="6" w:space="0" w:color="auto"/>
              <w:right w:val="single" w:sz="4" w:space="0" w:color="auto"/>
            </w:tcBorders>
            <w:vAlign w:val="center"/>
          </w:tcPr>
          <w:p w:rsidR="00644456" w:rsidRDefault="008031C4">
            <w:pPr>
              <w:adjustRightInd w:val="0"/>
              <w:snapToGrid w:val="0"/>
              <w:jc w:val="center"/>
              <w:rPr>
                <w:color w:val="000000" w:themeColor="text1"/>
                <w:szCs w:val="21"/>
                <w:u w:val="single"/>
              </w:rPr>
            </w:pPr>
            <w:r>
              <w:rPr>
                <w:rFonts w:cs="Times New Roman" w:hint="eastAsia"/>
                <w:color w:val="000000"/>
                <w:kern w:val="0"/>
                <w:szCs w:val="21"/>
              </w:rPr>
              <w:t>E</w:t>
            </w:r>
            <w:r>
              <w:rPr>
                <w:rFonts w:cs="Times New Roman" w:hint="eastAsia"/>
                <w:color w:val="000000"/>
                <w:kern w:val="0"/>
                <w:szCs w:val="21"/>
              </w:rPr>
              <w:t>：</w:t>
            </w:r>
            <w:r>
              <w:rPr>
                <w:rFonts w:cs="Times New Roman" w:hint="eastAsia"/>
                <w:color w:val="000000"/>
                <w:kern w:val="0"/>
                <w:szCs w:val="21"/>
              </w:rPr>
              <w:t>76</w:t>
            </w:r>
            <w:r>
              <w:rPr>
                <w:rFonts w:cs="Times New Roman" w:hint="eastAsia"/>
                <w:color w:val="000000"/>
                <w:kern w:val="0"/>
                <w:szCs w:val="21"/>
              </w:rPr>
              <w:t>°</w:t>
            </w:r>
            <w:r>
              <w:rPr>
                <w:rFonts w:cs="Times New Roman" w:hint="eastAsia"/>
                <w:color w:val="000000"/>
                <w:kern w:val="0"/>
                <w:szCs w:val="21"/>
              </w:rPr>
              <w:t>09</w:t>
            </w:r>
            <w:r>
              <w:rPr>
                <w:rFonts w:cs="Times New Roman" w:hint="eastAsia"/>
                <w:color w:val="000000"/>
                <w:kern w:val="0"/>
                <w:szCs w:val="21"/>
              </w:rPr>
              <w:t>′</w:t>
            </w:r>
            <w:r>
              <w:rPr>
                <w:rFonts w:cs="Times New Roman"/>
                <w:color w:val="000000"/>
                <w:kern w:val="0"/>
                <w:szCs w:val="21"/>
              </w:rPr>
              <w:t>45.13</w:t>
            </w:r>
            <w:r>
              <w:rPr>
                <w:rFonts w:cs="Times New Roman" w:hint="eastAsia"/>
                <w:color w:val="000000"/>
                <w:kern w:val="0"/>
                <w:szCs w:val="21"/>
              </w:rPr>
              <w:t>″；</w:t>
            </w:r>
            <w:r>
              <w:rPr>
                <w:rFonts w:cs="Times New Roman"/>
                <w:color w:val="000000"/>
                <w:kern w:val="0"/>
                <w:szCs w:val="21"/>
              </w:rPr>
              <w:t>N</w:t>
            </w:r>
            <w:r>
              <w:rPr>
                <w:rFonts w:cs="Times New Roman"/>
                <w:color w:val="000000"/>
                <w:kern w:val="0"/>
                <w:szCs w:val="21"/>
              </w:rPr>
              <w:t>：</w:t>
            </w:r>
            <w:r>
              <w:rPr>
                <w:rFonts w:cs="Times New Roman" w:hint="eastAsia"/>
                <w:color w:val="000000"/>
                <w:kern w:val="0"/>
                <w:szCs w:val="21"/>
              </w:rPr>
              <w:t>39</w:t>
            </w:r>
            <w:r>
              <w:rPr>
                <w:rFonts w:cs="Times New Roman" w:hint="eastAsia"/>
                <w:color w:val="000000"/>
                <w:kern w:val="0"/>
                <w:szCs w:val="21"/>
              </w:rPr>
              <w:t>°</w:t>
            </w:r>
            <w:r>
              <w:rPr>
                <w:rFonts w:cs="Times New Roman" w:hint="eastAsia"/>
                <w:color w:val="000000"/>
                <w:kern w:val="0"/>
                <w:szCs w:val="21"/>
              </w:rPr>
              <w:t>03</w:t>
            </w:r>
            <w:r>
              <w:rPr>
                <w:rFonts w:cs="Times New Roman" w:hint="eastAsia"/>
                <w:color w:val="000000"/>
                <w:kern w:val="0"/>
                <w:szCs w:val="21"/>
              </w:rPr>
              <w:t>′</w:t>
            </w:r>
            <w:r>
              <w:rPr>
                <w:rFonts w:cs="Times New Roman"/>
                <w:color w:val="000000"/>
                <w:kern w:val="0"/>
                <w:szCs w:val="21"/>
              </w:rPr>
              <w:t>51.47</w:t>
            </w:r>
            <w:r>
              <w:rPr>
                <w:rFonts w:cs="Times New Roman" w:hint="eastAsia"/>
                <w:color w:val="000000"/>
                <w:kern w:val="0"/>
                <w:szCs w:val="21"/>
              </w:rPr>
              <w:t>″</w:t>
            </w:r>
          </w:p>
        </w:tc>
        <w:tc>
          <w:tcPr>
            <w:tcW w:w="714" w:type="pct"/>
            <w:tcBorders>
              <w:top w:val="single" w:sz="6" w:space="0" w:color="auto"/>
              <w:left w:val="single" w:sz="6" w:space="0" w:color="auto"/>
              <w:bottom w:val="single" w:sz="6" w:space="0" w:color="auto"/>
              <w:right w:val="single" w:sz="4" w:space="0" w:color="auto"/>
            </w:tcBorders>
            <w:vAlign w:val="center"/>
          </w:tcPr>
          <w:p w:rsidR="00644456" w:rsidRDefault="008031C4">
            <w:pPr>
              <w:tabs>
                <w:tab w:val="left" w:pos="6555"/>
              </w:tabs>
              <w:adjustRightInd w:val="0"/>
              <w:snapToGrid w:val="0"/>
              <w:jc w:val="center"/>
              <w:rPr>
                <w:color w:val="000000" w:themeColor="text1"/>
                <w:szCs w:val="21"/>
                <w:u w:val="single"/>
              </w:rPr>
            </w:pPr>
            <w:r>
              <w:rPr>
                <w:color w:val="000000" w:themeColor="text1"/>
                <w:szCs w:val="21"/>
                <w:u w:val="single"/>
              </w:rPr>
              <w:t>1266.052</w:t>
            </w:r>
          </w:p>
        </w:tc>
        <w:tc>
          <w:tcPr>
            <w:tcW w:w="556" w:type="pct"/>
            <w:tcBorders>
              <w:top w:val="single" w:sz="6" w:space="0" w:color="auto"/>
              <w:left w:val="single" w:sz="6" w:space="0" w:color="auto"/>
              <w:bottom w:val="single" w:sz="6" w:space="0" w:color="auto"/>
              <w:right w:val="single" w:sz="4" w:space="0" w:color="auto"/>
            </w:tcBorders>
            <w:vAlign w:val="center"/>
          </w:tcPr>
          <w:p w:rsidR="00644456" w:rsidRDefault="008031C4">
            <w:pPr>
              <w:tabs>
                <w:tab w:val="left" w:pos="6555"/>
              </w:tabs>
              <w:adjustRightInd w:val="0"/>
              <w:snapToGrid w:val="0"/>
              <w:jc w:val="center"/>
              <w:rPr>
                <w:color w:val="000000" w:themeColor="text1"/>
                <w:szCs w:val="21"/>
                <w:u w:val="single"/>
              </w:rPr>
            </w:pPr>
            <w:r>
              <w:rPr>
                <w:color w:val="000000" w:themeColor="text1"/>
                <w:szCs w:val="21"/>
                <w:u w:val="single"/>
              </w:rPr>
              <w:t>100</w:t>
            </w:r>
          </w:p>
        </w:tc>
        <w:tc>
          <w:tcPr>
            <w:tcW w:w="714" w:type="pct"/>
            <w:tcBorders>
              <w:top w:val="single" w:sz="6" w:space="0" w:color="auto"/>
              <w:left w:val="single" w:sz="6" w:space="0" w:color="auto"/>
              <w:bottom w:val="single" w:sz="6" w:space="0" w:color="auto"/>
              <w:right w:val="nil"/>
            </w:tcBorders>
            <w:vAlign w:val="center"/>
          </w:tcPr>
          <w:p w:rsidR="00644456" w:rsidRDefault="008031C4">
            <w:pPr>
              <w:tabs>
                <w:tab w:val="left" w:pos="6555"/>
              </w:tabs>
              <w:adjustRightInd w:val="0"/>
              <w:snapToGrid w:val="0"/>
              <w:jc w:val="center"/>
              <w:rPr>
                <w:color w:val="000000" w:themeColor="text1"/>
                <w:szCs w:val="21"/>
                <w:u w:val="single"/>
              </w:rPr>
            </w:pPr>
            <w:r>
              <w:rPr>
                <w:rFonts w:hint="eastAsia"/>
                <w:color w:val="000000" w:themeColor="text1"/>
                <w:szCs w:val="21"/>
                <w:u w:val="single"/>
              </w:rPr>
              <w:t>4</w:t>
            </w:r>
            <w:r>
              <w:rPr>
                <w:color w:val="000000" w:themeColor="text1"/>
                <w:szCs w:val="21"/>
                <w:u w:val="single"/>
              </w:rPr>
              <w:t>0</w:t>
            </w:r>
          </w:p>
        </w:tc>
      </w:tr>
      <w:tr w:rsidR="00644456">
        <w:tc>
          <w:tcPr>
            <w:tcW w:w="658" w:type="pct"/>
            <w:tcBorders>
              <w:top w:val="single" w:sz="6" w:space="0" w:color="auto"/>
              <w:left w:val="nil"/>
              <w:bottom w:val="single" w:sz="6" w:space="0" w:color="auto"/>
              <w:right w:val="single" w:sz="6" w:space="0" w:color="auto"/>
            </w:tcBorders>
            <w:vAlign w:val="center"/>
          </w:tcPr>
          <w:p w:rsidR="00644456" w:rsidRDefault="008031C4">
            <w:pPr>
              <w:adjustRightInd w:val="0"/>
              <w:snapToGrid w:val="0"/>
              <w:jc w:val="center"/>
              <w:rPr>
                <w:color w:val="000000" w:themeColor="text1"/>
                <w:szCs w:val="21"/>
                <w:u w:val="single"/>
              </w:rPr>
            </w:pPr>
            <w:r>
              <w:rPr>
                <w:color w:val="000000" w:themeColor="text1"/>
                <w:szCs w:val="21"/>
                <w:u w:val="single"/>
              </w:rPr>
              <w:t>2#</w:t>
            </w:r>
          </w:p>
        </w:tc>
        <w:tc>
          <w:tcPr>
            <w:tcW w:w="2358" w:type="pct"/>
            <w:tcBorders>
              <w:top w:val="single" w:sz="6" w:space="0" w:color="auto"/>
              <w:left w:val="single" w:sz="6" w:space="0" w:color="auto"/>
              <w:bottom w:val="single" w:sz="6" w:space="0" w:color="auto"/>
              <w:right w:val="single" w:sz="4" w:space="0" w:color="auto"/>
            </w:tcBorders>
            <w:vAlign w:val="center"/>
          </w:tcPr>
          <w:p w:rsidR="00644456" w:rsidRDefault="008031C4">
            <w:pPr>
              <w:adjustRightInd w:val="0"/>
              <w:snapToGrid w:val="0"/>
              <w:jc w:val="center"/>
              <w:rPr>
                <w:color w:val="000000" w:themeColor="text1"/>
                <w:szCs w:val="21"/>
                <w:u w:val="single"/>
              </w:rPr>
            </w:pPr>
            <w:r>
              <w:rPr>
                <w:rFonts w:cs="Times New Roman" w:hint="eastAsia"/>
                <w:color w:val="000000"/>
                <w:kern w:val="0"/>
                <w:szCs w:val="21"/>
              </w:rPr>
              <w:t>E</w:t>
            </w:r>
            <w:r>
              <w:rPr>
                <w:rFonts w:cs="Times New Roman" w:hint="eastAsia"/>
                <w:color w:val="000000"/>
                <w:kern w:val="0"/>
                <w:szCs w:val="21"/>
              </w:rPr>
              <w:t>：</w:t>
            </w:r>
            <w:r>
              <w:rPr>
                <w:rFonts w:cs="Times New Roman" w:hint="eastAsia"/>
                <w:color w:val="000000"/>
                <w:kern w:val="0"/>
                <w:szCs w:val="21"/>
              </w:rPr>
              <w:t>76</w:t>
            </w:r>
            <w:r>
              <w:rPr>
                <w:rFonts w:cs="Times New Roman" w:hint="eastAsia"/>
                <w:color w:val="000000"/>
                <w:kern w:val="0"/>
                <w:szCs w:val="21"/>
              </w:rPr>
              <w:t>°</w:t>
            </w:r>
            <w:r>
              <w:rPr>
                <w:rFonts w:cs="Times New Roman" w:hint="eastAsia"/>
                <w:color w:val="000000"/>
                <w:kern w:val="0"/>
                <w:szCs w:val="21"/>
              </w:rPr>
              <w:t>09</w:t>
            </w:r>
            <w:r>
              <w:rPr>
                <w:rFonts w:cs="Times New Roman" w:hint="eastAsia"/>
                <w:color w:val="000000"/>
                <w:kern w:val="0"/>
                <w:szCs w:val="21"/>
              </w:rPr>
              <w:t>′</w:t>
            </w:r>
            <w:r>
              <w:rPr>
                <w:rFonts w:cs="Times New Roman" w:hint="eastAsia"/>
                <w:color w:val="000000"/>
                <w:kern w:val="0"/>
                <w:szCs w:val="21"/>
              </w:rPr>
              <w:t>27.73</w:t>
            </w:r>
            <w:r>
              <w:rPr>
                <w:rFonts w:cs="Times New Roman" w:hint="eastAsia"/>
                <w:color w:val="000000"/>
                <w:kern w:val="0"/>
                <w:szCs w:val="21"/>
              </w:rPr>
              <w:t>″；</w:t>
            </w:r>
            <w:r>
              <w:rPr>
                <w:rFonts w:cs="Times New Roman" w:hint="eastAsia"/>
                <w:color w:val="000000"/>
                <w:kern w:val="0"/>
                <w:szCs w:val="21"/>
              </w:rPr>
              <w:t>N</w:t>
            </w:r>
            <w:r>
              <w:rPr>
                <w:rFonts w:cs="Times New Roman" w:hint="eastAsia"/>
                <w:color w:val="000000"/>
                <w:kern w:val="0"/>
                <w:szCs w:val="21"/>
              </w:rPr>
              <w:t>：</w:t>
            </w:r>
            <w:r>
              <w:rPr>
                <w:rFonts w:cs="Times New Roman" w:hint="eastAsia"/>
                <w:color w:val="000000"/>
                <w:kern w:val="0"/>
                <w:szCs w:val="21"/>
              </w:rPr>
              <w:t>39</w:t>
            </w:r>
            <w:r>
              <w:rPr>
                <w:rFonts w:cs="Times New Roman" w:hint="eastAsia"/>
                <w:color w:val="000000"/>
                <w:kern w:val="0"/>
                <w:szCs w:val="21"/>
              </w:rPr>
              <w:t>°</w:t>
            </w:r>
            <w:r>
              <w:rPr>
                <w:rFonts w:cs="Times New Roman" w:hint="eastAsia"/>
                <w:color w:val="000000"/>
                <w:kern w:val="0"/>
                <w:szCs w:val="21"/>
              </w:rPr>
              <w:t>03</w:t>
            </w:r>
            <w:r>
              <w:rPr>
                <w:rFonts w:cs="Times New Roman" w:hint="eastAsia"/>
                <w:color w:val="000000"/>
                <w:kern w:val="0"/>
                <w:szCs w:val="21"/>
              </w:rPr>
              <w:t>′</w:t>
            </w:r>
            <w:r>
              <w:rPr>
                <w:rFonts w:cs="Times New Roman" w:hint="eastAsia"/>
                <w:color w:val="000000"/>
                <w:kern w:val="0"/>
                <w:szCs w:val="21"/>
              </w:rPr>
              <w:t>59.42</w:t>
            </w:r>
            <w:r>
              <w:rPr>
                <w:rFonts w:cs="Times New Roman" w:hint="eastAsia"/>
                <w:color w:val="000000"/>
                <w:kern w:val="0"/>
                <w:szCs w:val="21"/>
              </w:rPr>
              <w:t>″</w:t>
            </w:r>
          </w:p>
        </w:tc>
        <w:tc>
          <w:tcPr>
            <w:tcW w:w="714" w:type="pct"/>
            <w:tcBorders>
              <w:top w:val="single" w:sz="6" w:space="0" w:color="auto"/>
              <w:left w:val="single" w:sz="6" w:space="0" w:color="auto"/>
              <w:bottom w:val="single" w:sz="6" w:space="0" w:color="auto"/>
              <w:right w:val="single" w:sz="4" w:space="0" w:color="auto"/>
            </w:tcBorders>
            <w:vAlign w:val="center"/>
          </w:tcPr>
          <w:p w:rsidR="00644456" w:rsidRDefault="008031C4">
            <w:pPr>
              <w:tabs>
                <w:tab w:val="left" w:pos="6555"/>
              </w:tabs>
              <w:adjustRightInd w:val="0"/>
              <w:snapToGrid w:val="0"/>
              <w:jc w:val="center"/>
              <w:rPr>
                <w:color w:val="000000" w:themeColor="text1"/>
                <w:szCs w:val="21"/>
                <w:u w:val="single"/>
              </w:rPr>
            </w:pPr>
            <w:r>
              <w:rPr>
                <w:color w:val="000000" w:themeColor="text1"/>
                <w:szCs w:val="21"/>
                <w:u w:val="single"/>
              </w:rPr>
              <w:t>1266.319</w:t>
            </w:r>
          </w:p>
        </w:tc>
        <w:tc>
          <w:tcPr>
            <w:tcW w:w="556" w:type="pct"/>
            <w:tcBorders>
              <w:top w:val="single" w:sz="6" w:space="0" w:color="auto"/>
              <w:left w:val="single" w:sz="6" w:space="0" w:color="auto"/>
              <w:bottom w:val="single" w:sz="6" w:space="0" w:color="auto"/>
              <w:right w:val="single" w:sz="4" w:space="0" w:color="auto"/>
            </w:tcBorders>
            <w:vAlign w:val="center"/>
          </w:tcPr>
          <w:p w:rsidR="00644456" w:rsidRDefault="008031C4">
            <w:pPr>
              <w:tabs>
                <w:tab w:val="left" w:pos="6555"/>
              </w:tabs>
              <w:adjustRightInd w:val="0"/>
              <w:snapToGrid w:val="0"/>
              <w:jc w:val="center"/>
              <w:rPr>
                <w:color w:val="000000" w:themeColor="text1"/>
                <w:szCs w:val="21"/>
                <w:u w:val="single"/>
              </w:rPr>
            </w:pPr>
            <w:r>
              <w:rPr>
                <w:rFonts w:hint="eastAsia"/>
                <w:color w:val="000000" w:themeColor="text1"/>
                <w:szCs w:val="21"/>
                <w:u w:val="single"/>
              </w:rPr>
              <w:t>1</w:t>
            </w:r>
            <w:r>
              <w:rPr>
                <w:color w:val="000000" w:themeColor="text1"/>
                <w:szCs w:val="21"/>
                <w:u w:val="single"/>
              </w:rPr>
              <w:t>10</w:t>
            </w:r>
          </w:p>
        </w:tc>
        <w:tc>
          <w:tcPr>
            <w:tcW w:w="714" w:type="pct"/>
            <w:tcBorders>
              <w:top w:val="single" w:sz="6" w:space="0" w:color="auto"/>
              <w:left w:val="single" w:sz="6" w:space="0" w:color="auto"/>
              <w:bottom w:val="single" w:sz="6" w:space="0" w:color="auto"/>
              <w:right w:val="nil"/>
            </w:tcBorders>
            <w:vAlign w:val="center"/>
          </w:tcPr>
          <w:p w:rsidR="00644456" w:rsidRDefault="008031C4">
            <w:pPr>
              <w:tabs>
                <w:tab w:val="left" w:pos="6555"/>
              </w:tabs>
              <w:adjustRightInd w:val="0"/>
              <w:snapToGrid w:val="0"/>
              <w:jc w:val="center"/>
              <w:rPr>
                <w:color w:val="000000" w:themeColor="text1"/>
                <w:szCs w:val="21"/>
                <w:u w:val="single"/>
              </w:rPr>
            </w:pPr>
            <w:r>
              <w:rPr>
                <w:rFonts w:hint="eastAsia"/>
                <w:color w:val="000000" w:themeColor="text1"/>
                <w:szCs w:val="21"/>
                <w:u w:val="single"/>
              </w:rPr>
              <w:t>4</w:t>
            </w:r>
            <w:r>
              <w:rPr>
                <w:color w:val="000000" w:themeColor="text1"/>
                <w:szCs w:val="21"/>
                <w:u w:val="single"/>
              </w:rPr>
              <w:t>5</w:t>
            </w:r>
          </w:p>
        </w:tc>
      </w:tr>
      <w:tr w:rsidR="00644456">
        <w:tc>
          <w:tcPr>
            <w:tcW w:w="658" w:type="pct"/>
            <w:tcBorders>
              <w:top w:val="single" w:sz="6" w:space="0" w:color="auto"/>
              <w:left w:val="nil"/>
              <w:bottom w:val="single" w:sz="6" w:space="0" w:color="auto"/>
              <w:right w:val="single" w:sz="6" w:space="0" w:color="auto"/>
            </w:tcBorders>
            <w:vAlign w:val="center"/>
          </w:tcPr>
          <w:p w:rsidR="00644456" w:rsidRDefault="008031C4">
            <w:pPr>
              <w:adjustRightInd w:val="0"/>
              <w:snapToGrid w:val="0"/>
              <w:jc w:val="center"/>
              <w:rPr>
                <w:color w:val="000000" w:themeColor="text1"/>
                <w:szCs w:val="21"/>
                <w:u w:val="single"/>
              </w:rPr>
            </w:pPr>
            <w:r>
              <w:rPr>
                <w:color w:val="000000" w:themeColor="text1"/>
                <w:szCs w:val="21"/>
                <w:u w:val="single"/>
              </w:rPr>
              <w:t>3#</w:t>
            </w:r>
          </w:p>
        </w:tc>
        <w:tc>
          <w:tcPr>
            <w:tcW w:w="2358" w:type="pct"/>
            <w:tcBorders>
              <w:top w:val="single" w:sz="6" w:space="0" w:color="auto"/>
              <w:left w:val="single" w:sz="6" w:space="0" w:color="auto"/>
              <w:bottom w:val="single" w:sz="6" w:space="0" w:color="auto"/>
              <w:right w:val="single" w:sz="4" w:space="0" w:color="auto"/>
            </w:tcBorders>
            <w:vAlign w:val="center"/>
          </w:tcPr>
          <w:p w:rsidR="00644456" w:rsidRDefault="008031C4">
            <w:pPr>
              <w:adjustRightInd w:val="0"/>
              <w:snapToGrid w:val="0"/>
              <w:jc w:val="center"/>
              <w:rPr>
                <w:color w:val="000000" w:themeColor="text1"/>
                <w:szCs w:val="21"/>
                <w:u w:val="single"/>
              </w:rPr>
            </w:pPr>
            <w:r>
              <w:rPr>
                <w:rFonts w:cs="Times New Roman" w:hint="eastAsia"/>
                <w:color w:val="000000"/>
                <w:kern w:val="0"/>
                <w:szCs w:val="21"/>
              </w:rPr>
              <w:t>E</w:t>
            </w:r>
            <w:r>
              <w:rPr>
                <w:rFonts w:cs="Times New Roman" w:hint="eastAsia"/>
                <w:color w:val="000000"/>
                <w:kern w:val="0"/>
                <w:szCs w:val="21"/>
              </w:rPr>
              <w:t>：</w:t>
            </w:r>
            <w:r>
              <w:rPr>
                <w:rFonts w:cs="Times New Roman" w:hint="eastAsia"/>
                <w:color w:val="000000"/>
                <w:kern w:val="0"/>
                <w:szCs w:val="21"/>
              </w:rPr>
              <w:t>76</w:t>
            </w:r>
            <w:r>
              <w:rPr>
                <w:rFonts w:cs="Times New Roman" w:hint="eastAsia"/>
                <w:color w:val="000000"/>
                <w:kern w:val="0"/>
                <w:szCs w:val="21"/>
              </w:rPr>
              <w:t>°</w:t>
            </w:r>
            <w:r>
              <w:rPr>
                <w:rFonts w:cs="Times New Roman" w:hint="eastAsia"/>
                <w:color w:val="000000"/>
                <w:kern w:val="0"/>
                <w:szCs w:val="21"/>
              </w:rPr>
              <w:t>09</w:t>
            </w:r>
            <w:r>
              <w:rPr>
                <w:rFonts w:cs="Times New Roman" w:hint="eastAsia"/>
                <w:color w:val="000000"/>
                <w:kern w:val="0"/>
                <w:szCs w:val="21"/>
              </w:rPr>
              <w:t>′</w:t>
            </w:r>
            <w:r>
              <w:rPr>
                <w:rFonts w:cs="Times New Roman" w:hint="eastAsia"/>
                <w:color w:val="000000"/>
                <w:kern w:val="0"/>
                <w:szCs w:val="21"/>
              </w:rPr>
              <w:t>47.99</w:t>
            </w:r>
            <w:r>
              <w:rPr>
                <w:rFonts w:cs="Times New Roman" w:hint="eastAsia"/>
                <w:color w:val="000000"/>
                <w:kern w:val="0"/>
                <w:szCs w:val="21"/>
              </w:rPr>
              <w:t>″；</w:t>
            </w:r>
            <w:r>
              <w:rPr>
                <w:rFonts w:cs="Times New Roman" w:hint="eastAsia"/>
                <w:color w:val="000000"/>
                <w:kern w:val="0"/>
                <w:szCs w:val="21"/>
              </w:rPr>
              <w:t>N</w:t>
            </w:r>
            <w:r>
              <w:rPr>
                <w:rFonts w:cs="Times New Roman" w:hint="eastAsia"/>
                <w:color w:val="000000"/>
                <w:kern w:val="0"/>
                <w:szCs w:val="21"/>
              </w:rPr>
              <w:t>：</w:t>
            </w:r>
            <w:r>
              <w:rPr>
                <w:rFonts w:cs="Times New Roman" w:hint="eastAsia"/>
                <w:color w:val="000000"/>
                <w:kern w:val="0"/>
                <w:szCs w:val="21"/>
              </w:rPr>
              <w:t>39</w:t>
            </w:r>
            <w:r>
              <w:rPr>
                <w:rFonts w:cs="Times New Roman" w:hint="eastAsia"/>
                <w:color w:val="000000"/>
                <w:kern w:val="0"/>
                <w:szCs w:val="21"/>
              </w:rPr>
              <w:t>°</w:t>
            </w:r>
            <w:r>
              <w:rPr>
                <w:rFonts w:cs="Times New Roman" w:hint="eastAsia"/>
                <w:color w:val="000000"/>
                <w:kern w:val="0"/>
                <w:szCs w:val="21"/>
              </w:rPr>
              <w:t>03</w:t>
            </w:r>
            <w:r>
              <w:rPr>
                <w:rFonts w:cs="Times New Roman" w:hint="eastAsia"/>
                <w:color w:val="000000"/>
                <w:kern w:val="0"/>
                <w:szCs w:val="21"/>
              </w:rPr>
              <w:t>′</w:t>
            </w:r>
            <w:r>
              <w:rPr>
                <w:rFonts w:cs="Times New Roman" w:hint="eastAsia"/>
                <w:color w:val="000000"/>
                <w:kern w:val="0"/>
                <w:szCs w:val="21"/>
              </w:rPr>
              <w:t>50.81</w:t>
            </w:r>
            <w:r>
              <w:rPr>
                <w:rFonts w:cs="Times New Roman" w:hint="eastAsia"/>
                <w:color w:val="000000"/>
                <w:kern w:val="0"/>
                <w:szCs w:val="21"/>
              </w:rPr>
              <w:t>″</w:t>
            </w:r>
          </w:p>
        </w:tc>
        <w:tc>
          <w:tcPr>
            <w:tcW w:w="714" w:type="pct"/>
            <w:tcBorders>
              <w:top w:val="single" w:sz="6" w:space="0" w:color="auto"/>
              <w:left w:val="single" w:sz="6" w:space="0" w:color="auto"/>
              <w:bottom w:val="single" w:sz="6" w:space="0" w:color="auto"/>
              <w:right w:val="single" w:sz="4" w:space="0" w:color="auto"/>
            </w:tcBorders>
            <w:vAlign w:val="center"/>
          </w:tcPr>
          <w:p w:rsidR="00644456" w:rsidRDefault="008031C4">
            <w:pPr>
              <w:tabs>
                <w:tab w:val="left" w:pos="6555"/>
              </w:tabs>
              <w:adjustRightInd w:val="0"/>
              <w:snapToGrid w:val="0"/>
              <w:jc w:val="center"/>
              <w:rPr>
                <w:color w:val="000000" w:themeColor="text1"/>
                <w:szCs w:val="21"/>
                <w:u w:val="single"/>
              </w:rPr>
            </w:pPr>
            <w:r>
              <w:rPr>
                <w:color w:val="000000" w:themeColor="text1"/>
                <w:szCs w:val="21"/>
                <w:u w:val="single"/>
              </w:rPr>
              <w:t>1265.409</w:t>
            </w:r>
          </w:p>
        </w:tc>
        <w:tc>
          <w:tcPr>
            <w:tcW w:w="556" w:type="pct"/>
            <w:tcBorders>
              <w:top w:val="single" w:sz="6" w:space="0" w:color="auto"/>
              <w:left w:val="single" w:sz="6" w:space="0" w:color="auto"/>
              <w:bottom w:val="single" w:sz="6" w:space="0" w:color="auto"/>
              <w:right w:val="single" w:sz="4" w:space="0" w:color="auto"/>
            </w:tcBorders>
            <w:vAlign w:val="center"/>
          </w:tcPr>
          <w:p w:rsidR="00644456" w:rsidRDefault="008031C4">
            <w:pPr>
              <w:tabs>
                <w:tab w:val="left" w:pos="6555"/>
              </w:tabs>
              <w:adjustRightInd w:val="0"/>
              <w:snapToGrid w:val="0"/>
              <w:jc w:val="center"/>
              <w:rPr>
                <w:color w:val="000000" w:themeColor="text1"/>
                <w:szCs w:val="21"/>
                <w:u w:val="single"/>
              </w:rPr>
            </w:pPr>
            <w:r>
              <w:rPr>
                <w:rFonts w:hint="eastAsia"/>
                <w:color w:val="000000" w:themeColor="text1"/>
                <w:szCs w:val="21"/>
                <w:u w:val="single"/>
              </w:rPr>
              <w:t>9</w:t>
            </w:r>
            <w:r>
              <w:rPr>
                <w:color w:val="000000" w:themeColor="text1"/>
                <w:szCs w:val="21"/>
                <w:u w:val="single"/>
              </w:rPr>
              <w:t>0</w:t>
            </w:r>
          </w:p>
        </w:tc>
        <w:tc>
          <w:tcPr>
            <w:tcW w:w="714" w:type="pct"/>
            <w:tcBorders>
              <w:top w:val="single" w:sz="6" w:space="0" w:color="auto"/>
              <w:left w:val="single" w:sz="6" w:space="0" w:color="auto"/>
              <w:bottom w:val="single" w:sz="6" w:space="0" w:color="auto"/>
              <w:right w:val="nil"/>
            </w:tcBorders>
            <w:vAlign w:val="center"/>
          </w:tcPr>
          <w:p w:rsidR="00644456" w:rsidRDefault="008031C4">
            <w:pPr>
              <w:tabs>
                <w:tab w:val="left" w:pos="6555"/>
              </w:tabs>
              <w:adjustRightInd w:val="0"/>
              <w:snapToGrid w:val="0"/>
              <w:jc w:val="center"/>
              <w:rPr>
                <w:color w:val="000000" w:themeColor="text1"/>
                <w:szCs w:val="21"/>
                <w:u w:val="single"/>
              </w:rPr>
            </w:pPr>
            <w:r>
              <w:rPr>
                <w:rFonts w:hint="eastAsia"/>
                <w:color w:val="000000" w:themeColor="text1"/>
                <w:szCs w:val="21"/>
                <w:u w:val="single"/>
              </w:rPr>
              <w:t>2</w:t>
            </w:r>
            <w:r>
              <w:rPr>
                <w:color w:val="000000" w:themeColor="text1"/>
                <w:szCs w:val="21"/>
                <w:u w:val="single"/>
              </w:rPr>
              <w:t>5</w:t>
            </w:r>
          </w:p>
        </w:tc>
      </w:tr>
      <w:tr w:rsidR="00644456">
        <w:tc>
          <w:tcPr>
            <w:tcW w:w="658" w:type="pct"/>
            <w:tcBorders>
              <w:top w:val="single" w:sz="6" w:space="0" w:color="auto"/>
              <w:left w:val="nil"/>
              <w:bottom w:val="single" w:sz="6" w:space="0" w:color="auto"/>
              <w:right w:val="single" w:sz="6" w:space="0" w:color="auto"/>
            </w:tcBorders>
            <w:vAlign w:val="center"/>
          </w:tcPr>
          <w:p w:rsidR="00644456" w:rsidRDefault="008031C4">
            <w:pPr>
              <w:adjustRightInd w:val="0"/>
              <w:snapToGrid w:val="0"/>
              <w:jc w:val="center"/>
              <w:rPr>
                <w:color w:val="000000" w:themeColor="text1"/>
                <w:szCs w:val="21"/>
                <w:u w:val="single"/>
              </w:rPr>
            </w:pPr>
            <w:r>
              <w:rPr>
                <w:color w:val="000000" w:themeColor="text1"/>
                <w:szCs w:val="21"/>
                <w:u w:val="single"/>
              </w:rPr>
              <w:t>4#</w:t>
            </w:r>
          </w:p>
        </w:tc>
        <w:tc>
          <w:tcPr>
            <w:tcW w:w="2358" w:type="pct"/>
            <w:tcBorders>
              <w:top w:val="single" w:sz="6" w:space="0" w:color="auto"/>
              <w:left w:val="single" w:sz="6" w:space="0" w:color="auto"/>
              <w:bottom w:val="single" w:sz="6" w:space="0" w:color="auto"/>
              <w:right w:val="single" w:sz="4" w:space="0" w:color="auto"/>
            </w:tcBorders>
            <w:vAlign w:val="center"/>
          </w:tcPr>
          <w:p w:rsidR="00644456" w:rsidRDefault="008031C4">
            <w:pPr>
              <w:adjustRightInd w:val="0"/>
              <w:snapToGrid w:val="0"/>
              <w:jc w:val="center"/>
              <w:rPr>
                <w:color w:val="000000" w:themeColor="text1"/>
                <w:szCs w:val="21"/>
                <w:u w:val="single"/>
              </w:rPr>
            </w:pPr>
            <w:r>
              <w:rPr>
                <w:rFonts w:cs="Times New Roman" w:hint="eastAsia"/>
                <w:color w:val="000000"/>
                <w:kern w:val="0"/>
                <w:szCs w:val="21"/>
              </w:rPr>
              <w:t>E</w:t>
            </w:r>
            <w:r>
              <w:rPr>
                <w:rFonts w:cs="Times New Roman" w:hint="eastAsia"/>
                <w:color w:val="000000"/>
                <w:kern w:val="0"/>
                <w:szCs w:val="21"/>
              </w:rPr>
              <w:t>：</w:t>
            </w:r>
            <w:r>
              <w:rPr>
                <w:rFonts w:cs="Times New Roman" w:hint="eastAsia"/>
                <w:color w:val="000000"/>
                <w:kern w:val="0"/>
                <w:szCs w:val="21"/>
              </w:rPr>
              <w:t>76</w:t>
            </w:r>
            <w:r>
              <w:rPr>
                <w:rFonts w:cs="Times New Roman" w:hint="eastAsia"/>
                <w:color w:val="000000"/>
                <w:kern w:val="0"/>
                <w:szCs w:val="21"/>
              </w:rPr>
              <w:t>°</w:t>
            </w:r>
            <w:r>
              <w:rPr>
                <w:rFonts w:cs="Times New Roman" w:hint="eastAsia"/>
                <w:color w:val="000000"/>
                <w:kern w:val="0"/>
                <w:szCs w:val="21"/>
              </w:rPr>
              <w:t>09</w:t>
            </w:r>
            <w:r>
              <w:rPr>
                <w:rFonts w:cs="Times New Roman" w:hint="eastAsia"/>
                <w:color w:val="000000"/>
                <w:kern w:val="0"/>
                <w:szCs w:val="21"/>
              </w:rPr>
              <w:t>′</w:t>
            </w:r>
            <w:r>
              <w:rPr>
                <w:rFonts w:cs="Times New Roman" w:hint="eastAsia"/>
                <w:color w:val="000000"/>
                <w:kern w:val="0"/>
                <w:szCs w:val="21"/>
              </w:rPr>
              <w:t>26.12</w:t>
            </w:r>
            <w:r>
              <w:rPr>
                <w:rFonts w:cs="Times New Roman" w:hint="eastAsia"/>
                <w:color w:val="000000"/>
                <w:kern w:val="0"/>
                <w:szCs w:val="21"/>
              </w:rPr>
              <w:t>″；</w:t>
            </w:r>
            <w:r>
              <w:rPr>
                <w:rFonts w:cs="Times New Roman" w:hint="eastAsia"/>
                <w:color w:val="000000"/>
                <w:kern w:val="0"/>
                <w:szCs w:val="21"/>
              </w:rPr>
              <w:t>N</w:t>
            </w:r>
            <w:r>
              <w:rPr>
                <w:rFonts w:cs="Times New Roman" w:hint="eastAsia"/>
                <w:color w:val="000000"/>
                <w:kern w:val="0"/>
                <w:szCs w:val="21"/>
              </w:rPr>
              <w:t>：</w:t>
            </w:r>
            <w:r>
              <w:rPr>
                <w:rFonts w:cs="Times New Roman" w:hint="eastAsia"/>
                <w:color w:val="000000"/>
                <w:kern w:val="0"/>
                <w:szCs w:val="21"/>
              </w:rPr>
              <w:t>39</w:t>
            </w:r>
            <w:r>
              <w:rPr>
                <w:rFonts w:cs="Times New Roman" w:hint="eastAsia"/>
                <w:color w:val="000000"/>
                <w:kern w:val="0"/>
                <w:szCs w:val="21"/>
              </w:rPr>
              <w:t>°</w:t>
            </w:r>
            <w:r>
              <w:rPr>
                <w:rFonts w:cs="Times New Roman" w:hint="eastAsia"/>
                <w:color w:val="000000"/>
                <w:kern w:val="0"/>
                <w:szCs w:val="21"/>
              </w:rPr>
              <w:t>03</w:t>
            </w:r>
            <w:r>
              <w:rPr>
                <w:rFonts w:cs="Times New Roman" w:hint="eastAsia"/>
                <w:color w:val="000000"/>
                <w:kern w:val="0"/>
                <w:szCs w:val="21"/>
              </w:rPr>
              <w:t>′</w:t>
            </w:r>
            <w:r>
              <w:rPr>
                <w:rFonts w:cs="Times New Roman" w:hint="eastAsia"/>
                <w:color w:val="000000"/>
                <w:kern w:val="0"/>
                <w:szCs w:val="21"/>
              </w:rPr>
              <w:t>10.63</w:t>
            </w:r>
            <w:r>
              <w:rPr>
                <w:rFonts w:cs="Times New Roman" w:hint="eastAsia"/>
                <w:color w:val="000000"/>
                <w:kern w:val="0"/>
                <w:szCs w:val="21"/>
              </w:rPr>
              <w:t>″</w:t>
            </w:r>
          </w:p>
        </w:tc>
        <w:tc>
          <w:tcPr>
            <w:tcW w:w="714" w:type="pct"/>
            <w:tcBorders>
              <w:top w:val="single" w:sz="6" w:space="0" w:color="auto"/>
              <w:left w:val="single" w:sz="6" w:space="0" w:color="auto"/>
              <w:bottom w:val="single" w:sz="6" w:space="0" w:color="auto"/>
              <w:right w:val="single" w:sz="4" w:space="0" w:color="auto"/>
            </w:tcBorders>
            <w:vAlign w:val="center"/>
          </w:tcPr>
          <w:p w:rsidR="00644456" w:rsidRDefault="008031C4">
            <w:pPr>
              <w:tabs>
                <w:tab w:val="left" w:pos="6555"/>
              </w:tabs>
              <w:adjustRightInd w:val="0"/>
              <w:snapToGrid w:val="0"/>
              <w:jc w:val="center"/>
              <w:rPr>
                <w:color w:val="000000" w:themeColor="text1"/>
                <w:szCs w:val="21"/>
                <w:u w:val="single"/>
              </w:rPr>
            </w:pPr>
            <w:r>
              <w:rPr>
                <w:color w:val="000000" w:themeColor="text1"/>
                <w:szCs w:val="21"/>
                <w:u w:val="single"/>
              </w:rPr>
              <w:t>1267.296</w:t>
            </w:r>
          </w:p>
        </w:tc>
        <w:tc>
          <w:tcPr>
            <w:tcW w:w="556" w:type="pct"/>
            <w:tcBorders>
              <w:top w:val="single" w:sz="6" w:space="0" w:color="auto"/>
              <w:left w:val="single" w:sz="6" w:space="0" w:color="auto"/>
              <w:bottom w:val="single" w:sz="6" w:space="0" w:color="auto"/>
              <w:right w:val="single" w:sz="4" w:space="0" w:color="auto"/>
            </w:tcBorders>
            <w:vAlign w:val="center"/>
          </w:tcPr>
          <w:p w:rsidR="00644456" w:rsidRDefault="008031C4">
            <w:pPr>
              <w:tabs>
                <w:tab w:val="left" w:pos="6555"/>
              </w:tabs>
              <w:adjustRightInd w:val="0"/>
              <w:snapToGrid w:val="0"/>
              <w:jc w:val="center"/>
              <w:rPr>
                <w:color w:val="000000" w:themeColor="text1"/>
                <w:szCs w:val="21"/>
                <w:u w:val="single"/>
              </w:rPr>
            </w:pPr>
            <w:r>
              <w:rPr>
                <w:rFonts w:hint="eastAsia"/>
                <w:color w:val="000000" w:themeColor="text1"/>
                <w:szCs w:val="21"/>
                <w:u w:val="single"/>
              </w:rPr>
              <w:t>1</w:t>
            </w:r>
            <w:r>
              <w:rPr>
                <w:color w:val="000000" w:themeColor="text1"/>
                <w:szCs w:val="21"/>
                <w:u w:val="single"/>
              </w:rPr>
              <w:t>10</w:t>
            </w:r>
          </w:p>
        </w:tc>
        <w:tc>
          <w:tcPr>
            <w:tcW w:w="714" w:type="pct"/>
            <w:tcBorders>
              <w:top w:val="single" w:sz="6" w:space="0" w:color="auto"/>
              <w:left w:val="single" w:sz="6" w:space="0" w:color="auto"/>
              <w:bottom w:val="single" w:sz="6" w:space="0" w:color="auto"/>
              <w:right w:val="nil"/>
            </w:tcBorders>
            <w:vAlign w:val="center"/>
          </w:tcPr>
          <w:p w:rsidR="00644456" w:rsidRDefault="008031C4">
            <w:pPr>
              <w:tabs>
                <w:tab w:val="left" w:pos="6555"/>
              </w:tabs>
              <w:adjustRightInd w:val="0"/>
              <w:snapToGrid w:val="0"/>
              <w:jc w:val="center"/>
              <w:rPr>
                <w:color w:val="000000" w:themeColor="text1"/>
                <w:szCs w:val="21"/>
                <w:u w:val="single"/>
              </w:rPr>
            </w:pPr>
            <w:r>
              <w:rPr>
                <w:rFonts w:hint="eastAsia"/>
                <w:color w:val="000000" w:themeColor="text1"/>
                <w:szCs w:val="21"/>
                <w:u w:val="single"/>
              </w:rPr>
              <w:t>4</w:t>
            </w:r>
            <w:r>
              <w:rPr>
                <w:color w:val="000000" w:themeColor="text1"/>
                <w:szCs w:val="21"/>
                <w:u w:val="single"/>
              </w:rPr>
              <w:t>5</w:t>
            </w:r>
          </w:p>
        </w:tc>
      </w:tr>
      <w:tr w:rsidR="00644456">
        <w:tc>
          <w:tcPr>
            <w:tcW w:w="658" w:type="pct"/>
            <w:tcBorders>
              <w:top w:val="single" w:sz="6" w:space="0" w:color="auto"/>
              <w:left w:val="nil"/>
              <w:bottom w:val="single" w:sz="6" w:space="0" w:color="auto"/>
              <w:right w:val="single" w:sz="6" w:space="0" w:color="auto"/>
            </w:tcBorders>
            <w:vAlign w:val="center"/>
          </w:tcPr>
          <w:p w:rsidR="00644456" w:rsidRDefault="008031C4">
            <w:pPr>
              <w:adjustRightInd w:val="0"/>
              <w:snapToGrid w:val="0"/>
              <w:jc w:val="center"/>
              <w:rPr>
                <w:color w:val="000000" w:themeColor="text1"/>
                <w:szCs w:val="21"/>
                <w:u w:val="single"/>
              </w:rPr>
            </w:pPr>
            <w:r>
              <w:rPr>
                <w:color w:val="000000" w:themeColor="text1"/>
                <w:szCs w:val="21"/>
                <w:u w:val="single"/>
              </w:rPr>
              <w:t>5#</w:t>
            </w:r>
          </w:p>
        </w:tc>
        <w:tc>
          <w:tcPr>
            <w:tcW w:w="2358" w:type="pct"/>
            <w:tcBorders>
              <w:top w:val="single" w:sz="6" w:space="0" w:color="auto"/>
              <w:left w:val="single" w:sz="6" w:space="0" w:color="auto"/>
              <w:bottom w:val="single" w:sz="6" w:space="0" w:color="auto"/>
              <w:right w:val="single" w:sz="4" w:space="0" w:color="auto"/>
            </w:tcBorders>
            <w:vAlign w:val="center"/>
          </w:tcPr>
          <w:p w:rsidR="00644456" w:rsidRDefault="008031C4">
            <w:pPr>
              <w:adjustRightInd w:val="0"/>
              <w:snapToGrid w:val="0"/>
              <w:jc w:val="center"/>
              <w:rPr>
                <w:color w:val="000000" w:themeColor="text1"/>
                <w:szCs w:val="21"/>
                <w:u w:val="single"/>
              </w:rPr>
            </w:pPr>
            <w:r>
              <w:rPr>
                <w:rFonts w:cs="Times New Roman" w:hint="eastAsia"/>
                <w:color w:val="000000"/>
                <w:kern w:val="0"/>
                <w:szCs w:val="21"/>
              </w:rPr>
              <w:t>E</w:t>
            </w:r>
            <w:r>
              <w:rPr>
                <w:rFonts w:cs="Times New Roman" w:hint="eastAsia"/>
                <w:color w:val="000000"/>
                <w:kern w:val="0"/>
                <w:szCs w:val="21"/>
              </w:rPr>
              <w:t>：</w:t>
            </w:r>
            <w:r>
              <w:rPr>
                <w:rFonts w:cs="Times New Roman" w:hint="eastAsia"/>
                <w:color w:val="000000"/>
                <w:kern w:val="0"/>
                <w:szCs w:val="21"/>
              </w:rPr>
              <w:t>76</w:t>
            </w:r>
            <w:r>
              <w:rPr>
                <w:rFonts w:cs="Times New Roman" w:hint="eastAsia"/>
                <w:color w:val="000000"/>
                <w:kern w:val="0"/>
                <w:szCs w:val="21"/>
              </w:rPr>
              <w:t>°</w:t>
            </w:r>
            <w:r>
              <w:rPr>
                <w:rFonts w:cs="Times New Roman" w:hint="eastAsia"/>
                <w:color w:val="000000"/>
                <w:kern w:val="0"/>
                <w:szCs w:val="21"/>
              </w:rPr>
              <w:t>10</w:t>
            </w:r>
            <w:r>
              <w:rPr>
                <w:rFonts w:cs="Times New Roman" w:hint="eastAsia"/>
                <w:color w:val="000000"/>
                <w:kern w:val="0"/>
                <w:szCs w:val="21"/>
              </w:rPr>
              <w:t>′</w:t>
            </w:r>
            <w:r>
              <w:rPr>
                <w:rFonts w:cs="Times New Roman" w:hint="eastAsia"/>
                <w:color w:val="000000"/>
                <w:kern w:val="0"/>
                <w:szCs w:val="21"/>
              </w:rPr>
              <w:t>16.47</w:t>
            </w:r>
            <w:r>
              <w:rPr>
                <w:rFonts w:cs="Times New Roman" w:hint="eastAsia"/>
                <w:color w:val="000000"/>
                <w:kern w:val="0"/>
                <w:szCs w:val="21"/>
              </w:rPr>
              <w:t>″；</w:t>
            </w:r>
            <w:r>
              <w:rPr>
                <w:rFonts w:cs="Times New Roman" w:hint="eastAsia"/>
                <w:color w:val="000000"/>
                <w:kern w:val="0"/>
                <w:szCs w:val="21"/>
              </w:rPr>
              <w:t>N</w:t>
            </w:r>
            <w:r>
              <w:rPr>
                <w:rFonts w:cs="Times New Roman" w:hint="eastAsia"/>
                <w:color w:val="000000"/>
                <w:kern w:val="0"/>
                <w:szCs w:val="21"/>
              </w:rPr>
              <w:t>：</w:t>
            </w:r>
            <w:r>
              <w:rPr>
                <w:rFonts w:cs="Times New Roman" w:hint="eastAsia"/>
                <w:color w:val="000000"/>
                <w:kern w:val="0"/>
                <w:szCs w:val="21"/>
              </w:rPr>
              <w:t>39</w:t>
            </w:r>
            <w:r>
              <w:rPr>
                <w:rFonts w:cs="Times New Roman" w:hint="eastAsia"/>
                <w:color w:val="000000"/>
                <w:kern w:val="0"/>
                <w:szCs w:val="21"/>
              </w:rPr>
              <w:t>°</w:t>
            </w:r>
            <w:r>
              <w:rPr>
                <w:rFonts w:cs="Times New Roman" w:hint="eastAsia"/>
                <w:color w:val="000000"/>
                <w:kern w:val="0"/>
                <w:szCs w:val="21"/>
              </w:rPr>
              <w:t>04</w:t>
            </w:r>
            <w:r>
              <w:rPr>
                <w:rFonts w:cs="Times New Roman" w:hint="eastAsia"/>
                <w:color w:val="000000"/>
                <w:kern w:val="0"/>
                <w:szCs w:val="21"/>
              </w:rPr>
              <w:t>′</w:t>
            </w:r>
            <w:r>
              <w:rPr>
                <w:rFonts w:cs="Times New Roman" w:hint="eastAsia"/>
                <w:color w:val="000000"/>
                <w:kern w:val="0"/>
                <w:szCs w:val="21"/>
              </w:rPr>
              <w:t>14.42</w:t>
            </w:r>
            <w:r>
              <w:rPr>
                <w:rFonts w:cs="Times New Roman" w:hint="eastAsia"/>
                <w:color w:val="000000"/>
                <w:kern w:val="0"/>
                <w:szCs w:val="21"/>
              </w:rPr>
              <w:t>″</w:t>
            </w:r>
          </w:p>
        </w:tc>
        <w:tc>
          <w:tcPr>
            <w:tcW w:w="714" w:type="pct"/>
            <w:tcBorders>
              <w:top w:val="single" w:sz="6" w:space="0" w:color="auto"/>
              <w:left w:val="single" w:sz="6" w:space="0" w:color="auto"/>
              <w:bottom w:val="single" w:sz="6" w:space="0" w:color="auto"/>
              <w:right w:val="single" w:sz="4" w:space="0" w:color="auto"/>
            </w:tcBorders>
            <w:vAlign w:val="center"/>
          </w:tcPr>
          <w:p w:rsidR="00644456" w:rsidRDefault="008031C4">
            <w:pPr>
              <w:tabs>
                <w:tab w:val="left" w:pos="6555"/>
              </w:tabs>
              <w:adjustRightInd w:val="0"/>
              <w:snapToGrid w:val="0"/>
              <w:jc w:val="center"/>
              <w:rPr>
                <w:color w:val="000000" w:themeColor="text1"/>
                <w:szCs w:val="21"/>
                <w:u w:val="single"/>
              </w:rPr>
            </w:pPr>
            <w:r>
              <w:rPr>
                <w:color w:val="000000" w:themeColor="text1"/>
                <w:szCs w:val="21"/>
                <w:u w:val="single"/>
              </w:rPr>
              <w:t>1263.122</w:t>
            </w:r>
          </w:p>
        </w:tc>
        <w:tc>
          <w:tcPr>
            <w:tcW w:w="556" w:type="pct"/>
            <w:tcBorders>
              <w:top w:val="single" w:sz="6" w:space="0" w:color="auto"/>
              <w:left w:val="single" w:sz="6" w:space="0" w:color="auto"/>
              <w:bottom w:val="single" w:sz="6" w:space="0" w:color="auto"/>
              <w:right w:val="single" w:sz="4" w:space="0" w:color="auto"/>
            </w:tcBorders>
            <w:vAlign w:val="center"/>
          </w:tcPr>
          <w:p w:rsidR="00644456" w:rsidRDefault="008031C4">
            <w:pPr>
              <w:tabs>
                <w:tab w:val="left" w:pos="6555"/>
              </w:tabs>
              <w:adjustRightInd w:val="0"/>
              <w:snapToGrid w:val="0"/>
              <w:jc w:val="center"/>
              <w:rPr>
                <w:color w:val="000000" w:themeColor="text1"/>
                <w:szCs w:val="21"/>
                <w:u w:val="single"/>
              </w:rPr>
            </w:pPr>
            <w:r>
              <w:rPr>
                <w:rFonts w:hint="eastAsia"/>
                <w:color w:val="000000" w:themeColor="text1"/>
                <w:szCs w:val="21"/>
                <w:u w:val="single"/>
              </w:rPr>
              <w:t>1</w:t>
            </w:r>
            <w:r>
              <w:rPr>
                <w:color w:val="000000" w:themeColor="text1"/>
                <w:szCs w:val="21"/>
                <w:u w:val="single"/>
              </w:rPr>
              <w:t>10</w:t>
            </w:r>
          </w:p>
        </w:tc>
        <w:tc>
          <w:tcPr>
            <w:tcW w:w="714" w:type="pct"/>
            <w:tcBorders>
              <w:top w:val="single" w:sz="6" w:space="0" w:color="auto"/>
              <w:left w:val="single" w:sz="6" w:space="0" w:color="auto"/>
              <w:bottom w:val="single" w:sz="6" w:space="0" w:color="auto"/>
              <w:right w:val="nil"/>
            </w:tcBorders>
            <w:vAlign w:val="center"/>
          </w:tcPr>
          <w:p w:rsidR="00644456" w:rsidRDefault="008031C4">
            <w:pPr>
              <w:tabs>
                <w:tab w:val="left" w:pos="6555"/>
              </w:tabs>
              <w:adjustRightInd w:val="0"/>
              <w:snapToGrid w:val="0"/>
              <w:jc w:val="center"/>
              <w:rPr>
                <w:color w:val="000000" w:themeColor="text1"/>
                <w:szCs w:val="21"/>
                <w:u w:val="single"/>
              </w:rPr>
            </w:pPr>
            <w:r>
              <w:rPr>
                <w:rFonts w:hint="eastAsia"/>
                <w:color w:val="000000" w:themeColor="text1"/>
                <w:szCs w:val="21"/>
                <w:u w:val="single"/>
              </w:rPr>
              <w:t>4</w:t>
            </w:r>
            <w:r>
              <w:rPr>
                <w:color w:val="000000" w:themeColor="text1"/>
                <w:szCs w:val="21"/>
                <w:u w:val="single"/>
              </w:rPr>
              <w:t>5</w:t>
            </w:r>
          </w:p>
        </w:tc>
      </w:tr>
      <w:tr w:rsidR="00644456">
        <w:tc>
          <w:tcPr>
            <w:tcW w:w="658" w:type="pct"/>
            <w:tcBorders>
              <w:top w:val="single" w:sz="6" w:space="0" w:color="auto"/>
              <w:left w:val="nil"/>
              <w:bottom w:val="single" w:sz="6" w:space="0" w:color="auto"/>
              <w:right w:val="single" w:sz="6" w:space="0" w:color="auto"/>
            </w:tcBorders>
            <w:vAlign w:val="center"/>
          </w:tcPr>
          <w:p w:rsidR="00644456" w:rsidRDefault="008031C4">
            <w:pPr>
              <w:adjustRightInd w:val="0"/>
              <w:snapToGrid w:val="0"/>
              <w:jc w:val="center"/>
              <w:rPr>
                <w:color w:val="000000" w:themeColor="text1"/>
                <w:szCs w:val="21"/>
                <w:u w:val="single"/>
              </w:rPr>
            </w:pPr>
            <w:r>
              <w:rPr>
                <w:color w:val="000000" w:themeColor="text1"/>
                <w:szCs w:val="21"/>
                <w:u w:val="single"/>
              </w:rPr>
              <w:t>6#</w:t>
            </w:r>
          </w:p>
        </w:tc>
        <w:tc>
          <w:tcPr>
            <w:tcW w:w="2358" w:type="pct"/>
            <w:tcBorders>
              <w:top w:val="single" w:sz="6" w:space="0" w:color="auto"/>
              <w:left w:val="single" w:sz="6" w:space="0" w:color="auto"/>
              <w:bottom w:val="single" w:sz="6" w:space="0" w:color="auto"/>
              <w:right w:val="single" w:sz="4" w:space="0" w:color="auto"/>
            </w:tcBorders>
            <w:vAlign w:val="center"/>
          </w:tcPr>
          <w:p w:rsidR="00644456" w:rsidRDefault="008031C4">
            <w:pPr>
              <w:adjustRightInd w:val="0"/>
              <w:snapToGrid w:val="0"/>
              <w:jc w:val="center"/>
              <w:rPr>
                <w:color w:val="000000" w:themeColor="text1"/>
                <w:szCs w:val="21"/>
                <w:u w:val="single"/>
              </w:rPr>
            </w:pPr>
            <w:r>
              <w:rPr>
                <w:rFonts w:cs="Times New Roman" w:hint="eastAsia"/>
                <w:color w:val="000000"/>
                <w:kern w:val="0"/>
                <w:szCs w:val="21"/>
              </w:rPr>
              <w:t>E</w:t>
            </w:r>
            <w:r>
              <w:rPr>
                <w:rFonts w:cs="Times New Roman" w:hint="eastAsia"/>
                <w:color w:val="000000"/>
                <w:kern w:val="0"/>
                <w:szCs w:val="21"/>
              </w:rPr>
              <w:t>：</w:t>
            </w:r>
            <w:r>
              <w:rPr>
                <w:rFonts w:cs="Times New Roman" w:hint="eastAsia"/>
                <w:color w:val="000000"/>
                <w:kern w:val="0"/>
                <w:szCs w:val="21"/>
              </w:rPr>
              <w:t>76</w:t>
            </w:r>
            <w:r>
              <w:rPr>
                <w:rFonts w:cs="Times New Roman" w:hint="eastAsia"/>
                <w:color w:val="000000"/>
                <w:kern w:val="0"/>
                <w:szCs w:val="21"/>
              </w:rPr>
              <w:t>°</w:t>
            </w:r>
            <w:r>
              <w:rPr>
                <w:rFonts w:cs="Times New Roman" w:hint="eastAsia"/>
                <w:color w:val="000000"/>
                <w:kern w:val="0"/>
                <w:szCs w:val="21"/>
              </w:rPr>
              <w:t>10</w:t>
            </w:r>
            <w:r>
              <w:rPr>
                <w:rFonts w:cs="Times New Roman" w:hint="eastAsia"/>
                <w:color w:val="000000"/>
                <w:kern w:val="0"/>
                <w:szCs w:val="21"/>
              </w:rPr>
              <w:t>′</w:t>
            </w:r>
            <w:r>
              <w:rPr>
                <w:rFonts w:cs="Times New Roman" w:hint="eastAsia"/>
                <w:color w:val="000000"/>
                <w:kern w:val="0"/>
                <w:szCs w:val="21"/>
              </w:rPr>
              <w:t>00.70</w:t>
            </w:r>
            <w:r>
              <w:rPr>
                <w:rFonts w:cs="Times New Roman" w:hint="eastAsia"/>
                <w:color w:val="000000"/>
                <w:kern w:val="0"/>
                <w:szCs w:val="21"/>
              </w:rPr>
              <w:t>″；</w:t>
            </w:r>
            <w:r>
              <w:rPr>
                <w:rFonts w:cs="Times New Roman" w:hint="eastAsia"/>
                <w:color w:val="000000"/>
                <w:kern w:val="0"/>
                <w:szCs w:val="21"/>
              </w:rPr>
              <w:t>N</w:t>
            </w:r>
            <w:r>
              <w:rPr>
                <w:rFonts w:cs="Times New Roman" w:hint="eastAsia"/>
                <w:color w:val="000000"/>
                <w:kern w:val="0"/>
                <w:szCs w:val="21"/>
              </w:rPr>
              <w:t>：</w:t>
            </w:r>
            <w:r>
              <w:rPr>
                <w:rFonts w:cs="Times New Roman" w:hint="eastAsia"/>
                <w:color w:val="000000"/>
                <w:kern w:val="0"/>
                <w:szCs w:val="21"/>
              </w:rPr>
              <w:t>39</w:t>
            </w:r>
            <w:r>
              <w:rPr>
                <w:rFonts w:cs="Times New Roman" w:hint="eastAsia"/>
                <w:color w:val="000000"/>
                <w:kern w:val="0"/>
                <w:szCs w:val="21"/>
              </w:rPr>
              <w:t>°</w:t>
            </w:r>
            <w:r>
              <w:rPr>
                <w:rFonts w:cs="Times New Roman" w:hint="eastAsia"/>
                <w:color w:val="000000"/>
                <w:kern w:val="0"/>
                <w:szCs w:val="21"/>
              </w:rPr>
              <w:t>02</w:t>
            </w:r>
            <w:r>
              <w:rPr>
                <w:rFonts w:cs="Times New Roman" w:hint="eastAsia"/>
                <w:color w:val="000000"/>
                <w:kern w:val="0"/>
                <w:szCs w:val="21"/>
              </w:rPr>
              <w:t>′</w:t>
            </w:r>
            <w:r>
              <w:rPr>
                <w:rFonts w:cs="Times New Roman" w:hint="eastAsia"/>
                <w:color w:val="000000"/>
                <w:kern w:val="0"/>
                <w:szCs w:val="21"/>
              </w:rPr>
              <w:t>30.84</w:t>
            </w:r>
            <w:r>
              <w:rPr>
                <w:rFonts w:cs="Times New Roman" w:hint="eastAsia"/>
                <w:color w:val="000000"/>
                <w:kern w:val="0"/>
                <w:szCs w:val="21"/>
              </w:rPr>
              <w:t>″</w:t>
            </w:r>
          </w:p>
        </w:tc>
        <w:tc>
          <w:tcPr>
            <w:tcW w:w="714" w:type="pct"/>
            <w:tcBorders>
              <w:top w:val="single" w:sz="6" w:space="0" w:color="auto"/>
              <w:left w:val="single" w:sz="6" w:space="0" w:color="auto"/>
              <w:bottom w:val="single" w:sz="6" w:space="0" w:color="auto"/>
              <w:right w:val="single" w:sz="4" w:space="0" w:color="auto"/>
            </w:tcBorders>
            <w:vAlign w:val="center"/>
          </w:tcPr>
          <w:p w:rsidR="00644456" w:rsidRDefault="008031C4">
            <w:pPr>
              <w:tabs>
                <w:tab w:val="left" w:pos="6555"/>
              </w:tabs>
              <w:adjustRightInd w:val="0"/>
              <w:snapToGrid w:val="0"/>
              <w:jc w:val="center"/>
              <w:rPr>
                <w:color w:val="000000" w:themeColor="text1"/>
                <w:szCs w:val="21"/>
                <w:u w:val="single"/>
              </w:rPr>
            </w:pPr>
            <w:r>
              <w:rPr>
                <w:color w:val="000000" w:themeColor="text1"/>
                <w:szCs w:val="21"/>
                <w:u w:val="single"/>
              </w:rPr>
              <w:t>1267.499</w:t>
            </w:r>
          </w:p>
        </w:tc>
        <w:tc>
          <w:tcPr>
            <w:tcW w:w="556" w:type="pct"/>
            <w:tcBorders>
              <w:top w:val="single" w:sz="6" w:space="0" w:color="auto"/>
              <w:left w:val="single" w:sz="6" w:space="0" w:color="auto"/>
              <w:bottom w:val="single" w:sz="6" w:space="0" w:color="auto"/>
              <w:right w:val="single" w:sz="4" w:space="0" w:color="auto"/>
            </w:tcBorders>
            <w:vAlign w:val="center"/>
          </w:tcPr>
          <w:p w:rsidR="00644456" w:rsidRDefault="008031C4">
            <w:pPr>
              <w:tabs>
                <w:tab w:val="left" w:pos="6555"/>
              </w:tabs>
              <w:adjustRightInd w:val="0"/>
              <w:snapToGrid w:val="0"/>
              <w:jc w:val="center"/>
              <w:rPr>
                <w:color w:val="000000" w:themeColor="text1"/>
                <w:szCs w:val="21"/>
                <w:u w:val="single"/>
              </w:rPr>
            </w:pPr>
            <w:r>
              <w:rPr>
                <w:rFonts w:hint="eastAsia"/>
                <w:color w:val="000000" w:themeColor="text1"/>
                <w:szCs w:val="21"/>
                <w:u w:val="single"/>
              </w:rPr>
              <w:t>1</w:t>
            </w:r>
            <w:r>
              <w:rPr>
                <w:color w:val="000000" w:themeColor="text1"/>
                <w:szCs w:val="21"/>
                <w:u w:val="single"/>
              </w:rPr>
              <w:t>00</w:t>
            </w:r>
          </w:p>
        </w:tc>
        <w:tc>
          <w:tcPr>
            <w:tcW w:w="714" w:type="pct"/>
            <w:tcBorders>
              <w:top w:val="single" w:sz="6" w:space="0" w:color="auto"/>
              <w:left w:val="single" w:sz="6" w:space="0" w:color="auto"/>
              <w:bottom w:val="single" w:sz="6" w:space="0" w:color="auto"/>
              <w:right w:val="nil"/>
            </w:tcBorders>
            <w:vAlign w:val="center"/>
          </w:tcPr>
          <w:p w:rsidR="00644456" w:rsidRDefault="008031C4">
            <w:pPr>
              <w:tabs>
                <w:tab w:val="left" w:pos="6555"/>
              </w:tabs>
              <w:adjustRightInd w:val="0"/>
              <w:snapToGrid w:val="0"/>
              <w:jc w:val="center"/>
              <w:rPr>
                <w:color w:val="000000" w:themeColor="text1"/>
                <w:szCs w:val="21"/>
                <w:u w:val="single"/>
              </w:rPr>
            </w:pPr>
            <w:r>
              <w:rPr>
                <w:rFonts w:hint="eastAsia"/>
                <w:color w:val="000000" w:themeColor="text1"/>
                <w:szCs w:val="21"/>
                <w:u w:val="single"/>
              </w:rPr>
              <w:t>3</w:t>
            </w:r>
            <w:r>
              <w:rPr>
                <w:color w:val="000000" w:themeColor="text1"/>
                <w:szCs w:val="21"/>
                <w:u w:val="single"/>
              </w:rPr>
              <w:t>0</w:t>
            </w:r>
          </w:p>
        </w:tc>
      </w:tr>
      <w:tr w:rsidR="00644456">
        <w:tc>
          <w:tcPr>
            <w:tcW w:w="658" w:type="pct"/>
            <w:tcBorders>
              <w:top w:val="single" w:sz="6" w:space="0" w:color="auto"/>
              <w:left w:val="nil"/>
              <w:bottom w:val="single" w:sz="6" w:space="0" w:color="auto"/>
              <w:right w:val="single" w:sz="6" w:space="0" w:color="auto"/>
            </w:tcBorders>
            <w:vAlign w:val="center"/>
          </w:tcPr>
          <w:p w:rsidR="00644456" w:rsidRDefault="008031C4">
            <w:pPr>
              <w:adjustRightInd w:val="0"/>
              <w:snapToGrid w:val="0"/>
              <w:jc w:val="center"/>
              <w:rPr>
                <w:color w:val="000000" w:themeColor="text1"/>
                <w:szCs w:val="21"/>
                <w:u w:val="single"/>
              </w:rPr>
            </w:pPr>
            <w:r>
              <w:rPr>
                <w:color w:val="000000" w:themeColor="text1"/>
                <w:szCs w:val="21"/>
                <w:u w:val="single"/>
              </w:rPr>
              <w:t>7#</w:t>
            </w:r>
          </w:p>
        </w:tc>
        <w:tc>
          <w:tcPr>
            <w:tcW w:w="2358" w:type="pct"/>
            <w:tcBorders>
              <w:top w:val="single" w:sz="6" w:space="0" w:color="auto"/>
              <w:left w:val="single" w:sz="6" w:space="0" w:color="auto"/>
              <w:bottom w:val="single" w:sz="6" w:space="0" w:color="auto"/>
              <w:right w:val="single" w:sz="4" w:space="0" w:color="auto"/>
            </w:tcBorders>
            <w:vAlign w:val="center"/>
          </w:tcPr>
          <w:p w:rsidR="00644456" w:rsidRDefault="008031C4">
            <w:pPr>
              <w:adjustRightInd w:val="0"/>
              <w:snapToGrid w:val="0"/>
              <w:jc w:val="center"/>
              <w:rPr>
                <w:color w:val="000000" w:themeColor="text1"/>
                <w:szCs w:val="21"/>
                <w:u w:val="single"/>
              </w:rPr>
            </w:pPr>
            <w:r>
              <w:rPr>
                <w:rFonts w:cs="Times New Roman" w:hint="eastAsia"/>
                <w:color w:val="000000"/>
                <w:kern w:val="0"/>
                <w:szCs w:val="21"/>
              </w:rPr>
              <w:t>E</w:t>
            </w:r>
            <w:r>
              <w:rPr>
                <w:rFonts w:cs="Times New Roman" w:hint="eastAsia"/>
                <w:color w:val="000000"/>
                <w:kern w:val="0"/>
                <w:szCs w:val="21"/>
              </w:rPr>
              <w:t>：</w:t>
            </w:r>
            <w:r>
              <w:rPr>
                <w:rFonts w:cs="Times New Roman" w:hint="eastAsia"/>
                <w:color w:val="000000"/>
                <w:kern w:val="0"/>
                <w:szCs w:val="21"/>
              </w:rPr>
              <w:t>76</w:t>
            </w:r>
            <w:r>
              <w:rPr>
                <w:rFonts w:cs="Times New Roman" w:hint="eastAsia"/>
                <w:color w:val="000000"/>
                <w:kern w:val="0"/>
                <w:szCs w:val="21"/>
              </w:rPr>
              <w:t>°</w:t>
            </w:r>
            <w:r>
              <w:rPr>
                <w:rFonts w:cs="Times New Roman" w:hint="eastAsia"/>
                <w:color w:val="000000"/>
                <w:kern w:val="0"/>
                <w:szCs w:val="21"/>
              </w:rPr>
              <w:t>10</w:t>
            </w:r>
            <w:r>
              <w:rPr>
                <w:rFonts w:cs="Times New Roman" w:hint="eastAsia"/>
                <w:color w:val="000000"/>
                <w:kern w:val="0"/>
                <w:szCs w:val="21"/>
              </w:rPr>
              <w:t>′</w:t>
            </w:r>
            <w:r>
              <w:rPr>
                <w:rFonts w:cs="Times New Roman" w:hint="eastAsia"/>
                <w:color w:val="000000"/>
                <w:kern w:val="0"/>
                <w:szCs w:val="21"/>
              </w:rPr>
              <w:t>15.34</w:t>
            </w:r>
            <w:r>
              <w:rPr>
                <w:rFonts w:cs="Times New Roman" w:hint="eastAsia"/>
                <w:color w:val="000000"/>
                <w:kern w:val="0"/>
                <w:szCs w:val="21"/>
              </w:rPr>
              <w:t>″；</w:t>
            </w:r>
            <w:r>
              <w:rPr>
                <w:rFonts w:cs="Times New Roman" w:hint="eastAsia"/>
                <w:color w:val="000000"/>
                <w:kern w:val="0"/>
                <w:szCs w:val="21"/>
              </w:rPr>
              <w:t>N</w:t>
            </w:r>
            <w:r>
              <w:rPr>
                <w:rFonts w:cs="Times New Roman" w:hint="eastAsia"/>
                <w:color w:val="000000"/>
                <w:kern w:val="0"/>
                <w:szCs w:val="21"/>
              </w:rPr>
              <w:t>：</w:t>
            </w:r>
            <w:r>
              <w:rPr>
                <w:rFonts w:cs="Times New Roman" w:hint="eastAsia"/>
                <w:color w:val="000000"/>
                <w:kern w:val="0"/>
                <w:szCs w:val="21"/>
              </w:rPr>
              <w:t>39</w:t>
            </w:r>
            <w:r>
              <w:rPr>
                <w:rFonts w:cs="Times New Roman" w:hint="eastAsia"/>
                <w:color w:val="000000"/>
                <w:kern w:val="0"/>
                <w:szCs w:val="21"/>
              </w:rPr>
              <w:t>°</w:t>
            </w:r>
            <w:r>
              <w:rPr>
                <w:rFonts w:cs="Times New Roman" w:hint="eastAsia"/>
                <w:color w:val="000000"/>
                <w:kern w:val="0"/>
                <w:szCs w:val="21"/>
              </w:rPr>
              <w:t>03</w:t>
            </w:r>
            <w:r>
              <w:rPr>
                <w:rFonts w:cs="Times New Roman" w:hint="eastAsia"/>
                <w:color w:val="000000"/>
                <w:kern w:val="0"/>
                <w:szCs w:val="21"/>
              </w:rPr>
              <w:t>′</w:t>
            </w:r>
            <w:r>
              <w:rPr>
                <w:rFonts w:cs="Times New Roman" w:hint="eastAsia"/>
                <w:color w:val="000000"/>
                <w:kern w:val="0"/>
                <w:szCs w:val="21"/>
              </w:rPr>
              <w:t>57.20</w:t>
            </w:r>
            <w:r>
              <w:rPr>
                <w:rFonts w:cs="Times New Roman" w:hint="eastAsia"/>
                <w:color w:val="000000"/>
                <w:kern w:val="0"/>
                <w:szCs w:val="21"/>
              </w:rPr>
              <w:t>″</w:t>
            </w:r>
          </w:p>
        </w:tc>
        <w:tc>
          <w:tcPr>
            <w:tcW w:w="714" w:type="pct"/>
            <w:tcBorders>
              <w:top w:val="single" w:sz="6" w:space="0" w:color="auto"/>
              <w:left w:val="single" w:sz="6" w:space="0" w:color="auto"/>
              <w:bottom w:val="single" w:sz="6" w:space="0" w:color="auto"/>
              <w:right w:val="single" w:sz="4" w:space="0" w:color="auto"/>
            </w:tcBorders>
            <w:vAlign w:val="center"/>
          </w:tcPr>
          <w:p w:rsidR="00644456" w:rsidRDefault="008031C4">
            <w:pPr>
              <w:tabs>
                <w:tab w:val="left" w:pos="6555"/>
              </w:tabs>
              <w:adjustRightInd w:val="0"/>
              <w:snapToGrid w:val="0"/>
              <w:jc w:val="center"/>
              <w:rPr>
                <w:color w:val="000000" w:themeColor="text1"/>
                <w:szCs w:val="21"/>
                <w:u w:val="single"/>
              </w:rPr>
            </w:pPr>
            <w:r>
              <w:rPr>
                <w:color w:val="000000" w:themeColor="text1"/>
                <w:szCs w:val="21"/>
                <w:u w:val="single"/>
              </w:rPr>
              <w:t>1264.035</w:t>
            </w:r>
          </w:p>
        </w:tc>
        <w:tc>
          <w:tcPr>
            <w:tcW w:w="556" w:type="pct"/>
            <w:tcBorders>
              <w:top w:val="single" w:sz="6" w:space="0" w:color="auto"/>
              <w:left w:val="single" w:sz="6" w:space="0" w:color="auto"/>
              <w:bottom w:val="single" w:sz="6" w:space="0" w:color="auto"/>
              <w:right w:val="single" w:sz="4" w:space="0" w:color="auto"/>
            </w:tcBorders>
            <w:vAlign w:val="center"/>
          </w:tcPr>
          <w:p w:rsidR="00644456" w:rsidRDefault="008031C4">
            <w:pPr>
              <w:tabs>
                <w:tab w:val="left" w:pos="6555"/>
              </w:tabs>
              <w:adjustRightInd w:val="0"/>
              <w:snapToGrid w:val="0"/>
              <w:jc w:val="center"/>
              <w:rPr>
                <w:color w:val="000000" w:themeColor="text1"/>
                <w:szCs w:val="21"/>
                <w:u w:val="single"/>
              </w:rPr>
            </w:pPr>
            <w:r>
              <w:rPr>
                <w:rFonts w:hint="eastAsia"/>
                <w:color w:val="000000" w:themeColor="text1"/>
                <w:szCs w:val="21"/>
                <w:u w:val="single"/>
              </w:rPr>
              <w:t>1</w:t>
            </w:r>
            <w:r>
              <w:rPr>
                <w:color w:val="000000" w:themeColor="text1"/>
                <w:szCs w:val="21"/>
                <w:u w:val="single"/>
              </w:rPr>
              <w:t>10</w:t>
            </w:r>
          </w:p>
        </w:tc>
        <w:tc>
          <w:tcPr>
            <w:tcW w:w="714" w:type="pct"/>
            <w:tcBorders>
              <w:top w:val="single" w:sz="6" w:space="0" w:color="auto"/>
              <w:left w:val="single" w:sz="6" w:space="0" w:color="auto"/>
              <w:bottom w:val="single" w:sz="6" w:space="0" w:color="auto"/>
              <w:right w:val="nil"/>
            </w:tcBorders>
            <w:vAlign w:val="center"/>
          </w:tcPr>
          <w:p w:rsidR="00644456" w:rsidRDefault="008031C4">
            <w:pPr>
              <w:tabs>
                <w:tab w:val="left" w:pos="6555"/>
              </w:tabs>
              <w:adjustRightInd w:val="0"/>
              <w:snapToGrid w:val="0"/>
              <w:jc w:val="center"/>
              <w:rPr>
                <w:color w:val="000000" w:themeColor="text1"/>
                <w:szCs w:val="21"/>
                <w:u w:val="single"/>
              </w:rPr>
            </w:pPr>
            <w:r>
              <w:rPr>
                <w:rFonts w:hint="eastAsia"/>
                <w:color w:val="000000" w:themeColor="text1"/>
                <w:szCs w:val="21"/>
                <w:u w:val="single"/>
              </w:rPr>
              <w:t>4</w:t>
            </w:r>
            <w:r>
              <w:rPr>
                <w:color w:val="000000" w:themeColor="text1"/>
                <w:szCs w:val="21"/>
                <w:u w:val="single"/>
              </w:rPr>
              <w:t>0</w:t>
            </w:r>
          </w:p>
        </w:tc>
      </w:tr>
      <w:tr w:rsidR="00644456">
        <w:tc>
          <w:tcPr>
            <w:tcW w:w="658" w:type="pct"/>
            <w:tcBorders>
              <w:top w:val="single" w:sz="6" w:space="0" w:color="auto"/>
              <w:left w:val="nil"/>
              <w:bottom w:val="single" w:sz="6" w:space="0" w:color="auto"/>
              <w:right w:val="single" w:sz="6" w:space="0" w:color="auto"/>
            </w:tcBorders>
            <w:vAlign w:val="center"/>
          </w:tcPr>
          <w:p w:rsidR="00644456" w:rsidRDefault="008031C4">
            <w:pPr>
              <w:adjustRightInd w:val="0"/>
              <w:snapToGrid w:val="0"/>
              <w:jc w:val="center"/>
              <w:rPr>
                <w:color w:val="000000" w:themeColor="text1"/>
                <w:szCs w:val="21"/>
                <w:u w:val="single"/>
              </w:rPr>
            </w:pPr>
            <w:r>
              <w:rPr>
                <w:color w:val="000000" w:themeColor="text1"/>
                <w:szCs w:val="21"/>
                <w:u w:val="single"/>
              </w:rPr>
              <w:t>8#</w:t>
            </w:r>
          </w:p>
        </w:tc>
        <w:tc>
          <w:tcPr>
            <w:tcW w:w="2358" w:type="pct"/>
            <w:tcBorders>
              <w:top w:val="single" w:sz="6" w:space="0" w:color="auto"/>
              <w:left w:val="single" w:sz="6" w:space="0" w:color="auto"/>
              <w:bottom w:val="single" w:sz="6" w:space="0" w:color="auto"/>
              <w:right w:val="single" w:sz="4" w:space="0" w:color="auto"/>
            </w:tcBorders>
            <w:vAlign w:val="center"/>
          </w:tcPr>
          <w:p w:rsidR="00644456" w:rsidRDefault="008031C4">
            <w:pPr>
              <w:adjustRightInd w:val="0"/>
              <w:snapToGrid w:val="0"/>
              <w:jc w:val="center"/>
              <w:rPr>
                <w:color w:val="000000" w:themeColor="text1"/>
                <w:szCs w:val="21"/>
                <w:u w:val="single"/>
              </w:rPr>
            </w:pPr>
            <w:r>
              <w:rPr>
                <w:rFonts w:cs="Times New Roman" w:hint="eastAsia"/>
                <w:color w:val="000000"/>
                <w:kern w:val="0"/>
                <w:szCs w:val="21"/>
              </w:rPr>
              <w:t>E</w:t>
            </w:r>
            <w:r>
              <w:rPr>
                <w:rFonts w:cs="Times New Roman" w:hint="eastAsia"/>
                <w:color w:val="000000"/>
                <w:kern w:val="0"/>
                <w:szCs w:val="21"/>
              </w:rPr>
              <w:t>：</w:t>
            </w:r>
            <w:r>
              <w:rPr>
                <w:rFonts w:cs="Times New Roman" w:hint="eastAsia"/>
                <w:color w:val="000000"/>
                <w:kern w:val="0"/>
                <w:szCs w:val="21"/>
              </w:rPr>
              <w:t>76</w:t>
            </w:r>
            <w:r>
              <w:rPr>
                <w:rFonts w:cs="Times New Roman" w:hint="eastAsia"/>
                <w:color w:val="000000"/>
                <w:kern w:val="0"/>
                <w:szCs w:val="21"/>
              </w:rPr>
              <w:t>°</w:t>
            </w:r>
            <w:r>
              <w:rPr>
                <w:rFonts w:cs="Times New Roman" w:hint="eastAsia"/>
                <w:color w:val="000000"/>
                <w:kern w:val="0"/>
                <w:szCs w:val="21"/>
              </w:rPr>
              <w:t>10</w:t>
            </w:r>
            <w:r>
              <w:rPr>
                <w:rFonts w:cs="Times New Roman" w:hint="eastAsia"/>
                <w:color w:val="000000"/>
                <w:kern w:val="0"/>
                <w:szCs w:val="21"/>
              </w:rPr>
              <w:t>′</w:t>
            </w:r>
            <w:r>
              <w:rPr>
                <w:rFonts w:cs="Times New Roman" w:hint="eastAsia"/>
                <w:color w:val="000000"/>
                <w:kern w:val="0"/>
                <w:szCs w:val="21"/>
              </w:rPr>
              <w:t>29.44</w:t>
            </w:r>
            <w:r>
              <w:rPr>
                <w:rFonts w:cs="Times New Roman" w:hint="eastAsia"/>
                <w:color w:val="000000"/>
                <w:kern w:val="0"/>
                <w:szCs w:val="21"/>
              </w:rPr>
              <w:t>″；</w:t>
            </w:r>
            <w:r>
              <w:rPr>
                <w:rFonts w:cs="Times New Roman" w:hint="eastAsia"/>
                <w:color w:val="000000"/>
                <w:kern w:val="0"/>
                <w:szCs w:val="21"/>
              </w:rPr>
              <w:t>N</w:t>
            </w:r>
            <w:r>
              <w:rPr>
                <w:rFonts w:cs="Times New Roman" w:hint="eastAsia"/>
                <w:color w:val="000000"/>
                <w:kern w:val="0"/>
                <w:szCs w:val="21"/>
              </w:rPr>
              <w:t>：</w:t>
            </w:r>
            <w:r>
              <w:rPr>
                <w:rFonts w:cs="Times New Roman" w:hint="eastAsia"/>
                <w:color w:val="000000"/>
                <w:kern w:val="0"/>
                <w:szCs w:val="21"/>
              </w:rPr>
              <w:t>39</w:t>
            </w:r>
            <w:r>
              <w:rPr>
                <w:rFonts w:cs="Times New Roman" w:hint="eastAsia"/>
                <w:color w:val="000000"/>
                <w:kern w:val="0"/>
                <w:szCs w:val="21"/>
              </w:rPr>
              <w:t>°</w:t>
            </w:r>
            <w:r>
              <w:rPr>
                <w:rFonts w:cs="Times New Roman" w:hint="eastAsia"/>
                <w:color w:val="000000"/>
                <w:kern w:val="0"/>
                <w:szCs w:val="21"/>
              </w:rPr>
              <w:t>02</w:t>
            </w:r>
            <w:r>
              <w:rPr>
                <w:rFonts w:cs="Times New Roman" w:hint="eastAsia"/>
                <w:color w:val="000000"/>
                <w:kern w:val="0"/>
                <w:szCs w:val="21"/>
              </w:rPr>
              <w:t>′</w:t>
            </w:r>
            <w:r>
              <w:rPr>
                <w:rFonts w:cs="Times New Roman" w:hint="eastAsia"/>
                <w:color w:val="000000"/>
                <w:kern w:val="0"/>
                <w:szCs w:val="21"/>
              </w:rPr>
              <w:t>30.85</w:t>
            </w:r>
            <w:r>
              <w:rPr>
                <w:rFonts w:cs="Times New Roman" w:hint="eastAsia"/>
                <w:color w:val="000000"/>
                <w:kern w:val="0"/>
                <w:szCs w:val="21"/>
              </w:rPr>
              <w:t>″</w:t>
            </w:r>
          </w:p>
        </w:tc>
        <w:tc>
          <w:tcPr>
            <w:tcW w:w="714" w:type="pct"/>
            <w:tcBorders>
              <w:top w:val="single" w:sz="6" w:space="0" w:color="auto"/>
              <w:left w:val="single" w:sz="6" w:space="0" w:color="auto"/>
              <w:bottom w:val="single" w:sz="6" w:space="0" w:color="auto"/>
              <w:right w:val="single" w:sz="4" w:space="0" w:color="auto"/>
            </w:tcBorders>
            <w:vAlign w:val="center"/>
          </w:tcPr>
          <w:p w:rsidR="00644456" w:rsidRDefault="008031C4">
            <w:pPr>
              <w:tabs>
                <w:tab w:val="left" w:pos="6555"/>
              </w:tabs>
              <w:adjustRightInd w:val="0"/>
              <w:snapToGrid w:val="0"/>
              <w:jc w:val="center"/>
              <w:rPr>
                <w:color w:val="000000" w:themeColor="text1"/>
                <w:szCs w:val="21"/>
                <w:u w:val="single"/>
              </w:rPr>
            </w:pPr>
            <w:r>
              <w:rPr>
                <w:color w:val="000000" w:themeColor="text1"/>
                <w:szCs w:val="21"/>
                <w:u w:val="single"/>
              </w:rPr>
              <w:t>1265.785</w:t>
            </w:r>
          </w:p>
        </w:tc>
        <w:tc>
          <w:tcPr>
            <w:tcW w:w="556" w:type="pct"/>
            <w:tcBorders>
              <w:top w:val="single" w:sz="6" w:space="0" w:color="auto"/>
              <w:left w:val="single" w:sz="6" w:space="0" w:color="auto"/>
              <w:bottom w:val="single" w:sz="6" w:space="0" w:color="auto"/>
              <w:right w:val="single" w:sz="4" w:space="0" w:color="auto"/>
            </w:tcBorders>
            <w:vAlign w:val="center"/>
          </w:tcPr>
          <w:p w:rsidR="00644456" w:rsidRDefault="008031C4">
            <w:pPr>
              <w:tabs>
                <w:tab w:val="left" w:pos="6555"/>
              </w:tabs>
              <w:adjustRightInd w:val="0"/>
              <w:snapToGrid w:val="0"/>
              <w:jc w:val="center"/>
              <w:rPr>
                <w:color w:val="000000" w:themeColor="text1"/>
                <w:szCs w:val="21"/>
                <w:u w:val="single"/>
              </w:rPr>
            </w:pPr>
            <w:r>
              <w:rPr>
                <w:rFonts w:hint="eastAsia"/>
                <w:color w:val="000000" w:themeColor="text1"/>
                <w:szCs w:val="21"/>
                <w:u w:val="single"/>
              </w:rPr>
              <w:t>8</w:t>
            </w:r>
            <w:r>
              <w:rPr>
                <w:color w:val="000000" w:themeColor="text1"/>
                <w:szCs w:val="21"/>
                <w:u w:val="single"/>
              </w:rPr>
              <w:t>5</w:t>
            </w:r>
          </w:p>
        </w:tc>
        <w:tc>
          <w:tcPr>
            <w:tcW w:w="714" w:type="pct"/>
            <w:tcBorders>
              <w:top w:val="single" w:sz="6" w:space="0" w:color="auto"/>
              <w:left w:val="single" w:sz="6" w:space="0" w:color="auto"/>
              <w:bottom w:val="single" w:sz="6" w:space="0" w:color="auto"/>
              <w:right w:val="nil"/>
            </w:tcBorders>
            <w:vAlign w:val="center"/>
          </w:tcPr>
          <w:p w:rsidR="00644456" w:rsidRDefault="008031C4">
            <w:pPr>
              <w:tabs>
                <w:tab w:val="left" w:pos="6555"/>
              </w:tabs>
              <w:adjustRightInd w:val="0"/>
              <w:snapToGrid w:val="0"/>
              <w:jc w:val="center"/>
              <w:rPr>
                <w:color w:val="000000" w:themeColor="text1"/>
                <w:szCs w:val="21"/>
                <w:u w:val="single"/>
              </w:rPr>
            </w:pPr>
            <w:r>
              <w:rPr>
                <w:rFonts w:hint="eastAsia"/>
                <w:color w:val="000000" w:themeColor="text1"/>
                <w:szCs w:val="21"/>
                <w:u w:val="single"/>
              </w:rPr>
              <w:t>3</w:t>
            </w:r>
            <w:r>
              <w:rPr>
                <w:color w:val="000000" w:themeColor="text1"/>
                <w:szCs w:val="21"/>
                <w:u w:val="single"/>
              </w:rPr>
              <w:t>0</w:t>
            </w:r>
          </w:p>
        </w:tc>
      </w:tr>
      <w:tr w:rsidR="00644456">
        <w:tc>
          <w:tcPr>
            <w:tcW w:w="658" w:type="pct"/>
            <w:tcBorders>
              <w:top w:val="single" w:sz="6" w:space="0" w:color="auto"/>
              <w:left w:val="nil"/>
              <w:bottom w:val="single" w:sz="6" w:space="0" w:color="auto"/>
              <w:right w:val="single" w:sz="6" w:space="0" w:color="auto"/>
            </w:tcBorders>
            <w:vAlign w:val="center"/>
          </w:tcPr>
          <w:p w:rsidR="00644456" w:rsidRDefault="008031C4">
            <w:pPr>
              <w:adjustRightInd w:val="0"/>
              <w:snapToGrid w:val="0"/>
              <w:jc w:val="center"/>
              <w:rPr>
                <w:color w:val="000000" w:themeColor="text1"/>
                <w:szCs w:val="21"/>
                <w:u w:val="single"/>
              </w:rPr>
            </w:pPr>
            <w:r>
              <w:rPr>
                <w:color w:val="000000" w:themeColor="text1"/>
                <w:szCs w:val="21"/>
                <w:u w:val="single"/>
              </w:rPr>
              <w:t>9#</w:t>
            </w:r>
          </w:p>
        </w:tc>
        <w:tc>
          <w:tcPr>
            <w:tcW w:w="2358" w:type="pct"/>
            <w:tcBorders>
              <w:top w:val="single" w:sz="6" w:space="0" w:color="auto"/>
              <w:left w:val="single" w:sz="6" w:space="0" w:color="auto"/>
              <w:bottom w:val="single" w:sz="6" w:space="0" w:color="auto"/>
              <w:right w:val="single" w:sz="4" w:space="0" w:color="auto"/>
            </w:tcBorders>
            <w:vAlign w:val="center"/>
          </w:tcPr>
          <w:p w:rsidR="00644456" w:rsidRDefault="008031C4">
            <w:pPr>
              <w:adjustRightInd w:val="0"/>
              <w:snapToGrid w:val="0"/>
              <w:jc w:val="center"/>
              <w:rPr>
                <w:color w:val="000000" w:themeColor="text1"/>
                <w:szCs w:val="21"/>
                <w:u w:val="single"/>
              </w:rPr>
            </w:pPr>
            <w:r>
              <w:rPr>
                <w:rFonts w:cs="Times New Roman" w:hint="eastAsia"/>
                <w:color w:val="000000"/>
                <w:kern w:val="0"/>
                <w:szCs w:val="21"/>
              </w:rPr>
              <w:t>E</w:t>
            </w:r>
            <w:r>
              <w:rPr>
                <w:rFonts w:cs="Times New Roman" w:hint="eastAsia"/>
                <w:color w:val="000000"/>
                <w:kern w:val="0"/>
                <w:szCs w:val="21"/>
              </w:rPr>
              <w:t>：</w:t>
            </w:r>
            <w:r>
              <w:rPr>
                <w:rFonts w:cs="Times New Roman" w:hint="eastAsia"/>
                <w:color w:val="000000"/>
                <w:kern w:val="0"/>
                <w:szCs w:val="21"/>
              </w:rPr>
              <w:t>76</w:t>
            </w:r>
            <w:r>
              <w:rPr>
                <w:rFonts w:cs="Times New Roman" w:hint="eastAsia"/>
                <w:color w:val="000000"/>
                <w:kern w:val="0"/>
                <w:szCs w:val="21"/>
              </w:rPr>
              <w:t>°</w:t>
            </w:r>
            <w:r>
              <w:rPr>
                <w:rFonts w:cs="Times New Roman" w:hint="eastAsia"/>
                <w:color w:val="000000"/>
                <w:kern w:val="0"/>
                <w:szCs w:val="21"/>
              </w:rPr>
              <w:t>11</w:t>
            </w:r>
            <w:r>
              <w:rPr>
                <w:rFonts w:cs="Times New Roman" w:hint="eastAsia"/>
                <w:color w:val="000000"/>
                <w:kern w:val="0"/>
                <w:szCs w:val="21"/>
              </w:rPr>
              <w:t>′</w:t>
            </w:r>
            <w:r>
              <w:rPr>
                <w:rFonts w:cs="Times New Roman" w:hint="eastAsia"/>
                <w:color w:val="000000"/>
                <w:kern w:val="0"/>
                <w:szCs w:val="21"/>
              </w:rPr>
              <w:t>03.79</w:t>
            </w:r>
            <w:r>
              <w:rPr>
                <w:rFonts w:cs="Times New Roman" w:hint="eastAsia"/>
                <w:color w:val="000000"/>
                <w:kern w:val="0"/>
                <w:szCs w:val="21"/>
              </w:rPr>
              <w:t>″；</w:t>
            </w:r>
            <w:r>
              <w:rPr>
                <w:rFonts w:cs="Times New Roman" w:hint="eastAsia"/>
                <w:color w:val="000000"/>
                <w:kern w:val="0"/>
                <w:szCs w:val="21"/>
              </w:rPr>
              <w:t>N</w:t>
            </w:r>
            <w:r>
              <w:rPr>
                <w:rFonts w:cs="Times New Roman" w:hint="eastAsia"/>
                <w:color w:val="000000"/>
                <w:kern w:val="0"/>
                <w:szCs w:val="21"/>
              </w:rPr>
              <w:t>：</w:t>
            </w:r>
            <w:r>
              <w:rPr>
                <w:rFonts w:cs="Times New Roman" w:hint="eastAsia"/>
                <w:color w:val="000000"/>
                <w:kern w:val="0"/>
                <w:szCs w:val="21"/>
              </w:rPr>
              <w:t>39</w:t>
            </w:r>
            <w:r>
              <w:rPr>
                <w:rFonts w:cs="Times New Roman" w:hint="eastAsia"/>
                <w:color w:val="000000"/>
                <w:kern w:val="0"/>
                <w:szCs w:val="21"/>
              </w:rPr>
              <w:t>°</w:t>
            </w:r>
            <w:r>
              <w:rPr>
                <w:rFonts w:cs="Times New Roman" w:hint="eastAsia"/>
                <w:color w:val="000000"/>
                <w:kern w:val="0"/>
                <w:szCs w:val="21"/>
              </w:rPr>
              <w:t>04</w:t>
            </w:r>
            <w:r>
              <w:rPr>
                <w:rFonts w:cs="Times New Roman" w:hint="eastAsia"/>
                <w:color w:val="000000"/>
                <w:kern w:val="0"/>
                <w:szCs w:val="21"/>
              </w:rPr>
              <w:t>′</w:t>
            </w:r>
            <w:r>
              <w:rPr>
                <w:rFonts w:cs="Times New Roman" w:hint="eastAsia"/>
                <w:color w:val="000000"/>
                <w:kern w:val="0"/>
                <w:szCs w:val="21"/>
              </w:rPr>
              <w:t>02.32</w:t>
            </w:r>
            <w:r>
              <w:rPr>
                <w:rFonts w:cs="Times New Roman" w:hint="eastAsia"/>
                <w:color w:val="000000"/>
                <w:kern w:val="0"/>
                <w:szCs w:val="21"/>
              </w:rPr>
              <w:t>″</w:t>
            </w:r>
          </w:p>
        </w:tc>
        <w:tc>
          <w:tcPr>
            <w:tcW w:w="714" w:type="pct"/>
            <w:tcBorders>
              <w:top w:val="single" w:sz="6" w:space="0" w:color="auto"/>
              <w:left w:val="single" w:sz="6" w:space="0" w:color="auto"/>
              <w:bottom w:val="single" w:sz="6" w:space="0" w:color="auto"/>
              <w:right w:val="single" w:sz="4" w:space="0" w:color="auto"/>
            </w:tcBorders>
            <w:vAlign w:val="center"/>
          </w:tcPr>
          <w:p w:rsidR="00644456" w:rsidRDefault="008031C4">
            <w:pPr>
              <w:tabs>
                <w:tab w:val="left" w:pos="6555"/>
              </w:tabs>
              <w:adjustRightInd w:val="0"/>
              <w:snapToGrid w:val="0"/>
              <w:jc w:val="center"/>
              <w:rPr>
                <w:color w:val="000000" w:themeColor="text1"/>
                <w:szCs w:val="21"/>
                <w:u w:val="single"/>
              </w:rPr>
            </w:pPr>
            <w:r>
              <w:rPr>
                <w:color w:val="000000" w:themeColor="text1"/>
                <w:szCs w:val="21"/>
                <w:u w:val="single"/>
              </w:rPr>
              <w:t>1261.184</w:t>
            </w:r>
          </w:p>
        </w:tc>
        <w:tc>
          <w:tcPr>
            <w:tcW w:w="556" w:type="pct"/>
            <w:tcBorders>
              <w:top w:val="single" w:sz="6" w:space="0" w:color="auto"/>
              <w:left w:val="single" w:sz="6" w:space="0" w:color="auto"/>
              <w:bottom w:val="single" w:sz="6" w:space="0" w:color="auto"/>
              <w:right w:val="single" w:sz="4" w:space="0" w:color="auto"/>
            </w:tcBorders>
            <w:vAlign w:val="center"/>
          </w:tcPr>
          <w:p w:rsidR="00644456" w:rsidRDefault="008031C4">
            <w:pPr>
              <w:tabs>
                <w:tab w:val="left" w:pos="6555"/>
              </w:tabs>
              <w:adjustRightInd w:val="0"/>
              <w:snapToGrid w:val="0"/>
              <w:jc w:val="center"/>
              <w:rPr>
                <w:color w:val="000000" w:themeColor="text1"/>
                <w:szCs w:val="21"/>
                <w:u w:val="single"/>
              </w:rPr>
            </w:pPr>
            <w:r>
              <w:rPr>
                <w:rFonts w:hint="eastAsia"/>
                <w:color w:val="000000" w:themeColor="text1"/>
                <w:szCs w:val="21"/>
                <w:u w:val="single"/>
              </w:rPr>
              <w:t>9</w:t>
            </w:r>
            <w:r>
              <w:rPr>
                <w:color w:val="000000" w:themeColor="text1"/>
                <w:szCs w:val="21"/>
                <w:u w:val="single"/>
              </w:rPr>
              <w:t>5</w:t>
            </w:r>
          </w:p>
        </w:tc>
        <w:tc>
          <w:tcPr>
            <w:tcW w:w="714" w:type="pct"/>
            <w:tcBorders>
              <w:top w:val="single" w:sz="6" w:space="0" w:color="auto"/>
              <w:left w:val="single" w:sz="6" w:space="0" w:color="auto"/>
              <w:bottom w:val="single" w:sz="6" w:space="0" w:color="auto"/>
              <w:right w:val="nil"/>
            </w:tcBorders>
            <w:vAlign w:val="center"/>
          </w:tcPr>
          <w:p w:rsidR="00644456" w:rsidRDefault="008031C4">
            <w:pPr>
              <w:tabs>
                <w:tab w:val="left" w:pos="6555"/>
              </w:tabs>
              <w:adjustRightInd w:val="0"/>
              <w:snapToGrid w:val="0"/>
              <w:jc w:val="center"/>
              <w:rPr>
                <w:color w:val="000000" w:themeColor="text1"/>
                <w:szCs w:val="21"/>
                <w:u w:val="single"/>
              </w:rPr>
            </w:pPr>
            <w:r>
              <w:rPr>
                <w:rFonts w:hint="eastAsia"/>
                <w:color w:val="000000" w:themeColor="text1"/>
                <w:szCs w:val="21"/>
                <w:u w:val="single"/>
              </w:rPr>
              <w:t>4</w:t>
            </w:r>
            <w:r>
              <w:rPr>
                <w:color w:val="000000" w:themeColor="text1"/>
                <w:szCs w:val="21"/>
                <w:u w:val="single"/>
              </w:rPr>
              <w:t>0</w:t>
            </w:r>
          </w:p>
        </w:tc>
      </w:tr>
      <w:tr w:rsidR="00644456">
        <w:tc>
          <w:tcPr>
            <w:tcW w:w="658" w:type="pct"/>
            <w:tcBorders>
              <w:top w:val="single" w:sz="6" w:space="0" w:color="auto"/>
              <w:left w:val="nil"/>
              <w:bottom w:val="single" w:sz="6" w:space="0" w:color="auto"/>
              <w:right w:val="single" w:sz="6" w:space="0" w:color="auto"/>
            </w:tcBorders>
            <w:vAlign w:val="center"/>
          </w:tcPr>
          <w:p w:rsidR="00644456" w:rsidRDefault="008031C4">
            <w:pPr>
              <w:adjustRightInd w:val="0"/>
              <w:snapToGrid w:val="0"/>
              <w:jc w:val="center"/>
              <w:rPr>
                <w:b/>
                <w:color w:val="000000" w:themeColor="text1"/>
                <w:szCs w:val="21"/>
                <w:u w:val="single"/>
              </w:rPr>
            </w:pPr>
            <w:r>
              <w:rPr>
                <w:color w:val="000000" w:themeColor="text1"/>
                <w:szCs w:val="21"/>
                <w:u w:val="single"/>
              </w:rPr>
              <w:t>10#</w:t>
            </w:r>
          </w:p>
        </w:tc>
        <w:tc>
          <w:tcPr>
            <w:tcW w:w="2358" w:type="pct"/>
            <w:tcBorders>
              <w:top w:val="single" w:sz="6" w:space="0" w:color="auto"/>
              <w:left w:val="single" w:sz="6" w:space="0" w:color="auto"/>
              <w:bottom w:val="single" w:sz="6" w:space="0" w:color="auto"/>
              <w:right w:val="single" w:sz="4" w:space="0" w:color="auto"/>
            </w:tcBorders>
            <w:vAlign w:val="center"/>
          </w:tcPr>
          <w:p w:rsidR="00644456" w:rsidRDefault="008031C4">
            <w:pPr>
              <w:adjustRightInd w:val="0"/>
              <w:snapToGrid w:val="0"/>
              <w:jc w:val="center"/>
              <w:rPr>
                <w:color w:val="000000" w:themeColor="text1"/>
                <w:szCs w:val="21"/>
                <w:u w:val="single"/>
              </w:rPr>
            </w:pPr>
            <w:r>
              <w:rPr>
                <w:rFonts w:cs="Times New Roman" w:hint="eastAsia"/>
                <w:color w:val="000000"/>
                <w:kern w:val="0"/>
                <w:szCs w:val="21"/>
              </w:rPr>
              <w:t>E</w:t>
            </w:r>
            <w:r>
              <w:rPr>
                <w:rFonts w:cs="Times New Roman" w:hint="eastAsia"/>
                <w:color w:val="000000"/>
                <w:kern w:val="0"/>
                <w:szCs w:val="21"/>
              </w:rPr>
              <w:t>：</w:t>
            </w:r>
            <w:r>
              <w:rPr>
                <w:rFonts w:cs="Times New Roman" w:hint="eastAsia"/>
                <w:color w:val="000000"/>
                <w:kern w:val="0"/>
                <w:szCs w:val="21"/>
              </w:rPr>
              <w:t>76</w:t>
            </w:r>
            <w:r>
              <w:rPr>
                <w:rFonts w:cs="Times New Roman" w:hint="eastAsia"/>
                <w:color w:val="000000"/>
                <w:kern w:val="0"/>
                <w:szCs w:val="21"/>
              </w:rPr>
              <w:t>°</w:t>
            </w:r>
            <w:r>
              <w:rPr>
                <w:rFonts w:cs="Times New Roman" w:hint="eastAsia"/>
                <w:color w:val="000000"/>
                <w:kern w:val="0"/>
                <w:szCs w:val="21"/>
              </w:rPr>
              <w:t>10</w:t>
            </w:r>
            <w:r>
              <w:rPr>
                <w:rFonts w:cs="Times New Roman" w:hint="eastAsia"/>
                <w:color w:val="000000"/>
                <w:kern w:val="0"/>
                <w:szCs w:val="21"/>
              </w:rPr>
              <w:t>′</w:t>
            </w:r>
            <w:r>
              <w:rPr>
                <w:rFonts w:cs="Times New Roman" w:hint="eastAsia"/>
                <w:color w:val="000000"/>
                <w:kern w:val="0"/>
                <w:szCs w:val="21"/>
              </w:rPr>
              <w:t>37.26</w:t>
            </w:r>
            <w:r>
              <w:rPr>
                <w:rFonts w:cs="Times New Roman" w:hint="eastAsia"/>
                <w:color w:val="000000"/>
                <w:kern w:val="0"/>
                <w:szCs w:val="21"/>
              </w:rPr>
              <w:t>″；</w:t>
            </w:r>
            <w:r>
              <w:rPr>
                <w:rFonts w:cs="Times New Roman" w:hint="eastAsia"/>
                <w:color w:val="000000"/>
                <w:kern w:val="0"/>
                <w:szCs w:val="21"/>
              </w:rPr>
              <w:t>N</w:t>
            </w:r>
            <w:r>
              <w:rPr>
                <w:rFonts w:cs="Times New Roman" w:hint="eastAsia"/>
                <w:color w:val="000000"/>
                <w:kern w:val="0"/>
                <w:szCs w:val="21"/>
              </w:rPr>
              <w:t>：</w:t>
            </w:r>
            <w:r>
              <w:rPr>
                <w:rFonts w:cs="Times New Roman" w:hint="eastAsia"/>
                <w:color w:val="000000"/>
                <w:kern w:val="0"/>
                <w:szCs w:val="21"/>
              </w:rPr>
              <w:t>39</w:t>
            </w:r>
            <w:r>
              <w:rPr>
                <w:rFonts w:cs="Times New Roman" w:hint="eastAsia"/>
                <w:color w:val="000000"/>
                <w:kern w:val="0"/>
                <w:szCs w:val="21"/>
              </w:rPr>
              <w:t>°</w:t>
            </w:r>
            <w:r>
              <w:rPr>
                <w:rFonts w:cs="Times New Roman" w:hint="eastAsia"/>
                <w:color w:val="000000"/>
                <w:kern w:val="0"/>
                <w:szCs w:val="21"/>
              </w:rPr>
              <w:t>04</w:t>
            </w:r>
            <w:r>
              <w:rPr>
                <w:rFonts w:cs="Times New Roman" w:hint="eastAsia"/>
                <w:color w:val="000000"/>
                <w:kern w:val="0"/>
                <w:szCs w:val="21"/>
              </w:rPr>
              <w:t>′</w:t>
            </w:r>
            <w:r>
              <w:rPr>
                <w:rFonts w:cs="Times New Roman" w:hint="eastAsia"/>
                <w:color w:val="000000"/>
                <w:kern w:val="0"/>
                <w:szCs w:val="21"/>
              </w:rPr>
              <w:t>00.32</w:t>
            </w:r>
            <w:r>
              <w:rPr>
                <w:rFonts w:cs="Times New Roman" w:hint="eastAsia"/>
                <w:color w:val="000000"/>
                <w:kern w:val="0"/>
                <w:szCs w:val="21"/>
              </w:rPr>
              <w:t>″</w:t>
            </w:r>
          </w:p>
        </w:tc>
        <w:tc>
          <w:tcPr>
            <w:tcW w:w="714" w:type="pct"/>
            <w:tcBorders>
              <w:top w:val="single" w:sz="6" w:space="0" w:color="auto"/>
              <w:left w:val="single" w:sz="6" w:space="0" w:color="auto"/>
              <w:bottom w:val="single" w:sz="6" w:space="0" w:color="auto"/>
              <w:right w:val="single" w:sz="4" w:space="0" w:color="auto"/>
            </w:tcBorders>
            <w:vAlign w:val="center"/>
          </w:tcPr>
          <w:p w:rsidR="00644456" w:rsidRDefault="008031C4">
            <w:pPr>
              <w:tabs>
                <w:tab w:val="left" w:pos="6555"/>
              </w:tabs>
              <w:adjustRightInd w:val="0"/>
              <w:snapToGrid w:val="0"/>
              <w:jc w:val="center"/>
              <w:rPr>
                <w:color w:val="000000" w:themeColor="text1"/>
                <w:szCs w:val="21"/>
                <w:u w:val="single"/>
              </w:rPr>
            </w:pPr>
            <w:r>
              <w:rPr>
                <w:color w:val="000000" w:themeColor="text1"/>
                <w:szCs w:val="21"/>
                <w:u w:val="single"/>
              </w:rPr>
              <w:t>1270.678</w:t>
            </w:r>
          </w:p>
        </w:tc>
        <w:tc>
          <w:tcPr>
            <w:tcW w:w="556" w:type="pct"/>
            <w:tcBorders>
              <w:top w:val="single" w:sz="6" w:space="0" w:color="auto"/>
              <w:left w:val="single" w:sz="6" w:space="0" w:color="auto"/>
              <w:bottom w:val="single" w:sz="6" w:space="0" w:color="auto"/>
              <w:right w:val="single" w:sz="4" w:space="0" w:color="auto"/>
            </w:tcBorders>
            <w:vAlign w:val="center"/>
          </w:tcPr>
          <w:p w:rsidR="00644456" w:rsidRDefault="008031C4">
            <w:pPr>
              <w:tabs>
                <w:tab w:val="left" w:pos="6555"/>
              </w:tabs>
              <w:adjustRightInd w:val="0"/>
              <w:snapToGrid w:val="0"/>
              <w:jc w:val="center"/>
              <w:rPr>
                <w:color w:val="000000" w:themeColor="text1"/>
                <w:szCs w:val="21"/>
                <w:u w:val="single"/>
              </w:rPr>
            </w:pPr>
            <w:r>
              <w:rPr>
                <w:rFonts w:hint="eastAsia"/>
                <w:color w:val="000000" w:themeColor="text1"/>
                <w:szCs w:val="21"/>
                <w:u w:val="single"/>
              </w:rPr>
              <w:t>1</w:t>
            </w:r>
            <w:r>
              <w:rPr>
                <w:color w:val="000000" w:themeColor="text1"/>
                <w:szCs w:val="21"/>
                <w:u w:val="single"/>
              </w:rPr>
              <w:t>10</w:t>
            </w:r>
          </w:p>
        </w:tc>
        <w:tc>
          <w:tcPr>
            <w:tcW w:w="714" w:type="pct"/>
            <w:tcBorders>
              <w:top w:val="single" w:sz="6" w:space="0" w:color="auto"/>
              <w:left w:val="single" w:sz="6" w:space="0" w:color="auto"/>
              <w:bottom w:val="single" w:sz="6" w:space="0" w:color="auto"/>
              <w:right w:val="nil"/>
            </w:tcBorders>
            <w:vAlign w:val="center"/>
          </w:tcPr>
          <w:p w:rsidR="00644456" w:rsidRDefault="008031C4">
            <w:pPr>
              <w:tabs>
                <w:tab w:val="left" w:pos="6555"/>
              </w:tabs>
              <w:adjustRightInd w:val="0"/>
              <w:snapToGrid w:val="0"/>
              <w:jc w:val="center"/>
              <w:rPr>
                <w:color w:val="000000" w:themeColor="text1"/>
                <w:szCs w:val="21"/>
                <w:u w:val="single"/>
              </w:rPr>
            </w:pPr>
            <w:r>
              <w:rPr>
                <w:rFonts w:hint="eastAsia"/>
                <w:color w:val="000000" w:themeColor="text1"/>
                <w:szCs w:val="21"/>
                <w:u w:val="single"/>
              </w:rPr>
              <w:t>4</w:t>
            </w:r>
            <w:r>
              <w:rPr>
                <w:color w:val="000000" w:themeColor="text1"/>
                <w:szCs w:val="21"/>
                <w:u w:val="single"/>
              </w:rPr>
              <w:t>5</w:t>
            </w:r>
          </w:p>
        </w:tc>
      </w:tr>
      <w:bookmarkEnd w:id="253"/>
    </w:tbl>
    <w:p w:rsidR="00644456" w:rsidRDefault="00644456">
      <w:pPr>
        <w:pStyle w:val="1fd"/>
        <w:jc w:val="center"/>
        <w:rPr>
          <w:color w:val="000000" w:themeColor="text1"/>
        </w:rPr>
      </w:pPr>
    </w:p>
    <w:p w:rsidR="00644456" w:rsidRDefault="00644456">
      <w:pPr>
        <w:pStyle w:val="1fd"/>
        <w:jc w:val="center"/>
        <w:rPr>
          <w:color w:val="000000" w:themeColor="text1"/>
        </w:rPr>
      </w:pP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图</w:t>
      </w:r>
      <w:r>
        <w:rPr>
          <w:rFonts w:cs="Times New Roman" w:hint="eastAsia"/>
          <w:b/>
          <w:color w:val="000000" w:themeColor="text1"/>
          <w:sz w:val="24"/>
          <w:szCs w:val="20"/>
        </w:rPr>
        <w:t>3</w:t>
      </w:r>
      <w:r>
        <w:rPr>
          <w:rFonts w:cs="Times New Roman"/>
          <w:b/>
          <w:color w:val="000000" w:themeColor="text1"/>
          <w:sz w:val="24"/>
          <w:szCs w:val="20"/>
        </w:rPr>
        <w:t xml:space="preserve">.5-1 </w:t>
      </w:r>
      <w:r>
        <w:rPr>
          <w:rFonts w:cs="Times New Roman" w:hint="eastAsia"/>
          <w:b/>
          <w:color w:val="000000" w:themeColor="text1"/>
          <w:sz w:val="24"/>
          <w:szCs w:val="20"/>
        </w:rPr>
        <w:t>地下水点位分布图</w:t>
      </w:r>
    </w:p>
    <w:p w:rsidR="00644456" w:rsidRDefault="008031C4">
      <w:pPr>
        <w:pStyle w:val="1fd"/>
        <w:rPr>
          <w:color w:val="000000" w:themeColor="text1"/>
        </w:rPr>
      </w:pPr>
      <w:r>
        <w:rPr>
          <w:color w:val="000000" w:themeColor="text1"/>
        </w:rPr>
        <w:t>2</w:t>
      </w:r>
      <w:r>
        <w:rPr>
          <w:rFonts w:hint="eastAsia"/>
          <w:color w:val="000000" w:themeColor="text1"/>
        </w:rPr>
        <w:t>、监测项目及频次</w:t>
      </w:r>
    </w:p>
    <w:p w:rsidR="00644456" w:rsidRDefault="008031C4">
      <w:pPr>
        <w:pStyle w:val="1fd"/>
        <w:rPr>
          <w:color w:val="000000" w:themeColor="text1"/>
        </w:rPr>
      </w:pPr>
      <w:r>
        <w:rPr>
          <w:color w:val="000000" w:themeColor="text1"/>
        </w:rPr>
        <w:t>地下水监测因子：</w:t>
      </w:r>
      <w:r>
        <w:rPr>
          <w:rFonts w:hint="eastAsia"/>
          <w:color w:val="000000" w:themeColor="text1"/>
        </w:rPr>
        <w:t>①</w:t>
      </w:r>
      <w:r>
        <w:rPr>
          <w:rFonts w:hint="eastAsia"/>
          <w:color w:val="000000" w:themeColor="text1"/>
        </w:rPr>
        <w:t>K+</w:t>
      </w:r>
      <w:r>
        <w:rPr>
          <w:rFonts w:hint="eastAsia"/>
          <w:color w:val="000000" w:themeColor="text1"/>
        </w:rPr>
        <w:t>、</w:t>
      </w:r>
      <w:r>
        <w:rPr>
          <w:rFonts w:hint="eastAsia"/>
          <w:color w:val="000000" w:themeColor="text1"/>
        </w:rPr>
        <w:t>Na+</w:t>
      </w:r>
      <w:r>
        <w:rPr>
          <w:rFonts w:hint="eastAsia"/>
          <w:color w:val="000000" w:themeColor="text1"/>
        </w:rPr>
        <w:t>、</w:t>
      </w:r>
      <w:r>
        <w:rPr>
          <w:rFonts w:hint="eastAsia"/>
          <w:color w:val="000000" w:themeColor="text1"/>
        </w:rPr>
        <w:t>Ca</w:t>
      </w:r>
      <w:r>
        <w:rPr>
          <w:rFonts w:hint="eastAsia"/>
          <w:color w:val="000000" w:themeColor="text1"/>
          <w:vertAlign w:val="superscript"/>
        </w:rPr>
        <w:t>2+</w:t>
      </w:r>
      <w:r>
        <w:rPr>
          <w:rFonts w:hint="eastAsia"/>
          <w:color w:val="000000" w:themeColor="text1"/>
        </w:rPr>
        <w:t>、</w:t>
      </w:r>
      <w:r>
        <w:rPr>
          <w:rFonts w:hint="eastAsia"/>
          <w:color w:val="000000" w:themeColor="text1"/>
        </w:rPr>
        <w:t>Mg</w:t>
      </w:r>
      <w:r>
        <w:rPr>
          <w:rFonts w:hint="eastAsia"/>
          <w:color w:val="000000" w:themeColor="text1"/>
          <w:vertAlign w:val="superscript"/>
        </w:rPr>
        <w:t>2+</w:t>
      </w:r>
      <w:r>
        <w:rPr>
          <w:rFonts w:hint="eastAsia"/>
          <w:color w:val="000000" w:themeColor="text1"/>
        </w:rPr>
        <w:t>、</w:t>
      </w:r>
      <w:r>
        <w:rPr>
          <w:rFonts w:hint="eastAsia"/>
          <w:color w:val="000000" w:themeColor="text1"/>
        </w:rPr>
        <w:t>CO</w:t>
      </w:r>
      <w:r>
        <w:rPr>
          <w:rFonts w:hint="eastAsia"/>
          <w:color w:val="000000" w:themeColor="text1"/>
          <w:vertAlign w:val="subscript"/>
        </w:rPr>
        <w:t>3</w:t>
      </w:r>
      <w:r>
        <w:rPr>
          <w:rFonts w:hint="eastAsia"/>
          <w:color w:val="000000" w:themeColor="text1"/>
          <w:vertAlign w:val="superscript"/>
        </w:rPr>
        <w:t>2-</w:t>
      </w:r>
      <w:r>
        <w:rPr>
          <w:rFonts w:hint="eastAsia"/>
          <w:color w:val="000000" w:themeColor="text1"/>
        </w:rPr>
        <w:t>、</w:t>
      </w:r>
      <w:r>
        <w:rPr>
          <w:rFonts w:hint="eastAsia"/>
          <w:color w:val="000000" w:themeColor="text1"/>
        </w:rPr>
        <w:t>HCO</w:t>
      </w:r>
      <w:r>
        <w:rPr>
          <w:rFonts w:hint="eastAsia"/>
          <w:color w:val="000000" w:themeColor="text1"/>
          <w:vertAlign w:val="superscript"/>
        </w:rPr>
        <w:t>3-</w:t>
      </w:r>
      <w:r>
        <w:rPr>
          <w:rFonts w:hint="eastAsia"/>
          <w:color w:val="000000" w:themeColor="text1"/>
        </w:rPr>
        <w:t>、</w:t>
      </w:r>
      <w:r>
        <w:rPr>
          <w:rFonts w:hint="eastAsia"/>
          <w:color w:val="000000" w:themeColor="text1"/>
        </w:rPr>
        <w:t>Cl-</w:t>
      </w:r>
      <w:r>
        <w:rPr>
          <w:rFonts w:hint="eastAsia"/>
          <w:color w:val="000000" w:themeColor="text1"/>
        </w:rPr>
        <w:t>、</w:t>
      </w:r>
      <w:r>
        <w:rPr>
          <w:rFonts w:hint="eastAsia"/>
          <w:color w:val="000000" w:themeColor="text1"/>
        </w:rPr>
        <w:t>SO</w:t>
      </w:r>
      <w:r>
        <w:rPr>
          <w:rFonts w:hint="eastAsia"/>
          <w:color w:val="000000" w:themeColor="text1"/>
          <w:vertAlign w:val="subscript"/>
        </w:rPr>
        <w:t>4</w:t>
      </w:r>
      <w:r>
        <w:rPr>
          <w:rFonts w:hint="eastAsia"/>
          <w:color w:val="000000" w:themeColor="text1"/>
          <w:vertAlign w:val="superscript"/>
        </w:rPr>
        <w:t>2-</w:t>
      </w:r>
      <w:r>
        <w:rPr>
          <w:rFonts w:hint="eastAsia"/>
          <w:color w:val="000000" w:themeColor="text1"/>
        </w:rPr>
        <w:t>（引用）</w:t>
      </w:r>
    </w:p>
    <w:p w:rsidR="00644456" w:rsidRDefault="008031C4">
      <w:pPr>
        <w:pStyle w:val="1fd"/>
        <w:rPr>
          <w:color w:val="000000" w:themeColor="text1"/>
        </w:rPr>
      </w:pPr>
      <w:r>
        <w:rPr>
          <w:rFonts w:hint="eastAsia"/>
          <w:color w:val="000000" w:themeColor="text1"/>
        </w:rPr>
        <w:t>②</w:t>
      </w:r>
      <w:r>
        <w:rPr>
          <w:rFonts w:hint="eastAsia"/>
          <w:color w:val="000000" w:themeColor="text1"/>
        </w:rPr>
        <w:t>pH</w:t>
      </w:r>
      <w:r>
        <w:rPr>
          <w:rFonts w:hint="eastAsia"/>
          <w:color w:val="000000" w:themeColor="text1"/>
        </w:rPr>
        <w:t>、总硬度、溶解性总固体、硫酸盐、氯化物、铁、锰、铜、锌、铝、挥发性酚类、阴离子表面活性剂、耗氧量、氨氮、硫化物、总大肠菌群、菌落总数、亚硝酸盐、硝酸盐、氰化物、氟化物、铬（六价）、镍（引用）</w:t>
      </w:r>
    </w:p>
    <w:p w:rsidR="00644456" w:rsidRDefault="008031C4">
      <w:pPr>
        <w:pStyle w:val="1fd"/>
        <w:rPr>
          <w:color w:val="000000" w:themeColor="text1"/>
        </w:rPr>
      </w:pPr>
      <w:r>
        <w:rPr>
          <w:rFonts w:hint="eastAsia"/>
          <w:color w:val="000000" w:themeColor="text1"/>
        </w:rPr>
        <w:t>③石油类（实测）</w:t>
      </w:r>
    </w:p>
    <w:p w:rsidR="00644456" w:rsidRDefault="008031C4">
      <w:pPr>
        <w:pStyle w:val="1fd"/>
        <w:rPr>
          <w:color w:val="000000" w:themeColor="text1"/>
        </w:rPr>
      </w:pPr>
      <w:r>
        <w:rPr>
          <w:color w:val="000000" w:themeColor="text1"/>
        </w:rPr>
        <w:t>监测频率：</w:t>
      </w:r>
      <w:r>
        <w:rPr>
          <w:rFonts w:hint="eastAsia"/>
          <w:color w:val="000000" w:themeColor="text1"/>
        </w:rPr>
        <w:t>监测</w:t>
      </w:r>
      <w:r>
        <w:rPr>
          <w:rFonts w:hint="eastAsia"/>
          <w:color w:val="000000" w:themeColor="text1"/>
        </w:rPr>
        <w:t>1</w:t>
      </w:r>
      <w:r>
        <w:rPr>
          <w:rFonts w:hint="eastAsia"/>
          <w:color w:val="000000" w:themeColor="text1"/>
        </w:rPr>
        <w:t>天</w:t>
      </w:r>
      <w:r>
        <w:rPr>
          <w:color w:val="000000" w:themeColor="text1"/>
        </w:rPr>
        <w:t>，每天采样</w:t>
      </w:r>
      <w:r>
        <w:rPr>
          <w:rFonts w:hint="eastAsia"/>
          <w:color w:val="000000" w:themeColor="text1"/>
        </w:rPr>
        <w:t>1</w:t>
      </w:r>
      <w:r>
        <w:rPr>
          <w:color w:val="000000" w:themeColor="text1"/>
        </w:rPr>
        <w:t>次。</w:t>
      </w:r>
    </w:p>
    <w:p w:rsidR="00644456" w:rsidRDefault="008031C4">
      <w:pPr>
        <w:pStyle w:val="1fd"/>
        <w:ind w:firstLine="482"/>
        <w:rPr>
          <w:b/>
          <w:bCs/>
          <w:color w:val="000000" w:themeColor="text1"/>
        </w:rPr>
      </w:pPr>
      <w:r>
        <w:rPr>
          <w:rFonts w:hint="eastAsia"/>
          <w:b/>
          <w:bCs/>
          <w:color w:val="000000" w:themeColor="text1"/>
        </w:rPr>
        <w:t>2</w:t>
      </w:r>
      <w:r>
        <w:rPr>
          <w:rFonts w:hint="eastAsia"/>
          <w:b/>
          <w:bCs/>
          <w:color w:val="000000" w:themeColor="text1"/>
        </w:rPr>
        <w:t>、评价方法</w:t>
      </w:r>
    </w:p>
    <w:p w:rsidR="00644456" w:rsidRDefault="008031C4">
      <w:pPr>
        <w:pStyle w:val="1fd"/>
        <w:rPr>
          <w:color w:val="000000" w:themeColor="text1"/>
        </w:rPr>
      </w:pPr>
      <w:r>
        <w:rPr>
          <w:rFonts w:hint="eastAsia"/>
          <w:color w:val="000000" w:themeColor="text1"/>
        </w:rPr>
        <w:t>采用标准指数法进行评价：</w:t>
      </w:r>
    </w:p>
    <w:p w:rsidR="00644456" w:rsidRDefault="008031C4">
      <w:pPr>
        <w:pStyle w:val="1fd"/>
        <w:rPr>
          <w:color w:val="000000" w:themeColor="text1"/>
        </w:rPr>
      </w:pPr>
      <w:r>
        <w:rPr>
          <w:rFonts w:hint="eastAsia"/>
          <w:color w:val="000000" w:themeColor="text1"/>
        </w:rPr>
        <w:t>pH</w:t>
      </w:r>
      <w:r>
        <w:rPr>
          <w:rFonts w:hint="eastAsia"/>
          <w:color w:val="000000" w:themeColor="text1"/>
        </w:rPr>
        <w:t>的标准指数为：</w:t>
      </w:r>
    </w:p>
    <w:p w:rsidR="00644456" w:rsidRDefault="008031C4">
      <w:pPr>
        <w:pStyle w:val="1fd"/>
        <w:rPr>
          <w:color w:val="000000" w:themeColor="text1"/>
        </w:rPr>
      </w:pPr>
      <w:r>
        <w:rPr>
          <w:noProof/>
          <w:color w:val="000000" w:themeColor="text1"/>
        </w:rPr>
        <w:drawing>
          <wp:inline distT="0" distB="0" distL="114300" distR="114300" wp14:anchorId="58CE5E4F" wp14:editId="0004EA19">
            <wp:extent cx="2324100" cy="1136015"/>
            <wp:effectExtent l="0" t="0" r="0" b="6985"/>
            <wp:docPr id="11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1"/>
                    <pic:cNvPicPr>
                      <a:picLocks noChangeAspect="1"/>
                    </pic:cNvPicPr>
                  </pic:nvPicPr>
                  <pic:blipFill>
                    <a:blip r:embed="rId47"/>
                    <a:stretch>
                      <a:fillRect/>
                    </a:stretch>
                  </pic:blipFill>
                  <pic:spPr>
                    <a:xfrm>
                      <a:off x="0" y="0"/>
                      <a:ext cx="2324100" cy="1136015"/>
                    </a:xfrm>
                    <a:prstGeom prst="rect">
                      <a:avLst/>
                    </a:prstGeom>
                    <a:noFill/>
                    <a:ln>
                      <a:noFill/>
                    </a:ln>
                  </pic:spPr>
                </pic:pic>
              </a:graphicData>
            </a:graphic>
          </wp:inline>
        </w:drawing>
      </w:r>
    </w:p>
    <w:p w:rsidR="00644456" w:rsidRDefault="008031C4">
      <w:pPr>
        <w:pStyle w:val="1fd"/>
        <w:rPr>
          <w:color w:val="000000" w:themeColor="text1"/>
        </w:rPr>
      </w:pPr>
      <w:r>
        <w:rPr>
          <w:rFonts w:hint="eastAsia"/>
          <w:color w:val="000000" w:themeColor="text1"/>
        </w:rPr>
        <w:t>式中：</w:t>
      </w:r>
      <w:r>
        <w:rPr>
          <w:rFonts w:hint="eastAsia"/>
          <w:color w:val="000000" w:themeColor="text1"/>
        </w:rPr>
        <w:t>pHsd</w:t>
      </w:r>
      <w:r>
        <w:rPr>
          <w:rFonts w:hint="eastAsia"/>
          <w:color w:val="000000" w:themeColor="text1"/>
        </w:rPr>
        <w:t>——地面水水质标准中规定的</w:t>
      </w:r>
      <w:r>
        <w:rPr>
          <w:rFonts w:hint="eastAsia"/>
          <w:color w:val="000000" w:themeColor="text1"/>
        </w:rPr>
        <w:t>pH</w:t>
      </w:r>
      <w:r>
        <w:rPr>
          <w:rFonts w:hint="eastAsia"/>
          <w:color w:val="000000" w:themeColor="text1"/>
        </w:rPr>
        <w:t>值下限；</w:t>
      </w:r>
    </w:p>
    <w:p w:rsidR="00644456" w:rsidRDefault="008031C4">
      <w:pPr>
        <w:pStyle w:val="1fd"/>
        <w:rPr>
          <w:color w:val="000000" w:themeColor="text1"/>
        </w:rPr>
      </w:pPr>
      <w:r>
        <w:rPr>
          <w:rFonts w:hint="eastAsia"/>
          <w:color w:val="000000" w:themeColor="text1"/>
        </w:rPr>
        <w:lastRenderedPageBreak/>
        <w:t>pHsu</w:t>
      </w:r>
      <w:r>
        <w:rPr>
          <w:rFonts w:hint="eastAsia"/>
          <w:color w:val="000000" w:themeColor="text1"/>
        </w:rPr>
        <w:t>——地面水水质标准中规定的</w:t>
      </w:r>
      <w:r>
        <w:rPr>
          <w:rFonts w:hint="eastAsia"/>
          <w:color w:val="000000" w:themeColor="text1"/>
        </w:rPr>
        <w:t>pH</w:t>
      </w:r>
      <w:r>
        <w:rPr>
          <w:rFonts w:hint="eastAsia"/>
          <w:color w:val="000000" w:themeColor="text1"/>
        </w:rPr>
        <w:t>值上限；</w:t>
      </w:r>
    </w:p>
    <w:p w:rsidR="00644456" w:rsidRDefault="008031C4">
      <w:pPr>
        <w:pStyle w:val="1fd"/>
        <w:rPr>
          <w:color w:val="000000" w:themeColor="text1"/>
        </w:rPr>
      </w:pPr>
      <w:r>
        <w:rPr>
          <w:rFonts w:hint="eastAsia"/>
          <w:color w:val="000000" w:themeColor="text1"/>
        </w:rPr>
        <w:t>pHj</w:t>
      </w:r>
      <w:r>
        <w:rPr>
          <w:rFonts w:hint="eastAsia"/>
          <w:color w:val="000000" w:themeColor="text1"/>
        </w:rPr>
        <w:t>——监测点</w:t>
      </w:r>
      <w:r>
        <w:rPr>
          <w:rFonts w:hint="eastAsia"/>
          <w:color w:val="000000" w:themeColor="text1"/>
        </w:rPr>
        <w:t>j</w:t>
      </w:r>
      <w:r>
        <w:rPr>
          <w:rFonts w:hint="eastAsia"/>
          <w:color w:val="000000" w:themeColor="text1"/>
        </w:rPr>
        <w:t>的</w:t>
      </w:r>
      <w:r>
        <w:rPr>
          <w:rFonts w:hint="eastAsia"/>
          <w:color w:val="000000" w:themeColor="text1"/>
        </w:rPr>
        <w:t>pH</w:t>
      </w:r>
      <w:r>
        <w:rPr>
          <w:rFonts w:hint="eastAsia"/>
          <w:color w:val="000000" w:themeColor="text1"/>
        </w:rPr>
        <w:t>值。</w:t>
      </w:r>
    </w:p>
    <w:p w:rsidR="00644456" w:rsidRDefault="008031C4">
      <w:pPr>
        <w:pStyle w:val="1fd"/>
        <w:rPr>
          <w:color w:val="000000" w:themeColor="text1"/>
        </w:rPr>
      </w:pPr>
      <w:r>
        <w:rPr>
          <w:rFonts w:hint="eastAsia"/>
          <w:color w:val="000000" w:themeColor="text1"/>
        </w:rPr>
        <w:t>其他项目表达式为：</w:t>
      </w:r>
    </w:p>
    <w:p w:rsidR="00644456" w:rsidRDefault="008031C4">
      <w:pPr>
        <w:pStyle w:val="1fd"/>
        <w:rPr>
          <w:color w:val="000000" w:themeColor="text1"/>
        </w:rPr>
      </w:pPr>
      <w:r>
        <w:rPr>
          <w:noProof/>
          <w:color w:val="000000" w:themeColor="text1"/>
        </w:rPr>
        <w:drawing>
          <wp:inline distT="0" distB="0" distL="114300" distR="114300" wp14:anchorId="57957C0D" wp14:editId="1CC4D6B1">
            <wp:extent cx="781685" cy="469265"/>
            <wp:effectExtent l="0" t="0" r="18415" b="6985"/>
            <wp:docPr id="1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2"/>
                    <pic:cNvPicPr>
                      <a:picLocks noChangeAspect="1"/>
                    </pic:cNvPicPr>
                  </pic:nvPicPr>
                  <pic:blipFill>
                    <a:blip r:embed="rId48"/>
                    <a:stretch>
                      <a:fillRect/>
                    </a:stretch>
                  </pic:blipFill>
                  <pic:spPr>
                    <a:xfrm>
                      <a:off x="0" y="0"/>
                      <a:ext cx="781685" cy="469265"/>
                    </a:xfrm>
                    <a:prstGeom prst="rect">
                      <a:avLst/>
                    </a:prstGeom>
                    <a:noFill/>
                    <a:ln>
                      <a:noFill/>
                    </a:ln>
                  </pic:spPr>
                </pic:pic>
              </a:graphicData>
            </a:graphic>
          </wp:inline>
        </w:drawing>
      </w:r>
    </w:p>
    <w:p w:rsidR="00644456" w:rsidRDefault="008031C4">
      <w:pPr>
        <w:pStyle w:val="1fd"/>
        <w:rPr>
          <w:color w:val="000000" w:themeColor="text1"/>
        </w:rPr>
      </w:pPr>
      <w:r>
        <w:rPr>
          <w:rFonts w:hint="eastAsia"/>
          <w:color w:val="000000" w:themeColor="text1"/>
        </w:rPr>
        <w:t>式中：</w:t>
      </w:r>
      <w:r>
        <w:rPr>
          <w:rFonts w:hint="eastAsia"/>
          <w:noProof/>
          <w:color w:val="000000" w:themeColor="text1"/>
        </w:rPr>
        <w:drawing>
          <wp:inline distT="0" distB="0" distL="0" distR="0" wp14:anchorId="466D0F14" wp14:editId="60E856BE">
            <wp:extent cx="189865" cy="180975"/>
            <wp:effectExtent l="0" t="0" r="635" b="8890"/>
            <wp:docPr id="15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6"/>
                    <pic:cNvPicPr>
                      <a:picLocks noChangeAspect="1" noChangeArrowheads="1"/>
                    </pic:cNvPicPr>
                  </pic:nvPicPr>
                  <pic:blipFill>
                    <a:blip r:embed="rId49"/>
                    <a:srcRect/>
                    <a:stretch>
                      <a:fillRect/>
                    </a:stretch>
                  </pic:blipFill>
                  <pic:spPr>
                    <a:xfrm>
                      <a:off x="0" y="0"/>
                      <a:ext cx="189865" cy="180975"/>
                    </a:xfrm>
                    <a:prstGeom prst="rect">
                      <a:avLst/>
                    </a:prstGeom>
                    <a:noFill/>
                    <a:ln w="9525">
                      <a:noFill/>
                      <a:miter lim="800000"/>
                      <a:headEnd/>
                      <a:tailEnd/>
                    </a:ln>
                  </pic:spPr>
                </pic:pic>
              </a:graphicData>
            </a:graphic>
          </wp:inline>
        </w:drawing>
      </w:r>
      <w:r>
        <w:rPr>
          <w:rFonts w:hint="eastAsia"/>
          <w:color w:val="000000" w:themeColor="text1"/>
        </w:rPr>
        <w:t>——</w:t>
      </w:r>
      <w:r>
        <w:rPr>
          <w:rFonts w:hint="eastAsia"/>
          <w:color w:val="000000" w:themeColor="text1"/>
        </w:rPr>
        <w:t>i</w:t>
      </w:r>
      <w:r>
        <w:rPr>
          <w:rFonts w:hint="eastAsia"/>
          <w:color w:val="000000" w:themeColor="text1"/>
        </w:rPr>
        <w:t>类污染物单因子指数；</w:t>
      </w:r>
    </w:p>
    <w:p w:rsidR="00644456" w:rsidRDefault="008031C4">
      <w:pPr>
        <w:pStyle w:val="1fd"/>
        <w:rPr>
          <w:color w:val="000000" w:themeColor="text1"/>
        </w:rPr>
      </w:pPr>
      <w:r>
        <w:rPr>
          <w:rFonts w:hint="eastAsia"/>
          <w:noProof/>
          <w:color w:val="000000" w:themeColor="text1"/>
        </w:rPr>
        <w:drawing>
          <wp:inline distT="0" distB="0" distL="0" distR="0" wp14:anchorId="4C54A71E" wp14:editId="669BF98C">
            <wp:extent cx="189865" cy="180975"/>
            <wp:effectExtent l="0" t="0" r="635" b="8890"/>
            <wp:docPr id="16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37"/>
                    <pic:cNvPicPr>
                      <a:picLocks noChangeAspect="1" noChangeArrowheads="1"/>
                    </pic:cNvPicPr>
                  </pic:nvPicPr>
                  <pic:blipFill>
                    <a:blip r:embed="rId50"/>
                    <a:srcRect/>
                    <a:stretch>
                      <a:fillRect/>
                    </a:stretch>
                  </pic:blipFill>
                  <pic:spPr>
                    <a:xfrm>
                      <a:off x="0" y="0"/>
                      <a:ext cx="189865" cy="180975"/>
                    </a:xfrm>
                    <a:prstGeom prst="rect">
                      <a:avLst/>
                    </a:prstGeom>
                    <a:noFill/>
                    <a:ln w="9525">
                      <a:noFill/>
                      <a:miter lim="800000"/>
                      <a:headEnd/>
                      <a:tailEnd/>
                    </a:ln>
                  </pic:spPr>
                </pic:pic>
              </a:graphicData>
            </a:graphic>
          </wp:inline>
        </w:drawing>
      </w:r>
      <w:r>
        <w:rPr>
          <w:rFonts w:hint="eastAsia"/>
          <w:color w:val="000000" w:themeColor="text1"/>
        </w:rPr>
        <w:t>——</w:t>
      </w:r>
      <w:r>
        <w:rPr>
          <w:rFonts w:hint="eastAsia"/>
          <w:color w:val="000000" w:themeColor="text1"/>
        </w:rPr>
        <w:t>i</w:t>
      </w:r>
      <w:r>
        <w:rPr>
          <w:rFonts w:hint="eastAsia"/>
          <w:color w:val="000000" w:themeColor="text1"/>
        </w:rPr>
        <w:t>类污染物实测浓度平均值，</w:t>
      </w:r>
      <w:r>
        <w:rPr>
          <w:rFonts w:hint="eastAsia"/>
          <w:color w:val="000000" w:themeColor="text1"/>
        </w:rPr>
        <w:t>mg/L</w:t>
      </w:r>
      <w:r>
        <w:rPr>
          <w:rFonts w:hint="eastAsia"/>
          <w:color w:val="000000" w:themeColor="text1"/>
        </w:rPr>
        <w:t>；</w:t>
      </w:r>
    </w:p>
    <w:p w:rsidR="00644456" w:rsidRDefault="008031C4">
      <w:pPr>
        <w:pStyle w:val="1fd"/>
        <w:rPr>
          <w:color w:val="000000" w:themeColor="text1"/>
        </w:rPr>
      </w:pPr>
      <w:r>
        <w:rPr>
          <w:rFonts w:hint="eastAsia"/>
          <w:noProof/>
          <w:color w:val="000000" w:themeColor="text1"/>
        </w:rPr>
        <w:drawing>
          <wp:inline distT="0" distB="0" distL="0" distR="0" wp14:anchorId="08C14CED" wp14:editId="7AB0C423">
            <wp:extent cx="267335" cy="180975"/>
            <wp:effectExtent l="0" t="0" r="18415" b="8890"/>
            <wp:docPr id="16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8"/>
                    <pic:cNvPicPr>
                      <a:picLocks noChangeAspect="1" noChangeArrowheads="1"/>
                    </pic:cNvPicPr>
                  </pic:nvPicPr>
                  <pic:blipFill>
                    <a:blip r:embed="rId51"/>
                    <a:srcRect/>
                    <a:stretch>
                      <a:fillRect/>
                    </a:stretch>
                  </pic:blipFill>
                  <pic:spPr>
                    <a:xfrm>
                      <a:off x="0" y="0"/>
                      <a:ext cx="267335" cy="180975"/>
                    </a:xfrm>
                    <a:prstGeom prst="rect">
                      <a:avLst/>
                    </a:prstGeom>
                    <a:noFill/>
                    <a:ln w="9525">
                      <a:noFill/>
                      <a:miter lim="800000"/>
                      <a:headEnd/>
                      <a:tailEnd/>
                    </a:ln>
                  </pic:spPr>
                </pic:pic>
              </a:graphicData>
            </a:graphic>
          </wp:inline>
        </w:drawing>
      </w:r>
      <w:r>
        <w:rPr>
          <w:rFonts w:hint="eastAsia"/>
          <w:color w:val="000000" w:themeColor="text1"/>
        </w:rPr>
        <w:t>——</w:t>
      </w:r>
      <w:r>
        <w:rPr>
          <w:rFonts w:hint="eastAsia"/>
          <w:color w:val="000000" w:themeColor="text1"/>
        </w:rPr>
        <w:t>i</w:t>
      </w:r>
      <w:r>
        <w:rPr>
          <w:rFonts w:hint="eastAsia"/>
          <w:color w:val="000000" w:themeColor="text1"/>
        </w:rPr>
        <w:t>类污染物的评价标准值，</w:t>
      </w:r>
      <w:r>
        <w:rPr>
          <w:rFonts w:hint="eastAsia"/>
          <w:color w:val="000000" w:themeColor="text1"/>
        </w:rPr>
        <w:t>mg/L</w:t>
      </w:r>
      <w:r>
        <w:rPr>
          <w:rFonts w:hint="eastAsia"/>
          <w:color w:val="000000" w:themeColor="text1"/>
        </w:rPr>
        <w:t>。</w:t>
      </w:r>
    </w:p>
    <w:p w:rsidR="00644456" w:rsidRDefault="008031C4">
      <w:pPr>
        <w:spacing w:line="360" w:lineRule="auto"/>
        <w:ind w:firstLine="482"/>
        <w:rPr>
          <w:rFonts w:cs="Times New Roman"/>
          <w:b/>
          <w:bCs/>
          <w:color w:val="000000" w:themeColor="text1"/>
          <w:sz w:val="24"/>
          <w:szCs w:val="24"/>
        </w:rPr>
      </w:pPr>
      <w:r>
        <w:rPr>
          <w:rFonts w:cs="Times New Roman" w:hint="eastAsia"/>
          <w:b/>
          <w:bCs/>
          <w:color w:val="000000" w:themeColor="text1"/>
          <w:sz w:val="24"/>
          <w:szCs w:val="24"/>
        </w:rPr>
        <w:t>3</w:t>
      </w:r>
      <w:r>
        <w:rPr>
          <w:rFonts w:cs="Times New Roman" w:hint="eastAsia"/>
          <w:b/>
          <w:bCs/>
          <w:color w:val="000000" w:themeColor="text1"/>
          <w:sz w:val="24"/>
          <w:szCs w:val="24"/>
        </w:rPr>
        <w:t>、</w:t>
      </w:r>
      <w:r>
        <w:rPr>
          <w:rFonts w:cs="Times New Roman"/>
          <w:b/>
          <w:bCs/>
          <w:color w:val="000000" w:themeColor="text1"/>
          <w:sz w:val="24"/>
          <w:szCs w:val="24"/>
        </w:rPr>
        <w:t>监测结果</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3.5-3</w:t>
      </w:r>
      <w:r>
        <w:rPr>
          <w:rFonts w:cs="Times New Roman" w:hint="eastAsia"/>
          <w:b/>
          <w:color w:val="000000" w:themeColor="text1"/>
          <w:sz w:val="24"/>
          <w:szCs w:val="20"/>
        </w:rPr>
        <w:t>地下水质量现状数据统计与分析结果表（单位：</w:t>
      </w:r>
      <w:r>
        <w:rPr>
          <w:rFonts w:cs="Times New Roman" w:hint="eastAsia"/>
          <w:b/>
          <w:color w:val="000000" w:themeColor="text1"/>
          <w:sz w:val="24"/>
          <w:szCs w:val="20"/>
        </w:rPr>
        <w:t>mg/L</w:t>
      </w:r>
      <w:r>
        <w:rPr>
          <w:rFonts w:cs="Times New Roman" w:hint="eastAsia"/>
          <w:b/>
          <w:color w:val="000000" w:themeColor="text1"/>
          <w:sz w:val="24"/>
          <w:szCs w:val="20"/>
        </w:rPr>
        <w:t>，</w:t>
      </w:r>
      <w:r>
        <w:rPr>
          <w:rFonts w:cs="Times New Roman" w:hint="eastAsia"/>
          <w:b/>
          <w:color w:val="000000" w:themeColor="text1"/>
          <w:sz w:val="24"/>
          <w:szCs w:val="20"/>
        </w:rPr>
        <w:t>pH</w:t>
      </w:r>
      <w:r>
        <w:rPr>
          <w:rFonts w:cs="Times New Roman" w:hint="eastAsia"/>
          <w:b/>
          <w:color w:val="000000" w:themeColor="text1"/>
          <w:sz w:val="24"/>
          <w:szCs w:val="20"/>
        </w:rPr>
        <w:t>无量纲，总大肠菌群</w:t>
      </w:r>
      <w:r>
        <w:rPr>
          <w:rFonts w:cs="Times New Roman" w:hint="eastAsia"/>
          <w:b/>
          <w:color w:val="000000" w:themeColor="text1"/>
          <w:sz w:val="24"/>
          <w:szCs w:val="20"/>
        </w:rPr>
        <w:t>MPN/100mL</w:t>
      </w:r>
      <w:r>
        <w:rPr>
          <w:rFonts w:cs="Times New Roman" w:hint="eastAsia"/>
          <w:b/>
          <w:color w:val="000000" w:themeColor="text1"/>
          <w:sz w:val="24"/>
          <w:szCs w:val="20"/>
        </w:rPr>
        <w:t>，菌落总数</w:t>
      </w:r>
      <w:r>
        <w:rPr>
          <w:rFonts w:cs="Times New Roman" w:hint="eastAsia"/>
          <w:b/>
          <w:color w:val="000000" w:themeColor="text1"/>
          <w:sz w:val="24"/>
          <w:szCs w:val="20"/>
        </w:rPr>
        <w:t>CFU/mL</w:t>
      </w:r>
      <w:r>
        <w:rPr>
          <w:rFonts w:cs="Times New Roman" w:hint="eastAsia"/>
          <w:b/>
          <w:color w:val="000000" w:themeColor="text1"/>
          <w:sz w:val="24"/>
          <w:szCs w:val="20"/>
        </w:rPr>
        <w:t>）</w:t>
      </w:r>
    </w:p>
    <w:tbl>
      <w:tblPr>
        <w:tblW w:w="4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5"/>
        <w:gridCol w:w="898"/>
        <w:gridCol w:w="794"/>
        <w:gridCol w:w="794"/>
        <w:gridCol w:w="794"/>
        <w:gridCol w:w="794"/>
        <w:gridCol w:w="794"/>
        <w:gridCol w:w="794"/>
        <w:gridCol w:w="1467"/>
      </w:tblGrid>
      <w:tr w:rsidR="00644456" w:rsidTr="00B35AB3">
        <w:trPr>
          <w:jc w:val="center"/>
        </w:trPr>
        <w:tc>
          <w:tcPr>
            <w:tcW w:w="2703" w:type="dxa"/>
            <w:gridSpan w:val="2"/>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监测点位名称</w:t>
            </w:r>
          </w:p>
        </w:tc>
        <w:tc>
          <w:tcPr>
            <w:tcW w:w="1550" w:type="dxa"/>
            <w:gridSpan w:val="2"/>
            <w:vAlign w:val="center"/>
          </w:tcPr>
          <w:p w:rsidR="00644456" w:rsidRDefault="008031C4">
            <w:pPr>
              <w:spacing w:line="360" w:lineRule="exact"/>
              <w:jc w:val="center"/>
              <w:rPr>
                <w:rFonts w:cs="Times New Roman"/>
                <w:color w:val="000000"/>
                <w:szCs w:val="21"/>
              </w:rPr>
            </w:pPr>
            <w:r>
              <w:rPr>
                <w:rFonts w:cs="Times New Roman"/>
                <w:color w:val="000000"/>
                <w:szCs w:val="21"/>
              </w:rPr>
              <w:t>DXS1</w:t>
            </w:r>
          </w:p>
        </w:tc>
        <w:tc>
          <w:tcPr>
            <w:tcW w:w="1550" w:type="dxa"/>
            <w:gridSpan w:val="2"/>
            <w:vAlign w:val="center"/>
          </w:tcPr>
          <w:p w:rsidR="00644456" w:rsidRDefault="008031C4">
            <w:pPr>
              <w:spacing w:line="360" w:lineRule="exact"/>
              <w:jc w:val="center"/>
              <w:rPr>
                <w:rFonts w:cs="Times New Roman"/>
                <w:color w:val="000000"/>
                <w:szCs w:val="21"/>
              </w:rPr>
            </w:pPr>
            <w:r>
              <w:rPr>
                <w:rFonts w:cs="Times New Roman"/>
                <w:color w:val="000000"/>
                <w:szCs w:val="21"/>
              </w:rPr>
              <w:t>DXS</w:t>
            </w:r>
            <w:r>
              <w:rPr>
                <w:rFonts w:cs="Times New Roman" w:hint="eastAsia"/>
                <w:color w:val="000000"/>
                <w:szCs w:val="21"/>
              </w:rPr>
              <w:t>2</w:t>
            </w:r>
            <w:r>
              <w:rPr>
                <w:rFonts w:cs="Times New Roman"/>
                <w:color w:val="000000"/>
                <w:szCs w:val="21"/>
                <w:vertAlign w:val="superscript"/>
              </w:rPr>
              <w:t>#</w:t>
            </w:r>
          </w:p>
        </w:tc>
        <w:tc>
          <w:tcPr>
            <w:tcW w:w="1550" w:type="dxa"/>
            <w:gridSpan w:val="2"/>
            <w:vAlign w:val="center"/>
          </w:tcPr>
          <w:p w:rsidR="00644456" w:rsidRDefault="008031C4">
            <w:pPr>
              <w:spacing w:line="360" w:lineRule="exact"/>
              <w:jc w:val="center"/>
              <w:rPr>
                <w:rFonts w:cs="Times New Roman"/>
                <w:color w:val="000000"/>
                <w:szCs w:val="21"/>
              </w:rPr>
            </w:pPr>
            <w:r>
              <w:rPr>
                <w:rFonts w:cs="Times New Roman"/>
                <w:color w:val="000000"/>
                <w:szCs w:val="21"/>
              </w:rPr>
              <w:t>DXS</w:t>
            </w:r>
            <w:r>
              <w:rPr>
                <w:rFonts w:cs="Times New Roman" w:hint="eastAsia"/>
                <w:color w:val="000000"/>
                <w:szCs w:val="21"/>
              </w:rPr>
              <w:t>3</w:t>
            </w:r>
            <w:r>
              <w:rPr>
                <w:rFonts w:cs="Times New Roman"/>
                <w:color w:val="000000"/>
                <w:szCs w:val="21"/>
                <w:vertAlign w:val="superscript"/>
              </w:rPr>
              <w:t>#</w:t>
            </w:r>
          </w:p>
        </w:tc>
        <w:tc>
          <w:tcPr>
            <w:tcW w:w="1431" w:type="dxa"/>
            <w:vMerge w:val="restart"/>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评价标准</w:t>
            </w:r>
          </w:p>
        </w:tc>
      </w:tr>
      <w:tr w:rsidR="00644456" w:rsidTr="00B35AB3">
        <w:trPr>
          <w:jc w:val="center"/>
        </w:trPr>
        <w:tc>
          <w:tcPr>
            <w:tcW w:w="1828" w:type="dxa"/>
            <w:vAlign w:val="center"/>
          </w:tcPr>
          <w:p w:rsidR="00644456" w:rsidRDefault="008031C4">
            <w:pPr>
              <w:snapToGrid w:val="0"/>
              <w:spacing w:line="360" w:lineRule="exact"/>
              <w:jc w:val="center"/>
              <w:rPr>
                <w:rFonts w:cs="Times New Roman"/>
                <w:color w:val="000000"/>
                <w:szCs w:val="21"/>
              </w:rPr>
            </w:pPr>
            <w:r>
              <w:rPr>
                <w:rFonts w:cs="Times New Roman"/>
                <w:color w:val="000000"/>
                <w:szCs w:val="21"/>
              </w:rPr>
              <w:t>检测项目</w:t>
            </w:r>
          </w:p>
        </w:tc>
        <w:tc>
          <w:tcPr>
            <w:tcW w:w="875" w:type="dxa"/>
            <w:vAlign w:val="center"/>
          </w:tcPr>
          <w:p w:rsidR="00644456" w:rsidRDefault="008031C4">
            <w:pPr>
              <w:snapToGrid w:val="0"/>
              <w:spacing w:line="360" w:lineRule="exact"/>
              <w:jc w:val="center"/>
              <w:rPr>
                <w:rFonts w:cs="Times New Roman"/>
                <w:color w:val="000000"/>
                <w:szCs w:val="21"/>
              </w:rPr>
            </w:pPr>
            <w:r>
              <w:rPr>
                <w:rFonts w:cs="Times New Roman"/>
                <w:color w:val="000000"/>
                <w:szCs w:val="21"/>
              </w:rPr>
              <w:t>单位</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color w:val="000000"/>
                <w:szCs w:val="21"/>
              </w:rPr>
              <w:t>检测结果</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Pi</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color w:val="000000"/>
                <w:szCs w:val="21"/>
              </w:rPr>
              <w:t>检测结果</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Pi</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color w:val="000000"/>
                <w:szCs w:val="21"/>
              </w:rPr>
              <w:t>检测结果</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Pi</w:t>
            </w:r>
          </w:p>
        </w:tc>
        <w:tc>
          <w:tcPr>
            <w:tcW w:w="1431" w:type="dxa"/>
            <w:vMerge/>
            <w:vAlign w:val="center"/>
          </w:tcPr>
          <w:p w:rsidR="00644456" w:rsidRDefault="00644456">
            <w:pPr>
              <w:snapToGrid w:val="0"/>
              <w:spacing w:line="360" w:lineRule="exact"/>
              <w:jc w:val="center"/>
              <w:rPr>
                <w:rFonts w:cs="Times New Roman"/>
                <w:color w:val="000000"/>
                <w:szCs w:val="21"/>
              </w:rPr>
            </w:pPr>
          </w:p>
        </w:tc>
      </w:tr>
      <w:tr w:rsidR="00644456" w:rsidTr="00B35AB3">
        <w:trPr>
          <w:jc w:val="center"/>
        </w:trPr>
        <w:tc>
          <w:tcPr>
            <w:tcW w:w="1828" w:type="dxa"/>
            <w:vAlign w:val="center"/>
          </w:tcPr>
          <w:p w:rsidR="00644456" w:rsidRDefault="008031C4">
            <w:pPr>
              <w:spacing w:line="360" w:lineRule="exact"/>
              <w:jc w:val="center"/>
              <w:rPr>
                <w:rFonts w:cs="Times New Roman"/>
                <w:color w:val="000000"/>
                <w:szCs w:val="21"/>
              </w:rPr>
            </w:pPr>
            <w:r>
              <w:rPr>
                <w:rFonts w:cs="Times New Roman"/>
                <w:color w:val="000000"/>
                <w:szCs w:val="21"/>
              </w:rPr>
              <w:t>pH</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无量纲</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7.2</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0.13</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7.1</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0.07</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7.1</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0.07</w:t>
            </w:r>
          </w:p>
        </w:tc>
        <w:tc>
          <w:tcPr>
            <w:tcW w:w="1431"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6.5~8.5</w:t>
            </w:r>
          </w:p>
        </w:tc>
      </w:tr>
      <w:tr w:rsidR="00644456" w:rsidTr="00B35AB3">
        <w:trPr>
          <w:jc w:val="center"/>
        </w:trPr>
        <w:tc>
          <w:tcPr>
            <w:tcW w:w="1828"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rPr>
              <w:t>总硬度</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205</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0.46</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244</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0.54</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1238</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2.75</w:t>
            </w:r>
          </w:p>
        </w:tc>
        <w:tc>
          <w:tcPr>
            <w:tcW w:w="1431"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450</w:t>
            </w:r>
            <w:r>
              <w:rPr>
                <w:rFonts w:cs="Times New Roman"/>
                <w:color w:val="000000"/>
                <w:szCs w:val="21"/>
              </w:rPr>
              <w:t>mg/L</w:t>
            </w:r>
          </w:p>
        </w:tc>
      </w:tr>
      <w:tr w:rsidR="00644456" w:rsidTr="00B35AB3">
        <w:trPr>
          <w:jc w:val="center"/>
        </w:trPr>
        <w:tc>
          <w:tcPr>
            <w:tcW w:w="1828"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耗氧量（</w:t>
            </w:r>
            <w:r>
              <w:rPr>
                <w:rFonts w:cs="Times New Roman"/>
                <w:color w:val="000000"/>
                <w:szCs w:val="21"/>
              </w:rPr>
              <w:t>高锰酸盐指数</w:t>
            </w:r>
            <w:r>
              <w:rPr>
                <w:rFonts w:cs="Times New Roman" w:hint="eastAsia"/>
                <w:color w:val="000000"/>
                <w:szCs w:val="21"/>
              </w:rPr>
              <w:t>）</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1.9</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0.63</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2.0</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0.67</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2.0</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0.67</w:t>
            </w:r>
          </w:p>
        </w:tc>
        <w:tc>
          <w:tcPr>
            <w:tcW w:w="1431"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3.0</w:t>
            </w:r>
            <w:r>
              <w:rPr>
                <w:rFonts w:cs="Times New Roman"/>
                <w:color w:val="000000"/>
                <w:szCs w:val="21"/>
              </w:rPr>
              <w:t>mg/L</w:t>
            </w:r>
          </w:p>
        </w:tc>
      </w:tr>
      <w:tr w:rsidR="00644456" w:rsidTr="00B35AB3">
        <w:trPr>
          <w:jc w:val="center"/>
        </w:trPr>
        <w:tc>
          <w:tcPr>
            <w:tcW w:w="1828"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rPr>
              <w:t>氯离子</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170</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0.68</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158</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0.63</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674</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2.70</w:t>
            </w:r>
          </w:p>
        </w:tc>
        <w:tc>
          <w:tcPr>
            <w:tcW w:w="1431"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250</w:t>
            </w:r>
            <w:r>
              <w:rPr>
                <w:rFonts w:cs="Times New Roman"/>
                <w:color w:val="000000"/>
                <w:szCs w:val="21"/>
              </w:rPr>
              <w:t>mg/L</w:t>
            </w:r>
          </w:p>
        </w:tc>
      </w:tr>
      <w:tr w:rsidR="00644456" w:rsidTr="00B35AB3">
        <w:trPr>
          <w:jc w:val="center"/>
        </w:trPr>
        <w:tc>
          <w:tcPr>
            <w:tcW w:w="1828"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rPr>
              <w:t>溶解性总固体</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634</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0.63</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623</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0.62</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3143</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3.14</w:t>
            </w:r>
          </w:p>
        </w:tc>
        <w:tc>
          <w:tcPr>
            <w:tcW w:w="1431"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1000</w:t>
            </w:r>
            <w:r>
              <w:rPr>
                <w:rFonts w:cs="Times New Roman"/>
                <w:color w:val="000000"/>
                <w:szCs w:val="21"/>
              </w:rPr>
              <w:t>mg/L</w:t>
            </w:r>
          </w:p>
        </w:tc>
      </w:tr>
      <w:tr w:rsidR="00644456" w:rsidTr="00B35AB3">
        <w:trPr>
          <w:jc w:val="center"/>
        </w:trPr>
        <w:tc>
          <w:tcPr>
            <w:tcW w:w="1828"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rPr>
              <w:t>氨氮</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0.083</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0.17</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0.076</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0.15</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0.088</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0.18</w:t>
            </w:r>
          </w:p>
        </w:tc>
        <w:tc>
          <w:tcPr>
            <w:tcW w:w="1431"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0.50</w:t>
            </w:r>
            <w:r>
              <w:rPr>
                <w:rFonts w:cs="Times New Roman"/>
                <w:color w:val="000000"/>
                <w:szCs w:val="21"/>
              </w:rPr>
              <w:t>mg/L</w:t>
            </w:r>
          </w:p>
        </w:tc>
      </w:tr>
      <w:tr w:rsidR="00644456" w:rsidTr="00B35AB3">
        <w:trPr>
          <w:jc w:val="center"/>
        </w:trPr>
        <w:tc>
          <w:tcPr>
            <w:tcW w:w="1828"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rPr>
              <w:t>硝酸盐氮</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0.48</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0.02</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hint="eastAsia"/>
                <w:color w:val="000000"/>
                <w:kern w:val="0"/>
                <w:szCs w:val="21"/>
                <w:lang w:bidi="ar"/>
              </w:rPr>
              <w:t>0.42</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0.02</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hint="eastAsia"/>
                <w:color w:val="000000"/>
                <w:kern w:val="0"/>
                <w:szCs w:val="21"/>
                <w:lang w:bidi="ar"/>
              </w:rPr>
              <w:t>1.52</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0.08</w:t>
            </w:r>
          </w:p>
        </w:tc>
        <w:tc>
          <w:tcPr>
            <w:tcW w:w="1431"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20.0</w:t>
            </w:r>
            <w:r>
              <w:rPr>
                <w:rFonts w:cs="Times New Roman"/>
                <w:color w:val="000000"/>
                <w:szCs w:val="21"/>
              </w:rPr>
              <w:t>mg/L</w:t>
            </w:r>
          </w:p>
        </w:tc>
      </w:tr>
      <w:tr w:rsidR="00644456" w:rsidTr="00B35AB3">
        <w:trPr>
          <w:jc w:val="center"/>
        </w:trPr>
        <w:tc>
          <w:tcPr>
            <w:tcW w:w="1828"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rPr>
              <w:t>亚硝酸盐氮</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0.009</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0.01</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hint="eastAsia"/>
                <w:color w:val="000000"/>
                <w:kern w:val="0"/>
                <w:szCs w:val="21"/>
                <w:lang w:bidi="ar"/>
              </w:rPr>
              <w:t>0.009</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0.01</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hint="eastAsia"/>
                <w:color w:val="000000"/>
                <w:kern w:val="0"/>
                <w:szCs w:val="21"/>
                <w:lang w:bidi="ar"/>
              </w:rPr>
              <w:t>0.016</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0.02</w:t>
            </w:r>
          </w:p>
        </w:tc>
        <w:tc>
          <w:tcPr>
            <w:tcW w:w="1431"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1.00</w:t>
            </w:r>
            <w:r>
              <w:rPr>
                <w:rFonts w:cs="Times New Roman"/>
                <w:color w:val="000000"/>
                <w:szCs w:val="21"/>
              </w:rPr>
              <w:t>mg/L</w:t>
            </w:r>
          </w:p>
        </w:tc>
      </w:tr>
      <w:tr w:rsidR="00644456" w:rsidTr="00B35AB3">
        <w:trPr>
          <w:jc w:val="center"/>
        </w:trPr>
        <w:tc>
          <w:tcPr>
            <w:tcW w:w="1828"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rPr>
              <w:t>硫酸根离子</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175</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0.70</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171</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0.68</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705</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2.82</w:t>
            </w:r>
          </w:p>
        </w:tc>
        <w:tc>
          <w:tcPr>
            <w:tcW w:w="1431"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250</w:t>
            </w:r>
            <w:r>
              <w:rPr>
                <w:rFonts w:cs="Times New Roman"/>
                <w:color w:val="000000"/>
                <w:szCs w:val="21"/>
              </w:rPr>
              <w:t>mg/L</w:t>
            </w:r>
          </w:p>
        </w:tc>
      </w:tr>
      <w:tr w:rsidR="00644456" w:rsidTr="00B35AB3">
        <w:trPr>
          <w:jc w:val="center"/>
        </w:trPr>
        <w:tc>
          <w:tcPr>
            <w:tcW w:w="1828"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rPr>
              <w:t>氟化物</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0.52</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0.52</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0.55</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0.55</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0.51</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0.51</w:t>
            </w:r>
          </w:p>
        </w:tc>
        <w:tc>
          <w:tcPr>
            <w:tcW w:w="1431"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1.0</w:t>
            </w:r>
            <w:r>
              <w:rPr>
                <w:rFonts w:cs="Times New Roman"/>
                <w:color w:val="000000"/>
                <w:szCs w:val="21"/>
              </w:rPr>
              <w:t>mg/L</w:t>
            </w:r>
          </w:p>
        </w:tc>
      </w:tr>
      <w:tr w:rsidR="00644456" w:rsidTr="00B35AB3">
        <w:trPr>
          <w:jc w:val="center"/>
        </w:trPr>
        <w:tc>
          <w:tcPr>
            <w:tcW w:w="1828"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rPr>
              <w:t>氰化物</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0.003</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0.06</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hint="eastAsia"/>
                <w:color w:val="000000"/>
                <w:kern w:val="0"/>
                <w:szCs w:val="21"/>
                <w:lang w:bidi="ar"/>
              </w:rPr>
              <w:t>0.004</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0.08</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hint="eastAsia"/>
                <w:color w:val="000000"/>
                <w:kern w:val="0"/>
                <w:szCs w:val="21"/>
                <w:lang w:bidi="ar"/>
              </w:rPr>
              <w:t>0.003</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0.06</w:t>
            </w:r>
          </w:p>
        </w:tc>
        <w:tc>
          <w:tcPr>
            <w:tcW w:w="1431"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0.05</w:t>
            </w:r>
            <w:r>
              <w:rPr>
                <w:rFonts w:cs="Times New Roman"/>
                <w:color w:val="000000"/>
                <w:szCs w:val="21"/>
              </w:rPr>
              <w:t>mg/L</w:t>
            </w:r>
          </w:p>
        </w:tc>
      </w:tr>
      <w:tr w:rsidR="00644456" w:rsidTr="00B35AB3">
        <w:trPr>
          <w:jc w:val="center"/>
        </w:trPr>
        <w:tc>
          <w:tcPr>
            <w:tcW w:w="1828"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rPr>
              <w:t>挥发酚</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color w:val="000000"/>
                <w:kern w:val="0"/>
                <w:szCs w:val="21"/>
                <w:lang w:bidi="ar"/>
              </w:rPr>
              <w:t>&lt;</w:t>
            </w:r>
            <w:r>
              <w:rPr>
                <w:rFonts w:cs="Times New Roman" w:hint="eastAsia"/>
                <w:color w:val="000000"/>
                <w:kern w:val="0"/>
                <w:szCs w:val="21"/>
                <w:lang w:bidi="ar"/>
              </w:rPr>
              <w:t>0.0003</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0.15</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0.0003</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0.15</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0.0003</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0.15</w:t>
            </w:r>
          </w:p>
        </w:tc>
        <w:tc>
          <w:tcPr>
            <w:tcW w:w="1431"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0.002</w:t>
            </w:r>
            <w:r>
              <w:rPr>
                <w:rFonts w:cs="Times New Roman"/>
                <w:color w:val="000000"/>
                <w:szCs w:val="21"/>
              </w:rPr>
              <w:t>mg/L</w:t>
            </w:r>
          </w:p>
        </w:tc>
      </w:tr>
      <w:tr w:rsidR="00644456" w:rsidTr="00B35AB3">
        <w:trPr>
          <w:jc w:val="center"/>
        </w:trPr>
        <w:tc>
          <w:tcPr>
            <w:tcW w:w="1828" w:type="dxa"/>
            <w:vAlign w:val="center"/>
          </w:tcPr>
          <w:p w:rsidR="00644456" w:rsidRDefault="008031C4">
            <w:pPr>
              <w:spacing w:line="360" w:lineRule="exact"/>
              <w:jc w:val="center"/>
              <w:rPr>
                <w:rFonts w:cs="Times New Roman"/>
                <w:color w:val="000000"/>
                <w:kern w:val="0"/>
                <w:szCs w:val="21"/>
              </w:rPr>
            </w:pPr>
            <w:r>
              <w:rPr>
                <w:rFonts w:cs="Times New Roman" w:hint="eastAsia"/>
                <w:color w:val="000000"/>
                <w:kern w:val="0"/>
                <w:szCs w:val="21"/>
              </w:rPr>
              <w:t>镍</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0.010</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0.50</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0.010</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0.50</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0.010</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0.50</w:t>
            </w:r>
          </w:p>
        </w:tc>
        <w:tc>
          <w:tcPr>
            <w:tcW w:w="1431"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0.02</w:t>
            </w:r>
            <w:r>
              <w:rPr>
                <w:rFonts w:cs="Times New Roman"/>
                <w:color w:val="000000"/>
                <w:szCs w:val="21"/>
              </w:rPr>
              <w:t>mg/L</w:t>
            </w:r>
          </w:p>
        </w:tc>
      </w:tr>
      <w:tr w:rsidR="00644456" w:rsidTr="00B35AB3">
        <w:trPr>
          <w:jc w:val="center"/>
        </w:trPr>
        <w:tc>
          <w:tcPr>
            <w:tcW w:w="1828"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碳酸根离子</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0.00</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0.00</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0.00</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1431"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lang w:bidi="ar"/>
              </w:rPr>
              <w:t>/</w:t>
            </w:r>
          </w:p>
        </w:tc>
      </w:tr>
      <w:tr w:rsidR="00644456" w:rsidTr="00B35AB3">
        <w:trPr>
          <w:jc w:val="center"/>
        </w:trPr>
        <w:tc>
          <w:tcPr>
            <w:tcW w:w="1828"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碳酸氢根离子</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58.2</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69.5</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563.5</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1431"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lang w:bidi="ar"/>
              </w:rPr>
              <w:t>/</w:t>
            </w:r>
          </w:p>
        </w:tc>
      </w:tr>
      <w:tr w:rsidR="00644456" w:rsidTr="00B35AB3">
        <w:trPr>
          <w:jc w:val="center"/>
        </w:trPr>
        <w:tc>
          <w:tcPr>
            <w:tcW w:w="1828"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钾离子</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7.31</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8.43</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36.7</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1431"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lang w:bidi="ar"/>
              </w:rPr>
              <w:t>/</w:t>
            </w:r>
          </w:p>
        </w:tc>
      </w:tr>
      <w:tr w:rsidR="00644456" w:rsidTr="00B35AB3">
        <w:trPr>
          <w:jc w:val="center"/>
        </w:trPr>
        <w:tc>
          <w:tcPr>
            <w:tcW w:w="1828"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钙离子</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30.0</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49.6</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137</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1431"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lang w:bidi="ar"/>
              </w:rPr>
              <w:t>/</w:t>
            </w:r>
          </w:p>
        </w:tc>
      </w:tr>
      <w:tr w:rsidR="00644456" w:rsidTr="00B35AB3">
        <w:trPr>
          <w:jc w:val="center"/>
        </w:trPr>
        <w:tc>
          <w:tcPr>
            <w:tcW w:w="1828"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钠离子</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105</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0.53</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77.3</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0.39</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499</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2.50</w:t>
            </w:r>
          </w:p>
        </w:tc>
        <w:tc>
          <w:tcPr>
            <w:tcW w:w="1431"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200</w:t>
            </w:r>
            <w:r>
              <w:rPr>
                <w:rFonts w:cs="Times New Roman"/>
                <w:color w:val="000000"/>
                <w:szCs w:val="21"/>
              </w:rPr>
              <w:t>mg/L</w:t>
            </w:r>
          </w:p>
        </w:tc>
      </w:tr>
      <w:tr w:rsidR="00644456" w:rsidTr="00B35AB3">
        <w:trPr>
          <w:jc w:val="center"/>
        </w:trPr>
        <w:tc>
          <w:tcPr>
            <w:tcW w:w="1828"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lastRenderedPageBreak/>
              <w:t>镁离子</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31.2</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28.8</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215</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1431"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lang w:bidi="ar"/>
              </w:rPr>
              <w:t>/</w:t>
            </w:r>
          </w:p>
        </w:tc>
      </w:tr>
      <w:tr w:rsidR="00644456" w:rsidTr="00B35AB3">
        <w:trPr>
          <w:jc w:val="center"/>
        </w:trPr>
        <w:tc>
          <w:tcPr>
            <w:tcW w:w="1828" w:type="dxa"/>
            <w:vAlign w:val="center"/>
          </w:tcPr>
          <w:p w:rsidR="00644456" w:rsidRDefault="008031C4">
            <w:pPr>
              <w:spacing w:line="360" w:lineRule="exact"/>
              <w:jc w:val="center"/>
              <w:rPr>
                <w:rFonts w:cs="Times New Roman"/>
                <w:color w:val="000000"/>
                <w:kern w:val="0"/>
                <w:szCs w:val="21"/>
              </w:rPr>
            </w:pPr>
            <w:r>
              <w:rPr>
                <w:rFonts w:cs="Times New Roman" w:hint="eastAsia"/>
                <w:color w:val="000000"/>
                <w:kern w:val="0"/>
                <w:szCs w:val="21"/>
              </w:rPr>
              <w:t>铜</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μg/L</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color w:val="000000"/>
                <w:kern w:val="0"/>
                <w:szCs w:val="21"/>
                <w:lang w:bidi="ar"/>
              </w:rPr>
              <w:t>&lt;</w:t>
            </w:r>
            <w:r>
              <w:rPr>
                <w:rFonts w:cs="Times New Roman" w:hint="eastAsia"/>
                <w:color w:val="000000"/>
                <w:kern w:val="0"/>
                <w:szCs w:val="21"/>
                <w:lang w:bidi="ar"/>
              </w:rPr>
              <w:t>0.25</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0.25</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color w:val="000000"/>
                <w:kern w:val="0"/>
                <w:szCs w:val="21"/>
                <w:lang w:bidi="ar"/>
              </w:rPr>
              <w:t>&lt;</w:t>
            </w:r>
            <w:r>
              <w:rPr>
                <w:rFonts w:cs="Times New Roman" w:hint="eastAsia"/>
                <w:color w:val="000000"/>
                <w:kern w:val="0"/>
                <w:szCs w:val="21"/>
                <w:lang w:bidi="ar"/>
              </w:rPr>
              <w:t>0.25</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0.25</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color w:val="000000"/>
                <w:kern w:val="0"/>
                <w:szCs w:val="21"/>
                <w:lang w:bidi="ar"/>
              </w:rPr>
              <w:t>&lt;</w:t>
            </w:r>
            <w:r>
              <w:rPr>
                <w:rFonts w:cs="Times New Roman" w:hint="eastAsia"/>
                <w:color w:val="000000"/>
                <w:kern w:val="0"/>
                <w:szCs w:val="21"/>
                <w:lang w:bidi="ar"/>
              </w:rPr>
              <w:t>0.25</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0.25</w:t>
            </w:r>
          </w:p>
        </w:tc>
        <w:tc>
          <w:tcPr>
            <w:tcW w:w="1431"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1.00</w:t>
            </w:r>
            <w:r>
              <w:rPr>
                <w:rFonts w:cs="Times New Roman"/>
                <w:color w:val="000000"/>
                <w:szCs w:val="21"/>
              </w:rPr>
              <w:t>mg/L</w:t>
            </w:r>
          </w:p>
        </w:tc>
      </w:tr>
      <w:tr w:rsidR="00644456" w:rsidTr="00B35AB3">
        <w:trPr>
          <w:jc w:val="center"/>
        </w:trPr>
        <w:tc>
          <w:tcPr>
            <w:tcW w:w="1828" w:type="dxa"/>
            <w:vAlign w:val="center"/>
          </w:tcPr>
          <w:p w:rsidR="00644456" w:rsidRDefault="008031C4">
            <w:pPr>
              <w:spacing w:line="360" w:lineRule="exact"/>
              <w:jc w:val="center"/>
              <w:rPr>
                <w:rFonts w:cs="Times New Roman"/>
                <w:color w:val="000000"/>
                <w:kern w:val="0"/>
                <w:szCs w:val="21"/>
              </w:rPr>
            </w:pPr>
            <w:r>
              <w:rPr>
                <w:rFonts w:cs="Times New Roman" w:hint="eastAsia"/>
                <w:color w:val="000000"/>
                <w:kern w:val="0"/>
                <w:szCs w:val="21"/>
              </w:rPr>
              <w:t>锌</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color w:val="000000"/>
                <w:kern w:val="0"/>
                <w:szCs w:val="21"/>
                <w:lang w:bidi="ar"/>
              </w:rPr>
              <w:t>&lt;</w:t>
            </w:r>
            <w:r>
              <w:rPr>
                <w:rFonts w:cs="Times New Roman" w:hint="eastAsia"/>
                <w:color w:val="000000"/>
                <w:kern w:val="0"/>
                <w:szCs w:val="21"/>
                <w:lang w:bidi="ar"/>
              </w:rPr>
              <w:t>0.01</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0.01</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color w:val="000000"/>
                <w:kern w:val="0"/>
                <w:szCs w:val="21"/>
                <w:lang w:bidi="ar"/>
              </w:rPr>
              <w:t>&lt;</w:t>
            </w:r>
            <w:r>
              <w:rPr>
                <w:rFonts w:cs="Times New Roman" w:hint="eastAsia"/>
                <w:color w:val="000000"/>
                <w:kern w:val="0"/>
                <w:szCs w:val="21"/>
                <w:lang w:bidi="ar"/>
              </w:rPr>
              <w:t>0.01</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0.01</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color w:val="000000"/>
                <w:kern w:val="0"/>
                <w:szCs w:val="21"/>
                <w:lang w:bidi="ar"/>
              </w:rPr>
              <w:t>&lt;</w:t>
            </w:r>
            <w:r>
              <w:rPr>
                <w:rFonts w:cs="Times New Roman" w:hint="eastAsia"/>
                <w:color w:val="000000"/>
                <w:kern w:val="0"/>
                <w:szCs w:val="21"/>
                <w:lang w:bidi="ar"/>
              </w:rPr>
              <w:t>0.01</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0.01</w:t>
            </w:r>
          </w:p>
        </w:tc>
        <w:tc>
          <w:tcPr>
            <w:tcW w:w="1431"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1.00</w:t>
            </w:r>
            <w:r>
              <w:rPr>
                <w:rFonts w:cs="Times New Roman"/>
                <w:color w:val="000000"/>
                <w:szCs w:val="21"/>
              </w:rPr>
              <w:t>mg/L</w:t>
            </w:r>
          </w:p>
        </w:tc>
      </w:tr>
      <w:tr w:rsidR="00644456" w:rsidTr="00B35AB3">
        <w:trPr>
          <w:jc w:val="center"/>
        </w:trPr>
        <w:tc>
          <w:tcPr>
            <w:tcW w:w="1828"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六价铬</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0.004</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0.08</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0.004</w:t>
            </w:r>
          </w:p>
        </w:tc>
        <w:tc>
          <w:tcPr>
            <w:tcW w:w="77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0.08</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hint="eastAsia"/>
                <w:color w:val="000000"/>
                <w:kern w:val="0"/>
                <w:szCs w:val="21"/>
                <w:lang w:bidi="ar"/>
              </w:rPr>
              <w:t>0.005</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0.10</w:t>
            </w:r>
          </w:p>
        </w:tc>
        <w:tc>
          <w:tcPr>
            <w:tcW w:w="1431"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0.05</w:t>
            </w:r>
            <w:r>
              <w:rPr>
                <w:rFonts w:cs="Times New Roman"/>
                <w:color w:val="000000"/>
                <w:szCs w:val="21"/>
              </w:rPr>
              <w:t>mg/L</w:t>
            </w:r>
          </w:p>
        </w:tc>
      </w:tr>
      <w:tr w:rsidR="00644456" w:rsidTr="00B35AB3">
        <w:trPr>
          <w:jc w:val="center"/>
        </w:trPr>
        <w:tc>
          <w:tcPr>
            <w:tcW w:w="1828" w:type="dxa"/>
            <w:vAlign w:val="center"/>
          </w:tcPr>
          <w:p w:rsidR="00644456" w:rsidRDefault="008031C4">
            <w:pPr>
              <w:spacing w:line="360" w:lineRule="exact"/>
              <w:jc w:val="center"/>
              <w:rPr>
                <w:rFonts w:cs="Times New Roman"/>
                <w:color w:val="000000"/>
                <w:kern w:val="0"/>
                <w:szCs w:val="21"/>
              </w:rPr>
            </w:pPr>
            <w:r>
              <w:rPr>
                <w:rFonts w:cs="Times New Roman" w:hint="eastAsia"/>
                <w:color w:val="000000"/>
                <w:kern w:val="0"/>
                <w:szCs w:val="21"/>
              </w:rPr>
              <w:t>铁</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color w:val="000000"/>
                <w:kern w:val="0"/>
                <w:szCs w:val="21"/>
                <w:lang w:bidi="ar"/>
              </w:rPr>
              <w:t>&lt;</w:t>
            </w:r>
            <w:r>
              <w:rPr>
                <w:rFonts w:cs="Times New Roman" w:hint="eastAsia"/>
                <w:color w:val="000000"/>
                <w:kern w:val="0"/>
                <w:szCs w:val="21"/>
                <w:lang w:bidi="ar"/>
              </w:rPr>
              <w:t>0.03</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0.10</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color w:val="000000"/>
                <w:kern w:val="0"/>
                <w:szCs w:val="21"/>
                <w:lang w:bidi="ar"/>
              </w:rPr>
              <w:t>&lt;</w:t>
            </w:r>
            <w:r>
              <w:rPr>
                <w:rFonts w:cs="Times New Roman" w:hint="eastAsia"/>
                <w:color w:val="000000"/>
                <w:kern w:val="0"/>
                <w:szCs w:val="21"/>
                <w:lang w:bidi="ar"/>
              </w:rPr>
              <w:t>0.03</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0.10</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0.03</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0.10</w:t>
            </w:r>
          </w:p>
        </w:tc>
        <w:tc>
          <w:tcPr>
            <w:tcW w:w="1431"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0.3</w:t>
            </w:r>
            <w:r>
              <w:rPr>
                <w:rFonts w:cs="Times New Roman"/>
                <w:color w:val="000000"/>
                <w:szCs w:val="21"/>
              </w:rPr>
              <w:t>mg/L</w:t>
            </w:r>
          </w:p>
        </w:tc>
      </w:tr>
      <w:tr w:rsidR="00644456" w:rsidTr="00B35AB3">
        <w:trPr>
          <w:jc w:val="center"/>
        </w:trPr>
        <w:tc>
          <w:tcPr>
            <w:tcW w:w="1828" w:type="dxa"/>
            <w:vAlign w:val="center"/>
          </w:tcPr>
          <w:p w:rsidR="00644456" w:rsidRDefault="008031C4">
            <w:pPr>
              <w:spacing w:line="360" w:lineRule="exact"/>
              <w:jc w:val="center"/>
              <w:rPr>
                <w:rFonts w:cs="Times New Roman"/>
                <w:color w:val="000000"/>
                <w:kern w:val="0"/>
                <w:szCs w:val="21"/>
              </w:rPr>
            </w:pPr>
            <w:r>
              <w:rPr>
                <w:rFonts w:cs="Times New Roman" w:hint="eastAsia"/>
                <w:color w:val="000000"/>
                <w:kern w:val="0"/>
                <w:szCs w:val="21"/>
              </w:rPr>
              <w:t>锰</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color w:val="000000"/>
                <w:kern w:val="0"/>
                <w:szCs w:val="21"/>
                <w:lang w:bidi="ar"/>
              </w:rPr>
              <w:t>&lt;</w:t>
            </w:r>
            <w:r>
              <w:rPr>
                <w:rFonts w:cs="Times New Roman" w:hint="eastAsia"/>
                <w:color w:val="000000"/>
                <w:kern w:val="0"/>
                <w:szCs w:val="21"/>
                <w:lang w:bidi="ar"/>
              </w:rPr>
              <w:t>0.01</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0.10</w:t>
            </w:r>
          </w:p>
        </w:tc>
        <w:tc>
          <w:tcPr>
            <w:tcW w:w="775" w:type="dxa"/>
            <w:vAlign w:val="center"/>
          </w:tcPr>
          <w:p w:rsidR="00644456" w:rsidRDefault="008031C4">
            <w:pPr>
              <w:snapToGrid w:val="0"/>
              <w:spacing w:line="360" w:lineRule="exact"/>
              <w:jc w:val="center"/>
              <w:rPr>
                <w:rFonts w:cs="Times New Roman"/>
                <w:color w:val="000000"/>
                <w:szCs w:val="21"/>
              </w:rPr>
            </w:pPr>
            <w:r>
              <w:rPr>
                <w:rFonts w:cs="Times New Roman"/>
                <w:color w:val="000000"/>
                <w:kern w:val="0"/>
                <w:szCs w:val="21"/>
                <w:lang w:bidi="ar"/>
              </w:rPr>
              <w:t>&lt;</w:t>
            </w:r>
            <w:r>
              <w:rPr>
                <w:rFonts w:cs="Times New Roman" w:hint="eastAsia"/>
                <w:color w:val="000000"/>
                <w:kern w:val="0"/>
                <w:szCs w:val="21"/>
                <w:lang w:bidi="ar"/>
              </w:rPr>
              <w:t>0.01</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0.10</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0.01</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0.10</w:t>
            </w:r>
          </w:p>
        </w:tc>
        <w:tc>
          <w:tcPr>
            <w:tcW w:w="1431"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0.10</w:t>
            </w:r>
            <w:r>
              <w:rPr>
                <w:rFonts w:cs="Times New Roman"/>
                <w:color w:val="000000"/>
                <w:szCs w:val="21"/>
              </w:rPr>
              <w:t>mg/L</w:t>
            </w:r>
          </w:p>
        </w:tc>
      </w:tr>
      <w:tr w:rsidR="00644456" w:rsidTr="00B35AB3">
        <w:trPr>
          <w:jc w:val="center"/>
        </w:trPr>
        <w:tc>
          <w:tcPr>
            <w:tcW w:w="1828" w:type="dxa"/>
            <w:vAlign w:val="center"/>
          </w:tcPr>
          <w:p w:rsidR="00644456" w:rsidRDefault="008031C4">
            <w:pPr>
              <w:spacing w:line="360" w:lineRule="exact"/>
              <w:jc w:val="center"/>
              <w:rPr>
                <w:rFonts w:cs="Times New Roman"/>
                <w:color w:val="000000"/>
                <w:kern w:val="0"/>
                <w:szCs w:val="21"/>
              </w:rPr>
            </w:pPr>
            <w:r>
              <w:rPr>
                <w:rFonts w:cs="Times New Roman" w:hint="eastAsia"/>
                <w:color w:val="000000"/>
                <w:kern w:val="0"/>
                <w:szCs w:val="21"/>
              </w:rPr>
              <w:t>铝</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0.009</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0.05</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0.009</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0.05</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0.009</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0.05</w:t>
            </w:r>
          </w:p>
        </w:tc>
        <w:tc>
          <w:tcPr>
            <w:tcW w:w="1431"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0.20</w:t>
            </w:r>
            <w:r>
              <w:rPr>
                <w:rFonts w:cs="Times New Roman"/>
                <w:color w:val="000000"/>
                <w:szCs w:val="21"/>
              </w:rPr>
              <w:t>mg/L</w:t>
            </w:r>
          </w:p>
        </w:tc>
      </w:tr>
      <w:tr w:rsidR="00644456" w:rsidTr="00B35AB3">
        <w:trPr>
          <w:jc w:val="center"/>
        </w:trPr>
        <w:tc>
          <w:tcPr>
            <w:tcW w:w="1828" w:type="dxa"/>
            <w:vAlign w:val="center"/>
          </w:tcPr>
          <w:p w:rsidR="00644456" w:rsidRDefault="008031C4">
            <w:pPr>
              <w:spacing w:line="360" w:lineRule="exact"/>
              <w:jc w:val="center"/>
              <w:rPr>
                <w:rFonts w:cs="Times New Roman"/>
                <w:color w:val="000000"/>
                <w:kern w:val="0"/>
                <w:szCs w:val="21"/>
              </w:rPr>
            </w:pPr>
            <w:r>
              <w:rPr>
                <w:rFonts w:cs="Times New Roman"/>
                <w:color w:val="000000"/>
                <w:szCs w:val="21"/>
              </w:rPr>
              <w:t>阴离子表面活性剂</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0.05</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0.17</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0.05</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0.17</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0.05</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0.17</w:t>
            </w:r>
          </w:p>
        </w:tc>
        <w:tc>
          <w:tcPr>
            <w:tcW w:w="1431"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0.3</w:t>
            </w:r>
            <w:r>
              <w:rPr>
                <w:rFonts w:cs="Times New Roman"/>
                <w:color w:val="000000"/>
                <w:szCs w:val="21"/>
              </w:rPr>
              <w:t>mg/L</w:t>
            </w:r>
          </w:p>
        </w:tc>
      </w:tr>
      <w:tr w:rsidR="00644456" w:rsidTr="00B35AB3">
        <w:trPr>
          <w:jc w:val="center"/>
        </w:trPr>
        <w:tc>
          <w:tcPr>
            <w:tcW w:w="1828" w:type="dxa"/>
            <w:vAlign w:val="center"/>
          </w:tcPr>
          <w:p w:rsidR="00644456" w:rsidRDefault="008031C4">
            <w:pPr>
              <w:spacing w:line="360" w:lineRule="exact"/>
              <w:jc w:val="center"/>
              <w:rPr>
                <w:rFonts w:cs="Times New Roman"/>
                <w:color w:val="000000"/>
                <w:kern w:val="0"/>
                <w:szCs w:val="21"/>
              </w:rPr>
            </w:pPr>
            <w:r>
              <w:rPr>
                <w:rFonts w:cs="Times New Roman" w:hint="eastAsia"/>
                <w:color w:val="000000"/>
                <w:kern w:val="0"/>
                <w:szCs w:val="21"/>
              </w:rPr>
              <w:t>硫化物</w:t>
            </w:r>
          </w:p>
        </w:tc>
        <w:tc>
          <w:tcPr>
            <w:tcW w:w="875"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0.003</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0.15</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0.003</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0.15</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0.003</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0.15</w:t>
            </w:r>
          </w:p>
        </w:tc>
        <w:tc>
          <w:tcPr>
            <w:tcW w:w="1431"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0.02</w:t>
            </w:r>
            <w:r>
              <w:rPr>
                <w:rFonts w:cs="Times New Roman"/>
                <w:color w:val="000000"/>
                <w:szCs w:val="21"/>
              </w:rPr>
              <w:t>mg/L</w:t>
            </w:r>
          </w:p>
        </w:tc>
      </w:tr>
      <w:tr w:rsidR="00644456" w:rsidTr="00B35AB3">
        <w:trPr>
          <w:jc w:val="center"/>
        </w:trPr>
        <w:tc>
          <w:tcPr>
            <w:tcW w:w="1828" w:type="dxa"/>
            <w:vAlign w:val="center"/>
          </w:tcPr>
          <w:p w:rsidR="00644456" w:rsidRDefault="008031C4">
            <w:pPr>
              <w:spacing w:line="360" w:lineRule="exact"/>
              <w:jc w:val="center"/>
              <w:rPr>
                <w:rFonts w:cs="Times New Roman"/>
                <w:color w:val="000000"/>
                <w:kern w:val="0"/>
                <w:szCs w:val="21"/>
              </w:rPr>
            </w:pPr>
            <w:r>
              <w:rPr>
                <w:rFonts w:cs="Times New Roman" w:hint="eastAsia"/>
                <w:color w:val="000000"/>
                <w:kern w:val="0"/>
                <w:szCs w:val="21"/>
              </w:rPr>
              <w:t>石油类</w:t>
            </w:r>
          </w:p>
        </w:tc>
        <w:tc>
          <w:tcPr>
            <w:tcW w:w="875" w:type="dxa"/>
            <w:vAlign w:val="center"/>
          </w:tcPr>
          <w:p w:rsidR="00644456" w:rsidRDefault="008031C4">
            <w:pPr>
              <w:spacing w:line="360" w:lineRule="exact"/>
              <w:jc w:val="center"/>
              <w:rPr>
                <w:rFonts w:cs="Times New Roman"/>
                <w:color w:val="000000"/>
                <w:szCs w:val="21"/>
              </w:rPr>
            </w:pPr>
            <w:r>
              <w:rPr>
                <w:bCs/>
                <w:szCs w:val="21"/>
              </w:rPr>
              <w:t>mg/L</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hint="eastAsia"/>
                <w:szCs w:val="21"/>
              </w:rPr>
              <w:t>&lt;0.01</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hint="eastAsia"/>
                <w:szCs w:val="21"/>
              </w:rPr>
              <w:t>&lt;0.01</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w:t>
            </w:r>
          </w:p>
        </w:tc>
        <w:tc>
          <w:tcPr>
            <w:tcW w:w="775"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hint="eastAsia"/>
                <w:szCs w:val="21"/>
              </w:rPr>
              <w:t>&lt;0.01</w:t>
            </w:r>
          </w:p>
        </w:tc>
        <w:tc>
          <w:tcPr>
            <w:tcW w:w="77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w:t>
            </w:r>
          </w:p>
        </w:tc>
        <w:tc>
          <w:tcPr>
            <w:tcW w:w="1431"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lang w:bidi="ar"/>
              </w:rPr>
              <w:t>/</w:t>
            </w:r>
          </w:p>
        </w:tc>
      </w:tr>
    </w:tbl>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续表</w:t>
      </w:r>
      <w:r>
        <w:rPr>
          <w:rFonts w:cs="Times New Roman" w:hint="eastAsia"/>
          <w:b/>
          <w:color w:val="000000" w:themeColor="text1"/>
          <w:sz w:val="24"/>
          <w:szCs w:val="20"/>
        </w:rPr>
        <w:t>3.5-4</w:t>
      </w:r>
      <w:r>
        <w:rPr>
          <w:rFonts w:cs="Times New Roman" w:hint="eastAsia"/>
          <w:b/>
          <w:color w:val="000000" w:themeColor="text1"/>
          <w:sz w:val="24"/>
          <w:szCs w:val="20"/>
        </w:rPr>
        <w:t>地下水质量现状数据统计与分析结果表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4"/>
        <w:gridCol w:w="920"/>
        <w:gridCol w:w="1244"/>
        <w:gridCol w:w="1245"/>
        <w:gridCol w:w="1244"/>
        <w:gridCol w:w="1245"/>
        <w:gridCol w:w="1379"/>
      </w:tblGrid>
      <w:tr w:rsidR="00644456" w:rsidTr="00B35AB3">
        <w:trPr>
          <w:jc w:val="center"/>
        </w:trPr>
        <w:tc>
          <w:tcPr>
            <w:tcW w:w="2812" w:type="dxa"/>
            <w:gridSpan w:val="2"/>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监测点位名称</w:t>
            </w:r>
          </w:p>
        </w:tc>
        <w:tc>
          <w:tcPr>
            <w:tcW w:w="2429" w:type="dxa"/>
            <w:gridSpan w:val="2"/>
            <w:vAlign w:val="center"/>
          </w:tcPr>
          <w:p w:rsidR="00644456" w:rsidRDefault="008031C4">
            <w:pPr>
              <w:spacing w:line="360" w:lineRule="exact"/>
              <w:jc w:val="center"/>
              <w:rPr>
                <w:rFonts w:cs="Times New Roman"/>
                <w:color w:val="000000"/>
                <w:szCs w:val="21"/>
              </w:rPr>
            </w:pPr>
            <w:r>
              <w:rPr>
                <w:rFonts w:cs="Times New Roman"/>
                <w:color w:val="000000"/>
                <w:szCs w:val="21"/>
              </w:rPr>
              <w:t>DXS</w:t>
            </w:r>
            <w:r>
              <w:rPr>
                <w:rFonts w:cs="Times New Roman" w:hint="eastAsia"/>
                <w:color w:val="000000"/>
                <w:szCs w:val="21"/>
              </w:rPr>
              <w:t>4</w:t>
            </w:r>
            <w:r>
              <w:rPr>
                <w:rFonts w:cs="Times New Roman"/>
                <w:color w:val="000000"/>
                <w:szCs w:val="21"/>
                <w:vertAlign w:val="superscript"/>
              </w:rPr>
              <w:t>#</w:t>
            </w:r>
            <w:r>
              <w:rPr>
                <w:rFonts w:cs="Times New Roman"/>
                <w:color w:val="000000"/>
                <w:szCs w:val="21"/>
              </w:rPr>
              <w:t>-1-1</w:t>
            </w:r>
          </w:p>
        </w:tc>
        <w:tc>
          <w:tcPr>
            <w:tcW w:w="2429" w:type="dxa"/>
            <w:gridSpan w:val="2"/>
            <w:vAlign w:val="center"/>
          </w:tcPr>
          <w:p w:rsidR="00644456" w:rsidRDefault="008031C4">
            <w:pPr>
              <w:spacing w:line="360" w:lineRule="exact"/>
              <w:jc w:val="center"/>
              <w:rPr>
                <w:rFonts w:cs="Times New Roman"/>
                <w:color w:val="000000"/>
                <w:szCs w:val="21"/>
              </w:rPr>
            </w:pPr>
            <w:r>
              <w:rPr>
                <w:rFonts w:cs="Times New Roman"/>
                <w:color w:val="000000"/>
                <w:szCs w:val="21"/>
              </w:rPr>
              <w:t>DXS-</w:t>
            </w:r>
            <w:r>
              <w:rPr>
                <w:rFonts w:cs="Times New Roman" w:hint="eastAsia"/>
                <w:color w:val="000000"/>
                <w:szCs w:val="21"/>
              </w:rPr>
              <w:t>5</w:t>
            </w:r>
            <w:r>
              <w:rPr>
                <w:rFonts w:cs="Times New Roman"/>
                <w:color w:val="000000"/>
                <w:szCs w:val="21"/>
                <w:vertAlign w:val="superscript"/>
              </w:rPr>
              <w:t>#</w:t>
            </w:r>
            <w:r>
              <w:rPr>
                <w:rFonts w:cs="Times New Roman"/>
                <w:color w:val="000000"/>
                <w:szCs w:val="21"/>
              </w:rPr>
              <w:t>-1-1</w:t>
            </w:r>
          </w:p>
        </w:tc>
        <w:tc>
          <w:tcPr>
            <w:tcW w:w="1345" w:type="dxa"/>
            <w:vMerge w:val="restart"/>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评价标准</w:t>
            </w:r>
          </w:p>
        </w:tc>
      </w:tr>
      <w:tr w:rsidR="00644456" w:rsidTr="00B35AB3">
        <w:trPr>
          <w:jc w:val="center"/>
        </w:trPr>
        <w:tc>
          <w:tcPr>
            <w:tcW w:w="1915" w:type="dxa"/>
            <w:vAlign w:val="center"/>
          </w:tcPr>
          <w:p w:rsidR="00644456" w:rsidRDefault="008031C4">
            <w:pPr>
              <w:snapToGrid w:val="0"/>
              <w:spacing w:line="360" w:lineRule="exact"/>
              <w:jc w:val="center"/>
              <w:rPr>
                <w:rFonts w:cs="Times New Roman"/>
                <w:color w:val="000000"/>
                <w:szCs w:val="21"/>
              </w:rPr>
            </w:pPr>
            <w:r>
              <w:rPr>
                <w:rFonts w:cs="Times New Roman"/>
                <w:color w:val="000000"/>
                <w:szCs w:val="21"/>
              </w:rPr>
              <w:t>检测项目</w:t>
            </w:r>
          </w:p>
        </w:tc>
        <w:tc>
          <w:tcPr>
            <w:tcW w:w="897" w:type="dxa"/>
            <w:vAlign w:val="center"/>
          </w:tcPr>
          <w:p w:rsidR="00644456" w:rsidRDefault="008031C4">
            <w:pPr>
              <w:snapToGrid w:val="0"/>
              <w:spacing w:line="360" w:lineRule="exact"/>
              <w:jc w:val="center"/>
              <w:rPr>
                <w:rFonts w:cs="Times New Roman"/>
                <w:color w:val="000000"/>
                <w:szCs w:val="21"/>
              </w:rPr>
            </w:pPr>
            <w:r>
              <w:rPr>
                <w:rFonts w:cs="Times New Roman"/>
                <w:color w:val="000000"/>
                <w:szCs w:val="21"/>
              </w:rPr>
              <w:t>单位</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color w:val="000000"/>
                <w:szCs w:val="21"/>
              </w:rPr>
              <w:t>检测结果</w:t>
            </w:r>
          </w:p>
        </w:tc>
        <w:tc>
          <w:tcPr>
            <w:tcW w:w="121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Pi</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color w:val="000000"/>
                <w:szCs w:val="21"/>
              </w:rPr>
              <w:t>检测结果</w:t>
            </w:r>
          </w:p>
        </w:tc>
        <w:tc>
          <w:tcPr>
            <w:tcW w:w="121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Pi</w:t>
            </w:r>
          </w:p>
        </w:tc>
        <w:tc>
          <w:tcPr>
            <w:tcW w:w="1345" w:type="dxa"/>
            <w:vMerge/>
            <w:vAlign w:val="center"/>
          </w:tcPr>
          <w:p w:rsidR="00644456" w:rsidRDefault="00644456">
            <w:pPr>
              <w:snapToGrid w:val="0"/>
              <w:spacing w:line="360" w:lineRule="exact"/>
              <w:jc w:val="center"/>
              <w:rPr>
                <w:rFonts w:cs="Times New Roman"/>
                <w:color w:val="000000"/>
                <w:szCs w:val="21"/>
              </w:rPr>
            </w:pPr>
          </w:p>
        </w:tc>
      </w:tr>
      <w:tr w:rsidR="00644456" w:rsidTr="00B35AB3">
        <w:trPr>
          <w:jc w:val="center"/>
        </w:trPr>
        <w:tc>
          <w:tcPr>
            <w:tcW w:w="1915" w:type="dxa"/>
            <w:vAlign w:val="center"/>
          </w:tcPr>
          <w:p w:rsidR="00644456" w:rsidRDefault="008031C4">
            <w:pPr>
              <w:spacing w:line="360" w:lineRule="exact"/>
              <w:jc w:val="center"/>
              <w:rPr>
                <w:rFonts w:cs="Times New Roman"/>
                <w:color w:val="000000"/>
                <w:szCs w:val="21"/>
              </w:rPr>
            </w:pPr>
            <w:r>
              <w:rPr>
                <w:rFonts w:cs="Times New Roman"/>
                <w:color w:val="000000"/>
                <w:szCs w:val="21"/>
              </w:rPr>
              <w:t>pH</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无量纲</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7.2</w:t>
            </w:r>
          </w:p>
        </w:tc>
        <w:tc>
          <w:tcPr>
            <w:tcW w:w="121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0.13</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7.2</w:t>
            </w:r>
          </w:p>
        </w:tc>
        <w:tc>
          <w:tcPr>
            <w:tcW w:w="1215"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0.13</w:t>
            </w:r>
          </w:p>
        </w:tc>
        <w:tc>
          <w:tcPr>
            <w:tcW w:w="1345"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6.5~8.5</w:t>
            </w:r>
          </w:p>
        </w:tc>
      </w:tr>
      <w:tr w:rsidR="00644456" w:rsidTr="00B35AB3">
        <w:trPr>
          <w:jc w:val="center"/>
        </w:trPr>
        <w:tc>
          <w:tcPr>
            <w:tcW w:w="1915"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rPr>
              <w:t>总硬度</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1242</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2.76</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381</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0.85</w:t>
            </w:r>
          </w:p>
        </w:tc>
        <w:tc>
          <w:tcPr>
            <w:tcW w:w="1345"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450</w:t>
            </w:r>
            <w:r>
              <w:rPr>
                <w:rFonts w:cs="Times New Roman"/>
                <w:color w:val="000000"/>
                <w:szCs w:val="21"/>
              </w:rPr>
              <w:t>mg/L</w:t>
            </w:r>
          </w:p>
        </w:tc>
      </w:tr>
      <w:tr w:rsidR="00644456" w:rsidTr="00B35AB3">
        <w:trPr>
          <w:jc w:val="center"/>
        </w:trPr>
        <w:tc>
          <w:tcPr>
            <w:tcW w:w="1915"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耗氧量（</w:t>
            </w:r>
            <w:r>
              <w:rPr>
                <w:rFonts w:cs="Times New Roman"/>
                <w:color w:val="000000"/>
                <w:szCs w:val="21"/>
              </w:rPr>
              <w:t>高锰酸盐指数</w:t>
            </w:r>
            <w:r>
              <w:rPr>
                <w:rFonts w:cs="Times New Roman" w:hint="eastAsia"/>
                <w:color w:val="000000"/>
                <w:szCs w:val="21"/>
              </w:rPr>
              <w:t>）</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1.9</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0.63</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2.0</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0.67</w:t>
            </w:r>
          </w:p>
        </w:tc>
        <w:tc>
          <w:tcPr>
            <w:tcW w:w="1345"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3.0</w:t>
            </w:r>
            <w:r>
              <w:rPr>
                <w:rFonts w:cs="Times New Roman"/>
                <w:color w:val="000000"/>
                <w:szCs w:val="21"/>
              </w:rPr>
              <w:t>mg/L</w:t>
            </w:r>
          </w:p>
        </w:tc>
      </w:tr>
      <w:tr w:rsidR="00644456" w:rsidTr="00B35AB3">
        <w:trPr>
          <w:jc w:val="center"/>
        </w:trPr>
        <w:tc>
          <w:tcPr>
            <w:tcW w:w="1915"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rPr>
              <w:t>氯离子</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991</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3.96</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268</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1.07</w:t>
            </w:r>
          </w:p>
        </w:tc>
        <w:tc>
          <w:tcPr>
            <w:tcW w:w="1345"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250</w:t>
            </w:r>
            <w:r>
              <w:rPr>
                <w:rFonts w:cs="Times New Roman"/>
                <w:color w:val="000000"/>
                <w:szCs w:val="21"/>
              </w:rPr>
              <w:t>mg/L</w:t>
            </w:r>
          </w:p>
        </w:tc>
      </w:tr>
      <w:tr w:rsidR="00644456" w:rsidTr="00B35AB3">
        <w:trPr>
          <w:jc w:val="center"/>
        </w:trPr>
        <w:tc>
          <w:tcPr>
            <w:tcW w:w="1915"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rPr>
              <w:t>溶解性总固体</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4400</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4.40</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1175</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1.18</w:t>
            </w:r>
          </w:p>
        </w:tc>
        <w:tc>
          <w:tcPr>
            <w:tcW w:w="1345"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1000</w:t>
            </w:r>
            <w:r>
              <w:rPr>
                <w:rFonts w:cs="Times New Roman"/>
                <w:color w:val="000000"/>
                <w:szCs w:val="21"/>
              </w:rPr>
              <w:t>mg/L</w:t>
            </w:r>
          </w:p>
        </w:tc>
      </w:tr>
      <w:tr w:rsidR="00644456" w:rsidTr="00B35AB3">
        <w:trPr>
          <w:jc w:val="center"/>
        </w:trPr>
        <w:tc>
          <w:tcPr>
            <w:tcW w:w="1915"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rPr>
              <w:t>氨氮</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0.068</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0.14</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0.079</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0.16</w:t>
            </w:r>
          </w:p>
        </w:tc>
        <w:tc>
          <w:tcPr>
            <w:tcW w:w="1345"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0.50</w:t>
            </w:r>
            <w:r>
              <w:rPr>
                <w:rFonts w:cs="Times New Roman"/>
                <w:color w:val="000000"/>
                <w:szCs w:val="21"/>
              </w:rPr>
              <w:t>mg/L</w:t>
            </w:r>
          </w:p>
        </w:tc>
      </w:tr>
      <w:tr w:rsidR="00644456" w:rsidTr="00B35AB3">
        <w:trPr>
          <w:jc w:val="center"/>
        </w:trPr>
        <w:tc>
          <w:tcPr>
            <w:tcW w:w="1915"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rPr>
              <w:t>硝酸盐氮</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2.92</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0.15</w:t>
            </w:r>
          </w:p>
        </w:tc>
        <w:tc>
          <w:tcPr>
            <w:tcW w:w="1214"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hint="eastAsia"/>
                <w:color w:val="000000"/>
                <w:kern w:val="0"/>
                <w:szCs w:val="21"/>
                <w:lang w:bidi="ar"/>
              </w:rPr>
              <w:t>0.69</w:t>
            </w:r>
          </w:p>
        </w:tc>
        <w:tc>
          <w:tcPr>
            <w:tcW w:w="121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0.03</w:t>
            </w:r>
          </w:p>
        </w:tc>
        <w:tc>
          <w:tcPr>
            <w:tcW w:w="1345"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20.0</w:t>
            </w:r>
            <w:r>
              <w:rPr>
                <w:rFonts w:cs="Times New Roman"/>
                <w:color w:val="000000"/>
                <w:szCs w:val="21"/>
              </w:rPr>
              <w:t>mg/L</w:t>
            </w:r>
          </w:p>
        </w:tc>
      </w:tr>
      <w:tr w:rsidR="00644456" w:rsidTr="00B35AB3">
        <w:trPr>
          <w:jc w:val="center"/>
        </w:trPr>
        <w:tc>
          <w:tcPr>
            <w:tcW w:w="1915"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rPr>
              <w:t>亚硝酸盐氮</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0.020</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0.02</w:t>
            </w:r>
          </w:p>
        </w:tc>
        <w:tc>
          <w:tcPr>
            <w:tcW w:w="1214"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hint="eastAsia"/>
                <w:color w:val="000000"/>
                <w:kern w:val="0"/>
                <w:szCs w:val="21"/>
                <w:lang w:bidi="ar"/>
              </w:rPr>
              <w:t>0.011</w:t>
            </w:r>
          </w:p>
        </w:tc>
        <w:tc>
          <w:tcPr>
            <w:tcW w:w="121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0.01</w:t>
            </w:r>
          </w:p>
        </w:tc>
        <w:tc>
          <w:tcPr>
            <w:tcW w:w="1345"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1.00</w:t>
            </w:r>
            <w:r>
              <w:rPr>
                <w:rFonts w:cs="Times New Roman"/>
                <w:color w:val="000000"/>
                <w:szCs w:val="21"/>
              </w:rPr>
              <w:t>mg/L</w:t>
            </w:r>
          </w:p>
        </w:tc>
      </w:tr>
      <w:tr w:rsidR="00644456" w:rsidTr="00B35AB3">
        <w:trPr>
          <w:jc w:val="center"/>
        </w:trPr>
        <w:tc>
          <w:tcPr>
            <w:tcW w:w="1915"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rPr>
              <w:t>硫酸根离子</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929</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3.72</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326</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1.30</w:t>
            </w:r>
          </w:p>
        </w:tc>
        <w:tc>
          <w:tcPr>
            <w:tcW w:w="1345"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250</w:t>
            </w:r>
            <w:r>
              <w:rPr>
                <w:rFonts w:cs="Times New Roman"/>
                <w:color w:val="000000"/>
                <w:szCs w:val="21"/>
              </w:rPr>
              <w:t>mg/L</w:t>
            </w:r>
          </w:p>
        </w:tc>
      </w:tr>
      <w:tr w:rsidR="00644456" w:rsidTr="00B35AB3">
        <w:trPr>
          <w:jc w:val="center"/>
        </w:trPr>
        <w:tc>
          <w:tcPr>
            <w:tcW w:w="1915"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rPr>
              <w:t>氟化物</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0.49</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0.49</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0.51</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0.51</w:t>
            </w:r>
          </w:p>
        </w:tc>
        <w:tc>
          <w:tcPr>
            <w:tcW w:w="1345"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1.0</w:t>
            </w:r>
            <w:r>
              <w:rPr>
                <w:rFonts w:cs="Times New Roman"/>
                <w:color w:val="000000"/>
                <w:szCs w:val="21"/>
              </w:rPr>
              <w:t>mg/L</w:t>
            </w:r>
          </w:p>
        </w:tc>
      </w:tr>
      <w:tr w:rsidR="00644456" w:rsidTr="00B35AB3">
        <w:trPr>
          <w:jc w:val="center"/>
        </w:trPr>
        <w:tc>
          <w:tcPr>
            <w:tcW w:w="1915"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rPr>
              <w:t>氰化物</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0.004</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0.08</w:t>
            </w:r>
          </w:p>
        </w:tc>
        <w:tc>
          <w:tcPr>
            <w:tcW w:w="1214"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hint="eastAsia"/>
                <w:color w:val="000000"/>
                <w:kern w:val="0"/>
                <w:szCs w:val="21"/>
                <w:lang w:bidi="ar"/>
              </w:rPr>
              <w:t>0.003</w:t>
            </w:r>
          </w:p>
        </w:tc>
        <w:tc>
          <w:tcPr>
            <w:tcW w:w="121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0.06</w:t>
            </w:r>
          </w:p>
        </w:tc>
        <w:tc>
          <w:tcPr>
            <w:tcW w:w="1345"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0.05</w:t>
            </w:r>
            <w:r>
              <w:rPr>
                <w:rFonts w:cs="Times New Roman"/>
                <w:color w:val="000000"/>
                <w:szCs w:val="21"/>
              </w:rPr>
              <w:t>mg/L</w:t>
            </w:r>
          </w:p>
        </w:tc>
      </w:tr>
      <w:tr w:rsidR="00644456" w:rsidTr="00B35AB3">
        <w:trPr>
          <w:jc w:val="center"/>
        </w:trPr>
        <w:tc>
          <w:tcPr>
            <w:tcW w:w="1915"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rPr>
              <w:t>挥发酚</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color w:val="000000"/>
                <w:kern w:val="0"/>
                <w:szCs w:val="21"/>
                <w:lang w:bidi="ar"/>
              </w:rPr>
              <w:t>&lt;</w:t>
            </w:r>
            <w:r>
              <w:rPr>
                <w:rFonts w:cs="Times New Roman" w:hint="eastAsia"/>
                <w:color w:val="000000"/>
                <w:kern w:val="0"/>
                <w:szCs w:val="21"/>
                <w:lang w:bidi="ar"/>
              </w:rPr>
              <w:t>0.0003</w:t>
            </w:r>
          </w:p>
        </w:tc>
        <w:tc>
          <w:tcPr>
            <w:tcW w:w="121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0.15</w:t>
            </w:r>
          </w:p>
        </w:tc>
        <w:tc>
          <w:tcPr>
            <w:tcW w:w="1214"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0.0003</w:t>
            </w:r>
          </w:p>
        </w:tc>
        <w:tc>
          <w:tcPr>
            <w:tcW w:w="121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0.15</w:t>
            </w:r>
          </w:p>
        </w:tc>
        <w:tc>
          <w:tcPr>
            <w:tcW w:w="1345"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0.002</w:t>
            </w:r>
            <w:r>
              <w:rPr>
                <w:rFonts w:cs="Times New Roman"/>
                <w:color w:val="000000"/>
                <w:szCs w:val="21"/>
              </w:rPr>
              <w:t>mg/L</w:t>
            </w:r>
          </w:p>
        </w:tc>
      </w:tr>
      <w:tr w:rsidR="00644456" w:rsidTr="00B35AB3">
        <w:trPr>
          <w:jc w:val="center"/>
        </w:trPr>
        <w:tc>
          <w:tcPr>
            <w:tcW w:w="1915" w:type="dxa"/>
            <w:vAlign w:val="center"/>
          </w:tcPr>
          <w:p w:rsidR="00644456" w:rsidRDefault="008031C4">
            <w:pPr>
              <w:spacing w:line="360" w:lineRule="exact"/>
              <w:jc w:val="center"/>
              <w:rPr>
                <w:rFonts w:cs="Times New Roman"/>
                <w:color w:val="000000"/>
                <w:kern w:val="0"/>
                <w:szCs w:val="21"/>
              </w:rPr>
            </w:pPr>
            <w:r>
              <w:rPr>
                <w:rFonts w:cs="Times New Roman" w:hint="eastAsia"/>
                <w:color w:val="000000"/>
                <w:kern w:val="0"/>
                <w:szCs w:val="21"/>
              </w:rPr>
              <w:t>镍</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0.010</w:t>
            </w:r>
          </w:p>
        </w:tc>
        <w:tc>
          <w:tcPr>
            <w:tcW w:w="121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0.50</w:t>
            </w:r>
          </w:p>
        </w:tc>
        <w:tc>
          <w:tcPr>
            <w:tcW w:w="1214"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0.010</w:t>
            </w:r>
          </w:p>
        </w:tc>
        <w:tc>
          <w:tcPr>
            <w:tcW w:w="121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0.50</w:t>
            </w:r>
          </w:p>
        </w:tc>
        <w:tc>
          <w:tcPr>
            <w:tcW w:w="1345"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0.02</w:t>
            </w:r>
            <w:r>
              <w:rPr>
                <w:rFonts w:cs="Times New Roman"/>
                <w:color w:val="000000"/>
                <w:szCs w:val="21"/>
              </w:rPr>
              <w:t>mg/L</w:t>
            </w:r>
          </w:p>
        </w:tc>
      </w:tr>
      <w:tr w:rsidR="00644456" w:rsidTr="00B35AB3">
        <w:trPr>
          <w:jc w:val="center"/>
        </w:trPr>
        <w:tc>
          <w:tcPr>
            <w:tcW w:w="1915"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碳酸根离子</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0.00</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0.00</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1345"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lang w:bidi="ar"/>
              </w:rPr>
              <w:t>/</w:t>
            </w:r>
          </w:p>
        </w:tc>
      </w:tr>
      <w:tr w:rsidR="00644456" w:rsidTr="00B35AB3">
        <w:trPr>
          <w:jc w:val="center"/>
        </w:trPr>
        <w:tc>
          <w:tcPr>
            <w:tcW w:w="1915"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碳酸氢根离子</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759.5</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118.0</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1345"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lang w:bidi="ar"/>
              </w:rPr>
              <w:t>/</w:t>
            </w:r>
          </w:p>
        </w:tc>
      </w:tr>
      <w:tr w:rsidR="00644456" w:rsidTr="00B35AB3">
        <w:trPr>
          <w:jc w:val="center"/>
        </w:trPr>
        <w:tc>
          <w:tcPr>
            <w:tcW w:w="1915"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钾离子</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50.7</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16.3</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1345"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lang w:bidi="ar"/>
              </w:rPr>
              <w:t>/</w:t>
            </w:r>
          </w:p>
        </w:tc>
      </w:tr>
      <w:tr w:rsidR="00644456" w:rsidTr="00B35AB3">
        <w:trPr>
          <w:jc w:val="center"/>
        </w:trPr>
        <w:tc>
          <w:tcPr>
            <w:tcW w:w="1915"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钙离子</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140</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51.8</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1345"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lang w:bidi="ar"/>
              </w:rPr>
              <w:t>/</w:t>
            </w:r>
          </w:p>
        </w:tc>
      </w:tr>
      <w:tr w:rsidR="00644456" w:rsidTr="00B35AB3">
        <w:trPr>
          <w:jc w:val="center"/>
        </w:trPr>
        <w:tc>
          <w:tcPr>
            <w:tcW w:w="1915"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钠离子</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916</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4.58</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228</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1.14</w:t>
            </w:r>
          </w:p>
        </w:tc>
        <w:tc>
          <w:tcPr>
            <w:tcW w:w="1345"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200</w:t>
            </w:r>
            <w:r>
              <w:rPr>
                <w:rFonts w:cs="Times New Roman"/>
                <w:color w:val="000000"/>
                <w:szCs w:val="21"/>
              </w:rPr>
              <w:t>mg/L</w:t>
            </w:r>
          </w:p>
        </w:tc>
      </w:tr>
      <w:tr w:rsidR="00644456" w:rsidTr="00B35AB3">
        <w:trPr>
          <w:jc w:val="center"/>
        </w:trPr>
        <w:tc>
          <w:tcPr>
            <w:tcW w:w="1915"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镁离子</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214</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60.4</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w:t>
            </w:r>
          </w:p>
        </w:tc>
        <w:tc>
          <w:tcPr>
            <w:tcW w:w="1345"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lang w:bidi="ar"/>
              </w:rPr>
              <w:t>/</w:t>
            </w:r>
          </w:p>
        </w:tc>
      </w:tr>
      <w:tr w:rsidR="00644456" w:rsidTr="00B35AB3">
        <w:trPr>
          <w:jc w:val="center"/>
        </w:trPr>
        <w:tc>
          <w:tcPr>
            <w:tcW w:w="1915" w:type="dxa"/>
            <w:vAlign w:val="center"/>
          </w:tcPr>
          <w:p w:rsidR="00644456" w:rsidRDefault="008031C4">
            <w:pPr>
              <w:spacing w:line="360" w:lineRule="exact"/>
              <w:jc w:val="center"/>
              <w:rPr>
                <w:rFonts w:cs="Times New Roman"/>
                <w:color w:val="000000"/>
                <w:kern w:val="0"/>
                <w:szCs w:val="21"/>
              </w:rPr>
            </w:pPr>
            <w:r>
              <w:rPr>
                <w:rFonts w:cs="Times New Roman" w:hint="eastAsia"/>
                <w:color w:val="000000"/>
                <w:kern w:val="0"/>
                <w:szCs w:val="21"/>
              </w:rPr>
              <w:t>铜</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μg/L</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color w:val="000000"/>
                <w:kern w:val="0"/>
                <w:szCs w:val="21"/>
                <w:lang w:bidi="ar"/>
              </w:rPr>
              <w:t>&lt;</w:t>
            </w:r>
            <w:r>
              <w:rPr>
                <w:rFonts w:cs="Times New Roman" w:hint="eastAsia"/>
                <w:color w:val="000000"/>
                <w:kern w:val="0"/>
                <w:szCs w:val="21"/>
                <w:lang w:bidi="ar"/>
              </w:rPr>
              <w:t>0.25</w:t>
            </w:r>
          </w:p>
        </w:tc>
        <w:tc>
          <w:tcPr>
            <w:tcW w:w="121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0.25</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color w:val="000000"/>
                <w:kern w:val="0"/>
                <w:szCs w:val="21"/>
                <w:lang w:bidi="ar"/>
              </w:rPr>
              <w:t>&lt;</w:t>
            </w:r>
            <w:r>
              <w:rPr>
                <w:rFonts w:cs="Times New Roman" w:hint="eastAsia"/>
                <w:color w:val="000000"/>
                <w:kern w:val="0"/>
                <w:szCs w:val="21"/>
                <w:lang w:bidi="ar"/>
              </w:rPr>
              <w:t>0.25</w:t>
            </w:r>
          </w:p>
        </w:tc>
        <w:tc>
          <w:tcPr>
            <w:tcW w:w="121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0.25</w:t>
            </w:r>
          </w:p>
        </w:tc>
        <w:tc>
          <w:tcPr>
            <w:tcW w:w="1345"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1.00</w:t>
            </w:r>
            <w:r>
              <w:rPr>
                <w:rFonts w:cs="Times New Roman"/>
                <w:color w:val="000000"/>
                <w:szCs w:val="21"/>
              </w:rPr>
              <w:t>mg/L</w:t>
            </w:r>
          </w:p>
        </w:tc>
      </w:tr>
      <w:tr w:rsidR="00644456" w:rsidTr="00B35AB3">
        <w:trPr>
          <w:jc w:val="center"/>
        </w:trPr>
        <w:tc>
          <w:tcPr>
            <w:tcW w:w="1915" w:type="dxa"/>
            <w:vAlign w:val="center"/>
          </w:tcPr>
          <w:p w:rsidR="00644456" w:rsidRDefault="008031C4">
            <w:pPr>
              <w:spacing w:line="360" w:lineRule="exact"/>
              <w:jc w:val="center"/>
              <w:rPr>
                <w:rFonts w:cs="Times New Roman"/>
                <w:color w:val="000000"/>
                <w:kern w:val="0"/>
                <w:szCs w:val="21"/>
              </w:rPr>
            </w:pPr>
            <w:r>
              <w:rPr>
                <w:rFonts w:cs="Times New Roman" w:hint="eastAsia"/>
                <w:color w:val="000000"/>
                <w:kern w:val="0"/>
                <w:szCs w:val="21"/>
              </w:rPr>
              <w:lastRenderedPageBreak/>
              <w:t>锌</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color w:val="000000"/>
                <w:kern w:val="0"/>
                <w:szCs w:val="21"/>
                <w:lang w:bidi="ar"/>
              </w:rPr>
              <w:t>&lt;</w:t>
            </w:r>
            <w:r>
              <w:rPr>
                <w:rFonts w:cs="Times New Roman" w:hint="eastAsia"/>
                <w:color w:val="000000"/>
                <w:kern w:val="0"/>
                <w:szCs w:val="21"/>
                <w:lang w:bidi="ar"/>
              </w:rPr>
              <w:t>0.01</w:t>
            </w:r>
          </w:p>
        </w:tc>
        <w:tc>
          <w:tcPr>
            <w:tcW w:w="121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0.01</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color w:val="000000"/>
                <w:kern w:val="0"/>
                <w:szCs w:val="21"/>
                <w:lang w:bidi="ar"/>
              </w:rPr>
              <w:t>&lt;</w:t>
            </w:r>
            <w:r>
              <w:rPr>
                <w:rFonts w:cs="Times New Roman" w:hint="eastAsia"/>
                <w:color w:val="000000"/>
                <w:kern w:val="0"/>
                <w:szCs w:val="21"/>
                <w:lang w:bidi="ar"/>
              </w:rPr>
              <w:t>0.01</w:t>
            </w:r>
          </w:p>
        </w:tc>
        <w:tc>
          <w:tcPr>
            <w:tcW w:w="121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0.01</w:t>
            </w:r>
          </w:p>
        </w:tc>
        <w:tc>
          <w:tcPr>
            <w:tcW w:w="1345"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1.00</w:t>
            </w:r>
            <w:r>
              <w:rPr>
                <w:rFonts w:cs="Times New Roman"/>
                <w:color w:val="000000"/>
                <w:szCs w:val="21"/>
              </w:rPr>
              <w:t>mg/L</w:t>
            </w:r>
          </w:p>
        </w:tc>
      </w:tr>
      <w:tr w:rsidR="00644456" w:rsidTr="00B35AB3">
        <w:trPr>
          <w:jc w:val="center"/>
        </w:trPr>
        <w:tc>
          <w:tcPr>
            <w:tcW w:w="1915"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六价铬</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hint="eastAsia"/>
                <w:color w:val="000000"/>
                <w:szCs w:val="21"/>
              </w:rPr>
              <w:t>0.004</w:t>
            </w:r>
          </w:p>
        </w:tc>
        <w:tc>
          <w:tcPr>
            <w:tcW w:w="1215" w:type="dxa"/>
            <w:vAlign w:val="center"/>
          </w:tcPr>
          <w:p w:rsidR="00644456" w:rsidRDefault="008031C4">
            <w:pPr>
              <w:widowControl/>
              <w:spacing w:line="360" w:lineRule="exact"/>
              <w:jc w:val="center"/>
              <w:textAlignment w:val="center"/>
              <w:rPr>
                <w:rFonts w:cs="Times New Roman"/>
                <w:color w:val="000000"/>
                <w:szCs w:val="21"/>
              </w:rPr>
            </w:pPr>
            <w:r>
              <w:rPr>
                <w:rFonts w:cs="Times New Roman" w:hint="eastAsia"/>
                <w:color w:val="000000"/>
                <w:kern w:val="0"/>
                <w:szCs w:val="21"/>
                <w:lang w:bidi="ar"/>
              </w:rPr>
              <w:t>0.08</w:t>
            </w:r>
          </w:p>
        </w:tc>
        <w:tc>
          <w:tcPr>
            <w:tcW w:w="1214"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hint="eastAsia"/>
                <w:color w:val="000000"/>
                <w:kern w:val="0"/>
                <w:szCs w:val="21"/>
                <w:lang w:bidi="ar"/>
              </w:rPr>
              <w:t>0.004</w:t>
            </w:r>
          </w:p>
        </w:tc>
        <w:tc>
          <w:tcPr>
            <w:tcW w:w="121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0.08</w:t>
            </w:r>
          </w:p>
        </w:tc>
        <w:tc>
          <w:tcPr>
            <w:tcW w:w="1345"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0.05</w:t>
            </w:r>
            <w:r>
              <w:rPr>
                <w:rFonts w:cs="Times New Roman"/>
                <w:color w:val="000000"/>
                <w:szCs w:val="21"/>
              </w:rPr>
              <w:t>mg/L</w:t>
            </w:r>
          </w:p>
        </w:tc>
      </w:tr>
      <w:tr w:rsidR="00644456" w:rsidTr="00B35AB3">
        <w:trPr>
          <w:jc w:val="center"/>
        </w:trPr>
        <w:tc>
          <w:tcPr>
            <w:tcW w:w="1915" w:type="dxa"/>
            <w:vAlign w:val="center"/>
          </w:tcPr>
          <w:p w:rsidR="00644456" w:rsidRDefault="008031C4">
            <w:pPr>
              <w:spacing w:line="360" w:lineRule="exact"/>
              <w:jc w:val="center"/>
              <w:rPr>
                <w:rFonts w:cs="Times New Roman"/>
                <w:color w:val="000000"/>
                <w:kern w:val="0"/>
                <w:szCs w:val="21"/>
              </w:rPr>
            </w:pPr>
            <w:r>
              <w:rPr>
                <w:rFonts w:cs="Times New Roman" w:hint="eastAsia"/>
                <w:color w:val="000000"/>
                <w:kern w:val="0"/>
                <w:szCs w:val="21"/>
              </w:rPr>
              <w:t>铁</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color w:val="000000"/>
                <w:kern w:val="0"/>
                <w:szCs w:val="21"/>
                <w:lang w:bidi="ar"/>
              </w:rPr>
              <w:t>&lt;</w:t>
            </w:r>
            <w:r>
              <w:rPr>
                <w:rFonts w:cs="Times New Roman" w:hint="eastAsia"/>
                <w:color w:val="000000"/>
                <w:kern w:val="0"/>
                <w:szCs w:val="21"/>
                <w:lang w:bidi="ar"/>
              </w:rPr>
              <w:t>0.03</w:t>
            </w:r>
          </w:p>
        </w:tc>
        <w:tc>
          <w:tcPr>
            <w:tcW w:w="121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0.10</w:t>
            </w:r>
          </w:p>
        </w:tc>
        <w:tc>
          <w:tcPr>
            <w:tcW w:w="1214"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0.03</w:t>
            </w:r>
          </w:p>
        </w:tc>
        <w:tc>
          <w:tcPr>
            <w:tcW w:w="121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0.10</w:t>
            </w:r>
          </w:p>
        </w:tc>
        <w:tc>
          <w:tcPr>
            <w:tcW w:w="1345"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0.3</w:t>
            </w:r>
            <w:r>
              <w:rPr>
                <w:rFonts w:cs="Times New Roman"/>
                <w:color w:val="000000"/>
                <w:szCs w:val="21"/>
              </w:rPr>
              <w:t>mg/L</w:t>
            </w:r>
          </w:p>
        </w:tc>
      </w:tr>
      <w:tr w:rsidR="00644456" w:rsidTr="00B35AB3">
        <w:trPr>
          <w:jc w:val="center"/>
        </w:trPr>
        <w:tc>
          <w:tcPr>
            <w:tcW w:w="1915" w:type="dxa"/>
            <w:vAlign w:val="center"/>
          </w:tcPr>
          <w:p w:rsidR="00644456" w:rsidRDefault="008031C4">
            <w:pPr>
              <w:spacing w:line="360" w:lineRule="exact"/>
              <w:jc w:val="center"/>
              <w:rPr>
                <w:rFonts w:cs="Times New Roman"/>
                <w:color w:val="000000"/>
                <w:kern w:val="0"/>
                <w:szCs w:val="21"/>
              </w:rPr>
            </w:pPr>
            <w:r>
              <w:rPr>
                <w:rFonts w:cs="Times New Roman" w:hint="eastAsia"/>
                <w:color w:val="000000"/>
                <w:kern w:val="0"/>
                <w:szCs w:val="21"/>
              </w:rPr>
              <w:t>锰</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szCs w:val="21"/>
              </w:rPr>
            </w:pPr>
            <w:r>
              <w:rPr>
                <w:rFonts w:cs="Times New Roman"/>
                <w:color w:val="000000"/>
                <w:kern w:val="0"/>
                <w:szCs w:val="21"/>
                <w:lang w:bidi="ar"/>
              </w:rPr>
              <w:t>&lt;</w:t>
            </w:r>
            <w:r>
              <w:rPr>
                <w:rFonts w:cs="Times New Roman" w:hint="eastAsia"/>
                <w:color w:val="000000"/>
                <w:kern w:val="0"/>
                <w:szCs w:val="21"/>
                <w:lang w:bidi="ar"/>
              </w:rPr>
              <w:t>0.01</w:t>
            </w:r>
          </w:p>
        </w:tc>
        <w:tc>
          <w:tcPr>
            <w:tcW w:w="121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0.10</w:t>
            </w:r>
          </w:p>
        </w:tc>
        <w:tc>
          <w:tcPr>
            <w:tcW w:w="1214"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0.01</w:t>
            </w:r>
          </w:p>
        </w:tc>
        <w:tc>
          <w:tcPr>
            <w:tcW w:w="121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0.10</w:t>
            </w:r>
          </w:p>
        </w:tc>
        <w:tc>
          <w:tcPr>
            <w:tcW w:w="1345"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0.10</w:t>
            </w:r>
            <w:r>
              <w:rPr>
                <w:rFonts w:cs="Times New Roman"/>
                <w:color w:val="000000"/>
                <w:szCs w:val="21"/>
              </w:rPr>
              <w:t>mg/L</w:t>
            </w:r>
          </w:p>
        </w:tc>
      </w:tr>
      <w:tr w:rsidR="00644456" w:rsidTr="00B35AB3">
        <w:trPr>
          <w:jc w:val="center"/>
        </w:trPr>
        <w:tc>
          <w:tcPr>
            <w:tcW w:w="1915" w:type="dxa"/>
            <w:vAlign w:val="center"/>
          </w:tcPr>
          <w:p w:rsidR="00644456" w:rsidRDefault="008031C4">
            <w:pPr>
              <w:spacing w:line="360" w:lineRule="exact"/>
              <w:jc w:val="center"/>
              <w:rPr>
                <w:rFonts w:cs="Times New Roman"/>
                <w:color w:val="000000"/>
                <w:kern w:val="0"/>
                <w:szCs w:val="21"/>
              </w:rPr>
            </w:pPr>
            <w:r>
              <w:rPr>
                <w:rFonts w:cs="Times New Roman" w:hint="eastAsia"/>
                <w:color w:val="000000"/>
                <w:kern w:val="0"/>
                <w:szCs w:val="21"/>
              </w:rPr>
              <w:t>铝</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0.009</w:t>
            </w:r>
          </w:p>
        </w:tc>
        <w:tc>
          <w:tcPr>
            <w:tcW w:w="121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0.05</w:t>
            </w:r>
          </w:p>
        </w:tc>
        <w:tc>
          <w:tcPr>
            <w:tcW w:w="1214"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0.009</w:t>
            </w:r>
          </w:p>
        </w:tc>
        <w:tc>
          <w:tcPr>
            <w:tcW w:w="121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0.05</w:t>
            </w:r>
          </w:p>
        </w:tc>
        <w:tc>
          <w:tcPr>
            <w:tcW w:w="1345"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0.20</w:t>
            </w:r>
            <w:r>
              <w:rPr>
                <w:rFonts w:cs="Times New Roman"/>
                <w:color w:val="000000"/>
                <w:szCs w:val="21"/>
              </w:rPr>
              <w:t>mg/L</w:t>
            </w:r>
          </w:p>
        </w:tc>
      </w:tr>
      <w:tr w:rsidR="00644456" w:rsidTr="00B35AB3">
        <w:trPr>
          <w:jc w:val="center"/>
        </w:trPr>
        <w:tc>
          <w:tcPr>
            <w:tcW w:w="1915" w:type="dxa"/>
            <w:vAlign w:val="center"/>
          </w:tcPr>
          <w:p w:rsidR="00644456" w:rsidRDefault="008031C4">
            <w:pPr>
              <w:spacing w:line="360" w:lineRule="exact"/>
              <w:jc w:val="center"/>
              <w:rPr>
                <w:rFonts w:cs="Times New Roman"/>
                <w:color w:val="000000"/>
                <w:kern w:val="0"/>
                <w:szCs w:val="21"/>
              </w:rPr>
            </w:pPr>
            <w:r>
              <w:rPr>
                <w:rFonts w:cs="Times New Roman"/>
                <w:color w:val="000000"/>
                <w:szCs w:val="21"/>
              </w:rPr>
              <w:t>阴离子表面活性剂</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0.05</w:t>
            </w:r>
          </w:p>
        </w:tc>
        <w:tc>
          <w:tcPr>
            <w:tcW w:w="121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0.17</w:t>
            </w:r>
          </w:p>
        </w:tc>
        <w:tc>
          <w:tcPr>
            <w:tcW w:w="1214"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0.05</w:t>
            </w:r>
          </w:p>
        </w:tc>
        <w:tc>
          <w:tcPr>
            <w:tcW w:w="121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0.17</w:t>
            </w:r>
          </w:p>
        </w:tc>
        <w:tc>
          <w:tcPr>
            <w:tcW w:w="1345"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0.3</w:t>
            </w:r>
            <w:r>
              <w:rPr>
                <w:rFonts w:cs="Times New Roman"/>
                <w:color w:val="000000"/>
                <w:szCs w:val="21"/>
              </w:rPr>
              <w:t>mg/L</w:t>
            </w:r>
          </w:p>
        </w:tc>
      </w:tr>
      <w:tr w:rsidR="00644456" w:rsidTr="00B35AB3">
        <w:trPr>
          <w:jc w:val="center"/>
        </w:trPr>
        <w:tc>
          <w:tcPr>
            <w:tcW w:w="1915" w:type="dxa"/>
            <w:vAlign w:val="center"/>
          </w:tcPr>
          <w:p w:rsidR="00644456" w:rsidRDefault="008031C4">
            <w:pPr>
              <w:spacing w:line="360" w:lineRule="exact"/>
              <w:jc w:val="center"/>
              <w:rPr>
                <w:rFonts w:cs="Times New Roman"/>
                <w:color w:val="000000"/>
                <w:kern w:val="0"/>
                <w:szCs w:val="21"/>
              </w:rPr>
            </w:pPr>
            <w:r>
              <w:rPr>
                <w:rFonts w:cs="Times New Roman" w:hint="eastAsia"/>
                <w:color w:val="000000"/>
                <w:kern w:val="0"/>
                <w:szCs w:val="21"/>
              </w:rPr>
              <w:t>硫化物</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0.003</w:t>
            </w:r>
          </w:p>
        </w:tc>
        <w:tc>
          <w:tcPr>
            <w:tcW w:w="121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0.15</w:t>
            </w:r>
          </w:p>
        </w:tc>
        <w:tc>
          <w:tcPr>
            <w:tcW w:w="1214"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color w:val="000000"/>
                <w:kern w:val="0"/>
                <w:szCs w:val="21"/>
                <w:lang w:bidi="ar"/>
              </w:rPr>
              <w:t>&lt;</w:t>
            </w:r>
            <w:r>
              <w:rPr>
                <w:rFonts w:cs="Times New Roman" w:hint="eastAsia"/>
                <w:color w:val="000000"/>
                <w:kern w:val="0"/>
                <w:szCs w:val="21"/>
                <w:lang w:bidi="ar"/>
              </w:rPr>
              <w:t>0.003</w:t>
            </w:r>
          </w:p>
        </w:tc>
        <w:tc>
          <w:tcPr>
            <w:tcW w:w="121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0.15</w:t>
            </w:r>
          </w:p>
        </w:tc>
        <w:tc>
          <w:tcPr>
            <w:tcW w:w="1345" w:type="dxa"/>
            <w:vAlign w:val="center"/>
          </w:tcPr>
          <w:p w:rsidR="00644456" w:rsidRDefault="008031C4">
            <w:pPr>
              <w:spacing w:line="360" w:lineRule="exact"/>
              <w:jc w:val="center"/>
              <w:rPr>
                <w:rFonts w:cs="Times New Roman"/>
                <w:color w:val="000000"/>
                <w:szCs w:val="21"/>
              </w:rPr>
            </w:pPr>
            <w:r>
              <w:rPr>
                <w:rFonts w:cs="Times New Roman"/>
                <w:color w:val="000000"/>
                <w:szCs w:val="21"/>
              </w:rPr>
              <w:t>≤</w:t>
            </w:r>
            <w:r>
              <w:rPr>
                <w:rFonts w:cs="Times New Roman" w:hint="eastAsia"/>
                <w:color w:val="000000"/>
                <w:szCs w:val="21"/>
              </w:rPr>
              <w:t>0.02</w:t>
            </w:r>
            <w:r>
              <w:rPr>
                <w:rFonts w:cs="Times New Roman"/>
                <w:color w:val="000000"/>
                <w:szCs w:val="21"/>
              </w:rPr>
              <w:t>mg/L</w:t>
            </w:r>
          </w:p>
        </w:tc>
      </w:tr>
      <w:tr w:rsidR="00644456" w:rsidTr="00B35AB3">
        <w:trPr>
          <w:jc w:val="center"/>
        </w:trPr>
        <w:tc>
          <w:tcPr>
            <w:tcW w:w="1915" w:type="dxa"/>
            <w:vAlign w:val="center"/>
          </w:tcPr>
          <w:p w:rsidR="00644456" w:rsidRDefault="008031C4">
            <w:pPr>
              <w:spacing w:line="360" w:lineRule="exact"/>
              <w:jc w:val="center"/>
              <w:rPr>
                <w:rFonts w:cs="Times New Roman"/>
                <w:color w:val="000000"/>
                <w:kern w:val="0"/>
                <w:szCs w:val="21"/>
              </w:rPr>
            </w:pPr>
            <w:r>
              <w:rPr>
                <w:rFonts w:cs="Times New Roman" w:hint="eastAsia"/>
                <w:color w:val="000000"/>
                <w:kern w:val="0"/>
                <w:szCs w:val="21"/>
              </w:rPr>
              <w:t>石油类</w:t>
            </w:r>
          </w:p>
        </w:tc>
        <w:tc>
          <w:tcPr>
            <w:tcW w:w="897" w:type="dxa"/>
            <w:vAlign w:val="center"/>
          </w:tcPr>
          <w:p w:rsidR="00644456" w:rsidRDefault="008031C4">
            <w:pPr>
              <w:spacing w:line="360" w:lineRule="exact"/>
              <w:jc w:val="center"/>
              <w:rPr>
                <w:rFonts w:cs="Times New Roman"/>
                <w:color w:val="000000"/>
                <w:szCs w:val="21"/>
              </w:rPr>
            </w:pPr>
            <w:r>
              <w:rPr>
                <w:rFonts w:cs="Times New Roman"/>
                <w:color w:val="000000"/>
                <w:szCs w:val="21"/>
              </w:rPr>
              <w:t>mg/L</w:t>
            </w:r>
          </w:p>
        </w:tc>
        <w:tc>
          <w:tcPr>
            <w:tcW w:w="1214"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hint="eastAsia"/>
                <w:szCs w:val="21"/>
              </w:rPr>
              <w:t>&lt;0.01</w:t>
            </w:r>
          </w:p>
        </w:tc>
        <w:tc>
          <w:tcPr>
            <w:tcW w:w="121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w:t>
            </w:r>
          </w:p>
        </w:tc>
        <w:tc>
          <w:tcPr>
            <w:tcW w:w="1214" w:type="dxa"/>
            <w:vAlign w:val="center"/>
          </w:tcPr>
          <w:p w:rsidR="00644456" w:rsidRDefault="008031C4">
            <w:pPr>
              <w:snapToGrid w:val="0"/>
              <w:spacing w:line="360" w:lineRule="exact"/>
              <w:jc w:val="center"/>
              <w:rPr>
                <w:rFonts w:cs="Times New Roman"/>
                <w:color w:val="000000"/>
                <w:kern w:val="0"/>
                <w:szCs w:val="21"/>
                <w:lang w:bidi="ar"/>
              </w:rPr>
            </w:pPr>
            <w:r>
              <w:rPr>
                <w:rFonts w:cs="Times New Roman" w:hint="eastAsia"/>
                <w:szCs w:val="21"/>
              </w:rPr>
              <w:t>&lt;0.01</w:t>
            </w:r>
          </w:p>
        </w:tc>
        <w:tc>
          <w:tcPr>
            <w:tcW w:w="1215" w:type="dxa"/>
            <w:vAlign w:val="center"/>
          </w:tcPr>
          <w:p w:rsidR="00644456" w:rsidRDefault="008031C4">
            <w:pPr>
              <w:widowControl/>
              <w:spacing w:line="360" w:lineRule="exact"/>
              <w:jc w:val="center"/>
              <w:textAlignment w:val="center"/>
              <w:rPr>
                <w:rFonts w:cs="Times New Roman"/>
                <w:color w:val="000000"/>
                <w:kern w:val="0"/>
                <w:szCs w:val="21"/>
                <w:lang w:bidi="ar"/>
              </w:rPr>
            </w:pPr>
            <w:r>
              <w:rPr>
                <w:rFonts w:cs="Times New Roman" w:hint="eastAsia"/>
                <w:color w:val="000000"/>
                <w:kern w:val="0"/>
                <w:szCs w:val="21"/>
                <w:lang w:bidi="ar"/>
              </w:rPr>
              <w:t>/</w:t>
            </w:r>
          </w:p>
        </w:tc>
        <w:tc>
          <w:tcPr>
            <w:tcW w:w="1345" w:type="dxa"/>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lang w:bidi="ar"/>
              </w:rPr>
              <w:t>/</w:t>
            </w:r>
          </w:p>
        </w:tc>
      </w:tr>
    </w:tbl>
    <w:p w:rsidR="00644456" w:rsidRPr="00607680" w:rsidRDefault="00B35AB3">
      <w:pPr>
        <w:widowControl/>
        <w:spacing w:line="360" w:lineRule="auto"/>
        <w:ind w:firstLine="480"/>
        <w:rPr>
          <w:rFonts w:cs="Times New Roman"/>
          <w:color w:val="FF0000"/>
          <w:kern w:val="0"/>
          <w:sz w:val="24"/>
        </w:rPr>
      </w:pPr>
      <w:r w:rsidRPr="00607680">
        <w:rPr>
          <w:rFonts w:cs="Times New Roman" w:hint="eastAsia"/>
          <w:color w:val="FF0000"/>
          <w:kern w:val="0"/>
          <w:sz w:val="24"/>
        </w:rPr>
        <w:t>由上表可知：项目区域地下水</w:t>
      </w:r>
      <w:r w:rsidRPr="00607680">
        <w:rPr>
          <w:rFonts w:cs="Times New Roman" w:hint="eastAsia"/>
          <w:color w:val="FF0000"/>
          <w:kern w:val="0"/>
          <w:sz w:val="24"/>
        </w:rPr>
        <w:t>DXS1#</w:t>
      </w:r>
      <w:r w:rsidRPr="00607680">
        <w:rPr>
          <w:rFonts w:cs="Times New Roman" w:hint="eastAsia"/>
          <w:color w:val="FF0000"/>
          <w:kern w:val="0"/>
          <w:sz w:val="24"/>
        </w:rPr>
        <w:t>、</w:t>
      </w:r>
      <w:r w:rsidRPr="00607680">
        <w:rPr>
          <w:rFonts w:cs="Times New Roman" w:hint="eastAsia"/>
          <w:color w:val="FF0000"/>
          <w:kern w:val="0"/>
          <w:sz w:val="24"/>
        </w:rPr>
        <w:t>DXS2#</w:t>
      </w:r>
      <w:r w:rsidRPr="00607680">
        <w:rPr>
          <w:rFonts w:cs="Times New Roman" w:hint="eastAsia"/>
          <w:color w:val="FF0000"/>
          <w:kern w:val="0"/>
          <w:sz w:val="24"/>
        </w:rPr>
        <w:t>监测指标均满足《地下水环境质量标准》（</w:t>
      </w:r>
      <w:r w:rsidRPr="00607680">
        <w:rPr>
          <w:rFonts w:cs="Times New Roman" w:hint="eastAsia"/>
          <w:color w:val="FF0000"/>
          <w:kern w:val="0"/>
          <w:sz w:val="24"/>
        </w:rPr>
        <w:t>GB/T14848-2017</w:t>
      </w:r>
      <w:r w:rsidRPr="00607680">
        <w:rPr>
          <w:rFonts w:cs="Times New Roman" w:hint="eastAsia"/>
          <w:color w:val="FF0000"/>
          <w:kern w:val="0"/>
          <w:sz w:val="24"/>
        </w:rPr>
        <w:t>）</w:t>
      </w:r>
      <w:r w:rsidRPr="00607680">
        <w:rPr>
          <w:rFonts w:cs="Times New Roman" w:hint="eastAsia"/>
          <w:color w:val="FF0000"/>
          <w:kern w:val="0"/>
          <w:sz w:val="24"/>
        </w:rPr>
        <w:t>III</w:t>
      </w:r>
      <w:r w:rsidRPr="00607680">
        <w:rPr>
          <w:rFonts w:cs="Times New Roman" w:hint="eastAsia"/>
          <w:color w:val="FF0000"/>
          <w:kern w:val="0"/>
          <w:sz w:val="24"/>
        </w:rPr>
        <w:t>类水质标准要求，</w:t>
      </w:r>
      <w:r w:rsidRPr="00607680">
        <w:rPr>
          <w:rFonts w:cs="Times New Roman" w:hint="eastAsia"/>
          <w:color w:val="FF0000"/>
          <w:kern w:val="0"/>
          <w:sz w:val="24"/>
        </w:rPr>
        <w:t>DXS3#</w:t>
      </w:r>
      <w:r w:rsidRPr="00607680">
        <w:rPr>
          <w:rFonts w:cs="Times New Roman" w:hint="eastAsia"/>
          <w:color w:val="FF0000"/>
          <w:kern w:val="0"/>
          <w:sz w:val="24"/>
        </w:rPr>
        <w:t>、</w:t>
      </w:r>
      <w:r w:rsidRPr="00607680">
        <w:rPr>
          <w:rFonts w:cs="Times New Roman" w:hint="eastAsia"/>
          <w:color w:val="FF0000"/>
          <w:kern w:val="0"/>
          <w:sz w:val="24"/>
        </w:rPr>
        <w:t>DXS4#</w:t>
      </w:r>
      <w:r w:rsidRPr="00607680">
        <w:rPr>
          <w:rFonts w:cs="Times New Roman" w:hint="eastAsia"/>
          <w:color w:val="FF0000"/>
          <w:kern w:val="0"/>
          <w:sz w:val="24"/>
        </w:rPr>
        <w:t>、</w:t>
      </w:r>
      <w:r w:rsidRPr="00607680">
        <w:rPr>
          <w:rFonts w:cs="Times New Roman" w:hint="eastAsia"/>
          <w:color w:val="FF0000"/>
          <w:kern w:val="0"/>
          <w:sz w:val="24"/>
        </w:rPr>
        <w:t>DXS5#</w:t>
      </w:r>
      <w:r w:rsidRPr="00607680">
        <w:rPr>
          <w:rFonts w:cs="Times New Roman" w:hint="eastAsia"/>
          <w:color w:val="FF0000"/>
          <w:kern w:val="0"/>
          <w:sz w:val="24"/>
        </w:rPr>
        <w:t>监测指标中总硬度、氯离子、溶解性总固体、硫酸根离子、钠离子超标，其他各项监测指标均满足《地下水环境质量标准》（</w:t>
      </w:r>
      <w:r w:rsidRPr="00607680">
        <w:rPr>
          <w:rFonts w:cs="Times New Roman" w:hint="eastAsia"/>
          <w:color w:val="FF0000"/>
          <w:kern w:val="0"/>
          <w:sz w:val="24"/>
        </w:rPr>
        <w:t>GB/T14848-2017</w:t>
      </w:r>
      <w:r w:rsidRPr="00607680">
        <w:rPr>
          <w:rFonts w:cs="Times New Roman" w:hint="eastAsia"/>
          <w:color w:val="FF0000"/>
          <w:kern w:val="0"/>
          <w:sz w:val="24"/>
        </w:rPr>
        <w:t>）</w:t>
      </w:r>
      <w:r w:rsidRPr="00607680">
        <w:rPr>
          <w:rFonts w:cs="Times New Roman" w:hint="eastAsia"/>
          <w:color w:val="FF0000"/>
          <w:kern w:val="0"/>
          <w:sz w:val="24"/>
        </w:rPr>
        <w:t>III</w:t>
      </w:r>
      <w:r w:rsidRPr="00607680">
        <w:rPr>
          <w:rFonts w:cs="Times New Roman" w:hint="eastAsia"/>
          <w:color w:val="FF0000"/>
          <w:kern w:val="0"/>
          <w:sz w:val="24"/>
        </w:rPr>
        <w:t>类水质标准要求。根据《疏勒高新技术产业开发区“多规合一”总体规划</w:t>
      </w:r>
      <w:r w:rsidRPr="00607680">
        <w:rPr>
          <w:rFonts w:cs="Times New Roman" w:hint="eastAsia"/>
          <w:color w:val="FF0000"/>
          <w:kern w:val="0"/>
          <w:sz w:val="24"/>
        </w:rPr>
        <w:t>(2021-2035</w:t>
      </w:r>
      <w:r w:rsidRPr="00607680">
        <w:rPr>
          <w:rFonts w:cs="Times New Roman" w:hint="eastAsia"/>
          <w:color w:val="FF0000"/>
          <w:kern w:val="0"/>
          <w:sz w:val="24"/>
        </w:rPr>
        <w:t>年</w:t>
      </w:r>
      <w:r w:rsidRPr="00607680">
        <w:rPr>
          <w:rFonts w:cs="Times New Roman" w:hint="eastAsia"/>
          <w:color w:val="FF0000"/>
          <w:kern w:val="0"/>
          <w:sz w:val="24"/>
        </w:rPr>
        <w:t>)</w:t>
      </w:r>
      <w:r w:rsidRPr="00607680">
        <w:rPr>
          <w:rFonts w:cs="Times New Roman" w:hint="eastAsia"/>
          <w:color w:val="FF0000"/>
          <w:kern w:val="0"/>
          <w:sz w:val="24"/>
        </w:rPr>
        <w:t>环境影响报告书》地下水分析结论可知，超标原因主要是由于当地地质条件所致</w:t>
      </w:r>
      <w:r w:rsidR="008031C4" w:rsidRPr="00607680">
        <w:rPr>
          <w:rFonts w:cs="Times New Roman" w:hint="eastAsia"/>
          <w:color w:val="FF0000"/>
          <w:kern w:val="0"/>
          <w:sz w:val="24"/>
        </w:rPr>
        <w:t>。</w:t>
      </w:r>
    </w:p>
    <w:p w:rsidR="00644456" w:rsidRDefault="008031C4">
      <w:pPr>
        <w:pStyle w:val="20"/>
        <w:numPr>
          <w:ilvl w:val="1"/>
          <w:numId w:val="0"/>
        </w:numPr>
        <w:adjustRightInd w:val="0"/>
        <w:snapToGrid w:val="0"/>
        <w:spacing w:beforeLines="0" w:before="0" w:afterLines="0" w:after="0"/>
        <w:ind w:firstLine="562"/>
        <w:rPr>
          <w:rFonts w:cs="Times New Roman"/>
          <w:color w:val="000000" w:themeColor="text1"/>
        </w:rPr>
      </w:pPr>
      <w:bookmarkStart w:id="254" w:name="_Toc155789372"/>
      <w:bookmarkStart w:id="255" w:name="_Toc177216880"/>
      <w:r>
        <w:rPr>
          <w:rFonts w:cs="Times New Roman" w:hint="eastAsia"/>
          <w:color w:val="000000" w:themeColor="text1"/>
        </w:rPr>
        <w:t>3.6</w:t>
      </w:r>
      <w:r>
        <w:rPr>
          <w:rFonts w:cs="Times New Roman"/>
          <w:color w:val="000000" w:themeColor="text1"/>
        </w:rPr>
        <w:t>土壤环境现状监测与评价</w:t>
      </w:r>
      <w:bookmarkEnd w:id="251"/>
      <w:bookmarkEnd w:id="254"/>
      <w:bookmarkEnd w:id="255"/>
    </w:p>
    <w:p w:rsidR="00644456" w:rsidRDefault="008031C4">
      <w:pPr>
        <w:pStyle w:val="afb"/>
        <w:spacing w:line="360" w:lineRule="auto"/>
        <w:ind w:firstLineChars="200" w:firstLine="482"/>
        <w:jc w:val="both"/>
        <w:rPr>
          <w:b/>
          <w:bCs/>
          <w:color w:val="000000" w:themeColor="text1"/>
          <w:sz w:val="24"/>
          <w:szCs w:val="24"/>
        </w:rPr>
      </w:pPr>
      <w:r>
        <w:rPr>
          <w:rFonts w:hint="eastAsia"/>
          <w:b/>
          <w:bCs/>
          <w:color w:val="000000" w:themeColor="text1"/>
          <w:sz w:val="24"/>
          <w:szCs w:val="24"/>
        </w:rPr>
        <w:t>建设单位委托新疆锡水金山环保科技有限公司于</w:t>
      </w:r>
      <w:r>
        <w:rPr>
          <w:rFonts w:hint="eastAsia"/>
          <w:b/>
          <w:bCs/>
          <w:color w:val="000000" w:themeColor="text1"/>
          <w:sz w:val="24"/>
          <w:szCs w:val="24"/>
        </w:rPr>
        <w:t>2024</w:t>
      </w:r>
      <w:r>
        <w:rPr>
          <w:rFonts w:hint="eastAsia"/>
          <w:b/>
          <w:bCs/>
          <w:color w:val="000000" w:themeColor="text1"/>
          <w:sz w:val="24"/>
          <w:szCs w:val="24"/>
        </w:rPr>
        <w:t>年</w:t>
      </w:r>
      <w:r>
        <w:rPr>
          <w:rFonts w:hint="eastAsia"/>
          <w:b/>
          <w:bCs/>
          <w:color w:val="000000" w:themeColor="text1"/>
          <w:sz w:val="24"/>
          <w:szCs w:val="24"/>
        </w:rPr>
        <w:t>8</w:t>
      </w:r>
      <w:r>
        <w:rPr>
          <w:rFonts w:hint="eastAsia"/>
          <w:b/>
          <w:bCs/>
          <w:color w:val="000000" w:themeColor="text1"/>
          <w:sz w:val="24"/>
          <w:szCs w:val="24"/>
        </w:rPr>
        <w:t>月对本项目所在地土壤环境质量进行了监测（报告编号：</w:t>
      </w:r>
      <w:r>
        <w:rPr>
          <w:rFonts w:hint="eastAsia"/>
          <w:b/>
          <w:bCs/>
          <w:color w:val="000000" w:themeColor="text1"/>
          <w:sz w:val="24"/>
          <w:szCs w:val="24"/>
        </w:rPr>
        <w:t>WT202408181</w:t>
      </w:r>
      <w:r>
        <w:rPr>
          <w:rFonts w:hint="eastAsia"/>
          <w:b/>
          <w:bCs/>
          <w:color w:val="000000" w:themeColor="text1"/>
          <w:sz w:val="24"/>
          <w:szCs w:val="24"/>
        </w:rPr>
        <w:t>）。</w:t>
      </w:r>
    </w:p>
    <w:p w:rsidR="00644456" w:rsidRDefault="008031C4">
      <w:pPr>
        <w:pStyle w:val="-1"/>
        <w:adjustRightInd w:val="0"/>
        <w:snapToGrid w:val="0"/>
        <w:ind w:firstLine="482"/>
        <w:rPr>
          <w:rFonts w:cs="Times New Roman"/>
          <w:b/>
          <w:color w:val="000000" w:themeColor="text1"/>
        </w:rPr>
      </w:pPr>
      <w:r>
        <w:rPr>
          <w:rFonts w:cs="Times New Roman"/>
          <w:b/>
          <w:color w:val="000000" w:themeColor="text1"/>
        </w:rPr>
        <w:t>1</w:t>
      </w:r>
      <w:r>
        <w:rPr>
          <w:rFonts w:cs="Times New Roman"/>
          <w:b/>
          <w:color w:val="000000" w:themeColor="text1"/>
        </w:rPr>
        <w:t>、监测点位设置</w:t>
      </w:r>
    </w:p>
    <w:p w:rsidR="00644456" w:rsidRDefault="008031C4">
      <w:pPr>
        <w:pStyle w:val="afb"/>
        <w:spacing w:line="360" w:lineRule="auto"/>
        <w:ind w:firstLineChars="200" w:firstLine="480"/>
        <w:jc w:val="both"/>
        <w:rPr>
          <w:color w:val="000000" w:themeColor="text1"/>
          <w:sz w:val="24"/>
          <w:szCs w:val="24"/>
        </w:rPr>
      </w:pPr>
      <w:r>
        <w:rPr>
          <w:rFonts w:hint="eastAsia"/>
          <w:color w:val="000000" w:themeColor="text1"/>
          <w:sz w:val="24"/>
          <w:szCs w:val="24"/>
        </w:rPr>
        <w:t>本项目土壤环境影响类型属于污染类，污染影响型土壤评价工作等级为二级，根据《环境影响评价技术导则土壤环境（试行）》（</w:t>
      </w:r>
      <w:r>
        <w:rPr>
          <w:rFonts w:hint="eastAsia"/>
          <w:color w:val="000000" w:themeColor="text1"/>
          <w:sz w:val="24"/>
          <w:szCs w:val="24"/>
        </w:rPr>
        <w:t>HJ964-2018</w:t>
      </w:r>
      <w:r>
        <w:rPr>
          <w:rFonts w:hint="eastAsia"/>
          <w:color w:val="000000" w:themeColor="text1"/>
          <w:sz w:val="24"/>
          <w:szCs w:val="24"/>
        </w:rPr>
        <w:t>），污染影响型二级评价占地范围内布设</w:t>
      </w:r>
      <w:r>
        <w:rPr>
          <w:rFonts w:hint="eastAsia"/>
          <w:color w:val="000000" w:themeColor="text1"/>
          <w:sz w:val="24"/>
          <w:szCs w:val="24"/>
        </w:rPr>
        <w:t>3</w:t>
      </w:r>
      <w:r>
        <w:rPr>
          <w:rFonts w:hint="eastAsia"/>
          <w:color w:val="000000" w:themeColor="text1"/>
          <w:sz w:val="24"/>
          <w:szCs w:val="24"/>
        </w:rPr>
        <w:t>个柱状样、</w:t>
      </w:r>
      <w:r>
        <w:rPr>
          <w:rFonts w:hint="eastAsia"/>
          <w:color w:val="000000" w:themeColor="text1"/>
          <w:sz w:val="24"/>
          <w:szCs w:val="24"/>
        </w:rPr>
        <w:t>1</w:t>
      </w:r>
      <w:r>
        <w:rPr>
          <w:rFonts w:hint="eastAsia"/>
          <w:color w:val="000000" w:themeColor="text1"/>
          <w:sz w:val="24"/>
          <w:szCs w:val="24"/>
        </w:rPr>
        <w:t>个表层样；占地范围外</w:t>
      </w:r>
      <w:r>
        <w:rPr>
          <w:rFonts w:hint="eastAsia"/>
          <w:color w:val="000000" w:themeColor="text1"/>
          <w:sz w:val="24"/>
          <w:szCs w:val="24"/>
        </w:rPr>
        <w:t>2</w:t>
      </w:r>
      <w:r>
        <w:rPr>
          <w:rFonts w:hint="eastAsia"/>
          <w:color w:val="000000" w:themeColor="text1"/>
          <w:sz w:val="24"/>
          <w:szCs w:val="24"/>
        </w:rPr>
        <w:t>个表层样监测点。</w:t>
      </w:r>
    </w:p>
    <w:p w:rsidR="00644456" w:rsidRDefault="008031C4">
      <w:pPr>
        <w:pStyle w:val="afb"/>
        <w:spacing w:line="360" w:lineRule="auto"/>
        <w:ind w:firstLineChars="200" w:firstLine="480"/>
        <w:jc w:val="both"/>
        <w:rPr>
          <w:color w:val="000000" w:themeColor="text1"/>
          <w:sz w:val="24"/>
          <w:szCs w:val="24"/>
          <w:u w:val="single"/>
        </w:rPr>
      </w:pPr>
      <w:r>
        <w:rPr>
          <w:color w:val="000000" w:themeColor="text1"/>
          <w:sz w:val="24"/>
          <w:szCs w:val="24"/>
          <w:u w:val="single"/>
        </w:rPr>
        <w:t>监测点位见</w:t>
      </w:r>
      <w:r>
        <w:rPr>
          <w:rFonts w:hint="eastAsia"/>
          <w:color w:val="000000" w:themeColor="text1"/>
          <w:sz w:val="24"/>
          <w:szCs w:val="24"/>
          <w:u w:val="single"/>
        </w:rPr>
        <w:t>下</w:t>
      </w:r>
      <w:r>
        <w:rPr>
          <w:color w:val="000000" w:themeColor="text1"/>
          <w:sz w:val="24"/>
          <w:szCs w:val="24"/>
          <w:u w:val="single"/>
        </w:rPr>
        <w:t>表。</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3.6</w:t>
      </w:r>
      <w:r>
        <w:rPr>
          <w:rFonts w:cs="Times New Roman" w:hint="eastAsia"/>
          <w:b/>
          <w:color w:val="000000" w:themeColor="text1"/>
          <w:sz w:val="24"/>
          <w:szCs w:val="20"/>
        </w:rPr>
        <w:noBreakHyphen/>
        <w:t>1</w:t>
      </w:r>
      <w:r>
        <w:rPr>
          <w:rFonts w:cs="Times New Roman" w:hint="eastAsia"/>
          <w:b/>
          <w:color w:val="000000" w:themeColor="text1"/>
          <w:sz w:val="24"/>
          <w:szCs w:val="20"/>
        </w:rPr>
        <w:t>土壤环境现状监测点位</w:t>
      </w:r>
    </w:p>
    <w:tbl>
      <w:tblPr>
        <w:tblW w:w="8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1435"/>
        <w:gridCol w:w="3914"/>
        <w:gridCol w:w="2218"/>
      </w:tblGrid>
      <w:tr w:rsidR="00644456">
        <w:trPr>
          <w:jc w:val="center"/>
        </w:trPr>
        <w:tc>
          <w:tcPr>
            <w:tcW w:w="1247"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监测点位</w:t>
            </w:r>
          </w:p>
        </w:tc>
        <w:tc>
          <w:tcPr>
            <w:tcW w:w="1435"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样品</w:t>
            </w:r>
          </w:p>
        </w:tc>
        <w:tc>
          <w:tcPr>
            <w:tcW w:w="3914"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监测点位置</w:t>
            </w:r>
          </w:p>
        </w:tc>
        <w:tc>
          <w:tcPr>
            <w:tcW w:w="2218"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样品采集</w:t>
            </w:r>
          </w:p>
        </w:tc>
      </w:tr>
      <w:tr w:rsidR="00644456">
        <w:trPr>
          <w:jc w:val="center"/>
        </w:trPr>
        <w:tc>
          <w:tcPr>
            <w:tcW w:w="1247" w:type="dxa"/>
            <w:vAlign w:val="center"/>
          </w:tcPr>
          <w:p w:rsidR="00644456" w:rsidRDefault="008031C4">
            <w:pPr>
              <w:spacing w:line="360" w:lineRule="exact"/>
              <w:jc w:val="center"/>
              <w:rPr>
                <w:rFonts w:cs="Times New Roman"/>
                <w:color w:val="000000"/>
                <w:szCs w:val="21"/>
              </w:rPr>
            </w:pPr>
            <w:r>
              <w:rPr>
                <w:rFonts w:cs="Times New Roman"/>
                <w:color w:val="000000"/>
                <w:szCs w:val="21"/>
              </w:rPr>
              <w:t>1</w:t>
            </w:r>
            <w:r>
              <w:rPr>
                <w:rFonts w:cs="Times New Roman" w:hint="eastAsia"/>
                <w:color w:val="000000"/>
                <w:szCs w:val="21"/>
              </w:rPr>
              <w:t>#</w:t>
            </w:r>
          </w:p>
        </w:tc>
        <w:tc>
          <w:tcPr>
            <w:tcW w:w="1435"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表层样</w:t>
            </w:r>
          </w:p>
        </w:tc>
        <w:tc>
          <w:tcPr>
            <w:tcW w:w="3914"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项目区内</w:t>
            </w:r>
          </w:p>
        </w:tc>
        <w:tc>
          <w:tcPr>
            <w:tcW w:w="2218"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取样深度</w:t>
            </w:r>
            <w:r>
              <w:rPr>
                <w:rFonts w:cs="Times New Roman"/>
                <w:color w:val="000000"/>
                <w:szCs w:val="21"/>
              </w:rPr>
              <w:t>0~0.</w:t>
            </w:r>
            <w:r>
              <w:rPr>
                <w:rFonts w:cs="Times New Roman" w:hint="eastAsia"/>
                <w:color w:val="000000"/>
                <w:szCs w:val="21"/>
              </w:rPr>
              <w:t>2</w:t>
            </w:r>
            <w:r>
              <w:rPr>
                <w:rFonts w:cs="Times New Roman"/>
                <w:color w:val="000000"/>
                <w:szCs w:val="21"/>
              </w:rPr>
              <w:t>m</w:t>
            </w:r>
          </w:p>
        </w:tc>
      </w:tr>
      <w:tr w:rsidR="00644456">
        <w:trPr>
          <w:jc w:val="center"/>
        </w:trPr>
        <w:tc>
          <w:tcPr>
            <w:tcW w:w="1247" w:type="dxa"/>
            <w:vAlign w:val="center"/>
          </w:tcPr>
          <w:p w:rsidR="00644456" w:rsidRDefault="008031C4">
            <w:pPr>
              <w:spacing w:line="360" w:lineRule="exact"/>
              <w:jc w:val="center"/>
              <w:rPr>
                <w:rFonts w:cs="Times New Roman"/>
                <w:color w:val="000000"/>
                <w:szCs w:val="21"/>
              </w:rPr>
            </w:pPr>
            <w:r>
              <w:rPr>
                <w:rFonts w:cs="Times New Roman"/>
                <w:color w:val="000000"/>
                <w:szCs w:val="21"/>
              </w:rPr>
              <w:t>2</w:t>
            </w:r>
            <w:r>
              <w:rPr>
                <w:rFonts w:cs="Times New Roman" w:hint="eastAsia"/>
                <w:color w:val="000000"/>
                <w:szCs w:val="21"/>
              </w:rPr>
              <w:t>#</w:t>
            </w:r>
          </w:p>
        </w:tc>
        <w:tc>
          <w:tcPr>
            <w:tcW w:w="1435"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柱状样</w:t>
            </w:r>
          </w:p>
        </w:tc>
        <w:tc>
          <w:tcPr>
            <w:tcW w:w="3914" w:type="dxa"/>
          </w:tcPr>
          <w:p w:rsidR="00644456" w:rsidRDefault="008031C4">
            <w:pPr>
              <w:spacing w:line="360" w:lineRule="exact"/>
              <w:jc w:val="center"/>
              <w:rPr>
                <w:rFonts w:cs="Times New Roman"/>
                <w:color w:val="000000"/>
                <w:szCs w:val="21"/>
              </w:rPr>
            </w:pPr>
            <w:r>
              <w:rPr>
                <w:rFonts w:cs="Times New Roman" w:hint="eastAsia"/>
                <w:color w:val="000000"/>
                <w:szCs w:val="21"/>
              </w:rPr>
              <w:t>项目区内</w:t>
            </w:r>
          </w:p>
        </w:tc>
        <w:tc>
          <w:tcPr>
            <w:tcW w:w="2218" w:type="dxa"/>
            <w:vMerge w:val="restart"/>
            <w:vAlign w:val="center"/>
          </w:tcPr>
          <w:p w:rsidR="00644456" w:rsidRDefault="008031C4">
            <w:pPr>
              <w:spacing w:line="360" w:lineRule="exact"/>
              <w:jc w:val="center"/>
              <w:rPr>
                <w:rFonts w:cs="Times New Roman"/>
                <w:color w:val="000000"/>
                <w:szCs w:val="21"/>
              </w:rPr>
            </w:pPr>
            <w:r>
              <w:rPr>
                <w:rFonts w:cs="Times New Roman" w:hint="eastAsia"/>
                <w:color w:val="000000"/>
                <w:szCs w:val="21"/>
              </w:rPr>
              <w:t>取样深度</w:t>
            </w:r>
            <w:r>
              <w:rPr>
                <w:rFonts w:cs="Times New Roman"/>
                <w:color w:val="000000"/>
                <w:szCs w:val="21"/>
              </w:rPr>
              <w:t>0~0.</w:t>
            </w:r>
            <w:r>
              <w:rPr>
                <w:rFonts w:cs="Times New Roman" w:hint="eastAsia"/>
                <w:color w:val="000000"/>
                <w:szCs w:val="21"/>
              </w:rPr>
              <w:t>2</w:t>
            </w:r>
            <w:r>
              <w:rPr>
                <w:rFonts w:cs="Times New Roman"/>
                <w:color w:val="000000"/>
                <w:szCs w:val="21"/>
              </w:rPr>
              <w:t>m</w:t>
            </w:r>
            <w:r>
              <w:rPr>
                <w:rFonts w:cs="Times New Roman" w:hint="eastAsia"/>
                <w:color w:val="000000"/>
                <w:szCs w:val="21"/>
              </w:rPr>
              <w:t>、</w:t>
            </w:r>
            <w:r>
              <w:rPr>
                <w:rFonts w:cs="Times New Roman" w:hint="eastAsia"/>
                <w:color w:val="000000"/>
                <w:szCs w:val="21"/>
              </w:rPr>
              <w:t>0.5-1.5m</w:t>
            </w:r>
            <w:r>
              <w:rPr>
                <w:rFonts w:cs="Times New Roman" w:hint="eastAsia"/>
                <w:color w:val="000000"/>
                <w:szCs w:val="21"/>
              </w:rPr>
              <w:t>、</w:t>
            </w:r>
            <w:r>
              <w:rPr>
                <w:rFonts w:cs="Times New Roman" w:hint="eastAsia"/>
                <w:color w:val="000000"/>
                <w:szCs w:val="21"/>
              </w:rPr>
              <w:t>1.5-3m</w:t>
            </w:r>
          </w:p>
          <w:p w:rsidR="00644456" w:rsidRDefault="00644456">
            <w:pPr>
              <w:spacing w:line="360" w:lineRule="exact"/>
              <w:jc w:val="center"/>
              <w:rPr>
                <w:rFonts w:cs="Times New Roman"/>
                <w:color w:val="000000"/>
                <w:szCs w:val="21"/>
              </w:rPr>
            </w:pPr>
          </w:p>
        </w:tc>
      </w:tr>
      <w:tr w:rsidR="00644456">
        <w:trPr>
          <w:jc w:val="center"/>
        </w:trPr>
        <w:tc>
          <w:tcPr>
            <w:tcW w:w="1247" w:type="dxa"/>
            <w:vAlign w:val="center"/>
          </w:tcPr>
          <w:p w:rsidR="00644456" w:rsidRDefault="008031C4">
            <w:pPr>
              <w:spacing w:line="360" w:lineRule="exact"/>
              <w:jc w:val="center"/>
              <w:rPr>
                <w:rFonts w:cs="Times New Roman"/>
                <w:color w:val="000000"/>
                <w:szCs w:val="21"/>
              </w:rPr>
            </w:pPr>
            <w:r>
              <w:rPr>
                <w:rFonts w:cs="Times New Roman"/>
                <w:color w:val="000000"/>
                <w:szCs w:val="21"/>
              </w:rPr>
              <w:t>3</w:t>
            </w:r>
            <w:r>
              <w:rPr>
                <w:rFonts w:cs="Times New Roman" w:hint="eastAsia"/>
                <w:color w:val="000000"/>
                <w:szCs w:val="21"/>
              </w:rPr>
              <w:t>#</w:t>
            </w:r>
          </w:p>
        </w:tc>
        <w:tc>
          <w:tcPr>
            <w:tcW w:w="1435"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柱状样</w:t>
            </w:r>
          </w:p>
        </w:tc>
        <w:tc>
          <w:tcPr>
            <w:tcW w:w="3914" w:type="dxa"/>
          </w:tcPr>
          <w:p w:rsidR="00644456" w:rsidRDefault="008031C4">
            <w:pPr>
              <w:spacing w:line="360" w:lineRule="exact"/>
              <w:jc w:val="center"/>
              <w:rPr>
                <w:rFonts w:cs="Times New Roman"/>
                <w:color w:val="000000"/>
                <w:szCs w:val="21"/>
              </w:rPr>
            </w:pPr>
            <w:r>
              <w:rPr>
                <w:rFonts w:cs="Times New Roman" w:hint="eastAsia"/>
                <w:color w:val="000000"/>
                <w:szCs w:val="21"/>
              </w:rPr>
              <w:t>项目区内</w:t>
            </w:r>
          </w:p>
        </w:tc>
        <w:tc>
          <w:tcPr>
            <w:tcW w:w="2218" w:type="dxa"/>
            <w:vMerge/>
            <w:vAlign w:val="center"/>
          </w:tcPr>
          <w:p w:rsidR="00644456" w:rsidRDefault="00644456">
            <w:pPr>
              <w:spacing w:line="360" w:lineRule="exact"/>
              <w:jc w:val="center"/>
              <w:rPr>
                <w:rFonts w:cs="Times New Roman"/>
                <w:color w:val="000000"/>
                <w:szCs w:val="21"/>
              </w:rPr>
            </w:pPr>
          </w:p>
        </w:tc>
      </w:tr>
      <w:tr w:rsidR="00644456">
        <w:trPr>
          <w:jc w:val="center"/>
        </w:trPr>
        <w:tc>
          <w:tcPr>
            <w:tcW w:w="1247"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4#</w:t>
            </w:r>
          </w:p>
        </w:tc>
        <w:tc>
          <w:tcPr>
            <w:tcW w:w="1435"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柱状样</w:t>
            </w:r>
          </w:p>
        </w:tc>
        <w:tc>
          <w:tcPr>
            <w:tcW w:w="3914" w:type="dxa"/>
          </w:tcPr>
          <w:p w:rsidR="00644456" w:rsidRDefault="008031C4">
            <w:pPr>
              <w:spacing w:line="360" w:lineRule="exact"/>
              <w:jc w:val="center"/>
              <w:rPr>
                <w:rFonts w:cs="Times New Roman"/>
                <w:color w:val="000000"/>
                <w:szCs w:val="21"/>
              </w:rPr>
            </w:pPr>
            <w:r>
              <w:rPr>
                <w:rFonts w:cs="Times New Roman" w:hint="eastAsia"/>
                <w:color w:val="000000"/>
                <w:szCs w:val="21"/>
              </w:rPr>
              <w:t>项目区内</w:t>
            </w:r>
          </w:p>
        </w:tc>
        <w:tc>
          <w:tcPr>
            <w:tcW w:w="2218" w:type="dxa"/>
            <w:vMerge/>
            <w:vAlign w:val="center"/>
          </w:tcPr>
          <w:p w:rsidR="00644456" w:rsidRDefault="00644456">
            <w:pPr>
              <w:spacing w:line="360" w:lineRule="exact"/>
              <w:jc w:val="center"/>
              <w:rPr>
                <w:rFonts w:cs="Times New Roman"/>
                <w:color w:val="000000"/>
                <w:szCs w:val="21"/>
              </w:rPr>
            </w:pPr>
          </w:p>
        </w:tc>
      </w:tr>
      <w:tr w:rsidR="00644456">
        <w:trPr>
          <w:jc w:val="center"/>
        </w:trPr>
        <w:tc>
          <w:tcPr>
            <w:tcW w:w="1247"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5#</w:t>
            </w:r>
          </w:p>
        </w:tc>
        <w:tc>
          <w:tcPr>
            <w:tcW w:w="1435"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表层样</w:t>
            </w:r>
          </w:p>
        </w:tc>
        <w:tc>
          <w:tcPr>
            <w:tcW w:w="3914" w:type="dxa"/>
          </w:tcPr>
          <w:p w:rsidR="00644456" w:rsidRDefault="008031C4">
            <w:pPr>
              <w:spacing w:line="360" w:lineRule="exact"/>
              <w:jc w:val="center"/>
              <w:rPr>
                <w:rFonts w:cs="Times New Roman"/>
                <w:color w:val="000000"/>
                <w:szCs w:val="21"/>
              </w:rPr>
            </w:pPr>
            <w:r>
              <w:rPr>
                <w:rFonts w:cs="Times New Roman" w:hint="eastAsia"/>
                <w:color w:val="000000"/>
                <w:szCs w:val="21"/>
              </w:rPr>
              <w:t>项目区外南侧</w:t>
            </w:r>
          </w:p>
        </w:tc>
        <w:tc>
          <w:tcPr>
            <w:tcW w:w="2218"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取样深度</w:t>
            </w:r>
            <w:r>
              <w:rPr>
                <w:rFonts w:cs="Times New Roman"/>
                <w:color w:val="000000"/>
                <w:szCs w:val="21"/>
              </w:rPr>
              <w:t>0~0.</w:t>
            </w:r>
            <w:r>
              <w:rPr>
                <w:rFonts w:cs="Times New Roman" w:hint="eastAsia"/>
                <w:color w:val="000000"/>
                <w:szCs w:val="21"/>
              </w:rPr>
              <w:t>2</w:t>
            </w:r>
            <w:r>
              <w:rPr>
                <w:rFonts w:cs="Times New Roman"/>
                <w:color w:val="000000"/>
                <w:szCs w:val="21"/>
              </w:rPr>
              <w:t>m</w:t>
            </w:r>
          </w:p>
        </w:tc>
      </w:tr>
      <w:tr w:rsidR="00644456">
        <w:trPr>
          <w:jc w:val="center"/>
        </w:trPr>
        <w:tc>
          <w:tcPr>
            <w:tcW w:w="1247"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6#</w:t>
            </w:r>
          </w:p>
        </w:tc>
        <w:tc>
          <w:tcPr>
            <w:tcW w:w="1435"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表层样</w:t>
            </w:r>
          </w:p>
        </w:tc>
        <w:tc>
          <w:tcPr>
            <w:tcW w:w="3914" w:type="dxa"/>
          </w:tcPr>
          <w:p w:rsidR="00644456" w:rsidRDefault="008031C4">
            <w:pPr>
              <w:spacing w:line="360" w:lineRule="exact"/>
              <w:jc w:val="center"/>
              <w:rPr>
                <w:rFonts w:cs="Times New Roman"/>
                <w:color w:val="000000"/>
                <w:szCs w:val="21"/>
              </w:rPr>
            </w:pPr>
            <w:r>
              <w:rPr>
                <w:rFonts w:cs="Times New Roman" w:hint="eastAsia"/>
                <w:color w:val="000000"/>
                <w:szCs w:val="21"/>
              </w:rPr>
              <w:t>项目区外北侧</w:t>
            </w:r>
          </w:p>
        </w:tc>
        <w:tc>
          <w:tcPr>
            <w:tcW w:w="2218" w:type="dxa"/>
            <w:vAlign w:val="center"/>
          </w:tcPr>
          <w:p w:rsidR="00644456" w:rsidRDefault="008031C4">
            <w:pPr>
              <w:spacing w:line="360" w:lineRule="exact"/>
              <w:jc w:val="center"/>
              <w:rPr>
                <w:rFonts w:cs="Times New Roman"/>
                <w:color w:val="000000"/>
                <w:szCs w:val="21"/>
              </w:rPr>
            </w:pPr>
            <w:r>
              <w:rPr>
                <w:rFonts w:cs="Times New Roman" w:hint="eastAsia"/>
                <w:color w:val="000000"/>
                <w:szCs w:val="21"/>
              </w:rPr>
              <w:t>取样深度</w:t>
            </w:r>
            <w:r>
              <w:rPr>
                <w:rFonts w:cs="Times New Roman"/>
                <w:color w:val="000000"/>
                <w:szCs w:val="21"/>
              </w:rPr>
              <w:t>0~0.</w:t>
            </w:r>
            <w:r>
              <w:rPr>
                <w:rFonts w:cs="Times New Roman" w:hint="eastAsia"/>
                <w:color w:val="000000"/>
                <w:szCs w:val="21"/>
              </w:rPr>
              <w:t>2</w:t>
            </w:r>
            <w:r>
              <w:rPr>
                <w:rFonts w:cs="Times New Roman"/>
                <w:color w:val="000000"/>
                <w:szCs w:val="21"/>
              </w:rPr>
              <w:t>m</w:t>
            </w:r>
          </w:p>
        </w:tc>
      </w:tr>
    </w:tbl>
    <w:p w:rsidR="00644456" w:rsidRDefault="008031C4">
      <w:pPr>
        <w:pStyle w:val="-1"/>
        <w:ind w:firstLine="482"/>
        <w:rPr>
          <w:rFonts w:cs="Times New Roman"/>
          <w:b/>
          <w:color w:val="000000" w:themeColor="text1"/>
        </w:rPr>
      </w:pPr>
      <w:r>
        <w:rPr>
          <w:rFonts w:cs="Times New Roman"/>
          <w:b/>
          <w:color w:val="000000" w:themeColor="text1"/>
        </w:rPr>
        <w:t>2</w:t>
      </w:r>
      <w:r>
        <w:rPr>
          <w:rFonts w:cs="Times New Roman"/>
          <w:b/>
          <w:color w:val="000000" w:themeColor="text1"/>
        </w:rPr>
        <w:t>、监测因子</w:t>
      </w:r>
    </w:p>
    <w:p w:rsidR="00644456" w:rsidRDefault="008031C4">
      <w:pPr>
        <w:pStyle w:val="afb"/>
        <w:spacing w:line="360" w:lineRule="auto"/>
        <w:ind w:firstLineChars="200" w:firstLine="480"/>
        <w:jc w:val="both"/>
        <w:rPr>
          <w:color w:val="000000" w:themeColor="text1"/>
          <w:sz w:val="24"/>
          <w:szCs w:val="24"/>
        </w:rPr>
      </w:pPr>
      <w:r>
        <w:rPr>
          <w:rFonts w:hint="eastAsia"/>
          <w:color w:val="000000" w:themeColor="text1"/>
          <w:sz w:val="24"/>
          <w:szCs w:val="24"/>
        </w:rPr>
        <w:t>项目区内监测点：</w:t>
      </w:r>
    </w:p>
    <w:p w:rsidR="00644456" w:rsidRDefault="008031C4">
      <w:pPr>
        <w:pStyle w:val="afb"/>
        <w:spacing w:line="360" w:lineRule="auto"/>
        <w:ind w:firstLineChars="200" w:firstLine="480"/>
        <w:jc w:val="both"/>
        <w:rPr>
          <w:color w:val="000000" w:themeColor="text1"/>
          <w:sz w:val="24"/>
          <w:szCs w:val="24"/>
        </w:rPr>
      </w:pPr>
      <w:r>
        <w:rPr>
          <w:rFonts w:hint="eastAsia"/>
          <w:color w:val="000000" w:themeColor="text1"/>
          <w:sz w:val="24"/>
          <w:szCs w:val="24"/>
        </w:rPr>
        <w:t>1#</w:t>
      </w:r>
      <w:r>
        <w:rPr>
          <w:rFonts w:hint="eastAsia"/>
          <w:color w:val="000000" w:themeColor="text1"/>
          <w:sz w:val="24"/>
          <w:szCs w:val="24"/>
        </w:rPr>
        <w:t>、</w:t>
      </w:r>
      <w:r>
        <w:rPr>
          <w:rFonts w:hint="eastAsia"/>
          <w:color w:val="000000" w:themeColor="text1"/>
          <w:sz w:val="24"/>
          <w:szCs w:val="24"/>
        </w:rPr>
        <w:t>5#</w:t>
      </w:r>
      <w:r>
        <w:rPr>
          <w:rFonts w:hint="eastAsia"/>
          <w:color w:val="000000" w:themeColor="text1"/>
          <w:sz w:val="24"/>
          <w:szCs w:val="24"/>
        </w:rPr>
        <w:t>土壤监测项目：镉、汞、砷、铅、六价铬、铜、镍、四氯化碳、氯仿、氯甲</w:t>
      </w:r>
      <w:r>
        <w:rPr>
          <w:rFonts w:hint="eastAsia"/>
          <w:color w:val="000000" w:themeColor="text1"/>
          <w:sz w:val="24"/>
          <w:szCs w:val="24"/>
        </w:rPr>
        <w:lastRenderedPageBreak/>
        <w:t>烷、</w:t>
      </w:r>
      <w:r>
        <w:rPr>
          <w:rFonts w:hint="eastAsia"/>
          <w:color w:val="000000" w:themeColor="text1"/>
          <w:sz w:val="24"/>
          <w:szCs w:val="24"/>
        </w:rPr>
        <w:t>1,1-</w:t>
      </w:r>
      <w:r>
        <w:rPr>
          <w:rFonts w:hint="eastAsia"/>
          <w:color w:val="000000" w:themeColor="text1"/>
          <w:sz w:val="24"/>
          <w:szCs w:val="24"/>
        </w:rPr>
        <w:t>二氯乙烷、</w:t>
      </w:r>
      <w:r>
        <w:rPr>
          <w:rFonts w:hint="eastAsia"/>
          <w:color w:val="000000" w:themeColor="text1"/>
          <w:sz w:val="24"/>
          <w:szCs w:val="24"/>
        </w:rPr>
        <w:t>1,2-</w:t>
      </w:r>
      <w:r>
        <w:rPr>
          <w:rFonts w:hint="eastAsia"/>
          <w:color w:val="000000" w:themeColor="text1"/>
          <w:sz w:val="24"/>
          <w:szCs w:val="24"/>
        </w:rPr>
        <w:t>二氯乙烷、</w:t>
      </w:r>
      <w:r>
        <w:rPr>
          <w:rFonts w:hint="eastAsia"/>
          <w:color w:val="000000" w:themeColor="text1"/>
          <w:sz w:val="24"/>
          <w:szCs w:val="24"/>
        </w:rPr>
        <w:t>1,1-</w:t>
      </w:r>
      <w:r>
        <w:rPr>
          <w:rFonts w:hint="eastAsia"/>
          <w:color w:val="000000" w:themeColor="text1"/>
          <w:sz w:val="24"/>
          <w:szCs w:val="24"/>
        </w:rPr>
        <w:t>二氯乙烯、顺</w:t>
      </w:r>
      <w:r>
        <w:rPr>
          <w:rFonts w:hint="eastAsia"/>
          <w:color w:val="000000" w:themeColor="text1"/>
          <w:sz w:val="24"/>
          <w:szCs w:val="24"/>
        </w:rPr>
        <w:t>-1,2-</w:t>
      </w:r>
      <w:r>
        <w:rPr>
          <w:rFonts w:hint="eastAsia"/>
          <w:color w:val="000000" w:themeColor="text1"/>
          <w:sz w:val="24"/>
          <w:szCs w:val="24"/>
        </w:rPr>
        <w:t>二氯乙烯、反</w:t>
      </w:r>
      <w:r>
        <w:rPr>
          <w:rFonts w:hint="eastAsia"/>
          <w:color w:val="000000" w:themeColor="text1"/>
          <w:sz w:val="24"/>
          <w:szCs w:val="24"/>
        </w:rPr>
        <w:t>-1,2-</w:t>
      </w:r>
      <w:r>
        <w:rPr>
          <w:rFonts w:hint="eastAsia"/>
          <w:color w:val="000000" w:themeColor="text1"/>
          <w:sz w:val="24"/>
          <w:szCs w:val="24"/>
        </w:rPr>
        <w:t>二氯乙烯、二氯甲烷、</w:t>
      </w:r>
      <w:r>
        <w:rPr>
          <w:rFonts w:hint="eastAsia"/>
          <w:color w:val="000000" w:themeColor="text1"/>
          <w:sz w:val="24"/>
          <w:szCs w:val="24"/>
        </w:rPr>
        <w:t>1,2-</w:t>
      </w:r>
      <w:r>
        <w:rPr>
          <w:rFonts w:hint="eastAsia"/>
          <w:color w:val="000000" w:themeColor="text1"/>
          <w:sz w:val="24"/>
          <w:szCs w:val="24"/>
        </w:rPr>
        <w:t>二氯丙烷、</w:t>
      </w:r>
      <w:r>
        <w:rPr>
          <w:rFonts w:hint="eastAsia"/>
          <w:color w:val="000000" w:themeColor="text1"/>
          <w:sz w:val="24"/>
          <w:szCs w:val="24"/>
        </w:rPr>
        <w:t>1,1,1,2-</w:t>
      </w:r>
      <w:r>
        <w:rPr>
          <w:rFonts w:hint="eastAsia"/>
          <w:color w:val="000000" w:themeColor="text1"/>
          <w:sz w:val="24"/>
          <w:szCs w:val="24"/>
        </w:rPr>
        <w:t>四氯乙烷、</w:t>
      </w:r>
      <w:r>
        <w:rPr>
          <w:rFonts w:hint="eastAsia"/>
          <w:color w:val="000000" w:themeColor="text1"/>
          <w:sz w:val="24"/>
          <w:szCs w:val="24"/>
        </w:rPr>
        <w:t>1,1,2,2-</w:t>
      </w:r>
      <w:r>
        <w:rPr>
          <w:rFonts w:hint="eastAsia"/>
          <w:color w:val="000000" w:themeColor="text1"/>
          <w:sz w:val="24"/>
          <w:szCs w:val="24"/>
        </w:rPr>
        <w:t>四氯乙烷、四氯乙烯、</w:t>
      </w:r>
      <w:r>
        <w:rPr>
          <w:rFonts w:hint="eastAsia"/>
          <w:color w:val="000000" w:themeColor="text1"/>
          <w:sz w:val="24"/>
          <w:szCs w:val="24"/>
        </w:rPr>
        <w:t>1,1,1-</w:t>
      </w:r>
      <w:r>
        <w:rPr>
          <w:rFonts w:hint="eastAsia"/>
          <w:color w:val="000000" w:themeColor="text1"/>
          <w:sz w:val="24"/>
          <w:szCs w:val="24"/>
        </w:rPr>
        <w:t>三氯乙烷、</w:t>
      </w:r>
      <w:r>
        <w:rPr>
          <w:rFonts w:hint="eastAsia"/>
          <w:color w:val="000000" w:themeColor="text1"/>
          <w:sz w:val="24"/>
          <w:szCs w:val="24"/>
        </w:rPr>
        <w:t>1,1,2-</w:t>
      </w:r>
      <w:r>
        <w:rPr>
          <w:rFonts w:hint="eastAsia"/>
          <w:color w:val="000000" w:themeColor="text1"/>
          <w:sz w:val="24"/>
          <w:szCs w:val="24"/>
        </w:rPr>
        <w:t>三氯乙烷、三氯乙烯、</w:t>
      </w:r>
      <w:r>
        <w:rPr>
          <w:rFonts w:hint="eastAsia"/>
          <w:color w:val="000000" w:themeColor="text1"/>
          <w:sz w:val="24"/>
          <w:szCs w:val="24"/>
        </w:rPr>
        <w:t>1,2,3-</w:t>
      </w:r>
      <w:r>
        <w:rPr>
          <w:rFonts w:hint="eastAsia"/>
          <w:color w:val="000000" w:themeColor="text1"/>
          <w:sz w:val="24"/>
          <w:szCs w:val="24"/>
        </w:rPr>
        <w:t>三氯丙烷、氯乙烯、苯、氯苯、</w:t>
      </w:r>
      <w:r>
        <w:rPr>
          <w:rFonts w:hint="eastAsia"/>
          <w:color w:val="000000" w:themeColor="text1"/>
          <w:sz w:val="24"/>
          <w:szCs w:val="24"/>
        </w:rPr>
        <w:t>1,2-</w:t>
      </w:r>
      <w:r>
        <w:rPr>
          <w:rFonts w:hint="eastAsia"/>
          <w:color w:val="000000" w:themeColor="text1"/>
          <w:sz w:val="24"/>
          <w:szCs w:val="24"/>
        </w:rPr>
        <w:t>二氯苯、</w:t>
      </w:r>
      <w:r>
        <w:rPr>
          <w:rFonts w:hint="eastAsia"/>
          <w:color w:val="000000" w:themeColor="text1"/>
          <w:sz w:val="24"/>
          <w:szCs w:val="24"/>
        </w:rPr>
        <w:t>1,4-</w:t>
      </w:r>
      <w:r>
        <w:rPr>
          <w:rFonts w:hint="eastAsia"/>
          <w:color w:val="000000" w:themeColor="text1"/>
          <w:sz w:val="24"/>
          <w:szCs w:val="24"/>
        </w:rPr>
        <w:t>二氯苯、乙苯、苯乙烯、甲苯、间二甲苯</w:t>
      </w:r>
      <w:r>
        <w:rPr>
          <w:rFonts w:hint="eastAsia"/>
          <w:color w:val="000000" w:themeColor="text1"/>
          <w:sz w:val="24"/>
          <w:szCs w:val="24"/>
        </w:rPr>
        <w:t>+</w:t>
      </w:r>
      <w:r>
        <w:rPr>
          <w:rFonts w:hint="eastAsia"/>
          <w:color w:val="000000" w:themeColor="text1"/>
          <w:sz w:val="24"/>
          <w:szCs w:val="24"/>
        </w:rPr>
        <w:t>对二甲苯、邻二甲苯、硝基苯、苯胺、</w:t>
      </w:r>
      <w:r>
        <w:rPr>
          <w:rFonts w:hint="eastAsia"/>
          <w:color w:val="000000" w:themeColor="text1"/>
          <w:sz w:val="24"/>
          <w:szCs w:val="24"/>
        </w:rPr>
        <w:t>2-</w:t>
      </w:r>
      <w:r>
        <w:rPr>
          <w:rFonts w:hint="eastAsia"/>
          <w:color w:val="000000" w:themeColor="text1"/>
          <w:sz w:val="24"/>
          <w:szCs w:val="24"/>
        </w:rPr>
        <w:t>氯苯酚、苯并</w:t>
      </w:r>
      <w:r>
        <w:rPr>
          <w:rFonts w:hint="eastAsia"/>
          <w:color w:val="000000" w:themeColor="text1"/>
          <w:sz w:val="24"/>
          <w:szCs w:val="24"/>
        </w:rPr>
        <w:t>[a]</w:t>
      </w:r>
      <w:r>
        <w:rPr>
          <w:rFonts w:hint="eastAsia"/>
          <w:color w:val="000000" w:themeColor="text1"/>
          <w:sz w:val="24"/>
          <w:szCs w:val="24"/>
        </w:rPr>
        <w:t>蒽、苯并</w:t>
      </w:r>
      <w:r>
        <w:rPr>
          <w:rFonts w:hint="eastAsia"/>
          <w:color w:val="000000" w:themeColor="text1"/>
          <w:sz w:val="24"/>
          <w:szCs w:val="24"/>
        </w:rPr>
        <w:t>[a]</w:t>
      </w:r>
      <w:r>
        <w:rPr>
          <w:rFonts w:hint="eastAsia"/>
          <w:color w:val="000000" w:themeColor="text1"/>
          <w:sz w:val="24"/>
          <w:szCs w:val="24"/>
        </w:rPr>
        <w:t>芘、苯并</w:t>
      </w:r>
      <w:r>
        <w:rPr>
          <w:rFonts w:hint="eastAsia"/>
          <w:color w:val="000000" w:themeColor="text1"/>
          <w:sz w:val="24"/>
          <w:szCs w:val="24"/>
        </w:rPr>
        <w:t>[b]</w:t>
      </w:r>
      <w:r>
        <w:rPr>
          <w:rFonts w:hint="eastAsia"/>
          <w:color w:val="000000" w:themeColor="text1"/>
          <w:sz w:val="24"/>
          <w:szCs w:val="24"/>
        </w:rPr>
        <w:t>荧蒽、苯并</w:t>
      </w:r>
      <w:r>
        <w:rPr>
          <w:rFonts w:hint="eastAsia"/>
          <w:color w:val="000000" w:themeColor="text1"/>
          <w:sz w:val="24"/>
          <w:szCs w:val="24"/>
        </w:rPr>
        <w:t>[k]</w:t>
      </w:r>
      <w:r>
        <w:rPr>
          <w:rFonts w:hint="eastAsia"/>
          <w:color w:val="000000" w:themeColor="text1"/>
          <w:sz w:val="24"/>
          <w:szCs w:val="24"/>
        </w:rPr>
        <w:t>荧蒽、䓛、二苯并</w:t>
      </w:r>
      <w:r>
        <w:rPr>
          <w:rFonts w:hint="eastAsia"/>
          <w:color w:val="000000" w:themeColor="text1"/>
          <w:sz w:val="24"/>
          <w:szCs w:val="24"/>
        </w:rPr>
        <w:t>[a,h]</w:t>
      </w:r>
      <w:r>
        <w:rPr>
          <w:rFonts w:hint="eastAsia"/>
          <w:color w:val="000000" w:themeColor="text1"/>
          <w:sz w:val="24"/>
          <w:szCs w:val="24"/>
        </w:rPr>
        <w:t>蒽、茚并</w:t>
      </w:r>
      <w:r>
        <w:rPr>
          <w:rFonts w:hint="eastAsia"/>
          <w:color w:val="000000" w:themeColor="text1"/>
          <w:sz w:val="24"/>
          <w:szCs w:val="24"/>
        </w:rPr>
        <w:t>[1,2,3-cd]</w:t>
      </w:r>
      <w:r>
        <w:rPr>
          <w:rFonts w:hint="eastAsia"/>
          <w:color w:val="000000" w:themeColor="text1"/>
          <w:sz w:val="24"/>
          <w:szCs w:val="24"/>
        </w:rPr>
        <w:t>芘、萘、</w:t>
      </w:r>
      <w:r>
        <w:rPr>
          <w:rFonts w:hint="eastAsia"/>
          <w:color w:val="000000" w:themeColor="text1"/>
          <w:sz w:val="24"/>
          <w:szCs w:val="24"/>
        </w:rPr>
        <w:t>pH</w:t>
      </w:r>
      <w:r>
        <w:rPr>
          <w:rFonts w:hint="eastAsia"/>
          <w:color w:val="000000" w:themeColor="text1"/>
          <w:sz w:val="24"/>
          <w:szCs w:val="24"/>
        </w:rPr>
        <w:t>、石油烃（</w:t>
      </w:r>
      <w:r>
        <w:rPr>
          <w:rFonts w:hint="eastAsia"/>
          <w:color w:val="000000" w:themeColor="text1"/>
          <w:sz w:val="24"/>
          <w:szCs w:val="24"/>
        </w:rPr>
        <w:t>C10-C40</w:t>
      </w:r>
      <w:r>
        <w:rPr>
          <w:rFonts w:hint="eastAsia"/>
          <w:color w:val="000000" w:themeColor="text1"/>
          <w:sz w:val="24"/>
          <w:szCs w:val="24"/>
        </w:rPr>
        <w:t>）。</w:t>
      </w:r>
    </w:p>
    <w:p w:rsidR="00644456" w:rsidRDefault="008031C4">
      <w:pPr>
        <w:pStyle w:val="afb"/>
        <w:spacing w:line="360" w:lineRule="auto"/>
        <w:ind w:firstLineChars="200" w:firstLine="480"/>
        <w:jc w:val="both"/>
        <w:rPr>
          <w:color w:val="000000" w:themeColor="text1"/>
          <w:sz w:val="24"/>
          <w:szCs w:val="24"/>
        </w:rPr>
      </w:pPr>
      <w:r>
        <w:rPr>
          <w:rFonts w:hint="eastAsia"/>
          <w:color w:val="000000" w:themeColor="text1"/>
          <w:sz w:val="24"/>
          <w:szCs w:val="24"/>
        </w:rPr>
        <w:t>2#</w:t>
      </w:r>
      <w:r>
        <w:rPr>
          <w:rFonts w:hint="eastAsia"/>
          <w:color w:val="000000" w:themeColor="text1"/>
          <w:sz w:val="24"/>
          <w:szCs w:val="24"/>
        </w:rPr>
        <w:t>、</w:t>
      </w:r>
      <w:r>
        <w:rPr>
          <w:color w:val="000000" w:themeColor="text1"/>
          <w:sz w:val="24"/>
          <w:szCs w:val="24"/>
        </w:rPr>
        <w:t>3#</w:t>
      </w:r>
      <w:r>
        <w:rPr>
          <w:rFonts w:hint="eastAsia"/>
          <w:color w:val="000000" w:themeColor="text1"/>
          <w:sz w:val="24"/>
          <w:szCs w:val="24"/>
        </w:rPr>
        <w:t>、</w:t>
      </w:r>
      <w:r>
        <w:rPr>
          <w:rFonts w:hint="eastAsia"/>
          <w:color w:val="000000" w:themeColor="text1"/>
          <w:sz w:val="24"/>
          <w:szCs w:val="24"/>
        </w:rPr>
        <w:t>4#</w:t>
      </w:r>
      <w:r>
        <w:rPr>
          <w:rFonts w:hint="eastAsia"/>
          <w:color w:val="000000" w:themeColor="text1"/>
          <w:sz w:val="24"/>
          <w:szCs w:val="24"/>
        </w:rPr>
        <w:t>、</w:t>
      </w:r>
      <w:r>
        <w:rPr>
          <w:rFonts w:hint="eastAsia"/>
          <w:color w:val="000000" w:themeColor="text1"/>
          <w:sz w:val="24"/>
          <w:szCs w:val="24"/>
        </w:rPr>
        <w:t>6#</w:t>
      </w:r>
      <w:r>
        <w:rPr>
          <w:rFonts w:hint="eastAsia"/>
          <w:color w:val="000000" w:themeColor="text1"/>
          <w:sz w:val="24"/>
          <w:szCs w:val="24"/>
        </w:rPr>
        <w:t>监测点位土壤监测项目：</w:t>
      </w:r>
      <w:r>
        <w:rPr>
          <w:rFonts w:hint="eastAsia"/>
          <w:color w:val="000000" w:themeColor="text1"/>
          <w:sz w:val="24"/>
          <w:szCs w:val="24"/>
        </w:rPr>
        <w:t>pH</w:t>
      </w:r>
      <w:r>
        <w:rPr>
          <w:rFonts w:hint="eastAsia"/>
          <w:color w:val="000000" w:themeColor="text1"/>
          <w:sz w:val="24"/>
          <w:szCs w:val="24"/>
        </w:rPr>
        <w:t>、石油烃（</w:t>
      </w:r>
      <w:r>
        <w:rPr>
          <w:rFonts w:hint="eastAsia"/>
          <w:color w:val="000000" w:themeColor="text1"/>
          <w:sz w:val="24"/>
          <w:szCs w:val="24"/>
        </w:rPr>
        <w:t>C10-C40</w:t>
      </w:r>
      <w:r>
        <w:rPr>
          <w:rFonts w:hint="eastAsia"/>
          <w:color w:val="000000" w:themeColor="text1"/>
          <w:sz w:val="24"/>
          <w:szCs w:val="24"/>
        </w:rPr>
        <w:t>）。</w:t>
      </w:r>
    </w:p>
    <w:p w:rsidR="00644456" w:rsidRDefault="008031C4">
      <w:pPr>
        <w:pStyle w:val="-1"/>
        <w:ind w:firstLine="482"/>
        <w:rPr>
          <w:rFonts w:cs="Times New Roman"/>
          <w:b/>
          <w:color w:val="000000" w:themeColor="text1"/>
        </w:rPr>
      </w:pPr>
      <w:r>
        <w:rPr>
          <w:rFonts w:cs="Times New Roman"/>
          <w:b/>
          <w:color w:val="000000" w:themeColor="text1"/>
        </w:rPr>
        <w:t>3</w:t>
      </w:r>
      <w:r>
        <w:rPr>
          <w:rFonts w:cs="Times New Roman"/>
          <w:b/>
          <w:color w:val="000000" w:themeColor="text1"/>
        </w:rPr>
        <w:t>、监测频率</w:t>
      </w:r>
    </w:p>
    <w:p w:rsidR="00644456" w:rsidRDefault="008031C4">
      <w:pPr>
        <w:pStyle w:val="-1"/>
        <w:rPr>
          <w:rFonts w:cs="Times New Roman"/>
          <w:color w:val="000000" w:themeColor="text1"/>
        </w:rPr>
      </w:pPr>
      <w:r>
        <w:rPr>
          <w:rFonts w:cs="Times New Roman" w:hint="eastAsia"/>
          <w:color w:val="000000" w:themeColor="text1"/>
        </w:rPr>
        <w:t>监测</w:t>
      </w:r>
      <w:r>
        <w:rPr>
          <w:rFonts w:cs="Times New Roman" w:hint="eastAsia"/>
          <w:color w:val="000000" w:themeColor="text1"/>
        </w:rPr>
        <w:t>1</w:t>
      </w:r>
      <w:r>
        <w:rPr>
          <w:rFonts w:cs="Times New Roman" w:hint="eastAsia"/>
          <w:color w:val="000000" w:themeColor="text1"/>
        </w:rPr>
        <w:t>天，采样</w:t>
      </w:r>
      <w:r>
        <w:rPr>
          <w:rFonts w:cs="Times New Roman" w:hint="eastAsia"/>
          <w:color w:val="000000" w:themeColor="text1"/>
        </w:rPr>
        <w:t>1</w:t>
      </w:r>
      <w:r>
        <w:rPr>
          <w:rFonts w:cs="Times New Roman" w:hint="eastAsia"/>
          <w:color w:val="000000" w:themeColor="text1"/>
        </w:rPr>
        <w:t>次</w:t>
      </w:r>
      <w:r>
        <w:rPr>
          <w:rFonts w:cs="Times New Roman"/>
          <w:color w:val="000000" w:themeColor="text1"/>
        </w:rPr>
        <w:t>。</w:t>
      </w:r>
    </w:p>
    <w:p w:rsidR="00644456" w:rsidRDefault="008031C4">
      <w:pPr>
        <w:pStyle w:val="-1"/>
        <w:ind w:firstLine="482"/>
        <w:rPr>
          <w:rFonts w:cs="Times New Roman"/>
          <w:b/>
          <w:color w:val="000000" w:themeColor="text1"/>
        </w:rPr>
      </w:pPr>
      <w:r>
        <w:rPr>
          <w:rFonts w:cs="Times New Roman"/>
          <w:b/>
          <w:color w:val="000000" w:themeColor="text1"/>
        </w:rPr>
        <w:t>4</w:t>
      </w:r>
      <w:r>
        <w:rPr>
          <w:rFonts w:cs="Times New Roman"/>
          <w:b/>
          <w:color w:val="000000" w:themeColor="text1"/>
        </w:rPr>
        <w:t>、评价标准</w:t>
      </w:r>
    </w:p>
    <w:p w:rsidR="00644456" w:rsidRDefault="008031C4">
      <w:pPr>
        <w:pStyle w:val="-1"/>
        <w:rPr>
          <w:rFonts w:cs="Times New Roman"/>
          <w:color w:val="000000" w:themeColor="text1"/>
        </w:rPr>
      </w:pPr>
      <w:r>
        <w:rPr>
          <w:rFonts w:cs="Times New Roman"/>
          <w:color w:val="000000" w:themeColor="text1"/>
        </w:rPr>
        <w:t>执行《土壤环境质量建设用地土壤污染风险管控（试行）》（</w:t>
      </w:r>
      <w:r>
        <w:rPr>
          <w:rFonts w:cs="Times New Roman"/>
          <w:color w:val="000000" w:themeColor="text1"/>
        </w:rPr>
        <w:t>GB36600-2018</w:t>
      </w:r>
      <w:r>
        <w:rPr>
          <w:rFonts w:cs="Times New Roman"/>
          <w:color w:val="000000" w:themeColor="text1"/>
        </w:rPr>
        <w:t>）标准。</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3.6</w:t>
      </w:r>
      <w:r>
        <w:rPr>
          <w:rFonts w:cs="Times New Roman" w:hint="eastAsia"/>
          <w:b/>
          <w:color w:val="000000" w:themeColor="text1"/>
          <w:sz w:val="24"/>
          <w:szCs w:val="20"/>
        </w:rPr>
        <w:noBreakHyphen/>
        <w:t>2</w:t>
      </w:r>
      <w:r>
        <w:rPr>
          <w:rFonts w:cs="Times New Roman" w:hint="eastAsia"/>
          <w:b/>
          <w:color w:val="000000" w:themeColor="text1"/>
          <w:sz w:val="24"/>
          <w:szCs w:val="20"/>
        </w:rPr>
        <w:t>《土壤环境质量建设用地土壤污染风险管控（试行）》单位：</w:t>
      </w:r>
      <w:r>
        <w:rPr>
          <w:rFonts w:cs="Times New Roman" w:hint="eastAsia"/>
          <w:b/>
          <w:color w:val="000000" w:themeColor="text1"/>
          <w:sz w:val="24"/>
          <w:szCs w:val="20"/>
        </w:rPr>
        <w:t>mg/kg</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54"/>
        <w:gridCol w:w="2586"/>
        <w:gridCol w:w="1215"/>
        <w:gridCol w:w="1106"/>
        <w:gridCol w:w="1132"/>
        <w:gridCol w:w="1106"/>
        <w:gridCol w:w="1126"/>
      </w:tblGrid>
      <w:tr w:rsidR="00644456">
        <w:trPr>
          <w:jc w:val="center"/>
        </w:trPr>
        <w:tc>
          <w:tcPr>
            <w:tcW w:w="417" w:type="pct"/>
            <w:vMerge w:val="restart"/>
            <w:shd w:val="clear" w:color="auto" w:fill="auto"/>
            <w:vAlign w:val="center"/>
          </w:tcPr>
          <w:p w:rsidR="00644456" w:rsidRDefault="008031C4">
            <w:pPr>
              <w:jc w:val="center"/>
              <w:rPr>
                <w:color w:val="000000" w:themeColor="text1"/>
                <w:szCs w:val="21"/>
              </w:rPr>
            </w:pPr>
            <w:r>
              <w:rPr>
                <w:color w:val="000000" w:themeColor="text1"/>
                <w:szCs w:val="21"/>
              </w:rPr>
              <w:t>序号</w:t>
            </w:r>
          </w:p>
        </w:tc>
        <w:tc>
          <w:tcPr>
            <w:tcW w:w="1431" w:type="pct"/>
            <w:vMerge w:val="restart"/>
            <w:shd w:val="clear" w:color="auto" w:fill="auto"/>
            <w:vAlign w:val="center"/>
          </w:tcPr>
          <w:p w:rsidR="00644456" w:rsidRDefault="008031C4">
            <w:pPr>
              <w:jc w:val="center"/>
              <w:rPr>
                <w:color w:val="000000" w:themeColor="text1"/>
                <w:szCs w:val="21"/>
              </w:rPr>
            </w:pPr>
            <w:r>
              <w:rPr>
                <w:color w:val="000000" w:themeColor="text1"/>
                <w:szCs w:val="21"/>
              </w:rPr>
              <w:t>污染物项目</w:t>
            </w:r>
          </w:p>
        </w:tc>
        <w:tc>
          <w:tcPr>
            <w:tcW w:w="673" w:type="pct"/>
            <w:vMerge w:val="restart"/>
            <w:shd w:val="clear" w:color="auto" w:fill="auto"/>
            <w:vAlign w:val="center"/>
          </w:tcPr>
          <w:p w:rsidR="00644456" w:rsidRDefault="008031C4">
            <w:pPr>
              <w:jc w:val="center"/>
              <w:rPr>
                <w:color w:val="000000" w:themeColor="text1"/>
                <w:szCs w:val="21"/>
              </w:rPr>
            </w:pPr>
            <w:r>
              <w:rPr>
                <w:color w:val="000000" w:themeColor="text1"/>
                <w:szCs w:val="21"/>
              </w:rPr>
              <w:t>CAS</w:t>
            </w:r>
            <w:r>
              <w:rPr>
                <w:color w:val="000000" w:themeColor="text1"/>
                <w:szCs w:val="21"/>
              </w:rPr>
              <w:t>编号</w:t>
            </w:r>
          </w:p>
        </w:tc>
        <w:tc>
          <w:tcPr>
            <w:tcW w:w="1240" w:type="pct"/>
            <w:gridSpan w:val="2"/>
            <w:shd w:val="clear" w:color="auto" w:fill="auto"/>
            <w:vAlign w:val="center"/>
          </w:tcPr>
          <w:p w:rsidR="00644456" w:rsidRDefault="008031C4">
            <w:pPr>
              <w:jc w:val="center"/>
              <w:rPr>
                <w:color w:val="000000" w:themeColor="text1"/>
                <w:szCs w:val="21"/>
              </w:rPr>
            </w:pPr>
            <w:r>
              <w:rPr>
                <w:color w:val="000000" w:themeColor="text1"/>
                <w:szCs w:val="21"/>
              </w:rPr>
              <w:t>筛选值</w:t>
            </w:r>
          </w:p>
        </w:tc>
        <w:tc>
          <w:tcPr>
            <w:tcW w:w="1237" w:type="pct"/>
            <w:gridSpan w:val="2"/>
            <w:shd w:val="clear" w:color="auto" w:fill="auto"/>
            <w:vAlign w:val="center"/>
          </w:tcPr>
          <w:p w:rsidR="00644456" w:rsidRDefault="008031C4">
            <w:pPr>
              <w:jc w:val="center"/>
              <w:rPr>
                <w:color w:val="000000" w:themeColor="text1"/>
                <w:szCs w:val="21"/>
              </w:rPr>
            </w:pPr>
            <w:r>
              <w:rPr>
                <w:color w:val="000000" w:themeColor="text1"/>
                <w:szCs w:val="21"/>
              </w:rPr>
              <w:t>管制值</w:t>
            </w:r>
          </w:p>
        </w:tc>
      </w:tr>
      <w:tr w:rsidR="00644456">
        <w:trPr>
          <w:jc w:val="center"/>
        </w:trPr>
        <w:tc>
          <w:tcPr>
            <w:tcW w:w="417" w:type="pct"/>
            <w:vMerge/>
            <w:shd w:val="clear" w:color="auto" w:fill="auto"/>
            <w:vAlign w:val="center"/>
          </w:tcPr>
          <w:p w:rsidR="00644456" w:rsidRDefault="00644456">
            <w:pPr>
              <w:jc w:val="center"/>
              <w:rPr>
                <w:color w:val="000000" w:themeColor="text1"/>
                <w:szCs w:val="21"/>
              </w:rPr>
            </w:pPr>
          </w:p>
        </w:tc>
        <w:tc>
          <w:tcPr>
            <w:tcW w:w="1431" w:type="pct"/>
            <w:vMerge/>
            <w:shd w:val="clear" w:color="auto" w:fill="auto"/>
            <w:vAlign w:val="center"/>
          </w:tcPr>
          <w:p w:rsidR="00644456" w:rsidRDefault="00644456">
            <w:pPr>
              <w:jc w:val="center"/>
              <w:rPr>
                <w:color w:val="000000" w:themeColor="text1"/>
                <w:szCs w:val="21"/>
              </w:rPr>
            </w:pPr>
          </w:p>
        </w:tc>
        <w:tc>
          <w:tcPr>
            <w:tcW w:w="673" w:type="pct"/>
            <w:vMerge/>
            <w:shd w:val="clear" w:color="auto" w:fill="auto"/>
            <w:vAlign w:val="center"/>
          </w:tcPr>
          <w:p w:rsidR="00644456" w:rsidRDefault="00644456">
            <w:pPr>
              <w:jc w:val="center"/>
              <w:rPr>
                <w:color w:val="000000" w:themeColor="text1"/>
                <w:szCs w:val="21"/>
              </w:rPr>
            </w:pPr>
          </w:p>
        </w:tc>
        <w:tc>
          <w:tcPr>
            <w:tcW w:w="613" w:type="pct"/>
            <w:shd w:val="clear" w:color="auto" w:fill="auto"/>
            <w:vAlign w:val="center"/>
          </w:tcPr>
          <w:p w:rsidR="00644456" w:rsidRDefault="008031C4">
            <w:pPr>
              <w:pStyle w:val="-1"/>
              <w:spacing w:line="240" w:lineRule="auto"/>
              <w:ind w:firstLineChars="0" w:firstLine="0"/>
              <w:jc w:val="center"/>
              <w:rPr>
                <w:color w:val="000000" w:themeColor="text1"/>
                <w:sz w:val="21"/>
                <w:szCs w:val="21"/>
              </w:rPr>
            </w:pPr>
            <w:r>
              <w:rPr>
                <w:color w:val="000000" w:themeColor="text1"/>
                <w:sz w:val="21"/>
                <w:szCs w:val="21"/>
              </w:rPr>
              <w:t>第一类</w:t>
            </w:r>
          </w:p>
          <w:p w:rsidR="00644456" w:rsidRDefault="008031C4">
            <w:pPr>
              <w:pStyle w:val="-1"/>
              <w:spacing w:line="240" w:lineRule="auto"/>
              <w:ind w:firstLineChars="0" w:firstLine="0"/>
              <w:jc w:val="center"/>
              <w:rPr>
                <w:color w:val="000000" w:themeColor="text1"/>
                <w:sz w:val="21"/>
                <w:szCs w:val="21"/>
              </w:rPr>
            </w:pPr>
            <w:r>
              <w:rPr>
                <w:color w:val="000000" w:themeColor="text1"/>
                <w:sz w:val="21"/>
                <w:szCs w:val="21"/>
              </w:rPr>
              <w:t>用地</w:t>
            </w:r>
          </w:p>
        </w:tc>
        <w:tc>
          <w:tcPr>
            <w:tcW w:w="627" w:type="pct"/>
            <w:shd w:val="clear" w:color="auto" w:fill="auto"/>
            <w:vAlign w:val="center"/>
          </w:tcPr>
          <w:p w:rsidR="00644456" w:rsidRDefault="008031C4">
            <w:pPr>
              <w:pStyle w:val="-1"/>
              <w:spacing w:line="240" w:lineRule="auto"/>
              <w:ind w:firstLineChars="0" w:firstLine="0"/>
              <w:jc w:val="center"/>
              <w:rPr>
                <w:color w:val="000000" w:themeColor="text1"/>
                <w:sz w:val="21"/>
                <w:szCs w:val="21"/>
              </w:rPr>
            </w:pPr>
            <w:r>
              <w:rPr>
                <w:color w:val="000000" w:themeColor="text1"/>
                <w:sz w:val="21"/>
                <w:szCs w:val="21"/>
              </w:rPr>
              <w:t>第二类</w:t>
            </w:r>
          </w:p>
          <w:p w:rsidR="00644456" w:rsidRDefault="008031C4">
            <w:pPr>
              <w:pStyle w:val="-1"/>
              <w:spacing w:line="240" w:lineRule="auto"/>
              <w:ind w:firstLineChars="0" w:firstLine="0"/>
              <w:jc w:val="center"/>
              <w:rPr>
                <w:color w:val="000000" w:themeColor="text1"/>
                <w:sz w:val="21"/>
                <w:szCs w:val="21"/>
              </w:rPr>
            </w:pPr>
            <w:r>
              <w:rPr>
                <w:color w:val="000000" w:themeColor="text1"/>
                <w:sz w:val="21"/>
                <w:szCs w:val="21"/>
              </w:rPr>
              <w:t>用地</w:t>
            </w:r>
          </w:p>
        </w:tc>
        <w:tc>
          <w:tcPr>
            <w:tcW w:w="613" w:type="pct"/>
            <w:shd w:val="clear" w:color="auto" w:fill="auto"/>
            <w:vAlign w:val="center"/>
          </w:tcPr>
          <w:p w:rsidR="00644456" w:rsidRDefault="008031C4">
            <w:pPr>
              <w:pStyle w:val="-1"/>
              <w:spacing w:line="240" w:lineRule="auto"/>
              <w:ind w:firstLineChars="0" w:firstLine="0"/>
              <w:jc w:val="center"/>
              <w:rPr>
                <w:color w:val="000000" w:themeColor="text1"/>
                <w:sz w:val="21"/>
                <w:szCs w:val="21"/>
              </w:rPr>
            </w:pPr>
            <w:r>
              <w:rPr>
                <w:color w:val="000000" w:themeColor="text1"/>
                <w:sz w:val="21"/>
                <w:szCs w:val="21"/>
              </w:rPr>
              <w:t>第一类</w:t>
            </w:r>
          </w:p>
          <w:p w:rsidR="00644456" w:rsidRDefault="008031C4">
            <w:pPr>
              <w:pStyle w:val="-1"/>
              <w:spacing w:line="240" w:lineRule="auto"/>
              <w:ind w:firstLineChars="0" w:firstLine="0"/>
              <w:jc w:val="center"/>
              <w:rPr>
                <w:color w:val="000000" w:themeColor="text1"/>
                <w:sz w:val="21"/>
                <w:szCs w:val="21"/>
              </w:rPr>
            </w:pPr>
            <w:r>
              <w:rPr>
                <w:color w:val="000000" w:themeColor="text1"/>
                <w:sz w:val="21"/>
                <w:szCs w:val="21"/>
              </w:rPr>
              <w:t>用地</w:t>
            </w:r>
          </w:p>
        </w:tc>
        <w:tc>
          <w:tcPr>
            <w:tcW w:w="624" w:type="pct"/>
            <w:shd w:val="clear" w:color="auto" w:fill="auto"/>
            <w:vAlign w:val="center"/>
          </w:tcPr>
          <w:p w:rsidR="00644456" w:rsidRDefault="008031C4">
            <w:pPr>
              <w:pStyle w:val="-1"/>
              <w:spacing w:line="240" w:lineRule="auto"/>
              <w:ind w:firstLineChars="0" w:firstLine="0"/>
              <w:jc w:val="center"/>
              <w:rPr>
                <w:color w:val="000000" w:themeColor="text1"/>
                <w:sz w:val="21"/>
                <w:szCs w:val="21"/>
              </w:rPr>
            </w:pPr>
            <w:r>
              <w:rPr>
                <w:color w:val="000000" w:themeColor="text1"/>
                <w:sz w:val="21"/>
                <w:szCs w:val="21"/>
              </w:rPr>
              <w:t>第二类</w:t>
            </w:r>
          </w:p>
          <w:p w:rsidR="00644456" w:rsidRDefault="008031C4">
            <w:pPr>
              <w:pStyle w:val="-1"/>
              <w:spacing w:line="240" w:lineRule="auto"/>
              <w:ind w:firstLineChars="0" w:firstLine="0"/>
              <w:jc w:val="center"/>
              <w:rPr>
                <w:color w:val="000000" w:themeColor="text1"/>
                <w:sz w:val="21"/>
                <w:szCs w:val="21"/>
              </w:rPr>
            </w:pPr>
            <w:r>
              <w:rPr>
                <w:color w:val="000000" w:themeColor="text1"/>
                <w:sz w:val="21"/>
                <w:szCs w:val="21"/>
              </w:rPr>
              <w:t>用地</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1</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砷</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7440-38-2</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20</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60</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120</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140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2</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镉</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7440-43-9</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20</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65</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47</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172</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3</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铬（六价）</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18540-29-9</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3.0</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5.7</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30</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78</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4</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铜</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7440-50-8</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2000</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18000</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8000</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36000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5</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铅</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7439-92-1</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400</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800</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800</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2500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6</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汞</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7439-97-6</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8</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38</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33</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82</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7</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镍</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7440-02-0</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150</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900</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600</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2000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8</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四氯化碳</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56-23-5</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0.9</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2.8</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9</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36</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9</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氯仿</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67-66-3</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0.3</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0.9</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5</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10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10</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氯甲烷</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74-87-3</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12</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37</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21</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120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11</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1</w:t>
            </w:r>
            <w:r>
              <w:rPr>
                <w:color w:val="000000" w:themeColor="text1"/>
                <w:szCs w:val="21"/>
              </w:rPr>
              <w:t>，</w:t>
            </w:r>
            <w:r>
              <w:rPr>
                <w:color w:val="000000" w:themeColor="text1"/>
                <w:szCs w:val="21"/>
              </w:rPr>
              <w:t>1-</w:t>
            </w:r>
            <w:r>
              <w:rPr>
                <w:color w:val="000000" w:themeColor="text1"/>
                <w:szCs w:val="21"/>
              </w:rPr>
              <w:t>二氯乙烷</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75-34-3</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3</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9</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20</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100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12</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1</w:t>
            </w:r>
            <w:r>
              <w:rPr>
                <w:color w:val="000000" w:themeColor="text1"/>
                <w:szCs w:val="21"/>
              </w:rPr>
              <w:t>，</w:t>
            </w:r>
            <w:r>
              <w:rPr>
                <w:color w:val="000000" w:themeColor="text1"/>
                <w:szCs w:val="21"/>
              </w:rPr>
              <w:t>2-</w:t>
            </w:r>
            <w:r>
              <w:rPr>
                <w:color w:val="000000" w:themeColor="text1"/>
                <w:szCs w:val="21"/>
              </w:rPr>
              <w:t>二氯乙烷</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107-06-2</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0.52</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5</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6</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21</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13</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1</w:t>
            </w:r>
            <w:r>
              <w:rPr>
                <w:color w:val="000000" w:themeColor="text1"/>
                <w:szCs w:val="21"/>
              </w:rPr>
              <w:t>，</w:t>
            </w:r>
            <w:r>
              <w:rPr>
                <w:color w:val="000000" w:themeColor="text1"/>
                <w:szCs w:val="21"/>
              </w:rPr>
              <w:t>1-</w:t>
            </w:r>
            <w:r>
              <w:rPr>
                <w:color w:val="000000" w:themeColor="text1"/>
                <w:szCs w:val="21"/>
              </w:rPr>
              <w:t>二氯乙烯</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75-35-4</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12</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66</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40</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200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14</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顺</w:t>
            </w:r>
            <w:r>
              <w:rPr>
                <w:color w:val="000000" w:themeColor="text1"/>
                <w:szCs w:val="21"/>
              </w:rPr>
              <w:t>-1</w:t>
            </w:r>
            <w:r>
              <w:rPr>
                <w:color w:val="000000" w:themeColor="text1"/>
                <w:szCs w:val="21"/>
              </w:rPr>
              <w:t>，</w:t>
            </w:r>
            <w:r>
              <w:rPr>
                <w:color w:val="000000" w:themeColor="text1"/>
                <w:szCs w:val="21"/>
              </w:rPr>
              <w:t>2-</w:t>
            </w:r>
            <w:r>
              <w:rPr>
                <w:color w:val="000000" w:themeColor="text1"/>
                <w:szCs w:val="21"/>
              </w:rPr>
              <w:t>二氯乙烯</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156-59-2</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66</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596</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200</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2000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15</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反</w:t>
            </w:r>
            <w:r>
              <w:rPr>
                <w:color w:val="000000" w:themeColor="text1"/>
                <w:szCs w:val="21"/>
              </w:rPr>
              <w:t>-1</w:t>
            </w:r>
            <w:r>
              <w:rPr>
                <w:color w:val="000000" w:themeColor="text1"/>
                <w:szCs w:val="21"/>
              </w:rPr>
              <w:t>，</w:t>
            </w:r>
            <w:r>
              <w:rPr>
                <w:color w:val="000000" w:themeColor="text1"/>
                <w:szCs w:val="21"/>
              </w:rPr>
              <w:t>2-</w:t>
            </w:r>
            <w:r>
              <w:rPr>
                <w:color w:val="000000" w:themeColor="text1"/>
                <w:szCs w:val="21"/>
              </w:rPr>
              <w:t>二氯乙烯</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156-60-5</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10</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54</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31</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163</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16</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二氯甲烷</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75-09-2</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94</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616</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300</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2000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17</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1</w:t>
            </w:r>
            <w:r>
              <w:rPr>
                <w:color w:val="000000" w:themeColor="text1"/>
                <w:szCs w:val="21"/>
              </w:rPr>
              <w:t>，</w:t>
            </w:r>
            <w:r>
              <w:rPr>
                <w:color w:val="000000" w:themeColor="text1"/>
                <w:szCs w:val="21"/>
              </w:rPr>
              <w:t>2-</w:t>
            </w:r>
            <w:r>
              <w:rPr>
                <w:color w:val="000000" w:themeColor="text1"/>
                <w:szCs w:val="21"/>
              </w:rPr>
              <w:t>二氯丙烷</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78-87-5</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1</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5</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5</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47</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18</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1</w:t>
            </w:r>
            <w:r>
              <w:rPr>
                <w:color w:val="000000" w:themeColor="text1"/>
                <w:szCs w:val="21"/>
              </w:rPr>
              <w:t>，</w:t>
            </w:r>
            <w:r>
              <w:rPr>
                <w:color w:val="000000" w:themeColor="text1"/>
                <w:szCs w:val="21"/>
              </w:rPr>
              <w:t>1</w:t>
            </w:r>
            <w:r>
              <w:rPr>
                <w:color w:val="000000" w:themeColor="text1"/>
                <w:szCs w:val="21"/>
              </w:rPr>
              <w:t>，</w:t>
            </w:r>
            <w:r>
              <w:rPr>
                <w:color w:val="000000" w:themeColor="text1"/>
                <w:szCs w:val="21"/>
              </w:rPr>
              <w:t>1</w:t>
            </w:r>
            <w:r>
              <w:rPr>
                <w:color w:val="000000" w:themeColor="text1"/>
                <w:szCs w:val="21"/>
              </w:rPr>
              <w:t>，</w:t>
            </w:r>
            <w:r>
              <w:rPr>
                <w:color w:val="000000" w:themeColor="text1"/>
                <w:szCs w:val="21"/>
              </w:rPr>
              <w:t>2-</w:t>
            </w:r>
            <w:r>
              <w:rPr>
                <w:color w:val="000000" w:themeColor="text1"/>
                <w:szCs w:val="21"/>
              </w:rPr>
              <w:t>四氯乙烷</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630-20-6</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2.6</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10</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26</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100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19</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1</w:t>
            </w:r>
            <w:r>
              <w:rPr>
                <w:color w:val="000000" w:themeColor="text1"/>
                <w:szCs w:val="21"/>
              </w:rPr>
              <w:t>，</w:t>
            </w:r>
            <w:r>
              <w:rPr>
                <w:color w:val="000000" w:themeColor="text1"/>
                <w:szCs w:val="21"/>
              </w:rPr>
              <w:t>1</w:t>
            </w:r>
            <w:r>
              <w:rPr>
                <w:color w:val="000000" w:themeColor="text1"/>
                <w:szCs w:val="21"/>
              </w:rPr>
              <w:t>，</w:t>
            </w:r>
            <w:r>
              <w:rPr>
                <w:color w:val="000000" w:themeColor="text1"/>
                <w:szCs w:val="21"/>
              </w:rPr>
              <w:t>2</w:t>
            </w:r>
            <w:r>
              <w:rPr>
                <w:color w:val="000000" w:themeColor="text1"/>
                <w:szCs w:val="21"/>
              </w:rPr>
              <w:t>，</w:t>
            </w:r>
            <w:r>
              <w:rPr>
                <w:color w:val="000000" w:themeColor="text1"/>
                <w:szCs w:val="21"/>
              </w:rPr>
              <w:t>2-</w:t>
            </w:r>
            <w:r>
              <w:rPr>
                <w:color w:val="000000" w:themeColor="text1"/>
                <w:szCs w:val="21"/>
              </w:rPr>
              <w:t>四氯乙烷</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79-34-5</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1.6</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6.8</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14</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50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20</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四氯乙烯</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127-18-4</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11</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53</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34</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183</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21</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1</w:t>
            </w:r>
            <w:r>
              <w:rPr>
                <w:color w:val="000000" w:themeColor="text1"/>
                <w:szCs w:val="21"/>
              </w:rPr>
              <w:t>，</w:t>
            </w:r>
            <w:r>
              <w:rPr>
                <w:color w:val="000000" w:themeColor="text1"/>
                <w:szCs w:val="21"/>
              </w:rPr>
              <w:t>1</w:t>
            </w:r>
            <w:r>
              <w:rPr>
                <w:color w:val="000000" w:themeColor="text1"/>
                <w:szCs w:val="21"/>
              </w:rPr>
              <w:t>，</w:t>
            </w:r>
            <w:r>
              <w:rPr>
                <w:color w:val="000000" w:themeColor="text1"/>
                <w:szCs w:val="21"/>
              </w:rPr>
              <w:t>1-</w:t>
            </w:r>
            <w:r>
              <w:rPr>
                <w:color w:val="000000" w:themeColor="text1"/>
                <w:szCs w:val="21"/>
              </w:rPr>
              <w:t>三氯乙烷</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71-55-6</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701</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840</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840</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840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22</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1</w:t>
            </w:r>
            <w:r>
              <w:rPr>
                <w:color w:val="000000" w:themeColor="text1"/>
                <w:szCs w:val="21"/>
              </w:rPr>
              <w:t>，</w:t>
            </w:r>
            <w:r>
              <w:rPr>
                <w:color w:val="000000" w:themeColor="text1"/>
                <w:szCs w:val="21"/>
              </w:rPr>
              <w:t>1</w:t>
            </w:r>
            <w:r>
              <w:rPr>
                <w:color w:val="000000" w:themeColor="text1"/>
                <w:szCs w:val="21"/>
              </w:rPr>
              <w:t>，</w:t>
            </w:r>
            <w:r>
              <w:rPr>
                <w:color w:val="000000" w:themeColor="text1"/>
                <w:szCs w:val="21"/>
              </w:rPr>
              <w:t>2-</w:t>
            </w:r>
            <w:r>
              <w:rPr>
                <w:color w:val="000000" w:themeColor="text1"/>
                <w:szCs w:val="21"/>
              </w:rPr>
              <w:t>三氯乙烷</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79-00-5</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0.6</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2.8</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5</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15</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23</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三氯乙烯</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79-01-6</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0.6</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2.8</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5</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15</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24</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1</w:t>
            </w:r>
            <w:r>
              <w:rPr>
                <w:color w:val="000000" w:themeColor="text1"/>
                <w:szCs w:val="21"/>
              </w:rPr>
              <w:t>，</w:t>
            </w:r>
            <w:r>
              <w:rPr>
                <w:color w:val="000000" w:themeColor="text1"/>
                <w:szCs w:val="21"/>
              </w:rPr>
              <w:t>2</w:t>
            </w:r>
            <w:r>
              <w:rPr>
                <w:color w:val="000000" w:themeColor="text1"/>
                <w:szCs w:val="21"/>
              </w:rPr>
              <w:t>，</w:t>
            </w:r>
            <w:r>
              <w:rPr>
                <w:color w:val="000000" w:themeColor="text1"/>
                <w:szCs w:val="21"/>
              </w:rPr>
              <w:t>3-</w:t>
            </w:r>
            <w:r>
              <w:rPr>
                <w:color w:val="000000" w:themeColor="text1"/>
                <w:szCs w:val="21"/>
              </w:rPr>
              <w:t>三氯丙烷</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96-18-4</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0.05</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0.5</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0.5</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5</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lastRenderedPageBreak/>
              <w:t>25</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氯乙烯</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75-01-4</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0.12</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0.43</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1.2</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4.3</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26</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苯</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71-43-2</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1</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4</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10</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40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27</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氯苯</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108-90-7</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68</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270</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200</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1000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28</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1</w:t>
            </w:r>
            <w:r>
              <w:rPr>
                <w:color w:val="000000" w:themeColor="text1"/>
                <w:szCs w:val="21"/>
              </w:rPr>
              <w:t>，</w:t>
            </w:r>
            <w:r>
              <w:rPr>
                <w:color w:val="000000" w:themeColor="text1"/>
                <w:szCs w:val="21"/>
              </w:rPr>
              <w:t>2-</w:t>
            </w:r>
            <w:r>
              <w:rPr>
                <w:color w:val="000000" w:themeColor="text1"/>
                <w:szCs w:val="21"/>
              </w:rPr>
              <w:t>二氯苯</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95-50-1</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560</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560</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560</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560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29</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1</w:t>
            </w:r>
            <w:r>
              <w:rPr>
                <w:color w:val="000000" w:themeColor="text1"/>
                <w:szCs w:val="21"/>
              </w:rPr>
              <w:t>，</w:t>
            </w:r>
            <w:r>
              <w:rPr>
                <w:color w:val="000000" w:themeColor="text1"/>
                <w:szCs w:val="21"/>
              </w:rPr>
              <w:t>4-</w:t>
            </w:r>
            <w:r>
              <w:rPr>
                <w:color w:val="000000" w:themeColor="text1"/>
                <w:szCs w:val="21"/>
              </w:rPr>
              <w:t>二氯苯</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106-46-7</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5.6</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20</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56</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200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30</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乙苯</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100-41-4</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7.2</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28</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72</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280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31</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苯乙烯</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100-42-5</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1290</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1290</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1290</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1290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32</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甲苯</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108-88-3</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1200</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1200</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1200</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1200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33</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间二甲苯</w:t>
            </w:r>
            <w:r>
              <w:rPr>
                <w:color w:val="000000" w:themeColor="text1"/>
                <w:szCs w:val="21"/>
              </w:rPr>
              <w:t>+</w:t>
            </w:r>
            <w:r>
              <w:rPr>
                <w:color w:val="000000" w:themeColor="text1"/>
                <w:szCs w:val="21"/>
              </w:rPr>
              <w:t>对二甲苯</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108-38-3</w:t>
            </w:r>
            <w:r>
              <w:rPr>
                <w:color w:val="000000" w:themeColor="text1"/>
                <w:szCs w:val="21"/>
              </w:rPr>
              <w:t>，</w:t>
            </w:r>
          </w:p>
          <w:p w:rsidR="00644456" w:rsidRDefault="008031C4">
            <w:pPr>
              <w:jc w:val="center"/>
              <w:rPr>
                <w:color w:val="000000" w:themeColor="text1"/>
                <w:szCs w:val="21"/>
              </w:rPr>
            </w:pPr>
            <w:r>
              <w:rPr>
                <w:color w:val="000000" w:themeColor="text1"/>
                <w:szCs w:val="21"/>
              </w:rPr>
              <w:t>106-42-3</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163</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570</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500</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570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34</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邻二甲苯</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95-47-6</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222</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640</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640</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640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35</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硝基苯</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98-95-3</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34</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76</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190</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760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36</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苯胺</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62-53-3</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92</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260</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211</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663</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37</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2-</w:t>
            </w:r>
            <w:r>
              <w:rPr>
                <w:color w:val="000000" w:themeColor="text1"/>
                <w:szCs w:val="21"/>
              </w:rPr>
              <w:t>氯酚</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95-57-8</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250</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2256</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500</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4500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38</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苯并【</w:t>
            </w:r>
            <w:r>
              <w:rPr>
                <w:color w:val="000000" w:themeColor="text1"/>
                <w:szCs w:val="21"/>
              </w:rPr>
              <w:t>a</w:t>
            </w:r>
            <w:r>
              <w:rPr>
                <w:color w:val="000000" w:themeColor="text1"/>
                <w:szCs w:val="21"/>
              </w:rPr>
              <w:t>】蒽</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56-55-3</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5.5</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15</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55</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151</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39</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苯并【</w:t>
            </w:r>
            <w:r>
              <w:rPr>
                <w:color w:val="000000" w:themeColor="text1"/>
                <w:szCs w:val="21"/>
              </w:rPr>
              <w:t>a</w:t>
            </w:r>
            <w:r>
              <w:rPr>
                <w:color w:val="000000" w:themeColor="text1"/>
                <w:szCs w:val="21"/>
              </w:rPr>
              <w:t>】芘</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50-32-8</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0.55</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1.5</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5.5</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15</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40</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苯并【</w:t>
            </w:r>
            <w:r>
              <w:rPr>
                <w:color w:val="000000" w:themeColor="text1"/>
                <w:szCs w:val="21"/>
              </w:rPr>
              <w:t>b</w:t>
            </w:r>
            <w:r>
              <w:rPr>
                <w:color w:val="000000" w:themeColor="text1"/>
                <w:szCs w:val="21"/>
              </w:rPr>
              <w:t>】荧蒽</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205-99-2</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5.5</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15</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55</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151</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41</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苯并【</w:t>
            </w:r>
            <w:r>
              <w:rPr>
                <w:color w:val="000000" w:themeColor="text1"/>
                <w:szCs w:val="21"/>
              </w:rPr>
              <w:t>k</w:t>
            </w:r>
            <w:r>
              <w:rPr>
                <w:color w:val="000000" w:themeColor="text1"/>
                <w:szCs w:val="21"/>
              </w:rPr>
              <w:t>】荧蒽</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207-08-9</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55</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151</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550</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1500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42</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䓛</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218-01-9</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490</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1297.64</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4900</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12900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43</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二苯并【</w:t>
            </w:r>
            <w:r>
              <w:rPr>
                <w:color w:val="000000" w:themeColor="text1"/>
                <w:szCs w:val="21"/>
              </w:rPr>
              <w:t>a</w:t>
            </w:r>
            <w:r>
              <w:rPr>
                <w:color w:val="000000" w:themeColor="text1"/>
                <w:szCs w:val="21"/>
              </w:rPr>
              <w:t>，</w:t>
            </w:r>
            <w:r>
              <w:rPr>
                <w:color w:val="000000" w:themeColor="text1"/>
                <w:szCs w:val="21"/>
              </w:rPr>
              <w:t>h</w:t>
            </w:r>
            <w:r>
              <w:rPr>
                <w:color w:val="000000" w:themeColor="text1"/>
                <w:szCs w:val="21"/>
              </w:rPr>
              <w:t>】蒽</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53-70-3</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0.55</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1.5</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5.5</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15</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44</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茚并【</w:t>
            </w:r>
            <w:r>
              <w:rPr>
                <w:color w:val="000000" w:themeColor="text1"/>
                <w:szCs w:val="21"/>
              </w:rPr>
              <w:t>1</w:t>
            </w:r>
            <w:r>
              <w:rPr>
                <w:color w:val="000000" w:themeColor="text1"/>
                <w:szCs w:val="21"/>
              </w:rPr>
              <w:t>，</w:t>
            </w:r>
            <w:r>
              <w:rPr>
                <w:color w:val="000000" w:themeColor="text1"/>
                <w:szCs w:val="21"/>
              </w:rPr>
              <w:t>2</w:t>
            </w:r>
            <w:r>
              <w:rPr>
                <w:color w:val="000000" w:themeColor="text1"/>
                <w:szCs w:val="21"/>
              </w:rPr>
              <w:t>，</w:t>
            </w:r>
            <w:r>
              <w:rPr>
                <w:color w:val="000000" w:themeColor="text1"/>
                <w:szCs w:val="21"/>
              </w:rPr>
              <w:t>3-cd</w:t>
            </w:r>
            <w:r>
              <w:rPr>
                <w:color w:val="000000" w:themeColor="text1"/>
                <w:szCs w:val="21"/>
              </w:rPr>
              <w:t>】芘</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193-39-5</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5.5</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15</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55</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151</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45</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萘</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91-20-3</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25</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70</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255</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700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46</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钴</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7440-48-4</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20</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70</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190</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350</w:t>
            </w:r>
          </w:p>
        </w:tc>
      </w:tr>
      <w:tr w:rsidR="00644456">
        <w:trPr>
          <w:jc w:val="center"/>
        </w:trPr>
        <w:tc>
          <w:tcPr>
            <w:tcW w:w="417" w:type="pct"/>
            <w:shd w:val="clear" w:color="auto" w:fill="auto"/>
            <w:vAlign w:val="center"/>
          </w:tcPr>
          <w:p w:rsidR="00644456" w:rsidRDefault="008031C4">
            <w:pPr>
              <w:jc w:val="center"/>
              <w:rPr>
                <w:color w:val="000000" w:themeColor="text1"/>
                <w:szCs w:val="21"/>
              </w:rPr>
            </w:pPr>
            <w:r>
              <w:rPr>
                <w:color w:val="000000" w:themeColor="text1"/>
                <w:szCs w:val="21"/>
              </w:rPr>
              <w:t>47</w:t>
            </w:r>
          </w:p>
        </w:tc>
        <w:tc>
          <w:tcPr>
            <w:tcW w:w="1431" w:type="pct"/>
            <w:shd w:val="clear" w:color="auto" w:fill="auto"/>
            <w:vAlign w:val="center"/>
          </w:tcPr>
          <w:p w:rsidR="00644456" w:rsidRDefault="008031C4">
            <w:pPr>
              <w:jc w:val="center"/>
              <w:rPr>
                <w:color w:val="000000" w:themeColor="text1"/>
                <w:szCs w:val="21"/>
              </w:rPr>
            </w:pPr>
            <w:r>
              <w:rPr>
                <w:color w:val="000000" w:themeColor="text1"/>
                <w:szCs w:val="21"/>
              </w:rPr>
              <w:t>钒</w:t>
            </w:r>
          </w:p>
        </w:tc>
        <w:tc>
          <w:tcPr>
            <w:tcW w:w="673" w:type="pct"/>
            <w:shd w:val="clear" w:color="auto" w:fill="auto"/>
            <w:vAlign w:val="center"/>
          </w:tcPr>
          <w:p w:rsidR="00644456" w:rsidRDefault="008031C4">
            <w:pPr>
              <w:jc w:val="center"/>
              <w:rPr>
                <w:color w:val="000000" w:themeColor="text1"/>
                <w:szCs w:val="21"/>
              </w:rPr>
            </w:pPr>
            <w:r>
              <w:rPr>
                <w:color w:val="000000" w:themeColor="text1"/>
                <w:szCs w:val="21"/>
              </w:rPr>
              <w:t>7440-62-2</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165</w:t>
            </w:r>
          </w:p>
        </w:tc>
        <w:tc>
          <w:tcPr>
            <w:tcW w:w="627" w:type="pct"/>
            <w:shd w:val="clear" w:color="auto" w:fill="auto"/>
            <w:vAlign w:val="center"/>
          </w:tcPr>
          <w:p w:rsidR="00644456" w:rsidRDefault="008031C4">
            <w:pPr>
              <w:jc w:val="center"/>
              <w:rPr>
                <w:color w:val="000000" w:themeColor="text1"/>
                <w:szCs w:val="21"/>
              </w:rPr>
            </w:pPr>
            <w:r>
              <w:rPr>
                <w:color w:val="000000" w:themeColor="text1"/>
                <w:szCs w:val="21"/>
              </w:rPr>
              <w:t>752</w:t>
            </w:r>
          </w:p>
        </w:tc>
        <w:tc>
          <w:tcPr>
            <w:tcW w:w="613" w:type="pct"/>
            <w:shd w:val="clear" w:color="auto" w:fill="auto"/>
            <w:vAlign w:val="center"/>
          </w:tcPr>
          <w:p w:rsidR="00644456" w:rsidRDefault="008031C4">
            <w:pPr>
              <w:jc w:val="center"/>
              <w:rPr>
                <w:color w:val="000000" w:themeColor="text1"/>
                <w:szCs w:val="21"/>
              </w:rPr>
            </w:pPr>
            <w:r>
              <w:rPr>
                <w:color w:val="000000" w:themeColor="text1"/>
                <w:szCs w:val="21"/>
              </w:rPr>
              <w:t>330</w:t>
            </w:r>
          </w:p>
        </w:tc>
        <w:tc>
          <w:tcPr>
            <w:tcW w:w="624" w:type="pct"/>
            <w:shd w:val="clear" w:color="auto" w:fill="auto"/>
            <w:vAlign w:val="center"/>
          </w:tcPr>
          <w:p w:rsidR="00644456" w:rsidRDefault="008031C4">
            <w:pPr>
              <w:jc w:val="center"/>
              <w:rPr>
                <w:color w:val="000000" w:themeColor="text1"/>
                <w:szCs w:val="21"/>
              </w:rPr>
            </w:pPr>
            <w:r>
              <w:rPr>
                <w:color w:val="000000" w:themeColor="text1"/>
                <w:szCs w:val="21"/>
              </w:rPr>
              <w:t>1500</w:t>
            </w:r>
          </w:p>
        </w:tc>
      </w:tr>
    </w:tbl>
    <w:p w:rsidR="00644456" w:rsidRDefault="008031C4">
      <w:pPr>
        <w:pStyle w:val="-1"/>
        <w:ind w:firstLine="482"/>
        <w:rPr>
          <w:rFonts w:cs="Times New Roman"/>
          <w:b/>
          <w:color w:val="000000" w:themeColor="text1"/>
        </w:rPr>
      </w:pPr>
      <w:r>
        <w:rPr>
          <w:rFonts w:cs="Times New Roman"/>
          <w:b/>
          <w:color w:val="000000" w:themeColor="text1"/>
        </w:rPr>
        <w:t>5</w:t>
      </w:r>
      <w:r>
        <w:rPr>
          <w:rFonts w:cs="Times New Roman"/>
          <w:b/>
          <w:color w:val="000000" w:themeColor="text1"/>
        </w:rPr>
        <w:t>、评价方法</w:t>
      </w:r>
    </w:p>
    <w:p w:rsidR="00644456" w:rsidRDefault="008031C4">
      <w:pPr>
        <w:pStyle w:val="-1"/>
        <w:rPr>
          <w:rFonts w:cs="Times New Roman"/>
          <w:color w:val="000000" w:themeColor="text1"/>
        </w:rPr>
      </w:pPr>
      <w:r>
        <w:rPr>
          <w:rFonts w:cs="Times New Roman"/>
          <w:color w:val="000000" w:themeColor="text1"/>
        </w:rPr>
        <w:t>采用单项标准指数法。即：</w:t>
      </w:r>
    </w:p>
    <w:p w:rsidR="00644456" w:rsidRDefault="008031C4">
      <w:pPr>
        <w:pStyle w:val="-1"/>
        <w:adjustRightInd w:val="0"/>
        <w:snapToGrid w:val="0"/>
        <w:spacing w:line="240" w:lineRule="auto"/>
        <w:jc w:val="center"/>
        <w:rPr>
          <w:rFonts w:cs="Times New Roman"/>
          <w:color w:val="000000" w:themeColor="text1"/>
        </w:rPr>
      </w:pPr>
      <w:r>
        <w:rPr>
          <w:rFonts w:cs="Times New Roman"/>
          <w:color w:val="000000" w:themeColor="text1"/>
        </w:rPr>
        <w:t>S</w:t>
      </w:r>
      <w:r>
        <w:rPr>
          <w:rFonts w:cs="Times New Roman"/>
          <w:color w:val="000000" w:themeColor="text1"/>
          <w:vertAlign w:val="subscript"/>
        </w:rPr>
        <w:t>i</w:t>
      </w:r>
      <w:r>
        <w:rPr>
          <w:rFonts w:cs="Times New Roman"/>
          <w:color w:val="000000" w:themeColor="text1"/>
          <w:vertAlign w:val="subscript"/>
        </w:rPr>
        <w:t>，</w:t>
      </w:r>
      <w:r>
        <w:rPr>
          <w:rFonts w:cs="Times New Roman"/>
          <w:color w:val="000000" w:themeColor="text1"/>
          <w:vertAlign w:val="subscript"/>
        </w:rPr>
        <w:t>j</w:t>
      </w:r>
      <w:r>
        <w:rPr>
          <w:rFonts w:cs="Times New Roman"/>
          <w:color w:val="000000" w:themeColor="text1"/>
        </w:rPr>
        <w:t>＝</w:t>
      </w:r>
      <w:r>
        <w:rPr>
          <w:rFonts w:cs="Times New Roman"/>
          <w:noProof/>
          <w:color w:val="000000" w:themeColor="text1"/>
        </w:rPr>
        <w:drawing>
          <wp:inline distT="0" distB="0" distL="0" distR="0" wp14:anchorId="6A615AB7" wp14:editId="33E1FCD1">
            <wp:extent cx="389255" cy="411480"/>
            <wp:effectExtent l="0" t="0" r="0" b="6985"/>
            <wp:docPr id="76" name="图片 76" descr="C:\Users\ADMINI~1\AppData\Local\Temp\ksohtml10120\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ADMINI~1\AppData\Local\Temp\ksohtml10120\wps5.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89255" cy="411480"/>
                    </a:xfrm>
                    <a:prstGeom prst="rect">
                      <a:avLst/>
                    </a:prstGeom>
                    <a:noFill/>
                    <a:ln>
                      <a:noFill/>
                    </a:ln>
                  </pic:spPr>
                </pic:pic>
              </a:graphicData>
            </a:graphic>
          </wp:inline>
        </w:drawing>
      </w:r>
    </w:p>
    <w:p w:rsidR="00644456" w:rsidRDefault="008031C4">
      <w:pPr>
        <w:pStyle w:val="-1"/>
        <w:rPr>
          <w:rFonts w:cs="Times New Roman"/>
          <w:color w:val="000000" w:themeColor="text1"/>
        </w:rPr>
      </w:pPr>
      <w:r>
        <w:rPr>
          <w:rFonts w:cs="Times New Roman"/>
          <w:color w:val="000000" w:themeColor="text1"/>
        </w:rPr>
        <w:t>式中：</w:t>
      </w:r>
      <w:r>
        <w:rPr>
          <w:rFonts w:cs="Times New Roman"/>
          <w:color w:val="000000" w:themeColor="text1"/>
        </w:rPr>
        <w:t>S</w:t>
      </w:r>
      <w:r>
        <w:rPr>
          <w:rFonts w:cs="Times New Roman"/>
          <w:color w:val="000000" w:themeColor="text1"/>
          <w:vertAlign w:val="subscript"/>
        </w:rPr>
        <w:t>i</w:t>
      </w:r>
      <w:r>
        <w:rPr>
          <w:rFonts w:cs="Times New Roman"/>
          <w:color w:val="000000" w:themeColor="text1"/>
        </w:rPr>
        <w:t>，</w:t>
      </w:r>
      <w:r>
        <w:rPr>
          <w:rFonts w:cs="Times New Roman"/>
          <w:color w:val="000000" w:themeColor="text1"/>
        </w:rPr>
        <w:t>j-</w:t>
      </w:r>
      <w:r>
        <w:rPr>
          <w:rFonts w:cs="Times New Roman"/>
          <w:color w:val="000000" w:themeColor="text1"/>
        </w:rPr>
        <w:t>单因子污染指数；</w:t>
      </w:r>
    </w:p>
    <w:p w:rsidR="00644456" w:rsidRDefault="008031C4">
      <w:pPr>
        <w:pStyle w:val="-1"/>
        <w:ind w:leftChars="400" w:left="840"/>
        <w:rPr>
          <w:rFonts w:cs="Times New Roman"/>
          <w:color w:val="000000" w:themeColor="text1"/>
        </w:rPr>
      </w:pPr>
      <w:r>
        <w:rPr>
          <w:rFonts w:cs="Times New Roman"/>
          <w:color w:val="000000" w:themeColor="text1"/>
        </w:rPr>
        <w:t>C</w:t>
      </w:r>
      <w:r>
        <w:rPr>
          <w:rFonts w:cs="Times New Roman"/>
          <w:color w:val="000000" w:themeColor="text1"/>
          <w:vertAlign w:val="subscript"/>
        </w:rPr>
        <w:t>i</w:t>
      </w:r>
      <w:r>
        <w:rPr>
          <w:rFonts w:cs="Times New Roman"/>
          <w:color w:val="000000" w:themeColor="text1"/>
          <w:vertAlign w:val="subscript"/>
        </w:rPr>
        <w:t>，</w:t>
      </w:r>
      <w:r>
        <w:rPr>
          <w:rFonts w:cs="Times New Roman"/>
          <w:color w:val="000000" w:themeColor="text1"/>
          <w:vertAlign w:val="subscript"/>
        </w:rPr>
        <w:t>j</w:t>
      </w:r>
      <w:r>
        <w:rPr>
          <w:rFonts w:cs="Times New Roman"/>
          <w:color w:val="000000" w:themeColor="text1"/>
        </w:rPr>
        <w:t>-</w:t>
      </w:r>
      <w:r>
        <w:rPr>
          <w:rFonts w:cs="Times New Roman"/>
          <w:color w:val="000000" w:themeColor="text1"/>
        </w:rPr>
        <w:t>污染物浓度实测浓度（</w:t>
      </w:r>
      <w:r>
        <w:rPr>
          <w:rFonts w:cs="Times New Roman"/>
          <w:color w:val="000000" w:themeColor="text1"/>
        </w:rPr>
        <w:t>mg/kg</w:t>
      </w:r>
      <w:r>
        <w:rPr>
          <w:rFonts w:cs="Times New Roman"/>
          <w:color w:val="000000" w:themeColor="text1"/>
        </w:rPr>
        <w:t>）；</w:t>
      </w:r>
    </w:p>
    <w:p w:rsidR="00644456" w:rsidRDefault="008031C4">
      <w:pPr>
        <w:pStyle w:val="-1"/>
        <w:ind w:leftChars="400" w:left="840"/>
        <w:rPr>
          <w:rFonts w:cs="Times New Roman"/>
          <w:color w:val="000000" w:themeColor="text1"/>
        </w:rPr>
      </w:pPr>
      <w:r>
        <w:rPr>
          <w:rFonts w:cs="Times New Roman"/>
          <w:color w:val="000000" w:themeColor="text1"/>
        </w:rPr>
        <w:t>C</w:t>
      </w:r>
      <w:r>
        <w:rPr>
          <w:rFonts w:cs="Times New Roman"/>
          <w:color w:val="000000" w:themeColor="text1"/>
          <w:vertAlign w:val="subscript"/>
        </w:rPr>
        <w:t>si</w:t>
      </w:r>
      <w:r>
        <w:rPr>
          <w:rFonts w:cs="Times New Roman"/>
          <w:color w:val="000000" w:themeColor="text1"/>
        </w:rPr>
        <w:t>-</w:t>
      </w:r>
      <w:r>
        <w:rPr>
          <w:rFonts w:cs="Times New Roman"/>
          <w:color w:val="000000" w:themeColor="text1"/>
        </w:rPr>
        <w:t>土壤环境质量标准（</w:t>
      </w:r>
      <w:r>
        <w:rPr>
          <w:rFonts w:cs="Times New Roman"/>
          <w:color w:val="000000" w:themeColor="text1"/>
        </w:rPr>
        <w:t>mg/kg</w:t>
      </w:r>
      <w:r>
        <w:rPr>
          <w:rFonts w:cs="Times New Roman"/>
          <w:color w:val="000000" w:themeColor="text1"/>
        </w:rPr>
        <w:t>）。</w:t>
      </w:r>
    </w:p>
    <w:p w:rsidR="00644456" w:rsidRDefault="008031C4">
      <w:pPr>
        <w:pStyle w:val="-1"/>
        <w:ind w:firstLine="482"/>
        <w:rPr>
          <w:rFonts w:cs="Times New Roman"/>
          <w:b/>
          <w:color w:val="000000" w:themeColor="text1"/>
        </w:rPr>
      </w:pPr>
      <w:r>
        <w:rPr>
          <w:rFonts w:cs="Times New Roman"/>
          <w:b/>
          <w:color w:val="000000" w:themeColor="text1"/>
        </w:rPr>
        <w:t>6</w:t>
      </w:r>
      <w:r>
        <w:rPr>
          <w:rFonts w:cs="Times New Roman"/>
          <w:b/>
          <w:color w:val="000000" w:themeColor="text1"/>
        </w:rPr>
        <w:t>、监测结果与分析</w:t>
      </w:r>
    </w:p>
    <w:p w:rsidR="00644456" w:rsidRDefault="008031C4">
      <w:pPr>
        <w:pStyle w:val="-1"/>
        <w:rPr>
          <w:rFonts w:cs="Times New Roman"/>
          <w:color w:val="000000" w:themeColor="text1"/>
        </w:rPr>
      </w:pPr>
      <w:r>
        <w:rPr>
          <w:rFonts w:cs="Times New Roman"/>
          <w:color w:val="000000" w:themeColor="text1"/>
        </w:rPr>
        <w:t>土壤环境质量监测结果与分析见下表。</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3.6-3</w:t>
      </w:r>
      <w:r>
        <w:rPr>
          <w:rFonts w:cs="Times New Roman" w:hint="eastAsia"/>
          <w:b/>
          <w:color w:val="000000" w:themeColor="text1"/>
          <w:sz w:val="24"/>
          <w:szCs w:val="20"/>
        </w:rPr>
        <w:t>土壤单项指数评价结果</w:t>
      </w:r>
    </w:p>
    <w:tbl>
      <w:tblPr>
        <w:tblStyle w:val="afff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205"/>
        <w:gridCol w:w="1015"/>
        <w:gridCol w:w="1165"/>
        <w:gridCol w:w="1151"/>
        <w:gridCol w:w="1165"/>
        <w:gridCol w:w="1151"/>
        <w:gridCol w:w="1173"/>
      </w:tblGrid>
      <w:tr w:rsidR="00644456">
        <w:tc>
          <w:tcPr>
            <w:tcW w:w="2205" w:type="dxa"/>
            <w:vMerge w:val="restart"/>
            <w:vAlign w:val="center"/>
          </w:tcPr>
          <w:p w:rsidR="00644456" w:rsidRDefault="008031C4">
            <w:pPr>
              <w:snapToGrid w:val="0"/>
              <w:jc w:val="center"/>
              <w:rPr>
                <w:color w:val="000000" w:themeColor="text1"/>
                <w:szCs w:val="21"/>
              </w:rPr>
            </w:pPr>
            <w:r>
              <w:rPr>
                <w:rFonts w:hint="eastAsia"/>
                <w:color w:val="000000" w:themeColor="text1"/>
                <w:szCs w:val="21"/>
              </w:rPr>
              <w:t>项目</w:t>
            </w:r>
          </w:p>
        </w:tc>
        <w:tc>
          <w:tcPr>
            <w:tcW w:w="1015" w:type="dxa"/>
            <w:vMerge w:val="restart"/>
            <w:vAlign w:val="center"/>
          </w:tcPr>
          <w:p w:rsidR="00644456" w:rsidRDefault="008031C4">
            <w:pPr>
              <w:snapToGrid w:val="0"/>
              <w:jc w:val="center"/>
              <w:rPr>
                <w:color w:val="000000" w:themeColor="text1"/>
                <w:szCs w:val="21"/>
              </w:rPr>
            </w:pPr>
            <w:r>
              <w:rPr>
                <w:rFonts w:hint="eastAsia"/>
                <w:color w:val="000000" w:themeColor="text1"/>
                <w:szCs w:val="21"/>
              </w:rPr>
              <w:t>单位</w:t>
            </w:r>
          </w:p>
        </w:tc>
        <w:tc>
          <w:tcPr>
            <w:tcW w:w="4632" w:type="dxa"/>
            <w:gridSpan w:val="4"/>
            <w:vAlign w:val="center"/>
          </w:tcPr>
          <w:p w:rsidR="00644456" w:rsidRDefault="008031C4">
            <w:pPr>
              <w:snapToGrid w:val="0"/>
              <w:jc w:val="center"/>
              <w:rPr>
                <w:color w:val="000000" w:themeColor="text1"/>
                <w:szCs w:val="21"/>
              </w:rPr>
            </w:pPr>
            <w:r>
              <w:rPr>
                <w:rFonts w:hint="eastAsia"/>
                <w:color w:val="000000" w:themeColor="text1"/>
                <w:szCs w:val="21"/>
              </w:rPr>
              <w:t>监测点位</w:t>
            </w:r>
          </w:p>
        </w:tc>
        <w:tc>
          <w:tcPr>
            <w:tcW w:w="1173" w:type="dxa"/>
            <w:vMerge w:val="restart"/>
            <w:vAlign w:val="center"/>
          </w:tcPr>
          <w:p w:rsidR="00644456" w:rsidRDefault="008031C4">
            <w:pPr>
              <w:snapToGrid w:val="0"/>
              <w:jc w:val="center"/>
              <w:rPr>
                <w:color w:val="000000" w:themeColor="text1"/>
                <w:szCs w:val="21"/>
              </w:rPr>
            </w:pPr>
            <w:r>
              <w:rPr>
                <w:rFonts w:hint="eastAsia"/>
                <w:color w:val="000000" w:themeColor="text1"/>
                <w:szCs w:val="21"/>
              </w:rPr>
              <w:t>标准（</w:t>
            </w:r>
            <w:r>
              <w:rPr>
                <w:rFonts w:hint="eastAsia"/>
                <w:color w:val="000000" w:themeColor="text1"/>
                <w:szCs w:val="21"/>
              </w:rPr>
              <w:t>mg/kg</w:t>
            </w:r>
            <w:r>
              <w:rPr>
                <w:rFonts w:hint="eastAsia"/>
                <w:color w:val="000000" w:themeColor="text1"/>
                <w:szCs w:val="21"/>
              </w:rPr>
              <w:t>）</w:t>
            </w:r>
          </w:p>
        </w:tc>
      </w:tr>
      <w:tr w:rsidR="00644456">
        <w:tc>
          <w:tcPr>
            <w:tcW w:w="2205" w:type="dxa"/>
            <w:vMerge/>
            <w:vAlign w:val="center"/>
          </w:tcPr>
          <w:p w:rsidR="00644456" w:rsidRDefault="00644456">
            <w:pPr>
              <w:snapToGrid w:val="0"/>
              <w:jc w:val="center"/>
              <w:rPr>
                <w:color w:val="000000" w:themeColor="text1"/>
                <w:szCs w:val="21"/>
              </w:rPr>
            </w:pPr>
          </w:p>
        </w:tc>
        <w:tc>
          <w:tcPr>
            <w:tcW w:w="1015" w:type="dxa"/>
            <w:vMerge/>
            <w:vAlign w:val="center"/>
          </w:tcPr>
          <w:p w:rsidR="00644456" w:rsidRDefault="00644456">
            <w:pPr>
              <w:snapToGrid w:val="0"/>
              <w:jc w:val="center"/>
              <w:rPr>
                <w:color w:val="000000" w:themeColor="text1"/>
                <w:szCs w:val="21"/>
              </w:rPr>
            </w:pPr>
          </w:p>
        </w:tc>
        <w:tc>
          <w:tcPr>
            <w:tcW w:w="2316" w:type="dxa"/>
            <w:gridSpan w:val="2"/>
            <w:vAlign w:val="center"/>
          </w:tcPr>
          <w:p w:rsidR="00644456" w:rsidRDefault="008031C4">
            <w:pPr>
              <w:snapToGrid w:val="0"/>
              <w:jc w:val="center"/>
              <w:rPr>
                <w:color w:val="000000" w:themeColor="text1"/>
                <w:szCs w:val="21"/>
              </w:rPr>
            </w:pPr>
            <w:r>
              <w:rPr>
                <w:rFonts w:hint="eastAsia"/>
                <w:color w:val="000000" w:themeColor="text1"/>
                <w:szCs w:val="21"/>
              </w:rPr>
              <w:t>1</w:t>
            </w:r>
            <w:r>
              <w:rPr>
                <w:color w:val="000000" w:themeColor="text1"/>
                <w:szCs w:val="21"/>
              </w:rPr>
              <w:t>#</w:t>
            </w:r>
            <w:r>
              <w:rPr>
                <w:rFonts w:hint="eastAsia"/>
                <w:color w:val="000000" w:themeColor="text1"/>
                <w:szCs w:val="21"/>
              </w:rPr>
              <w:t>（</w:t>
            </w:r>
            <w:r>
              <w:rPr>
                <w:rFonts w:hint="eastAsia"/>
                <w:color w:val="000000" w:themeColor="text1"/>
                <w:szCs w:val="21"/>
              </w:rPr>
              <w:t>17cm</w:t>
            </w:r>
            <w:r>
              <w:rPr>
                <w:rFonts w:hint="eastAsia"/>
                <w:color w:val="000000" w:themeColor="text1"/>
                <w:szCs w:val="21"/>
              </w:rPr>
              <w:t>）</w:t>
            </w:r>
          </w:p>
        </w:tc>
        <w:tc>
          <w:tcPr>
            <w:tcW w:w="2316" w:type="dxa"/>
            <w:gridSpan w:val="2"/>
            <w:vAlign w:val="center"/>
          </w:tcPr>
          <w:p w:rsidR="00644456" w:rsidRDefault="008031C4">
            <w:pPr>
              <w:snapToGrid w:val="0"/>
              <w:jc w:val="center"/>
              <w:rPr>
                <w:color w:val="000000" w:themeColor="text1"/>
                <w:szCs w:val="21"/>
              </w:rPr>
            </w:pPr>
            <w:r>
              <w:rPr>
                <w:rFonts w:hint="eastAsia"/>
                <w:color w:val="000000" w:themeColor="text1"/>
                <w:szCs w:val="21"/>
              </w:rPr>
              <w:t>5#</w:t>
            </w:r>
            <w:r>
              <w:rPr>
                <w:rFonts w:hint="eastAsia"/>
                <w:color w:val="000000" w:themeColor="text1"/>
                <w:szCs w:val="21"/>
              </w:rPr>
              <w:t>点位（</w:t>
            </w:r>
            <w:r>
              <w:rPr>
                <w:rFonts w:hint="eastAsia"/>
                <w:color w:val="000000" w:themeColor="text1"/>
                <w:szCs w:val="21"/>
              </w:rPr>
              <w:t>17cm</w:t>
            </w:r>
            <w:r>
              <w:rPr>
                <w:rFonts w:hint="eastAsia"/>
                <w:color w:val="000000" w:themeColor="text1"/>
                <w:szCs w:val="21"/>
              </w:rPr>
              <w:t>）</w:t>
            </w:r>
          </w:p>
        </w:tc>
        <w:tc>
          <w:tcPr>
            <w:tcW w:w="1173" w:type="dxa"/>
            <w:vMerge/>
            <w:vAlign w:val="center"/>
          </w:tcPr>
          <w:p w:rsidR="00644456" w:rsidRDefault="00644456">
            <w:pPr>
              <w:snapToGrid w:val="0"/>
              <w:jc w:val="center"/>
              <w:rPr>
                <w:color w:val="000000" w:themeColor="text1"/>
                <w:szCs w:val="21"/>
              </w:rPr>
            </w:pPr>
          </w:p>
        </w:tc>
      </w:tr>
      <w:tr w:rsidR="00644456">
        <w:tc>
          <w:tcPr>
            <w:tcW w:w="2205" w:type="dxa"/>
            <w:vMerge/>
            <w:vAlign w:val="center"/>
          </w:tcPr>
          <w:p w:rsidR="00644456" w:rsidRDefault="00644456">
            <w:pPr>
              <w:snapToGrid w:val="0"/>
              <w:jc w:val="center"/>
              <w:rPr>
                <w:color w:val="000000" w:themeColor="text1"/>
                <w:szCs w:val="21"/>
              </w:rPr>
            </w:pPr>
          </w:p>
        </w:tc>
        <w:tc>
          <w:tcPr>
            <w:tcW w:w="1015" w:type="dxa"/>
            <w:vMerge/>
            <w:vAlign w:val="center"/>
          </w:tcPr>
          <w:p w:rsidR="00644456" w:rsidRDefault="00644456">
            <w:pPr>
              <w:snapToGrid w:val="0"/>
              <w:jc w:val="center"/>
              <w:rPr>
                <w:color w:val="000000" w:themeColor="text1"/>
                <w:szCs w:val="21"/>
              </w:rPr>
            </w:pPr>
          </w:p>
        </w:tc>
        <w:tc>
          <w:tcPr>
            <w:tcW w:w="1165" w:type="dxa"/>
            <w:vAlign w:val="center"/>
          </w:tcPr>
          <w:p w:rsidR="00644456" w:rsidRDefault="008031C4">
            <w:pPr>
              <w:snapToGrid w:val="0"/>
              <w:jc w:val="center"/>
              <w:rPr>
                <w:color w:val="000000" w:themeColor="text1"/>
                <w:szCs w:val="21"/>
              </w:rPr>
            </w:pPr>
            <w:r>
              <w:rPr>
                <w:rFonts w:hint="eastAsia"/>
                <w:color w:val="000000" w:themeColor="text1"/>
                <w:szCs w:val="21"/>
              </w:rPr>
              <w:t>实测值</w:t>
            </w:r>
          </w:p>
        </w:tc>
        <w:tc>
          <w:tcPr>
            <w:tcW w:w="1151" w:type="dxa"/>
            <w:vAlign w:val="center"/>
          </w:tcPr>
          <w:p w:rsidR="00644456" w:rsidRDefault="008031C4">
            <w:pPr>
              <w:snapToGrid w:val="0"/>
              <w:jc w:val="center"/>
              <w:rPr>
                <w:color w:val="000000" w:themeColor="text1"/>
                <w:szCs w:val="21"/>
              </w:rPr>
            </w:pPr>
            <w:r>
              <w:rPr>
                <w:color w:val="000000" w:themeColor="text1"/>
                <w:szCs w:val="21"/>
              </w:rPr>
              <w:t>Si</w:t>
            </w:r>
          </w:p>
        </w:tc>
        <w:tc>
          <w:tcPr>
            <w:tcW w:w="1165" w:type="dxa"/>
            <w:vAlign w:val="center"/>
          </w:tcPr>
          <w:p w:rsidR="00644456" w:rsidRDefault="008031C4">
            <w:pPr>
              <w:snapToGrid w:val="0"/>
              <w:jc w:val="center"/>
              <w:rPr>
                <w:color w:val="000000" w:themeColor="text1"/>
                <w:szCs w:val="21"/>
              </w:rPr>
            </w:pPr>
            <w:r>
              <w:rPr>
                <w:rFonts w:hint="eastAsia"/>
                <w:color w:val="000000" w:themeColor="text1"/>
                <w:szCs w:val="21"/>
              </w:rPr>
              <w:t>实测值</w:t>
            </w:r>
          </w:p>
        </w:tc>
        <w:tc>
          <w:tcPr>
            <w:tcW w:w="1151" w:type="dxa"/>
            <w:vAlign w:val="center"/>
          </w:tcPr>
          <w:p w:rsidR="00644456" w:rsidRDefault="008031C4">
            <w:pPr>
              <w:snapToGrid w:val="0"/>
              <w:jc w:val="center"/>
              <w:rPr>
                <w:color w:val="000000" w:themeColor="text1"/>
                <w:szCs w:val="21"/>
              </w:rPr>
            </w:pPr>
            <w:r>
              <w:rPr>
                <w:color w:val="000000" w:themeColor="text1"/>
                <w:szCs w:val="21"/>
              </w:rPr>
              <w:t>Si</w:t>
            </w:r>
          </w:p>
        </w:tc>
        <w:tc>
          <w:tcPr>
            <w:tcW w:w="1173" w:type="dxa"/>
            <w:vMerge/>
            <w:vAlign w:val="center"/>
          </w:tcPr>
          <w:p w:rsidR="00644456" w:rsidRDefault="00644456">
            <w:pPr>
              <w:snapToGrid w:val="0"/>
              <w:jc w:val="center"/>
              <w:rPr>
                <w:color w:val="000000" w:themeColor="text1"/>
                <w:szCs w:val="21"/>
              </w:rPr>
            </w:pPr>
          </w:p>
        </w:tc>
      </w:tr>
      <w:tr w:rsidR="00644456">
        <w:tc>
          <w:tcPr>
            <w:tcW w:w="2205" w:type="dxa"/>
            <w:vAlign w:val="center"/>
          </w:tcPr>
          <w:p w:rsidR="00644456" w:rsidRDefault="008031C4">
            <w:pPr>
              <w:snapToGrid w:val="0"/>
              <w:jc w:val="center"/>
              <w:rPr>
                <w:color w:val="000000" w:themeColor="text1"/>
                <w:szCs w:val="21"/>
              </w:rPr>
            </w:pPr>
            <w:r>
              <w:rPr>
                <w:rFonts w:cs="Times New Roman"/>
                <w:color w:val="000000"/>
                <w:szCs w:val="21"/>
              </w:rPr>
              <w:t>氯乙烯</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1.5</w:t>
            </w:r>
          </w:p>
        </w:tc>
        <w:tc>
          <w:tcPr>
            <w:tcW w:w="1151" w:type="dxa"/>
            <w:vAlign w:val="center"/>
          </w:tcPr>
          <w:p w:rsidR="00644456" w:rsidRDefault="008031C4">
            <w:pPr>
              <w:snapToGrid w:val="0"/>
              <w:jc w:val="center"/>
              <w:rPr>
                <w:kern w:val="0"/>
              </w:rPr>
            </w:pPr>
            <w:r>
              <w:rPr>
                <w:rFonts w:hint="eastAsia"/>
                <w:kern w:val="0"/>
              </w:rPr>
              <w:t>0.0035</w:t>
            </w:r>
          </w:p>
        </w:tc>
        <w:tc>
          <w:tcPr>
            <w:tcW w:w="1165" w:type="dxa"/>
            <w:vAlign w:val="center"/>
          </w:tcPr>
          <w:p w:rsidR="00644456" w:rsidRDefault="008031C4">
            <w:pPr>
              <w:snapToGrid w:val="0"/>
              <w:jc w:val="center"/>
              <w:rPr>
                <w:kern w:val="0"/>
              </w:rPr>
            </w:pPr>
            <w:r>
              <w:rPr>
                <w:rFonts w:hint="eastAsia"/>
                <w:kern w:val="0"/>
              </w:rPr>
              <w:t>&lt;</w:t>
            </w:r>
            <w:r>
              <w:rPr>
                <w:kern w:val="0"/>
              </w:rPr>
              <w:t>1.5</w:t>
            </w:r>
          </w:p>
        </w:tc>
        <w:tc>
          <w:tcPr>
            <w:tcW w:w="1151" w:type="dxa"/>
            <w:vAlign w:val="center"/>
          </w:tcPr>
          <w:p w:rsidR="00644456" w:rsidRDefault="008031C4">
            <w:pPr>
              <w:snapToGrid w:val="0"/>
              <w:jc w:val="center"/>
              <w:rPr>
                <w:kern w:val="0"/>
              </w:rPr>
            </w:pPr>
            <w:r>
              <w:rPr>
                <w:rFonts w:hint="eastAsia"/>
                <w:kern w:val="0"/>
              </w:rPr>
              <w:t>0.0035</w:t>
            </w:r>
          </w:p>
        </w:tc>
        <w:tc>
          <w:tcPr>
            <w:tcW w:w="1173" w:type="dxa"/>
            <w:vAlign w:val="center"/>
          </w:tcPr>
          <w:p w:rsidR="00644456" w:rsidRDefault="008031C4">
            <w:pPr>
              <w:jc w:val="center"/>
              <w:rPr>
                <w:color w:val="000000" w:themeColor="text1"/>
                <w:szCs w:val="21"/>
              </w:rPr>
            </w:pPr>
            <w:r>
              <w:rPr>
                <w:rFonts w:cs="Times New Roman" w:hint="eastAsia"/>
                <w:bCs/>
                <w:szCs w:val="21"/>
              </w:rPr>
              <w:t>0.43</w:t>
            </w:r>
          </w:p>
        </w:tc>
      </w:tr>
      <w:tr w:rsidR="00644456">
        <w:tc>
          <w:tcPr>
            <w:tcW w:w="2205" w:type="dxa"/>
            <w:vAlign w:val="center"/>
          </w:tcPr>
          <w:p w:rsidR="00644456" w:rsidRDefault="008031C4">
            <w:pPr>
              <w:snapToGrid w:val="0"/>
              <w:jc w:val="center"/>
              <w:rPr>
                <w:color w:val="000000" w:themeColor="text1"/>
                <w:szCs w:val="21"/>
              </w:rPr>
            </w:pPr>
            <w:r>
              <w:rPr>
                <w:rFonts w:cs="Times New Roman"/>
                <w:color w:val="000000"/>
                <w:szCs w:val="21"/>
              </w:rPr>
              <w:t>1,1-</w:t>
            </w:r>
            <w:r>
              <w:rPr>
                <w:rFonts w:cs="Times New Roman"/>
                <w:color w:val="000000"/>
                <w:szCs w:val="21"/>
              </w:rPr>
              <w:t>二氯乙烯</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0.8</w:t>
            </w:r>
          </w:p>
        </w:tc>
        <w:tc>
          <w:tcPr>
            <w:tcW w:w="1151" w:type="dxa"/>
            <w:vAlign w:val="center"/>
          </w:tcPr>
          <w:p w:rsidR="00644456" w:rsidRDefault="008031C4">
            <w:pPr>
              <w:snapToGrid w:val="0"/>
              <w:jc w:val="center"/>
              <w:rPr>
                <w:kern w:val="0"/>
              </w:rPr>
            </w:pPr>
            <w:r>
              <w:rPr>
                <w:rFonts w:hint="eastAsia"/>
                <w:kern w:val="0"/>
              </w:rPr>
              <w:t>0.0000</w:t>
            </w:r>
          </w:p>
        </w:tc>
        <w:tc>
          <w:tcPr>
            <w:tcW w:w="1165" w:type="dxa"/>
            <w:vAlign w:val="center"/>
          </w:tcPr>
          <w:p w:rsidR="00644456" w:rsidRDefault="008031C4">
            <w:pPr>
              <w:snapToGrid w:val="0"/>
              <w:jc w:val="center"/>
              <w:rPr>
                <w:kern w:val="0"/>
              </w:rPr>
            </w:pPr>
            <w:r>
              <w:rPr>
                <w:rFonts w:hint="eastAsia"/>
                <w:kern w:val="0"/>
              </w:rPr>
              <w:t>&lt;</w:t>
            </w:r>
            <w:r>
              <w:rPr>
                <w:kern w:val="0"/>
              </w:rPr>
              <w:t>0.8</w:t>
            </w:r>
          </w:p>
        </w:tc>
        <w:tc>
          <w:tcPr>
            <w:tcW w:w="1151" w:type="dxa"/>
            <w:vAlign w:val="center"/>
          </w:tcPr>
          <w:p w:rsidR="00644456" w:rsidRDefault="008031C4">
            <w:pPr>
              <w:snapToGrid w:val="0"/>
              <w:jc w:val="center"/>
              <w:rPr>
                <w:kern w:val="0"/>
              </w:rPr>
            </w:pPr>
            <w:r>
              <w:rPr>
                <w:rFonts w:hint="eastAsia"/>
                <w:kern w:val="0"/>
              </w:rPr>
              <w:t>0.0000</w:t>
            </w:r>
          </w:p>
        </w:tc>
        <w:tc>
          <w:tcPr>
            <w:tcW w:w="1173" w:type="dxa"/>
            <w:vAlign w:val="center"/>
          </w:tcPr>
          <w:p w:rsidR="00644456" w:rsidRDefault="008031C4">
            <w:pPr>
              <w:jc w:val="center"/>
              <w:rPr>
                <w:color w:val="000000" w:themeColor="text1"/>
                <w:szCs w:val="21"/>
              </w:rPr>
            </w:pPr>
            <w:r>
              <w:rPr>
                <w:rFonts w:cs="Times New Roman" w:hint="eastAsia"/>
                <w:bCs/>
                <w:szCs w:val="21"/>
              </w:rPr>
              <w:t>66</w:t>
            </w:r>
          </w:p>
        </w:tc>
      </w:tr>
      <w:tr w:rsidR="00644456">
        <w:tc>
          <w:tcPr>
            <w:tcW w:w="2205" w:type="dxa"/>
            <w:vAlign w:val="center"/>
          </w:tcPr>
          <w:p w:rsidR="00644456" w:rsidRDefault="008031C4">
            <w:pPr>
              <w:snapToGrid w:val="0"/>
              <w:jc w:val="center"/>
              <w:rPr>
                <w:color w:val="000000" w:themeColor="text1"/>
                <w:szCs w:val="21"/>
              </w:rPr>
            </w:pPr>
            <w:r>
              <w:rPr>
                <w:rFonts w:cs="Times New Roman"/>
                <w:bCs/>
                <w:color w:val="000000"/>
                <w:szCs w:val="21"/>
              </w:rPr>
              <w:t>二氯甲烷</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2.6</w:t>
            </w:r>
          </w:p>
        </w:tc>
        <w:tc>
          <w:tcPr>
            <w:tcW w:w="1151" w:type="dxa"/>
            <w:vAlign w:val="center"/>
          </w:tcPr>
          <w:p w:rsidR="00644456" w:rsidRDefault="008031C4">
            <w:pPr>
              <w:snapToGrid w:val="0"/>
              <w:jc w:val="center"/>
              <w:rPr>
                <w:kern w:val="0"/>
              </w:rPr>
            </w:pPr>
            <w:r>
              <w:rPr>
                <w:rFonts w:hint="eastAsia"/>
                <w:kern w:val="0"/>
              </w:rPr>
              <w:t>0.0000</w:t>
            </w:r>
          </w:p>
        </w:tc>
        <w:tc>
          <w:tcPr>
            <w:tcW w:w="1165" w:type="dxa"/>
            <w:vAlign w:val="center"/>
          </w:tcPr>
          <w:p w:rsidR="00644456" w:rsidRDefault="008031C4">
            <w:pPr>
              <w:snapToGrid w:val="0"/>
              <w:jc w:val="center"/>
              <w:rPr>
                <w:kern w:val="0"/>
              </w:rPr>
            </w:pPr>
            <w:r>
              <w:rPr>
                <w:rFonts w:hint="eastAsia"/>
                <w:kern w:val="0"/>
              </w:rPr>
              <w:t>&lt;</w:t>
            </w:r>
            <w:r>
              <w:rPr>
                <w:kern w:val="0"/>
              </w:rPr>
              <w:t>2.6</w:t>
            </w:r>
          </w:p>
        </w:tc>
        <w:tc>
          <w:tcPr>
            <w:tcW w:w="1151" w:type="dxa"/>
            <w:vAlign w:val="center"/>
          </w:tcPr>
          <w:p w:rsidR="00644456" w:rsidRDefault="008031C4">
            <w:pPr>
              <w:snapToGrid w:val="0"/>
              <w:jc w:val="center"/>
              <w:rPr>
                <w:kern w:val="0"/>
              </w:rPr>
            </w:pPr>
            <w:r>
              <w:rPr>
                <w:rFonts w:hint="eastAsia"/>
                <w:kern w:val="0"/>
              </w:rPr>
              <w:t>0.0000</w:t>
            </w:r>
          </w:p>
        </w:tc>
        <w:tc>
          <w:tcPr>
            <w:tcW w:w="1173" w:type="dxa"/>
            <w:vAlign w:val="center"/>
          </w:tcPr>
          <w:p w:rsidR="00644456" w:rsidRDefault="008031C4">
            <w:pPr>
              <w:jc w:val="center"/>
              <w:rPr>
                <w:color w:val="000000" w:themeColor="text1"/>
                <w:szCs w:val="21"/>
              </w:rPr>
            </w:pPr>
            <w:r>
              <w:rPr>
                <w:rFonts w:cs="Times New Roman" w:hint="eastAsia"/>
                <w:bCs/>
                <w:szCs w:val="21"/>
              </w:rPr>
              <w:t>616</w:t>
            </w:r>
          </w:p>
        </w:tc>
      </w:tr>
      <w:tr w:rsidR="00644456">
        <w:tc>
          <w:tcPr>
            <w:tcW w:w="2205" w:type="dxa"/>
            <w:vAlign w:val="center"/>
          </w:tcPr>
          <w:p w:rsidR="00644456" w:rsidRDefault="008031C4">
            <w:pPr>
              <w:snapToGrid w:val="0"/>
              <w:jc w:val="center"/>
              <w:rPr>
                <w:color w:val="000000" w:themeColor="text1"/>
                <w:szCs w:val="21"/>
              </w:rPr>
            </w:pPr>
            <w:r>
              <w:rPr>
                <w:rFonts w:cs="Times New Roman"/>
                <w:bCs/>
                <w:color w:val="000000"/>
                <w:szCs w:val="21"/>
              </w:rPr>
              <w:t>反</w:t>
            </w:r>
            <w:r>
              <w:rPr>
                <w:rFonts w:cs="Times New Roman"/>
                <w:bCs/>
                <w:color w:val="000000"/>
                <w:szCs w:val="21"/>
              </w:rPr>
              <w:t>-1,2-</w:t>
            </w:r>
            <w:r>
              <w:rPr>
                <w:rFonts w:cs="Times New Roman"/>
                <w:bCs/>
                <w:color w:val="000000"/>
                <w:szCs w:val="21"/>
              </w:rPr>
              <w:t>二氯乙烯</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0.9</w:t>
            </w:r>
          </w:p>
        </w:tc>
        <w:tc>
          <w:tcPr>
            <w:tcW w:w="1151" w:type="dxa"/>
            <w:vAlign w:val="center"/>
          </w:tcPr>
          <w:p w:rsidR="00644456" w:rsidRDefault="008031C4">
            <w:pPr>
              <w:snapToGrid w:val="0"/>
              <w:jc w:val="center"/>
              <w:rPr>
                <w:kern w:val="0"/>
              </w:rPr>
            </w:pPr>
            <w:r>
              <w:rPr>
                <w:rFonts w:hint="eastAsia"/>
                <w:kern w:val="0"/>
              </w:rPr>
              <w:t>0.0000</w:t>
            </w:r>
          </w:p>
        </w:tc>
        <w:tc>
          <w:tcPr>
            <w:tcW w:w="1165" w:type="dxa"/>
            <w:vAlign w:val="center"/>
          </w:tcPr>
          <w:p w:rsidR="00644456" w:rsidRDefault="008031C4">
            <w:pPr>
              <w:snapToGrid w:val="0"/>
              <w:jc w:val="center"/>
              <w:rPr>
                <w:kern w:val="0"/>
              </w:rPr>
            </w:pPr>
            <w:r>
              <w:rPr>
                <w:rFonts w:hint="eastAsia"/>
                <w:kern w:val="0"/>
              </w:rPr>
              <w:t>&lt;</w:t>
            </w:r>
            <w:r>
              <w:rPr>
                <w:kern w:val="0"/>
              </w:rPr>
              <w:t>0.9</w:t>
            </w:r>
          </w:p>
        </w:tc>
        <w:tc>
          <w:tcPr>
            <w:tcW w:w="1151" w:type="dxa"/>
            <w:vAlign w:val="center"/>
          </w:tcPr>
          <w:p w:rsidR="00644456" w:rsidRDefault="008031C4">
            <w:pPr>
              <w:snapToGrid w:val="0"/>
              <w:jc w:val="center"/>
              <w:rPr>
                <w:kern w:val="0"/>
              </w:rPr>
            </w:pPr>
            <w:r>
              <w:rPr>
                <w:rFonts w:hint="eastAsia"/>
                <w:kern w:val="0"/>
              </w:rPr>
              <w:t>0.0000</w:t>
            </w:r>
          </w:p>
        </w:tc>
        <w:tc>
          <w:tcPr>
            <w:tcW w:w="1173" w:type="dxa"/>
            <w:vAlign w:val="center"/>
          </w:tcPr>
          <w:p w:rsidR="00644456" w:rsidRDefault="008031C4">
            <w:pPr>
              <w:jc w:val="center"/>
              <w:rPr>
                <w:color w:val="000000" w:themeColor="text1"/>
                <w:szCs w:val="21"/>
              </w:rPr>
            </w:pPr>
            <w:r>
              <w:rPr>
                <w:rFonts w:cs="Times New Roman" w:hint="eastAsia"/>
                <w:bCs/>
                <w:szCs w:val="21"/>
              </w:rPr>
              <w:t>54</w:t>
            </w:r>
          </w:p>
        </w:tc>
      </w:tr>
      <w:tr w:rsidR="00644456">
        <w:tc>
          <w:tcPr>
            <w:tcW w:w="2205" w:type="dxa"/>
            <w:vAlign w:val="center"/>
          </w:tcPr>
          <w:p w:rsidR="00644456" w:rsidRDefault="008031C4">
            <w:pPr>
              <w:snapToGrid w:val="0"/>
              <w:jc w:val="center"/>
              <w:rPr>
                <w:color w:val="000000" w:themeColor="text1"/>
                <w:szCs w:val="21"/>
              </w:rPr>
            </w:pPr>
            <w:r>
              <w:rPr>
                <w:rFonts w:cs="Times New Roman"/>
                <w:color w:val="000000"/>
                <w:szCs w:val="21"/>
              </w:rPr>
              <w:t>1,1-</w:t>
            </w:r>
            <w:r>
              <w:rPr>
                <w:rFonts w:cs="Times New Roman"/>
                <w:color w:val="000000"/>
                <w:szCs w:val="21"/>
              </w:rPr>
              <w:t>二氯乙烷</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1.6</w:t>
            </w:r>
          </w:p>
        </w:tc>
        <w:tc>
          <w:tcPr>
            <w:tcW w:w="1151" w:type="dxa"/>
            <w:vAlign w:val="center"/>
          </w:tcPr>
          <w:p w:rsidR="00644456" w:rsidRDefault="008031C4">
            <w:pPr>
              <w:snapToGrid w:val="0"/>
              <w:jc w:val="center"/>
              <w:rPr>
                <w:kern w:val="0"/>
              </w:rPr>
            </w:pPr>
            <w:r>
              <w:rPr>
                <w:rFonts w:hint="eastAsia"/>
                <w:kern w:val="0"/>
              </w:rPr>
              <w:t>0.0002</w:t>
            </w:r>
          </w:p>
        </w:tc>
        <w:tc>
          <w:tcPr>
            <w:tcW w:w="1165" w:type="dxa"/>
            <w:vAlign w:val="center"/>
          </w:tcPr>
          <w:p w:rsidR="00644456" w:rsidRDefault="008031C4">
            <w:pPr>
              <w:snapToGrid w:val="0"/>
              <w:jc w:val="center"/>
              <w:rPr>
                <w:kern w:val="0"/>
              </w:rPr>
            </w:pPr>
            <w:r>
              <w:rPr>
                <w:rFonts w:hint="eastAsia"/>
                <w:kern w:val="0"/>
              </w:rPr>
              <w:t>&lt;</w:t>
            </w:r>
            <w:r>
              <w:rPr>
                <w:kern w:val="0"/>
              </w:rPr>
              <w:t>1.6</w:t>
            </w:r>
          </w:p>
        </w:tc>
        <w:tc>
          <w:tcPr>
            <w:tcW w:w="1151" w:type="dxa"/>
            <w:vAlign w:val="center"/>
          </w:tcPr>
          <w:p w:rsidR="00644456" w:rsidRDefault="008031C4">
            <w:pPr>
              <w:snapToGrid w:val="0"/>
              <w:jc w:val="center"/>
              <w:rPr>
                <w:kern w:val="0"/>
              </w:rPr>
            </w:pPr>
            <w:r>
              <w:rPr>
                <w:rFonts w:hint="eastAsia"/>
                <w:kern w:val="0"/>
              </w:rPr>
              <w:t>0.0002</w:t>
            </w:r>
          </w:p>
        </w:tc>
        <w:tc>
          <w:tcPr>
            <w:tcW w:w="1173" w:type="dxa"/>
            <w:vAlign w:val="center"/>
          </w:tcPr>
          <w:p w:rsidR="00644456" w:rsidRDefault="008031C4">
            <w:pPr>
              <w:jc w:val="center"/>
              <w:rPr>
                <w:color w:val="000000" w:themeColor="text1"/>
                <w:szCs w:val="21"/>
              </w:rPr>
            </w:pPr>
            <w:r>
              <w:rPr>
                <w:rFonts w:cs="Times New Roman" w:hint="eastAsia"/>
                <w:bCs/>
                <w:szCs w:val="21"/>
              </w:rPr>
              <w:t>9</w:t>
            </w:r>
          </w:p>
        </w:tc>
      </w:tr>
      <w:tr w:rsidR="00644456">
        <w:tc>
          <w:tcPr>
            <w:tcW w:w="2205" w:type="dxa"/>
            <w:vAlign w:val="center"/>
          </w:tcPr>
          <w:p w:rsidR="00644456" w:rsidRDefault="008031C4">
            <w:pPr>
              <w:snapToGrid w:val="0"/>
              <w:jc w:val="center"/>
              <w:rPr>
                <w:color w:val="000000" w:themeColor="text1"/>
                <w:szCs w:val="21"/>
              </w:rPr>
            </w:pPr>
            <w:r>
              <w:rPr>
                <w:rFonts w:cs="Times New Roman"/>
                <w:bCs/>
                <w:color w:val="000000"/>
                <w:szCs w:val="21"/>
              </w:rPr>
              <w:t>顺</w:t>
            </w:r>
            <w:r>
              <w:rPr>
                <w:rFonts w:cs="Times New Roman"/>
                <w:bCs/>
                <w:color w:val="000000"/>
                <w:szCs w:val="21"/>
              </w:rPr>
              <w:t>-1,2-</w:t>
            </w:r>
            <w:r>
              <w:rPr>
                <w:rFonts w:cs="Times New Roman"/>
                <w:bCs/>
                <w:color w:val="000000"/>
                <w:szCs w:val="21"/>
              </w:rPr>
              <w:t>二氯乙烯</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0.9</w:t>
            </w:r>
          </w:p>
        </w:tc>
        <w:tc>
          <w:tcPr>
            <w:tcW w:w="1151" w:type="dxa"/>
            <w:vAlign w:val="center"/>
          </w:tcPr>
          <w:p w:rsidR="00644456" w:rsidRDefault="008031C4">
            <w:pPr>
              <w:snapToGrid w:val="0"/>
              <w:jc w:val="center"/>
              <w:rPr>
                <w:kern w:val="0"/>
              </w:rPr>
            </w:pPr>
            <w:r>
              <w:rPr>
                <w:rFonts w:hint="eastAsia"/>
                <w:kern w:val="0"/>
              </w:rPr>
              <w:t>0.0000</w:t>
            </w:r>
          </w:p>
        </w:tc>
        <w:tc>
          <w:tcPr>
            <w:tcW w:w="1165" w:type="dxa"/>
            <w:vAlign w:val="center"/>
          </w:tcPr>
          <w:p w:rsidR="00644456" w:rsidRDefault="008031C4">
            <w:pPr>
              <w:snapToGrid w:val="0"/>
              <w:jc w:val="center"/>
              <w:rPr>
                <w:kern w:val="0"/>
              </w:rPr>
            </w:pPr>
            <w:r>
              <w:rPr>
                <w:rFonts w:hint="eastAsia"/>
                <w:kern w:val="0"/>
              </w:rPr>
              <w:t>&lt;</w:t>
            </w:r>
            <w:r>
              <w:rPr>
                <w:kern w:val="0"/>
              </w:rPr>
              <w:t>0.9</w:t>
            </w:r>
          </w:p>
        </w:tc>
        <w:tc>
          <w:tcPr>
            <w:tcW w:w="1151" w:type="dxa"/>
            <w:vAlign w:val="center"/>
          </w:tcPr>
          <w:p w:rsidR="00644456" w:rsidRDefault="008031C4">
            <w:pPr>
              <w:snapToGrid w:val="0"/>
              <w:jc w:val="center"/>
              <w:rPr>
                <w:kern w:val="0"/>
              </w:rPr>
            </w:pPr>
            <w:r>
              <w:rPr>
                <w:rFonts w:hint="eastAsia"/>
                <w:kern w:val="0"/>
              </w:rPr>
              <w:t>0.0000</w:t>
            </w:r>
          </w:p>
        </w:tc>
        <w:tc>
          <w:tcPr>
            <w:tcW w:w="1173" w:type="dxa"/>
            <w:vAlign w:val="center"/>
          </w:tcPr>
          <w:p w:rsidR="00644456" w:rsidRDefault="008031C4">
            <w:pPr>
              <w:jc w:val="center"/>
              <w:rPr>
                <w:color w:val="000000" w:themeColor="text1"/>
                <w:szCs w:val="21"/>
              </w:rPr>
            </w:pPr>
            <w:r>
              <w:rPr>
                <w:rFonts w:cs="Times New Roman" w:hint="eastAsia"/>
                <w:bCs/>
                <w:szCs w:val="21"/>
              </w:rPr>
              <w:t>596</w:t>
            </w:r>
          </w:p>
        </w:tc>
      </w:tr>
      <w:tr w:rsidR="00644456">
        <w:tc>
          <w:tcPr>
            <w:tcW w:w="2205" w:type="dxa"/>
            <w:vAlign w:val="center"/>
          </w:tcPr>
          <w:p w:rsidR="00644456" w:rsidRDefault="008031C4">
            <w:pPr>
              <w:snapToGrid w:val="0"/>
              <w:jc w:val="center"/>
              <w:rPr>
                <w:color w:val="000000" w:themeColor="text1"/>
                <w:szCs w:val="21"/>
              </w:rPr>
            </w:pPr>
            <w:r>
              <w:rPr>
                <w:rFonts w:cs="Times New Roman"/>
                <w:color w:val="000000"/>
                <w:szCs w:val="21"/>
              </w:rPr>
              <w:lastRenderedPageBreak/>
              <w:t>氯仿</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1.5</w:t>
            </w:r>
          </w:p>
        </w:tc>
        <w:tc>
          <w:tcPr>
            <w:tcW w:w="1151" w:type="dxa"/>
            <w:vAlign w:val="center"/>
          </w:tcPr>
          <w:p w:rsidR="00644456" w:rsidRDefault="008031C4">
            <w:pPr>
              <w:snapToGrid w:val="0"/>
              <w:jc w:val="center"/>
              <w:rPr>
                <w:kern w:val="0"/>
              </w:rPr>
            </w:pPr>
            <w:r>
              <w:rPr>
                <w:rFonts w:hint="eastAsia"/>
                <w:kern w:val="0"/>
              </w:rPr>
              <w:t>0.0017</w:t>
            </w:r>
          </w:p>
        </w:tc>
        <w:tc>
          <w:tcPr>
            <w:tcW w:w="1165" w:type="dxa"/>
            <w:vAlign w:val="center"/>
          </w:tcPr>
          <w:p w:rsidR="00644456" w:rsidRDefault="008031C4">
            <w:pPr>
              <w:snapToGrid w:val="0"/>
              <w:jc w:val="center"/>
              <w:rPr>
                <w:kern w:val="0"/>
              </w:rPr>
            </w:pPr>
            <w:r>
              <w:rPr>
                <w:rFonts w:hint="eastAsia"/>
                <w:kern w:val="0"/>
              </w:rPr>
              <w:t>&lt;</w:t>
            </w:r>
            <w:r>
              <w:rPr>
                <w:kern w:val="0"/>
              </w:rPr>
              <w:t>1.5</w:t>
            </w:r>
          </w:p>
        </w:tc>
        <w:tc>
          <w:tcPr>
            <w:tcW w:w="1151" w:type="dxa"/>
            <w:vAlign w:val="center"/>
          </w:tcPr>
          <w:p w:rsidR="00644456" w:rsidRDefault="008031C4">
            <w:pPr>
              <w:snapToGrid w:val="0"/>
              <w:jc w:val="center"/>
              <w:rPr>
                <w:kern w:val="0"/>
              </w:rPr>
            </w:pPr>
            <w:r>
              <w:rPr>
                <w:rFonts w:hint="eastAsia"/>
                <w:kern w:val="0"/>
              </w:rPr>
              <w:t>0.0017</w:t>
            </w:r>
          </w:p>
        </w:tc>
        <w:tc>
          <w:tcPr>
            <w:tcW w:w="1173" w:type="dxa"/>
            <w:vAlign w:val="center"/>
          </w:tcPr>
          <w:p w:rsidR="00644456" w:rsidRDefault="008031C4">
            <w:pPr>
              <w:jc w:val="center"/>
              <w:rPr>
                <w:color w:val="000000" w:themeColor="text1"/>
                <w:szCs w:val="21"/>
              </w:rPr>
            </w:pPr>
            <w:r>
              <w:rPr>
                <w:rFonts w:cs="Times New Roman" w:hint="eastAsia"/>
                <w:bCs/>
                <w:szCs w:val="21"/>
              </w:rPr>
              <w:t>0.9</w:t>
            </w:r>
          </w:p>
        </w:tc>
      </w:tr>
      <w:tr w:rsidR="00644456">
        <w:tc>
          <w:tcPr>
            <w:tcW w:w="2205" w:type="dxa"/>
            <w:vAlign w:val="center"/>
          </w:tcPr>
          <w:p w:rsidR="00644456" w:rsidRDefault="008031C4">
            <w:pPr>
              <w:snapToGrid w:val="0"/>
              <w:jc w:val="center"/>
              <w:rPr>
                <w:color w:val="000000" w:themeColor="text1"/>
                <w:szCs w:val="21"/>
              </w:rPr>
            </w:pPr>
            <w:r>
              <w:rPr>
                <w:rFonts w:cs="Times New Roman"/>
                <w:color w:val="000000"/>
                <w:szCs w:val="21"/>
              </w:rPr>
              <w:t>1,1,1-</w:t>
            </w:r>
            <w:r>
              <w:rPr>
                <w:rFonts w:cs="Times New Roman"/>
                <w:color w:val="000000"/>
                <w:szCs w:val="21"/>
              </w:rPr>
              <w:t>三氯乙烷</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1.1</w:t>
            </w:r>
          </w:p>
        </w:tc>
        <w:tc>
          <w:tcPr>
            <w:tcW w:w="1151" w:type="dxa"/>
            <w:vAlign w:val="center"/>
          </w:tcPr>
          <w:p w:rsidR="00644456" w:rsidRDefault="008031C4">
            <w:pPr>
              <w:snapToGrid w:val="0"/>
              <w:jc w:val="center"/>
              <w:rPr>
                <w:kern w:val="0"/>
              </w:rPr>
            </w:pPr>
            <w:r>
              <w:rPr>
                <w:rFonts w:hint="eastAsia"/>
                <w:kern w:val="0"/>
              </w:rPr>
              <w:t>0.0000</w:t>
            </w:r>
          </w:p>
        </w:tc>
        <w:tc>
          <w:tcPr>
            <w:tcW w:w="1165" w:type="dxa"/>
            <w:vAlign w:val="center"/>
          </w:tcPr>
          <w:p w:rsidR="00644456" w:rsidRDefault="008031C4">
            <w:pPr>
              <w:snapToGrid w:val="0"/>
              <w:jc w:val="center"/>
              <w:rPr>
                <w:kern w:val="0"/>
              </w:rPr>
            </w:pPr>
            <w:r>
              <w:rPr>
                <w:rFonts w:hint="eastAsia"/>
                <w:kern w:val="0"/>
              </w:rPr>
              <w:t>&lt;</w:t>
            </w:r>
            <w:r>
              <w:rPr>
                <w:kern w:val="0"/>
              </w:rPr>
              <w:t>1.1</w:t>
            </w:r>
          </w:p>
        </w:tc>
        <w:tc>
          <w:tcPr>
            <w:tcW w:w="1151" w:type="dxa"/>
            <w:vAlign w:val="center"/>
          </w:tcPr>
          <w:p w:rsidR="00644456" w:rsidRDefault="008031C4">
            <w:pPr>
              <w:snapToGrid w:val="0"/>
              <w:jc w:val="center"/>
              <w:rPr>
                <w:kern w:val="0"/>
              </w:rPr>
            </w:pPr>
            <w:r>
              <w:rPr>
                <w:rFonts w:hint="eastAsia"/>
                <w:kern w:val="0"/>
              </w:rPr>
              <w:t>0.0000</w:t>
            </w:r>
          </w:p>
        </w:tc>
        <w:tc>
          <w:tcPr>
            <w:tcW w:w="1173" w:type="dxa"/>
            <w:vAlign w:val="center"/>
          </w:tcPr>
          <w:p w:rsidR="00644456" w:rsidRDefault="008031C4">
            <w:pPr>
              <w:jc w:val="center"/>
              <w:rPr>
                <w:color w:val="000000" w:themeColor="text1"/>
                <w:szCs w:val="21"/>
              </w:rPr>
            </w:pPr>
            <w:r>
              <w:rPr>
                <w:rFonts w:cs="Times New Roman" w:hint="eastAsia"/>
                <w:bCs/>
                <w:szCs w:val="21"/>
              </w:rPr>
              <w:t>840</w:t>
            </w:r>
          </w:p>
        </w:tc>
      </w:tr>
      <w:tr w:rsidR="00644456">
        <w:tc>
          <w:tcPr>
            <w:tcW w:w="2205" w:type="dxa"/>
            <w:vAlign w:val="center"/>
          </w:tcPr>
          <w:p w:rsidR="00644456" w:rsidRDefault="008031C4">
            <w:pPr>
              <w:snapToGrid w:val="0"/>
              <w:jc w:val="center"/>
              <w:rPr>
                <w:color w:val="000000" w:themeColor="text1"/>
                <w:szCs w:val="21"/>
              </w:rPr>
            </w:pPr>
            <w:r>
              <w:rPr>
                <w:rFonts w:cs="Times New Roman"/>
                <w:color w:val="000000"/>
                <w:szCs w:val="21"/>
              </w:rPr>
              <w:t>四氯化碳</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2.1</w:t>
            </w:r>
          </w:p>
        </w:tc>
        <w:tc>
          <w:tcPr>
            <w:tcW w:w="1151" w:type="dxa"/>
            <w:vAlign w:val="center"/>
          </w:tcPr>
          <w:p w:rsidR="00644456" w:rsidRDefault="008031C4">
            <w:pPr>
              <w:snapToGrid w:val="0"/>
              <w:jc w:val="center"/>
              <w:rPr>
                <w:kern w:val="0"/>
              </w:rPr>
            </w:pPr>
            <w:r>
              <w:rPr>
                <w:rFonts w:hint="eastAsia"/>
                <w:kern w:val="0"/>
              </w:rPr>
              <w:t>0.0008</w:t>
            </w:r>
          </w:p>
        </w:tc>
        <w:tc>
          <w:tcPr>
            <w:tcW w:w="1165" w:type="dxa"/>
            <w:vAlign w:val="center"/>
          </w:tcPr>
          <w:p w:rsidR="00644456" w:rsidRDefault="008031C4">
            <w:pPr>
              <w:snapToGrid w:val="0"/>
              <w:jc w:val="center"/>
              <w:rPr>
                <w:kern w:val="0"/>
              </w:rPr>
            </w:pPr>
            <w:r>
              <w:rPr>
                <w:rFonts w:hint="eastAsia"/>
                <w:kern w:val="0"/>
              </w:rPr>
              <w:t>&lt;</w:t>
            </w:r>
            <w:r>
              <w:rPr>
                <w:kern w:val="0"/>
              </w:rPr>
              <w:t>2.1</w:t>
            </w:r>
          </w:p>
        </w:tc>
        <w:tc>
          <w:tcPr>
            <w:tcW w:w="1151" w:type="dxa"/>
            <w:vAlign w:val="center"/>
          </w:tcPr>
          <w:p w:rsidR="00644456" w:rsidRDefault="008031C4">
            <w:pPr>
              <w:snapToGrid w:val="0"/>
              <w:jc w:val="center"/>
              <w:rPr>
                <w:kern w:val="0"/>
              </w:rPr>
            </w:pPr>
            <w:r>
              <w:rPr>
                <w:rFonts w:hint="eastAsia"/>
                <w:kern w:val="0"/>
              </w:rPr>
              <w:t>0.0008</w:t>
            </w:r>
          </w:p>
        </w:tc>
        <w:tc>
          <w:tcPr>
            <w:tcW w:w="1173" w:type="dxa"/>
            <w:vAlign w:val="center"/>
          </w:tcPr>
          <w:p w:rsidR="00644456" w:rsidRDefault="008031C4">
            <w:pPr>
              <w:jc w:val="center"/>
              <w:rPr>
                <w:color w:val="000000" w:themeColor="text1"/>
                <w:szCs w:val="21"/>
              </w:rPr>
            </w:pPr>
            <w:r>
              <w:rPr>
                <w:rFonts w:cs="Times New Roman" w:hint="eastAsia"/>
                <w:bCs/>
                <w:szCs w:val="21"/>
              </w:rPr>
              <w:t>2.8</w:t>
            </w:r>
          </w:p>
        </w:tc>
      </w:tr>
      <w:tr w:rsidR="00644456">
        <w:tc>
          <w:tcPr>
            <w:tcW w:w="2205" w:type="dxa"/>
            <w:vAlign w:val="center"/>
          </w:tcPr>
          <w:p w:rsidR="00644456" w:rsidRDefault="008031C4">
            <w:pPr>
              <w:snapToGrid w:val="0"/>
              <w:jc w:val="center"/>
              <w:rPr>
                <w:color w:val="000000" w:themeColor="text1"/>
                <w:szCs w:val="21"/>
              </w:rPr>
            </w:pPr>
            <w:r>
              <w:rPr>
                <w:rFonts w:cs="Times New Roman"/>
                <w:color w:val="000000"/>
                <w:szCs w:val="21"/>
              </w:rPr>
              <w:t>1,2-</w:t>
            </w:r>
            <w:r>
              <w:rPr>
                <w:rFonts w:cs="Times New Roman"/>
                <w:color w:val="000000"/>
                <w:szCs w:val="21"/>
              </w:rPr>
              <w:t>二氯乙烷</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1.3</w:t>
            </w:r>
          </w:p>
        </w:tc>
        <w:tc>
          <w:tcPr>
            <w:tcW w:w="1151" w:type="dxa"/>
            <w:vAlign w:val="center"/>
          </w:tcPr>
          <w:p w:rsidR="00644456" w:rsidRDefault="008031C4">
            <w:pPr>
              <w:snapToGrid w:val="0"/>
              <w:jc w:val="center"/>
              <w:rPr>
                <w:kern w:val="0"/>
              </w:rPr>
            </w:pPr>
            <w:r>
              <w:rPr>
                <w:rFonts w:hint="eastAsia"/>
                <w:kern w:val="0"/>
              </w:rPr>
              <w:t>0.0003</w:t>
            </w:r>
          </w:p>
        </w:tc>
        <w:tc>
          <w:tcPr>
            <w:tcW w:w="1165" w:type="dxa"/>
            <w:vAlign w:val="center"/>
          </w:tcPr>
          <w:p w:rsidR="00644456" w:rsidRDefault="008031C4">
            <w:pPr>
              <w:snapToGrid w:val="0"/>
              <w:jc w:val="center"/>
              <w:rPr>
                <w:kern w:val="0"/>
              </w:rPr>
            </w:pPr>
            <w:r>
              <w:rPr>
                <w:rFonts w:hint="eastAsia"/>
                <w:kern w:val="0"/>
              </w:rPr>
              <w:t>&lt;</w:t>
            </w:r>
            <w:r>
              <w:rPr>
                <w:kern w:val="0"/>
              </w:rPr>
              <w:t>1.3</w:t>
            </w:r>
          </w:p>
        </w:tc>
        <w:tc>
          <w:tcPr>
            <w:tcW w:w="1151" w:type="dxa"/>
            <w:vAlign w:val="center"/>
          </w:tcPr>
          <w:p w:rsidR="00644456" w:rsidRDefault="008031C4">
            <w:pPr>
              <w:snapToGrid w:val="0"/>
              <w:jc w:val="center"/>
              <w:rPr>
                <w:kern w:val="0"/>
              </w:rPr>
            </w:pPr>
            <w:r>
              <w:rPr>
                <w:rFonts w:hint="eastAsia"/>
                <w:kern w:val="0"/>
              </w:rPr>
              <w:t>0.0003</w:t>
            </w:r>
          </w:p>
        </w:tc>
        <w:tc>
          <w:tcPr>
            <w:tcW w:w="1173" w:type="dxa"/>
            <w:vAlign w:val="center"/>
          </w:tcPr>
          <w:p w:rsidR="00644456" w:rsidRDefault="008031C4">
            <w:pPr>
              <w:jc w:val="center"/>
              <w:rPr>
                <w:color w:val="000000" w:themeColor="text1"/>
                <w:szCs w:val="21"/>
              </w:rPr>
            </w:pPr>
            <w:r>
              <w:rPr>
                <w:rFonts w:cs="Times New Roman" w:hint="eastAsia"/>
                <w:bCs/>
                <w:szCs w:val="21"/>
              </w:rPr>
              <w:t>5</w:t>
            </w:r>
          </w:p>
        </w:tc>
      </w:tr>
      <w:tr w:rsidR="00644456">
        <w:tc>
          <w:tcPr>
            <w:tcW w:w="2205" w:type="dxa"/>
            <w:vAlign w:val="center"/>
          </w:tcPr>
          <w:p w:rsidR="00644456" w:rsidRDefault="008031C4">
            <w:pPr>
              <w:snapToGrid w:val="0"/>
              <w:jc w:val="center"/>
              <w:rPr>
                <w:color w:val="000000" w:themeColor="text1"/>
                <w:szCs w:val="21"/>
              </w:rPr>
            </w:pPr>
            <w:r>
              <w:rPr>
                <w:rFonts w:cs="Times New Roman"/>
                <w:bCs/>
                <w:color w:val="000000"/>
                <w:szCs w:val="21"/>
              </w:rPr>
              <w:t>苯</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1.</w:t>
            </w:r>
            <w:r>
              <w:rPr>
                <w:rFonts w:cs="Times New Roman" w:hint="eastAsia"/>
                <w:color w:val="000000"/>
                <w:szCs w:val="21"/>
              </w:rPr>
              <w:t>6</w:t>
            </w:r>
          </w:p>
        </w:tc>
        <w:tc>
          <w:tcPr>
            <w:tcW w:w="1151" w:type="dxa"/>
            <w:vAlign w:val="center"/>
          </w:tcPr>
          <w:p w:rsidR="00644456" w:rsidRDefault="008031C4">
            <w:pPr>
              <w:snapToGrid w:val="0"/>
              <w:jc w:val="center"/>
              <w:rPr>
                <w:kern w:val="0"/>
              </w:rPr>
            </w:pPr>
            <w:r>
              <w:rPr>
                <w:rFonts w:hint="eastAsia"/>
                <w:kern w:val="0"/>
              </w:rPr>
              <w:t>0.0004</w:t>
            </w:r>
          </w:p>
        </w:tc>
        <w:tc>
          <w:tcPr>
            <w:tcW w:w="1165" w:type="dxa"/>
            <w:vAlign w:val="center"/>
          </w:tcPr>
          <w:p w:rsidR="00644456" w:rsidRDefault="008031C4">
            <w:pPr>
              <w:snapToGrid w:val="0"/>
              <w:jc w:val="center"/>
              <w:rPr>
                <w:kern w:val="0"/>
              </w:rPr>
            </w:pPr>
            <w:r>
              <w:rPr>
                <w:rFonts w:hint="eastAsia"/>
                <w:kern w:val="0"/>
              </w:rPr>
              <w:t>&lt;</w:t>
            </w:r>
            <w:r>
              <w:rPr>
                <w:kern w:val="0"/>
              </w:rPr>
              <w:t>1.</w:t>
            </w:r>
            <w:r>
              <w:rPr>
                <w:rFonts w:hint="eastAsia"/>
                <w:kern w:val="0"/>
              </w:rPr>
              <w:t>6</w:t>
            </w:r>
          </w:p>
        </w:tc>
        <w:tc>
          <w:tcPr>
            <w:tcW w:w="1151" w:type="dxa"/>
            <w:vAlign w:val="center"/>
          </w:tcPr>
          <w:p w:rsidR="00644456" w:rsidRDefault="008031C4">
            <w:pPr>
              <w:snapToGrid w:val="0"/>
              <w:jc w:val="center"/>
              <w:rPr>
                <w:kern w:val="0"/>
              </w:rPr>
            </w:pPr>
            <w:r>
              <w:rPr>
                <w:rFonts w:hint="eastAsia"/>
                <w:kern w:val="0"/>
              </w:rPr>
              <w:t>0.0004</w:t>
            </w:r>
          </w:p>
        </w:tc>
        <w:tc>
          <w:tcPr>
            <w:tcW w:w="1173" w:type="dxa"/>
            <w:vAlign w:val="center"/>
          </w:tcPr>
          <w:p w:rsidR="00644456" w:rsidRDefault="008031C4">
            <w:pPr>
              <w:jc w:val="center"/>
              <w:rPr>
                <w:color w:val="000000" w:themeColor="text1"/>
                <w:szCs w:val="21"/>
              </w:rPr>
            </w:pPr>
            <w:r>
              <w:rPr>
                <w:rFonts w:cs="Times New Roman" w:hint="eastAsia"/>
                <w:bCs/>
                <w:szCs w:val="21"/>
              </w:rPr>
              <w:t>4</w:t>
            </w:r>
          </w:p>
        </w:tc>
      </w:tr>
      <w:tr w:rsidR="00644456">
        <w:tc>
          <w:tcPr>
            <w:tcW w:w="2205" w:type="dxa"/>
            <w:vAlign w:val="center"/>
          </w:tcPr>
          <w:p w:rsidR="00644456" w:rsidRDefault="008031C4">
            <w:pPr>
              <w:snapToGrid w:val="0"/>
              <w:jc w:val="center"/>
              <w:rPr>
                <w:color w:val="000000" w:themeColor="text1"/>
                <w:szCs w:val="21"/>
              </w:rPr>
            </w:pPr>
            <w:r>
              <w:rPr>
                <w:rFonts w:cs="Times New Roman"/>
                <w:color w:val="000000"/>
                <w:szCs w:val="21"/>
              </w:rPr>
              <w:t>三氯乙烯</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0.9</w:t>
            </w:r>
          </w:p>
        </w:tc>
        <w:tc>
          <w:tcPr>
            <w:tcW w:w="1151" w:type="dxa"/>
            <w:vAlign w:val="center"/>
          </w:tcPr>
          <w:p w:rsidR="00644456" w:rsidRDefault="008031C4">
            <w:pPr>
              <w:snapToGrid w:val="0"/>
              <w:jc w:val="center"/>
              <w:rPr>
                <w:kern w:val="0"/>
              </w:rPr>
            </w:pPr>
            <w:r>
              <w:rPr>
                <w:rFonts w:hint="eastAsia"/>
                <w:kern w:val="0"/>
              </w:rPr>
              <w:t>0.0003</w:t>
            </w:r>
          </w:p>
        </w:tc>
        <w:tc>
          <w:tcPr>
            <w:tcW w:w="1165" w:type="dxa"/>
            <w:vAlign w:val="center"/>
          </w:tcPr>
          <w:p w:rsidR="00644456" w:rsidRDefault="008031C4">
            <w:pPr>
              <w:snapToGrid w:val="0"/>
              <w:jc w:val="center"/>
              <w:rPr>
                <w:kern w:val="0"/>
              </w:rPr>
            </w:pPr>
            <w:r>
              <w:rPr>
                <w:rFonts w:hint="eastAsia"/>
                <w:kern w:val="0"/>
              </w:rPr>
              <w:t>&lt;</w:t>
            </w:r>
            <w:r>
              <w:rPr>
                <w:kern w:val="0"/>
              </w:rPr>
              <w:t>0.9</w:t>
            </w:r>
          </w:p>
        </w:tc>
        <w:tc>
          <w:tcPr>
            <w:tcW w:w="1151" w:type="dxa"/>
            <w:vAlign w:val="center"/>
          </w:tcPr>
          <w:p w:rsidR="00644456" w:rsidRDefault="008031C4">
            <w:pPr>
              <w:snapToGrid w:val="0"/>
              <w:jc w:val="center"/>
              <w:rPr>
                <w:kern w:val="0"/>
              </w:rPr>
            </w:pPr>
            <w:r>
              <w:rPr>
                <w:rFonts w:hint="eastAsia"/>
                <w:kern w:val="0"/>
              </w:rPr>
              <w:t>0.0003</w:t>
            </w:r>
          </w:p>
        </w:tc>
        <w:tc>
          <w:tcPr>
            <w:tcW w:w="1173" w:type="dxa"/>
            <w:vAlign w:val="center"/>
          </w:tcPr>
          <w:p w:rsidR="00644456" w:rsidRDefault="008031C4">
            <w:pPr>
              <w:jc w:val="center"/>
              <w:rPr>
                <w:color w:val="000000" w:themeColor="text1"/>
                <w:szCs w:val="21"/>
              </w:rPr>
            </w:pPr>
            <w:r>
              <w:rPr>
                <w:rFonts w:cs="Times New Roman" w:hint="eastAsia"/>
                <w:bCs/>
                <w:szCs w:val="21"/>
              </w:rPr>
              <w:t>2.8</w:t>
            </w:r>
          </w:p>
        </w:tc>
      </w:tr>
      <w:tr w:rsidR="00644456">
        <w:tc>
          <w:tcPr>
            <w:tcW w:w="2205" w:type="dxa"/>
            <w:vAlign w:val="center"/>
          </w:tcPr>
          <w:p w:rsidR="00644456" w:rsidRDefault="008031C4">
            <w:pPr>
              <w:snapToGrid w:val="0"/>
              <w:jc w:val="center"/>
              <w:rPr>
                <w:color w:val="000000" w:themeColor="text1"/>
                <w:szCs w:val="21"/>
              </w:rPr>
            </w:pPr>
            <w:r>
              <w:rPr>
                <w:rFonts w:cs="Times New Roman"/>
                <w:bCs/>
                <w:color w:val="000000"/>
                <w:szCs w:val="21"/>
              </w:rPr>
              <w:t>1,2-</w:t>
            </w:r>
            <w:r>
              <w:rPr>
                <w:rFonts w:cs="Times New Roman"/>
                <w:bCs/>
                <w:color w:val="000000"/>
                <w:szCs w:val="21"/>
              </w:rPr>
              <w:t>二氯丙烷</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1.9</w:t>
            </w:r>
          </w:p>
        </w:tc>
        <w:tc>
          <w:tcPr>
            <w:tcW w:w="1151" w:type="dxa"/>
            <w:vAlign w:val="center"/>
          </w:tcPr>
          <w:p w:rsidR="00644456" w:rsidRDefault="008031C4">
            <w:pPr>
              <w:snapToGrid w:val="0"/>
              <w:jc w:val="center"/>
              <w:rPr>
                <w:kern w:val="0"/>
              </w:rPr>
            </w:pPr>
            <w:r>
              <w:rPr>
                <w:rFonts w:hint="eastAsia"/>
                <w:kern w:val="0"/>
              </w:rPr>
              <w:t>0.0004</w:t>
            </w:r>
          </w:p>
        </w:tc>
        <w:tc>
          <w:tcPr>
            <w:tcW w:w="1165" w:type="dxa"/>
            <w:vAlign w:val="center"/>
          </w:tcPr>
          <w:p w:rsidR="00644456" w:rsidRDefault="008031C4">
            <w:pPr>
              <w:snapToGrid w:val="0"/>
              <w:jc w:val="center"/>
              <w:rPr>
                <w:kern w:val="0"/>
              </w:rPr>
            </w:pPr>
            <w:r>
              <w:rPr>
                <w:rFonts w:hint="eastAsia"/>
                <w:kern w:val="0"/>
              </w:rPr>
              <w:t>&lt;</w:t>
            </w:r>
            <w:r>
              <w:rPr>
                <w:kern w:val="0"/>
              </w:rPr>
              <w:t>1.9</w:t>
            </w:r>
          </w:p>
        </w:tc>
        <w:tc>
          <w:tcPr>
            <w:tcW w:w="1151" w:type="dxa"/>
            <w:vAlign w:val="center"/>
          </w:tcPr>
          <w:p w:rsidR="00644456" w:rsidRDefault="008031C4">
            <w:pPr>
              <w:snapToGrid w:val="0"/>
              <w:jc w:val="center"/>
              <w:rPr>
                <w:kern w:val="0"/>
              </w:rPr>
            </w:pPr>
            <w:r>
              <w:rPr>
                <w:rFonts w:hint="eastAsia"/>
                <w:kern w:val="0"/>
              </w:rPr>
              <w:t>0.0004</w:t>
            </w:r>
          </w:p>
        </w:tc>
        <w:tc>
          <w:tcPr>
            <w:tcW w:w="1173" w:type="dxa"/>
            <w:vAlign w:val="center"/>
          </w:tcPr>
          <w:p w:rsidR="00644456" w:rsidRDefault="008031C4">
            <w:pPr>
              <w:jc w:val="center"/>
              <w:rPr>
                <w:color w:val="000000" w:themeColor="text1"/>
                <w:szCs w:val="21"/>
              </w:rPr>
            </w:pPr>
            <w:r>
              <w:rPr>
                <w:rFonts w:cs="Times New Roman" w:hint="eastAsia"/>
                <w:bCs/>
                <w:szCs w:val="21"/>
              </w:rPr>
              <w:t>5</w:t>
            </w:r>
          </w:p>
        </w:tc>
      </w:tr>
      <w:tr w:rsidR="00644456">
        <w:tc>
          <w:tcPr>
            <w:tcW w:w="2205" w:type="dxa"/>
            <w:vAlign w:val="center"/>
          </w:tcPr>
          <w:p w:rsidR="00644456" w:rsidRDefault="008031C4">
            <w:pPr>
              <w:snapToGrid w:val="0"/>
              <w:jc w:val="center"/>
              <w:rPr>
                <w:color w:val="000000" w:themeColor="text1"/>
                <w:szCs w:val="21"/>
              </w:rPr>
            </w:pPr>
            <w:r>
              <w:rPr>
                <w:rFonts w:cs="Times New Roman"/>
                <w:color w:val="000000"/>
                <w:szCs w:val="21"/>
              </w:rPr>
              <w:t>甲苯</w:t>
            </w:r>
          </w:p>
        </w:tc>
        <w:tc>
          <w:tcPr>
            <w:tcW w:w="1015" w:type="dxa"/>
            <w:vAlign w:val="center"/>
          </w:tcPr>
          <w:p w:rsidR="00644456" w:rsidRDefault="008031C4">
            <w:pPr>
              <w:snapToGrid w:val="0"/>
              <w:jc w:val="center"/>
              <w:rPr>
                <w:color w:val="000000" w:themeColor="text1"/>
                <w:szCs w:val="21"/>
              </w:rPr>
            </w:pPr>
            <w:r>
              <w:rPr>
                <w:rFonts w:cs="Times New Roman"/>
                <w:color w:val="000000"/>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&lt;2.0</w:t>
            </w:r>
          </w:p>
        </w:tc>
        <w:tc>
          <w:tcPr>
            <w:tcW w:w="1151" w:type="dxa"/>
            <w:vAlign w:val="center"/>
          </w:tcPr>
          <w:p w:rsidR="00644456" w:rsidRDefault="008031C4">
            <w:pPr>
              <w:snapToGrid w:val="0"/>
              <w:jc w:val="center"/>
              <w:rPr>
                <w:kern w:val="0"/>
              </w:rPr>
            </w:pPr>
            <w:r>
              <w:rPr>
                <w:rFonts w:hint="eastAsia"/>
                <w:kern w:val="0"/>
              </w:rPr>
              <w:t>0.0000</w:t>
            </w:r>
          </w:p>
        </w:tc>
        <w:tc>
          <w:tcPr>
            <w:tcW w:w="1165" w:type="dxa"/>
            <w:vAlign w:val="center"/>
          </w:tcPr>
          <w:p w:rsidR="00644456" w:rsidRDefault="008031C4">
            <w:pPr>
              <w:snapToGrid w:val="0"/>
              <w:jc w:val="center"/>
              <w:rPr>
                <w:kern w:val="0"/>
              </w:rPr>
            </w:pPr>
            <w:r>
              <w:rPr>
                <w:rFonts w:hint="eastAsia"/>
                <w:kern w:val="0"/>
              </w:rPr>
              <w:t>&lt;2.0</w:t>
            </w:r>
          </w:p>
        </w:tc>
        <w:tc>
          <w:tcPr>
            <w:tcW w:w="1151" w:type="dxa"/>
            <w:vAlign w:val="center"/>
          </w:tcPr>
          <w:p w:rsidR="00644456" w:rsidRDefault="008031C4">
            <w:pPr>
              <w:snapToGrid w:val="0"/>
              <w:jc w:val="center"/>
              <w:rPr>
                <w:kern w:val="0"/>
              </w:rPr>
            </w:pPr>
            <w:r>
              <w:rPr>
                <w:rFonts w:hint="eastAsia"/>
                <w:kern w:val="0"/>
              </w:rPr>
              <w:t>0.0000</w:t>
            </w:r>
          </w:p>
        </w:tc>
        <w:tc>
          <w:tcPr>
            <w:tcW w:w="1173" w:type="dxa"/>
            <w:vAlign w:val="center"/>
          </w:tcPr>
          <w:p w:rsidR="00644456" w:rsidRDefault="008031C4">
            <w:pPr>
              <w:jc w:val="center"/>
              <w:rPr>
                <w:color w:val="000000" w:themeColor="text1"/>
                <w:szCs w:val="21"/>
              </w:rPr>
            </w:pPr>
            <w:r>
              <w:rPr>
                <w:rFonts w:cs="Times New Roman" w:hint="eastAsia"/>
                <w:bCs/>
                <w:szCs w:val="21"/>
              </w:rPr>
              <w:t>1200</w:t>
            </w:r>
          </w:p>
        </w:tc>
      </w:tr>
      <w:tr w:rsidR="00644456">
        <w:tc>
          <w:tcPr>
            <w:tcW w:w="2205" w:type="dxa"/>
            <w:vAlign w:val="center"/>
          </w:tcPr>
          <w:p w:rsidR="00644456" w:rsidRDefault="008031C4">
            <w:pPr>
              <w:snapToGrid w:val="0"/>
              <w:jc w:val="center"/>
              <w:rPr>
                <w:color w:val="000000" w:themeColor="text1"/>
                <w:szCs w:val="21"/>
              </w:rPr>
            </w:pPr>
            <w:r>
              <w:rPr>
                <w:rFonts w:cs="Times New Roman"/>
                <w:color w:val="000000"/>
                <w:szCs w:val="21"/>
              </w:rPr>
              <w:t>1,1,2-</w:t>
            </w:r>
            <w:r>
              <w:rPr>
                <w:rFonts w:cs="Times New Roman"/>
                <w:color w:val="000000"/>
                <w:szCs w:val="21"/>
              </w:rPr>
              <w:t>三氯乙烷</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1.4</w:t>
            </w:r>
          </w:p>
        </w:tc>
        <w:tc>
          <w:tcPr>
            <w:tcW w:w="1151" w:type="dxa"/>
            <w:vAlign w:val="center"/>
          </w:tcPr>
          <w:p w:rsidR="00644456" w:rsidRDefault="008031C4">
            <w:pPr>
              <w:snapToGrid w:val="0"/>
              <w:jc w:val="center"/>
              <w:rPr>
                <w:kern w:val="0"/>
              </w:rPr>
            </w:pPr>
            <w:r>
              <w:rPr>
                <w:rFonts w:hint="eastAsia"/>
                <w:kern w:val="0"/>
              </w:rPr>
              <w:t>0.0005</w:t>
            </w:r>
          </w:p>
        </w:tc>
        <w:tc>
          <w:tcPr>
            <w:tcW w:w="1165" w:type="dxa"/>
            <w:vAlign w:val="center"/>
          </w:tcPr>
          <w:p w:rsidR="00644456" w:rsidRDefault="008031C4">
            <w:pPr>
              <w:snapToGrid w:val="0"/>
              <w:jc w:val="center"/>
              <w:rPr>
                <w:kern w:val="0"/>
              </w:rPr>
            </w:pPr>
            <w:r>
              <w:rPr>
                <w:rFonts w:hint="eastAsia"/>
                <w:kern w:val="0"/>
              </w:rPr>
              <w:t>&lt;</w:t>
            </w:r>
            <w:r>
              <w:rPr>
                <w:kern w:val="0"/>
              </w:rPr>
              <w:t>1.4</w:t>
            </w:r>
          </w:p>
        </w:tc>
        <w:tc>
          <w:tcPr>
            <w:tcW w:w="1151" w:type="dxa"/>
            <w:vAlign w:val="center"/>
          </w:tcPr>
          <w:p w:rsidR="00644456" w:rsidRDefault="008031C4">
            <w:pPr>
              <w:snapToGrid w:val="0"/>
              <w:jc w:val="center"/>
              <w:rPr>
                <w:kern w:val="0"/>
              </w:rPr>
            </w:pPr>
            <w:r>
              <w:rPr>
                <w:rFonts w:hint="eastAsia"/>
                <w:kern w:val="0"/>
              </w:rPr>
              <w:t>0.0005</w:t>
            </w:r>
          </w:p>
        </w:tc>
        <w:tc>
          <w:tcPr>
            <w:tcW w:w="1173" w:type="dxa"/>
            <w:vAlign w:val="center"/>
          </w:tcPr>
          <w:p w:rsidR="00644456" w:rsidRDefault="008031C4">
            <w:pPr>
              <w:jc w:val="center"/>
              <w:rPr>
                <w:color w:val="000000" w:themeColor="text1"/>
                <w:szCs w:val="21"/>
              </w:rPr>
            </w:pPr>
            <w:r>
              <w:rPr>
                <w:rFonts w:cs="Times New Roman" w:hint="eastAsia"/>
                <w:bCs/>
                <w:szCs w:val="21"/>
              </w:rPr>
              <w:t>2.8</w:t>
            </w:r>
          </w:p>
        </w:tc>
      </w:tr>
      <w:tr w:rsidR="00644456">
        <w:tc>
          <w:tcPr>
            <w:tcW w:w="2205" w:type="dxa"/>
            <w:vAlign w:val="center"/>
          </w:tcPr>
          <w:p w:rsidR="00644456" w:rsidRDefault="008031C4">
            <w:pPr>
              <w:snapToGrid w:val="0"/>
              <w:jc w:val="center"/>
              <w:rPr>
                <w:color w:val="000000" w:themeColor="text1"/>
                <w:szCs w:val="21"/>
              </w:rPr>
            </w:pPr>
            <w:r>
              <w:rPr>
                <w:rFonts w:cs="Times New Roman"/>
                <w:color w:val="000000"/>
                <w:szCs w:val="21"/>
              </w:rPr>
              <w:t>四氯乙烯</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0.8</w:t>
            </w:r>
          </w:p>
        </w:tc>
        <w:tc>
          <w:tcPr>
            <w:tcW w:w="1151" w:type="dxa"/>
            <w:vAlign w:val="center"/>
          </w:tcPr>
          <w:p w:rsidR="00644456" w:rsidRDefault="008031C4">
            <w:pPr>
              <w:snapToGrid w:val="0"/>
              <w:jc w:val="center"/>
              <w:rPr>
                <w:kern w:val="0"/>
              </w:rPr>
            </w:pPr>
            <w:r>
              <w:rPr>
                <w:rFonts w:hint="eastAsia"/>
                <w:kern w:val="0"/>
              </w:rPr>
              <w:t>0.0000</w:t>
            </w:r>
          </w:p>
        </w:tc>
        <w:tc>
          <w:tcPr>
            <w:tcW w:w="1165" w:type="dxa"/>
            <w:vAlign w:val="center"/>
          </w:tcPr>
          <w:p w:rsidR="00644456" w:rsidRDefault="008031C4">
            <w:pPr>
              <w:snapToGrid w:val="0"/>
              <w:jc w:val="center"/>
              <w:rPr>
                <w:kern w:val="0"/>
              </w:rPr>
            </w:pPr>
            <w:r>
              <w:rPr>
                <w:rFonts w:hint="eastAsia"/>
                <w:kern w:val="0"/>
              </w:rPr>
              <w:t>&lt;</w:t>
            </w:r>
            <w:r>
              <w:rPr>
                <w:kern w:val="0"/>
              </w:rPr>
              <w:t>0.8</w:t>
            </w:r>
          </w:p>
        </w:tc>
        <w:tc>
          <w:tcPr>
            <w:tcW w:w="1151" w:type="dxa"/>
            <w:vAlign w:val="center"/>
          </w:tcPr>
          <w:p w:rsidR="00644456" w:rsidRDefault="008031C4">
            <w:pPr>
              <w:snapToGrid w:val="0"/>
              <w:jc w:val="center"/>
              <w:rPr>
                <w:kern w:val="0"/>
              </w:rPr>
            </w:pPr>
            <w:r>
              <w:rPr>
                <w:rFonts w:hint="eastAsia"/>
                <w:kern w:val="0"/>
              </w:rPr>
              <w:t>0.0000</w:t>
            </w:r>
          </w:p>
        </w:tc>
        <w:tc>
          <w:tcPr>
            <w:tcW w:w="1173" w:type="dxa"/>
            <w:vAlign w:val="center"/>
          </w:tcPr>
          <w:p w:rsidR="00644456" w:rsidRDefault="008031C4">
            <w:pPr>
              <w:jc w:val="center"/>
              <w:rPr>
                <w:color w:val="000000" w:themeColor="text1"/>
                <w:szCs w:val="21"/>
              </w:rPr>
            </w:pPr>
            <w:r>
              <w:rPr>
                <w:rFonts w:cs="Times New Roman" w:hint="eastAsia"/>
                <w:bCs/>
                <w:szCs w:val="21"/>
              </w:rPr>
              <w:t>53</w:t>
            </w:r>
          </w:p>
        </w:tc>
      </w:tr>
      <w:tr w:rsidR="00644456">
        <w:tc>
          <w:tcPr>
            <w:tcW w:w="2205" w:type="dxa"/>
            <w:vAlign w:val="center"/>
          </w:tcPr>
          <w:p w:rsidR="00644456" w:rsidRDefault="008031C4">
            <w:pPr>
              <w:snapToGrid w:val="0"/>
              <w:jc w:val="center"/>
              <w:rPr>
                <w:color w:val="000000" w:themeColor="text1"/>
                <w:szCs w:val="21"/>
              </w:rPr>
            </w:pPr>
            <w:r>
              <w:rPr>
                <w:rFonts w:cs="Times New Roman"/>
                <w:color w:val="000000"/>
                <w:szCs w:val="21"/>
              </w:rPr>
              <w:t>氯苯</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1.1</w:t>
            </w:r>
          </w:p>
        </w:tc>
        <w:tc>
          <w:tcPr>
            <w:tcW w:w="1151" w:type="dxa"/>
            <w:vAlign w:val="center"/>
          </w:tcPr>
          <w:p w:rsidR="00644456" w:rsidRDefault="008031C4">
            <w:pPr>
              <w:snapToGrid w:val="0"/>
              <w:jc w:val="center"/>
              <w:rPr>
                <w:kern w:val="0"/>
              </w:rPr>
            </w:pPr>
            <w:r>
              <w:rPr>
                <w:rFonts w:hint="eastAsia"/>
                <w:kern w:val="0"/>
              </w:rPr>
              <w:t>0.0000</w:t>
            </w:r>
          </w:p>
        </w:tc>
        <w:tc>
          <w:tcPr>
            <w:tcW w:w="1165" w:type="dxa"/>
            <w:vAlign w:val="center"/>
          </w:tcPr>
          <w:p w:rsidR="00644456" w:rsidRDefault="008031C4">
            <w:pPr>
              <w:snapToGrid w:val="0"/>
              <w:jc w:val="center"/>
              <w:rPr>
                <w:kern w:val="0"/>
              </w:rPr>
            </w:pPr>
            <w:r>
              <w:rPr>
                <w:rFonts w:hint="eastAsia"/>
                <w:kern w:val="0"/>
              </w:rPr>
              <w:t>&lt;</w:t>
            </w:r>
            <w:r>
              <w:rPr>
                <w:kern w:val="0"/>
              </w:rPr>
              <w:t>1.1</w:t>
            </w:r>
          </w:p>
        </w:tc>
        <w:tc>
          <w:tcPr>
            <w:tcW w:w="1151" w:type="dxa"/>
            <w:vAlign w:val="center"/>
          </w:tcPr>
          <w:p w:rsidR="00644456" w:rsidRDefault="008031C4">
            <w:pPr>
              <w:snapToGrid w:val="0"/>
              <w:jc w:val="center"/>
              <w:rPr>
                <w:kern w:val="0"/>
              </w:rPr>
            </w:pPr>
            <w:r>
              <w:rPr>
                <w:rFonts w:hint="eastAsia"/>
                <w:kern w:val="0"/>
              </w:rPr>
              <w:t>0.0000</w:t>
            </w:r>
          </w:p>
        </w:tc>
        <w:tc>
          <w:tcPr>
            <w:tcW w:w="1173" w:type="dxa"/>
            <w:vAlign w:val="center"/>
          </w:tcPr>
          <w:p w:rsidR="00644456" w:rsidRDefault="008031C4">
            <w:pPr>
              <w:jc w:val="center"/>
              <w:rPr>
                <w:color w:val="000000" w:themeColor="text1"/>
                <w:szCs w:val="21"/>
              </w:rPr>
            </w:pPr>
            <w:r>
              <w:rPr>
                <w:rFonts w:cs="Times New Roman" w:hint="eastAsia"/>
                <w:bCs/>
                <w:szCs w:val="21"/>
              </w:rPr>
              <w:t>270</w:t>
            </w:r>
          </w:p>
        </w:tc>
      </w:tr>
      <w:tr w:rsidR="00644456">
        <w:tc>
          <w:tcPr>
            <w:tcW w:w="2205" w:type="dxa"/>
            <w:vAlign w:val="center"/>
          </w:tcPr>
          <w:p w:rsidR="00644456" w:rsidRDefault="008031C4">
            <w:pPr>
              <w:snapToGrid w:val="0"/>
              <w:jc w:val="center"/>
              <w:rPr>
                <w:color w:val="000000" w:themeColor="text1"/>
                <w:szCs w:val="21"/>
              </w:rPr>
            </w:pPr>
            <w:r>
              <w:rPr>
                <w:rFonts w:cs="Times New Roman"/>
                <w:bCs/>
                <w:color w:val="000000"/>
                <w:szCs w:val="21"/>
              </w:rPr>
              <w:t>1,1,1,2-</w:t>
            </w:r>
            <w:r>
              <w:rPr>
                <w:rFonts w:cs="Times New Roman"/>
                <w:bCs/>
                <w:color w:val="000000"/>
                <w:szCs w:val="21"/>
              </w:rPr>
              <w:t>四氯乙烷</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1.0</w:t>
            </w:r>
          </w:p>
        </w:tc>
        <w:tc>
          <w:tcPr>
            <w:tcW w:w="1151" w:type="dxa"/>
            <w:vAlign w:val="center"/>
          </w:tcPr>
          <w:p w:rsidR="00644456" w:rsidRDefault="008031C4">
            <w:pPr>
              <w:snapToGrid w:val="0"/>
              <w:jc w:val="center"/>
              <w:rPr>
                <w:kern w:val="0"/>
              </w:rPr>
            </w:pPr>
            <w:r>
              <w:rPr>
                <w:rFonts w:hint="eastAsia"/>
                <w:kern w:val="0"/>
              </w:rPr>
              <w:t>0.0001</w:t>
            </w:r>
          </w:p>
        </w:tc>
        <w:tc>
          <w:tcPr>
            <w:tcW w:w="1165" w:type="dxa"/>
            <w:vAlign w:val="center"/>
          </w:tcPr>
          <w:p w:rsidR="00644456" w:rsidRDefault="008031C4">
            <w:pPr>
              <w:snapToGrid w:val="0"/>
              <w:jc w:val="center"/>
              <w:rPr>
                <w:kern w:val="0"/>
              </w:rPr>
            </w:pPr>
            <w:r>
              <w:rPr>
                <w:rFonts w:hint="eastAsia"/>
                <w:kern w:val="0"/>
              </w:rPr>
              <w:t>&lt;</w:t>
            </w:r>
            <w:r>
              <w:rPr>
                <w:kern w:val="0"/>
              </w:rPr>
              <w:t>1.0</w:t>
            </w:r>
          </w:p>
        </w:tc>
        <w:tc>
          <w:tcPr>
            <w:tcW w:w="1151" w:type="dxa"/>
            <w:vAlign w:val="center"/>
          </w:tcPr>
          <w:p w:rsidR="00644456" w:rsidRDefault="008031C4">
            <w:pPr>
              <w:snapToGrid w:val="0"/>
              <w:jc w:val="center"/>
              <w:rPr>
                <w:kern w:val="0"/>
              </w:rPr>
            </w:pPr>
            <w:r>
              <w:rPr>
                <w:rFonts w:hint="eastAsia"/>
                <w:kern w:val="0"/>
              </w:rPr>
              <w:t>0.0001</w:t>
            </w:r>
          </w:p>
        </w:tc>
        <w:tc>
          <w:tcPr>
            <w:tcW w:w="1173" w:type="dxa"/>
            <w:vAlign w:val="center"/>
          </w:tcPr>
          <w:p w:rsidR="00644456" w:rsidRDefault="008031C4">
            <w:pPr>
              <w:jc w:val="center"/>
              <w:rPr>
                <w:color w:val="000000" w:themeColor="text1"/>
                <w:szCs w:val="21"/>
              </w:rPr>
            </w:pPr>
            <w:r>
              <w:rPr>
                <w:rFonts w:cs="Times New Roman" w:hint="eastAsia"/>
                <w:bCs/>
                <w:szCs w:val="21"/>
              </w:rPr>
              <w:t>10</w:t>
            </w:r>
          </w:p>
        </w:tc>
      </w:tr>
      <w:tr w:rsidR="00644456">
        <w:tc>
          <w:tcPr>
            <w:tcW w:w="2205" w:type="dxa"/>
            <w:vAlign w:val="center"/>
          </w:tcPr>
          <w:p w:rsidR="00644456" w:rsidRDefault="008031C4">
            <w:pPr>
              <w:snapToGrid w:val="0"/>
              <w:jc w:val="center"/>
              <w:rPr>
                <w:color w:val="000000" w:themeColor="text1"/>
                <w:szCs w:val="21"/>
              </w:rPr>
            </w:pPr>
            <w:r>
              <w:rPr>
                <w:rFonts w:cs="Times New Roman"/>
                <w:color w:val="000000"/>
                <w:szCs w:val="21"/>
              </w:rPr>
              <w:t>乙苯</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1.2</w:t>
            </w:r>
          </w:p>
        </w:tc>
        <w:tc>
          <w:tcPr>
            <w:tcW w:w="1151" w:type="dxa"/>
            <w:vAlign w:val="center"/>
          </w:tcPr>
          <w:p w:rsidR="00644456" w:rsidRDefault="008031C4">
            <w:pPr>
              <w:snapToGrid w:val="0"/>
              <w:jc w:val="center"/>
              <w:rPr>
                <w:kern w:val="0"/>
              </w:rPr>
            </w:pPr>
            <w:r>
              <w:rPr>
                <w:rFonts w:hint="eastAsia"/>
                <w:kern w:val="0"/>
              </w:rPr>
              <w:t>0.0000</w:t>
            </w:r>
          </w:p>
        </w:tc>
        <w:tc>
          <w:tcPr>
            <w:tcW w:w="1165" w:type="dxa"/>
            <w:vAlign w:val="center"/>
          </w:tcPr>
          <w:p w:rsidR="00644456" w:rsidRDefault="008031C4">
            <w:pPr>
              <w:snapToGrid w:val="0"/>
              <w:jc w:val="center"/>
              <w:rPr>
                <w:kern w:val="0"/>
              </w:rPr>
            </w:pPr>
            <w:r>
              <w:rPr>
                <w:rFonts w:hint="eastAsia"/>
                <w:kern w:val="0"/>
              </w:rPr>
              <w:t>&lt;</w:t>
            </w:r>
            <w:r>
              <w:rPr>
                <w:kern w:val="0"/>
              </w:rPr>
              <w:t>1.2</w:t>
            </w:r>
          </w:p>
        </w:tc>
        <w:tc>
          <w:tcPr>
            <w:tcW w:w="1151" w:type="dxa"/>
            <w:vAlign w:val="center"/>
          </w:tcPr>
          <w:p w:rsidR="00644456" w:rsidRDefault="008031C4">
            <w:pPr>
              <w:snapToGrid w:val="0"/>
              <w:jc w:val="center"/>
              <w:rPr>
                <w:kern w:val="0"/>
              </w:rPr>
            </w:pPr>
            <w:r>
              <w:rPr>
                <w:rFonts w:hint="eastAsia"/>
                <w:kern w:val="0"/>
              </w:rPr>
              <w:t>0.0000</w:t>
            </w:r>
          </w:p>
        </w:tc>
        <w:tc>
          <w:tcPr>
            <w:tcW w:w="1173" w:type="dxa"/>
            <w:vAlign w:val="center"/>
          </w:tcPr>
          <w:p w:rsidR="00644456" w:rsidRDefault="008031C4">
            <w:pPr>
              <w:jc w:val="center"/>
              <w:rPr>
                <w:color w:val="000000" w:themeColor="text1"/>
                <w:szCs w:val="21"/>
              </w:rPr>
            </w:pPr>
            <w:r>
              <w:rPr>
                <w:rFonts w:cs="Times New Roman" w:hint="eastAsia"/>
                <w:bCs/>
                <w:szCs w:val="21"/>
              </w:rPr>
              <w:t>28</w:t>
            </w:r>
          </w:p>
        </w:tc>
      </w:tr>
      <w:tr w:rsidR="00644456">
        <w:tc>
          <w:tcPr>
            <w:tcW w:w="2205" w:type="dxa"/>
            <w:vAlign w:val="center"/>
          </w:tcPr>
          <w:p w:rsidR="00644456" w:rsidRDefault="008031C4">
            <w:pPr>
              <w:snapToGrid w:val="0"/>
              <w:jc w:val="center"/>
              <w:rPr>
                <w:color w:val="000000" w:themeColor="text1"/>
                <w:szCs w:val="21"/>
              </w:rPr>
            </w:pPr>
            <w:r>
              <w:rPr>
                <w:rFonts w:cs="Times New Roman"/>
                <w:color w:val="000000"/>
                <w:szCs w:val="21"/>
              </w:rPr>
              <w:t>间</w:t>
            </w:r>
            <w:r>
              <w:rPr>
                <w:rFonts w:cs="Times New Roman" w:hint="eastAsia"/>
                <w:color w:val="000000"/>
                <w:szCs w:val="21"/>
              </w:rPr>
              <w:t>，</w:t>
            </w:r>
            <w:r>
              <w:rPr>
                <w:rFonts w:cs="Times New Roman"/>
                <w:color w:val="000000"/>
                <w:szCs w:val="21"/>
              </w:rPr>
              <w:t>对</w:t>
            </w:r>
            <w:r>
              <w:rPr>
                <w:rFonts w:cs="Times New Roman"/>
                <w:color w:val="000000"/>
                <w:szCs w:val="21"/>
              </w:rPr>
              <w:t>-</w:t>
            </w:r>
            <w:r>
              <w:rPr>
                <w:rFonts w:cs="Times New Roman"/>
                <w:color w:val="000000"/>
                <w:szCs w:val="21"/>
              </w:rPr>
              <w:t>二甲苯</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3.6</w:t>
            </w:r>
          </w:p>
        </w:tc>
        <w:tc>
          <w:tcPr>
            <w:tcW w:w="1151" w:type="dxa"/>
            <w:vAlign w:val="center"/>
          </w:tcPr>
          <w:p w:rsidR="00644456" w:rsidRDefault="008031C4">
            <w:pPr>
              <w:snapToGrid w:val="0"/>
              <w:jc w:val="center"/>
              <w:rPr>
                <w:kern w:val="0"/>
              </w:rPr>
            </w:pPr>
            <w:r>
              <w:rPr>
                <w:rFonts w:hint="eastAsia"/>
                <w:kern w:val="0"/>
              </w:rPr>
              <w:t>0.0000</w:t>
            </w:r>
          </w:p>
        </w:tc>
        <w:tc>
          <w:tcPr>
            <w:tcW w:w="1165" w:type="dxa"/>
            <w:vAlign w:val="center"/>
          </w:tcPr>
          <w:p w:rsidR="00644456" w:rsidRDefault="008031C4">
            <w:pPr>
              <w:snapToGrid w:val="0"/>
              <w:jc w:val="center"/>
              <w:rPr>
                <w:kern w:val="0"/>
              </w:rPr>
            </w:pPr>
            <w:r>
              <w:rPr>
                <w:rFonts w:hint="eastAsia"/>
                <w:kern w:val="0"/>
              </w:rPr>
              <w:t>&lt;</w:t>
            </w:r>
            <w:r>
              <w:rPr>
                <w:kern w:val="0"/>
              </w:rPr>
              <w:t>3.6</w:t>
            </w:r>
          </w:p>
        </w:tc>
        <w:tc>
          <w:tcPr>
            <w:tcW w:w="1151" w:type="dxa"/>
            <w:vAlign w:val="center"/>
          </w:tcPr>
          <w:p w:rsidR="00644456" w:rsidRDefault="008031C4">
            <w:pPr>
              <w:snapToGrid w:val="0"/>
              <w:jc w:val="center"/>
              <w:rPr>
                <w:kern w:val="0"/>
              </w:rPr>
            </w:pPr>
            <w:r>
              <w:rPr>
                <w:rFonts w:hint="eastAsia"/>
                <w:kern w:val="0"/>
              </w:rPr>
              <w:t>0.0000</w:t>
            </w:r>
          </w:p>
        </w:tc>
        <w:tc>
          <w:tcPr>
            <w:tcW w:w="1173" w:type="dxa"/>
            <w:vAlign w:val="center"/>
          </w:tcPr>
          <w:p w:rsidR="00644456" w:rsidRDefault="008031C4">
            <w:pPr>
              <w:jc w:val="center"/>
              <w:rPr>
                <w:color w:val="000000" w:themeColor="text1"/>
                <w:szCs w:val="21"/>
              </w:rPr>
            </w:pPr>
            <w:r>
              <w:rPr>
                <w:rFonts w:cs="Times New Roman" w:hint="eastAsia"/>
                <w:bCs/>
                <w:szCs w:val="21"/>
              </w:rPr>
              <w:t>570</w:t>
            </w:r>
          </w:p>
        </w:tc>
      </w:tr>
      <w:tr w:rsidR="00644456">
        <w:tc>
          <w:tcPr>
            <w:tcW w:w="2205" w:type="dxa"/>
            <w:vAlign w:val="center"/>
          </w:tcPr>
          <w:p w:rsidR="00644456" w:rsidRDefault="008031C4">
            <w:pPr>
              <w:snapToGrid w:val="0"/>
              <w:jc w:val="center"/>
              <w:rPr>
                <w:color w:val="000000" w:themeColor="text1"/>
                <w:szCs w:val="21"/>
              </w:rPr>
            </w:pPr>
            <w:r>
              <w:rPr>
                <w:rFonts w:cs="Times New Roman"/>
                <w:color w:val="000000"/>
                <w:szCs w:val="21"/>
              </w:rPr>
              <w:t>邻</w:t>
            </w:r>
            <w:r>
              <w:rPr>
                <w:rFonts w:cs="Times New Roman"/>
                <w:color w:val="000000"/>
                <w:szCs w:val="21"/>
              </w:rPr>
              <w:t>-</w:t>
            </w:r>
            <w:r>
              <w:rPr>
                <w:rFonts w:cs="Times New Roman"/>
                <w:color w:val="000000"/>
                <w:szCs w:val="21"/>
              </w:rPr>
              <w:t>二甲苯</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1.3</w:t>
            </w:r>
          </w:p>
        </w:tc>
        <w:tc>
          <w:tcPr>
            <w:tcW w:w="1151" w:type="dxa"/>
            <w:vAlign w:val="center"/>
          </w:tcPr>
          <w:p w:rsidR="00644456" w:rsidRDefault="008031C4">
            <w:pPr>
              <w:snapToGrid w:val="0"/>
              <w:jc w:val="center"/>
              <w:rPr>
                <w:kern w:val="0"/>
              </w:rPr>
            </w:pPr>
            <w:r>
              <w:rPr>
                <w:rFonts w:hint="eastAsia"/>
                <w:kern w:val="0"/>
              </w:rPr>
              <w:t>0.0000</w:t>
            </w:r>
          </w:p>
        </w:tc>
        <w:tc>
          <w:tcPr>
            <w:tcW w:w="1165" w:type="dxa"/>
            <w:vAlign w:val="center"/>
          </w:tcPr>
          <w:p w:rsidR="00644456" w:rsidRDefault="008031C4">
            <w:pPr>
              <w:snapToGrid w:val="0"/>
              <w:jc w:val="center"/>
              <w:rPr>
                <w:kern w:val="0"/>
              </w:rPr>
            </w:pPr>
            <w:r>
              <w:rPr>
                <w:rFonts w:hint="eastAsia"/>
                <w:kern w:val="0"/>
              </w:rPr>
              <w:t>&lt;</w:t>
            </w:r>
            <w:r>
              <w:rPr>
                <w:kern w:val="0"/>
              </w:rPr>
              <w:t>1.3</w:t>
            </w:r>
          </w:p>
        </w:tc>
        <w:tc>
          <w:tcPr>
            <w:tcW w:w="1151" w:type="dxa"/>
            <w:vAlign w:val="center"/>
          </w:tcPr>
          <w:p w:rsidR="00644456" w:rsidRDefault="008031C4">
            <w:pPr>
              <w:snapToGrid w:val="0"/>
              <w:jc w:val="center"/>
              <w:rPr>
                <w:kern w:val="0"/>
              </w:rPr>
            </w:pPr>
            <w:r>
              <w:rPr>
                <w:rFonts w:hint="eastAsia"/>
                <w:kern w:val="0"/>
              </w:rPr>
              <w:t>0.0000</w:t>
            </w:r>
          </w:p>
        </w:tc>
        <w:tc>
          <w:tcPr>
            <w:tcW w:w="1173" w:type="dxa"/>
            <w:vAlign w:val="center"/>
          </w:tcPr>
          <w:p w:rsidR="00644456" w:rsidRDefault="008031C4">
            <w:pPr>
              <w:jc w:val="center"/>
              <w:rPr>
                <w:color w:val="000000" w:themeColor="text1"/>
                <w:szCs w:val="21"/>
              </w:rPr>
            </w:pPr>
            <w:r>
              <w:rPr>
                <w:rFonts w:cs="Times New Roman" w:hint="eastAsia"/>
                <w:bCs/>
                <w:szCs w:val="21"/>
              </w:rPr>
              <w:t>640</w:t>
            </w:r>
          </w:p>
        </w:tc>
      </w:tr>
      <w:tr w:rsidR="00644456">
        <w:tc>
          <w:tcPr>
            <w:tcW w:w="2205" w:type="dxa"/>
            <w:vAlign w:val="center"/>
          </w:tcPr>
          <w:p w:rsidR="00644456" w:rsidRDefault="008031C4">
            <w:pPr>
              <w:snapToGrid w:val="0"/>
              <w:jc w:val="center"/>
              <w:rPr>
                <w:color w:val="000000" w:themeColor="text1"/>
                <w:szCs w:val="21"/>
              </w:rPr>
            </w:pPr>
            <w:r>
              <w:rPr>
                <w:rFonts w:cs="Times New Roman"/>
                <w:color w:val="000000"/>
                <w:szCs w:val="21"/>
              </w:rPr>
              <w:t>苯乙烯</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1.6</w:t>
            </w:r>
          </w:p>
        </w:tc>
        <w:tc>
          <w:tcPr>
            <w:tcW w:w="1151" w:type="dxa"/>
            <w:vAlign w:val="center"/>
          </w:tcPr>
          <w:p w:rsidR="00644456" w:rsidRDefault="008031C4">
            <w:pPr>
              <w:snapToGrid w:val="0"/>
              <w:jc w:val="center"/>
              <w:rPr>
                <w:kern w:val="0"/>
              </w:rPr>
            </w:pPr>
            <w:r>
              <w:rPr>
                <w:rFonts w:hint="eastAsia"/>
                <w:kern w:val="0"/>
              </w:rPr>
              <w:t>0.0000</w:t>
            </w:r>
          </w:p>
        </w:tc>
        <w:tc>
          <w:tcPr>
            <w:tcW w:w="1165" w:type="dxa"/>
            <w:vAlign w:val="center"/>
          </w:tcPr>
          <w:p w:rsidR="00644456" w:rsidRDefault="008031C4">
            <w:pPr>
              <w:snapToGrid w:val="0"/>
              <w:jc w:val="center"/>
              <w:rPr>
                <w:kern w:val="0"/>
              </w:rPr>
            </w:pPr>
            <w:r>
              <w:rPr>
                <w:rFonts w:hint="eastAsia"/>
                <w:kern w:val="0"/>
              </w:rPr>
              <w:t>&lt;</w:t>
            </w:r>
            <w:r>
              <w:rPr>
                <w:kern w:val="0"/>
              </w:rPr>
              <w:t>1.6</w:t>
            </w:r>
          </w:p>
        </w:tc>
        <w:tc>
          <w:tcPr>
            <w:tcW w:w="1151" w:type="dxa"/>
            <w:vAlign w:val="center"/>
          </w:tcPr>
          <w:p w:rsidR="00644456" w:rsidRDefault="008031C4">
            <w:pPr>
              <w:snapToGrid w:val="0"/>
              <w:jc w:val="center"/>
              <w:rPr>
                <w:kern w:val="0"/>
              </w:rPr>
            </w:pPr>
            <w:r>
              <w:rPr>
                <w:rFonts w:hint="eastAsia"/>
                <w:kern w:val="0"/>
              </w:rPr>
              <w:t>0.0000</w:t>
            </w:r>
          </w:p>
        </w:tc>
        <w:tc>
          <w:tcPr>
            <w:tcW w:w="1173" w:type="dxa"/>
            <w:vAlign w:val="center"/>
          </w:tcPr>
          <w:p w:rsidR="00644456" w:rsidRDefault="008031C4">
            <w:pPr>
              <w:jc w:val="center"/>
              <w:rPr>
                <w:color w:val="000000" w:themeColor="text1"/>
                <w:szCs w:val="21"/>
              </w:rPr>
            </w:pPr>
            <w:r>
              <w:rPr>
                <w:rFonts w:cs="Times New Roman" w:hint="eastAsia"/>
                <w:bCs/>
                <w:szCs w:val="21"/>
              </w:rPr>
              <w:t>1290</w:t>
            </w:r>
          </w:p>
        </w:tc>
      </w:tr>
      <w:tr w:rsidR="00644456">
        <w:tc>
          <w:tcPr>
            <w:tcW w:w="2205" w:type="dxa"/>
            <w:vAlign w:val="center"/>
          </w:tcPr>
          <w:p w:rsidR="00644456" w:rsidRDefault="008031C4">
            <w:pPr>
              <w:snapToGrid w:val="0"/>
              <w:jc w:val="center"/>
              <w:rPr>
                <w:color w:val="000000" w:themeColor="text1"/>
                <w:szCs w:val="21"/>
              </w:rPr>
            </w:pPr>
            <w:r>
              <w:rPr>
                <w:rFonts w:cs="Times New Roman"/>
                <w:bCs/>
                <w:color w:val="000000"/>
                <w:szCs w:val="21"/>
              </w:rPr>
              <w:t>1,1,2,2-</w:t>
            </w:r>
            <w:r>
              <w:rPr>
                <w:rFonts w:cs="Times New Roman"/>
                <w:bCs/>
                <w:color w:val="000000"/>
                <w:szCs w:val="21"/>
              </w:rPr>
              <w:t>四氯乙烷</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1.0</w:t>
            </w:r>
          </w:p>
        </w:tc>
        <w:tc>
          <w:tcPr>
            <w:tcW w:w="1151" w:type="dxa"/>
            <w:vAlign w:val="center"/>
          </w:tcPr>
          <w:p w:rsidR="00644456" w:rsidRDefault="008031C4">
            <w:pPr>
              <w:snapToGrid w:val="0"/>
              <w:jc w:val="center"/>
              <w:rPr>
                <w:kern w:val="0"/>
              </w:rPr>
            </w:pPr>
            <w:r>
              <w:rPr>
                <w:rFonts w:hint="eastAsia"/>
                <w:kern w:val="0"/>
              </w:rPr>
              <w:t>0.0001</w:t>
            </w:r>
          </w:p>
        </w:tc>
        <w:tc>
          <w:tcPr>
            <w:tcW w:w="1165" w:type="dxa"/>
            <w:vAlign w:val="center"/>
          </w:tcPr>
          <w:p w:rsidR="00644456" w:rsidRDefault="008031C4">
            <w:pPr>
              <w:snapToGrid w:val="0"/>
              <w:jc w:val="center"/>
              <w:rPr>
                <w:kern w:val="0"/>
              </w:rPr>
            </w:pPr>
            <w:r>
              <w:rPr>
                <w:rFonts w:hint="eastAsia"/>
                <w:kern w:val="0"/>
              </w:rPr>
              <w:t>&lt;</w:t>
            </w:r>
            <w:r>
              <w:rPr>
                <w:kern w:val="0"/>
              </w:rPr>
              <w:t>1.0</w:t>
            </w:r>
          </w:p>
        </w:tc>
        <w:tc>
          <w:tcPr>
            <w:tcW w:w="1151" w:type="dxa"/>
            <w:vAlign w:val="center"/>
          </w:tcPr>
          <w:p w:rsidR="00644456" w:rsidRDefault="008031C4">
            <w:pPr>
              <w:snapToGrid w:val="0"/>
              <w:jc w:val="center"/>
              <w:rPr>
                <w:kern w:val="0"/>
              </w:rPr>
            </w:pPr>
            <w:r>
              <w:rPr>
                <w:rFonts w:hint="eastAsia"/>
                <w:kern w:val="0"/>
              </w:rPr>
              <w:t>0.0001</w:t>
            </w:r>
          </w:p>
        </w:tc>
        <w:tc>
          <w:tcPr>
            <w:tcW w:w="1173" w:type="dxa"/>
            <w:vAlign w:val="center"/>
          </w:tcPr>
          <w:p w:rsidR="00644456" w:rsidRDefault="008031C4">
            <w:pPr>
              <w:jc w:val="center"/>
              <w:rPr>
                <w:color w:val="000000" w:themeColor="text1"/>
                <w:szCs w:val="21"/>
              </w:rPr>
            </w:pPr>
            <w:r>
              <w:rPr>
                <w:rFonts w:cs="Times New Roman" w:hint="eastAsia"/>
                <w:bCs/>
                <w:szCs w:val="21"/>
              </w:rPr>
              <w:t>6.8</w:t>
            </w:r>
          </w:p>
        </w:tc>
      </w:tr>
      <w:tr w:rsidR="00644456">
        <w:tc>
          <w:tcPr>
            <w:tcW w:w="2205" w:type="dxa"/>
            <w:vAlign w:val="center"/>
          </w:tcPr>
          <w:p w:rsidR="00644456" w:rsidRDefault="008031C4">
            <w:pPr>
              <w:snapToGrid w:val="0"/>
              <w:jc w:val="center"/>
              <w:rPr>
                <w:color w:val="000000" w:themeColor="text1"/>
                <w:szCs w:val="21"/>
              </w:rPr>
            </w:pPr>
            <w:r>
              <w:rPr>
                <w:rFonts w:cs="Times New Roman"/>
                <w:color w:val="000000"/>
                <w:szCs w:val="21"/>
              </w:rPr>
              <w:t>1,2,3-</w:t>
            </w:r>
            <w:r>
              <w:rPr>
                <w:rFonts w:cs="Times New Roman"/>
                <w:color w:val="000000"/>
                <w:szCs w:val="21"/>
              </w:rPr>
              <w:t>三氯丙烷</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1.0</w:t>
            </w:r>
          </w:p>
        </w:tc>
        <w:tc>
          <w:tcPr>
            <w:tcW w:w="1151" w:type="dxa"/>
            <w:vAlign w:val="center"/>
          </w:tcPr>
          <w:p w:rsidR="00644456" w:rsidRDefault="008031C4">
            <w:pPr>
              <w:snapToGrid w:val="0"/>
              <w:jc w:val="center"/>
              <w:rPr>
                <w:kern w:val="0"/>
              </w:rPr>
            </w:pPr>
            <w:r>
              <w:rPr>
                <w:rFonts w:hint="eastAsia"/>
                <w:kern w:val="0"/>
              </w:rPr>
              <w:t>0.0020</w:t>
            </w:r>
          </w:p>
        </w:tc>
        <w:tc>
          <w:tcPr>
            <w:tcW w:w="1165" w:type="dxa"/>
            <w:vAlign w:val="center"/>
          </w:tcPr>
          <w:p w:rsidR="00644456" w:rsidRDefault="008031C4">
            <w:pPr>
              <w:snapToGrid w:val="0"/>
              <w:jc w:val="center"/>
              <w:rPr>
                <w:kern w:val="0"/>
              </w:rPr>
            </w:pPr>
            <w:r>
              <w:rPr>
                <w:rFonts w:hint="eastAsia"/>
                <w:kern w:val="0"/>
              </w:rPr>
              <w:t>&lt;</w:t>
            </w:r>
            <w:r>
              <w:rPr>
                <w:kern w:val="0"/>
              </w:rPr>
              <w:t>1.0</w:t>
            </w:r>
          </w:p>
        </w:tc>
        <w:tc>
          <w:tcPr>
            <w:tcW w:w="1151" w:type="dxa"/>
            <w:vAlign w:val="center"/>
          </w:tcPr>
          <w:p w:rsidR="00644456" w:rsidRDefault="008031C4">
            <w:pPr>
              <w:snapToGrid w:val="0"/>
              <w:jc w:val="center"/>
              <w:rPr>
                <w:kern w:val="0"/>
              </w:rPr>
            </w:pPr>
            <w:r>
              <w:rPr>
                <w:rFonts w:hint="eastAsia"/>
                <w:kern w:val="0"/>
              </w:rPr>
              <w:t>0.0020</w:t>
            </w:r>
          </w:p>
        </w:tc>
        <w:tc>
          <w:tcPr>
            <w:tcW w:w="1173" w:type="dxa"/>
            <w:vAlign w:val="center"/>
          </w:tcPr>
          <w:p w:rsidR="00644456" w:rsidRDefault="008031C4">
            <w:pPr>
              <w:jc w:val="center"/>
              <w:rPr>
                <w:color w:val="000000" w:themeColor="text1"/>
                <w:szCs w:val="21"/>
              </w:rPr>
            </w:pPr>
            <w:r>
              <w:rPr>
                <w:rFonts w:cs="Times New Roman" w:hint="eastAsia"/>
                <w:bCs/>
                <w:szCs w:val="21"/>
              </w:rPr>
              <w:t>0.5</w:t>
            </w:r>
          </w:p>
        </w:tc>
      </w:tr>
      <w:tr w:rsidR="00644456">
        <w:tc>
          <w:tcPr>
            <w:tcW w:w="2205" w:type="dxa"/>
            <w:vAlign w:val="center"/>
          </w:tcPr>
          <w:p w:rsidR="00644456" w:rsidRDefault="008031C4">
            <w:pPr>
              <w:snapToGrid w:val="0"/>
              <w:jc w:val="center"/>
              <w:rPr>
                <w:color w:val="000000" w:themeColor="text1"/>
                <w:szCs w:val="21"/>
              </w:rPr>
            </w:pPr>
            <w:r>
              <w:rPr>
                <w:rFonts w:cs="Times New Roman"/>
                <w:bCs/>
                <w:color w:val="000000"/>
                <w:szCs w:val="21"/>
              </w:rPr>
              <w:t>1,4-</w:t>
            </w:r>
            <w:r>
              <w:rPr>
                <w:rFonts w:cs="Times New Roman"/>
                <w:bCs/>
                <w:color w:val="000000"/>
                <w:szCs w:val="21"/>
              </w:rPr>
              <w:t>二氯苯</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1.2</w:t>
            </w:r>
          </w:p>
        </w:tc>
        <w:tc>
          <w:tcPr>
            <w:tcW w:w="1151" w:type="dxa"/>
            <w:vAlign w:val="center"/>
          </w:tcPr>
          <w:p w:rsidR="00644456" w:rsidRDefault="008031C4">
            <w:pPr>
              <w:snapToGrid w:val="0"/>
              <w:jc w:val="center"/>
              <w:rPr>
                <w:kern w:val="0"/>
              </w:rPr>
            </w:pPr>
            <w:r>
              <w:rPr>
                <w:rFonts w:hint="eastAsia"/>
                <w:kern w:val="0"/>
              </w:rPr>
              <w:t>0.0001</w:t>
            </w:r>
          </w:p>
        </w:tc>
        <w:tc>
          <w:tcPr>
            <w:tcW w:w="1165" w:type="dxa"/>
            <w:vAlign w:val="center"/>
          </w:tcPr>
          <w:p w:rsidR="00644456" w:rsidRDefault="008031C4">
            <w:pPr>
              <w:snapToGrid w:val="0"/>
              <w:jc w:val="center"/>
              <w:rPr>
                <w:kern w:val="0"/>
              </w:rPr>
            </w:pPr>
            <w:r>
              <w:rPr>
                <w:rFonts w:hint="eastAsia"/>
                <w:kern w:val="0"/>
              </w:rPr>
              <w:t>&lt;</w:t>
            </w:r>
            <w:r>
              <w:rPr>
                <w:kern w:val="0"/>
              </w:rPr>
              <w:t>1.2</w:t>
            </w:r>
          </w:p>
        </w:tc>
        <w:tc>
          <w:tcPr>
            <w:tcW w:w="1151" w:type="dxa"/>
            <w:vAlign w:val="center"/>
          </w:tcPr>
          <w:p w:rsidR="00644456" w:rsidRDefault="008031C4">
            <w:pPr>
              <w:snapToGrid w:val="0"/>
              <w:jc w:val="center"/>
              <w:rPr>
                <w:kern w:val="0"/>
              </w:rPr>
            </w:pPr>
            <w:r>
              <w:rPr>
                <w:rFonts w:hint="eastAsia"/>
                <w:kern w:val="0"/>
              </w:rPr>
              <w:t>0.0001</w:t>
            </w:r>
          </w:p>
        </w:tc>
        <w:tc>
          <w:tcPr>
            <w:tcW w:w="1173" w:type="dxa"/>
            <w:vAlign w:val="center"/>
          </w:tcPr>
          <w:p w:rsidR="00644456" w:rsidRDefault="008031C4">
            <w:pPr>
              <w:jc w:val="center"/>
              <w:rPr>
                <w:color w:val="000000" w:themeColor="text1"/>
                <w:szCs w:val="21"/>
              </w:rPr>
            </w:pPr>
            <w:r>
              <w:rPr>
                <w:rFonts w:cs="Times New Roman" w:hint="eastAsia"/>
                <w:bCs/>
                <w:szCs w:val="21"/>
              </w:rPr>
              <w:t>20</w:t>
            </w:r>
          </w:p>
        </w:tc>
      </w:tr>
      <w:tr w:rsidR="00644456">
        <w:tc>
          <w:tcPr>
            <w:tcW w:w="2205" w:type="dxa"/>
            <w:vAlign w:val="center"/>
          </w:tcPr>
          <w:p w:rsidR="00644456" w:rsidRDefault="008031C4">
            <w:pPr>
              <w:snapToGrid w:val="0"/>
              <w:jc w:val="center"/>
              <w:rPr>
                <w:color w:val="000000" w:themeColor="text1"/>
                <w:szCs w:val="21"/>
              </w:rPr>
            </w:pPr>
            <w:r>
              <w:rPr>
                <w:rFonts w:cs="Times New Roman"/>
                <w:bCs/>
                <w:color w:val="000000"/>
                <w:szCs w:val="21"/>
              </w:rPr>
              <w:t>1,2-</w:t>
            </w:r>
            <w:r>
              <w:rPr>
                <w:rFonts w:cs="Times New Roman"/>
                <w:bCs/>
                <w:color w:val="000000"/>
                <w:szCs w:val="21"/>
              </w:rPr>
              <w:t>二氯苯</w:t>
            </w:r>
          </w:p>
        </w:tc>
        <w:tc>
          <w:tcPr>
            <w:tcW w:w="1015" w:type="dxa"/>
            <w:vAlign w:val="center"/>
          </w:tcPr>
          <w:p w:rsidR="00644456" w:rsidRDefault="008031C4">
            <w:pPr>
              <w:snapToGrid w:val="0"/>
              <w:jc w:val="center"/>
              <w:rPr>
                <w:color w:val="000000" w:themeColor="text1"/>
                <w:szCs w:val="21"/>
              </w:rPr>
            </w:pPr>
            <w:r>
              <w:rPr>
                <w:rFonts w:cs="Times New Roman"/>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1.0</w:t>
            </w:r>
          </w:p>
        </w:tc>
        <w:tc>
          <w:tcPr>
            <w:tcW w:w="1151" w:type="dxa"/>
            <w:vAlign w:val="center"/>
          </w:tcPr>
          <w:p w:rsidR="00644456" w:rsidRDefault="008031C4">
            <w:pPr>
              <w:snapToGrid w:val="0"/>
              <w:jc w:val="center"/>
              <w:rPr>
                <w:kern w:val="0"/>
              </w:rPr>
            </w:pPr>
            <w:r>
              <w:rPr>
                <w:rFonts w:hint="eastAsia"/>
                <w:kern w:val="0"/>
              </w:rPr>
              <w:t>0.0000</w:t>
            </w:r>
          </w:p>
        </w:tc>
        <w:tc>
          <w:tcPr>
            <w:tcW w:w="1165" w:type="dxa"/>
            <w:vAlign w:val="center"/>
          </w:tcPr>
          <w:p w:rsidR="00644456" w:rsidRDefault="008031C4">
            <w:pPr>
              <w:snapToGrid w:val="0"/>
              <w:jc w:val="center"/>
              <w:rPr>
                <w:kern w:val="0"/>
              </w:rPr>
            </w:pPr>
            <w:r>
              <w:rPr>
                <w:rFonts w:hint="eastAsia"/>
                <w:kern w:val="0"/>
              </w:rPr>
              <w:t>&lt;</w:t>
            </w:r>
            <w:r>
              <w:rPr>
                <w:kern w:val="0"/>
              </w:rPr>
              <w:t>1.0</w:t>
            </w:r>
          </w:p>
        </w:tc>
        <w:tc>
          <w:tcPr>
            <w:tcW w:w="1151" w:type="dxa"/>
            <w:vAlign w:val="center"/>
          </w:tcPr>
          <w:p w:rsidR="00644456" w:rsidRDefault="008031C4">
            <w:pPr>
              <w:snapToGrid w:val="0"/>
              <w:jc w:val="center"/>
              <w:rPr>
                <w:kern w:val="0"/>
              </w:rPr>
            </w:pPr>
            <w:r>
              <w:rPr>
                <w:rFonts w:hint="eastAsia"/>
                <w:kern w:val="0"/>
              </w:rPr>
              <w:t>0.0000</w:t>
            </w:r>
          </w:p>
        </w:tc>
        <w:tc>
          <w:tcPr>
            <w:tcW w:w="1173" w:type="dxa"/>
            <w:vAlign w:val="center"/>
          </w:tcPr>
          <w:p w:rsidR="00644456" w:rsidRDefault="008031C4">
            <w:pPr>
              <w:jc w:val="center"/>
              <w:rPr>
                <w:color w:val="000000" w:themeColor="text1"/>
                <w:szCs w:val="21"/>
              </w:rPr>
            </w:pPr>
            <w:r>
              <w:rPr>
                <w:rFonts w:cs="Times New Roman" w:hint="eastAsia"/>
                <w:bCs/>
                <w:szCs w:val="21"/>
              </w:rPr>
              <w:t>560</w:t>
            </w:r>
          </w:p>
        </w:tc>
      </w:tr>
      <w:tr w:rsidR="00644456">
        <w:tc>
          <w:tcPr>
            <w:tcW w:w="2205" w:type="dxa"/>
            <w:vAlign w:val="center"/>
          </w:tcPr>
          <w:p w:rsidR="00644456" w:rsidRDefault="008031C4">
            <w:pPr>
              <w:snapToGrid w:val="0"/>
              <w:jc w:val="center"/>
              <w:rPr>
                <w:color w:val="000000" w:themeColor="text1"/>
                <w:szCs w:val="21"/>
              </w:rPr>
            </w:pPr>
            <w:r>
              <w:rPr>
                <w:rFonts w:cs="Times New Roman"/>
                <w:color w:val="000000"/>
                <w:szCs w:val="21"/>
              </w:rPr>
              <w:t>氯甲烷</w:t>
            </w:r>
          </w:p>
        </w:tc>
        <w:tc>
          <w:tcPr>
            <w:tcW w:w="1015" w:type="dxa"/>
            <w:vAlign w:val="center"/>
          </w:tcPr>
          <w:p w:rsidR="00644456" w:rsidRDefault="008031C4">
            <w:pPr>
              <w:snapToGrid w:val="0"/>
              <w:jc w:val="center"/>
              <w:rPr>
                <w:color w:val="000000" w:themeColor="text1"/>
                <w:szCs w:val="21"/>
              </w:rPr>
            </w:pPr>
            <w:r>
              <w:rPr>
                <w:rFonts w:cs="Times New Roman"/>
                <w:color w:val="000000"/>
                <w:kern w:val="0"/>
              </w:rPr>
              <w:t>μg/kg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3</w:t>
            </w:r>
            <w:r>
              <w:rPr>
                <w:rFonts w:cs="Times New Roman" w:hint="eastAsia"/>
                <w:color w:val="000000"/>
                <w:szCs w:val="21"/>
              </w:rPr>
              <w:t>.0</w:t>
            </w:r>
          </w:p>
        </w:tc>
        <w:tc>
          <w:tcPr>
            <w:tcW w:w="1151" w:type="dxa"/>
            <w:vAlign w:val="center"/>
          </w:tcPr>
          <w:p w:rsidR="00644456" w:rsidRDefault="008031C4">
            <w:pPr>
              <w:snapToGrid w:val="0"/>
              <w:jc w:val="center"/>
              <w:rPr>
                <w:kern w:val="0"/>
              </w:rPr>
            </w:pPr>
            <w:r>
              <w:rPr>
                <w:rFonts w:hint="eastAsia"/>
                <w:kern w:val="0"/>
              </w:rPr>
              <w:t>0.0001</w:t>
            </w:r>
          </w:p>
        </w:tc>
        <w:tc>
          <w:tcPr>
            <w:tcW w:w="1165" w:type="dxa"/>
            <w:vAlign w:val="center"/>
          </w:tcPr>
          <w:p w:rsidR="00644456" w:rsidRDefault="008031C4">
            <w:pPr>
              <w:snapToGrid w:val="0"/>
              <w:jc w:val="center"/>
              <w:rPr>
                <w:kern w:val="0"/>
              </w:rPr>
            </w:pPr>
            <w:r>
              <w:rPr>
                <w:rFonts w:hint="eastAsia"/>
                <w:kern w:val="0"/>
              </w:rPr>
              <w:t>&lt;</w:t>
            </w:r>
            <w:r>
              <w:rPr>
                <w:kern w:val="0"/>
              </w:rPr>
              <w:t>3</w:t>
            </w:r>
            <w:r>
              <w:rPr>
                <w:rFonts w:hint="eastAsia"/>
                <w:kern w:val="0"/>
              </w:rPr>
              <w:t>.0</w:t>
            </w:r>
          </w:p>
        </w:tc>
        <w:tc>
          <w:tcPr>
            <w:tcW w:w="1151" w:type="dxa"/>
            <w:vAlign w:val="center"/>
          </w:tcPr>
          <w:p w:rsidR="00644456" w:rsidRDefault="008031C4">
            <w:pPr>
              <w:snapToGrid w:val="0"/>
              <w:jc w:val="center"/>
              <w:rPr>
                <w:kern w:val="0"/>
              </w:rPr>
            </w:pPr>
            <w:r>
              <w:rPr>
                <w:rFonts w:hint="eastAsia"/>
                <w:kern w:val="0"/>
              </w:rPr>
              <w:t>0.0001</w:t>
            </w:r>
          </w:p>
        </w:tc>
        <w:tc>
          <w:tcPr>
            <w:tcW w:w="1173" w:type="dxa"/>
            <w:vAlign w:val="center"/>
          </w:tcPr>
          <w:p w:rsidR="00644456" w:rsidRDefault="008031C4">
            <w:pPr>
              <w:jc w:val="center"/>
              <w:rPr>
                <w:color w:val="000000" w:themeColor="text1"/>
                <w:szCs w:val="21"/>
              </w:rPr>
            </w:pPr>
            <w:r>
              <w:rPr>
                <w:rFonts w:cs="Times New Roman" w:hint="eastAsia"/>
                <w:bCs/>
                <w:szCs w:val="21"/>
              </w:rPr>
              <w:t>37</w:t>
            </w:r>
          </w:p>
        </w:tc>
      </w:tr>
      <w:tr w:rsidR="00644456">
        <w:tc>
          <w:tcPr>
            <w:tcW w:w="2205" w:type="dxa"/>
            <w:vAlign w:val="center"/>
          </w:tcPr>
          <w:p w:rsidR="00644456" w:rsidRDefault="008031C4">
            <w:pPr>
              <w:snapToGrid w:val="0"/>
              <w:jc w:val="center"/>
              <w:rPr>
                <w:color w:val="000000" w:themeColor="text1"/>
                <w:szCs w:val="21"/>
              </w:rPr>
            </w:pPr>
            <w:r>
              <w:rPr>
                <w:rFonts w:cs="Times New Roman"/>
                <w:color w:val="000000"/>
                <w:szCs w:val="21"/>
              </w:rPr>
              <w:t>硝基苯</w:t>
            </w:r>
          </w:p>
        </w:tc>
        <w:tc>
          <w:tcPr>
            <w:tcW w:w="1015" w:type="dxa"/>
            <w:vAlign w:val="center"/>
          </w:tcPr>
          <w:p w:rsidR="00644456" w:rsidRDefault="008031C4">
            <w:pPr>
              <w:snapToGrid w:val="0"/>
              <w:jc w:val="center"/>
              <w:rPr>
                <w:color w:val="000000" w:themeColor="text1"/>
                <w:szCs w:val="21"/>
              </w:rPr>
            </w:pPr>
            <w:r>
              <w:rPr>
                <w:color w:val="000000"/>
                <w:kern w:val="0"/>
              </w:rPr>
              <w:t>mg/</w:t>
            </w:r>
            <w:r>
              <w:rPr>
                <w:rFonts w:hint="eastAsia"/>
                <w:color w:val="000000"/>
                <w:kern w:val="0"/>
              </w:rPr>
              <w:t>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0.09</w:t>
            </w:r>
          </w:p>
        </w:tc>
        <w:tc>
          <w:tcPr>
            <w:tcW w:w="1151" w:type="dxa"/>
            <w:vAlign w:val="center"/>
          </w:tcPr>
          <w:p w:rsidR="00644456" w:rsidRDefault="008031C4">
            <w:pPr>
              <w:snapToGrid w:val="0"/>
              <w:jc w:val="center"/>
              <w:rPr>
                <w:kern w:val="0"/>
              </w:rPr>
            </w:pPr>
            <w:r>
              <w:rPr>
                <w:rFonts w:hint="eastAsia"/>
                <w:kern w:val="0"/>
              </w:rPr>
              <w:t>0.0012</w:t>
            </w:r>
          </w:p>
        </w:tc>
        <w:tc>
          <w:tcPr>
            <w:tcW w:w="1165" w:type="dxa"/>
            <w:vAlign w:val="center"/>
          </w:tcPr>
          <w:p w:rsidR="00644456" w:rsidRDefault="008031C4">
            <w:pPr>
              <w:snapToGrid w:val="0"/>
              <w:jc w:val="center"/>
              <w:rPr>
                <w:kern w:val="0"/>
              </w:rPr>
            </w:pPr>
            <w:r>
              <w:rPr>
                <w:rFonts w:hint="eastAsia"/>
                <w:kern w:val="0"/>
              </w:rPr>
              <w:t>&lt;</w:t>
            </w:r>
            <w:r>
              <w:rPr>
                <w:kern w:val="0"/>
              </w:rPr>
              <w:t>0.09</w:t>
            </w:r>
          </w:p>
        </w:tc>
        <w:tc>
          <w:tcPr>
            <w:tcW w:w="1151" w:type="dxa"/>
            <w:vAlign w:val="center"/>
          </w:tcPr>
          <w:p w:rsidR="00644456" w:rsidRDefault="008031C4">
            <w:pPr>
              <w:snapToGrid w:val="0"/>
              <w:jc w:val="center"/>
              <w:rPr>
                <w:kern w:val="0"/>
              </w:rPr>
            </w:pPr>
            <w:r>
              <w:rPr>
                <w:rFonts w:hint="eastAsia"/>
                <w:kern w:val="0"/>
              </w:rPr>
              <w:t>0.0012</w:t>
            </w:r>
          </w:p>
        </w:tc>
        <w:tc>
          <w:tcPr>
            <w:tcW w:w="1173" w:type="dxa"/>
            <w:vAlign w:val="center"/>
          </w:tcPr>
          <w:p w:rsidR="00644456" w:rsidRDefault="008031C4">
            <w:pPr>
              <w:jc w:val="center"/>
              <w:rPr>
                <w:color w:val="000000" w:themeColor="text1"/>
                <w:szCs w:val="21"/>
              </w:rPr>
            </w:pPr>
            <w:r>
              <w:rPr>
                <w:rFonts w:cs="Times New Roman" w:hint="eastAsia"/>
                <w:bCs/>
                <w:szCs w:val="21"/>
              </w:rPr>
              <w:t>76</w:t>
            </w:r>
          </w:p>
        </w:tc>
      </w:tr>
      <w:tr w:rsidR="00644456">
        <w:tc>
          <w:tcPr>
            <w:tcW w:w="2205" w:type="dxa"/>
            <w:vAlign w:val="center"/>
          </w:tcPr>
          <w:p w:rsidR="00644456" w:rsidRDefault="008031C4">
            <w:pPr>
              <w:snapToGrid w:val="0"/>
              <w:jc w:val="center"/>
              <w:rPr>
                <w:color w:val="000000" w:themeColor="text1"/>
                <w:szCs w:val="21"/>
              </w:rPr>
            </w:pPr>
            <w:r>
              <w:rPr>
                <w:rFonts w:cs="Times New Roman"/>
                <w:color w:val="000000"/>
                <w:szCs w:val="21"/>
              </w:rPr>
              <w:t>苯胺</w:t>
            </w:r>
          </w:p>
        </w:tc>
        <w:tc>
          <w:tcPr>
            <w:tcW w:w="1015" w:type="dxa"/>
            <w:vAlign w:val="center"/>
          </w:tcPr>
          <w:p w:rsidR="00644456" w:rsidRDefault="008031C4">
            <w:pPr>
              <w:snapToGrid w:val="0"/>
              <w:jc w:val="center"/>
              <w:rPr>
                <w:color w:val="000000" w:themeColor="text1"/>
                <w:szCs w:val="21"/>
              </w:rPr>
            </w:pPr>
            <w:r>
              <w:rPr>
                <w:color w:val="000000"/>
                <w:kern w:val="0"/>
              </w:rPr>
              <w:t>mg/</w:t>
            </w:r>
            <w:r>
              <w:rPr>
                <w:rFonts w:hint="eastAsia"/>
                <w:color w:val="000000"/>
                <w:kern w:val="0"/>
              </w:rPr>
              <w:t>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&lt;3.78</w:t>
            </w:r>
          </w:p>
        </w:tc>
        <w:tc>
          <w:tcPr>
            <w:tcW w:w="1151" w:type="dxa"/>
            <w:vAlign w:val="center"/>
          </w:tcPr>
          <w:p w:rsidR="00644456" w:rsidRDefault="008031C4">
            <w:pPr>
              <w:snapToGrid w:val="0"/>
              <w:jc w:val="center"/>
              <w:rPr>
                <w:kern w:val="0"/>
              </w:rPr>
            </w:pPr>
            <w:r>
              <w:rPr>
                <w:rFonts w:hint="eastAsia"/>
                <w:kern w:val="0"/>
              </w:rPr>
              <w:t>0.0145</w:t>
            </w:r>
          </w:p>
        </w:tc>
        <w:tc>
          <w:tcPr>
            <w:tcW w:w="1165" w:type="dxa"/>
            <w:vAlign w:val="center"/>
          </w:tcPr>
          <w:p w:rsidR="00644456" w:rsidRDefault="008031C4">
            <w:pPr>
              <w:snapToGrid w:val="0"/>
              <w:jc w:val="center"/>
              <w:rPr>
                <w:kern w:val="0"/>
              </w:rPr>
            </w:pPr>
            <w:r>
              <w:rPr>
                <w:rFonts w:hint="eastAsia"/>
                <w:kern w:val="0"/>
              </w:rPr>
              <w:t>&lt;3.78</w:t>
            </w:r>
          </w:p>
        </w:tc>
        <w:tc>
          <w:tcPr>
            <w:tcW w:w="1151" w:type="dxa"/>
            <w:vAlign w:val="center"/>
          </w:tcPr>
          <w:p w:rsidR="00644456" w:rsidRDefault="008031C4">
            <w:pPr>
              <w:snapToGrid w:val="0"/>
              <w:jc w:val="center"/>
              <w:rPr>
                <w:kern w:val="0"/>
              </w:rPr>
            </w:pPr>
            <w:r>
              <w:rPr>
                <w:rFonts w:hint="eastAsia"/>
                <w:kern w:val="0"/>
              </w:rPr>
              <w:t>0.0145</w:t>
            </w:r>
          </w:p>
        </w:tc>
        <w:tc>
          <w:tcPr>
            <w:tcW w:w="1173" w:type="dxa"/>
            <w:vAlign w:val="center"/>
          </w:tcPr>
          <w:p w:rsidR="00644456" w:rsidRDefault="008031C4">
            <w:pPr>
              <w:jc w:val="center"/>
              <w:rPr>
                <w:color w:val="000000" w:themeColor="text1"/>
                <w:szCs w:val="21"/>
              </w:rPr>
            </w:pPr>
            <w:r>
              <w:rPr>
                <w:rFonts w:cs="Times New Roman" w:hint="eastAsia"/>
                <w:bCs/>
                <w:szCs w:val="21"/>
              </w:rPr>
              <w:t>260</w:t>
            </w:r>
          </w:p>
        </w:tc>
      </w:tr>
      <w:tr w:rsidR="00644456">
        <w:tc>
          <w:tcPr>
            <w:tcW w:w="2205" w:type="dxa"/>
            <w:vAlign w:val="center"/>
          </w:tcPr>
          <w:p w:rsidR="00644456" w:rsidRDefault="008031C4">
            <w:pPr>
              <w:snapToGrid w:val="0"/>
              <w:jc w:val="center"/>
              <w:rPr>
                <w:color w:val="000000" w:themeColor="text1"/>
                <w:szCs w:val="21"/>
              </w:rPr>
            </w:pPr>
            <w:r>
              <w:rPr>
                <w:rFonts w:cs="Times New Roman"/>
                <w:color w:val="000000"/>
                <w:szCs w:val="21"/>
              </w:rPr>
              <w:t>2-</w:t>
            </w:r>
            <w:r>
              <w:rPr>
                <w:rFonts w:cs="Times New Roman"/>
                <w:color w:val="000000"/>
                <w:szCs w:val="21"/>
              </w:rPr>
              <w:t>氯</w:t>
            </w:r>
            <w:r>
              <w:rPr>
                <w:rFonts w:cs="Times New Roman" w:hint="eastAsia"/>
                <w:color w:val="000000"/>
                <w:szCs w:val="21"/>
              </w:rPr>
              <w:t>苯</w:t>
            </w:r>
            <w:r>
              <w:rPr>
                <w:rFonts w:cs="Times New Roman"/>
                <w:color w:val="000000"/>
                <w:szCs w:val="21"/>
              </w:rPr>
              <w:t>酚</w:t>
            </w:r>
          </w:p>
        </w:tc>
        <w:tc>
          <w:tcPr>
            <w:tcW w:w="1015" w:type="dxa"/>
            <w:vAlign w:val="center"/>
          </w:tcPr>
          <w:p w:rsidR="00644456" w:rsidRDefault="008031C4">
            <w:pPr>
              <w:snapToGrid w:val="0"/>
              <w:jc w:val="center"/>
              <w:rPr>
                <w:color w:val="000000" w:themeColor="text1"/>
                <w:szCs w:val="21"/>
              </w:rPr>
            </w:pPr>
            <w:r>
              <w:rPr>
                <w:kern w:val="0"/>
              </w:rPr>
              <w:t>mg/</w:t>
            </w:r>
            <w:r>
              <w:rPr>
                <w:rFonts w:hint="eastAsia"/>
                <w:kern w:val="0"/>
              </w:rPr>
              <w:t>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&lt;0.06</w:t>
            </w:r>
          </w:p>
        </w:tc>
        <w:tc>
          <w:tcPr>
            <w:tcW w:w="1151" w:type="dxa"/>
            <w:vAlign w:val="center"/>
          </w:tcPr>
          <w:p w:rsidR="00644456" w:rsidRDefault="008031C4">
            <w:pPr>
              <w:snapToGrid w:val="0"/>
              <w:jc w:val="center"/>
              <w:rPr>
                <w:kern w:val="0"/>
              </w:rPr>
            </w:pPr>
            <w:r>
              <w:rPr>
                <w:rFonts w:hint="eastAsia"/>
                <w:kern w:val="0"/>
              </w:rPr>
              <w:t>0.0000</w:t>
            </w:r>
          </w:p>
        </w:tc>
        <w:tc>
          <w:tcPr>
            <w:tcW w:w="1165" w:type="dxa"/>
            <w:vAlign w:val="center"/>
          </w:tcPr>
          <w:p w:rsidR="00644456" w:rsidRDefault="008031C4">
            <w:pPr>
              <w:snapToGrid w:val="0"/>
              <w:jc w:val="center"/>
              <w:rPr>
                <w:kern w:val="0"/>
              </w:rPr>
            </w:pPr>
            <w:r>
              <w:rPr>
                <w:rFonts w:hint="eastAsia"/>
                <w:kern w:val="0"/>
              </w:rPr>
              <w:t>&lt;0.06</w:t>
            </w:r>
          </w:p>
        </w:tc>
        <w:tc>
          <w:tcPr>
            <w:tcW w:w="1151" w:type="dxa"/>
            <w:vAlign w:val="center"/>
          </w:tcPr>
          <w:p w:rsidR="00644456" w:rsidRDefault="008031C4">
            <w:pPr>
              <w:snapToGrid w:val="0"/>
              <w:jc w:val="center"/>
              <w:rPr>
                <w:kern w:val="0"/>
              </w:rPr>
            </w:pPr>
            <w:r>
              <w:rPr>
                <w:rFonts w:hint="eastAsia"/>
                <w:kern w:val="0"/>
              </w:rPr>
              <w:t>0.0000</w:t>
            </w:r>
          </w:p>
        </w:tc>
        <w:tc>
          <w:tcPr>
            <w:tcW w:w="1173" w:type="dxa"/>
            <w:vAlign w:val="center"/>
          </w:tcPr>
          <w:p w:rsidR="00644456" w:rsidRDefault="008031C4">
            <w:pPr>
              <w:jc w:val="center"/>
              <w:rPr>
                <w:color w:val="000000" w:themeColor="text1"/>
                <w:szCs w:val="21"/>
              </w:rPr>
            </w:pPr>
            <w:r>
              <w:rPr>
                <w:rFonts w:cs="Times New Roman" w:hint="eastAsia"/>
                <w:bCs/>
                <w:szCs w:val="21"/>
              </w:rPr>
              <w:t>2256</w:t>
            </w:r>
          </w:p>
        </w:tc>
      </w:tr>
      <w:tr w:rsidR="00644456">
        <w:tc>
          <w:tcPr>
            <w:tcW w:w="2205" w:type="dxa"/>
            <w:vAlign w:val="center"/>
          </w:tcPr>
          <w:p w:rsidR="00644456" w:rsidRDefault="008031C4">
            <w:pPr>
              <w:snapToGrid w:val="0"/>
              <w:jc w:val="center"/>
              <w:rPr>
                <w:color w:val="000000" w:themeColor="text1"/>
                <w:szCs w:val="21"/>
              </w:rPr>
            </w:pPr>
            <w:r>
              <w:rPr>
                <w:rFonts w:cs="Times New Roman"/>
                <w:color w:val="000000"/>
                <w:szCs w:val="21"/>
              </w:rPr>
              <w:t>苯并</w:t>
            </w:r>
            <w:r>
              <w:rPr>
                <w:rFonts w:cs="Times New Roman"/>
                <w:color w:val="000000"/>
                <w:szCs w:val="21"/>
              </w:rPr>
              <w:t>[a]</w:t>
            </w:r>
            <w:r>
              <w:rPr>
                <w:rFonts w:cs="Times New Roman"/>
                <w:color w:val="000000"/>
                <w:szCs w:val="21"/>
              </w:rPr>
              <w:t>蒽</w:t>
            </w:r>
          </w:p>
        </w:tc>
        <w:tc>
          <w:tcPr>
            <w:tcW w:w="1015" w:type="dxa"/>
            <w:vAlign w:val="center"/>
          </w:tcPr>
          <w:p w:rsidR="00644456" w:rsidRDefault="008031C4">
            <w:pPr>
              <w:snapToGrid w:val="0"/>
              <w:jc w:val="center"/>
              <w:rPr>
                <w:color w:val="000000" w:themeColor="text1"/>
                <w:szCs w:val="21"/>
              </w:rPr>
            </w:pPr>
            <w:r>
              <w:rPr>
                <w:kern w:val="0"/>
              </w:rPr>
              <w:t>mg/</w:t>
            </w:r>
            <w:r>
              <w:rPr>
                <w:rFonts w:hint="eastAsia"/>
                <w:kern w:val="0"/>
              </w:rPr>
              <w:t>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0.1</w:t>
            </w:r>
          </w:p>
        </w:tc>
        <w:tc>
          <w:tcPr>
            <w:tcW w:w="1151" w:type="dxa"/>
            <w:vAlign w:val="center"/>
          </w:tcPr>
          <w:p w:rsidR="00644456" w:rsidRDefault="008031C4">
            <w:pPr>
              <w:snapToGrid w:val="0"/>
              <w:jc w:val="center"/>
              <w:rPr>
                <w:kern w:val="0"/>
              </w:rPr>
            </w:pPr>
            <w:r>
              <w:rPr>
                <w:rFonts w:hint="eastAsia"/>
                <w:kern w:val="0"/>
              </w:rPr>
              <w:t>0.0067</w:t>
            </w:r>
          </w:p>
        </w:tc>
        <w:tc>
          <w:tcPr>
            <w:tcW w:w="1165" w:type="dxa"/>
            <w:vAlign w:val="center"/>
          </w:tcPr>
          <w:p w:rsidR="00644456" w:rsidRDefault="008031C4">
            <w:pPr>
              <w:snapToGrid w:val="0"/>
              <w:jc w:val="center"/>
              <w:rPr>
                <w:kern w:val="0"/>
              </w:rPr>
            </w:pPr>
            <w:r>
              <w:rPr>
                <w:rFonts w:hint="eastAsia"/>
                <w:kern w:val="0"/>
              </w:rPr>
              <w:t>&lt;</w:t>
            </w:r>
            <w:r>
              <w:rPr>
                <w:kern w:val="0"/>
              </w:rPr>
              <w:t>0.1</w:t>
            </w:r>
          </w:p>
        </w:tc>
        <w:tc>
          <w:tcPr>
            <w:tcW w:w="1151" w:type="dxa"/>
            <w:vAlign w:val="center"/>
          </w:tcPr>
          <w:p w:rsidR="00644456" w:rsidRDefault="008031C4">
            <w:pPr>
              <w:snapToGrid w:val="0"/>
              <w:jc w:val="center"/>
              <w:rPr>
                <w:kern w:val="0"/>
              </w:rPr>
            </w:pPr>
            <w:r>
              <w:rPr>
                <w:rFonts w:hint="eastAsia"/>
                <w:kern w:val="0"/>
              </w:rPr>
              <w:t>0.0067</w:t>
            </w:r>
          </w:p>
        </w:tc>
        <w:tc>
          <w:tcPr>
            <w:tcW w:w="1173" w:type="dxa"/>
            <w:vAlign w:val="center"/>
          </w:tcPr>
          <w:p w:rsidR="00644456" w:rsidRDefault="008031C4">
            <w:pPr>
              <w:jc w:val="center"/>
              <w:rPr>
                <w:color w:val="000000" w:themeColor="text1"/>
                <w:szCs w:val="21"/>
              </w:rPr>
            </w:pPr>
            <w:r>
              <w:rPr>
                <w:rFonts w:cs="Times New Roman" w:hint="eastAsia"/>
                <w:bCs/>
                <w:szCs w:val="21"/>
              </w:rPr>
              <w:t>15</w:t>
            </w:r>
          </w:p>
        </w:tc>
      </w:tr>
      <w:tr w:rsidR="00644456">
        <w:tc>
          <w:tcPr>
            <w:tcW w:w="2205" w:type="dxa"/>
            <w:vAlign w:val="center"/>
          </w:tcPr>
          <w:p w:rsidR="00644456" w:rsidRDefault="008031C4">
            <w:pPr>
              <w:snapToGrid w:val="0"/>
              <w:jc w:val="center"/>
              <w:rPr>
                <w:color w:val="000000" w:themeColor="text1"/>
                <w:szCs w:val="21"/>
              </w:rPr>
            </w:pPr>
            <w:r>
              <w:rPr>
                <w:rFonts w:cs="Times New Roman"/>
                <w:color w:val="000000"/>
                <w:szCs w:val="21"/>
              </w:rPr>
              <w:t>苯并</w:t>
            </w:r>
            <w:r>
              <w:rPr>
                <w:rFonts w:cs="Times New Roman"/>
                <w:color w:val="000000"/>
                <w:szCs w:val="21"/>
              </w:rPr>
              <w:t>[a]</w:t>
            </w:r>
            <w:r>
              <w:rPr>
                <w:rFonts w:cs="Times New Roman"/>
                <w:color w:val="000000"/>
                <w:szCs w:val="21"/>
              </w:rPr>
              <w:t>芘</w:t>
            </w:r>
          </w:p>
        </w:tc>
        <w:tc>
          <w:tcPr>
            <w:tcW w:w="1015" w:type="dxa"/>
            <w:vAlign w:val="center"/>
          </w:tcPr>
          <w:p w:rsidR="00644456" w:rsidRDefault="008031C4">
            <w:pPr>
              <w:snapToGrid w:val="0"/>
              <w:jc w:val="center"/>
              <w:rPr>
                <w:color w:val="000000" w:themeColor="text1"/>
                <w:szCs w:val="21"/>
              </w:rPr>
            </w:pPr>
            <w:r>
              <w:rPr>
                <w:kern w:val="0"/>
              </w:rPr>
              <w:t>mg/</w:t>
            </w:r>
            <w:r>
              <w:rPr>
                <w:rFonts w:hint="eastAsia"/>
                <w:kern w:val="0"/>
              </w:rPr>
              <w:t>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0.1</w:t>
            </w:r>
          </w:p>
        </w:tc>
        <w:tc>
          <w:tcPr>
            <w:tcW w:w="1151" w:type="dxa"/>
            <w:vAlign w:val="center"/>
          </w:tcPr>
          <w:p w:rsidR="00644456" w:rsidRDefault="008031C4">
            <w:pPr>
              <w:snapToGrid w:val="0"/>
              <w:jc w:val="center"/>
              <w:rPr>
                <w:kern w:val="0"/>
              </w:rPr>
            </w:pPr>
            <w:r>
              <w:rPr>
                <w:rFonts w:hint="eastAsia"/>
                <w:kern w:val="0"/>
              </w:rPr>
              <w:t>0.0667</w:t>
            </w:r>
          </w:p>
        </w:tc>
        <w:tc>
          <w:tcPr>
            <w:tcW w:w="1165" w:type="dxa"/>
            <w:vAlign w:val="center"/>
          </w:tcPr>
          <w:p w:rsidR="00644456" w:rsidRDefault="008031C4">
            <w:pPr>
              <w:snapToGrid w:val="0"/>
              <w:jc w:val="center"/>
              <w:rPr>
                <w:kern w:val="0"/>
              </w:rPr>
            </w:pPr>
            <w:r>
              <w:rPr>
                <w:rFonts w:hint="eastAsia"/>
                <w:kern w:val="0"/>
              </w:rPr>
              <w:t>&lt;</w:t>
            </w:r>
            <w:r>
              <w:rPr>
                <w:kern w:val="0"/>
              </w:rPr>
              <w:t>0.1</w:t>
            </w:r>
          </w:p>
        </w:tc>
        <w:tc>
          <w:tcPr>
            <w:tcW w:w="1151" w:type="dxa"/>
            <w:vAlign w:val="center"/>
          </w:tcPr>
          <w:p w:rsidR="00644456" w:rsidRDefault="008031C4">
            <w:pPr>
              <w:snapToGrid w:val="0"/>
              <w:jc w:val="center"/>
              <w:rPr>
                <w:kern w:val="0"/>
              </w:rPr>
            </w:pPr>
            <w:r>
              <w:rPr>
                <w:rFonts w:hint="eastAsia"/>
                <w:kern w:val="0"/>
              </w:rPr>
              <w:t>0.0667</w:t>
            </w:r>
          </w:p>
        </w:tc>
        <w:tc>
          <w:tcPr>
            <w:tcW w:w="1173" w:type="dxa"/>
            <w:vAlign w:val="center"/>
          </w:tcPr>
          <w:p w:rsidR="00644456" w:rsidRDefault="008031C4">
            <w:pPr>
              <w:jc w:val="center"/>
              <w:rPr>
                <w:color w:val="000000" w:themeColor="text1"/>
                <w:szCs w:val="21"/>
              </w:rPr>
            </w:pPr>
            <w:r>
              <w:rPr>
                <w:rFonts w:cs="Times New Roman" w:hint="eastAsia"/>
                <w:bCs/>
                <w:szCs w:val="21"/>
              </w:rPr>
              <w:t>1.5</w:t>
            </w:r>
          </w:p>
        </w:tc>
      </w:tr>
      <w:tr w:rsidR="00644456">
        <w:tc>
          <w:tcPr>
            <w:tcW w:w="2205" w:type="dxa"/>
            <w:vAlign w:val="center"/>
          </w:tcPr>
          <w:p w:rsidR="00644456" w:rsidRDefault="008031C4">
            <w:pPr>
              <w:snapToGrid w:val="0"/>
              <w:jc w:val="center"/>
              <w:rPr>
                <w:color w:val="000000" w:themeColor="text1"/>
                <w:szCs w:val="21"/>
              </w:rPr>
            </w:pPr>
            <w:r>
              <w:rPr>
                <w:rFonts w:cs="Times New Roman"/>
                <w:bCs/>
                <w:color w:val="000000"/>
                <w:szCs w:val="21"/>
              </w:rPr>
              <w:t>苯并</w:t>
            </w:r>
            <w:r>
              <w:rPr>
                <w:rFonts w:cs="Times New Roman"/>
                <w:bCs/>
                <w:color w:val="000000"/>
                <w:szCs w:val="21"/>
              </w:rPr>
              <w:t>[b]</w:t>
            </w:r>
            <w:r>
              <w:rPr>
                <w:rFonts w:cs="Times New Roman"/>
                <w:bCs/>
                <w:color w:val="000000"/>
                <w:szCs w:val="21"/>
              </w:rPr>
              <w:t>荧蒽</w:t>
            </w:r>
          </w:p>
        </w:tc>
        <w:tc>
          <w:tcPr>
            <w:tcW w:w="1015" w:type="dxa"/>
            <w:vAlign w:val="center"/>
          </w:tcPr>
          <w:p w:rsidR="00644456" w:rsidRDefault="008031C4">
            <w:pPr>
              <w:snapToGrid w:val="0"/>
              <w:jc w:val="center"/>
              <w:rPr>
                <w:color w:val="000000" w:themeColor="text1"/>
                <w:szCs w:val="21"/>
              </w:rPr>
            </w:pPr>
            <w:r>
              <w:rPr>
                <w:kern w:val="0"/>
              </w:rPr>
              <w:t>mg/</w:t>
            </w:r>
            <w:r>
              <w:rPr>
                <w:rFonts w:hint="eastAsia"/>
                <w:kern w:val="0"/>
              </w:rPr>
              <w:t>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0.2</w:t>
            </w:r>
          </w:p>
        </w:tc>
        <w:tc>
          <w:tcPr>
            <w:tcW w:w="1151" w:type="dxa"/>
            <w:vAlign w:val="center"/>
          </w:tcPr>
          <w:p w:rsidR="00644456" w:rsidRDefault="008031C4">
            <w:pPr>
              <w:snapToGrid w:val="0"/>
              <w:jc w:val="center"/>
              <w:rPr>
                <w:kern w:val="0"/>
              </w:rPr>
            </w:pPr>
            <w:r>
              <w:rPr>
                <w:rFonts w:hint="eastAsia"/>
                <w:kern w:val="0"/>
              </w:rPr>
              <w:t>0.0133</w:t>
            </w:r>
          </w:p>
        </w:tc>
        <w:tc>
          <w:tcPr>
            <w:tcW w:w="1165" w:type="dxa"/>
            <w:vAlign w:val="center"/>
          </w:tcPr>
          <w:p w:rsidR="00644456" w:rsidRDefault="008031C4">
            <w:pPr>
              <w:snapToGrid w:val="0"/>
              <w:jc w:val="center"/>
              <w:rPr>
                <w:kern w:val="0"/>
              </w:rPr>
            </w:pPr>
            <w:r>
              <w:rPr>
                <w:rFonts w:hint="eastAsia"/>
                <w:kern w:val="0"/>
              </w:rPr>
              <w:t>&lt;</w:t>
            </w:r>
            <w:r>
              <w:rPr>
                <w:kern w:val="0"/>
              </w:rPr>
              <w:t>0.2</w:t>
            </w:r>
          </w:p>
        </w:tc>
        <w:tc>
          <w:tcPr>
            <w:tcW w:w="1151" w:type="dxa"/>
            <w:vAlign w:val="center"/>
          </w:tcPr>
          <w:p w:rsidR="00644456" w:rsidRDefault="008031C4">
            <w:pPr>
              <w:snapToGrid w:val="0"/>
              <w:jc w:val="center"/>
              <w:rPr>
                <w:kern w:val="0"/>
              </w:rPr>
            </w:pPr>
            <w:r>
              <w:rPr>
                <w:rFonts w:hint="eastAsia"/>
                <w:kern w:val="0"/>
              </w:rPr>
              <w:t>0.0133</w:t>
            </w:r>
          </w:p>
        </w:tc>
        <w:tc>
          <w:tcPr>
            <w:tcW w:w="1173" w:type="dxa"/>
            <w:vAlign w:val="center"/>
          </w:tcPr>
          <w:p w:rsidR="00644456" w:rsidRDefault="008031C4">
            <w:pPr>
              <w:jc w:val="center"/>
              <w:rPr>
                <w:color w:val="000000" w:themeColor="text1"/>
                <w:szCs w:val="21"/>
              </w:rPr>
            </w:pPr>
            <w:r>
              <w:rPr>
                <w:rFonts w:cs="Times New Roman" w:hint="eastAsia"/>
                <w:bCs/>
                <w:szCs w:val="21"/>
              </w:rPr>
              <w:t>15</w:t>
            </w:r>
          </w:p>
        </w:tc>
      </w:tr>
      <w:tr w:rsidR="00644456">
        <w:tc>
          <w:tcPr>
            <w:tcW w:w="2205" w:type="dxa"/>
            <w:vAlign w:val="center"/>
          </w:tcPr>
          <w:p w:rsidR="00644456" w:rsidRDefault="008031C4">
            <w:pPr>
              <w:snapToGrid w:val="0"/>
              <w:jc w:val="center"/>
              <w:rPr>
                <w:color w:val="000000" w:themeColor="text1"/>
                <w:szCs w:val="21"/>
              </w:rPr>
            </w:pPr>
            <w:r>
              <w:rPr>
                <w:rFonts w:cs="Times New Roman"/>
                <w:bCs/>
                <w:color w:val="000000"/>
                <w:szCs w:val="21"/>
              </w:rPr>
              <w:t>苯并</w:t>
            </w:r>
            <w:r>
              <w:rPr>
                <w:rFonts w:cs="Times New Roman"/>
                <w:bCs/>
                <w:color w:val="000000"/>
                <w:szCs w:val="21"/>
              </w:rPr>
              <w:t>[k]</w:t>
            </w:r>
            <w:r>
              <w:rPr>
                <w:rFonts w:cs="Times New Roman"/>
                <w:bCs/>
                <w:color w:val="000000"/>
                <w:szCs w:val="21"/>
              </w:rPr>
              <w:t>荧蒽</w:t>
            </w:r>
          </w:p>
        </w:tc>
        <w:tc>
          <w:tcPr>
            <w:tcW w:w="1015" w:type="dxa"/>
            <w:vAlign w:val="center"/>
          </w:tcPr>
          <w:p w:rsidR="00644456" w:rsidRDefault="008031C4">
            <w:pPr>
              <w:snapToGrid w:val="0"/>
              <w:jc w:val="center"/>
              <w:rPr>
                <w:color w:val="000000" w:themeColor="text1"/>
                <w:szCs w:val="21"/>
              </w:rPr>
            </w:pPr>
            <w:r>
              <w:rPr>
                <w:color w:val="000000"/>
                <w:kern w:val="0"/>
              </w:rPr>
              <w:t>mg/</w:t>
            </w:r>
            <w:r>
              <w:rPr>
                <w:rFonts w:hint="eastAsia"/>
                <w:color w:val="000000"/>
                <w:kern w:val="0"/>
              </w:rPr>
              <w:t>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0.1</w:t>
            </w:r>
          </w:p>
        </w:tc>
        <w:tc>
          <w:tcPr>
            <w:tcW w:w="1151" w:type="dxa"/>
            <w:vAlign w:val="center"/>
          </w:tcPr>
          <w:p w:rsidR="00644456" w:rsidRDefault="008031C4">
            <w:pPr>
              <w:snapToGrid w:val="0"/>
              <w:jc w:val="center"/>
              <w:rPr>
                <w:kern w:val="0"/>
              </w:rPr>
            </w:pPr>
            <w:r>
              <w:rPr>
                <w:rFonts w:hint="eastAsia"/>
                <w:kern w:val="0"/>
              </w:rPr>
              <w:t>0.0007</w:t>
            </w:r>
          </w:p>
        </w:tc>
        <w:tc>
          <w:tcPr>
            <w:tcW w:w="1165" w:type="dxa"/>
            <w:vAlign w:val="center"/>
          </w:tcPr>
          <w:p w:rsidR="00644456" w:rsidRDefault="008031C4">
            <w:pPr>
              <w:snapToGrid w:val="0"/>
              <w:jc w:val="center"/>
              <w:rPr>
                <w:kern w:val="0"/>
              </w:rPr>
            </w:pPr>
            <w:r>
              <w:rPr>
                <w:rFonts w:hint="eastAsia"/>
                <w:kern w:val="0"/>
              </w:rPr>
              <w:t>&lt;</w:t>
            </w:r>
            <w:r>
              <w:rPr>
                <w:kern w:val="0"/>
              </w:rPr>
              <w:t>0.1</w:t>
            </w:r>
          </w:p>
        </w:tc>
        <w:tc>
          <w:tcPr>
            <w:tcW w:w="1151" w:type="dxa"/>
            <w:vAlign w:val="center"/>
          </w:tcPr>
          <w:p w:rsidR="00644456" w:rsidRDefault="008031C4">
            <w:pPr>
              <w:snapToGrid w:val="0"/>
              <w:jc w:val="center"/>
              <w:rPr>
                <w:kern w:val="0"/>
              </w:rPr>
            </w:pPr>
            <w:r>
              <w:rPr>
                <w:rFonts w:hint="eastAsia"/>
                <w:kern w:val="0"/>
              </w:rPr>
              <w:t>0.0007</w:t>
            </w:r>
          </w:p>
        </w:tc>
        <w:tc>
          <w:tcPr>
            <w:tcW w:w="1173" w:type="dxa"/>
            <w:vAlign w:val="center"/>
          </w:tcPr>
          <w:p w:rsidR="00644456" w:rsidRDefault="008031C4">
            <w:pPr>
              <w:jc w:val="center"/>
              <w:rPr>
                <w:color w:val="000000" w:themeColor="text1"/>
                <w:szCs w:val="21"/>
              </w:rPr>
            </w:pPr>
            <w:r>
              <w:rPr>
                <w:rFonts w:cs="Times New Roman" w:hint="eastAsia"/>
                <w:bCs/>
                <w:szCs w:val="21"/>
              </w:rPr>
              <w:t>151</w:t>
            </w:r>
          </w:p>
        </w:tc>
      </w:tr>
      <w:tr w:rsidR="00644456">
        <w:tc>
          <w:tcPr>
            <w:tcW w:w="2205" w:type="dxa"/>
            <w:vAlign w:val="center"/>
          </w:tcPr>
          <w:p w:rsidR="00644456" w:rsidRDefault="008031C4">
            <w:pPr>
              <w:snapToGrid w:val="0"/>
              <w:jc w:val="center"/>
              <w:rPr>
                <w:color w:val="000000" w:themeColor="text1"/>
                <w:szCs w:val="21"/>
              </w:rPr>
            </w:pPr>
            <w:r>
              <w:rPr>
                <w:rFonts w:cs="Times New Roman"/>
                <w:bCs/>
                <w:color w:val="000000"/>
                <w:szCs w:val="21"/>
              </w:rPr>
              <w:t>䓛</w:t>
            </w:r>
          </w:p>
        </w:tc>
        <w:tc>
          <w:tcPr>
            <w:tcW w:w="1015" w:type="dxa"/>
            <w:vAlign w:val="center"/>
          </w:tcPr>
          <w:p w:rsidR="00644456" w:rsidRDefault="008031C4">
            <w:pPr>
              <w:snapToGrid w:val="0"/>
              <w:jc w:val="center"/>
              <w:rPr>
                <w:color w:val="000000" w:themeColor="text1"/>
                <w:szCs w:val="21"/>
              </w:rPr>
            </w:pPr>
            <w:r>
              <w:rPr>
                <w:kern w:val="0"/>
              </w:rPr>
              <w:t>mg/</w:t>
            </w:r>
            <w:r>
              <w:rPr>
                <w:rFonts w:hint="eastAsia"/>
                <w:kern w:val="0"/>
              </w:rPr>
              <w:t>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0.1</w:t>
            </w:r>
          </w:p>
        </w:tc>
        <w:tc>
          <w:tcPr>
            <w:tcW w:w="1151" w:type="dxa"/>
            <w:vAlign w:val="center"/>
          </w:tcPr>
          <w:p w:rsidR="00644456" w:rsidRDefault="008031C4">
            <w:pPr>
              <w:snapToGrid w:val="0"/>
              <w:jc w:val="center"/>
              <w:rPr>
                <w:kern w:val="0"/>
              </w:rPr>
            </w:pPr>
            <w:r>
              <w:rPr>
                <w:rFonts w:hint="eastAsia"/>
                <w:kern w:val="0"/>
              </w:rPr>
              <w:t>0.0001</w:t>
            </w:r>
          </w:p>
        </w:tc>
        <w:tc>
          <w:tcPr>
            <w:tcW w:w="1165" w:type="dxa"/>
            <w:vAlign w:val="center"/>
          </w:tcPr>
          <w:p w:rsidR="00644456" w:rsidRDefault="008031C4">
            <w:pPr>
              <w:snapToGrid w:val="0"/>
              <w:jc w:val="center"/>
              <w:rPr>
                <w:kern w:val="0"/>
              </w:rPr>
            </w:pPr>
            <w:r>
              <w:rPr>
                <w:rFonts w:hint="eastAsia"/>
                <w:kern w:val="0"/>
              </w:rPr>
              <w:t>&lt;</w:t>
            </w:r>
            <w:r>
              <w:rPr>
                <w:kern w:val="0"/>
              </w:rPr>
              <w:t>0.1</w:t>
            </w:r>
          </w:p>
        </w:tc>
        <w:tc>
          <w:tcPr>
            <w:tcW w:w="1151" w:type="dxa"/>
            <w:vAlign w:val="center"/>
          </w:tcPr>
          <w:p w:rsidR="00644456" w:rsidRDefault="008031C4">
            <w:pPr>
              <w:snapToGrid w:val="0"/>
              <w:jc w:val="center"/>
              <w:rPr>
                <w:kern w:val="0"/>
              </w:rPr>
            </w:pPr>
            <w:r>
              <w:rPr>
                <w:rFonts w:hint="eastAsia"/>
                <w:kern w:val="0"/>
              </w:rPr>
              <w:t>0.0001</w:t>
            </w:r>
          </w:p>
        </w:tc>
        <w:tc>
          <w:tcPr>
            <w:tcW w:w="1173" w:type="dxa"/>
            <w:vAlign w:val="center"/>
          </w:tcPr>
          <w:p w:rsidR="00644456" w:rsidRDefault="008031C4">
            <w:pPr>
              <w:jc w:val="center"/>
              <w:rPr>
                <w:color w:val="000000" w:themeColor="text1"/>
                <w:szCs w:val="21"/>
              </w:rPr>
            </w:pPr>
            <w:r>
              <w:rPr>
                <w:rFonts w:cs="Times New Roman" w:hint="eastAsia"/>
                <w:bCs/>
                <w:szCs w:val="21"/>
              </w:rPr>
              <w:t>1293</w:t>
            </w:r>
          </w:p>
        </w:tc>
      </w:tr>
      <w:tr w:rsidR="00644456">
        <w:tc>
          <w:tcPr>
            <w:tcW w:w="2205" w:type="dxa"/>
            <w:vAlign w:val="center"/>
          </w:tcPr>
          <w:p w:rsidR="00644456" w:rsidRDefault="008031C4">
            <w:pPr>
              <w:snapToGrid w:val="0"/>
              <w:jc w:val="center"/>
              <w:rPr>
                <w:color w:val="000000" w:themeColor="text1"/>
                <w:szCs w:val="21"/>
              </w:rPr>
            </w:pPr>
            <w:r>
              <w:rPr>
                <w:rFonts w:cs="Times New Roman"/>
                <w:bCs/>
                <w:color w:val="000000"/>
                <w:szCs w:val="21"/>
              </w:rPr>
              <w:t>二苯并</w:t>
            </w:r>
            <w:r>
              <w:rPr>
                <w:rFonts w:cs="Times New Roman"/>
                <w:bCs/>
                <w:color w:val="000000"/>
                <w:szCs w:val="21"/>
              </w:rPr>
              <w:t>[a,h]</w:t>
            </w:r>
            <w:r>
              <w:rPr>
                <w:rFonts w:cs="Times New Roman"/>
                <w:bCs/>
                <w:color w:val="000000"/>
                <w:szCs w:val="21"/>
              </w:rPr>
              <w:t>蒽</w:t>
            </w:r>
          </w:p>
        </w:tc>
        <w:tc>
          <w:tcPr>
            <w:tcW w:w="1015" w:type="dxa"/>
            <w:vAlign w:val="center"/>
          </w:tcPr>
          <w:p w:rsidR="00644456" w:rsidRDefault="008031C4">
            <w:pPr>
              <w:snapToGrid w:val="0"/>
              <w:jc w:val="center"/>
              <w:rPr>
                <w:color w:val="000000" w:themeColor="text1"/>
                <w:szCs w:val="21"/>
              </w:rPr>
            </w:pPr>
            <w:r>
              <w:rPr>
                <w:kern w:val="0"/>
              </w:rPr>
              <w:t>mg/</w:t>
            </w:r>
            <w:r>
              <w:rPr>
                <w:rFonts w:hint="eastAsia"/>
                <w:kern w:val="0"/>
              </w:rPr>
              <w:t>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0.1</w:t>
            </w:r>
          </w:p>
        </w:tc>
        <w:tc>
          <w:tcPr>
            <w:tcW w:w="1151" w:type="dxa"/>
            <w:vAlign w:val="center"/>
          </w:tcPr>
          <w:p w:rsidR="00644456" w:rsidRDefault="008031C4">
            <w:pPr>
              <w:snapToGrid w:val="0"/>
              <w:jc w:val="center"/>
              <w:rPr>
                <w:kern w:val="0"/>
              </w:rPr>
            </w:pPr>
            <w:r>
              <w:rPr>
                <w:rFonts w:hint="eastAsia"/>
                <w:kern w:val="0"/>
              </w:rPr>
              <w:t>0.0667</w:t>
            </w:r>
          </w:p>
        </w:tc>
        <w:tc>
          <w:tcPr>
            <w:tcW w:w="1165" w:type="dxa"/>
            <w:vAlign w:val="center"/>
          </w:tcPr>
          <w:p w:rsidR="00644456" w:rsidRDefault="008031C4">
            <w:pPr>
              <w:snapToGrid w:val="0"/>
              <w:jc w:val="center"/>
              <w:rPr>
                <w:kern w:val="0"/>
              </w:rPr>
            </w:pPr>
            <w:r>
              <w:rPr>
                <w:rFonts w:hint="eastAsia"/>
                <w:kern w:val="0"/>
              </w:rPr>
              <w:t>&lt;</w:t>
            </w:r>
            <w:r>
              <w:rPr>
                <w:kern w:val="0"/>
              </w:rPr>
              <w:t>0.1</w:t>
            </w:r>
          </w:p>
        </w:tc>
        <w:tc>
          <w:tcPr>
            <w:tcW w:w="1151" w:type="dxa"/>
            <w:vAlign w:val="center"/>
          </w:tcPr>
          <w:p w:rsidR="00644456" w:rsidRDefault="008031C4">
            <w:pPr>
              <w:snapToGrid w:val="0"/>
              <w:jc w:val="center"/>
              <w:rPr>
                <w:kern w:val="0"/>
              </w:rPr>
            </w:pPr>
            <w:r>
              <w:rPr>
                <w:rFonts w:hint="eastAsia"/>
                <w:kern w:val="0"/>
              </w:rPr>
              <w:t>0.0667</w:t>
            </w:r>
          </w:p>
        </w:tc>
        <w:tc>
          <w:tcPr>
            <w:tcW w:w="1173" w:type="dxa"/>
            <w:vAlign w:val="center"/>
          </w:tcPr>
          <w:p w:rsidR="00644456" w:rsidRDefault="008031C4">
            <w:pPr>
              <w:jc w:val="center"/>
              <w:rPr>
                <w:color w:val="000000" w:themeColor="text1"/>
                <w:szCs w:val="21"/>
              </w:rPr>
            </w:pPr>
            <w:r>
              <w:rPr>
                <w:rFonts w:cs="Times New Roman" w:hint="eastAsia"/>
                <w:bCs/>
                <w:szCs w:val="21"/>
              </w:rPr>
              <w:t>1.5</w:t>
            </w:r>
          </w:p>
        </w:tc>
      </w:tr>
      <w:tr w:rsidR="00644456">
        <w:tc>
          <w:tcPr>
            <w:tcW w:w="2205" w:type="dxa"/>
            <w:vAlign w:val="center"/>
          </w:tcPr>
          <w:p w:rsidR="00644456" w:rsidRDefault="008031C4">
            <w:pPr>
              <w:snapToGrid w:val="0"/>
              <w:jc w:val="center"/>
              <w:rPr>
                <w:color w:val="000000" w:themeColor="text1"/>
                <w:szCs w:val="21"/>
              </w:rPr>
            </w:pPr>
            <w:r>
              <w:rPr>
                <w:rFonts w:cs="Times New Roman"/>
                <w:color w:val="000000"/>
                <w:szCs w:val="21"/>
              </w:rPr>
              <w:t>茚并</w:t>
            </w:r>
            <w:r>
              <w:rPr>
                <w:rFonts w:cs="Times New Roman"/>
                <w:color w:val="000000"/>
                <w:szCs w:val="21"/>
              </w:rPr>
              <w:t>[1,2,3-cd]</w:t>
            </w:r>
            <w:r>
              <w:rPr>
                <w:rFonts w:cs="Times New Roman"/>
                <w:color w:val="000000"/>
                <w:szCs w:val="21"/>
              </w:rPr>
              <w:t>芘</w:t>
            </w:r>
          </w:p>
        </w:tc>
        <w:tc>
          <w:tcPr>
            <w:tcW w:w="1015" w:type="dxa"/>
            <w:vAlign w:val="center"/>
          </w:tcPr>
          <w:p w:rsidR="00644456" w:rsidRDefault="008031C4">
            <w:pPr>
              <w:snapToGrid w:val="0"/>
              <w:jc w:val="center"/>
              <w:rPr>
                <w:color w:val="000000" w:themeColor="text1"/>
                <w:szCs w:val="21"/>
              </w:rPr>
            </w:pPr>
            <w:r>
              <w:rPr>
                <w:kern w:val="0"/>
              </w:rPr>
              <w:t>mg/</w:t>
            </w:r>
            <w:r>
              <w:rPr>
                <w:rFonts w:hint="eastAsia"/>
                <w:kern w:val="0"/>
              </w:rPr>
              <w:t>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&lt;0.1</w:t>
            </w:r>
          </w:p>
        </w:tc>
        <w:tc>
          <w:tcPr>
            <w:tcW w:w="1151" w:type="dxa"/>
            <w:vAlign w:val="center"/>
          </w:tcPr>
          <w:p w:rsidR="00644456" w:rsidRDefault="008031C4">
            <w:pPr>
              <w:snapToGrid w:val="0"/>
              <w:jc w:val="center"/>
              <w:rPr>
                <w:kern w:val="0"/>
              </w:rPr>
            </w:pPr>
            <w:r>
              <w:rPr>
                <w:rFonts w:hint="eastAsia"/>
                <w:kern w:val="0"/>
              </w:rPr>
              <w:t>0.0067</w:t>
            </w:r>
          </w:p>
        </w:tc>
        <w:tc>
          <w:tcPr>
            <w:tcW w:w="1165" w:type="dxa"/>
            <w:vAlign w:val="center"/>
          </w:tcPr>
          <w:p w:rsidR="00644456" w:rsidRDefault="008031C4">
            <w:pPr>
              <w:snapToGrid w:val="0"/>
              <w:jc w:val="center"/>
              <w:rPr>
                <w:kern w:val="0"/>
              </w:rPr>
            </w:pPr>
            <w:r>
              <w:rPr>
                <w:rFonts w:hint="eastAsia"/>
                <w:kern w:val="0"/>
              </w:rPr>
              <w:t>&lt;0.1</w:t>
            </w:r>
          </w:p>
        </w:tc>
        <w:tc>
          <w:tcPr>
            <w:tcW w:w="1151" w:type="dxa"/>
            <w:vAlign w:val="center"/>
          </w:tcPr>
          <w:p w:rsidR="00644456" w:rsidRDefault="008031C4">
            <w:pPr>
              <w:snapToGrid w:val="0"/>
              <w:jc w:val="center"/>
              <w:rPr>
                <w:kern w:val="0"/>
              </w:rPr>
            </w:pPr>
            <w:r>
              <w:rPr>
                <w:rFonts w:hint="eastAsia"/>
                <w:kern w:val="0"/>
              </w:rPr>
              <w:t>0.0067</w:t>
            </w:r>
          </w:p>
        </w:tc>
        <w:tc>
          <w:tcPr>
            <w:tcW w:w="1173" w:type="dxa"/>
            <w:vAlign w:val="center"/>
          </w:tcPr>
          <w:p w:rsidR="00644456" w:rsidRDefault="008031C4">
            <w:pPr>
              <w:jc w:val="center"/>
              <w:rPr>
                <w:color w:val="000000" w:themeColor="text1"/>
                <w:szCs w:val="21"/>
              </w:rPr>
            </w:pPr>
            <w:r>
              <w:rPr>
                <w:rFonts w:cs="Times New Roman" w:hint="eastAsia"/>
                <w:bCs/>
                <w:szCs w:val="21"/>
              </w:rPr>
              <w:t>15</w:t>
            </w:r>
          </w:p>
        </w:tc>
      </w:tr>
      <w:tr w:rsidR="00644456">
        <w:tc>
          <w:tcPr>
            <w:tcW w:w="2205" w:type="dxa"/>
            <w:vAlign w:val="center"/>
          </w:tcPr>
          <w:p w:rsidR="00644456" w:rsidRDefault="008031C4">
            <w:pPr>
              <w:snapToGrid w:val="0"/>
              <w:jc w:val="center"/>
              <w:rPr>
                <w:color w:val="000000" w:themeColor="text1"/>
                <w:szCs w:val="21"/>
              </w:rPr>
            </w:pPr>
            <w:r>
              <w:rPr>
                <w:rFonts w:hint="eastAsia"/>
                <w:color w:val="000000"/>
                <w:szCs w:val="21"/>
              </w:rPr>
              <w:t>萘</w:t>
            </w:r>
          </w:p>
        </w:tc>
        <w:tc>
          <w:tcPr>
            <w:tcW w:w="1015" w:type="dxa"/>
            <w:vAlign w:val="center"/>
          </w:tcPr>
          <w:p w:rsidR="00644456" w:rsidRDefault="008031C4">
            <w:pPr>
              <w:snapToGrid w:val="0"/>
              <w:jc w:val="center"/>
              <w:rPr>
                <w:color w:val="000000" w:themeColor="text1"/>
                <w:szCs w:val="21"/>
              </w:rPr>
            </w:pPr>
            <w:r>
              <w:rPr>
                <w:kern w:val="0"/>
              </w:rPr>
              <w:t>mg/</w:t>
            </w:r>
            <w:r>
              <w:rPr>
                <w:rFonts w:hint="eastAsia"/>
                <w:kern w:val="0"/>
              </w:rPr>
              <w:t>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w:t>
            </w:r>
            <w:r>
              <w:rPr>
                <w:rFonts w:cs="Times New Roman"/>
                <w:color w:val="000000"/>
                <w:szCs w:val="21"/>
              </w:rPr>
              <w:t>0.</w:t>
            </w:r>
            <w:r>
              <w:rPr>
                <w:rFonts w:cs="Times New Roman" w:hint="eastAsia"/>
                <w:color w:val="000000"/>
                <w:szCs w:val="21"/>
              </w:rPr>
              <w:t>09</w:t>
            </w:r>
          </w:p>
        </w:tc>
        <w:tc>
          <w:tcPr>
            <w:tcW w:w="1151" w:type="dxa"/>
            <w:vAlign w:val="center"/>
          </w:tcPr>
          <w:p w:rsidR="00644456" w:rsidRDefault="008031C4">
            <w:pPr>
              <w:snapToGrid w:val="0"/>
              <w:jc w:val="center"/>
              <w:rPr>
                <w:kern w:val="0"/>
              </w:rPr>
            </w:pPr>
            <w:r>
              <w:rPr>
                <w:rFonts w:hint="eastAsia"/>
                <w:kern w:val="0"/>
              </w:rPr>
              <w:t>0.0013</w:t>
            </w:r>
          </w:p>
        </w:tc>
        <w:tc>
          <w:tcPr>
            <w:tcW w:w="1165" w:type="dxa"/>
            <w:vAlign w:val="center"/>
          </w:tcPr>
          <w:p w:rsidR="00644456" w:rsidRDefault="008031C4">
            <w:pPr>
              <w:snapToGrid w:val="0"/>
              <w:jc w:val="center"/>
              <w:rPr>
                <w:kern w:val="0"/>
              </w:rPr>
            </w:pPr>
            <w:r>
              <w:rPr>
                <w:rFonts w:hint="eastAsia"/>
                <w:kern w:val="0"/>
              </w:rPr>
              <w:t>&lt;</w:t>
            </w:r>
            <w:r>
              <w:rPr>
                <w:kern w:val="0"/>
              </w:rPr>
              <w:t>0.</w:t>
            </w:r>
            <w:r>
              <w:rPr>
                <w:rFonts w:hint="eastAsia"/>
                <w:kern w:val="0"/>
              </w:rPr>
              <w:t>09</w:t>
            </w:r>
          </w:p>
        </w:tc>
        <w:tc>
          <w:tcPr>
            <w:tcW w:w="1151" w:type="dxa"/>
            <w:vAlign w:val="center"/>
          </w:tcPr>
          <w:p w:rsidR="00644456" w:rsidRDefault="008031C4">
            <w:pPr>
              <w:snapToGrid w:val="0"/>
              <w:jc w:val="center"/>
              <w:rPr>
                <w:kern w:val="0"/>
              </w:rPr>
            </w:pPr>
            <w:r>
              <w:rPr>
                <w:rFonts w:hint="eastAsia"/>
                <w:kern w:val="0"/>
              </w:rPr>
              <w:t>0.0013</w:t>
            </w:r>
          </w:p>
        </w:tc>
        <w:tc>
          <w:tcPr>
            <w:tcW w:w="1173" w:type="dxa"/>
            <w:vAlign w:val="center"/>
          </w:tcPr>
          <w:p w:rsidR="00644456" w:rsidRDefault="008031C4">
            <w:pPr>
              <w:jc w:val="center"/>
              <w:rPr>
                <w:color w:val="000000" w:themeColor="text1"/>
                <w:szCs w:val="21"/>
              </w:rPr>
            </w:pPr>
            <w:r>
              <w:rPr>
                <w:rFonts w:cs="Times New Roman" w:hint="eastAsia"/>
                <w:bCs/>
                <w:szCs w:val="21"/>
              </w:rPr>
              <w:t>70</w:t>
            </w:r>
          </w:p>
        </w:tc>
      </w:tr>
      <w:tr w:rsidR="00644456">
        <w:tc>
          <w:tcPr>
            <w:tcW w:w="2205" w:type="dxa"/>
            <w:vAlign w:val="center"/>
          </w:tcPr>
          <w:p w:rsidR="00644456" w:rsidRDefault="008031C4">
            <w:pPr>
              <w:snapToGrid w:val="0"/>
              <w:jc w:val="center"/>
              <w:rPr>
                <w:color w:val="000000" w:themeColor="text1"/>
                <w:szCs w:val="21"/>
              </w:rPr>
            </w:pPr>
            <w:r>
              <w:rPr>
                <w:rFonts w:hint="eastAsia"/>
                <w:color w:val="000000"/>
                <w:szCs w:val="21"/>
              </w:rPr>
              <w:t>pH</w:t>
            </w:r>
          </w:p>
        </w:tc>
        <w:tc>
          <w:tcPr>
            <w:tcW w:w="1015" w:type="dxa"/>
            <w:vAlign w:val="center"/>
          </w:tcPr>
          <w:p w:rsidR="00644456" w:rsidRDefault="008031C4">
            <w:pPr>
              <w:snapToGrid w:val="0"/>
              <w:jc w:val="center"/>
              <w:rPr>
                <w:color w:val="000000" w:themeColor="text1"/>
                <w:szCs w:val="21"/>
              </w:rPr>
            </w:pPr>
            <w:r>
              <w:rPr>
                <w:rFonts w:hint="eastAsia"/>
                <w:kern w:val="0"/>
              </w:rPr>
              <w:t>无量纲</w:t>
            </w:r>
          </w:p>
        </w:tc>
        <w:tc>
          <w:tcPr>
            <w:tcW w:w="1165" w:type="dxa"/>
            <w:vAlign w:val="center"/>
          </w:tcPr>
          <w:p w:rsidR="00644456" w:rsidRDefault="008031C4">
            <w:pPr>
              <w:widowControl/>
              <w:snapToGrid w:val="0"/>
              <w:jc w:val="center"/>
              <w:textAlignment w:val="center"/>
              <w:rPr>
                <w:color w:val="000000" w:themeColor="text1"/>
                <w:szCs w:val="21"/>
              </w:rPr>
            </w:pPr>
            <w:r>
              <w:rPr>
                <w:rFonts w:cs="Times New Roman" w:hint="eastAsia"/>
                <w:color w:val="000000"/>
                <w:szCs w:val="21"/>
              </w:rPr>
              <w:t>8.17</w:t>
            </w:r>
          </w:p>
        </w:tc>
        <w:tc>
          <w:tcPr>
            <w:tcW w:w="1151" w:type="dxa"/>
            <w:vAlign w:val="center"/>
          </w:tcPr>
          <w:p w:rsidR="00644456" w:rsidRDefault="008031C4">
            <w:pPr>
              <w:snapToGrid w:val="0"/>
              <w:jc w:val="center"/>
              <w:rPr>
                <w:kern w:val="0"/>
              </w:rPr>
            </w:pPr>
            <w:r>
              <w:rPr>
                <w:rFonts w:cs="Times New Roman" w:hint="eastAsia"/>
                <w:bCs/>
                <w:szCs w:val="21"/>
              </w:rPr>
              <w:t>--</w:t>
            </w:r>
          </w:p>
        </w:tc>
        <w:tc>
          <w:tcPr>
            <w:tcW w:w="1165" w:type="dxa"/>
            <w:vAlign w:val="center"/>
          </w:tcPr>
          <w:p w:rsidR="00644456" w:rsidRDefault="008031C4">
            <w:pPr>
              <w:widowControl/>
              <w:snapToGrid w:val="0"/>
              <w:jc w:val="center"/>
              <w:textAlignment w:val="center"/>
              <w:rPr>
                <w:kern w:val="0"/>
              </w:rPr>
            </w:pPr>
            <w:r>
              <w:rPr>
                <w:rFonts w:hint="eastAsia"/>
                <w:kern w:val="0"/>
              </w:rPr>
              <w:t>8.15</w:t>
            </w:r>
          </w:p>
        </w:tc>
        <w:tc>
          <w:tcPr>
            <w:tcW w:w="1151" w:type="dxa"/>
            <w:vAlign w:val="center"/>
          </w:tcPr>
          <w:p w:rsidR="00644456" w:rsidRDefault="008031C4">
            <w:pPr>
              <w:snapToGrid w:val="0"/>
              <w:jc w:val="center"/>
              <w:rPr>
                <w:kern w:val="0"/>
              </w:rPr>
            </w:pPr>
            <w:r>
              <w:rPr>
                <w:rFonts w:cs="Times New Roman" w:hint="eastAsia"/>
                <w:bCs/>
                <w:szCs w:val="21"/>
              </w:rPr>
              <w:t>--</w:t>
            </w:r>
          </w:p>
        </w:tc>
        <w:tc>
          <w:tcPr>
            <w:tcW w:w="1173" w:type="dxa"/>
            <w:vAlign w:val="center"/>
          </w:tcPr>
          <w:p w:rsidR="00644456" w:rsidRDefault="008031C4">
            <w:pPr>
              <w:jc w:val="center"/>
              <w:rPr>
                <w:color w:val="000000" w:themeColor="text1"/>
                <w:szCs w:val="21"/>
              </w:rPr>
            </w:pPr>
            <w:r>
              <w:rPr>
                <w:rFonts w:cs="Times New Roman" w:hint="eastAsia"/>
                <w:bCs/>
                <w:szCs w:val="21"/>
              </w:rPr>
              <w:t>--</w:t>
            </w:r>
          </w:p>
        </w:tc>
      </w:tr>
      <w:tr w:rsidR="00644456">
        <w:tc>
          <w:tcPr>
            <w:tcW w:w="2205" w:type="dxa"/>
            <w:vAlign w:val="center"/>
          </w:tcPr>
          <w:p w:rsidR="00644456" w:rsidRDefault="008031C4">
            <w:pPr>
              <w:snapToGrid w:val="0"/>
              <w:jc w:val="center"/>
              <w:rPr>
                <w:color w:val="000000" w:themeColor="text1"/>
                <w:szCs w:val="21"/>
              </w:rPr>
            </w:pPr>
            <w:r>
              <w:rPr>
                <w:rFonts w:cs="Times New Roman" w:hint="eastAsia"/>
                <w:bCs/>
                <w:kern w:val="0"/>
                <w:szCs w:val="24"/>
              </w:rPr>
              <w:t>石油烃（</w:t>
            </w:r>
            <w:r>
              <w:rPr>
                <w:rFonts w:cs="Times New Roman" w:hint="eastAsia"/>
                <w:bCs/>
                <w:kern w:val="0"/>
                <w:szCs w:val="24"/>
              </w:rPr>
              <w:t>C</w:t>
            </w:r>
            <w:r>
              <w:rPr>
                <w:rFonts w:cs="Times New Roman" w:hint="eastAsia"/>
                <w:bCs/>
                <w:kern w:val="0"/>
                <w:szCs w:val="24"/>
                <w:vertAlign w:val="subscript"/>
              </w:rPr>
              <w:t>10</w:t>
            </w:r>
            <w:r>
              <w:rPr>
                <w:rFonts w:cs="Times New Roman" w:hint="eastAsia"/>
                <w:bCs/>
                <w:kern w:val="0"/>
                <w:szCs w:val="24"/>
              </w:rPr>
              <w:t>-C</w:t>
            </w:r>
            <w:r>
              <w:rPr>
                <w:rFonts w:cs="Times New Roman" w:hint="eastAsia"/>
                <w:bCs/>
                <w:kern w:val="0"/>
                <w:szCs w:val="24"/>
                <w:vertAlign w:val="subscript"/>
              </w:rPr>
              <w:t>40</w:t>
            </w:r>
            <w:r>
              <w:rPr>
                <w:rFonts w:cs="Times New Roman" w:hint="eastAsia"/>
                <w:bCs/>
                <w:kern w:val="0"/>
                <w:szCs w:val="24"/>
              </w:rPr>
              <w:t>）</w:t>
            </w:r>
          </w:p>
        </w:tc>
        <w:tc>
          <w:tcPr>
            <w:tcW w:w="1015" w:type="dxa"/>
            <w:vAlign w:val="center"/>
          </w:tcPr>
          <w:p w:rsidR="00644456" w:rsidRDefault="008031C4">
            <w:pPr>
              <w:snapToGrid w:val="0"/>
              <w:jc w:val="center"/>
              <w:rPr>
                <w:color w:val="000000" w:themeColor="text1"/>
                <w:szCs w:val="21"/>
              </w:rPr>
            </w:pPr>
            <w:r>
              <w:rPr>
                <w:kern w:val="0"/>
              </w:rPr>
              <w:t>mg/</w:t>
            </w:r>
            <w:r>
              <w:rPr>
                <w:rFonts w:hint="eastAsia"/>
                <w:kern w:val="0"/>
              </w:rPr>
              <w:t>kg</w:t>
            </w:r>
          </w:p>
        </w:tc>
        <w:tc>
          <w:tcPr>
            <w:tcW w:w="1165" w:type="dxa"/>
            <w:vAlign w:val="center"/>
          </w:tcPr>
          <w:p w:rsidR="00644456" w:rsidRDefault="008031C4">
            <w:pPr>
              <w:widowControl/>
              <w:snapToGrid w:val="0"/>
              <w:jc w:val="center"/>
              <w:textAlignment w:val="center"/>
              <w:rPr>
                <w:color w:val="000000" w:themeColor="text1"/>
                <w:szCs w:val="21"/>
              </w:rPr>
            </w:pPr>
            <w:r>
              <w:rPr>
                <w:rFonts w:cs="Times New Roman" w:hint="eastAsia"/>
                <w:color w:val="000000"/>
                <w:szCs w:val="21"/>
              </w:rPr>
              <w:t>13</w:t>
            </w:r>
          </w:p>
        </w:tc>
        <w:tc>
          <w:tcPr>
            <w:tcW w:w="1151" w:type="dxa"/>
            <w:vAlign w:val="center"/>
          </w:tcPr>
          <w:p w:rsidR="00644456" w:rsidRDefault="008031C4">
            <w:pPr>
              <w:snapToGrid w:val="0"/>
              <w:jc w:val="center"/>
              <w:rPr>
                <w:kern w:val="0"/>
              </w:rPr>
            </w:pPr>
            <w:r>
              <w:rPr>
                <w:rFonts w:hint="eastAsia"/>
                <w:kern w:val="0"/>
              </w:rPr>
              <w:t>0.0029</w:t>
            </w:r>
          </w:p>
        </w:tc>
        <w:tc>
          <w:tcPr>
            <w:tcW w:w="1165" w:type="dxa"/>
            <w:vAlign w:val="center"/>
          </w:tcPr>
          <w:p w:rsidR="00644456" w:rsidRDefault="008031C4">
            <w:pPr>
              <w:widowControl/>
              <w:snapToGrid w:val="0"/>
              <w:jc w:val="center"/>
              <w:textAlignment w:val="center"/>
              <w:rPr>
                <w:kern w:val="0"/>
              </w:rPr>
            </w:pPr>
            <w:r>
              <w:rPr>
                <w:rFonts w:hint="eastAsia"/>
                <w:kern w:val="0"/>
              </w:rPr>
              <w:t>11</w:t>
            </w:r>
          </w:p>
        </w:tc>
        <w:tc>
          <w:tcPr>
            <w:tcW w:w="1151" w:type="dxa"/>
            <w:vAlign w:val="center"/>
          </w:tcPr>
          <w:p w:rsidR="00644456" w:rsidRDefault="008031C4">
            <w:pPr>
              <w:snapToGrid w:val="0"/>
              <w:jc w:val="center"/>
              <w:rPr>
                <w:kern w:val="0"/>
              </w:rPr>
            </w:pPr>
            <w:r>
              <w:rPr>
                <w:rFonts w:hint="eastAsia"/>
                <w:kern w:val="0"/>
              </w:rPr>
              <w:t>0.0024</w:t>
            </w:r>
          </w:p>
        </w:tc>
        <w:tc>
          <w:tcPr>
            <w:tcW w:w="1173" w:type="dxa"/>
            <w:vAlign w:val="center"/>
          </w:tcPr>
          <w:p w:rsidR="00644456" w:rsidRDefault="008031C4">
            <w:pPr>
              <w:jc w:val="center"/>
              <w:rPr>
                <w:color w:val="000000" w:themeColor="text1"/>
                <w:szCs w:val="21"/>
              </w:rPr>
            </w:pPr>
            <w:r>
              <w:rPr>
                <w:rFonts w:cs="Times New Roman" w:hint="eastAsia"/>
                <w:bCs/>
                <w:szCs w:val="21"/>
              </w:rPr>
              <w:t>4500</w:t>
            </w:r>
          </w:p>
        </w:tc>
      </w:tr>
      <w:tr w:rsidR="00644456">
        <w:tc>
          <w:tcPr>
            <w:tcW w:w="2205" w:type="dxa"/>
            <w:vAlign w:val="center"/>
          </w:tcPr>
          <w:p w:rsidR="00644456" w:rsidRDefault="008031C4">
            <w:pPr>
              <w:snapToGrid w:val="0"/>
              <w:jc w:val="center"/>
              <w:rPr>
                <w:color w:val="000000" w:themeColor="text1"/>
                <w:szCs w:val="21"/>
              </w:rPr>
            </w:pPr>
            <w:r>
              <w:rPr>
                <w:rFonts w:hint="eastAsia"/>
                <w:color w:val="000000"/>
                <w:szCs w:val="21"/>
              </w:rPr>
              <w:t>砷</w:t>
            </w:r>
          </w:p>
        </w:tc>
        <w:tc>
          <w:tcPr>
            <w:tcW w:w="1015" w:type="dxa"/>
            <w:vAlign w:val="center"/>
          </w:tcPr>
          <w:p w:rsidR="00644456" w:rsidRDefault="008031C4">
            <w:pPr>
              <w:snapToGrid w:val="0"/>
              <w:jc w:val="center"/>
              <w:rPr>
                <w:color w:val="000000" w:themeColor="text1"/>
                <w:szCs w:val="21"/>
              </w:rPr>
            </w:pPr>
            <w:r>
              <w:rPr>
                <w:kern w:val="0"/>
              </w:rPr>
              <w:t>mg/</w:t>
            </w:r>
            <w:r>
              <w:rPr>
                <w:rFonts w:hint="eastAsia"/>
                <w:kern w:val="0"/>
              </w:rPr>
              <w:t>kg</w:t>
            </w:r>
          </w:p>
        </w:tc>
        <w:tc>
          <w:tcPr>
            <w:tcW w:w="1165" w:type="dxa"/>
            <w:vAlign w:val="center"/>
          </w:tcPr>
          <w:p w:rsidR="00644456" w:rsidRDefault="008031C4">
            <w:pPr>
              <w:widowControl/>
              <w:snapToGrid w:val="0"/>
              <w:jc w:val="center"/>
              <w:textAlignment w:val="center"/>
              <w:rPr>
                <w:color w:val="000000" w:themeColor="text1"/>
                <w:szCs w:val="21"/>
              </w:rPr>
            </w:pPr>
            <w:r>
              <w:rPr>
                <w:rFonts w:cs="Times New Roman" w:hint="eastAsia"/>
                <w:color w:val="000000"/>
                <w:szCs w:val="21"/>
              </w:rPr>
              <w:t>16.9</w:t>
            </w:r>
          </w:p>
        </w:tc>
        <w:tc>
          <w:tcPr>
            <w:tcW w:w="1151" w:type="dxa"/>
            <w:vAlign w:val="center"/>
          </w:tcPr>
          <w:p w:rsidR="00644456" w:rsidRDefault="008031C4">
            <w:pPr>
              <w:snapToGrid w:val="0"/>
              <w:jc w:val="center"/>
              <w:rPr>
                <w:kern w:val="0"/>
              </w:rPr>
            </w:pPr>
            <w:r>
              <w:rPr>
                <w:rFonts w:hint="eastAsia"/>
                <w:kern w:val="0"/>
              </w:rPr>
              <w:t>0.2817</w:t>
            </w:r>
          </w:p>
        </w:tc>
        <w:tc>
          <w:tcPr>
            <w:tcW w:w="1165" w:type="dxa"/>
            <w:vAlign w:val="center"/>
          </w:tcPr>
          <w:p w:rsidR="00644456" w:rsidRDefault="008031C4">
            <w:pPr>
              <w:widowControl/>
              <w:snapToGrid w:val="0"/>
              <w:jc w:val="center"/>
              <w:textAlignment w:val="center"/>
              <w:rPr>
                <w:kern w:val="0"/>
              </w:rPr>
            </w:pPr>
            <w:r>
              <w:rPr>
                <w:rFonts w:hint="eastAsia"/>
                <w:kern w:val="0"/>
              </w:rPr>
              <w:t>15.1</w:t>
            </w:r>
          </w:p>
        </w:tc>
        <w:tc>
          <w:tcPr>
            <w:tcW w:w="1151" w:type="dxa"/>
            <w:vAlign w:val="center"/>
          </w:tcPr>
          <w:p w:rsidR="00644456" w:rsidRDefault="008031C4">
            <w:pPr>
              <w:snapToGrid w:val="0"/>
              <w:jc w:val="center"/>
              <w:rPr>
                <w:kern w:val="0"/>
              </w:rPr>
            </w:pPr>
            <w:r>
              <w:rPr>
                <w:rFonts w:hint="eastAsia"/>
                <w:kern w:val="0"/>
              </w:rPr>
              <w:t>0.2517</w:t>
            </w:r>
          </w:p>
        </w:tc>
        <w:tc>
          <w:tcPr>
            <w:tcW w:w="1173" w:type="dxa"/>
            <w:vAlign w:val="center"/>
          </w:tcPr>
          <w:p w:rsidR="00644456" w:rsidRDefault="008031C4">
            <w:pPr>
              <w:jc w:val="center"/>
              <w:rPr>
                <w:color w:val="000000" w:themeColor="text1"/>
                <w:szCs w:val="21"/>
              </w:rPr>
            </w:pPr>
            <w:r>
              <w:rPr>
                <w:rFonts w:cs="Times New Roman" w:hint="eastAsia"/>
                <w:bCs/>
                <w:szCs w:val="21"/>
              </w:rPr>
              <w:t>60</w:t>
            </w:r>
          </w:p>
        </w:tc>
      </w:tr>
      <w:tr w:rsidR="00644456">
        <w:tc>
          <w:tcPr>
            <w:tcW w:w="2205" w:type="dxa"/>
            <w:vAlign w:val="center"/>
          </w:tcPr>
          <w:p w:rsidR="00644456" w:rsidRDefault="008031C4">
            <w:pPr>
              <w:snapToGrid w:val="0"/>
              <w:jc w:val="center"/>
              <w:rPr>
                <w:color w:val="000000" w:themeColor="text1"/>
                <w:szCs w:val="21"/>
              </w:rPr>
            </w:pPr>
            <w:r>
              <w:rPr>
                <w:rFonts w:hint="eastAsia"/>
                <w:color w:val="000000"/>
                <w:szCs w:val="21"/>
              </w:rPr>
              <w:t>铅</w:t>
            </w:r>
          </w:p>
        </w:tc>
        <w:tc>
          <w:tcPr>
            <w:tcW w:w="1015" w:type="dxa"/>
            <w:vAlign w:val="center"/>
          </w:tcPr>
          <w:p w:rsidR="00644456" w:rsidRDefault="008031C4">
            <w:pPr>
              <w:snapToGrid w:val="0"/>
              <w:jc w:val="center"/>
              <w:rPr>
                <w:color w:val="000000" w:themeColor="text1"/>
                <w:szCs w:val="21"/>
              </w:rPr>
            </w:pPr>
            <w:r>
              <w:rPr>
                <w:kern w:val="0"/>
              </w:rPr>
              <w:t>mg/</w:t>
            </w:r>
            <w:r>
              <w:rPr>
                <w:rFonts w:hint="eastAsia"/>
                <w:kern w:val="0"/>
              </w:rPr>
              <w:t>kg</w:t>
            </w:r>
          </w:p>
        </w:tc>
        <w:tc>
          <w:tcPr>
            <w:tcW w:w="1165" w:type="dxa"/>
            <w:vAlign w:val="center"/>
          </w:tcPr>
          <w:p w:rsidR="00644456" w:rsidRDefault="008031C4">
            <w:pPr>
              <w:widowControl/>
              <w:snapToGrid w:val="0"/>
              <w:jc w:val="center"/>
              <w:textAlignment w:val="center"/>
              <w:rPr>
                <w:color w:val="000000" w:themeColor="text1"/>
                <w:szCs w:val="21"/>
              </w:rPr>
            </w:pPr>
            <w:r>
              <w:rPr>
                <w:rFonts w:cs="Times New Roman" w:hint="eastAsia"/>
                <w:color w:val="000000"/>
                <w:szCs w:val="21"/>
              </w:rPr>
              <w:t>28</w:t>
            </w:r>
          </w:p>
        </w:tc>
        <w:tc>
          <w:tcPr>
            <w:tcW w:w="1151" w:type="dxa"/>
            <w:vAlign w:val="center"/>
          </w:tcPr>
          <w:p w:rsidR="00644456" w:rsidRDefault="008031C4">
            <w:pPr>
              <w:snapToGrid w:val="0"/>
              <w:jc w:val="center"/>
              <w:rPr>
                <w:kern w:val="0"/>
              </w:rPr>
            </w:pPr>
            <w:r>
              <w:rPr>
                <w:rFonts w:hint="eastAsia"/>
                <w:kern w:val="0"/>
              </w:rPr>
              <w:t>0.0350</w:t>
            </w:r>
          </w:p>
        </w:tc>
        <w:tc>
          <w:tcPr>
            <w:tcW w:w="1165" w:type="dxa"/>
            <w:vAlign w:val="center"/>
          </w:tcPr>
          <w:p w:rsidR="00644456" w:rsidRDefault="008031C4">
            <w:pPr>
              <w:widowControl/>
              <w:snapToGrid w:val="0"/>
              <w:jc w:val="center"/>
              <w:textAlignment w:val="center"/>
              <w:rPr>
                <w:kern w:val="0"/>
              </w:rPr>
            </w:pPr>
            <w:r>
              <w:rPr>
                <w:rFonts w:hint="eastAsia"/>
                <w:kern w:val="0"/>
              </w:rPr>
              <w:t>25</w:t>
            </w:r>
          </w:p>
        </w:tc>
        <w:tc>
          <w:tcPr>
            <w:tcW w:w="1151" w:type="dxa"/>
            <w:vAlign w:val="center"/>
          </w:tcPr>
          <w:p w:rsidR="00644456" w:rsidRDefault="008031C4">
            <w:pPr>
              <w:snapToGrid w:val="0"/>
              <w:jc w:val="center"/>
              <w:rPr>
                <w:kern w:val="0"/>
              </w:rPr>
            </w:pPr>
            <w:r>
              <w:rPr>
                <w:rFonts w:hint="eastAsia"/>
                <w:kern w:val="0"/>
              </w:rPr>
              <w:t>0.0313</w:t>
            </w:r>
          </w:p>
        </w:tc>
        <w:tc>
          <w:tcPr>
            <w:tcW w:w="1173" w:type="dxa"/>
            <w:vAlign w:val="center"/>
          </w:tcPr>
          <w:p w:rsidR="00644456" w:rsidRDefault="008031C4">
            <w:pPr>
              <w:jc w:val="center"/>
              <w:rPr>
                <w:color w:val="000000" w:themeColor="text1"/>
                <w:szCs w:val="21"/>
              </w:rPr>
            </w:pPr>
            <w:r>
              <w:rPr>
                <w:rFonts w:cs="Times New Roman" w:hint="eastAsia"/>
                <w:bCs/>
                <w:szCs w:val="21"/>
              </w:rPr>
              <w:t>800</w:t>
            </w:r>
          </w:p>
        </w:tc>
      </w:tr>
      <w:tr w:rsidR="00644456">
        <w:tc>
          <w:tcPr>
            <w:tcW w:w="2205" w:type="dxa"/>
            <w:vAlign w:val="center"/>
          </w:tcPr>
          <w:p w:rsidR="00644456" w:rsidRDefault="008031C4">
            <w:pPr>
              <w:snapToGrid w:val="0"/>
              <w:jc w:val="center"/>
              <w:rPr>
                <w:color w:val="000000" w:themeColor="text1"/>
                <w:szCs w:val="21"/>
              </w:rPr>
            </w:pPr>
            <w:r>
              <w:rPr>
                <w:rFonts w:hint="eastAsia"/>
                <w:color w:val="000000"/>
                <w:szCs w:val="21"/>
              </w:rPr>
              <w:t>汞</w:t>
            </w:r>
          </w:p>
        </w:tc>
        <w:tc>
          <w:tcPr>
            <w:tcW w:w="1015" w:type="dxa"/>
            <w:vAlign w:val="center"/>
          </w:tcPr>
          <w:p w:rsidR="00644456" w:rsidRDefault="008031C4">
            <w:pPr>
              <w:snapToGrid w:val="0"/>
              <w:jc w:val="center"/>
              <w:rPr>
                <w:color w:val="000000" w:themeColor="text1"/>
                <w:szCs w:val="21"/>
              </w:rPr>
            </w:pPr>
            <w:r>
              <w:rPr>
                <w:kern w:val="0"/>
              </w:rPr>
              <w:t>mg/</w:t>
            </w:r>
            <w:r>
              <w:rPr>
                <w:rFonts w:hint="eastAsia"/>
                <w:kern w:val="0"/>
              </w:rPr>
              <w:t>kg</w:t>
            </w:r>
          </w:p>
        </w:tc>
        <w:tc>
          <w:tcPr>
            <w:tcW w:w="1165" w:type="dxa"/>
            <w:vAlign w:val="center"/>
          </w:tcPr>
          <w:p w:rsidR="00644456" w:rsidRDefault="008031C4">
            <w:pPr>
              <w:widowControl/>
              <w:snapToGrid w:val="0"/>
              <w:jc w:val="center"/>
              <w:textAlignment w:val="center"/>
              <w:rPr>
                <w:color w:val="000000" w:themeColor="text1"/>
                <w:szCs w:val="21"/>
              </w:rPr>
            </w:pPr>
            <w:r>
              <w:rPr>
                <w:rFonts w:cs="Times New Roman" w:hint="eastAsia"/>
                <w:color w:val="000000"/>
                <w:szCs w:val="21"/>
              </w:rPr>
              <w:t>0.116</w:t>
            </w:r>
          </w:p>
        </w:tc>
        <w:tc>
          <w:tcPr>
            <w:tcW w:w="1151" w:type="dxa"/>
            <w:vAlign w:val="center"/>
          </w:tcPr>
          <w:p w:rsidR="00644456" w:rsidRDefault="008031C4">
            <w:pPr>
              <w:snapToGrid w:val="0"/>
              <w:jc w:val="center"/>
              <w:rPr>
                <w:kern w:val="0"/>
              </w:rPr>
            </w:pPr>
            <w:r>
              <w:rPr>
                <w:rFonts w:hint="eastAsia"/>
                <w:kern w:val="0"/>
              </w:rPr>
              <w:t>0.0031</w:t>
            </w:r>
          </w:p>
        </w:tc>
        <w:tc>
          <w:tcPr>
            <w:tcW w:w="1165" w:type="dxa"/>
            <w:vAlign w:val="center"/>
          </w:tcPr>
          <w:p w:rsidR="00644456" w:rsidRDefault="008031C4">
            <w:pPr>
              <w:widowControl/>
              <w:snapToGrid w:val="0"/>
              <w:jc w:val="center"/>
              <w:textAlignment w:val="center"/>
              <w:rPr>
                <w:kern w:val="0"/>
              </w:rPr>
            </w:pPr>
            <w:r>
              <w:rPr>
                <w:rFonts w:hint="eastAsia"/>
                <w:kern w:val="0"/>
              </w:rPr>
              <w:t>0.137</w:t>
            </w:r>
          </w:p>
        </w:tc>
        <w:tc>
          <w:tcPr>
            <w:tcW w:w="1151" w:type="dxa"/>
            <w:vAlign w:val="center"/>
          </w:tcPr>
          <w:p w:rsidR="00644456" w:rsidRDefault="008031C4">
            <w:pPr>
              <w:snapToGrid w:val="0"/>
              <w:jc w:val="center"/>
              <w:rPr>
                <w:kern w:val="0"/>
              </w:rPr>
            </w:pPr>
            <w:r>
              <w:rPr>
                <w:rFonts w:hint="eastAsia"/>
                <w:kern w:val="0"/>
              </w:rPr>
              <w:t>0.0036</w:t>
            </w:r>
          </w:p>
        </w:tc>
        <w:tc>
          <w:tcPr>
            <w:tcW w:w="1173" w:type="dxa"/>
            <w:vAlign w:val="center"/>
          </w:tcPr>
          <w:p w:rsidR="00644456" w:rsidRDefault="008031C4">
            <w:pPr>
              <w:jc w:val="center"/>
              <w:rPr>
                <w:color w:val="000000" w:themeColor="text1"/>
                <w:szCs w:val="21"/>
              </w:rPr>
            </w:pPr>
            <w:r>
              <w:rPr>
                <w:rFonts w:cs="Times New Roman" w:hint="eastAsia"/>
                <w:bCs/>
                <w:szCs w:val="21"/>
              </w:rPr>
              <w:t>38</w:t>
            </w:r>
          </w:p>
        </w:tc>
      </w:tr>
      <w:tr w:rsidR="00644456">
        <w:tc>
          <w:tcPr>
            <w:tcW w:w="2205" w:type="dxa"/>
            <w:vAlign w:val="center"/>
          </w:tcPr>
          <w:p w:rsidR="00644456" w:rsidRDefault="008031C4">
            <w:pPr>
              <w:snapToGrid w:val="0"/>
              <w:jc w:val="center"/>
              <w:rPr>
                <w:color w:val="000000" w:themeColor="text1"/>
                <w:szCs w:val="21"/>
              </w:rPr>
            </w:pPr>
            <w:r>
              <w:rPr>
                <w:rFonts w:hint="eastAsia"/>
                <w:color w:val="000000"/>
                <w:szCs w:val="21"/>
              </w:rPr>
              <w:t>镉</w:t>
            </w:r>
          </w:p>
        </w:tc>
        <w:tc>
          <w:tcPr>
            <w:tcW w:w="1015" w:type="dxa"/>
            <w:vAlign w:val="center"/>
          </w:tcPr>
          <w:p w:rsidR="00644456" w:rsidRDefault="008031C4">
            <w:pPr>
              <w:snapToGrid w:val="0"/>
              <w:jc w:val="center"/>
              <w:rPr>
                <w:color w:val="000000" w:themeColor="text1"/>
                <w:szCs w:val="21"/>
              </w:rPr>
            </w:pPr>
            <w:r>
              <w:rPr>
                <w:kern w:val="0"/>
              </w:rPr>
              <w:t>mg/</w:t>
            </w:r>
            <w:r>
              <w:rPr>
                <w:rFonts w:hint="eastAsia"/>
                <w:kern w:val="0"/>
              </w:rPr>
              <w:t>kg</w:t>
            </w:r>
          </w:p>
        </w:tc>
        <w:tc>
          <w:tcPr>
            <w:tcW w:w="1165" w:type="dxa"/>
            <w:vAlign w:val="center"/>
          </w:tcPr>
          <w:p w:rsidR="00644456" w:rsidRDefault="008031C4">
            <w:pPr>
              <w:widowControl/>
              <w:snapToGrid w:val="0"/>
              <w:jc w:val="center"/>
              <w:textAlignment w:val="center"/>
              <w:rPr>
                <w:color w:val="000000" w:themeColor="text1"/>
                <w:szCs w:val="21"/>
              </w:rPr>
            </w:pPr>
            <w:r>
              <w:rPr>
                <w:rFonts w:cs="Times New Roman" w:hint="eastAsia"/>
                <w:color w:val="000000"/>
                <w:szCs w:val="21"/>
              </w:rPr>
              <w:t>0.32</w:t>
            </w:r>
          </w:p>
        </w:tc>
        <w:tc>
          <w:tcPr>
            <w:tcW w:w="1151" w:type="dxa"/>
            <w:vAlign w:val="center"/>
          </w:tcPr>
          <w:p w:rsidR="00644456" w:rsidRDefault="008031C4">
            <w:pPr>
              <w:snapToGrid w:val="0"/>
              <w:jc w:val="center"/>
              <w:rPr>
                <w:kern w:val="0"/>
              </w:rPr>
            </w:pPr>
            <w:r>
              <w:rPr>
                <w:rFonts w:hint="eastAsia"/>
                <w:kern w:val="0"/>
              </w:rPr>
              <w:t>0.0049</w:t>
            </w:r>
          </w:p>
        </w:tc>
        <w:tc>
          <w:tcPr>
            <w:tcW w:w="1165" w:type="dxa"/>
            <w:vAlign w:val="center"/>
          </w:tcPr>
          <w:p w:rsidR="00644456" w:rsidRDefault="008031C4">
            <w:pPr>
              <w:widowControl/>
              <w:snapToGrid w:val="0"/>
              <w:jc w:val="center"/>
              <w:textAlignment w:val="center"/>
              <w:rPr>
                <w:kern w:val="0"/>
              </w:rPr>
            </w:pPr>
            <w:r>
              <w:rPr>
                <w:rFonts w:hint="eastAsia"/>
                <w:kern w:val="0"/>
              </w:rPr>
              <w:t>0.35</w:t>
            </w:r>
          </w:p>
        </w:tc>
        <w:tc>
          <w:tcPr>
            <w:tcW w:w="1151" w:type="dxa"/>
            <w:vAlign w:val="center"/>
          </w:tcPr>
          <w:p w:rsidR="00644456" w:rsidRDefault="008031C4">
            <w:pPr>
              <w:snapToGrid w:val="0"/>
              <w:jc w:val="center"/>
              <w:rPr>
                <w:kern w:val="0"/>
              </w:rPr>
            </w:pPr>
            <w:r>
              <w:rPr>
                <w:rFonts w:hint="eastAsia"/>
                <w:kern w:val="0"/>
              </w:rPr>
              <w:t>0.0054</w:t>
            </w:r>
          </w:p>
        </w:tc>
        <w:tc>
          <w:tcPr>
            <w:tcW w:w="1173" w:type="dxa"/>
            <w:vAlign w:val="center"/>
          </w:tcPr>
          <w:p w:rsidR="00644456" w:rsidRDefault="008031C4">
            <w:pPr>
              <w:jc w:val="center"/>
              <w:rPr>
                <w:color w:val="000000" w:themeColor="text1"/>
                <w:szCs w:val="21"/>
              </w:rPr>
            </w:pPr>
            <w:r>
              <w:rPr>
                <w:rFonts w:cs="Times New Roman" w:hint="eastAsia"/>
                <w:color w:val="000000"/>
                <w:szCs w:val="21"/>
              </w:rPr>
              <w:t>65</w:t>
            </w:r>
          </w:p>
        </w:tc>
      </w:tr>
      <w:tr w:rsidR="00644456">
        <w:tc>
          <w:tcPr>
            <w:tcW w:w="2205" w:type="dxa"/>
            <w:vAlign w:val="center"/>
          </w:tcPr>
          <w:p w:rsidR="00644456" w:rsidRDefault="008031C4">
            <w:pPr>
              <w:snapToGrid w:val="0"/>
              <w:jc w:val="center"/>
              <w:rPr>
                <w:color w:val="000000" w:themeColor="text1"/>
                <w:szCs w:val="21"/>
              </w:rPr>
            </w:pPr>
            <w:r>
              <w:rPr>
                <w:rFonts w:hint="eastAsia"/>
                <w:color w:val="000000"/>
                <w:szCs w:val="21"/>
              </w:rPr>
              <w:t>铜</w:t>
            </w:r>
          </w:p>
        </w:tc>
        <w:tc>
          <w:tcPr>
            <w:tcW w:w="1015" w:type="dxa"/>
            <w:vAlign w:val="center"/>
          </w:tcPr>
          <w:p w:rsidR="00644456" w:rsidRDefault="008031C4">
            <w:pPr>
              <w:snapToGrid w:val="0"/>
              <w:jc w:val="center"/>
              <w:rPr>
                <w:color w:val="000000" w:themeColor="text1"/>
                <w:szCs w:val="21"/>
              </w:rPr>
            </w:pPr>
            <w:r>
              <w:rPr>
                <w:kern w:val="0"/>
              </w:rPr>
              <w:t>mg/</w:t>
            </w:r>
            <w:r>
              <w:rPr>
                <w:rFonts w:hint="eastAsia"/>
                <w:kern w:val="0"/>
              </w:rPr>
              <w:t>kg</w:t>
            </w:r>
          </w:p>
        </w:tc>
        <w:tc>
          <w:tcPr>
            <w:tcW w:w="1165" w:type="dxa"/>
            <w:vAlign w:val="center"/>
          </w:tcPr>
          <w:p w:rsidR="00644456" w:rsidRDefault="008031C4">
            <w:pPr>
              <w:widowControl/>
              <w:snapToGrid w:val="0"/>
              <w:jc w:val="center"/>
              <w:textAlignment w:val="center"/>
              <w:rPr>
                <w:color w:val="000000" w:themeColor="text1"/>
                <w:szCs w:val="21"/>
              </w:rPr>
            </w:pPr>
            <w:r>
              <w:rPr>
                <w:rFonts w:cs="Times New Roman" w:hint="eastAsia"/>
                <w:color w:val="000000"/>
                <w:szCs w:val="21"/>
              </w:rPr>
              <w:t>28</w:t>
            </w:r>
          </w:p>
        </w:tc>
        <w:tc>
          <w:tcPr>
            <w:tcW w:w="1151" w:type="dxa"/>
            <w:vAlign w:val="center"/>
          </w:tcPr>
          <w:p w:rsidR="00644456" w:rsidRDefault="008031C4">
            <w:pPr>
              <w:snapToGrid w:val="0"/>
              <w:jc w:val="center"/>
              <w:rPr>
                <w:kern w:val="0"/>
              </w:rPr>
            </w:pPr>
            <w:r>
              <w:rPr>
                <w:rFonts w:hint="eastAsia"/>
                <w:kern w:val="0"/>
              </w:rPr>
              <w:t>0.0016</w:t>
            </w:r>
          </w:p>
        </w:tc>
        <w:tc>
          <w:tcPr>
            <w:tcW w:w="1165" w:type="dxa"/>
            <w:vAlign w:val="center"/>
          </w:tcPr>
          <w:p w:rsidR="00644456" w:rsidRDefault="008031C4">
            <w:pPr>
              <w:widowControl/>
              <w:snapToGrid w:val="0"/>
              <w:jc w:val="center"/>
              <w:textAlignment w:val="center"/>
              <w:rPr>
                <w:kern w:val="0"/>
              </w:rPr>
            </w:pPr>
            <w:r>
              <w:rPr>
                <w:rFonts w:hint="eastAsia"/>
                <w:kern w:val="0"/>
              </w:rPr>
              <w:t>27</w:t>
            </w:r>
          </w:p>
        </w:tc>
        <w:tc>
          <w:tcPr>
            <w:tcW w:w="1151" w:type="dxa"/>
            <w:vAlign w:val="center"/>
          </w:tcPr>
          <w:p w:rsidR="00644456" w:rsidRDefault="008031C4">
            <w:pPr>
              <w:snapToGrid w:val="0"/>
              <w:jc w:val="center"/>
              <w:rPr>
                <w:kern w:val="0"/>
              </w:rPr>
            </w:pPr>
            <w:r>
              <w:rPr>
                <w:rFonts w:hint="eastAsia"/>
                <w:kern w:val="0"/>
              </w:rPr>
              <w:t>0.0015</w:t>
            </w:r>
          </w:p>
        </w:tc>
        <w:tc>
          <w:tcPr>
            <w:tcW w:w="1173" w:type="dxa"/>
            <w:vAlign w:val="center"/>
          </w:tcPr>
          <w:p w:rsidR="00644456" w:rsidRDefault="008031C4">
            <w:pPr>
              <w:jc w:val="center"/>
              <w:rPr>
                <w:color w:val="000000" w:themeColor="text1"/>
                <w:szCs w:val="21"/>
              </w:rPr>
            </w:pPr>
            <w:r>
              <w:rPr>
                <w:rFonts w:cs="Times New Roman" w:hint="eastAsia"/>
                <w:bCs/>
                <w:szCs w:val="21"/>
              </w:rPr>
              <w:t>18000</w:t>
            </w:r>
          </w:p>
        </w:tc>
      </w:tr>
      <w:tr w:rsidR="00644456">
        <w:tc>
          <w:tcPr>
            <w:tcW w:w="2205" w:type="dxa"/>
            <w:vAlign w:val="center"/>
          </w:tcPr>
          <w:p w:rsidR="00644456" w:rsidRDefault="008031C4">
            <w:pPr>
              <w:snapToGrid w:val="0"/>
              <w:jc w:val="center"/>
              <w:rPr>
                <w:color w:val="000000" w:themeColor="text1"/>
                <w:szCs w:val="21"/>
              </w:rPr>
            </w:pPr>
            <w:r>
              <w:rPr>
                <w:rFonts w:hint="eastAsia"/>
                <w:color w:val="000000"/>
                <w:szCs w:val="21"/>
              </w:rPr>
              <w:t>镍</w:t>
            </w:r>
          </w:p>
        </w:tc>
        <w:tc>
          <w:tcPr>
            <w:tcW w:w="1015" w:type="dxa"/>
            <w:vAlign w:val="center"/>
          </w:tcPr>
          <w:p w:rsidR="00644456" w:rsidRDefault="008031C4">
            <w:pPr>
              <w:snapToGrid w:val="0"/>
              <w:jc w:val="center"/>
              <w:rPr>
                <w:color w:val="000000" w:themeColor="text1"/>
                <w:szCs w:val="21"/>
              </w:rPr>
            </w:pPr>
            <w:r>
              <w:rPr>
                <w:kern w:val="0"/>
              </w:rPr>
              <w:t>mg/</w:t>
            </w:r>
            <w:r>
              <w:rPr>
                <w:rFonts w:hint="eastAsia"/>
                <w:kern w:val="0"/>
              </w:rPr>
              <w:t>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43</w:t>
            </w:r>
          </w:p>
        </w:tc>
        <w:tc>
          <w:tcPr>
            <w:tcW w:w="1151" w:type="dxa"/>
            <w:vAlign w:val="center"/>
          </w:tcPr>
          <w:p w:rsidR="00644456" w:rsidRDefault="008031C4">
            <w:pPr>
              <w:snapToGrid w:val="0"/>
              <w:jc w:val="center"/>
              <w:rPr>
                <w:kern w:val="0"/>
              </w:rPr>
            </w:pPr>
            <w:r>
              <w:rPr>
                <w:rFonts w:hint="eastAsia"/>
                <w:kern w:val="0"/>
              </w:rPr>
              <w:t>0.0478</w:t>
            </w:r>
          </w:p>
        </w:tc>
        <w:tc>
          <w:tcPr>
            <w:tcW w:w="1165" w:type="dxa"/>
            <w:vAlign w:val="center"/>
          </w:tcPr>
          <w:p w:rsidR="00644456" w:rsidRDefault="008031C4">
            <w:pPr>
              <w:snapToGrid w:val="0"/>
              <w:jc w:val="center"/>
              <w:rPr>
                <w:kern w:val="0"/>
              </w:rPr>
            </w:pPr>
            <w:r>
              <w:rPr>
                <w:rFonts w:hint="eastAsia"/>
                <w:kern w:val="0"/>
              </w:rPr>
              <w:t>47</w:t>
            </w:r>
          </w:p>
        </w:tc>
        <w:tc>
          <w:tcPr>
            <w:tcW w:w="1151" w:type="dxa"/>
            <w:vAlign w:val="center"/>
          </w:tcPr>
          <w:p w:rsidR="00644456" w:rsidRDefault="008031C4">
            <w:pPr>
              <w:snapToGrid w:val="0"/>
              <w:jc w:val="center"/>
              <w:rPr>
                <w:kern w:val="0"/>
              </w:rPr>
            </w:pPr>
            <w:r>
              <w:rPr>
                <w:rFonts w:hint="eastAsia"/>
                <w:kern w:val="0"/>
              </w:rPr>
              <w:t>0.0522</w:t>
            </w:r>
          </w:p>
        </w:tc>
        <w:tc>
          <w:tcPr>
            <w:tcW w:w="1173" w:type="dxa"/>
            <w:vAlign w:val="center"/>
          </w:tcPr>
          <w:p w:rsidR="00644456" w:rsidRDefault="008031C4">
            <w:pPr>
              <w:jc w:val="center"/>
              <w:rPr>
                <w:color w:val="000000" w:themeColor="text1"/>
                <w:szCs w:val="21"/>
              </w:rPr>
            </w:pPr>
            <w:r>
              <w:rPr>
                <w:rFonts w:cs="Times New Roman" w:hint="eastAsia"/>
                <w:bCs/>
                <w:szCs w:val="21"/>
              </w:rPr>
              <w:t>900</w:t>
            </w:r>
          </w:p>
        </w:tc>
      </w:tr>
      <w:tr w:rsidR="00644456">
        <w:tc>
          <w:tcPr>
            <w:tcW w:w="2205" w:type="dxa"/>
            <w:vAlign w:val="center"/>
          </w:tcPr>
          <w:p w:rsidR="00644456" w:rsidRDefault="008031C4">
            <w:pPr>
              <w:snapToGrid w:val="0"/>
              <w:jc w:val="center"/>
              <w:rPr>
                <w:color w:val="000000"/>
                <w:szCs w:val="21"/>
              </w:rPr>
            </w:pPr>
            <w:r>
              <w:rPr>
                <w:rFonts w:hint="eastAsia"/>
                <w:color w:val="000000"/>
                <w:szCs w:val="21"/>
              </w:rPr>
              <w:t>六价铬</w:t>
            </w:r>
          </w:p>
        </w:tc>
        <w:tc>
          <w:tcPr>
            <w:tcW w:w="1015" w:type="dxa"/>
            <w:vAlign w:val="center"/>
          </w:tcPr>
          <w:p w:rsidR="00644456" w:rsidRDefault="008031C4">
            <w:pPr>
              <w:snapToGrid w:val="0"/>
              <w:jc w:val="center"/>
              <w:rPr>
                <w:color w:val="000000" w:themeColor="text1"/>
                <w:szCs w:val="21"/>
              </w:rPr>
            </w:pPr>
            <w:r>
              <w:rPr>
                <w:kern w:val="0"/>
              </w:rPr>
              <w:t>mg/</w:t>
            </w:r>
            <w:r>
              <w:rPr>
                <w:rFonts w:hint="eastAsia"/>
                <w:kern w:val="0"/>
              </w:rPr>
              <w:t>kg</w:t>
            </w:r>
          </w:p>
        </w:tc>
        <w:tc>
          <w:tcPr>
            <w:tcW w:w="1165" w:type="dxa"/>
            <w:vAlign w:val="center"/>
          </w:tcPr>
          <w:p w:rsidR="00644456" w:rsidRDefault="008031C4">
            <w:pPr>
              <w:snapToGrid w:val="0"/>
              <w:jc w:val="center"/>
              <w:rPr>
                <w:color w:val="000000" w:themeColor="text1"/>
                <w:szCs w:val="21"/>
              </w:rPr>
            </w:pPr>
            <w:r>
              <w:rPr>
                <w:rFonts w:cs="Times New Roman" w:hint="eastAsia"/>
                <w:color w:val="000000"/>
                <w:szCs w:val="21"/>
              </w:rPr>
              <w:t>&lt;0.5</w:t>
            </w:r>
          </w:p>
        </w:tc>
        <w:tc>
          <w:tcPr>
            <w:tcW w:w="1151" w:type="dxa"/>
            <w:vAlign w:val="center"/>
          </w:tcPr>
          <w:p w:rsidR="00644456" w:rsidRDefault="008031C4">
            <w:pPr>
              <w:snapToGrid w:val="0"/>
              <w:jc w:val="center"/>
              <w:rPr>
                <w:kern w:val="0"/>
              </w:rPr>
            </w:pPr>
            <w:r>
              <w:rPr>
                <w:rFonts w:hint="eastAsia"/>
                <w:kern w:val="0"/>
              </w:rPr>
              <w:t>0.0877</w:t>
            </w:r>
          </w:p>
        </w:tc>
        <w:tc>
          <w:tcPr>
            <w:tcW w:w="1165" w:type="dxa"/>
            <w:vAlign w:val="center"/>
          </w:tcPr>
          <w:p w:rsidR="00644456" w:rsidRDefault="008031C4">
            <w:pPr>
              <w:snapToGrid w:val="0"/>
              <w:jc w:val="center"/>
              <w:rPr>
                <w:kern w:val="0"/>
              </w:rPr>
            </w:pPr>
            <w:r>
              <w:rPr>
                <w:rFonts w:hint="eastAsia"/>
                <w:kern w:val="0"/>
              </w:rPr>
              <w:t>&lt;0.5</w:t>
            </w:r>
          </w:p>
        </w:tc>
        <w:tc>
          <w:tcPr>
            <w:tcW w:w="1151" w:type="dxa"/>
            <w:vAlign w:val="center"/>
          </w:tcPr>
          <w:p w:rsidR="00644456" w:rsidRDefault="008031C4">
            <w:pPr>
              <w:snapToGrid w:val="0"/>
              <w:jc w:val="center"/>
              <w:rPr>
                <w:kern w:val="0"/>
              </w:rPr>
            </w:pPr>
            <w:r>
              <w:rPr>
                <w:rFonts w:hint="eastAsia"/>
                <w:kern w:val="0"/>
              </w:rPr>
              <w:t>0.0877</w:t>
            </w:r>
          </w:p>
        </w:tc>
        <w:tc>
          <w:tcPr>
            <w:tcW w:w="1173" w:type="dxa"/>
            <w:vAlign w:val="center"/>
          </w:tcPr>
          <w:p w:rsidR="00644456" w:rsidRDefault="008031C4">
            <w:pPr>
              <w:jc w:val="center"/>
              <w:rPr>
                <w:color w:val="000000" w:themeColor="text1"/>
                <w:szCs w:val="21"/>
              </w:rPr>
            </w:pPr>
            <w:r>
              <w:rPr>
                <w:rFonts w:cs="Times New Roman" w:hint="eastAsia"/>
                <w:bCs/>
                <w:szCs w:val="21"/>
              </w:rPr>
              <w:t>5.7</w:t>
            </w:r>
          </w:p>
        </w:tc>
      </w:tr>
    </w:tbl>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3.6-4</w:t>
      </w:r>
      <w:r>
        <w:rPr>
          <w:rFonts w:cs="Times New Roman" w:hint="eastAsia"/>
          <w:b/>
          <w:color w:val="000000" w:themeColor="text1"/>
          <w:sz w:val="24"/>
          <w:szCs w:val="20"/>
        </w:rPr>
        <w:t>土壤单项指数评价结果</w:t>
      </w:r>
    </w:p>
    <w:tbl>
      <w:tblPr>
        <w:tblStyle w:val="afff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373"/>
        <w:gridCol w:w="888"/>
        <w:gridCol w:w="991"/>
        <w:gridCol w:w="829"/>
        <w:gridCol w:w="899"/>
        <w:gridCol w:w="974"/>
        <w:gridCol w:w="1057"/>
        <w:gridCol w:w="1057"/>
        <w:gridCol w:w="1173"/>
      </w:tblGrid>
      <w:tr w:rsidR="00644456">
        <w:trPr>
          <w:trHeight w:val="261"/>
        </w:trPr>
        <w:tc>
          <w:tcPr>
            <w:tcW w:w="1373" w:type="dxa"/>
            <w:vMerge w:val="restart"/>
            <w:vAlign w:val="center"/>
          </w:tcPr>
          <w:p w:rsidR="00644456" w:rsidRDefault="008031C4">
            <w:pPr>
              <w:jc w:val="center"/>
              <w:rPr>
                <w:color w:val="000000" w:themeColor="text1"/>
                <w:szCs w:val="21"/>
              </w:rPr>
            </w:pPr>
            <w:r>
              <w:rPr>
                <w:rFonts w:hint="eastAsia"/>
                <w:color w:val="000000" w:themeColor="text1"/>
                <w:szCs w:val="21"/>
              </w:rPr>
              <w:t>项目</w:t>
            </w:r>
          </w:p>
        </w:tc>
        <w:tc>
          <w:tcPr>
            <w:tcW w:w="888" w:type="dxa"/>
            <w:vMerge w:val="restart"/>
            <w:vAlign w:val="center"/>
          </w:tcPr>
          <w:p w:rsidR="00644456" w:rsidRDefault="008031C4">
            <w:pPr>
              <w:jc w:val="center"/>
              <w:rPr>
                <w:color w:val="000000" w:themeColor="text1"/>
                <w:szCs w:val="21"/>
              </w:rPr>
            </w:pPr>
            <w:r>
              <w:rPr>
                <w:rFonts w:hint="eastAsia"/>
                <w:color w:val="000000" w:themeColor="text1"/>
                <w:szCs w:val="21"/>
              </w:rPr>
              <w:t>单位</w:t>
            </w:r>
          </w:p>
        </w:tc>
        <w:tc>
          <w:tcPr>
            <w:tcW w:w="5807" w:type="dxa"/>
            <w:gridSpan w:val="6"/>
            <w:vAlign w:val="center"/>
          </w:tcPr>
          <w:p w:rsidR="00644456" w:rsidRDefault="008031C4">
            <w:pPr>
              <w:jc w:val="center"/>
              <w:rPr>
                <w:color w:val="000000" w:themeColor="text1"/>
                <w:szCs w:val="21"/>
              </w:rPr>
            </w:pPr>
            <w:r>
              <w:rPr>
                <w:rFonts w:hint="eastAsia"/>
                <w:color w:val="000000" w:themeColor="text1"/>
                <w:szCs w:val="21"/>
              </w:rPr>
              <w:t>监测点位</w:t>
            </w:r>
          </w:p>
        </w:tc>
        <w:tc>
          <w:tcPr>
            <w:tcW w:w="1173" w:type="dxa"/>
            <w:vMerge w:val="restart"/>
            <w:vAlign w:val="center"/>
          </w:tcPr>
          <w:p w:rsidR="00644456" w:rsidRDefault="008031C4">
            <w:pPr>
              <w:jc w:val="center"/>
              <w:rPr>
                <w:color w:val="000000" w:themeColor="text1"/>
                <w:szCs w:val="21"/>
              </w:rPr>
            </w:pPr>
            <w:r>
              <w:rPr>
                <w:rFonts w:hint="eastAsia"/>
                <w:color w:val="000000" w:themeColor="text1"/>
                <w:szCs w:val="21"/>
              </w:rPr>
              <w:t>标准（</w:t>
            </w:r>
            <w:r>
              <w:rPr>
                <w:rFonts w:hint="eastAsia"/>
                <w:color w:val="000000" w:themeColor="text1"/>
                <w:szCs w:val="21"/>
              </w:rPr>
              <w:t>mg/kg</w:t>
            </w:r>
            <w:r>
              <w:rPr>
                <w:rFonts w:hint="eastAsia"/>
                <w:color w:val="000000" w:themeColor="text1"/>
                <w:szCs w:val="21"/>
              </w:rPr>
              <w:t>）</w:t>
            </w:r>
          </w:p>
        </w:tc>
      </w:tr>
      <w:tr w:rsidR="00644456">
        <w:trPr>
          <w:trHeight w:val="261"/>
        </w:trPr>
        <w:tc>
          <w:tcPr>
            <w:tcW w:w="1373" w:type="dxa"/>
            <w:vMerge/>
            <w:vAlign w:val="center"/>
          </w:tcPr>
          <w:p w:rsidR="00644456" w:rsidRDefault="00644456">
            <w:pPr>
              <w:jc w:val="center"/>
              <w:rPr>
                <w:color w:val="000000" w:themeColor="text1"/>
                <w:szCs w:val="21"/>
              </w:rPr>
            </w:pPr>
          </w:p>
        </w:tc>
        <w:tc>
          <w:tcPr>
            <w:tcW w:w="888" w:type="dxa"/>
            <w:vMerge/>
            <w:vAlign w:val="center"/>
          </w:tcPr>
          <w:p w:rsidR="00644456" w:rsidRDefault="00644456">
            <w:pPr>
              <w:jc w:val="center"/>
              <w:rPr>
                <w:color w:val="000000" w:themeColor="text1"/>
                <w:szCs w:val="21"/>
              </w:rPr>
            </w:pPr>
          </w:p>
        </w:tc>
        <w:tc>
          <w:tcPr>
            <w:tcW w:w="1820" w:type="dxa"/>
            <w:gridSpan w:val="2"/>
            <w:vAlign w:val="center"/>
          </w:tcPr>
          <w:p w:rsidR="00644456" w:rsidRDefault="008031C4">
            <w:pPr>
              <w:jc w:val="center"/>
              <w:rPr>
                <w:color w:val="000000" w:themeColor="text1"/>
                <w:szCs w:val="21"/>
              </w:rPr>
            </w:pPr>
            <w:r>
              <w:rPr>
                <w:color w:val="000000" w:themeColor="text1"/>
                <w:szCs w:val="21"/>
              </w:rPr>
              <w:t>2#</w:t>
            </w:r>
            <w:r>
              <w:rPr>
                <w:rFonts w:hint="eastAsia"/>
                <w:color w:val="000000" w:themeColor="text1"/>
                <w:szCs w:val="21"/>
              </w:rPr>
              <w:t>（</w:t>
            </w:r>
            <w:r>
              <w:rPr>
                <w:rFonts w:hint="eastAsia"/>
                <w:color w:val="000000" w:themeColor="text1"/>
                <w:szCs w:val="21"/>
              </w:rPr>
              <w:t>26cm</w:t>
            </w:r>
            <w:r>
              <w:rPr>
                <w:rFonts w:hint="eastAsia"/>
                <w:color w:val="000000" w:themeColor="text1"/>
                <w:szCs w:val="21"/>
              </w:rPr>
              <w:t>）</w:t>
            </w:r>
          </w:p>
        </w:tc>
        <w:tc>
          <w:tcPr>
            <w:tcW w:w="1873" w:type="dxa"/>
            <w:gridSpan w:val="2"/>
          </w:tcPr>
          <w:p w:rsidR="00644456" w:rsidRDefault="008031C4">
            <w:pPr>
              <w:jc w:val="center"/>
              <w:rPr>
                <w:color w:val="000000" w:themeColor="text1"/>
                <w:szCs w:val="21"/>
              </w:rPr>
            </w:pPr>
            <w:r>
              <w:rPr>
                <w:color w:val="000000" w:themeColor="text1"/>
                <w:szCs w:val="21"/>
              </w:rPr>
              <w:t>2#</w:t>
            </w:r>
            <w:r>
              <w:rPr>
                <w:rFonts w:hint="eastAsia"/>
                <w:color w:val="000000" w:themeColor="text1"/>
                <w:szCs w:val="21"/>
              </w:rPr>
              <w:t>（</w:t>
            </w:r>
            <w:r>
              <w:rPr>
                <w:rFonts w:hint="eastAsia"/>
                <w:color w:val="000000" w:themeColor="text1"/>
                <w:szCs w:val="21"/>
              </w:rPr>
              <w:t>113cm</w:t>
            </w:r>
            <w:r>
              <w:rPr>
                <w:rFonts w:hint="eastAsia"/>
                <w:color w:val="000000" w:themeColor="text1"/>
                <w:szCs w:val="21"/>
              </w:rPr>
              <w:t>）</w:t>
            </w:r>
          </w:p>
        </w:tc>
        <w:tc>
          <w:tcPr>
            <w:tcW w:w="2114" w:type="dxa"/>
            <w:gridSpan w:val="2"/>
            <w:vAlign w:val="center"/>
          </w:tcPr>
          <w:p w:rsidR="00644456" w:rsidRDefault="008031C4">
            <w:pPr>
              <w:jc w:val="center"/>
              <w:rPr>
                <w:color w:val="000000" w:themeColor="text1"/>
                <w:szCs w:val="21"/>
              </w:rPr>
            </w:pPr>
            <w:r>
              <w:rPr>
                <w:color w:val="000000" w:themeColor="text1"/>
                <w:szCs w:val="21"/>
              </w:rPr>
              <w:t>2#</w:t>
            </w:r>
            <w:r>
              <w:rPr>
                <w:rFonts w:hint="eastAsia"/>
                <w:color w:val="000000" w:themeColor="text1"/>
                <w:szCs w:val="21"/>
              </w:rPr>
              <w:t>（</w:t>
            </w:r>
            <w:r>
              <w:rPr>
                <w:rFonts w:hint="eastAsia"/>
                <w:color w:val="000000" w:themeColor="text1"/>
                <w:szCs w:val="21"/>
              </w:rPr>
              <w:t>113cm</w:t>
            </w:r>
            <w:r>
              <w:rPr>
                <w:rFonts w:hint="eastAsia"/>
                <w:color w:val="000000" w:themeColor="text1"/>
                <w:szCs w:val="21"/>
              </w:rPr>
              <w:t>）</w:t>
            </w:r>
          </w:p>
        </w:tc>
        <w:tc>
          <w:tcPr>
            <w:tcW w:w="1173" w:type="dxa"/>
            <w:vMerge/>
            <w:vAlign w:val="center"/>
          </w:tcPr>
          <w:p w:rsidR="00644456" w:rsidRDefault="00644456">
            <w:pPr>
              <w:jc w:val="center"/>
              <w:rPr>
                <w:color w:val="000000" w:themeColor="text1"/>
                <w:szCs w:val="21"/>
              </w:rPr>
            </w:pPr>
          </w:p>
        </w:tc>
      </w:tr>
      <w:tr w:rsidR="00644456">
        <w:trPr>
          <w:trHeight w:val="265"/>
        </w:trPr>
        <w:tc>
          <w:tcPr>
            <w:tcW w:w="1373" w:type="dxa"/>
            <w:vMerge/>
            <w:vAlign w:val="center"/>
          </w:tcPr>
          <w:p w:rsidR="00644456" w:rsidRDefault="00644456">
            <w:pPr>
              <w:jc w:val="center"/>
              <w:rPr>
                <w:color w:val="000000" w:themeColor="text1"/>
                <w:szCs w:val="21"/>
              </w:rPr>
            </w:pPr>
          </w:p>
        </w:tc>
        <w:tc>
          <w:tcPr>
            <w:tcW w:w="888" w:type="dxa"/>
            <w:vMerge/>
            <w:vAlign w:val="center"/>
          </w:tcPr>
          <w:p w:rsidR="00644456" w:rsidRDefault="00644456">
            <w:pPr>
              <w:jc w:val="center"/>
              <w:rPr>
                <w:color w:val="000000" w:themeColor="text1"/>
                <w:szCs w:val="21"/>
              </w:rPr>
            </w:pPr>
          </w:p>
        </w:tc>
        <w:tc>
          <w:tcPr>
            <w:tcW w:w="991" w:type="dxa"/>
            <w:vAlign w:val="center"/>
          </w:tcPr>
          <w:p w:rsidR="00644456" w:rsidRDefault="008031C4">
            <w:pPr>
              <w:jc w:val="center"/>
              <w:rPr>
                <w:color w:val="000000" w:themeColor="text1"/>
                <w:szCs w:val="21"/>
              </w:rPr>
            </w:pPr>
            <w:r>
              <w:rPr>
                <w:rFonts w:hint="eastAsia"/>
                <w:color w:val="000000" w:themeColor="text1"/>
                <w:szCs w:val="21"/>
              </w:rPr>
              <w:t>实测值</w:t>
            </w:r>
          </w:p>
        </w:tc>
        <w:tc>
          <w:tcPr>
            <w:tcW w:w="829" w:type="dxa"/>
            <w:vAlign w:val="center"/>
          </w:tcPr>
          <w:p w:rsidR="00644456" w:rsidRDefault="008031C4">
            <w:pPr>
              <w:jc w:val="center"/>
              <w:rPr>
                <w:color w:val="000000" w:themeColor="text1"/>
                <w:szCs w:val="21"/>
              </w:rPr>
            </w:pPr>
            <w:r>
              <w:rPr>
                <w:color w:val="000000" w:themeColor="text1"/>
                <w:szCs w:val="21"/>
              </w:rPr>
              <w:t>Si</w:t>
            </w:r>
          </w:p>
        </w:tc>
        <w:tc>
          <w:tcPr>
            <w:tcW w:w="899" w:type="dxa"/>
            <w:vAlign w:val="center"/>
          </w:tcPr>
          <w:p w:rsidR="00644456" w:rsidRDefault="008031C4">
            <w:pPr>
              <w:jc w:val="center"/>
              <w:rPr>
                <w:color w:val="000000" w:themeColor="text1"/>
                <w:szCs w:val="21"/>
              </w:rPr>
            </w:pPr>
            <w:r>
              <w:rPr>
                <w:rFonts w:hint="eastAsia"/>
                <w:color w:val="000000" w:themeColor="text1"/>
                <w:szCs w:val="21"/>
              </w:rPr>
              <w:t>实测值</w:t>
            </w:r>
          </w:p>
        </w:tc>
        <w:tc>
          <w:tcPr>
            <w:tcW w:w="974" w:type="dxa"/>
            <w:vAlign w:val="center"/>
          </w:tcPr>
          <w:p w:rsidR="00644456" w:rsidRDefault="008031C4">
            <w:pPr>
              <w:jc w:val="center"/>
              <w:rPr>
                <w:color w:val="000000" w:themeColor="text1"/>
                <w:szCs w:val="21"/>
              </w:rPr>
            </w:pPr>
            <w:r>
              <w:rPr>
                <w:color w:val="000000" w:themeColor="text1"/>
                <w:szCs w:val="21"/>
              </w:rPr>
              <w:t>Si</w:t>
            </w:r>
          </w:p>
        </w:tc>
        <w:tc>
          <w:tcPr>
            <w:tcW w:w="1057" w:type="dxa"/>
            <w:vAlign w:val="center"/>
          </w:tcPr>
          <w:p w:rsidR="00644456" w:rsidRDefault="008031C4">
            <w:pPr>
              <w:jc w:val="center"/>
              <w:rPr>
                <w:color w:val="000000" w:themeColor="text1"/>
                <w:szCs w:val="21"/>
              </w:rPr>
            </w:pPr>
            <w:r>
              <w:rPr>
                <w:rFonts w:hint="eastAsia"/>
                <w:color w:val="000000" w:themeColor="text1"/>
                <w:szCs w:val="21"/>
              </w:rPr>
              <w:t>实测值</w:t>
            </w:r>
          </w:p>
        </w:tc>
        <w:tc>
          <w:tcPr>
            <w:tcW w:w="1057" w:type="dxa"/>
            <w:vAlign w:val="center"/>
          </w:tcPr>
          <w:p w:rsidR="00644456" w:rsidRDefault="008031C4">
            <w:pPr>
              <w:jc w:val="center"/>
              <w:rPr>
                <w:color w:val="000000" w:themeColor="text1"/>
                <w:szCs w:val="21"/>
              </w:rPr>
            </w:pPr>
            <w:r>
              <w:rPr>
                <w:color w:val="000000" w:themeColor="text1"/>
                <w:szCs w:val="21"/>
              </w:rPr>
              <w:t>Si</w:t>
            </w:r>
          </w:p>
        </w:tc>
        <w:tc>
          <w:tcPr>
            <w:tcW w:w="1173" w:type="dxa"/>
            <w:vMerge/>
            <w:vAlign w:val="center"/>
          </w:tcPr>
          <w:p w:rsidR="00644456" w:rsidRDefault="00644456">
            <w:pPr>
              <w:jc w:val="center"/>
              <w:rPr>
                <w:color w:val="000000" w:themeColor="text1"/>
                <w:szCs w:val="21"/>
              </w:rPr>
            </w:pPr>
          </w:p>
        </w:tc>
      </w:tr>
      <w:tr w:rsidR="00644456">
        <w:trPr>
          <w:trHeight w:val="251"/>
        </w:trPr>
        <w:tc>
          <w:tcPr>
            <w:tcW w:w="1373" w:type="dxa"/>
            <w:vAlign w:val="center"/>
          </w:tcPr>
          <w:p w:rsidR="00644456" w:rsidRDefault="008031C4">
            <w:pPr>
              <w:jc w:val="center"/>
              <w:rPr>
                <w:color w:val="000000" w:themeColor="text1"/>
                <w:szCs w:val="21"/>
              </w:rPr>
            </w:pPr>
            <w:r>
              <w:rPr>
                <w:rFonts w:cs="Times New Roman" w:hint="eastAsia"/>
                <w:bCs/>
                <w:kern w:val="0"/>
                <w:szCs w:val="24"/>
              </w:rPr>
              <w:t>石油烃（</w:t>
            </w:r>
            <w:r>
              <w:rPr>
                <w:rFonts w:cs="Times New Roman" w:hint="eastAsia"/>
                <w:bCs/>
                <w:kern w:val="0"/>
                <w:szCs w:val="24"/>
              </w:rPr>
              <w:t>C</w:t>
            </w:r>
            <w:r>
              <w:rPr>
                <w:rFonts w:cs="Times New Roman" w:hint="eastAsia"/>
                <w:bCs/>
                <w:kern w:val="0"/>
                <w:szCs w:val="24"/>
                <w:vertAlign w:val="subscript"/>
              </w:rPr>
              <w:t>10</w:t>
            </w:r>
            <w:r>
              <w:rPr>
                <w:rFonts w:cs="Times New Roman" w:hint="eastAsia"/>
                <w:bCs/>
                <w:kern w:val="0"/>
                <w:szCs w:val="24"/>
              </w:rPr>
              <w:t>-C</w:t>
            </w:r>
            <w:r>
              <w:rPr>
                <w:rFonts w:cs="Times New Roman" w:hint="eastAsia"/>
                <w:bCs/>
                <w:kern w:val="0"/>
                <w:szCs w:val="24"/>
                <w:vertAlign w:val="subscript"/>
              </w:rPr>
              <w:t>40</w:t>
            </w:r>
            <w:r>
              <w:rPr>
                <w:rFonts w:cs="Times New Roman" w:hint="eastAsia"/>
                <w:bCs/>
                <w:kern w:val="0"/>
                <w:szCs w:val="24"/>
              </w:rPr>
              <w:t>）</w:t>
            </w:r>
          </w:p>
        </w:tc>
        <w:tc>
          <w:tcPr>
            <w:tcW w:w="888" w:type="dxa"/>
            <w:vAlign w:val="center"/>
          </w:tcPr>
          <w:p w:rsidR="00644456" w:rsidRDefault="008031C4">
            <w:pPr>
              <w:jc w:val="center"/>
              <w:rPr>
                <w:color w:val="000000" w:themeColor="text1"/>
                <w:szCs w:val="21"/>
              </w:rPr>
            </w:pPr>
            <w:r>
              <w:rPr>
                <w:rFonts w:hint="eastAsia"/>
                <w:color w:val="000000"/>
                <w:kern w:val="0"/>
              </w:rPr>
              <w:t>m</w:t>
            </w:r>
            <w:r>
              <w:rPr>
                <w:color w:val="000000"/>
                <w:kern w:val="0"/>
              </w:rPr>
              <w:t>g/</w:t>
            </w:r>
            <w:r>
              <w:rPr>
                <w:rFonts w:hint="eastAsia"/>
                <w:color w:val="000000"/>
                <w:kern w:val="0"/>
              </w:rPr>
              <w:t>kg</w:t>
            </w:r>
          </w:p>
        </w:tc>
        <w:tc>
          <w:tcPr>
            <w:tcW w:w="991" w:type="dxa"/>
            <w:vAlign w:val="center"/>
          </w:tcPr>
          <w:p w:rsidR="00644456" w:rsidRDefault="008031C4">
            <w:pPr>
              <w:jc w:val="center"/>
              <w:rPr>
                <w:color w:val="000000" w:themeColor="text1"/>
                <w:szCs w:val="21"/>
              </w:rPr>
            </w:pPr>
            <w:r>
              <w:rPr>
                <w:rFonts w:hint="eastAsia"/>
                <w:color w:val="000000" w:themeColor="text1"/>
                <w:szCs w:val="21"/>
              </w:rPr>
              <w:t>12</w:t>
            </w:r>
          </w:p>
        </w:tc>
        <w:tc>
          <w:tcPr>
            <w:tcW w:w="829" w:type="dxa"/>
            <w:vAlign w:val="center"/>
          </w:tcPr>
          <w:p w:rsidR="00644456" w:rsidRDefault="008031C4">
            <w:pPr>
              <w:jc w:val="center"/>
              <w:rPr>
                <w:bCs/>
                <w:szCs w:val="21"/>
              </w:rPr>
            </w:pPr>
            <w:r>
              <w:rPr>
                <w:rFonts w:hint="eastAsia"/>
                <w:bCs/>
                <w:szCs w:val="21"/>
              </w:rPr>
              <w:t>0</w:t>
            </w:r>
            <w:r>
              <w:rPr>
                <w:bCs/>
                <w:szCs w:val="21"/>
              </w:rPr>
              <w:t>.002</w:t>
            </w:r>
          </w:p>
        </w:tc>
        <w:tc>
          <w:tcPr>
            <w:tcW w:w="899" w:type="dxa"/>
            <w:vAlign w:val="center"/>
          </w:tcPr>
          <w:p w:rsidR="00644456" w:rsidRDefault="008031C4">
            <w:pPr>
              <w:jc w:val="center"/>
              <w:rPr>
                <w:bCs/>
                <w:szCs w:val="21"/>
              </w:rPr>
            </w:pPr>
            <w:r>
              <w:rPr>
                <w:rFonts w:hint="eastAsia"/>
                <w:bCs/>
                <w:szCs w:val="21"/>
              </w:rPr>
              <w:t>14</w:t>
            </w:r>
          </w:p>
        </w:tc>
        <w:tc>
          <w:tcPr>
            <w:tcW w:w="974" w:type="dxa"/>
            <w:vAlign w:val="center"/>
          </w:tcPr>
          <w:p w:rsidR="00644456" w:rsidRDefault="008031C4">
            <w:pPr>
              <w:jc w:val="center"/>
              <w:rPr>
                <w:bCs/>
                <w:szCs w:val="21"/>
              </w:rPr>
            </w:pPr>
            <w:r>
              <w:rPr>
                <w:rFonts w:hint="eastAsia"/>
                <w:bCs/>
                <w:szCs w:val="21"/>
              </w:rPr>
              <w:t>0</w:t>
            </w:r>
            <w:r>
              <w:rPr>
                <w:bCs/>
                <w:szCs w:val="21"/>
              </w:rPr>
              <w:t>.003</w:t>
            </w:r>
          </w:p>
        </w:tc>
        <w:tc>
          <w:tcPr>
            <w:tcW w:w="1057" w:type="dxa"/>
            <w:vAlign w:val="center"/>
          </w:tcPr>
          <w:p w:rsidR="00644456" w:rsidRDefault="008031C4">
            <w:pPr>
              <w:jc w:val="center"/>
              <w:rPr>
                <w:bCs/>
                <w:szCs w:val="21"/>
              </w:rPr>
            </w:pPr>
            <w:r>
              <w:rPr>
                <w:rFonts w:hint="eastAsia"/>
                <w:bCs/>
                <w:szCs w:val="21"/>
              </w:rPr>
              <w:t>11</w:t>
            </w:r>
          </w:p>
        </w:tc>
        <w:tc>
          <w:tcPr>
            <w:tcW w:w="1057" w:type="dxa"/>
            <w:vAlign w:val="center"/>
          </w:tcPr>
          <w:p w:rsidR="00644456" w:rsidRDefault="008031C4">
            <w:pPr>
              <w:jc w:val="center"/>
              <w:rPr>
                <w:bCs/>
                <w:szCs w:val="21"/>
              </w:rPr>
            </w:pPr>
            <w:r>
              <w:rPr>
                <w:rFonts w:hint="eastAsia"/>
                <w:bCs/>
                <w:szCs w:val="21"/>
              </w:rPr>
              <w:t>0</w:t>
            </w:r>
            <w:r>
              <w:rPr>
                <w:bCs/>
                <w:szCs w:val="21"/>
              </w:rPr>
              <w:t>.002</w:t>
            </w:r>
          </w:p>
        </w:tc>
        <w:tc>
          <w:tcPr>
            <w:tcW w:w="1173" w:type="dxa"/>
            <w:vAlign w:val="center"/>
          </w:tcPr>
          <w:p w:rsidR="00644456" w:rsidRDefault="008031C4">
            <w:pPr>
              <w:jc w:val="center"/>
              <w:rPr>
                <w:bCs/>
                <w:szCs w:val="21"/>
              </w:rPr>
            </w:pPr>
            <w:r>
              <w:rPr>
                <w:rFonts w:hint="eastAsia"/>
                <w:bCs/>
                <w:szCs w:val="21"/>
              </w:rPr>
              <w:t>4500</w:t>
            </w:r>
          </w:p>
        </w:tc>
      </w:tr>
      <w:tr w:rsidR="00644456">
        <w:trPr>
          <w:trHeight w:val="266"/>
        </w:trPr>
        <w:tc>
          <w:tcPr>
            <w:tcW w:w="1373" w:type="dxa"/>
            <w:vAlign w:val="center"/>
          </w:tcPr>
          <w:p w:rsidR="00644456" w:rsidRDefault="008031C4">
            <w:pPr>
              <w:jc w:val="center"/>
              <w:rPr>
                <w:color w:val="000000" w:themeColor="text1"/>
                <w:szCs w:val="21"/>
              </w:rPr>
            </w:pPr>
            <w:r>
              <w:rPr>
                <w:rFonts w:hint="eastAsia"/>
                <w:szCs w:val="21"/>
              </w:rPr>
              <w:t>pH</w:t>
            </w:r>
          </w:p>
        </w:tc>
        <w:tc>
          <w:tcPr>
            <w:tcW w:w="888" w:type="dxa"/>
            <w:vAlign w:val="center"/>
          </w:tcPr>
          <w:p w:rsidR="00644456" w:rsidRDefault="008031C4">
            <w:pPr>
              <w:jc w:val="center"/>
              <w:rPr>
                <w:color w:val="000000" w:themeColor="text1"/>
                <w:szCs w:val="21"/>
              </w:rPr>
            </w:pPr>
            <w:r>
              <w:rPr>
                <w:rFonts w:hint="eastAsia"/>
                <w:color w:val="000000"/>
                <w:kern w:val="0"/>
              </w:rPr>
              <w:t>无量纲</w:t>
            </w:r>
          </w:p>
        </w:tc>
        <w:tc>
          <w:tcPr>
            <w:tcW w:w="991" w:type="dxa"/>
            <w:vAlign w:val="center"/>
          </w:tcPr>
          <w:p w:rsidR="00644456" w:rsidRDefault="008031C4">
            <w:pPr>
              <w:jc w:val="center"/>
              <w:rPr>
                <w:color w:val="000000" w:themeColor="text1"/>
                <w:szCs w:val="21"/>
              </w:rPr>
            </w:pPr>
            <w:r>
              <w:rPr>
                <w:rFonts w:hint="eastAsia"/>
                <w:color w:val="000000" w:themeColor="text1"/>
                <w:szCs w:val="21"/>
              </w:rPr>
              <w:t>8.12</w:t>
            </w:r>
          </w:p>
        </w:tc>
        <w:tc>
          <w:tcPr>
            <w:tcW w:w="829" w:type="dxa"/>
            <w:vAlign w:val="center"/>
          </w:tcPr>
          <w:p w:rsidR="00644456" w:rsidRDefault="008031C4">
            <w:pPr>
              <w:jc w:val="center"/>
              <w:rPr>
                <w:bCs/>
                <w:szCs w:val="21"/>
              </w:rPr>
            </w:pPr>
            <w:r>
              <w:rPr>
                <w:bCs/>
                <w:szCs w:val="21"/>
              </w:rPr>
              <w:t>--</w:t>
            </w:r>
          </w:p>
        </w:tc>
        <w:tc>
          <w:tcPr>
            <w:tcW w:w="899" w:type="dxa"/>
            <w:vAlign w:val="center"/>
          </w:tcPr>
          <w:p w:rsidR="00644456" w:rsidRDefault="008031C4">
            <w:pPr>
              <w:jc w:val="center"/>
              <w:rPr>
                <w:bCs/>
                <w:szCs w:val="21"/>
              </w:rPr>
            </w:pPr>
            <w:r>
              <w:rPr>
                <w:rFonts w:hint="eastAsia"/>
                <w:bCs/>
                <w:szCs w:val="21"/>
              </w:rPr>
              <w:t>7.95</w:t>
            </w:r>
          </w:p>
        </w:tc>
        <w:tc>
          <w:tcPr>
            <w:tcW w:w="974" w:type="dxa"/>
            <w:vAlign w:val="center"/>
          </w:tcPr>
          <w:p w:rsidR="00644456" w:rsidRDefault="008031C4">
            <w:pPr>
              <w:jc w:val="center"/>
              <w:rPr>
                <w:bCs/>
                <w:szCs w:val="21"/>
              </w:rPr>
            </w:pPr>
            <w:r>
              <w:rPr>
                <w:bCs/>
                <w:szCs w:val="21"/>
              </w:rPr>
              <w:t>--</w:t>
            </w:r>
          </w:p>
        </w:tc>
        <w:tc>
          <w:tcPr>
            <w:tcW w:w="1057" w:type="dxa"/>
            <w:vAlign w:val="center"/>
          </w:tcPr>
          <w:p w:rsidR="00644456" w:rsidRDefault="008031C4">
            <w:pPr>
              <w:jc w:val="center"/>
              <w:rPr>
                <w:bCs/>
                <w:szCs w:val="21"/>
              </w:rPr>
            </w:pPr>
            <w:r>
              <w:rPr>
                <w:rFonts w:hint="eastAsia"/>
                <w:bCs/>
                <w:szCs w:val="21"/>
              </w:rPr>
              <w:t>7.85</w:t>
            </w:r>
          </w:p>
        </w:tc>
        <w:tc>
          <w:tcPr>
            <w:tcW w:w="1057" w:type="dxa"/>
            <w:vAlign w:val="center"/>
          </w:tcPr>
          <w:p w:rsidR="00644456" w:rsidRDefault="008031C4">
            <w:pPr>
              <w:jc w:val="center"/>
              <w:rPr>
                <w:bCs/>
                <w:szCs w:val="21"/>
              </w:rPr>
            </w:pPr>
            <w:r>
              <w:rPr>
                <w:bCs/>
                <w:szCs w:val="21"/>
              </w:rPr>
              <w:t>--</w:t>
            </w:r>
          </w:p>
        </w:tc>
        <w:tc>
          <w:tcPr>
            <w:tcW w:w="1173" w:type="dxa"/>
            <w:vAlign w:val="center"/>
          </w:tcPr>
          <w:p w:rsidR="00644456" w:rsidRDefault="008031C4">
            <w:pPr>
              <w:jc w:val="center"/>
              <w:rPr>
                <w:bCs/>
                <w:szCs w:val="21"/>
              </w:rPr>
            </w:pPr>
            <w:r>
              <w:rPr>
                <w:bCs/>
                <w:szCs w:val="21"/>
              </w:rPr>
              <w:t>--</w:t>
            </w:r>
          </w:p>
        </w:tc>
      </w:tr>
    </w:tbl>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lastRenderedPageBreak/>
        <w:t>表</w:t>
      </w:r>
      <w:r>
        <w:rPr>
          <w:rFonts w:cs="Times New Roman" w:hint="eastAsia"/>
          <w:b/>
          <w:color w:val="000000" w:themeColor="text1"/>
          <w:sz w:val="24"/>
          <w:szCs w:val="20"/>
        </w:rPr>
        <w:t>3.6-5</w:t>
      </w:r>
      <w:r>
        <w:rPr>
          <w:rFonts w:cs="Times New Roman" w:hint="eastAsia"/>
          <w:b/>
          <w:color w:val="000000" w:themeColor="text1"/>
          <w:sz w:val="24"/>
          <w:szCs w:val="20"/>
        </w:rPr>
        <w:t>土壤单项指数评价结果</w:t>
      </w:r>
    </w:p>
    <w:tbl>
      <w:tblPr>
        <w:tblStyle w:val="afff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373"/>
        <w:gridCol w:w="888"/>
        <w:gridCol w:w="991"/>
        <w:gridCol w:w="829"/>
        <w:gridCol w:w="899"/>
        <w:gridCol w:w="974"/>
        <w:gridCol w:w="1057"/>
        <w:gridCol w:w="1057"/>
        <w:gridCol w:w="1173"/>
      </w:tblGrid>
      <w:tr w:rsidR="00644456">
        <w:trPr>
          <w:trHeight w:val="261"/>
        </w:trPr>
        <w:tc>
          <w:tcPr>
            <w:tcW w:w="1373" w:type="dxa"/>
            <w:vMerge w:val="restart"/>
            <w:vAlign w:val="center"/>
          </w:tcPr>
          <w:p w:rsidR="00644456" w:rsidRDefault="008031C4">
            <w:pPr>
              <w:jc w:val="center"/>
              <w:rPr>
                <w:color w:val="000000" w:themeColor="text1"/>
                <w:szCs w:val="21"/>
              </w:rPr>
            </w:pPr>
            <w:r>
              <w:rPr>
                <w:rFonts w:hint="eastAsia"/>
                <w:color w:val="000000" w:themeColor="text1"/>
                <w:szCs w:val="21"/>
              </w:rPr>
              <w:t>项目</w:t>
            </w:r>
          </w:p>
        </w:tc>
        <w:tc>
          <w:tcPr>
            <w:tcW w:w="888" w:type="dxa"/>
            <w:vMerge w:val="restart"/>
            <w:vAlign w:val="center"/>
          </w:tcPr>
          <w:p w:rsidR="00644456" w:rsidRDefault="008031C4">
            <w:pPr>
              <w:jc w:val="center"/>
              <w:rPr>
                <w:color w:val="000000" w:themeColor="text1"/>
                <w:szCs w:val="21"/>
              </w:rPr>
            </w:pPr>
            <w:r>
              <w:rPr>
                <w:rFonts w:hint="eastAsia"/>
                <w:color w:val="000000" w:themeColor="text1"/>
                <w:szCs w:val="21"/>
              </w:rPr>
              <w:t>单位</w:t>
            </w:r>
          </w:p>
        </w:tc>
        <w:tc>
          <w:tcPr>
            <w:tcW w:w="5807" w:type="dxa"/>
            <w:gridSpan w:val="6"/>
            <w:vAlign w:val="center"/>
          </w:tcPr>
          <w:p w:rsidR="00644456" w:rsidRDefault="008031C4">
            <w:pPr>
              <w:jc w:val="center"/>
              <w:rPr>
                <w:color w:val="000000" w:themeColor="text1"/>
                <w:szCs w:val="21"/>
              </w:rPr>
            </w:pPr>
            <w:r>
              <w:rPr>
                <w:rFonts w:hint="eastAsia"/>
                <w:color w:val="000000" w:themeColor="text1"/>
                <w:szCs w:val="21"/>
              </w:rPr>
              <w:t>监测点位</w:t>
            </w:r>
          </w:p>
        </w:tc>
        <w:tc>
          <w:tcPr>
            <w:tcW w:w="1173" w:type="dxa"/>
            <w:vMerge w:val="restart"/>
            <w:vAlign w:val="center"/>
          </w:tcPr>
          <w:p w:rsidR="00644456" w:rsidRDefault="008031C4">
            <w:pPr>
              <w:jc w:val="center"/>
              <w:rPr>
                <w:color w:val="000000" w:themeColor="text1"/>
                <w:szCs w:val="21"/>
              </w:rPr>
            </w:pPr>
            <w:r>
              <w:rPr>
                <w:rFonts w:hint="eastAsia"/>
                <w:color w:val="000000" w:themeColor="text1"/>
                <w:szCs w:val="21"/>
              </w:rPr>
              <w:t>标准（</w:t>
            </w:r>
            <w:r>
              <w:rPr>
                <w:rFonts w:hint="eastAsia"/>
                <w:color w:val="000000" w:themeColor="text1"/>
                <w:szCs w:val="21"/>
              </w:rPr>
              <w:t>mg/kg</w:t>
            </w:r>
            <w:r>
              <w:rPr>
                <w:rFonts w:hint="eastAsia"/>
                <w:color w:val="000000" w:themeColor="text1"/>
                <w:szCs w:val="21"/>
              </w:rPr>
              <w:t>）</w:t>
            </w:r>
          </w:p>
        </w:tc>
      </w:tr>
      <w:tr w:rsidR="00644456">
        <w:trPr>
          <w:trHeight w:val="261"/>
        </w:trPr>
        <w:tc>
          <w:tcPr>
            <w:tcW w:w="1373" w:type="dxa"/>
            <w:vMerge/>
            <w:vAlign w:val="center"/>
          </w:tcPr>
          <w:p w:rsidR="00644456" w:rsidRDefault="00644456">
            <w:pPr>
              <w:jc w:val="center"/>
              <w:rPr>
                <w:color w:val="000000" w:themeColor="text1"/>
                <w:szCs w:val="21"/>
              </w:rPr>
            </w:pPr>
          </w:p>
        </w:tc>
        <w:tc>
          <w:tcPr>
            <w:tcW w:w="888" w:type="dxa"/>
            <w:vMerge/>
            <w:vAlign w:val="center"/>
          </w:tcPr>
          <w:p w:rsidR="00644456" w:rsidRDefault="00644456">
            <w:pPr>
              <w:jc w:val="center"/>
              <w:rPr>
                <w:color w:val="000000" w:themeColor="text1"/>
                <w:szCs w:val="21"/>
              </w:rPr>
            </w:pPr>
          </w:p>
        </w:tc>
        <w:tc>
          <w:tcPr>
            <w:tcW w:w="1820" w:type="dxa"/>
            <w:gridSpan w:val="2"/>
            <w:vAlign w:val="center"/>
          </w:tcPr>
          <w:p w:rsidR="00644456" w:rsidRDefault="008031C4">
            <w:pPr>
              <w:jc w:val="center"/>
              <w:rPr>
                <w:color w:val="000000" w:themeColor="text1"/>
                <w:szCs w:val="21"/>
              </w:rPr>
            </w:pPr>
            <w:r>
              <w:rPr>
                <w:rFonts w:hint="eastAsia"/>
                <w:color w:val="000000" w:themeColor="text1"/>
                <w:szCs w:val="21"/>
              </w:rPr>
              <w:t>3</w:t>
            </w:r>
            <w:r>
              <w:rPr>
                <w:color w:val="000000" w:themeColor="text1"/>
                <w:szCs w:val="21"/>
              </w:rPr>
              <w:t>#</w:t>
            </w:r>
            <w:r>
              <w:rPr>
                <w:rFonts w:hint="eastAsia"/>
                <w:color w:val="000000" w:themeColor="text1"/>
                <w:szCs w:val="21"/>
              </w:rPr>
              <w:t>（</w:t>
            </w:r>
            <w:r>
              <w:rPr>
                <w:rFonts w:hint="eastAsia"/>
                <w:color w:val="000000" w:themeColor="text1"/>
                <w:szCs w:val="21"/>
              </w:rPr>
              <w:t>29cm</w:t>
            </w:r>
            <w:r>
              <w:rPr>
                <w:rFonts w:hint="eastAsia"/>
                <w:color w:val="000000" w:themeColor="text1"/>
                <w:szCs w:val="21"/>
              </w:rPr>
              <w:t>）</w:t>
            </w:r>
          </w:p>
        </w:tc>
        <w:tc>
          <w:tcPr>
            <w:tcW w:w="1873" w:type="dxa"/>
            <w:gridSpan w:val="2"/>
          </w:tcPr>
          <w:p w:rsidR="00644456" w:rsidRDefault="008031C4">
            <w:pPr>
              <w:jc w:val="center"/>
              <w:rPr>
                <w:color w:val="000000" w:themeColor="text1"/>
                <w:szCs w:val="21"/>
              </w:rPr>
            </w:pPr>
            <w:r>
              <w:rPr>
                <w:rFonts w:hint="eastAsia"/>
                <w:color w:val="000000" w:themeColor="text1"/>
                <w:szCs w:val="21"/>
              </w:rPr>
              <w:t>3</w:t>
            </w:r>
            <w:r>
              <w:rPr>
                <w:color w:val="000000" w:themeColor="text1"/>
                <w:szCs w:val="21"/>
              </w:rPr>
              <w:t>#</w:t>
            </w:r>
            <w:r>
              <w:rPr>
                <w:rFonts w:hint="eastAsia"/>
                <w:color w:val="000000" w:themeColor="text1"/>
                <w:szCs w:val="21"/>
              </w:rPr>
              <w:t>（</w:t>
            </w:r>
            <w:r>
              <w:rPr>
                <w:rFonts w:hint="eastAsia"/>
                <w:color w:val="000000" w:themeColor="text1"/>
                <w:szCs w:val="21"/>
              </w:rPr>
              <w:t>121cm</w:t>
            </w:r>
            <w:r>
              <w:rPr>
                <w:rFonts w:hint="eastAsia"/>
                <w:color w:val="000000" w:themeColor="text1"/>
                <w:szCs w:val="21"/>
              </w:rPr>
              <w:t>）</w:t>
            </w:r>
          </w:p>
        </w:tc>
        <w:tc>
          <w:tcPr>
            <w:tcW w:w="2114" w:type="dxa"/>
            <w:gridSpan w:val="2"/>
            <w:vAlign w:val="center"/>
          </w:tcPr>
          <w:p w:rsidR="00644456" w:rsidRDefault="008031C4">
            <w:pPr>
              <w:jc w:val="center"/>
              <w:rPr>
                <w:color w:val="000000" w:themeColor="text1"/>
                <w:szCs w:val="21"/>
              </w:rPr>
            </w:pPr>
            <w:r>
              <w:rPr>
                <w:rFonts w:hint="eastAsia"/>
                <w:color w:val="000000" w:themeColor="text1"/>
                <w:szCs w:val="21"/>
              </w:rPr>
              <w:t>3</w:t>
            </w:r>
            <w:r>
              <w:rPr>
                <w:color w:val="000000" w:themeColor="text1"/>
                <w:szCs w:val="21"/>
              </w:rPr>
              <w:t>#</w:t>
            </w:r>
            <w:r>
              <w:rPr>
                <w:rFonts w:hint="eastAsia"/>
                <w:color w:val="000000" w:themeColor="text1"/>
                <w:szCs w:val="21"/>
              </w:rPr>
              <w:t>（</w:t>
            </w:r>
            <w:r>
              <w:rPr>
                <w:rFonts w:hint="eastAsia"/>
                <w:color w:val="000000" w:themeColor="text1"/>
                <w:szCs w:val="21"/>
              </w:rPr>
              <w:t>197cm</w:t>
            </w:r>
            <w:r>
              <w:rPr>
                <w:rFonts w:hint="eastAsia"/>
                <w:color w:val="000000" w:themeColor="text1"/>
                <w:szCs w:val="21"/>
              </w:rPr>
              <w:t>）</w:t>
            </w:r>
          </w:p>
        </w:tc>
        <w:tc>
          <w:tcPr>
            <w:tcW w:w="1173" w:type="dxa"/>
            <w:vMerge/>
            <w:vAlign w:val="center"/>
          </w:tcPr>
          <w:p w:rsidR="00644456" w:rsidRDefault="00644456">
            <w:pPr>
              <w:jc w:val="center"/>
              <w:rPr>
                <w:color w:val="000000" w:themeColor="text1"/>
                <w:szCs w:val="21"/>
              </w:rPr>
            </w:pPr>
          </w:p>
        </w:tc>
      </w:tr>
      <w:tr w:rsidR="00644456">
        <w:trPr>
          <w:trHeight w:val="265"/>
        </w:trPr>
        <w:tc>
          <w:tcPr>
            <w:tcW w:w="1373" w:type="dxa"/>
            <w:vMerge/>
            <w:vAlign w:val="center"/>
          </w:tcPr>
          <w:p w:rsidR="00644456" w:rsidRDefault="00644456">
            <w:pPr>
              <w:jc w:val="center"/>
              <w:rPr>
                <w:color w:val="000000" w:themeColor="text1"/>
                <w:szCs w:val="21"/>
              </w:rPr>
            </w:pPr>
          </w:p>
        </w:tc>
        <w:tc>
          <w:tcPr>
            <w:tcW w:w="888" w:type="dxa"/>
            <w:vMerge/>
            <w:vAlign w:val="center"/>
          </w:tcPr>
          <w:p w:rsidR="00644456" w:rsidRDefault="00644456">
            <w:pPr>
              <w:jc w:val="center"/>
              <w:rPr>
                <w:color w:val="000000" w:themeColor="text1"/>
                <w:szCs w:val="21"/>
              </w:rPr>
            </w:pPr>
          </w:p>
        </w:tc>
        <w:tc>
          <w:tcPr>
            <w:tcW w:w="991" w:type="dxa"/>
            <w:vAlign w:val="center"/>
          </w:tcPr>
          <w:p w:rsidR="00644456" w:rsidRDefault="008031C4">
            <w:pPr>
              <w:jc w:val="center"/>
              <w:rPr>
                <w:color w:val="000000" w:themeColor="text1"/>
                <w:szCs w:val="21"/>
              </w:rPr>
            </w:pPr>
            <w:r>
              <w:rPr>
                <w:rFonts w:hint="eastAsia"/>
                <w:color w:val="000000" w:themeColor="text1"/>
                <w:szCs w:val="21"/>
              </w:rPr>
              <w:t>实测值</w:t>
            </w:r>
          </w:p>
        </w:tc>
        <w:tc>
          <w:tcPr>
            <w:tcW w:w="829" w:type="dxa"/>
            <w:vAlign w:val="center"/>
          </w:tcPr>
          <w:p w:rsidR="00644456" w:rsidRDefault="008031C4">
            <w:pPr>
              <w:jc w:val="center"/>
              <w:rPr>
                <w:color w:val="000000" w:themeColor="text1"/>
                <w:szCs w:val="21"/>
              </w:rPr>
            </w:pPr>
            <w:r>
              <w:rPr>
                <w:color w:val="000000" w:themeColor="text1"/>
                <w:szCs w:val="21"/>
              </w:rPr>
              <w:t>Si</w:t>
            </w:r>
          </w:p>
        </w:tc>
        <w:tc>
          <w:tcPr>
            <w:tcW w:w="899" w:type="dxa"/>
            <w:vAlign w:val="center"/>
          </w:tcPr>
          <w:p w:rsidR="00644456" w:rsidRDefault="008031C4">
            <w:pPr>
              <w:jc w:val="center"/>
              <w:rPr>
                <w:color w:val="000000" w:themeColor="text1"/>
                <w:szCs w:val="21"/>
              </w:rPr>
            </w:pPr>
            <w:r>
              <w:rPr>
                <w:rFonts w:hint="eastAsia"/>
                <w:color w:val="000000" w:themeColor="text1"/>
                <w:szCs w:val="21"/>
              </w:rPr>
              <w:t>实测值</w:t>
            </w:r>
          </w:p>
        </w:tc>
        <w:tc>
          <w:tcPr>
            <w:tcW w:w="974" w:type="dxa"/>
            <w:vAlign w:val="center"/>
          </w:tcPr>
          <w:p w:rsidR="00644456" w:rsidRDefault="008031C4">
            <w:pPr>
              <w:jc w:val="center"/>
              <w:rPr>
                <w:color w:val="000000" w:themeColor="text1"/>
                <w:szCs w:val="21"/>
              </w:rPr>
            </w:pPr>
            <w:r>
              <w:rPr>
                <w:color w:val="000000" w:themeColor="text1"/>
                <w:szCs w:val="21"/>
              </w:rPr>
              <w:t>Si</w:t>
            </w:r>
          </w:p>
        </w:tc>
        <w:tc>
          <w:tcPr>
            <w:tcW w:w="1057" w:type="dxa"/>
            <w:vAlign w:val="center"/>
          </w:tcPr>
          <w:p w:rsidR="00644456" w:rsidRDefault="008031C4">
            <w:pPr>
              <w:jc w:val="center"/>
              <w:rPr>
                <w:color w:val="000000" w:themeColor="text1"/>
                <w:szCs w:val="21"/>
              </w:rPr>
            </w:pPr>
            <w:r>
              <w:rPr>
                <w:rFonts w:hint="eastAsia"/>
                <w:color w:val="000000" w:themeColor="text1"/>
                <w:szCs w:val="21"/>
              </w:rPr>
              <w:t>实测值</w:t>
            </w:r>
          </w:p>
        </w:tc>
        <w:tc>
          <w:tcPr>
            <w:tcW w:w="1057" w:type="dxa"/>
            <w:vAlign w:val="center"/>
          </w:tcPr>
          <w:p w:rsidR="00644456" w:rsidRDefault="008031C4">
            <w:pPr>
              <w:jc w:val="center"/>
              <w:rPr>
                <w:color w:val="000000" w:themeColor="text1"/>
                <w:szCs w:val="21"/>
              </w:rPr>
            </w:pPr>
            <w:r>
              <w:rPr>
                <w:color w:val="000000" w:themeColor="text1"/>
                <w:szCs w:val="21"/>
              </w:rPr>
              <w:t>Si</w:t>
            </w:r>
          </w:p>
        </w:tc>
        <w:tc>
          <w:tcPr>
            <w:tcW w:w="1173" w:type="dxa"/>
            <w:vMerge/>
            <w:vAlign w:val="center"/>
          </w:tcPr>
          <w:p w:rsidR="00644456" w:rsidRDefault="00644456">
            <w:pPr>
              <w:jc w:val="center"/>
              <w:rPr>
                <w:color w:val="000000" w:themeColor="text1"/>
                <w:szCs w:val="21"/>
              </w:rPr>
            </w:pPr>
          </w:p>
        </w:tc>
      </w:tr>
      <w:tr w:rsidR="00644456">
        <w:trPr>
          <w:trHeight w:val="251"/>
        </w:trPr>
        <w:tc>
          <w:tcPr>
            <w:tcW w:w="1373" w:type="dxa"/>
            <w:vAlign w:val="center"/>
          </w:tcPr>
          <w:p w:rsidR="00644456" w:rsidRDefault="008031C4">
            <w:pPr>
              <w:jc w:val="center"/>
              <w:rPr>
                <w:color w:val="000000" w:themeColor="text1"/>
                <w:szCs w:val="21"/>
              </w:rPr>
            </w:pPr>
            <w:r>
              <w:rPr>
                <w:rFonts w:cs="Times New Roman" w:hint="eastAsia"/>
                <w:bCs/>
                <w:kern w:val="0"/>
                <w:szCs w:val="24"/>
              </w:rPr>
              <w:t>石油烃（</w:t>
            </w:r>
            <w:r>
              <w:rPr>
                <w:rFonts w:cs="Times New Roman" w:hint="eastAsia"/>
                <w:bCs/>
                <w:kern w:val="0"/>
                <w:szCs w:val="24"/>
              </w:rPr>
              <w:t>C</w:t>
            </w:r>
            <w:r>
              <w:rPr>
                <w:rFonts w:cs="Times New Roman" w:hint="eastAsia"/>
                <w:bCs/>
                <w:kern w:val="0"/>
                <w:szCs w:val="24"/>
                <w:vertAlign w:val="subscript"/>
              </w:rPr>
              <w:t>10</w:t>
            </w:r>
            <w:r>
              <w:rPr>
                <w:rFonts w:cs="Times New Roman" w:hint="eastAsia"/>
                <w:bCs/>
                <w:kern w:val="0"/>
                <w:szCs w:val="24"/>
              </w:rPr>
              <w:t>-C</w:t>
            </w:r>
            <w:r>
              <w:rPr>
                <w:rFonts w:cs="Times New Roman" w:hint="eastAsia"/>
                <w:bCs/>
                <w:kern w:val="0"/>
                <w:szCs w:val="24"/>
                <w:vertAlign w:val="subscript"/>
              </w:rPr>
              <w:t>40</w:t>
            </w:r>
            <w:r>
              <w:rPr>
                <w:rFonts w:cs="Times New Roman" w:hint="eastAsia"/>
                <w:bCs/>
                <w:kern w:val="0"/>
                <w:szCs w:val="24"/>
              </w:rPr>
              <w:t>）</w:t>
            </w:r>
          </w:p>
        </w:tc>
        <w:tc>
          <w:tcPr>
            <w:tcW w:w="888" w:type="dxa"/>
            <w:vAlign w:val="center"/>
          </w:tcPr>
          <w:p w:rsidR="00644456" w:rsidRDefault="008031C4">
            <w:pPr>
              <w:jc w:val="center"/>
              <w:rPr>
                <w:color w:val="000000" w:themeColor="text1"/>
                <w:szCs w:val="21"/>
              </w:rPr>
            </w:pPr>
            <w:r>
              <w:rPr>
                <w:rFonts w:hint="eastAsia"/>
                <w:color w:val="000000"/>
                <w:kern w:val="0"/>
              </w:rPr>
              <w:t>m</w:t>
            </w:r>
            <w:r>
              <w:rPr>
                <w:color w:val="000000"/>
                <w:kern w:val="0"/>
              </w:rPr>
              <w:t>g/</w:t>
            </w:r>
            <w:r>
              <w:rPr>
                <w:rFonts w:hint="eastAsia"/>
                <w:color w:val="000000"/>
                <w:kern w:val="0"/>
              </w:rPr>
              <w:t>kg</w:t>
            </w:r>
          </w:p>
        </w:tc>
        <w:tc>
          <w:tcPr>
            <w:tcW w:w="991" w:type="dxa"/>
            <w:vAlign w:val="center"/>
          </w:tcPr>
          <w:p w:rsidR="00644456" w:rsidRDefault="008031C4">
            <w:pPr>
              <w:jc w:val="center"/>
              <w:rPr>
                <w:color w:val="000000" w:themeColor="text1"/>
                <w:szCs w:val="21"/>
              </w:rPr>
            </w:pPr>
            <w:r>
              <w:rPr>
                <w:rFonts w:hint="eastAsia"/>
                <w:color w:val="000000" w:themeColor="text1"/>
                <w:szCs w:val="21"/>
              </w:rPr>
              <w:t>14</w:t>
            </w:r>
          </w:p>
        </w:tc>
        <w:tc>
          <w:tcPr>
            <w:tcW w:w="829" w:type="dxa"/>
            <w:vAlign w:val="center"/>
          </w:tcPr>
          <w:p w:rsidR="00644456" w:rsidRDefault="008031C4">
            <w:pPr>
              <w:jc w:val="center"/>
              <w:rPr>
                <w:bCs/>
                <w:szCs w:val="21"/>
              </w:rPr>
            </w:pPr>
            <w:r>
              <w:rPr>
                <w:rFonts w:hint="eastAsia"/>
                <w:bCs/>
                <w:szCs w:val="21"/>
              </w:rPr>
              <w:t>0</w:t>
            </w:r>
            <w:r>
              <w:rPr>
                <w:bCs/>
                <w:szCs w:val="21"/>
              </w:rPr>
              <w:t>.003</w:t>
            </w:r>
          </w:p>
        </w:tc>
        <w:tc>
          <w:tcPr>
            <w:tcW w:w="899" w:type="dxa"/>
            <w:vAlign w:val="center"/>
          </w:tcPr>
          <w:p w:rsidR="00644456" w:rsidRDefault="008031C4">
            <w:pPr>
              <w:jc w:val="center"/>
              <w:rPr>
                <w:bCs/>
                <w:szCs w:val="21"/>
              </w:rPr>
            </w:pPr>
            <w:r>
              <w:rPr>
                <w:rFonts w:hint="eastAsia"/>
                <w:bCs/>
                <w:szCs w:val="21"/>
              </w:rPr>
              <w:t>15</w:t>
            </w:r>
          </w:p>
        </w:tc>
        <w:tc>
          <w:tcPr>
            <w:tcW w:w="974" w:type="dxa"/>
            <w:vAlign w:val="center"/>
          </w:tcPr>
          <w:p w:rsidR="00644456" w:rsidRDefault="008031C4">
            <w:pPr>
              <w:jc w:val="center"/>
              <w:rPr>
                <w:bCs/>
                <w:szCs w:val="21"/>
              </w:rPr>
            </w:pPr>
            <w:r>
              <w:rPr>
                <w:rFonts w:hint="eastAsia"/>
                <w:bCs/>
                <w:szCs w:val="21"/>
              </w:rPr>
              <w:t>0</w:t>
            </w:r>
            <w:r>
              <w:rPr>
                <w:bCs/>
                <w:szCs w:val="21"/>
              </w:rPr>
              <w:t>.004</w:t>
            </w:r>
          </w:p>
        </w:tc>
        <w:tc>
          <w:tcPr>
            <w:tcW w:w="1057" w:type="dxa"/>
            <w:vAlign w:val="center"/>
          </w:tcPr>
          <w:p w:rsidR="00644456" w:rsidRDefault="008031C4">
            <w:pPr>
              <w:jc w:val="center"/>
              <w:rPr>
                <w:bCs/>
                <w:szCs w:val="21"/>
              </w:rPr>
            </w:pPr>
            <w:r>
              <w:rPr>
                <w:rFonts w:hint="eastAsia"/>
                <w:bCs/>
                <w:szCs w:val="21"/>
              </w:rPr>
              <w:t>11</w:t>
            </w:r>
          </w:p>
        </w:tc>
        <w:tc>
          <w:tcPr>
            <w:tcW w:w="1057" w:type="dxa"/>
            <w:vAlign w:val="center"/>
          </w:tcPr>
          <w:p w:rsidR="00644456" w:rsidRDefault="008031C4">
            <w:pPr>
              <w:jc w:val="center"/>
              <w:rPr>
                <w:bCs/>
                <w:szCs w:val="21"/>
              </w:rPr>
            </w:pPr>
            <w:r>
              <w:rPr>
                <w:rFonts w:hint="eastAsia"/>
                <w:bCs/>
                <w:szCs w:val="21"/>
              </w:rPr>
              <w:t>0</w:t>
            </w:r>
            <w:r>
              <w:rPr>
                <w:bCs/>
                <w:szCs w:val="21"/>
              </w:rPr>
              <w:t>.002</w:t>
            </w:r>
          </w:p>
        </w:tc>
        <w:tc>
          <w:tcPr>
            <w:tcW w:w="1173" w:type="dxa"/>
            <w:vAlign w:val="center"/>
          </w:tcPr>
          <w:p w:rsidR="00644456" w:rsidRDefault="008031C4">
            <w:pPr>
              <w:jc w:val="center"/>
              <w:rPr>
                <w:bCs/>
                <w:szCs w:val="21"/>
              </w:rPr>
            </w:pPr>
            <w:r>
              <w:rPr>
                <w:rFonts w:hint="eastAsia"/>
                <w:bCs/>
                <w:szCs w:val="21"/>
              </w:rPr>
              <w:t>4500</w:t>
            </w:r>
          </w:p>
        </w:tc>
      </w:tr>
      <w:tr w:rsidR="00644456">
        <w:trPr>
          <w:trHeight w:val="266"/>
        </w:trPr>
        <w:tc>
          <w:tcPr>
            <w:tcW w:w="1373" w:type="dxa"/>
            <w:vAlign w:val="center"/>
          </w:tcPr>
          <w:p w:rsidR="00644456" w:rsidRDefault="008031C4">
            <w:pPr>
              <w:jc w:val="center"/>
              <w:rPr>
                <w:color w:val="000000" w:themeColor="text1"/>
                <w:szCs w:val="21"/>
              </w:rPr>
            </w:pPr>
            <w:r>
              <w:rPr>
                <w:rFonts w:hint="eastAsia"/>
                <w:szCs w:val="21"/>
              </w:rPr>
              <w:t>pH</w:t>
            </w:r>
          </w:p>
        </w:tc>
        <w:tc>
          <w:tcPr>
            <w:tcW w:w="888" w:type="dxa"/>
            <w:vAlign w:val="center"/>
          </w:tcPr>
          <w:p w:rsidR="00644456" w:rsidRDefault="008031C4">
            <w:pPr>
              <w:jc w:val="center"/>
              <w:rPr>
                <w:color w:val="000000" w:themeColor="text1"/>
                <w:szCs w:val="21"/>
              </w:rPr>
            </w:pPr>
            <w:r>
              <w:rPr>
                <w:rFonts w:hint="eastAsia"/>
                <w:color w:val="000000"/>
                <w:kern w:val="0"/>
              </w:rPr>
              <w:t>无量纲</w:t>
            </w:r>
          </w:p>
        </w:tc>
        <w:tc>
          <w:tcPr>
            <w:tcW w:w="991" w:type="dxa"/>
            <w:vAlign w:val="center"/>
          </w:tcPr>
          <w:p w:rsidR="00644456" w:rsidRDefault="008031C4">
            <w:pPr>
              <w:jc w:val="center"/>
              <w:rPr>
                <w:color w:val="000000" w:themeColor="text1"/>
                <w:szCs w:val="21"/>
              </w:rPr>
            </w:pPr>
            <w:r>
              <w:rPr>
                <w:rFonts w:hint="eastAsia"/>
                <w:color w:val="000000" w:themeColor="text1"/>
                <w:szCs w:val="21"/>
              </w:rPr>
              <w:t>8.14</w:t>
            </w:r>
          </w:p>
        </w:tc>
        <w:tc>
          <w:tcPr>
            <w:tcW w:w="829" w:type="dxa"/>
            <w:vAlign w:val="center"/>
          </w:tcPr>
          <w:p w:rsidR="00644456" w:rsidRDefault="008031C4">
            <w:pPr>
              <w:jc w:val="center"/>
              <w:rPr>
                <w:bCs/>
                <w:szCs w:val="21"/>
              </w:rPr>
            </w:pPr>
            <w:r>
              <w:rPr>
                <w:bCs/>
                <w:szCs w:val="21"/>
              </w:rPr>
              <w:t>--</w:t>
            </w:r>
          </w:p>
        </w:tc>
        <w:tc>
          <w:tcPr>
            <w:tcW w:w="899" w:type="dxa"/>
            <w:vAlign w:val="center"/>
          </w:tcPr>
          <w:p w:rsidR="00644456" w:rsidRDefault="008031C4">
            <w:pPr>
              <w:jc w:val="center"/>
              <w:rPr>
                <w:bCs/>
                <w:szCs w:val="21"/>
              </w:rPr>
            </w:pPr>
            <w:r>
              <w:rPr>
                <w:rFonts w:hint="eastAsia"/>
                <w:bCs/>
                <w:szCs w:val="21"/>
              </w:rPr>
              <w:t>7.93</w:t>
            </w:r>
          </w:p>
        </w:tc>
        <w:tc>
          <w:tcPr>
            <w:tcW w:w="974" w:type="dxa"/>
            <w:vAlign w:val="center"/>
          </w:tcPr>
          <w:p w:rsidR="00644456" w:rsidRDefault="008031C4">
            <w:pPr>
              <w:jc w:val="center"/>
              <w:rPr>
                <w:bCs/>
                <w:szCs w:val="21"/>
              </w:rPr>
            </w:pPr>
            <w:r>
              <w:rPr>
                <w:bCs/>
                <w:szCs w:val="21"/>
              </w:rPr>
              <w:t>--</w:t>
            </w:r>
          </w:p>
        </w:tc>
        <w:tc>
          <w:tcPr>
            <w:tcW w:w="1057" w:type="dxa"/>
            <w:vAlign w:val="center"/>
          </w:tcPr>
          <w:p w:rsidR="00644456" w:rsidRDefault="008031C4">
            <w:pPr>
              <w:jc w:val="center"/>
              <w:rPr>
                <w:bCs/>
                <w:szCs w:val="21"/>
              </w:rPr>
            </w:pPr>
            <w:r>
              <w:rPr>
                <w:rFonts w:hint="eastAsia"/>
                <w:bCs/>
                <w:szCs w:val="21"/>
              </w:rPr>
              <w:t>7.87</w:t>
            </w:r>
          </w:p>
        </w:tc>
        <w:tc>
          <w:tcPr>
            <w:tcW w:w="1057" w:type="dxa"/>
            <w:vAlign w:val="center"/>
          </w:tcPr>
          <w:p w:rsidR="00644456" w:rsidRDefault="008031C4">
            <w:pPr>
              <w:jc w:val="center"/>
              <w:rPr>
                <w:bCs/>
                <w:szCs w:val="21"/>
              </w:rPr>
            </w:pPr>
            <w:r>
              <w:rPr>
                <w:bCs/>
                <w:szCs w:val="21"/>
              </w:rPr>
              <w:t>--</w:t>
            </w:r>
          </w:p>
        </w:tc>
        <w:tc>
          <w:tcPr>
            <w:tcW w:w="1173" w:type="dxa"/>
            <w:vAlign w:val="center"/>
          </w:tcPr>
          <w:p w:rsidR="00644456" w:rsidRDefault="008031C4">
            <w:pPr>
              <w:jc w:val="center"/>
              <w:rPr>
                <w:bCs/>
                <w:szCs w:val="21"/>
              </w:rPr>
            </w:pPr>
            <w:r>
              <w:rPr>
                <w:bCs/>
                <w:szCs w:val="21"/>
              </w:rPr>
              <w:t>--</w:t>
            </w:r>
          </w:p>
        </w:tc>
      </w:tr>
    </w:tbl>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3.6-6</w:t>
      </w:r>
      <w:r>
        <w:rPr>
          <w:rFonts w:cs="Times New Roman" w:hint="eastAsia"/>
          <w:b/>
          <w:color w:val="000000" w:themeColor="text1"/>
          <w:sz w:val="24"/>
          <w:szCs w:val="20"/>
        </w:rPr>
        <w:t>土壤单项指数评价结果</w:t>
      </w:r>
    </w:p>
    <w:tbl>
      <w:tblPr>
        <w:tblStyle w:val="afff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373"/>
        <w:gridCol w:w="888"/>
        <w:gridCol w:w="991"/>
        <w:gridCol w:w="829"/>
        <w:gridCol w:w="899"/>
        <w:gridCol w:w="974"/>
        <w:gridCol w:w="1057"/>
        <w:gridCol w:w="1057"/>
        <w:gridCol w:w="1173"/>
      </w:tblGrid>
      <w:tr w:rsidR="00644456">
        <w:trPr>
          <w:trHeight w:val="261"/>
        </w:trPr>
        <w:tc>
          <w:tcPr>
            <w:tcW w:w="1373" w:type="dxa"/>
            <w:vMerge w:val="restart"/>
            <w:vAlign w:val="center"/>
          </w:tcPr>
          <w:p w:rsidR="00644456" w:rsidRDefault="008031C4">
            <w:pPr>
              <w:jc w:val="center"/>
              <w:rPr>
                <w:color w:val="000000" w:themeColor="text1"/>
                <w:szCs w:val="21"/>
              </w:rPr>
            </w:pPr>
            <w:r>
              <w:rPr>
                <w:rFonts w:hint="eastAsia"/>
                <w:color w:val="000000" w:themeColor="text1"/>
                <w:szCs w:val="21"/>
              </w:rPr>
              <w:t>项目</w:t>
            </w:r>
          </w:p>
        </w:tc>
        <w:tc>
          <w:tcPr>
            <w:tcW w:w="888" w:type="dxa"/>
            <w:vMerge w:val="restart"/>
            <w:vAlign w:val="center"/>
          </w:tcPr>
          <w:p w:rsidR="00644456" w:rsidRDefault="008031C4">
            <w:pPr>
              <w:jc w:val="center"/>
              <w:rPr>
                <w:color w:val="000000" w:themeColor="text1"/>
                <w:szCs w:val="21"/>
              </w:rPr>
            </w:pPr>
            <w:r>
              <w:rPr>
                <w:rFonts w:hint="eastAsia"/>
                <w:color w:val="000000" w:themeColor="text1"/>
                <w:szCs w:val="21"/>
              </w:rPr>
              <w:t>单位</w:t>
            </w:r>
          </w:p>
        </w:tc>
        <w:tc>
          <w:tcPr>
            <w:tcW w:w="5807" w:type="dxa"/>
            <w:gridSpan w:val="6"/>
            <w:vAlign w:val="center"/>
          </w:tcPr>
          <w:p w:rsidR="00644456" w:rsidRDefault="008031C4">
            <w:pPr>
              <w:jc w:val="center"/>
              <w:rPr>
                <w:color w:val="000000" w:themeColor="text1"/>
                <w:szCs w:val="21"/>
              </w:rPr>
            </w:pPr>
            <w:r>
              <w:rPr>
                <w:rFonts w:hint="eastAsia"/>
                <w:color w:val="000000" w:themeColor="text1"/>
                <w:szCs w:val="21"/>
              </w:rPr>
              <w:t>监测点位</w:t>
            </w:r>
          </w:p>
        </w:tc>
        <w:tc>
          <w:tcPr>
            <w:tcW w:w="1173" w:type="dxa"/>
            <w:vMerge w:val="restart"/>
            <w:vAlign w:val="center"/>
          </w:tcPr>
          <w:p w:rsidR="00644456" w:rsidRDefault="008031C4">
            <w:pPr>
              <w:jc w:val="center"/>
              <w:rPr>
                <w:color w:val="000000" w:themeColor="text1"/>
                <w:szCs w:val="21"/>
              </w:rPr>
            </w:pPr>
            <w:r>
              <w:rPr>
                <w:rFonts w:hint="eastAsia"/>
                <w:color w:val="000000" w:themeColor="text1"/>
                <w:szCs w:val="21"/>
              </w:rPr>
              <w:t>标准（</w:t>
            </w:r>
            <w:r>
              <w:rPr>
                <w:rFonts w:hint="eastAsia"/>
                <w:color w:val="000000" w:themeColor="text1"/>
                <w:szCs w:val="21"/>
              </w:rPr>
              <w:t>mg/kg</w:t>
            </w:r>
            <w:r>
              <w:rPr>
                <w:rFonts w:hint="eastAsia"/>
                <w:color w:val="000000" w:themeColor="text1"/>
                <w:szCs w:val="21"/>
              </w:rPr>
              <w:t>）</w:t>
            </w:r>
          </w:p>
        </w:tc>
      </w:tr>
      <w:tr w:rsidR="00644456">
        <w:trPr>
          <w:trHeight w:val="261"/>
        </w:trPr>
        <w:tc>
          <w:tcPr>
            <w:tcW w:w="1373" w:type="dxa"/>
            <w:vMerge/>
            <w:vAlign w:val="center"/>
          </w:tcPr>
          <w:p w:rsidR="00644456" w:rsidRDefault="00644456">
            <w:pPr>
              <w:jc w:val="center"/>
              <w:rPr>
                <w:color w:val="000000" w:themeColor="text1"/>
                <w:szCs w:val="21"/>
              </w:rPr>
            </w:pPr>
          </w:p>
        </w:tc>
        <w:tc>
          <w:tcPr>
            <w:tcW w:w="888" w:type="dxa"/>
            <w:vMerge/>
            <w:vAlign w:val="center"/>
          </w:tcPr>
          <w:p w:rsidR="00644456" w:rsidRDefault="00644456">
            <w:pPr>
              <w:jc w:val="center"/>
              <w:rPr>
                <w:color w:val="000000" w:themeColor="text1"/>
                <w:szCs w:val="21"/>
              </w:rPr>
            </w:pPr>
          </w:p>
        </w:tc>
        <w:tc>
          <w:tcPr>
            <w:tcW w:w="1820" w:type="dxa"/>
            <w:gridSpan w:val="2"/>
            <w:vAlign w:val="center"/>
          </w:tcPr>
          <w:p w:rsidR="00644456" w:rsidRDefault="008031C4">
            <w:pPr>
              <w:jc w:val="center"/>
              <w:rPr>
                <w:color w:val="000000" w:themeColor="text1"/>
                <w:szCs w:val="21"/>
              </w:rPr>
            </w:pPr>
            <w:r>
              <w:rPr>
                <w:rFonts w:hint="eastAsia"/>
                <w:color w:val="000000" w:themeColor="text1"/>
                <w:szCs w:val="21"/>
              </w:rPr>
              <w:t>4</w:t>
            </w:r>
            <w:r>
              <w:rPr>
                <w:color w:val="000000" w:themeColor="text1"/>
                <w:szCs w:val="21"/>
              </w:rPr>
              <w:t>#</w:t>
            </w:r>
            <w:r>
              <w:rPr>
                <w:rFonts w:hint="eastAsia"/>
                <w:color w:val="000000" w:themeColor="text1"/>
                <w:szCs w:val="21"/>
              </w:rPr>
              <w:t>（</w:t>
            </w:r>
            <w:r>
              <w:rPr>
                <w:rFonts w:hint="eastAsia"/>
                <w:color w:val="000000" w:themeColor="text1"/>
                <w:szCs w:val="21"/>
              </w:rPr>
              <w:t>25cm</w:t>
            </w:r>
            <w:r>
              <w:rPr>
                <w:rFonts w:hint="eastAsia"/>
                <w:color w:val="000000" w:themeColor="text1"/>
                <w:szCs w:val="21"/>
              </w:rPr>
              <w:t>）</w:t>
            </w:r>
          </w:p>
        </w:tc>
        <w:tc>
          <w:tcPr>
            <w:tcW w:w="1873" w:type="dxa"/>
            <w:gridSpan w:val="2"/>
          </w:tcPr>
          <w:p w:rsidR="00644456" w:rsidRDefault="008031C4">
            <w:pPr>
              <w:jc w:val="center"/>
              <w:rPr>
                <w:color w:val="000000" w:themeColor="text1"/>
                <w:szCs w:val="21"/>
              </w:rPr>
            </w:pPr>
            <w:r>
              <w:rPr>
                <w:color w:val="000000" w:themeColor="text1"/>
                <w:szCs w:val="21"/>
              </w:rPr>
              <w:t>2#</w:t>
            </w:r>
            <w:r>
              <w:rPr>
                <w:rFonts w:hint="eastAsia"/>
                <w:color w:val="000000" w:themeColor="text1"/>
                <w:szCs w:val="21"/>
              </w:rPr>
              <w:t>（</w:t>
            </w:r>
            <w:r>
              <w:rPr>
                <w:rFonts w:hint="eastAsia"/>
                <w:color w:val="000000" w:themeColor="text1"/>
                <w:szCs w:val="21"/>
              </w:rPr>
              <w:t>118cm</w:t>
            </w:r>
            <w:r>
              <w:rPr>
                <w:rFonts w:hint="eastAsia"/>
                <w:color w:val="000000" w:themeColor="text1"/>
                <w:szCs w:val="21"/>
              </w:rPr>
              <w:t>）</w:t>
            </w:r>
          </w:p>
        </w:tc>
        <w:tc>
          <w:tcPr>
            <w:tcW w:w="2114" w:type="dxa"/>
            <w:gridSpan w:val="2"/>
            <w:vAlign w:val="center"/>
          </w:tcPr>
          <w:p w:rsidR="00644456" w:rsidRDefault="008031C4">
            <w:pPr>
              <w:jc w:val="center"/>
              <w:rPr>
                <w:color w:val="000000" w:themeColor="text1"/>
                <w:szCs w:val="21"/>
              </w:rPr>
            </w:pPr>
            <w:r>
              <w:rPr>
                <w:color w:val="000000" w:themeColor="text1"/>
                <w:szCs w:val="21"/>
              </w:rPr>
              <w:t>2#</w:t>
            </w:r>
            <w:r>
              <w:rPr>
                <w:rFonts w:hint="eastAsia"/>
                <w:color w:val="000000" w:themeColor="text1"/>
                <w:szCs w:val="21"/>
              </w:rPr>
              <w:t>（</w:t>
            </w:r>
            <w:r>
              <w:rPr>
                <w:rFonts w:hint="eastAsia"/>
                <w:color w:val="000000" w:themeColor="text1"/>
                <w:szCs w:val="21"/>
              </w:rPr>
              <w:t>185cm</w:t>
            </w:r>
            <w:r>
              <w:rPr>
                <w:rFonts w:hint="eastAsia"/>
                <w:color w:val="000000" w:themeColor="text1"/>
                <w:szCs w:val="21"/>
              </w:rPr>
              <w:t>）</w:t>
            </w:r>
          </w:p>
        </w:tc>
        <w:tc>
          <w:tcPr>
            <w:tcW w:w="1173" w:type="dxa"/>
            <w:vMerge/>
            <w:vAlign w:val="center"/>
          </w:tcPr>
          <w:p w:rsidR="00644456" w:rsidRDefault="00644456">
            <w:pPr>
              <w:jc w:val="center"/>
              <w:rPr>
                <w:color w:val="000000" w:themeColor="text1"/>
                <w:szCs w:val="21"/>
              </w:rPr>
            </w:pPr>
          </w:p>
        </w:tc>
      </w:tr>
      <w:tr w:rsidR="00644456">
        <w:trPr>
          <w:trHeight w:val="265"/>
        </w:trPr>
        <w:tc>
          <w:tcPr>
            <w:tcW w:w="1373" w:type="dxa"/>
            <w:vMerge/>
            <w:vAlign w:val="center"/>
          </w:tcPr>
          <w:p w:rsidR="00644456" w:rsidRDefault="00644456">
            <w:pPr>
              <w:jc w:val="center"/>
              <w:rPr>
                <w:color w:val="000000" w:themeColor="text1"/>
                <w:szCs w:val="21"/>
              </w:rPr>
            </w:pPr>
          </w:p>
        </w:tc>
        <w:tc>
          <w:tcPr>
            <w:tcW w:w="888" w:type="dxa"/>
            <w:vMerge/>
            <w:vAlign w:val="center"/>
          </w:tcPr>
          <w:p w:rsidR="00644456" w:rsidRDefault="00644456">
            <w:pPr>
              <w:jc w:val="center"/>
              <w:rPr>
                <w:color w:val="000000" w:themeColor="text1"/>
                <w:szCs w:val="21"/>
              </w:rPr>
            </w:pPr>
          </w:p>
        </w:tc>
        <w:tc>
          <w:tcPr>
            <w:tcW w:w="991" w:type="dxa"/>
            <w:vAlign w:val="center"/>
          </w:tcPr>
          <w:p w:rsidR="00644456" w:rsidRDefault="008031C4">
            <w:pPr>
              <w:jc w:val="center"/>
              <w:rPr>
                <w:color w:val="000000" w:themeColor="text1"/>
                <w:szCs w:val="21"/>
              </w:rPr>
            </w:pPr>
            <w:r>
              <w:rPr>
                <w:rFonts w:hint="eastAsia"/>
                <w:color w:val="000000" w:themeColor="text1"/>
                <w:szCs w:val="21"/>
              </w:rPr>
              <w:t>实测值</w:t>
            </w:r>
          </w:p>
        </w:tc>
        <w:tc>
          <w:tcPr>
            <w:tcW w:w="829" w:type="dxa"/>
            <w:vAlign w:val="center"/>
          </w:tcPr>
          <w:p w:rsidR="00644456" w:rsidRDefault="008031C4">
            <w:pPr>
              <w:jc w:val="center"/>
              <w:rPr>
                <w:color w:val="000000" w:themeColor="text1"/>
                <w:szCs w:val="21"/>
              </w:rPr>
            </w:pPr>
            <w:r>
              <w:rPr>
                <w:color w:val="000000" w:themeColor="text1"/>
                <w:szCs w:val="21"/>
              </w:rPr>
              <w:t>Si</w:t>
            </w:r>
          </w:p>
        </w:tc>
        <w:tc>
          <w:tcPr>
            <w:tcW w:w="899" w:type="dxa"/>
            <w:vAlign w:val="center"/>
          </w:tcPr>
          <w:p w:rsidR="00644456" w:rsidRDefault="008031C4">
            <w:pPr>
              <w:jc w:val="center"/>
              <w:rPr>
                <w:color w:val="000000" w:themeColor="text1"/>
                <w:szCs w:val="21"/>
              </w:rPr>
            </w:pPr>
            <w:r>
              <w:rPr>
                <w:rFonts w:hint="eastAsia"/>
                <w:color w:val="000000" w:themeColor="text1"/>
                <w:szCs w:val="21"/>
              </w:rPr>
              <w:t>实测值</w:t>
            </w:r>
          </w:p>
        </w:tc>
        <w:tc>
          <w:tcPr>
            <w:tcW w:w="974" w:type="dxa"/>
            <w:vAlign w:val="center"/>
          </w:tcPr>
          <w:p w:rsidR="00644456" w:rsidRDefault="008031C4">
            <w:pPr>
              <w:jc w:val="center"/>
              <w:rPr>
                <w:color w:val="000000" w:themeColor="text1"/>
                <w:szCs w:val="21"/>
              </w:rPr>
            </w:pPr>
            <w:r>
              <w:rPr>
                <w:color w:val="000000" w:themeColor="text1"/>
                <w:szCs w:val="21"/>
              </w:rPr>
              <w:t>Si</w:t>
            </w:r>
          </w:p>
        </w:tc>
        <w:tc>
          <w:tcPr>
            <w:tcW w:w="1057" w:type="dxa"/>
            <w:vAlign w:val="center"/>
          </w:tcPr>
          <w:p w:rsidR="00644456" w:rsidRDefault="008031C4">
            <w:pPr>
              <w:jc w:val="center"/>
              <w:rPr>
                <w:color w:val="000000" w:themeColor="text1"/>
                <w:szCs w:val="21"/>
              </w:rPr>
            </w:pPr>
            <w:r>
              <w:rPr>
                <w:rFonts w:hint="eastAsia"/>
                <w:color w:val="000000" w:themeColor="text1"/>
                <w:szCs w:val="21"/>
              </w:rPr>
              <w:t>实测值</w:t>
            </w:r>
          </w:p>
        </w:tc>
        <w:tc>
          <w:tcPr>
            <w:tcW w:w="1057" w:type="dxa"/>
            <w:vAlign w:val="center"/>
          </w:tcPr>
          <w:p w:rsidR="00644456" w:rsidRDefault="008031C4">
            <w:pPr>
              <w:jc w:val="center"/>
              <w:rPr>
                <w:color w:val="000000" w:themeColor="text1"/>
                <w:szCs w:val="21"/>
              </w:rPr>
            </w:pPr>
            <w:r>
              <w:rPr>
                <w:color w:val="000000" w:themeColor="text1"/>
                <w:szCs w:val="21"/>
              </w:rPr>
              <w:t>Si</w:t>
            </w:r>
          </w:p>
        </w:tc>
        <w:tc>
          <w:tcPr>
            <w:tcW w:w="1173" w:type="dxa"/>
            <w:vMerge/>
            <w:vAlign w:val="center"/>
          </w:tcPr>
          <w:p w:rsidR="00644456" w:rsidRDefault="00644456">
            <w:pPr>
              <w:jc w:val="center"/>
              <w:rPr>
                <w:color w:val="000000" w:themeColor="text1"/>
                <w:szCs w:val="21"/>
              </w:rPr>
            </w:pPr>
          </w:p>
        </w:tc>
      </w:tr>
      <w:tr w:rsidR="00644456">
        <w:trPr>
          <w:trHeight w:val="251"/>
        </w:trPr>
        <w:tc>
          <w:tcPr>
            <w:tcW w:w="1373" w:type="dxa"/>
            <w:vAlign w:val="center"/>
          </w:tcPr>
          <w:p w:rsidR="00644456" w:rsidRDefault="008031C4">
            <w:pPr>
              <w:jc w:val="center"/>
              <w:rPr>
                <w:color w:val="000000" w:themeColor="text1"/>
                <w:szCs w:val="21"/>
              </w:rPr>
            </w:pPr>
            <w:r>
              <w:rPr>
                <w:rFonts w:cs="Times New Roman" w:hint="eastAsia"/>
                <w:bCs/>
                <w:kern w:val="0"/>
                <w:szCs w:val="24"/>
              </w:rPr>
              <w:t>石油烃（</w:t>
            </w:r>
            <w:r>
              <w:rPr>
                <w:rFonts w:cs="Times New Roman" w:hint="eastAsia"/>
                <w:bCs/>
                <w:kern w:val="0"/>
                <w:szCs w:val="24"/>
              </w:rPr>
              <w:t>C</w:t>
            </w:r>
            <w:r>
              <w:rPr>
                <w:rFonts w:cs="Times New Roman" w:hint="eastAsia"/>
                <w:bCs/>
                <w:kern w:val="0"/>
                <w:szCs w:val="24"/>
                <w:vertAlign w:val="subscript"/>
              </w:rPr>
              <w:t>10</w:t>
            </w:r>
            <w:r>
              <w:rPr>
                <w:rFonts w:cs="Times New Roman" w:hint="eastAsia"/>
                <w:bCs/>
                <w:kern w:val="0"/>
                <w:szCs w:val="24"/>
              </w:rPr>
              <w:t>-C</w:t>
            </w:r>
            <w:r>
              <w:rPr>
                <w:rFonts w:cs="Times New Roman" w:hint="eastAsia"/>
                <w:bCs/>
                <w:kern w:val="0"/>
                <w:szCs w:val="24"/>
                <w:vertAlign w:val="subscript"/>
              </w:rPr>
              <w:t>40</w:t>
            </w:r>
            <w:r>
              <w:rPr>
                <w:rFonts w:cs="Times New Roman" w:hint="eastAsia"/>
                <w:bCs/>
                <w:kern w:val="0"/>
                <w:szCs w:val="24"/>
              </w:rPr>
              <w:t>）</w:t>
            </w:r>
          </w:p>
        </w:tc>
        <w:tc>
          <w:tcPr>
            <w:tcW w:w="888" w:type="dxa"/>
            <w:vAlign w:val="center"/>
          </w:tcPr>
          <w:p w:rsidR="00644456" w:rsidRDefault="008031C4">
            <w:pPr>
              <w:jc w:val="center"/>
              <w:rPr>
                <w:color w:val="000000" w:themeColor="text1"/>
                <w:szCs w:val="21"/>
              </w:rPr>
            </w:pPr>
            <w:r>
              <w:rPr>
                <w:rFonts w:hint="eastAsia"/>
                <w:color w:val="000000"/>
                <w:kern w:val="0"/>
              </w:rPr>
              <w:t>m</w:t>
            </w:r>
            <w:r>
              <w:rPr>
                <w:color w:val="000000"/>
                <w:kern w:val="0"/>
              </w:rPr>
              <w:t>g/</w:t>
            </w:r>
            <w:r>
              <w:rPr>
                <w:rFonts w:hint="eastAsia"/>
                <w:color w:val="000000"/>
                <w:kern w:val="0"/>
              </w:rPr>
              <w:t>kg</w:t>
            </w:r>
          </w:p>
        </w:tc>
        <w:tc>
          <w:tcPr>
            <w:tcW w:w="991" w:type="dxa"/>
            <w:vAlign w:val="center"/>
          </w:tcPr>
          <w:p w:rsidR="00644456" w:rsidRDefault="008031C4">
            <w:pPr>
              <w:jc w:val="center"/>
              <w:rPr>
                <w:color w:val="000000" w:themeColor="text1"/>
                <w:szCs w:val="21"/>
              </w:rPr>
            </w:pPr>
            <w:r>
              <w:rPr>
                <w:rFonts w:hint="eastAsia"/>
                <w:color w:val="000000" w:themeColor="text1"/>
                <w:szCs w:val="21"/>
              </w:rPr>
              <w:t>12</w:t>
            </w:r>
          </w:p>
        </w:tc>
        <w:tc>
          <w:tcPr>
            <w:tcW w:w="829" w:type="dxa"/>
            <w:vAlign w:val="center"/>
          </w:tcPr>
          <w:p w:rsidR="00644456" w:rsidRDefault="008031C4">
            <w:pPr>
              <w:jc w:val="center"/>
              <w:rPr>
                <w:bCs/>
                <w:szCs w:val="21"/>
              </w:rPr>
            </w:pPr>
            <w:r>
              <w:rPr>
                <w:rFonts w:hint="eastAsia"/>
                <w:bCs/>
                <w:szCs w:val="21"/>
              </w:rPr>
              <w:t>0</w:t>
            </w:r>
            <w:r>
              <w:rPr>
                <w:bCs/>
                <w:szCs w:val="21"/>
              </w:rPr>
              <w:t>.002</w:t>
            </w:r>
          </w:p>
        </w:tc>
        <w:tc>
          <w:tcPr>
            <w:tcW w:w="899" w:type="dxa"/>
            <w:vAlign w:val="center"/>
          </w:tcPr>
          <w:p w:rsidR="00644456" w:rsidRDefault="008031C4">
            <w:pPr>
              <w:jc w:val="center"/>
              <w:rPr>
                <w:bCs/>
                <w:szCs w:val="21"/>
              </w:rPr>
            </w:pPr>
            <w:r>
              <w:rPr>
                <w:rFonts w:hint="eastAsia"/>
                <w:bCs/>
                <w:szCs w:val="21"/>
              </w:rPr>
              <w:t>14</w:t>
            </w:r>
          </w:p>
        </w:tc>
        <w:tc>
          <w:tcPr>
            <w:tcW w:w="974" w:type="dxa"/>
            <w:vAlign w:val="center"/>
          </w:tcPr>
          <w:p w:rsidR="00644456" w:rsidRDefault="008031C4">
            <w:pPr>
              <w:jc w:val="center"/>
              <w:rPr>
                <w:bCs/>
                <w:szCs w:val="21"/>
              </w:rPr>
            </w:pPr>
            <w:r>
              <w:rPr>
                <w:rFonts w:hint="eastAsia"/>
                <w:bCs/>
                <w:szCs w:val="21"/>
              </w:rPr>
              <w:t>0</w:t>
            </w:r>
            <w:r>
              <w:rPr>
                <w:bCs/>
                <w:szCs w:val="21"/>
              </w:rPr>
              <w:t>.003</w:t>
            </w:r>
          </w:p>
        </w:tc>
        <w:tc>
          <w:tcPr>
            <w:tcW w:w="1057" w:type="dxa"/>
            <w:vAlign w:val="center"/>
          </w:tcPr>
          <w:p w:rsidR="00644456" w:rsidRDefault="008031C4">
            <w:pPr>
              <w:jc w:val="center"/>
              <w:rPr>
                <w:bCs/>
                <w:szCs w:val="21"/>
              </w:rPr>
            </w:pPr>
            <w:r>
              <w:rPr>
                <w:rFonts w:hint="eastAsia"/>
                <w:bCs/>
                <w:szCs w:val="21"/>
              </w:rPr>
              <w:t>10</w:t>
            </w:r>
          </w:p>
        </w:tc>
        <w:tc>
          <w:tcPr>
            <w:tcW w:w="1057" w:type="dxa"/>
            <w:vAlign w:val="center"/>
          </w:tcPr>
          <w:p w:rsidR="00644456" w:rsidRDefault="008031C4">
            <w:pPr>
              <w:jc w:val="center"/>
              <w:rPr>
                <w:bCs/>
                <w:szCs w:val="21"/>
              </w:rPr>
            </w:pPr>
            <w:r>
              <w:rPr>
                <w:rFonts w:hint="eastAsia"/>
                <w:bCs/>
                <w:szCs w:val="21"/>
              </w:rPr>
              <w:t>0</w:t>
            </w:r>
            <w:r>
              <w:rPr>
                <w:bCs/>
                <w:szCs w:val="21"/>
              </w:rPr>
              <w:t>.001</w:t>
            </w:r>
          </w:p>
        </w:tc>
        <w:tc>
          <w:tcPr>
            <w:tcW w:w="1173" w:type="dxa"/>
            <w:vAlign w:val="center"/>
          </w:tcPr>
          <w:p w:rsidR="00644456" w:rsidRDefault="008031C4">
            <w:pPr>
              <w:jc w:val="center"/>
              <w:rPr>
                <w:bCs/>
                <w:szCs w:val="21"/>
              </w:rPr>
            </w:pPr>
            <w:r>
              <w:rPr>
                <w:rFonts w:hint="eastAsia"/>
                <w:bCs/>
                <w:szCs w:val="21"/>
              </w:rPr>
              <w:t>4500</w:t>
            </w:r>
          </w:p>
        </w:tc>
      </w:tr>
      <w:tr w:rsidR="00644456">
        <w:trPr>
          <w:trHeight w:val="266"/>
        </w:trPr>
        <w:tc>
          <w:tcPr>
            <w:tcW w:w="1373" w:type="dxa"/>
            <w:vAlign w:val="center"/>
          </w:tcPr>
          <w:p w:rsidR="00644456" w:rsidRDefault="008031C4">
            <w:pPr>
              <w:jc w:val="center"/>
              <w:rPr>
                <w:color w:val="000000" w:themeColor="text1"/>
                <w:szCs w:val="21"/>
              </w:rPr>
            </w:pPr>
            <w:r>
              <w:rPr>
                <w:rFonts w:hint="eastAsia"/>
                <w:szCs w:val="21"/>
              </w:rPr>
              <w:t>pH</w:t>
            </w:r>
          </w:p>
        </w:tc>
        <w:tc>
          <w:tcPr>
            <w:tcW w:w="888" w:type="dxa"/>
            <w:vAlign w:val="center"/>
          </w:tcPr>
          <w:p w:rsidR="00644456" w:rsidRDefault="008031C4">
            <w:pPr>
              <w:jc w:val="center"/>
              <w:rPr>
                <w:color w:val="000000" w:themeColor="text1"/>
                <w:szCs w:val="21"/>
              </w:rPr>
            </w:pPr>
            <w:r>
              <w:rPr>
                <w:rFonts w:hint="eastAsia"/>
                <w:color w:val="000000"/>
                <w:kern w:val="0"/>
              </w:rPr>
              <w:t>无量纲</w:t>
            </w:r>
          </w:p>
        </w:tc>
        <w:tc>
          <w:tcPr>
            <w:tcW w:w="991" w:type="dxa"/>
            <w:vAlign w:val="center"/>
          </w:tcPr>
          <w:p w:rsidR="00644456" w:rsidRDefault="008031C4">
            <w:pPr>
              <w:jc w:val="center"/>
              <w:rPr>
                <w:color w:val="000000" w:themeColor="text1"/>
                <w:szCs w:val="21"/>
              </w:rPr>
            </w:pPr>
            <w:r>
              <w:rPr>
                <w:rFonts w:hint="eastAsia"/>
                <w:color w:val="000000" w:themeColor="text1"/>
                <w:szCs w:val="21"/>
              </w:rPr>
              <w:t>8.16</w:t>
            </w:r>
          </w:p>
        </w:tc>
        <w:tc>
          <w:tcPr>
            <w:tcW w:w="829" w:type="dxa"/>
            <w:vAlign w:val="center"/>
          </w:tcPr>
          <w:p w:rsidR="00644456" w:rsidRDefault="008031C4">
            <w:pPr>
              <w:jc w:val="center"/>
              <w:rPr>
                <w:bCs/>
                <w:szCs w:val="21"/>
              </w:rPr>
            </w:pPr>
            <w:r>
              <w:rPr>
                <w:bCs/>
                <w:szCs w:val="21"/>
              </w:rPr>
              <w:t>--</w:t>
            </w:r>
          </w:p>
        </w:tc>
        <w:tc>
          <w:tcPr>
            <w:tcW w:w="899" w:type="dxa"/>
            <w:vAlign w:val="center"/>
          </w:tcPr>
          <w:p w:rsidR="00644456" w:rsidRDefault="008031C4">
            <w:pPr>
              <w:jc w:val="center"/>
              <w:rPr>
                <w:bCs/>
                <w:szCs w:val="21"/>
              </w:rPr>
            </w:pPr>
            <w:r>
              <w:rPr>
                <w:rFonts w:hint="eastAsia"/>
                <w:bCs/>
                <w:szCs w:val="21"/>
              </w:rPr>
              <w:t>7.98</w:t>
            </w:r>
          </w:p>
        </w:tc>
        <w:tc>
          <w:tcPr>
            <w:tcW w:w="974" w:type="dxa"/>
            <w:vAlign w:val="center"/>
          </w:tcPr>
          <w:p w:rsidR="00644456" w:rsidRDefault="008031C4">
            <w:pPr>
              <w:jc w:val="center"/>
              <w:rPr>
                <w:bCs/>
                <w:szCs w:val="21"/>
              </w:rPr>
            </w:pPr>
            <w:r>
              <w:rPr>
                <w:bCs/>
                <w:szCs w:val="21"/>
              </w:rPr>
              <w:t>--</w:t>
            </w:r>
          </w:p>
        </w:tc>
        <w:tc>
          <w:tcPr>
            <w:tcW w:w="1057" w:type="dxa"/>
            <w:vAlign w:val="center"/>
          </w:tcPr>
          <w:p w:rsidR="00644456" w:rsidRDefault="008031C4">
            <w:pPr>
              <w:jc w:val="center"/>
              <w:rPr>
                <w:bCs/>
                <w:szCs w:val="21"/>
              </w:rPr>
            </w:pPr>
            <w:r>
              <w:rPr>
                <w:rFonts w:hint="eastAsia"/>
                <w:bCs/>
                <w:szCs w:val="21"/>
              </w:rPr>
              <w:t>7.91</w:t>
            </w:r>
          </w:p>
        </w:tc>
        <w:tc>
          <w:tcPr>
            <w:tcW w:w="1057" w:type="dxa"/>
            <w:vAlign w:val="center"/>
          </w:tcPr>
          <w:p w:rsidR="00644456" w:rsidRDefault="008031C4">
            <w:pPr>
              <w:jc w:val="center"/>
              <w:rPr>
                <w:bCs/>
                <w:szCs w:val="21"/>
              </w:rPr>
            </w:pPr>
            <w:r>
              <w:rPr>
                <w:bCs/>
                <w:szCs w:val="21"/>
              </w:rPr>
              <w:t>--</w:t>
            </w:r>
          </w:p>
        </w:tc>
        <w:tc>
          <w:tcPr>
            <w:tcW w:w="1173" w:type="dxa"/>
            <w:vAlign w:val="center"/>
          </w:tcPr>
          <w:p w:rsidR="00644456" w:rsidRDefault="008031C4">
            <w:pPr>
              <w:jc w:val="center"/>
              <w:rPr>
                <w:bCs/>
                <w:szCs w:val="21"/>
              </w:rPr>
            </w:pPr>
            <w:r>
              <w:rPr>
                <w:bCs/>
                <w:szCs w:val="21"/>
              </w:rPr>
              <w:t>--</w:t>
            </w:r>
          </w:p>
        </w:tc>
      </w:tr>
    </w:tbl>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3.6-7</w:t>
      </w:r>
      <w:r>
        <w:rPr>
          <w:rFonts w:cs="Times New Roman" w:hint="eastAsia"/>
          <w:b/>
          <w:color w:val="000000" w:themeColor="text1"/>
          <w:sz w:val="24"/>
          <w:szCs w:val="20"/>
        </w:rPr>
        <w:t>土壤单项指数评价结果</w:t>
      </w:r>
    </w:p>
    <w:tbl>
      <w:tblPr>
        <w:tblStyle w:val="afff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373"/>
        <w:gridCol w:w="888"/>
        <w:gridCol w:w="2762"/>
        <w:gridCol w:w="3045"/>
        <w:gridCol w:w="1173"/>
      </w:tblGrid>
      <w:tr w:rsidR="00644456">
        <w:trPr>
          <w:trHeight w:val="261"/>
        </w:trPr>
        <w:tc>
          <w:tcPr>
            <w:tcW w:w="1373" w:type="dxa"/>
            <w:vMerge w:val="restart"/>
            <w:vAlign w:val="center"/>
          </w:tcPr>
          <w:p w:rsidR="00644456" w:rsidRDefault="008031C4">
            <w:pPr>
              <w:jc w:val="center"/>
              <w:rPr>
                <w:color w:val="000000" w:themeColor="text1"/>
                <w:szCs w:val="21"/>
              </w:rPr>
            </w:pPr>
            <w:r>
              <w:rPr>
                <w:rFonts w:hint="eastAsia"/>
                <w:color w:val="000000" w:themeColor="text1"/>
                <w:szCs w:val="21"/>
              </w:rPr>
              <w:t>项目</w:t>
            </w:r>
          </w:p>
        </w:tc>
        <w:tc>
          <w:tcPr>
            <w:tcW w:w="888" w:type="dxa"/>
            <w:vMerge w:val="restart"/>
            <w:vAlign w:val="center"/>
          </w:tcPr>
          <w:p w:rsidR="00644456" w:rsidRDefault="008031C4">
            <w:pPr>
              <w:jc w:val="center"/>
              <w:rPr>
                <w:color w:val="000000" w:themeColor="text1"/>
                <w:szCs w:val="21"/>
              </w:rPr>
            </w:pPr>
            <w:r>
              <w:rPr>
                <w:rFonts w:hint="eastAsia"/>
                <w:color w:val="000000" w:themeColor="text1"/>
                <w:szCs w:val="21"/>
              </w:rPr>
              <w:t>单位</w:t>
            </w:r>
          </w:p>
        </w:tc>
        <w:tc>
          <w:tcPr>
            <w:tcW w:w="5807" w:type="dxa"/>
            <w:gridSpan w:val="2"/>
            <w:vAlign w:val="center"/>
          </w:tcPr>
          <w:p w:rsidR="00644456" w:rsidRDefault="008031C4">
            <w:pPr>
              <w:jc w:val="center"/>
              <w:rPr>
                <w:color w:val="000000" w:themeColor="text1"/>
                <w:szCs w:val="21"/>
              </w:rPr>
            </w:pPr>
            <w:r>
              <w:rPr>
                <w:rFonts w:hint="eastAsia"/>
                <w:color w:val="000000" w:themeColor="text1"/>
                <w:szCs w:val="21"/>
              </w:rPr>
              <w:t>监测点位</w:t>
            </w:r>
          </w:p>
        </w:tc>
        <w:tc>
          <w:tcPr>
            <w:tcW w:w="1173" w:type="dxa"/>
            <w:vMerge w:val="restart"/>
            <w:vAlign w:val="center"/>
          </w:tcPr>
          <w:p w:rsidR="00644456" w:rsidRDefault="008031C4">
            <w:pPr>
              <w:jc w:val="center"/>
              <w:rPr>
                <w:color w:val="000000" w:themeColor="text1"/>
                <w:szCs w:val="21"/>
              </w:rPr>
            </w:pPr>
            <w:r>
              <w:rPr>
                <w:rFonts w:hint="eastAsia"/>
                <w:color w:val="000000" w:themeColor="text1"/>
                <w:szCs w:val="21"/>
              </w:rPr>
              <w:t>标准（</w:t>
            </w:r>
            <w:r>
              <w:rPr>
                <w:rFonts w:hint="eastAsia"/>
                <w:color w:val="000000" w:themeColor="text1"/>
                <w:szCs w:val="21"/>
              </w:rPr>
              <w:t>mg/kg</w:t>
            </w:r>
            <w:r>
              <w:rPr>
                <w:rFonts w:hint="eastAsia"/>
                <w:color w:val="000000" w:themeColor="text1"/>
                <w:szCs w:val="21"/>
              </w:rPr>
              <w:t>）</w:t>
            </w:r>
          </w:p>
        </w:tc>
      </w:tr>
      <w:tr w:rsidR="00644456">
        <w:trPr>
          <w:trHeight w:val="261"/>
        </w:trPr>
        <w:tc>
          <w:tcPr>
            <w:tcW w:w="1373" w:type="dxa"/>
            <w:vMerge/>
            <w:vAlign w:val="center"/>
          </w:tcPr>
          <w:p w:rsidR="00644456" w:rsidRDefault="00644456">
            <w:pPr>
              <w:jc w:val="center"/>
              <w:rPr>
                <w:color w:val="000000" w:themeColor="text1"/>
                <w:szCs w:val="21"/>
              </w:rPr>
            </w:pPr>
          </w:p>
        </w:tc>
        <w:tc>
          <w:tcPr>
            <w:tcW w:w="888" w:type="dxa"/>
            <w:vMerge/>
            <w:vAlign w:val="center"/>
          </w:tcPr>
          <w:p w:rsidR="00644456" w:rsidRDefault="00644456">
            <w:pPr>
              <w:jc w:val="center"/>
              <w:rPr>
                <w:color w:val="000000" w:themeColor="text1"/>
                <w:szCs w:val="21"/>
              </w:rPr>
            </w:pPr>
          </w:p>
        </w:tc>
        <w:tc>
          <w:tcPr>
            <w:tcW w:w="5807" w:type="dxa"/>
            <w:gridSpan w:val="2"/>
            <w:vAlign w:val="center"/>
          </w:tcPr>
          <w:p w:rsidR="00644456" w:rsidRDefault="008031C4">
            <w:pPr>
              <w:jc w:val="center"/>
              <w:rPr>
                <w:color w:val="000000" w:themeColor="text1"/>
                <w:szCs w:val="21"/>
              </w:rPr>
            </w:pPr>
            <w:r>
              <w:rPr>
                <w:rFonts w:hint="eastAsia"/>
                <w:color w:val="000000" w:themeColor="text1"/>
                <w:szCs w:val="21"/>
              </w:rPr>
              <w:t>6</w:t>
            </w:r>
            <w:r>
              <w:rPr>
                <w:color w:val="000000" w:themeColor="text1"/>
                <w:szCs w:val="21"/>
              </w:rPr>
              <w:t>#</w:t>
            </w:r>
            <w:r>
              <w:rPr>
                <w:rFonts w:hint="eastAsia"/>
                <w:color w:val="000000" w:themeColor="text1"/>
                <w:szCs w:val="21"/>
              </w:rPr>
              <w:t>（</w:t>
            </w:r>
            <w:r>
              <w:rPr>
                <w:rFonts w:hint="eastAsia"/>
                <w:color w:val="000000" w:themeColor="text1"/>
                <w:szCs w:val="21"/>
              </w:rPr>
              <w:t>19cm</w:t>
            </w:r>
            <w:r>
              <w:rPr>
                <w:rFonts w:hint="eastAsia"/>
                <w:color w:val="000000" w:themeColor="text1"/>
                <w:szCs w:val="21"/>
              </w:rPr>
              <w:t>）</w:t>
            </w:r>
          </w:p>
        </w:tc>
        <w:tc>
          <w:tcPr>
            <w:tcW w:w="1173" w:type="dxa"/>
            <w:vMerge/>
            <w:vAlign w:val="center"/>
          </w:tcPr>
          <w:p w:rsidR="00644456" w:rsidRDefault="00644456">
            <w:pPr>
              <w:jc w:val="center"/>
              <w:rPr>
                <w:color w:val="000000" w:themeColor="text1"/>
                <w:szCs w:val="21"/>
              </w:rPr>
            </w:pPr>
          </w:p>
        </w:tc>
      </w:tr>
      <w:tr w:rsidR="00644456">
        <w:trPr>
          <w:trHeight w:val="265"/>
        </w:trPr>
        <w:tc>
          <w:tcPr>
            <w:tcW w:w="1373" w:type="dxa"/>
            <w:vMerge/>
            <w:vAlign w:val="center"/>
          </w:tcPr>
          <w:p w:rsidR="00644456" w:rsidRDefault="00644456">
            <w:pPr>
              <w:jc w:val="center"/>
              <w:rPr>
                <w:color w:val="000000" w:themeColor="text1"/>
                <w:szCs w:val="21"/>
              </w:rPr>
            </w:pPr>
          </w:p>
        </w:tc>
        <w:tc>
          <w:tcPr>
            <w:tcW w:w="888" w:type="dxa"/>
            <w:vMerge/>
            <w:vAlign w:val="center"/>
          </w:tcPr>
          <w:p w:rsidR="00644456" w:rsidRDefault="00644456">
            <w:pPr>
              <w:jc w:val="center"/>
              <w:rPr>
                <w:color w:val="000000" w:themeColor="text1"/>
                <w:szCs w:val="21"/>
              </w:rPr>
            </w:pPr>
          </w:p>
        </w:tc>
        <w:tc>
          <w:tcPr>
            <w:tcW w:w="2762" w:type="dxa"/>
            <w:vAlign w:val="center"/>
          </w:tcPr>
          <w:p w:rsidR="00644456" w:rsidRDefault="008031C4">
            <w:pPr>
              <w:jc w:val="center"/>
              <w:rPr>
                <w:color w:val="000000" w:themeColor="text1"/>
                <w:szCs w:val="21"/>
              </w:rPr>
            </w:pPr>
            <w:r>
              <w:rPr>
                <w:rFonts w:hint="eastAsia"/>
                <w:color w:val="000000" w:themeColor="text1"/>
                <w:szCs w:val="21"/>
              </w:rPr>
              <w:t>实测值</w:t>
            </w:r>
          </w:p>
        </w:tc>
        <w:tc>
          <w:tcPr>
            <w:tcW w:w="3045" w:type="dxa"/>
            <w:vAlign w:val="center"/>
          </w:tcPr>
          <w:p w:rsidR="00644456" w:rsidRDefault="008031C4">
            <w:pPr>
              <w:jc w:val="center"/>
              <w:rPr>
                <w:color w:val="000000" w:themeColor="text1"/>
                <w:szCs w:val="21"/>
              </w:rPr>
            </w:pPr>
            <w:r>
              <w:rPr>
                <w:color w:val="000000" w:themeColor="text1"/>
                <w:szCs w:val="21"/>
              </w:rPr>
              <w:t>Si</w:t>
            </w:r>
          </w:p>
        </w:tc>
        <w:tc>
          <w:tcPr>
            <w:tcW w:w="1173" w:type="dxa"/>
            <w:vMerge/>
            <w:vAlign w:val="center"/>
          </w:tcPr>
          <w:p w:rsidR="00644456" w:rsidRDefault="00644456">
            <w:pPr>
              <w:jc w:val="center"/>
              <w:rPr>
                <w:color w:val="000000" w:themeColor="text1"/>
                <w:szCs w:val="21"/>
              </w:rPr>
            </w:pPr>
          </w:p>
        </w:tc>
      </w:tr>
      <w:tr w:rsidR="00644456">
        <w:trPr>
          <w:trHeight w:val="251"/>
        </w:trPr>
        <w:tc>
          <w:tcPr>
            <w:tcW w:w="1373" w:type="dxa"/>
            <w:vAlign w:val="center"/>
          </w:tcPr>
          <w:p w:rsidR="00644456" w:rsidRDefault="008031C4">
            <w:pPr>
              <w:jc w:val="center"/>
              <w:rPr>
                <w:color w:val="000000" w:themeColor="text1"/>
                <w:szCs w:val="21"/>
              </w:rPr>
            </w:pPr>
            <w:r>
              <w:rPr>
                <w:rFonts w:cs="Times New Roman" w:hint="eastAsia"/>
                <w:bCs/>
                <w:kern w:val="0"/>
                <w:szCs w:val="24"/>
              </w:rPr>
              <w:t>石油烃（</w:t>
            </w:r>
            <w:r>
              <w:rPr>
                <w:rFonts w:cs="Times New Roman" w:hint="eastAsia"/>
                <w:bCs/>
                <w:kern w:val="0"/>
                <w:szCs w:val="24"/>
              </w:rPr>
              <w:t>C</w:t>
            </w:r>
            <w:r>
              <w:rPr>
                <w:rFonts w:cs="Times New Roman" w:hint="eastAsia"/>
                <w:bCs/>
                <w:kern w:val="0"/>
                <w:szCs w:val="24"/>
                <w:vertAlign w:val="subscript"/>
              </w:rPr>
              <w:t>10</w:t>
            </w:r>
            <w:r>
              <w:rPr>
                <w:rFonts w:cs="Times New Roman" w:hint="eastAsia"/>
                <w:bCs/>
                <w:kern w:val="0"/>
                <w:szCs w:val="24"/>
              </w:rPr>
              <w:t>-C</w:t>
            </w:r>
            <w:r>
              <w:rPr>
                <w:rFonts w:cs="Times New Roman" w:hint="eastAsia"/>
                <w:bCs/>
                <w:kern w:val="0"/>
                <w:szCs w:val="24"/>
                <w:vertAlign w:val="subscript"/>
              </w:rPr>
              <w:t>40</w:t>
            </w:r>
            <w:r>
              <w:rPr>
                <w:rFonts w:cs="Times New Roman" w:hint="eastAsia"/>
                <w:bCs/>
                <w:kern w:val="0"/>
                <w:szCs w:val="24"/>
              </w:rPr>
              <w:t>）</w:t>
            </w:r>
          </w:p>
        </w:tc>
        <w:tc>
          <w:tcPr>
            <w:tcW w:w="888" w:type="dxa"/>
            <w:vAlign w:val="center"/>
          </w:tcPr>
          <w:p w:rsidR="00644456" w:rsidRDefault="008031C4">
            <w:pPr>
              <w:jc w:val="center"/>
              <w:rPr>
                <w:color w:val="000000" w:themeColor="text1"/>
                <w:szCs w:val="21"/>
              </w:rPr>
            </w:pPr>
            <w:r>
              <w:rPr>
                <w:rFonts w:hint="eastAsia"/>
                <w:color w:val="000000"/>
                <w:kern w:val="0"/>
              </w:rPr>
              <w:t>m</w:t>
            </w:r>
            <w:r>
              <w:rPr>
                <w:color w:val="000000"/>
                <w:kern w:val="0"/>
              </w:rPr>
              <w:t>g/</w:t>
            </w:r>
            <w:r>
              <w:rPr>
                <w:rFonts w:hint="eastAsia"/>
                <w:color w:val="000000"/>
                <w:kern w:val="0"/>
              </w:rPr>
              <w:t>kg</w:t>
            </w:r>
          </w:p>
        </w:tc>
        <w:tc>
          <w:tcPr>
            <w:tcW w:w="2762" w:type="dxa"/>
            <w:vAlign w:val="center"/>
          </w:tcPr>
          <w:p w:rsidR="00644456" w:rsidRDefault="008031C4">
            <w:pPr>
              <w:jc w:val="center"/>
              <w:rPr>
                <w:color w:val="000000" w:themeColor="text1"/>
                <w:szCs w:val="21"/>
              </w:rPr>
            </w:pPr>
            <w:r>
              <w:rPr>
                <w:rFonts w:hint="eastAsia"/>
                <w:color w:val="000000" w:themeColor="text1"/>
                <w:szCs w:val="21"/>
              </w:rPr>
              <w:t>14</w:t>
            </w:r>
          </w:p>
        </w:tc>
        <w:tc>
          <w:tcPr>
            <w:tcW w:w="3045" w:type="dxa"/>
            <w:vAlign w:val="center"/>
          </w:tcPr>
          <w:p w:rsidR="00644456" w:rsidRDefault="008031C4">
            <w:pPr>
              <w:jc w:val="center"/>
              <w:rPr>
                <w:bCs/>
                <w:szCs w:val="21"/>
              </w:rPr>
            </w:pPr>
            <w:r>
              <w:rPr>
                <w:rFonts w:hint="eastAsia"/>
                <w:bCs/>
                <w:szCs w:val="21"/>
              </w:rPr>
              <w:t>0</w:t>
            </w:r>
            <w:r>
              <w:rPr>
                <w:bCs/>
                <w:szCs w:val="21"/>
              </w:rPr>
              <w:t>.003</w:t>
            </w:r>
          </w:p>
        </w:tc>
        <w:tc>
          <w:tcPr>
            <w:tcW w:w="1173" w:type="dxa"/>
            <w:vAlign w:val="center"/>
          </w:tcPr>
          <w:p w:rsidR="00644456" w:rsidRDefault="008031C4">
            <w:pPr>
              <w:jc w:val="center"/>
              <w:rPr>
                <w:bCs/>
                <w:szCs w:val="21"/>
              </w:rPr>
            </w:pPr>
            <w:r>
              <w:rPr>
                <w:rFonts w:hint="eastAsia"/>
                <w:bCs/>
                <w:szCs w:val="21"/>
              </w:rPr>
              <w:t>4500</w:t>
            </w:r>
          </w:p>
        </w:tc>
      </w:tr>
      <w:tr w:rsidR="00644456">
        <w:trPr>
          <w:trHeight w:val="266"/>
        </w:trPr>
        <w:tc>
          <w:tcPr>
            <w:tcW w:w="1373" w:type="dxa"/>
            <w:vAlign w:val="center"/>
          </w:tcPr>
          <w:p w:rsidR="00644456" w:rsidRDefault="008031C4">
            <w:pPr>
              <w:jc w:val="center"/>
              <w:rPr>
                <w:color w:val="000000" w:themeColor="text1"/>
                <w:szCs w:val="21"/>
              </w:rPr>
            </w:pPr>
            <w:r>
              <w:rPr>
                <w:rFonts w:hint="eastAsia"/>
                <w:szCs w:val="21"/>
              </w:rPr>
              <w:t>pH</w:t>
            </w:r>
          </w:p>
        </w:tc>
        <w:tc>
          <w:tcPr>
            <w:tcW w:w="888" w:type="dxa"/>
            <w:vAlign w:val="center"/>
          </w:tcPr>
          <w:p w:rsidR="00644456" w:rsidRDefault="008031C4">
            <w:pPr>
              <w:jc w:val="center"/>
              <w:rPr>
                <w:color w:val="000000" w:themeColor="text1"/>
                <w:szCs w:val="21"/>
              </w:rPr>
            </w:pPr>
            <w:r>
              <w:rPr>
                <w:rFonts w:hint="eastAsia"/>
                <w:color w:val="000000"/>
                <w:kern w:val="0"/>
              </w:rPr>
              <w:t>无量纲</w:t>
            </w:r>
          </w:p>
        </w:tc>
        <w:tc>
          <w:tcPr>
            <w:tcW w:w="2762" w:type="dxa"/>
            <w:vAlign w:val="center"/>
          </w:tcPr>
          <w:p w:rsidR="00644456" w:rsidRDefault="008031C4">
            <w:pPr>
              <w:jc w:val="center"/>
              <w:rPr>
                <w:color w:val="000000" w:themeColor="text1"/>
                <w:szCs w:val="21"/>
              </w:rPr>
            </w:pPr>
            <w:r>
              <w:rPr>
                <w:rFonts w:hint="eastAsia"/>
                <w:color w:val="000000" w:themeColor="text1"/>
                <w:szCs w:val="21"/>
              </w:rPr>
              <w:t>8.19</w:t>
            </w:r>
          </w:p>
        </w:tc>
        <w:tc>
          <w:tcPr>
            <w:tcW w:w="3045" w:type="dxa"/>
            <w:vAlign w:val="center"/>
          </w:tcPr>
          <w:p w:rsidR="00644456" w:rsidRDefault="008031C4">
            <w:pPr>
              <w:jc w:val="center"/>
              <w:rPr>
                <w:bCs/>
                <w:szCs w:val="21"/>
              </w:rPr>
            </w:pPr>
            <w:r>
              <w:rPr>
                <w:bCs/>
                <w:szCs w:val="21"/>
              </w:rPr>
              <w:t>--</w:t>
            </w:r>
          </w:p>
        </w:tc>
        <w:tc>
          <w:tcPr>
            <w:tcW w:w="1173" w:type="dxa"/>
            <w:vAlign w:val="center"/>
          </w:tcPr>
          <w:p w:rsidR="00644456" w:rsidRDefault="008031C4">
            <w:pPr>
              <w:jc w:val="center"/>
              <w:rPr>
                <w:bCs/>
                <w:szCs w:val="21"/>
              </w:rPr>
            </w:pPr>
            <w:r>
              <w:rPr>
                <w:bCs/>
                <w:szCs w:val="21"/>
              </w:rPr>
              <w:t>--</w:t>
            </w:r>
          </w:p>
        </w:tc>
      </w:tr>
    </w:tbl>
    <w:p w:rsidR="00644456" w:rsidRDefault="008031C4">
      <w:pPr>
        <w:pStyle w:val="-1"/>
        <w:snapToGrid w:val="0"/>
        <w:rPr>
          <w:rFonts w:cs="Times New Roman"/>
          <w:color w:val="000000" w:themeColor="text1"/>
        </w:rPr>
      </w:pPr>
      <w:r>
        <w:rPr>
          <w:rFonts w:cs="Times New Roman" w:hint="eastAsia"/>
          <w:color w:val="000000" w:themeColor="text1"/>
        </w:rPr>
        <w:t>项目区内外监测点位土壤中各项监测指标均满足《土壤环境质量建设用地土壤污染风险管控标准》（试行）（</w:t>
      </w:r>
      <w:r>
        <w:rPr>
          <w:rFonts w:cs="Times New Roman" w:hint="eastAsia"/>
          <w:color w:val="000000" w:themeColor="text1"/>
        </w:rPr>
        <w:t>GB36600-2018</w:t>
      </w:r>
      <w:r>
        <w:rPr>
          <w:rFonts w:cs="Times New Roman" w:hint="eastAsia"/>
          <w:color w:val="000000" w:themeColor="text1"/>
        </w:rPr>
        <w:t>）表</w:t>
      </w:r>
      <w:r>
        <w:rPr>
          <w:rFonts w:cs="Times New Roman" w:hint="eastAsia"/>
          <w:color w:val="000000" w:themeColor="text1"/>
        </w:rPr>
        <w:t>1</w:t>
      </w:r>
      <w:r>
        <w:rPr>
          <w:rFonts w:cs="Times New Roman" w:hint="eastAsia"/>
          <w:color w:val="000000" w:themeColor="text1"/>
        </w:rPr>
        <w:t>和表</w:t>
      </w:r>
      <w:r>
        <w:rPr>
          <w:rFonts w:cs="Times New Roman" w:hint="eastAsia"/>
          <w:color w:val="000000" w:themeColor="text1"/>
        </w:rPr>
        <w:t>2</w:t>
      </w:r>
      <w:r>
        <w:rPr>
          <w:rFonts w:cs="Times New Roman" w:hint="eastAsia"/>
          <w:color w:val="000000" w:themeColor="text1"/>
        </w:rPr>
        <w:t>第二类用地筛选值标准要求。</w:t>
      </w:r>
    </w:p>
    <w:p w:rsidR="00644456" w:rsidRDefault="008031C4">
      <w:pPr>
        <w:pStyle w:val="-1"/>
        <w:snapToGrid w:val="0"/>
        <w:ind w:firstLine="482"/>
        <w:rPr>
          <w:rFonts w:cs="Times New Roman"/>
          <w:b/>
          <w:bCs/>
          <w:color w:val="000000" w:themeColor="text1"/>
        </w:rPr>
      </w:pPr>
      <w:r>
        <w:rPr>
          <w:rFonts w:cs="Times New Roman" w:hint="eastAsia"/>
          <w:b/>
          <w:bCs/>
          <w:color w:val="000000" w:themeColor="text1"/>
        </w:rPr>
        <w:t>综上可知，项目所在区域土壤环境质量现状良好。</w:t>
      </w:r>
    </w:p>
    <w:p w:rsidR="00644456" w:rsidRDefault="008031C4">
      <w:pPr>
        <w:pStyle w:val="20"/>
        <w:numPr>
          <w:ilvl w:val="1"/>
          <w:numId w:val="0"/>
        </w:numPr>
        <w:snapToGrid w:val="0"/>
        <w:spacing w:beforeLines="0" w:before="0" w:afterLines="0" w:after="0"/>
        <w:ind w:firstLine="562"/>
        <w:rPr>
          <w:rFonts w:cs="Times New Roman"/>
          <w:color w:val="000000" w:themeColor="text1"/>
        </w:rPr>
      </w:pPr>
      <w:bookmarkStart w:id="256" w:name="_Toc56715041"/>
      <w:bookmarkStart w:id="257" w:name="_Toc177216881"/>
      <w:bookmarkStart w:id="258" w:name="_Toc155789373"/>
      <w:r>
        <w:rPr>
          <w:rFonts w:cs="Times New Roman" w:hint="eastAsia"/>
          <w:color w:val="000000" w:themeColor="text1"/>
        </w:rPr>
        <w:t>3.7</w:t>
      </w:r>
      <w:r>
        <w:rPr>
          <w:rFonts w:cs="Times New Roman"/>
          <w:color w:val="000000" w:themeColor="text1"/>
        </w:rPr>
        <w:t>声环境质量现状监测与评价</w:t>
      </w:r>
      <w:bookmarkEnd w:id="256"/>
      <w:bookmarkEnd w:id="257"/>
      <w:bookmarkEnd w:id="258"/>
    </w:p>
    <w:p w:rsidR="00644456" w:rsidRDefault="008031C4">
      <w:pPr>
        <w:pStyle w:val="3"/>
        <w:numPr>
          <w:ilvl w:val="2"/>
          <w:numId w:val="0"/>
        </w:numPr>
        <w:ind w:firstLineChars="200" w:firstLine="482"/>
      </w:pPr>
      <w:r>
        <w:rPr>
          <w:rFonts w:hint="eastAsia"/>
        </w:rPr>
        <w:t>3.7.1</w:t>
      </w:r>
      <w:r>
        <w:rPr>
          <w:rFonts w:hint="eastAsia"/>
        </w:rPr>
        <w:t>环境噪声现状监测</w:t>
      </w:r>
    </w:p>
    <w:p w:rsidR="00644456" w:rsidRDefault="008031C4">
      <w:pPr>
        <w:pStyle w:val="-1"/>
        <w:snapToGrid w:val="0"/>
        <w:ind w:firstLine="482"/>
        <w:rPr>
          <w:rFonts w:cs="Times New Roman"/>
          <w:b/>
          <w:color w:val="000000" w:themeColor="text1"/>
        </w:rPr>
      </w:pPr>
      <w:r>
        <w:rPr>
          <w:rFonts w:cs="Times New Roman"/>
          <w:b/>
          <w:color w:val="000000" w:themeColor="text1"/>
        </w:rPr>
        <w:t>（</w:t>
      </w:r>
      <w:r>
        <w:rPr>
          <w:rFonts w:cs="Times New Roman"/>
          <w:b/>
          <w:color w:val="000000" w:themeColor="text1"/>
        </w:rPr>
        <w:t>1</w:t>
      </w:r>
      <w:r>
        <w:rPr>
          <w:rFonts w:cs="Times New Roman"/>
          <w:b/>
          <w:color w:val="000000" w:themeColor="text1"/>
        </w:rPr>
        <w:t>）噪声监测点的布设</w:t>
      </w:r>
    </w:p>
    <w:p w:rsidR="00644456" w:rsidRDefault="008031C4">
      <w:pPr>
        <w:pStyle w:val="-1"/>
        <w:snapToGrid w:val="0"/>
        <w:rPr>
          <w:rFonts w:cs="Times New Roman"/>
          <w:color w:val="000000" w:themeColor="text1"/>
        </w:rPr>
      </w:pPr>
      <w:r>
        <w:rPr>
          <w:rFonts w:cs="Times New Roman" w:hint="eastAsia"/>
          <w:color w:val="000000" w:themeColor="text1"/>
        </w:rPr>
        <w:t>建设单位委托新疆锡水金山环境科技有限公司于</w:t>
      </w:r>
      <w:r>
        <w:rPr>
          <w:rFonts w:cs="Times New Roman" w:hint="eastAsia"/>
          <w:color w:val="000000" w:themeColor="text1"/>
        </w:rPr>
        <w:t>2</w:t>
      </w:r>
      <w:r>
        <w:rPr>
          <w:rFonts w:cs="Times New Roman"/>
          <w:color w:val="000000" w:themeColor="text1"/>
        </w:rPr>
        <w:t>024</w:t>
      </w:r>
      <w:r>
        <w:rPr>
          <w:rFonts w:cs="Times New Roman" w:hint="eastAsia"/>
          <w:color w:val="000000" w:themeColor="text1"/>
        </w:rPr>
        <w:t>年</w:t>
      </w:r>
      <w:r>
        <w:rPr>
          <w:rFonts w:cs="Times New Roman" w:hint="eastAsia"/>
          <w:color w:val="000000" w:themeColor="text1"/>
        </w:rPr>
        <w:t>8</w:t>
      </w:r>
      <w:r>
        <w:rPr>
          <w:rFonts w:cs="Times New Roman" w:hint="eastAsia"/>
          <w:color w:val="000000" w:themeColor="text1"/>
        </w:rPr>
        <w:t>月</w:t>
      </w:r>
      <w:r>
        <w:rPr>
          <w:rFonts w:cs="Times New Roman" w:hint="eastAsia"/>
          <w:color w:val="000000" w:themeColor="text1"/>
        </w:rPr>
        <w:t>23</w:t>
      </w:r>
      <w:r>
        <w:rPr>
          <w:rFonts w:cs="Times New Roman" w:hint="eastAsia"/>
          <w:color w:val="000000" w:themeColor="text1"/>
        </w:rPr>
        <w:t>日</w:t>
      </w:r>
      <w:r>
        <w:rPr>
          <w:rFonts w:cs="Times New Roman"/>
          <w:color w:val="000000" w:themeColor="text1"/>
        </w:rPr>
        <w:t>-</w:t>
      </w:r>
      <w:r>
        <w:rPr>
          <w:rFonts w:cs="Times New Roman" w:hint="eastAsia"/>
          <w:color w:val="000000" w:themeColor="text1"/>
        </w:rPr>
        <w:t>24</w:t>
      </w:r>
      <w:r>
        <w:rPr>
          <w:rFonts w:cs="Times New Roman" w:hint="eastAsia"/>
          <w:color w:val="000000" w:themeColor="text1"/>
        </w:rPr>
        <w:t>日对本项目声环境现状进行监测，具体</w:t>
      </w:r>
      <w:r>
        <w:rPr>
          <w:rFonts w:cs="Times New Roman"/>
          <w:color w:val="000000" w:themeColor="text1"/>
        </w:rPr>
        <w:t>见下表，监测结果详见</w:t>
      </w:r>
      <w:r>
        <w:rPr>
          <w:rFonts w:cs="Times New Roman"/>
          <w:color w:val="000000" w:themeColor="text1"/>
        </w:rPr>
        <w:t>“</w:t>
      </w:r>
      <w:r>
        <w:rPr>
          <w:rFonts w:cs="Times New Roman" w:hint="eastAsia"/>
          <w:color w:val="000000" w:themeColor="text1"/>
        </w:rPr>
        <w:t>报告编号：</w:t>
      </w:r>
      <w:r>
        <w:rPr>
          <w:rFonts w:cs="Times New Roman" w:hint="eastAsia"/>
          <w:color w:val="000000" w:themeColor="text1"/>
        </w:rPr>
        <w:t>WT202408181</w:t>
      </w:r>
      <w:r>
        <w:rPr>
          <w:rFonts w:cs="Times New Roman"/>
          <w:color w:val="000000" w:themeColor="text1"/>
        </w:rPr>
        <w:t>”</w:t>
      </w:r>
      <w:r>
        <w:rPr>
          <w:rFonts w:cs="Times New Roman"/>
          <w:color w:val="000000" w:themeColor="text1"/>
        </w:rPr>
        <w:t>：</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3.7</w:t>
      </w:r>
      <w:r>
        <w:rPr>
          <w:rFonts w:cs="Times New Roman" w:hint="eastAsia"/>
          <w:b/>
          <w:color w:val="000000" w:themeColor="text1"/>
          <w:sz w:val="24"/>
          <w:szCs w:val="20"/>
        </w:rPr>
        <w:noBreakHyphen/>
        <w:t>1</w:t>
      </w:r>
      <w:r>
        <w:rPr>
          <w:rFonts w:cs="Times New Roman" w:hint="eastAsia"/>
          <w:b/>
          <w:color w:val="000000" w:themeColor="text1"/>
          <w:sz w:val="24"/>
          <w:szCs w:val="20"/>
        </w:rPr>
        <w:t>噪声监测布点</w:t>
      </w:r>
    </w:p>
    <w:tbl>
      <w:tblPr>
        <w:tblW w:w="4997"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90"/>
        <w:gridCol w:w="4369"/>
        <w:gridCol w:w="3117"/>
      </w:tblGrid>
      <w:tr w:rsidR="00644456">
        <w:trPr>
          <w:trHeight w:val="155"/>
        </w:trPr>
        <w:tc>
          <w:tcPr>
            <w:tcW w:w="876" w:type="pct"/>
            <w:tcBorders>
              <w:tl2br w:val="nil"/>
              <w:tr2bl w:val="nil"/>
            </w:tcBorders>
            <w:vAlign w:val="center"/>
          </w:tcPr>
          <w:p w:rsidR="00644456" w:rsidRDefault="008031C4">
            <w:pPr>
              <w:snapToGrid w:val="0"/>
              <w:ind w:firstLine="482"/>
              <w:jc w:val="center"/>
              <w:rPr>
                <w:rFonts w:cs="Times New Roman"/>
                <w:b/>
                <w:bCs/>
                <w:color w:val="000000" w:themeColor="text1"/>
                <w:szCs w:val="21"/>
              </w:rPr>
            </w:pPr>
            <w:r>
              <w:rPr>
                <w:rFonts w:cs="Times New Roman"/>
                <w:b/>
                <w:bCs/>
                <w:color w:val="000000" w:themeColor="text1"/>
                <w:szCs w:val="21"/>
              </w:rPr>
              <w:t>序号</w:t>
            </w:r>
          </w:p>
        </w:tc>
        <w:tc>
          <w:tcPr>
            <w:tcW w:w="2407" w:type="pct"/>
            <w:tcBorders>
              <w:tl2br w:val="nil"/>
              <w:tr2bl w:val="nil"/>
            </w:tcBorders>
            <w:vAlign w:val="center"/>
          </w:tcPr>
          <w:p w:rsidR="00644456" w:rsidRDefault="008031C4">
            <w:pPr>
              <w:snapToGrid w:val="0"/>
              <w:ind w:firstLine="482"/>
              <w:jc w:val="center"/>
              <w:rPr>
                <w:rFonts w:cs="Times New Roman"/>
                <w:b/>
                <w:bCs/>
                <w:color w:val="000000" w:themeColor="text1"/>
                <w:szCs w:val="21"/>
              </w:rPr>
            </w:pPr>
            <w:r>
              <w:rPr>
                <w:rFonts w:cs="Times New Roman"/>
                <w:b/>
                <w:bCs/>
                <w:color w:val="000000" w:themeColor="text1"/>
                <w:szCs w:val="21"/>
              </w:rPr>
              <w:t>位置</w:t>
            </w:r>
          </w:p>
        </w:tc>
        <w:tc>
          <w:tcPr>
            <w:tcW w:w="1717" w:type="pct"/>
            <w:tcBorders>
              <w:tl2br w:val="nil"/>
              <w:tr2bl w:val="nil"/>
            </w:tcBorders>
            <w:vAlign w:val="center"/>
          </w:tcPr>
          <w:p w:rsidR="00644456" w:rsidRDefault="008031C4">
            <w:pPr>
              <w:snapToGrid w:val="0"/>
              <w:ind w:firstLine="482"/>
              <w:jc w:val="center"/>
              <w:rPr>
                <w:rFonts w:cs="Times New Roman"/>
                <w:b/>
                <w:bCs/>
                <w:color w:val="000000" w:themeColor="text1"/>
                <w:szCs w:val="21"/>
              </w:rPr>
            </w:pPr>
            <w:r>
              <w:rPr>
                <w:rFonts w:cs="Times New Roman"/>
                <w:b/>
                <w:bCs/>
                <w:color w:val="000000" w:themeColor="text1"/>
                <w:szCs w:val="21"/>
              </w:rPr>
              <w:t>类型</w:t>
            </w:r>
          </w:p>
        </w:tc>
      </w:tr>
      <w:tr w:rsidR="00644456">
        <w:trPr>
          <w:trHeight w:val="127"/>
        </w:trPr>
        <w:tc>
          <w:tcPr>
            <w:tcW w:w="876" w:type="pct"/>
            <w:tcBorders>
              <w:tl2br w:val="nil"/>
              <w:tr2bl w:val="nil"/>
            </w:tcBorders>
            <w:vAlign w:val="center"/>
          </w:tcPr>
          <w:p w:rsidR="00644456" w:rsidRDefault="008031C4">
            <w:pPr>
              <w:snapToGrid w:val="0"/>
              <w:jc w:val="center"/>
              <w:rPr>
                <w:rFonts w:cs="Times New Roman"/>
                <w:color w:val="000000" w:themeColor="text1"/>
                <w:szCs w:val="21"/>
              </w:rPr>
            </w:pPr>
            <w:r>
              <w:rPr>
                <w:rFonts w:cs="Times New Roman"/>
                <w:color w:val="000000" w:themeColor="text1"/>
                <w:szCs w:val="21"/>
              </w:rPr>
              <w:t>1#</w:t>
            </w:r>
          </w:p>
        </w:tc>
        <w:tc>
          <w:tcPr>
            <w:tcW w:w="4342" w:type="dxa"/>
            <w:tcBorders>
              <w:tl2br w:val="nil"/>
              <w:tr2bl w:val="nil"/>
            </w:tcBorders>
            <w:vAlign w:val="center"/>
          </w:tcPr>
          <w:p w:rsidR="00644456" w:rsidRDefault="008031C4">
            <w:pPr>
              <w:widowControl/>
              <w:jc w:val="center"/>
              <w:textAlignment w:val="center"/>
              <w:rPr>
                <w:rFonts w:cs="Times New Roman"/>
                <w:color w:val="000000" w:themeColor="text1"/>
                <w:szCs w:val="21"/>
              </w:rPr>
            </w:pPr>
            <w:r>
              <w:rPr>
                <w:rFonts w:cs="Times New Roman"/>
                <w:kern w:val="0"/>
                <w:szCs w:val="21"/>
                <w:lang w:bidi="ar"/>
              </w:rPr>
              <w:t>项目区</w:t>
            </w:r>
            <w:r>
              <w:rPr>
                <w:rFonts w:cs="Times New Roman" w:hint="eastAsia"/>
                <w:kern w:val="0"/>
                <w:szCs w:val="21"/>
                <w:lang w:bidi="ar"/>
              </w:rPr>
              <w:t>东侧外</w:t>
            </w:r>
            <w:r>
              <w:rPr>
                <w:rFonts w:cs="Times New Roman" w:hint="eastAsia"/>
                <w:kern w:val="0"/>
                <w:szCs w:val="21"/>
                <w:lang w:bidi="ar"/>
              </w:rPr>
              <w:t>1m</w:t>
            </w:r>
          </w:p>
        </w:tc>
        <w:tc>
          <w:tcPr>
            <w:tcW w:w="1717" w:type="pct"/>
            <w:vMerge w:val="restart"/>
            <w:tcBorders>
              <w:tl2br w:val="nil"/>
              <w:tr2bl w:val="nil"/>
            </w:tcBorders>
            <w:vAlign w:val="center"/>
          </w:tcPr>
          <w:p w:rsidR="00644456" w:rsidRDefault="008031C4">
            <w:pPr>
              <w:snapToGrid w:val="0"/>
              <w:jc w:val="center"/>
              <w:rPr>
                <w:rFonts w:cs="Times New Roman"/>
                <w:color w:val="000000" w:themeColor="text1"/>
                <w:szCs w:val="21"/>
              </w:rPr>
            </w:pPr>
            <w:r>
              <w:rPr>
                <w:rFonts w:cs="Times New Roman"/>
                <w:color w:val="000000" w:themeColor="text1"/>
                <w:szCs w:val="21"/>
              </w:rPr>
              <w:t>厂界四周</w:t>
            </w:r>
          </w:p>
        </w:tc>
      </w:tr>
      <w:tr w:rsidR="00644456">
        <w:tc>
          <w:tcPr>
            <w:tcW w:w="876" w:type="pct"/>
            <w:tcBorders>
              <w:tl2br w:val="nil"/>
              <w:tr2bl w:val="nil"/>
            </w:tcBorders>
            <w:vAlign w:val="center"/>
          </w:tcPr>
          <w:p w:rsidR="00644456" w:rsidRDefault="008031C4">
            <w:pPr>
              <w:snapToGrid w:val="0"/>
              <w:jc w:val="center"/>
              <w:rPr>
                <w:rFonts w:cs="Times New Roman"/>
                <w:color w:val="000000" w:themeColor="text1"/>
                <w:szCs w:val="21"/>
              </w:rPr>
            </w:pPr>
            <w:r>
              <w:rPr>
                <w:rFonts w:cs="Times New Roman"/>
                <w:color w:val="000000" w:themeColor="text1"/>
                <w:szCs w:val="21"/>
              </w:rPr>
              <w:t>2#</w:t>
            </w:r>
          </w:p>
        </w:tc>
        <w:tc>
          <w:tcPr>
            <w:tcW w:w="4342" w:type="dxa"/>
            <w:tcBorders>
              <w:tl2br w:val="nil"/>
              <w:tr2bl w:val="nil"/>
            </w:tcBorders>
            <w:vAlign w:val="center"/>
          </w:tcPr>
          <w:p w:rsidR="00644456" w:rsidRDefault="008031C4">
            <w:pPr>
              <w:widowControl/>
              <w:jc w:val="center"/>
              <w:textAlignment w:val="center"/>
              <w:rPr>
                <w:rFonts w:cs="Times New Roman"/>
                <w:color w:val="000000" w:themeColor="text1"/>
                <w:szCs w:val="21"/>
              </w:rPr>
            </w:pPr>
            <w:r>
              <w:rPr>
                <w:rFonts w:cs="Times New Roman" w:hint="eastAsia"/>
                <w:kern w:val="0"/>
                <w:szCs w:val="21"/>
                <w:lang w:bidi="ar"/>
              </w:rPr>
              <w:t>项目区南侧外</w:t>
            </w:r>
            <w:r>
              <w:rPr>
                <w:rFonts w:cs="Times New Roman" w:hint="eastAsia"/>
                <w:kern w:val="0"/>
                <w:szCs w:val="21"/>
                <w:lang w:bidi="ar"/>
              </w:rPr>
              <w:t>1m</w:t>
            </w:r>
          </w:p>
        </w:tc>
        <w:tc>
          <w:tcPr>
            <w:tcW w:w="1717" w:type="pct"/>
            <w:vMerge/>
            <w:tcBorders>
              <w:tl2br w:val="nil"/>
              <w:tr2bl w:val="nil"/>
            </w:tcBorders>
            <w:vAlign w:val="center"/>
          </w:tcPr>
          <w:p w:rsidR="00644456" w:rsidRDefault="00644456">
            <w:pPr>
              <w:snapToGrid w:val="0"/>
              <w:rPr>
                <w:rFonts w:cs="Times New Roman"/>
                <w:color w:val="000000" w:themeColor="text1"/>
                <w:szCs w:val="21"/>
              </w:rPr>
            </w:pPr>
          </w:p>
        </w:tc>
      </w:tr>
      <w:tr w:rsidR="00644456">
        <w:trPr>
          <w:trHeight w:val="90"/>
        </w:trPr>
        <w:tc>
          <w:tcPr>
            <w:tcW w:w="876" w:type="pct"/>
            <w:tcBorders>
              <w:tl2br w:val="nil"/>
              <w:tr2bl w:val="nil"/>
            </w:tcBorders>
            <w:vAlign w:val="center"/>
          </w:tcPr>
          <w:p w:rsidR="00644456" w:rsidRDefault="008031C4">
            <w:pPr>
              <w:snapToGrid w:val="0"/>
              <w:jc w:val="center"/>
              <w:rPr>
                <w:rFonts w:cs="Times New Roman"/>
                <w:color w:val="000000" w:themeColor="text1"/>
                <w:szCs w:val="21"/>
              </w:rPr>
            </w:pPr>
            <w:r>
              <w:rPr>
                <w:rFonts w:cs="Times New Roman"/>
                <w:color w:val="000000" w:themeColor="text1"/>
                <w:szCs w:val="21"/>
              </w:rPr>
              <w:t>3#</w:t>
            </w:r>
          </w:p>
        </w:tc>
        <w:tc>
          <w:tcPr>
            <w:tcW w:w="4342" w:type="dxa"/>
            <w:tcBorders>
              <w:tl2br w:val="nil"/>
              <w:tr2bl w:val="nil"/>
            </w:tcBorders>
            <w:vAlign w:val="center"/>
          </w:tcPr>
          <w:p w:rsidR="00644456" w:rsidRDefault="008031C4">
            <w:pPr>
              <w:widowControl/>
              <w:jc w:val="center"/>
              <w:textAlignment w:val="center"/>
              <w:rPr>
                <w:rFonts w:cs="Times New Roman"/>
                <w:color w:val="000000" w:themeColor="text1"/>
                <w:szCs w:val="21"/>
              </w:rPr>
            </w:pPr>
            <w:r>
              <w:rPr>
                <w:rFonts w:cs="Times New Roman" w:hint="eastAsia"/>
                <w:kern w:val="0"/>
                <w:szCs w:val="21"/>
                <w:lang w:bidi="ar"/>
              </w:rPr>
              <w:t>项目区西侧外</w:t>
            </w:r>
            <w:r>
              <w:rPr>
                <w:rFonts w:cs="Times New Roman" w:hint="eastAsia"/>
                <w:kern w:val="0"/>
                <w:szCs w:val="21"/>
                <w:lang w:bidi="ar"/>
              </w:rPr>
              <w:t>1m</w:t>
            </w:r>
          </w:p>
        </w:tc>
        <w:tc>
          <w:tcPr>
            <w:tcW w:w="1717" w:type="pct"/>
            <w:vMerge/>
            <w:tcBorders>
              <w:tl2br w:val="nil"/>
              <w:tr2bl w:val="nil"/>
            </w:tcBorders>
            <w:vAlign w:val="center"/>
          </w:tcPr>
          <w:p w:rsidR="00644456" w:rsidRDefault="00644456">
            <w:pPr>
              <w:snapToGrid w:val="0"/>
              <w:rPr>
                <w:rFonts w:cs="Times New Roman"/>
                <w:color w:val="000000" w:themeColor="text1"/>
                <w:szCs w:val="21"/>
              </w:rPr>
            </w:pPr>
          </w:p>
        </w:tc>
      </w:tr>
      <w:tr w:rsidR="00644456">
        <w:tc>
          <w:tcPr>
            <w:tcW w:w="876" w:type="pct"/>
            <w:tcBorders>
              <w:tl2br w:val="nil"/>
              <w:tr2bl w:val="nil"/>
            </w:tcBorders>
            <w:vAlign w:val="center"/>
          </w:tcPr>
          <w:p w:rsidR="00644456" w:rsidRDefault="008031C4">
            <w:pPr>
              <w:snapToGrid w:val="0"/>
              <w:jc w:val="center"/>
              <w:rPr>
                <w:rFonts w:cs="Times New Roman"/>
                <w:color w:val="000000" w:themeColor="text1"/>
                <w:szCs w:val="21"/>
              </w:rPr>
            </w:pPr>
            <w:r>
              <w:rPr>
                <w:rFonts w:cs="Times New Roman"/>
                <w:color w:val="000000" w:themeColor="text1"/>
                <w:szCs w:val="21"/>
              </w:rPr>
              <w:t>4#</w:t>
            </w:r>
          </w:p>
        </w:tc>
        <w:tc>
          <w:tcPr>
            <w:tcW w:w="4342" w:type="dxa"/>
            <w:tcBorders>
              <w:tl2br w:val="nil"/>
              <w:tr2bl w:val="nil"/>
            </w:tcBorders>
            <w:vAlign w:val="center"/>
          </w:tcPr>
          <w:p w:rsidR="00644456" w:rsidRDefault="008031C4">
            <w:pPr>
              <w:widowControl/>
              <w:jc w:val="center"/>
              <w:textAlignment w:val="center"/>
              <w:rPr>
                <w:rFonts w:cs="Times New Roman"/>
                <w:color w:val="000000" w:themeColor="text1"/>
                <w:szCs w:val="21"/>
              </w:rPr>
            </w:pPr>
            <w:r>
              <w:rPr>
                <w:rFonts w:cs="Times New Roman" w:hint="eastAsia"/>
                <w:kern w:val="0"/>
                <w:szCs w:val="21"/>
                <w:lang w:bidi="ar"/>
              </w:rPr>
              <w:t>项目区北侧外</w:t>
            </w:r>
            <w:r>
              <w:rPr>
                <w:rFonts w:cs="Times New Roman" w:hint="eastAsia"/>
                <w:kern w:val="0"/>
                <w:szCs w:val="21"/>
                <w:lang w:bidi="ar"/>
              </w:rPr>
              <w:t>1m</w:t>
            </w:r>
          </w:p>
        </w:tc>
        <w:tc>
          <w:tcPr>
            <w:tcW w:w="1717" w:type="pct"/>
            <w:vMerge/>
            <w:tcBorders>
              <w:tl2br w:val="nil"/>
              <w:tr2bl w:val="nil"/>
            </w:tcBorders>
            <w:vAlign w:val="center"/>
          </w:tcPr>
          <w:p w:rsidR="00644456" w:rsidRDefault="00644456">
            <w:pPr>
              <w:snapToGrid w:val="0"/>
              <w:rPr>
                <w:rFonts w:cs="Times New Roman"/>
                <w:color w:val="000000" w:themeColor="text1"/>
                <w:szCs w:val="21"/>
              </w:rPr>
            </w:pPr>
          </w:p>
        </w:tc>
      </w:tr>
    </w:tbl>
    <w:p w:rsidR="00644456" w:rsidRDefault="008031C4">
      <w:pPr>
        <w:pStyle w:val="-1"/>
        <w:ind w:firstLine="482"/>
        <w:rPr>
          <w:rFonts w:cs="Times New Roman"/>
          <w:b/>
          <w:color w:val="000000" w:themeColor="text1"/>
        </w:rPr>
      </w:pPr>
      <w:r>
        <w:rPr>
          <w:rFonts w:cs="Times New Roman"/>
          <w:b/>
          <w:color w:val="000000" w:themeColor="text1"/>
        </w:rPr>
        <w:t>（</w:t>
      </w:r>
      <w:r>
        <w:rPr>
          <w:rFonts w:cs="Times New Roman"/>
          <w:b/>
          <w:color w:val="000000" w:themeColor="text1"/>
        </w:rPr>
        <w:t>2</w:t>
      </w:r>
      <w:r>
        <w:rPr>
          <w:rFonts w:cs="Times New Roman"/>
          <w:b/>
          <w:color w:val="000000" w:themeColor="text1"/>
        </w:rPr>
        <w:t>）监测时段及频次</w:t>
      </w:r>
    </w:p>
    <w:p w:rsidR="00644456" w:rsidRDefault="008031C4">
      <w:pPr>
        <w:pStyle w:val="-1"/>
        <w:rPr>
          <w:rFonts w:cs="Times New Roman"/>
          <w:color w:val="000000" w:themeColor="text1"/>
        </w:rPr>
      </w:pPr>
      <w:r>
        <w:rPr>
          <w:rFonts w:cs="Times New Roman"/>
          <w:color w:val="000000" w:themeColor="text1"/>
        </w:rPr>
        <w:t>分别对昼间（</w:t>
      </w:r>
      <w:r>
        <w:rPr>
          <w:rFonts w:cs="Times New Roman"/>
          <w:color w:val="000000" w:themeColor="text1"/>
        </w:rPr>
        <w:t>6</w:t>
      </w:r>
      <w:r>
        <w:rPr>
          <w:rFonts w:cs="Times New Roman"/>
          <w:color w:val="000000" w:themeColor="text1"/>
        </w:rPr>
        <w:t>：</w:t>
      </w:r>
      <w:r>
        <w:rPr>
          <w:rFonts w:cs="Times New Roman"/>
          <w:color w:val="000000" w:themeColor="text1"/>
        </w:rPr>
        <w:t>00</w:t>
      </w:r>
      <w:r>
        <w:rPr>
          <w:rFonts w:cs="Times New Roman"/>
          <w:color w:val="000000" w:themeColor="text1"/>
        </w:rPr>
        <w:t>～</w:t>
      </w:r>
      <w:r>
        <w:rPr>
          <w:rFonts w:cs="Times New Roman"/>
          <w:color w:val="000000" w:themeColor="text1"/>
        </w:rPr>
        <w:t>22</w:t>
      </w:r>
      <w:r>
        <w:rPr>
          <w:rFonts w:cs="Times New Roman"/>
          <w:color w:val="000000" w:themeColor="text1"/>
        </w:rPr>
        <w:t>：</w:t>
      </w:r>
      <w:r>
        <w:rPr>
          <w:rFonts w:cs="Times New Roman"/>
          <w:color w:val="000000" w:themeColor="text1"/>
        </w:rPr>
        <w:t>00</w:t>
      </w:r>
      <w:r>
        <w:rPr>
          <w:rFonts w:cs="Times New Roman"/>
          <w:color w:val="000000" w:themeColor="text1"/>
        </w:rPr>
        <w:t>）和夜间（</w:t>
      </w:r>
      <w:r>
        <w:rPr>
          <w:rFonts w:cs="Times New Roman"/>
          <w:color w:val="000000" w:themeColor="text1"/>
        </w:rPr>
        <w:t>22</w:t>
      </w:r>
      <w:r>
        <w:rPr>
          <w:rFonts w:cs="Times New Roman"/>
          <w:color w:val="000000" w:themeColor="text1"/>
        </w:rPr>
        <w:t>：</w:t>
      </w:r>
      <w:r>
        <w:rPr>
          <w:rFonts w:cs="Times New Roman"/>
          <w:color w:val="000000" w:themeColor="text1"/>
        </w:rPr>
        <w:t>00</w:t>
      </w:r>
      <w:r>
        <w:rPr>
          <w:rFonts w:cs="Times New Roman"/>
          <w:color w:val="000000" w:themeColor="text1"/>
        </w:rPr>
        <w:t>～</w:t>
      </w:r>
      <w:r>
        <w:rPr>
          <w:rFonts w:cs="Times New Roman"/>
          <w:color w:val="000000" w:themeColor="text1"/>
        </w:rPr>
        <w:t>6</w:t>
      </w:r>
      <w:r>
        <w:rPr>
          <w:rFonts w:cs="Times New Roman"/>
          <w:color w:val="000000" w:themeColor="text1"/>
        </w:rPr>
        <w:t>：</w:t>
      </w:r>
      <w:r>
        <w:rPr>
          <w:rFonts w:cs="Times New Roman"/>
          <w:color w:val="000000" w:themeColor="text1"/>
        </w:rPr>
        <w:t>00</w:t>
      </w:r>
      <w:r>
        <w:rPr>
          <w:rFonts w:cs="Times New Roman"/>
          <w:color w:val="000000" w:themeColor="text1"/>
        </w:rPr>
        <w:t>）进行监测，连续监测</w:t>
      </w:r>
      <w:r>
        <w:rPr>
          <w:rFonts w:cs="Times New Roman"/>
          <w:color w:val="000000" w:themeColor="text1"/>
        </w:rPr>
        <w:t>2</w:t>
      </w:r>
      <w:r>
        <w:rPr>
          <w:rFonts w:cs="Times New Roman"/>
          <w:color w:val="000000" w:themeColor="text1"/>
        </w:rPr>
        <w:t>天。</w:t>
      </w:r>
    </w:p>
    <w:p w:rsidR="00644456" w:rsidRDefault="008031C4">
      <w:pPr>
        <w:pStyle w:val="-1"/>
        <w:ind w:firstLine="482"/>
        <w:rPr>
          <w:rFonts w:cs="Times New Roman"/>
          <w:b/>
          <w:color w:val="000000" w:themeColor="text1"/>
        </w:rPr>
      </w:pPr>
      <w:r>
        <w:rPr>
          <w:rFonts w:cs="Times New Roman"/>
          <w:b/>
          <w:color w:val="000000" w:themeColor="text1"/>
        </w:rPr>
        <w:t>（</w:t>
      </w:r>
      <w:r>
        <w:rPr>
          <w:rFonts w:cs="Times New Roman"/>
          <w:b/>
          <w:color w:val="000000" w:themeColor="text1"/>
        </w:rPr>
        <w:t>3</w:t>
      </w:r>
      <w:r>
        <w:rPr>
          <w:rFonts w:cs="Times New Roman"/>
          <w:b/>
          <w:color w:val="000000" w:themeColor="text1"/>
        </w:rPr>
        <w:t>）监测方法与数据处理</w:t>
      </w:r>
    </w:p>
    <w:p w:rsidR="00644456" w:rsidRDefault="008031C4">
      <w:pPr>
        <w:pStyle w:val="-1"/>
        <w:rPr>
          <w:rFonts w:cs="Times New Roman"/>
          <w:color w:val="000000" w:themeColor="text1"/>
        </w:rPr>
      </w:pPr>
      <w:r>
        <w:rPr>
          <w:rFonts w:cs="Times New Roman"/>
          <w:color w:val="000000" w:themeColor="text1"/>
        </w:rPr>
        <w:t>按国家环保局颁发的《环境监测技术规范（噪声部分）》及《城市环境噪声测量方</w:t>
      </w:r>
      <w:r>
        <w:rPr>
          <w:rFonts w:cs="Times New Roman"/>
          <w:color w:val="000000" w:themeColor="text1"/>
        </w:rPr>
        <w:lastRenderedPageBreak/>
        <w:t>法》等有关标准技术规定要求执行。</w:t>
      </w:r>
    </w:p>
    <w:p w:rsidR="00644456" w:rsidRDefault="008031C4">
      <w:pPr>
        <w:pStyle w:val="3"/>
        <w:numPr>
          <w:ilvl w:val="2"/>
          <w:numId w:val="0"/>
        </w:numPr>
        <w:ind w:firstLineChars="200" w:firstLine="482"/>
      </w:pPr>
      <w:r>
        <w:rPr>
          <w:rFonts w:hint="eastAsia"/>
        </w:rPr>
        <w:t>3.7.2</w:t>
      </w:r>
      <w:r>
        <w:rPr>
          <w:rFonts w:hint="eastAsia"/>
        </w:rPr>
        <w:t>环境噪声现状评价</w:t>
      </w:r>
    </w:p>
    <w:p w:rsidR="00644456" w:rsidRDefault="008031C4">
      <w:pPr>
        <w:pStyle w:val="-1"/>
        <w:rPr>
          <w:rFonts w:cs="Times New Roman"/>
          <w:color w:val="000000" w:themeColor="text1"/>
        </w:rPr>
      </w:pPr>
      <w:r>
        <w:rPr>
          <w:rFonts w:cs="Times New Roman"/>
          <w:color w:val="000000" w:themeColor="text1"/>
        </w:rPr>
        <w:t>本项目监测结果统计见下表：</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3.7</w:t>
      </w:r>
      <w:r>
        <w:rPr>
          <w:rFonts w:cs="Times New Roman" w:hint="eastAsia"/>
          <w:b/>
          <w:color w:val="000000" w:themeColor="text1"/>
          <w:sz w:val="24"/>
          <w:szCs w:val="20"/>
        </w:rPr>
        <w:noBreakHyphen/>
        <w:t>2</w:t>
      </w:r>
      <w:r>
        <w:rPr>
          <w:rFonts w:cs="Times New Roman" w:hint="eastAsia"/>
          <w:b/>
          <w:color w:val="000000" w:themeColor="text1"/>
          <w:sz w:val="24"/>
          <w:szCs w:val="20"/>
        </w:rPr>
        <w:t>噪声监测结果表单位：</w:t>
      </w:r>
      <w:r>
        <w:rPr>
          <w:rFonts w:cs="Times New Roman" w:hint="eastAsia"/>
          <w:b/>
          <w:color w:val="000000" w:themeColor="text1"/>
          <w:sz w:val="24"/>
          <w:szCs w:val="20"/>
        </w:rPr>
        <w:t>dB</w:t>
      </w:r>
      <w:r>
        <w:rPr>
          <w:rFonts w:cs="Times New Roman" w:hint="eastAsia"/>
          <w:b/>
          <w:color w:val="000000" w:themeColor="text1"/>
          <w:sz w:val="24"/>
          <w:szCs w:val="20"/>
        </w:rPr>
        <w:t>（</w:t>
      </w:r>
      <w:r>
        <w:rPr>
          <w:rFonts w:cs="Times New Roman" w:hint="eastAsia"/>
          <w:b/>
          <w:color w:val="000000" w:themeColor="text1"/>
          <w:sz w:val="24"/>
          <w:szCs w:val="20"/>
        </w:rPr>
        <w:t>A</w:t>
      </w:r>
      <w:r>
        <w:rPr>
          <w:rFonts w:cs="Times New Roman" w:hint="eastAsia"/>
          <w:b/>
          <w:color w:val="000000" w:themeColor="text1"/>
          <w:sz w:val="24"/>
          <w:szCs w:val="20"/>
        </w:rPr>
        <w:t>）</w:t>
      </w:r>
    </w:p>
    <w:tbl>
      <w:tblPr>
        <w:tblW w:w="4997"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964"/>
        <w:gridCol w:w="2548"/>
        <w:gridCol w:w="889"/>
        <w:gridCol w:w="893"/>
        <w:gridCol w:w="889"/>
        <w:gridCol w:w="902"/>
        <w:gridCol w:w="963"/>
        <w:gridCol w:w="972"/>
      </w:tblGrid>
      <w:tr w:rsidR="00644456">
        <w:trPr>
          <w:cantSplit/>
          <w:jc w:val="center"/>
        </w:trPr>
        <w:tc>
          <w:tcPr>
            <w:tcW w:w="534" w:type="pct"/>
            <w:vMerge w:val="restart"/>
            <w:shd w:val="clear" w:color="auto" w:fill="auto"/>
            <w:vAlign w:val="center"/>
          </w:tcPr>
          <w:p w:rsidR="00644456" w:rsidRDefault="008031C4">
            <w:pPr>
              <w:pStyle w:val="-1"/>
              <w:adjustRightInd w:val="0"/>
              <w:snapToGrid w:val="0"/>
              <w:spacing w:line="240" w:lineRule="auto"/>
              <w:ind w:firstLineChars="0" w:firstLine="0"/>
              <w:jc w:val="center"/>
              <w:rPr>
                <w:rFonts w:cs="Times New Roman"/>
                <w:b/>
                <w:color w:val="000000" w:themeColor="text1"/>
                <w:sz w:val="21"/>
              </w:rPr>
            </w:pPr>
            <w:r>
              <w:rPr>
                <w:rFonts w:cs="Times New Roman"/>
                <w:b/>
                <w:color w:val="000000" w:themeColor="text1"/>
                <w:sz w:val="21"/>
              </w:rPr>
              <w:t>检测点</w:t>
            </w:r>
          </w:p>
          <w:p w:rsidR="00644456" w:rsidRDefault="008031C4">
            <w:pPr>
              <w:pStyle w:val="-1"/>
              <w:adjustRightInd w:val="0"/>
              <w:snapToGrid w:val="0"/>
              <w:spacing w:line="240" w:lineRule="auto"/>
              <w:ind w:firstLineChars="0" w:firstLine="0"/>
              <w:jc w:val="center"/>
              <w:rPr>
                <w:rFonts w:cs="Times New Roman"/>
                <w:b/>
                <w:color w:val="000000" w:themeColor="text1"/>
                <w:sz w:val="21"/>
              </w:rPr>
            </w:pPr>
            <w:r>
              <w:rPr>
                <w:rFonts w:cs="Times New Roman"/>
                <w:b/>
                <w:color w:val="000000" w:themeColor="text1"/>
                <w:sz w:val="21"/>
              </w:rPr>
              <w:t>编号</w:t>
            </w:r>
          </w:p>
        </w:tc>
        <w:tc>
          <w:tcPr>
            <w:tcW w:w="1412" w:type="pct"/>
            <w:vMerge w:val="restart"/>
            <w:shd w:val="clear" w:color="auto" w:fill="auto"/>
            <w:vAlign w:val="center"/>
          </w:tcPr>
          <w:p w:rsidR="00644456" w:rsidRDefault="008031C4">
            <w:pPr>
              <w:pStyle w:val="-1"/>
              <w:adjustRightInd w:val="0"/>
              <w:snapToGrid w:val="0"/>
              <w:spacing w:line="240" w:lineRule="auto"/>
              <w:ind w:firstLineChars="0" w:firstLine="0"/>
              <w:jc w:val="center"/>
              <w:rPr>
                <w:rFonts w:cs="Times New Roman"/>
                <w:b/>
                <w:color w:val="000000" w:themeColor="text1"/>
                <w:sz w:val="21"/>
              </w:rPr>
            </w:pPr>
            <w:r>
              <w:rPr>
                <w:rFonts w:cs="Times New Roman"/>
                <w:b/>
                <w:color w:val="000000" w:themeColor="text1"/>
                <w:sz w:val="21"/>
              </w:rPr>
              <w:t>检测点位置</w:t>
            </w:r>
          </w:p>
        </w:tc>
        <w:tc>
          <w:tcPr>
            <w:tcW w:w="1981" w:type="pct"/>
            <w:gridSpan w:val="4"/>
            <w:shd w:val="clear" w:color="auto" w:fill="auto"/>
            <w:vAlign w:val="center"/>
          </w:tcPr>
          <w:p w:rsidR="00644456" w:rsidRDefault="008031C4">
            <w:pPr>
              <w:pStyle w:val="-1"/>
              <w:adjustRightInd w:val="0"/>
              <w:snapToGrid w:val="0"/>
              <w:spacing w:line="240" w:lineRule="auto"/>
              <w:ind w:firstLineChars="0" w:firstLine="0"/>
              <w:jc w:val="center"/>
              <w:rPr>
                <w:rFonts w:cs="Times New Roman"/>
                <w:b/>
                <w:color w:val="000000" w:themeColor="text1"/>
                <w:sz w:val="21"/>
              </w:rPr>
            </w:pPr>
            <w:r>
              <w:rPr>
                <w:rFonts w:cs="Times New Roman"/>
                <w:b/>
                <w:color w:val="000000" w:themeColor="text1"/>
                <w:sz w:val="21"/>
              </w:rPr>
              <w:t>检测时间及检测结果</w:t>
            </w:r>
            <w:r>
              <w:rPr>
                <w:rFonts w:cs="Times New Roman"/>
                <w:b/>
                <w:color w:val="000000" w:themeColor="text1"/>
                <w:sz w:val="21"/>
              </w:rPr>
              <w:t>Leq</w:t>
            </w:r>
          </w:p>
        </w:tc>
        <w:tc>
          <w:tcPr>
            <w:tcW w:w="1073" w:type="pct"/>
            <w:gridSpan w:val="2"/>
            <w:vMerge w:val="restart"/>
            <w:shd w:val="clear" w:color="auto" w:fill="auto"/>
            <w:vAlign w:val="center"/>
          </w:tcPr>
          <w:p w:rsidR="00644456" w:rsidRDefault="008031C4">
            <w:pPr>
              <w:pStyle w:val="-1"/>
              <w:adjustRightInd w:val="0"/>
              <w:snapToGrid w:val="0"/>
              <w:spacing w:line="240" w:lineRule="auto"/>
              <w:ind w:firstLineChars="0" w:firstLine="0"/>
              <w:jc w:val="center"/>
              <w:rPr>
                <w:rFonts w:cs="Times New Roman"/>
                <w:b/>
                <w:color w:val="000000" w:themeColor="text1"/>
                <w:sz w:val="21"/>
              </w:rPr>
            </w:pPr>
            <w:r>
              <w:rPr>
                <w:rFonts w:cs="Times New Roman"/>
                <w:b/>
                <w:color w:val="000000" w:themeColor="text1"/>
                <w:sz w:val="21"/>
              </w:rPr>
              <w:t>标准</w:t>
            </w:r>
          </w:p>
        </w:tc>
      </w:tr>
      <w:tr w:rsidR="00644456">
        <w:trPr>
          <w:cantSplit/>
          <w:jc w:val="center"/>
        </w:trPr>
        <w:tc>
          <w:tcPr>
            <w:tcW w:w="534" w:type="pct"/>
            <w:vMerge/>
            <w:shd w:val="clear" w:color="auto" w:fill="auto"/>
            <w:vAlign w:val="center"/>
          </w:tcPr>
          <w:p w:rsidR="00644456" w:rsidRDefault="00644456">
            <w:pPr>
              <w:adjustRightInd w:val="0"/>
              <w:snapToGrid w:val="0"/>
              <w:ind w:firstLine="482"/>
              <w:jc w:val="center"/>
              <w:rPr>
                <w:rFonts w:cs="Times New Roman"/>
                <w:b/>
                <w:color w:val="000000" w:themeColor="text1"/>
              </w:rPr>
            </w:pPr>
          </w:p>
        </w:tc>
        <w:tc>
          <w:tcPr>
            <w:tcW w:w="1412" w:type="pct"/>
            <w:vMerge/>
            <w:shd w:val="clear" w:color="auto" w:fill="auto"/>
            <w:vAlign w:val="center"/>
          </w:tcPr>
          <w:p w:rsidR="00644456" w:rsidRDefault="00644456">
            <w:pPr>
              <w:adjustRightInd w:val="0"/>
              <w:snapToGrid w:val="0"/>
              <w:ind w:firstLine="482"/>
              <w:jc w:val="center"/>
              <w:rPr>
                <w:rFonts w:cs="Times New Roman"/>
                <w:b/>
                <w:color w:val="000000" w:themeColor="text1"/>
              </w:rPr>
            </w:pPr>
          </w:p>
        </w:tc>
        <w:tc>
          <w:tcPr>
            <w:tcW w:w="988" w:type="pct"/>
            <w:gridSpan w:val="2"/>
            <w:shd w:val="clear" w:color="auto" w:fill="auto"/>
            <w:vAlign w:val="center"/>
          </w:tcPr>
          <w:p w:rsidR="00644456" w:rsidRDefault="008031C4">
            <w:pPr>
              <w:adjustRightInd w:val="0"/>
              <w:snapToGrid w:val="0"/>
              <w:jc w:val="center"/>
              <w:rPr>
                <w:rFonts w:cs="Times New Roman"/>
                <w:b/>
                <w:bCs/>
                <w:color w:val="000000" w:themeColor="text1"/>
              </w:rPr>
            </w:pPr>
            <w:r>
              <w:rPr>
                <w:rFonts w:cs="Times New Roman"/>
                <w:bCs/>
                <w:color w:val="000000" w:themeColor="text1"/>
                <w:szCs w:val="21"/>
              </w:rPr>
              <w:t>2024.</w:t>
            </w:r>
            <w:r>
              <w:rPr>
                <w:rFonts w:cs="Times New Roman" w:hint="eastAsia"/>
                <w:bCs/>
                <w:color w:val="000000" w:themeColor="text1"/>
                <w:szCs w:val="21"/>
              </w:rPr>
              <w:t>8.23</w:t>
            </w:r>
          </w:p>
        </w:tc>
        <w:tc>
          <w:tcPr>
            <w:tcW w:w="993" w:type="pct"/>
            <w:gridSpan w:val="2"/>
            <w:shd w:val="clear" w:color="auto" w:fill="auto"/>
            <w:vAlign w:val="center"/>
          </w:tcPr>
          <w:p w:rsidR="00644456" w:rsidRDefault="008031C4">
            <w:pPr>
              <w:adjustRightInd w:val="0"/>
              <w:snapToGrid w:val="0"/>
              <w:jc w:val="center"/>
              <w:rPr>
                <w:rFonts w:cs="Times New Roman"/>
                <w:b/>
                <w:bCs/>
                <w:color w:val="000000" w:themeColor="text1"/>
              </w:rPr>
            </w:pPr>
            <w:r>
              <w:rPr>
                <w:rFonts w:cs="Times New Roman"/>
                <w:bCs/>
                <w:color w:val="000000" w:themeColor="text1"/>
                <w:szCs w:val="21"/>
              </w:rPr>
              <w:t>2024.</w:t>
            </w:r>
            <w:r>
              <w:rPr>
                <w:rFonts w:cs="Times New Roman" w:hint="eastAsia"/>
                <w:bCs/>
                <w:color w:val="000000" w:themeColor="text1"/>
                <w:szCs w:val="21"/>
              </w:rPr>
              <w:t>8.24</w:t>
            </w:r>
          </w:p>
        </w:tc>
        <w:tc>
          <w:tcPr>
            <w:tcW w:w="1073" w:type="pct"/>
            <w:gridSpan w:val="2"/>
            <w:vMerge/>
            <w:shd w:val="clear" w:color="auto" w:fill="auto"/>
            <w:vAlign w:val="center"/>
          </w:tcPr>
          <w:p w:rsidR="00644456" w:rsidRDefault="00644456">
            <w:pPr>
              <w:adjustRightInd w:val="0"/>
              <w:snapToGrid w:val="0"/>
              <w:ind w:firstLine="482"/>
              <w:jc w:val="center"/>
              <w:rPr>
                <w:rFonts w:cs="Times New Roman"/>
                <w:b/>
                <w:color w:val="000000" w:themeColor="text1"/>
              </w:rPr>
            </w:pPr>
          </w:p>
        </w:tc>
      </w:tr>
      <w:tr w:rsidR="00644456">
        <w:trPr>
          <w:cantSplit/>
          <w:jc w:val="center"/>
        </w:trPr>
        <w:tc>
          <w:tcPr>
            <w:tcW w:w="534" w:type="pct"/>
            <w:vMerge/>
            <w:shd w:val="clear" w:color="auto" w:fill="auto"/>
            <w:vAlign w:val="center"/>
          </w:tcPr>
          <w:p w:rsidR="00644456" w:rsidRDefault="00644456">
            <w:pPr>
              <w:adjustRightInd w:val="0"/>
              <w:snapToGrid w:val="0"/>
              <w:ind w:firstLine="482"/>
              <w:jc w:val="center"/>
              <w:rPr>
                <w:rFonts w:cs="Times New Roman"/>
                <w:b/>
                <w:color w:val="000000" w:themeColor="text1"/>
              </w:rPr>
            </w:pPr>
          </w:p>
        </w:tc>
        <w:tc>
          <w:tcPr>
            <w:tcW w:w="1412" w:type="pct"/>
            <w:vMerge/>
            <w:shd w:val="clear" w:color="auto" w:fill="auto"/>
            <w:vAlign w:val="center"/>
          </w:tcPr>
          <w:p w:rsidR="00644456" w:rsidRDefault="00644456">
            <w:pPr>
              <w:adjustRightInd w:val="0"/>
              <w:snapToGrid w:val="0"/>
              <w:ind w:firstLine="482"/>
              <w:jc w:val="center"/>
              <w:rPr>
                <w:rFonts w:cs="Times New Roman"/>
                <w:b/>
                <w:color w:val="000000" w:themeColor="text1"/>
              </w:rPr>
            </w:pPr>
          </w:p>
        </w:tc>
        <w:tc>
          <w:tcPr>
            <w:tcW w:w="493" w:type="pct"/>
            <w:shd w:val="clear" w:color="auto" w:fill="auto"/>
            <w:vAlign w:val="center"/>
          </w:tcPr>
          <w:p w:rsidR="00644456" w:rsidRDefault="008031C4">
            <w:pPr>
              <w:pStyle w:val="-1"/>
              <w:adjustRightInd w:val="0"/>
              <w:snapToGrid w:val="0"/>
              <w:spacing w:line="240" w:lineRule="auto"/>
              <w:ind w:firstLineChars="0" w:firstLine="0"/>
              <w:jc w:val="center"/>
              <w:rPr>
                <w:rFonts w:cs="Times New Roman"/>
                <w:b/>
                <w:color w:val="000000" w:themeColor="text1"/>
                <w:sz w:val="21"/>
              </w:rPr>
            </w:pPr>
            <w:r>
              <w:rPr>
                <w:rFonts w:cs="Times New Roman"/>
                <w:b/>
                <w:color w:val="000000" w:themeColor="text1"/>
                <w:sz w:val="21"/>
              </w:rPr>
              <w:t>昼间</w:t>
            </w:r>
          </w:p>
        </w:tc>
        <w:tc>
          <w:tcPr>
            <w:tcW w:w="495" w:type="pct"/>
            <w:shd w:val="clear" w:color="auto" w:fill="auto"/>
            <w:vAlign w:val="center"/>
          </w:tcPr>
          <w:p w:rsidR="00644456" w:rsidRDefault="008031C4">
            <w:pPr>
              <w:pStyle w:val="-1"/>
              <w:adjustRightInd w:val="0"/>
              <w:snapToGrid w:val="0"/>
              <w:spacing w:line="240" w:lineRule="auto"/>
              <w:ind w:firstLineChars="0" w:firstLine="0"/>
              <w:jc w:val="center"/>
              <w:rPr>
                <w:rFonts w:cs="Times New Roman"/>
                <w:b/>
                <w:color w:val="000000" w:themeColor="text1"/>
                <w:sz w:val="21"/>
              </w:rPr>
            </w:pPr>
            <w:r>
              <w:rPr>
                <w:rFonts w:cs="Times New Roman"/>
                <w:b/>
                <w:color w:val="000000" w:themeColor="text1"/>
                <w:sz w:val="21"/>
              </w:rPr>
              <w:t>夜间</w:t>
            </w:r>
          </w:p>
        </w:tc>
        <w:tc>
          <w:tcPr>
            <w:tcW w:w="493" w:type="pct"/>
            <w:shd w:val="clear" w:color="auto" w:fill="auto"/>
            <w:vAlign w:val="center"/>
          </w:tcPr>
          <w:p w:rsidR="00644456" w:rsidRDefault="008031C4">
            <w:pPr>
              <w:pStyle w:val="-1"/>
              <w:adjustRightInd w:val="0"/>
              <w:snapToGrid w:val="0"/>
              <w:spacing w:line="240" w:lineRule="auto"/>
              <w:ind w:firstLineChars="0" w:firstLine="0"/>
              <w:jc w:val="center"/>
              <w:rPr>
                <w:rFonts w:cs="Times New Roman"/>
                <w:b/>
                <w:color w:val="000000" w:themeColor="text1"/>
                <w:sz w:val="21"/>
              </w:rPr>
            </w:pPr>
            <w:r>
              <w:rPr>
                <w:rFonts w:cs="Times New Roman"/>
                <w:b/>
                <w:color w:val="000000" w:themeColor="text1"/>
                <w:sz w:val="21"/>
              </w:rPr>
              <w:t>昼间</w:t>
            </w:r>
          </w:p>
        </w:tc>
        <w:tc>
          <w:tcPr>
            <w:tcW w:w="500" w:type="pct"/>
            <w:shd w:val="clear" w:color="auto" w:fill="auto"/>
            <w:vAlign w:val="center"/>
          </w:tcPr>
          <w:p w:rsidR="00644456" w:rsidRDefault="008031C4">
            <w:pPr>
              <w:pStyle w:val="-1"/>
              <w:adjustRightInd w:val="0"/>
              <w:snapToGrid w:val="0"/>
              <w:spacing w:line="240" w:lineRule="auto"/>
              <w:ind w:firstLineChars="0" w:firstLine="0"/>
              <w:jc w:val="center"/>
              <w:rPr>
                <w:rFonts w:cs="Times New Roman"/>
                <w:b/>
                <w:color w:val="000000" w:themeColor="text1"/>
                <w:sz w:val="21"/>
              </w:rPr>
            </w:pPr>
            <w:r>
              <w:rPr>
                <w:rFonts w:cs="Times New Roman"/>
                <w:b/>
                <w:color w:val="000000" w:themeColor="text1"/>
                <w:sz w:val="21"/>
              </w:rPr>
              <w:t>夜间</w:t>
            </w:r>
          </w:p>
        </w:tc>
        <w:tc>
          <w:tcPr>
            <w:tcW w:w="534" w:type="pct"/>
            <w:shd w:val="clear" w:color="auto" w:fill="auto"/>
            <w:vAlign w:val="center"/>
          </w:tcPr>
          <w:p w:rsidR="00644456" w:rsidRDefault="008031C4">
            <w:pPr>
              <w:pStyle w:val="-1"/>
              <w:adjustRightInd w:val="0"/>
              <w:snapToGrid w:val="0"/>
              <w:spacing w:line="240" w:lineRule="auto"/>
              <w:ind w:firstLineChars="0" w:firstLine="0"/>
              <w:jc w:val="center"/>
              <w:rPr>
                <w:rFonts w:cs="Times New Roman"/>
                <w:b/>
                <w:color w:val="000000" w:themeColor="text1"/>
                <w:sz w:val="21"/>
              </w:rPr>
            </w:pPr>
            <w:r>
              <w:rPr>
                <w:rFonts w:cs="Times New Roman"/>
                <w:b/>
                <w:color w:val="000000" w:themeColor="text1"/>
                <w:sz w:val="21"/>
              </w:rPr>
              <w:t>昼间</w:t>
            </w:r>
          </w:p>
        </w:tc>
        <w:tc>
          <w:tcPr>
            <w:tcW w:w="539" w:type="pct"/>
            <w:shd w:val="clear" w:color="auto" w:fill="auto"/>
            <w:vAlign w:val="center"/>
          </w:tcPr>
          <w:p w:rsidR="00644456" w:rsidRDefault="008031C4">
            <w:pPr>
              <w:pStyle w:val="-1"/>
              <w:adjustRightInd w:val="0"/>
              <w:snapToGrid w:val="0"/>
              <w:spacing w:line="240" w:lineRule="auto"/>
              <w:ind w:firstLineChars="0" w:firstLine="0"/>
              <w:jc w:val="center"/>
              <w:rPr>
                <w:rFonts w:cs="Times New Roman"/>
                <w:b/>
                <w:color w:val="000000" w:themeColor="text1"/>
                <w:sz w:val="21"/>
              </w:rPr>
            </w:pPr>
            <w:r>
              <w:rPr>
                <w:rFonts w:cs="Times New Roman"/>
                <w:b/>
                <w:color w:val="000000" w:themeColor="text1"/>
                <w:sz w:val="21"/>
              </w:rPr>
              <w:t>夜间</w:t>
            </w:r>
          </w:p>
        </w:tc>
      </w:tr>
      <w:tr w:rsidR="00644456">
        <w:trPr>
          <w:cantSplit/>
          <w:jc w:val="center"/>
        </w:trPr>
        <w:tc>
          <w:tcPr>
            <w:tcW w:w="53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w:t>
            </w:r>
          </w:p>
        </w:tc>
        <w:tc>
          <w:tcPr>
            <w:tcW w:w="2548" w:type="dxa"/>
            <w:shd w:val="clear" w:color="auto" w:fill="auto"/>
            <w:vAlign w:val="center"/>
          </w:tcPr>
          <w:p w:rsidR="00644456" w:rsidRDefault="008031C4">
            <w:pPr>
              <w:widowControl/>
              <w:jc w:val="center"/>
              <w:textAlignment w:val="center"/>
              <w:rPr>
                <w:rFonts w:cs="Times New Roman"/>
                <w:color w:val="000000" w:themeColor="text1"/>
              </w:rPr>
            </w:pPr>
            <w:r>
              <w:rPr>
                <w:rFonts w:cs="Times New Roman"/>
                <w:kern w:val="0"/>
                <w:szCs w:val="21"/>
                <w:lang w:bidi="ar"/>
              </w:rPr>
              <w:t>项目区</w:t>
            </w:r>
            <w:r>
              <w:rPr>
                <w:rFonts w:cs="Times New Roman" w:hint="eastAsia"/>
                <w:kern w:val="0"/>
                <w:szCs w:val="21"/>
                <w:lang w:bidi="ar"/>
              </w:rPr>
              <w:t>东侧外</w:t>
            </w:r>
            <w:r>
              <w:rPr>
                <w:rFonts w:cs="Times New Roman" w:hint="eastAsia"/>
                <w:kern w:val="0"/>
                <w:szCs w:val="21"/>
                <w:lang w:bidi="ar"/>
              </w:rPr>
              <w:t>1m</w:t>
            </w:r>
          </w:p>
        </w:tc>
        <w:tc>
          <w:tcPr>
            <w:tcW w:w="889" w:type="dxa"/>
            <w:shd w:val="clear" w:color="auto" w:fill="auto"/>
            <w:vAlign w:val="center"/>
          </w:tcPr>
          <w:p w:rsidR="00644456" w:rsidRDefault="008031C4">
            <w:pPr>
              <w:widowControl/>
              <w:jc w:val="center"/>
              <w:textAlignment w:val="center"/>
              <w:rPr>
                <w:rFonts w:cs="Times New Roman"/>
                <w:color w:val="000000" w:themeColor="text1"/>
                <w:szCs w:val="21"/>
              </w:rPr>
            </w:pPr>
            <w:r>
              <w:rPr>
                <w:rFonts w:cs="Times New Roman" w:hint="eastAsia"/>
                <w:szCs w:val="21"/>
              </w:rPr>
              <w:t>44</w:t>
            </w:r>
          </w:p>
        </w:tc>
        <w:tc>
          <w:tcPr>
            <w:tcW w:w="893" w:type="dxa"/>
            <w:shd w:val="clear" w:color="auto" w:fill="auto"/>
            <w:vAlign w:val="center"/>
          </w:tcPr>
          <w:p w:rsidR="00644456" w:rsidRDefault="008031C4">
            <w:pPr>
              <w:widowControl/>
              <w:jc w:val="center"/>
              <w:textAlignment w:val="center"/>
              <w:rPr>
                <w:rFonts w:cs="Times New Roman"/>
                <w:color w:val="000000" w:themeColor="text1"/>
                <w:szCs w:val="21"/>
              </w:rPr>
            </w:pPr>
            <w:r>
              <w:rPr>
                <w:rFonts w:cs="Times New Roman" w:hint="eastAsia"/>
                <w:szCs w:val="21"/>
              </w:rPr>
              <w:t>41</w:t>
            </w:r>
          </w:p>
        </w:tc>
        <w:tc>
          <w:tcPr>
            <w:tcW w:w="889" w:type="dxa"/>
            <w:shd w:val="clear" w:color="auto" w:fill="auto"/>
            <w:vAlign w:val="center"/>
          </w:tcPr>
          <w:p w:rsidR="00644456" w:rsidRDefault="008031C4">
            <w:pPr>
              <w:widowControl/>
              <w:jc w:val="center"/>
              <w:textAlignment w:val="center"/>
              <w:rPr>
                <w:rFonts w:cs="Times New Roman"/>
                <w:color w:val="000000" w:themeColor="text1"/>
                <w:szCs w:val="21"/>
              </w:rPr>
            </w:pPr>
            <w:r>
              <w:rPr>
                <w:rFonts w:cs="Times New Roman" w:hint="eastAsia"/>
                <w:szCs w:val="21"/>
              </w:rPr>
              <w:t>45</w:t>
            </w:r>
          </w:p>
        </w:tc>
        <w:tc>
          <w:tcPr>
            <w:tcW w:w="902" w:type="dxa"/>
            <w:shd w:val="clear" w:color="auto" w:fill="auto"/>
            <w:vAlign w:val="center"/>
          </w:tcPr>
          <w:p w:rsidR="00644456" w:rsidRDefault="008031C4">
            <w:pPr>
              <w:widowControl/>
              <w:jc w:val="center"/>
              <w:textAlignment w:val="center"/>
              <w:rPr>
                <w:rFonts w:cs="Times New Roman"/>
                <w:color w:val="000000" w:themeColor="text1"/>
                <w:szCs w:val="21"/>
              </w:rPr>
            </w:pPr>
            <w:r>
              <w:rPr>
                <w:rFonts w:cs="Times New Roman" w:hint="eastAsia"/>
                <w:szCs w:val="21"/>
              </w:rPr>
              <w:t>40</w:t>
            </w:r>
          </w:p>
        </w:tc>
        <w:tc>
          <w:tcPr>
            <w:tcW w:w="534" w:type="pct"/>
            <w:vMerge w:val="restart"/>
            <w:shd w:val="clear" w:color="auto" w:fill="auto"/>
            <w:vAlign w:val="center"/>
          </w:tcPr>
          <w:p w:rsidR="00644456" w:rsidRDefault="008031C4">
            <w:pPr>
              <w:pStyle w:val="-1"/>
              <w:adjustRightInd w:val="0"/>
              <w:snapToGrid w:val="0"/>
              <w:spacing w:line="240" w:lineRule="auto"/>
              <w:ind w:firstLineChars="0" w:firstLine="0"/>
              <w:jc w:val="center"/>
              <w:rPr>
                <w:rFonts w:cs="Times New Roman"/>
                <w:color w:val="000000" w:themeColor="text1"/>
                <w:sz w:val="21"/>
              </w:rPr>
            </w:pPr>
            <w:r>
              <w:rPr>
                <w:rFonts w:cs="Times New Roman"/>
                <w:color w:val="000000" w:themeColor="text1"/>
                <w:sz w:val="21"/>
              </w:rPr>
              <w:t>65</w:t>
            </w:r>
          </w:p>
        </w:tc>
        <w:tc>
          <w:tcPr>
            <w:tcW w:w="539" w:type="pct"/>
            <w:vMerge w:val="restart"/>
            <w:shd w:val="clear" w:color="auto" w:fill="auto"/>
            <w:vAlign w:val="center"/>
          </w:tcPr>
          <w:p w:rsidR="00644456" w:rsidRDefault="008031C4">
            <w:pPr>
              <w:pStyle w:val="-1"/>
              <w:adjustRightInd w:val="0"/>
              <w:snapToGrid w:val="0"/>
              <w:spacing w:line="240" w:lineRule="auto"/>
              <w:ind w:firstLineChars="0" w:firstLine="0"/>
              <w:jc w:val="center"/>
              <w:rPr>
                <w:rFonts w:cs="Times New Roman"/>
                <w:color w:val="000000" w:themeColor="text1"/>
                <w:sz w:val="21"/>
              </w:rPr>
            </w:pPr>
            <w:r>
              <w:rPr>
                <w:rFonts w:cs="Times New Roman"/>
                <w:color w:val="000000" w:themeColor="text1"/>
                <w:sz w:val="21"/>
              </w:rPr>
              <w:t>55</w:t>
            </w:r>
          </w:p>
        </w:tc>
      </w:tr>
      <w:tr w:rsidR="00644456">
        <w:trPr>
          <w:cantSplit/>
          <w:jc w:val="center"/>
        </w:trPr>
        <w:tc>
          <w:tcPr>
            <w:tcW w:w="53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w:t>
            </w:r>
          </w:p>
        </w:tc>
        <w:tc>
          <w:tcPr>
            <w:tcW w:w="2548" w:type="dxa"/>
            <w:shd w:val="clear" w:color="auto" w:fill="auto"/>
            <w:vAlign w:val="center"/>
          </w:tcPr>
          <w:p w:rsidR="00644456" w:rsidRDefault="008031C4">
            <w:pPr>
              <w:widowControl/>
              <w:jc w:val="center"/>
              <w:textAlignment w:val="center"/>
              <w:rPr>
                <w:rFonts w:cs="Times New Roman"/>
                <w:color w:val="000000" w:themeColor="text1"/>
              </w:rPr>
            </w:pPr>
            <w:r>
              <w:rPr>
                <w:rFonts w:cs="Times New Roman" w:hint="eastAsia"/>
                <w:kern w:val="0"/>
                <w:szCs w:val="21"/>
                <w:lang w:bidi="ar"/>
              </w:rPr>
              <w:t>项目区南侧外</w:t>
            </w:r>
            <w:r>
              <w:rPr>
                <w:rFonts w:cs="Times New Roman" w:hint="eastAsia"/>
                <w:kern w:val="0"/>
                <w:szCs w:val="21"/>
                <w:lang w:bidi="ar"/>
              </w:rPr>
              <w:t>1m</w:t>
            </w:r>
          </w:p>
        </w:tc>
        <w:tc>
          <w:tcPr>
            <w:tcW w:w="889" w:type="dxa"/>
            <w:shd w:val="clear" w:color="auto" w:fill="auto"/>
            <w:vAlign w:val="center"/>
          </w:tcPr>
          <w:p w:rsidR="00644456" w:rsidRDefault="008031C4">
            <w:pPr>
              <w:widowControl/>
              <w:jc w:val="center"/>
              <w:textAlignment w:val="center"/>
              <w:rPr>
                <w:rFonts w:cs="Times New Roman"/>
                <w:color w:val="000000" w:themeColor="text1"/>
                <w:szCs w:val="21"/>
              </w:rPr>
            </w:pPr>
            <w:r>
              <w:rPr>
                <w:rFonts w:cs="Times New Roman" w:hint="eastAsia"/>
                <w:szCs w:val="21"/>
              </w:rPr>
              <w:t>44</w:t>
            </w:r>
          </w:p>
        </w:tc>
        <w:tc>
          <w:tcPr>
            <w:tcW w:w="893" w:type="dxa"/>
            <w:shd w:val="clear" w:color="auto" w:fill="auto"/>
            <w:vAlign w:val="center"/>
          </w:tcPr>
          <w:p w:rsidR="00644456" w:rsidRDefault="008031C4">
            <w:pPr>
              <w:widowControl/>
              <w:jc w:val="center"/>
              <w:textAlignment w:val="center"/>
              <w:rPr>
                <w:rFonts w:cs="Times New Roman"/>
                <w:color w:val="000000" w:themeColor="text1"/>
                <w:szCs w:val="21"/>
              </w:rPr>
            </w:pPr>
            <w:r>
              <w:rPr>
                <w:rFonts w:cs="Times New Roman" w:hint="eastAsia"/>
                <w:szCs w:val="21"/>
              </w:rPr>
              <w:t>41</w:t>
            </w:r>
          </w:p>
        </w:tc>
        <w:tc>
          <w:tcPr>
            <w:tcW w:w="889" w:type="dxa"/>
            <w:shd w:val="clear" w:color="auto" w:fill="auto"/>
            <w:vAlign w:val="center"/>
          </w:tcPr>
          <w:p w:rsidR="00644456" w:rsidRDefault="008031C4">
            <w:pPr>
              <w:widowControl/>
              <w:jc w:val="center"/>
              <w:textAlignment w:val="center"/>
              <w:rPr>
                <w:rFonts w:cs="Times New Roman"/>
                <w:color w:val="000000" w:themeColor="text1"/>
                <w:szCs w:val="21"/>
              </w:rPr>
            </w:pPr>
            <w:r>
              <w:rPr>
                <w:rFonts w:cs="Times New Roman" w:hint="eastAsia"/>
                <w:szCs w:val="21"/>
              </w:rPr>
              <w:t>45</w:t>
            </w:r>
          </w:p>
        </w:tc>
        <w:tc>
          <w:tcPr>
            <w:tcW w:w="902" w:type="dxa"/>
            <w:shd w:val="clear" w:color="auto" w:fill="auto"/>
            <w:vAlign w:val="center"/>
          </w:tcPr>
          <w:p w:rsidR="00644456" w:rsidRDefault="008031C4">
            <w:pPr>
              <w:widowControl/>
              <w:jc w:val="center"/>
              <w:textAlignment w:val="center"/>
              <w:rPr>
                <w:rFonts w:cs="Times New Roman"/>
                <w:color w:val="000000" w:themeColor="text1"/>
                <w:szCs w:val="21"/>
              </w:rPr>
            </w:pPr>
            <w:r>
              <w:rPr>
                <w:rFonts w:cs="Times New Roman" w:hint="eastAsia"/>
                <w:szCs w:val="21"/>
              </w:rPr>
              <w:t>41</w:t>
            </w:r>
          </w:p>
        </w:tc>
        <w:tc>
          <w:tcPr>
            <w:tcW w:w="534" w:type="pct"/>
            <w:vMerge/>
            <w:shd w:val="clear" w:color="auto" w:fill="auto"/>
            <w:vAlign w:val="center"/>
          </w:tcPr>
          <w:p w:rsidR="00644456" w:rsidRDefault="00644456">
            <w:pPr>
              <w:adjustRightInd w:val="0"/>
              <w:snapToGrid w:val="0"/>
              <w:jc w:val="center"/>
              <w:rPr>
                <w:rFonts w:cs="Times New Roman"/>
                <w:color w:val="000000" w:themeColor="text1"/>
              </w:rPr>
            </w:pPr>
          </w:p>
        </w:tc>
        <w:tc>
          <w:tcPr>
            <w:tcW w:w="539" w:type="pct"/>
            <w:vMerge/>
            <w:shd w:val="clear" w:color="auto" w:fill="auto"/>
            <w:vAlign w:val="center"/>
          </w:tcPr>
          <w:p w:rsidR="00644456" w:rsidRDefault="00644456">
            <w:pPr>
              <w:adjustRightInd w:val="0"/>
              <w:snapToGrid w:val="0"/>
              <w:jc w:val="center"/>
              <w:rPr>
                <w:rFonts w:cs="Times New Roman"/>
                <w:color w:val="000000" w:themeColor="text1"/>
              </w:rPr>
            </w:pPr>
          </w:p>
        </w:tc>
      </w:tr>
      <w:tr w:rsidR="00644456">
        <w:trPr>
          <w:cantSplit/>
          <w:jc w:val="center"/>
        </w:trPr>
        <w:tc>
          <w:tcPr>
            <w:tcW w:w="53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3#</w:t>
            </w:r>
          </w:p>
        </w:tc>
        <w:tc>
          <w:tcPr>
            <w:tcW w:w="2548" w:type="dxa"/>
            <w:shd w:val="clear" w:color="auto" w:fill="auto"/>
            <w:vAlign w:val="center"/>
          </w:tcPr>
          <w:p w:rsidR="00644456" w:rsidRDefault="008031C4">
            <w:pPr>
              <w:widowControl/>
              <w:jc w:val="center"/>
              <w:textAlignment w:val="center"/>
              <w:rPr>
                <w:rFonts w:cs="Times New Roman"/>
                <w:color w:val="000000" w:themeColor="text1"/>
              </w:rPr>
            </w:pPr>
            <w:r>
              <w:rPr>
                <w:rFonts w:cs="Times New Roman" w:hint="eastAsia"/>
                <w:kern w:val="0"/>
                <w:szCs w:val="21"/>
                <w:lang w:bidi="ar"/>
              </w:rPr>
              <w:t>项目区西侧外</w:t>
            </w:r>
            <w:r>
              <w:rPr>
                <w:rFonts w:cs="Times New Roman" w:hint="eastAsia"/>
                <w:kern w:val="0"/>
                <w:szCs w:val="21"/>
                <w:lang w:bidi="ar"/>
              </w:rPr>
              <w:t>1m</w:t>
            </w:r>
          </w:p>
        </w:tc>
        <w:tc>
          <w:tcPr>
            <w:tcW w:w="889" w:type="dxa"/>
            <w:shd w:val="clear" w:color="auto" w:fill="auto"/>
            <w:vAlign w:val="center"/>
          </w:tcPr>
          <w:p w:rsidR="00644456" w:rsidRDefault="008031C4">
            <w:pPr>
              <w:widowControl/>
              <w:jc w:val="center"/>
              <w:textAlignment w:val="center"/>
              <w:rPr>
                <w:rFonts w:cs="Times New Roman"/>
                <w:color w:val="000000" w:themeColor="text1"/>
                <w:szCs w:val="21"/>
              </w:rPr>
            </w:pPr>
            <w:r>
              <w:rPr>
                <w:rFonts w:cs="Times New Roman" w:hint="eastAsia"/>
                <w:szCs w:val="21"/>
              </w:rPr>
              <w:t>45</w:t>
            </w:r>
          </w:p>
        </w:tc>
        <w:tc>
          <w:tcPr>
            <w:tcW w:w="893" w:type="dxa"/>
            <w:shd w:val="clear" w:color="auto" w:fill="auto"/>
            <w:vAlign w:val="center"/>
          </w:tcPr>
          <w:p w:rsidR="00644456" w:rsidRDefault="008031C4">
            <w:pPr>
              <w:widowControl/>
              <w:jc w:val="center"/>
              <w:textAlignment w:val="center"/>
              <w:rPr>
                <w:rFonts w:cs="Times New Roman"/>
                <w:color w:val="000000" w:themeColor="text1"/>
                <w:szCs w:val="21"/>
              </w:rPr>
            </w:pPr>
            <w:r>
              <w:rPr>
                <w:rFonts w:cs="Times New Roman" w:hint="eastAsia"/>
                <w:szCs w:val="21"/>
              </w:rPr>
              <w:t>41</w:t>
            </w:r>
          </w:p>
        </w:tc>
        <w:tc>
          <w:tcPr>
            <w:tcW w:w="889" w:type="dxa"/>
            <w:shd w:val="clear" w:color="auto" w:fill="auto"/>
            <w:vAlign w:val="center"/>
          </w:tcPr>
          <w:p w:rsidR="00644456" w:rsidRDefault="008031C4">
            <w:pPr>
              <w:widowControl/>
              <w:jc w:val="center"/>
              <w:textAlignment w:val="center"/>
              <w:rPr>
                <w:rFonts w:cs="Times New Roman"/>
                <w:color w:val="000000" w:themeColor="text1"/>
                <w:szCs w:val="21"/>
              </w:rPr>
            </w:pPr>
            <w:r>
              <w:rPr>
                <w:rFonts w:cs="Times New Roman" w:hint="eastAsia"/>
                <w:szCs w:val="21"/>
              </w:rPr>
              <w:t>46</w:t>
            </w:r>
          </w:p>
        </w:tc>
        <w:tc>
          <w:tcPr>
            <w:tcW w:w="902" w:type="dxa"/>
            <w:shd w:val="clear" w:color="auto" w:fill="auto"/>
            <w:vAlign w:val="center"/>
          </w:tcPr>
          <w:p w:rsidR="00644456" w:rsidRDefault="008031C4">
            <w:pPr>
              <w:widowControl/>
              <w:jc w:val="center"/>
              <w:textAlignment w:val="center"/>
              <w:rPr>
                <w:rFonts w:cs="Times New Roman"/>
                <w:color w:val="000000" w:themeColor="text1"/>
                <w:szCs w:val="21"/>
              </w:rPr>
            </w:pPr>
            <w:r>
              <w:rPr>
                <w:rFonts w:cs="Times New Roman" w:hint="eastAsia"/>
                <w:szCs w:val="21"/>
              </w:rPr>
              <w:t>40</w:t>
            </w:r>
          </w:p>
        </w:tc>
        <w:tc>
          <w:tcPr>
            <w:tcW w:w="534" w:type="pct"/>
            <w:vMerge/>
            <w:shd w:val="clear" w:color="auto" w:fill="auto"/>
            <w:vAlign w:val="center"/>
          </w:tcPr>
          <w:p w:rsidR="00644456" w:rsidRDefault="00644456">
            <w:pPr>
              <w:adjustRightInd w:val="0"/>
              <w:snapToGrid w:val="0"/>
              <w:jc w:val="center"/>
              <w:rPr>
                <w:rFonts w:cs="Times New Roman"/>
                <w:color w:val="000000" w:themeColor="text1"/>
              </w:rPr>
            </w:pPr>
          </w:p>
        </w:tc>
        <w:tc>
          <w:tcPr>
            <w:tcW w:w="539" w:type="pct"/>
            <w:vMerge/>
            <w:shd w:val="clear" w:color="auto" w:fill="auto"/>
            <w:vAlign w:val="center"/>
          </w:tcPr>
          <w:p w:rsidR="00644456" w:rsidRDefault="00644456">
            <w:pPr>
              <w:adjustRightInd w:val="0"/>
              <w:snapToGrid w:val="0"/>
              <w:jc w:val="center"/>
              <w:rPr>
                <w:rFonts w:cs="Times New Roman"/>
                <w:color w:val="000000" w:themeColor="text1"/>
              </w:rPr>
            </w:pPr>
          </w:p>
        </w:tc>
      </w:tr>
      <w:tr w:rsidR="00644456">
        <w:trPr>
          <w:cantSplit/>
          <w:jc w:val="center"/>
        </w:trPr>
        <w:tc>
          <w:tcPr>
            <w:tcW w:w="534" w:type="pct"/>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4#</w:t>
            </w:r>
          </w:p>
        </w:tc>
        <w:tc>
          <w:tcPr>
            <w:tcW w:w="2548" w:type="dxa"/>
            <w:shd w:val="clear" w:color="auto" w:fill="auto"/>
            <w:vAlign w:val="center"/>
          </w:tcPr>
          <w:p w:rsidR="00644456" w:rsidRDefault="008031C4">
            <w:pPr>
              <w:widowControl/>
              <w:jc w:val="center"/>
              <w:textAlignment w:val="center"/>
              <w:rPr>
                <w:rFonts w:cs="Times New Roman"/>
                <w:color w:val="000000" w:themeColor="text1"/>
              </w:rPr>
            </w:pPr>
            <w:r>
              <w:rPr>
                <w:rFonts w:cs="Times New Roman" w:hint="eastAsia"/>
                <w:kern w:val="0"/>
                <w:szCs w:val="21"/>
                <w:lang w:bidi="ar"/>
              </w:rPr>
              <w:t>项目区北侧外</w:t>
            </w:r>
            <w:r>
              <w:rPr>
                <w:rFonts w:cs="Times New Roman" w:hint="eastAsia"/>
                <w:kern w:val="0"/>
                <w:szCs w:val="21"/>
                <w:lang w:bidi="ar"/>
              </w:rPr>
              <w:t>1m</w:t>
            </w:r>
          </w:p>
        </w:tc>
        <w:tc>
          <w:tcPr>
            <w:tcW w:w="889" w:type="dxa"/>
            <w:shd w:val="clear" w:color="auto" w:fill="auto"/>
            <w:vAlign w:val="center"/>
          </w:tcPr>
          <w:p w:rsidR="00644456" w:rsidRDefault="008031C4">
            <w:pPr>
              <w:widowControl/>
              <w:jc w:val="center"/>
              <w:textAlignment w:val="center"/>
              <w:rPr>
                <w:rFonts w:cs="Times New Roman"/>
                <w:color w:val="000000" w:themeColor="text1"/>
                <w:szCs w:val="21"/>
              </w:rPr>
            </w:pPr>
            <w:r>
              <w:rPr>
                <w:rFonts w:cs="Times New Roman" w:hint="eastAsia"/>
                <w:szCs w:val="21"/>
              </w:rPr>
              <w:t>46</w:t>
            </w:r>
          </w:p>
        </w:tc>
        <w:tc>
          <w:tcPr>
            <w:tcW w:w="893" w:type="dxa"/>
            <w:shd w:val="clear" w:color="auto" w:fill="auto"/>
            <w:vAlign w:val="center"/>
          </w:tcPr>
          <w:p w:rsidR="00644456" w:rsidRDefault="008031C4">
            <w:pPr>
              <w:widowControl/>
              <w:jc w:val="center"/>
              <w:textAlignment w:val="center"/>
              <w:rPr>
                <w:rFonts w:cs="Times New Roman"/>
                <w:color w:val="000000" w:themeColor="text1"/>
                <w:szCs w:val="21"/>
              </w:rPr>
            </w:pPr>
            <w:r>
              <w:rPr>
                <w:rFonts w:cs="Times New Roman" w:hint="eastAsia"/>
                <w:szCs w:val="21"/>
              </w:rPr>
              <w:t>42</w:t>
            </w:r>
          </w:p>
        </w:tc>
        <w:tc>
          <w:tcPr>
            <w:tcW w:w="889" w:type="dxa"/>
            <w:shd w:val="clear" w:color="auto" w:fill="auto"/>
            <w:vAlign w:val="center"/>
          </w:tcPr>
          <w:p w:rsidR="00644456" w:rsidRDefault="008031C4">
            <w:pPr>
              <w:widowControl/>
              <w:jc w:val="center"/>
              <w:textAlignment w:val="center"/>
              <w:rPr>
                <w:rFonts w:cs="Times New Roman"/>
                <w:color w:val="000000" w:themeColor="text1"/>
                <w:szCs w:val="21"/>
              </w:rPr>
            </w:pPr>
            <w:r>
              <w:rPr>
                <w:rFonts w:cs="Times New Roman" w:hint="eastAsia"/>
                <w:szCs w:val="21"/>
              </w:rPr>
              <w:t>46</w:t>
            </w:r>
          </w:p>
        </w:tc>
        <w:tc>
          <w:tcPr>
            <w:tcW w:w="902" w:type="dxa"/>
            <w:shd w:val="clear" w:color="auto" w:fill="auto"/>
            <w:vAlign w:val="center"/>
          </w:tcPr>
          <w:p w:rsidR="00644456" w:rsidRDefault="008031C4">
            <w:pPr>
              <w:widowControl/>
              <w:jc w:val="center"/>
              <w:textAlignment w:val="center"/>
              <w:rPr>
                <w:rFonts w:cs="Times New Roman"/>
                <w:color w:val="000000" w:themeColor="text1"/>
                <w:szCs w:val="21"/>
              </w:rPr>
            </w:pPr>
            <w:r>
              <w:rPr>
                <w:rFonts w:cs="Times New Roman" w:hint="eastAsia"/>
                <w:szCs w:val="21"/>
              </w:rPr>
              <w:t>42</w:t>
            </w:r>
          </w:p>
        </w:tc>
        <w:tc>
          <w:tcPr>
            <w:tcW w:w="534" w:type="pct"/>
            <w:vMerge/>
            <w:shd w:val="clear" w:color="auto" w:fill="auto"/>
            <w:vAlign w:val="center"/>
          </w:tcPr>
          <w:p w:rsidR="00644456" w:rsidRDefault="00644456">
            <w:pPr>
              <w:adjustRightInd w:val="0"/>
              <w:snapToGrid w:val="0"/>
              <w:jc w:val="center"/>
              <w:rPr>
                <w:rFonts w:cs="Times New Roman"/>
                <w:color w:val="000000" w:themeColor="text1"/>
              </w:rPr>
            </w:pPr>
          </w:p>
        </w:tc>
        <w:tc>
          <w:tcPr>
            <w:tcW w:w="539" w:type="pct"/>
            <w:vMerge/>
            <w:shd w:val="clear" w:color="auto" w:fill="auto"/>
            <w:vAlign w:val="center"/>
          </w:tcPr>
          <w:p w:rsidR="00644456" w:rsidRDefault="00644456">
            <w:pPr>
              <w:adjustRightInd w:val="0"/>
              <w:snapToGrid w:val="0"/>
              <w:jc w:val="center"/>
              <w:rPr>
                <w:rFonts w:cs="Times New Roman"/>
                <w:color w:val="000000" w:themeColor="text1"/>
              </w:rPr>
            </w:pPr>
          </w:p>
        </w:tc>
      </w:tr>
    </w:tbl>
    <w:p w:rsidR="00644456" w:rsidRDefault="008031C4">
      <w:pPr>
        <w:pStyle w:val="-1"/>
        <w:rPr>
          <w:rFonts w:cs="Times New Roman"/>
          <w:color w:val="000000" w:themeColor="text1"/>
        </w:rPr>
      </w:pPr>
      <w:r>
        <w:rPr>
          <w:rFonts w:cs="Times New Roman"/>
          <w:color w:val="000000" w:themeColor="text1"/>
        </w:rPr>
        <w:t>由上表可知，项目厂界各监测点噪声均达到《声环境质量标准》（</w:t>
      </w:r>
      <w:r>
        <w:rPr>
          <w:rFonts w:cs="Times New Roman"/>
          <w:color w:val="000000" w:themeColor="text1"/>
        </w:rPr>
        <w:t>GB3096-2008</w:t>
      </w:r>
      <w:r>
        <w:rPr>
          <w:rFonts w:cs="Times New Roman"/>
          <w:color w:val="000000" w:themeColor="text1"/>
        </w:rPr>
        <w:t>）中</w:t>
      </w:r>
      <w:r>
        <w:rPr>
          <w:rFonts w:cs="Times New Roman"/>
          <w:color w:val="000000" w:themeColor="text1"/>
        </w:rPr>
        <w:t>3</w:t>
      </w:r>
      <w:r>
        <w:rPr>
          <w:rFonts w:cs="Times New Roman"/>
          <w:color w:val="000000" w:themeColor="text1"/>
        </w:rPr>
        <w:t>类标准要求。</w:t>
      </w:r>
      <w:bookmarkEnd w:id="227"/>
      <w:bookmarkEnd w:id="228"/>
      <w:bookmarkEnd w:id="229"/>
      <w:bookmarkEnd w:id="230"/>
      <w:bookmarkEnd w:id="231"/>
      <w:bookmarkEnd w:id="232"/>
      <w:bookmarkEnd w:id="233"/>
      <w:bookmarkEnd w:id="234"/>
      <w:bookmarkEnd w:id="235"/>
      <w:bookmarkEnd w:id="236"/>
      <w:bookmarkEnd w:id="247"/>
    </w:p>
    <w:p w:rsidR="00644456" w:rsidRDefault="008031C4">
      <w:pPr>
        <w:pStyle w:val="20"/>
        <w:numPr>
          <w:ilvl w:val="1"/>
          <w:numId w:val="0"/>
        </w:numPr>
        <w:snapToGrid w:val="0"/>
        <w:spacing w:beforeLines="0" w:before="0" w:afterLines="0" w:after="0"/>
        <w:ind w:firstLine="562"/>
        <w:rPr>
          <w:rFonts w:cs="Times New Roman"/>
          <w:color w:val="000000" w:themeColor="text1"/>
        </w:rPr>
      </w:pPr>
      <w:bookmarkStart w:id="259" w:name="_Toc177216882"/>
      <w:bookmarkStart w:id="260" w:name="_Toc155789374"/>
      <w:r>
        <w:rPr>
          <w:rFonts w:cs="Times New Roman" w:hint="eastAsia"/>
          <w:color w:val="000000" w:themeColor="text1"/>
        </w:rPr>
        <w:t>3.8</w:t>
      </w:r>
      <w:r>
        <w:rPr>
          <w:rFonts w:cs="Times New Roman"/>
          <w:color w:val="000000" w:themeColor="text1"/>
        </w:rPr>
        <w:t>生态环境现状评价</w:t>
      </w:r>
      <w:bookmarkEnd w:id="259"/>
      <w:bookmarkEnd w:id="260"/>
    </w:p>
    <w:p w:rsidR="00644456" w:rsidRPr="00C14E67" w:rsidRDefault="00C14E67">
      <w:pPr>
        <w:pStyle w:val="-1"/>
        <w:rPr>
          <w:rFonts w:cs="Times New Roman"/>
          <w:color w:val="FF0000"/>
        </w:rPr>
      </w:pPr>
      <w:r w:rsidRPr="00C14E67">
        <w:rPr>
          <w:rFonts w:cs="Times New Roman" w:hint="eastAsia"/>
          <w:color w:val="FF0000"/>
        </w:rPr>
        <w:t>根据《环境影响评价技术导则生态影响》</w:t>
      </w:r>
      <w:r w:rsidRPr="00C14E67">
        <w:rPr>
          <w:rFonts w:cs="Times New Roman" w:hint="eastAsia"/>
          <w:color w:val="FF0000"/>
        </w:rPr>
        <w:t>(HJ19-2022)</w:t>
      </w:r>
      <w:r w:rsidRPr="00C14E67">
        <w:rPr>
          <w:rFonts w:cs="Times New Roman" w:hint="eastAsia"/>
          <w:color w:val="FF0000"/>
        </w:rPr>
        <w:t>中“</w:t>
      </w:r>
      <w:r w:rsidRPr="00C14E67">
        <w:rPr>
          <w:rFonts w:cs="Times New Roman" w:hint="eastAsia"/>
          <w:color w:val="FF0000"/>
        </w:rPr>
        <w:t xml:space="preserve">6.1.8 </w:t>
      </w:r>
      <w:r w:rsidRPr="00C14E67">
        <w:rPr>
          <w:rFonts w:cs="Times New Roman" w:hint="eastAsia"/>
          <w:color w:val="FF0000"/>
        </w:rPr>
        <w:t>符合生态环境分区管控要求且位于原厂界（或永久用地）范围内的污染影响类项目，位于已批准规划环评的产业园区内且符合规划环评要求、不涉及生态敏感区的污染影响类建设项目，可不确定评价等级，直接进行生态影响简单分析</w:t>
      </w:r>
      <w:r w:rsidR="008031C4" w:rsidRPr="00C14E67">
        <w:rPr>
          <w:rFonts w:cs="Times New Roman"/>
          <w:color w:val="FF0000"/>
        </w:rPr>
        <w:t>。</w:t>
      </w:r>
    </w:p>
    <w:p w:rsidR="00644456" w:rsidRDefault="008031C4">
      <w:pPr>
        <w:pStyle w:val="-1"/>
        <w:ind w:firstLine="482"/>
        <w:rPr>
          <w:rFonts w:cs="Times New Roman"/>
          <w:b/>
          <w:bCs/>
          <w:color w:val="000000" w:themeColor="text1"/>
        </w:rPr>
      </w:pPr>
      <w:r>
        <w:rPr>
          <w:rFonts w:cs="Times New Roman"/>
          <w:b/>
          <w:bCs/>
          <w:color w:val="000000" w:themeColor="text1"/>
        </w:rPr>
        <w:t>本项目</w:t>
      </w:r>
      <w:r>
        <w:rPr>
          <w:rFonts w:cs="Times New Roman" w:hint="eastAsia"/>
          <w:b/>
          <w:bCs/>
          <w:color w:val="000000" w:themeColor="text1"/>
        </w:rPr>
        <w:t>在工业园区规划的空地内，区域人类活动较为频繁，无特殊生态保护目标</w:t>
      </w:r>
      <w:r>
        <w:rPr>
          <w:rFonts w:cs="Times New Roman"/>
          <w:b/>
          <w:bCs/>
          <w:color w:val="000000" w:themeColor="text1"/>
        </w:rPr>
        <w:t>，生态影响可控制在项目红线内。</w:t>
      </w:r>
    </w:p>
    <w:p w:rsidR="00644456" w:rsidRDefault="008031C4">
      <w:pPr>
        <w:pStyle w:val="afffd"/>
        <w:snapToGrid w:val="0"/>
        <w:spacing w:beforeAutospacing="0" w:afterAutospacing="0" w:line="360" w:lineRule="auto"/>
        <w:ind w:firstLineChars="200" w:firstLine="480"/>
        <w:rPr>
          <w:color w:val="000000"/>
        </w:rPr>
      </w:pPr>
      <w:r>
        <w:rPr>
          <w:rFonts w:hint="eastAsia"/>
          <w:color w:val="000000"/>
        </w:rPr>
        <w:t>根据《新疆生态功能区划》，疏勒高新技术产业开发区属于塔里木盆地暖温荒漠及绿洲农业生态区（Ⅳ）——塔里木盆地西部、北部荒漠及绿洲农业生态亚区（Ⅳ</w:t>
      </w:r>
      <w:r>
        <w:rPr>
          <w:rFonts w:hint="eastAsia"/>
          <w:color w:val="000000"/>
        </w:rPr>
        <w:t>1</w:t>
      </w:r>
      <w:r>
        <w:rPr>
          <w:rFonts w:hint="eastAsia"/>
          <w:color w:val="000000"/>
        </w:rPr>
        <w:t>）——喀什三角洲绿洲农业盐渍化敏感生态功能区（</w:t>
      </w:r>
      <w:r>
        <w:rPr>
          <w:rFonts w:hint="eastAsia"/>
          <w:color w:val="000000"/>
        </w:rPr>
        <w:t>57</w:t>
      </w:r>
      <w:r>
        <w:rPr>
          <w:rFonts w:hint="eastAsia"/>
          <w:color w:val="000000"/>
        </w:rPr>
        <w:t>），具体见下表。主要特征具体见下表。</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3.8-1</w:t>
      </w:r>
      <w:r>
        <w:rPr>
          <w:rFonts w:cs="Times New Roman" w:hint="eastAsia"/>
          <w:b/>
          <w:color w:val="000000" w:themeColor="text1"/>
          <w:sz w:val="24"/>
          <w:szCs w:val="20"/>
        </w:rPr>
        <w:t>生态功能区划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7253"/>
      </w:tblGrid>
      <w:tr w:rsidR="00644456">
        <w:trPr>
          <w:trHeight w:val="20"/>
          <w:jc w:val="center"/>
        </w:trPr>
        <w:tc>
          <w:tcPr>
            <w:tcW w:w="1863" w:type="dxa"/>
            <w:vAlign w:val="center"/>
          </w:tcPr>
          <w:p w:rsidR="00644456" w:rsidRDefault="008031C4">
            <w:pPr>
              <w:widowControl/>
              <w:jc w:val="center"/>
              <w:textAlignment w:val="center"/>
              <w:rPr>
                <w:rFonts w:cs="Times New Roman"/>
                <w:kern w:val="0"/>
                <w:szCs w:val="21"/>
                <w:lang w:bidi="ar"/>
              </w:rPr>
            </w:pPr>
            <w:r>
              <w:rPr>
                <w:rFonts w:cs="Times New Roman" w:hint="eastAsia"/>
                <w:kern w:val="0"/>
                <w:szCs w:val="21"/>
                <w:lang w:bidi="ar"/>
              </w:rPr>
              <w:t>名称</w:t>
            </w:r>
          </w:p>
          <w:p w:rsidR="00644456" w:rsidRDefault="008031C4">
            <w:pPr>
              <w:widowControl/>
              <w:jc w:val="center"/>
              <w:textAlignment w:val="center"/>
              <w:rPr>
                <w:rFonts w:cs="Times New Roman"/>
                <w:kern w:val="0"/>
                <w:szCs w:val="21"/>
                <w:lang w:bidi="ar"/>
              </w:rPr>
            </w:pPr>
            <w:r>
              <w:rPr>
                <w:rFonts w:cs="Times New Roman" w:hint="eastAsia"/>
                <w:kern w:val="0"/>
                <w:szCs w:val="21"/>
                <w:lang w:bidi="ar"/>
              </w:rPr>
              <w:t>内容</w:t>
            </w:r>
          </w:p>
        </w:tc>
        <w:tc>
          <w:tcPr>
            <w:tcW w:w="6796" w:type="dxa"/>
            <w:vAlign w:val="center"/>
          </w:tcPr>
          <w:p w:rsidR="00644456" w:rsidRDefault="008031C4">
            <w:pPr>
              <w:widowControl/>
              <w:jc w:val="center"/>
              <w:textAlignment w:val="center"/>
              <w:rPr>
                <w:rFonts w:cs="Times New Roman"/>
                <w:kern w:val="0"/>
                <w:szCs w:val="21"/>
                <w:lang w:bidi="ar"/>
              </w:rPr>
            </w:pPr>
            <w:r>
              <w:rPr>
                <w:rFonts w:cs="Times New Roman" w:hint="eastAsia"/>
                <w:kern w:val="0"/>
                <w:szCs w:val="21"/>
                <w:lang w:bidi="ar"/>
              </w:rPr>
              <w:t>塔里木盆地暖温荒漠及绿洲农业生态区（Ⅳ）——塔里木盆地西部、北部荒漠及绿洲农业生态亚区（Ⅳ</w:t>
            </w:r>
            <w:r>
              <w:rPr>
                <w:rFonts w:cs="Times New Roman" w:hint="eastAsia"/>
                <w:kern w:val="0"/>
                <w:szCs w:val="21"/>
                <w:lang w:bidi="ar"/>
              </w:rPr>
              <w:t>1</w:t>
            </w:r>
            <w:r>
              <w:rPr>
                <w:rFonts w:cs="Times New Roman" w:hint="eastAsia"/>
                <w:kern w:val="0"/>
                <w:szCs w:val="21"/>
                <w:lang w:bidi="ar"/>
              </w:rPr>
              <w:t>）——喀什三角洲绿洲农业盐渍化敏感生态功能区（</w:t>
            </w:r>
            <w:r>
              <w:rPr>
                <w:rFonts w:cs="Times New Roman" w:hint="eastAsia"/>
                <w:kern w:val="0"/>
                <w:szCs w:val="21"/>
                <w:lang w:bidi="ar"/>
              </w:rPr>
              <w:t>57</w:t>
            </w:r>
            <w:r>
              <w:rPr>
                <w:rFonts w:cs="Times New Roman" w:hint="eastAsia"/>
                <w:kern w:val="0"/>
                <w:szCs w:val="21"/>
                <w:lang w:bidi="ar"/>
              </w:rPr>
              <w:t>）</w:t>
            </w:r>
          </w:p>
        </w:tc>
      </w:tr>
      <w:tr w:rsidR="00644456">
        <w:trPr>
          <w:trHeight w:val="20"/>
          <w:jc w:val="center"/>
        </w:trPr>
        <w:tc>
          <w:tcPr>
            <w:tcW w:w="1863" w:type="dxa"/>
            <w:vAlign w:val="center"/>
          </w:tcPr>
          <w:p w:rsidR="00644456" w:rsidRDefault="008031C4">
            <w:pPr>
              <w:widowControl/>
              <w:jc w:val="center"/>
              <w:textAlignment w:val="center"/>
              <w:rPr>
                <w:rFonts w:cs="Times New Roman"/>
                <w:kern w:val="0"/>
                <w:szCs w:val="21"/>
                <w:lang w:bidi="ar"/>
              </w:rPr>
            </w:pPr>
            <w:r>
              <w:rPr>
                <w:rFonts w:cs="Times New Roman" w:hint="eastAsia"/>
                <w:kern w:val="0"/>
                <w:szCs w:val="21"/>
                <w:lang w:bidi="ar"/>
              </w:rPr>
              <w:t>主要生态服务功能</w:t>
            </w:r>
          </w:p>
        </w:tc>
        <w:tc>
          <w:tcPr>
            <w:tcW w:w="6796" w:type="dxa"/>
            <w:vAlign w:val="center"/>
          </w:tcPr>
          <w:p w:rsidR="00644456" w:rsidRDefault="008031C4">
            <w:pPr>
              <w:widowControl/>
              <w:jc w:val="center"/>
              <w:textAlignment w:val="center"/>
              <w:rPr>
                <w:rFonts w:cs="Times New Roman"/>
                <w:kern w:val="0"/>
                <w:szCs w:val="21"/>
                <w:lang w:bidi="ar"/>
              </w:rPr>
            </w:pPr>
            <w:r>
              <w:rPr>
                <w:rFonts w:cs="Times New Roman" w:hint="eastAsia"/>
                <w:kern w:val="0"/>
                <w:szCs w:val="21"/>
                <w:lang w:bidi="ar"/>
              </w:rPr>
              <w:t>农畜产品生产、荒漠化控制、旅游</w:t>
            </w:r>
          </w:p>
        </w:tc>
      </w:tr>
      <w:tr w:rsidR="00644456">
        <w:trPr>
          <w:trHeight w:val="20"/>
          <w:jc w:val="center"/>
        </w:trPr>
        <w:tc>
          <w:tcPr>
            <w:tcW w:w="1863" w:type="dxa"/>
            <w:vAlign w:val="center"/>
          </w:tcPr>
          <w:p w:rsidR="00644456" w:rsidRDefault="008031C4">
            <w:pPr>
              <w:widowControl/>
              <w:jc w:val="center"/>
              <w:textAlignment w:val="center"/>
              <w:rPr>
                <w:rFonts w:cs="Times New Roman"/>
                <w:kern w:val="0"/>
                <w:szCs w:val="21"/>
                <w:lang w:bidi="ar"/>
              </w:rPr>
            </w:pPr>
            <w:r>
              <w:rPr>
                <w:rFonts w:cs="Times New Roman" w:hint="eastAsia"/>
                <w:kern w:val="0"/>
                <w:szCs w:val="21"/>
                <w:lang w:bidi="ar"/>
              </w:rPr>
              <w:t>主要生态环境问题</w:t>
            </w:r>
          </w:p>
        </w:tc>
        <w:tc>
          <w:tcPr>
            <w:tcW w:w="6796" w:type="dxa"/>
            <w:vAlign w:val="center"/>
          </w:tcPr>
          <w:p w:rsidR="00644456" w:rsidRDefault="008031C4">
            <w:pPr>
              <w:widowControl/>
              <w:jc w:val="center"/>
              <w:textAlignment w:val="center"/>
              <w:rPr>
                <w:rFonts w:cs="Times New Roman"/>
                <w:kern w:val="0"/>
                <w:szCs w:val="21"/>
                <w:lang w:bidi="ar"/>
              </w:rPr>
            </w:pPr>
            <w:r>
              <w:rPr>
                <w:rFonts w:cs="Times New Roman" w:hint="eastAsia"/>
                <w:kern w:val="0"/>
                <w:szCs w:val="21"/>
                <w:lang w:bidi="ar"/>
              </w:rPr>
              <w:t>土壤盐渍化、三角洲下部天然水质差、城市污水处理滞后、浮尘天气多、土壤质量下降</w:t>
            </w:r>
          </w:p>
        </w:tc>
      </w:tr>
      <w:tr w:rsidR="00644456">
        <w:trPr>
          <w:trHeight w:val="20"/>
          <w:jc w:val="center"/>
        </w:trPr>
        <w:tc>
          <w:tcPr>
            <w:tcW w:w="1863" w:type="dxa"/>
            <w:vAlign w:val="center"/>
          </w:tcPr>
          <w:p w:rsidR="00644456" w:rsidRDefault="008031C4">
            <w:pPr>
              <w:widowControl/>
              <w:jc w:val="center"/>
              <w:textAlignment w:val="center"/>
              <w:rPr>
                <w:rFonts w:cs="Times New Roman"/>
                <w:kern w:val="0"/>
                <w:szCs w:val="21"/>
                <w:lang w:bidi="ar"/>
              </w:rPr>
            </w:pPr>
            <w:r>
              <w:rPr>
                <w:rFonts w:cs="Times New Roman" w:hint="eastAsia"/>
                <w:kern w:val="0"/>
                <w:szCs w:val="21"/>
                <w:lang w:bidi="ar"/>
              </w:rPr>
              <w:t>主要生态敏感因子、敏感程度</w:t>
            </w:r>
          </w:p>
        </w:tc>
        <w:tc>
          <w:tcPr>
            <w:tcW w:w="6796" w:type="dxa"/>
            <w:vAlign w:val="center"/>
          </w:tcPr>
          <w:p w:rsidR="00644456" w:rsidRDefault="008031C4">
            <w:pPr>
              <w:widowControl/>
              <w:jc w:val="center"/>
              <w:textAlignment w:val="center"/>
              <w:rPr>
                <w:rFonts w:cs="Times New Roman"/>
                <w:kern w:val="0"/>
                <w:szCs w:val="21"/>
                <w:lang w:bidi="ar"/>
              </w:rPr>
            </w:pPr>
            <w:r>
              <w:rPr>
                <w:rFonts w:cs="Times New Roman" w:hint="eastAsia"/>
                <w:kern w:val="0"/>
                <w:szCs w:val="21"/>
                <w:lang w:bidi="ar"/>
              </w:rPr>
              <w:t>生物多样性及其生境中度敏感，土地沙漠化、土壤盐渍化高度敏感</w:t>
            </w:r>
          </w:p>
        </w:tc>
      </w:tr>
      <w:tr w:rsidR="00644456">
        <w:trPr>
          <w:trHeight w:val="20"/>
          <w:jc w:val="center"/>
        </w:trPr>
        <w:tc>
          <w:tcPr>
            <w:tcW w:w="1863" w:type="dxa"/>
            <w:vAlign w:val="center"/>
          </w:tcPr>
          <w:p w:rsidR="00644456" w:rsidRDefault="008031C4">
            <w:pPr>
              <w:widowControl/>
              <w:jc w:val="center"/>
              <w:textAlignment w:val="center"/>
              <w:rPr>
                <w:rFonts w:cs="Times New Roman"/>
                <w:kern w:val="0"/>
                <w:szCs w:val="21"/>
                <w:lang w:bidi="ar"/>
              </w:rPr>
            </w:pPr>
            <w:r>
              <w:rPr>
                <w:rFonts w:cs="Times New Roman" w:hint="eastAsia"/>
                <w:kern w:val="0"/>
                <w:szCs w:val="21"/>
                <w:lang w:bidi="ar"/>
              </w:rPr>
              <w:t>主要保护目标</w:t>
            </w:r>
          </w:p>
        </w:tc>
        <w:tc>
          <w:tcPr>
            <w:tcW w:w="6796" w:type="dxa"/>
            <w:vAlign w:val="center"/>
          </w:tcPr>
          <w:p w:rsidR="00644456" w:rsidRDefault="008031C4">
            <w:pPr>
              <w:widowControl/>
              <w:jc w:val="center"/>
              <w:textAlignment w:val="center"/>
              <w:rPr>
                <w:rFonts w:cs="Times New Roman"/>
                <w:kern w:val="0"/>
                <w:szCs w:val="21"/>
                <w:lang w:bidi="ar"/>
              </w:rPr>
            </w:pPr>
            <w:r>
              <w:rPr>
                <w:rFonts w:cs="Times New Roman" w:hint="eastAsia"/>
                <w:kern w:val="0"/>
                <w:szCs w:val="21"/>
                <w:lang w:bidi="ar"/>
              </w:rPr>
              <w:t>保护人群身体健康、保护水资源、保护农田、保护荒漠植被、保护文物古迹与民俗风情</w:t>
            </w:r>
          </w:p>
        </w:tc>
      </w:tr>
      <w:tr w:rsidR="00644456">
        <w:trPr>
          <w:trHeight w:val="20"/>
          <w:jc w:val="center"/>
        </w:trPr>
        <w:tc>
          <w:tcPr>
            <w:tcW w:w="1863" w:type="dxa"/>
            <w:vAlign w:val="center"/>
          </w:tcPr>
          <w:p w:rsidR="00644456" w:rsidRDefault="008031C4">
            <w:pPr>
              <w:widowControl/>
              <w:jc w:val="center"/>
              <w:textAlignment w:val="center"/>
              <w:rPr>
                <w:rFonts w:cs="Times New Roman"/>
                <w:kern w:val="0"/>
                <w:szCs w:val="21"/>
                <w:lang w:bidi="ar"/>
              </w:rPr>
            </w:pPr>
            <w:r>
              <w:rPr>
                <w:rFonts w:cs="Times New Roman" w:hint="eastAsia"/>
                <w:kern w:val="0"/>
                <w:szCs w:val="21"/>
                <w:lang w:bidi="ar"/>
              </w:rPr>
              <w:t>主要保护措施</w:t>
            </w:r>
          </w:p>
        </w:tc>
        <w:tc>
          <w:tcPr>
            <w:tcW w:w="6796" w:type="dxa"/>
            <w:vAlign w:val="center"/>
          </w:tcPr>
          <w:p w:rsidR="00644456" w:rsidRDefault="008031C4">
            <w:pPr>
              <w:widowControl/>
              <w:jc w:val="center"/>
              <w:textAlignment w:val="center"/>
              <w:rPr>
                <w:rFonts w:cs="Times New Roman"/>
                <w:kern w:val="0"/>
                <w:szCs w:val="21"/>
                <w:lang w:bidi="ar"/>
              </w:rPr>
            </w:pPr>
            <w:r>
              <w:rPr>
                <w:rFonts w:cs="Times New Roman" w:hint="eastAsia"/>
                <w:kern w:val="0"/>
                <w:szCs w:val="21"/>
                <w:lang w:bidi="ar"/>
              </w:rPr>
              <w:t>改善人畜饮用水质、防治地方病、引洪放淤扩大植被覆盖、建设城镇污水处理系统、加强农田投入品的使用管理</w:t>
            </w:r>
          </w:p>
        </w:tc>
      </w:tr>
      <w:tr w:rsidR="00644456">
        <w:trPr>
          <w:trHeight w:val="20"/>
          <w:jc w:val="center"/>
        </w:trPr>
        <w:tc>
          <w:tcPr>
            <w:tcW w:w="1863" w:type="dxa"/>
            <w:vAlign w:val="center"/>
          </w:tcPr>
          <w:p w:rsidR="00644456" w:rsidRDefault="008031C4">
            <w:pPr>
              <w:widowControl/>
              <w:jc w:val="center"/>
              <w:textAlignment w:val="center"/>
              <w:rPr>
                <w:rFonts w:cs="Times New Roman"/>
                <w:kern w:val="0"/>
                <w:szCs w:val="21"/>
                <w:lang w:bidi="ar"/>
              </w:rPr>
            </w:pPr>
            <w:r>
              <w:rPr>
                <w:rFonts w:cs="Times New Roman" w:hint="eastAsia"/>
                <w:kern w:val="0"/>
                <w:szCs w:val="21"/>
                <w:lang w:bidi="ar"/>
              </w:rPr>
              <w:t>适宜发展方向</w:t>
            </w:r>
          </w:p>
        </w:tc>
        <w:tc>
          <w:tcPr>
            <w:tcW w:w="6796" w:type="dxa"/>
            <w:vAlign w:val="center"/>
          </w:tcPr>
          <w:p w:rsidR="00644456" w:rsidRDefault="008031C4">
            <w:pPr>
              <w:widowControl/>
              <w:jc w:val="center"/>
              <w:textAlignment w:val="center"/>
              <w:rPr>
                <w:rFonts w:cs="Times New Roman"/>
                <w:kern w:val="0"/>
                <w:szCs w:val="21"/>
                <w:lang w:bidi="ar"/>
              </w:rPr>
            </w:pPr>
            <w:r>
              <w:rPr>
                <w:rFonts w:cs="Times New Roman" w:hint="eastAsia"/>
                <w:kern w:val="0"/>
                <w:szCs w:val="21"/>
                <w:lang w:bidi="ar"/>
              </w:rPr>
              <w:t>以农牧业为基础，建设棉花及特色林果业基地，发展民俗风情旅游</w:t>
            </w:r>
          </w:p>
        </w:tc>
      </w:tr>
    </w:tbl>
    <w:p w:rsidR="00644456" w:rsidRDefault="008031C4">
      <w:pPr>
        <w:pStyle w:val="3"/>
        <w:numPr>
          <w:ilvl w:val="2"/>
          <w:numId w:val="0"/>
        </w:numPr>
        <w:ind w:firstLineChars="200" w:firstLine="482"/>
      </w:pPr>
      <w:r>
        <w:rPr>
          <w:rFonts w:hint="eastAsia"/>
        </w:rPr>
        <w:lastRenderedPageBreak/>
        <w:t>3.8.1</w:t>
      </w:r>
      <w:r>
        <w:rPr>
          <w:rFonts w:hint="eastAsia"/>
        </w:rPr>
        <w:t>调查方法</w:t>
      </w:r>
    </w:p>
    <w:p w:rsidR="00644456" w:rsidRDefault="008031C4">
      <w:pPr>
        <w:pStyle w:val="-1"/>
        <w:rPr>
          <w:rFonts w:cs="Times New Roman"/>
          <w:color w:val="000000" w:themeColor="text1"/>
        </w:rPr>
      </w:pPr>
      <w:r>
        <w:rPr>
          <w:rFonts w:cs="Times New Roman"/>
          <w:color w:val="000000" w:themeColor="text1"/>
        </w:rPr>
        <w:t>调查方法采用资料收集和现场踏勘两种形式，具体如下：</w:t>
      </w:r>
    </w:p>
    <w:p w:rsidR="00644456" w:rsidRDefault="008031C4">
      <w:pPr>
        <w:pStyle w:val="-1"/>
        <w:rPr>
          <w:rFonts w:cs="Times New Roman"/>
          <w:color w:val="000000" w:themeColor="text1"/>
        </w:rPr>
      </w:pPr>
      <w:r>
        <w:rPr>
          <w:rFonts w:cs="Times New Roman" w:hint="eastAsia"/>
          <w:color w:val="000000" w:themeColor="text1"/>
        </w:rPr>
        <w:t>收集的资料主要包括项目喀什市年鉴、</w:t>
      </w:r>
      <w:r>
        <w:rPr>
          <w:rFonts w:cs="Times New Roman"/>
          <w:color w:val="000000" w:themeColor="text1"/>
        </w:rPr>
        <w:t>当地县志</w:t>
      </w:r>
      <w:r>
        <w:rPr>
          <w:rFonts w:cs="Times New Roman" w:hint="eastAsia"/>
          <w:color w:val="000000" w:themeColor="text1"/>
        </w:rPr>
        <w:t>、林业资料以及植物区系文献等。</w:t>
      </w:r>
    </w:p>
    <w:p w:rsidR="00644456" w:rsidRDefault="008031C4">
      <w:pPr>
        <w:pStyle w:val="-1"/>
        <w:rPr>
          <w:rFonts w:cs="Times New Roman"/>
          <w:color w:val="000000" w:themeColor="text1"/>
        </w:rPr>
      </w:pPr>
      <w:r>
        <w:rPr>
          <w:rFonts w:cs="Times New Roman" w:hint="eastAsia"/>
          <w:color w:val="000000" w:themeColor="text1"/>
        </w:rPr>
        <w:t>现场踏勘主要内容为周边植被、植物物种、动物群落、动物种类的调查，采取路线调查和典型样地调查相结合的技术方法。同时，向当地林业局和居民了解附近地区国家重点保护陆生野生动植物、古树名木分布情况。</w:t>
      </w:r>
    </w:p>
    <w:p w:rsidR="00644456" w:rsidRDefault="008031C4">
      <w:pPr>
        <w:pStyle w:val="3"/>
        <w:numPr>
          <w:ilvl w:val="2"/>
          <w:numId w:val="0"/>
        </w:numPr>
        <w:ind w:firstLineChars="200" w:firstLine="482"/>
      </w:pPr>
      <w:r>
        <w:rPr>
          <w:rFonts w:hint="eastAsia"/>
        </w:rPr>
        <w:t>3.8.2</w:t>
      </w:r>
      <w:r>
        <w:rPr>
          <w:rFonts w:hint="eastAsia"/>
        </w:rPr>
        <w:t>生态敏感区</w:t>
      </w:r>
    </w:p>
    <w:p w:rsidR="00644456" w:rsidRDefault="008031C4">
      <w:pPr>
        <w:pStyle w:val="-1"/>
        <w:rPr>
          <w:rFonts w:cs="Times New Roman"/>
          <w:color w:val="000000" w:themeColor="text1"/>
        </w:rPr>
      </w:pPr>
      <w:r>
        <w:rPr>
          <w:rFonts w:cs="Times New Roman" w:hint="eastAsia"/>
          <w:color w:val="000000" w:themeColor="text1"/>
        </w:rPr>
        <w:t>项目生态评价范围内无国家重点保护的珍稀、濒危野生动、植物和名木古树，无特殊风景和需保护的名胜、古迹，无饮用水水源地保护区等生态敏感区。</w:t>
      </w:r>
    </w:p>
    <w:p w:rsidR="00644456" w:rsidRDefault="008031C4">
      <w:pPr>
        <w:pStyle w:val="3"/>
        <w:numPr>
          <w:ilvl w:val="2"/>
          <w:numId w:val="0"/>
        </w:numPr>
        <w:ind w:firstLineChars="200" w:firstLine="482"/>
      </w:pPr>
      <w:r>
        <w:rPr>
          <w:rFonts w:hint="eastAsia"/>
        </w:rPr>
        <w:t>3.8.3</w:t>
      </w:r>
      <w:r>
        <w:rPr>
          <w:rFonts w:hint="eastAsia"/>
        </w:rPr>
        <w:t>陆生生态环境现状调查及评价</w:t>
      </w:r>
    </w:p>
    <w:p w:rsidR="00644456" w:rsidRDefault="008031C4">
      <w:pPr>
        <w:pStyle w:val="-1"/>
        <w:rPr>
          <w:rFonts w:cs="Times New Roman"/>
          <w:color w:val="000000" w:themeColor="text1"/>
        </w:rPr>
      </w:pPr>
      <w:r>
        <w:rPr>
          <w:rFonts w:cs="Times New Roman" w:hint="eastAsia"/>
          <w:color w:val="000000" w:themeColor="text1"/>
        </w:rPr>
        <w:t>1</w:t>
      </w:r>
      <w:r>
        <w:rPr>
          <w:rFonts w:cs="Times New Roman" w:hint="eastAsia"/>
          <w:color w:val="000000" w:themeColor="text1"/>
        </w:rPr>
        <w:t>、植被资源调查情况</w:t>
      </w:r>
    </w:p>
    <w:p w:rsidR="00644456" w:rsidRDefault="008031C4">
      <w:pPr>
        <w:pStyle w:val="-1"/>
        <w:rPr>
          <w:rFonts w:cs="Times New Roman"/>
          <w:color w:val="000000" w:themeColor="text1"/>
        </w:rPr>
      </w:pPr>
      <w:r>
        <w:rPr>
          <w:rFonts w:cs="Times New Roman" w:hint="eastAsia"/>
          <w:color w:val="000000" w:themeColor="text1"/>
        </w:rPr>
        <w:t>根据现场调查，本项目所在地主要为荒漠，评价范围内主要为沙土，基本上无植被存在。</w:t>
      </w:r>
    </w:p>
    <w:p w:rsidR="00644456" w:rsidRDefault="008031C4">
      <w:pPr>
        <w:pStyle w:val="-1"/>
        <w:rPr>
          <w:rFonts w:cs="Times New Roman"/>
          <w:color w:val="000000" w:themeColor="text1"/>
        </w:rPr>
      </w:pPr>
      <w:r>
        <w:rPr>
          <w:rFonts w:cs="Times New Roman" w:hint="eastAsia"/>
          <w:color w:val="000000" w:themeColor="text1"/>
        </w:rPr>
        <w:t>2</w:t>
      </w:r>
      <w:r>
        <w:rPr>
          <w:rFonts w:cs="Times New Roman" w:hint="eastAsia"/>
          <w:color w:val="000000" w:themeColor="text1"/>
        </w:rPr>
        <w:t>、</w:t>
      </w:r>
      <w:r>
        <w:rPr>
          <w:rFonts w:cs="Times New Roman"/>
          <w:color w:val="000000" w:themeColor="text1"/>
        </w:rPr>
        <w:t>野生动物</w:t>
      </w:r>
      <w:r>
        <w:rPr>
          <w:rFonts w:cs="Times New Roman" w:hint="eastAsia"/>
          <w:color w:val="000000" w:themeColor="text1"/>
        </w:rPr>
        <w:t>调查</w:t>
      </w:r>
      <w:r>
        <w:rPr>
          <w:rFonts w:cs="Times New Roman"/>
          <w:color w:val="000000" w:themeColor="text1"/>
        </w:rPr>
        <w:t>情况</w:t>
      </w:r>
    </w:p>
    <w:p w:rsidR="00644456" w:rsidRDefault="008031C4">
      <w:pPr>
        <w:pStyle w:val="-1"/>
        <w:rPr>
          <w:rFonts w:cs="Times New Roman"/>
          <w:color w:val="000000" w:themeColor="text1"/>
        </w:rPr>
      </w:pPr>
      <w:r>
        <w:rPr>
          <w:rFonts w:cs="Times New Roman" w:hint="eastAsia"/>
          <w:color w:val="000000" w:themeColor="text1"/>
        </w:rPr>
        <w:t>由于人类干扰和生态系统环境的改变，目前这一区域野生动物数量和种类均较少。根据现状调查与资料记载，项目区域分布的常见的哺乳类动物主要有野兔、老鼠等。</w:t>
      </w:r>
    </w:p>
    <w:p w:rsidR="00644456" w:rsidRDefault="008031C4">
      <w:pPr>
        <w:pStyle w:val="-1"/>
        <w:rPr>
          <w:rFonts w:cs="Times New Roman"/>
          <w:color w:val="000000" w:themeColor="text1"/>
        </w:rPr>
      </w:pPr>
      <w:r>
        <w:rPr>
          <w:rFonts w:cs="Times New Roman" w:hint="eastAsia"/>
          <w:color w:val="000000" w:themeColor="text1"/>
        </w:rPr>
        <w:t>3</w:t>
      </w:r>
      <w:r>
        <w:rPr>
          <w:rFonts w:cs="Times New Roman" w:hint="eastAsia"/>
          <w:color w:val="000000" w:themeColor="text1"/>
        </w:rPr>
        <w:t>、陆生生态资源评价</w:t>
      </w:r>
    </w:p>
    <w:p w:rsidR="00644456" w:rsidRDefault="008031C4">
      <w:pPr>
        <w:pStyle w:val="-1"/>
        <w:rPr>
          <w:rFonts w:cs="Times New Roman"/>
          <w:color w:val="000000" w:themeColor="text1"/>
        </w:rPr>
      </w:pPr>
      <w:r>
        <w:rPr>
          <w:rFonts w:cs="Times New Roman"/>
          <w:color w:val="000000" w:themeColor="text1"/>
        </w:rPr>
        <w:t>根据现场调查，</w:t>
      </w:r>
      <w:r>
        <w:rPr>
          <w:rFonts w:cs="Times New Roman" w:hint="eastAsia"/>
          <w:color w:val="000000" w:themeColor="text1"/>
        </w:rPr>
        <w:t>项目生态评价范围内无国家Ⅰ、Ⅱ级重点保护野生植物和名木古树，无特殊风景和需保护的名胜、古迹，</w:t>
      </w:r>
      <w:r>
        <w:rPr>
          <w:rFonts w:cs="Times New Roman"/>
          <w:color w:val="000000" w:themeColor="text1"/>
        </w:rPr>
        <w:t>区域内野生动物数量较少，未发现国家重点保护陆生野生动物和地方特有动物物种</w:t>
      </w:r>
      <w:r>
        <w:rPr>
          <w:rFonts w:cs="Times New Roman" w:hint="eastAsia"/>
          <w:color w:val="000000" w:themeColor="text1"/>
        </w:rPr>
        <w:t>，无鸟类集中栖息地与鸟类迁徙通道分布，工程建设不涉及生态敏感区。</w:t>
      </w:r>
    </w:p>
    <w:p w:rsidR="00644456" w:rsidRDefault="00644456">
      <w:pPr>
        <w:pStyle w:val="1"/>
        <w:sectPr w:rsidR="00644456">
          <w:pgSz w:w="11905" w:h="16838"/>
          <w:pgMar w:top="1440" w:right="1440" w:bottom="1440" w:left="1440" w:header="850" w:footer="992" w:gutter="0"/>
          <w:cols w:space="0"/>
        </w:sectPr>
      </w:pPr>
    </w:p>
    <w:p w:rsidR="00644456" w:rsidRDefault="008031C4">
      <w:pPr>
        <w:pStyle w:val="1"/>
        <w:numPr>
          <w:ilvl w:val="0"/>
          <w:numId w:val="0"/>
        </w:numPr>
      </w:pPr>
      <w:bookmarkStart w:id="261" w:name="_Toc155789375"/>
      <w:bookmarkStart w:id="262" w:name="_Toc177216883"/>
      <w:bookmarkStart w:id="263" w:name="_Toc22086"/>
      <w:bookmarkStart w:id="264" w:name="_Toc48297839"/>
      <w:bookmarkStart w:id="265" w:name="_Toc4124"/>
      <w:bookmarkStart w:id="266" w:name="_Toc883"/>
      <w:bookmarkEnd w:id="243"/>
      <w:r>
        <w:rPr>
          <w:rFonts w:hint="eastAsia"/>
        </w:rPr>
        <w:lastRenderedPageBreak/>
        <w:t>第</w:t>
      </w:r>
      <w:r>
        <w:rPr>
          <w:rFonts w:hint="eastAsia"/>
        </w:rPr>
        <w:t xml:space="preserve"> 4 </w:t>
      </w:r>
      <w:r>
        <w:rPr>
          <w:rFonts w:hint="eastAsia"/>
        </w:rPr>
        <w:t>章</w:t>
      </w:r>
      <w:r>
        <w:rPr>
          <w:rFonts w:hint="eastAsia"/>
        </w:rPr>
        <w:t xml:space="preserve"> </w:t>
      </w:r>
      <w:r>
        <w:t>施工期环境影响预测与评价</w:t>
      </w:r>
      <w:bookmarkEnd w:id="261"/>
      <w:bookmarkEnd w:id="262"/>
      <w:bookmarkEnd w:id="263"/>
    </w:p>
    <w:p w:rsidR="00644456" w:rsidRDefault="008031C4">
      <w:pPr>
        <w:pStyle w:val="-"/>
        <w:snapToGrid w:val="0"/>
        <w:ind w:firstLine="480"/>
        <w:rPr>
          <w:rFonts w:cs="Times New Roman"/>
          <w:color w:val="000000" w:themeColor="text1"/>
        </w:rPr>
      </w:pPr>
      <w:r>
        <w:rPr>
          <w:rFonts w:cs="Times New Roman" w:hint="eastAsia"/>
          <w:color w:val="000000" w:themeColor="text1"/>
        </w:rPr>
        <w:t>本项目在园区空地进行建设。施工期的主要环境问题是基础开挖以及设备安装产生的噪声、扬尘、建筑垃圾、生活污水等。施工工程对环境影响是暂时的、多方面的。</w:t>
      </w:r>
    </w:p>
    <w:p w:rsidR="00644456" w:rsidRDefault="008031C4">
      <w:pPr>
        <w:pStyle w:val="20"/>
        <w:numPr>
          <w:ilvl w:val="1"/>
          <w:numId w:val="0"/>
        </w:numPr>
        <w:snapToGrid w:val="0"/>
        <w:spacing w:beforeLines="0" w:before="0" w:afterLines="0" w:after="0"/>
        <w:ind w:firstLine="562"/>
        <w:rPr>
          <w:rFonts w:cs="Times New Roman"/>
          <w:color w:val="000000" w:themeColor="text1"/>
        </w:rPr>
      </w:pPr>
      <w:bookmarkStart w:id="267" w:name="_Toc177216884"/>
      <w:bookmarkStart w:id="268" w:name="_Toc29929"/>
      <w:bookmarkStart w:id="269" w:name="_Toc155789376"/>
      <w:r>
        <w:rPr>
          <w:rFonts w:cs="Times New Roman" w:hint="eastAsia"/>
          <w:color w:val="000000" w:themeColor="text1"/>
        </w:rPr>
        <w:t>4.1</w:t>
      </w:r>
      <w:r>
        <w:rPr>
          <w:rFonts w:cs="Times New Roman"/>
          <w:color w:val="000000" w:themeColor="text1"/>
        </w:rPr>
        <w:t>施工期总平面布置</w:t>
      </w:r>
      <w:bookmarkEnd w:id="267"/>
      <w:bookmarkEnd w:id="268"/>
      <w:bookmarkEnd w:id="269"/>
    </w:p>
    <w:p w:rsidR="00644456" w:rsidRDefault="008031C4">
      <w:pPr>
        <w:pStyle w:val="-"/>
        <w:snapToGrid w:val="0"/>
        <w:ind w:firstLine="480"/>
        <w:rPr>
          <w:rFonts w:cs="Times New Roman"/>
          <w:color w:val="000000" w:themeColor="text1"/>
        </w:rPr>
      </w:pPr>
      <w:r>
        <w:rPr>
          <w:rFonts w:cs="Times New Roman"/>
          <w:color w:val="000000" w:themeColor="text1"/>
        </w:rPr>
        <w:t>施工总平面布置应遵循以下原则：</w:t>
      </w:r>
    </w:p>
    <w:p w:rsidR="00644456" w:rsidRDefault="008031C4">
      <w:pPr>
        <w:pStyle w:val="-"/>
        <w:snapToGrid w:val="0"/>
        <w:ind w:firstLine="480"/>
        <w:rPr>
          <w:rFonts w:cs="Times New Roman"/>
          <w:color w:val="000000" w:themeColor="text1"/>
        </w:rPr>
      </w:pPr>
      <w:r>
        <w:rPr>
          <w:rFonts w:cs="Times New Roman"/>
          <w:color w:val="000000" w:themeColor="text1"/>
        </w:rPr>
        <w:t>（</w:t>
      </w:r>
      <w:r>
        <w:rPr>
          <w:rFonts w:cs="Times New Roman"/>
          <w:color w:val="000000" w:themeColor="text1"/>
        </w:rPr>
        <w:t>1</w:t>
      </w:r>
      <w:r>
        <w:rPr>
          <w:rFonts w:cs="Times New Roman"/>
          <w:color w:val="000000" w:themeColor="text1"/>
        </w:rPr>
        <w:t>）办公区与材料堆场、施工场地等分开布置，以减轻噪声及扬尘等对办公影响；</w:t>
      </w:r>
    </w:p>
    <w:p w:rsidR="00644456" w:rsidRDefault="008031C4">
      <w:pPr>
        <w:pStyle w:val="-"/>
        <w:snapToGrid w:val="0"/>
        <w:ind w:firstLine="480"/>
        <w:rPr>
          <w:rFonts w:cs="Times New Roman"/>
          <w:color w:val="000000" w:themeColor="text1"/>
        </w:rPr>
      </w:pPr>
      <w:r>
        <w:rPr>
          <w:rFonts w:cs="Times New Roman"/>
          <w:color w:val="000000" w:themeColor="text1"/>
        </w:rPr>
        <w:t>（</w:t>
      </w:r>
      <w:r>
        <w:rPr>
          <w:rFonts w:cs="Times New Roman"/>
          <w:color w:val="000000" w:themeColor="text1"/>
        </w:rPr>
        <w:t>2</w:t>
      </w:r>
      <w:r>
        <w:rPr>
          <w:rFonts w:cs="Times New Roman"/>
          <w:color w:val="000000" w:themeColor="text1"/>
        </w:rPr>
        <w:t>）相对固定的产噪区尽量布置在远离敏感点处；</w:t>
      </w:r>
    </w:p>
    <w:p w:rsidR="00644456" w:rsidRDefault="008031C4">
      <w:pPr>
        <w:pStyle w:val="-"/>
        <w:snapToGrid w:val="0"/>
        <w:ind w:firstLine="480"/>
        <w:rPr>
          <w:rFonts w:cs="Times New Roman"/>
          <w:color w:val="000000" w:themeColor="text1"/>
        </w:rPr>
      </w:pPr>
      <w:r>
        <w:rPr>
          <w:rFonts w:cs="Times New Roman"/>
          <w:color w:val="000000" w:themeColor="text1"/>
        </w:rPr>
        <w:t>（</w:t>
      </w:r>
      <w:r>
        <w:rPr>
          <w:rFonts w:cs="Times New Roman"/>
          <w:color w:val="000000" w:themeColor="text1"/>
        </w:rPr>
        <w:t>3</w:t>
      </w:r>
      <w:r>
        <w:rPr>
          <w:rFonts w:cs="Times New Roman"/>
          <w:color w:val="000000" w:themeColor="text1"/>
        </w:rPr>
        <w:t>）施工场地的大型施工机械布置除考虑安拆方便外，还应满足工程施工需要，交通流畅，尽可能使场内道路</w:t>
      </w:r>
      <w:r>
        <w:rPr>
          <w:rFonts w:cs="Times New Roman" w:hint="eastAsia"/>
          <w:color w:val="000000" w:themeColor="text1"/>
        </w:rPr>
        <w:t>畅通</w:t>
      </w:r>
      <w:r>
        <w:rPr>
          <w:rFonts w:cs="Times New Roman"/>
          <w:color w:val="000000" w:themeColor="text1"/>
        </w:rPr>
        <w:t>。</w:t>
      </w:r>
    </w:p>
    <w:p w:rsidR="00644456" w:rsidRDefault="008031C4">
      <w:pPr>
        <w:pStyle w:val="-"/>
        <w:snapToGrid w:val="0"/>
        <w:ind w:firstLine="480"/>
        <w:rPr>
          <w:rFonts w:cs="Times New Roman"/>
          <w:color w:val="000000" w:themeColor="text1"/>
        </w:rPr>
      </w:pPr>
      <w:r>
        <w:rPr>
          <w:rFonts w:cs="Times New Roman"/>
          <w:color w:val="000000" w:themeColor="text1"/>
        </w:rPr>
        <w:t>（</w:t>
      </w:r>
      <w:r>
        <w:rPr>
          <w:rFonts w:cs="Times New Roman"/>
          <w:color w:val="000000" w:themeColor="text1"/>
        </w:rPr>
        <w:t>4</w:t>
      </w:r>
      <w:r>
        <w:rPr>
          <w:rFonts w:cs="Times New Roman"/>
          <w:color w:val="000000" w:themeColor="text1"/>
        </w:rPr>
        <w:t>）要加强施工安全生产并采取必要的防范措施。</w:t>
      </w:r>
    </w:p>
    <w:p w:rsidR="00644456" w:rsidRDefault="008031C4">
      <w:pPr>
        <w:pStyle w:val="-"/>
        <w:snapToGrid w:val="0"/>
        <w:ind w:firstLine="480"/>
        <w:rPr>
          <w:rFonts w:cs="Times New Roman"/>
          <w:color w:val="000000" w:themeColor="text1"/>
        </w:rPr>
      </w:pPr>
      <w:r>
        <w:rPr>
          <w:rFonts w:cs="Times New Roman"/>
          <w:color w:val="000000" w:themeColor="text1"/>
        </w:rPr>
        <w:t>项目施工期主要是砖混结构建筑的建设，以及设备安装等，包括基础工程、主体工程、装饰工程、设备安装、工程验收等工序，施工过程中将产生噪声、扬尘及废气、固体废物、施工污水等污染物，其排放量随工序和施工强度不同而变化。</w:t>
      </w:r>
    </w:p>
    <w:p w:rsidR="00644456" w:rsidRDefault="008031C4">
      <w:pPr>
        <w:pStyle w:val="20"/>
        <w:numPr>
          <w:ilvl w:val="1"/>
          <w:numId w:val="0"/>
        </w:numPr>
        <w:snapToGrid w:val="0"/>
        <w:spacing w:beforeLines="0" w:before="0" w:afterLines="0" w:after="0"/>
        <w:ind w:firstLine="562"/>
        <w:rPr>
          <w:rFonts w:cs="Times New Roman"/>
          <w:color w:val="000000" w:themeColor="text1"/>
        </w:rPr>
      </w:pPr>
      <w:bookmarkStart w:id="270" w:name="_Toc177216885"/>
      <w:bookmarkStart w:id="271" w:name="_Toc31867"/>
      <w:bookmarkStart w:id="272" w:name="_Toc28900"/>
      <w:bookmarkStart w:id="273" w:name="_Toc155789377"/>
      <w:r>
        <w:rPr>
          <w:rFonts w:cs="Times New Roman" w:hint="eastAsia"/>
          <w:color w:val="000000" w:themeColor="text1"/>
        </w:rPr>
        <w:t>4.2</w:t>
      </w:r>
      <w:r>
        <w:rPr>
          <w:rFonts w:cs="Times New Roman"/>
          <w:color w:val="000000" w:themeColor="text1"/>
        </w:rPr>
        <w:t>施工期污染源及防治措施</w:t>
      </w:r>
      <w:bookmarkEnd w:id="270"/>
      <w:bookmarkEnd w:id="271"/>
      <w:bookmarkEnd w:id="272"/>
      <w:bookmarkEnd w:id="273"/>
    </w:p>
    <w:p w:rsidR="00644456" w:rsidRDefault="008031C4">
      <w:pPr>
        <w:pStyle w:val="3"/>
        <w:numPr>
          <w:ilvl w:val="2"/>
          <w:numId w:val="0"/>
        </w:numPr>
        <w:ind w:firstLineChars="200" w:firstLine="482"/>
      </w:pPr>
      <w:bookmarkStart w:id="274" w:name="_Toc500840322"/>
      <w:bookmarkStart w:id="275" w:name="_Toc15745"/>
      <w:bookmarkStart w:id="276" w:name="_Toc489290420"/>
      <w:r>
        <w:rPr>
          <w:rFonts w:hint="eastAsia"/>
        </w:rPr>
        <w:t>4.2.1</w:t>
      </w:r>
      <w:r>
        <w:rPr>
          <w:rFonts w:hint="eastAsia"/>
        </w:rPr>
        <w:t>施工期大气环境影响分析</w:t>
      </w:r>
      <w:bookmarkEnd w:id="274"/>
      <w:bookmarkEnd w:id="275"/>
      <w:bookmarkEnd w:id="276"/>
    </w:p>
    <w:p w:rsidR="00644456" w:rsidRDefault="008031C4">
      <w:pPr>
        <w:pStyle w:val="-"/>
        <w:snapToGrid w:val="0"/>
        <w:ind w:firstLine="480"/>
        <w:rPr>
          <w:rFonts w:cs="Times New Roman"/>
          <w:color w:val="000000" w:themeColor="text1"/>
        </w:rPr>
      </w:pPr>
      <w:r>
        <w:rPr>
          <w:rFonts w:cs="Times New Roman"/>
          <w:color w:val="000000" w:themeColor="text1"/>
        </w:rPr>
        <w:t>项目施工期间不同阶段的主要大气污染源及污染物见下表。</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4.2</w:t>
      </w:r>
      <w:r>
        <w:rPr>
          <w:rFonts w:cs="Times New Roman" w:hint="eastAsia"/>
          <w:b/>
          <w:color w:val="000000" w:themeColor="text1"/>
          <w:sz w:val="24"/>
          <w:szCs w:val="20"/>
        </w:rPr>
        <w:noBreakHyphen/>
      </w:r>
      <w:r>
        <w:rPr>
          <w:rFonts w:cs="Times New Roman" w:hint="eastAsia"/>
          <w:b/>
          <w:color w:val="000000" w:themeColor="text1"/>
          <w:sz w:val="24"/>
          <w:szCs w:val="20"/>
        </w:rPr>
        <w:fldChar w:fldCharType="begin"/>
      </w:r>
      <w:r>
        <w:rPr>
          <w:rFonts w:cs="Times New Roman" w:hint="eastAsia"/>
          <w:b/>
          <w:color w:val="000000" w:themeColor="text1"/>
          <w:sz w:val="24"/>
          <w:szCs w:val="20"/>
        </w:rPr>
        <w:instrText xml:space="preserve"> SEQ </w:instrText>
      </w:r>
      <w:r>
        <w:rPr>
          <w:rFonts w:cs="Times New Roman" w:hint="eastAsia"/>
          <w:b/>
          <w:color w:val="000000" w:themeColor="text1"/>
          <w:sz w:val="24"/>
          <w:szCs w:val="20"/>
        </w:rPr>
        <w:instrText>表</w:instrText>
      </w:r>
      <w:r>
        <w:rPr>
          <w:rFonts w:cs="Times New Roman" w:hint="eastAsia"/>
          <w:b/>
          <w:color w:val="000000" w:themeColor="text1"/>
          <w:sz w:val="24"/>
          <w:szCs w:val="20"/>
        </w:rPr>
        <w:instrText xml:space="preserve"> \* ARABIC \s 1 </w:instrText>
      </w:r>
      <w:r>
        <w:rPr>
          <w:rFonts w:cs="Times New Roman" w:hint="eastAsia"/>
          <w:b/>
          <w:color w:val="000000" w:themeColor="text1"/>
          <w:sz w:val="24"/>
          <w:szCs w:val="20"/>
        </w:rPr>
        <w:fldChar w:fldCharType="separate"/>
      </w:r>
      <w:r>
        <w:rPr>
          <w:rFonts w:cs="Times New Roman" w:hint="eastAsia"/>
          <w:b/>
          <w:color w:val="000000" w:themeColor="text1"/>
          <w:sz w:val="24"/>
          <w:szCs w:val="20"/>
        </w:rPr>
        <w:t>1</w:t>
      </w:r>
      <w:r>
        <w:rPr>
          <w:rFonts w:cs="Times New Roman" w:hint="eastAsia"/>
          <w:b/>
          <w:color w:val="000000" w:themeColor="text1"/>
          <w:sz w:val="24"/>
          <w:szCs w:val="20"/>
        </w:rPr>
        <w:fldChar w:fldCharType="end"/>
      </w:r>
      <w:r>
        <w:rPr>
          <w:rFonts w:cs="Times New Roman" w:hint="eastAsia"/>
          <w:b/>
          <w:color w:val="000000" w:themeColor="text1"/>
          <w:sz w:val="24"/>
          <w:szCs w:val="20"/>
        </w:rPr>
        <w:t>施工期主要大气污染源及污染物</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14"/>
        <w:gridCol w:w="5504"/>
        <w:gridCol w:w="1607"/>
      </w:tblGrid>
      <w:tr w:rsidR="00644456">
        <w:trPr>
          <w:cantSplit/>
          <w:jc w:val="center"/>
        </w:trPr>
        <w:tc>
          <w:tcPr>
            <w:tcW w:w="1060"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施工阶段</w:t>
            </w:r>
          </w:p>
        </w:tc>
        <w:tc>
          <w:tcPr>
            <w:tcW w:w="3048"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主要污染源</w:t>
            </w:r>
          </w:p>
        </w:tc>
        <w:tc>
          <w:tcPr>
            <w:tcW w:w="890"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主要污染物</w:t>
            </w:r>
          </w:p>
        </w:tc>
      </w:tr>
      <w:tr w:rsidR="00644456">
        <w:trPr>
          <w:cantSplit/>
          <w:jc w:val="center"/>
        </w:trPr>
        <w:tc>
          <w:tcPr>
            <w:tcW w:w="1060" w:type="pct"/>
            <w:vMerge w:val="restart"/>
            <w:shd w:val="clear" w:color="auto" w:fill="auto"/>
            <w:vAlign w:val="center"/>
          </w:tcPr>
          <w:p w:rsidR="00644456" w:rsidRDefault="008031C4">
            <w:pPr>
              <w:jc w:val="center"/>
              <w:rPr>
                <w:rFonts w:cs="Times New Roman"/>
                <w:color w:val="000000" w:themeColor="text1"/>
              </w:rPr>
            </w:pPr>
            <w:r>
              <w:rPr>
                <w:rFonts w:cs="Times New Roman"/>
                <w:color w:val="000000" w:themeColor="text1"/>
              </w:rPr>
              <w:t>建筑构筑工程阶段</w:t>
            </w:r>
          </w:p>
        </w:tc>
        <w:tc>
          <w:tcPr>
            <w:tcW w:w="3048"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建材堆场，建材装卸过程、加料过程，进出场地车辆</w:t>
            </w:r>
          </w:p>
        </w:tc>
        <w:tc>
          <w:tcPr>
            <w:tcW w:w="890"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扬尘</w:t>
            </w:r>
          </w:p>
        </w:tc>
      </w:tr>
      <w:tr w:rsidR="00644456">
        <w:trPr>
          <w:cantSplit/>
          <w:jc w:val="center"/>
        </w:trPr>
        <w:tc>
          <w:tcPr>
            <w:tcW w:w="1060" w:type="pct"/>
            <w:vMerge/>
            <w:shd w:val="clear" w:color="auto" w:fill="auto"/>
            <w:vAlign w:val="center"/>
          </w:tcPr>
          <w:p w:rsidR="00644456" w:rsidRDefault="00644456">
            <w:pPr>
              <w:jc w:val="center"/>
              <w:rPr>
                <w:rFonts w:cs="Times New Roman"/>
                <w:color w:val="000000" w:themeColor="text1"/>
              </w:rPr>
            </w:pPr>
          </w:p>
        </w:tc>
        <w:tc>
          <w:tcPr>
            <w:tcW w:w="3048"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运输卡车、混凝土搅拌机等</w:t>
            </w:r>
          </w:p>
        </w:tc>
        <w:tc>
          <w:tcPr>
            <w:tcW w:w="890"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NOx</w:t>
            </w:r>
            <w:r>
              <w:rPr>
                <w:rFonts w:cs="Times New Roman"/>
                <w:color w:val="000000" w:themeColor="text1"/>
              </w:rPr>
              <w:t>、</w:t>
            </w:r>
            <w:r>
              <w:rPr>
                <w:rFonts w:cs="Times New Roman"/>
                <w:color w:val="000000" w:themeColor="text1"/>
              </w:rPr>
              <w:t>CO</w:t>
            </w:r>
            <w:r>
              <w:rPr>
                <w:rFonts w:cs="Times New Roman"/>
                <w:color w:val="000000" w:themeColor="text1"/>
              </w:rPr>
              <w:t>、</w:t>
            </w:r>
            <w:r>
              <w:rPr>
                <w:rFonts w:cs="Times New Roman"/>
                <w:color w:val="000000" w:themeColor="text1"/>
              </w:rPr>
              <w:t>HC</w:t>
            </w:r>
          </w:p>
        </w:tc>
      </w:tr>
      <w:tr w:rsidR="00644456">
        <w:trPr>
          <w:cantSplit/>
          <w:jc w:val="center"/>
        </w:trPr>
        <w:tc>
          <w:tcPr>
            <w:tcW w:w="1060" w:type="pct"/>
            <w:vMerge w:val="restart"/>
            <w:shd w:val="clear" w:color="auto" w:fill="auto"/>
            <w:vAlign w:val="center"/>
          </w:tcPr>
          <w:p w:rsidR="00644456" w:rsidRDefault="008031C4">
            <w:pPr>
              <w:jc w:val="center"/>
              <w:rPr>
                <w:rFonts w:cs="Times New Roman"/>
                <w:color w:val="000000" w:themeColor="text1"/>
              </w:rPr>
            </w:pPr>
            <w:r>
              <w:rPr>
                <w:rFonts w:cs="Times New Roman"/>
                <w:color w:val="000000" w:themeColor="text1"/>
              </w:rPr>
              <w:t>建筑装修工程阶段</w:t>
            </w:r>
          </w:p>
        </w:tc>
        <w:tc>
          <w:tcPr>
            <w:tcW w:w="3048"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废料、垃圾</w:t>
            </w:r>
          </w:p>
        </w:tc>
        <w:tc>
          <w:tcPr>
            <w:tcW w:w="890"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扬尘</w:t>
            </w:r>
          </w:p>
        </w:tc>
      </w:tr>
      <w:tr w:rsidR="00644456">
        <w:trPr>
          <w:cantSplit/>
          <w:jc w:val="center"/>
        </w:trPr>
        <w:tc>
          <w:tcPr>
            <w:tcW w:w="1060" w:type="pct"/>
            <w:vMerge/>
            <w:shd w:val="clear" w:color="auto" w:fill="auto"/>
            <w:vAlign w:val="center"/>
          </w:tcPr>
          <w:p w:rsidR="00644456" w:rsidRDefault="00644456">
            <w:pPr>
              <w:jc w:val="center"/>
              <w:rPr>
                <w:rFonts w:cs="Times New Roman"/>
                <w:color w:val="000000" w:themeColor="text1"/>
              </w:rPr>
            </w:pPr>
          </w:p>
        </w:tc>
        <w:tc>
          <w:tcPr>
            <w:tcW w:w="3048"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漆类、涂料</w:t>
            </w:r>
          </w:p>
        </w:tc>
        <w:tc>
          <w:tcPr>
            <w:tcW w:w="890" w:type="pct"/>
            <w:shd w:val="clear" w:color="auto" w:fill="auto"/>
            <w:vAlign w:val="center"/>
          </w:tcPr>
          <w:p w:rsidR="00644456" w:rsidRDefault="008031C4">
            <w:pPr>
              <w:keepNext/>
              <w:jc w:val="center"/>
              <w:rPr>
                <w:rFonts w:cs="Times New Roman"/>
                <w:color w:val="000000" w:themeColor="text1"/>
              </w:rPr>
            </w:pPr>
            <w:r>
              <w:rPr>
                <w:rFonts w:cs="Times New Roman"/>
                <w:color w:val="000000" w:themeColor="text1"/>
              </w:rPr>
              <w:t>有机废气</w:t>
            </w:r>
          </w:p>
        </w:tc>
      </w:tr>
    </w:tbl>
    <w:p w:rsidR="00644456" w:rsidRDefault="008031C4">
      <w:pPr>
        <w:pStyle w:val="-"/>
        <w:ind w:firstLine="480"/>
        <w:rPr>
          <w:rFonts w:cs="Times New Roman"/>
          <w:color w:val="000000" w:themeColor="text1"/>
        </w:rPr>
      </w:pPr>
      <w:r>
        <w:rPr>
          <w:rFonts w:cs="Times New Roman"/>
          <w:color w:val="000000" w:themeColor="text1"/>
        </w:rPr>
        <w:t>由上表可知，施工期的大气污染物主要为施工扬尘、施工机械燃油废气和涂料有机废气。</w:t>
      </w:r>
    </w:p>
    <w:p w:rsidR="00644456" w:rsidRDefault="008031C4">
      <w:pPr>
        <w:pStyle w:val="-"/>
        <w:ind w:firstLine="482"/>
        <w:rPr>
          <w:rFonts w:cs="Times New Roman"/>
          <w:b/>
          <w:color w:val="000000" w:themeColor="text1"/>
        </w:rPr>
      </w:pPr>
      <w:r>
        <w:rPr>
          <w:rFonts w:cs="Times New Roman"/>
          <w:b/>
          <w:color w:val="000000" w:themeColor="text1"/>
        </w:rPr>
        <w:t>1</w:t>
      </w:r>
      <w:r>
        <w:rPr>
          <w:rFonts w:cs="Times New Roman"/>
          <w:b/>
          <w:color w:val="000000" w:themeColor="text1"/>
        </w:rPr>
        <w:t>、施工扬尘</w:t>
      </w:r>
    </w:p>
    <w:p w:rsidR="00644456" w:rsidRDefault="008031C4">
      <w:pPr>
        <w:pStyle w:val="-"/>
        <w:ind w:firstLine="480"/>
        <w:rPr>
          <w:rFonts w:cs="Times New Roman"/>
          <w:color w:val="000000" w:themeColor="text1"/>
        </w:rPr>
      </w:pPr>
      <w:r>
        <w:rPr>
          <w:rFonts w:cs="Times New Roman"/>
          <w:color w:val="000000" w:themeColor="text1"/>
        </w:rPr>
        <w:t>施工扬尘起尘量与许多因素有关。起尘原因主要是建筑材料（钢材及少量的沙、石、水泥等）运输进场装卸及堆放过程产生的扬尘。如遇干旱无雨季节，在大风时，施工扬尘将更严重。</w:t>
      </w:r>
    </w:p>
    <w:p w:rsidR="00644456" w:rsidRDefault="008031C4">
      <w:pPr>
        <w:pStyle w:val="-"/>
        <w:ind w:firstLine="480"/>
        <w:rPr>
          <w:rFonts w:cs="Times New Roman"/>
          <w:color w:val="000000" w:themeColor="text1"/>
        </w:rPr>
      </w:pPr>
      <w:r>
        <w:rPr>
          <w:rFonts w:cs="Times New Roman"/>
          <w:color w:val="000000" w:themeColor="text1"/>
        </w:rPr>
        <w:t>对施工工地扬尘而言，据有关调查显示，施工工地的扬尘主要是由运输车辆行驶产生，与道路路面及车辆行驶速度有关，约占扬尘总量的</w:t>
      </w:r>
      <w:r>
        <w:rPr>
          <w:rFonts w:cs="Times New Roman"/>
          <w:color w:val="000000" w:themeColor="text1"/>
        </w:rPr>
        <w:t>60%</w:t>
      </w:r>
      <w:r>
        <w:rPr>
          <w:rFonts w:cs="Times New Roman"/>
          <w:color w:val="000000" w:themeColor="text1"/>
        </w:rPr>
        <w:t>。在完全干燥情况下，可按经验公式计算：</w:t>
      </w:r>
    </w:p>
    <w:p w:rsidR="00644456" w:rsidRDefault="008031C4">
      <w:pPr>
        <w:pStyle w:val="-"/>
        <w:ind w:firstLineChars="0" w:firstLine="0"/>
        <w:jc w:val="center"/>
        <w:rPr>
          <w:rFonts w:cs="Times New Roman"/>
          <w:color w:val="000000" w:themeColor="text1"/>
        </w:rPr>
      </w:pPr>
      <w:r>
        <w:rPr>
          <w:rFonts w:cs="Times New Roman"/>
          <w:noProof/>
          <w:color w:val="000000" w:themeColor="text1"/>
        </w:rPr>
        <w:lastRenderedPageBreak/>
        <w:drawing>
          <wp:inline distT="0" distB="0" distL="0" distR="0" wp14:anchorId="7FACABB3" wp14:editId="1E43E0B3">
            <wp:extent cx="2695575" cy="548640"/>
            <wp:effectExtent l="0" t="0" r="9525"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3" cstate="print"/>
                    <a:srcRect/>
                    <a:stretch>
                      <a:fillRect/>
                    </a:stretch>
                  </pic:blipFill>
                  <pic:spPr>
                    <a:xfrm>
                      <a:off x="0" y="0"/>
                      <a:ext cx="2695575" cy="548640"/>
                    </a:xfrm>
                    <a:prstGeom prst="rect">
                      <a:avLst/>
                    </a:prstGeom>
                    <a:noFill/>
                    <a:ln w="9525">
                      <a:noFill/>
                      <a:miter lim="800000"/>
                      <a:headEnd/>
                      <a:tailEnd/>
                    </a:ln>
                    <a:effectLst/>
                  </pic:spPr>
                </pic:pic>
              </a:graphicData>
            </a:graphic>
          </wp:inline>
        </w:drawing>
      </w:r>
    </w:p>
    <w:p w:rsidR="00644456" w:rsidRDefault="008031C4">
      <w:pPr>
        <w:pStyle w:val="-"/>
        <w:ind w:firstLine="480"/>
        <w:rPr>
          <w:rFonts w:cs="Times New Roman"/>
          <w:color w:val="000000" w:themeColor="text1"/>
        </w:rPr>
      </w:pPr>
      <w:r>
        <w:rPr>
          <w:rFonts w:cs="Times New Roman"/>
          <w:color w:val="000000" w:themeColor="text1"/>
        </w:rPr>
        <w:t>式中：</w:t>
      </w:r>
      <w:r>
        <w:rPr>
          <w:rFonts w:cs="Times New Roman"/>
          <w:color w:val="000000" w:themeColor="text1"/>
        </w:rPr>
        <w:t>Q—</w:t>
      </w:r>
      <w:r>
        <w:rPr>
          <w:rFonts w:cs="Times New Roman"/>
          <w:color w:val="000000" w:themeColor="text1"/>
        </w:rPr>
        <w:t>汽车行驶的扬尘，</w:t>
      </w:r>
      <w:r>
        <w:rPr>
          <w:rFonts w:cs="Times New Roman"/>
          <w:color w:val="000000" w:themeColor="text1"/>
        </w:rPr>
        <w:t>kg/km·</w:t>
      </w:r>
      <w:r>
        <w:rPr>
          <w:rFonts w:cs="Times New Roman"/>
          <w:color w:val="000000" w:themeColor="text1"/>
        </w:rPr>
        <w:t>辆；</w:t>
      </w:r>
    </w:p>
    <w:p w:rsidR="00644456" w:rsidRDefault="008031C4">
      <w:pPr>
        <w:pStyle w:val="-"/>
        <w:ind w:firstLine="480"/>
        <w:rPr>
          <w:rFonts w:cs="Times New Roman"/>
          <w:color w:val="000000" w:themeColor="text1"/>
        </w:rPr>
      </w:pPr>
      <w:r>
        <w:rPr>
          <w:rFonts w:cs="Times New Roman"/>
          <w:color w:val="000000" w:themeColor="text1"/>
        </w:rPr>
        <w:t>v—</w:t>
      </w:r>
      <w:r>
        <w:rPr>
          <w:rFonts w:cs="Times New Roman"/>
          <w:color w:val="000000" w:themeColor="text1"/>
        </w:rPr>
        <w:t>汽车速度，</w:t>
      </w:r>
      <w:r>
        <w:rPr>
          <w:rFonts w:cs="Times New Roman"/>
          <w:color w:val="000000" w:themeColor="text1"/>
        </w:rPr>
        <w:t>km/h</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W—</w:t>
      </w:r>
      <w:r>
        <w:rPr>
          <w:rFonts w:cs="Times New Roman"/>
          <w:color w:val="000000" w:themeColor="text1"/>
        </w:rPr>
        <w:t>汽车载重量，</w:t>
      </w:r>
      <w:r>
        <w:rPr>
          <w:rFonts w:cs="Times New Roman"/>
          <w:color w:val="000000" w:themeColor="text1"/>
        </w:rPr>
        <w:t>t</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P—</w:t>
      </w:r>
      <w:r>
        <w:rPr>
          <w:rFonts w:cs="Times New Roman"/>
          <w:color w:val="000000" w:themeColor="text1"/>
        </w:rPr>
        <w:t>道路表面粉尘量，</w:t>
      </w:r>
      <w:r>
        <w:rPr>
          <w:rFonts w:cs="Times New Roman"/>
          <w:color w:val="000000" w:themeColor="text1"/>
        </w:rPr>
        <w:t>kg/m</w:t>
      </w:r>
      <w:r>
        <w:rPr>
          <w:rFonts w:cs="Times New Roman"/>
          <w:color w:val="000000" w:themeColor="text1"/>
          <w:vertAlign w:val="superscript"/>
        </w:rPr>
        <w:t>2</w:t>
      </w:r>
      <w:r>
        <w:rPr>
          <w:rFonts w:cs="Times New Roman"/>
          <w:color w:val="000000" w:themeColor="text1"/>
        </w:rPr>
        <w:t>。</w:t>
      </w:r>
    </w:p>
    <w:p w:rsidR="00644456" w:rsidRDefault="008031C4">
      <w:pPr>
        <w:pStyle w:val="-"/>
        <w:ind w:firstLine="480"/>
        <w:rPr>
          <w:rFonts w:cs="Times New Roman"/>
          <w:color w:val="000000" w:themeColor="text1"/>
        </w:rPr>
      </w:pPr>
      <w:r>
        <w:rPr>
          <w:rFonts w:cs="Times New Roman"/>
          <w:color w:val="000000" w:themeColor="text1"/>
        </w:rPr>
        <w:t>根据类比调查，一辆载重</w:t>
      </w:r>
      <w:r>
        <w:rPr>
          <w:rFonts w:cs="Times New Roman"/>
          <w:color w:val="000000" w:themeColor="text1"/>
        </w:rPr>
        <w:t>5t</w:t>
      </w:r>
      <w:r>
        <w:rPr>
          <w:rFonts w:cs="Times New Roman"/>
          <w:color w:val="000000" w:themeColor="text1"/>
        </w:rPr>
        <w:t>的卡车，通过一段长度为</w:t>
      </w:r>
      <w:r>
        <w:rPr>
          <w:rFonts w:cs="Times New Roman"/>
          <w:color w:val="000000" w:themeColor="text1"/>
        </w:rPr>
        <w:t>500m</w:t>
      </w:r>
      <w:r>
        <w:rPr>
          <w:rFonts w:cs="Times New Roman"/>
          <w:color w:val="000000" w:themeColor="text1"/>
        </w:rPr>
        <w:t>的路面时，不同表面清洁程度，不同行驶速度情况下产生的扬尘量如下表所示。</w:t>
      </w:r>
    </w:p>
    <w:p w:rsidR="00644456" w:rsidRDefault="008031C4">
      <w:pPr>
        <w:autoSpaceDE w:val="0"/>
        <w:autoSpaceDN w:val="0"/>
        <w:adjustRightInd w:val="0"/>
        <w:jc w:val="center"/>
        <w:rPr>
          <w:rFonts w:cs="Times New Roman"/>
          <w:b/>
          <w:color w:val="000000" w:themeColor="text1"/>
          <w:sz w:val="24"/>
          <w:szCs w:val="20"/>
        </w:rPr>
      </w:pPr>
      <w:bookmarkStart w:id="277" w:name="_Ref57123979"/>
      <w:r>
        <w:rPr>
          <w:rFonts w:cs="Times New Roman" w:hint="eastAsia"/>
          <w:b/>
          <w:color w:val="000000" w:themeColor="text1"/>
          <w:sz w:val="24"/>
          <w:szCs w:val="20"/>
        </w:rPr>
        <w:t>表</w:t>
      </w:r>
      <w:r>
        <w:rPr>
          <w:rFonts w:cs="Times New Roman" w:hint="eastAsia"/>
          <w:b/>
          <w:color w:val="000000" w:themeColor="text1"/>
          <w:sz w:val="24"/>
          <w:szCs w:val="20"/>
        </w:rPr>
        <w:t>4.2</w:t>
      </w:r>
      <w:r>
        <w:rPr>
          <w:rFonts w:cs="Times New Roman" w:hint="eastAsia"/>
          <w:b/>
          <w:color w:val="000000" w:themeColor="text1"/>
          <w:sz w:val="24"/>
          <w:szCs w:val="20"/>
        </w:rPr>
        <w:noBreakHyphen/>
      </w:r>
      <w:r>
        <w:rPr>
          <w:rFonts w:cs="Times New Roman" w:hint="eastAsia"/>
          <w:b/>
          <w:color w:val="000000" w:themeColor="text1"/>
          <w:sz w:val="24"/>
          <w:szCs w:val="20"/>
        </w:rPr>
        <w:fldChar w:fldCharType="begin"/>
      </w:r>
      <w:r>
        <w:rPr>
          <w:rFonts w:cs="Times New Roman" w:hint="eastAsia"/>
          <w:b/>
          <w:color w:val="000000" w:themeColor="text1"/>
          <w:sz w:val="24"/>
          <w:szCs w:val="20"/>
        </w:rPr>
        <w:instrText xml:space="preserve"> SEQ </w:instrText>
      </w:r>
      <w:r>
        <w:rPr>
          <w:rFonts w:cs="Times New Roman" w:hint="eastAsia"/>
          <w:b/>
          <w:color w:val="000000" w:themeColor="text1"/>
          <w:sz w:val="24"/>
          <w:szCs w:val="20"/>
        </w:rPr>
        <w:instrText>表</w:instrText>
      </w:r>
      <w:r>
        <w:rPr>
          <w:rFonts w:cs="Times New Roman" w:hint="eastAsia"/>
          <w:b/>
          <w:color w:val="000000" w:themeColor="text1"/>
          <w:sz w:val="24"/>
          <w:szCs w:val="20"/>
        </w:rPr>
        <w:instrText xml:space="preserve"> \* ARABIC \s 1 </w:instrText>
      </w:r>
      <w:r>
        <w:rPr>
          <w:rFonts w:cs="Times New Roman" w:hint="eastAsia"/>
          <w:b/>
          <w:color w:val="000000" w:themeColor="text1"/>
          <w:sz w:val="24"/>
          <w:szCs w:val="20"/>
        </w:rPr>
        <w:fldChar w:fldCharType="separate"/>
      </w:r>
      <w:r>
        <w:rPr>
          <w:rFonts w:cs="Times New Roman" w:hint="eastAsia"/>
          <w:b/>
          <w:color w:val="000000" w:themeColor="text1"/>
          <w:sz w:val="24"/>
          <w:szCs w:val="20"/>
        </w:rPr>
        <w:t>2</w:t>
      </w:r>
      <w:r>
        <w:rPr>
          <w:rFonts w:cs="Times New Roman" w:hint="eastAsia"/>
          <w:b/>
          <w:color w:val="000000" w:themeColor="text1"/>
          <w:sz w:val="24"/>
          <w:szCs w:val="20"/>
        </w:rPr>
        <w:fldChar w:fldCharType="end"/>
      </w:r>
      <w:bookmarkEnd w:id="277"/>
      <w:r>
        <w:rPr>
          <w:rFonts w:cs="Times New Roman" w:hint="eastAsia"/>
          <w:b/>
          <w:color w:val="000000" w:themeColor="text1"/>
          <w:sz w:val="24"/>
          <w:szCs w:val="20"/>
        </w:rPr>
        <w:t>不同车速和地面清洁程度时的汽车扬尘（单位：</w:t>
      </w:r>
      <w:r>
        <w:rPr>
          <w:rFonts w:cs="Times New Roman" w:hint="eastAsia"/>
          <w:b/>
          <w:color w:val="000000" w:themeColor="text1"/>
          <w:sz w:val="24"/>
          <w:szCs w:val="20"/>
        </w:rPr>
        <w:t>kg/km</w:t>
      </w:r>
      <w:r>
        <w:rPr>
          <w:rFonts w:cs="Times New Roman" w:hint="eastAsia"/>
          <w:b/>
          <w:color w:val="000000" w:themeColor="text1"/>
          <w:sz w:val="24"/>
          <w:szCs w:val="20"/>
        </w:rPr>
        <w:t>·辆）</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387"/>
        <w:gridCol w:w="1051"/>
        <w:gridCol w:w="1161"/>
        <w:gridCol w:w="1161"/>
        <w:gridCol w:w="1161"/>
        <w:gridCol w:w="1159"/>
        <w:gridCol w:w="1161"/>
      </w:tblGrid>
      <w:tr w:rsidR="00644456">
        <w:trPr>
          <w:cantSplit/>
          <w:jc w:val="center"/>
        </w:trPr>
        <w:tc>
          <w:tcPr>
            <w:tcW w:w="1292" w:type="pct"/>
            <w:tcBorders>
              <w:top w:val="single" w:sz="12" w:space="0" w:color="auto"/>
              <w:bottom w:val="single" w:sz="6" w:space="0" w:color="auto"/>
              <w:tl2br w:val="single" w:sz="6" w:space="0" w:color="auto"/>
            </w:tcBorders>
            <w:shd w:val="clear" w:color="auto" w:fill="auto"/>
            <w:vAlign w:val="center"/>
          </w:tcPr>
          <w:p w:rsidR="00644456" w:rsidRDefault="008031C4">
            <w:pPr>
              <w:ind w:firstLine="482"/>
              <w:jc w:val="right"/>
              <w:rPr>
                <w:rFonts w:cs="Times New Roman"/>
                <w:b/>
                <w:color w:val="000000" w:themeColor="text1"/>
              </w:rPr>
            </w:pPr>
            <w:r>
              <w:rPr>
                <w:rFonts w:cs="Times New Roman"/>
                <w:b/>
                <w:color w:val="000000" w:themeColor="text1"/>
              </w:rPr>
              <w:t>P</w:t>
            </w:r>
            <w:r>
              <w:rPr>
                <w:rFonts w:cs="Times New Roman"/>
                <w:b/>
                <w:color w:val="000000" w:themeColor="text1"/>
              </w:rPr>
              <w:t>（</w:t>
            </w:r>
            <w:r>
              <w:rPr>
                <w:rFonts w:cs="Times New Roman"/>
                <w:b/>
                <w:color w:val="000000" w:themeColor="text1"/>
              </w:rPr>
              <w:t>kg/m</w:t>
            </w:r>
            <w:r>
              <w:rPr>
                <w:rFonts w:cs="Times New Roman"/>
                <w:b/>
                <w:color w:val="000000" w:themeColor="text1"/>
                <w:vertAlign w:val="superscript"/>
              </w:rPr>
              <w:t>2</w:t>
            </w:r>
            <w:r>
              <w:rPr>
                <w:rFonts w:cs="Times New Roman"/>
                <w:b/>
                <w:color w:val="000000" w:themeColor="text1"/>
              </w:rPr>
              <w:t>）</w:t>
            </w:r>
          </w:p>
          <w:p w:rsidR="00644456" w:rsidRDefault="008031C4">
            <w:pPr>
              <w:ind w:firstLine="482"/>
              <w:rPr>
                <w:rFonts w:cs="Times New Roman"/>
                <w:b/>
                <w:color w:val="000000" w:themeColor="text1"/>
              </w:rPr>
            </w:pPr>
            <w:r>
              <w:rPr>
                <w:rFonts w:cs="Times New Roman"/>
                <w:b/>
                <w:color w:val="000000" w:themeColor="text1"/>
              </w:rPr>
              <w:t>车速（</w:t>
            </w:r>
            <w:r>
              <w:rPr>
                <w:rFonts w:cs="Times New Roman"/>
                <w:b/>
                <w:color w:val="000000" w:themeColor="text1"/>
              </w:rPr>
              <w:t>km/h</w:t>
            </w:r>
            <w:r>
              <w:rPr>
                <w:rFonts w:cs="Times New Roman"/>
                <w:b/>
                <w:color w:val="000000" w:themeColor="text1"/>
              </w:rPr>
              <w:t>）</w:t>
            </w:r>
          </w:p>
        </w:tc>
        <w:tc>
          <w:tcPr>
            <w:tcW w:w="569" w:type="pct"/>
            <w:tcBorders>
              <w:top w:val="single" w:sz="12" w:space="0" w:color="auto"/>
              <w:bottom w:val="single" w:sz="6" w:space="0" w:color="auto"/>
            </w:tcBorders>
            <w:shd w:val="clear" w:color="auto" w:fill="auto"/>
            <w:vAlign w:val="center"/>
          </w:tcPr>
          <w:p w:rsidR="00644456" w:rsidRDefault="008031C4">
            <w:pPr>
              <w:ind w:firstLine="482"/>
              <w:jc w:val="center"/>
              <w:rPr>
                <w:rFonts w:cs="Times New Roman"/>
                <w:b/>
                <w:color w:val="000000" w:themeColor="text1"/>
              </w:rPr>
            </w:pPr>
            <w:r>
              <w:rPr>
                <w:rFonts w:cs="Times New Roman"/>
                <w:b/>
                <w:color w:val="000000" w:themeColor="text1"/>
              </w:rPr>
              <w:t>0.1</w:t>
            </w:r>
          </w:p>
        </w:tc>
        <w:tc>
          <w:tcPr>
            <w:tcW w:w="628" w:type="pct"/>
            <w:tcBorders>
              <w:top w:val="single" w:sz="12" w:space="0" w:color="auto"/>
              <w:bottom w:val="single" w:sz="6" w:space="0" w:color="auto"/>
            </w:tcBorders>
            <w:shd w:val="clear" w:color="auto" w:fill="auto"/>
            <w:vAlign w:val="center"/>
          </w:tcPr>
          <w:p w:rsidR="00644456" w:rsidRDefault="008031C4">
            <w:pPr>
              <w:ind w:firstLine="482"/>
              <w:jc w:val="center"/>
              <w:rPr>
                <w:rFonts w:cs="Times New Roman"/>
                <w:b/>
                <w:color w:val="000000" w:themeColor="text1"/>
              </w:rPr>
            </w:pPr>
            <w:r>
              <w:rPr>
                <w:rFonts w:cs="Times New Roman"/>
                <w:b/>
                <w:color w:val="000000" w:themeColor="text1"/>
              </w:rPr>
              <w:t>0.2</w:t>
            </w:r>
          </w:p>
        </w:tc>
        <w:tc>
          <w:tcPr>
            <w:tcW w:w="628" w:type="pct"/>
            <w:tcBorders>
              <w:top w:val="single" w:sz="12" w:space="0" w:color="auto"/>
              <w:bottom w:val="single" w:sz="6" w:space="0" w:color="auto"/>
            </w:tcBorders>
            <w:shd w:val="clear" w:color="auto" w:fill="auto"/>
            <w:vAlign w:val="center"/>
          </w:tcPr>
          <w:p w:rsidR="00644456" w:rsidRDefault="008031C4">
            <w:pPr>
              <w:ind w:firstLine="482"/>
              <w:jc w:val="center"/>
              <w:rPr>
                <w:rFonts w:cs="Times New Roman"/>
                <w:b/>
                <w:color w:val="000000" w:themeColor="text1"/>
              </w:rPr>
            </w:pPr>
            <w:r>
              <w:rPr>
                <w:rFonts w:cs="Times New Roman"/>
                <w:b/>
                <w:color w:val="000000" w:themeColor="text1"/>
              </w:rPr>
              <w:t>0.3</w:t>
            </w:r>
          </w:p>
        </w:tc>
        <w:tc>
          <w:tcPr>
            <w:tcW w:w="628" w:type="pct"/>
            <w:tcBorders>
              <w:top w:val="single" w:sz="12" w:space="0" w:color="auto"/>
              <w:bottom w:val="single" w:sz="6" w:space="0" w:color="auto"/>
            </w:tcBorders>
            <w:shd w:val="clear" w:color="auto" w:fill="auto"/>
            <w:vAlign w:val="center"/>
          </w:tcPr>
          <w:p w:rsidR="00644456" w:rsidRDefault="008031C4">
            <w:pPr>
              <w:ind w:firstLine="482"/>
              <w:jc w:val="center"/>
              <w:rPr>
                <w:rFonts w:cs="Times New Roman"/>
                <w:b/>
                <w:color w:val="000000" w:themeColor="text1"/>
              </w:rPr>
            </w:pPr>
            <w:r>
              <w:rPr>
                <w:rFonts w:cs="Times New Roman"/>
                <w:b/>
                <w:color w:val="000000" w:themeColor="text1"/>
              </w:rPr>
              <w:t>0.4</w:t>
            </w:r>
          </w:p>
        </w:tc>
        <w:tc>
          <w:tcPr>
            <w:tcW w:w="627" w:type="pct"/>
            <w:tcBorders>
              <w:top w:val="single" w:sz="12" w:space="0" w:color="auto"/>
              <w:bottom w:val="single" w:sz="6" w:space="0" w:color="auto"/>
            </w:tcBorders>
            <w:shd w:val="clear" w:color="auto" w:fill="auto"/>
            <w:vAlign w:val="center"/>
          </w:tcPr>
          <w:p w:rsidR="00644456" w:rsidRDefault="008031C4">
            <w:pPr>
              <w:ind w:firstLine="482"/>
              <w:jc w:val="center"/>
              <w:rPr>
                <w:rFonts w:cs="Times New Roman"/>
                <w:b/>
                <w:color w:val="000000" w:themeColor="text1"/>
              </w:rPr>
            </w:pPr>
            <w:r>
              <w:rPr>
                <w:rFonts w:cs="Times New Roman"/>
                <w:b/>
                <w:color w:val="000000" w:themeColor="text1"/>
              </w:rPr>
              <w:t>0.5</w:t>
            </w:r>
          </w:p>
        </w:tc>
        <w:tc>
          <w:tcPr>
            <w:tcW w:w="628" w:type="pct"/>
            <w:tcBorders>
              <w:top w:val="single" w:sz="12" w:space="0" w:color="auto"/>
              <w:bottom w:val="single" w:sz="6" w:space="0" w:color="auto"/>
            </w:tcBorders>
            <w:shd w:val="clear" w:color="auto" w:fill="auto"/>
            <w:vAlign w:val="center"/>
          </w:tcPr>
          <w:p w:rsidR="00644456" w:rsidRDefault="008031C4">
            <w:pPr>
              <w:ind w:firstLine="482"/>
              <w:jc w:val="center"/>
              <w:rPr>
                <w:rFonts w:cs="Times New Roman"/>
                <w:b/>
                <w:color w:val="000000" w:themeColor="text1"/>
              </w:rPr>
            </w:pPr>
            <w:r>
              <w:rPr>
                <w:rFonts w:cs="Times New Roman"/>
                <w:b/>
                <w:color w:val="000000" w:themeColor="text1"/>
              </w:rPr>
              <w:t>1.0</w:t>
            </w:r>
          </w:p>
        </w:tc>
      </w:tr>
      <w:tr w:rsidR="00644456">
        <w:trPr>
          <w:cantSplit/>
          <w:jc w:val="center"/>
        </w:trPr>
        <w:tc>
          <w:tcPr>
            <w:tcW w:w="1292" w:type="pct"/>
            <w:tcBorders>
              <w:top w:val="single" w:sz="6" w:space="0" w:color="auto"/>
              <w:bottom w:val="single" w:sz="6"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5</w:t>
            </w:r>
          </w:p>
        </w:tc>
        <w:tc>
          <w:tcPr>
            <w:tcW w:w="569" w:type="pct"/>
            <w:tcBorders>
              <w:top w:val="single" w:sz="6" w:space="0" w:color="auto"/>
              <w:bottom w:val="single" w:sz="6"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0.0283</w:t>
            </w:r>
          </w:p>
        </w:tc>
        <w:tc>
          <w:tcPr>
            <w:tcW w:w="628" w:type="pct"/>
            <w:tcBorders>
              <w:top w:val="single" w:sz="6" w:space="0" w:color="auto"/>
              <w:bottom w:val="single" w:sz="6"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0.0476</w:t>
            </w:r>
          </w:p>
        </w:tc>
        <w:tc>
          <w:tcPr>
            <w:tcW w:w="628" w:type="pct"/>
            <w:tcBorders>
              <w:top w:val="single" w:sz="6" w:space="0" w:color="auto"/>
              <w:bottom w:val="single" w:sz="6"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0.0646</w:t>
            </w:r>
          </w:p>
        </w:tc>
        <w:tc>
          <w:tcPr>
            <w:tcW w:w="628" w:type="pct"/>
            <w:tcBorders>
              <w:top w:val="single" w:sz="6" w:space="0" w:color="auto"/>
              <w:bottom w:val="single" w:sz="6"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0.0801</w:t>
            </w:r>
          </w:p>
        </w:tc>
        <w:tc>
          <w:tcPr>
            <w:tcW w:w="627" w:type="pct"/>
            <w:tcBorders>
              <w:top w:val="single" w:sz="6" w:space="0" w:color="auto"/>
              <w:bottom w:val="single" w:sz="6"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0.0947</w:t>
            </w:r>
          </w:p>
        </w:tc>
        <w:tc>
          <w:tcPr>
            <w:tcW w:w="628" w:type="pct"/>
            <w:tcBorders>
              <w:top w:val="single" w:sz="6" w:space="0" w:color="auto"/>
              <w:bottom w:val="single" w:sz="6"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0.1593</w:t>
            </w:r>
          </w:p>
        </w:tc>
      </w:tr>
      <w:tr w:rsidR="00644456">
        <w:trPr>
          <w:cantSplit/>
          <w:jc w:val="center"/>
        </w:trPr>
        <w:tc>
          <w:tcPr>
            <w:tcW w:w="1292" w:type="pct"/>
            <w:tcBorders>
              <w:top w:val="single" w:sz="6" w:space="0" w:color="auto"/>
              <w:bottom w:val="single" w:sz="6"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10</w:t>
            </w:r>
          </w:p>
        </w:tc>
        <w:tc>
          <w:tcPr>
            <w:tcW w:w="569" w:type="pct"/>
            <w:tcBorders>
              <w:top w:val="single" w:sz="6" w:space="0" w:color="auto"/>
              <w:bottom w:val="single" w:sz="6"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0.0566</w:t>
            </w:r>
          </w:p>
        </w:tc>
        <w:tc>
          <w:tcPr>
            <w:tcW w:w="628" w:type="pct"/>
            <w:tcBorders>
              <w:top w:val="single" w:sz="6" w:space="0" w:color="auto"/>
              <w:bottom w:val="single" w:sz="6"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0.0953</w:t>
            </w:r>
          </w:p>
        </w:tc>
        <w:tc>
          <w:tcPr>
            <w:tcW w:w="628" w:type="pct"/>
            <w:tcBorders>
              <w:top w:val="single" w:sz="6" w:space="0" w:color="auto"/>
              <w:bottom w:val="single" w:sz="6"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0.1291</w:t>
            </w:r>
          </w:p>
        </w:tc>
        <w:tc>
          <w:tcPr>
            <w:tcW w:w="628" w:type="pct"/>
            <w:tcBorders>
              <w:top w:val="single" w:sz="6" w:space="0" w:color="auto"/>
              <w:bottom w:val="single" w:sz="6"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0.1602</w:t>
            </w:r>
          </w:p>
        </w:tc>
        <w:tc>
          <w:tcPr>
            <w:tcW w:w="627" w:type="pct"/>
            <w:tcBorders>
              <w:top w:val="single" w:sz="6" w:space="0" w:color="auto"/>
              <w:bottom w:val="single" w:sz="6"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0.1894</w:t>
            </w:r>
          </w:p>
        </w:tc>
        <w:tc>
          <w:tcPr>
            <w:tcW w:w="628" w:type="pct"/>
            <w:tcBorders>
              <w:top w:val="single" w:sz="6" w:space="0" w:color="auto"/>
              <w:bottom w:val="single" w:sz="6"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0.3186</w:t>
            </w:r>
          </w:p>
        </w:tc>
      </w:tr>
      <w:tr w:rsidR="00644456">
        <w:trPr>
          <w:cantSplit/>
          <w:jc w:val="center"/>
        </w:trPr>
        <w:tc>
          <w:tcPr>
            <w:tcW w:w="1292" w:type="pct"/>
            <w:tcBorders>
              <w:top w:val="single" w:sz="6" w:space="0" w:color="auto"/>
              <w:bottom w:val="single" w:sz="6"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15</w:t>
            </w:r>
          </w:p>
        </w:tc>
        <w:tc>
          <w:tcPr>
            <w:tcW w:w="569" w:type="pct"/>
            <w:tcBorders>
              <w:top w:val="single" w:sz="6" w:space="0" w:color="auto"/>
              <w:bottom w:val="single" w:sz="6"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0.0850</w:t>
            </w:r>
          </w:p>
        </w:tc>
        <w:tc>
          <w:tcPr>
            <w:tcW w:w="628" w:type="pct"/>
            <w:tcBorders>
              <w:top w:val="single" w:sz="6" w:space="0" w:color="auto"/>
              <w:bottom w:val="single" w:sz="6"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0.1429</w:t>
            </w:r>
          </w:p>
        </w:tc>
        <w:tc>
          <w:tcPr>
            <w:tcW w:w="628" w:type="pct"/>
            <w:tcBorders>
              <w:top w:val="single" w:sz="6" w:space="0" w:color="auto"/>
              <w:bottom w:val="single" w:sz="6"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0.1937</w:t>
            </w:r>
          </w:p>
        </w:tc>
        <w:tc>
          <w:tcPr>
            <w:tcW w:w="628" w:type="pct"/>
            <w:tcBorders>
              <w:top w:val="single" w:sz="6" w:space="0" w:color="auto"/>
              <w:bottom w:val="single" w:sz="6"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0.2403</w:t>
            </w:r>
          </w:p>
        </w:tc>
        <w:tc>
          <w:tcPr>
            <w:tcW w:w="627" w:type="pct"/>
            <w:tcBorders>
              <w:top w:val="single" w:sz="6" w:space="0" w:color="auto"/>
              <w:bottom w:val="single" w:sz="6"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0.2841</w:t>
            </w:r>
          </w:p>
        </w:tc>
        <w:tc>
          <w:tcPr>
            <w:tcW w:w="628" w:type="pct"/>
            <w:tcBorders>
              <w:top w:val="single" w:sz="6" w:space="0" w:color="auto"/>
              <w:bottom w:val="single" w:sz="6"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0.4778</w:t>
            </w:r>
          </w:p>
        </w:tc>
      </w:tr>
      <w:tr w:rsidR="00644456">
        <w:trPr>
          <w:cantSplit/>
          <w:jc w:val="center"/>
        </w:trPr>
        <w:tc>
          <w:tcPr>
            <w:tcW w:w="1292" w:type="pct"/>
            <w:tcBorders>
              <w:top w:val="single" w:sz="6" w:space="0" w:color="auto"/>
              <w:bottom w:val="single" w:sz="12"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20</w:t>
            </w:r>
          </w:p>
        </w:tc>
        <w:tc>
          <w:tcPr>
            <w:tcW w:w="569" w:type="pct"/>
            <w:tcBorders>
              <w:top w:val="single" w:sz="6" w:space="0" w:color="auto"/>
              <w:bottom w:val="single" w:sz="12"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0.1133</w:t>
            </w:r>
          </w:p>
        </w:tc>
        <w:tc>
          <w:tcPr>
            <w:tcW w:w="628" w:type="pct"/>
            <w:tcBorders>
              <w:top w:val="single" w:sz="6" w:space="0" w:color="auto"/>
              <w:bottom w:val="single" w:sz="12"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0.1905</w:t>
            </w:r>
          </w:p>
        </w:tc>
        <w:tc>
          <w:tcPr>
            <w:tcW w:w="628" w:type="pct"/>
            <w:tcBorders>
              <w:top w:val="single" w:sz="6" w:space="0" w:color="auto"/>
              <w:bottom w:val="single" w:sz="12"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0.2583</w:t>
            </w:r>
          </w:p>
        </w:tc>
        <w:tc>
          <w:tcPr>
            <w:tcW w:w="628" w:type="pct"/>
            <w:tcBorders>
              <w:top w:val="single" w:sz="6" w:space="0" w:color="auto"/>
              <w:bottom w:val="single" w:sz="12"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0.3204</w:t>
            </w:r>
          </w:p>
        </w:tc>
        <w:tc>
          <w:tcPr>
            <w:tcW w:w="627" w:type="pct"/>
            <w:tcBorders>
              <w:top w:val="single" w:sz="6" w:space="0" w:color="auto"/>
              <w:bottom w:val="single" w:sz="12"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0.3788</w:t>
            </w:r>
          </w:p>
        </w:tc>
        <w:tc>
          <w:tcPr>
            <w:tcW w:w="628" w:type="pct"/>
            <w:tcBorders>
              <w:top w:val="single" w:sz="6" w:space="0" w:color="auto"/>
              <w:bottom w:val="single" w:sz="12" w:space="0" w:color="auto"/>
            </w:tcBorders>
            <w:shd w:val="clear" w:color="auto" w:fill="auto"/>
            <w:vAlign w:val="center"/>
          </w:tcPr>
          <w:p w:rsidR="00644456" w:rsidRDefault="008031C4">
            <w:pPr>
              <w:jc w:val="center"/>
              <w:rPr>
                <w:rFonts w:cs="Times New Roman"/>
                <w:color w:val="000000" w:themeColor="text1"/>
              </w:rPr>
            </w:pPr>
            <w:r>
              <w:rPr>
                <w:rFonts w:cs="Times New Roman"/>
                <w:color w:val="000000" w:themeColor="text1"/>
              </w:rPr>
              <w:t>0.6371</w:t>
            </w:r>
          </w:p>
        </w:tc>
      </w:tr>
    </w:tbl>
    <w:p w:rsidR="00644456" w:rsidRDefault="008031C4">
      <w:pPr>
        <w:pStyle w:val="-"/>
        <w:ind w:firstLine="480"/>
        <w:rPr>
          <w:rFonts w:cs="Times New Roman"/>
          <w:color w:val="000000" w:themeColor="text1"/>
        </w:rPr>
      </w:pPr>
      <w:r>
        <w:rPr>
          <w:rFonts w:cs="Times New Roman"/>
          <w:color w:val="000000" w:themeColor="text1"/>
        </w:rPr>
        <w:t>由</w:t>
      </w:r>
      <w:r>
        <w:rPr>
          <w:rFonts w:cs="Times New Roman"/>
          <w:color w:val="000000" w:themeColor="text1"/>
        </w:rPr>
        <w:fldChar w:fldCharType="begin"/>
      </w:r>
      <w:r>
        <w:rPr>
          <w:rFonts w:cs="Times New Roman"/>
          <w:color w:val="000000" w:themeColor="text1"/>
        </w:rPr>
        <w:instrText xml:space="preserve"> REF _Ref57123979 \h  \* MERGEFORMAT </w:instrText>
      </w:r>
      <w:r>
        <w:rPr>
          <w:rFonts w:cs="Times New Roman"/>
          <w:color w:val="000000" w:themeColor="text1"/>
        </w:rPr>
      </w:r>
      <w:r>
        <w:rPr>
          <w:rFonts w:cs="Times New Roman"/>
          <w:color w:val="000000" w:themeColor="text1"/>
        </w:rPr>
        <w:fldChar w:fldCharType="separate"/>
      </w:r>
      <w:r>
        <w:rPr>
          <w:rFonts w:cs="Times New Roman" w:hint="eastAsia"/>
          <w:color w:val="000000" w:themeColor="text1"/>
        </w:rPr>
        <w:t>表</w:t>
      </w:r>
      <w:r>
        <w:rPr>
          <w:rFonts w:cs="Times New Roman" w:hint="eastAsia"/>
          <w:color w:val="000000" w:themeColor="text1"/>
        </w:rPr>
        <w:t>4.2</w:t>
      </w:r>
      <w:r>
        <w:rPr>
          <w:rFonts w:cs="Times New Roman" w:hint="eastAsia"/>
          <w:color w:val="000000" w:themeColor="text1"/>
        </w:rPr>
        <w:noBreakHyphen/>
      </w:r>
      <w:r>
        <w:rPr>
          <w:rFonts w:cs="Times New Roman"/>
          <w:color w:val="000000" w:themeColor="text1"/>
        </w:rPr>
        <w:t>2</w:t>
      </w:r>
      <w:r>
        <w:rPr>
          <w:rFonts w:cs="Times New Roman"/>
          <w:color w:val="000000" w:themeColor="text1"/>
        </w:rPr>
        <w:fldChar w:fldCharType="end"/>
      </w:r>
      <w:r>
        <w:rPr>
          <w:rFonts w:cs="Times New Roman"/>
          <w:color w:val="000000" w:themeColor="text1"/>
        </w:rPr>
        <w:t>可见，在同样路面清洁情况下，车速越快，扬尘量越大；而在同样车速情况下，路面清洁度越差，则扬尘量越大。根据类比调查，一般情况下，施工场地、施工道路在自然风作用下产生的扬尘所影响的范围在</w:t>
      </w:r>
      <w:r>
        <w:rPr>
          <w:rFonts w:cs="Times New Roman"/>
          <w:color w:val="000000" w:themeColor="text1"/>
        </w:rPr>
        <w:t>100m</w:t>
      </w:r>
      <w:r>
        <w:rPr>
          <w:rFonts w:cs="Times New Roman"/>
          <w:color w:val="000000" w:themeColor="text1"/>
        </w:rPr>
        <w:t>以内。</w:t>
      </w:r>
    </w:p>
    <w:p w:rsidR="00644456" w:rsidRDefault="008031C4">
      <w:pPr>
        <w:pStyle w:val="-"/>
        <w:ind w:firstLine="480"/>
        <w:rPr>
          <w:rFonts w:cs="Times New Roman"/>
          <w:color w:val="000000" w:themeColor="text1"/>
        </w:rPr>
      </w:pPr>
      <w:r>
        <w:rPr>
          <w:rFonts w:cs="Times New Roman"/>
          <w:color w:val="000000" w:themeColor="text1"/>
        </w:rPr>
        <w:t>抑制扬尘的一个简捷有效的措施是洒水。如果在施工期内对车辆行驶的路面实施洒水抑尘，每天洒水</w:t>
      </w:r>
      <w:r>
        <w:rPr>
          <w:rFonts w:cs="Times New Roman"/>
          <w:color w:val="000000" w:themeColor="text1"/>
        </w:rPr>
        <w:t>4</w:t>
      </w:r>
      <w:r>
        <w:rPr>
          <w:rFonts w:cs="Times New Roman"/>
          <w:color w:val="000000" w:themeColor="text1"/>
        </w:rPr>
        <w:t>～</w:t>
      </w:r>
      <w:r>
        <w:rPr>
          <w:rFonts w:cs="Times New Roman"/>
          <w:color w:val="000000" w:themeColor="text1"/>
        </w:rPr>
        <w:t>5</w:t>
      </w:r>
      <w:r>
        <w:rPr>
          <w:rFonts w:cs="Times New Roman"/>
          <w:color w:val="000000" w:themeColor="text1"/>
        </w:rPr>
        <w:t>次，可使扬尘减少</w:t>
      </w:r>
      <w:r>
        <w:rPr>
          <w:rFonts w:cs="Times New Roman"/>
          <w:color w:val="000000" w:themeColor="text1"/>
        </w:rPr>
        <w:t>70%</w:t>
      </w:r>
      <w:r>
        <w:rPr>
          <w:rFonts w:cs="Times New Roman"/>
          <w:color w:val="000000" w:themeColor="text1"/>
        </w:rPr>
        <w:t>左右。</w:t>
      </w:r>
      <w:r>
        <w:rPr>
          <w:rFonts w:cs="Times New Roman"/>
          <w:color w:val="000000" w:themeColor="text1"/>
        </w:rPr>
        <w:fldChar w:fldCharType="begin"/>
      </w:r>
      <w:r>
        <w:rPr>
          <w:rFonts w:cs="Times New Roman"/>
          <w:color w:val="000000" w:themeColor="text1"/>
        </w:rPr>
        <w:instrText xml:space="preserve"> REF _Ref57124010 \h  \* MERGEFORMAT </w:instrText>
      </w:r>
      <w:r>
        <w:rPr>
          <w:rFonts w:cs="Times New Roman"/>
          <w:color w:val="000000" w:themeColor="text1"/>
        </w:rPr>
      </w:r>
      <w:r>
        <w:rPr>
          <w:rFonts w:cs="Times New Roman"/>
          <w:color w:val="000000" w:themeColor="text1"/>
        </w:rPr>
        <w:fldChar w:fldCharType="separate"/>
      </w:r>
      <w:r>
        <w:rPr>
          <w:rFonts w:cs="Times New Roman"/>
          <w:color w:val="000000" w:themeColor="text1"/>
        </w:rPr>
        <w:t>表</w:t>
      </w:r>
      <w:r>
        <w:rPr>
          <w:rFonts w:cs="Times New Roman" w:hint="eastAsia"/>
          <w:color w:val="000000" w:themeColor="text1"/>
        </w:rPr>
        <w:t>4.2</w:t>
      </w:r>
      <w:r>
        <w:rPr>
          <w:rFonts w:cs="Times New Roman"/>
          <w:color w:val="000000" w:themeColor="text1"/>
        </w:rPr>
        <w:noBreakHyphen/>
        <w:t>3</w:t>
      </w:r>
      <w:r>
        <w:rPr>
          <w:rFonts w:cs="Times New Roman"/>
          <w:color w:val="000000" w:themeColor="text1"/>
        </w:rPr>
        <w:fldChar w:fldCharType="end"/>
      </w:r>
      <w:r>
        <w:rPr>
          <w:rFonts w:cs="Times New Roman"/>
          <w:color w:val="000000" w:themeColor="text1"/>
        </w:rPr>
        <w:t>为施工场地洒水抑尘的试验结果。由该表数据可看出对施工场地实施每天洒水</w:t>
      </w:r>
      <w:r>
        <w:rPr>
          <w:rFonts w:cs="Times New Roman"/>
          <w:color w:val="000000" w:themeColor="text1"/>
        </w:rPr>
        <w:t>4</w:t>
      </w:r>
      <w:r>
        <w:rPr>
          <w:rFonts w:cs="Times New Roman"/>
          <w:color w:val="000000" w:themeColor="text1"/>
        </w:rPr>
        <w:t>～</w:t>
      </w:r>
      <w:r>
        <w:rPr>
          <w:rFonts w:cs="Times New Roman"/>
          <w:color w:val="000000" w:themeColor="text1"/>
        </w:rPr>
        <w:t>5</w:t>
      </w:r>
      <w:r>
        <w:rPr>
          <w:rFonts w:cs="Times New Roman"/>
          <w:color w:val="000000" w:themeColor="text1"/>
        </w:rPr>
        <w:t>次进行抑尘，可有效地控制施工扬尘，并可将扬尘污染距离缩小到</w:t>
      </w:r>
      <w:r>
        <w:rPr>
          <w:rFonts w:cs="Times New Roman"/>
          <w:color w:val="000000" w:themeColor="text1"/>
        </w:rPr>
        <w:t>20-50m</w:t>
      </w:r>
      <w:r>
        <w:rPr>
          <w:rFonts w:cs="Times New Roman"/>
          <w:color w:val="000000" w:themeColor="text1"/>
        </w:rPr>
        <w:t>范围。</w:t>
      </w:r>
    </w:p>
    <w:p w:rsidR="00644456" w:rsidRDefault="008031C4">
      <w:pPr>
        <w:autoSpaceDE w:val="0"/>
        <w:autoSpaceDN w:val="0"/>
        <w:adjustRightInd w:val="0"/>
        <w:jc w:val="center"/>
        <w:rPr>
          <w:rFonts w:cs="Times New Roman"/>
          <w:b/>
          <w:color w:val="000000" w:themeColor="text1"/>
          <w:sz w:val="24"/>
          <w:szCs w:val="20"/>
        </w:rPr>
      </w:pPr>
      <w:bookmarkStart w:id="278" w:name="_Ref57124010"/>
      <w:r>
        <w:rPr>
          <w:rFonts w:cs="Times New Roman" w:hint="eastAsia"/>
          <w:b/>
          <w:color w:val="000000" w:themeColor="text1"/>
          <w:sz w:val="24"/>
          <w:szCs w:val="20"/>
        </w:rPr>
        <w:t>表</w:t>
      </w:r>
      <w:r>
        <w:rPr>
          <w:rFonts w:cs="Times New Roman" w:hint="eastAsia"/>
          <w:b/>
          <w:color w:val="000000" w:themeColor="text1"/>
          <w:sz w:val="24"/>
          <w:szCs w:val="20"/>
        </w:rPr>
        <w:t>4.2</w:t>
      </w:r>
      <w:r>
        <w:rPr>
          <w:rFonts w:cs="Times New Roman" w:hint="eastAsia"/>
          <w:b/>
          <w:color w:val="000000" w:themeColor="text1"/>
          <w:sz w:val="24"/>
          <w:szCs w:val="20"/>
        </w:rPr>
        <w:noBreakHyphen/>
      </w:r>
      <w:r>
        <w:rPr>
          <w:rFonts w:cs="Times New Roman" w:hint="eastAsia"/>
          <w:b/>
          <w:color w:val="000000" w:themeColor="text1"/>
          <w:sz w:val="24"/>
          <w:szCs w:val="20"/>
        </w:rPr>
        <w:fldChar w:fldCharType="begin"/>
      </w:r>
      <w:r>
        <w:rPr>
          <w:rFonts w:cs="Times New Roman" w:hint="eastAsia"/>
          <w:b/>
          <w:color w:val="000000" w:themeColor="text1"/>
          <w:sz w:val="24"/>
          <w:szCs w:val="20"/>
        </w:rPr>
        <w:instrText xml:space="preserve"> SEQ </w:instrText>
      </w:r>
      <w:r>
        <w:rPr>
          <w:rFonts w:cs="Times New Roman" w:hint="eastAsia"/>
          <w:b/>
          <w:color w:val="000000" w:themeColor="text1"/>
          <w:sz w:val="24"/>
          <w:szCs w:val="20"/>
        </w:rPr>
        <w:instrText>表</w:instrText>
      </w:r>
      <w:r>
        <w:rPr>
          <w:rFonts w:cs="Times New Roman" w:hint="eastAsia"/>
          <w:b/>
          <w:color w:val="000000" w:themeColor="text1"/>
          <w:sz w:val="24"/>
          <w:szCs w:val="20"/>
        </w:rPr>
        <w:instrText xml:space="preserve"> \* ARABIC \s 1 </w:instrText>
      </w:r>
      <w:r>
        <w:rPr>
          <w:rFonts w:cs="Times New Roman" w:hint="eastAsia"/>
          <w:b/>
          <w:color w:val="000000" w:themeColor="text1"/>
          <w:sz w:val="24"/>
          <w:szCs w:val="20"/>
        </w:rPr>
        <w:fldChar w:fldCharType="separate"/>
      </w:r>
      <w:r>
        <w:rPr>
          <w:rFonts w:cs="Times New Roman" w:hint="eastAsia"/>
          <w:b/>
          <w:color w:val="000000" w:themeColor="text1"/>
          <w:sz w:val="24"/>
          <w:szCs w:val="20"/>
        </w:rPr>
        <w:t>3</w:t>
      </w:r>
      <w:r>
        <w:rPr>
          <w:rFonts w:cs="Times New Roman" w:hint="eastAsia"/>
          <w:b/>
          <w:color w:val="000000" w:themeColor="text1"/>
          <w:sz w:val="24"/>
          <w:szCs w:val="20"/>
        </w:rPr>
        <w:fldChar w:fldCharType="end"/>
      </w:r>
      <w:bookmarkEnd w:id="278"/>
      <w:r>
        <w:rPr>
          <w:rFonts w:cs="Times New Roman" w:hint="eastAsia"/>
          <w:b/>
          <w:color w:val="000000" w:themeColor="text1"/>
          <w:sz w:val="24"/>
          <w:szCs w:val="20"/>
        </w:rPr>
        <w:t>施工场地洒水抑尘试验结果（单位：</w:t>
      </w:r>
      <w:r>
        <w:rPr>
          <w:rFonts w:cs="Times New Roman" w:hint="eastAsia"/>
          <w:b/>
          <w:color w:val="000000" w:themeColor="text1"/>
          <w:sz w:val="24"/>
          <w:szCs w:val="20"/>
        </w:rPr>
        <w:t>mg/m</w:t>
      </w:r>
      <w:r>
        <w:rPr>
          <w:rFonts w:cs="Times New Roman" w:hint="eastAsia"/>
          <w:b/>
          <w:color w:val="000000" w:themeColor="text1"/>
          <w:sz w:val="24"/>
          <w:szCs w:val="20"/>
          <w:vertAlign w:val="superscript"/>
        </w:rPr>
        <w:t>3</w:t>
      </w:r>
      <w:r>
        <w:rPr>
          <w:rFonts w:cs="Times New Roman" w:hint="eastAsia"/>
          <w:b/>
          <w:color w:val="000000" w:themeColor="text1"/>
          <w:sz w:val="24"/>
          <w:szCs w:val="20"/>
        </w:rPr>
        <w:t>）</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558"/>
        <w:gridCol w:w="1628"/>
        <w:gridCol w:w="1161"/>
        <w:gridCol w:w="1351"/>
        <w:gridCol w:w="1159"/>
        <w:gridCol w:w="1384"/>
      </w:tblGrid>
      <w:tr w:rsidR="00644456">
        <w:trPr>
          <w:cantSplit/>
          <w:jc w:val="center"/>
        </w:trPr>
        <w:tc>
          <w:tcPr>
            <w:tcW w:w="2265" w:type="pct"/>
            <w:gridSpan w:val="2"/>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距离</w:t>
            </w:r>
          </w:p>
        </w:tc>
        <w:tc>
          <w:tcPr>
            <w:tcW w:w="628"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5m</w:t>
            </w:r>
          </w:p>
        </w:tc>
        <w:tc>
          <w:tcPr>
            <w:tcW w:w="731"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20m</w:t>
            </w:r>
          </w:p>
        </w:tc>
        <w:tc>
          <w:tcPr>
            <w:tcW w:w="627"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50m</w:t>
            </w:r>
          </w:p>
        </w:tc>
        <w:tc>
          <w:tcPr>
            <w:tcW w:w="749"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100m</w:t>
            </w:r>
          </w:p>
        </w:tc>
      </w:tr>
      <w:tr w:rsidR="00644456">
        <w:trPr>
          <w:cantSplit/>
          <w:jc w:val="center"/>
        </w:trPr>
        <w:tc>
          <w:tcPr>
            <w:tcW w:w="1384" w:type="pct"/>
            <w:vMerge w:val="restart"/>
            <w:shd w:val="clear" w:color="auto" w:fill="auto"/>
            <w:vAlign w:val="center"/>
          </w:tcPr>
          <w:p w:rsidR="00644456" w:rsidRDefault="008031C4">
            <w:pPr>
              <w:jc w:val="center"/>
              <w:rPr>
                <w:rFonts w:cs="Times New Roman"/>
                <w:color w:val="000000" w:themeColor="text1"/>
              </w:rPr>
            </w:pPr>
            <w:r>
              <w:rPr>
                <w:rFonts w:cs="Times New Roman"/>
                <w:color w:val="000000" w:themeColor="text1"/>
              </w:rPr>
              <w:t>TSP</w:t>
            </w:r>
            <w:r>
              <w:rPr>
                <w:rFonts w:cs="Times New Roman"/>
                <w:color w:val="000000" w:themeColor="text1"/>
              </w:rPr>
              <w:t>小时平均浓度</w:t>
            </w:r>
          </w:p>
        </w:tc>
        <w:tc>
          <w:tcPr>
            <w:tcW w:w="881"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不洒水</w:t>
            </w:r>
          </w:p>
        </w:tc>
        <w:tc>
          <w:tcPr>
            <w:tcW w:w="628"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10.14</w:t>
            </w:r>
          </w:p>
        </w:tc>
        <w:tc>
          <w:tcPr>
            <w:tcW w:w="731"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2.89</w:t>
            </w:r>
          </w:p>
        </w:tc>
        <w:tc>
          <w:tcPr>
            <w:tcW w:w="627"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1.15</w:t>
            </w:r>
          </w:p>
        </w:tc>
        <w:tc>
          <w:tcPr>
            <w:tcW w:w="749"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0.86</w:t>
            </w:r>
          </w:p>
        </w:tc>
      </w:tr>
      <w:tr w:rsidR="00644456">
        <w:trPr>
          <w:cantSplit/>
          <w:jc w:val="center"/>
        </w:trPr>
        <w:tc>
          <w:tcPr>
            <w:tcW w:w="1384" w:type="pct"/>
            <w:vMerge/>
            <w:shd w:val="clear" w:color="auto" w:fill="auto"/>
            <w:vAlign w:val="center"/>
          </w:tcPr>
          <w:p w:rsidR="00644456" w:rsidRDefault="00644456">
            <w:pPr>
              <w:jc w:val="center"/>
              <w:rPr>
                <w:rFonts w:cs="Times New Roman"/>
                <w:color w:val="000000" w:themeColor="text1"/>
              </w:rPr>
            </w:pPr>
          </w:p>
        </w:tc>
        <w:tc>
          <w:tcPr>
            <w:tcW w:w="881"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洒水</w:t>
            </w:r>
          </w:p>
        </w:tc>
        <w:tc>
          <w:tcPr>
            <w:tcW w:w="628"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2.01</w:t>
            </w:r>
          </w:p>
        </w:tc>
        <w:tc>
          <w:tcPr>
            <w:tcW w:w="731"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1.40</w:t>
            </w:r>
          </w:p>
        </w:tc>
        <w:tc>
          <w:tcPr>
            <w:tcW w:w="627"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0.67</w:t>
            </w:r>
          </w:p>
        </w:tc>
        <w:tc>
          <w:tcPr>
            <w:tcW w:w="749"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0.60</w:t>
            </w:r>
          </w:p>
        </w:tc>
      </w:tr>
    </w:tbl>
    <w:p w:rsidR="00644456" w:rsidRDefault="008031C4">
      <w:pPr>
        <w:pStyle w:val="-"/>
        <w:ind w:firstLine="480"/>
        <w:rPr>
          <w:rFonts w:cs="Times New Roman"/>
          <w:color w:val="000000" w:themeColor="text1"/>
        </w:rPr>
      </w:pPr>
      <w:r>
        <w:rPr>
          <w:rFonts w:cs="Times New Roman"/>
          <w:color w:val="000000" w:themeColor="text1"/>
        </w:rPr>
        <w:t>施工扬尘的另一种重要产生方式是建筑材料的露天堆放和搅拌作业，这类扬尘的主要特点是受作业时风速大小的影响显著。因此，禁止在大风天气时进行此类作业以及减少建筑材料的露天堆放是抑制这类扬尘的一种很有效的手段。</w:t>
      </w:r>
    </w:p>
    <w:p w:rsidR="00644456" w:rsidRDefault="008031C4">
      <w:pPr>
        <w:pStyle w:val="-"/>
        <w:ind w:firstLine="480"/>
        <w:rPr>
          <w:rFonts w:cs="Times New Roman"/>
          <w:color w:val="000000" w:themeColor="text1"/>
        </w:rPr>
      </w:pPr>
      <w:r>
        <w:rPr>
          <w:rFonts w:cs="Times New Roman"/>
          <w:color w:val="000000" w:themeColor="text1"/>
        </w:rPr>
        <w:t>因此，项目施工时采取了封闭施工现场、采用密目安全网、定期对地面洒水、对散落在路面的渣土及时清除、施工现场主要运输道路尽量采用硬化路面、自卸车、垃圾运输车等运输车辆不允许超载，出场前一律清洗轮胎，用毡布覆盖，并且在施工区出口设置防尘飞扬垫等一系列措施，大大减少了施工扬尘对环境空气的影响。</w:t>
      </w:r>
    </w:p>
    <w:p w:rsidR="00644456" w:rsidRDefault="008031C4">
      <w:pPr>
        <w:pStyle w:val="-"/>
        <w:ind w:firstLine="480"/>
        <w:rPr>
          <w:rFonts w:cs="Times New Roman"/>
          <w:color w:val="000000" w:themeColor="text1"/>
        </w:rPr>
      </w:pPr>
      <w:r>
        <w:rPr>
          <w:rFonts w:cs="Times New Roman"/>
          <w:color w:val="000000" w:themeColor="text1"/>
        </w:rPr>
        <w:t>通过资料查询及类比分析项目施工场地在采取防尘措施前后影响范围具体见下表。</w:t>
      </w:r>
    </w:p>
    <w:p w:rsidR="00644456" w:rsidRDefault="008031C4">
      <w:pPr>
        <w:autoSpaceDE w:val="0"/>
        <w:autoSpaceDN w:val="0"/>
        <w:adjustRightInd w:val="0"/>
        <w:jc w:val="center"/>
        <w:rPr>
          <w:rFonts w:cs="Times New Roman"/>
          <w:b/>
          <w:color w:val="000000" w:themeColor="text1"/>
          <w:sz w:val="24"/>
          <w:szCs w:val="20"/>
        </w:rPr>
      </w:pPr>
      <w:bookmarkStart w:id="279" w:name="_Ref57124078"/>
      <w:r>
        <w:rPr>
          <w:rFonts w:cs="Times New Roman" w:hint="eastAsia"/>
          <w:b/>
          <w:color w:val="000000" w:themeColor="text1"/>
          <w:sz w:val="24"/>
          <w:szCs w:val="20"/>
        </w:rPr>
        <w:lastRenderedPageBreak/>
        <w:t>表</w:t>
      </w:r>
      <w:r>
        <w:rPr>
          <w:rFonts w:cs="Times New Roman" w:hint="eastAsia"/>
          <w:b/>
          <w:color w:val="000000" w:themeColor="text1"/>
          <w:sz w:val="24"/>
          <w:szCs w:val="20"/>
        </w:rPr>
        <w:t>4.2</w:t>
      </w:r>
      <w:r>
        <w:rPr>
          <w:rFonts w:cs="Times New Roman" w:hint="eastAsia"/>
          <w:b/>
          <w:color w:val="000000" w:themeColor="text1"/>
          <w:sz w:val="24"/>
          <w:szCs w:val="20"/>
        </w:rPr>
        <w:noBreakHyphen/>
      </w:r>
      <w:r>
        <w:rPr>
          <w:rFonts w:cs="Times New Roman" w:hint="eastAsia"/>
          <w:b/>
          <w:color w:val="000000" w:themeColor="text1"/>
          <w:sz w:val="24"/>
          <w:szCs w:val="20"/>
        </w:rPr>
        <w:fldChar w:fldCharType="begin"/>
      </w:r>
      <w:r>
        <w:rPr>
          <w:rFonts w:cs="Times New Roman" w:hint="eastAsia"/>
          <w:b/>
          <w:color w:val="000000" w:themeColor="text1"/>
          <w:sz w:val="24"/>
          <w:szCs w:val="20"/>
        </w:rPr>
        <w:instrText xml:space="preserve"> SEQ </w:instrText>
      </w:r>
      <w:r>
        <w:rPr>
          <w:rFonts w:cs="Times New Roman" w:hint="eastAsia"/>
          <w:b/>
          <w:color w:val="000000" w:themeColor="text1"/>
          <w:sz w:val="24"/>
          <w:szCs w:val="20"/>
        </w:rPr>
        <w:instrText>表</w:instrText>
      </w:r>
      <w:r>
        <w:rPr>
          <w:rFonts w:cs="Times New Roman" w:hint="eastAsia"/>
          <w:b/>
          <w:color w:val="000000" w:themeColor="text1"/>
          <w:sz w:val="24"/>
          <w:szCs w:val="20"/>
        </w:rPr>
        <w:instrText xml:space="preserve"> \* ARABIC \s 1 </w:instrText>
      </w:r>
      <w:r>
        <w:rPr>
          <w:rFonts w:cs="Times New Roman" w:hint="eastAsia"/>
          <w:b/>
          <w:color w:val="000000" w:themeColor="text1"/>
          <w:sz w:val="24"/>
          <w:szCs w:val="20"/>
        </w:rPr>
        <w:fldChar w:fldCharType="separate"/>
      </w:r>
      <w:r>
        <w:rPr>
          <w:rFonts w:cs="Times New Roman" w:hint="eastAsia"/>
          <w:b/>
          <w:color w:val="000000" w:themeColor="text1"/>
          <w:sz w:val="24"/>
          <w:szCs w:val="20"/>
        </w:rPr>
        <w:t>4</w:t>
      </w:r>
      <w:r>
        <w:rPr>
          <w:rFonts w:cs="Times New Roman" w:hint="eastAsia"/>
          <w:b/>
          <w:color w:val="000000" w:themeColor="text1"/>
          <w:sz w:val="24"/>
          <w:szCs w:val="20"/>
        </w:rPr>
        <w:fldChar w:fldCharType="end"/>
      </w:r>
      <w:bookmarkEnd w:id="279"/>
      <w:r>
        <w:rPr>
          <w:rFonts w:cs="Times New Roman" w:hint="eastAsia"/>
          <w:b/>
          <w:color w:val="000000" w:themeColor="text1"/>
          <w:sz w:val="24"/>
          <w:szCs w:val="20"/>
        </w:rPr>
        <w:t>施工现场扬尘治理前后</w:t>
      </w:r>
      <w:r>
        <w:rPr>
          <w:rFonts w:cs="Times New Roman" w:hint="eastAsia"/>
          <w:b/>
          <w:color w:val="000000" w:themeColor="text1"/>
          <w:sz w:val="24"/>
          <w:szCs w:val="20"/>
        </w:rPr>
        <w:t>TSP</w:t>
      </w:r>
      <w:r>
        <w:rPr>
          <w:rFonts w:cs="Times New Roman" w:hint="eastAsia"/>
          <w:b/>
          <w:color w:val="000000" w:themeColor="text1"/>
          <w:sz w:val="24"/>
          <w:szCs w:val="20"/>
        </w:rPr>
        <w:t>浓度（单位：</w:t>
      </w:r>
      <w:r>
        <w:rPr>
          <w:rFonts w:cs="Times New Roman" w:hint="eastAsia"/>
          <w:b/>
          <w:color w:val="000000" w:themeColor="text1"/>
          <w:sz w:val="24"/>
          <w:szCs w:val="20"/>
        </w:rPr>
        <w:t>mg/m</w:t>
      </w:r>
      <w:r>
        <w:rPr>
          <w:rFonts w:cs="Times New Roman" w:hint="eastAsia"/>
          <w:b/>
          <w:color w:val="000000" w:themeColor="text1"/>
          <w:sz w:val="24"/>
          <w:szCs w:val="20"/>
          <w:vertAlign w:val="superscript"/>
        </w:rPr>
        <w:t>3</w:t>
      </w:r>
      <w:r>
        <w:rPr>
          <w:rFonts w:cs="Times New Roman" w:hint="eastAsia"/>
          <w:b/>
          <w:color w:val="000000" w:themeColor="text1"/>
          <w:sz w:val="24"/>
          <w:szCs w:val="20"/>
        </w:rPr>
        <w:t>）</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653"/>
        <w:gridCol w:w="1653"/>
        <w:gridCol w:w="1241"/>
        <w:gridCol w:w="583"/>
        <w:gridCol w:w="643"/>
        <w:gridCol w:w="590"/>
        <w:gridCol w:w="784"/>
        <w:gridCol w:w="615"/>
        <w:gridCol w:w="708"/>
        <w:gridCol w:w="771"/>
      </w:tblGrid>
      <w:tr w:rsidR="00644456">
        <w:trPr>
          <w:cantSplit/>
          <w:jc w:val="center"/>
        </w:trPr>
        <w:tc>
          <w:tcPr>
            <w:tcW w:w="894" w:type="pct"/>
            <w:vMerge w:val="restar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产尘位置</w:t>
            </w:r>
          </w:p>
        </w:tc>
        <w:tc>
          <w:tcPr>
            <w:tcW w:w="894" w:type="pct"/>
            <w:vMerge w:val="restar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产尘因素</w:t>
            </w:r>
          </w:p>
        </w:tc>
        <w:tc>
          <w:tcPr>
            <w:tcW w:w="671" w:type="pct"/>
            <w:vMerge w:val="restar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治理前后</w:t>
            </w:r>
          </w:p>
        </w:tc>
        <w:tc>
          <w:tcPr>
            <w:tcW w:w="2539" w:type="pct"/>
            <w:gridSpan w:val="7"/>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距施工场界距离（</w:t>
            </w:r>
            <w:r>
              <w:rPr>
                <w:rFonts w:cs="Times New Roman"/>
                <w:b/>
                <w:color w:val="000000" w:themeColor="text1"/>
              </w:rPr>
              <w:t>m</w:t>
            </w:r>
            <w:r>
              <w:rPr>
                <w:rFonts w:cs="Times New Roman"/>
                <w:b/>
                <w:color w:val="000000" w:themeColor="text1"/>
              </w:rPr>
              <w:t>）</w:t>
            </w:r>
          </w:p>
        </w:tc>
      </w:tr>
      <w:tr w:rsidR="00644456">
        <w:trPr>
          <w:cantSplit/>
          <w:jc w:val="center"/>
        </w:trPr>
        <w:tc>
          <w:tcPr>
            <w:tcW w:w="894" w:type="pct"/>
            <w:vMerge/>
            <w:shd w:val="clear" w:color="auto" w:fill="auto"/>
            <w:vAlign w:val="center"/>
          </w:tcPr>
          <w:p w:rsidR="00644456" w:rsidRDefault="00644456">
            <w:pPr>
              <w:jc w:val="center"/>
              <w:rPr>
                <w:rFonts w:cs="Times New Roman"/>
                <w:b/>
                <w:color w:val="000000" w:themeColor="text1"/>
              </w:rPr>
            </w:pPr>
          </w:p>
        </w:tc>
        <w:tc>
          <w:tcPr>
            <w:tcW w:w="894" w:type="pct"/>
            <w:vMerge/>
            <w:shd w:val="clear" w:color="auto" w:fill="auto"/>
            <w:vAlign w:val="center"/>
          </w:tcPr>
          <w:p w:rsidR="00644456" w:rsidRDefault="00644456">
            <w:pPr>
              <w:jc w:val="center"/>
              <w:rPr>
                <w:rFonts w:cs="Times New Roman"/>
                <w:b/>
                <w:color w:val="000000" w:themeColor="text1"/>
              </w:rPr>
            </w:pPr>
          </w:p>
        </w:tc>
        <w:tc>
          <w:tcPr>
            <w:tcW w:w="671" w:type="pct"/>
            <w:vMerge/>
            <w:shd w:val="clear" w:color="auto" w:fill="auto"/>
            <w:vAlign w:val="center"/>
          </w:tcPr>
          <w:p w:rsidR="00644456" w:rsidRDefault="00644456">
            <w:pPr>
              <w:jc w:val="center"/>
              <w:rPr>
                <w:rFonts w:cs="Times New Roman"/>
                <w:b/>
                <w:color w:val="000000" w:themeColor="text1"/>
              </w:rPr>
            </w:pPr>
          </w:p>
        </w:tc>
        <w:tc>
          <w:tcPr>
            <w:tcW w:w="315"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10</w:t>
            </w:r>
          </w:p>
        </w:tc>
        <w:tc>
          <w:tcPr>
            <w:tcW w:w="348"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30</w:t>
            </w:r>
          </w:p>
        </w:tc>
        <w:tc>
          <w:tcPr>
            <w:tcW w:w="319"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50</w:t>
            </w:r>
          </w:p>
        </w:tc>
        <w:tc>
          <w:tcPr>
            <w:tcW w:w="424"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100</w:t>
            </w:r>
          </w:p>
        </w:tc>
        <w:tc>
          <w:tcPr>
            <w:tcW w:w="333"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150</w:t>
            </w:r>
          </w:p>
        </w:tc>
        <w:tc>
          <w:tcPr>
            <w:tcW w:w="383"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200</w:t>
            </w:r>
          </w:p>
        </w:tc>
        <w:tc>
          <w:tcPr>
            <w:tcW w:w="415"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400</w:t>
            </w:r>
          </w:p>
        </w:tc>
      </w:tr>
      <w:tr w:rsidR="00644456">
        <w:trPr>
          <w:cantSplit/>
          <w:jc w:val="center"/>
        </w:trPr>
        <w:tc>
          <w:tcPr>
            <w:tcW w:w="894" w:type="pct"/>
            <w:vMerge w:val="restart"/>
            <w:shd w:val="clear" w:color="auto" w:fill="auto"/>
            <w:vAlign w:val="center"/>
          </w:tcPr>
          <w:p w:rsidR="00644456" w:rsidRDefault="008031C4">
            <w:pPr>
              <w:jc w:val="center"/>
              <w:rPr>
                <w:rFonts w:cs="Times New Roman"/>
                <w:color w:val="000000" w:themeColor="text1"/>
              </w:rPr>
            </w:pPr>
            <w:r>
              <w:rPr>
                <w:rFonts w:cs="Times New Roman"/>
                <w:color w:val="000000" w:themeColor="text1"/>
              </w:rPr>
              <w:t>运输沿线料场、开挖现场</w:t>
            </w:r>
          </w:p>
        </w:tc>
        <w:tc>
          <w:tcPr>
            <w:tcW w:w="894" w:type="pct"/>
            <w:vMerge w:val="restart"/>
            <w:shd w:val="clear" w:color="auto" w:fill="auto"/>
            <w:vAlign w:val="center"/>
          </w:tcPr>
          <w:p w:rsidR="00644456" w:rsidRDefault="008031C4">
            <w:pPr>
              <w:jc w:val="center"/>
              <w:rPr>
                <w:rFonts w:cs="Times New Roman"/>
                <w:color w:val="000000" w:themeColor="text1"/>
              </w:rPr>
            </w:pPr>
            <w:r>
              <w:rPr>
                <w:rFonts w:cs="Times New Roman"/>
                <w:color w:val="000000" w:themeColor="text1"/>
              </w:rPr>
              <w:t>开挖、</w:t>
            </w:r>
            <w:r>
              <w:rPr>
                <w:rFonts w:cs="Times New Roman" w:hint="eastAsia"/>
                <w:color w:val="000000" w:themeColor="text1"/>
              </w:rPr>
              <w:t>拌合</w:t>
            </w:r>
            <w:r>
              <w:rPr>
                <w:rFonts w:cs="Times New Roman"/>
                <w:color w:val="000000" w:themeColor="text1"/>
              </w:rPr>
              <w:t>、建材运输装卸</w:t>
            </w:r>
          </w:p>
        </w:tc>
        <w:tc>
          <w:tcPr>
            <w:tcW w:w="671"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治理前</w:t>
            </w:r>
          </w:p>
        </w:tc>
        <w:tc>
          <w:tcPr>
            <w:tcW w:w="315"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w:t>
            </w:r>
          </w:p>
        </w:tc>
        <w:tc>
          <w:tcPr>
            <w:tcW w:w="348"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w:t>
            </w:r>
          </w:p>
        </w:tc>
        <w:tc>
          <w:tcPr>
            <w:tcW w:w="319"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8.0</w:t>
            </w:r>
          </w:p>
        </w:tc>
        <w:tc>
          <w:tcPr>
            <w:tcW w:w="424"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2.3</w:t>
            </w:r>
          </w:p>
        </w:tc>
        <w:tc>
          <w:tcPr>
            <w:tcW w:w="333"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1.0</w:t>
            </w:r>
          </w:p>
        </w:tc>
        <w:tc>
          <w:tcPr>
            <w:tcW w:w="383"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0.5</w:t>
            </w:r>
          </w:p>
        </w:tc>
        <w:tc>
          <w:tcPr>
            <w:tcW w:w="415"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0.3</w:t>
            </w:r>
          </w:p>
        </w:tc>
      </w:tr>
      <w:tr w:rsidR="00644456">
        <w:trPr>
          <w:cantSplit/>
          <w:jc w:val="center"/>
        </w:trPr>
        <w:tc>
          <w:tcPr>
            <w:tcW w:w="894" w:type="pct"/>
            <w:vMerge/>
            <w:shd w:val="clear" w:color="auto" w:fill="auto"/>
            <w:vAlign w:val="center"/>
          </w:tcPr>
          <w:p w:rsidR="00644456" w:rsidRDefault="00644456">
            <w:pPr>
              <w:jc w:val="center"/>
              <w:rPr>
                <w:rFonts w:cs="Times New Roman"/>
                <w:color w:val="000000" w:themeColor="text1"/>
              </w:rPr>
            </w:pPr>
          </w:p>
        </w:tc>
        <w:tc>
          <w:tcPr>
            <w:tcW w:w="894" w:type="pct"/>
            <w:vMerge/>
            <w:shd w:val="clear" w:color="auto" w:fill="auto"/>
            <w:vAlign w:val="center"/>
          </w:tcPr>
          <w:p w:rsidR="00644456" w:rsidRDefault="00644456">
            <w:pPr>
              <w:jc w:val="center"/>
              <w:rPr>
                <w:rFonts w:cs="Times New Roman"/>
                <w:color w:val="000000" w:themeColor="text1"/>
              </w:rPr>
            </w:pPr>
          </w:p>
        </w:tc>
        <w:tc>
          <w:tcPr>
            <w:tcW w:w="671"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治理后</w:t>
            </w:r>
          </w:p>
        </w:tc>
        <w:tc>
          <w:tcPr>
            <w:tcW w:w="315"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w:t>
            </w:r>
          </w:p>
        </w:tc>
        <w:tc>
          <w:tcPr>
            <w:tcW w:w="348"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2.0</w:t>
            </w:r>
          </w:p>
        </w:tc>
        <w:tc>
          <w:tcPr>
            <w:tcW w:w="319"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0.8</w:t>
            </w:r>
          </w:p>
        </w:tc>
        <w:tc>
          <w:tcPr>
            <w:tcW w:w="424"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0.5</w:t>
            </w:r>
          </w:p>
        </w:tc>
        <w:tc>
          <w:tcPr>
            <w:tcW w:w="333"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0.3</w:t>
            </w:r>
          </w:p>
        </w:tc>
        <w:tc>
          <w:tcPr>
            <w:tcW w:w="383"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0.1</w:t>
            </w:r>
          </w:p>
        </w:tc>
        <w:tc>
          <w:tcPr>
            <w:tcW w:w="415"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w:t>
            </w:r>
          </w:p>
        </w:tc>
      </w:tr>
    </w:tbl>
    <w:p w:rsidR="00644456" w:rsidRDefault="008031C4">
      <w:pPr>
        <w:pStyle w:val="-"/>
        <w:ind w:firstLine="480"/>
        <w:rPr>
          <w:rFonts w:cs="Times New Roman"/>
          <w:color w:val="000000" w:themeColor="text1"/>
        </w:rPr>
      </w:pPr>
      <w:r>
        <w:rPr>
          <w:rFonts w:cs="Times New Roman"/>
          <w:color w:val="000000" w:themeColor="text1"/>
        </w:rPr>
        <w:t>由</w:t>
      </w:r>
      <w:r>
        <w:rPr>
          <w:rFonts w:cs="Times New Roman"/>
          <w:color w:val="000000" w:themeColor="text1"/>
        </w:rPr>
        <w:fldChar w:fldCharType="begin"/>
      </w:r>
      <w:r>
        <w:rPr>
          <w:rFonts w:cs="Times New Roman"/>
          <w:color w:val="000000" w:themeColor="text1"/>
        </w:rPr>
        <w:instrText xml:space="preserve"> REF _Ref57124078 \h  \* MERGEFORMAT </w:instrText>
      </w:r>
      <w:r>
        <w:rPr>
          <w:rFonts w:cs="Times New Roman"/>
          <w:color w:val="000000" w:themeColor="text1"/>
        </w:rPr>
      </w:r>
      <w:r>
        <w:rPr>
          <w:rFonts w:cs="Times New Roman"/>
          <w:color w:val="000000" w:themeColor="text1"/>
        </w:rPr>
        <w:fldChar w:fldCharType="separate"/>
      </w:r>
      <w:r>
        <w:rPr>
          <w:rFonts w:cs="Times New Roman"/>
          <w:color w:val="000000" w:themeColor="text1"/>
        </w:rPr>
        <w:t>表</w:t>
      </w:r>
      <w:r>
        <w:rPr>
          <w:rFonts w:cs="Times New Roman" w:hint="eastAsia"/>
          <w:color w:val="000000" w:themeColor="text1"/>
        </w:rPr>
        <w:t>4.2</w:t>
      </w:r>
      <w:r>
        <w:rPr>
          <w:rFonts w:cs="Times New Roman"/>
          <w:color w:val="000000" w:themeColor="text1"/>
        </w:rPr>
        <w:noBreakHyphen/>
        <w:t>4</w:t>
      </w:r>
      <w:r>
        <w:rPr>
          <w:rFonts w:cs="Times New Roman"/>
          <w:color w:val="000000" w:themeColor="text1"/>
        </w:rPr>
        <w:fldChar w:fldCharType="end"/>
      </w:r>
      <w:r>
        <w:rPr>
          <w:rFonts w:cs="Times New Roman"/>
          <w:color w:val="000000" w:themeColor="text1"/>
        </w:rPr>
        <w:t>可知，项目在未采取防尘措施时，施工现场影响范围在</w:t>
      </w:r>
      <w:r>
        <w:rPr>
          <w:rFonts w:cs="Times New Roman"/>
          <w:color w:val="000000" w:themeColor="text1"/>
        </w:rPr>
        <w:t>400</w:t>
      </w:r>
      <w:r>
        <w:rPr>
          <w:rFonts w:cs="Times New Roman"/>
          <w:color w:val="000000" w:themeColor="text1"/>
        </w:rPr>
        <w:t>米范围。采取相应的防尘措施后，扬尘影响范围在</w:t>
      </w:r>
      <w:r>
        <w:rPr>
          <w:rFonts w:cs="Times New Roman"/>
          <w:color w:val="000000" w:themeColor="text1"/>
        </w:rPr>
        <w:t>150m</w:t>
      </w:r>
      <w:r>
        <w:rPr>
          <w:rFonts w:cs="Times New Roman"/>
          <w:color w:val="000000" w:themeColor="text1"/>
        </w:rPr>
        <w:t>范围内，防尘措施明显，能够有效地减轻施工扬尘对周围环境空气质量的影响。</w:t>
      </w:r>
    </w:p>
    <w:p w:rsidR="00644456" w:rsidRDefault="008031C4">
      <w:pPr>
        <w:pStyle w:val="-"/>
        <w:ind w:firstLine="480"/>
        <w:rPr>
          <w:rFonts w:cs="Times New Roman"/>
          <w:color w:val="000000" w:themeColor="text1"/>
        </w:rPr>
      </w:pPr>
      <w:r>
        <w:rPr>
          <w:rFonts w:cs="Times New Roman"/>
          <w:color w:val="000000" w:themeColor="text1"/>
        </w:rPr>
        <w:t>为有效减少建设工地扬尘污染，本环评要求项目施工方严格按照</w:t>
      </w:r>
      <w:r>
        <w:rPr>
          <w:rFonts w:cs="Times New Roman" w:hint="eastAsia"/>
          <w:color w:val="000000" w:themeColor="text1"/>
        </w:rPr>
        <w:t>本</w:t>
      </w:r>
      <w:r>
        <w:rPr>
          <w:rFonts w:cs="Times New Roman"/>
          <w:color w:val="000000" w:themeColor="text1"/>
        </w:rPr>
        <w:t>工程分析中提出的控制措施施工，在施工建设中做到规范管理，文明施工，确保建设工地</w:t>
      </w:r>
      <w:r>
        <w:rPr>
          <w:rFonts w:cs="Times New Roman" w:hint="eastAsia"/>
          <w:color w:val="000000" w:themeColor="text1"/>
        </w:rPr>
        <w:t>不扬</w:t>
      </w:r>
      <w:r>
        <w:rPr>
          <w:rFonts w:cs="Times New Roman"/>
          <w:color w:val="000000" w:themeColor="text1"/>
        </w:rPr>
        <w:t>尘。严格遵守施工要求</w:t>
      </w:r>
      <w:r>
        <w:rPr>
          <w:rFonts w:cs="Times New Roman"/>
          <w:color w:val="000000" w:themeColor="text1"/>
        </w:rPr>
        <w:t>“</w:t>
      </w:r>
      <w:r>
        <w:rPr>
          <w:rFonts w:cs="Times New Roman"/>
          <w:color w:val="000000" w:themeColor="text1"/>
        </w:rPr>
        <w:t>六个百分之百</w:t>
      </w:r>
      <w:r>
        <w:rPr>
          <w:rFonts w:cs="Times New Roman"/>
          <w:color w:val="000000" w:themeColor="text1"/>
        </w:rPr>
        <w:t>”</w:t>
      </w:r>
      <w:r>
        <w:rPr>
          <w:rFonts w:cs="Times New Roman"/>
          <w:color w:val="000000" w:themeColor="text1"/>
        </w:rPr>
        <w:t>，即：工地周边围挡、物料堆放覆盖、土方开挖湿法作业、路面硬化、出入车辆清洗、渣土车辆密闭。同时增加洒水抑尘的频次，大风天气禁止开挖作业。并在围挡上安装喷水雾降尘装置，在施工时打开该装置进行降尘。</w:t>
      </w:r>
    </w:p>
    <w:p w:rsidR="00644456" w:rsidRDefault="008031C4">
      <w:pPr>
        <w:pStyle w:val="-"/>
        <w:ind w:firstLine="482"/>
        <w:rPr>
          <w:rFonts w:cs="Times New Roman"/>
          <w:b/>
          <w:color w:val="000000" w:themeColor="text1"/>
        </w:rPr>
      </w:pPr>
      <w:r>
        <w:rPr>
          <w:rFonts w:cs="Times New Roman"/>
          <w:b/>
          <w:color w:val="000000" w:themeColor="text1"/>
        </w:rPr>
        <w:t>综上，只要严格按照上面提出的扬尘控制措施，则项目施工期产生的扬尘对环境空气质量影响较小。同时施工期是暂时的，施工扬尘将随施工期的结束而停止产生，评价建议优化施工方案，缩短施工时间，尽量减少扬尘对周边环境影响的时间。</w:t>
      </w:r>
    </w:p>
    <w:p w:rsidR="00644456" w:rsidRDefault="008031C4">
      <w:pPr>
        <w:pStyle w:val="-"/>
        <w:ind w:firstLine="482"/>
        <w:rPr>
          <w:rFonts w:cs="Times New Roman"/>
          <w:b/>
          <w:color w:val="000000" w:themeColor="text1"/>
        </w:rPr>
      </w:pPr>
      <w:r>
        <w:rPr>
          <w:rFonts w:cs="Times New Roman"/>
          <w:b/>
          <w:color w:val="000000" w:themeColor="text1"/>
        </w:rPr>
        <w:t>2</w:t>
      </w:r>
      <w:r>
        <w:rPr>
          <w:rFonts w:cs="Times New Roman"/>
          <w:b/>
          <w:color w:val="000000" w:themeColor="text1"/>
        </w:rPr>
        <w:t>、施工机械燃油废气</w:t>
      </w:r>
    </w:p>
    <w:p w:rsidR="00644456" w:rsidRDefault="008031C4">
      <w:pPr>
        <w:pStyle w:val="-"/>
        <w:ind w:firstLine="480"/>
        <w:rPr>
          <w:rFonts w:cs="Times New Roman"/>
          <w:color w:val="000000" w:themeColor="text1"/>
        </w:rPr>
      </w:pPr>
      <w:r>
        <w:rPr>
          <w:rFonts w:cs="Times New Roman"/>
          <w:color w:val="000000" w:themeColor="text1"/>
        </w:rPr>
        <w:t>施工期间，使用机动车运送原材料、设备和建筑机械等设备的运转，均会排放一定量的</w:t>
      </w:r>
      <w:r>
        <w:rPr>
          <w:rFonts w:cs="Times New Roman"/>
          <w:color w:val="000000" w:themeColor="text1"/>
        </w:rPr>
        <w:t>CO</w:t>
      </w:r>
      <w:r>
        <w:rPr>
          <w:rFonts w:cs="Times New Roman"/>
          <w:color w:val="000000" w:themeColor="text1"/>
        </w:rPr>
        <w:t>、</w:t>
      </w:r>
      <w:r>
        <w:rPr>
          <w:rFonts w:cs="Times New Roman"/>
          <w:color w:val="000000" w:themeColor="text1"/>
        </w:rPr>
        <w:t>NOx</w:t>
      </w:r>
      <w:r>
        <w:rPr>
          <w:rFonts w:cs="Times New Roman"/>
          <w:color w:val="000000" w:themeColor="text1"/>
        </w:rPr>
        <w:t>以及未完全燃烧的</w:t>
      </w:r>
      <w:r>
        <w:rPr>
          <w:rFonts w:cs="Times New Roman"/>
          <w:color w:val="000000" w:themeColor="text1"/>
        </w:rPr>
        <w:t>HC</w:t>
      </w:r>
      <w:r>
        <w:rPr>
          <w:rFonts w:cs="Times New Roman"/>
          <w:color w:val="000000" w:themeColor="text1"/>
        </w:rPr>
        <w:t>等，其特点是排放量小，属间断性排放，加之项目施工场地扩散条件良好，这些废气可得到有效地稀释扩散，能够达标排放，因此其对环境的影响甚微。</w:t>
      </w:r>
    </w:p>
    <w:p w:rsidR="00644456" w:rsidRDefault="008031C4">
      <w:pPr>
        <w:pStyle w:val="-"/>
        <w:ind w:firstLine="482"/>
        <w:rPr>
          <w:rFonts w:cs="Times New Roman"/>
          <w:b/>
          <w:color w:val="000000" w:themeColor="text1"/>
        </w:rPr>
      </w:pPr>
      <w:r>
        <w:rPr>
          <w:rFonts w:cs="Times New Roman"/>
          <w:b/>
          <w:color w:val="000000" w:themeColor="text1"/>
        </w:rPr>
        <w:t>3</w:t>
      </w:r>
      <w:r>
        <w:rPr>
          <w:rFonts w:cs="Times New Roman"/>
          <w:b/>
          <w:color w:val="000000" w:themeColor="text1"/>
        </w:rPr>
        <w:t>、汽车尾气</w:t>
      </w:r>
    </w:p>
    <w:p w:rsidR="00644456" w:rsidRDefault="008031C4">
      <w:pPr>
        <w:pStyle w:val="-"/>
        <w:ind w:firstLine="480"/>
        <w:rPr>
          <w:rFonts w:cs="Times New Roman"/>
          <w:color w:val="000000" w:themeColor="text1"/>
        </w:rPr>
      </w:pPr>
      <w:r>
        <w:rPr>
          <w:rFonts w:cs="Times New Roman"/>
          <w:color w:val="000000" w:themeColor="text1"/>
        </w:rPr>
        <w:t>施工期间，有运输车辆尾气排放，其特点是排放量小，属于间断性排放，项目施工场地扩散条件良好，这些废气可得到有效</w:t>
      </w:r>
      <w:r>
        <w:rPr>
          <w:rFonts w:cs="Times New Roman" w:hint="eastAsia"/>
          <w:color w:val="000000" w:themeColor="text1"/>
        </w:rPr>
        <w:t>的</w:t>
      </w:r>
      <w:r>
        <w:rPr>
          <w:rFonts w:cs="Times New Roman"/>
          <w:color w:val="000000" w:themeColor="text1"/>
        </w:rPr>
        <w:t>稀释扩散，能够达标排放。本环评要求建设方对运输车辆加强保养，选取优质燃料，禁止运输车辆超载行驶；并做好施工现场的交通组织，避免因施工造成的交通阻塞，减少运输车辆怠速产生的废气排放，进一步降低其对外界环境的影响。</w:t>
      </w:r>
    </w:p>
    <w:p w:rsidR="00644456" w:rsidRDefault="008031C4">
      <w:pPr>
        <w:pStyle w:val="-"/>
        <w:ind w:firstLine="482"/>
        <w:rPr>
          <w:rFonts w:cs="Times New Roman"/>
          <w:b/>
          <w:color w:val="000000" w:themeColor="text1"/>
        </w:rPr>
      </w:pPr>
      <w:r>
        <w:rPr>
          <w:rFonts w:cs="Times New Roman"/>
          <w:b/>
          <w:color w:val="000000" w:themeColor="text1"/>
        </w:rPr>
        <w:t>综上，本项目施工期废气对环境的影响较小。</w:t>
      </w:r>
    </w:p>
    <w:p w:rsidR="00644456" w:rsidRDefault="008031C4">
      <w:pPr>
        <w:pStyle w:val="3"/>
        <w:numPr>
          <w:ilvl w:val="2"/>
          <w:numId w:val="0"/>
        </w:numPr>
        <w:ind w:firstLineChars="200" w:firstLine="482"/>
      </w:pPr>
      <w:bookmarkStart w:id="280" w:name="_Toc489290421"/>
      <w:bookmarkStart w:id="281" w:name="_Toc30612"/>
      <w:bookmarkStart w:id="282" w:name="_Toc500840323"/>
      <w:r>
        <w:rPr>
          <w:rFonts w:hint="eastAsia"/>
        </w:rPr>
        <w:t>4.2.2</w:t>
      </w:r>
      <w:r>
        <w:rPr>
          <w:rFonts w:hint="eastAsia"/>
        </w:rPr>
        <w:t>施工期地表水环境影响分析</w:t>
      </w:r>
      <w:bookmarkEnd w:id="280"/>
      <w:bookmarkEnd w:id="281"/>
      <w:bookmarkEnd w:id="282"/>
    </w:p>
    <w:p w:rsidR="00644456" w:rsidRDefault="008031C4">
      <w:pPr>
        <w:pStyle w:val="-"/>
        <w:ind w:firstLine="480"/>
        <w:rPr>
          <w:rFonts w:cs="Times New Roman"/>
          <w:color w:val="000000" w:themeColor="text1"/>
        </w:rPr>
      </w:pPr>
      <w:r>
        <w:rPr>
          <w:rFonts w:cs="Times New Roman"/>
          <w:color w:val="000000" w:themeColor="text1"/>
        </w:rPr>
        <w:t>施工期产生的污水主要有施工废水和施工人员生活废水。</w:t>
      </w:r>
    </w:p>
    <w:p w:rsidR="00644456" w:rsidRDefault="008031C4">
      <w:pPr>
        <w:pStyle w:val="-"/>
        <w:ind w:firstLine="480"/>
        <w:rPr>
          <w:rFonts w:cs="Times New Roman"/>
          <w:color w:val="000000" w:themeColor="text1"/>
        </w:rPr>
      </w:pPr>
      <w:r>
        <w:rPr>
          <w:rFonts w:cs="Times New Roman"/>
          <w:color w:val="000000" w:themeColor="text1"/>
        </w:rPr>
        <w:t>施工废水中含有大量的泥沙与悬浮物（浓度在</w:t>
      </w:r>
      <w:r>
        <w:rPr>
          <w:rFonts w:cs="Times New Roman"/>
          <w:color w:val="000000" w:themeColor="text1"/>
        </w:rPr>
        <w:t>1000mg/L</w:t>
      </w:r>
      <w:r>
        <w:rPr>
          <w:rFonts w:cs="Times New Roman"/>
          <w:color w:val="000000" w:themeColor="text1"/>
        </w:rPr>
        <w:t>左右），另有少量油污（浓度在</w:t>
      </w:r>
      <w:r>
        <w:rPr>
          <w:rFonts w:cs="Times New Roman"/>
          <w:color w:val="000000" w:themeColor="text1"/>
        </w:rPr>
        <w:t>20mg/L</w:t>
      </w:r>
      <w:r>
        <w:rPr>
          <w:rFonts w:cs="Times New Roman"/>
          <w:color w:val="000000" w:themeColor="text1"/>
        </w:rPr>
        <w:t>左右），经临时隔油沉淀池处理后上清液循环利用，不外排，对环境无影</w:t>
      </w:r>
      <w:r>
        <w:rPr>
          <w:rFonts w:cs="Times New Roman"/>
          <w:color w:val="000000" w:themeColor="text1"/>
        </w:rPr>
        <w:lastRenderedPageBreak/>
        <w:t>响。</w:t>
      </w:r>
    </w:p>
    <w:p w:rsidR="00644456" w:rsidRDefault="008031C4">
      <w:pPr>
        <w:pStyle w:val="-"/>
        <w:ind w:firstLine="480"/>
        <w:rPr>
          <w:rFonts w:cs="Times New Roman"/>
          <w:color w:val="000000" w:themeColor="text1"/>
        </w:rPr>
      </w:pPr>
      <w:r>
        <w:rPr>
          <w:rFonts w:cs="Times New Roman"/>
          <w:color w:val="000000" w:themeColor="text1"/>
        </w:rPr>
        <w:t>施工期生活污水排放量约为</w:t>
      </w:r>
      <w:r>
        <w:rPr>
          <w:rFonts w:cs="Times New Roman"/>
          <w:color w:val="000000" w:themeColor="text1"/>
        </w:rPr>
        <w:t>2.0m</w:t>
      </w:r>
      <w:r>
        <w:rPr>
          <w:rFonts w:cs="Times New Roman"/>
          <w:color w:val="000000" w:themeColor="text1"/>
          <w:vertAlign w:val="superscript"/>
        </w:rPr>
        <w:t>3</w:t>
      </w:r>
      <w:r>
        <w:rPr>
          <w:rFonts w:cs="Times New Roman"/>
          <w:color w:val="000000" w:themeColor="text1"/>
        </w:rPr>
        <w:t>/d</w:t>
      </w:r>
      <w:r>
        <w:rPr>
          <w:rFonts w:cs="Times New Roman"/>
          <w:color w:val="000000" w:themeColor="text1"/>
        </w:rPr>
        <w:t>。</w:t>
      </w:r>
      <w:r>
        <w:rPr>
          <w:rFonts w:cs="Times New Roman" w:hint="eastAsia"/>
          <w:color w:val="000000" w:themeColor="text1"/>
        </w:rPr>
        <w:t>项目内不设置施工营地，</w:t>
      </w:r>
      <w:r>
        <w:rPr>
          <w:rFonts w:cs="Times New Roman"/>
          <w:color w:val="000000" w:themeColor="text1"/>
        </w:rPr>
        <w:t>施工人员生活污水中主要含</w:t>
      </w:r>
      <w:r>
        <w:rPr>
          <w:rFonts w:cs="Times New Roman"/>
          <w:color w:val="000000" w:themeColor="text1"/>
        </w:rPr>
        <w:t>COD</w:t>
      </w:r>
      <w:r>
        <w:rPr>
          <w:rFonts w:cs="Times New Roman"/>
          <w:color w:val="000000" w:themeColor="text1"/>
        </w:rPr>
        <w:t>、</w:t>
      </w:r>
      <w:r>
        <w:rPr>
          <w:rFonts w:cs="Times New Roman"/>
          <w:color w:val="000000" w:themeColor="text1"/>
        </w:rPr>
        <w:t>BOD</w:t>
      </w:r>
      <w:r>
        <w:rPr>
          <w:rFonts w:cs="Times New Roman"/>
          <w:color w:val="000000" w:themeColor="text1"/>
          <w:vertAlign w:val="subscript"/>
        </w:rPr>
        <w:t>5</w:t>
      </w:r>
      <w:r>
        <w:rPr>
          <w:rFonts w:cs="Times New Roman"/>
          <w:color w:val="000000" w:themeColor="text1"/>
        </w:rPr>
        <w:t>、</w:t>
      </w:r>
      <w:r>
        <w:rPr>
          <w:rFonts w:cs="Times New Roman"/>
          <w:color w:val="000000" w:themeColor="text1"/>
        </w:rPr>
        <w:t>NH</w:t>
      </w:r>
      <w:r>
        <w:rPr>
          <w:rFonts w:cs="Times New Roman"/>
          <w:color w:val="000000" w:themeColor="text1"/>
          <w:vertAlign w:val="subscript"/>
        </w:rPr>
        <w:t>3</w:t>
      </w:r>
      <w:r>
        <w:rPr>
          <w:rFonts w:cs="Times New Roman"/>
          <w:color w:val="000000" w:themeColor="text1"/>
        </w:rPr>
        <w:t>-N</w:t>
      </w:r>
      <w:r>
        <w:rPr>
          <w:rFonts w:cs="Times New Roman"/>
          <w:color w:val="000000" w:themeColor="text1"/>
        </w:rPr>
        <w:t>、</w:t>
      </w:r>
      <w:r>
        <w:rPr>
          <w:rFonts w:cs="Times New Roman"/>
          <w:color w:val="000000" w:themeColor="text1"/>
        </w:rPr>
        <w:t>SS</w:t>
      </w:r>
      <w:r>
        <w:rPr>
          <w:rFonts w:cs="Times New Roman"/>
          <w:color w:val="000000" w:themeColor="text1"/>
        </w:rPr>
        <w:t>等，</w:t>
      </w:r>
      <w:r>
        <w:rPr>
          <w:rFonts w:cs="Times New Roman" w:hint="eastAsia"/>
          <w:bCs/>
          <w:color w:val="000000" w:themeColor="text1"/>
          <w:szCs w:val="21"/>
        </w:rPr>
        <w:t>生活污水经依托区域已有污水处理设施</w:t>
      </w:r>
      <w:r>
        <w:rPr>
          <w:rFonts w:cs="Times New Roman"/>
          <w:color w:val="000000" w:themeColor="text1"/>
        </w:rPr>
        <w:t>。</w:t>
      </w:r>
    </w:p>
    <w:p w:rsidR="00644456" w:rsidRDefault="008031C4">
      <w:pPr>
        <w:pStyle w:val="-"/>
        <w:ind w:firstLine="482"/>
        <w:rPr>
          <w:rFonts w:cs="Times New Roman"/>
          <w:b/>
          <w:bCs/>
          <w:color w:val="000000" w:themeColor="text1"/>
        </w:rPr>
      </w:pPr>
      <w:r>
        <w:rPr>
          <w:rFonts w:cs="Times New Roman"/>
          <w:b/>
          <w:bCs/>
          <w:color w:val="000000" w:themeColor="text1"/>
        </w:rPr>
        <w:t>因此，项目施工期废水在采取了上述措施后，对周边环境不会造成明显影响。</w:t>
      </w:r>
    </w:p>
    <w:p w:rsidR="00644456" w:rsidRDefault="008031C4">
      <w:pPr>
        <w:pStyle w:val="3"/>
        <w:numPr>
          <w:ilvl w:val="2"/>
          <w:numId w:val="0"/>
        </w:numPr>
        <w:ind w:firstLineChars="200" w:firstLine="482"/>
      </w:pPr>
      <w:bookmarkStart w:id="283" w:name="_Toc500840324"/>
      <w:bookmarkStart w:id="284" w:name="_Toc1255"/>
      <w:bookmarkStart w:id="285" w:name="_Toc489290422"/>
      <w:r>
        <w:rPr>
          <w:rFonts w:hint="eastAsia"/>
        </w:rPr>
        <w:t>4.2.3</w:t>
      </w:r>
      <w:r>
        <w:rPr>
          <w:rFonts w:hint="eastAsia"/>
        </w:rPr>
        <w:t>施工期声环境影响分析</w:t>
      </w:r>
      <w:bookmarkEnd w:id="283"/>
      <w:bookmarkEnd w:id="284"/>
      <w:bookmarkEnd w:id="285"/>
    </w:p>
    <w:p w:rsidR="00644456" w:rsidRDefault="008031C4">
      <w:pPr>
        <w:pStyle w:val="-"/>
        <w:ind w:firstLine="482"/>
        <w:rPr>
          <w:rFonts w:cs="Times New Roman"/>
          <w:b/>
          <w:color w:val="000000" w:themeColor="text1"/>
        </w:rPr>
      </w:pPr>
      <w:r>
        <w:rPr>
          <w:rFonts w:cs="Times New Roman"/>
          <w:b/>
          <w:color w:val="000000" w:themeColor="text1"/>
        </w:rPr>
        <w:t>（</w:t>
      </w:r>
      <w:r>
        <w:rPr>
          <w:rFonts w:cs="Times New Roman"/>
          <w:b/>
          <w:color w:val="000000" w:themeColor="text1"/>
        </w:rPr>
        <w:t>1</w:t>
      </w:r>
      <w:r>
        <w:rPr>
          <w:rFonts w:cs="Times New Roman"/>
          <w:b/>
          <w:color w:val="000000" w:themeColor="text1"/>
        </w:rPr>
        <w:t>）源强分析</w:t>
      </w:r>
    </w:p>
    <w:p w:rsidR="00644456" w:rsidRDefault="008031C4">
      <w:pPr>
        <w:pStyle w:val="-"/>
        <w:ind w:firstLine="480"/>
        <w:rPr>
          <w:rFonts w:cs="Times New Roman"/>
          <w:color w:val="000000" w:themeColor="text1"/>
        </w:rPr>
      </w:pPr>
      <w:r>
        <w:rPr>
          <w:rFonts w:cs="Times New Roman"/>
          <w:color w:val="000000" w:themeColor="text1"/>
        </w:rPr>
        <w:t>施工期的噪声主要来源于施工现场的各类机械设备噪声，由于各施工阶段均有大量设备交互作业，这些设备在场地内的位置以及使用率均有较大变化，因此很难计算其确切的施工场界噪声，根据施工量，按经验计算各施工阶段的昼夜的主要噪声源及场界噪声和标准声级见下表。施工期间的场界噪声必须满足《建筑施工场界环境噪声排放标准》（</w:t>
      </w:r>
      <w:r>
        <w:rPr>
          <w:rFonts w:cs="Times New Roman"/>
          <w:color w:val="000000" w:themeColor="text1"/>
        </w:rPr>
        <w:t>GB12523-2011</w:t>
      </w:r>
      <w:r>
        <w:rPr>
          <w:rFonts w:cs="Times New Roman"/>
          <w:color w:val="000000" w:themeColor="text1"/>
        </w:rPr>
        <w:t>）标准要求。</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4.2</w:t>
      </w:r>
      <w:r>
        <w:rPr>
          <w:rFonts w:cs="Times New Roman" w:hint="eastAsia"/>
          <w:b/>
          <w:color w:val="000000" w:themeColor="text1"/>
          <w:sz w:val="24"/>
          <w:szCs w:val="20"/>
        </w:rPr>
        <w:noBreakHyphen/>
      </w:r>
      <w:r>
        <w:rPr>
          <w:rFonts w:cs="Times New Roman" w:hint="eastAsia"/>
          <w:b/>
          <w:color w:val="000000" w:themeColor="text1"/>
          <w:sz w:val="24"/>
          <w:szCs w:val="20"/>
        </w:rPr>
        <w:fldChar w:fldCharType="begin"/>
      </w:r>
      <w:r>
        <w:rPr>
          <w:rFonts w:cs="Times New Roman" w:hint="eastAsia"/>
          <w:b/>
          <w:color w:val="000000" w:themeColor="text1"/>
          <w:sz w:val="24"/>
          <w:szCs w:val="20"/>
        </w:rPr>
        <w:instrText xml:space="preserve"> SEQ </w:instrText>
      </w:r>
      <w:r>
        <w:rPr>
          <w:rFonts w:cs="Times New Roman" w:hint="eastAsia"/>
          <w:b/>
          <w:color w:val="000000" w:themeColor="text1"/>
          <w:sz w:val="24"/>
          <w:szCs w:val="20"/>
        </w:rPr>
        <w:instrText>表</w:instrText>
      </w:r>
      <w:r>
        <w:rPr>
          <w:rFonts w:cs="Times New Roman" w:hint="eastAsia"/>
          <w:b/>
          <w:color w:val="000000" w:themeColor="text1"/>
          <w:sz w:val="24"/>
          <w:szCs w:val="20"/>
        </w:rPr>
        <w:instrText xml:space="preserve"> \* ARABIC \s 1 </w:instrText>
      </w:r>
      <w:r>
        <w:rPr>
          <w:rFonts w:cs="Times New Roman" w:hint="eastAsia"/>
          <w:b/>
          <w:color w:val="000000" w:themeColor="text1"/>
          <w:sz w:val="24"/>
          <w:szCs w:val="20"/>
        </w:rPr>
        <w:fldChar w:fldCharType="separate"/>
      </w:r>
      <w:r>
        <w:rPr>
          <w:rFonts w:cs="Times New Roman" w:hint="eastAsia"/>
          <w:b/>
          <w:color w:val="000000" w:themeColor="text1"/>
          <w:sz w:val="24"/>
          <w:szCs w:val="20"/>
        </w:rPr>
        <w:t>5</w:t>
      </w:r>
      <w:r>
        <w:rPr>
          <w:rFonts w:cs="Times New Roman" w:hint="eastAsia"/>
          <w:b/>
          <w:color w:val="000000" w:themeColor="text1"/>
          <w:sz w:val="24"/>
          <w:szCs w:val="20"/>
        </w:rPr>
        <w:fldChar w:fldCharType="end"/>
      </w:r>
      <w:r>
        <w:rPr>
          <w:rFonts w:cs="Times New Roman" w:hint="eastAsia"/>
          <w:b/>
          <w:color w:val="000000" w:themeColor="text1"/>
          <w:sz w:val="24"/>
          <w:szCs w:val="20"/>
        </w:rPr>
        <w:t>交通运输车辆噪声</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830"/>
        <w:gridCol w:w="2746"/>
        <w:gridCol w:w="2286"/>
        <w:gridCol w:w="2379"/>
      </w:tblGrid>
      <w:tr w:rsidR="00644456">
        <w:trPr>
          <w:cantSplit/>
          <w:jc w:val="center"/>
        </w:trPr>
        <w:tc>
          <w:tcPr>
            <w:tcW w:w="990"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施工阶段</w:t>
            </w:r>
          </w:p>
        </w:tc>
        <w:tc>
          <w:tcPr>
            <w:tcW w:w="1485"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运输内容</w:t>
            </w:r>
          </w:p>
        </w:tc>
        <w:tc>
          <w:tcPr>
            <w:tcW w:w="1237"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车辆类型</w:t>
            </w:r>
          </w:p>
        </w:tc>
        <w:tc>
          <w:tcPr>
            <w:tcW w:w="1286"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声源强度【</w:t>
            </w:r>
            <w:r>
              <w:rPr>
                <w:rFonts w:cs="Times New Roman"/>
                <w:b/>
                <w:color w:val="000000" w:themeColor="text1"/>
              </w:rPr>
              <w:t>dB</w:t>
            </w:r>
            <w:r>
              <w:rPr>
                <w:rFonts w:cs="Times New Roman"/>
                <w:b/>
                <w:color w:val="000000" w:themeColor="text1"/>
              </w:rPr>
              <w:t>（</w:t>
            </w:r>
            <w:r>
              <w:rPr>
                <w:rFonts w:cs="Times New Roman"/>
                <w:b/>
                <w:color w:val="000000" w:themeColor="text1"/>
              </w:rPr>
              <w:t>A</w:t>
            </w:r>
            <w:r>
              <w:rPr>
                <w:rFonts w:cs="Times New Roman"/>
                <w:b/>
                <w:color w:val="000000" w:themeColor="text1"/>
              </w:rPr>
              <w:t>）】</w:t>
            </w:r>
          </w:p>
        </w:tc>
      </w:tr>
      <w:tr w:rsidR="00644456">
        <w:trPr>
          <w:cantSplit/>
          <w:jc w:val="center"/>
        </w:trPr>
        <w:tc>
          <w:tcPr>
            <w:tcW w:w="990"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底板与结构阶段</w:t>
            </w:r>
          </w:p>
        </w:tc>
        <w:tc>
          <w:tcPr>
            <w:tcW w:w="1485"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钢筋、混凝土等</w:t>
            </w:r>
          </w:p>
        </w:tc>
        <w:tc>
          <w:tcPr>
            <w:tcW w:w="1237"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混凝土罐车、载重车</w:t>
            </w:r>
          </w:p>
        </w:tc>
        <w:tc>
          <w:tcPr>
            <w:tcW w:w="1286"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80</w:t>
            </w:r>
            <w:r>
              <w:rPr>
                <w:rFonts w:cs="Times New Roman"/>
                <w:color w:val="000000" w:themeColor="text1"/>
              </w:rPr>
              <w:t>～</w:t>
            </w:r>
            <w:r>
              <w:rPr>
                <w:rFonts w:cs="Times New Roman"/>
                <w:color w:val="000000" w:themeColor="text1"/>
              </w:rPr>
              <w:t>85</w:t>
            </w:r>
          </w:p>
        </w:tc>
      </w:tr>
      <w:tr w:rsidR="00644456">
        <w:trPr>
          <w:cantSplit/>
          <w:jc w:val="center"/>
        </w:trPr>
        <w:tc>
          <w:tcPr>
            <w:tcW w:w="990"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装修安装阶段</w:t>
            </w:r>
          </w:p>
        </w:tc>
        <w:tc>
          <w:tcPr>
            <w:tcW w:w="1485"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各种装修材料及必备设备</w:t>
            </w:r>
          </w:p>
        </w:tc>
        <w:tc>
          <w:tcPr>
            <w:tcW w:w="1237"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轻型载重卡车</w:t>
            </w:r>
          </w:p>
        </w:tc>
        <w:tc>
          <w:tcPr>
            <w:tcW w:w="1286"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75</w:t>
            </w:r>
            <w:r>
              <w:rPr>
                <w:rFonts w:cs="Times New Roman"/>
                <w:color w:val="000000" w:themeColor="text1"/>
              </w:rPr>
              <w:t>～</w:t>
            </w:r>
            <w:r>
              <w:rPr>
                <w:rFonts w:cs="Times New Roman"/>
                <w:color w:val="000000" w:themeColor="text1"/>
              </w:rPr>
              <w:t>80</w:t>
            </w:r>
          </w:p>
        </w:tc>
      </w:tr>
    </w:tbl>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4.2</w:t>
      </w:r>
      <w:r>
        <w:rPr>
          <w:rFonts w:cs="Times New Roman" w:hint="eastAsia"/>
          <w:b/>
          <w:color w:val="000000" w:themeColor="text1"/>
          <w:sz w:val="24"/>
          <w:szCs w:val="20"/>
        </w:rPr>
        <w:noBreakHyphen/>
      </w:r>
      <w:r>
        <w:rPr>
          <w:rFonts w:cs="Times New Roman" w:hint="eastAsia"/>
          <w:b/>
          <w:color w:val="000000" w:themeColor="text1"/>
          <w:sz w:val="24"/>
          <w:szCs w:val="20"/>
        </w:rPr>
        <w:fldChar w:fldCharType="begin"/>
      </w:r>
      <w:r>
        <w:rPr>
          <w:rFonts w:cs="Times New Roman" w:hint="eastAsia"/>
          <w:b/>
          <w:color w:val="000000" w:themeColor="text1"/>
          <w:sz w:val="24"/>
          <w:szCs w:val="20"/>
        </w:rPr>
        <w:instrText xml:space="preserve"> SEQ </w:instrText>
      </w:r>
      <w:r>
        <w:rPr>
          <w:rFonts w:cs="Times New Roman" w:hint="eastAsia"/>
          <w:b/>
          <w:color w:val="000000" w:themeColor="text1"/>
          <w:sz w:val="24"/>
          <w:szCs w:val="20"/>
        </w:rPr>
        <w:instrText>表</w:instrText>
      </w:r>
      <w:r>
        <w:rPr>
          <w:rFonts w:cs="Times New Roman" w:hint="eastAsia"/>
          <w:b/>
          <w:color w:val="000000" w:themeColor="text1"/>
          <w:sz w:val="24"/>
          <w:szCs w:val="20"/>
        </w:rPr>
        <w:instrText xml:space="preserve"> \* ARABIC \s 1 </w:instrText>
      </w:r>
      <w:r>
        <w:rPr>
          <w:rFonts w:cs="Times New Roman" w:hint="eastAsia"/>
          <w:b/>
          <w:color w:val="000000" w:themeColor="text1"/>
          <w:sz w:val="24"/>
          <w:szCs w:val="20"/>
        </w:rPr>
        <w:fldChar w:fldCharType="separate"/>
      </w:r>
      <w:r>
        <w:rPr>
          <w:rFonts w:cs="Times New Roman" w:hint="eastAsia"/>
          <w:b/>
          <w:color w:val="000000" w:themeColor="text1"/>
          <w:sz w:val="24"/>
          <w:szCs w:val="20"/>
        </w:rPr>
        <w:t>6</w:t>
      </w:r>
      <w:r>
        <w:rPr>
          <w:rFonts w:cs="Times New Roman" w:hint="eastAsia"/>
          <w:b/>
          <w:color w:val="000000" w:themeColor="text1"/>
          <w:sz w:val="24"/>
          <w:szCs w:val="20"/>
        </w:rPr>
        <w:fldChar w:fldCharType="end"/>
      </w:r>
      <w:r>
        <w:rPr>
          <w:rFonts w:cs="Times New Roman" w:hint="eastAsia"/>
          <w:b/>
          <w:color w:val="000000" w:themeColor="text1"/>
          <w:sz w:val="24"/>
          <w:szCs w:val="20"/>
        </w:rPr>
        <w:t>施工期噪声声源强度表</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3052"/>
        <w:gridCol w:w="3052"/>
        <w:gridCol w:w="3137"/>
      </w:tblGrid>
      <w:tr w:rsidR="00644456">
        <w:trPr>
          <w:cantSplit/>
          <w:tblHeader/>
        </w:trPr>
        <w:tc>
          <w:tcPr>
            <w:tcW w:w="1651"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施工阶段</w:t>
            </w:r>
          </w:p>
        </w:tc>
        <w:tc>
          <w:tcPr>
            <w:tcW w:w="1651"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声源</w:t>
            </w:r>
          </w:p>
        </w:tc>
        <w:tc>
          <w:tcPr>
            <w:tcW w:w="1697"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声源强度【</w:t>
            </w:r>
            <w:r>
              <w:rPr>
                <w:rFonts w:cs="Times New Roman"/>
                <w:b/>
                <w:color w:val="000000" w:themeColor="text1"/>
              </w:rPr>
              <w:t>dB</w:t>
            </w:r>
            <w:r>
              <w:rPr>
                <w:rFonts w:cs="Times New Roman"/>
                <w:b/>
                <w:color w:val="000000" w:themeColor="text1"/>
              </w:rPr>
              <w:t>（</w:t>
            </w:r>
            <w:r>
              <w:rPr>
                <w:rFonts w:cs="Times New Roman"/>
                <w:b/>
                <w:color w:val="000000" w:themeColor="text1"/>
              </w:rPr>
              <w:t>A</w:t>
            </w:r>
            <w:r>
              <w:rPr>
                <w:rFonts w:cs="Times New Roman"/>
                <w:b/>
                <w:color w:val="000000" w:themeColor="text1"/>
              </w:rPr>
              <w:t>）】</w:t>
            </w:r>
          </w:p>
        </w:tc>
      </w:tr>
      <w:tr w:rsidR="00644456">
        <w:trPr>
          <w:cantSplit/>
          <w:tblHeader/>
        </w:trPr>
        <w:tc>
          <w:tcPr>
            <w:tcW w:w="1651" w:type="pct"/>
            <w:vMerge w:val="restart"/>
            <w:shd w:val="clear" w:color="auto" w:fill="auto"/>
            <w:vAlign w:val="center"/>
          </w:tcPr>
          <w:p w:rsidR="00644456" w:rsidRDefault="008031C4">
            <w:pPr>
              <w:jc w:val="center"/>
              <w:rPr>
                <w:rFonts w:cs="Times New Roman"/>
                <w:color w:val="000000" w:themeColor="text1"/>
              </w:rPr>
            </w:pPr>
            <w:r>
              <w:rPr>
                <w:rFonts w:cs="Times New Roman"/>
                <w:color w:val="000000" w:themeColor="text1"/>
              </w:rPr>
              <w:t>底板与结构阶段</w:t>
            </w:r>
          </w:p>
        </w:tc>
        <w:tc>
          <w:tcPr>
            <w:tcW w:w="1651"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混凝土输送泵</w:t>
            </w:r>
          </w:p>
        </w:tc>
        <w:tc>
          <w:tcPr>
            <w:tcW w:w="1697"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90</w:t>
            </w:r>
            <w:r>
              <w:rPr>
                <w:rFonts w:cs="Times New Roman"/>
                <w:color w:val="000000" w:themeColor="text1"/>
              </w:rPr>
              <w:t>～</w:t>
            </w:r>
            <w:r>
              <w:rPr>
                <w:rFonts w:cs="Times New Roman"/>
                <w:color w:val="000000" w:themeColor="text1"/>
              </w:rPr>
              <w:t>100</w:t>
            </w:r>
          </w:p>
        </w:tc>
      </w:tr>
      <w:tr w:rsidR="00644456">
        <w:trPr>
          <w:cantSplit/>
          <w:tblHeader/>
        </w:trPr>
        <w:tc>
          <w:tcPr>
            <w:tcW w:w="1651" w:type="pct"/>
            <w:vMerge/>
            <w:shd w:val="clear" w:color="auto" w:fill="auto"/>
            <w:vAlign w:val="center"/>
          </w:tcPr>
          <w:p w:rsidR="00644456" w:rsidRDefault="00644456">
            <w:pPr>
              <w:jc w:val="center"/>
              <w:rPr>
                <w:rFonts w:cs="Times New Roman"/>
                <w:color w:val="000000" w:themeColor="text1"/>
              </w:rPr>
            </w:pPr>
          </w:p>
        </w:tc>
        <w:tc>
          <w:tcPr>
            <w:tcW w:w="1651"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振捣器</w:t>
            </w:r>
          </w:p>
        </w:tc>
        <w:tc>
          <w:tcPr>
            <w:tcW w:w="1697"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100</w:t>
            </w:r>
            <w:r>
              <w:rPr>
                <w:rFonts w:cs="Times New Roman"/>
                <w:color w:val="000000" w:themeColor="text1"/>
              </w:rPr>
              <w:t>～</w:t>
            </w:r>
            <w:r>
              <w:rPr>
                <w:rFonts w:cs="Times New Roman"/>
                <w:color w:val="000000" w:themeColor="text1"/>
              </w:rPr>
              <w:t>100</w:t>
            </w:r>
          </w:p>
        </w:tc>
      </w:tr>
      <w:tr w:rsidR="00644456">
        <w:trPr>
          <w:cantSplit/>
          <w:tblHeader/>
        </w:trPr>
        <w:tc>
          <w:tcPr>
            <w:tcW w:w="1651" w:type="pct"/>
            <w:vMerge/>
            <w:shd w:val="clear" w:color="auto" w:fill="auto"/>
            <w:vAlign w:val="center"/>
          </w:tcPr>
          <w:p w:rsidR="00644456" w:rsidRDefault="00644456">
            <w:pPr>
              <w:jc w:val="center"/>
              <w:rPr>
                <w:rFonts w:cs="Times New Roman"/>
                <w:color w:val="000000" w:themeColor="text1"/>
              </w:rPr>
            </w:pPr>
          </w:p>
        </w:tc>
        <w:tc>
          <w:tcPr>
            <w:tcW w:w="1651"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电锯</w:t>
            </w:r>
          </w:p>
        </w:tc>
        <w:tc>
          <w:tcPr>
            <w:tcW w:w="1697"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100</w:t>
            </w:r>
            <w:r>
              <w:rPr>
                <w:rFonts w:cs="Times New Roman"/>
                <w:color w:val="000000" w:themeColor="text1"/>
              </w:rPr>
              <w:t>～</w:t>
            </w:r>
            <w:r>
              <w:rPr>
                <w:rFonts w:cs="Times New Roman"/>
                <w:color w:val="000000" w:themeColor="text1"/>
              </w:rPr>
              <w:t>100</w:t>
            </w:r>
          </w:p>
        </w:tc>
      </w:tr>
      <w:tr w:rsidR="00644456">
        <w:trPr>
          <w:cantSplit/>
          <w:tblHeader/>
        </w:trPr>
        <w:tc>
          <w:tcPr>
            <w:tcW w:w="1651" w:type="pct"/>
            <w:vMerge/>
            <w:shd w:val="clear" w:color="auto" w:fill="auto"/>
            <w:vAlign w:val="center"/>
          </w:tcPr>
          <w:p w:rsidR="00644456" w:rsidRDefault="00644456">
            <w:pPr>
              <w:jc w:val="center"/>
              <w:rPr>
                <w:rFonts w:cs="Times New Roman"/>
                <w:color w:val="000000" w:themeColor="text1"/>
              </w:rPr>
            </w:pPr>
          </w:p>
        </w:tc>
        <w:tc>
          <w:tcPr>
            <w:tcW w:w="1651"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电焊机</w:t>
            </w:r>
          </w:p>
        </w:tc>
        <w:tc>
          <w:tcPr>
            <w:tcW w:w="1697"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90</w:t>
            </w:r>
            <w:r>
              <w:rPr>
                <w:rFonts w:cs="Times New Roman"/>
                <w:color w:val="000000" w:themeColor="text1"/>
              </w:rPr>
              <w:t>～</w:t>
            </w:r>
            <w:r>
              <w:rPr>
                <w:rFonts w:cs="Times New Roman"/>
                <w:color w:val="000000" w:themeColor="text1"/>
              </w:rPr>
              <w:t>95</w:t>
            </w:r>
          </w:p>
        </w:tc>
      </w:tr>
      <w:tr w:rsidR="00644456">
        <w:trPr>
          <w:cantSplit/>
          <w:tblHeader/>
        </w:trPr>
        <w:tc>
          <w:tcPr>
            <w:tcW w:w="1651" w:type="pct"/>
            <w:vMerge w:val="restart"/>
            <w:shd w:val="clear" w:color="auto" w:fill="auto"/>
            <w:vAlign w:val="center"/>
          </w:tcPr>
          <w:p w:rsidR="00644456" w:rsidRDefault="008031C4">
            <w:pPr>
              <w:jc w:val="center"/>
              <w:rPr>
                <w:rFonts w:cs="Times New Roman"/>
                <w:color w:val="000000" w:themeColor="text1"/>
              </w:rPr>
            </w:pPr>
            <w:r>
              <w:rPr>
                <w:rFonts w:cs="Times New Roman"/>
                <w:color w:val="000000" w:themeColor="text1"/>
              </w:rPr>
              <w:t>装修安装阶段</w:t>
            </w:r>
          </w:p>
        </w:tc>
        <w:tc>
          <w:tcPr>
            <w:tcW w:w="1651"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电钻、手工钻等</w:t>
            </w:r>
          </w:p>
        </w:tc>
        <w:tc>
          <w:tcPr>
            <w:tcW w:w="1697"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100</w:t>
            </w:r>
            <w:r>
              <w:rPr>
                <w:rFonts w:cs="Times New Roman"/>
                <w:color w:val="000000" w:themeColor="text1"/>
              </w:rPr>
              <w:t>～</w:t>
            </w:r>
            <w:r>
              <w:rPr>
                <w:rFonts w:cs="Times New Roman"/>
                <w:color w:val="000000" w:themeColor="text1"/>
              </w:rPr>
              <w:t>105</w:t>
            </w:r>
          </w:p>
        </w:tc>
      </w:tr>
      <w:tr w:rsidR="00644456">
        <w:trPr>
          <w:cantSplit/>
          <w:tblHeader/>
        </w:trPr>
        <w:tc>
          <w:tcPr>
            <w:tcW w:w="1651" w:type="pct"/>
            <w:vMerge/>
            <w:shd w:val="clear" w:color="auto" w:fill="auto"/>
            <w:vAlign w:val="center"/>
          </w:tcPr>
          <w:p w:rsidR="00644456" w:rsidRDefault="00644456">
            <w:pPr>
              <w:jc w:val="center"/>
              <w:rPr>
                <w:rFonts w:cs="Times New Roman"/>
                <w:color w:val="000000" w:themeColor="text1"/>
              </w:rPr>
            </w:pPr>
          </w:p>
        </w:tc>
        <w:tc>
          <w:tcPr>
            <w:tcW w:w="1651"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电锤</w:t>
            </w:r>
          </w:p>
        </w:tc>
        <w:tc>
          <w:tcPr>
            <w:tcW w:w="1697"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100</w:t>
            </w:r>
            <w:r>
              <w:rPr>
                <w:rFonts w:cs="Times New Roman"/>
                <w:color w:val="000000" w:themeColor="text1"/>
              </w:rPr>
              <w:t>～</w:t>
            </w:r>
            <w:r>
              <w:rPr>
                <w:rFonts w:cs="Times New Roman"/>
                <w:color w:val="000000" w:themeColor="text1"/>
              </w:rPr>
              <w:t>105</w:t>
            </w:r>
          </w:p>
        </w:tc>
      </w:tr>
      <w:tr w:rsidR="00644456">
        <w:trPr>
          <w:cantSplit/>
          <w:tblHeader/>
        </w:trPr>
        <w:tc>
          <w:tcPr>
            <w:tcW w:w="1651" w:type="pct"/>
            <w:vMerge/>
            <w:shd w:val="clear" w:color="auto" w:fill="auto"/>
            <w:vAlign w:val="center"/>
          </w:tcPr>
          <w:p w:rsidR="00644456" w:rsidRDefault="00644456">
            <w:pPr>
              <w:jc w:val="center"/>
              <w:rPr>
                <w:rFonts w:cs="Times New Roman"/>
                <w:color w:val="000000" w:themeColor="text1"/>
              </w:rPr>
            </w:pPr>
          </w:p>
        </w:tc>
        <w:tc>
          <w:tcPr>
            <w:tcW w:w="1651"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无齿锯</w:t>
            </w:r>
          </w:p>
        </w:tc>
        <w:tc>
          <w:tcPr>
            <w:tcW w:w="1697"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105</w:t>
            </w:r>
          </w:p>
        </w:tc>
      </w:tr>
    </w:tbl>
    <w:p w:rsidR="00644456" w:rsidRDefault="00644456">
      <w:pPr>
        <w:pStyle w:val="afffff4"/>
        <w:ind w:firstLine="482"/>
        <w:rPr>
          <w:rFonts w:cs="Times New Roman"/>
          <w:color w:val="000000" w:themeColor="text1"/>
        </w:rPr>
      </w:pPr>
    </w:p>
    <w:p w:rsidR="00644456" w:rsidRDefault="008031C4">
      <w:pPr>
        <w:pStyle w:val="-"/>
        <w:ind w:firstLine="482"/>
        <w:rPr>
          <w:rFonts w:cs="Times New Roman"/>
          <w:b/>
          <w:color w:val="000000" w:themeColor="text1"/>
        </w:rPr>
      </w:pPr>
      <w:r>
        <w:rPr>
          <w:rFonts w:cs="Times New Roman"/>
          <w:b/>
          <w:color w:val="000000" w:themeColor="text1"/>
        </w:rPr>
        <w:t>（</w:t>
      </w:r>
      <w:r>
        <w:rPr>
          <w:rFonts w:cs="Times New Roman"/>
          <w:b/>
          <w:color w:val="000000" w:themeColor="text1"/>
        </w:rPr>
        <w:t>2</w:t>
      </w:r>
      <w:r>
        <w:rPr>
          <w:rFonts w:cs="Times New Roman"/>
          <w:b/>
          <w:color w:val="000000" w:themeColor="text1"/>
        </w:rPr>
        <w:t>）预测模式</w:t>
      </w:r>
    </w:p>
    <w:p w:rsidR="00644456" w:rsidRDefault="008031C4">
      <w:pPr>
        <w:pStyle w:val="-"/>
        <w:ind w:firstLine="480"/>
        <w:rPr>
          <w:rFonts w:cs="Times New Roman"/>
          <w:color w:val="000000" w:themeColor="text1"/>
        </w:rPr>
      </w:pPr>
      <w:r>
        <w:rPr>
          <w:rFonts w:cs="Times New Roman"/>
          <w:color w:val="000000" w:themeColor="text1"/>
        </w:rPr>
        <w:t>根据《环境影响评价技术导则声环境》（</w:t>
      </w:r>
      <w:r>
        <w:rPr>
          <w:rFonts w:cs="Times New Roman"/>
          <w:color w:val="000000" w:themeColor="text1"/>
        </w:rPr>
        <w:t>HJ2.4-2021</w:t>
      </w:r>
      <w:r>
        <w:rPr>
          <w:rFonts w:cs="Times New Roman"/>
          <w:color w:val="000000" w:themeColor="text1"/>
        </w:rPr>
        <w:t>）的技术要求，本次评价采取导则上推荐模式。本预测采用点声源衰减模式，仅考虑距离衰减值等因素，预测公式为：</w:t>
      </w:r>
    </w:p>
    <w:p w:rsidR="00644456" w:rsidRDefault="008031C4">
      <w:pPr>
        <w:pStyle w:val="-"/>
        <w:ind w:firstLine="482"/>
        <w:rPr>
          <w:rFonts w:cs="Times New Roman"/>
          <w:b/>
          <w:bCs/>
          <w:color w:val="000000" w:themeColor="text1"/>
        </w:rPr>
      </w:pPr>
      <w:r>
        <w:rPr>
          <w:rFonts w:cs="Times New Roman"/>
          <w:b/>
          <w:bCs/>
          <w:color w:val="000000" w:themeColor="text1"/>
        </w:rPr>
        <w:fldChar w:fldCharType="begin"/>
      </w:r>
      <w:r>
        <w:rPr>
          <w:rFonts w:cs="Times New Roman"/>
          <w:b/>
          <w:bCs/>
          <w:color w:val="000000" w:themeColor="text1"/>
        </w:rPr>
        <w:instrText xml:space="preserve"> = 1 \* GB3 </w:instrText>
      </w:r>
      <w:r>
        <w:rPr>
          <w:rFonts w:cs="Times New Roman"/>
          <w:b/>
          <w:bCs/>
          <w:color w:val="000000" w:themeColor="text1"/>
        </w:rPr>
        <w:fldChar w:fldCharType="separate"/>
      </w:r>
      <w:r>
        <w:rPr>
          <w:rFonts w:cs="Times New Roman" w:hint="eastAsia"/>
          <w:b/>
          <w:bCs/>
          <w:color w:val="000000" w:themeColor="text1"/>
        </w:rPr>
        <w:t>①</w:t>
      </w:r>
      <w:r>
        <w:rPr>
          <w:rFonts w:cs="Times New Roman"/>
          <w:b/>
          <w:bCs/>
          <w:color w:val="000000" w:themeColor="text1"/>
        </w:rPr>
        <w:fldChar w:fldCharType="end"/>
      </w:r>
      <w:r>
        <w:rPr>
          <w:rFonts w:cs="Times New Roman"/>
          <w:b/>
          <w:bCs/>
          <w:color w:val="000000" w:themeColor="text1"/>
        </w:rPr>
        <w:t>声值叠加</w:t>
      </w:r>
    </w:p>
    <w:p w:rsidR="00644456" w:rsidRDefault="008031C4">
      <w:pPr>
        <w:pStyle w:val="-"/>
        <w:ind w:firstLine="480"/>
        <w:jc w:val="center"/>
        <w:rPr>
          <w:rFonts w:cs="Times New Roman"/>
          <w:color w:val="000000" w:themeColor="text1"/>
        </w:rPr>
      </w:pPr>
      <w:r>
        <w:rPr>
          <w:rFonts w:cs="Times New Roman"/>
          <w:noProof/>
          <w:color w:val="000000" w:themeColor="text1"/>
        </w:rPr>
        <w:drawing>
          <wp:inline distT="0" distB="0" distL="0" distR="0" wp14:anchorId="2D0FF172" wp14:editId="57AE61A7">
            <wp:extent cx="1900555" cy="365760"/>
            <wp:effectExtent l="0" t="0" r="4445" b="1524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noChangeArrowheads="1"/>
                    </pic:cNvPicPr>
                  </pic:nvPicPr>
                  <pic:blipFill>
                    <a:blip r:embed="rId54" cstate="print"/>
                    <a:srcRect/>
                    <a:stretch>
                      <a:fillRect/>
                    </a:stretch>
                  </pic:blipFill>
                  <pic:spPr>
                    <a:xfrm>
                      <a:off x="0" y="0"/>
                      <a:ext cx="1900555" cy="365760"/>
                    </a:xfrm>
                    <a:prstGeom prst="rect">
                      <a:avLst/>
                    </a:prstGeom>
                    <a:noFill/>
                    <a:ln w="9525">
                      <a:noFill/>
                      <a:miter lim="800000"/>
                      <a:headEnd/>
                      <a:tailEnd/>
                    </a:ln>
                    <a:effectLst/>
                  </pic:spPr>
                </pic:pic>
              </a:graphicData>
            </a:graphic>
          </wp:inline>
        </w:drawing>
      </w:r>
    </w:p>
    <w:p w:rsidR="00644456" w:rsidRDefault="008031C4">
      <w:pPr>
        <w:pStyle w:val="-"/>
        <w:ind w:firstLine="480"/>
        <w:rPr>
          <w:rFonts w:cs="Times New Roman"/>
          <w:color w:val="000000" w:themeColor="text1"/>
        </w:rPr>
      </w:pPr>
      <w:r>
        <w:rPr>
          <w:rFonts w:cs="Times New Roman"/>
          <w:color w:val="000000" w:themeColor="text1"/>
        </w:rPr>
        <w:t>式中：</w:t>
      </w:r>
      <w:r>
        <w:rPr>
          <w:rFonts w:cs="Times New Roman"/>
          <w:color w:val="000000" w:themeColor="text1"/>
        </w:rPr>
        <w:t>Leq—</w:t>
      </w:r>
      <w:r>
        <w:rPr>
          <w:rFonts w:cs="Times New Roman"/>
          <w:color w:val="000000" w:themeColor="text1"/>
        </w:rPr>
        <w:t>等效声级，</w:t>
      </w:r>
      <w:r>
        <w:rPr>
          <w:rFonts w:cs="Times New Roman"/>
          <w:color w:val="000000" w:themeColor="text1"/>
        </w:rPr>
        <w:t>dB</w:t>
      </w:r>
      <w:r>
        <w:rPr>
          <w:rFonts w:cs="Times New Roman"/>
          <w:color w:val="000000" w:themeColor="text1"/>
        </w:rPr>
        <w:t>（</w:t>
      </w:r>
      <w:r>
        <w:rPr>
          <w:rFonts w:cs="Times New Roman"/>
          <w:color w:val="000000" w:themeColor="text1"/>
        </w:rPr>
        <w:t>A</w:t>
      </w:r>
      <w:r>
        <w:rPr>
          <w:rFonts w:cs="Times New Roman"/>
          <w:color w:val="000000" w:themeColor="text1"/>
        </w:rPr>
        <w:t>）</w:t>
      </w:r>
    </w:p>
    <w:p w:rsidR="00644456" w:rsidRDefault="008031C4">
      <w:pPr>
        <w:pStyle w:val="-"/>
        <w:ind w:firstLineChars="500" w:firstLine="1200"/>
        <w:rPr>
          <w:rFonts w:cs="Times New Roman"/>
          <w:color w:val="000000" w:themeColor="text1"/>
        </w:rPr>
      </w:pPr>
      <w:r>
        <w:rPr>
          <w:rFonts w:cs="Times New Roman"/>
          <w:color w:val="000000" w:themeColor="text1"/>
        </w:rPr>
        <w:t>Leqg—</w:t>
      </w:r>
      <w:r>
        <w:rPr>
          <w:rFonts w:cs="Times New Roman"/>
          <w:color w:val="000000" w:themeColor="text1"/>
        </w:rPr>
        <w:t>建设项目声源在预测点的等效声级贡献值，</w:t>
      </w:r>
      <w:r>
        <w:rPr>
          <w:rFonts w:cs="Times New Roman"/>
          <w:color w:val="000000" w:themeColor="text1"/>
        </w:rPr>
        <w:t>dB</w:t>
      </w:r>
      <w:r>
        <w:rPr>
          <w:rFonts w:cs="Times New Roman"/>
          <w:color w:val="000000" w:themeColor="text1"/>
        </w:rPr>
        <w:t>（</w:t>
      </w:r>
      <w:r>
        <w:rPr>
          <w:rFonts w:cs="Times New Roman"/>
          <w:color w:val="000000" w:themeColor="text1"/>
        </w:rPr>
        <w:t>A</w:t>
      </w:r>
      <w:r>
        <w:rPr>
          <w:rFonts w:cs="Times New Roman"/>
          <w:color w:val="000000" w:themeColor="text1"/>
        </w:rPr>
        <w:t>）；</w:t>
      </w:r>
    </w:p>
    <w:p w:rsidR="00644456" w:rsidRDefault="008031C4">
      <w:pPr>
        <w:pStyle w:val="-"/>
        <w:ind w:firstLineChars="500" w:firstLine="1200"/>
        <w:rPr>
          <w:rFonts w:cs="Times New Roman"/>
          <w:color w:val="000000" w:themeColor="text1"/>
        </w:rPr>
      </w:pPr>
      <w:r>
        <w:rPr>
          <w:rFonts w:cs="Times New Roman"/>
          <w:color w:val="000000" w:themeColor="text1"/>
        </w:rPr>
        <w:t>Leqb—</w:t>
      </w:r>
      <w:r>
        <w:rPr>
          <w:rFonts w:cs="Times New Roman"/>
          <w:color w:val="000000" w:themeColor="text1"/>
        </w:rPr>
        <w:t>预测点的背景值，</w:t>
      </w:r>
      <w:r>
        <w:rPr>
          <w:rFonts w:cs="Times New Roman"/>
          <w:color w:val="000000" w:themeColor="text1"/>
        </w:rPr>
        <w:t>dB</w:t>
      </w:r>
      <w:r>
        <w:rPr>
          <w:rFonts w:cs="Times New Roman"/>
          <w:color w:val="000000" w:themeColor="text1"/>
        </w:rPr>
        <w:t>（</w:t>
      </w:r>
      <w:r>
        <w:rPr>
          <w:rFonts w:cs="Times New Roman"/>
          <w:color w:val="000000" w:themeColor="text1"/>
        </w:rPr>
        <w:t>A</w:t>
      </w:r>
      <w:r>
        <w:rPr>
          <w:rFonts w:cs="Times New Roman"/>
          <w:color w:val="000000" w:themeColor="text1"/>
        </w:rPr>
        <w:t>）。</w:t>
      </w:r>
    </w:p>
    <w:p w:rsidR="00644456" w:rsidRDefault="008031C4">
      <w:pPr>
        <w:pStyle w:val="-"/>
        <w:ind w:firstLine="482"/>
        <w:rPr>
          <w:rFonts w:cs="Times New Roman"/>
          <w:b/>
          <w:bCs/>
          <w:color w:val="000000" w:themeColor="text1"/>
        </w:rPr>
      </w:pPr>
      <w:r>
        <w:rPr>
          <w:rFonts w:cs="Times New Roman"/>
          <w:b/>
          <w:bCs/>
          <w:color w:val="000000" w:themeColor="text1"/>
        </w:rPr>
        <w:fldChar w:fldCharType="begin"/>
      </w:r>
      <w:r>
        <w:rPr>
          <w:rFonts w:cs="Times New Roman"/>
          <w:b/>
          <w:bCs/>
          <w:color w:val="000000" w:themeColor="text1"/>
        </w:rPr>
        <w:instrText xml:space="preserve"> = 2 \* GB3 </w:instrText>
      </w:r>
      <w:r>
        <w:rPr>
          <w:rFonts w:cs="Times New Roman"/>
          <w:b/>
          <w:bCs/>
          <w:color w:val="000000" w:themeColor="text1"/>
        </w:rPr>
        <w:fldChar w:fldCharType="separate"/>
      </w:r>
      <w:r>
        <w:rPr>
          <w:rFonts w:cs="Times New Roman" w:hint="eastAsia"/>
          <w:b/>
          <w:bCs/>
          <w:color w:val="000000" w:themeColor="text1"/>
        </w:rPr>
        <w:t>②</w:t>
      </w:r>
      <w:r>
        <w:rPr>
          <w:rFonts w:cs="Times New Roman"/>
          <w:b/>
          <w:bCs/>
          <w:color w:val="000000" w:themeColor="text1"/>
        </w:rPr>
        <w:fldChar w:fldCharType="end"/>
      </w:r>
      <w:r>
        <w:rPr>
          <w:rFonts w:cs="Times New Roman"/>
          <w:b/>
          <w:bCs/>
          <w:color w:val="000000" w:themeColor="text1"/>
        </w:rPr>
        <w:t>噪声衰减</w:t>
      </w:r>
    </w:p>
    <w:p w:rsidR="00644456" w:rsidRDefault="008031C4">
      <w:pPr>
        <w:pStyle w:val="-"/>
        <w:ind w:firstLine="480"/>
        <w:jc w:val="center"/>
        <w:rPr>
          <w:rFonts w:cs="Times New Roman"/>
          <w:color w:val="000000" w:themeColor="text1"/>
        </w:rPr>
      </w:pPr>
      <w:r>
        <w:rPr>
          <w:rFonts w:cs="Times New Roman"/>
          <w:color w:val="000000" w:themeColor="text1"/>
        </w:rPr>
        <w:lastRenderedPageBreak/>
        <w:t>L2</w:t>
      </w:r>
      <w:r>
        <w:rPr>
          <w:rFonts w:cs="Times New Roman"/>
          <w:color w:val="000000" w:themeColor="text1"/>
        </w:rPr>
        <w:t>＝</w:t>
      </w:r>
      <w:r>
        <w:rPr>
          <w:rFonts w:cs="Times New Roman"/>
          <w:color w:val="000000" w:themeColor="text1"/>
        </w:rPr>
        <w:t>L1</w:t>
      </w:r>
      <w:r>
        <w:rPr>
          <w:rFonts w:cs="Times New Roman"/>
          <w:color w:val="000000" w:themeColor="text1"/>
        </w:rPr>
        <w:t>－</w:t>
      </w:r>
      <w:r>
        <w:rPr>
          <w:rFonts w:cs="Times New Roman"/>
          <w:color w:val="000000" w:themeColor="text1"/>
        </w:rPr>
        <w:t>20lgr2/r1</w:t>
      </w:r>
      <w:r>
        <w:rPr>
          <w:rFonts w:cs="Times New Roman"/>
          <w:color w:val="000000" w:themeColor="text1"/>
        </w:rPr>
        <w:t>－</w:t>
      </w:r>
      <w:r>
        <w:rPr>
          <w:rFonts w:cs="Times New Roman"/>
          <w:color w:val="000000" w:themeColor="text1"/>
        </w:rPr>
        <w:t>△L</w:t>
      </w:r>
    </w:p>
    <w:p w:rsidR="00644456" w:rsidRDefault="008031C4">
      <w:pPr>
        <w:pStyle w:val="-"/>
        <w:ind w:firstLine="480"/>
        <w:rPr>
          <w:rFonts w:cs="Times New Roman"/>
          <w:color w:val="000000" w:themeColor="text1"/>
        </w:rPr>
      </w:pPr>
      <w:r>
        <w:rPr>
          <w:rFonts w:cs="Times New Roman"/>
          <w:color w:val="000000" w:themeColor="text1"/>
        </w:rPr>
        <w:t>式中：</w:t>
      </w:r>
      <w:r>
        <w:rPr>
          <w:rFonts w:cs="Times New Roman"/>
          <w:color w:val="000000" w:themeColor="text1"/>
        </w:rPr>
        <w:t>L2——</w:t>
      </w:r>
      <w:r>
        <w:rPr>
          <w:rFonts w:cs="Times New Roman"/>
          <w:color w:val="000000" w:themeColor="text1"/>
        </w:rPr>
        <w:t>距声源</w:t>
      </w:r>
      <w:r>
        <w:rPr>
          <w:rFonts w:cs="Times New Roman"/>
          <w:color w:val="000000" w:themeColor="text1"/>
        </w:rPr>
        <w:t>r2</w:t>
      </w:r>
      <w:r>
        <w:rPr>
          <w:rFonts w:cs="Times New Roman"/>
          <w:color w:val="000000" w:themeColor="text1"/>
        </w:rPr>
        <w:t>处声源值【</w:t>
      </w:r>
      <w:r>
        <w:rPr>
          <w:rFonts w:cs="Times New Roman"/>
          <w:color w:val="000000" w:themeColor="text1"/>
        </w:rPr>
        <w:t>dB</w:t>
      </w:r>
      <w:r>
        <w:rPr>
          <w:rFonts w:cs="Times New Roman"/>
          <w:color w:val="000000" w:themeColor="text1"/>
        </w:rPr>
        <w:t>（</w:t>
      </w:r>
      <w:r>
        <w:rPr>
          <w:rFonts w:cs="Times New Roman"/>
          <w:color w:val="000000" w:themeColor="text1"/>
        </w:rPr>
        <w:t>A</w:t>
      </w:r>
      <w:r>
        <w:rPr>
          <w:rFonts w:cs="Times New Roman"/>
          <w:color w:val="000000" w:themeColor="text1"/>
        </w:rPr>
        <w:t>）】；</w:t>
      </w:r>
    </w:p>
    <w:p w:rsidR="00644456" w:rsidRDefault="008031C4">
      <w:pPr>
        <w:pStyle w:val="-"/>
        <w:ind w:firstLineChars="500" w:firstLine="1200"/>
        <w:rPr>
          <w:rFonts w:cs="Times New Roman"/>
          <w:color w:val="000000" w:themeColor="text1"/>
        </w:rPr>
      </w:pPr>
      <w:r>
        <w:rPr>
          <w:rFonts w:cs="Times New Roman"/>
          <w:color w:val="000000" w:themeColor="text1"/>
        </w:rPr>
        <w:t>L1——</w:t>
      </w:r>
      <w:r>
        <w:rPr>
          <w:rFonts w:cs="Times New Roman"/>
          <w:color w:val="000000" w:themeColor="text1"/>
        </w:rPr>
        <w:t>距声源</w:t>
      </w:r>
      <w:r>
        <w:rPr>
          <w:rFonts w:cs="Times New Roman"/>
          <w:color w:val="000000" w:themeColor="text1"/>
        </w:rPr>
        <w:t>r1</w:t>
      </w:r>
      <w:r>
        <w:rPr>
          <w:rFonts w:cs="Times New Roman"/>
          <w:color w:val="000000" w:themeColor="text1"/>
        </w:rPr>
        <w:t>处声源值【</w:t>
      </w:r>
      <w:r>
        <w:rPr>
          <w:rFonts w:cs="Times New Roman"/>
          <w:color w:val="000000" w:themeColor="text1"/>
        </w:rPr>
        <w:t>dB</w:t>
      </w:r>
      <w:r>
        <w:rPr>
          <w:rFonts w:cs="Times New Roman"/>
          <w:color w:val="000000" w:themeColor="text1"/>
        </w:rPr>
        <w:t>（</w:t>
      </w:r>
      <w:r>
        <w:rPr>
          <w:rFonts w:cs="Times New Roman"/>
          <w:color w:val="000000" w:themeColor="text1"/>
        </w:rPr>
        <w:t>A</w:t>
      </w:r>
      <w:r>
        <w:rPr>
          <w:rFonts w:cs="Times New Roman"/>
          <w:color w:val="000000" w:themeColor="text1"/>
        </w:rPr>
        <w:t>）】；</w:t>
      </w:r>
    </w:p>
    <w:p w:rsidR="00644456" w:rsidRDefault="008031C4">
      <w:pPr>
        <w:pStyle w:val="-"/>
        <w:ind w:firstLineChars="500" w:firstLine="1200"/>
        <w:rPr>
          <w:rFonts w:cs="Times New Roman"/>
          <w:color w:val="000000" w:themeColor="text1"/>
        </w:rPr>
      </w:pPr>
      <w:r>
        <w:rPr>
          <w:rFonts w:cs="Times New Roman"/>
          <w:color w:val="000000" w:themeColor="text1"/>
        </w:rPr>
        <w:t>r2</w:t>
      </w:r>
      <w:r>
        <w:rPr>
          <w:rFonts w:cs="Times New Roman"/>
          <w:color w:val="000000" w:themeColor="text1"/>
        </w:rPr>
        <w:t>、</w:t>
      </w:r>
      <w:r>
        <w:rPr>
          <w:rFonts w:cs="Times New Roman"/>
          <w:color w:val="000000" w:themeColor="text1"/>
        </w:rPr>
        <w:t>r1——</w:t>
      </w:r>
      <w:r>
        <w:rPr>
          <w:rFonts w:cs="Times New Roman"/>
          <w:color w:val="000000" w:themeColor="text1"/>
        </w:rPr>
        <w:t>与声源的距离（</w:t>
      </w:r>
      <w:r>
        <w:rPr>
          <w:rFonts w:cs="Times New Roman"/>
          <w:color w:val="000000" w:themeColor="text1"/>
        </w:rPr>
        <w:t>m</w:t>
      </w:r>
      <w:r>
        <w:rPr>
          <w:rFonts w:cs="Times New Roman"/>
          <w:color w:val="000000" w:themeColor="text1"/>
        </w:rPr>
        <w:t>）；</w:t>
      </w:r>
    </w:p>
    <w:p w:rsidR="00644456" w:rsidRDefault="008031C4">
      <w:pPr>
        <w:pStyle w:val="-"/>
        <w:ind w:firstLineChars="500" w:firstLine="1200"/>
        <w:rPr>
          <w:rFonts w:cs="Times New Roman"/>
          <w:color w:val="000000" w:themeColor="text1"/>
        </w:rPr>
      </w:pPr>
      <w:r>
        <w:rPr>
          <w:rFonts w:cs="Times New Roman"/>
          <w:color w:val="000000" w:themeColor="text1"/>
        </w:rPr>
        <w:t>△L——</w:t>
      </w:r>
      <w:r>
        <w:rPr>
          <w:rFonts w:cs="Times New Roman"/>
          <w:color w:val="000000" w:themeColor="text1"/>
        </w:rPr>
        <w:t>场界围墙引起的衰减量。（约为</w:t>
      </w:r>
      <w:r>
        <w:rPr>
          <w:rFonts w:cs="Times New Roman"/>
          <w:color w:val="000000" w:themeColor="text1"/>
        </w:rPr>
        <w:t>7dB</w:t>
      </w:r>
      <w:r>
        <w:rPr>
          <w:rFonts w:cs="Times New Roman"/>
          <w:color w:val="000000" w:themeColor="text1"/>
        </w:rPr>
        <w:t>（</w:t>
      </w:r>
      <w:r>
        <w:rPr>
          <w:rFonts w:cs="Times New Roman"/>
          <w:color w:val="000000" w:themeColor="text1"/>
        </w:rPr>
        <w:t>A</w:t>
      </w:r>
      <w:r>
        <w:rPr>
          <w:rFonts w:cs="Times New Roman"/>
          <w:color w:val="000000" w:themeColor="text1"/>
        </w:rPr>
        <w:t>））</w:t>
      </w:r>
    </w:p>
    <w:p w:rsidR="00644456" w:rsidRDefault="008031C4">
      <w:pPr>
        <w:pStyle w:val="-"/>
        <w:ind w:firstLine="482"/>
        <w:rPr>
          <w:rFonts w:cs="Times New Roman"/>
          <w:b/>
          <w:bCs/>
          <w:color w:val="000000" w:themeColor="text1"/>
        </w:rPr>
      </w:pPr>
      <w:r>
        <w:rPr>
          <w:rFonts w:cs="Times New Roman"/>
          <w:b/>
          <w:bCs/>
          <w:color w:val="000000" w:themeColor="text1"/>
        </w:rPr>
        <w:t>（</w:t>
      </w:r>
      <w:r>
        <w:rPr>
          <w:rFonts w:cs="Times New Roman"/>
          <w:b/>
          <w:bCs/>
          <w:color w:val="000000" w:themeColor="text1"/>
        </w:rPr>
        <w:t>3</w:t>
      </w:r>
      <w:r>
        <w:rPr>
          <w:rFonts w:cs="Times New Roman"/>
          <w:b/>
          <w:bCs/>
          <w:color w:val="000000" w:themeColor="text1"/>
        </w:rPr>
        <w:t>）预测结果</w:t>
      </w:r>
    </w:p>
    <w:p w:rsidR="00644456" w:rsidRDefault="008031C4">
      <w:pPr>
        <w:pStyle w:val="-"/>
        <w:ind w:firstLine="480"/>
        <w:rPr>
          <w:rFonts w:cs="Times New Roman"/>
          <w:color w:val="000000" w:themeColor="text1"/>
        </w:rPr>
      </w:pPr>
      <w:bookmarkStart w:id="286" w:name="_Toc489290423"/>
      <w:bookmarkStart w:id="287" w:name="_Toc500840325"/>
      <w:r>
        <w:rPr>
          <w:rFonts w:cs="Times New Roman"/>
          <w:color w:val="000000" w:themeColor="text1"/>
        </w:rPr>
        <w:t>施工期噪声预测结果见</w:t>
      </w:r>
      <w:r>
        <w:rPr>
          <w:rFonts w:cs="Times New Roman"/>
          <w:color w:val="000000" w:themeColor="text1"/>
        </w:rPr>
        <w:fldChar w:fldCharType="begin"/>
      </w:r>
      <w:r>
        <w:rPr>
          <w:rFonts w:cs="Times New Roman"/>
          <w:color w:val="000000" w:themeColor="text1"/>
        </w:rPr>
        <w:instrText xml:space="preserve"> REF _Ref57124219 \h  \* MERGEFORMAT </w:instrText>
      </w:r>
      <w:r>
        <w:rPr>
          <w:rFonts w:cs="Times New Roman"/>
          <w:color w:val="000000" w:themeColor="text1"/>
        </w:rPr>
      </w:r>
      <w:r>
        <w:rPr>
          <w:rFonts w:cs="Times New Roman"/>
          <w:color w:val="000000" w:themeColor="text1"/>
        </w:rPr>
        <w:fldChar w:fldCharType="separate"/>
      </w:r>
      <w:r>
        <w:rPr>
          <w:rFonts w:cs="Times New Roman"/>
          <w:color w:val="000000" w:themeColor="text1"/>
        </w:rPr>
        <w:t>表</w:t>
      </w:r>
      <w:r>
        <w:rPr>
          <w:rFonts w:cs="Times New Roman" w:hint="eastAsia"/>
          <w:color w:val="000000" w:themeColor="text1"/>
        </w:rPr>
        <w:t>4.2</w:t>
      </w:r>
      <w:r>
        <w:rPr>
          <w:rFonts w:cs="Times New Roman"/>
          <w:color w:val="000000" w:themeColor="text1"/>
        </w:rPr>
        <w:noBreakHyphen/>
        <w:t>7</w:t>
      </w:r>
      <w:r>
        <w:rPr>
          <w:rFonts w:cs="Times New Roman"/>
          <w:color w:val="000000" w:themeColor="text1"/>
        </w:rPr>
        <w:fldChar w:fldCharType="end"/>
      </w:r>
      <w:r>
        <w:rPr>
          <w:rFonts w:cs="Times New Roman"/>
          <w:color w:val="000000" w:themeColor="text1"/>
        </w:rPr>
        <w:t>。</w:t>
      </w:r>
    </w:p>
    <w:p w:rsidR="00644456" w:rsidRDefault="008031C4">
      <w:pPr>
        <w:autoSpaceDE w:val="0"/>
        <w:autoSpaceDN w:val="0"/>
        <w:adjustRightInd w:val="0"/>
        <w:jc w:val="center"/>
        <w:rPr>
          <w:rFonts w:cs="Times New Roman"/>
          <w:b/>
          <w:color w:val="000000" w:themeColor="text1"/>
          <w:sz w:val="24"/>
          <w:szCs w:val="20"/>
        </w:rPr>
      </w:pPr>
      <w:bookmarkStart w:id="288" w:name="_Ref57124219"/>
      <w:r>
        <w:rPr>
          <w:rFonts w:cs="Times New Roman" w:hint="eastAsia"/>
          <w:b/>
          <w:color w:val="000000" w:themeColor="text1"/>
          <w:sz w:val="24"/>
          <w:szCs w:val="20"/>
        </w:rPr>
        <w:t>表</w:t>
      </w:r>
      <w:r>
        <w:rPr>
          <w:rFonts w:cs="Times New Roman" w:hint="eastAsia"/>
          <w:b/>
          <w:color w:val="000000" w:themeColor="text1"/>
          <w:sz w:val="24"/>
          <w:szCs w:val="20"/>
        </w:rPr>
        <w:t>4.2</w:t>
      </w:r>
      <w:r>
        <w:rPr>
          <w:rFonts w:cs="Times New Roman" w:hint="eastAsia"/>
          <w:b/>
          <w:color w:val="000000" w:themeColor="text1"/>
          <w:sz w:val="24"/>
          <w:szCs w:val="20"/>
        </w:rPr>
        <w:noBreakHyphen/>
      </w:r>
      <w:r>
        <w:rPr>
          <w:rFonts w:cs="Times New Roman" w:hint="eastAsia"/>
          <w:b/>
          <w:color w:val="000000" w:themeColor="text1"/>
          <w:sz w:val="24"/>
          <w:szCs w:val="20"/>
        </w:rPr>
        <w:fldChar w:fldCharType="begin"/>
      </w:r>
      <w:r>
        <w:rPr>
          <w:rFonts w:cs="Times New Roman" w:hint="eastAsia"/>
          <w:b/>
          <w:color w:val="000000" w:themeColor="text1"/>
          <w:sz w:val="24"/>
          <w:szCs w:val="20"/>
        </w:rPr>
        <w:instrText xml:space="preserve"> SEQ </w:instrText>
      </w:r>
      <w:r>
        <w:rPr>
          <w:rFonts w:cs="Times New Roman" w:hint="eastAsia"/>
          <w:b/>
          <w:color w:val="000000" w:themeColor="text1"/>
          <w:sz w:val="24"/>
          <w:szCs w:val="20"/>
        </w:rPr>
        <w:instrText>表</w:instrText>
      </w:r>
      <w:r>
        <w:rPr>
          <w:rFonts w:cs="Times New Roman" w:hint="eastAsia"/>
          <w:b/>
          <w:color w:val="000000" w:themeColor="text1"/>
          <w:sz w:val="24"/>
          <w:szCs w:val="20"/>
        </w:rPr>
        <w:instrText xml:space="preserve"> \* ARABIC \s 1 </w:instrText>
      </w:r>
      <w:r>
        <w:rPr>
          <w:rFonts w:cs="Times New Roman" w:hint="eastAsia"/>
          <w:b/>
          <w:color w:val="000000" w:themeColor="text1"/>
          <w:sz w:val="24"/>
          <w:szCs w:val="20"/>
        </w:rPr>
        <w:fldChar w:fldCharType="separate"/>
      </w:r>
      <w:r>
        <w:rPr>
          <w:rFonts w:cs="Times New Roman" w:hint="eastAsia"/>
          <w:b/>
          <w:color w:val="000000" w:themeColor="text1"/>
          <w:sz w:val="24"/>
          <w:szCs w:val="20"/>
        </w:rPr>
        <w:t>7</w:t>
      </w:r>
      <w:r>
        <w:rPr>
          <w:rFonts w:cs="Times New Roman" w:hint="eastAsia"/>
          <w:b/>
          <w:color w:val="000000" w:themeColor="text1"/>
          <w:sz w:val="24"/>
          <w:szCs w:val="20"/>
        </w:rPr>
        <w:fldChar w:fldCharType="end"/>
      </w:r>
      <w:bookmarkEnd w:id="288"/>
      <w:r>
        <w:rPr>
          <w:rFonts w:cs="Times New Roman" w:hint="eastAsia"/>
          <w:b/>
          <w:color w:val="000000" w:themeColor="text1"/>
          <w:sz w:val="24"/>
          <w:szCs w:val="20"/>
        </w:rPr>
        <w:t>施工期噪声预测结果表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938"/>
        <w:gridCol w:w="619"/>
        <w:gridCol w:w="865"/>
        <w:gridCol w:w="865"/>
        <w:gridCol w:w="865"/>
        <w:gridCol w:w="865"/>
        <w:gridCol w:w="865"/>
        <w:gridCol w:w="865"/>
        <w:gridCol w:w="883"/>
        <w:gridCol w:w="1395"/>
      </w:tblGrid>
      <w:tr w:rsidR="00644456">
        <w:trPr>
          <w:cantSplit/>
          <w:jc w:val="center"/>
        </w:trPr>
        <w:tc>
          <w:tcPr>
            <w:tcW w:w="863" w:type="pct"/>
            <w:gridSpan w:val="2"/>
            <w:vMerge w:val="restar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噪声源强值</w:t>
            </w:r>
          </w:p>
        </w:tc>
        <w:tc>
          <w:tcPr>
            <w:tcW w:w="3363" w:type="pct"/>
            <w:gridSpan w:val="7"/>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预测距离（</w:t>
            </w:r>
            <w:r>
              <w:rPr>
                <w:rFonts w:cs="Times New Roman"/>
                <w:b/>
                <w:color w:val="000000" w:themeColor="text1"/>
              </w:rPr>
              <w:t>m</w:t>
            </w:r>
            <w:r>
              <w:rPr>
                <w:rFonts w:cs="Times New Roman"/>
                <w:b/>
                <w:color w:val="000000" w:themeColor="text1"/>
              </w:rPr>
              <w:t>）</w:t>
            </w:r>
          </w:p>
        </w:tc>
        <w:tc>
          <w:tcPr>
            <w:tcW w:w="773" w:type="pct"/>
            <w:vMerge w:val="restar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备注</w:t>
            </w:r>
          </w:p>
        </w:tc>
      </w:tr>
      <w:tr w:rsidR="00644456">
        <w:trPr>
          <w:cantSplit/>
          <w:jc w:val="center"/>
        </w:trPr>
        <w:tc>
          <w:tcPr>
            <w:tcW w:w="863" w:type="pct"/>
            <w:gridSpan w:val="2"/>
            <w:vMerge/>
            <w:shd w:val="clear" w:color="auto" w:fill="auto"/>
            <w:vAlign w:val="center"/>
          </w:tcPr>
          <w:p w:rsidR="00644456" w:rsidRDefault="00644456">
            <w:pPr>
              <w:jc w:val="center"/>
              <w:rPr>
                <w:rFonts w:cs="Times New Roman"/>
                <w:b/>
                <w:color w:val="000000" w:themeColor="text1"/>
              </w:rPr>
            </w:pPr>
          </w:p>
        </w:tc>
        <w:tc>
          <w:tcPr>
            <w:tcW w:w="479"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10</w:t>
            </w:r>
          </w:p>
        </w:tc>
        <w:tc>
          <w:tcPr>
            <w:tcW w:w="479"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20</w:t>
            </w:r>
          </w:p>
        </w:tc>
        <w:tc>
          <w:tcPr>
            <w:tcW w:w="479"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25</w:t>
            </w:r>
          </w:p>
        </w:tc>
        <w:tc>
          <w:tcPr>
            <w:tcW w:w="479"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50</w:t>
            </w:r>
          </w:p>
        </w:tc>
        <w:tc>
          <w:tcPr>
            <w:tcW w:w="479"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100</w:t>
            </w:r>
          </w:p>
        </w:tc>
        <w:tc>
          <w:tcPr>
            <w:tcW w:w="479"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150</w:t>
            </w:r>
          </w:p>
        </w:tc>
        <w:tc>
          <w:tcPr>
            <w:tcW w:w="488" w:type="pct"/>
            <w:shd w:val="clear" w:color="auto" w:fill="auto"/>
            <w:vAlign w:val="center"/>
          </w:tcPr>
          <w:p w:rsidR="00644456" w:rsidRDefault="008031C4">
            <w:pPr>
              <w:jc w:val="center"/>
              <w:rPr>
                <w:rFonts w:cs="Times New Roman"/>
                <w:b/>
                <w:color w:val="000000" w:themeColor="text1"/>
              </w:rPr>
            </w:pPr>
            <w:r>
              <w:rPr>
                <w:rFonts w:cs="Times New Roman"/>
                <w:b/>
                <w:color w:val="000000" w:themeColor="text1"/>
              </w:rPr>
              <w:t>200</w:t>
            </w:r>
          </w:p>
        </w:tc>
        <w:tc>
          <w:tcPr>
            <w:tcW w:w="773" w:type="pct"/>
            <w:vMerge/>
            <w:shd w:val="clear" w:color="auto" w:fill="auto"/>
            <w:vAlign w:val="center"/>
          </w:tcPr>
          <w:p w:rsidR="00644456" w:rsidRDefault="00644456">
            <w:pPr>
              <w:jc w:val="center"/>
              <w:rPr>
                <w:rFonts w:cs="Times New Roman"/>
                <w:b/>
                <w:color w:val="000000" w:themeColor="text1"/>
              </w:rPr>
            </w:pPr>
          </w:p>
        </w:tc>
      </w:tr>
      <w:tr w:rsidR="00644456">
        <w:trPr>
          <w:cantSplit/>
          <w:jc w:val="center"/>
        </w:trPr>
        <w:tc>
          <w:tcPr>
            <w:tcW w:w="520"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结构</w:t>
            </w:r>
          </w:p>
        </w:tc>
        <w:tc>
          <w:tcPr>
            <w:tcW w:w="342"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100</w:t>
            </w:r>
          </w:p>
        </w:tc>
        <w:tc>
          <w:tcPr>
            <w:tcW w:w="479"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80</w:t>
            </w:r>
          </w:p>
        </w:tc>
        <w:tc>
          <w:tcPr>
            <w:tcW w:w="479"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74</w:t>
            </w:r>
          </w:p>
        </w:tc>
        <w:tc>
          <w:tcPr>
            <w:tcW w:w="479"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72</w:t>
            </w:r>
          </w:p>
        </w:tc>
        <w:tc>
          <w:tcPr>
            <w:tcW w:w="479"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66</w:t>
            </w:r>
          </w:p>
        </w:tc>
        <w:tc>
          <w:tcPr>
            <w:tcW w:w="479"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60</w:t>
            </w:r>
          </w:p>
        </w:tc>
        <w:tc>
          <w:tcPr>
            <w:tcW w:w="479"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56.5</w:t>
            </w:r>
          </w:p>
        </w:tc>
        <w:tc>
          <w:tcPr>
            <w:tcW w:w="488"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54</w:t>
            </w:r>
          </w:p>
        </w:tc>
        <w:tc>
          <w:tcPr>
            <w:tcW w:w="773" w:type="pct"/>
            <w:vMerge w:val="restart"/>
            <w:shd w:val="clear" w:color="auto" w:fill="auto"/>
            <w:vAlign w:val="center"/>
          </w:tcPr>
          <w:p w:rsidR="00644456" w:rsidRDefault="008031C4">
            <w:pPr>
              <w:jc w:val="center"/>
              <w:rPr>
                <w:rFonts w:cs="Times New Roman"/>
                <w:color w:val="000000" w:themeColor="text1"/>
              </w:rPr>
            </w:pPr>
            <w:r>
              <w:rPr>
                <w:rFonts w:cs="Times New Roman"/>
                <w:color w:val="000000" w:themeColor="text1"/>
              </w:rPr>
              <w:t>以施工期最强噪声值预测</w:t>
            </w:r>
          </w:p>
        </w:tc>
      </w:tr>
      <w:tr w:rsidR="00644456">
        <w:trPr>
          <w:cantSplit/>
          <w:jc w:val="center"/>
        </w:trPr>
        <w:tc>
          <w:tcPr>
            <w:tcW w:w="520"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装修</w:t>
            </w:r>
          </w:p>
        </w:tc>
        <w:tc>
          <w:tcPr>
            <w:tcW w:w="342"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90</w:t>
            </w:r>
          </w:p>
        </w:tc>
        <w:tc>
          <w:tcPr>
            <w:tcW w:w="479"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65</w:t>
            </w:r>
          </w:p>
        </w:tc>
        <w:tc>
          <w:tcPr>
            <w:tcW w:w="479"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59</w:t>
            </w:r>
          </w:p>
        </w:tc>
        <w:tc>
          <w:tcPr>
            <w:tcW w:w="479"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57</w:t>
            </w:r>
          </w:p>
        </w:tc>
        <w:tc>
          <w:tcPr>
            <w:tcW w:w="479"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51</w:t>
            </w:r>
          </w:p>
        </w:tc>
        <w:tc>
          <w:tcPr>
            <w:tcW w:w="479"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45</w:t>
            </w:r>
          </w:p>
        </w:tc>
        <w:tc>
          <w:tcPr>
            <w:tcW w:w="479"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41.5</w:t>
            </w:r>
          </w:p>
        </w:tc>
        <w:tc>
          <w:tcPr>
            <w:tcW w:w="488" w:type="pct"/>
            <w:shd w:val="clear" w:color="auto" w:fill="auto"/>
            <w:vAlign w:val="center"/>
          </w:tcPr>
          <w:p w:rsidR="00644456" w:rsidRDefault="008031C4">
            <w:pPr>
              <w:jc w:val="center"/>
              <w:rPr>
                <w:rFonts w:cs="Times New Roman"/>
                <w:color w:val="000000" w:themeColor="text1"/>
              </w:rPr>
            </w:pPr>
            <w:r>
              <w:rPr>
                <w:rFonts w:cs="Times New Roman"/>
                <w:color w:val="000000" w:themeColor="text1"/>
              </w:rPr>
              <w:t>39</w:t>
            </w:r>
          </w:p>
        </w:tc>
        <w:tc>
          <w:tcPr>
            <w:tcW w:w="773" w:type="pct"/>
            <w:vMerge/>
            <w:shd w:val="clear" w:color="auto" w:fill="auto"/>
            <w:vAlign w:val="center"/>
          </w:tcPr>
          <w:p w:rsidR="00644456" w:rsidRDefault="00644456">
            <w:pPr>
              <w:jc w:val="center"/>
              <w:rPr>
                <w:rFonts w:cs="Times New Roman"/>
                <w:color w:val="000000" w:themeColor="text1"/>
              </w:rPr>
            </w:pPr>
          </w:p>
        </w:tc>
      </w:tr>
    </w:tbl>
    <w:p w:rsidR="00644456" w:rsidRDefault="008031C4">
      <w:pPr>
        <w:pStyle w:val="-"/>
        <w:ind w:firstLine="480"/>
        <w:rPr>
          <w:rFonts w:cs="Times New Roman"/>
          <w:color w:val="000000" w:themeColor="text1"/>
        </w:rPr>
      </w:pPr>
      <w:r>
        <w:rPr>
          <w:rFonts w:cs="Times New Roman"/>
          <w:color w:val="000000" w:themeColor="text1"/>
        </w:rPr>
        <w:t>由上表的计算结果可知，施工期间产生的施工噪声昼间将对</w:t>
      </w:r>
      <w:r>
        <w:rPr>
          <w:rFonts w:cs="Times New Roman"/>
          <w:color w:val="000000" w:themeColor="text1"/>
        </w:rPr>
        <w:t>50m</w:t>
      </w:r>
      <w:r>
        <w:rPr>
          <w:rFonts w:cs="Times New Roman"/>
          <w:color w:val="000000" w:themeColor="text1"/>
        </w:rPr>
        <w:t>范围内，夜间将对</w:t>
      </w:r>
      <w:r>
        <w:rPr>
          <w:rFonts w:cs="Times New Roman"/>
          <w:color w:val="000000" w:themeColor="text1"/>
        </w:rPr>
        <w:t>150m</w:t>
      </w:r>
      <w:r>
        <w:rPr>
          <w:rFonts w:cs="Times New Roman"/>
          <w:color w:val="000000" w:themeColor="text1"/>
        </w:rPr>
        <w:t>范围内造成噪声污染。</w:t>
      </w:r>
    </w:p>
    <w:p w:rsidR="00644456" w:rsidRDefault="008031C4">
      <w:pPr>
        <w:pStyle w:val="-"/>
        <w:ind w:firstLine="480"/>
        <w:rPr>
          <w:rFonts w:cs="Times New Roman"/>
          <w:color w:val="000000" w:themeColor="text1"/>
        </w:rPr>
      </w:pPr>
      <w:r>
        <w:rPr>
          <w:rFonts w:cs="Times New Roman"/>
          <w:color w:val="000000" w:themeColor="text1"/>
        </w:rPr>
        <w:t>为保护区域内环境质量，评价要求施工期间采取如下降噪措施：</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1</w:t>
      </w:r>
      <w:r>
        <w:rPr>
          <w:rFonts w:cs="Times New Roman"/>
          <w:color w:val="000000" w:themeColor="text1"/>
        </w:rPr>
        <w:t>）施工时采用降噪作业方式：施工机械选型时尽量选用可替代的低噪声的设备，对动力机械设备进行定期的维修、养护，避免设备因松动部件的振动或消声器的损坏而增加其工作时的声压级；设备用完后或不用时应立即关闭。</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2</w:t>
      </w:r>
      <w:r>
        <w:rPr>
          <w:rFonts w:cs="Times New Roman"/>
          <w:color w:val="000000" w:themeColor="text1"/>
        </w:rPr>
        <w:t>）合理布置施工总平面布置图，为降低施工噪声对外界的影响，项目方应将产生高噪声的作业点置于各区施工地块的中央及南侧位置，以有效利用施工场区的距离衰减作用。</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3</w:t>
      </w:r>
      <w:r>
        <w:rPr>
          <w:rFonts w:cs="Times New Roman"/>
          <w:color w:val="000000" w:themeColor="text1"/>
        </w:rPr>
        <w:t>）商混输送泵降噪：使用商品混凝土，避免搅拌机和砂石料下料、进料时噪声的影响。商混输送泵地面铺设木板，四周打围进行作业。</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4</w:t>
      </w:r>
      <w:r>
        <w:rPr>
          <w:rFonts w:cs="Times New Roman"/>
          <w:color w:val="000000" w:themeColor="text1"/>
        </w:rPr>
        <w:t>）施工场地的施工车辆出入现场应低速、禁鸣，车辆对所经沿线道路两侧</w:t>
      </w:r>
      <w:r>
        <w:rPr>
          <w:rFonts w:cs="Times New Roman"/>
          <w:color w:val="000000" w:themeColor="text1"/>
        </w:rPr>
        <w:t>100m</w:t>
      </w:r>
      <w:r>
        <w:rPr>
          <w:rFonts w:cs="Times New Roman"/>
          <w:color w:val="000000" w:themeColor="text1"/>
        </w:rPr>
        <w:t>范围内有一定影响，应予以重视。</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5</w:t>
      </w:r>
      <w:r>
        <w:rPr>
          <w:rFonts w:cs="Times New Roman"/>
          <w:color w:val="000000" w:themeColor="text1"/>
        </w:rPr>
        <w:t>）材料装卸采用人工传递，装卸、搬运钢管、模板等严禁抛掷；木工房使用前应完全封闭；在室内施工时关闭窗户；在建设地块四周建设施工围墙，以阻隔噪声。</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6</w:t>
      </w:r>
      <w:r>
        <w:rPr>
          <w:rFonts w:cs="Times New Roman"/>
          <w:color w:val="000000" w:themeColor="text1"/>
        </w:rPr>
        <w:t>）采用商品混凝土和成品窗；大型建筑构件，应在施工现场外预制，然后运到施工现场再行安装。</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7</w:t>
      </w:r>
      <w:r>
        <w:rPr>
          <w:rFonts w:cs="Times New Roman"/>
          <w:color w:val="000000" w:themeColor="text1"/>
        </w:rPr>
        <w:t>）文明施工：最大限度地降低人为噪声：不要采取噪声较大的钢模板作业方式；指挥塔吊时尽量使用信号旗，避免使用哨子等；在操作中尽量避免敲打砼导管；搬卸物品应轻放，施工工具不要乱扔、远扔；木工房使用前应完全封闭；运输车辆进出施工现</w:t>
      </w:r>
      <w:r>
        <w:rPr>
          <w:rFonts w:cs="Times New Roman"/>
          <w:color w:val="000000" w:themeColor="text1"/>
        </w:rPr>
        <w:lastRenderedPageBreak/>
        <w:t>场控制或禁止鸣喇叭，减少交通噪声。</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8</w:t>
      </w:r>
      <w:r>
        <w:rPr>
          <w:rFonts w:cs="Times New Roman"/>
          <w:color w:val="000000" w:themeColor="text1"/>
        </w:rPr>
        <w:t>）施工前应进行公示，同时建设单位应要求施工单位在现场张贴通告和投诉电话，建设单位在接到投诉电话后及时与当地环保部门联系，及时处理各种环境纠纷。</w:t>
      </w:r>
    </w:p>
    <w:p w:rsidR="00644456" w:rsidRDefault="008031C4">
      <w:pPr>
        <w:pStyle w:val="-"/>
        <w:ind w:firstLine="480"/>
        <w:rPr>
          <w:rFonts w:cs="Times New Roman"/>
          <w:color w:val="000000" w:themeColor="text1"/>
        </w:rPr>
      </w:pPr>
      <w:r>
        <w:rPr>
          <w:rFonts w:cs="Times New Roman"/>
          <w:color w:val="000000" w:themeColor="text1"/>
        </w:rPr>
        <w:t>综上，通过合理布置施工场地，加强防护措施，合理安排施工时间，对周边环境影响较小。同时施工期噪声是暂时的，会随着施工的结束而停止，环评要求优化施工工艺，尽量缩短施工时间，进一步减小本项目施工期对周边敏感点的影响。</w:t>
      </w:r>
    </w:p>
    <w:p w:rsidR="00644456" w:rsidRDefault="008031C4">
      <w:pPr>
        <w:pStyle w:val="3"/>
        <w:numPr>
          <w:ilvl w:val="2"/>
          <w:numId w:val="0"/>
        </w:numPr>
        <w:ind w:firstLineChars="200" w:firstLine="482"/>
      </w:pPr>
      <w:bookmarkStart w:id="289" w:name="_Toc8438"/>
      <w:r>
        <w:rPr>
          <w:rFonts w:hint="eastAsia"/>
        </w:rPr>
        <w:t>4.2.4</w:t>
      </w:r>
      <w:r>
        <w:rPr>
          <w:rFonts w:hint="eastAsia"/>
        </w:rPr>
        <w:t>施工期固体废物环境影响分析</w:t>
      </w:r>
      <w:bookmarkEnd w:id="286"/>
      <w:bookmarkEnd w:id="287"/>
      <w:bookmarkEnd w:id="289"/>
    </w:p>
    <w:p w:rsidR="00644456" w:rsidRDefault="008031C4">
      <w:pPr>
        <w:pStyle w:val="-"/>
        <w:ind w:firstLine="482"/>
        <w:rPr>
          <w:rFonts w:cs="Times New Roman"/>
          <w:color w:val="000000" w:themeColor="text1"/>
        </w:rPr>
      </w:pPr>
      <w:bookmarkStart w:id="290" w:name="_Toc500840326"/>
      <w:bookmarkStart w:id="291" w:name="_Toc489290424"/>
      <w:r>
        <w:rPr>
          <w:rFonts w:cs="Times New Roman"/>
          <w:b/>
          <w:color w:val="000000" w:themeColor="text1"/>
        </w:rPr>
        <w:t>建筑垃圾：</w:t>
      </w:r>
      <w:r>
        <w:rPr>
          <w:rFonts w:cs="Times New Roman"/>
          <w:color w:val="000000" w:themeColor="text1"/>
        </w:rPr>
        <w:t>项目施工过程中产生的建筑垃圾（如铁质弃料、木材弃料等），在施工现场设置临时建筑废物堆放场并进行加盖处理。施工期产生的废料首先考虑回收利用，对不能回收的建筑垃圾，如混凝土废料、含砖、石、砂的杂土等，集中堆放，定时清运到指定建渣堆放场。为确保废弃物处置措施落实，建设单位或施工总承包单位在与建筑垃圾清运公司签订清运合同时，应要求承包公司提供废弃物去向的证明材料，严禁随意倾倒。</w:t>
      </w:r>
    </w:p>
    <w:p w:rsidR="00644456" w:rsidRDefault="008031C4">
      <w:pPr>
        <w:pStyle w:val="-"/>
        <w:ind w:firstLine="482"/>
        <w:rPr>
          <w:rFonts w:cs="Times New Roman"/>
          <w:color w:val="000000" w:themeColor="text1"/>
        </w:rPr>
      </w:pPr>
      <w:r>
        <w:rPr>
          <w:rFonts w:cs="Times New Roman"/>
          <w:b/>
          <w:color w:val="000000" w:themeColor="text1"/>
        </w:rPr>
        <w:t>装修垃圾：</w:t>
      </w:r>
      <w:r>
        <w:rPr>
          <w:rFonts w:cs="Times New Roman"/>
          <w:color w:val="000000" w:themeColor="text1"/>
        </w:rPr>
        <w:t>装修垃圾一般有废砖头、砂、水泥及木屑等，会产生扬尘，因此不能随意倾倒，而应用编织袋包装后运出屋外，放在指定地点，由环卫部门统一清运处理。</w:t>
      </w:r>
    </w:p>
    <w:p w:rsidR="00644456" w:rsidRDefault="008031C4">
      <w:pPr>
        <w:pStyle w:val="-"/>
        <w:ind w:firstLine="482"/>
        <w:rPr>
          <w:rFonts w:cs="Times New Roman"/>
          <w:color w:val="000000" w:themeColor="text1"/>
        </w:rPr>
      </w:pPr>
      <w:r>
        <w:rPr>
          <w:rFonts w:cs="Times New Roman"/>
          <w:b/>
          <w:color w:val="000000" w:themeColor="text1"/>
        </w:rPr>
        <w:t>生活垃圾：</w:t>
      </w:r>
      <w:r>
        <w:rPr>
          <w:rFonts w:cs="Times New Roman"/>
          <w:color w:val="000000" w:themeColor="text1"/>
        </w:rPr>
        <w:t>施工人员每日产生的生活垃圾经过垃圾桶收集后，送入项目附近生活垃圾收集点内堆放，最终由环卫部门统一清运处理，不会对环境空气和水环境质量构成潜在的影响因素。</w:t>
      </w:r>
    </w:p>
    <w:p w:rsidR="00644456" w:rsidRDefault="008031C4">
      <w:pPr>
        <w:pStyle w:val="-"/>
        <w:ind w:firstLine="482"/>
        <w:rPr>
          <w:rFonts w:cs="Times New Roman"/>
          <w:b/>
          <w:color w:val="000000" w:themeColor="text1"/>
        </w:rPr>
      </w:pPr>
      <w:r>
        <w:rPr>
          <w:rFonts w:cs="Times New Roman"/>
          <w:b/>
          <w:color w:val="000000" w:themeColor="text1"/>
        </w:rPr>
        <w:t>外运以上各种建筑垃圾及装修垃圾时，运输车辆不许超载，出场前一律清洗轮胎，用毡布覆盖，尽量避免轮胎上的泥土掉落至路面而造成扬尘。综上所述，采取以上措施后，项目施工期间产生的固体废弃物均能得到清洁处理和处置，施工期产生的固废对周围环境的影响较小。</w:t>
      </w:r>
    </w:p>
    <w:p w:rsidR="00644456" w:rsidRDefault="008031C4">
      <w:pPr>
        <w:pStyle w:val="3"/>
        <w:numPr>
          <w:ilvl w:val="2"/>
          <w:numId w:val="0"/>
        </w:numPr>
        <w:ind w:firstLineChars="200" w:firstLine="482"/>
      </w:pPr>
      <w:bookmarkStart w:id="292" w:name="_Toc23718"/>
      <w:r>
        <w:rPr>
          <w:rFonts w:hint="eastAsia"/>
        </w:rPr>
        <w:t>4.2.5</w:t>
      </w:r>
      <w:r>
        <w:rPr>
          <w:rFonts w:hint="eastAsia"/>
        </w:rPr>
        <w:t>施工期生态影响分析</w:t>
      </w:r>
      <w:bookmarkEnd w:id="290"/>
      <w:bookmarkEnd w:id="291"/>
      <w:bookmarkEnd w:id="292"/>
    </w:p>
    <w:p w:rsidR="00644456" w:rsidRDefault="008031C4">
      <w:pPr>
        <w:pStyle w:val="-"/>
        <w:ind w:firstLine="480"/>
        <w:rPr>
          <w:rFonts w:cs="Times New Roman"/>
          <w:color w:val="000000" w:themeColor="text1"/>
        </w:rPr>
      </w:pPr>
      <w:r>
        <w:rPr>
          <w:rFonts w:cs="Times New Roman" w:hint="eastAsia"/>
          <w:color w:val="000000" w:themeColor="text1"/>
        </w:rPr>
        <w:t>本项目施工期施工不可避免要产生水土流失外，同时对景观也会产生破坏影响。</w:t>
      </w:r>
    </w:p>
    <w:p w:rsidR="00644456" w:rsidRDefault="008031C4">
      <w:pPr>
        <w:pStyle w:val="-"/>
        <w:ind w:firstLine="480"/>
        <w:rPr>
          <w:rFonts w:cs="Times New Roman"/>
          <w:color w:val="000000" w:themeColor="text1"/>
        </w:rPr>
      </w:pPr>
      <w:r>
        <w:rPr>
          <w:rFonts w:cs="Times New Roman" w:hint="eastAsia"/>
          <w:color w:val="000000" w:themeColor="text1"/>
        </w:rPr>
        <w:t>随着施工场地开挖、填方、平整、取土、弃土等行为，均会造成土壤剥离、破坏原有硬化地面和地表原貌。如果施工过程中大量的土石方不能及时清理，遇有较大降雨冲刷，易发生水土流失。施工中尚未竣工部分和工地内运转的建筑机械、无序堆放的建筑材料和建筑垃圾，也将造成杂乱现象，有些还会持续到运营初期。</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hint="eastAsia"/>
          <w:color w:val="000000" w:themeColor="text1"/>
        </w:rPr>
        <w:t>）施工期对植被影响分析</w:t>
      </w:r>
    </w:p>
    <w:p w:rsidR="00644456" w:rsidRDefault="008031C4">
      <w:pPr>
        <w:pStyle w:val="-"/>
        <w:ind w:firstLine="480"/>
        <w:rPr>
          <w:rFonts w:cs="Times New Roman"/>
          <w:color w:val="000000" w:themeColor="text1"/>
        </w:rPr>
      </w:pPr>
      <w:r>
        <w:rPr>
          <w:rFonts w:cs="Times New Roman" w:hint="eastAsia"/>
          <w:color w:val="000000" w:themeColor="text1"/>
        </w:rPr>
        <w:t>施工地表的平整和施工活动，会破坏地表原有的植被，使区域的植被量减少。</w:t>
      </w:r>
    </w:p>
    <w:p w:rsidR="00644456" w:rsidRDefault="008031C4">
      <w:pPr>
        <w:pStyle w:val="-"/>
        <w:ind w:firstLine="480"/>
        <w:rPr>
          <w:rFonts w:cs="Times New Roman"/>
          <w:color w:val="000000" w:themeColor="text1"/>
        </w:rPr>
      </w:pPr>
      <w:r>
        <w:rPr>
          <w:rFonts w:cs="Times New Roman" w:hint="eastAsia"/>
          <w:color w:val="000000" w:themeColor="text1"/>
        </w:rPr>
        <w:lastRenderedPageBreak/>
        <w:t>（</w:t>
      </w:r>
      <w:r>
        <w:rPr>
          <w:rFonts w:cs="Times New Roman" w:hint="eastAsia"/>
          <w:color w:val="000000" w:themeColor="text1"/>
        </w:rPr>
        <w:t>2</w:t>
      </w:r>
      <w:r>
        <w:rPr>
          <w:rFonts w:cs="Times New Roman" w:hint="eastAsia"/>
          <w:color w:val="000000" w:themeColor="text1"/>
        </w:rPr>
        <w:t>）施工期对土壤影响分析</w:t>
      </w:r>
    </w:p>
    <w:p w:rsidR="00644456" w:rsidRDefault="008031C4">
      <w:pPr>
        <w:pStyle w:val="-"/>
        <w:ind w:firstLine="480"/>
        <w:rPr>
          <w:rFonts w:cs="Times New Roman"/>
          <w:color w:val="000000" w:themeColor="text1"/>
        </w:rPr>
      </w:pPr>
      <w:r>
        <w:rPr>
          <w:rFonts w:cs="Times New Roman" w:hint="eastAsia"/>
          <w:color w:val="000000" w:themeColor="text1"/>
        </w:rPr>
        <w:t>工程施工阶段由于机械的碾压及施工人员的踩踏，使土壤物理结构发生改变。此外，临时占地，使这些土地短期内丧失原有的生态功能。要求在施工中注意尽量维护土壤现状，以有利于绿化工作。</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3</w:t>
      </w:r>
      <w:r>
        <w:rPr>
          <w:rFonts w:cs="Times New Roman" w:hint="eastAsia"/>
          <w:color w:val="000000" w:themeColor="text1"/>
        </w:rPr>
        <w:t>）施工期对水土流失影响分析</w:t>
      </w:r>
    </w:p>
    <w:p w:rsidR="00644456" w:rsidRDefault="008031C4">
      <w:pPr>
        <w:pStyle w:val="-"/>
        <w:ind w:firstLine="480"/>
        <w:rPr>
          <w:rFonts w:cs="Times New Roman"/>
          <w:color w:val="000000" w:themeColor="text1"/>
        </w:rPr>
      </w:pPr>
      <w:r>
        <w:rPr>
          <w:rFonts w:cs="Times New Roman" w:hint="eastAsia"/>
          <w:color w:val="000000" w:themeColor="text1"/>
        </w:rPr>
        <w:t>本项目建设过程中水土流失产生的影响大致为：项目建设产生的弃土如不及时运走，遇雨会随地流淌，有一部分沉积地面，遇晴天或大风时就会产生扬尘，影响大气质量。</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4</w:t>
      </w:r>
      <w:r>
        <w:rPr>
          <w:rFonts w:cs="Times New Roman" w:hint="eastAsia"/>
          <w:color w:val="000000" w:themeColor="text1"/>
        </w:rPr>
        <w:t>）施工期景观影响分析</w:t>
      </w:r>
    </w:p>
    <w:p w:rsidR="00644456" w:rsidRDefault="008031C4">
      <w:pPr>
        <w:pStyle w:val="-"/>
        <w:ind w:firstLine="480"/>
        <w:rPr>
          <w:rFonts w:cs="Times New Roman"/>
          <w:color w:val="000000" w:themeColor="text1"/>
        </w:rPr>
      </w:pPr>
      <w:r>
        <w:rPr>
          <w:rFonts w:cs="Times New Roman" w:hint="eastAsia"/>
          <w:color w:val="000000" w:themeColor="text1"/>
        </w:rPr>
        <w:t>在施工期间，弃土场及施工便道对景观的影响主要是凌乱和无序。本项目在施工期内将增加周围地区的扬尘量，给人空气污浊的感觉，尘土覆盖，影响区域美感。但施工期的景观影响时间相对短暂，并且主要是视觉上的影响。</w:t>
      </w:r>
    </w:p>
    <w:p w:rsidR="00644456" w:rsidRDefault="008031C4">
      <w:pPr>
        <w:pStyle w:val="-"/>
        <w:ind w:firstLine="480"/>
        <w:rPr>
          <w:rFonts w:cs="Times New Roman"/>
          <w:color w:val="000000" w:themeColor="text1"/>
        </w:rPr>
      </w:pPr>
      <w:r>
        <w:rPr>
          <w:rFonts w:cs="Times New Roman" w:hint="eastAsia"/>
          <w:color w:val="000000" w:themeColor="text1"/>
        </w:rPr>
        <w:t>本项目评价范围内无自然保护区、风景名胜区、野生动物重要栖息地、重点保护野生植物生长繁殖地等环境敏感区。</w:t>
      </w:r>
    </w:p>
    <w:p w:rsidR="00644456" w:rsidRDefault="008031C4">
      <w:pPr>
        <w:pStyle w:val="-"/>
        <w:ind w:firstLine="480"/>
        <w:rPr>
          <w:rFonts w:cs="Times New Roman"/>
          <w:color w:val="000000" w:themeColor="text1"/>
        </w:rPr>
      </w:pPr>
      <w:r>
        <w:rPr>
          <w:rFonts w:cs="Times New Roman" w:hint="eastAsia"/>
          <w:color w:val="000000" w:themeColor="text1"/>
        </w:rPr>
        <w:t>项目所在区属于建成区，野生植物较少，多以人工植被居多。如杨树、柳树等耐旱植物；由于受人为活动的影响，野生动物较为罕见，常见种为啮齿类、爬行类小型动物以及鸟类昆虫等。</w:t>
      </w:r>
    </w:p>
    <w:p w:rsidR="00644456" w:rsidRDefault="008031C4">
      <w:pPr>
        <w:pStyle w:val="-"/>
        <w:ind w:firstLine="480"/>
        <w:rPr>
          <w:rFonts w:cs="Times New Roman"/>
          <w:color w:val="000000" w:themeColor="text1"/>
        </w:rPr>
      </w:pPr>
      <w:r>
        <w:rPr>
          <w:rFonts w:cs="Times New Roman" w:hint="eastAsia"/>
          <w:color w:val="000000" w:themeColor="text1"/>
        </w:rPr>
        <w:t>经现场勘查，本项目用地范围内植被覆盖率较低（＜</w:t>
      </w:r>
      <w:r>
        <w:rPr>
          <w:rFonts w:cs="Times New Roman" w:hint="eastAsia"/>
          <w:color w:val="000000" w:themeColor="text1"/>
        </w:rPr>
        <w:t>5%</w:t>
      </w:r>
      <w:r>
        <w:rPr>
          <w:rFonts w:cs="Times New Roman" w:hint="eastAsia"/>
          <w:color w:val="000000" w:themeColor="text1"/>
        </w:rPr>
        <w:t>），主要为当地常见的杂草和部分人工植被，野生动物极少，无珍稀、濒危及受保护动植物种类分布。项目所在区域生态环境较为简单，评价范围内无生态敏感区。本项目施工量小，施工期短，对生态环境影响较小。</w:t>
      </w:r>
    </w:p>
    <w:p w:rsidR="00644456" w:rsidRDefault="008031C4">
      <w:pPr>
        <w:pStyle w:val="3"/>
        <w:numPr>
          <w:ilvl w:val="2"/>
          <w:numId w:val="0"/>
        </w:numPr>
        <w:ind w:firstLineChars="200" w:firstLine="482"/>
      </w:pPr>
      <w:r>
        <w:rPr>
          <w:rFonts w:hint="eastAsia"/>
        </w:rPr>
        <w:t>4.2.6</w:t>
      </w:r>
      <w:r>
        <w:rPr>
          <w:rFonts w:hint="eastAsia"/>
        </w:rPr>
        <w:t>施工期小结</w:t>
      </w:r>
    </w:p>
    <w:p w:rsidR="00644456" w:rsidRDefault="008031C4">
      <w:pPr>
        <w:pStyle w:val="-"/>
        <w:ind w:firstLine="480"/>
        <w:rPr>
          <w:rFonts w:cs="Times New Roman"/>
          <w:color w:val="000000" w:themeColor="text1"/>
        </w:rPr>
      </w:pPr>
      <w:r>
        <w:rPr>
          <w:rFonts w:cs="Times New Roman" w:hint="eastAsia"/>
          <w:color w:val="000000" w:themeColor="text1"/>
        </w:rPr>
        <w:t>综上所述，项目施工期虽然对环境存在一定影响，但施工结束后，上述影响将会消除。因此，评价认为：本项目施工期对环境的总体影响较小。只要建设单位及有关施工单位，认真制定和落实工程施工期应采取的环保对策措施，精心安排、规范施工、文明施工，就能将项目施工期对外环境的影响降低到最小，使施工期的环境影响问题得到有效控制。</w:t>
      </w:r>
    </w:p>
    <w:p w:rsidR="00644456" w:rsidRDefault="00644456">
      <w:pPr>
        <w:widowControl/>
        <w:jc w:val="left"/>
        <w:rPr>
          <w:rFonts w:cs="Times New Roman"/>
          <w:color w:val="000000" w:themeColor="text1"/>
          <w:sz w:val="24"/>
        </w:rPr>
      </w:pPr>
    </w:p>
    <w:p w:rsidR="00644456" w:rsidRDefault="00644456">
      <w:pPr>
        <w:pStyle w:val="-"/>
        <w:ind w:firstLine="480"/>
        <w:rPr>
          <w:rFonts w:cs="Times New Roman"/>
          <w:color w:val="000000" w:themeColor="text1"/>
        </w:rPr>
        <w:sectPr w:rsidR="00644456">
          <w:pgSz w:w="11905" w:h="16838"/>
          <w:pgMar w:top="1440" w:right="1440" w:bottom="1440" w:left="1440" w:header="850" w:footer="992" w:gutter="0"/>
          <w:cols w:space="0"/>
        </w:sectPr>
      </w:pPr>
    </w:p>
    <w:p w:rsidR="00644456" w:rsidRDefault="008031C4">
      <w:pPr>
        <w:pStyle w:val="1"/>
        <w:numPr>
          <w:ilvl w:val="0"/>
          <w:numId w:val="0"/>
        </w:numPr>
      </w:pPr>
      <w:bookmarkStart w:id="293" w:name="_Toc9773"/>
      <w:bookmarkStart w:id="294" w:name="_Toc155789378"/>
      <w:bookmarkStart w:id="295" w:name="_Toc177216886"/>
      <w:bookmarkEnd w:id="264"/>
      <w:bookmarkEnd w:id="265"/>
      <w:bookmarkEnd w:id="266"/>
      <w:r>
        <w:rPr>
          <w:rFonts w:hint="eastAsia"/>
        </w:rPr>
        <w:lastRenderedPageBreak/>
        <w:t>第</w:t>
      </w:r>
      <w:r>
        <w:rPr>
          <w:rFonts w:hint="eastAsia"/>
        </w:rPr>
        <w:t xml:space="preserve"> 5 </w:t>
      </w:r>
      <w:r>
        <w:rPr>
          <w:rFonts w:hint="eastAsia"/>
        </w:rPr>
        <w:t>章</w:t>
      </w:r>
      <w:r>
        <w:rPr>
          <w:rFonts w:hint="eastAsia"/>
        </w:rPr>
        <w:t xml:space="preserve"> </w:t>
      </w:r>
      <w:r>
        <w:t>环境影响预测与评价</w:t>
      </w:r>
      <w:bookmarkEnd w:id="293"/>
      <w:bookmarkEnd w:id="294"/>
      <w:bookmarkEnd w:id="295"/>
    </w:p>
    <w:p w:rsidR="00644456" w:rsidRDefault="008031C4">
      <w:pPr>
        <w:pStyle w:val="20"/>
        <w:numPr>
          <w:ilvl w:val="1"/>
          <w:numId w:val="0"/>
        </w:numPr>
        <w:adjustRightInd w:val="0"/>
        <w:snapToGrid w:val="0"/>
        <w:spacing w:beforeLines="0" w:before="0" w:afterLines="0" w:after="0"/>
        <w:ind w:firstLine="560"/>
        <w:rPr>
          <w:rFonts w:cs="Times New Roman"/>
          <w:color w:val="000000" w:themeColor="text1"/>
        </w:rPr>
      </w:pPr>
      <w:bookmarkStart w:id="296" w:name="_Toc111019493"/>
      <w:bookmarkStart w:id="297" w:name="_Toc177216887"/>
      <w:bookmarkStart w:id="298" w:name="_Toc4282"/>
      <w:bookmarkStart w:id="299" w:name="_Toc155789379"/>
      <w:bookmarkStart w:id="300" w:name="_Toc385429889"/>
      <w:bookmarkStart w:id="301" w:name="_Toc310408677"/>
      <w:bookmarkStart w:id="302" w:name="_Toc385429890"/>
      <w:r>
        <w:rPr>
          <w:rFonts w:cs="Times New Roman" w:hint="eastAsia"/>
          <w:color w:val="000000" w:themeColor="text1"/>
        </w:rPr>
        <w:t>5.1</w:t>
      </w:r>
      <w:r>
        <w:rPr>
          <w:rFonts w:cs="Times New Roman"/>
          <w:color w:val="000000" w:themeColor="text1"/>
        </w:rPr>
        <w:t>大气环境影响分析</w:t>
      </w:r>
      <w:bookmarkEnd w:id="296"/>
      <w:bookmarkEnd w:id="297"/>
      <w:bookmarkEnd w:id="298"/>
      <w:bookmarkEnd w:id="299"/>
    </w:p>
    <w:p w:rsidR="00644456" w:rsidRDefault="008031C4">
      <w:pPr>
        <w:snapToGrid w:val="0"/>
        <w:spacing w:line="360" w:lineRule="auto"/>
        <w:ind w:firstLine="482"/>
        <w:rPr>
          <w:rFonts w:cs="Times New Roman"/>
          <w:color w:val="000000" w:themeColor="text1"/>
          <w:sz w:val="24"/>
          <w:szCs w:val="24"/>
        </w:rPr>
      </w:pPr>
      <w:r>
        <w:rPr>
          <w:rFonts w:cs="Times New Roman" w:hint="eastAsia"/>
          <w:color w:val="000000" w:themeColor="text1"/>
          <w:sz w:val="24"/>
          <w:szCs w:val="24"/>
        </w:rPr>
        <w:t>本项目产生的废气主要是工艺不凝气、导热油锅炉废气、罐区大小呼吸废气、污水处理站废气、装卸区损失废气以及装置区密封损失废气等，主要特征因子为非甲烷总烃、硫化氢、氨等。</w:t>
      </w:r>
    </w:p>
    <w:p w:rsidR="00644456" w:rsidRDefault="008031C4">
      <w:pPr>
        <w:pStyle w:val="3"/>
        <w:numPr>
          <w:ilvl w:val="2"/>
          <w:numId w:val="0"/>
        </w:numPr>
        <w:ind w:firstLineChars="200" w:firstLine="482"/>
      </w:pPr>
      <w:r>
        <w:rPr>
          <w:rFonts w:hint="eastAsia"/>
        </w:rPr>
        <w:t>5.1.1</w:t>
      </w:r>
      <w:r>
        <w:rPr>
          <w:rFonts w:hint="eastAsia"/>
        </w:rPr>
        <w:t>评价等级及范围</w:t>
      </w:r>
    </w:p>
    <w:p w:rsidR="00644456" w:rsidRDefault="008031C4">
      <w:pPr>
        <w:snapToGrid w:val="0"/>
        <w:spacing w:line="360" w:lineRule="auto"/>
        <w:ind w:firstLine="480"/>
        <w:rPr>
          <w:rFonts w:cs="Times New Roman"/>
          <w:b/>
          <w:bCs/>
          <w:color w:val="000000" w:themeColor="text1"/>
          <w:sz w:val="24"/>
          <w:szCs w:val="24"/>
        </w:rPr>
      </w:pPr>
      <w:r>
        <w:rPr>
          <w:rFonts w:cs="Times New Roman"/>
          <w:b/>
          <w:bCs/>
          <w:color w:val="000000" w:themeColor="text1"/>
          <w:sz w:val="24"/>
          <w:szCs w:val="24"/>
        </w:rPr>
        <w:t>（</w:t>
      </w:r>
      <w:r>
        <w:rPr>
          <w:rFonts w:cs="Times New Roman"/>
          <w:b/>
          <w:bCs/>
          <w:color w:val="000000" w:themeColor="text1"/>
          <w:sz w:val="24"/>
          <w:szCs w:val="24"/>
        </w:rPr>
        <w:t>1</w:t>
      </w:r>
      <w:r>
        <w:rPr>
          <w:rFonts w:cs="Times New Roman"/>
          <w:b/>
          <w:bCs/>
          <w:color w:val="000000" w:themeColor="text1"/>
          <w:sz w:val="24"/>
          <w:szCs w:val="24"/>
        </w:rPr>
        <w:t>）预测因子</w:t>
      </w:r>
    </w:p>
    <w:p w:rsidR="00644456" w:rsidRDefault="008031C4">
      <w:pPr>
        <w:snapToGrid w:val="0"/>
        <w:spacing w:line="360" w:lineRule="auto"/>
        <w:ind w:firstLine="482"/>
        <w:rPr>
          <w:rFonts w:cs="Times New Roman"/>
          <w:color w:val="000000" w:themeColor="text1"/>
          <w:sz w:val="24"/>
          <w:szCs w:val="24"/>
        </w:rPr>
      </w:pPr>
      <w:r>
        <w:rPr>
          <w:rFonts w:cs="Times New Roman" w:hint="eastAsia"/>
          <w:color w:val="000000" w:themeColor="text1"/>
          <w:sz w:val="24"/>
          <w:szCs w:val="24"/>
        </w:rPr>
        <w:t>根据工程分析中对大气污染物排放情况的介绍，根据导则要求，选择有环境质量标准的评价因子作为预测因子，评价确定以</w:t>
      </w:r>
      <w:r>
        <w:rPr>
          <w:rFonts w:cs="Times New Roman" w:hint="eastAsia"/>
          <w:color w:val="000000" w:themeColor="text1"/>
          <w:sz w:val="24"/>
          <w:szCs w:val="24"/>
        </w:rPr>
        <w:t>V</w:t>
      </w:r>
      <w:r>
        <w:rPr>
          <w:rFonts w:cs="Times New Roman"/>
          <w:color w:val="000000" w:themeColor="text1"/>
          <w:sz w:val="24"/>
          <w:szCs w:val="24"/>
        </w:rPr>
        <w:t>OCs</w:t>
      </w:r>
      <w:r>
        <w:rPr>
          <w:rFonts w:cs="Times New Roman" w:hint="eastAsia"/>
          <w:color w:val="000000" w:themeColor="text1"/>
          <w:sz w:val="24"/>
          <w:szCs w:val="24"/>
        </w:rPr>
        <w:t>、</w:t>
      </w:r>
      <w:r>
        <w:rPr>
          <w:rFonts w:cs="Times New Roman" w:hint="eastAsia"/>
          <w:color w:val="000000" w:themeColor="text1"/>
          <w:sz w:val="24"/>
          <w:szCs w:val="24"/>
        </w:rPr>
        <w:t>SO</w:t>
      </w:r>
      <w:r>
        <w:rPr>
          <w:rFonts w:cs="Times New Roman" w:hint="eastAsia"/>
          <w:color w:val="000000" w:themeColor="text1"/>
          <w:sz w:val="24"/>
          <w:szCs w:val="24"/>
          <w:vertAlign w:val="subscript"/>
        </w:rPr>
        <w:t>2</w:t>
      </w:r>
      <w:r>
        <w:rPr>
          <w:rFonts w:cs="Times New Roman" w:hint="eastAsia"/>
          <w:color w:val="000000" w:themeColor="text1"/>
          <w:sz w:val="24"/>
          <w:szCs w:val="24"/>
        </w:rPr>
        <w:t>、</w:t>
      </w:r>
      <w:r>
        <w:rPr>
          <w:rFonts w:cs="Times New Roman" w:hint="eastAsia"/>
          <w:color w:val="000000" w:themeColor="text1"/>
          <w:sz w:val="24"/>
          <w:szCs w:val="24"/>
        </w:rPr>
        <w:t>NO</w:t>
      </w:r>
      <w:r>
        <w:rPr>
          <w:rFonts w:cs="Times New Roman"/>
          <w:color w:val="000000" w:themeColor="text1"/>
          <w:sz w:val="24"/>
          <w:szCs w:val="24"/>
          <w:vertAlign w:val="subscript"/>
        </w:rPr>
        <w:t>x</w:t>
      </w:r>
      <w:r>
        <w:rPr>
          <w:rFonts w:cs="Times New Roman" w:hint="eastAsia"/>
          <w:color w:val="000000" w:themeColor="text1"/>
          <w:sz w:val="24"/>
          <w:szCs w:val="24"/>
        </w:rPr>
        <w:t>、</w:t>
      </w:r>
      <w:r>
        <w:rPr>
          <w:rFonts w:cs="Times New Roman"/>
          <w:color w:val="000000" w:themeColor="text1"/>
          <w:sz w:val="24"/>
          <w:szCs w:val="24"/>
        </w:rPr>
        <w:t>TSP</w:t>
      </w:r>
      <w:r>
        <w:rPr>
          <w:rFonts w:cs="Times New Roman" w:hint="eastAsia"/>
          <w:color w:val="000000" w:themeColor="text1"/>
          <w:sz w:val="24"/>
          <w:szCs w:val="24"/>
        </w:rPr>
        <w:t>、硫化氢、氨作为预测因子。</w:t>
      </w:r>
    </w:p>
    <w:p w:rsidR="00644456" w:rsidRDefault="00644456">
      <w:pPr>
        <w:snapToGrid w:val="0"/>
        <w:spacing w:line="360" w:lineRule="auto"/>
        <w:ind w:firstLine="480"/>
        <w:rPr>
          <w:rFonts w:cs="Times New Roman"/>
          <w:b/>
          <w:bCs/>
          <w:color w:val="000000" w:themeColor="text1"/>
          <w:sz w:val="24"/>
          <w:szCs w:val="24"/>
        </w:rPr>
        <w:sectPr w:rsidR="00644456">
          <w:headerReference w:type="even" r:id="rId55"/>
          <w:headerReference w:type="default" r:id="rId56"/>
          <w:footerReference w:type="even" r:id="rId57"/>
          <w:footerReference w:type="default" r:id="rId58"/>
          <w:headerReference w:type="first" r:id="rId59"/>
          <w:footerReference w:type="first" r:id="rId60"/>
          <w:pgSz w:w="11906" w:h="16838"/>
          <w:pgMar w:top="1440" w:right="1800" w:bottom="1440" w:left="1800" w:header="851" w:footer="992" w:gutter="0"/>
          <w:cols w:space="720"/>
          <w:titlePg/>
          <w:docGrid w:linePitch="326"/>
        </w:sectPr>
      </w:pPr>
    </w:p>
    <w:p w:rsidR="00644456" w:rsidRDefault="008031C4">
      <w:pPr>
        <w:snapToGrid w:val="0"/>
        <w:spacing w:line="360" w:lineRule="auto"/>
        <w:ind w:firstLine="480"/>
        <w:rPr>
          <w:rFonts w:cs="Times New Roman"/>
          <w:b/>
          <w:bCs/>
          <w:color w:val="000000" w:themeColor="text1"/>
          <w:sz w:val="24"/>
          <w:szCs w:val="24"/>
        </w:rPr>
      </w:pPr>
      <w:r>
        <w:rPr>
          <w:rFonts w:cs="Times New Roman" w:hint="eastAsia"/>
          <w:b/>
          <w:bCs/>
          <w:color w:val="000000" w:themeColor="text1"/>
          <w:sz w:val="24"/>
          <w:szCs w:val="24"/>
        </w:rPr>
        <w:lastRenderedPageBreak/>
        <w:t>（</w:t>
      </w:r>
      <w:r>
        <w:rPr>
          <w:rFonts w:cs="Times New Roman" w:hint="eastAsia"/>
          <w:b/>
          <w:bCs/>
          <w:color w:val="000000" w:themeColor="text1"/>
          <w:sz w:val="24"/>
          <w:szCs w:val="24"/>
        </w:rPr>
        <w:t>2</w:t>
      </w:r>
      <w:r>
        <w:rPr>
          <w:rFonts w:cs="Times New Roman" w:hint="eastAsia"/>
          <w:b/>
          <w:bCs/>
          <w:color w:val="000000" w:themeColor="text1"/>
          <w:sz w:val="24"/>
          <w:szCs w:val="24"/>
        </w:rPr>
        <w:t>）污染物排放参数情况表</w:t>
      </w:r>
    </w:p>
    <w:p w:rsidR="00644456" w:rsidRPr="00C14E67" w:rsidRDefault="008031C4">
      <w:pPr>
        <w:autoSpaceDE w:val="0"/>
        <w:autoSpaceDN w:val="0"/>
        <w:adjustRightInd w:val="0"/>
        <w:jc w:val="center"/>
        <w:rPr>
          <w:rFonts w:cs="Times New Roman"/>
          <w:b/>
          <w:color w:val="FF0000"/>
          <w:sz w:val="24"/>
          <w:szCs w:val="20"/>
        </w:rPr>
      </w:pPr>
      <w:r w:rsidRPr="00C14E67">
        <w:rPr>
          <w:rFonts w:cs="Times New Roman" w:hint="eastAsia"/>
          <w:b/>
          <w:color w:val="FF0000"/>
          <w:sz w:val="24"/>
          <w:szCs w:val="20"/>
        </w:rPr>
        <w:t>表</w:t>
      </w:r>
      <w:r w:rsidRPr="00C14E67">
        <w:rPr>
          <w:rFonts w:cs="Times New Roman" w:hint="eastAsia"/>
          <w:b/>
          <w:color w:val="FF0000"/>
          <w:sz w:val="24"/>
          <w:szCs w:val="20"/>
        </w:rPr>
        <w:t>5.1-1</w:t>
      </w:r>
      <w:r w:rsidRPr="00C14E67">
        <w:rPr>
          <w:rFonts w:cs="Times New Roman" w:hint="eastAsia"/>
          <w:b/>
          <w:color w:val="FF0000"/>
          <w:sz w:val="24"/>
          <w:szCs w:val="20"/>
        </w:rPr>
        <w:t>主要废气污染源参数一览表（点源）</w:t>
      </w:r>
    </w:p>
    <w:tbl>
      <w:tblPr>
        <w:tblStyle w:val="afff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977"/>
        <w:gridCol w:w="1424"/>
        <w:gridCol w:w="1556"/>
        <w:gridCol w:w="1426"/>
        <w:gridCol w:w="845"/>
        <w:gridCol w:w="910"/>
        <w:gridCol w:w="946"/>
        <w:gridCol w:w="969"/>
        <w:gridCol w:w="976"/>
        <w:gridCol w:w="971"/>
        <w:gridCol w:w="971"/>
        <w:gridCol w:w="977"/>
      </w:tblGrid>
      <w:tr w:rsidR="00644456" w:rsidRPr="00C14E67">
        <w:tc>
          <w:tcPr>
            <w:tcW w:w="1977" w:type="dxa"/>
            <w:vMerge w:val="restart"/>
            <w:vAlign w:val="center"/>
          </w:tcPr>
          <w:p w:rsidR="00644456" w:rsidRPr="00C14E67" w:rsidRDefault="008031C4">
            <w:pPr>
              <w:jc w:val="center"/>
              <w:rPr>
                <w:color w:val="FF0000"/>
              </w:rPr>
            </w:pPr>
            <w:r w:rsidRPr="00C14E67">
              <w:rPr>
                <w:rFonts w:hint="eastAsia"/>
                <w:color w:val="FF0000"/>
              </w:rPr>
              <w:t>污染源名称</w:t>
            </w:r>
          </w:p>
        </w:tc>
        <w:tc>
          <w:tcPr>
            <w:tcW w:w="2980" w:type="dxa"/>
            <w:gridSpan w:val="2"/>
            <w:vAlign w:val="center"/>
          </w:tcPr>
          <w:p w:rsidR="00644456" w:rsidRPr="00C14E67" w:rsidRDefault="008031C4">
            <w:pPr>
              <w:jc w:val="center"/>
              <w:rPr>
                <w:color w:val="FF0000"/>
              </w:rPr>
            </w:pPr>
            <w:r w:rsidRPr="00C14E67">
              <w:rPr>
                <w:rFonts w:hint="eastAsia"/>
                <w:color w:val="FF0000"/>
              </w:rPr>
              <w:t>排气筒底部中心坐标</w:t>
            </w:r>
          </w:p>
        </w:tc>
        <w:tc>
          <w:tcPr>
            <w:tcW w:w="1426" w:type="dxa"/>
            <w:vMerge w:val="restart"/>
            <w:vAlign w:val="center"/>
          </w:tcPr>
          <w:p w:rsidR="00644456" w:rsidRPr="00C14E67" w:rsidRDefault="008031C4">
            <w:pPr>
              <w:jc w:val="center"/>
              <w:rPr>
                <w:color w:val="FF0000"/>
              </w:rPr>
            </w:pPr>
            <w:r w:rsidRPr="00C14E67">
              <w:rPr>
                <w:rFonts w:hint="eastAsia"/>
                <w:color w:val="FF0000"/>
              </w:rPr>
              <w:t>排气筒底部海拔高度（</w:t>
            </w:r>
            <w:r w:rsidRPr="00C14E67">
              <w:rPr>
                <w:rFonts w:hint="eastAsia"/>
                <w:color w:val="FF0000"/>
              </w:rPr>
              <w:t>m</w:t>
            </w:r>
            <w:r w:rsidRPr="00C14E67">
              <w:rPr>
                <w:rFonts w:hint="eastAsia"/>
                <w:color w:val="FF0000"/>
              </w:rPr>
              <w:t>）</w:t>
            </w:r>
          </w:p>
        </w:tc>
        <w:tc>
          <w:tcPr>
            <w:tcW w:w="2701" w:type="dxa"/>
            <w:gridSpan w:val="3"/>
            <w:vAlign w:val="center"/>
          </w:tcPr>
          <w:p w:rsidR="00644456" w:rsidRPr="00C14E67" w:rsidRDefault="008031C4">
            <w:pPr>
              <w:jc w:val="center"/>
              <w:rPr>
                <w:color w:val="FF0000"/>
              </w:rPr>
            </w:pPr>
            <w:r w:rsidRPr="00C14E67">
              <w:rPr>
                <w:rFonts w:hint="eastAsia"/>
                <w:color w:val="FF0000"/>
              </w:rPr>
              <w:t>排气筒参数</w:t>
            </w:r>
          </w:p>
        </w:tc>
        <w:tc>
          <w:tcPr>
            <w:tcW w:w="4864" w:type="dxa"/>
            <w:gridSpan w:val="5"/>
            <w:vAlign w:val="center"/>
          </w:tcPr>
          <w:p w:rsidR="00644456" w:rsidRPr="00C14E67" w:rsidRDefault="008031C4">
            <w:pPr>
              <w:jc w:val="center"/>
              <w:rPr>
                <w:color w:val="FF0000"/>
              </w:rPr>
            </w:pPr>
            <w:r w:rsidRPr="00C14E67">
              <w:rPr>
                <w:rFonts w:hint="eastAsia"/>
                <w:color w:val="FF0000"/>
              </w:rPr>
              <w:t>污染物排放速率（</w:t>
            </w:r>
            <w:r w:rsidRPr="00C14E67">
              <w:rPr>
                <w:rFonts w:hint="eastAsia"/>
                <w:color w:val="FF0000"/>
              </w:rPr>
              <w:t>kg/h</w:t>
            </w:r>
            <w:r w:rsidRPr="00C14E67">
              <w:rPr>
                <w:rFonts w:hint="eastAsia"/>
                <w:color w:val="FF0000"/>
              </w:rPr>
              <w:t>）</w:t>
            </w:r>
          </w:p>
        </w:tc>
      </w:tr>
      <w:tr w:rsidR="00644456" w:rsidRPr="00C14E67">
        <w:tc>
          <w:tcPr>
            <w:tcW w:w="1977" w:type="dxa"/>
            <w:vMerge/>
            <w:vAlign w:val="center"/>
          </w:tcPr>
          <w:p w:rsidR="00644456" w:rsidRPr="00C14E67" w:rsidRDefault="00644456">
            <w:pPr>
              <w:jc w:val="center"/>
              <w:rPr>
                <w:color w:val="FF0000"/>
              </w:rPr>
            </w:pPr>
          </w:p>
        </w:tc>
        <w:tc>
          <w:tcPr>
            <w:tcW w:w="1424" w:type="dxa"/>
            <w:vAlign w:val="center"/>
          </w:tcPr>
          <w:p w:rsidR="00644456" w:rsidRPr="00C14E67" w:rsidRDefault="008031C4">
            <w:pPr>
              <w:jc w:val="center"/>
              <w:rPr>
                <w:color w:val="FF0000"/>
              </w:rPr>
            </w:pPr>
            <w:r w:rsidRPr="00C14E67">
              <w:rPr>
                <w:rFonts w:hint="eastAsia"/>
                <w:color w:val="FF0000"/>
              </w:rPr>
              <w:t>经度</w:t>
            </w:r>
          </w:p>
        </w:tc>
        <w:tc>
          <w:tcPr>
            <w:tcW w:w="1556" w:type="dxa"/>
            <w:vAlign w:val="center"/>
          </w:tcPr>
          <w:p w:rsidR="00644456" w:rsidRPr="00C14E67" w:rsidRDefault="008031C4">
            <w:pPr>
              <w:jc w:val="center"/>
              <w:rPr>
                <w:color w:val="FF0000"/>
              </w:rPr>
            </w:pPr>
            <w:r w:rsidRPr="00C14E67">
              <w:rPr>
                <w:rFonts w:hint="eastAsia"/>
                <w:color w:val="FF0000"/>
              </w:rPr>
              <w:t>纬度</w:t>
            </w:r>
          </w:p>
        </w:tc>
        <w:tc>
          <w:tcPr>
            <w:tcW w:w="1426" w:type="dxa"/>
            <w:vMerge/>
            <w:vAlign w:val="center"/>
          </w:tcPr>
          <w:p w:rsidR="00644456" w:rsidRPr="00C14E67" w:rsidRDefault="00644456">
            <w:pPr>
              <w:jc w:val="center"/>
              <w:rPr>
                <w:color w:val="FF0000"/>
              </w:rPr>
            </w:pPr>
          </w:p>
        </w:tc>
        <w:tc>
          <w:tcPr>
            <w:tcW w:w="845" w:type="dxa"/>
            <w:vAlign w:val="center"/>
          </w:tcPr>
          <w:p w:rsidR="00644456" w:rsidRPr="00C14E67" w:rsidRDefault="008031C4">
            <w:pPr>
              <w:jc w:val="center"/>
              <w:rPr>
                <w:color w:val="FF0000"/>
              </w:rPr>
            </w:pPr>
            <w:r w:rsidRPr="00C14E67">
              <w:rPr>
                <w:color w:val="FF0000"/>
              </w:rPr>
              <w:t>H(m</w:t>
            </w:r>
            <w:r w:rsidRPr="00C14E67">
              <w:rPr>
                <w:rFonts w:hint="eastAsia"/>
                <w:color w:val="FF0000"/>
              </w:rPr>
              <w:t>)</w:t>
            </w:r>
          </w:p>
        </w:tc>
        <w:tc>
          <w:tcPr>
            <w:tcW w:w="910" w:type="dxa"/>
            <w:vAlign w:val="center"/>
          </w:tcPr>
          <w:p w:rsidR="00644456" w:rsidRPr="00C14E67" w:rsidRDefault="008031C4">
            <w:pPr>
              <w:jc w:val="center"/>
              <w:rPr>
                <w:color w:val="FF0000"/>
              </w:rPr>
            </w:pPr>
            <w:r w:rsidRPr="00C14E67">
              <w:rPr>
                <w:color w:val="FF0000"/>
              </w:rPr>
              <w:t>D(m</w:t>
            </w:r>
            <w:r w:rsidRPr="00C14E67">
              <w:rPr>
                <w:rFonts w:hint="eastAsia"/>
                <w:color w:val="FF0000"/>
              </w:rPr>
              <w:t>)</w:t>
            </w:r>
          </w:p>
        </w:tc>
        <w:tc>
          <w:tcPr>
            <w:tcW w:w="946" w:type="dxa"/>
            <w:vAlign w:val="center"/>
          </w:tcPr>
          <w:p w:rsidR="00644456" w:rsidRPr="00C14E67" w:rsidRDefault="008031C4">
            <w:pPr>
              <w:jc w:val="center"/>
              <w:rPr>
                <w:color w:val="FF0000"/>
              </w:rPr>
            </w:pPr>
            <w:r w:rsidRPr="00C14E67">
              <w:rPr>
                <w:color w:val="FF0000"/>
              </w:rPr>
              <w:t>T(</w:t>
            </w:r>
            <w:r w:rsidRPr="00C14E67">
              <w:rPr>
                <w:rFonts w:hint="eastAsia"/>
                <w:color w:val="FF0000"/>
              </w:rPr>
              <w:t>℃</w:t>
            </w:r>
            <w:r w:rsidRPr="00C14E67">
              <w:rPr>
                <w:rFonts w:hint="eastAsia"/>
                <w:color w:val="FF0000"/>
              </w:rPr>
              <w:t>)</w:t>
            </w:r>
          </w:p>
        </w:tc>
        <w:tc>
          <w:tcPr>
            <w:tcW w:w="969" w:type="dxa"/>
            <w:vAlign w:val="center"/>
          </w:tcPr>
          <w:p w:rsidR="00644456" w:rsidRPr="00C14E67" w:rsidRDefault="008031C4">
            <w:pPr>
              <w:jc w:val="center"/>
              <w:rPr>
                <w:color w:val="FF0000"/>
              </w:rPr>
            </w:pPr>
            <w:r w:rsidRPr="00C14E67">
              <w:rPr>
                <w:rFonts w:hint="eastAsia"/>
                <w:color w:val="FF0000"/>
              </w:rPr>
              <w:t>T</w:t>
            </w:r>
            <w:r w:rsidRPr="00C14E67">
              <w:rPr>
                <w:color w:val="FF0000"/>
              </w:rPr>
              <w:t>SP</w:t>
            </w:r>
          </w:p>
        </w:tc>
        <w:tc>
          <w:tcPr>
            <w:tcW w:w="976" w:type="dxa"/>
            <w:vAlign w:val="center"/>
          </w:tcPr>
          <w:p w:rsidR="00644456" w:rsidRPr="00C14E67" w:rsidRDefault="008031C4">
            <w:pPr>
              <w:jc w:val="center"/>
              <w:rPr>
                <w:color w:val="FF0000"/>
              </w:rPr>
            </w:pPr>
            <w:r w:rsidRPr="00C14E67">
              <w:rPr>
                <w:rFonts w:hint="eastAsia"/>
                <w:color w:val="FF0000"/>
              </w:rPr>
              <w:t>N</w:t>
            </w:r>
            <w:r w:rsidRPr="00C14E67">
              <w:rPr>
                <w:color w:val="FF0000"/>
              </w:rPr>
              <w:t>Ox</w:t>
            </w:r>
          </w:p>
        </w:tc>
        <w:tc>
          <w:tcPr>
            <w:tcW w:w="971" w:type="dxa"/>
            <w:vAlign w:val="center"/>
          </w:tcPr>
          <w:p w:rsidR="00644456" w:rsidRPr="00C14E67" w:rsidRDefault="008031C4">
            <w:pPr>
              <w:jc w:val="center"/>
              <w:rPr>
                <w:color w:val="FF0000"/>
              </w:rPr>
            </w:pPr>
            <w:r w:rsidRPr="00C14E67">
              <w:rPr>
                <w:rFonts w:hint="eastAsia"/>
                <w:color w:val="FF0000"/>
              </w:rPr>
              <w:t>S</w:t>
            </w:r>
            <w:r w:rsidRPr="00C14E67">
              <w:rPr>
                <w:color w:val="FF0000"/>
              </w:rPr>
              <w:t>O</w:t>
            </w:r>
            <w:r w:rsidRPr="00C14E67">
              <w:rPr>
                <w:color w:val="FF0000"/>
                <w:vertAlign w:val="subscript"/>
              </w:rPr>
              <w:t>2</w:t>
            </w:r>
          </w:p>
        </w:tc>
        <w:tc>
          <w:tcPr>
            <w:tcW w:w="971" w:type="dxa"/>
            <w:vAlign w:val="center"/>
          </w:tcPr>
          <w:p w:rsidR="00644456" w:rsidRPr="00C14E67" w:rsidRDefault="008031C4">
            <w:pPr>
              <w:jc w:val="center"/>
              <w:rPr>
                <w:color w:val="FF0000"/>
              </w:rPr>
            </w:pPr>
            <w:r w:rsidRPr="00C14E67">
              <w:rPr>
                <w:rFonts w:hint="eastAsia"/>
                <w:color w:val="FF0000"/>
              </w:rPr>
              <w:t>H</w:t>
            </w:r>
            <w:r w:rsidRPr="00C14E67">
              <w:rPr>
                <w:color w:val="FF0000"/>
                <w:vertAlign w:val="subscript"/>
              </w:rPr>
              <w:t>2</w:t>
            </w:r>
            <w:r w:rsidRPr="00C14E67">
              <w:rPr>
                <w:color w:val="FF0000"/>
              </w:rPr>
              <w:t>S</w:t>
            </w:r>
          </w:p>
        </w:tc>
        <w:tc>
          <w:tcPr>
            <w:tcW w:w="977" w:type="dxa"/>
            <w:vAlign w:val="center"/>
          </w:tcPr>
          <w:p w:rsidR="00644456" w:rsidRPr="00C14E67" w:rsidRDefault="008031C4">
            <w:pPr>
              <w:jc w:val="center"/>
              <w:rPr>
                <w:color w:val="FF0000"/>
              </w:rPr>
            </w:pPr>
            <w:r w:rsidRPr="00C14E67">
              <w:rPr>
                <w:rFonts w:cs="Times New Roman" w:hint="eastAsia"/>
                <w:color w:val="FF0000"/>
                <w:szCs w:val="21"/>
              </w:rPr>
              <w:t>NMHC</w:t>
            </w:r>
          </w:p>
        </w:tc>
      </w:tr>
      <w:tr w:rsidR="00644456" w:rsidRPr="00C14E67">
        <w:tc>
          <w:tcPr>
            <w:tcW w:w="1977" w:type="dxa"/>
            <w:vAlign w:val="center"/>
          </w:tcPr>
          <w:p w:rsidR="00644456" w:rsidRPr="00C14E67" w:rsidRDefault="008031C4">
            <w:pPr>
              <w:jc w:val="center"/>
              <w:rPr>
                <w:color w:val="FF0000"/>
              </w:rPr>
            </w:pPr>
            <w:r w:rsidRPr="00C14E67">
              <w:rPr>
                <w:rFonts w:cs="Times New Roman" w:hint="eastAsia"/>
                <w:color w:val="FF0000"/>
                <w:szCs w:val="21"/>
              </w:rPr>
              <w:t>工艺不凝气（</w:t>
            </w:r>
            <w:r w:rsidRPr="00C14E67">
              <w:rPr>
                <w:rFonts w:cs="Times New Roman"/>
                <w:color w:val="FF0000"/>
                <w:szCs w:val="21"/>
              </w:rPr>
              <w:t>DA001</w:t>
            </w:r>
            <w:r w:rsidRPr="00C14E67">
              <w:rPr>
                <w:rFonts w:cs="Times New Roman" w:hint="eastAsia"/>
                <w:color w:val="FF0000"/>
                <w:szCs w:val="21"/>
              </w:rPr>
              <w:t>）</w:t>
            </w:r>
          </w:p>
        </w:tc>
        <w:tc>
          <w:tcPr>
            <w:tcW w:w="1424" w:type="dxa"/>
            <w:vAlign w:val="center"/>
          </w:tcPr>
          <w:p w:rsidR="00644456" w:rsidRPr="00C14E67" w:rsidRDefault="008031C4">
            <w:pPr>
              <w:jc w:val="center"/>
              <w:rPr>
                <w:color w:val="FF0000"/>
              </w:rPr>
            </w:pPr>
            <w:r w:rsidRPr="00C14E67">
              <w:rPr>
                <w:color w:val="FF0000"/>
              </w:rPr>
              <w:t>84.754009643</w:t>
            </w:r>
          </w:p>
        </w:tc>
        <w:tc>
          <w:tcPr>
            <w:tcW w:w="1556" w:type="dxa"/>
            <w:vAlign w:val="center"/>
          </w:tcPr>
          <w:p w:rsidR="00644456" w:rsidRPr="00C14E67" w:rsidRDefault="008031C4">
            <w:pPr>
              <w:jc w:val="center"/>
              <w:rPr>
                <w:color w:val="FF0000"/>
              </w:rPr>
            </w:pPr>
            <w:r w:rsidRPr="00C14E67">
              <w:rPr>
                <w:color w:val="FF0000"/>
              </w:rPr>
              <w:t>44.421925995</w:t>
            </w:r>
          </w:p>
        </w:tc>
        <w:tc>
          <w:tcPr>
            <w:tcW w:w="1426" w:type="dxa"/>
            <w:vAlign w:val="center"/>
          </w:tcPr>
          <w:p w:rsidR="00644456" w:rsidRPr="00C14E67" w:rsidRDefault="008031C4">
            <w:pPr>
              <w:jc w:val="center"/>
              <w:rPr>
                <w:color w:val="FF0000"/>
              </w:rPr>
            </w:pPr>
            <w:r w:rsidRPr="00C14E67">
              <w:rPr>
                <w:color w:val="FF0000"/>
              </w:rPr>
              <w:t>547.712</w:t>
            </w:r>
          </w:p>
        </w:tc>
        <w:tc>
          <w:tcPr>
            <w:tcW w:w="845" w:type="dxa"/>
            <w:vAlign w:val="center"/>
          </w:tcPr>
          <w:p w:rsidR="00644456" w:rsidRPr="00C14E67" w:rsidRDefault="008031C4">
            <w:pPr>
              <w:jc w:val="center"/>
              <w:rPr>
                <w:color w:val="FF0000"/>
              </w:rPr>
            </w:pPr>
            <w:r w:rsidRPr="00C14E67">
              <w:rPr>
                <w:rFonts w:cs="Times New Roman"/>
                <w:color w:val="FF0000"/>
                <w:szCs w:val="21"/>
              </w:rPr>
              <w:t>15</w:t>
            </w:r>
          </w:p>
        </w:tc>
        <w:tc>
          <w:tcPr>
            <w:tcW w:w="910" w:type="dxa"/>
            <w:vAlign w:val="center"/>
          </w:tcPr>
          <w:p w:rsidR="00644456" w:rsidRPr="00C14E67" w:rsidRDefault="008031C4">
            <w:pPr>
              <w:jc w:val="center"/>
              <w:rPr>
                <w:color w:val="FF0000"/>
              </w:rPr>
            </w:pPr>
            <w:r w:rsidRPr="00C14E67">
              <w:rPr>
                <w:rFonts w:cs="Times New Roman"/>
                <w:color w:val="FF0000"/>
                <w:szCs w:val="21"/>
              </w:rPr>
              <w:t>0.5</w:t>
            </w:r>
          </w:p>
        </w:tc>
        <w:tc>
          <w:tcPr>
            <w:tcW w:w="946" w:type="dxa"/>
            <w:vAlign w:val="center"/>
          </w:tcPr>
          <w:p w:rsidR="00644456" w:rsidRPr="00C14E67" w:rsidRDefault="008031C4">
            <w:pPr>
              <w:jc w:val="center"/>
              <w:rPr>
                <w:color w:val="FF0000"/>
              </w:rPr>
            </w:pPr>
            <w:r w:rsidRPr="00C14E67">
              <w:rPr>
                <w:rFonts w:cs="Times New Roman"/>
                <w:color w:val="FF0000"/>
                <w:szCs w:val="21"/>
              </w:rPr>
              <w:t>25</w:t>
            </w:r>
          </w:p>
        </w:tc>
        <w:tc>
          <w:tcPr>
            <w:tcW w:w="969" w:type="dxa"/>
            <w:vAlign w:val="center"/>
          </w:tcPr>
          <w:p w:rsidR="00644456" w:rsidRPr="00C14E67" w:rsidRDefault="008031C4">
            <w:pPr>
              <w:jc w:val="center"/>
              <w:rPr>
                <w:color w:val="FF0000"/>
              </w:rPr>
            </w:pPr>
            <w:r w:rsidRPr="00C14E67">
              <w:rPr>
                <w:rFonts w:hint="eastAsia"/>
                <w:color w:val="FF0000"/>
              </w:rPr>
              <w:t>/</w:t>
            </w:r>
          </w:p>
        </w:tc>
        <w:tc>
          <w:tcPr>
            <w:tcW w:w="976" w:type="dxa"/>
            <w:vAlign w:val="center"/>
          </w:tcPr>
          <w:p w:rsidR="00644456" w:rsidRPr="00C14E67" w:rsidRDefault="008031C4">
            <w:pPr>
              <w:jc w:val="center"/>
              <w:rPr>
                <w:color w:val="FF0000"/>
              </w:rPr>
            </w:pPr>
            <w:r w:rsidRPr="00C14E67">
              <w:rPr>
                <w:rFonts w:hint="eastAsia"/>
                <w:color w:val="FF0000"/>
              </w:rPr>
              <w:t>/</w:t>
            </w:r>
          </w:p>
        </w:tc>
        <w:tc>
          <w:tcPr>
            <w:tcW w:w="971" w:type="dxa"/>
            <w:vAlign w:val="center"/>
          </w:tcPr>
          <w:p w:rsidR="00644456" w:rsidRPr="00C14E67" w:rsidRDefault="008031C4">
            <w:pPr>
              <w:jc w:val="center"/>
              <w:rPr>
                <w:color w:val="FF0000"/>
              </w:rPr>
            </w:pPr>
            <w:r w:rsidRPr="00C14E67">
              <w:rPr>
                <w:rFonts w:hint="eastAsia"/>
                <w:color w:val="FF0000"/>
              </w:rPr>
              <w:t>/</w:t>
            </w:r>
          </w:p>
        </w:tc>
        <w:tc>
          <w:tcPr>
            <w:tcW w:w="971" w:type="dxa"/>
            <w:vAlign w:val="center"/>
          </w:tcPr>
          <w:p w:rsidR="00644456" w:rsidRPr="00C14E67" w:rsidRDefault="008031C4">
            <w:pPr>
              <w:jc w:val="center"/>
              <w:rPr>
                <w:color w:val="FF0000"/>
              </w:rPr>
            </w:pPr>
            <w:r w:rsidRPr="00C14E67">
              <w:rPr>
                <w:color w:val="FF0000"/>
              </w:rPr>
              <w:t>0.0006</w:t>
            </w:r>
          </w:p>
        </w:tc>
        <w:tc>
          <w:tcPr>
            <w:tcW w:w="977" w:type="dxa"/>
            <w:vAlign w:val="center"/>
          </w:tcPr>
          <w:p w:rsidR="00644456" w:rsidRPr="00C14E67" w:rsidRDefault="008031C4">
            <w:pPr>
              <w:jc w:val="center"/>
              <w:rPr>
                <w:color w:val="FF0000"/>
              </w:rPr>
            </w:pPr>
            <w:r w:rsidRPr="00C14E67">
              <w:rPr>
                <w:color w:val="FF0000"/>
              </w:rPr>
              <w:t>0.344</w:t>
            </w:r>
          </w:p>
        </w:tc>
      </w:tr>
      <w:tr w:rsidR="00644456" w:rsidRPr="00C14E67">
        <w:tc>
          <w:tcPr>
            <w:tcW w:w="1977" w:type="dxa"/>
            <w:vAlign w:val="center"/>
          </w:tcPr>
          <w:p w:rsidR="00644456" w:rsidRPr="00C14E67" w:rsidRDefault="008031C4">
            <w:pPr>
              <w:jc w:val="center"/>
              <w:rPr>
                <w:color w:val="FF0000"/>
              </w:rPr>
            </w:pPr>
            <w:r w:rsidRPr="00C14E67">
              <w:rPr>
                <w:rFonts w:cs="Times New Roman" w:hint="eastAsia"/>
                <w:color w:val="FF0000"/>
                <w:szCs w:val="21"/>
              </w:rPr>
              <w:t>导热油锅炉废气</w:t>
            </w:r>
            <w:r w:rsidRPr="00C14E67">
              <w:rPr>
                <w:rFonts w:hint="eastAsia"/>
                <w:color w:val="FF0000"/>
              </w:rPr>
              <w:t>（</w:t>
            </w:r>
            <w:r w:rsidRPr="00C14E67">
              <w:rPr>
                <w:rFonts w:hint="eastAsia"/>
                <w:color w:val="FF0000"/>
              </w:rPr>
              <w:t>D</w:t>
            </w:r>
            <w:r w:rsidRPr="00C14E67">
              <w:rPr>
                <w:color w:val="FF0000"/>
              </w:rPr>
              <w:t>A002</w:t>
            </w:r>
            <w:r w:rsidRPr="00C14E67">
              <w:rPr>
                <w:rFonts w:hint="eastAsia"/>
                <w:color w:val="FF0000"/>
              </w:rPr>
              <w:t>）</w:t>
            </w:r>
          </w:p>
        </w:tc>
        <w:tc>
          <w:tcPr>
            <w:tcW w:w="1424" w:type="dxa"/>
            <w:vAlign w:val="center"/>
          </w:tcPr>
          <w:p w:rsidR="00644456" w:rsidRPr="00C14E67" w:rsidRDefault="008031C4">
            <w:pPr>
              <w:jc w:val="center"/>
              <w:rPr>
                <w:color w:val="FF0000"/>
              </w:rPr>
            </w:pPr>
            <w:r w:rsidRPr="00C14E67">
              <w:rPr>
                <w:color w:val="FF0000"/>
              </w:rPr>
              <w:t>84.747722545</w:t>
            </w:r>
          </w:p>
        </w:tc>
        <w:tc>
          <w:tcPr>
            <w:tcW w:w="1556" w:type="dxa"/>
            <w:vAlign w:val="center"/>
          </w:tcPr>
          <w:p w:rsidR="00644456" w:rsidRPr="00C14E67" w:rsidRDefault="008031C4">
            <w:pPr>
              <w:jc w:val="center"/>
              <w:rPr>
                <w:color w:val="FF0000"/>
              </w:rPr>
            </w:pPr>
            <w:r w:rsidRPr="00C14E67">
              <w:rPr>
                <w:color w:val="FF0000"/>
              </w:rPr>
              <w:t>44.420595619</w:t>
            </w:r>
          </w:p>
        </w:tc>
        <w:tc>
          <w:tcPr>
            <w:tcW w:w="1426" w:type="dxa"/>
            <w:vAlign w:val="center"/>
          </w:tcPr>
          <w:p w:rsidR="00644456" w:rsidRPr="00C14E67" w:rsidRDefault="008031C4">
            <w:pPr>
              <w:jc w:val="center"/>
              <w:rPr>
                <w:color w:val="FF0000"/>
              </w:rPr>
            </w:pPr>
            <w:r w:rsidRPr="00C14E67">
              <w:rPr>
                <w:color w:val="FF0000"/>
              </w:rPr>
              <w:t>542.524</w:t>
            </w:r>
          </w:p>
        </w:tc>
        <w:tc>
          <w:tcPr>
            <w:tcW w:w="845" w:type="dxa"/>
            <w:vAlign w:val="center"/>
          </w:tcPr>
          <w:p w:rsidR="00644456" w:rsidRPr="00C14E67" w:rsidRDefault="00C14E67">
            <w:pPr>
              <w:jc w:val="center"/>
              <w:rPr>
                <w:color w:val="FF0000"/>
              </w:rPr>
            </w:pPr>
            <w:r w:rsidRPr="00C14E67">
              <w:rPr>
                <w:rFonts w:cs="Times New Roman"/>
                <w:color w:val="FF0000"/>
                <w:szCs w:val="21"/>
              </w:rPr>
              <w:t>8</w:t>
            </w:r>
          </w:p>
        </w:tc>
        <w:tc>
          <w:tcPr>
            <w:tcW w:w="910" w:type="dxa"/>
            <w:vAlign w:val="center"/>
          </w:tcPr>
          <w:p w:rsidR="00644456" w:rsidRPr="00C14E67" w:rsidRDefault="008031C4">
            <w:pPr>
              <w:jc w:val="center"/>
              <w:rPr>
                <w:color w:val="FF0000"/>
              </w:rPr>
            </w:pPr>
            <w:r w:rsidRPr="00C14E67">
              <w:rPr>
                <w:rFonts w:cs="Times New Roman"/>
                <w:color w:val="FF0000"/>
                <w:szCs w:val="21"/>
              </w:rPr>
              <w:t>0.5</w:t>
            </w:r>
          </w:p>
        </w:tc>
        <w:tc>
          <w:tcPr>
            <w:tcW w:w="946" w:type="dxa"/>
            <w:vAlign w:val="center"/>
          </w:tcPr>
          <w:p w:rsidR="00644456" w:rsidRPr="00C14E67" w:rsidRDefault="008031C4">
            <w:pPr>
              <w:jc w:val="center"/>
              <w:rPr>
                <w:color w:val="FF0000"/>
              </w:rPr>
            </w:pPr>
            <w:r w:rsidRPr="00C14E67">
              <w:rPr>
                <w:rFonts w:cs="Times New Roman"/>
                <w:color w:val="FF0000"/>
                <w:szCs w:val="21"/>
              </w:rPr>
              <w:t>25</w:t>
            </w:r>
          </w:p>
        </w:tc>
        <w:tc>
          <w:tcPr>
            <w:tcW w:w="969" w:type="dxa"/>
            <w:vAlign w:val="center"/>
          </w:tcPr>
          <w:p w:rsidR="00644456" w:rsidRPr="00C14E67" w:rsidRDefault="008031C4">
            <w:pPr>
              <w:jc w:val="center"/>
              <w:rPr>
                <w:color w:val="FF0000"/>
              </w:rPr>
            </w:pPr>
            <w:r w:rsidRPr="00C14E67">
              <w:rPr>
                <w:color w:val="FF0000"/>
              </w:rPr>
              <w:t>0.00</w:t>
            </w:r>
            <w:r w:rsidR="00C14E67" w:rsidRPr="00C14E67">
              <w:rPr>
                <w:color w:val="FF0000"/>
              </w:rPr>
              <w:t>01</w:t>
            </w:r>
          </w:p>
        </w:tc>
        <w:tc>
          <w:tcPr>
            <w:tcW w:w="976" w:type="dxa"/>
            <w:vAlign w:val="center"/>
          </w:tcPr>
          <w:p w:rsidR="00644456" w:rsidRPr="00C14E67" w:rsidRDefault="008031C4">
            <w:pPr>
              <w:jc w:val="center"/>
              <w:rPr>
                <w:color w:val="FF0000"/>
              </w:rPr>
            </w:pPr>
            <w:r w:rsidRPr="00C14E67">
              <w:rPr>
                <w:color w:val="FF0000"/>
              </w:rPr>
              <w:t>0.112</w:t>
            </w:r>
          </w:p>
        </w:tc>
        <w:tc>
          <w:tcPr>
            <w:tcW w:w="971" w:type="dxa"/>
            <w:vAlign w:val="center"/>
          </w:tcPr>
          <w:p w:rsidR="00644456" w:rsidRPr="00C14E67" w:rsidRDefault="008031C4">
            <w:pPr>
              <w:jc w:val="center"/>
              <w:rPr>
                <w:color w:val="FF0000"/>
              </w:rPr>
            </w:pPr>
            <w:r w:rsidRPr="00C14E67">
              <w:rPr>
                <w:color w:val="FF0000"/>
              </w:rPr>
              <w:t>0.003</w:t>
            </w:r>
          </w:p>
        </w:tc>
        <w:tc>
          <w:tcPr>
            <w:tcW w:w="971" w:type="dxa"/>
            <w:vAlign w:val="center"/>
          </w:tcPr>
          <w:p w:rsidR="00644456" w:rsidRPr="00C14E67" w:rsidRDefault="008031C4">
            <w:pPr>
              <w:jc w:val="center"/>
              <w:rPr>
                <w:color w:val="FF0000"/>
              </w:rPr>
            </w:pPr>
            <w:r w:rsidRPr="00C14E67">
              <w:rPr>
                <w:rFonts w:hint="eastAsia"/>
                <w:color w:val="FF0000"/>
              </w:rPr>
              <w:t>/</w:t>
            </w:r>
          </w:p>
        </w:tc>
        <w:tc>
          <w:tcPr>
            <w:tcW w:w="977" w:type="dxa"/>
            <w:vAlign w:val="center"/>
          </w:tcPr>
          <w:p w:rsidR="00644456" w:rsidRPr="00C14E67" w:rsidRDefault="008031C4">
            <w:pPr>
              <w:jc w:val="center"/>
              <w:rPr>
                <w:color w:val="FF0000"/>
              </w:rPr>
            </w:pPr>
            <w:r w:rsidRPr="00C14E67">
              <w:rPr>
                <w:rFonts w:hint="eastAsia"/>
                <w:color w:val="FF0000"/>
              </w:rPr>
              <w:t>/</w:t>
            </w:r>
          </w:p>
        </w:tc>
      </w:tr>
    </w:tbl>
    <w:p w:rsidR="00644456" w:rsidRPr="00C14E67" w:rsidRDefault="008031C4">
      <w:pPr>
        <w:autoSpaceDE w:val="0"/>
        <w:autoSpaceDN w:val="0"/>
        <w:adjustRightInd w:val="0"/>
        <w:jc w:val="center"/>
        <w:rPr>
          <w:rFonts w:cs="Times New Roman"/>
          <w:b/>
          <w:color w:val="FF0000"/>
          <w:sz w:val="24"/>
          <w:szCs w:val="20"/>
        </w:rPr>
      </w:pPr>
      <w:bookmarkStart w:id="303" w:name="_Hlk160439577"/>
      <w:r w:rsidRPr="00C14E67">
        <w:rPr>
          <w:rFonts w:cs="Times New Roman" w:hint="eastAsia"/>
          <w:b/>
          <w:color w:val="FF0000"/>
          <w:sz w:val="24"/>
          <w:szCs w:val="20"/>
        </w:rPr>
        <w:t>表</w:t>
      </w:r>
      <w:r w:rsidRPr="00C14E67">
        <w:rPr>
          <w:rFonts w:cs="Times New Roman" w:hint="eastAsia"/>
          <w:b/>
          <w:color w:val="FF0000"/>
          <w:sz w:val="24"/>
          <w:szCs w:val="20"/>
        </w:rPr>
        <w:t>5.1-2</w:t>
      </w:r>
      <w:r w:rsidRPr="00C14E67">
        <w:rPr>
          <w:rFonts w:cs="Times New Roman" w:hint="eastAsia"/>
          <w:b/>
          <w:color w:val="FF0000"/>
          <w:sz w:val="24"/>
          <w:szCs w:val="20"/>
        </w:rPr>
        <w:t>主要废气污染源参数一览表（矩形面源）</w:t>
      </w:r>
    </w:p>
    <w:tbl>
      <w:tblPr>
        <w:tblStyle w:val="affff4"/>
        <w:tblW w:w="13884"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86"/>
        <w:gridCol w:w="1424"/>
        <w:gridCol w:w="1424"/>
        <w:gridCol w:w="1131"/>
        <w:gridCol w:w="1095"/>
        <w:gridCol w:w="1099"/>
        <w:gridCol w:w="1388"/>
        <w:gridCol w:w="1549"/>
        <w:gridCol w:w="1844"/>
        <w:gridCol w:w="1844"/>
      </w:tblGrid>
      <w:tr w:rsidR="00644456" w:rsidRPr="00C14E67">
        <w:trPr>
          <w:trHeight w:val="225"/>
        </w:trPr>
        <w:tc>
          <w:tcPr>
            <w:tcW w:w="1086" w:type="dxa"/>
            <w:vMerge w:val="restart"/>
            <w:vAlign w:val="center"/>
          </w:tcPr>
          <w:p w:rsidR="00644456" w:rsidRPr="00C14E67" w:rsidRDefault="008031C4">
            <w:pPr>
              <w:jc w:val="center"/>
              <w:rPr>
                <w:color w:val="FF0000"/>
              </w:rPr>
            </w:pPr>
            <w:r w:rsidRPr="00C14E67">
              <w:rPr>
                <w:rFonts w:hint="eastAsia"/>
                <w:color w:val="FF0000"/>
              </w:rPr>
              <w:t>污染源名称</w:t>
            </w:r>
          </w:p>
        </w:tc>
        <w:tc>
          <w:tcPr>
            <w:tcW w:w="2848" w:type="dxa"/>
            <w:gridSpan w:val="2"/>
            <w:vAlign w:val="center"/>
          </w:tcPr>
          <w:p w:rsidR="00644456" w:rsidRPr="00C14E67" w:rsidRDefault="008031C4">
            <w:pPr>
              <w:jc w:val="center"/>
              <w:rPr>
                <w:color w:val="FF0000"/>
              </w:rPr>
            </w:pPr>
            <w:r w:rsidRPr="00C14E67">
              <w:rPr>
                <w:rFonts w:hint="eastAsia"/>
                <w:color w:val="FF0000"/>
              </w:rPr>
              <w:t>坐标</w:t>
            </w:r>
          </w:p>
        </w:tc>
        <w:tc>
          <w:tcPr>
            <w:tcW w:w="1131" w:type="dxa"/>
            <w:vMerge w:val="restart"/>
            <w:vAlign w:val="center"/>
          </w:tcPr>
          <w:p w:rsidR="00644456" w:rsidRPr="00C14E67" w:rsidRDefault="008031C4">
            <w:pPr>
              <w:jc w:val="center"/>
              <w:rPr>
                <w:color w:val="FF0000"/>
              </w:rPr>
            </w:pPr>
            <w:r w:rsidRPr="00C14E67">
              <w:rPr>
                <w:rFonts w:hint="eastAsia"/>
                <w:color w:val="FF0000"/>
              </w:rPr>
              <w:t>海拔高度（</w:t>
            </w:r>
            <w:r w:rsidRPr="00C14E67">
              <w:rPr>
                <w:rFonts w:hint="eastAsia"/>
                <w:color w:val="FF0000"/>
              </w:rPr>
              <w:t>m</w:t>
            </w:r>
            <w:r w:rsidRPr="00C14E67">
              <w:rPr>
                <w:rFonts w:hint="eastAsia"/>
                <w:color w:val="FF0000"/>
              </w:rPr>
              <w:t>）</w:t>
            </w:r>
          </w:p>
        </w:tc>
        <w:tc>
          <w:tcPr>
            <w:tcW w:w="3582" w:type="dxa"/>
            <w:gridSpan w:val="3"/>
            <w:vAlign w:val="center"/>
          </w:tcPr>
          <w:p w:rsidR="00644456" w:rsidRPr="00C14E67" w:rsidRDefault="008031C4">
            <w:pPr>
              <w:jc w:val="center"/>
              <w:rPr>
                <w:color w:val="FF0000"/>
              </w:rPr>
            </w:pPr>
            <w:r w:rsidRPr="00C14E67">
              <w:rPr>
                <w:rFonts w:hint="eastAsia"/>
                <w:color w:val="FF0000"/>
              </w:rPr>
              <w:t>矩形面源</w:t>
            </w:r>
          </w:p>
        </w:tc>
        <w:tc>
          <w:tcPr>
            <w:tcW w:w="5237" w:type="dxa"/>
            <w:gridSpan w:val="3"/>
            <w:vAlign w:val="center"/>
          </w:tcPr>
          <w:p w:rsidR="00644456" w:rsidRPr="00C14E67" w:rsidRDefault="008031C4">
            <w:pPr>
              <w:jc w:val="center"/>
              <w:rPr>
                <w:color w:val="FF0000"/>
              </w:rPr>
            </w:pPr>
            <w:r w:rsidRPr="00C14E67">
              <w:rPr>
                <w:rFonts w:hint="eastAsia"/>
                <w:color w:val="FF0000"/>
              </w:rPr>
              <w:t>污染物排放速率（</w:t>
            </w:r>
            <w:r w:rsidRPr="00C14E67">
              <w:rPr>
                <w:rFonts w:hint="eastAsia"/>
                <w:color w:val="FF0000"/>
              </w:rPr>
              <w:t>kg/h</w:t>
            </w:r>
            <w:r w:rsidRPr="00C14E67">
              <w:rPr>
                <w:rFonts w:hint="eastAsia"/>
                <w:color w:val="FF0000"/>
              </w:rPr>
              <w:t>）</w:t>
            </w:r>
          </w:p>
        </w:tc>
      </w:tr>
      <w:tr w:rsidR="00644456" w:rsidRPr="00C14E67">
        <w:trPr>
          <w:trHeight w:val="464"/>
        </w:trPr>
        <w:tc>
          <w:tcPr>
            <w:tcW w:w="1086" w:type="dxa"/>
            <w:vMerge/>
            <w:vAlign w:val="center"/>
          </w:tcPr>
          <w:p w:rsidR="00644456" w:rsidRPr="00C14E67" w:rsidRDefault="00644456">
            <w:pPr>
              <w:jc w:val="center"/>
              <w:rPr>
                <w:color w:val="FF0000"/>
              </w:rPr>
            </w:pPr>
          </w:p>
        </w:tc>
        <w:tc>
          <w:tcPr>
            <w:tcW w:w="1424" w:type="dxa"/>
            <w:vAlign w:val="center"/>
          </w:tcPr>
          <w:p w:rsidR="00644456" w:rsidRPr="00C14E67" w:rsidRDefault="008031C4">
            <w:pPr>
              <w:jc w:val="center"/>
              <w:rPr>
                <w:color w:val="FF0000"/>
              </w:rPr>
            </w:pPr>
            <w:r w:rsidRPr="00C14E67">
              <w:rPr>
                <w:rFonts w:hint="eastAsia"/>
                <w:color w:val="FF0000"/>
              </w:rPr>
              <w:t>经度</w:t>
            </w:r>
          </w:p>
        </w:tc>
        <w:tc>
          <w:tcPr>
            <w:tcW w:w="1424" w:type="dxa"/>
            <w:vAlign w:val="center"/>
          </w:tcPr>
          <w:p w:rsidR="00644456" w:rsidRPr="00C14E67" w:rsidRDefault="008031C4">
            <w:pPr>
              <w:jc w:val="center"/>
              <w:rPr>
                <w:color w:val="FF0000"/>
              </w:rPr>
            </w:pPr>
            <w:r w:rsidRPr="00C14E67">
              <w:rPr>
                <w:rFonts w:hint="eastAsia"/>
                <w:color w:val="FF0000"/>
              </w:rPr>
              <w:t>纬度</w:t>
            </w:r>
          </w:p>
        </w:tc>
        <w:tc>
          <w:tcPr>
            <w:tcW w:w="1131" w:type="dxa"/>
            <w:vMerge/>
            <w:vAlign w:val="center"/>
          </w:tcPr>
          <w:p w:rsidR="00644456" w:rsidRPr="00C14E67" w:rsidRDefault="00644456">
            <w:pPr>
              <w:jc w:val="center"/>
              <w:rPr>
                <w:color w:val="FF0000"/>
              </w:rPr>
            </w:pPr>
          </w:p>
        </w:tc>
        <w:tc>
          <w:tcPr>
            <w:tcW w:w="1095" w:type="dxa"/>
            <w:vAlign w:val="center"/>
          </w:tcPr>
          <w:p w:rsidR="00644456" w:rsidRPr="00C14E67" w:rsidRDefault="008031C4">
            <w:pPr>
              <w:jc w:val="center"/>
              <w:rPr>
                <w:color w:val="FF0000"/>
              </w:rPr>
            </w:pPr>
            <w:r w:rsidRPr="00C14E67">
              <w:rPr>
                <w:rFonts w:hint="eastAsia"/>
                <w:color w:val="FF0000"/>
              </w:rPr>
              <w:t>长度（</w:t>
            </w:r>
            <w:r w:rsidRPr="00C14E67">
              <w:rPr>
                <w:rFonts w:hint="eastAsia"/>
                <w:color w:val="FF0000"/>
              </w:rPr>
              <w:t>m</w:t>
            </w:r>
            <w:r w:rsidRPr="00C14E67">
              <w:rPr>
                <w:rFonts w:hint="eastAsia"/>
                <w:color w:val="FF0000"/>
              </w:rPr>
              <w:t>）</w:t>
            </w:r>
          </w:p>
        </w:tc>
        <w:tc>
          <w:tcPr>
            <w:tcW w:w="1099" w:type="dxa"/>
            <w:vAlign w:val="center"/>
          </w:tcPr>
          <w:p w:rsidR="00644456" w:rsidRPr="00C14E67" w:rsidRDefault="008031C4">
            <w:pPr>
              <w:jc w:val="center"/>
              <w:rPr>
                <w:color w:val="FF0000"/>
              </w:rPr>
            </w:pPr>
            <w:r w:rsidRPr="00C14E67">
              <w:rPr>
                <w:rFonts w:hint="eastAsia"/>
                <w:color w:val="FF0000"/>
              </w:rPr>
              <w:t>宽度（</w:t>
            </w:r>
            <w:r w:rsidRPr="00C14E67">
              <w:rPr>
                <w:rFonts w:hint="eastAsia"/>
                <w:color w:val="FF0000"/>
              </w:rPr>
              <w:t>m</w:t>
            </w:r>
            <w:r w:rsidRPr="00C14E67">
              <w:rPr>
                <w:rFonts w:hint="eastAsia"/>
                <w:color w:val="FF0000"/>
              </w:rPr>
              <w:t>）</w:t>
            </w:r>
          </w:p>
        </w:tc>
        <w:tc>
          <w:tcPr>
            <w:tcW w:w="1388" w:type="dxa"/>
            <w:vAlign w:val="center"/>
          </w:tcPr>
          <w:p w:rsidR="00644456" w:rsidRPr="00C14E67" w:rsidRDefault="008031C4">
            <w:pPr>
              <w:jc w:val="center"/>
              <w:rPr>
                <w:color w:val="FF0000"/>
              </w:rPr>
            </w:pPr>
            <w:r w:rsidRPr="00C14E67">
              <w:rPr>
                <w:rFonts w:hint="eastAsia"/>
                <w:color w:val="FF0000"/>
              </w:rPr>
              <w:t>有效高度（</w:t>
            </w:r>
            <w:r w:rsidRPr="00C14E67">
              <w:rPr>
                <w:rFonts w:hint="eastAsia"/>
                <w:color w:val="FF0000"/>
              </w:rPr>
              <w:t>m</w:t>
            </w:r>
            <w:r w:rsidRPr="00C14E67">
              <w:rPr>
                <w:rFonts w:hint="eastAsia"/>
                <w:color w:val="FF0000"/>
              </w:rPr>
              <w:t>）</w:t>
            </w:r>
          </w:p>
        </w:tc>
        <w:tc>
          <w:tcPr>
            <w:tcW w:w="1549" w:type="dxa"/>
            <w:vAlign w:val="center"/>
          </w:tcPr>
          <w:p w:rsidR="00644456" w:rsidRPr="00C14E67" w:rsidRDefault="008031C4">
            <w:pPr>
              <w:jc w:val="center"/>
              <w:rPr>
                <w:color w:val="FF0000"/>
              </w:rPr>
            </w:pPr>
            <w:r w:rsidRPr="00C14E67">
              <w:rPr>
                <w:rFonts w:cs="Times New Roman" w:hint="eastAsia"/>
                <w:color w:val="FF0000"/>
                <w:szCs w:val="21"/>
              </w:rPr>
              <w:t>NMHC</w:t>
            </w:r>
          </w:p>
        </w:tc>
        <w:tc>
          <w:tcPr>
            <w:tcW w:w="1844" w:type="dxa"/>
            <w:vAlign w:val="center"/>
          </w:tcPr>
          <w:p w:rsidR="00644456" w:rsidRPr="00C14E67" w:rsidRDefault="008031C4">
            <w:pPr>
              <w:jc w:val="center"/>
              <w:rPr>
                <w:color w:val="FF0000"/>
              </w:rPr>
            </w:pPr>
            <w:r w:rsidRPr="00C14E67">
              <w:rPr>
                <w:rFonts w:hint="eastAsia"/>
                <w:color w:val="FF0000"/>
              </w:rPr>
              <w:t>H</w:t>
            </w:r>
            <w:r w:rsidRPr="00C14E67">
              <w:rPr>
                <w:color w:val="FF0000"/>
                <w:vertAlign w:val="subscript"/>
              </w:rPr>
              <w:t>2</w:t>
            </w:r>
            <w:r w:rsidRPr="00C14E67">
              <w:rPr>
                <w:color w:val="FF0000"/>
              </w:rPr>
              <w:t>S</w:t>
            </w:r>
          </w:p>
        </w:tc>
        <w:tc>
          <w:tcPr>
            <w:tcW w:w="1844" w:type="dxa"/>
            <w:vAlign w:val="center"/>
          </w:tcPr>
          <w:p w:rsidR="00644456" w:rsidRPr="00C14E67" w:rsidRDefault="008031C4">
            <w:pPr>
              <w:jc w:val="center"/>
              <w:rPr>
                <w:color w:val="FF0000"/>
              </w:rPr>
            </w:pPr>
            <w:r w:rsidRPr="00C14E67">
              <w:rPr>
                <w:rFonts w:hint="eastAsia"/>
                <w:color w:val="FF0000"/>
              </w:rPr>
              <w:t>N</w:t>
            </w:r>
            <w:r w:rsidRPr="00C14E67">
              <w:rPr>
                <w:color w:val="FF0000"/>
              </w:rPr>
              <w:t>H</w:t>
            </w:r>
            <w:r w:rsidRPr="00C14E67">
              <w:rPr>
                <w:color w:val="FF0000"/>
                <w:vertAlign w:val="subscript"/>
              </w:rPr>
              <w:t>3</w:t>
            </w:r>
          </w:p>
        </w:tc>
      </w:tr>
      <w:tr w:rsidR="00644456" w:rsidRPr="00C14E67">
        <w:trPr>
          <w:trHeight w:val="199"/>
        </w:trPr>
        <w:tc>
          <w:tcPr>
            <w:tcW w:w="1086" w:type="dxa"/>
            <w:vAlign w:val="center"/>
          </w:tcPr>
          <w:p w:rsidR="00644456" w:rsidRPr="00C14E67" w:rsidRDefault="008031C4">
            <w:pPr>
              <w:jc w:val="center"/>
              <w:rPr>
                <w:color w:val="FF0000"/>
              </w:rPr>
            </w:pPr>
            <w:r w:rsidRPr="00C14E67">
              <w:rPr>
                <w:color w:val="FF0000"/>
                <w:szCs w:val="21"/>
              </w:rPr>
              <w:t>储罐区</w:t>
            </w:r>
          </w:p>
        </w:tc>
        <w:tc>
          <w:tcPr>
            <w:tcW w:w="1424" w:type="dxa"/>
            <w:vAlign w:val="center"/>
          </w:tcPr>
          <w:p w:rsidR="00644456" w:rsidRPr="00C14E67" w:rsidRDefault="008031C4">
            <w:pPr>
              <w:jc w:val="center"/>
              <w:rPr>
                <w:color w:val="FF0000"/>
              </w:rPr>
            </w:pPr>
            <w:r w:rsidRPr="00C14E67">
              <w:rPr>
                <w:color w:val="FF0000"/>
              </w:rPr>
              <w:t>84.754009643</w:t>
            </w:r>
          </w:p>
        </w:tc>
        <w:tc>
          <w:tcPr>
            <w:tcW w:w="1424" w:type="dxa"/>
            <w:vAlign w:val="center"/>
          </w:tcPr>
          <w:p w:rsidR="00644456" w:rsidRPr="00C14E67" w:rsidRDefault="008031C4">
            <w:pPr>
              <w:jc w:val="center"/>
              <w:rPr>
                <w:color w:val="FF0000"/>
              </w:rPr>
            </w:pPr>
            <w:r w:rsidRPr="00C14E67">
              <w:rPr>
                <w:color w:val="FF0000"/>
              </w:rPr>
              <w:t>44.421925995</w:t>
            </w:r>
          </w:p>
        </w:tc>
        <w:tc>
          <w:tcPr>
            <w:tcW w:w="1131" w:type="dxa"/>
            <w:vAlign w:val="center"/>
          </w:tcPr>
          <w:p w:rsidR="00644456" w:rsidRPr="00C14E67" w:rsidRDefault="008031C4">
            <w:pPr>
              <w:jc w:val="center"/>
              <w:rPr>
                <w:color w:val="FF0000"/>
              </w:rPr>
            </w:pPr>
            <w:r w:rsidRPr="00C14E67">
              <w:rPr>
                <w:color w:val="FF0000"/>
              </w:rPr>
              <w:t>547.712</w:t>
            </w:r>
          </w:p>
        </w:tc>
        <w:tc>
          <w:tcPr>
            <w:tcW w:w="1095" w:type="dxa"/>
            <w:vAlign w:val="center"/>
          </w:tcPr>
          <w:p w:rsidR="00644456" w:rsidRPr="00C14E67" w:rsidRDefault="008031C4">
            <w:pPr>
              <w:jc w:val="center"/>
              <w:rPr>
                <w:color w:val="FF0000"/>
              </w:rPr>
            </w:pPr>
            <w:r w:rsidRPr="00C14E67">
              <w:rPr>
                <w:color w:val="FF0000"/>
                <w:szCs w:val="21"/>
              </w:rPr>
              <w:t>75</w:t>
            </w:r>
          </w:p>
        </w:tc>
        <w:tc>
          <w:tcPr>
            <w:tcW w:w="1099" w:type="dxa"/>
            <w:vAlign w:val="center"/>
          </w:tcPr>
          <w:p w:rsidR="00644456" w:rsidRPr="00C14E67" w:rsidRDefault="008031C4">
            <w:pPr>
              <w:jc w:val="center"/>
              <w:rPr>
                <w:color w:val="FF0000"/>
              </w:rPr>
            </w:pPr>
            <w:r w:rsidRPr="00C14E67">
              <w:rPr>
                <w:color w:val="FF0000"/>
                <w:szCs w:val="21"/>
              </w:rPr>
              <w:t>45</w:t>
            </w:r>
          </w:p>
        </w:tc>
        <w:tc>
          <w:tcPr>
            <w:tcW w:w="1388" w:type="dxa"/>
            <w:vAlign w:val="center"/>
          </w:tcPr>
          <w:p w:rsidR="00644456" w:rsidRPr="00C14E67" w:rsidRDefault="008031C4">
            <w:pPr>
              <w:jc w:val="center"/>
              <w:rPr>
                <w:color w:val="FF0000"/>
              </w:rPr>
            </w:pPr>
            <w:r w:rsidRPr="00C14E67">
              <w:rPr>
                <w:color w:val="FF0000"/>
                <w:szCs w:val="21"/>
              </w:rPr>
              <w:t>8</w:t>
            </w:r>
          </w:p>
        </w:tc>
        <w:tc>
          <w:tcPr>
            <w:tcW w:w="1549" w:type="dxa"/>
            <w:vAlign w:val="center"/>
          </w:tcPr>
          <w:p w:rsidR="00644456" w:rsidRPr="00C14E67" w:rsidRDefault="008031C4">
            <w:pPr>
              <w:jc w:val="center"/>
              <w:rPr>
                <w:color w:val="FF0000"/>
              </w:rPr>
            </w:pPr>
            <w:r w:rsidRPr="00C14E67">
              <w:rPr>
                <w:rFonts w:hint="eastAsia"/>
                <w:color w:val="FF0000"/>
              </w:rPr>
              <w:t>0</w:t>
            </w:r>
            <w:r w:rsidRPr="00C14E67">
              <w:rPr>
                <w:color w:val="FF0000"/>
              </w:rPr>
              <w:t>.074</w:t>
            </w:r>
          </w:p>
        </w:tc>
        <w:tc>
          <w:tcPr>
            <w:tcW w:w="1844" w:type="dxa"/>
          </w:tcPr>
          <w:p w:rsidR="00644456" w:rsidRPr="00C14E67" w:rsidRDefault="008031C4">
            <w:pPr>
              <w:jc w:val="center"/>
              <w:rPr>
                <w:color w:val="FF0000"/>
              </w:rPr>
            </w:pPr>
            <w:r w:rsidRPr="00C14E67">
              <w:rPr>
                <w:rFonts w:hint="eastAsia"/>
                <w:color w:val="FF0000"/>
              </w:rPr>
              <w:t>/</w:t>
            </w:r>
          </w:p>
        </w:tc>
        <w:tc>
          <w:tcPr>
            <w:tcW w:w="1844" w:type="dxa"/>
          </w:tcPr>
          <w:p w:rsidR="00644456" w:rsidRPr="00C14E67" w:rsidRDefault="008031C4">
            <w:pPr>
              <w:jc w:val="center"/>
              <w:rPr>
                <w:color w:val="FF0000"/>
              </w:rPr>
            </w:pPr>
            <w:r w:rsidRPr="00C14E67">
              <w:rPr>
                <w:rFonts w:hint="eastAsia"/>
                <w:color w:val="FF0000"/>
              </w:rPr>
              <w:t>/</w:t>
            </w:r>
          </w:p>
        </w:tc>
      </w:tr>
      <w:tr w:rsidR="00644456" w:rsidRPr="00C14E67">
        <w:trPr>
          <w:trHeight w:val="199"/>
        </w:trPr>
        <w:tc>
          <w:tcPr>
            <w:tcW w:w="1086" w:type="dxa"/>
            <w:vAlign w:val="center"/>
          </w:tcPr>
          <w:p w:rsidR="00644456" w:rsidRPr="00C14E67" w:rsidRDefault="008031C4">
            <w:pPr>
              <w:jc w:val="center"/>
              <w:rPr>
                <w:color w:val="FF0000"/>
              </w:rPr>
            </w:pPr>
            <w:r w:rsidRPr="00C14E67">
              <w:rPr>
                <w:color w:val="FF0000"/>
                <w:szCs w:val="21"/>
              </w:rPr>
              <w:t>装卸区</w:t>
            </w:r>
          </w:p>
        </w:tc>
        <w:tc>
          <w:tcPr>
            <w:tcW w:w="1424" w:type="dxa"/>
            <w:vAlign w:val="center"/>
          </w:tcPr>
          <w:p w:rsidR="00644456" w:rsidRPr="00C14E67" w:rsidRDefault="008031C4">
            <w:pPr>
              <w:jc w:val="center"/>
              <w:rPr>
                <w:color w:val="FF0000"/>
              </w:rPr>
            </w:pPr>
            <w:r w:rsidRPr="00C14E67">
              <w:rPr>
                <w:color w:val="FF0000"/>
              </w:rPr>
              <w:t>84.747722545</w:t>
            </w:r>
          </w:p>
        </w:tc>
        <w:tc>
          <w:tcPr>
            <w:tcW w:w="1424" w:type="dxa"/>
            <w:vAlign w:val="center"/>
          </w:tcPr>
          <w:p w:rsidR="00644456" w:rsidRPr="00C14E67" w:rsidRDefault="008031C4">
            <w:pPr>
              <w:jc w:val="center"/>
              <w:rPr>
                <w:color w:val="FF0000"/>
              </w:rPr>
            </w:pPr>
            <w:r w:rsidRPr="00C14E67">
              <w:rPr>
                <w:color w:val="FF0000"/>
              </w:rPr>
              <w:t>44.420595619</w:t>
            </w:r>
          </w:p>
        </w:tc>
        <w:tc>
          <w:tcPr>
            <w:tcW w:w="1131" w:type="dxa"/>
            <w:vAlign w:val="center"/>
          </w:tcPr>
          <w:p w:rsidR="00644456" w:rsidRPr="00C14E67" w:rsidRDefault="008031C4">
            <w:pPr>
              <w:jc w:val="center"/>
              <w:rPr>
                <w:color w:val="FF0000"/>
              </w:rPr>
            </w:pPr>
            <w:r w:rsidRPr="00C14E67">
              <w:rPr>
                <w:color w:val="FF0000"/>
              </w:rPr>
              <w:t>542.524</w:t>
            </w:r>
          </w:p>
        </w:tc>
        <w:tc>
          <w:tcPr>
            <w:tcW w:w="1095" w:type="dxa"/>
            <w:vAlign w:val="center"/>
          </w:tcPr>
          <w:p w:rsidR="00644456" w:rsidRPr="00C14E67" w:rsidRDefault="008031C4">
            <w:pPr>
              <w:jc w:val="center"/>
              <w:rPr>
                <w:color w:val="FF0000"/>
              </w:rPr>
            </w:pPr>
            <w:r w:rsidRPr="00C14E67">
              <w:rPr>
                <w:color w:val="FF0000"/>
                <w:szCs w:val="21"/>
              </w:rPr>
              <w:t>10</w:t>
            </w:r>
          </w:p>
        </w:tc>
        <w:tc>
          <w:tcPr>
            <w:tcW w:w="1099" w:type="dxa"/>
            <w:vAlign w:val="center"/>
          </w:tcPr>
          <w:p w:rsidR="00644456" w:rsidRPr="00C14E67" w:rsidRDefault="008031C4">
            <w:pPr>
              <w:jc w:val="center"/>
              <w:rPr>
                <w:color w:val="FF0000"/>
              </w:rPr>
            </w:pPr>
            <w:r w:rsidRPr="00C14E67">
              <w:rPr>
                <w:color w:val="FF0000"/>
                <w:szCs w:val="21"/>
              </w:rPr>
              <w:t>20</w:t>
            </w:r>
          </w:p>
        </w:tc>
        <w:tc>
          <w:tcPr>
            <w:tcW w:w="1388" w:type="dxa"/>
            <w:vAlign w:val="center"/>
          </w:tcPr>
          <w:p w:rsidR="00644456" w:rsidRPr="00C14E67" w:rsidRDefault="008031C4">
            <w:pPr>
              <w:jc w:val="center"/>
              <w:rPr>
                <w:color w:val="FF0000"/>
              </w:rPr>
            </w:pPr>
            <w:r w:rsidRPr="00C14E67">
              <w:rPr>
                <w:color w:val="FF0000"/>
                <w:szCs w:val="21"/>
              </w:rPr>
              <w:t>2</w:t>
            </w:r>
          </w:p>
        </w:tc>
        <w:tc>
          <w:tcPr>
            <w:tcW w:w="1549" w:type="dxa"/>
            <w:vAlign w:val="center"/>
          </w:tcPr>
          <w:p w:rsidR="00644456" w:rsidRPr="00C14E67" w:rsidRDefault="008031C4">
            <w:pPr>
              <w:jc w:val="center"/>
              <w:rPr>
                <w:color w:val="FF0000"/>
              </w:rPr>
            </w:pPr>
            <w:r w:rsidRPr="00C14E67">
              <w:rPr>
                <w:rFonts w:hint="eastAsia"/>
                <w:color w:val="FF0000"/>
              </w:rPr>
              <w:t>0</w:t>
            </w:r>
            <w:r w:rsidRPr="00C14E67">
              <w:rPr>
                <w:color w:val="FF0000"/>
              </w:rPr>
              <w:t>.0025</w:t>
            </w:r>
          </w:p>
        </w:tc>
        <w:tc>
          <w:tcPr>
            <w:tcW w:w="1844" w:type="dxa"/>
          </w:tcPr>
          <w:p w:rsidR="00644456" w:rsidRPr="00C14E67" w:rsidRDefault="008031C4">
            <w:pPr>
              <w:jc w:val="center"/>
              <w:rPr>
                <w:color w:val="FF0000"/>
              </w:rPr>
            </w:pPr>
            <w:r w:rsidRPr="00C14E67">
              <w:rPr>
                <w:rFonts w:hint="eastAsia"/>
                <w:color w:val="FF0000"/>
              </w:rPr>
              <w:t>/</w:t>
            </w:r>
          </w:p>
        </w:tc>
        <w:tc>
          <w:tcPr>
            <w:tcW w:w="1844" w:type="dxa"/>
          </w:tcPr>
          <w:p w:rsidR="00644456" w:rsidRPr="00C14E67" w:rsidRDefault="008031C4">
            <w:pPr>
              <w:jc w:val="center"/>
              <w:rPr>
                <w:color w:val="FF0000"/>
              </w:rPr>
            </w:pPr>
            <w:r w:rsidRPr="00C14E67">
              <w:rPr>
                <w:rFonts w:hint="eastAsia"/>
                <w:color w:val="FF0000"/>
              </w:rPr>
              <w:t>/</w:t>
            </w:r>
          </w:p>
        </w:tc>
      </w:tr>
      <w:tr w:rsidR="00644456" w:rsidRPr="00C14E67">
        <w:trPr>
          <w:trHeight w:val="212"/>
        </w:trPr>
        <w:tc>
          <w:tcPr>
            <w:tcW w:w="1086" w:type="dxa"/>
            <w:vAlign w:val="center"/>
          </w:tcPr>
          <w:p w:rsidR="00644456" w:rsidRPr="00C14E67" w:rsidRDefault="008031C4">
            <w:pPr>
              <w:jc w:val="center"/>
              <w:rPr>
                <w:color w:val="FF0000"/>
              </w:rPr>
            </w:pPr>
            <w:r w:rsidRPr="00C14E67">
              <w:rPr>
                <w:color w:val="FF0000"/>
                <w:szCs w:val="21"/>
              </w:rPr>
              <w:t>装置区</w:t>
            </w:r>
          </w:p>
        </w:tc>
        <w:tc>
          <w:tcPr>
            <w:tcW w:w="1424" w:type="dxa"/>
            <w:vAlign w:val="center"/>
          </w:tcPr>
          <w:p w:rsidR="00644456" w:rsidRPr="00C14E67" w:rsidRDefault="008031C4">
            <w:pPr>
              <w:jc w:val="center"/>
              <w:rPr>
                <w:color w:val="FF0000"/>
              </w:rPr>
            </w:pPr>
            <w:r w:rsidRPr="00C14E67">
              <w:rPr>
                <w:color w:val="FF0000"/>
              </w:rPr>
              <w:t>84.748988548</w:t>
            </w:r>
          </w:p>
        </w:tc>
        <w:tc>
          <w:tcPr>
            <w:tcW w:w="1424" w:type="dxa"/>
            <w:vAlign w:val="center"/>
          </w:tcPr>
          <w:p w:rsidR="00644456" w:rsidRPr="00C14E67" w:rsidRDefault="008031C4">
            <w:pPr>
              <w:jc w:val="center"/>
              <w:rPr>
                <w:color w:val="FF0000"/>
              </w:rPr>
            </w:pPr>
            <w:r w:rsidRPr="00C14E67">
              <w:rPr>
                <w:color w:val="FF0000"/>
              </w:rPr>
              <w:t>44.421217891</w:t>
            </w:r>
          </w:p>
        </w:tc>
        <w:tc>
          <w:tcPr>
            <w:tcW w:w="1131" w:type="dxa"/>
            <w:vAlign w:val="center"/>
          </w:tcPr>
          <w:p w:rsidR="00644456" w:rsidRPr="00C14E67" w:rsidRDefault="008031C4">
            <w:pPr>
              <w:jc w:val="center"/>
              <w:rPr>
                <w:color w:val="FF0000"/>
              </w:rPr>
            </w:pPr>
            <w:r w:rsidRPr="00C14E67">
              <w:rPr>
                <w:color w:val="FF0000"/>
              </w:rPr>
              <w:t>543.433</w:t>
            </w:r>
          </w:p>
        </w:tc>
        <w:tc>
          <w:tcPr>
            <w:tcW w:w="1095" w:type="dxa"/>
            <w:vAlign w:val="center"/>
          </w:tcPr>
          <w:p w:rsidR="00644456" w:rsidRPr="00C14E67" w:rsidRDefault="008031C4">
            <w:pPr>
              <w:jc w:val="center"/>
              <w:rPr>
                <w:color w:val="FF0000"/>
              </w:rPr>
            </w:pPr>
            <w:r w:rsidRPr="00C14E67">
              <w:rPr>
                <w:color w:val="FF0000"/>
                <w:szCs w:val="21"/>
              </w:rPr>
              <w:t>95</w:t>
            </w:r>
          </w:p>
        </w:tc>
        <w:tc>
          <w:tcPr>
            <w:tcW w:w="1099" w:type="dxa"/>
            <w:vAlign w:val="center"/>
          </w:tcPr>
          <w:p w:rsidR="00644456" w:rsidRPr="00C14E67" w:rsidRDefault="008031C4">
            <w:pPr>
              <w:jc w:val="center"/>
              <w:rPr>
                <w:color w:val="FF0000"/>
              </w:rPr>
            </w:pPr>
            <w:r w:rsidRPr="00C14E67">
              <w:rPr>
                <w:color w:val="FF0000"/>
                <w:szCs w:val="21"/>
              </w:rPr>
              <w:t>35</w:t>
            </w:r>
          </w:p>
        </w:tc>
        <w:tc>
          <w:tcPr>
            <w:tcW w:w="1388" w:type="dxa"/>
            <w:vAlign w:val="center"/>
          </w:tcPr>
          <w:p w:rsidR="00644456" w:rsidRPr="00C14E67" w:rsidRDefault="008031C4">
            <w:pPr>
              <w:jc w:val="center"/>
              <w:rPr>
                <w:color w:val="FF0000"/>
              </w:rPr>
            </w:pPr>
            <w:r w:rsidRPr="00C14E67">
              <w:rPr>
                <w:color w:val="FF0000"/>
                <w:szCs w:val="21"/>
              </w:rPr>
              <w:t>2</w:t>
            </w:r>
          </w:p>
        </w:tc>
        <w:tc>
          <w:tcPr>
            <w:tcW w:w="1549" w:type="dxa"/>
            <w:vAlign w:val="center"/>
          </w:tcPr>
          <w:p w:rsidR="00644456" w:rsidRPr="00C14E67" w:rsidRDefault="008031C4">
            <w:pPr>
              <w:jc w:val="center"/>
              <w:rPr>
                <w:color w:val="FF0000"/>
              </w:rPr>
            </w:pPr>
            <w:r w:rsidRPr="00C14E67">
              <w:rPr>
                <w:rFonts w:hint="eastAsia"/>
                <w:color w:val="FF0000"/>
              </w:rPr>
              <w:t>0.459</w:t>
            </w:r>
          </w:p>
        </w:tc>
        <w:tc>
          <w:tcPr>
            <w:tcW w:w="1844" w:type="dxa"/>
          </w:tcPr>
          <w:p w:rsidR="00644456" w:rsidRPr="00C14E67" w:rsidRDefault="008031C4">
            <w:pPr>
              <w:jc w:val="center"/>
              <w:rPr>
                <w:color w:val="FF0000"/>
              </w:rPr>
            </w:pPr>
            <w:r w:rsidRPr="00C14E67">
              <w:rPr>
                <w:rFonts w:hint="eastAsia"/>
                <w:color w:val="FF0000"/>
              </w:rPr>
              <w:t>/</w:t>
            </w:r>
          </w:p>
        </w:tc>
        <w:tc>
          <w:tcPr>
            <w:tcW w:w="1844" w:type="dxa"/>
          </w:tcPr>
          <w:p w:rsidR="00644456" w:rsidRPr="00C14E67" w:rsidRDefault="008031C4">
            <w:pPr>
              <w:jc w:val="center"/>
              <w:rPr>
                <w:color w:val="FF0000"/>
              </w:rPr>
            </w:pPr>
            <w:r w:rsidRPr="00C14E67">
              <w:rPr>
                <w:rFonts w:hint="eastAsia"/>
                <w:color w:val="FF0000"/>
              </w:rPr>
              <w:t>/</w:t>
            </w:r>
          </w:p>
        </w:tc>
      </w:tr>
      <w:tr w:rsidR="00644456" w:rsidRPr="00C14E67">
        <w:trPr>
          <w:trHeight w:val="212"/>
        </w:trPr>
        <w:tc>
          <w:tcPr>
            <w:tcW w:w="1086" w:type="dxa"/>
            <w:vAlign w:val="center"/>
          </w:tcPr>
          <w:p w:rsidR="00644456" w:rsidRPr="00C14E67" w:rsidRDefault="00C14E67">
            <w:pPr>
              <w:jc w:val="center"/>
              <w:rPr>
                <w:color w:val="FF0000"/>
              </w:rPr>
            </w:pPr>
            <w:r w:rsidRPr="00C14E67">
              <w:rPr>
                <w:rFonts w:hint="eastAsia"/>
                <w:color w:val="FF0000"/>
                <w:szCs w:val="21"/>
              </w:rPr>
              <w:t>污水处理</w:t>
            </w:r>
          </w:p>
        </w:tc>
        <w:tc>
          <w:tcPr>
            <w:tcW w:w="1424" w:type="dxa"/>
            <w:vAlign w:val="center"/>
          </w:tcPr>
          <w:p w:rsidR="00644456" w:rsidRPr="00C14E67" w:rsidRDefault="008031C4">
            <w:pPr>
              <w:jc w:val="center"/>
              <w:rPr>
                <w:color w:val="FF0000"/>
              </w:rPr>
            </w:pPr>
            <w:r w:rsidRPr="00C14E67">
              <w:rPr>
                <w:color w:val="FF0000"/>
              </w:rPr>
              <w:t>84.748323360</w:t>
            </w:r>
          </w:p>
        </w:tc>
        <w:tc>
          <w:tcPr>
            <w:tcW w:w="1424" w:type="dxa"/>
            <w:vAlign w:val="center"/>
          </w:tcPr>
          <w:p w:rsidR="00644456" w:rsidRPr="00C14E67" w:rsidRDefault="008031C4">
            <w:pPr>
              <w:jc w:val="center"/>
              <w:rPr>
                <w:color w:val="FF0000"/>
              </w:rPr>
            </w:pPr>
            <w:r w:rsidRPr="00C14E67">
              <w:rPr>
                <w:color w:val="FF0000"/>
              </w:rPr>
              <w:t>44.420016262</w:t>
            </w:r>
          </w:p>
        </w:tc>
        <w:tc>
          <w:tcPr>
            <w:tcW w:w="1131" w:type="dxa"/>
            <w:vAlign w:val="center"/>
          </w:tcPr>
          <w:p w:rsidR="00644456" w:rsidRPr="00C14E67" w:rsidRDefault="008031C4">
            <w:pPr>
              <w:jc w:val="center"/>
              <w:rPr>
                <w:color w:val="FF0000"/>
              </w:rPr>
            </w:pPr>
            <w:r w:rsidRPr="00C14E67">
              <w:rPr>
                <w:color w:val="FF0000"/>
              </w:rPr>
              <w:t>544.400</w:t>
            </w:r>
          </w:p>
        </w:tc>
        <w:tc>
          <w:tcPr>
            <w:tcW w:w="1095" w:type="dxa"/>
            <w:vAlign w:val="center"/>
          </w:tcPr>
          <w:p w:rsidR="00644456" w:rsidRPr="00C14E67" w:rsidRDefault="008031C4">
            <w:pPr>
              <w:jc w:val="center"/>
              <w:rPr>
                <w:color w:val="FF0000"/>
              </w:rPr>
            </w:pPr>
            <w:r w:rsidRPr="00C14E67">
              <w:rPr>
                <w:color w:val="FF0000"/>
                <w:szCs w:val="21"/>
              </w:rPr>
              <w:t>40</w:t>
            </w:r>
          </w:p>
        </w:tc>
        <w:tc>
          <w:tcPr>
            <w:tcW w:w="1099" w:type="dxa"/>
            <w:vAlign w:val="center"/>
          </w:tcPr>
          <w:p w:rsidR="00644456" w:rsidRPr="00C14E67" w:rsidRDefault="008031C4">
            <w:pPr>
              <w:jc w:val="center"/>
              <w:rPr>
                <w:color w:val="FF0000"/>
              </w:rPr>
            </w:pPr>
            <w:r w:rsidRPr="00C14E67">
              <w:rPr>
                <w:color w:val="FF0000"/>
                <w:szCs w:val="21"/>
              </w:rPr>
              <w:t>30</w:t>
            </w:r>
          </w:p>
        </w:tc>
        <w:tc>
          <w:tcPr>
            <w:tcW w:w="1388" w:type="dxa"/>
            <w:vAlign w:val="center"/>
          </w:tcPr>
          <w:p w:rsidR="00644456" w:rsidRPr="00C14E67" w:rsidRDefault="008031C4">
            <w:pPr>
              <w:jc w:val="center"/>
              <w:rPr>
                <w:color w:val="FF0000"/>
              </w:rPr>
            </w:pPr>
            <w:r w:rsidRPr="00C14E67">
              <w:rPr>
                <w:color w:val="FF0000"/>
                <w:szCs w:val="21"/>
              </w:rPr>
              <w:t>2</w:t>
            </w:r>
          </w:p>
        </w:tc>
        <w:tc>
          <w:tcPr>
            <w:tcW w:w="1549" w:type="dxa"/>
            <w:vAlign w:val="center"/>
          </w:tcPr>
          <w:p w:rsidR="00644456" w:rsidRPr="00C14E67" w:rsidRDefault="008031C4">
            <w:pPr>
              <w:jc w:val="center"/>
              <w:rPr>
                <w:color w:val="FF0000"/>
              </w:rPr>
            </w:pPr>
            <w:r w:rsidRPr="00C14E67">
              <w:rPr>
                <w:rFonts w:hint="eastAsia"/>
                <w:color w:val="FF0000"/>
              </w:rPr>
              <w:t>0</w:t>
            </w:r>
            <w:r w:rsidRPr="00C14E67">
              <w:rPr>
                <w:color w:val="FF0000"/>
              </w:rPr>
              <w:t>.0104</w:t>
            </w:r>
          </w:p>
        </w:tc>
        <w:tc>
          <w:tcPr>
            <w:tcW w:w="1844" w:type="dxa"/>
            <w:vAlign w:val="center"/>
          </w:tcPr>
          <w:p w:rsidR="00644456" w:rsidRPr="00C14E67" w:rsidRDefault="008031C4">
            <w:pPr>
              <w:jc w:val="center"/>
              <w:rPr>
                <w:color w:val="FF0000"/>
              </w:rPr>
            </w:pPr>
            <w:r w:rsidRPr="00C14E67">
              <w:rPr>
                <w:rFonts w:hint="eastAsia"/>
                <w:color w:val="FF0000"/>
              </w:rPr>
              <w:t>0</w:t>
            </w:r>
            <w:r w:rsidRPr="00C14E67">
              <w:rPr>
                <w:color w:val="FF0000"/>
              </w:rPr>
              <w:t>.0001</w:t>
            </w:r>
          </w:p>
        </w:tc>
        <w:tc>
          <w:tcPr>
            <w:tcW w:w="1844" w:type="dxa"/>
            <w:vAlign w:val="center"/>
          </w:tcPr>
          <w:p w:rsidR="00644456" w:rsidRPr="00C14E67" w:rsidRDefault="008031C4">
            <w:pPr>
              <w:jc w:val="center"/>
              <w:rPr>
                <w:color w:val="FF0000"/>
              </w:rPr>
            </w:pPr>
            <w:r w:rsidRPr="00C14E67">
              <w:rPr>
                <w:rFonts w:hint="eastAsia"/>
                <w:color w:val="FF0000"/>
              </w:rPr>
              <w:t>0</w:t>
            </w:r>
            <w:r w:rsidRPr="00C14E67">
              <w:rPr>
                <w:color w:val="FF0000"/>
              </w:rPr>
              <w:t>.004</w:t>
            </w:r>
          </w:p>
        </w:tc>
      </w:tr>
      <w:bookmarkEnd w:id="303"/>
    </w:tbl>
    <w:p w:rsidR="00644456" w:rsidRDefault="00644456">
      <w:pPr>
        <w:sectPr w:rsidR="00644456">
          <w:pgSz w:w="16838" w:h="11906" w:orient="landscape"/>
          <w:pgMar w:top="1797" w:right="1440" w:bottom="1797" w:left="1440" w:header="851" w:footer="992" w:gutter="0"/>
          <w:cols w:space="720"/>
          <w:titlePg/>
          <w:docGrid w:linePitch="326"/>
        </w:sectPr>
      </w:pPr>
    </w:p>
    <w:p w:rsidR="00644456" w:rsidRDefault="008031C4">
      <w:pPr>
        <w:snapToGrid w:val="0"/>
        <w:spacing w:line="360" w:lineRule="auto"/>
        <w:ind w:firstLine="480"/>
        <w:rPr>
          <w:rFonts w:cs="Times New Roman"/>
          <w:b/>
          <w:bCs/>
          <w:color w:val="000000" w:themeColor="text1"/>
          <w:sz w:val="24"/>
          <w:szCs w:val="24"/>
        </w:rPr>
      </w:pPr>
      <w:r>
        <w:rPr>
          <w:rFonts w:cs="Times New Roman"/>
          <w:b/>
          <w:bCs/>
          <w:color w:val="000000" w:themeColor="text1"/>
          <w:sz w:val="24"/>
          <w:szCs w:val="24"/>
        </w:rPr>
        <w:lastRenderedPageBreak/>
        <w:t>（</w:t>
      </w:r>
      <w:r>
        <w:rPr>
          <w:rFonts w:cs="Times New Roman"/>
          <w:b/>
          <w:bCs/>
          <w:color w:val="000000" w:themeColor="text1"/>
          <w:sz w:val="24"/>
          <w:szCs w:val="24"/>
        </w:rPr>
        <w:t>3</w:t>
      </w:r>
      <w:r>
        <w:rPr>
          <w:rFonts w:cs="Times New Roman"/>
          <w:b/>
          <w:bCs/>
          <w:color w:val="000000" w:themeColor="text1"/>
          <w:sz w:val="24"/>
          <w:szCs w:val="24"/>
        </w:rPr>
        <w:t>）预测模式</w:t>
      </w:r>
    </w:p>
    <w:p w:rsidR="00644456" w:rsidRDefault="008031C4">
      <w:pPr>
        <w:snapToGrid w:val="0"/>
        <w:spacing w:line="360" w:lineRule="auto"/>
        <w:ind w:firstLine="482"/>
        <w:rPr>
          <w:rFonts w:cs="Times New Roman"/>
          <w:color w:val="000000" w:themeColor="text1"/>
          <w:sz w:val="24"/>
          <w:szCs w:val="24"/>
        </w:rPr>
      </w:pPr>
      <w:r>
        <w:rPr>
          <w:rFonts w:cs="Times New Roman"/>
          <w:color w:val="000000" w:themeColor="text1"/>
          <w:sz w:val="24"/>
          <w:szCs w:val="24"/>
        </w:rPr>
        <w:t>根据《环境影响评价技术导则大气环境》（</w:t>
      </w:r>
      <w:r>
        <w:rPr>
          <w:rFonts w:cs="Times New Roman"/>
          <w:color w:val="000000" w:themeColor="text1"/>
          <w:sz w:val="24"/>
          <w:szCs w:val="24"/>
        </w:rPr>
        <w:t>HJ2.2-2018</w:t>
      </w:r>
      <w:r>
        <w:rPr>
          <w:rFonts w:cs="Times New Roman"/>
          <w:color w:val="000000" w:themeColor="text1"/>
          <w:sz w:val="24"/>
          <w:szCs w:val="24"/>
        </w:rPr>
        <w:t>）中大气环境影响评价工作等级划分原则的规定，结合本项目污染物排放特点，采用导则推荐模式清单中的估算模式</w:t>
      </w:r>
      <w:r>
        <w:rPr>
          <w:rFonts w:cs="Times New Roman"/>
          <w:color w:val="000000" w:themeColor="text1"/>
          <w:sz w:val="24"/>
          <w:szCs w:val="24"/>
        </w:rPr>
        <w:t>ARESCREEN</w:t>
      </w:r>
      <w:r>
        <w:rPr>
          <w:rFonts w:cs="Times New Roman"/>
          <w:color w:val="000000" w:themeColor="text1"/>
          <w:sz w:val="24"/>
          <w:szCs w:val="24"/>
        </w:rPr>
        <w:t>对大气各污染因子进行最大落地浓度预测，为评价等级的判定提供依据。</w:t>
      </w:r>
    </w:p>
    <w:p w:rsidR="00644456" w:rsidRDefault="008031C4">
      <w:pPr>
        <w:snapToGrid w:val="0"/>
        <w:spacing w:line="360" w:lineRule="auto"/>
        <w:ind w:firstLine="480"/>
        <w:rPr>
          <w:rFonts w:cs="Times New Roman"/>
          <w:b/>
          <w:bCs/>
          <w:color w:val="000000" w:themeColor="text1"/>
          <w:sz w:val="24"/>
          <w:szCs w:val="24"/>
        </w:rPr>
      </w:pPr>
      <w:r>
        <w:rPr>
          <w:rFonts w:cs="Times New Roman"/>
          <w:b/>
          <w:bCs/>
          <w:color w:val="000000" w:themeColor="text1"/>
          <w:sz w:val="24"/>
          <w:szCs w:val="24"/>
        </w:rPr>
        <w:t>（</w:t>
      </w:r>
      <w:r>
        <w:rPr>
          <w:rFonts w:cs="Times New Roman"/>
          <w:b/>
          <w:bCs/>
          <w:color w:val="000000" w:themeColor="text1"/>
          <w:sz w:val="24"/>
          <w:szCs w:val="24"/>
        </w:rPr>
        <w:t>4</w:t>
      </w:r>
      <w:r>
        <w:rPr>
          <w:rFonts w:cs="Times New Roman"/>
          <w:b/>
          <w:bCs/>
          <w:color w:val="000000" w:themeColor="text1"/>
          <w:sz w:val="24"/>
          <w:szCs w:val="24"/>
        </w:rPr>
        <w:t>）污染物评价标准</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5.1</w:t>
      </w:r>
      <w:r>
        <w:rPr>
          <w:rFonts w:cs="Times New Roman" w:hint="eastAsia"/>
          <w:b/>
          <w:color w:val="000000" w:themeColor="text1"/>
          <w:sz w:val="24"/>
          <w:szCs w:val="20"/>
        </w:rPr>
        <w:noBreakHyphen/>
        <w:t>3</w:t>
      </w:r>
      <w:r>
        <w:rPr>
          <w:rFonts w:cs="Times New Roman" w:hint="eastAsia"/>
          <w:b/>
          <w:color w:val="000000" w:themeColor="text1"/>
          <w:sz w:val="24"/>
          <w:szCs w:val="20"/>
        </w:rPr>
        <w:t>污染物评价标准</w:t>
      </w:r>
    </w:p>
    <w:tbl>
      <w:tblPr>
        <w:tblW w:w="4994"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83"/>
        <w:gridCol w:w="907"/>
        <w:gridCol w:w="1736"/>
        <w:gridCol w:w="1631"/>
        <w:gridCol w:w="2955"/>
      </w:tblGrid>
      <w:tr w:rsidR="00644456">
        <w:trPr>
          <w:jc w:val="center"/>
        </w:trPr>
        <w:tc>
          <w:tcPr>
            <w:tcW w:w="753" w:type="pct"/>
            <w:tcBorders>
              <w:tl2br w:val="nil"/>
              <w:tr2bl w:val="nil"/>
            </w:tcBorders>
            <w:vAlign w:val="center"/>
          </w:tcPr>
          <w:p w:rsidR="00644456" w:rsidRDefault="008031C4">
            <w:pPr>
              <w:adjustRightInd w:val="0"/>
              <w:snapToGrid w:val="0"/>
              <w:jc w:val="center"/>
              <w:rPr>
                <w:rFonts w:cs="Times New Roman"/>
                <w:b/>
                <w:bCs/>
                <w:color w:val="000000" w:themeColor="text1"/>
                <w:szCs w:val="21"/>
              </w:rPr>
            </w:pPr>
            <w:bookmarkStart w:id="304" w:name="_Hlk153794874"/>
            <w:r>
              <w:rPr>
                <w:rFonts w:cs="Times New Roman"/>
                <w:b/>
                <w:bCs/>
                <w:color w:val="000000" w:themeColor="text1"/>
                <w:szCs w:val="21"/>
              </w:rPr>
              <w:t>污染物名称</w:t>
            </w:r>
          </w:p>
        </w:tc>
        <w:tc>
          <w:tcPr>
            <w:tcW w:w="532" w:type="pct"/>
            <w:tcBorders>
              <w:tl2br w:val="nil"/>
              <w:tr2bl w:val="nil"/>
            </w:tcBorders>
            <w:vAlign w:val="center"/>
          </w:tcPr>
          <w:p w:rsidR="00644456" w:rsidRDefault="008031C4">
            <w:pPr>
              <w:adjustRightInd w:val="0"/>
              <w:snapToGrid w:val="0"/>
              <w:jc w:val="center"/>
              <w:rPr>
                <w:rFonts w:cs="Times New Roman"/>
                <w:b/>
                <w:bCs/>
                <w:color w:val="000000" w:themeColor="text1"/>
                <w:szCs w:val="21"/>
              </w:rPr>
            </w:pPr>
            <w:r>
              <w:rPr>
                <w:rFonts w:cs="Times New Roman"/>
                <w:b/>
                <w:bCs/>
                <w:color w:val="000000" w:themeColor="text1"/>
                <w:szCs w:val="21"/>
              </w:rPr>
              <w:t>功能区</w:t>
            </w:r>
          </w:p>
        </w:tc>
        <w:tc>
          <w:tcPr>
            <w:tcW w:w="1020" w:type="pct"/>
            <w:tcBorders>
              <w:tl2br w:val="nil"/>
              <w:tr2bl w:val="nil"/>
            </w:tcBorders>
            <w:vAlign w:val="center"/>
          </w:tcPr>
          <w:p w:rsidR="00644456" w:rsidRDefault="008031C4">
            <w:pPr>
              <w:adjustRightInd w:val="0"/>
              <w:snapToGrid w:val="0"/>
              <w:jc w:val="center"/>
              <w:rPr>
                <w:rFonts w:cs="Times New Roman"/>
                <w:b/>
                <w:bCs/>
                <w:color w:val="000000" w:themeColor="text1"/>
                <w:szCs w:val="21"/>
              </w:rPr>
            </w:pPr>
            <w:r>
              <w:rPr>
                <w:rFonts w:cs="Times New Roman"/>
                <w:b/>
                <w:bCs/>
                <w:color w:val="000000" w:themeColor="text1"/>
                <w:szCs w:val="21"/>
              </w:rPr>
              <w:t>取值时间</w:t>
            </w:r>
          </w:p>
        </w:tc>
        <w:tc>
          <w:tcPr>
            <w:tcW w:w="958" w:type="pct"/>
            <w:tcBorders>
              <w:tl2br w:val="nil"/>
              <w:tr2bl w:val="nil"/>
            </w:tcBorders>
            <w:vAlign w:val="center"/>
          </w:tcPr>
          <w:p w:rsidR="00644456" w:rsidRDefault="008031C4">
            <w:pPr>
              <w:adjustRightInd w:val="0"/>
              <w:snapToGrid w:val="0"/>
              <w:jc w:val="center"/>
              <w:rPr>
                <w:rFonts w:cs="Times New Roman"/>
                <w:b/>
                <w:bCs/>
                <w:color w:val="000000" w:themeColor="text1"/>
                <w:szCs w:val="21"/>
              </w:rPr>
            </w:pPr>
            <w:r>
              <w:rPr>
                <w:rFonts w:cs="Times New Roman"/>
                <w:b/>
                <w:bCs/>
                <w:color w:val="000000" w:themeColor="text1"/>
                <w:szCs w:val="21"/>
              </w:rPr>
              <w:t>标准值（</w:t>
            </w:r>
            <w:r>
              <w:rPr>
                <w:rFonts w:cs="Times New Roman" w:hint="eastAsia"/>
                <w:b/>
                <w:bCs/>
                <w:color w:val="000000" w:themeColor="text1"/>
                <w:szCs w:val="21"/>
              </w:rPr>
              <w:t>μ</w:t>
            </w:r>
            <w:r>
              <w:rPr>
                <w:rFonts w:cs="Times New Roman" w:hint="eastAsia"/>
                <w:b/>
                <w:bCs/>
                <w:color w:val="000000" w:themeColor="text1"/>
                <w:szCs w:val="21"/>
              </w:rPr>
              <w:t>g/m3</w:t>
            </w:r>
            <w:r>
              <w:rPr>
                <w:rFonts w:cs="Times New Roman"/>
                <w:b/>
                <w:bCs/>
                <w:color w:val="000000" w:themeColor="text1"/>
                <w:szCs w:val="21"/>
              </w:rPr>
              <w:t>）</w:t>
            </w:r>
          </w:p>
        </w:tc>
        <w:tc>
          <w:tcPr>
            <w:tcW w:w="1735" w:type="pct"/>
            <w:tcBorders>
              <w:tl2br w:val="nil"/>
              <w:tr2bl w:val="nil"/>
            </w:tcBorders>
            <w:vAlign w:val="center"/>
          </w:tcPr>
          <w:p w:rsidR="00644456" w:rsidRDefault="008031C4">
            <w:pPr>
              <w:adjustRightInd w:val="0"/>
              <w:snapToGrid w:val="0"/>
              <w:jc w:val="center"/>
              <w:rPr>
                <w:rFonts w:cs="Times New Roman"/>
                <w:b/>
                <w:bCs/>
                <w:color w:val="000000" w:themeColor="text1"/>
                <w:szCs w:val="21"/>
              </w:rPr>
            </w:pPr>
            <w:r>
              <w:rPr>
                <w:rFonts w:cs="Times New Roman"/>
                <w:b/>
                <w:bCs/>
                <w:color w:val="000000" w:themeColor="text1"/>
                <w:szCs w:val="21"/>
              </w:rPr>
              <w:t>标准来源</w:t>
            </w:r>
          </w:p>
        </w:tc>
      </w:tr>
      <w:tr w:rsidR="00644456">
        <w:trPr>
          <w:jc w:val="center"/>
        </w:trPr>
        <w:tc>
          <w:tcPr>
            <w:tcW w:w="753" w:type="pc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TSP</w:t>
            </w:r>
          </w:p>
        </w:tc>
        <w:tc>
          <w:tcPr>
            <w:tcW w:w="532" w:type="pc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二类区</w:t>
            </w:r>
          </w:p>
        </w:tc>
        <w:tc>
          <w:tcPr>
            <w:tcW w:w="1020" w:type="pc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w:t>
            </w:r>
            <w:r>
              <w:rPr>
                <w:rFonts w:cs="Times New Roman"/>
                <w:color w:val="000000" w:themeColor="text1"/>
                <w:szCs w:val="21"/>
              </w:rPr>
              <w:t>小时平均值</w:t>
            </w:r>
          </w:p>
        </w:tc>
        <w:tc>
          <w:tcPr>
            <w:tcW w:w="958" w:type="pc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900</w:t>
            </w:r>
          </w:p>
        </w:tc>
        <w:tc>
          <w:tcPr>
            <w:tcW w:w="1735" w:type="pct"/>
            <w:vMerge w:val="restart"/>
            <w:tcBorders>
              <w:tl2br w:val="nil"/>
              <w:tr2bl w:val="nil"/>
            </w:tcBorders>
            <w:vAlign w:val="center"/>
          </w:tcPr>
          <w:p w:rsidR="00644456" w:rsidRDefault="008031C4">
            <w:pPr>
              <w:widowControl/>
              <w:adjustRightInd w:val="0"/>
              <w:jc w:val="center"/>
              <w:rPr>
                <w:rFonts w:cs="Times New Roman"/>
                <w:color w:val="000000" w:themeColor="text1"/>
                <w:szCs w:val="21"/>
              </w:rPr>
            </w:pPr>
            <w:r>
              <w:rPr>
                <w:rFonts w:cs="Times New Roman" w:hint="eastAsia"/>
                <w:color w:val="000000" w:themeColor="text1"/>
                <w:szCs w:val="21"/>
              </w:rPr>
              <w:t>环境空气质量标准（</w:t>
            </w:r>
            <w:r>
              <w:rPr>
                <w:rFonts w:cs="Times New Roman" w:hint="eastAsia"/>
                <w:color w:val="000000" w:themeColor="text1"/>
                <w:szCs w:val="21"/>
              </w:rPr>
              <w:t>GB3095-2012</w:t>
            </w:r>
            <w:r>
              <w:rPr>
                <w:rFonts w:cs="Times New Roman" w:hint="eastAsia"/>
                <w:color w:val="000000" w:themeColor="text1"/>
                <w:szCs w:val="21"/>
              </w:rPr>
              <w:t>）</w:t>
            </w:r>
          </w:p>
        </w:tc>
      </w:tr>
      <w:tr w:rsidR="00644456">
        <w:trPr>
          <w:jc w:val="center"/>
        </w:trPr>
        <w:tc>
          <w:tcPr>
            <w:tcW w:w="753" w:type="pc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SO2</w:t>
            </w:r>
          </w:p>
        </w:tc>
        <w:tc>
          <w:tcPr>
            <w:tcW w:w="532" w:type="pc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二类区</w:t>
            </w:r>
          </w:p>
        </w:tc>
        <w:tc>
          <w:tcPr>
            <w:tcW w:w="1020" w:type="pc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w:t>
            </w:r>
            <w:r>
              <w:rPr>
                <w:rFonts w:cs="Times New Roman"/>
                <w:color w:val="000000" w:themeColor="text1"/>
                <w:szCs w:val="21"/>
              </w:rPr>
              <w:t>小时平均值</w:t>
            </w:r>
          </w:p>
        </w:tc>
        <w:tc>
          <w:tcPr>
            <w:tcW w:w="958" w:type="pc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500</w:t>
            </w:r>
          </w:p>
        </w:tc>
        <w:tc>
          <w:tcPr>
            <w:tcW w:w="1735" w:type="pct"/>
            <w:vMerge/>
            <w:tcBorders>
              <w:tl2br w:val="nil"/>
              <w:tr2bl w:val="nil"/>
            </w:tcBorders>
            <w:vAlign w:val="center"/>
          </w:tcPr>
          <w:p w:rsidR="00644456" w:rsidRDefault="00644456">
            <w:pPr>
              <w:widowControl/>
              <w:adjustRightInd w:val="0"/>
              <w:jc w:val="center"/>
              <w:rPr>
                <w:rFonts w:cs="Times New Roman"/>
                <w:color w:val="000000" w:themeColor="text1"/>
                <w:szCs w:val="21"/>
              </w:rPr>
            </w:pPr>
          </w:p>
        </w:tc>
      </w:tr>
      <w:tr w:rsidR="00644456">
        <w:trPr>
          <w:jc w:val="center"/>
        </w:trPr>
        <w:tc>
          <w:tcPr>
            <w:tcW w:w="753" w:type="pc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NOx</w:t>
            </w:r>
          </w:p>
        </w:tc>
        <w:tc>
          <w:tcPr>
            <w:tcW w:w="532" w:type="pc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二类区</w:t>
            </w:r>
          </w:p>
        </w:tc>
        <w:tc>
          <w:tcPr>
            <w:tcW w:w="1020" w:type="pc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w:t>
            </w:r>
            <w:r>
              <w:rPr>
                <w:rFonts w:cs="Times New Roman"/>
                <w:color w:val="000000" w:themeColor="text1"/>
                <w:szCs w:val="21"/>
              </w:rPr>
              <w:t>小时平均值</w:t>
            </w:r>
          </w:p>
        </w:tc>
        <w:tc>
          <w:tcPr>
            <w:tcW w:w="958" w:type="pc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250</w:t>
            </w:r>
          </w:p>
        </w:tc>
        <w:tc>
          <w:tcPr>
            <w:tcW w:w="1735" w:type="pct"/>
            <w:vMerge/>
            <w:tcBorders>
              <w:tl2br w:val="nil"/>
              <w:tr2bl w:val="nil"/>
            </w:tcBorders>
            <w:vAlign w:val="center"/>
          </w:tcPr>
          <w:p w:rsidR="00644456" w:rsidRDefault="00644456">
            <w:pPr>
              <w:widowControl/>
              <w:adjustRightInd w:val="0"/>
              <w:jc w:val="center"/>
              <w:rPr>
                <w:rFonts w:cs="Times New Roman"/>
                <w:color w:val="000000" w:themeColor="text1"/>
                <w:szCs w:val="21"/>
              </w:rPr>
            </w:pPr>
          </w:p>
        </w:tc>
      </w:tr>
      <w:tr w:rsidR="00644456">
        <w:trPr>
          <w:jc w:val="center"/>
        </w:trPr>
        <w:tc>
          <w:tcPr>
            <w:tcW w:w="753" w:type="pc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硫化氢</w:t>
            </w:r>
          </w:p>
        </w:tc>
        <w:tc>
          <w:tcPr>
            <w:tcW w:w="532" w:type="pc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二类区</w:t>
            </w:r>
          </w:p>
        </w:tc>
        <w:tc>
          <w:tcPr>
            <w:tcW w:w="1020" w:type="pc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w:t>
            </w:r>
            <w:r>
              <w:rPr>
                <w:rFonts w:cs="Times New Roman"/>
                <w:color w:val="000000" w:themeColor="text1"/>
                <w:szCs w:val="21"/>
              </w:rPr>
              <w:t>小时平均值</w:t>
            </w:r>
          </w:p>
        </w:tc>
        <w:tc>
          <w:tcPr>
            <w:tcW w:w="958" w:type="pc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10</w:t>
            </w:r>
          </w:p>
        </w:tc>
        <w:tc>
          <w:tcPr>
            <w:tcW w:w="1735" w:type="pct"/>
            <w:vMerge w:val="restar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《环境影响评价技术导则大气环境》（</w:t>
            </w:r>
            <w:r>
              <w:rPr>
                <w:rFonts w:cs="Times New Roman"/>
                <w:color w:val="000000" w:themeColor="text1"/>
                <w:szCs w:val="21"/>
              </w:rPr>
              <w:t>HJ2.2-2018</w:t>
            </w:r>
            <w:r>
              <w:rPr>
                <w:rFonts w:cs="Times New Roman"/>
                <w:color w:val="000000" w:themeColor="text1"/>
                <w:szCs w:val="21"/>
              </w:rPr>
              <w:t>）附录</w:t>
            </w:r>
            <w:r>
              <w:rPr>
                <w:rFonts w:cs="Times New Roman"/>
                <w:color w:val="000000" w:themeColor="text1"/>
                <w:szCs w:val="21"/>
              </w:rPr>
              <w:t>D</w:t>
            </w:r>
            <w:r>
              <w:rPr>
                <w:rFonts w:cs="Times New Roman"/>
                <w:color w:val="000000" w:themeColor="text1"/>
                <w:szCs w:val="21"/>
              </w:rPr>
              <w:t>参考限值要求</w:t>
            </w:r>
          </w:p>
        </w:tc>
      </w:tr>
      <w:tr w:rsidR="00644456">
        <w:trPr>
          <w:jc w:val="center"/>
        </w:trPr>
        <w:tc>
          <w:tcPr>
            <w:tcW w:w="753" w:type="pc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氨</w:t>
            </w:r>
          </w:p>
        </w:tc>
        <w:tc>
          <w:tcPr>
            <w:tcW w:w="532" w:type="pc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二类区</w:t>
            </w:r>
          </w:p>
        </w:tc>
        <w:tc>
          <w:tcPr>
            <w:tcW w:w="1020" w:type="pc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w:t>
            </w:r>
            <w:r>
              <w:rPr>
                <w:rFonts w:cs="Times New Roman"/>
                <w:color w:val="000000" w:themeColor="text1"/>
                <w:szCs w:val="21"/>
              </w:rPr>
              <w:t>小时平均值</w:t>
            </w:r>
          </w:p>
        </w:tc>
        <w:tc>
          <w:tcPr>
            <w:tcW w:w="958" w:type="pc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200</w:t>
            </w:r>
          </w:p>
        </w:tc>
        <w:tc>
          <w:tcPr>
            <w:tcW w:w="1735" w:type="pct"/>
            <w:vMerge/>
            <w:tcBorders>
              <w:tl2br w:val="nil"/>
              <w:tr2bl w:val="nil"/>
            </w:tcBorders>
            <w:vAlign w:val="center"/>
          </w:tcPr>
          <w:p w:rsidR="00644456" w:rsidRDefault="00644456">
            <w:pPr>
              <w:adjustRightInd w:val="0"/>
              <w:snapToGrid w:val="0"/>
              <w:jc w:val="center"/>
              <w:rPr>
                <w:rFonts w:cs="Times New Roman"/>
                <w:color w:val="000000" w:themeColor="text1"/>
                <w:szCs w:val="21"/>
              </w:rPr>
            </w:pPr>
          </w:p>
        </w:tc>
      </w:tr>
      <w:tr w:rsidR="00644456">
        <w:trPr>
          <w:jc w:val="center"/>
        </w:trPr>
        <w:tc>
          <w:tcPr>
            <w:tcW w:w="753" w:type="pct"/>
            <w:tcBorders>
              <w:tl2br w:val="nil"/>
              <w:tr2bl w:val="nil"/>
            </w:tcBorders>
            <w:vAlign w:val="center"/>
          </w:tcPr>
          <w:p w:rsidR="00644456" w:rsidRDefault="008031C4">
            <w:pPr>
              <w:adjustRightInd w:val="0"/>
              <w:snapToGrid w:val="0"/>
              <w:jc w:val="center"/>
              <w:rPr>
                <w:rFonts w:cs="Times New Roman"/>
                <w:color w:val="000000" w:themeColor="text1"/>
                <w:szCs w:val="21"/>
              </w:rPr>
            </w:pPr>
            <w:bookmarkStart w:id="305" w:name="_Hlk160542703"/>
            <w:r>
              <w:rPr>
                <w:rFonts w:cs="Times New Roman" w:hint="eastAsia"/>
                <w:color w:val="000000" w:themeColor="text1"/>
                <w:szCs w:val="21"/>
              </w:rPr>
              <w:t>NMHC</w:t>
            </w:r>
          </w:p>
        </w:tc>
        <w:tc>
          <w:tcPr>
            <w:tcW w:w="532" w:type="pc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二类区</w:t>
            </w:r>
          </w:p>
        </w:tc>
        <w:tc>
          <w:tcPr>
            <w:tcW w:w="1020" w:type="pc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1</w:t>
            </w:r>
            <w:r>
              <w:rPr>
                <w:rFonts w:cs="Times New Roman"/>
                <w:color w:val="000000" w:themeColor="text1"/>
                <w:szCs w:val="21"/>
              </w:rPr>
              <w:t>小时平均值</w:t>
            </w:r>
          </w:p>
        </w:tc>
        <w:tc>
          <w:tcPr>
            <w:tcW w:w="958" w:type="pc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2000</w:t>
            </w:r>
          </w:p>
        </w:tc>
        <w:tc>
          <w:tcPr>
            <w:tcW w:w="1735" w:type="pct"/>
            <w:tcBorders>
              <w:tl2br w:val="nil"/>
              <w:tr2bl w:val="nil"/>
            </w:tcBorders>
            <w:vAlign w:val="center"/>
          </w:tcPr>
          <w:p w:rsidR="00644456" w:rsidRDefault="008031C4">
            <w:pPr>
              <w:adjustRightInd w:val="0"/>
              <w:snapToGrid w:val="0"/>
              <w:jc w:val="center"/>
              <w:rPr>
                <w:rFonts w:cs="Times New Roman"/>
                <w:color w:val="000000" w:themeColor="text1"/>
                <w:szCs w:val="21"/>
              </w:rPr>
            </w:pPr>
            <w:r>
              <w:rPr>
                <w:rFonts w:cs="Times New Roman" w:hint="eastAsia"/>
                <w:color w:val="000000" w:themeColor="text1"/>
                <w:szCs w:val="21"/>
              </w:rPr>
              <w:t>国家环保局科技标准司《大气污染物综合排放标准详解》中浓度限值</w:t>
            </w:r>
          </w:p>
        </w:tc>
      </w:tr>
    </w:tbl>
    <w:bookmarkEnd w:id="304"/>
    <w:p w:rsidR="00644456" w:rsidRDefault="008031C4">
      <w:pPr>
        <w:spacing w:line="360" w:lineRule="auto"/>
        <w:ind w:firstLine="480"/>
        <w:rPr>
          <w:rFonts w:cs="Times New Roman"/>
          <w:b/>
          <w:bCs/>
          <w:color w:val="000000" w:themeColor="text1"/>
          <w:sz w:val="24"/>
          <w:szCs w:val="24"/>
        </w:rPr>
      </w:pPr>
      <w:r>
        <w:rPr>
          <w:rFonts w:cs="Times New Roman"/>
          <w:b/>
          <w:bCs/>
          <w:color w:val="000000" w:themeColor="text1"/>
          <w:sz w:val="24"/>
          <w:szCs w:val="24"/>
        </w:rPr>
        <w:t>（</w:t>
      </w:r>
      <w:r>
        <w:rPr>
          <w:rFonts w:cs="Times New Roman"/>
          <w:b/>
          <w:bCs/>
          <w:color w:val="000000" w:themeColor="text1"/>
          <w:sz w:val="24"/>
          <w:szCs w:val="24"/>
        </w:rPr>
        <w:t>5</w:t>
      </w:r>
      <w:r>
        <w:rPr>
          <w:rFonts w:cs="Times New Roman"/>
          <w:b/>
          <w:bCs/>
          <w:color w:val="000000" w:themeColor="text1"/>
          <w:sz w:val="24"/>
          <w:szCs w:val="24"/>
        </w:rPr>
        <w:t>）估算模式参数表</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5.1</w:t>
      </w:r>
      <w:r>
        <w:rPr>
          <w:rFonts w:cs="Times New Roman" w:hint="eastAsia"/>
          <w:b/>
          <w:color w:val="000000" w:themeColor="text1"/>
          <w:sz w:val="24"/>
          <w:szCs w:val="20"/>
        </w:rPr>
        <w:noBreakHyphen/>
        <w:t>4</w:t>
      </w:r>
      <w:r>
        <w:rPr>
          <w:rFonts w:cs="Times New Roman" w:hint="eastAsia"/>
          <w:b/>
          <w:color w:val="000000" w:themeColor="text1"/>
          <w:sz w:val="24"/>
          <w:szCs w:val="20"/>
        </w:rPr>
        <w:t>估算模式参数表</w:t>
      </w:r>
    </w:p>
    <w:tbl>
      <w:tblPr>
        <w:tblW w:w="4999"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602"/>
        <w:gridCol w:w="2459"/>
        <w:gridCol w:w="2459"/>
      </w:tblGrid>
      <w:tr w:rsidR="00C14E67" w:rsidTr="008B0FF7">
        <w:trPr>
          <w:cantSplit/>
          <w:jc w:val="center"/>
        </w:trPr>
        <w:tc>
          <w:tcPr>
            <w:tcW w:w="3556" w:type="pct"/>
            <w:gridSpan w:val="2"/>
            <w:tcBorders>
              <w:tl2br w:val="nil"/>
              <w:tr2bl w:val="nil"/>
            </w:tcBorders>
            <w:vAlign w:val="center"/>
          </w:tcPr>
          <w:p w:rsidR="00C14E67" w:rsidRPr="00C14E67" w:rsidRDefault="00C14E67" w:rsidP="008B0FF7">
            <w:pPr>
              <w:pStyle w:val="afffffc"/>
              <w:spacing w:line="240" w:lineRule="auto"/>
              <w:rPr>
                <w:rFonts w:ascii="Times New Roman" w:eastAsia="宋体" w:hAnsi="Times New Roman" w:cs="Times New Roman"/>
                <w:bCs/>
                <w:color w:val="FF0000"/>
                <w:sz w:val="21"/>
                <w:szCs w:val="21"/>
              </w:rPr>
            </w:pPr>
            <w:r w:rsidRPr="00C14E67">
              <w:rPr>
                <w:rFonts w:ascii="Times New Roman" w:eastAsia="宋体" w:hAnsi="Times New Roman" w:cs="Times New Roman"/>
                <w:bCs/>
                <w:color w:val="FF0000"/>
                <w:sz w:val="21"/>
                <w:szCs w:val="21"/>
              </w:rPr>
              <w:t>参数</w:t>
            </w:r>
          </w:p>
        </w:tc>
        <w:tc>
          <w:tcPr>
            <w:tcW w:w="1443" w:type="pct"/>
            <w:tcBorders>
              <w:tl2br w:val="nil"/>
              <w:tr2bl w:val="nil"/>
            </w:tcBorders>
            <w:vAlign w:val="center"/>
          </w:tcPr>
          <w:p w:rsidR="00C14E67" w:rsidRPr="00C14E67" w:rsidRDefault="00C14E67" w:rsidP="008B0FF7">
            <w:pPr>
              <w:pStyle w:val="afffffc"/>
              <w:spacing w:line="240" w:lineRule="auto"/>
              <w:rPr>
                <w:rFonts w:ascii="Times New Roman" w:eastAsia="宋体" w:hAnsi="Times New Roman" w:cs="Times New Roman"/>
                <w:bCs/>
                <w:color w:val="FF0000"/>
                <w:sz w:val="21"/>
                <w:szCs w:val="21"/>
              </w:rPr>
            </w:pPr>
            <w:r w:rsidRPr="00C14E67">
              <w:rPr>
                <w:rFonts w:ascii="Times New Roman" w:eastAsia="宋体" w:hAnsi="Times New Roman" w:cs="Times New Roman"/>
                <w:bCs/>
                <w:color w:val="FF0000"/>
                <w:sz w:val="21"/>
                <w:szCs w:val="21"/>
              </w:rPr>
              <w:t>取值</w:t>
            </w:r>
          </w:p>
        </w:tc>
      </w:tr>
      <w:tr w:rsidR="00C14E67" w:rsidTr="008B0FF7">
        <w:trPr>
          <w:cantSplit/>
          <w:trHeight w:val="90"/>
          <w:jc w:val="center"/>
        </w:trPr>
        <w:tc>
          <w:tcPr>
            <w:tcW w:w="2113" w:type="pct"/>
            <w:vMerge w:val="restart"/>
            <w:tcBorders>
              <w:tl2br w:val="nil"/>
              <w:tr2bl w:val="nil"/>
            </w:tcBorders>
            <w:vAlign w:val="center"/>
          </w:tcPr>
          <w:p w:rsidR="00C14E67" w:rsidRPr="00C14E67" w:rsidRDefault="00C14E67" w:rsidP="008B0FF7">
            <w:pPr>
              <w:pStyle w:val="afffffc"/>
              <w:spacing w:line="240" w:lineRule="auto"/>
              <w:rPr>
                <w:rFonts w:ascii="Times New Roman" w:eastAsia="宋体" w:hAnsi="Times New Roman" w:cs="Times New Roman"/>
                <w:b w:val="0"/>
                <w:bCs/>
                <w:snapToGrid/>
                <w:color w:val="FF0000"/>
                <w:spacing w:val="0"/>
                <w:kern w:val="2"/>
                <w:sz w:val="21"/>
                <w:szCs w:val="22"/>
              </w:rPr>
            </w:pPr>
            <w:r w:rsidRPr="00C14E67">
              <w:rPr>
                <w:rFonts w:ascii="Times New Roman" w:eastAsia="宋体" w:hAnsi="Times New Roman" w:cs="Times New Roman"/>
                <w:b w:val="0"/>
                <w:bCs/>
                <w:snapToGrid/>
                <w:color w:val="FF0000"/>
                <w:spacing w:val="0"/>
                <w:kern w:val="2"/>
                <w:sz w:val="21"/>
                <w:szCs w:val="22"/>
              </w:rPr>
              <w:t>城市</w:t>
            </w:r>
            <w:r w:rsidRPr="00C14E67">
              <w:rPr>
                <w:rFonts w:ascii="Times New Roman" w:eastAsia="宋体" w:hAnsi="Times New Roman" w:cs="Times New Roman"/>
                <w:b w:val="0"/>
                <w:bCs/>
                <w:snapToGrid/>
                <w:color w:val="FF0000"/>
                <w:spacing w:val="0"/>
                <w:kern w:val="2"/>
                <w:sz w:val="21"/>
                <w:szCs w:val="22"/>
              </w:rPr>
              <w:t>/</w:t>
            </w:r>
            <w:r w:rsidRPr="00C14E67">
              <w:rPr>
                <w:rFonts w:ascii="Times New Roman" w:eastAsia="宋体" w:hAnsi="Times New Roman" w:cs="Times New Roman"/>
                <w:b w:val="0"/>
                <w:bCs/>
                <w:snapToGrid/>
                <w:color w:val="FF0000"/>
                <w:spacing w:val="0"/>
                <w:kern w:val="2"/>
                <w:sz w:val="21"/>
                <w:szCs w:val="22"/>
              </w:rPr>
              <w:t>农村选项</w:t>
            </w:r>
          </w:p>
        </w:tc>
        <w:tc>
          <w:tcPr>
            <w:tcW w:w="1443" w:type="pct"/>
            <w:tcBorders>
              <w:tl2br w:val="nil"/>
              <w:tr2bl w:val="nil"/>
            </w:tcBorders>
            <w:vAlign w:val="center"/>
          </w:tcPr>
          <w:p w:rsidR="00C14E67" w:rsidRPr="00C14E67" w:rsidRDefault="00C14E67" w:rsidP="008B0FF7">
            <w:pPr>
              <w:pStyle w:val="afffffc"/>
              <w:spacing w:line="240" w:lineRule="auto"/>
              <w:rPr>
                <w:rFonts w:ascii="Times New Roman" w:eastAsia="宋体" w:hAnsi="Times New Roman" w:cs="Times New Roman"/>
                <w:b w:val="0"/>
                <w:bCs/>
                <w:snapToGrid/>
                <w:color w:val="FF0000"/>
                <w:spacing w:val="0"/>
                <w:kern w:val="2"/>
                <w:sz w:val="21"/>
                <w:szCs w:val="22"/>
              </w:rPr>
            </w:pPr>
            <w:r w:rsidRPr="00C14E67">
              <w:rPr>
                <w:rFonts w:ascii="Times New Roman" w:eastAsia="宋体" w:hAnsi="Times New Roman" w:cs="Times New Roman"/>
                <w:b w:val="0"/>
                <w:bCs/>
                <w:snapToGrid/>
                <w:color w:val="FF0000"/>
                <w:spacing w:val="0"/>
                <w:kern w:val="2"/>
                <w:sz w:val="21"/>
                <w:szCs w:val="22"/>
              </w:rPr>
              <w:t>城市</w:t>
            </w:r>
            <w:r w:rsidRPr="00C14E67">
              <w:rPr>
                <w:rFonts w:ascii="Times New Roman" w:eastAsia="宋体" w:hAnsi="Times New Roman" w:cs="Times New Roman"/>
                <w:b w:val="0"/>
                <w:bCs/>
                <w:snapToGrid/>
                <w:color w:val="FF0000"/>
                <w:spacing w:val="0"/>
                <w:kern w:val="2"/>
                <w:sz w:val="21"/>
                <w:szCs w:val="22"/>
              </w:rPr>
              <w:t>/</w:t>
            </w:r>
            <w:r w:rsidRPr="00C14E67">
              <w:rPr>
                <w:rFonts w:ascii="Times New Roman" w:eastAsia="宋体" w:hAnsi="Times New Roman" w:cs="Times New Roman"/>
                <w:b w:val="0"/>
                <w:bCs/>
                <w:snapToGrid/>
                <w:color w:val="FF0000"/>
                <w:spacing w:val="0"/>
                <w:kern w:val="2"/>
                <w:sz w:val="21"/>
                <w:szCs w:val="22"/>
              </w:rPr>
              <w:t>农村</w:t>
            </w:r>
          </w:p>
        </w:tc>
        <w:tc>
          <w:tcPr>
            <w:tcW w:w="2667" w:type="dxa"/>
            <w:tcBorders>
              <w:tl2br w:val="nil"/>
              <w:tr2bl w:val="nil"/>
            </w:tcBorders>
            <w:vAlign w:val="center"/>
          </w:tcPr>
          <w:p w:rsidR="00C14E67" w:rsidRPr="00C14E67" w:rsidRDefault="00C14E67" w:rsidP="008B0FF7">
            <w:pPr>
              <w:adjustRightInd w:val="0"/>
              <w:jc w:val="center"/>
              <w:rPr>
                <w:rFonts w:cs="Times New Roman"/>
                <w:bCs/>
                <w:color w:val="FF0000"/>
                <w:spacing w:val="-8"/>
                <w:szCs w:val="21"/>
              </w:rPr>
            </w:pPr>
            <w:r w:rsidRPr="00C14E67">
              <w:rPr>
                <w:rFonts w:cs="Times New Roman"/>
                <w:color w:val="FF0000"/>
              </w:rPr>
              <w:t>城市</w:t>
            </w:r>
          </w:p>
        </w:tc>
      </w:tr>
      <w:tr w:rsidR="00C14E67" w:rsidTr="008B0FF7">
        <w:trPr>
          <w:cantSplit/>
          <w:trHeight w:val="90"/>
          <w:jc w:val="center"/>
        </w:trPr>
        <w:tc>
          <w:tcPr>
            <w:tcW w:w="2113" w:type="pct"/>
            <w:vMerge/>
            <w:tcBorders>
              <w:tl2br w:val="nil"/>
              <w:tr2bl w:val="nil"/>
            </w:tcBorders>
            <w:vAlign w:val="center"/>
          </w:tcPr>
          <w:p w:rsidR="00C14E67" w:rsidRPr="00C14E67" w:rsidRDefault="00C14E67" w:rsidP="008B0FF7">
            <w:pPr>
              <w:adjustRightInd w:val="0"/>
              <w:jc w:val="center"/>
              <w:rPr>
                <w:rFonts w:cs="Times New Roman"/>
                <w:bCs/>
                <w:color w:val="FF0000"/>
              </w:rPr>
            </w:pPr>
          </w:p>
        </w:tc>
        <w:tc>
          <w:tcPr>
            <w:tcW w:w="1443" w:type="pct"/>
            <w:tcBorders>
              <w:tl2br w:val="nil"/>
              <w:tr2bl w:val="nil"/>
            </w:tcBorders>
            <w:vAlign w:val="center"/>
          </w:tcPr>
          <w:p w:rsidR="00C14E67" w:rsidRPr="00C14E67" w:rsidRDefault="00C14E67" w:rsidP="008B0FF7">
            <w:pPr>
              <w:adjustRightInd w:val="0"/>
              <w:jc w:val="center"/>
              <w:rPr>
                <w:rFonts w:cs="Times New Roman"/>
                <w:bCs/>
                <w:color w:val="FF0000"/>
              </w:rPr>
            </w:pPr>
            <w:r w:rsidRPr="00C14E67">
              <w:rPr>
                <w:rFonts w:cs="Times New Roman"/>
                <w:bCs/>
                <w:color w:val="FF0000"/>
              </w:rPr>
              <w:t>人口数（城市选项时）</w:t>
            </w:r>
          </w:p>
        </w:tc>
        <w:tc>
          <w:tcPr>
            <w:tcW w:w="2667" w:type="dxa"/>
            <w:tcBorders>
              <w:tl2br w:val="nil"/>
              <w:tr2bl w:val="nil"/>
            </w:tcBorders>
            <w:vAlign w:val="center"/>
          </w:tcPr>
          <w:p w:rsidR="00C14E67" w:rsidRPr="00C14E67" w:rsidRDefault="00C14E67" w:rsidP="008B0FF7">
            <w:pPr>
              <w:adjustRightInd w:val="0"/>
              <w:jc w:val="center"/>
              <w:rPr>
                <w:rFonts w:cs="Times New Roman"/>
                <w:bCs/>
                <w:color w:val="FF0000"/>
                <w:szCs w:val="21"/>
              </w:rPr>
            </w:pPr>
            <w:r w:rsidRPr="00C14E67">
              <w:rPr>
                <w:rFonts w:cs="Times New Roman"/>
                <w:color w:val="FF0000"/>
              </w:rPr>
              <w:t>26.29</w:t>
            </w:r>
            <w:r w:rsidRPr="00C14E67">
              <w:rPr>
                <w:rFonts w:cs="Times New Roman"/>
                <w:color w:val="FF0000"/>
              </w:rPr>
              <w:t>万人</w:t>
            </w:r>
          </w:p>
        </w:tc>
      </w:tr>
      <w:tr w:rsidR="00C14E67" w:rsidTr="008B0FF7">
        <w:trPr>
          <w:cantSplit/>
          <w:trHeight w:val="90"/>
          <w:jc w:val="center"/>
        </w:trPr>
        <w:tc>
          <w:tcPr>
            <w:tcW w:w="3556" w:type="pct"/>
            <w:gridSpan w:val="2"/>
            <w:tcBorders>
              <w:tl2br w:val="nil"/>
              <w:tr2bl w:val="nil"/>
            </w:tcBorders>
            <w:vAlign w:val="center"/>
          </w:tcPr>
          <w:p w:rsidR="00C14E67" w:rsidRPr="00C14E67" w:rsidRDefault="00C14E67" w:rsidP="008B0FF7">
            <w:pPr>
              <w:pStyle w:val="afffffc"/>
              <w:spacing w:line="240" w:lineRule="auto"/>
              <w:rPr>
                <w:rFonts w:ascii="Times New Roman" w:eastAsia="宋体" w:hAnsi="Times New Roman" w:cs="Times New Roman"/>
                <w:b w:val="0"/>
                <w:bCs/>
                <w:snapToGrid/>
                <w:color w:val="FF0000"/>
                <w:spacing w:val="0"/>
                <w:kern w:val="2"/>
                <w:sz w:val="21"/>
                <w:szCs w:val="22"/>
              </w:rPr>
            </w:pPr>
            <w:r w:rsidRPr="00C14E67">
              <w:rPr>
                <w:rFonts w:ascii="Times New Roman" w:eastAsia="宋体" w:hAnsi="Times New Roman" w:cs="Times New Roman"/>
                <w:b w:val="0"/>
                <w:bCs/>
                <w:snapToGrid/>
                <w:color w:val="FF0000"/>
                <w:spacing w:val="0"/>
                <w:kern w:val="2"/>
                <w:sz w:val="21"/>
                <w:szCs w:val="22"/>
              </w:rPr>
              <w:t>最高环境温度</w:t>
            </w:r>
            <w:r w:rsidRPr="00C14E67">
              <w:rPr>
                <w:rFonts w:ascii="Times New Roman" w:eastAsia="宋体" w:hAnsi="Times New Roman" w:cs="Times New Roman"/>
                <w:b w:val="0"/>
                <w:bCs/>
                <w:snapToGrid/>
                <w:color w:val="FF0000"/>
                <w:spacing w:val="0"/>
                <w:kern w:val="2"/>
                <w:sz w:val="21"/>
                <w:szCs w:val="22"/>
              </w:rPr>
              <w:t>/</w:t>
            </w:r>
            <w:r w:rsidRPr="00C14E67">
              <w:rPr>
                <w:rFonts w:ascii="宋体" w:eastAsia="宋体" w:hAnsi="宋体" w:cs="宋体" w:hint="eastAsia"/>
                <w:b w:val="0"/>
                <w:bCs/>
                <w:snapToGrid/>
                <w:color w:val="FF0000"/>
                <w:spacing w:val="0"/>
                <w:kern w:val="2"/>
                <w:sz w:val="21"/>
                <w:szCs w:val="22"/>
              </w:rPr>
              <w:t>℃</w:t>
            </w:r>
          </w:p>
        </w:tc>
        <w:tc>
          <w:tcPr>
            <w:tcW w:w="2667" w:type="dxa"/>
            <w:tcBorders>
              <w:tl2br w:val="nil"/>
              <w:tr2bl w:val="nil"/>
            </w:tcBorders>
            <w:vAlign w:val="center"/>
          </w:tcPr>
          <w:p w:rsidR="00C14E67" w:rsidRPr="00C14E67" w:rsidRDefault="00C14E67" w:rsidP="008B0FF7">
            <w:pPr>
              <w:adjustRightInd w:val="0"/>
              <w:snapToGrid w:val="0"/>
              <w:jc w:val="center"/>
              <w:rPr>
                <w:rFonts w:cs="Times New Roman"/>
                <w:bCs/>
                <w:color w:val="FF0000"/>
                <w:spacing w:val="-8"/>
                <w:szCs w:val="21"/>
              </w:rPr>
            </w:pPr>
            <w:r w:rsidRPr="00C14E67">
              <w:rPr>
                <w:rFonts w:cs="Times New Roman"/>
                <w:bCs/>
                <w:color w:val="FF0000"/>
                <w:spacing w:val="-8"/>
                <w:szCs w:val="21"/>
              </w:rPr>
              <w:t>40.10</w:t>
            </w:r>
          </w:p>
        </w:tc>
      </w:tr>
      <w:tr w:rsidR="00C14E67" w:rsidTr="008B0FF7">
        <w:trPr>
          <w:cantSplit/>
          <w:trHeight w:val="90"/>
          <w:jc w:val="center"/>
        </w:trPr>
        <w:tc>
          <w:tcPr>
            <w:tcW w:w="3556" w:type="pct"/>
            <w:gridSpan w:val="2"/>
            <w:tcBorders>
              <w:tl2br w:val="nil"/>
              <w:tr2bl w:val="nil"/>
            </w:tcBorders>
            <w:vAlign w:val="center"/>
          </w:tcPr>
          <w:p w:rsidR="00C14E67" w:rsidRPr="00C14E67" w:rsidRDefault="00C14E67" w:rsidP="008B0FF7">
            <w:pPr>
              <w:pStyle w:val="afffffc"/>
              <w:spacing w:line="240" w:lineRule="auto"/>
              <w:rPr>
                <w:rFonts w:ascii="Times New Roman" w:eastAsia="宋体" w:hAnsi="Times New Roman" w:cs="Times New Roman"/>
                <w:b w:val="0"/>
                <w:bCs/>
                <w:snapToGrid/>
                <w:color w:val="FF0000"/>
                <w:spacing w:val="0"/>
                <w:kern w:val="2"/>
                <w:sz w:val="21"/>
                <w:szCs w:val="22"/>
              </w:rPr>
            </w:pPr>
            <w:r w:rsidRPr="00C14E67">
              <w:rPr>
                <w:rFonts w:ascii="Times New Roman" w:eastAsia="宋体" w:hAnsi="Times New Roman" w:cs="Times New Roman"/>
                <w:b w:val="0"/>
                <w:bCs/>
                <w:snapToGrid/>
                <w:color w:val="FF0000"/>
                <w:spacing w:val="0"/>
                <w:kern w:val="2"/>
                <w:sz w:val="21"/>
                <w:szCs w:val="22"/>
              </w:rPr>
              <w:t>最低环境温度</w:t>
            </w:r>
            <w:r w:rsidRPr="00C14E67">
              <w:rPr>
                <w:rFonts w:ascii="宋体" w:eastAsia="宋体" w:hAnsi="宋体" w:cs="宋体" w:hint="eastAsia"/>
                <w:b w:val="0"/>
                <w:bCs/>
                <w:snapToGrid/>
                <w:color w:val="FF0000"/>
                <w:spacing w:val="0"/>
                <w:kern w:val="2"/>
                <w:sz w:val="21"/>
                <w:szCs w:val="22"/>
              </w:rPr>
              <w:t>℃</w:t>
            </w:r>
          </w:p>
        </w:tc>
        <w:tc>
          <w:tcPr>
            <w:tcW w:w="2667" w:type="dxa"/>
            <w:tcBorders>
              <w:tl2br w:val="nil"/>
              <w:tr2bl w:val="nil"/>
            </w:tcBorders>
            <w:vAlign w:val="center"/>
          </w:tcPr>
          <w:p w:rsidR="00C14E67" w:rsidRPr="00C14E67" w:rsidRDefault="00C14E67" w:rsidP="008B0FF7">
            <w:pPr>
              <w:adjustRightInd w:val="0"/>
              <w:snapToGrid w:val="0"/>
              <w:jc w:val="center"/>
              <w:rPr>
                <w:rFonts w:cs="Times New Roman"/>
                <w:bCs/>
                <w:color w:val="FF0000"/>
                <w:spacing w:val="-8"/>
                <w:szCs w:val="21"/>
              </w:rPr>
            </w:pPr>
            <w:r w:rsidRPr="00C14E67">
              <w:rPr>
                <w:rFonts w:cs="Times New Roman"/>
                <w:bCs/>
                <w:color w:val="FF0000"/>
                <w:spacing w:val="-8"/>
                <w:szCs w:val="21"/>
              </w:rPr>
              <w:t>-24.40</w:t>
            </w:r>
          </w:p>
        </w:tc>
      </w:tr>
      <w:tr w:rsidR="00C14E67" w:rsidTr="008B0FF7">
        <w:trPr>
          <w:cantSplit/>
          <w:trHeight w:val="90"/>
          <w:jc w:val="center"/>
        </w:trPr>
        <w:tc>
          <w:tcPr>
            <w:tcW w:w="3556" w:type="pct"/>
            <w:gridSpan w:val="2"/>
            <w:tcBorders>
              <w:tl2br w:val="nil"/>
              <w:tr2bl w:val="nil"/>
            </w:tcBorders>
            <w:vAlign w:val="center"/>
          </w:tcPr>
          <w:p w:rsidR="00C14E67" w:rsidRPr="00C14E67" w:rsidRDefault="00C14E67" w:rsidP="008B0FF7">
            <w:pPr>
              <w:pStyle w:val="afffffc"/>
              <w:spacing w:line="240" w:lineRule="auto"/>
              <w:rPr>
                <w:rFonts w:ascii="Times New Roman" w:eastAsia="宋体" w:hAnsi="Times New Roman" w:cs="Times New Roman"/>
                <w:b w:val="0"/>
                <w:bCs/>
                <w:snapToGrid/>
                <w:color w:val="FF0000"/>
                <w:spacing w:val="0"/>
                <w:kern w:val="2"/>
                <w:sz w:val="21"/>
                <w:szCs w:val="22"/>
              </w:rPr>
            </w:pPr>
            <w:r w:rsidRPr="00C14E67">
              <w:rPr>
                <w:rFonts w:ascii="Times New Roman" w:eastAsia="宋体" w:hAnsi="Times New Roman" w:cs="Times New Roman"/>
                <w:b w:val="0"/>
                <w:bCs/>
                <w:snapToGrid/>
                <w:color w:val="FF0000"/>
                <w:spacing w:val="0"/>
                <w:kern w:val="2"/>
                <w:sz w:val="21"/>
                <w:szCs w:val="22"/>
              </w:rPr>
              <w:t>土地利用类型</w:t>
            </w:r>
          </w:p>
        </w:tc>
        <w:tc>
          <w:tcPr>
            <w:tcW w:w="2667" w:type="dxa"/>
            <w:tcBorders>
              <w:tl2br w:val="nil"/>
              <w:tr2bl w:val="nil"/>
            </w:tcBorders>
            <w:vAlign w:val="center"/>
          </w:tcPr>
          <w:p w:rsidR="00C14E67" w:rsidRPr="00C14E67" w:rsidRDefault="00C14E67" w:rsidP="008B0FF7">
            <w:pPr>
              <w:adjustRightInd w:val="0"/>
              <w:jc w:val="center"/>
              <w:rPr>
                <w:rFonts w:cs="Times New Roman"/>
                <w:bCs/>
                <w:color w:val="FF0000"/>
                <w:spacing w:val="-8"/>
                <w:szCs w:val="21"/>
              </w:rPr>
            </w:pPr>
            <w:r w:rsidRPr="00C14E67">
              <w:rPr>
                <w:rFonts w:cs="Times New Roman" w:hint="eastAsia"/>
                <w:bCs/>
                <w:color w:val="FF0000"/>
                <w:spacing w:val="-8"/>
              </w:rPr>
              <w:t>荒漠</w:t>
            </w:r>
          </w:p>
        </w:tc>
      </w:tr>
      <w:tr w:rsidR="00C14E67" w:rsidTr="008B0FF7">
        <w:trPr>
          <w:cantSplit/>
          <w:trHeight w:val="90"/>
          <w:jc w:val="center"/>
        </w:trPr>
        <w:tc>
          <w:tcPr>
            <w:tcW w:w="3556" w:type="pct"/>
            <w:gridSpan w:val="2"/>
            <w:tcBorders>
              <w:tl2br w:val="nil"/>
              <w:tr2bl w:val="nil"/>
            </w:tcBorders>
            <w:vAlign w:val="center"/>
          </w:tcPr>
          <w:p w:rsidR="00C14E67" w:rsidRPr="00C14E67" w:rsidRDefault="00C14E67" w:rsidP="008B0FF7">
            <w:pPr>
              <w:pStyle w:val="afffffc"/>
              <w:spacing w:line="240" w:lineRule="auto"/>
              <w:rPr>
                <w:rFonts w:ascii="Times New Roman" w:eastAsia="宋体" w:hAnsi="Times New Roman" w:cs="Times New Roman"/>
                <w:b w:val="0"/>
                <w:bCs/>
                <w:snapToGrid/>
                <w:color w:val="FF0000"/>
                <w:spacing w:val="0"/>
                <w:kern w:val="2"/>
                <w:sz w:val="21"/>
                <w:szCs w:val="22"/>
              </w:rPr>
            </w:pPr>
            <w:r w:rsidRPr="00C14E67">
              <w:rPr>
                <w:rFonts w:ascii="Times New Roman" w:eastAsia="宋体" w:hAnsi="Times New Roman" w:cs="Times New Roman"/>
                <w:b w:val="0"/>
                <w:bCs/>
                <w:snapToGrid/>
                <w:color w:val="FF0000"/>
                <w:spacing w:val="0"/>
                <w:kern w:val="2"/>
                <w:sz w:val="21"/>
                <w:szCs w:val="22"/>
              </w:rPr>
              <w:t>区域湿度条件</w:t>
            </w:r>
          </w:p>
        </w:tc>
        <w:tc>
          <w:tcPr>
            <w:tcW w:w="2667" w:type="dxa"/>
            <w:tcBorders>
              <w:tl2br w:val="nil"/>
              <w:tr2bl w:val="nil"/>
            </w:tcBorders>
            <w:vAlign w:val="center"/>
          </w:tcPr>
          <w:p w:rsidR="00C14E67" w:rsidRPr="00C14E67" w:rsidRDefault="00C14E67" w:rsidP="008B0FF7">
            <w:pPr>
              <w:adjustRightInd w:val="0"/>
              <w:jc w:val="center"/>
              <w:rPr>
                <w:rFonts w:cs="Times New Roman"/>
                <w:bCs/>
                <w:color w:val="FF0000"/>
                <w:spacing w:val="-8"/>
                <w:szCs w:val="21"/>
              </w:rPr>
            </w:pPr>
            <w:r w:rsidRPr="00C14E67">
              <w:rPr>
                <w:rFonts w:cs="Times New Roman" w:hint="eastAsia"/>
                <w:color w:val="FF0000"/>
              </w:rPr>
              <w:t>干燥</w:t>
            </w:r>
          </w:p>
        </w:tc>
      </w:tr>
      <w:tr w:rsidR="00C14E67" w:rsidTr="008B0FF7">
        <w:trPr>
          <w:cantSplit/>
          <w:jc w:val="center"/>
        </w:trPr>
        <w:tc>
          <w:tcPr>
            <w:tcW w:w="2113" w:type="pct"/>
            <w:vMerge w:val="restart"/>
            <w:tcBorders>
              <w:tl2br w:val="nil"/>
              <w:tr2bl w:val="nil"/>
            </w:tcBorders>
            <w:vAlign w:val="center"/>
          </w:tcPr>
          <w:p w:rsidR="00C14E67" w:rsidRPr="00C14E67" w:rsidRDefault="00C14E67" w:rsidP="008B0FF7">
            <w:pPr>
              <w:pStyle w:val="afffffc"/>
              <w:spacing w:line="240" w:lineRule="auto"/>
              <w:rPr>
                <w:rFonts w:ascii="Times New Roman" w:eastAsia="宋体" w:hAnsi="Times New Roman" w:cs="Times New Roman"/>
                <w:b w:val="0"/>
                <w:bCs/>
                <w:snapToGrid/>
                <w:color w:val="FF0000"/>
                <w:spacing w:val="0"/>
                <w:kern w:val="2"/>
                <w:sz w:val="21"/>
                <w:szCs w:val="22"/>
              </w:rPr>
            </w:pPr>
            <w:r w:rsidRPr="00C14E67">
              <w:rPr>
                <w:rFonts w:ascii="Times New Roman" w:eastAsia="宋体" w:hAnsi="Times New Roman" w:cs="Times New Roman"/>
                <w:b w:val="0"/>
                <w:bCs/>
                <w:snapToGrid/>
                <w:color w:val="FF0000"/>
                <w:spacing w:val="0"/>
                <w:kern w:val="2"/>
                <w:sz w:val="21"/>
                <w:szCs w:val="22"/>
              </w:rPr>
              <w:t>是否考虑地形</w:t>
            </w:r>
          </w:p>
        </w:tc>
        <w:tc>
          <w:tcPr>
            <w:tcW w:w="1443" w:type="pct"/>
            <w:tcBorders>
              <w:tl2br w:val="nil"/>
              <w:tr2bl w:val="nil"/>
            </w:tcBorders>
            <w:vAlign w:val="center"/>
          </w:tcPr>
          <w:p w:rsidR="00C14E67" w:rsidRPr="00C14E67" w:rsidRDefault="00C14E67" w:rsidP="008B0FF7">
            <w:pPr>
              <w:pStyle w:val="afffffc"/>
              <w:spacing w:line="240" w:lineRule="auto"/>
              <w:rPr>
                <w:rFonts w:ascii="Times New Roman" w:eastAsia="宋体" w:hAnsi="Times New Roman" w:cs="Times New Roman"/>
                <w:b w:val="0"/>
                <w:bCs/>
                <w:snapToGrid/>
                <w:color w:val="FF0000"/>
                <w:spacing w:val="0"/>
                <w:kern w:val="2"/>
                <w:sz w:val="21"/>
                <w:szCs w:val="22"/>
              </w:rPr>
            </w:pPr>
            <w:r w:rsidRPr="00C14E67">
              <w:rPr>
                <w:rFonts w:ascii="Times New Roman" w:eastAsia="宋体" w:hAnsi="Times New Roman" w:cs="Times New Roman"/>
                <w:b w:val="0"/>
                <w:bCs/>
                <w:snapToGrid/>
                <w:color w:val="FF0000"/>
                <w:spacing w:val="0"/>
                <w:kern w:val="2"/>
                <w:sz w:val="21"/>
                <w:szCs w:val="22"/>
              </w:rPr>
              <w:t>考虑地形</w:t>
            </w:r>
          </w:p>
        </w:tc>
        <w:tc>
          <w:tcPr>
            <w:tcW w:w="2667" w:type="dxa"/>
            <w:tcBorders>
              <w:tl2br w:val="nil"/>
              <w:tr2bl w:val="nil"/>
            </w:tcBorders>
            <w:vAlign w:val="center"/>
          </w:tcPr>
          <w:p w:rsidR="00C14E67" w:rsidRPr="00C14E67" w:rsidRDefault="00C14E67" w:rsidP="008B0FF7">
            <w:pPr>
              <w:adjustRightInd w:val="0"/>
              <w:jc w:val="center"/>
              <w:rPr>
                <w:rFonts w:cs="Times New Roman"/>
                <w:bCs/>
                <w:color w:val="FF0000"/>
                <w:szCs w:val="21"/>
              </w:rPr>
            </w:pPr>
            <w:r w:rsidRPr="00C14E67">
              <w:rPr>
                <w:rFonts w:ascii="Segoe UI Symbol" w:hAnsi="Segoe UI Symbol" w:cs="Segoe UI Symbol"/>
                <w:color w:val="FF0000"/>
              </w:rPr>
              <w:t>☑</w:t>
            </w:r>
            <w:r w:rsidRPr="00C14E67">
              <w:rPr>
                <w:rFonts w:cs="Times New Roman"/>
                <w:color w:val="FF0000"/>
              </w:rPr>
              <w:t>是</w:t>
            </w:r>
            <w:r w:rsidRPr="00C14E67">
              <w:rPr>
                <w:rFonts w:cs="Times New Roman"/>
                <w:color w:val="FF0000"/>
              </w:rPr>
              <w:t>□</w:t>
            </w:r>
            <w:r w:rsidRPr="00C14E67">
              <w:rPr>
                <w:rFonts w:cs="Times New Roman"/>
                <w:color w:val="FF0000"/>
              </w:rPr>
              <w:t>否</w:t>
            </w:r>
          </w:p>
        </w:tc>
      </w:tr>
      <w:tr w:rsidR="00C14E67" w:rsidTr="008B0FF7">
        <w:trPr>
          <w:cantSplit/>
          <w:jc w:val="center"/>
        </w:trPr>
        <w:tc>
          <w:tcPr>
            <w:tcW w:w="2113" w:type="pct"/>
            <w:vMerge/>
            <w:tcBorders>
              <w:tl2br w:val="nil"/>
              <w:tr2bl w:val="nil"/>
            </w:tcBorders>
            <w:vAlign w:val="center"/>
          </w:tcPr>
          <w:p w:rsidR="00C14E67" w:rsidRPr="00C14E67" w:rsidRDefault="00C14E67" w:rsidP="008B0FF7">
            <w:pPr>
              <w:adjustRightInd w:val="0"/>
              <w:jc w:val="center"/>
              <w:rPr>
                <w:rFonts w:cs="Times New Roman"/>
                <w:bCs/>
                <w:color w:val="FF0000"/>
              </w:rPr>
            </w:pPr>
          </w:p>
        </w:tc>
        <w:tc>
          <w:tcPr>
            <w:tcW w:w="1443" w:type="pct"/>
            <w:tcBorders>
              <w:tl2br w:val="nil"/>
              <w:tr2bl w:val="nil"/>
            </w:tcBorders>
            <w:vAlign w:val="center"/>
          </w:tcPr>
          <w:p w:rsidR="00C14E67" w:rsidRPr="00C14E67" w:rsidRDefault="00C14E67" w:rsidP="008B0FF7">
            <w:pPr>
              <w:adjustRightInd w:val="0"/>
              <w:jc w:val="center"/>
              <w:rPr>
                <w:rFonts w:cs="Times New Roman"/>
                <w:bCs/>
                <w:color w:val="FF0000"/>
              </w:rPr>
            </w:pPr>
            <w:r w:rsidRPr="00C14E67">
              <w:rPr>
                <w:rFonts w:cs="Times New Roman"/>
                <w:bCs/>
                <w:color w:val="FF0000"/>
              </w:rPr>
              <w:t>地形数据分辨率</w:t>
            </w:r>
            <w:r w:rsidRPr="00C14E67">
              <w:rPr>
                <w:rFonts w:cs="Times New Roman"/>
                <w:bCs/>
                <w:color w:val="FF0000"/>
              </w:rPr>
              <w:t>/m</w:t>
            </w:r>
          </w:p>
        </w:tc>
        <w:tc>
          <w:tcPr>
            <w:tcW w:w="2667" w:type="dxa"/>
            <w:tcBorders>
              <w:tl2br w:val="nil"/>
              <w:tr2bl w:val="nil"/>
            </w:tcBorders>
            <w:vAlign w:val="center"/>
          </w:tcPr>
          <w:p w:rsidR="00C14E67" w:rsidRPr="00C14E67" w:rsidRDefault="00C14E67" w:rsidP="008B0FF7">
            <w:pPr>
              <w:adjustRightInd w:val="0"/>
              <w:jc w:val="center"/>
              <w:rPr>
                <w:rFonts w:cs="Times New Roman"/>
                <w:bCs/>
                <w:color w:val="FF0000"/>
                <w:szCs w:val="21"/>
              </w:rPr>
            </w:pPr>
            <w:r w:rsidRPr="00C14E67">
              <w:rPr>
                <w:rFonts w:ascii="宋体" w:hAnsi="宋体" w:cs="宋体" w:hint="eastAsia"/>
                <w:color w:val="FF0000"/>
              </w:rPr>
              <w:t>≮</w:t>
            </w:r>
            <w:r w:rsidRPr="00C14E67">
              <w:rPr>
                <w:rFonts w:cs="Times New Roman"/>
                <w:color w:val="FF0000"/>
              </w:rPr>
              <w:t>90m</w:t>
            </w:r>
          </w:p>
        </w:tc>
      </w:tr>
      <w:tr w:rsidR="00C14E67" w:rsidTr="008B0FF7">
        <w:trPr>
          <w:cantSplit/>
          <w:jc w:val="center"/>
        </w:trPr>
        <w:tc>
          <w:tcPr>
            <w:tcW w:w="2113" w:type="pct"/>
            <w:vMerge w:val="restart"/>
            <w:tcBorders>
              <w:tl2br w:val="nil"/>
              <w:tr2bl w:val="nil"/>
            </w:tcBorders>
            <w:vAlign w:val="center"/>
          </w:tcPr>
          <w:p w:rsidR="00C14E67" w:rsidRPr="00C14E67" w:rsidRDefault="00C14E67" w:rsidP="008B0FF7">
            <w:pPr>
              <w:pStyle w:val="afffffc"/>
              <w:spacing w:line="240" w:lineRule="auto"/>
              <w:rPr>
                <w:rFonts w:ascii="Times New Roman" w:eastAsia="宋体" w:hAnsi="Times New Roman" w:cs="Times New Roman"/>
                <w:b w:val="0"/>
                <w:bCs/>
                <w:snapToGrid/>
                <w:color w:val="FF0000"/>
                <w:spacing w:val="0"/>
                <w:kern w:val="2"/>
                <w:sz w:val="21"/>
                <w:szCs w:val="22"/>
              </w:rPr>
            </w:pPr>
            <w:r w:rsidRPr="00C14E67">
              <w:rPr>
                <w:rFonts w:ascii="Times New Roman" w:eastAsia="宋体" w:hAnsi="Times New Roman" w:cs="Times New Roman"/>
                <w:b w:val="0"/>
                <w:bCs/>
                <w:snapToGrid/>
                <w:color w:val="FF0000"/>
                <w:spacing w:val="0"/>
                <w:kern w:val="2"/>
                <w:sz w:val="21"/>
                <w:szCs w:val="22"/>
              </w:rPr>
              <w:t>是否考虑岸线熏烟</w:t>
            </w:r>
          </w:p>
        </w:tc>
        <w:tc>
          <w:tcPr>
            <w:tcW w:w="1443" w:type="pct"/>
            <w:tcBorders>
              <w:tl2br w:val="nil"/>
              <w:tr2bl w:val="nil"/>
            </w:tcBorders>
            <w:vAlign w:val="center"/>
          </w:tcPr>
          <w:p w:rsidR="00C14E67" w:rsidRPr="00C14E67" w:rsidRDefault="00C14E67" w:rsidP="008B0FF7">
            <w:pPr>
              <w:pStyle w:val="afffffc"/>
              <w:spacing w:line="240" w:lineRule="auto"/>
              <w:rPr>
                <w:rFonts w:ascii="Times New Roman" w:eastAsia="宋体" w:hAnsi="Times New Roman" w:cs="Times New Roman"/>
                <w:b w:val="0"/>
                <w:bCs/>
                <w:snapToGrid/>
                <w:color w:val="FF0000"/>
                <w:spacing w:val="0"/>
                <w:kern w:val="2"/>
                <w:sz w:val="21"/>
                <w:szCs w:val="22"/>
              </w:rPr>
            </w:pPr>
            <w:r w:rsidRPr="00C14E67">
              <w:rPr>
                <w:rFonts w:ascii="Times New Roman" w:eastAsia="宋体" w:hAnsi="Times New Roman" w:cs="Times New Roman"/>
                <w:b w:val="0"/>
                <w:bCs/>
                <w:snapToGrid/>
                <w:color w:val="FF0000"/>
                <w:spacing w:val="0"/>
                <w:kern w:val="2"/>
                <w:sz w:val="21"/>
                <w:szCs w:val="22"/>
              </w:rPr>
              <w:t>考虑岸线熏烟</w:t>
            </w:r>
          </w:p>
        </w:tc>
        <w:tc>
          <w:tcPr>
            <w:tcW w:w="2667" w:type="dxa"/>
            <w:tcBorders>
              <w:tl2br w:val="nil"/>
              <w:tr2bl w:val="nil"/>
            </w:tcBorders>
            <w:vAlign w:val="center"/>
          </w:tcPr>
          <w:p w:rsidR="00C14E67" w:rsidRPr="00C14E67" w:rsidRDefault="00C14E67" w:rsidP="008B0FF7">
            <w:pPr>
              <w:adjustRightInd w:val="0"/>
              <w:jc w:val="center"/>
              <w:rPr>
                <w:rFonts w:cs="Times New Roman"/>
                <w:bCs/>
                <w:color w:val="FF0000"/>
                <w:szCs w:val="21"/>
              </w:rPr>
            </w:pPr>
            <w:r w:rsidRPr="00C14E67">
              <w:rPr>
                <w:rFonts w:cs="Times New Roman"/>
                <w:color w:val="FF0000"/>
              </w:rPr>
              <w:t>□</w:t>
            </w:r>
            <w:r w:rsidRPr="00C14E67">
              <w:rPr>
                <w:rFonts w:cs="Times New Roman"/>
                <w:color w:val="FF0000"/>
              </w:rPr>
              <w:t>是</w:t>
            </w:r>
            <w:r w:rsidRPr="00C14E67">
              <w:rPr>
                <w:rFonts w:ascii="Segoe UI Symbol" w:hAnsi="Segoe UI Symbol" w:cs="Segoe UI Symbol"/>
                <w:color w:val="FF0000"/>
              </w:rPr>
              <w:t>☑</w:t>
            </w:r>
            <w:r w:rsidRPr="00C14E67">
              <w:rPr>
                <w:rFonts w:cs="Times New Roman"/>
                <w:color w:val="FF0000"/>
              </w:rPr>
              <w:t>否</w:t>
            </w:r>
          </w:p>
        </w:tc>
      </w:tr>
      <w:tr w:rsidR="00C14E67" w:rsidTr="008B0FF7">
        <w:trPr>
          <w:cantSplit/>
          <w:jc w:val="center"/>
        </w:trPr>
        <w:tc>
          <w:tcPr>
            <w:tcW w:w="2113" w:type="pct"/>
            <w:vMerge/>
            <w:tcBorders>
              <w:tl2br w:val="nil"/>
              <w:tr2bl w:val="nil"/>
            </w:tcBorders>
            <w:vAlign w:val="center"/>
          </w:tcPr>
          <w:p w:rsidR="00C14E67" w:rsidRPr="00C14E67" w:rsidRDefault="00C14E67" w:rsidP="008B0FF7">
            <w:pPr>
              <w:adjustRightInd w:val="0"/>
              <w:jc w:val="center"/>
              <w:rPr>
                <w:rFonts w:cs="Times New Roman"/>
                <w:bCs/>
                <w:color w:val="FF0000"/>
              </w:rPr>
            </w:pPr>
          </w:p>
        </w:tc>
        <w:tc>
          <w:tcPr>
            <w:tcW w:w="1443" w:type="pct"/>
            <w:tcBorders>
              <w:tl2br w:val="nil"/>
              <w:tr2bl w:val="nil"/>
            </w:tcBorders>
            <w:vAlign w:val="center"/>
          </w:tcPr>
          <w:p w:rsidR="00C14E67" w:rsidRPr="00C14E67" w:rsidRDefault="00C14E67" w:rsidP="008B0FF7">
            <w:pPr>
              <w:adjustRightInd w:val="0"/>
              <w:jc w:val="center"/>
              <w:rPr>
                <w:rFonts w:cs="Times New Roman"/>
                <w:bCs/>
                <w:color w:val="FF0000"/>
              </w:rPr>
            </w:pPr>
            <w:r w:rsidRPr="00C14E67">
              <w:rPr>
                <w:rFonts w:cs="Times New Roman"/>
                <w:bCs/>
                <w:color w:val="FF0000"/>
              </w:rPr>
              <w:t>岸线距离</w:t>
            </w:r>
            <w:r w:rsidRPr="00C14E67">
              <w:rPr>
                <w:rFonts w:cs="Times New Roman"/>
                <w:bCs/>
                <w:color w:val="FF0000"/>
              </w:rPr>
              <w:t>/km</w:t>
            </w:r>
          </w:p>
        </w:tc>
        <w:tc>
          <w:tcPr>
            <w:tcW w:w="2667" w:type="dxa"/>
            <w:tcBorders>
              <w:tl2br w:val="nil"/>
              <w:tr2bl w:val="nil"/>
            </w:tcBorders>
            <w:vAlign w:val="center"/>
          </w:tcPr>
          <w:p w:rsidR="00C14E67" w:rsidRPr="00C14E67" w:rsidRDefault="00C14E67" w:rsidP="008B0FF7">
            <w:pPr>
              <w:adjustRightInd w:val="0"/>
              <w:jc w:val="center"/>
              <w:rPr>
                <w:rFonts w:cs="Times New Roman"/>
                <w:bCs/>
                <w:color w:val="FF0000"/>
                <w:szCs w:val="21"/>
              </w:rPr>
            </w:pPr>
            <w:r w:rsidRPr="00C14E67">
              <w:rPr>
                <w:rFonts w:cs="Times New Roman"/>
                <w:color w:val="FF0000"/>
              </w:rPr>
              <w:t>/</w:t>
            </w:r>
          </w:p>
        </w:tc>
      </w:tr>
      <w:tr w:rsidR="00C14E67" w:rsidTr="008B0FF7">
        <w:trPr>
          <w:cantSplit/>
          <w:jc w:val="center"/>
        </w:trPr>
        <w:tc>
          <w:tcPr>
            <w:tcW w:w="2113" w:type="pct"/>
            <w:vMerge/>
            <w:tcBorders>
              <w:tl2br w:val="nil"/>
              <w:tr2bl w:val="nil"/>
            </w:tcBorders>
            <w:vAlign w:val="center"/>
          </w:tcPr>
          <w:p w:rsidR="00C14E67" w:rsidRPr="00C14E67" w:rsidRDefault="00C14E67" w:rsidP="008B0FF7">
            <w:pPr>
              <w:adjustRightInd w:val="0"/>
              <w:jc w:val="center"/>
              <w:rPr>
                <w:rFonts w:cs="Times New Roman"/>
                <w:bCs/>
                <w:color w:val="FF0000"/>
              </w:rPr>
            </w:pPr>
          </w:p>
        </w:tc>
        <w:tc>
          <w:tcPr>
            <w:tcW w:w="1443" w:type="pct"/>
            <w:tcBorders>
              <w:tl2br w:val="nil"/>
              <w:tr2bl w:val="nil"/>
            </w:tcBorders>
            <w:vAlign w:val="center"/>
          </w:tcPr>
          <w:p w:rsidR="00C14E67" w:rsidRPr="00C14E67" w:rsidRDefault="00C14E67" w:rsidP="008B0FF7">
            <w:pPr>
              <w:adjustRightInd w:val="0"/>
              <w:jc w:val="center"/>
              <w:rPr>
                <w:rFonts w:cs="Times New Roman"/>
                <w:bCs/>
                <w:color w:val="FF0000"/>
              </w:rPr>
            </w:pPr>
            <w:r w:rsidRPr="00C14E67">
              <w:rPr>
                <w:rFonts w:cs="Times New Roman"/>
                <w:bCs/>
                <w:color w:val="FF0000"/>
              </w:rPr>
              <w:t>岸线方向</w:t>
            </w:r>
            <w:r w:rsidRPr="00C14E67">
              <w:rPr>
                <w:rFonts w:cs="Times New Roman"/>
                <w:bCs/>
                <w:color w:val="FF0000"/>
              </w:rPr>
              <w:t>/°</w:t>
            </w:r>
          </w:p>
        </w:tc>
        <w:tc>
          <w:tcPr>
            <w:tcW w:w="2667" w:type="dxa"/>
            <w:tcBorders>
              <w:tl2br w:val="nil"/>
              <w:tr2bl w:val="nil"/>
            </w:tcBorders>
            <w:vAlign w:val="center"/>
          </w:tcPr>
          <w:p w:rsidR="00C14E67" w:rsidRPr="00C14E67" w:rsidRDefault="00C14E67" w:rsidP="008B0FF7">
            <w:pPr>
              <w:adjustRightInd w:val="0"/>
              <w:jc w:val="center"/>
              <w:rPr>
                <w:rFonts w:cs="Times New Roman"/>
                <w:bCs/>
                <w:color w:val="FF0000"/>
                <w:szCs w:val="21"/>
              </w:rPr>
            </w:pPr>
            <w:r w:rsidRPr="00C14E67">
              <w:rPr>
                <w:rFonts w:cs="Times New Roman"/>
                <w:color w:val="FF0000"/>
              </w:rPr>
              <w:t>/</w:t>
            </w:r>
          </w:p>
        </w:tc>
      </w:tr>
    </w:tbl>
    <w:p w:rsidR="00644456" w:rsidRDefault="008031C4">
      <w:pPr>
        <w:spacing w:line="360" w:lineRule="auto"/>
        <w:ind w:firstLineChars="200" w:firstLine="480"/>
        <w:jc w:val="left"/>
        <w:rPr>
          <w:rFonts w:cs="Times New Roman"/>
          <w:bCs/>
          <w:color w:val="000000" w:themeColor="text1"/>
          <w:sz w:val="24"/>
          <w:lang w:bidi="ar"/>
        </w:rPr>
      </w:pPr>
      <w:r>
        <w:rPr>
          <w:rFonts w:cs="Times New Roman"/>
          <w:bCs/>
          <w:color w:val="000000" w:themeColor="text1"/>
          <w:sz w:val="24"/>
          <w:lang w:bidi="ar"/>
        </w:rPr>
        <w:t>项目周围</w:t>
      </w:r>
      <w:r>
        <w:rPr>
          <w:rFonts w:cs="Times New Roman"/>
          <w:bCs/>
          <w:color w:val="000000" w:themeColor="text1"/>
          <w:sz w:val="24"/>
          <w:lang w:bidi="ar"/>
        </w:rPr>
        <w:t>3km</w:t>
      </w:r>
      <w:r>
        <w:rPr>
          <w:rFonts w:cs="Times New Roman"/>
          <w:bCs/>
          <w:color w:val="000000" w:themeColor="text1"/>
          <w:sz w:val="24"/>
          <w:lang w:bidi="ar"/>
        </w:rPr>
        <w:t>用地规划中，城市建成区及规划区的面积占比约</w:t>
      </w:r>
      <w:r>
        <w:rPr>
          <w:rFonts w:cs="Times New Roman"/>
          <w:bCs/>
          <w:color w:val="000000" w:themeColor="text1"/>
          <w:sz w:val="24"/>
          <w:lang w:bidi="ar"/>
        </w:rPr>
        <w:t>85%</w:t>
      </w:r>
      <w:r>
        <w:rPr>
          <w:rFonts w:cs="Times New Roman"/>
          <w:bCs/>
          <w:color w:val="000000" w:themeColor="text1"/>
          <w:sz w:val="24"/>
          <w:lang w:bidi="ar"/>
        </w:rPr>
        <w:t>，根据《环境影响评价导则</w:t>
      </w:r>
      <w:r>
        <w:rPr>
          <w:rFonts w:cs="Times New Roman"/>
          <w:bCs/>
          <w:color w:val="000000" w:themeColor="text1"/>
          <w:sz w:val="24"/>
          <w:lang w:bidi="ar"/>
        </w:rPr>
        <w:t>—</w:t>
      </w:r>
      <w:r>
        <w:rPr>
          <w:rFonts w:cs="Times New Roman"/>
          <w:bCs/>
          <w:color w:val="000000" w:themeColor="text1"/>
          <w:sz w:val="24"/>
          <w:lang w:bidi="ar"/>
        </w:rPr>
        <w:t>大气环境》（</w:t>
      </w:r>
      <w:r>
        <w:rPr>
          <w:rFonts w:cs="Times New Roman"/>
          <w:bCs/>
          <w:color w:val="000000" w:themeColor="text1"/>
          <w:sz w:val="24"/>
          <w:lang w:bidi="ar"/>
        </w:rPr>
        <w:t>HJ2.2-2018</w:t>
      </w:r>
      <w:r>
        <w:rPr>
          <w:rFonts w:cs="Times New Roman"/>
          <w:bCs/>
          <w:color w:val="000000" w:themeColor="text1"/>
          <w:sz w:val="24"/>
          <w:lang w:bidi="ar"/>
        </w:rPr>
        <w:t>）中规定</w:t>
      </w:r>
      <w:r>
        <w:rPr>
          <w:rFonts w:cs="Times New Roman"/>
          <w:bCs/>
          <w:color w:val="000000" w:themeColor="text1"/>
          <w:sz w:val="24"/>
          <w:lang w:bidi="ar"/>
        </w:rPr>
        <w:t>“</w:t>
      </w:r>
      <w:r>
        <w:rPr>
          <w:rFonts w:cs="Times New Roman"/>
          <w:bCs/>
          <w:color w:val="000000" w:themeColor="text1"/>
          <w:sz w:val="24"/>
          <w:lang w:bidi="ar"/>
        </w:rPr>
        <w:t>当项目周边</w:t>
      </w:r>
      <w:r>
        <w:rPr>
          <w:rFonts w:cs="Times New Roman"/>
          <w:bCs/>
          <w:color w:val="000000" w:themeColor="text1"/>
          <w:sz w:val="24"/>
          <w:lang w:bidi="ar"/>
        </w:rPr>
        <w:t>3km</w:t>
      </w:r>
      <w:r>
        <w:rPr>
          <w:rFonts w:cs="Times New Roman"/>
          <w:bCs/>
          <w:color w:val="000000" w:themeColor="text1"/>
          <w:sz w:val="24"/>
          <w:lang w:bidi="ar"/>
        </w:rPr>
        <w:t>半径范围内一半以上面积属于城市建成区或规划区时，选择城市，否则选择农村。</w:t>
      </w:r>
      <w:r>
        <w:rPr>
          <w:rFonts w:cs="Times New Roman"/>
          <w:bCs/>
          <w:color w:val="000000" w:themeColor="text1"/>
          <w:sz w:val="24"/>
          <w:lang w:bidi="ar"/>
        </w:rPr>
        <w:t>”</w:t>
      </w:r>
      <w:r>
        <w:rPr>
          <w:rFonts w:cs="Times New Roman"/>
          <w:bCs/>
          <w:color w:val="000000" w:themeColor="text1"/>
          <w:sz w:val="24"/>
          <w:lang w:bidi="ar"/>
        </w:rPr>
        <w:t>因此，本项目估算模式中选择城市。</w:t>
      </w:r>
    </w:p>
    <w:bookmarkEnd w:id="305"/>
    <w:p w:rsidR="00644456" w:rsidRDefault="008031C4">
      <w:pPr>
        <w:spacing w:line="360" w:lineRule="auto"/>
        <w:ind w:firstLine="480"/>
        <w:rPr>
          <w:rFonts w:cs="Times New Roman"/>
          <w:b/>
          <w:bCs/>
          <w:color w:val="000000" w:themeColor="text1"/>
          <w:sz w:val="24"/>
          <w:szCs w:val="24"/>
        </w:rPr>
      </w:pPr>
      <w:r>
        <w:rPr>
          <w:rFonts w:cs="Times New Roman"/>
          <w:b/>
          <w:bCs/>
          <w:color w:val="000000" w:themeColor="text1"/>
          <w:sz w:val="24"/>
          <w:szCs w:val="24"/>
        </w:rPr>
        <w:t>（</w:t>
      </w:r>
      <w:r>
        <w:rPr>
          <w:rFonts w:cs="Times New Roman"/>
          <w:b/>
          <w:bCs/>
          <w:color w:val="000000" w:themeColor="text1"/>
          <w:sz w:val="24"/>
          <w:szCs w:val="24"/>
        </w:rPr>
        <w:t>6</w:t>
      </w:r>
      <w:r>
        <w:rPr>
          <w:rFonts w:cs="Times New Roman"/>
          <w:b/>
          <w:bCs/>
          <w:color w:val="000000" w:themeColor="text1"/>
          <w:sz w:val="24"/>
          <w:szCs w:val="24"/>
        </w:rPr>
        <w:t>）</w:t>
      </w:r>
      <w:r>
        <w:rPr>
          <w:rFonts w:cs="Times New Roman"/>
          <w:b/>
          <w:bCs/>
          <w:color w:val="000000" w:themeColor="text1"/>
          <w:sz w:val="24"/>
          <w:szCs w:val="24"/>
        </w:rPr>
        <w:t>Pmax</w:t>
      </w:r>
      <w:r>
        <w:rPr>
          <w:rFonts w:cs="Times New Roman"/>
          <w:b/>
          <w:bCs/>
          <w:color w:val="000000" w:themeColor="text1"/>
          <w:sz w:val="24"/>
          <w:szCs w:val="24"/>
        </w:rPr>
        <w:t>及</w:t>
      </w:r>
      <w:r>
        <w:rPr>
          <w:rFonts w:cs="Times New Roman"/>
          <w:b/>
          <w:bCs/>
          <w:color w:val="000000" w:themeColor="text1"/>
          <w:sz w:val="24"/>
          <w:szCs w:val="24"/>
        </w:rPr>
        <w:t>D</w:t>
      </w:r>
      <w:r>
        <w:rPr>
          <w:rFonts w:cs="Times New Roman"/>
          <w:b/>
          <w:bCs/>
          <w:color w:val="000000" w:themeColor="text1"/>
          <w:sz w:val="24"/>
          <w:szCs w:val="24"/>
          <w:vertAlign w:val="subscript"/>
        </w:rPr>
        <w:t>10%</w:t>
      </w:r>
      <w:r>
        <w:rPr>
          <w:rFonts w:cs="Times New Roman"/>
          <w:b/>
          <w:bCs/>
          <w:color w:val="000000" w:themeColor="text1"/>
          <w:sz w:val="24"/>
          <w:szCs w:val="24"/>
        </w:rPr>
        <w:t>的确定</w:t>
      </w:r>
    </w:p>
    <w:p w:rsidR="00644456" w:rsidRDefault="008031C4">
      <w:pPr>
        <w:spacing w:line="360" w:lineRule="auto"/>
        <w:ind w:firstLine="482"/>
        <w:rPr>
          <w:rFonts w:cs="Times New Roman"/>
          <w:color w:val="000000" w:themeColor="text1"/>
          <w:sz w:val="24"/>
          <w:szCs w:val="24"/>
        </w:rPr>
      </w:pPr>
      <w:r>
        <w:rPr>
          <w:rFonts w:cs="Times New Roman"/>
          <w:color w:val="000000" w:themeColor="text1"/>
          <w:sz w:val="24"/>
          <w:szCs w:val="24"/>
        </w:rPr>
        <w:t>分别计算每种污染物的最大地面浓度占标率</w:t>
      </w:r>
      <w:r>
        <w:rPr>
          <w:rFonts w:cs="Times New Roman"/>
          <w:color w:val="000000" w:themeColor="text1"/>
          <w:sz w:val="24"/>
          <w:szCs w:val="24"/>
        </w:rPr>
        <w:t>Pi</w:t>
      </w:r>
      <w:r>
        <w:rPr>
          <w:rFonts w:cs="Times New Roman"/>
          <w:color w:val="000000" w:themeColor="text1"/>
          <w:sz w:val="24"/>
          <w:szCs w:val="24"/>
        </w:rPr>
        <w:t>及第</w:t>
      </w:r>
      <w:r>
        <w:rPr>
          <w:rFonts w:cs="Times New Roman"/>
          <w:color w:val="000000" w:themeColor="text1"/>
          <w:sz w:val="24"/>
          <w:szCs w:val="24"/>
        </w:rPr>
        <w:t>i</w:t>
      </w:r>
      <w:r>
        <w:rPr>
          <w:rFonts w:cs="Times New Roman"/>
          <w:color w:val="000000" w:themeColor="text1"/>
          <w:sz w:val="24"/>
          <w:szCs w:val="24"/>
        </w:rPr>
        <w:t>个污染物的地表浓度达标准限值</w:t>
      </w:r>
      <w:r>
        <w:rPr>
          <w:rFonts w:cs="Times New Roman"/>
          <w:color w:val="000000" w:themeColor="text1"/>
          <w:sz w:val="24"/>
          <w:szCs w:val="24"/>
        </w:rPr>
        <w:t>10%</w:t>
      </w:r>
      <w:r>
        <w:rPr>
          <w:rFonts w:cs="Times New Roman"/>
          <w:color w:val="000000" w:themeColor="text1"/>
          <w:sz w:val="24"/>
          <w:szCs w:val="24"/>
        </w:rPr>
        <w:t>时所对应的最远距离</w:t>
      </w:r>
      <w:r>
        <w:rPr>
          <w:rFonts w:cs="Times New Roman"/>
          <w:color w:val="000000" w:themeColor="text1"/>
          <w:sz w:val="24"/>
          <w:szCs w:val="24"/>
        </w:rPr>
        <w:t>D10%</w:t>
      </w:r>
      <w:r>
        <w:rPr>
          <w:rFonts w:cs="Times New Roman"/>
          <w:color w:val="000000" w:themeColor="text1"/>
          <w:sz w:val="24"/>
          <w:szCs w:val="24"/>
        </w:rPr>
        <w:t>，</w:t>
      </w:r>
      <w:r>
        <w:rPr>
          <w:rFonts w:cs="Times New Roman"/>
          <w:color w:val="000000" w:themeColor="text1"/>
          <w:sz w:val="24"/>
          <w:szCs w:val="24"/>
        </w:rPr>
        <w:t>Pi</w:t>
      </w:r>
      <w:r>
        <w:rPr>
          <w:rFonts w:cs="Times New Roman"/>
          <w:color w:val="000000" w:themeColor="text1"/>
          <w:sz w:val="24"/>
          <w:szCs w:val="24"/>
        </w:rPr>
        <w:t>的计算公式如下：</w:t>
      </w:r>
    </w:p>
    <w:p w:rsidR="00644456" w:rsidRDefault="008031C4">
      <w:pPr>
        <w:adjustRightInd w:val="0"/>
        <w:snapToGrid w:val="0"/>
        <w:spacing w:line="360" w:lineRule="auto"/>
        <w:ind w:firstLine="482"/>
        <w:jc w:val="center"/>
        <w:rPr>
          <w:rFonts w:cs="Times New Roman"/>
          <w:color w:val="000000" w:themeColor="text1"/>
          <w:sz w:val="24"/>
          <w:szCs w:val="24"/>
        </w:rPr>
      </w:pPr>
      <w:r>
        <w:rPr>
          <w:rFonts w:cs="Times New Roman"/>
          <w:noProof/>
          <w:color w:val="000000" w:themeColor="text1"/>
          <w:sz w:val="24"/>
          <w:szCs w:val="24"/>
        </w:rPr>
        <w:lastRenderedPageBreak/>
        <w:drawing>
          <wp:inline distT="0" distB="0" distL="0" distR="0" wp14:anchorId="57E52932" wp14:editId="0D6A41BA">
            <wp:extent cx="1325245" cy="603885"/>
            <wp:effectExtent l="0" t="0" r="0" b="0"/>
            <wp:docPr id="21" name="图片 21" descr="C:\Users\ADMINI~1\AppData\Local\Temp\ksohtml4312\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1\AppData\Local\Temp\ksohtml4312\wps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325245" cy="603885"/>
                    </a:xfrm>
                    <a:prstGeom prst="rect">
                      <a:avLst/>
                    </a:prstGeom>
                    <a:noFill/>
                    <a:ln>
                      <a:noFill/>
                    </a:ln>
                  </pic:spPr>
                </pic:pic>
              </a:graphicData>
            </a:graphic>
          </wp:inline>
        </w:drawing>
      </w:r>
    </w:p>
    <w:p w:rsidR="00644456" w:rsidRDefault="008031C4">
      <w:pPr>
        <w:spacing w:line="360" w:lineRule="auto"/>
        <w:ind w:firstLine="482"/>
        <w:rPr>
          <w:rFonts w:cs="Times New Roman"/>
          <w:color w:val="000000" w:themeColor="text1"/>
          <w:sz w:val="24"/>
          <w:szCs w:val="24"/>
        </w:rPr>
      </w:pPr>
      <w:r>
        <w:rPr>
          <w:rFonts w:cs="Times New Roman"/>
          <w:color w:val="000000" w:themeColor="text1"/>
          <w:sz w:val="24"/>
          <w:szCs w:val="24"/>
        </w:rPr>
        <w:t>式中：</w:t>
      </w:r>
      <w:r>
        <w:rPr>
          <w:rFonts w:cs="Times New Roman"/>
          <w:color w:val="000000" w:themeColor="text1"/>
          <w:sz w:val="24"/>
          <w:szCs w:val="24"/>
        </w:rPr>
        <w:t>Pi—</w:t>
      </w:r>
      <w:r>
        <w:rPr>
          <w:rFonts w:cs="Times New Roman"/>
          <w:color w:val="000000" w:themeColor="text1"/>
          <w:sz w:val="24"/>
          <w:szCs w:val="24"/>
        </w:rPr>
        <w:t>第</w:t>
      </w:r>
      <w:r>
        <w:rPr>
          <w:rFonts w:cs="Times New Roman"/>
          <w:color w:val="000000" w:themeColor="text1"/>
          <w:sz w:val="24"/>
          <w:szCs w:val="24"/>
        </w:rPr>
        <w:t>i</w:t>
      </w:r>
      <w:r>
        <w:rPr>
          <w:rFonts w:cs="Times New Roman"/>
          <w:color w:val="000000" w:themeColor="text1"/>
          <w:sz w:val="24"/>
          <w:szCs w:val="24"/>
        </w:rPr>
        <w:t>个污染物的最大地面浓度占标率，</w:t>
      </w:r>
      <w:r>
        <w:rPr>
          <w:rFonts w:cs="Times New Roman"/>
          <w:color w:val="000000" w:themeColor="text1"/>
          <w:sz w:val="24"/>
          <w:szCs w:val="24"/>
        </w:rPr>
        <w:t>%</w:t>
      </w:r>
      <w:r>
        <w:rPr>
          <w:rFonts w:cs="Times New Roman"/>
          <w:color w:val="000000" w:themeColor="text1"/>
          <w:sz w:val="24"/>
          <w:szCs w:val="24"/>
        </w:rPr>
        <w:t>；</w:t>
      </w:r>
    </w:p>
    <w:p w:rsidR="00644456" w:rsidRDefault="008031C4">
      <w:pPr>
        <w:spacing w:line="360" w:lineRule="auto"/>
        <w:ind w:firstLineChars="400" w:firstLine="960"/>
        <w:rPr>
          <w:rFonts w:cs="Times New Roman"/>
          <w:color w:val="000000" w:themeColor="text1"/>
          <w:sz w:val="24"/>
          <w:szCs w:val="24"/>
        </w:rPr>
      </w:pPr>
      <w:r>
        <w:rPr>
          <w:rFonts w:cs="Times New Roman"/>
          <w:color w:val="000000" w:themeColor="text1"/>
          <w:sz w:val="24"/>
          <w:szCs w:val="24"/>
        </w:rPr>
        <w:t>Ci—</w:t>
      </w:r>
      <w:r>
        <w:rPr>
          <w:rFonts w:cs="Times New Roman"/>
          <w:color w:val="000000" w:themeColor="text1"/>
          <w:sz w:val="24"/>
          <w:szCs w:val="24"/>
        </w:rPr>
        <w:t>采用估算模式计出的第</w:t>
      </w:r>
      <w:r>
        <w:rPr>
          <w:rFonts w:cs="Times New Roman"/>
          <w:color w:val="000000" w:themeColor="text1"/>
          <w:sz w:val="24"/>
          <w:szCs w:val="24"/>
        </w:rPr>
        <w:t>i</w:t>
      </w:r>
      <w:r>
        <w:rPr>
          <w:rFonts w:cs="Times New Roman"/>
          <w:color w:val="000000" w:themeColor="text1"/>
          <w:sz w:val="24"/>
          <w:szCs w:val="24"/>
        </w:rPr>
        <w:t>个污染物的最大地面浓度，</w:t>
      </w:r>
      <w:r>
        <w:rPr>
          <w:rFonts w:cs="Times New Roman"/>
          <w:color w:val="000000" w:themeColor="text1"/>
          <w:sz w:val="24"/>
          <w:szCs w:val="24"/>
        </w:rPr>
        <w:t>mg/m</w:t>
      </w:r>
      <w:r>
        <w:rPr>
          <w:rFonts w:cs="Times New Roman"/>
          <w:color w:val="000000" w:themeColor="text1"/>
          <w:sz w:val="24"/>
          <w:szCs w:val="24"/>
          <w:vertAlign w:val="superscript"/>
        </w:rPr>
        <w:t>3</w:t>
      </w:r>
      <w:r>
        <w:rPr>
          <w:rFonts w:cs="Times New Roman"/>
          <w:color w:val="000000" w:themeColor="text1"/>
          <w:sz w:val="24"/>
          <w:szCs w:val="24"/>
        </w:rPr>
        <w:t>；</w:t>
      </w:r>
    </w:p>
    <w:p w:rsidR="00644456" w:rsidRDefault="008031C4">
      <w:pPr>
        <w:spacing w:line="360" w:lineRule="auto"/>
        <w:ind w:firstLineChars="400" w:firstLine="960"/>
        <w:rPr>
          <w:rFonts w:cs="Times New Roman"/>
          <w:color w:val="000000" w:themeColor="text1"/>
          <w:sz w:val="24"/>
          <w:szCs w:val="24"/>
        </w:rPr>
      </w:pPr>
      <w:r>
        <w:rPr>
          <w:rFonts w:cs="Times New Roman"/>
          <w:color w:val="000000" w:themeColor="text1"/>
          <w:sz w:val="24"/>
          <w:szCs w:val="24"/>
        </w:rPr>
        <w:t>C0i—</w:t>
      </w:r>
      <w:r>
        <w:rPr>
          <w:rFonts w:cs="Times New Roman"/>
          <w:color w:val="000000" w:themeColor="text1"/>
          <w:sz w:val="24"/>
          <w:szCs w:val="24"/>
        </w:rPr>
        <w:t>第</w:t>
      </w:r>
      <w:r>
        <w:rPr>
          <w:rFonts w:cs="Times New Roman"/>
          <w:color w:val="000000" w:themeColor="text1"/>
          <w:sz w:val="24"/>
          <w:szCs w:val="24"/>
        </w:rPr>
        <w:t>i</w:t>
      </w:r>
      <w:r>
        <w:rPr>
          <w:rFonts w:cs="Times New Roman"/>
          <w:color w:val="000000" w:themeColor="text1"/>
          <w:sz w:val="24"/>
          <w:szCs w:val="24"/>
        </w:rPr>
        <w:t>个污染物的环境空气质量标准，</w:t>
      </w:r>
      <w:r>
        <w:rPr>
          <w:rFonts w:cs="Times New Roman"/>
          <w:color w:val="000000" w:themeColor="text1"/>
          <w:sz w:val="24"/>
          <w:szCs w:val="24"/>
        </w:rPr>
        <w:t>mg/m</w:t>
      </w:r>
      <w:r>
        <w:rPr>
          <w:rFonts w:cs="Times New Roman"/>
          <w:color w:val="000000" w:themeColor="text1"/>
          <w:sz w:val="24"/>
          <w:szCs w:val="24"/>
          <w:vertAlign w:val="superscript"/>
        </w:rPr>
        <w:t>3</w:t>
      </w:r>
      <w:r>
        <w:rPr>
          <w:rFonts w:cs="Times New Roman"/>
          <w:color w:val="000000" w:themeColor="text1"/>
          <w:sz w:val="24"/>
          <w:szCs w:val="24"/>
        </w:rPr>
        <w:t>。</w:t>
      </w:r>
    </w:p>
    <w:p w:rsidR="00644456" w:rsidRDefault="008031C4">
      <w:pPr>
        <w:spacing w:line="360" w:lineRule="auto"/>
        <w:ind w:firstLineChars="400" w:firstLine="960"/>
        <w:rPr>
          <w:rFonts w:cs="Times New Roman"/>
          <w:color w:val="000000" w:themeColor="text1"/>
          <w:sz w:val="24"/>
          <w:szCs w:val="24"/>
        </w:rPr>
      </w:pPr>
      <w:r>
        <w:rPr>
          <w:rFonts w:cs="Times New Roman"/>
          <w:color w:val="000000" w:themeColor="text1"/>
          <w:sz w:val="24"/>
          <w:szCs w:val="24"/>
        </w:rPr>
        <w:t>C0i</w:t>
      </w:r>
      <w:r>
        <w:rPr>
          <w:rFonts w:cs="Times New Roman"/>
          <w:color w:val="000000" w:themeColor="text1"/>
          <w:sz w:val="24"/>
          <w:szCs w:val="24"/>
        </w:rPr>
        <w:t>一般取</w:t>
      </w:r>
      <w:r>
        <w:rPr>
          <w:rFonts w:cs="Times New Roman"/>
          <w:color w:val="000000" w:themeColor="text1"/>
          <w:sz w:val="24"/>
          <w:szCs w:val="24"/>
        </w:rPr>
        <w:t>GB3095</w:t>
      </w:r>
      <w:r>
        <w:rPr>
          <w:rFonts w:cs="Times New Roman"/>
          <w:color w:val="000000" w:themeColor="text1"/>
          <w:sz w:val="24"/>
          <w:szCs w:val="24"/>
        </w:rPr>
        <w:t>中</w:t>
      </w:r>
      <w:r>
        <w:rPr>
          <w:rFonts w:cs="Times New Roman"/>
          <w:color w:val="000000" w:themeColor="text1"/>
          <w:sz w:val="24"/>
          <w:szCs w:val="24"/>
        </w:rPr>
        <w:t>1h</w:t>
      </w:r>
      <w:r>
        <w:rPr>
          <w:rFonts w:cs="Times New Roman"/>
          <w:color w:val="000000" w:themeColor="text1"/>
          <w:sz w:val="24"/>
          <w:szCs w:val="24"/>
        </w:rPr>
        <w:t>平均质量浓度的二级标准限值；如项目位于一类环境空气功能区，应选择相应的一级浓度限值；对于该标准中未包含的污染物，使用评价标准中确定的各因子</w:t>
      </w:r>
      <w:r>
        <w:rPr>
          <w:rFonts w:cs="Times New Roman"/>
          <w:color w:val="000000" w:themeColor="text1"/>
          <w:sz w:val="24"/>
          <w:szCs w:val="24"/>
        </w:rPr>
        <w:t>1h</w:t>
      </w:r>
      <w:r>
        <w:rPr>
          <w:rFonts w:cs="Times New Roman"/>
          <w:color w:val="000000" w:themeColor="text1"/>
          <w:sz w:val="24"/>
          <w:szCs w:val="24"/>
        </w:rPr>
        <w:t>平均质量浓度限值。对仅有</w:t>
      </w:r>
      <w:r>
        <w:rPr>
          <w:rFonts w:cs="Times New Roman"/>
          <w:color w:val="000000" w:themeColor="text1"/>
          <w:sz w:val="24"/>
          <w:szCs w:val="24"/>
        </w:rPr>
        <w:t>8h</w:t>
      </w:r>
      <w:r>
        <w:rPr>
          <w:rFonts w:cs="Times New Roman"/>
          <w:color w:val="000000" w:themeColor="text1"/>
          <w:sz w:val="24"/>
          <w:szCs w:val="24"/>
        </w:rPr>
        <w:t>平均质量浓度限值、日平均浓度限值或年平均质量浓度限值的，可分别按</w:t>
      </w:r>
      <w:r>
        <w:rPr>
          <w:rFonts w:cs="Times New Roman"/>
          <w:color w:val="000000" w:themeColor="text1"/>
          <w:sz w:val="24"/>
          <w:szCs w:val="24"/>
        </w:rPr>
        <w:t>2</w:t>
      </w:r>
      <w:r>
        <w:rPr>
          <w:rFonts w:cs="Times New Roman"/>
          <w:color w:val="000000" w:themeColor="text1"/>
          <w:sz w:val="24"/>
          <w:szCs w:val="24"/>
        </w:rPr>
        <w:t>倍、</w:t>
      </w:r>
      <w:r>
        <w:rPr>
          <w:rFonts w:cs="Times New Roman"/>
          <w:color w:val="000000" w:themeColor="text1"/>
          <w:sz w:val="24"/>
          <w:szCs w:val="24"/>
        </w:rPr>
        <w:t>3</w:t>
      </w:r>
      <w:r>
        <w:rPr>
          <w:rFonts w:cs="Times New Roman"/>
          <w:color w:val="000000" w:themeColor="text1"/>
          <w:sz w:val="24"/>
          <w:szCs w:val="24"/>
        </w:rPr>
        <w:t>倍、</w:t>
      </w:r>
      <w:r>
        <w:rPr>
          <w:rFonts w:cs="Times New Roman"/>
          <w:color w:val="000000" w:themeColor="text1"/>
          <w:sz w:val="24"/>
          <w:szCs w:val="24"/>
        </w:rPr>
        <w:t>6</w:t>
      </w:r>
      <w:r>
        <w:rPr>
          <w:rFonts w:cs="Times New Roman"/>
          <w:color w:val="000000" w:themeColor="text1"/>
          <w:sz w:val="24"/>
          <w:szCs w:val="24"/>
        </w:rPr>
        <w:t>倍折算为</w:t>
      </w:r>
      <w:r>
        <w:rPr>
          <w:rFonts w:cs="Times New Roman"/>
          <w:color w:val="000000" w:themeColor="text1"/>
          <w:sz w:val="24"/>
          <w:szCs w:val="24"/>
        </w:rPr>
        <w:t>1h</w:t>
      </w:r>
      <w:r>
        <w:rPr>
          <w:rFonts w:cs="Times New Roman"/>
          <w:color w:val="000000" w:themeColor="text1"/>
          <w:sz w:val="24"/>
          <w:szCs w:val="24"/>
        </w:rPr>
        <w:t>平均质量浓度限值。</w:t>
      </w:r>
    </w:p>
    <w:p w:rsidR="00644456" w:rsidRDefault="008031C4">
      <w:pPr>
        <w:spacing w:line="360" w:lineRule="auto"/>
        <w:ind w:firstLine="482"/>
        <w:rPr>
          <w:rFonts w:cs="Times New Roman"/>
          <w:color w:val="000000" w:themeColor="text1"/>
          <w:sz w:val="24"/>
          <w:szCs w:val="24"/>
        </w:rPr>
      </w:pPr>
      <w:r>
        <w:rPr>
          <w:rFonts w:cs="Times New Roman"/>
          <w:color w:val="000000" w:themeColor="text1"/>
          <w:sz w:val="24"/>
          <w:szCs w:val="24"/>
        </w:rPr>
        <w:t>评价工作等级按下表的分级判据进行划分，如果污染物数</w:t>
      </w:r>
      <w:r>
        <w:rPr>
          <w:rFonts w:cs="Times New Roman"/>
          <w:color w:val="000000" w:themeColor="text1"/>
          <w:sz w:val="24"/>
          <w:szCs w:val="24"/>
        </w:rPr>
        <w:t>i</w:t>
      </w:r>
      <w:r>
        <w:rPr>
          <w:rFonts w:cs="Times New Roman"/>
          <w:color w:val="000000" w:themeColor="text1"/>
          <w:sz w:val="24"/>
          <w:szCs w:val="24"/>
        </w:rPr>
        <w:t>大于</w:t>
      </w:r>
      <w:r>
        <w:rPr>
          <w:rFonts w:cs="Times New Roman"/>
          <w:color w:val="000000" w:themeColor="text1"/>
          <w:sz w:val="24"/>
          <w:szCs w:val="24"/>
        </w:rPr>
        <w:t>1</w:t>
      </w:r>
      <w:r>
        <w:rPr>
          <w:rFonts w:cs="Times New Roman"/>
          <w:color w:val="000000" w:themeColor="text1"/>
          <w:sz w:val="24"/>
          <w:szCs w:val="24"/>
        </w:rPr>
        <w:t>，取</w:t>
      </w:r>
      <w:r>
        <w:rPr>
          <w:rFonts w:cs="Times New Roman"/>
          <w:color w:val="000000" w:themeColor="text1"/>
          <w:sz w:val="24"/>
          <w:szCs w:val="24"/>
        </w:rPr>
        <w:t>P</w:t>
      </w:r>
      <w:r>
        <w:rPr>
          <w:rFonts w:cs="Times New Roman"/>
          <w:color w:val="000000" w:themeColor="text1"/>
          <w:sz w:val="24"/>
          <w:szCs w:val="24"/>
        </w:rPr>
        <w:t>值中最大者（</w:t>
      </w:r>
      <w:r>
        <w:rPr>
          <w:rFonts w:cs="Times New Roman"/>
          <w:color w:val="000000" w:themeColor="text1"/>
          <w:sz w:val="24"/>
          <w:szCs w:val="24"/>
        </w:rPr>
        <w:t>Pmax</w:t>
      </w:r>
      <w:r>
        <w:rPr>
          <w:rFonts w:cs="Times New Roman"/>
          <w:color w:val="000000" w:themeColor="text1"/>
          <w:sz w:val="24"/>
          <w:szCs w:val="24"/>
        </w:rPr>
        <w:t>），则按各污染源分别确定其评价等级，并取等级最高者作为项目的评价等级。</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5.1</w:t>
      </w:r>
      <w:r>
        <w:rPr>
          <w:rFonts w:cs="Times New Roman" w:hint="eastAsia"/>
          <w:b/>
          <w:color w:val="000000" w:themeColor="text1"/>
          <w:sz w:val="24"/>
          <w:szCs w:val="20"/>
        </w:rPr>
        <w:noBreakHyphen/>
        <w:t>5</w:t>
      </w:r>
      <w:r>
        <w:rPr>
          <w:rFonts w:cs="Times New Roman" w:hint="eastAsia"/>
          <w:b/>
          <w:color w:val="000000" w:themeColor="text1"/>
          <w:sz w:val="24"/>
          <w:szCs w:val="20"/>
        </w:rPr>
        <w:t>估算模式参数表</w:t>
      </w:r>
    </w:p>
    <w:tbl>
      <w:tblPr>
        <w:tblW w:w="4999"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50"/>
        <w:gridCol w:w="4154"/>
      </w:tblGrid>
      <w:tr w:rsidR="00644456">
        <w:trPr>
          <w:jc w:val="center"/>
        </w:trPr>
        <w:tc>
          <w:tcPr>
            <w:tcW w:w="2499" w:type="pct"/>
            <w:tcBorders>
              <w:top w:val="single" w:sz="12" w:space="0" w:color="auto"/>
              <w:left w:val="nil"/>
              <w:bottom w:val="single" w:sz="4" w:space="0" w:color="auto"/>
              <w:right w:val="single" w:sz="4" w:space="0" w:color="auto"/>
            </w:tcBorders>
            <w:vAlign w:val="center"/>
          </w:tcPr>
          <w:p w:rsidR="00644456" w:rsidRDefault="008031C4">
            <w:pPr>
              <w:pStyle w:val="aff2"/>
              <w:adjustRightInd w:val="0"/>
              <w:snapToGrid w:val="0"/>
              <w:spacing w:after="0"/>
              <w:ind w:left="0" w:right="0" w:firstLine="480"/>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评价工作等级</w:t>
            </w:r>
          </w:p>
        </w:tc>
        <w:tc>
          <w:tcPr>
            <w:tcW w:w="2500" w:type="pct"/>
            <w:tcBorders>
              <w:top w:val="single" w:sz="12" w:space="0" w:color="auto"/>
              <w:left w:val="single" w:sz="4" w:space="0" w:color="auto"/>
              <w:bottom w:val="single" w:sz="4" w:space="0" w:color="auto"/>
              <w:right w:val="nil"/>
            </w:tcBorders>
            <w:vAlign w:val="center"/>
          </w:tcPr>
          <w:p w:rsidR="00644456" w:rsidRDefault="008031C4">
            <w:pPr>
              <w:pStyle w:val="aff2"/>
              <w:adjustRightInd w:val="0"/>
              <w:snapToGrid w:val="0"/>
              <w:spacing w:after="0"/>
              <w:ind w:left="0" w:right="0" w:firstLine="480"/>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评价工作分级判据</w:t>
            </w:r>
          </w:p>
        </w:tc>
      </w:tr>
      <w:tr w:rsidR="00644456">
        <w:trPr>
          <w:jc w:val="center"/>
        </w:trPr>
        <w:tc>
          <w:tcPr>
            <w:tcW w:w="2499" w:type="pct"/>
            <w:tcBorders>
              <w:top w:val="single" w:sz="4" w:space="0" w:color="auto"/>
              <w:left w:val="nil"/>
              <w:bottom w:val="single" w:sz="4" w:space="0" w:color="auto"/>
              <w:right w:val="single" w:sz="4" w:space="0" w:color="auto"/>
            </w:tcBorders>
            <w:vAlign w:val="center"/>
          </w:tcPr>
          <w:p w:rsidR="00644456" w:rsidRDefault="008031C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一级</w:t>
            </w:r>
          </w:p>
        </w:tc>
        <w:tc>
          <w:tcPr>
            <w:tcW w:w="4513" w:type="dxa"/>
            <w:tcBorders>
              <w:top w:val="single" w:sz="4" w:space="0" w:color="auto"/>
              <w:left w:val="single" w:sz="4" w:space="0" w:color="auto"/>
              <w:bottom w:val="single" w:sz="4" w:space="0" w:color="auto"/>
              <w:right w:val="nil"/>
            </w:tcBorders>
            <w:vAlign w:val="center"/>
          </w:tcPr>
          <w:p w:rsidR="00644456" w:rsidRDefault="008031C4">
            <w:pPr>
              <w:snapToGrid w:val="0"/>
              <w:jc w:val="center"/>
              <w:rPr>
                <w:rFonts w:cs="Times New Roman"/>
                <w:color w:val="000000" w:themeColor="text1"/>
                <w:szCs w:val="21"/>
              </w:rPr>
            </w:pPr>
            <w:r>
              <w:rPr>
                <w:rFonts w:cs="Times New Roman"/>
                <w:color w:val="000000" w:themeColor="text1"/>
                <w:szCs w:val="21"/>
              </w:rPr>
              <w:t>Pmax≥10%</w:t>
            </w:r>
          </w:p>
        </w:tc>
      </w:tr>
      <w:tr w:rsidR="00644456">
        <w:trPr>
          <w:jc w:val="center"/>
        </w:trPr>
        <w:tc>
          <w:tcPr>
            <w:tcW w:w="2499" w:type="pct"/>
            <w:tcBorders>
              <w:top w:val="single" w:sz="4" w:space="0" w:color="auto"/>
              <w:left w:val="nil"/>
              <w:bottom w:val="single" w:sz="4" w:space="0" w:color="auto"/>
              <w:right w:val="single" w:sz="4" w:space="0" w:color="auto"/>
            </w:tcBorders>
            <w:vAlign w:val="center"/>
          </w:tcPr>
          <w:p w:rsidR="00644456" w:rsidRDefault="008031C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二级</w:t>
            </w:r>
          </w:p>
        </w:tc>
        <w:tc>
          <w:tcPr>
            <w:tcW w:w="4513" w:type="dxa"/>
            <w:tcBorders>
              <w:top w:val="single" w:sz="4" w:space="0" w:color="auto"/>
              <w:left w:val="single" w:sz="4" w:space="0" w:color="auto"/>
              <w:bottom w:val="single" w:sz="4" w:space="0" w:color="auto"/>
              <w:right w:val="nil"/>
            </w:tcBorders>
            <w:vAlign w:val="center"/>
          </w:tcPr>
          <w:p w:rsidR="00644456" w:rsidRDefault="008031C4">
            <w:pPr>
              <w:snapToGrid w:val="0"/>
              <w:jc w:val="center"/>
              <w:rPr>
                <w:rFonts w:cs="Times New Roman"/>
                <w:color w:val="000000" w:themeColor="text1"/>
                <w:szCs w:val="21"/>
              </w:rPr>
            </w:pPr>
            <w:r>
              <w:rPr>
                <w:rFonts w:cs="Times New Roman"/>
                <w:color w:val="000000" w:themeColor="text1"/>
                <w:szCs w:val="21"/>
              </w:rPr>
              <w:t>1%≤Pmax</w:t>
            </w:r>
            <w:r>
              <w:rPr>
                <w:rFonts w:cs="Times New Roman"/>
                <w:color w:val="000000" w:themeColor="text1"/>
                <w:szCs w:val="21"/>
              </w:rPr>
              <w:t>＜</w:t>
            </w:r>
            <w:r>
              <w:rPr>
                <w:rFonts w:cs="Times New Roman"/>
                <w:color w:val="000000" w:themeColor="text1"/>
                <w:szCs w:val="21"/>
              </w:rPr>
              <w:t>10%</w:t>
            </w:r>
          </w:p>
        </w:tc>
      </w:tr>
      <w:tr w:rsidR="00644456">
        <w:trPr>
          <w:jc w:val="center"/>
        </w:trPr>
        <w:tc>
          <w:tcPr>
            <w:tcW w:w="2499" w:type="pct"/>
            <w:tcBorders>
              <w:top w:val="single" w:sz="4" w:space="0" w:color="auto"/>
              <w:left w:val="nil"/>
              <w:bottom w:val="single" w:sz="12" w:space="0" w:color="auto"/>
              <w:right w:val="single" w:sz="4" w:space="0" w:color="auto"/>
            </w:tcBorders>
            <w:vAlign w:val="center"/>
          </w:tcPr>
          <w:p w:rsidR="00644456" w:rsidRDefault="008031C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三级</w:t>
            </w:r>
          </w:p>
        </w:tc>
        <w:tc>
          <w:tcPr>
            <w:tcW w:w="4513" w:type="dxa"/>
            <w:tcBorders>
              <w:top w:val="single" w:sz="4" w:space="0" w:color="auto"/>
              <w:left w:val="single" w:sz="4" w:space="0" w:color="auto"/>
              <w:bottom w:val="single" w:sz="12" w:space="0" w:color="auto"/>
              <w:right w:val="nil"/>
            </w:tcBorders>
            <w:vAlign w:val="center"/>
          </w:tcPr>
          <w:p w:rsidR="00644456" w:rsidRDefault="008031C4">
            <w:pPr>
              <w:snapToGrid w:val="0"/>
              <w:jc w:val="center"/>
              <w:rPr>
                <w:rFonts w:cs="Times New Roman"/>
                <w:color w:val="000000" w:themeColor="text1"/>
                <w:szCs w:val="21"/>
              </w:rPr>
            </w:pPr>
            <w:r>
              <w:rPr>
                <w:rFonts w:cs="Times New Roman"/>
                <w:color w:val="000000" w:themeColor="text1"/>
                <w:szCs w:val="21"/>
              </w:rPr>
              <w:t>Pmax</w:t>
            </w:r>
            <w:r>
              <w:rPr>
                <w:rFonts w:cs="Times New Roman"/>
                <w:color w:val="000000" w:themeColor="text1"/>
                <w:szCs w:val="21"/>
              </w:rPr>
              <w:t>＜</w:t>
            </w:r>
            <w:r>
              <w:rPr>
                <w:rFonts w:cs="Times New Roman"/>
                <w:color w:val="000000" w:themeColor="text1"/>
                <w:szCs w:val="21"/>
              </w:rPr>
              <w:t>1%</w:t>
            </w:r>
          </w:p>
        </w:tc>
      </w:tr>
    </w:tbl>
    <w:p w:rsidR="00644456" w:rsidRDefault="008031C4">
      <w:pPr>
        <w:spacing w:line="360" w:lineRule="auto"/>
        <w:ind w:firstLine="480"/>
        <w:rPr>
          <w:rFonts w:cs="Times New Roman"/>
          <w:b/>
          <w:bCs/>
          <w:color w:val="000000" w:themeColor="text1"/>
          <w:sz w:val="24"/>
          <w:szCs w:val="24"/>
        </w:rPr>
      </w:pPr>
      <w:r>
        <w:rPr>
          <w:rFonts w:cs="Times New Roman"/>
          <w:b/>
          <w:bCs/>
          <w:color w:val="000000" w:themeColor="text1"/>
          <w:sz w:val="24"/>
          <w:szCs w:val="24"/>
        </w:rPr>
        <w:t>（</w:t>
      </w:r>
      <w:r>
        <w:rPr>
          <w:rFonts w:cs="Times New Roman"/>
          <w:b/>
          <w:bCs/>
          <w:color w:val="000000" w:themeColor="text1"/>
          <w:sz w:val="24"/>
          <w:szCs w:val="24"/>
        </w:rPr>
        <w:t>7</w:t>
      </w:r>
      <w:r>
        <w:rPr>
          <w:rFonts w:cs="Times New Roman"/>
          <w:b/>
          <w:bCs/>
          <w:color w:val="000000" w:themeColor="text1"/>
          <w:sz w:val="24"/>
          <w:szCs w:val="24"/>
        </w:rPr>
        <w:t>）评价等级确定</w:t>
      </w:r>
    </w:p>
    <w:p w:rsidR="00644456" w:rsidRDefault="008031C4">
      <w:pPr>
        <w:spacing w:line="360" w:lineRule="auto"/>
        <w:ind w:firstLine="482"/>
        <w:rPr>
          <w:rFonts w:cs="Times New Roman"/>
          <w:color w:val="000000" w:themeColor="text1"/>
          <w:sz w:val="24"/>
          <w:szCs w:val="24"/>
        </w:rPr>
      </w:pPr>
      <w:r>
        <w:rPr>
          <w:rFonts w:cs="Times New Roman"/>
          <w:color w:val="000000" w:themeColor="text1"/>
          <w:sz w:val="24"/>
          <w:szCs w:val="24"/>
        </w:rPr>
        <w:t>采用导则推荐的估算模式对本项目大气污染物排放情况进行核算，结果见下表：</w:t>
      </w:r>
    </w:p>
    <w:p w:rsidR="00644456" w:rsidRDefault="008031C4">
      <w:pPr>
        <w:autoSpaceDE w:val="0"/>
        <w:autoSpaceDN w:val="0"/>
        <w:adjustRightInd w:val="0"/>
        <w:jc w:val="center"/>
        <w:rPr>
          <w:rFonts w:cs="Times New Roman"/>
          <w:b/>
          <w:color w:val="000000" w:themeColor="text1"/>
          <w:sz w:val="24"/>
          <w:szCs w:val="20"/>
        </w:rPr>
      </w:pPr>
      <w:bookmarkStart w:id="306" w:name="_Hlk160542711"/>
      <w:r>
        <w:rPr>
          <w:rFonts w:cs="Times New Roman" w:hint="eastAsia"/>
          <w:b/>
          <w:color w:val="000000" w:themeColor="text1"/>
          <w:sz w:val="24"/>
          <w:szCs w:val="20"/>
        </w:rPr>
        <w:t>表</w:t>
      </w:r>
      <w:r>
        <w:rPr>
          <w:rFonts w:cs="Times New Roman" w:hint="eastAsia"/>
          <w:b/>
          <w:color w:val="000000" w:themeColor="text1"/>
          <w:sz w:val="24"/>
          <w:szCs w:val="20"/>
        </w:rPr>
        <w:t>5.1</w:t>
      </w:r>
      <w:r>
        <w:rPr>
          <w:rFonts w:cs="Times New Roman" w:hint="eastAsia"/>
          <w:b/>
          <w:color w:val="000000" w:themeColor="text1"/>
          <w:sz w:val="24"/>
          <w:szCs w:val="20"/>
        </w:rPr>
        <w:noBreakHyphen/>
        <w:t>6</w:t>
      </w:r>
      <w:r>
        <w:rPr>
          <w:rFonts w:cs="Times New Roman" w:hint="eastAsia"/>
          <w:b/>
          <w:color w:val="000000" w:themeColor="text1"/>
          <w:sz w:val="24"/>
          <w:szCs w:val="20"/>
        </w:rPr>
        <w:t>本项目大气环境影响评价工作等级的确定</w:t>
      </w:r>
    </w:p>
    <w:tbl>
      <w:tblPr>
        <w:tblW w:w="4998"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1"/>
        <w:gridCol w:w="1692"/>
        <w:gridCol w:w="781"/>
        <w:gridCol w:w="874"/>
        <w:gridCol w:w="1077"/>
        <w:gridCol w:w="1137"/>
        <w:gridCol w:w="990"/>
        <w:gridCol w:w="759"/>
        <w:gridCol w:w="558"/>
      </w:tblGrid>
      <w:tr w:rsidR="00644456" w:rsidTr="008B0FF7">
        <w:trPr>
          <w:jc w:val="center"/>
        </w:trPr>
        <w:tc>
          <w:tcPr>
            <w:tcW w:w="294" w:type="pct"/>
            <w:tcBorders>
              <w:tl2br w:val="nil"/>
              <w:tr2bl w:val="nil"/>
            </w:tcBorders>
            <w:vAlign w:val="center"/>
          </w:tcPr>
          <w:p w:rsidR="00644456" w:rsidRDefault="008031C4">
            <w:pPr>
              <w:pStyle w:val="aff2"/>
              <w:adjustRightInd w:val="0"/>
              <w:snapToGrid w:val="0"/>
              <w:spacing w:after="0"/>
              <w:ind w:left="0" w:right="0"/>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类别</w:t>
            </w:r>
          </w:p>
        </w:tc>
        <w:tc>
          <w:tcPr>
            <w:tcW w:w="1012" w:type="pct"/>
            <w:tcBorders>
              <w:tl2br w:val="nil"/>
              <w:tr2bl w:val="nil"/>
            </w:tcBorders>
            <w:vAlign w:val="center"/>
          </w:tcPr>
          <w:p w:rsidR="00644456" w:rsidRDefault="008031C4">
            <w:pPr>
              <w:pStyle w:val="aff2"/>
              <w:adjustRightInd w:val="0"/>
              <w:snapToGrid w:val="0"/>
              <w:spacing w:after="0"/>
              <w:ind w:left="0" w:right="0"/>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污染源名称</w:t>
            </w:r>
          </w:p>
        </w:tc>
        <w:tc>
          <w:tcPr>
            <w:tcW w:w="467" w:type="pct"/>
            <w:tcBorders>
              <w:tl2br w:val="nil"/>
              <w:tr2bl w:val="nil"/>
            </w:tcBorders>
            <w:vAlign w:val="center"/>
          </w:tcPr>
          <w:p w:rsidR="00644456" w:rsidRDefault="008031C4">
            <w:pPr>
              <w:pStyle w:val="aff2"/>
              <w:adjustRightInd w:val="0"/>
              <w:snapToGrid w:val="0"/>
              <w:spacing w:after="0"/>
              <w:ind w:left="0" w:right="0"/>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污染物</w:t>
            </w:r>
          </w:p>
        </w:tc>
        <w:tc>
          <w:tcPr>
            <w:tcW w:w="523" w:type="pct"/>
            <w:tcBorders>
              <w:tl2br w:val="nil"/>
              <w:tr2bl w:val="nil"/>
            </w:tcBorders>
            <w:vAlign w:val="center"/>
          </w:tcPr>
          <w:p w:rsidR="00644456" w:rsidRDefault="008031C4">
            <w:pPr>
              <w:pStyle w:val="aff2"/>
              <w:adjustRightInd w:val="0"/>
              <w:snapToGrid w:val="0"/>
              <w:spacing w:after="0"/>
              <w:ind w:left="0" w:right="0"/>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最大落地浓度（</w:t>
            </w:r>
            <w:r>
              <w:rPr>
                <w:rFonts w:ascii="Times New Roman" w:eastAsia="宋体" w:hAnsi="Times New Roman" w:cs="Times New Roman"/>
                <w:b/>
                <w:bCs/>
                <w:color w:val="000000" w:themeColor="text1"/>
                <w:szCs w:val="21"/>
              </w:rPr>
              <w:t>μg/m</w:t>
            </w:r>
            <w:r>
              <w:rPr>
                <w:rFonts w:ascii="Times New Roman" w:eastAsia="宋体" w:hAnsi="Times New Roman" w:cs="Times New Roman"/>
                <w:b/>
                <w:bCs/>
                <w:color w:val="000000" w:themeColor="text1"/>
                <w:szCs w:val="21"/>
                <w:vertAlign w:val="superscript"/>
              </w:rPr>
              <w:t>3</w:t>
            </w:r>
            <w:r>
              <w:rPr>
                <w:rFonts w:ascii="Times New Roman" w:eastAsia="宋体" w:hAnsi="Times New Roman" w:cs="Times New Roman"/>
                <w:b/>
                <w:bCs/>
                <w:color w:val="000000" w:themeColor="text1"/>
                <w:szCs w:val="21"/>
              </w:rPr>
              <w:t>）</w:t>
            </w:r>
          </w:p>
        </w:tc>
        <w:tc>
          <w:tcPr>
            <w:tcW w:w="644" w:type="pct"/>
            <w:tcBorders>
              <w:tl2br w:val="nil"/>
              <w:tr2bl w:val="nil"/>
            </w:tcBorders>
            <w:vAlign w:val="center"/>
          </w:tcPr>
          <w:p w:rsidR="00644456" w:rsidRDefault="008031C4">
            <w:pPr>
              <w:pStyle w:val="aff2"/>
              <w:adjustRightInd w:val="0"/>
              <w:snapToGrid w:val="0"/>
              <w:spacing w:after="0"/>
              <w:ind w:left="0" w:right="0"/>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最大浓度落地点（</w:t>
            </w:r>
            <w:r>
              <w:rPr>
                <w:rFonts w:ascii="Times New Roman" w:eastAsia="宋体" w:hAnsi="Times New Roman" w:cs="Times New Roman"/>
                <w:b/>
                <w:bCs/>
                <w:color w:val="000000" w:themeColor="text1"/>
                <w:szCs w:val="21"/>
              </w:rPr>
              <w:t>m</w:t>
            </w:r>
            <w:r>
              <w:rPr>
                <w:rFonts w:ascii="Times New Roman" w:eastAsia="宋体" w:hAnsi="Times New Roman" w:cs="Times New Roman"/>
                <w:b/>
                <w:bCs/>
                <w:color w:val="000000" w:themeColor="text1"/>
                <w:szCs w:val="21"/>
              </w:rPr>
              <w:t>）</w:t>
            </w:r>
          </w:p>
        </w:tc>
        <w:tc>
          <w:tcPr>
            <w:tcW w:w="680" w:type="pct"/>
            <w:tcBorders>
              <w:tl2br w:val="nil"/>
              <w:tr2bl w:val="nil"/>
            </w:tcBorders>
            <w:vAlign w:val="center"/>
          </w:tcPr>
          <w:p w:rsidR="00644456" w:rsidRDefault="008031C4">
            <w:pPr>
              <w:pStyle w:val="aff2"/>
              <w:adjustRightInd w:val="0"/>
              <w:snapToGrid w:val="0"/>
              <w:spacing w:after="0"/>
              <w:ind w:left="0" w:right="0"/>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评价标准（</w:t>
            </w:r>
            <w:r>
              <w:rPr>
                <w:rFonts w:ascii="Times New Roman" w:eastAsia="宋体" w:hAnsi="Times New Roman" w:cs="Times New Roman"/>
                <w:b/>
                <w:bCs/>
                <w:color w:val="000000" w:themeColor="text1"/>
                <w:szCs w:val="21"/>
              </w:rPr>
              <w:t>μg/m</w:t>
            </w:r>
            <w:r>
              <w:rPr>
                <w:rFonts w:ascii="Times New Roman" w:eastAsia="宋体" w:hAnsi="Times New Roman" w:cs="Times New Roman"/>
                <w:b/>
                <w:bCs/>
                <w:color w:val="000000" w:themeColor="text1"/>
                <w:szCs w:val="21"/>
                <w:vertAlign w:val="superscript"/>
              </w:rPr>
              <w:t>3</w:t>
            </w:r>
            <w:r>
              <w:rPr>
                <w:rFonts w:ascii="Times New Roman" w:eastAsia="宋体" w:hAnsi="Times New Roman" w:cs="Times New Roman"/>
                <w:b/>
                <w:bCs/>
                <w:color w:val="000000" w:themeColor="text1"/>
                <w:szCs w:val="21"/>
              </w:rPr>
              <w:t>）</w:t>
            </w:r>
          </w:p>
        </w:tc>
        <w:tc>
          <w:tcPr>
            <w:tcW w:w="592" w:type="pct"/>
            <w:tcBorders>
              <w:tl2br w:val="nil"/>
              <w:tr2bl w:val="nil"/>
            </w:tcBorders>
            <w:vAlign w:val="center"/>
          </w:tcPr>
          <w:p w:rsidR="00644456" w:rsidRDefault="008031C4">
            <w:pPr>
              <w:pStyle w:val="aff2"/>
              <w:adjustRightInd w:val="0"/>
              <w:snapToGrid w:val="0"/>
              <w:spacing w:after="0"/>
              <w:ind w:left="0" w:right="0"/>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最大占标率</w:t>
            </w:r>
            <w:r>
              <w:rPr>
                <w:rFonts w:ascii="Times New Roman" w:eastAsia="宋体" w:hAnsi="Times New Roman" w:cs="Times New Roman"/>
                <w:b/>
                <w:bCs/>
                <w:color w:val="000000" w:themeColor="text1"/>
                <w:szCs w:val="21"/>
              </w:rPr>
              <w:t>Pi</w:t>
            </w:r>
            <w:r>
              <w:rPr>
                <w:rFonts w:ascii="Times New Roman" w:eastAsia="宋体" w:hAnsi="Times New Roman" w:cs="Times New Roman"/>
                <w:b/>
                <w:bCs/>
                <w:color w:val="000000" w:themeColor="text1"/>
                <w:szCs w:val="21"/>
              </w:rPr>
              <w:t>（</w:t>
            </w:r>
            <w:r>
              <w:rPr>
                <w:rFonts w:ascii="Times New Roman" w:eastAsia="宋体" w:hAnsi="Times New Roman" w:cs="Times New Roman"/>
                <w:b/>
                <w:bCs/>
                <w:color w:val="000000" w:themeColor="text1"/>
                <w:szCs w:val="21"/>
              </w:rPr>
              <w:t>%</w:t>
            </w:r>
            <w:r>
              <w:rPr>
                <w:rFonts w:ascii="Times New Roman" w:eastAsia="宋体" w:hAnsi="Times New Roman" w:cs="Times New Roman"/>
                <w:b/>
                <w:bCs/>
                <w:color w:val="000000" w:themeColor="text1"/>
                <w:szCs w:val="21"/>
              </w:rPr>
              <w:t>）</w:t>
            </w:r>
          </w:p>
        </w:tc>
        <w:tc>
          <w:tcPr>
            <w:tcW w:w="454" w:type="pct"/>
            <w:tcBorders>
              <w:tl2br w:val="nil"/>
              <w:tr2bl w:val="nil"/>
            </w:tcBorders>
            <w:vAlign w:val="center"/>
          </w:tcPr>
          <w:p w:rsidR="00644456" w:rsidRDefault="008031C4">
            <w:pPr>
              <w:pStyle w:val="aff2"/>
              <w:adjustRightInd w:val="0"/>
              <w:snapToGrid w:val="0"/>
              <w:spacing w:after="0"/>
              <w:ind w:left="0" w:right="0"/>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D10%</w:t>
            </w:r>
            <w:r>
              <w:rPr>
                <w:rFonts w:ascii="Times New Roman" w:eastAsia="宋体" w:hAnsi="Times New Roman" w:cs="Times New Roman"/>
                <w:b/>
                <w:bCs/>
                <w:color w:val="000000" w:themeColor="text1"/>
                <w:szCs w:val="21"/>
              </w:rPr>
              <w:t>（</w:t>
            </w:r>
            <w:r>
              <w:rPr>
                <w:rFonts w:ascii="Times New Roman" w:eastAsia="宋体" w:hAnsi="Times New Roman" w:cs="Times New Roman"/>
                <w:b/>
                <w:bCs/>
                <w:color w:val="000000" w:themeColor="text1"/>
                <w:szCs w:val="21"/>
              </w:rPr>
              <w:t>m</w:t>
            </w:r>
            <w:r>
              <w:rPr>
                <w:rFonts w:ascii="Times New Roman" w:eastAsia="宋体" w:hAnsi="Times New Roman" w:cs="Times New Roman"/>
                <w:b/>
                <w:bCs/>
                <w:color w:val="000000" w:themeColor="text1"/>
                <w:szCs w:val="21"/>
              </w:rPr>
              <w:t>）</w:t>
            </w:r>
          </w:p>
        </w:tc>
        <w:tc>
          <w:tcPr>
            <w:tcW w:w="334" w:type="pct"/>
            <w:tcBorders>
              <w:tl2br w:val="nil"/>
              <w:tr2bl w:val="nil"/>
            </w:tcBorders>
            <w:vAlign w:val="center"/>
          </w:tcPr>
          <w:p w:rsidR="00644456" w:rsidRDefault="008031C4">
            <w:pPr>
              <w:pStyle w:val="aff2"/>
              <w:adjustRightInd w:val="0"/>
              <w:snapToGrid w:val="0"/>
              <w:spacing w:after="0"/>
              <w:ind w:left="0" w:right="0"/>
              <w:jc w:val="center"/>
              <w:rPr>
                <w:rFonts w:ascii="Times New Roman" w:eastAsia="宋体" w:hAnsi="Times New Roman" w:cs="Times New Roman"/>
                <w:b/>
                <w:bCs/>
                <w:color w:val="000000" w:themeColor="text1"/>
                <w:szCs w:val="21"/>
              </w:rPr>
            </w:pPr>
            <w:r>
              <w:rPr>
                <w:rFonts w:ascii="Times New Roman" w:eastAsia="宋体" w:hAnsi="Times New Roman" w:cs="Times New Roman"/>
                <w:b/>
                <w:bCs/>
                <w:color w:val="000000" w:themeColor="text1"/>
                <w:szCs w:val="21"/>
              </w:rPr>
              <w:t>执行级别</w:t>
            </w:r>
          </w:p>
        </w:tc>
      </w:tr>
      <w:tr w:rsidR="00644456" w:rsidTr="008B0FF7">
        <w:trPr>
          <w:jc w:val="center"/>
        </w:trPr>
        <w:tc>
          <w:tcPr>
            <w:tcW w:w="294" w:type="pct"/>
            <w:vMerge w:val="restart"/>
            <w:tcBorders>
              <w:tl2br w:val="nil"/>
              <w:tr2bl w:val="nil"/>
            </w:tcBorders>
            <w:vAlign w:val="center"/>
          </w:tcPr>
          <w:p w:rsidR="00644456" w:rsidRDefault="008031C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点源</w:t>
            </w:r>
          </w:p>
        </w:tc>
        <w:tc>
          <w:tcPr>
            <w:tcW w:w="1012" w:type="pct"/>
            <w:vMerge w:val="restart"/>
            <w:tcBorders>
              <w:tl2br w:val="nil"/>
              <w:tr2bl w:val="nil"/>
            </w:tcBorders>
            <w:vAlign w:val="center"/>
          </w:tcPr>
          <w:p w:rsidR="00644456" w:rsidRDefault="008031C4">
            <w:pPr>
              <w:jc w:val="center"/>
              <w:rPr>
                <w:rFonts w:cs="Times New Roman"/>
                <w:color w:val="000000" w:themeColor="text1"/>
                <w:szCs w:val="21"/>
              </w:rPr>
            </w:pPr>
            <w:r>
              <w:rPr>
                <w:rFonts w:cs="Times New Roman" w:hint="eastAsia"/>
                <w:color w:val="000000" w:themeColor="text1"/>
                <w:szCs w:val="21"/>
              </w:rPr>
              <w:t>工艺不凝气（</w:t>
            </w:r>
            <w:r>
              <w:rPr>
                <w:rFonts w:cs="Times New Roman"/>
                <w:color w:val="000000" w:themeColor="text1"/>
                <w:szCs w:val="21"/>
              </w:rPr>
              <w:t>DA001</w:t>
            </w:r>
            <w:r>
              <w:rPr>
                <w:rFonts w:cs="Times New Roman" w:hint="eastAsia"/>
                <w:color w:val="000000" w:themeColor="text1"/>
                <w:szCs w:val="21"/>
              </w:rPr>
              <w:t>）</w:t>
            </w:r>
          </w:p>
        </w:tc>
        <w:tc>
          <w:tcPr>
            <w:tcW w:w="467" w:type="pct"/>
            <w:tcBorders>
              <w:tl2br w:val="nil"/>
              <w:tr2bl w:val="nil"/>
            </w:tcBorders>
            <w:vAlign w:val="center"/>
          </w:tcPr>
          <w:p w:rsidR="00644456" w:rsidRDefault="008031C4">
            <w:pPr>
              <w:jc w:val="center"/>
              <w:rPr>
                <w:szCs w:val="21"/>
              </w:rPr>
            </w:pPr>
            <w:r>
              <w:rPr>
                <w:szCs w:val="21"/>
              </w:rPr>
              <w:t>H</w:t>
            </w:r>
            <w:r w:rsidRPr="008B0FF7">
              <w:rPr>
                <w:szCs w:val="21"/>
                <w:vertAlign w:val="subscript"/>
              </w:rPr>
              <w:t>2</w:t>
            </w:r>
            <w:r>
              <w:rPr>
                <w:szCs w:val="21"/>
              </w:rPr>
              <w:t>S</w:t>
            </w:r>
          </w:p>
        </w:tc>
        <w:tc>
          <w:tcPr>
            <w:tcW w:w="523" w:type="pct"/>
            <w:tcBorders>
              <w:tl2br w:val="nil"/>
              <w:tr2bl w:val="nil"/>
            </w:tcBorders>
            <w:vAlign w:val="center"/>
          </w:tcPr>
          <w:p w:rsidR="00644456" w:rsidRDefault="008031C4">
            <w:pPr>
              <w:jc w:val="center"/>
              <w:rPr>
                <w:szCs w:val="21"/>
              </w:rPr>
            </w:pPr>
            <w:r>
              <w:rPr>
                <w:szCs w:val="21"/>
              </w:rPr>
              <w:t>0.0064</w:t>
            </w:r>
          </w:p>
        </w:tc>
        <w:tc>
          <w:tcPr>
            <w:tcW w:w="644" w:type="pct"/>
            <w:vMerge w:val="restart"/>
            <w:tcBorders>
              <w:tl2br w:val="nil"/>
              <w:tr2bl w:val="nil"/>
            </w:tcBorders>
            <w:vAlign w:val="center"/>
          </w:tcPr>
          <w:p w:rsidR="00644456" w:rsidRDefault="008031C4">
            <w:pPr>
              <w:jc w:val="center"/>
              <w:rPr>
                <w:szCs w:val="21"/>
              </w:rPr>
            </w:pPr>
            <w:r>
              <w:rPr>
                <w:rFonts w:hint="eastAsia"/>
                <w:szCs w:val="21"/>
              </w:rPr>
              <w:t>8</w:t>
            </w:r>
            <w:r>
              <w:rPr>
                <w:szCs w:val="21"/>
              </w:rPr>
              <w:t>4</w:t>
            </w:r>
          </w:p>
        </w:tc>
        <w:tc>
          <w:tcPr>
            <w:tcW w:w="680" w:type="pct"/>
            <w:tcBorders>
              <w:tl2br w:val="nil"/>
              <w:tr2bl w:val="nil"/>
            </w:tcBorders>
            <w:vAlign w:val="center"/>
          </w:tcPr>
          <w:p w:rsidR="00644456" w:rsidRDefault="008031C4">
            <w:pPr>
              <w:jc w:val="center"/>
              <w:rPr>
                <w:szCs w:val="21"/>
              </w:rPr>
            </w:pPr>
            <w:r>
              <w:rPr>
                <w:szCs w:val="21"/>
              </w:rPr>
              <w:t>10.0</w:t>
            </w:r>
          </w:p>
        </w:tc>
        <w:tc>
          <w:tcPr>
            <w:tcW w:w="592" w:type="pct"/>
            <w:tcBorders>
              <w:tl2br w:val="nil"/>
              <w:tr2bl w:val="nil"/>
            </w:tcBorders>
            <w:vAlign w:val="center"/>
          </w:tcPr>
          <w:p w:rsidR="00644456" w:rsidRDefault="008031C4">
            <w:pPr>
              <w:jc w:val="center"/>
              <w:rPr>
                <w:szCs w:val="21"/>
              </w:rPr>
            </w:pPr>
            <w:r>
              <w:rPr>
                <w:szCs w:val="21"/>
              </w:rPr>
              <w:t>0.0639</w:t>
            </w:r>
          </w:p>
        </w:tc>
        <w:tc>
          <w:tcPr>
            <w:tcW w:w="454" w:type="pct"/>
            <w:tcBorders>
              <w:tl2br w:val="nil"/>
              <w:tr2bl w:val="nil"/>
            </w:tcBorders>
            <w:vAlign w:val="center"/>
          </w:tcPr>
          <w:p w:rsidR="00644456" w:rsidRDefault="008031C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p>
        </w:tc>
        <w:tc>
          <w:tcPr>
            <w:tcW w:w="334" w:type="pct"/>
            <w:tcBorders>
              <w:tl2br w:val="nil"/>
              <w:tr2bl w:val="nil"/>
            </w:tcBorders>
            <w:vAlign w:val="center"/>
          </w:tcPr>
          <w:p w:rsidR="00644456" w:rsidRDefault="008031C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宋体" w:eastAsia="宋体" w:hAnsi="宋体" w:cs="Times New Roman" w:hint="eastAsia"/>
                <w:color w:val="000000" w:themeColor="text1"/>
                <w:szCs w:val="21"/>
              </w:rPr>
              <w:t>Ⅲ</w:t>
            </w:r>
          </w:p>
        </w:tc>
      </w:tr>
      <w:tr w:rsidR="00644456" w:rsidTr="008B0FF7">
        <w:trPr>
          <w:jc w:val="center"/>
        </w:trPr>
        <w:tc>
          <w:tcPr>
            <w:tcW w:w="294" w:type="pct"/>
            <w:vMerge/>
            <w:tcBorders>
              <w:tl2br w:val="nil"/>
              <w:tr2bl w:val="nil"/>
            </w:tcBorders>
            <w:vAlign w:val="center"/>
          </w:tcPr>
          <w:p w:rsidR="00644456" w:rsidRDefault="00644456">
            <w:pPr>
              <w:pStyle w:val="aff2"/>
              <w:adjustRightInd w:val="0"/>
              <w:snapToGrid w:val="0"/>
              <w:spacing w:after="0"/>
              <w:ind w:left="0" w:right="0"/>
              <w:jc w:val="center"/>
              <w:rPr>
                <w:rFonts w:ascii="Times New Roman" w:eastAsia="宋体" w:hAnsi="Times New Roman" w:cs="Times New Roman"/>
                <w:color w:val="000000" w:themeColor="text1"/>
                <w:szCs w:val="21"/>
              </w:rPr>
            </w:pPr>
          </w:p>
        </w:tc>
        <w:tc>
          <w:tcPr>
            <w:tcW w:w="1012" w:type="pct"/>
            <w:vMerge/>
            <w:tcBorders>
              <w:tl2br w:val="nil"/>
              <w:tr2bl w:val="nil"/>
            </w:tcBorders>
            <w:vAlign w:val="center"/>
          </w:tcPr>
          <w:p w:rsidR="00644456" w:rsidRDefault="00644456">
            <w:pPr>
              <w:jc w:val="center"/>
              <w:rPr>
                <w:rFonts w:cs="Times New Roman"/>
                <w:color w:val="000000" w:themeColor="text1"/>
                <w:szCs w:val="21"/>
              </w:rPr>
            </w:pPr>
          </w:p>
        </w:tc>
        <w:tc>
          <w:tcPr>
            <w:tcW w:w="467" w:type="pct"/>
            <w:tcBorders>
              <w:tl2br w:val="nil"/>
              <w:tr2bl w:val="nil"/>
            </w:tcBorders>
            <w:vAlign w:val="center"/>
          </w:tcPr>
          <w:p w:rsidR="00644456" w:rsidRDefault="008031C4">
            <w:pPr>
              <w:jc w:val="center"/>
              <w:rPr>
                <w:szCs w:val="21"/>
              </w:rPr>
            </w:pPr>
            <w:r>
              <w:rPr>
                <w:szCs w:val="21"/>
              </w:rPr>
              <w:t>NMHC</w:t>
            </w:r>
          </w:p>
        </w:tc>
        <w:tc>
          <w:tcPr>
            <w:tcW w:w="523" w:type="pct"/>
            <w:tcBorders>
              <w:tl2br w:val="nil"/>
              <w:tr2bl w:val="nil"/>
            </w:tcBorders>
            <w:vAlign w:val="center"/>
          </w:tcPr>
          <w:p w:rsidR="00644456" w:rsidRDefault="008031C4">
            <w:pPr>
              <w:jc w:val="center"/>
              <w:rPr>
                <w:szCs w:val="21"/>
              </w:rPr>
            </w:pPr>
            <w:r>
              <w:rPr>
                <w:szCs w:val="21"/>
              </w:rPr>
              <w:t>3.6615</w:t>
            </w:r>
          </w:p>
        </w:tc>
        <w:tc>
          <w:tcPr>
            <w:tcW w:w="644" w:type="pct"/>
            <w:vMerge/>
            <w:tcBorders>
              <w:tl2br w:val="nil"/>
              <w:tr2bl w:val="nil"/>
            </w:tcBorders>
            <w:vAlign w:val="center"/>
          </w:tcPr>
          <w:p w:rsidR="00644456" w:rsidRDefault="00644456">
            <w:pPr>
              <w:jc w:val="center"/>
              <w:rPr>
                <w:szCs w:val="21"/>
              </w:rPr>
            </w:pPr>
          </w:p>
        </w:tc>
        <w:tc>
          <w:tcPr>
            <w:tcW w:w="680" w:type="pct"/>
            <w:tcBorders>
              <w:tl2br w:val="nil"/>
              <w:tr2bl w:val="nil"/>
            </w:tcBorders>
            <w:vAlign w:val="center"/>
          </w:tcPr>
          <w:p w:rsidR="00644456" w:rsidRDefault="008031C4">
            <w:pPr>
              <w:jc w:val="center"/>
              <w:rPr>
                <w:szCs w:val="21"/>
              </w:rPr>
            </w:pPr>
            <w:r>
              <w:rPr>
                <w:szCs w:val="21"/>
              </w:rPr>
              <w:t>2000.0</w:t>
            </w:r>
          </w:p>
        </w:tc>
        <w:tc>
          <w:tcPr>
            <w:tcW w:w="592" w:type="pct"/>
            <w:tcBorders>
              <w:tl2br w:val="nil"/>
              <w:tr2bl w:val="nil"/>
            </w:tcBorders>
            <w:vAlign w:val="center"/>
          </w:tcPr>
          <w:p w:rsidR="00644456" w:rsidRDefault="008031C4">
            <w:pPr>
              <w:jc w:val="center"/>
              <w:rPr>
                <w:szCs w:val="21"/>
              </w:rPr>
            </w:pPr>
            <w:r>
              <w:rPr>
                <w:szCs w:val="21"/>
              </w:rPr>
              <w:t>0.1831</w:t>
            </w:r>
          </w:p>
        </w:tc>
        <w:tc>
          <w:tcPr>
            <w:tcW w:w="454" w:type="pct"/>
            <w:tcBorders>
              <w:tl2br w:val="nil"/>
              <w:tr2bl w:val="nil"/>
            </w:tcBorders>
            <w:vAlign w:val="center"/>
          </w:tcPr>
          <w:p w:rsidR="00644456" w:rsidRDefault="008031C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p>
        </w:tc>
        <w:tc>
          <w:tcPr>
            <w:tcW w:w="334" w:type="pct"/>
            <w:tcBorders>
              <w:tl2br w:val="nil"/>
              <w:tr2bl w:val="nil"/>
            </w:tcBorders>
            <w:vAlign w:val="center"/>
          </w:tcPr>
          <w:p w:rsidR="00644456" w:rsidRDefault="008031C4">
            <w:pPr>
              <w:pStyle w:val="aff2"/>
              <w:adjustRightInd w:val="0"/>
              <w:snapToGrid w:val="0"/>
              <w:spacing w:after="0"/>
              <w:ind w:left="0" w:right="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Ⅲ</w:t>
            </w:r>
          </w:p>
        </w:tc>
      </w:tr>
      <w:tr w:rsidR="00644456" w:rsidTr="008B0FF7">
        <w:trPr>
          <w:jc w:val="center"/>
        </w:trPr>
        <w:tc>
          <w:tcPr>
            <w:tcW w:w="294" w:type="pct"/>
            <w:vMerge/>
            <w:tcBorders>
              <w:tl2br w:val="nil"/>
              <w:tr2bl w:val="nil"/>
            </w:tcBorders>
            <w:vAlign w:val="center"/>
          </w:tcPr>
          <w:p w:rsidR="00644456" w:rsidRDefault="00644456">
            <w:pPr>
              <w:pStyle w:val="aff2"/>
              <w:adjustRightInd w:val="0"/>
              <w:snapToGrid w:val="0"/>
              <w:spacing w:after="0"/>
              <w:ind w:left="0" w:right="0"/>
              <w:jc w:val="center"/>
              <w:rPr>
                <w:rFonts w:ascii="Times New Roman" w:eastAsia="宋体" w:hAnsi="Times New Roman" w:cs="Times New Roman"/>
                <w:color w:val="000000" w:themeColor="text1"/>
                <w:szCs w:val="21"/>
              </w:rPr>
            </w:pPr>
          </w:p>
        </w:tc>
        <w:tc>
          <w:tcPr>
            <w:tcW w:w="1012" w:type="pct"/>
            <w:vMerge w:val="restart"/>
            <w:tcBorders>
              <w:tl2br w:val="nil"/>
              <w:tr2bl w:val="nil"/>
            </w:tcBorders>
            <w:vAlign w:val="center"/>
          </w:tcPr>
          <w:p w:rsidR="00644456" w:rsidRDefault="008031C4">
            <w:pPr>
              <w:jc w:val="center"/>
              <w:rPr>
                <w:rFonts w:cs="Times New Roman"/>
                <w:color w:val="000000" w:themeColor="text1"/>
                <w:szCs w:val="21"/>
              </w:rPr>
            </w:pPr>
            <w:r>
              <w:rPr>
                <w:rFonts w:cs="Times New Roman" w:hint="eastAsia"/>
                <w:color w:val="000000" w:themeColor="text1"/>
                <w:szCs w:val="21"/>
              </w:rPr>
              <w:t>导热油锅炉废气</w:t>
            </w:r>
            <w:r>
              <w:rPr>
                <w:rFonts w:hint="eastAsia"/>
              </w:rPr>
              <w:t>（</w:t>
            </w:r>
            <w:r>
              <w:rPr>
                <w:rFonts w:hint="eastAsia"/>
              </w:rPr>
              <w:t>D</w:t>
            </w:r>
            <w:r>
              <w:t>A002</w:t>
            </w:r>
            <w:r>
              <w:rPr>
                <w:rFonts w:hint="eastAsia"/>
              </w:rPr>
              <w:t>）</w:t>
            </w:r>
          </w:p>
        </w:tc>
        <w:tc>
          <w:tcPr>
            <w:tcW w:w="467" w:type="pct"/>
            <w:tcBorders>
              <w:tl2br w:val="nil"/>
              <w:tr2bl w:val="nil"/>
            </w:tcBorders>
            <w:vAlign w:val="center"/>
          </w:tcPr>
          <w:p w:rsidR="00644456" w:rsidRDefault="008031C4">
            <w:pPr>
              <w:jc w:val="center"/>
              <w:rPr>
                <w:szCs w:val="21"/>
              </w:rPr>
            </w:pPr>
            <w:r>
              <w:rPr>
                <w:szCs w:val="21"/>
              </w:rPr>
              <w:t>TSP</w:t>
            </w:r>
          </w:p>
        </w:tc>
        <w:tc>
          <w:tcPr>
            <w:tcW w:w="523" w:type="pct"/>
            <w:tcBorders>
              <w:tl2br w:val="nil"/>
              <w:tr2bl w:val="nil"/>
            </w:tcBorders>
            <w:vAlign w:val="center"/>
          </w:tcPr>
          <w:p w:rsidR="00644456" w:rsidRDefault="008031C4">
            <w:pPr>
              <w:jc w:val="center"/>
              <w:rPr>
                <w:szCs w:val="21"/>
              </w:rPr>
            </w:pPr>
            <w:r>
              <w:rPr>
                <w:szCs w:val="21"/>
              </w:rPr>
              <w:t>0.</w:t>
            </w:r>
            <w:r w:rsidR="008B0FF7">
              <w:rPr>
                <w:szCs w:val="21"/>
              </w:rPr>
              <w:t>0254</w:t>
            </w:r>
          </w:p>
        </w:tc>
        <w:tc>
          <w:tcPr>
            <w:tcW w:w="644" w:type="pct"/>
            <w:vMerge w:val="restart"/>
            <w:tcBorders>
              <w:tl2br w:val="nil"/>
              <w:tr2bl w:val="nil"/>
            </w:tcBorders>
            <w:vAlign w:val="center"/>
          </w:tcPr>
          <w:p w:rsidR="00644456" w:rsidRDefault="008031C4">
            <w:pPr>
              <w:jc w:val="center"/>
              <w:rPr>
                <w:szCs w:val="21"/>
              </w:rPr>
            </w:pPr>
            <w:r>
              <w:rPr>
                <w:rFonts w:hint="eastAsia"/>
                <w:szCs w:val="21"/>
              </w:rPr>
              <w:t>1</w:t>
            </w:r>
            <w:r>
              <w:rPr>
                <w:szCs w:val="21"/>
              </w:rPr>
              <w:t>25</w:t>
            </w:r>
          </w:p>
        </w:tc>
        <w:tc>
          <w:tcPr>
            <w:tcW w:w="680" w:type="pct"/>
            <w:tcBorders>
              <w:tl2br w:val="nil"/>
              <w:tr2bl w:val="nil"/>
            </w:tcBorders>
            <w:vAlign w:val="center"/>
          </w:tcPr>
          <w:p w:rsidR="00644456" w:rsidRDefault="008031C4">
            <w:pPr>
              <w:jc w:val="center"/>
              <w:rPr>
                <w:szCs w:val="21"/>
              </w:rPr>
            </w:pPr>
            <w:r>
              <w:rPr>
                <w:szCs w:val="21"/>
              </w:rPr>
              <w:t>900.0</w:t>
            </w:r>
          </w:p>
        </w:tc>
        <w:tc>
          <w:tcPr>
            <w:tcW w:w="592" w:type="pct"/>
            <w:tcBorders>
              <w:tl2br w:val="nil"/>
              <w:tr2bl w:val="nil"/>
            </w:tcBorders>
            <w:vAlign w:val="center"/>
          </w:tcPr>
          <w:p w:rsidR="00644456" w:rsidRDefault="008031C4">
            <w:pPr>
              <w:jc w:val="center"/>
              <w:rPr>
                <w:szCs w:val="21"/>
              </w:rPr>
            </w:pPr>
            <w:r>
              <w:rPr>
                <w:szCs w:val="21"/>
              </w:rPr>
              <w:t>0.0</w:t>
            </w:r>
            <w:r w:rsidR="008B0FF7">
              <w:rPr>
                <w:szCs w:val="21"/>
              </w:rPr>
              <w:t>028</w:t>
            </w:r>
          </w:p>
        </w:tc>
        <w:tc>
          <w:tcPr>
            <w:tcW w:w="454" w:type="pct"/>
            <w:tcBorders>
              <w:tl2br w:val="nil"/>
              <w:tr2bl w:val="nil"/>
            </w:tcBorders>
            <w:vAlign w:val="center"/>
          </w:tcPr>
          <w:p w:rsidR="00644456" w:rsidRDefault="008031C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p>
        </w:tc>
        <w:tc>
          <w:tcPr>
            <w:tcW w:w="334" w:type="pct"/>
            <w:tcBorders>
              <w:tl2br w:val="nil"/>
              <w:tr2bl w:val="nil"/>
            </w:tcBorders>
            <w:vAlign w:val="center"/>
          </w:tcPr>
          <w:p w:rsidR="00644456" w:rsidRDefault="008031C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宋体" w:eastAsia="宋体" w:hAnsi="宋体" w:cs="Times New Roman" w:hint="eastAsia"/>
                <w:color w:val="000000" w:themeColor="text1"/>
                <w:szCs w:val="21"/>
              </w:rPr>
              <w:t>Ⅲ</w:t>
            </w:r>
          </w:p>
        </w:tc>
      </w:tr>
      <w:tr w:rsidR="00644456" w:rsidTr="008B0FF7">
        <w:trPr>
          <w:jc w:val="center"/>
        </w:trPr>
        <w:tc>
          <w:tcPr>
            <w:tcW w:w="294" w:type="pct"/>
            <w:vMerge/>
            <w:tcBorders>
              <w:tl2br w:val="nil"/>
              <w:tr2bl w:val="nil"/>
            </w:tcBorders>
            <w:vAlign w:val="center"/>
          </w:tcPr>
          <w:p w:rsidR="00644456" w:rsidRDefault="00644456">
            <w:pPr>
              <w:pStyle w:val="aff2"/>
              <w:adjustRightInd w:val="0"/>
              <w:snapToGrid w:val="0"/>
              <w:spacing w:after="0"/>
              <w:ind w:left="0" w:right="0"/>
              <w:jc w:val="center"/>
              <w:rPr>
                <w:rFonts w:ascii="Times New Roman" w:eastAsia="宋体" w:hAnsi="Times New Roman" w:cs="Times New Roman"/>
                <w:color w:val="000000" w:themeColor="text1"/>
                <w:szCs w:val="21"/>
              </w:rPr>
            </w:pPr>
          </w:p>
        </w:tc>
        <w:tc>
          <w:tcPr>
            <w:tcW w:w="1012" w:type="pct"/>
            <w:vMerge/>
            <w:tcBorders>
              <w:tl2br w:val="nil"/>
              <w:tr2bl w:val="nil"/>
            </w:tcBorders>
            <w:vAlign w:val="center"/>
          </w:tcPr>
          <w:p w:rsidR="00644456" w:rsidRDefault="00644456">
            <w:pPr>
              <w:jc w:val="center"/>
              <w:rPr>
                <w:rFonts w:cs="Times New Roman"/>
                <w:color w:val="000000" w:themeColor="text1"/>
                <w:szCs w:val="21"/>
              </w:rPr>
            </w:pPr>
          </w:p>
        </w:tc>
        <w:tc>
          <w:tcPr>
            <w:tcW w:w="467" w:type="pct"/>
            <w:tcBorders>
              <w:tl2br w:val="nil"/>
              <w:tr2bl w:val="nil"/>
            </w:tcBorders>
            <w:vAlign w:val="center"/>
          </w:tcPr>
          <w:p w:rsidR="00644456" w:rsidRDefault="008031C4">
            <w:pPr>
              <w:jc w:val="center"/>
              <w:rPr>
                <w:szCs w:val="21"/>
              </w:rPr>
            </w:pPr>
            <w:r>
              <w:rPr>
                <w:szCs w:val="21"/>
              </w:rPr>
              <w:t>NOx</w:t>
            </w:r>
          </w:p>
        </w:tc>
        <w:tc>
          <w:tcPr>
            <w:tcW w:w="523" w:type="pct"/>
            <w:tcBorders>
              <w:tl2br w:val="nil"/>
              <w:tr2bl w:val="nil"/>
            </w:tcBorders>
            <w:vAlign w:val="center"/>
          </w:tcPr>
          <w:p w:rsidR="00644456" w:rsidRDefault="008031C4">
            <w:pPr>
              <w:jc w:val="center"/>
              <w:rPr>
                <w:szCs w:val="21"/>
              </w:rPr>
            </w:pPr>
            <w:r>
              <w:rPr>
                <w:szCs w:val="21"/>
              </w:rPr>
              <w:t>16.2945</w:t>
            </w:r>
          </w:p>
        </w:tc>
        <w:tc>
          <w:tcPr>
            <w:tcW w:w="644" w:type="pct"/>
            <w:vMerge/>
            <w:tcBorders>
              <w:tl2br w:val="nil"/>
              <w:tr2bl w:val="nil"/>
            </w:tcBorders>
            <w:vAlign w:val="center"/>
          </w:tcPr>
          <w:p w:rsidR="00644456" w:rsidRDefault="00644456">
            <w:pPr>
              <w:jc w:val="center"/>
              <w:rPr>
                <w:szCs w:val="21"/>
              </w:rPr>
            </w:pPr>
          </w:p>
        </w:tc>
        <w:tc>
          <w:tcPr>
            <w:tcW w:w="680" w:type="pct"/>
            <w:tcBorders>
              <w:tl2br w:val="nil"/>
              <w:tr2bl w:val="nil"/>
            </w:tcBorders>
            <w:vAlign w:val="center"/>
          </w:tcPr>
          <w:p w:rsidR="00644456" w:rsidRDefault="008031C4">
            <w:pPr>
              <w:jc w:val="center"/>
              <w:rPr>
                <w:szCs w:val="21"/>
              </w:rPr>
            </w:pPr>
            <w:r>
              <w:rPr>
                <w:szCs w:val="21"/>
              </w:rPr>
              <w:t>250.0</w:t>
            </w:r>
          </w:p>
        </w:tc>
        <w:tc>
          <w:tcPr>
            <w:tcW w:w="592" w:type="pct"/>
            <w:tcBorders>
              <w:tl2br w:val="nil"/>
              <w:tr2bl w:val="nil"/>
            </w:tcBorders>
            <w:vAlign w:val="center"/>
          </w:tcPr>
          <w:p w:rsidR="00644456" w:rsidRDefault="008031C4">
            <w:pPr>
              <w:jc w:val="center"/>
              <w:rPr>
                <w:szCs w:val="21"/>
              </w:rPr>
            </w:pPr>
            <w:r>
              <w:rPr>
                <w:szCs w:val="21"/>
              </w:rPr>
              <w:t>6.5178</w:t>
            </w:r>
          </w:p>
        </w:tc>
        <w:tc>
          <w:tcPr>
            <w:tcW w:w="454" w:type="pct"/>
            <w:tcBorders>
              <w:tl2br w:val="nil"/>
              <w:tr2bl w:val="nil"/>
            </w:tcBorders>
            <w:vAlign w:val="center"/>
          </w:tcPr>
          <w:p w:rsidR="00644456" w:rsidRDefault="008031C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p>
        </w:tc>
        <w:tc>
          <w:tcPr>
            <w:tcW w:w="334" w:type="pct"/>
            <w:tcBorders>
              <w:tl2br w:val="nil"/>
              <w:tr2bl w:val="nil"/>
            </w:tcBorders>
            <w:vAlign w:val="center"/>
          </w:tcPr>
          <w:p w:rsidR="00644456" w:rsidRDefault="008031C4">
            <w:pPr>
              <w:pStyle w:val="aff2"/>
              <w:adjustRightInd w:val="0"/>
              <w:snapToGrid w:val="0"/>
              <w:spacing w:after="0"/>
              <w:ind w:left="0" w:right="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Ⅱ</w:t>
            </w:r>
          </w:p>
        </w:tc>
      </w:tr>
      <w:tr w:rsidR="00644456" w:rsidTr="008B0FF7">
        <w:trPr>
          <w:jc w:val="center"/>
        </w:trPr>
        <w:tc>
          <w:tcPr>
            <w:tcW w:w="294" w:type="pct"/>
            <w:vMerge/>
            <w:tcBorders>
              <w:tl2br w:val="nil"/>
              <w:tr2bl w:val="nil"/>
            </w:tcBorders>
            <w:vAlign w:val="center"/>
          </w:tcPr>
          <w:p w:rsidR="00644456" w:rsidRDefault="00644456">
            <w:pPr>
              <w:pStyle w:val="aff2"/>
              <w:adjustRightInd w:val="0"/>
              <w:snapToGrid w:val="0"/>
              <w:spacing w:after="0"/>
              <w:ind w:left="0" w:right="0"/>
              <w:jc w:val="center"/>
              <w:rPr>
                <w:rFonts w:ascii="Times New Roman" w:eastAsia="宋体" w:hAnsi="Times New Roman" w:cs="Times New Roman"/>
                <w:color w:val="000000" w:themeColor="text1"/>
                <w:szCs w:val="21"/>
              </w:rPr>
            </w:pPr>
          </w:p>
        </w:tc>
        <w:tc>
          <w:tcPr>
            <w:tcW w:w="1012" w:type="pct"/>
            <w:vMerge/>
            <w:tcBorders>
              <w:tl2br w:val="nil"/>
              <w:tr2bl w:val="nil"/>
            </w:tcBorders>
            <w:vAlign w:val="center"/>
          </w:tcPr>
          <w:p w:rsidR="00644456" w:rsidRDefault="00644456">
            <w:pPr>
              <w:jc w:val="center"/>
              <w:rPr>
                <w:rFonts w:cs="Times New Roman"/>
                <w:color w:val="000000" w:themeColor="text1"/>
                <w:szCs w:val="21"/>
              </w:rPr>
            </w:pPr>
          </w:p>
        </w:tc>
        <w:tc>
          <w:tcPr>
            <w:tcW w:w="467" w:type="pct"/>
            <w:tcBorders>
              <w:tl2br w:val="nil"/>
              <w:tr2bl w:val="nil"/>
            </w:tcBorders>
            <w:vAlign w:val="center"/>
          </w:tcPr>
          <w:p w:rsidR="00644456" w:rsidRDefault="008031C4">
            <w:pPr>
              <w:jc w:val="center"/>
              <w:rPr>
                <w:szCs w:val="21"/>
              </w:rPr>
            </w:pPr>
            <w:r>
              <w:rPr>
                <w:szCs w:val="21"/>
              </w:rPr>
              <w:t>SO</w:t>
            </w:r>
            <w:r w:rsidRPr="008B0FF7">
              <w:rPr>
                <w:szCs w:val="21"/>
                <w:vertAlign w:val="subscript"/>
              </w:rPr>
              <w:t>2</w:t>
            </w:r>
          </w:p>
        </w:tc>
        <w:tc>
          <w:tcPr>
            <w:tcW w:w="523" w:type="pct"/>
            <w:tcBorders>
              <w:tl2br w:val="nil"/>
              <w:tr2bl w:val="nil"/>
            </w:tcBorders>
            <w:vAlign w:val="center"/>
          </w:tcPr>
          <w:p w:rsidR="00644456" w:rsidRDefault="008031C4">
            <w:pPr>
              <w:jc w:val="center"/>
              <w:rPr>
                <w:szCs w:val="21"/>
              </w:rPr>
            </w:pPr>
            <w:r>
              <w:rPr>
                <w:szCs w:val="21"/>
              </w:rPr>
              <w:t>0.4365</w:t>
            </w:r>
          </w:p>
        </w:tc>
        <w:tc>
          <w:tcPr>
            <w:tcW w:w="644" w:type="pct"/>
            <w:vMerge/>
            <w:tcBorders>
              <w:tl2br w:val="nil"/>
              <w:tr2bl w:val="nil"/>
            </w:tcBorders>
            <w:vAlign w:val="center"/>
          </w:tcPr>
          <w:p w:rsidR="00644456" w:rsidRDefault="00644456">
            <w:pPr>
              <w:jc w:val="center"/>
              <w:rPr>
                <w:szCs w:val="21"/>
              </w:rPr>
            </w:pPr>
          </w:p>
        </w:tc>
        <w:tc>
          <w:tcPr>
            <w:tcW w:w="680" w:type="pct"/>
            <w:tcBorders>
              <w:tl2br w:val="nil"/>
              <w:tr2bl w:val="nil"/>
            </w:tcBorders>
            <w:vAlign w:val="center"/>
          </w:tcPr>
          <w:p w:rsidR="00644456" w:rsidRDefault="008031C4">
            <w:pPr>
              <w:jc w:val="center"/>
              <w:rPr>
                <w:szCs w:val="21"/>
              </w:rPr>
            </w:pPr>
            <w:r>
              <w:rPr>
                <w:szCs w:val="21"/>
              </w:rPr>
              <w:t>500.0</w:t>
            </w:r>
          </w:p>
        </w:tc>
        <w:tc>
          <w:tcPr>
            <w:tcW w:w="592" w:type="pct"/>
            <w:tcBorders>
              <w:tl2br w:val="nil"/>
              <w:tr2bl w:val="nil"/>
            </w:tcBorders>
            <w:vAlign w:val="center"/>
          </w:tcPr>
          <w:p w:rsidR="00644456" w:rsidRDefault="008031C4">
            <w:pPr>
              <w:jc w:val="center"/>
              <w:rPr>
                <w:szCs w:val="21"/>
              </w:rPr>
            </w:pPr>
            <w:r>
              <w:rPr>
                <w:szCs w:val="21"/>
              </w:rPr>
              <w:t>0.0873</w:t>
            </w:r>
          </w:p>
        </w:tc>
        <w:tc>
          <w:tcPr>
            <w:tcW w:w="454" w:type="pct"/>
            <w:tcBorders>
              <w:tl2br w:val="nil"/>
              <w:tr2bl w:val="nil"/>
            </w:tcBorders>
            <w:vAlign w:val="center"/>
          </w:tcPr>
          <w:p w:rsidR="00644456" w:rsidRDefault="008031C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p>
        </w:tc>
        <w:tc>
          <w:tcPr>
            <w:tcW w:w="334" w:type="pct"/>
            <w:tcBorders>
              <w:tl2br w:val="nil"/>
              <w:tr2bl w:val="nil"/>
            </w:tcBorders>
            <w:vAlign w:val="center"/>
          </w:tcPr>
          <w:p w:rsidR="00644456" w:rsidRDefault="008031C4">
            <w:pPr>
              <w:pStyle w:val="aff2"/>
              <w:adjustRightInd w:val="0"/>
              <w:snapToGrid w:val="0"/>
              <w:spacing w:after="0"/>
              <w:ind w:left="0" w:right="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Ⅲ</w:t>
            </w:r>
          </w:p>
        </w:tc>
      </w:tr>
      <w:tr w:rsidR="00644456" w:rsidTr="008B0FF7">
        <w:trPr>
          <w:trHeight w:val="120"/>
          <w:jc w:val="center"/>
        </w:trPr>
        <w:tc>
          <w:tcPr>
            <w:tcW w:w="294" w:type="pct"/>
            <w:vMerge w:val="restart"/>
            <w:vAlign w:val="center"/>
          </w:tcPr>
          <w:p w:rsidR="00644456" w:rsidRDefault="008031C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面源</w:t>
            </w:r>
          </w:p>
        </w:tc>
        <w:tc>
          <w:tcPr>
            <w:tcW w:w="1012" w:type="pct"/>
            <w:vAlign w:val="center"/>
          </w:tcPr>
          <w:p w:rsidR="00644456" w:rsidRDefault="008031C4">
            <w:pPr>
              <w:jc w:val="center"/>
              <w:rPr>
                <w:rFonts w:cs="Times New Roman"/>
                <w:color w:val="000000" w:themeColor="text1"/>
                <w:szCs w:val="21"/>
              </w:rPr>
            </w:pPr>
            <w:r>
              <w:rPr>
                <w:szCs w:val="21"/>
              </w:rPr>
              <w:t>储罐区</w:t>
            </w:r>
          </w:p>
        </w:tc>
        <w:tc>
          <w:tcPr>
            <w:tcW w:w="467" w:type="pct"/>
            <w:vAlign w:val="center"/>
          </w:tcPr>
          <w:p w:rsidR="00644456" w:rsidRDefault="008031C4">
            <w:pPr>
              <w:jc w:val="center"/>
              <w:rPr>
                <w:szCs w:val="21"/>
              </w:rPr>
            </w:pPr>
            <w:r>
              <w:rPr>
                <w:szCs w:val="21"/>
              </w:rPr>
              <w:t>NMHC</w:t>
            </w:r>
          </w:p>
        </w:tc>
        <w:tc>
          <w:tcPr>
            <w:tcW w:w="523" w:type="pct"/>
            <w:vAlign w:val="center"/>
          </w:tcPr>
          <w:p w:rsidR="00644456" w:rsidRDefault="008031C4">
            <w:pPr>
              <w:jc w:val="center"/>
              <w:rPr>
                <w:szCs w:val="21"/>
              </w:rPr>
            </w:pPr>
            <w:r>
              <w:rPr>
                <w:rFonts w:hint="eastAsia"/>
                <w:szCs w:val="21"/>
              </w:rPr>
              <w:t>28.2230</w:t>
            </w:r>
          </w:p>
        </w:tc>
        <w:tc>
          <w:tcPr>
            <w:tcW w:w="644" w:type="pct"/>
            <w:vAlign w:val="center"/>
          </w:tcPr>
          <w:p w:rsidR="00644456" w:rsidRDefault="008031C4">
            <w:pPr>
              <w:jc w:val="center"/>
              <w:rPr>
                <w:szCs w:val="21"/>
              </w:rPr>
            </w:pPr>
            <w:r>
              <w:rPr>
                <w:rFonts w:hint="eastAsia"/>
                <w:szCs w:val="21"/>
              </w:rPr>
              <w:t>5</w:t>
            </w:r>
            <w:r>
              <w:rPr>
                <w:szCs w:val="21"/>
              </w:rPr>
              <w:t>4</w:t>
            </w:r>
          </w:p>
        </w:tc>
        <w:tc>
          <w:tcPr>
            <w:tcW w:w="680" w:type="pct"/>
            <w:vAlign w:val="center"/>
          </w:tcPr>
          <w:p w:rsidR="00644456" w:rsidRDefault="008031C4">
            <w:pPr>
              <w:jc w:val="center"/>
              <w:rPr>
                <w:szCs w:val="21"/>
              </w:rPr>
            </w:pPr>
            <w:r>
              <w:rPr>
                <w:szCs w:val="21"/>
              </w:rPr>
              <w:t>2000.0</w:t>
            </w:r>
          </w:p>
        </w:tc>
        <w:tc>
          <w:tcPr>
            <w:tcW w:w="592" w:type="pct"/>
            <w:vAlign w:val="center"/>
          </w:tcPr>
          <w:p w:rsidR="00644456" w:rsidRDefault="008031C4">
            <w:pPr>
              <w:jc w:val="center"/>
              <w:rPr>
                <w:szCs w:val="21"/>
              </w:rPr>
            </w:pPr>
            <w:r>
              <w:rPr>
                <w:rFonts w:hint="eastAsia"/>
                <w:szCs w:val="21"/>
              </w:rPr>
              <w:t>1.411</w:t>
            </w:r>
          </w:p>
        </w:tc>
        <w:tc>
          <w:tcPr>
            <w:tcW w:w="454" w:type="pct"/>
            <w:vAlign w:val="center"/>
          </w:tcPr>
          <w:p w:rsidR="00644456" w:rsidRDefault="008031C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p>
        </w:tc>
        <w:tc>
          <w:tcPr>
            <w:tcW w:w="334" w:type="pct"/>
            <w:vAlign w:val="center"/>
          </w:tcPr>
          <w:p w:rsidR="00644456" w:rsidRDefault="008031C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宋体" w:eastAsia="宋体" w:hAnsi="宋体" w:cs="Times New Roman" w:hint="eastAsia"/>
                <w:color w:val="000000" w:themeColor="text1"/>
                <w:szCs w:val="21"/>
              </w:rPr>
              <w:t>Ⅱ</w:t>
            </w:r>
          </w:p>
        </w:tc>
      </w:tr>
      <w:tr w:rsidR="00644456" w:rsidTr="008B0FF7">
        <w:trPr>
          <w:trHeight w:val="120"/>
          <w:jc w:val="center"/>
        </w:trPr>
        <w:tc>
          <w:tcPr>
            <w:tcW w:w="294" w:type="pct"/>
            <w:vMerge/>
            <w:vAlign w:val="center"/>
          </w:tcPr>
          <w:p w:rsidR="00644456" w:rsidRDefault="00644456">
            <w:pPr>
              <w:pStyle w:val="aff2"/>
              <w:adjustRightInd w:val="0"/>
              <w:snapToGrid w:val="0"/>
              <w:spacing w:after="0"/>
              <w:ind w:left="0" w:right="0"/>
              <w:jc w:val="center"/>
              <w:rPr>
                <w:rFonts w:ascii="Times New Roman" w:eastAsia="宋体" w:hAnsi="Times New Roman" w:cs="Times New Roman"/>
                <w:color w:val="000000" w:themeColor="text1"/>
                <w:szCs w:val="21"/>
              </w:rPr>
            </w:pPr>
          </w:p>
        </w:tc>
        <w:tc>
          <w:tcPr>
            <w:tcW w:w="1012" w:type="pct"/>
            <w:vAlign w:val="center"/>
          </w:tcPr>
          <w:p w:rsidR="00644456" w:rsidRDefault="008031C4">
            <w:pPr>
              <w:jc w:val="center"/>
              <w:rPr>
                <w:rFonts w:cs="Times New Roman"/>
                <w:color w:val="000000" w:themeColor="text1"/>
                <w:szCs w:val="21"/>
              </w:rPr>
            </w:pPr>
            <w:r>
              <w:rPr>
                <w:szCs w:val="21"/>
              </w:rPr>
              <w:t>装卸区</w:t>
            </w:r>
          </w:p>
        </w:tc>
        <w:tc>
          <w:tcPr>
            <w:tcW w:w="467" w:type="pct"/>
            <w:vAlign w:val="center"/>
          </w:tcPr>
          <w:p w:rsidR="00644456" w:rsidRDefault="008031C4">
            <w:pPr>
              <w:jc w:val="center"/>
              <w:rPr>
                <w:szCs w:val="21"/>
              </w:rPr>
            </w:pPr>
            <w:r>
              <w:rPr>
                <w:szCs w:val="21"/>
              </w:rPr>
              <w:t>NMHC</w:t>
            </w:r>
          </w:p>
        </w:tc>
        <w:tc>
          <w:tcPr>
            <w:tcW w:w="523" w:type="pct"/>
            <w:vAlign w:val="center"/>
          </w:tcPr>
          <w:p w:rsidR="00644456" w:rsidRDefault="008031C4">
            <w:pPr>
              <w:jc w:val="center"/>
              <w:rPr>
                <w:szCs w:val="21"/>
              </w:rPr>
            </w:pPr>
            <w:r>
              <w:rPr>
                <w:szCs w:val="21"/>
              </w:rPr>
              <w:t>3.1249</w:t>
            </w:r>
          </w:p>
        </w:tc>
        <w:tc>
          <w:tcPr>
            <w:tcW w:w="644" w:type="pct"/>
            <w:vAlign w:val="center"/>
          </w:tcPr>
          <w:p w:rsidR="00644456" w:rsidRDefault="008031C4">
            <w:pPr>
              <w:jc w:val="center"/>
              <w:rPr>
                <w:szCs w:val="21"/>
              </w:rPr>
            </w:pPr>
            <w:r>
              <w:rPr>
                <w:rFonts w:hint="eastAsia"/>
                <w:szCs w:val="21"/>
              </w:rPr>
              <w:t>3</w:t>
            </w:r>
            <w:r>
              <w:rPr>
                <w:szCs w:val="21"/>
              </w:rPr>
              <w:t>0</w:t>
            </w:r>
          </w:p>
        </w:tc>
        <w:tc>
          <w:tcPr>
            <w:tcW w:w="680" w:type="pct"/>
            <w:vAlign w:val="center"/>
          </w:tcPr>
          <w:p w:rsidR="00644456" w:rsidRDefault="008031C4">
            <w:pPr>
              <w:jc w:val="center"/>
              <w:rPr>
                <w:szCs w:val="21"/>
              </w:rPr>
            </w:pPr>
            <w:r>
              <w:rPr>
                <w:szCs w:val="21"/>
              </w:rPr>
              <w:t>2000.0</w:t>
            </w:r>
          </w:p>
        </w:tc>
        <w:tc>
          <w:tcPr>
            <w:tcW w:w="592" w:type="pct"/>
            <w:vAlign w:val="center"/>
          </w:tcPr>
          <w:p w:rsidR="00644456" w:rsidRDefault="008031C4">
            <w:pPr>
              <w:jc w:val="center"/>
              <w:rPr>
                <w:szCs w:val="21"/>
              </w:rPr>
            </w:pPr>
            <w:r>
              <w:rPr>
                <w:szCs w:val="21"/>
              </w:rPr>
              <w:t>0.1562</w:t>
            </w:r>
          </w:p>
        </w:tc>
        <w:tc>
          <w:tcPr>
            <w:tcW w:w="454" w:type="pct"/>
            <w:vAlign w:val="center"/>
          </w:tcPr>
          <w:p w:rsidR="00644456" w:rsidRDefault="008031C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p>
        </w:tc>
        <w:tc>
          <w:tcPr>
            <w:tcW w:w="334" w:type="pct"/>
            <w:vAlign w:val="center"/>
          </w:tcPr>
          <w:p w:rsidR="00644456" w:rsidRDefault="008031C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宋体" w:eastAsia="宋体" w:hAnsi="宋体" w:cs="Times New Roman" w:hint="eastAsia"/>
                <w:color w:val="000000" w:themeColor="text1"/>
                <w:szCs w:val="21"/>
              </w:rPr>
              <w:t>Ⅲ</w:t>
            </w:r>
          </w:p>
        </w:tc>
      </w:tr>
      <w:tr w:rsidR="00644456" w:rsidTr="008B0FF7">
        <w:trPr>
          <w:trHeight w:val="120"/>
          <w:jc w:val="center"/>
        </w:trPr>
        <w:tc>
          <w:tcPr>
            <w:tcW w:w="294" w:type="pct"/>
            <w:vMerge/>
            <w:vAlign w:val="center"/>
          </w:tcPr>
          <w:p w:rsidR="00644456" w:rsidRDefault="00644456">
            <w:pPr>
              <w:pStyle w:val="aff2"/>
              <w:adjustRightInd w:val="0"/>
              <w:snapToGrid w:val="0"/>
              <w:spacing w:after="0"/>
              <w:ind w:left="0" w:right="0"/>
              <w:jc w:val="center"/>
              <w:rPr>
                <w:rFonts w:ascii="Times New Roman" w:eastAsia="宋体" w:hAnsi="Times New Roman" w:cs="Times New Roman"/>
                <w:color w:val="000000" w:themeColor="text1"/>
                <w:szCs w:val="21"/>
              </w:rPr>
            </w:pPr>
          </w:p>
        </w:tc>
        <w:tc>
          <w:tcPr>
            <w:tcW w:w="1012" w:type="pct"/>
            <w:vAlign w:val="center"/>
          </w:tcPr>
          <w:p w:rsidR="00644456" w:rsidRDefault="008031C4">
            <w:pPr>
              <w:jc w:val="center"/>
              <w:rPr>
                <w:rFonts w:cs="Times New Roman"/>
                <w:color w:val="000000" w:themeColor="text1"/>
                <w:szCs w:val="21"/>
              </w:rPr>
            </w:pPr>
            <w:r>
              <w:rPr>
                <w:szCs w:val="21"/>
              </w:rPr>
              <w:t>装置区</w:t>
            </w:r>
          </w:p>
        </w:tc>
        <w:tc>
          <w:tcPr>
            <w:tcW w:w="467" w:type="pct"/>
            <w:vAlign w:val="center"/>
          </w:tcPr>
          <w:p w:rsidR="00644456" w:rsidRDefault="008031C4">
            <w:pPr>
              <w:jc w:val="center"/>
              <w:rPr>
                <w:szCs w:val="21"/>
              </w:rPr>
            </w:pPr>
            <w:r>
              <w:rPr>
                <w:szCs w:val="21"/>
              </w:rPr>
              <w:t>NMHC</w:t>
            </w:r>
          </w:p>
        </w:tc>
        <w:tc>
          <w:tcPr>
            <w:tcW w:w="523" w:type="pct"/>
            <w:vAlign w:val="center"/>
          </w:tcPr>
          <w:p w:rsidR="00644456" w:rsidRDefault="008031C4">
            <w:pPr>
              <w:jc w:val="center"/>
              <w:rPr>
                <w:szCs w:val="21"/>
              </w:rPr>
            </w:pPr>
            <w:r>
              <w:rPr>
                <w:rFonts w:hint="eastAsia"/>
                <w:szCs w:val="21"/>
              </w:rPr>
              <w:t>182.58</w:t>
            </w:r>
          </w:p>
        </w:tc>
        <w:tc>
          <w:tcPr>
            <w:tcW w:w="644" w:type="pct"/>
            <w:vAlign w:val="center"/>
          </w:tcPr>
          <w:p w:rsidR="00644456" w:rsidRDefault="008031C4">
            <w:pPr>
              <w:jc w:val="center"/>
              <w:rPr>
                <w:szCs w:val="21"/>
              </w:rPr>
            </w:pPr>
            <w:r>
              <w:rPr>
                <w:rFonts w:hint="eastAsia"/>
                <w:szCs w:val="21"/>
              </w:rPr>
              <w:t>9</w:t>
            </w:r>
            <w:r>
              <w:rPr>
                <w:szCs w:val="21"/>
              </w:rPr>
              <w:t>6</w:t>
            </w:r>
          </w:p>
        </w:tc>
        <w:tc>
          <w:tcPr>
            <w:tcW w:w="680" w:type="pct"/>
            <w:vAlign w:val="center"/>
          </w:tcPr>
          <w:p w:rsidR="00644456" w:rsidRDefault="008031C4">
            <w:pPr>
              <w:jc w:val="center"/>
              <w:rPr>
                <w:szCs w:val="21"/>
              </w:rPr>
            </w:pPr>
            <w:r>
              <w:rPr>
                <w:szCs w:val="21"/>
              </w:rPr>
              <w:t>2000.0</w:t>
            </w:r>
          </w:p>
        </w:tc>
        <w:tc>
          <w:tcPr>
            <w:tcW w:w="592" w:type="pct"/>
            <w:vAlign w:val="center"/>
          </w:tcPr>
          <w:p w:rsidR="00644456" w:rsidRDefault="008031C4">
            <w:pPr>
              <w:jc w:val="center"/>
              <w:rPr>
                <w:szCs w:val="21"/>
              </w:rPr>
            </w:pPr>
            <w:r>
              <w:rPr>
                <w:rFonts w:hint="eastAsia"/>
                <w:szCs w:val="21"/>
              </w:rPr>
              <w:t>9.1290</w:t>
            </w:r>
          </w:p>
        </w:tc>
        <w:tc>
          <w:tcPr>
            <w:tcW w:w="454" w:type="pct"/>
            <w:vAlign w:val="center"/>
          </w:tcPr>
          <w:p w:rsidR="00644456" w:rsidRDefault="008031C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p>
        </w:tc>
        <w:tc>
          <w:tcPr>
            <w:tcW w:w="334" w:type="pct"/>
            <w:vAlign w:val="center"/>
          </w:tcPr>
          <w:p w:rsidR="00644456" w:rsidRDefault="008031C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宋体" w:eastAsia="宋体" w:hAnsi="宋体" w:cs="Times New Roman" w:hint="eastAsia"/>
                <w:color w:val="000000" w:themeColor="text1"/>
                <w:szCs w:val="21"/>
              </w:rPr>
              <w:t>Ⅱ</w:t>
            </w:r>
          </w:p>
        </w:tc>
      </w:tr>
      <w:tr w:rsidR="00644456" w:rsidTr="008B0FF7">
        <w:trPr>
          <w:trHeight w:val="120"/>
          <w:jc w:val="center"/>
        </w:trPr>
        <w:tc>
          <w:tcPr>
            <w:tcW w:w="294" w:type="pct"/>
            <w:vMerge/>
            <w:vAlign w:val="center"/>
          </w:tcPr>
          <w:p w:rsidR="00644456" w:rsidRDefault="00644456">
            <w:pPr>
              <w:pStyle w:val="aff2"/>
              <w:adjustRightInd w:val="0"/>
              <w:snapToGrid w:val="0"/>
              <w:spacing w:after="0"/>
              <w:ind w:left="0" w:right="0"/>
              <w:jc w:val="center"/>
              <w:rPr>
                <w:rFonts w:ascii="Times New Roman" w:eastAsia="宋体" w:hAnsi="Times New Roman" w:cs="Times New Roman"/>
                <w:color w:val="000000" w:themeColor="text1"/>
                <w:szCs w:val="21"/>
              </w:rPr>
            </w:pPr>
          </w:p>
        </w:tc>
        <w:tc>
          <w:tcPr>
            <w:tcW w:w="1012" w:type="pct"/>
            <w:vMerge w:val="restart"/>
            <w:vAlign w:val="center"/>
          </w:tcPr>
          <w:p w:rsidR="00644456" w:rsidRDefault="00C14E67">
            <w:pPr>
              <w:jc w:val="center"/>
              <w:rPr>
                <w:rFonts w:cs="Times New Roman"/>
                <w:color w:val="000000" w:themeColor="text1"/>
                <w:szCs w:val="21"/>
              </w:rPr>
            </w:pPr>
            <w:r>
              <w:rPr>
                <w:rFonts w:hint="eastAsia"/>
                <w:szCs w:val="21"/>
              </w:rPr>
              <w:t>污水处理</w:t>
            </w:r>
          </w:p>
        </w:tc>
        <w:tc>
          <w:tcPr>
            <w:tcW w:w="467" w:type="pct"/>
            <w:vAlign w:val="center"/>
          </w:tcPr>
          <w:p w:rsidR="00644456" w:rsidRDefault="008031C4">
            <w:pPr>
              <w:jc w:val="center"/>
              <w:rPr>
                <w:szCs w:val="21"/>
              </w:rPr>
            </w:pPr>
            <w:r>
              <w:rPr>
                <w:rFonts w:hint="eastAsia"/>
                <w:szCs w:val="21"/>
              </w:rPr>
              <w:t>H</w:t>
            </w:r>
            <w:r w:rsidRPr="008B0FF7">
              <w:rPr>
                <w:szCs w:val="21"/>
                <w:vertAlign w:val="subscript"/>
              </w:rPr>
              <w:t>2</w:t>
            </w:r>
            <w:r>
              <w:rPr>
                <w:szCs w:val="21"/>
              </w:rPr>
              <w:t>S</w:t>
            </w:r>
          </w:p>
        </w:tc>
        <w:tc>
          <w:tcPr>
            <w:tcW w:w="523" w:type="pct"/>
            <w:vAlign w:val="center"/>
          </w:tcPr>
          <w:p w:rsidR="00644456" w:rsidRDefault="008031C4">
            <w:pPr>
              <w:jc w:val="center"/>
              <w:rPr>
                <w:szCs w:val="21"/>
              </w:rPr>
            </w:pPr>
            <w:r>
              <w:rPr>
                <w:szCs w:val="21"/>
              </w:rPr>
              <w:t>0.0471</w:t>
            </w:r>
          </w:p>
        </w:tc>
        <w:tc>
          <w:tcPr>
            <w:tcW w:w="644" w:type="pct"/>
            <w:vMerge w:val="restart"/>
            <w:vAlign w:val="center"/>
          </w:tcPr>
          <w:p w:rsidR="00644456" w:rsidRDefault="008031C4">
            <w:pPr>
              <w:jc w:val="center"/>
              <w:rPr>
                <w:szCs w:val="21"/>
              </w:rPr>
            </w:pPr>
            <w:r>
              <w:rPr>
                <w:rFonts w:hint="eastAsia"/>
                <w:szCs w:val="21"/>
              </w:rPr>
              <w:t>5</w:t>
            </w:r>
            <w:r>
              <w:rPr>
                <w:szCs w:val="21"/>
              </w:rPr>
              <w:t>0</w:t>
            </w:r>
          </w:p>
        </w:tc>
        <w:tc>
          <w:tcPr>
            <w:tcW w:w="680" w:type="pct"/>
            <w:vAlign w:val="center"/>
          </w:tcPr>
          <w:p w:rsidR="00644456" w:rsidRDefault="008031C4">
            <w:pPr>
              <w:jc w:val="center"/>
              <w:rPr>
                <w:szCs w:val="21"/>
              </w:rPr>
            </w:pPr>
            <w:r>
              <w:rPr>
                <w:szCs w:val="21"/>
              </w:rPr>
              <w:t>10</w:t>
            </w:r>
            <w:r>
              <w:rPr>
                <w:rFonts w:hint="eastAsia"/>
                <w:szCs w:val="21"/>
              </w:rPr>
              <w:t>.0</w:t>
            </w:r>
          </w:p>
        </w:tc>
        <w:tc>
          <w:tcPr>
            <w:tcW w:w="592" w:type="pct"/>
            <w:vAlign w:val="center"/>
          </w:tcPr>
          <w:p w:rsidR="00644456" w:rsidRDefault="008031C4">
            <w:pPr>
              <w:jc w:val="center"/>
              <w:rPr>
                <w:szCs w:val="21"/>
              </w:rPr>
            </w:pPr>
            <w:r>
              <w:rPr>
                <w:szCs w:val="21"/>
              </w:rPr>
              <w:t>0.4707</w:t>
            </w:r>
          </w:p>
        </w:tc>
        <w:tc>
          <w:tcPr>
            <w:tcW w:w="454" w:type="pct"/>
            <w:vAlign w:val="center"/>
          </w:tcPr>
          <w:p w:rsidR="00644456" w:rsidRDefault="008031C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p>
        </w:tc>
        <w:tc>
          <w:tcPr>
            <w:tcW w:w="334" w:type="pct"/>
            <w:vAlign w:val="center"/>
          </w:tcPr>
          <w:p w:rsidR="00644456" w:rsidRDefault="008031C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宋体" w:eastAsia="宋体" w:hAnsi="宋体" w:cs="Times New Roman" w:hint="eastAsia"/>
                <w:color w:val="000000" w:themeColor="text1"/>
                <w:szCs w:val="21"/>
              </w:rPr>
              <w:t>Ⅲ</w:t>
            </w:r>
          </w:p>
        </w:tc>
      </w:tr>
      <w:tr w:rsidR="00644456" w:rsidTr="008B0FF7">
        <w:trPr>
          <w:trHeight w:val="120"/>
          <w:jc w:val="center"/>
        </w:trPr>
        <w:tc>
          <w:tcPr>
            <w:tcW w:w="294" w:type="pct"/>
            <w:vMerge/>
            <w:vAlign w:val="center"/>
          </w:tcPr>
          <w:p w:rsidR="00644456" w:rsidRDefault="00644456">
            <w:pPr>
              <w:pStyle w:val="aff2"/>
              <w:adjustRightInd w:val="0"/>
              <w:snapToGrid w:val="0"/>
              <w:spacing w:after="0"/>
              <w:ind w:left="0" w:right="0"/>
              <w:jc w:val="center"/>
              <w:rPr>
                <w:rFonts w:ascii="Times New Roman" w:eastAsia="宋体" w:hAnsi="Times New Roman" w:cs="Times New Roman"/>
                <w:color w:val="000000" w:themeColor="text1"/>
                <w:szCs w:val="21"/>
              </w:rPr>
            </w:pPr>
          </w:p>
        </w:tc>
        <w:tc>
          <w:tcPr>
            <w:tcW w:w="1012" w:type="pct"/>
            <w:vMerge/>
            <w:vAlign w:val="center"/>
          </w:tcPr>
          <w:p w:rsidR="00644456" w:rsidRDefault="00644456">
            <w:pPr>
              <w:pStyle w:val="aff2"/>
              <w:adjustRightInd w:val="0"/>
              <w:snapToGrid w:val="0"/>
              <w:spacing w:after="0"/>
              <w:ind w:left="0" w:right="0"/>
              <w:jc w:val="center"/>
              <w:rPr>
                <w:rFonts w:ascii="Times New Roman" w:eastAsia="宋体" w:hAnsi="Times New Roman" w:cs="Times New Roman"/>
                <w:color w:val="000000" w:themeColor="text1"/>
                <w:szCs w:val="21"/>
              </w:rPr>
            </w:pPr>
          </w:p>
        </w:tc>
        <w:tc>
          <w:tcPr>
            <w:tcW w:w="467" w:type="pct"/>
            <w:vAlign w:val="center"/>
          </w:tcPr>
          <w:p w:rsidR="00644456" w:rsidRDefault="008031C4">
            <w:pPr>
              <w:jc w:val="center"/>
              <w:rPr>
                <w:szCs w:val="21"/>
              </w:rPr>
            </w:pPr>
            <w:r>
              <w:rPr>
                <w:rFonts w:hint="eastAsia"/>
                <w:szCs w:val="21"/>
              </w:rPr>
              <w:t>N</w:t>
            </w:r>
            <w:r>
              <w:rPr>
                <w:szCs w:val="21"/>
              </w:rPr>
              <w:t>H</w:t>
            </w:r>
            <w:r w:rsidRPr="008B0FF7">
              <w:rPr>
                <w:szCs w:val="21"/>
                <w:vertAlign w:val="subscript"/>
              </w:rPr>
              <w:t>3</w:t>
            </w:r>
          </w:p>
        </w:tc>
        <w:tc>
          <w:tcPr>
            <w:tcW w:w="523" w:type="pct"/>
            <w:vAlign w:val="center"/>
          </w:tcPr>
          <w:p w:rsidR="00644456" w:rsidRDefault="008031C4">
            <w:pPr>
              <w:jc w:val="center"/>
              <w:rPr>
                <w:szCs w:val="21"/>
              </w:rPr>
            </w:pPr>
            <w:r>
              <w:rPr>
                <w:szCs w:val="21"/>
              </w:rPr>
              <w:t>1.8826</w:t>
            </w:r>
          </w:p>
        </w:tc>
        <w:tc>
          <w:tcPr>
            <w:tcW w:w="644" w:type="pct"/>
            <w:vMerge/>
            <w:vAlign w:val="center"/>
          </w:tcPr>
          <w:p w:rsidR="00644456" w:rsidRDefault="00644456">
            <w:pPr>
              <w:jc w:val="center"/>
              <w:rPr>
                <w:szCs w:val="21"/>
              </w:rPr>
            </w:pPr>
          </w:p>
        </w:tc>
        <w:tc>
          <w:tcPr>
            <w:tcW w:w="680" w:type="pct"/>
            <w:vAlign w:val="center"/>
          </w:tcPr>
          <w:p w:rsidR="00644456" w:rsidRDefault="008031C4">
            <w:pPr>
              <w:jc w:val="center"/>
              <w:rPr>
                <w:szCs w:val="21"/>
              </w:rPr>
            </w:pPr>
            <w:r>
              <w:rPr>
                <w:szCs w:val="21"/>
              </w:rPr>
              <w:t>200</w:t>
            </w:r>
            <w:r>
              <w:rPr>
                <w:rFonts w:hint="eastAsia"/>
                <w:szCs w:val="21"/>
              </w:rPr>
              <w:t>.0</w:t>
            </w:r>
          </w:p>
        </w:tc>
        <w:tc>
          <w:tcPr>
            <w:tcW w:w="592" w:type="pct"/>
            <w:vAlign w:val="center"/>
          </w:tcPr>
          <w:p w:rsidR="00644456" w:rsidRDefault="008031C4">
            <w:pPr>
              <w:jc w:val="center"/>
              <w:rPr>
                <w:szCs w:val="21"/>
              </w:rPr>
            </w:pPr>
            <w:r>
              <w:rPr>
                <w:szCs w:val="21"/>
              </w:rPr>
              <w:t>0.9413</w:t>
            </w:r>
          </w:p>
        </w:tc>
        <w:tc>
          <w:tcPr>
            <w:tcW w:w="454" w:type="pct"/>
            <w:vAlign w:val="center"/>
          </w:tcPr>
          <w:p w:rsidR="00644456" w:rsidRDefault="008031C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p>
        </w:tc>
        <w:tc>
          <w:tcPr>
            <w:tcW w:w="334" w:type="pct"/>
            <w:vAlign w:val="center"/>
          </w:tcPr>
          <w:p w:rsidR="00644456" w:rsidRDefault="008031C4">
            <w:pPr>
              <w:pStyle w:val="aff2"/>
              <w:adjustRightInd w:val="0"/>
              <w:snapToGrid w:val="0"/>
              <w:spacing w:after="0"/>
              <w:ind w:left="0" w:right="0"/>
              <w:jc w:val="center"/>
              <w:rPr>
                <w:rFonts w:ascii="Times New Roman" w:eastAsia="宋体" w:hAnsi="Times New Roman" w:cs="Times New Roman"/>
                <w:color w:val="000000" w:themeColor="text1"/>
                <w:szCs w:val="21"/>
              </w:rPr>
            </w:pPr>
            <w:r>
              <w:rPr>
                <w:rFonts w:ascii="宋体" w:eastAsia="宋体" w:hAnsi="宋体" w:cs="Times New Roman" w:hint="eastAsia"/>
                <w:color w:val="000000" w:themeColor="text1"/>
                <w:szCs w:val="21"/>
              </w:rPr>
              <w:t>Ⅲ</w:t>
            </w:r>
          </w:p>
        </w:tc>
      </w:tr>
    </w:tbl>
    <w:p w:rsidR="00644456" w:rsidRDefault="008031C4">
      <w:pPr>
        <w:spacing w:line="360" w:lineRule="auto"/>
        <w:ind w:firstLine="480"/>
        <w:rPr>
          <w:rFonts w:cs="Times New Roman"/>
          <w:b/>
          <w:bCs/>
          <w:color w:val="000000" w:themeColor="text1"/>
          <w:sz w:val="24"/>
          <w:szCs w:val="24"/>
        </w:rPr>
      </w:pPr>
      <w:r>
        <w:rPr>
          <w:rFonts w:cs="Times New Roman" w:hint="eastAsia"/>
          <w:b/>
          <w:bCs/>
          <w:color w:val="000000" w:themeColor="text1"/>
          <w:sz w:val="24"/>
          <w:szCs w:val="24"/>
        </w:rPr>
        <w:t>综合以上分析，本项目</w:t>
      </w:r>
      <w:r>
        <w:rPr>
          <w:rFonts w:cs="Times New Roman" w:hint="eastAsia"/>
          <w:b/>
          <w:bCs/>
          <w:color w:val="000000" w:themeColor="text1"/>
          <w:sz w:val="24"/>
          <w:szCs w:val="24"/>
        </w:rPr>
        <w:t>Pmax</w:t>
      </w:r>
      <w:r>
        <w:rPr>
          <w:rFonts w:cs="Times New Roman" w:hint="eastAsia"/>
          <w:b/>
          <w:bCs/>
          <w:color w:val="000000" w:themeColor="text1"/>
          <w:sz w:val="24"/>
          <w:szCs w:val="24"/>
        </w:rPr>
        <w:t>最大值出现为装置区无组织排放的</w:t>
      </w:r>
      <w:r>
        <w:rPr>
          <w:rFonts w:cs="Times New Roman" w:hint="eastAsia"/>
          <w:b/>
          <w:bCs/>
          <w:color w:val="000000" w:themeColor="text1"/>
          <w:sz w:val="24"/>
          <w:szCs w:val="24"/>
        </w:rPr>
        <w:t>NMHC</w:t>
      </w:r>
      <w:r>
        <w:rPr>
          <w:rFonts w:cs="Times New Roman" w:hint="eastAsia"/>
          <w:b/>
          <w:bCs/>
          <w:color w:val="000000" w:themeColor="text1"/>
          <w:sz w:val="24"/>
          <w:szCs w:val="24"/>
        </w:rPr>
        <w:t>，</w:t>
      </w:r>
      <w:r>
        <w:rPr>
          <w:rFonts w:cs="Times New Roman" w:hint="eastAsia"/>
          <w:b/>
          <w:bCs/>
          <w:color w:val="000000" w:themeColor="text1"/>
          <w:sz w:val="24"/>
          <w:szCs w:val="24"/>
        </w:rPr>
        <w:lastRenderedPageBreak/>
        <w:t>Pmax</w:t>
      </w:r>
      <w:r>
        <w:rPr>
          <w:rFonts w:cs="Times New Roman" w:hint="eastAsia"/>
          <w:b/>
          <w:bCs/>
          <w:color w:val="000000" w:themeColor="text1"/>
          <w:sz w:val="24"/>
          <w:szCs w:val="24"/>
        </w:rPr>
        <w:t>值为</w:t>
      </w:r>
      <w:r>
        <w:rPr>
          <w:rFonts w:cs="Times New Roman" w:hint="eastAsia"/>
          <w:b/>
          <w:bCs/>
          <w:color w:val="000000" w:themeColor="text1"/>
          <w:sz w:val="24"/>
          <w:szCs w:val="24"/>
        </w:rPr>
        <w:t>9.129%</w:t>
      </w:r>
      <w:r>
        <w:rPr>
          <w:rFonts w:cs="Times New Roman" w:hint="eastAsia"/>
          <w:b/>
          <w:bCs/>
          <w:color w:val="000000" w:themeColor="text1"/>
          <w:sz w:val="24"/>
          <w:szCs w:val="24"/>
        </w:rPr>
        <w:t>，</w:t>
      </w:r>
      <w:r>
        <w:rPr>
          <w:rFonts w:cs="Times New Roman" w:hint="eastAsia"/>
          <w:b/>
          <w:bCs/>
          <w:color w:val="000000" w:themeColor="text1"/>
          <w:sz w:val="24"/>
          <w:szCs w:val="24"/>
        </w:rPr>
        <w:t>Cmax</w:t>
      </w:r>
      <w:r>
        <w:rPr>
          <w:rFonts w:cs="Times New Roman" w:hint="eastAsia"/>
          <w:b/>
          <w:bCs/>
          <w:color w:val="000000" w:themeColor="text1"/>
          <w:sz w:val="24"/>
          <w:szCs w:val="24"/>
        </w:rPr>
        <w:t>为</w:t>
      </w:r>
      <w:r>
        <w:rPr>
          <w:rFonts w:cs="Times New Roman" w:hint="eastAsia"/>
          <w:b/>
          <w:bCs/>
          <w:color w:val="000000" w:themeColor="text1"/>
          <w:sz w:val="24"/>
          <w:szCs w:val="24"/>
        </w:rPr>
        <w:t>182.58ug/m</w:t>
      </w:r>
      <w:r>
        <w:rPr>
          <w:rFonts w:cs="Times New Roman" w:hint="eastAsia"/>
          <w:b/>
          <w:bCs/>
          <w:color w:val="000000" w:themeColor="text1"/>
          <w:sz w:val="24"/>
          <w:szCs w:val="24"/>
          <w:vertAlign w:val="superscript"/>
        </w:rPr>
        <w:t>3</w:t>
      </w:r>
      <w:r>
        <w:rPr>
          <w:rFonts w:cs="Times New Roman" w:hint="eastAsia"/>
          <w:b/>
          <w:bCs/>
          <w:color w:val="000000" w:themeColor="text1"/>
          <w:sz w:val="24"/>
          <w:szCs w:val="24"/>
        </w:rPr>
        <w:t>，根据《环境影响评价技术导则—大气环境》（</w:t>
      </w:r>
      <w:r>
        <w:rPr>
          <w:rFonts w:cs="Times New Roman" w:hint="eastAsia"/>
          <w:b/>
          <w:bCs/>
          <w:color w:val="000000" w:themeColor="text1"/>
          <w:sz w:val="24"/>
          <w:szCs w:val="24"/>
        </w:rPr>
        <w:t>HJ2.2-2018</w:t>
      </w:r>
      <w:r>
        <w:rPr>
          <w:rFonts w:cs="Times New Roman" w:hint="eastAsia"/>
          <w:b/>
          <w:bCs/>
          <w:color w:val="000000" w:themeColor="text1"/>
          <w:sz w:val="24"/>
          <w:szCs w:val="24"/>
        </w:rPr>
        <w:t>）规定，二级评价范围为边长</w:t>
      </w:r>
      <w:r>
        <w:rPr>
          <w:rFonts w:cs="Times New Roman" w:hint="eastAsia"/>
          <w:b/>
          <w:bCs/>
          <w:color w:val="000000" w:themeColor="text1"/>
          <w:sz w:val="24"/>
          <w:szCs w:val="24"/>
        </w:rPr>
        <w:t>5km</w:t>
      </w:r>
      <w:r>
        <w:rPr>
          <w:rFonts w:cs="Times New Roman" w:hint="eastAsia"/>
          <w:b/>
          <w:bCs/>
          <w:color w:val="000000" w:themeColor="text1"/>
          <w:sz w:val="24"/>
          <w:szCs w:val="24"/>
        </w:rPr>
        <w:t>，不需要进行进一步预测和评价，只需要对污染物排放量进行核算。</w:t>
      </w:r>
    </w:p>
    <w:bookmarkEnd w:id="306"/>
    <w:p w:rsidR="00644456" w:rsidRDefault="008031C4">
      <w:pPr>
        <w:spacing w:line="360" w:lineRule="auto"/>
        <w:ind w:firstLine="480"/>
        <w:rPr>
          <w:rFonts w:cs="Times New Roman"/>
          <w:b/>
          <w:bCs/>
          <w:color w:val="000000" w:themeColor="text1"/>
          <w:sz w:val="24"/>
          <w:szCs w:val="24"/>
        </w:rPr>
      </w:pPr>
      <w:r>
        <w:rPr>
          <w:rFonts w:cs="Times New Roman"/>
          <w:b/>
          <w:bCs/>
          <w:color w:val="000000" w:themeColor="text1"/>
          <w:sz w:val="24"/>
          <w:szCs w:val="24"/>
        </w:rPr>
        <w:t>（</w:t>
      </w:r>
      <w:r>
        <w:rPr>
          <w:rFonts w:cs="Times New Roman"/>
          <w:b/>
          <w:bCs/>
          <w:color w:val="000000" w:themeColor="text1"/>
          <w:sz w:val="24"/>
          <w:szCs w:val="24"/>
        </w:rPr>
        <w:t>8</w:t>
      </w:r>
      <w:r>
        <w:rPr>
          <w:rFonts w:cs="Times New Roman"/>
          <w:b/>
          <w:bCs/>
          <w:color w:val="000000" w:themeColor="text1"/>
          <w:sz w:val="24"/>
          <w:szCs w:val="24"/>
        </w:rPr>
        <w:t>）评价</w:t>
      </w:r>
      <w:r>
        <w:rPr>
          <w:rFonts w:cs="Times New Roman" w:hint="eastAsia"/>
          <w:b/>
          <w:bCs/>
          <w:color w:val="000000" w:themeColor="text1"/>
          <w:sz w:val="24"/>
          <w:szCs w:val="24"/>
        </w:rPr>
        <w:t>范围确定</w:t>
      </w:r>
    </w:p>
    <w:p w:rsidR="00644456" w:rsidRDefault="008031C4">
      <w:pPr>
        <w:adjustRightInd w:val="0"/>
        <w:snapToGrid w:val="0"/>
        <w:spacing w:line="360" w:lineRule="auto"/>
        <w:ind w:firstLineChars="200" w:firstLine="480"/>
        <w:rPr>
          <w:rFonts w:cs="Times New Roman"/>
          <w:color w:val="000000" w:themeColor="text1"/>
          <w:sz w:val="24"/>
        </w:rPr>
      </w:pPr>
      <w:r>
        <w:rPr>
          <w:rFonts w:cs="Times New Roman"/>
          <w:color w:val="000000" w:themeColor="text1"/>
          <w:kern w:val="0"/>
          <w:sz w:val="24"/>
          <w:szCs w:val="24"/>
        </w:rPr>
        <w:t>本次评价范围按导则要求确定为</w:t>
      </w:r>
      <w:r>
        <w:rPr>
          <w:rFonts w:cs="Times New Roman"/>
          <w:color w:val="000000" w:themeColor="text1"/>
          <w:sz w:val="24"/>
        </w:rPr>
        <w:t>以厂址为中心，边长为</w:t>
      </w:r>
      <w:r>
        <w:rPr>
          <w:rFonts w:cs="Times New Roman"/>
          <w:color w:val="000000" w:themeColor="text1"/>
          <w:sz w:val="24"/>
        </w:rPr>
        <w:t>5×5km</w:t>
      </w:r>
      <w:r>
        <w:rPr>
          <w:rFonts w:cs="Times New Roman"/>
          <w:color w:val="000000" w:themeColor="text1"/>
          <w:sz w:val="24"/>
        </w:rPr>
        <w:t>矩形区域作为本项目大气环境影响评价范围。</w:t>
      </w:r>
    </w:p>
    <w:p w:rsidR="00644456" w:rsidRDefault="008031C4">
      <w:pPr>
        <w:pStyle w:val="3"/>
        <w:numPr>
          <w:ilvl w:val="2"/>
          <w:numId w:val="0"/>
        </w:numPr>
        <w:ind w:firstLineChars="200" w:firstLine="482"/>
      </w:pPr>
      <w:r>
        <w:rPr>
          <w:rFonts w:hint="eastAsia"/>
        </w:rPr>
        <w:t>5.1.2</w:t>
      </w:r>
      <w:r>
        <w:rPr>
          <w:rFonts w:hint="eastAsia"/>
        </w:rPr>
        <w:t>污染物排放量核算结果</w:t>
      </w:r>
    </w:p>
    <w:p w:rsidR="00644456" w:rsidRDefault="008031C4">
      <w:pPr>
        <w:autoSpaceDE w:val="0"/>
        <w:autoSpaceDN w:val="0"/>
        <w:spacing w:line="360" w:lineRule="auto"/>
        <w:ind w:firstLineChars="200" w:firstLine="480"/>
        <w:rPr>
          <w:rFonts w:ascii="宋体" w:hAnsi="宋体"/>
          <w:color w:val="000000" w:themeColor="text1"/>
          <w:sz w:val="24"/>
          <w:szCs w:val="24"/>
        </w:rPr>
      </w:pPr>
      <w:bookmarkStart w:id="307" w:name="_Hlk160541898"/>
      <w:r>
        <w:rPr>
          <w:rFonts w:ascii="宋体" w:hAnsi="宋体" w:hint="eastAsia"/>
          <w:color w:val="000000" w:themeColor="text1"/>
          <w:sz w:val="24"/>
          <w:szCs w:val="24"/>
        </w:rPr>
        <w:t>本项目产生的废气主要是工艺不凝气、导热油锅炉废气、罐区大小呼吸废气、污水处理站废气、装卸区损失废气以及装置区密封损失废气等，主要特征因子为非甲烷总烃、硫化氢、氨等，根据</w:t>
      </w:r>
      <w:r>
        <w:rPr>
          <w:rFonts w:ascii="宋体" w:hAnsi="宋体" w:hint="eastAsia"/>
          <w:b/>
          <w:bCs/>
          <w:color w:val="000000" w:themeColor="text1"/>
          <w:sz w:val="24"/>
          <w:szCs w:val="24"/>
        </w:rPr>
        <w:t>《排污许可证申请与核发技术规范废弃资源加工工业》（HJ1034-2019）：</w:t>
      </w:r>
      <w:r>
        <w:rPr>
          <w:rFonts w:ascii="宋体" w:hAnsi="宋体" w:hint="eastAsia"/>
          <w:color w:val="000000" w:themeColor="text1"/>
          <w:sz w:val="24"/>
          <w:szCs w:val="24"/>
        </w:rPr>
        <w:t>本项目排气筒均为一般排放口。其有组织、无组织废气排放量核算如下表。</w:t>
      </w:r>
    </w:p>
    <w:p w:rsidR="00644456" w:rsidRDefault="008031C4">
      <w:pPr>
        <w:autoSpaceDE w:val="0"/>
        <w:autoSpaceDN w:val="0"/>
        <w:adjustRightInd w:val="0"/>
        <w:jc w:val="center"/>
        <w:rPr>
          <w:rFonts w:cs="Times New Roman"/>
          <w:b/>
          <w:color w:val="000000" w:themeColor="text1"/>
          <w:sz w:val="24"/>
          <w:szCs w:val="20"/>
        </w:rPr>
      </w:pPr>
      <w:bookmarkStart w:id="308" w:name="_Hlk177203152"/>
      <w:r>
        <w:rPr>
          <w:rFonts w:cs="Times New Roman" w:hint="eastAsia"/>
          <w:b/>
          <w:color w:val="000000" w:themeColor="text1"/>
          <w:sz w:val="24"/>
          <w:szCs w:val="20"/>
        </w:rPr>
        <w:t>表</w:t>
      </w:r>
      <w:r>
        <w:rPr>
          <w:rFonts w:cs="Times New Roman" w:hint="eastAsia"/>
          <w:b/>
          <w:color w:val="000000" w:themeColor="text1"/>
          <w:sz w:val="24"/>
          <w:szCs w:val="20"/>
        </w:rPr>
        <w:t>5.1-7</w:t>
      </w:r>
      <w:r>
        <w:rPr>
          <w:rFonts w:cs="Times New Roman" w:hint="eastAsia"/>
          <w:b/>
          <w:color w:val="000000" w:themeColor="text1"/>
          <w:sz w:val="24"/>
          <w:szCs w:val="20"/>
        </w:rPr>
        <w:t>项目大气污染物有组织排放量核算表</w:t>
      </w:r>
    </w:p>
    <w:tbl>
      <w:tblPr>
        <w:tblW w:w="8558"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73"/>
        <w:gridCol w:w="2513"/>
        <w:gridCol w:w="1460"/>
        <w:gridCol w:w="1645"/>
        <w:gridCol w:w="1322"/>
        <w:gridCol w:w="1145"/>
      </w:tblGrid>
      <w:tr w:rsidR="00644456">
        <w:tc>
          <w:tcPr>
            <w:tcW w:w="0" w:type="auto"/>
            <w:vAlign w:val="center"/>
          </w:tcPr>
          <w:p w:rsidR="00644456" w:rsidRDefault="008031C4">
            <w:pPr>
              <w:pStyle w:val="af"/>
              <w:spacing w:after="0"/>
              <w:jc w:val="center"/>
              <w:rPr>
                <w:b/>
                <w:color w:val="000000" w:themeColor="text1"/>
                <w:szCs w:val="21"/>
              </w:rPr>
            </w:pPr>
            <w:r>
              <w:rPr>
                <w:b/>
                <w:color w:val="000000" w:themeColor="text1"/>
                <w:szCs w:val="21"/>
              </w:rPr>
              <w:t>序号</w:t>
            </w:r>
          </w:p>
        </w:tc>
        <w:tc>
          <w:tcPr>
            <w:tcW w:w="2513" w:type="dxa"/>
            <w:vAlign w:val="center"/>
          </w:tcPr>
          <w:p w:rsidR="00644456" w:rsidRDefault="008031C4">
            <w:pPr>
              <w:pStyle w:val="af"/>
              <w:spacing w:after="0"/>
              <w:jc w:val="center"/>
              <w:rPr>
                <w:b/>
                <w:color w:val="000000" w:themeColor="text1"/>
                <w:szCs w:val="21"/>
              </w:rPr>
            </w:pPr>
            <w:r>
              <w:rPr>
                <w:b/>
                <w:color w:val="000000" w:themeColor="text1"/>
                <w:szCs w:val="21"/>
              </w:rPr>
              <w:t>排放口</w:t>
            </w:r>
            <w:r>
              <w:rPr>
                <w:rFonts w:hint="eastAsia"/>
                <w:b/>
                <w:color w:val="000000" w:themeColor="text1"/>
                <w:szCs w:val="21"/>
              </w:rPr>
              <w:t>编号</w:t>
            </w:r>
          </w:p>
        </w:tc>
        <w:tc>
          <w:tcPr>
            <w:tcW w:w="1460" w:type="dxa"/>
            <w:vAlign w:val="center"/>
          </w:tcPr>
          <w:p w:rsidR="00644456" w:rsidRDefault="008031C4">
            <w:pPr>
              <w:pStyle w:val="af"/>
              <w:spacing w:after="0"/>
              <w:jc w:val="center"/>
              <w:rPr>
                <w:b/>
                <w:color w:val="000000" w:themeColor="text1"/>
                <w:szCs w:val="21"/>
              </w:rPr>
            </w:pPr>
            <w:r>
              <w:rPr>
                <w:b/>
                <w:color w:val="000000" w:themeColor="text1"/>
                <w:szCs w:val="21"/>
              </w:rPr>
              <w:t>污染物</w:t>
            </w:r>
          </w:p>
        </w:tc>
        <w:tc>
          <w:tcPr>
            <w:tcW w:w="0" w:type="auto"/>
            <w:vAlign w:val="center"/>
          </w:tcPr>
          <w:p w:rsidR="00644456" w:rsidRDefault="008031C4">
            <w:pPr>
              <w:pStyle w:val="af"/>
              <w:spacing w:after="0"/>
              <w:jc w:val="center"/>
              <w:rPr>
                <w:b/>
                <w:color w:val="000000" w:themeColor="text1"/>
                <w:szCs w:val="21"/>
              </w:rPr>
            </w:pPr>
            <w:r>
              <w:rPr>
                <w:b/>
                <w:color w:val="000000" w:themeColor="text1"/>
                <w:szCs w:val="21"/>
              </w:rPr>
              <w:t>核算排放浓度（</w:t>
            </w:r>
            <w:r>
              <w:rPr>
                <w:b/>
                <w:color w:val="000000" w:themeColor="text1"/>
                <w:szCs w:val="21"/>
              </w:rPr>
              <w:t>mg/</w:t>
            </w:r>
            <w:r>
              <w:rPr>
                <w:rFonts w:hint="eastAsia"/>
                <w:b/>
                <w:color w:val="000000" w:themeColor="text1"/>
                <w:szCs w:val="21"/>
              </w:rPr>
              <w:t>N</w:t>
            </w:r>
            <w:r>
              <w:rPr>
                <w:b/>
                <w:color w:val="000000" w:themeColor="text1"/>
                <w:szCs w:val="21"/>
              </w:rPr>
              <w:t>m</w:t>
            </w:r>
            <w:r>
              <w:rPr>
                <w:b/>
                <w:color w:val="000000" w:themeColor="text1"/>
                <w:szCs w:val="21"/>
                <w:vertAlign w:val="superscript"/>
              </w:rPr>
              <w:t>3</w:t>
            </w:r>
            <w:r>
              <w:rPr>
                <w:b/>
                <w:color w:val="000000" w:themeColor="text1"/>
                <w:szCs w:val="21"/>
              </w:rPr>
              <w:t>）</w:t>
            </w:r>
          </w:p>
        </w:tc>
        <w:tc>
          <w:tcPr>
            <w:tcW w:w="0" w:type="auto"/>
            <w:vAlign w:val="center"/>
          </w:tcPr>
          <w:p w:rsidR="00644456" w:rsidRDefault="008031C4">
            <w:pPr>
              <w:pStyle w:val="af"/>
              <w:spacing w:after="0"/>
              <w:jc w:val="center"/>
              <w:rPr>
                <w:b/>
                <w:color w:val="000000" w:themeColor="text1"/>
                <w:szCs w:val="21"/>
              </w:rPr>
            </w:pPr>
            <w:r>
              <w:rPr>
                <w:b/>
                <w:color w:val="000000" w:themeColor="text1"/>
                <w:szCs w:val="21"/>
              </w:rPr>
              <w:t>核算排放速率</w:t>
            </w:r>
            <w:r>
              <w:rPr>
                <w:b/>
                <w:color w:val="000000" w:themeColor="text1"/>
                <w:szCs w:val="21"/>
              </w:rPr>
              <w:t>/</w:t>
            </w:r>
            <w:r>
              <w:rPr>
                <w:b/>
                <w:color w:val="000000" w:themeColor="text1"/>
                <w:szCs w:val="21"/>
              </w:rPr>
              <w:t>（</w:t>
            </w:r>
            <w:r>
              <w:rPr>
                <w:b/>
                <w:color w:val="000000" w:themeColor="text1"/>
                <w:szCs w:val="21"/>
              </w:rPr>
              <w:t>kg/h</w:t>
            </w:r>
            <w:r>
              <w:rPr>
                <w:b/>
                <w:color w:val="000000" w:themeColor="text1"/>
                <w:szCs w:val="21"/>
              </w:rPr>
              <w:t>）</w:t>
            </w:r>
          </w:p>
        </w:tc>
        <w:tc>
          <w:tcPr>
            <w:tcW w:w="0" w:type="auto"/>
            <w:vAlign w:val="center"/>
          </w:tcPr>
          <w:p w:rsidR="00644456" w:rsidRDefault="008031C4">
            <w:pPr>
              <w:pStyle w:val="af"/>
              <w:spacing w:after="0"/>
              <w:jc w:val="center"/>
              <w:rPr>
                <w:b/>
                <w:color w:val="000000" w:themeColor="text1"/>
                <w:szCs w:val="21"/>
              </w:rPr>
            </w:pPr>
            <w:r>
              <w:rPr>
                <w:b/>
                <w:color w:val="000000" w:themeColor="text1"/>
                <w:szCs w:val="21"/>
              </w:rPr>
              <w:t>核算年排放量（</w:t>
            </w:r>
            <w:r>
              <w:rPr>
                <w:rFonts w:hint="eastAsia"/>
                <w:b/>
                <w:color w:val="000000" w:themeColor="text1"/>
                <w:szCs w:val="21"/>
              </w:rPr>
              <w:t>t</w:t>
            </w:r>
            <w:r>
              <w:rPr>
                <w:b/>
                <w:color w:val="000000" w:themeColor="text1"/>
                <w:szCs w:val="21"/>
              </w:rPr>
              <w:t>/a</w:t>
            </w:r>
            <w:r>
              <w:rPr>
                <w:b/>
                <w:color w:val="000000" w:themeColor="text1"/>
                <w:szCs w:val="21"/>
              </w:rPr>
              <w:t>）</w:t>
            </w:r>
          </w:p>
        </w:tc>
      </w:tr>
      <w:tr w:rsidR="00644456">
        <w:tc>
          <w:tcPr>
            <w:tcW w:w="0" w:type="auto"/>
            <w:gridSpan w:val="6"/>
            <w:vAlign w:val="center"/>
          </w:tcPr>
          <w:p w:rsidR="00644456" w:rsidRDefault="008031C4">
            <w:pPr>
              <w:pStyle w:val="af"/>
              <w:spacing w:after="0"/>
              <w:jc w:val="center"/>
              <w:rPr>
                <w:color w:val="000000" w:themeColor="text1"/>
                <w:szCs w:val="21"/>
              </w:rPr>
            </w:pPr>
            <w:r>
              <w:rPr>
                <w:rFonts w:hint="eastAsia"/>
                <w:color w:val="000000" w:themeColor="text1"/>
                <w:szCs w:val="21"/>
              </w:rPr>
              <w:t>一般排放口</w:t>
            </w:r>
          </w:p>
        </w:tc>
      </w:tr>
      <w:tr w:rsidR="00644456">
        <w:tc>
          <w:tcPr>
            <w:tcW w:w="473" w:type="dxa"/>
            <w:vMerge w:val="restart"/>
            <w:vAlign w:val="center"/>
          </w:tcPr>
          <w:p w:rsidR="00644456" w:rsidRDefault="008031C4">
            <w:pPr>
              <w:pStyle w:val="af"/>
              <w:spacing w:after="0"/>
              <w:jc w:val="center"/>
              <w:rPr>
                <w:color w:val="000000" w:themeColor="text1"/>
                <w:szCs w:val="21"/>
              </w:rPr>
            </w:pPr>
            <w:r>
              <w:rPr>
                <w:rFonts w:hint="eastAsia"/>
                <w:color w:val="000000" w:themeColor="text1"/>
                <w:szCs w:val="21"/>
              </w:rPr>
              <w:t>1</w:t>
            </w:r>
          </w:p>
        </w:tc>
        <w:tc>
          <w:tcPr>
            <w:tcW w:w="2513" w:type="dxa"/>
            <w:vMerge w:val="restart"/>
            <w:vAlign w:val="center"/>
          </w:tcPr>
          <w:p w:rsidR="00644456" w:rsidRDefault="008031C4">
            <w:pPr>
              <w:jc w:val="center"/>
              <w:rPr>
                <w:color w:val="000000" w:themeColor="text1"/>
                <w:szCs w:val="21"/>
              </w:rPr>
            </w:pPr>
            <w:r>
              <w:rPr>
                <w:rFonts w:cs="Times New Roman" w:hint="eastAsia"/>
                <w:color w:val="000000" w:themeColor="text1"/>
                <w:szCs w:val="21"/>
              </w:rPr>
              <w:t>工艺不凝气（</w:t>
            </w:r>
            <w:r>
              <w:rPr>
                <w:rFonts w:cs="Times New Roman"/>
                <w:color w:val="000000" w:themeColor="text1"/>
                <w:szCs w:val="21"/>
              </w:rPr>
              <w:t>DA001</w:t>
            </w:r>
            <w:r>
              <w:rPr>
                <w:rFonts w:cs="Times New Roman" w:hint="eastAsia"/>
                <w:color w:val="000000" w:themeColor="text1"/>
                <w:szCs w:val="21"/>
              </w:rPr>
              <w:t>）</w:t>
            </w:r>
          </w:p>
        </w:tc>
        <w:tc>
          <w:tcPr>
            <w:tcW w:w="1460" w:type="dxa"/>
            <w:vAlign w:val="center"/>
          </w:tcPr>
          <w:p w:rsidR="00644456" w:rsidRDefault="008031C4">
            <w:pPr>
              <w:adjustRightInd w:val="0"/>
              <w:snapToGrid w:val="0"/>
              <w:jc w:val="center"/>
              <w:rPr>
                <w:color w:val="000000" w:themeColor="text1"/>
                <w:szCs w:val="21"/>
              </w:rPr>
            </w:pPr>
            <w:r>
              <w:rPr>
                <w:rFonts w:cs="Times New Roman"/>
                <w:szCs w:val="21"/>
                <w:lang w:bidi="ar"/>
              </w:rPr>
              <w:t>非甲烷总烃</w:t>
            </w:r>
          </w:p>
        </w:tc>
        <w:tc>
          <w:tcPr>
            <w:tcW w:w="1645" w:type="dxa"/>
            <w:vAlign w:val="center"/>
          </w:tcPr>
          <w:p w:rsidR="00644456" w:rsidRDefault="008031C4">
            <w:pPr>
              <w:adjustRightInd w:val="0"/>
              <w:snapToGrid w:val="0"/>
              <w:jc w:val="center"/>
              <w:rPr>
                <w:bCs/>
                <w:color w:val="000000" w:themeColor="text1"/>
                <w:szCs w:val="21"/>
              </w:rPr>
            </w:pPr>
            <w:r>
              <w:rPr>
                <w:rFonts w:cs="Times New Roman"/>
                <w:szCs w:val="21"/>
                <w:lang w:bidi="ar"/>
              </w:rPr>
              <w:t>34.375</w:t>
            </w:r>
          </w:p>
        </w:tc>
        <w:tc>
          <w:tcPr>
            <w:tcW w:w="1322" w:type="dxa"/>
            <w:vAlign w:val="center"/>
          </w:tcPr>
          <w:p w:rsidR="00644456" w:rsidRDefault="008031C4">
            <w:pPr>
              <w:adjustRightInd w:val="0"/>
              <w:snapToGrid w:val="0"/>
              <w:jc w:val="center"/>
              <w:rPr>
                <w:color w:val="000000" w:themeColor="text1"/>
                <w:szCs w:val="21"/>
              </w:rPr>
            </w:pPr>
            <w:r>
              <w:rPr>
                <w:rFonts w:cs="Times New Roman"/>
                <w:szCs w:val="21"/>
                <w:lang w:bidi="ar"/>
              </w:rPr>
              <w:t>0.344</w:t>
            </w:r>
          </w:p>
        </w:tc>
        <w:tc>
          <w:tcPr>
            <w:tcW w:w="1145" w:type="dxa"/>
            <w:vAlign w:val="center"/>
          </w:tcPr>
          <w:p w:rsidR="00644456" w:rsidRDefault="008031C4">
            <w:pPr>
              <w:adjustRightInd w:val="0"/>
              <w:snapToGrid w:val="0"/>
              <w:jc w:val="center"/>
              <w:rPr>
                <w:color w:val="000000" w:themeColor="text1"/>
                <w:szCs w:val="21"/>
              </w:rPr>
            </w:pPr>
            <w:r>
              <w:rPr>
                <w:rFonts w:cs="Times New Roman"/>
                <w:szCs w:val="21"/>
                <w:lang w:bidi="ar"/>
              </w:rPr>
              <w:t>2.475</w:t>
            </w:r>
          </w:p>
        </w:tc>
      </w:tr>
      <w:tr w:rsidR="00644456">
        <w:tc>
          <w:tcPr>
            <w:tcW w:w="473" w:type="dxa"/>
            <w:vMerge/>
            <w:vAlign w:val="center"/>
          </w:tcPr>
          <w:p w:rsidR="00644456" w:rsidRDefault="00644456">
            <w:pPr>
              <w:pStyle w:val="af"/>
              <w:spacing w:after="0"/>
              <w:jc w:val="center"/>
              <w:rPr>
                <w:color w:val="000000" w:themeColor="text1"/>
                <w:szCs w:val="21"/>
              </w:rPr>
            </w:pPr>
          </w:p>
        </w:tc>
        <w:tc>
          <w:tcPr>
            <w:tcW w:w="2513" w:type="dxa"/>
            <w:vMerge/>
            <w:vAlign w:val="center"/>
          </w:tcPr>
          <w:p w:rsidR="00644456" w:rsidRDefault="00644456">
            <w:pPr>
              <w:jc w:val="center"/>
              <w:rPr>
                <w:rFonts w:cs="Times New Roman"/>
                <w:color w:val="000000" w:themeColor="text1"/>
                <w:szCs w:val="21"/>
              </w:rPr>
            </w:pPr>
          </w:p>
        </w:tc>
        <w:tc>
          <w:tcPr>
            <w:tcW w:w="1460" w:type="dxa"/>
            <w:vAlign w:val="center"/>
          </w:tcPr>
          <w:p w:rsidR="00644456" w:rsidRDefault="008031C4">
            <w:pPr>
              <w:adjustRightInd w:val="0"/>
              <w:snapToGrid w:val="0"/>
              <w:jc w:val="center"/>
              <w:rPr>
                <w:color w:val="000000" w:themeColor="text1"/>
                <w:szCs w:val="21"/>
              </w:rPr>
            </w:pPr>
            <w:r>
              <w:rPr>
                <w:rFonts w:cs="Times New Roman"/>
                <w:szCs w:val="21"/>
                <w:lang w:bidi="ar"/>
              </w:rPr>
              <w:t>硫化氢</w:t>
            </w:r>
          </w:p>
        </w:tc>
        <w:tc>
          <w:tcPr>
            <w:tcW w:w="1645" w:type="dxa"/>
            <w:vAlign w:val="center"/>
          </w:tcPr>
          <w:p w:rsidR="00644456" w:rsidRDefault="008031C4">
            <w:pPr>
              <w:adjustRightInd w:val="0"/>
              <w:snapToGrid w:val="0"/>
              <w:jc w:val="center"/>
              <w:rPr>
                <w:color w:val="000000" w:themeColor="text1"/>
                <w:szCs w:val="21"/>
                <w:u w:val="single"/>
                <w:lang w:val="de-DE"/>
              </w:rPr>
            </w:pPr>
            <w:r>
              <w:rPr>
                <w:rFonts w:cs="Times New Roman"/>
                <w:szCs w:val="21"/>
                <w:lang w:bidi="ar"/>
              </w:rPr>
              <w:t>0.06</w:t>
            </w:r>
          </w:p>
        </w:tc>
        <w:tc>
          <w:tcPr>
            <w:tcW w:w="1322" w:type="dxa"/>
            <w:vAlign w:val="center"/>
          </w:tcPr>
          <w:p w:rsidR="00644456" w:rsidRDefault="008031C4">
            <w:pPr>
              <w:adjustRightInd w:val="0"/>
              <w:snapToGrid w:val="0"/>
              <w:jc w:val="center"/>
              <w:rPr>
                <w:color w:val="000000" w:themeColor="text1"/>
                <w:szCs w:val="21"/>
                <w:u w:val="single"/>
                <w:lang w:val="de-DE"/>
              </w:rPr>
            </w:pPr>
            <w:r>
              <w:rPr>
                <w:rFonts w:cs="Times New Roman"/>
                <w:szCs w:val="21"/>
                <w:lang w:bidi="ar"/>
              </w:rPr>
              <w:t>0.0006</w:t>
            </w:r>
          </w:p>
        </w:tc>
        <w:tc>
          <w:tcPr>
            <w:tcW w:w="1145" w:type="dxa"/>
            <w:vAlign w:val="center"/>
          </w:tcPr>
          <w:p w:rsidR="00644456" w:rsidRDefault="008031C4">
            <w:pPr>
              <w:adjustRightInd w:val="0"/>
              <w:snapToGrid w:val="0"/>
              <w:jc w:val="center"/>
              <w:rPr>
                <w:color w:val="000000" w:themeColor="text1"/>
                <w:szCs w:val="21"/>
                <w:u w:val="single"/>
                <w:lang w:val="de-DE"/>
              </w:rPr>
            </w:pPr>
            <w:r>
              <w:rPr>
                <w:rFonts w:cs="Times New Roman"/>
                <w:szCs w:val="21"/>
                <w:lang w:bidi="ar"/>
              </w:rPr>
              <w:t>0.004</w:t>
            </w:r>
          </w:p>
        </w:tc>
      </w:tr>
      <w:tr w:rsidR="00EC17B3">
        <w:tc>
          <w:tcPr>
            <w:tcW w:w="473" w:type="dxa"/>
            <w:vMerge w:val="restart"/>
            <w:vAlign w:val="center"/>
          </w:tcPr>
          <w:p w:rsidR="00EC17B3" w:rsidRDefault="00EC17B3" w:rsidP="00EC17B3">
            <w:pPr>
              <w:pStyle w:val="af"/>
              <w:spacing w:after="0"/>
              <w:jc w:val="center"/>
              <w:rPr>
                <w:color w:val="000000" w:themeColor="text1"/>
                <w:szCs w:val="21"/>
              </w:rPr>
            </w:pPr>
            <w:r>
              <w:rPr>
                <w:rFonts w:hint="eastAsia"/>
                <w:color w:val="000000" w:themeColor="text1"/>
                <w:szCs w:val="21"/>
              </w:rPr>
              <w:t>2</w:t>
            </w:r>
          </w:p>
        </w:tc>
        <w:tc>
          <w:tcPr>
            <w:tcW w:w="2513" w:type="dxa"/>
            <w:vMerge w:val="restart"/>
            <w:vAlign w:val="center"/>
          </w:tcPr>
          <w:p w:rsidR="00EC17B3" w:rsidRDefault="00EC17B3" w:rsidP="00EC17B3">
            <w:pPr>
              <w:jc w:val="center"/>
              <w:rPr>
                <w:color w:val="000000" w:themeColor="text1"/>
                <w:szCs w:val="21"/>
              </w:rPr>
            </w:pPr>
            <w:r>
              <w:rPr>
                <w:rFonts w:cs="Times New Roman" w:hint="eastAsia"/>
                <w:color w:val="000000" w:themeColor="text1"/>
                <w:szCs w:val="21"/>
              </w:rPr>
              <w:t>导热油锅炉废气</w:t>
            </w:r>
            <w:r>
              <w:rPr>
                <w:rFonts w:hint="eastAsia"/>
              </w:rPr>
              <w:t>（</w:t>
            </w:r>
            <w:r>
              <w:rPr>
                <w:rFonts w:hint="eastAsia"/>
              </w:rPr>
              <w:t>D</w:t>
            </w:r>
            <w:r>
              <w:t>A002</w:t>
            </w:r>
            <w:r>
              <w:rPr>
                <w:rFonts w:hint="eastAsia"/>
              </w:rPr>
              <w:t>）</w:t>
            </w:r>
          </w:p>
        </w:tc>
        <w:tc>
          <w:tcPr>
            <w:tcW w:w="1460" w:type="dxa"/>
            <w:vAlign w:val="center"/>
          </w:tcPr>
          <w:p w:rsidR="00EC17B3" w:rsidRDefault="00EC17B3" w:rsidP="00EC17B3">
            <w:pPr>
              <w:adjustRightInd w:val="0"/>
              <w:snapToGrid w:val="0"/>
              <w:jc w:val="center"/>
              <w:rPr>
                <w:color w:val="000000" w:themeColor="text1"/>
                <w:szCs w:val="21"/>
              </w:rPr>
            </w:pPr>
            <w:r>
              <w:rPr>
                <w:rFonts w:cs="Times New Roman"/>
                <w:kern w:val="0"/>
                <w:szCs w:val="21"/>
                <w:lang w:bidi="ar"/>
              </w:rPr>
              <w:t>颗粒物</w:t>
            </w:r>
          </w:p>
        </w:tc>
        <w:tc>
          <w:tcPr>
            <w:tcW w:w="1645" w:type="dxa"/>
            <w:vAlign w:val="center"/>
          </w:tcPr>
          <w:p w:rsidR="00EC17B3" w:rsidRDefault="00EC17B3" w:rsidP="00EC17B3">
            <w:pPr>
              <w:adjustRightInd w:val="0"/>
              <w:snapToGrid w:val="0"/>
              <w:jc w:val="center"/>
              <w:rPr>
                <w:bCs/>
                <w:color w:val="000000" w:themeColor="text1"/>
                <w:szCs w:val="21"/>
              </w:rPr>
            </w:pPr>
            <w:r>
              <w:rPr>
                <w:rFonts w:cs="Times New Roman"/>
                <w:bCs/>
                <w:szCs w:val="21"/>
              </w:rPr>
              <w:t>12.31</w:t>
            </w:r>
          </w:p>
        </w:tc>
        <w:tc>
          <w:tcPr>
            <w:tcW w:w="1322" w:type="dxa"/>
            <w:vAlign w:val="center"/>
          </w:tcPr>
          <w:p w:rsidR="00EC17B3" w:rsidRDefault="00EC17B3" w:rsidP="00EC17B3">
            <w:pPr>
              <w:adjustRightInd w:val="0"/>
              <w:snapToGrid w:val="0"/>
              <w:jc w:val="center"/>
              <w:rPr>
                <w:color w:val="000000" w:themeColor="text1"/>
                <w:szCs w:val="21"/>
              </w:rPr>
            </w:pPr>
            <w:r>
              <w:rPr>
                <w:rFonts w:cs="Times New Roman" w:hint="eastAsia"/>
                <w:bCs/>
                <w:szCs w:val="21"/>
              </w:rPr>
              <w:t>0</w:t>
            </w:r>
            <w:r>
              <w:rPr>
                <w:rFonts w:cs="Times New Roman"/>
                <w:bCs/>
                <w:szCs w:val="21"/>
              </w:rPr>
              <w:t>.0168</w:t>
            </w:r>
          </w:p>
        </w:tc>
        <w:tc>
          <w:tcPr>
            <w:tcW w:w="1145" w:type="dxa"/>
            <w:vAlign w:val="center"/>
          </w:tcPr>
          <w:p w:rsidR="00EC17B3" w:rsidRDefault="00EC17B3" w:rsidP="00EC17B3">
            <w:pPr>
              <w:adjustRightInd w:val="0"/>
              <w:snapToGrid w:val="0"/>
              <w:jc w:val="center"/>
              <w:rPr>
                <w:color w:val="000000" w:themeColor="text1"/>
                <w:szCs w:val="21"/>
              </w:rPr>
            </w:pPr>
            <w:r>
              <w:rPr>
                <w:rFonts w:cs="Times New Roman"/>
                <w:bCs/>
                <w:szCs w:val="21"/>
              </w:rPr>
              <w:t>0.121</w:t>
            </w:r>
          </w:p>
        </w:tc>
      </w:tr>
      <w:tr w:rsidR="00644456">
        <w:tc>
          <w:tcPr>
            <w:tcW w:w="473" w:type="dxa"/>
            <w:vMerge/>
            <w:vAlign w:val="center"/>
          </w:tcPr>
          <w:p w:rsidR="00644456" w:rsidRDefault="00644456">
            <w:pPr>
              <w:pStyle w:val="af"/>
              <w:spacing w:after="0"/>
              <w:jc w:val="center"/>
              <w:rPr>
                <w:color w:val="000000" w:themeColor="text1"/>
                <w:szCs w:val="21"/>
              </w:rPr>
            </w:pPr>
            <w:bookmarkStart w:id="309" w:name="_Hlk160441845"/>
          </w:p>
        </w:tc>
        <w:tc>
          <w:tcPr>
            <w:tcW w:w="2513" w:type="dxa"/>
            <w:vMerge/>
            <w:vAlign w:val="center"/>
          </w:tcPr>
          <w:p w:rsidR="00644456" w:rsidRDefault="00644456">
            <w:pPr>
              <w:jc w:val="center"/>
              <w:rPr>
                <w:rFonts w:cs="Times New Roman"/>
                <w:color w:val="000000" w:themeColor="text1"/>
                <w:szCs w:val="21"/>
              </w:rPr>
            </w:pPr>
          </w:p>
        </w:tc>
        <w:tc>
          <w:tcPr>
            <w:tcW w:w="1460" w:type="dxa"/>
            <w:vAlign w:val="center"/>
          </w:tcPr>
          <w:p w:rsidR="00644456" w:rsidRDefault="008031C4">
            <w:pPr>
              <w:adjustRightInd w:val="0"/>
              <w:snapToGrid w:val="0"/>
              <w:jc w:val="center"/>
              <w:rPr>
                <w:color w:val="000000" w:themeColor="text1"/>
                <w:szCs w:val="21"/>
              </w:rPr>
            </w:pPr>
            <w:r>
              <w:rPr>
                <w:rFonts w:cs="Times New Roman"/>
                <w:kern w:val="0"/>
                <w:szCs w:val="21"/>
                <w:lang w:bidi="ar"/>
              </w:rPr>
              <w:t>SO</w:t>
            </w:r>
            <w:r>
              <w:rPr>
                <w:rFonts w:cs="Times New Roman"/>
                <w:kern w:val="0"/>
                <w:szCs w:val="21"/>
                <w:vertAlign w:val="subscript"/>
                <w:lang w:bidi="ar"/>
              </w:rPr>
              <w:t>2</w:t>
            </w:r>
          </w:p>
        </w:tc>
        <w:tc>
          <w:tcPr>
            <w:tcW w:w="1645" w:type="dxa"/>
            <w:vAlign w:val="center"/>
          </w:tcPr>
          <w:p w:rsidR="00644456" w:rsidRDefault="008031C4">
            <w:pPr>
              <w:adjustRightInd w:val="0"/>
              <w:snapToGrid w:val="0"/>
              <w:jc w:val="center"/>
              <w:rPr>
                <w:color w:val="000000" w:themeColor="text1"/>
                <w:szCs w:val="21"/>
                <w:u w:val="single"/>
                <w:lang w:val="de-DE"/>
              </w:rPr>
            </w:pPr>
            <w:r>
              <w:rPr>
                <w:rFonts w:cs="Times New Roman" w:hint="eastAsia"/>
                <w:bCs/>
                <w:szCs w:val="21"/>
              </w:rPr>
              <w:t>1</w:t>
            </w:r>
            <w:r>
              <w:rPr>
                <w:rFonts w:cs="Times New Roman"/>
                <w:bCs/>
                <w:szCs w:val="21"/>
              </w:rPr>
              <w:t>.8</w:t>
            </w:r>
          </w:p>
        </w:tc>
        <w:tc>
          <w:tcPr>
            <w:tcW w:w="1322" w:type="dxa"/>
            <w:vAlign w:val="center"/>
          </w:tcPr>
          <w:p w:rsidR="00644456" w:rsidRDefault="008031C4">
            <w:pPr>
              <w:adjustRightInd w:val="0"/>
              <w:snapToGrid w:val="0"/>
              <w:jc w:val="center"/>
              <w:rPr>
                <w:color w:val="000000" w:themeColor="text1"/>
                <w:szCs w:val="21"/>
                <w:u w:val="single"/>
                <w:lang w:val="de-DE"/>
              </w:rPr>
            </w:pPr>
            <w:r>
              <w:rPr>
                <w:rFonts w:cs="Times New Roman" w:hint="eastAsia"/>
                <w:bCs/>
                <w:szCs w:val="21"/>
              </w:rPr>
              <w:t>0</w:t>
            </w:r>
            <w:r>
              <w:rPr>
                <w:rFonts w:cs="Times New Roman"/>
                <w:bCs/>
                <w:szCs w:val="21"/>
              </w:rPr>
              <w:t>.003</w:t>
            </w:r>
          </w:p>
        </w:tc>
        <w:tc>
          <w:tcPr>
            <w:tcW w:w="1145" w:type="dxa"/>
            <w:vAlign w:val="center"/>
          </w:tcPr>
          <w:p w:rsidR="00644456" w:rsidRDefault="008031C4">
            <w:pPr>
              <w:adjustRightInd w:val="0"/>
              <w:snapToGrid w:val="0"/>
              <w:jc w:val="center"/>
              <w:rPr>
                <w:color w:val="000000" w:themeColor="text1"/>
                <w:szCs w:val="21"/>
                <w:u w:val="single"/>
                <w:lang w:val="de-DE"/>
              </w:rPr>
            </w:pPr>
            <w:r>
              <w:rPr>
                <w:rFonts w:cs="Times New Roman" w:hint="eastAsia"/>
                <w:bCs/>
                <w:szCs w:val="21"/>
              </w:rPr>
              <w:t>0</w:t>
            </w:r>
            <w:r>
              <w:rPr>
                <w:rFonts w:cs="Times New Roman"/>
                <w:bCs/>
                <w:szCs w:val="21"/>
              </w:rPr>
              <w:t>.021</w:t>
            </w:r>
          </w:p>
        </w:tc>
      </w:tr>
      <w:tr w:rsidR="00644456">
        <w:tc>
          <w:tcPr>
            <w:tcW w:w="473" w:type="dxa"/>
            <w:vMerge/>
            <w:vAlign w:val="center"/>
          </w:tcPr>
          <w:p w:rsidR="00644456" w:rsidRDefault="00644456">
            <w:pPr>
              <w:pStyle w:val="af"/>
              <w:spacing w:after="0"/>
              <w:jc w:val="center"/>
              <w:rPr>
                <w:color w:val="000000" w:themeColor="text1"/>
                <w:szCs w:val="21"/>
              </w:rPr>
            </w:pPr>
          </w:p>
        </w:tc>
        <w:tc>
          <w:tcPr>
            <w:tcW w:w="2513" w:type="dxa"/>
            <w:vMerge/>
            <w:vAlign w:val="center"/>
          </w:tcPr>
          <w:p w:rsidR="00644456" w:rsidRDefault="00644456">
            <w:pPr>
              <w:jc w:val="center"/>
              <w:rPr>
                <w:rFonts w:cs="Times New Roman"/>
                <w:color w:val="000000" w:themeColor="text1"/>
                <w:szCs w:val="21"/>
              </w:rPr>
            </w:pPr>
          </w:p>
        </w:tc>
        <w:tc>
          <w:tcPr>
            <w:tcW w:w="1460" w:type="dxa"/>
            <w:vAlign w:val="center"/>
          </w:tcPr>
          <w:p w:rsidR="00644456" w:rsidRDefault="008031C4">
            <w:pPr>
              <w:adjustRightInd w:val="0"/>
              <w:snapToGrid w:val="0"/>
              <w:jc w:val="center"/>
              <w:rPr>
                <w:color w:val="000000" w:themeColor="text1"/>
                <w:szCs w:val="21"/>
              </w:rPr>
            </w:pPr>
            <w:r>
              <w:rPr>
                <w:rFonts w:cs="Times New Roman" w:hint="eastAsia"/>
                <w:szCs w:val="21"/>
                <w:lang w:bidi="ar"/>
              </w:rPr>
              <w:t>NOx</w:t>
            </w:r>
          </w:p>
        </w:tc>
        <w:tc>
          <w:tcPr>
            <w:tcW w:w="1645" w:type="dxa"/>
            <w:vAlign w:val="center"/>
          </w:tcPr>
          <w:p w:rsidR="00644456" w:rsidRDefault="008031C4">
            <w:pPr>
              <w:adjustRightInd w:val="0"/>
              <w:snapToGrid w:val="0"/>
              <w:jc w:val="center"/>
              <w:rPr>
                <w:color w:val="000000" w:themeColor="text1"/>
                <w:szCs w:val="21"/>
                <w:u w:val="single"/>
                <w:lang w:val="de-DE"/>
              </w:rPr>
            </w:pPr>
            <w:r>
              <w:rPr>
                <w:rFonts w:cs="Times New Roman" w:hint="eastAsia"/>
                <w:bCs/>
                <w:szCs w:val="21"/>
              </w:rPr>
              <w:t>6</w:t>
            </w:r>
            <w:r>
              <w:rPr>
                <w:rFonts w:cs="Times New Roman"/>
                <w:bCs/>
                <w:szCs w:val="21"/>
              </w:rPr>
              <w:t>8.7</w:t>
            </w:r>
          </w:p>
        </w:tc>
        <w:tc>
          <w:tcPr>
            <w:tcW w:w="1322" w:type="dxa"/>
            <w:vAlign w:val="center"/>
          </w:tcPr>
          <w:p w:rsidR="00644456" w:rsidRDefault="008031C4">
            <w:pPr>
              <w:adjustRightInd w:val="0"/>
              <w:snapToGrid w:val="0"/>
              <w:jc w:val="center"/>
              <w:rPr>
                <w:color w:val="000000" w:themeColor="text1"/>
                <w:szCs w:val="21"/>
                <w:u w:val="single"/>
                <w:lang w:val="de-DE"/>
              </w:rPr>
            </w:pPr>
            <w:r>
              <w:rPr>
                <w:rFonts w:cs="Times New Roman" w:hint="eastAsia"/>
                <w:bCs/>
                <w:szCs w:val="21"/>
              </w:rPr>
              <w:t>0</w:t>
            </w:r>
            <w:r>
              <w:rPr>
                <w:rFonts w:cs="Times New Roman"/>
                <w:bCs/>
                <w:szCs w:val="21"/>
              </w:rPr>
              <w:t>.112</w:t>
            </w:r>
          </w:p>
        </w:tc>
        <w:tc>
          <w:tcPr>
            <w:tcW w:w="1145" w:type="dxa"/>
            <w:vAlign w:val="center"/>
          </w:tcPr>
          <w:p w:rsidR="00644456" w:rsidRDefault="008031C4">
            <w:pPr>
              <w:adjustRightInd w:val="0"/>
              <w:snapToGrid w:val="0"/>
              <w:jc w:val="center"/>
              <w:rPr>
                <w:color w:val="000000" w:themeColor="text1"/>
                <w:szCs w:val="21"/>
                <w:u w:val="single"/>
                <w:lang w:val="de-DE"/>
              </w:rPr>
            </w:pPr>
            <w:r>
              <w:rPr>
                <w:rFonts w:cs="Times New Roman" w:hint="eastAsia"/>
                <w:bCs/>
                <w:szCs w:val="21"/>
              </w:rPr>
              <w:t>0</w:t>
            </w:r>
            <w:r>
              <w:rPr>
                <w:rFonts w:cs="Times New Roman"/>
                <w:bCs/>
                <w:szCs w:val="21"/>
              </w:rPr>
              <w:t>.809</w:t>
            </w:r>
          </w:p>
        </w:tc>
      </w:tr>
      <w:tr w:rsidR="00644456">
        <w:tc>
          <w:tcPr>
            <w:tcW w:w="2986" w:type="dxa"/>
            <w:gridSpan w:val="2"/>
            <w:vMerge w:val="restart"/>
            <w:vAlign w:val="center"/>
          </w:tcPr>
          <w:p w:rsidR="00644456" w:rsidRDefault="008031C4">
            <w:pPr>
              <w:pStyle w:val="af"/>
              <w:jc w:val="center"/>
              <w:rPr>
                <w:color w:val="000000" w:themeColor="text1"/>
                <w:szCs w:val="21"/>
              </w:rPr>
            </w:pPr>
            <w:r>
              <w:rPr>
                <w:rFonts w:hint="eastAsia"/>
                <w:color w:val="000000" w:themeColor="text1"/>
                <w:szCs w:val="21"/>
              </w:rPr>
              <w:t>有组织</w:t>
            </w:r>
            <w:r>
              <w:rPr>
                <w:color w:val="000000" w:themeColor="text1"/>
                <w:szCs w:val="21"/>
              </w:rPr>
              <w:t>排放合计</w:t>
            </w:r>
          </w:p>
        </w:tc>
        <w:tc>
          <w:tcPr>
            <w:tcW w:w="4427" w:type="dxa"/>
            <w:gridSpan w:val="3"/>
            <w:vAlign w:val="center"/>
          </w:tcPr>
          <w:p w:rsidR="00644456" w:rsidRDefault="008031C4">
            <w:pPr>
              <w:adjustRightInd w:val="0"/>
              <w:snapToGrid w:val="0"/>
              <w:jc w:val="center"/>
              <w:rPr>
                <w:color w:val="000000" w:themeColor="text1"/>
                <w:szCs w:val="21"/>
              </w:rPr>
            </w:pPr>
            <w:r>
              <w:rPr>
                <w:rFonts w:cs="Times New Roman"/>
                <w:szCs w:val="21"/>
                <w:lang w:bidi="ar"/>
              </w:rPr>
              <w:t>非甲烷总烃</w:t>
            </w:r>
          </w:p>
        </w:tc>
        <w:tc>
          <w:tcPr>
            <w:tcW w:w="1145" w:type="dxa"/>
            <w:vAlign w:val="center"/>
          </w:tcPr>
          <w:p w:rsidR="00644456" w:rsidRDefault="008031C4">
            <w:pPr>
              <w:adjustRightInd w:val="0"/>
              <w:snapToGrid w:val="0"/>
              <w:jc w:val="center"/>
              <w:rPr>
                <w:color w:val="000000" w:themeColor="text1"/>
                <w:szCs w:val="21"/>
              </w:rPr>
            </w:pPr>
            <w:r>
              <w:rPr>
                <w:rFonts w:cs="Times New Roman"/>
                <w:szCs w:val="21"/>
                <w:lang w:bidi="ar"/>
              </w:rPr>
              <w:t>2.475</w:t>
            </w:r>
          </w:p>
        </w:tc>
      </w:tr>
      <w:tr w:rsidR="00644456">
        <w:tc>
          <w:tcPr>
            <w:tcW w:w="2986" w:type="dxa"/>
            <w:gridSpan w:val="2"/>
            <w:vMerge/>
            <w:vAlign w:val="center"/>
          </w:tcPr>
          <w:p w:rsidR="00644456" w:rsidRDefault="00644456">
            <w:pPr>
              <w:pStyle w:val="af"/>
              <w:spacing w:after="0"/>
              <w:jc w:val="center"/>
              <w:rPr>
                <w:color w:val="000000" w:themeColor="text1"/>
                <w:szCs w:val="21"/>
              </w:rPr>
            </w:pPr>
          </w:p>
        </w:tc>
        <w:tc>
          <w:tcPr>
            <w:tcW w:w="4427" w:type="dxa"/>
            <w:gridSpan w:val="3"/>
            <w:vAlign w:val="center"/>
          </w:tcPr>
          <w:p w:rsidR="00644456" w:rsidRDefault="008031C4">
            <w:pPr>
              <w:adjustRightInd w:val="0"/>
              <w:snapToGrid w:val="0"/>
              <w:jc w:val="center"/>
              <w:rPr>
                <w:color w:val="000000" w:themeColor="text1"/>
                <w:szCs w:val="21"/>
              </w:rPr>
            </w:pPr>
            <w:r>
              <w:rPr>
                <w:rFonts w:cs="Times New Roman"/>
                <w:szCs w:val="21"/>
                <w:lang w:bidi="ar"/>
              </w:rPr>
              <w:t>硫化氢</w:t>
            </w:r>
          </w:p>
        </w:tc>
        <w:tc>
          <w:tcPr>
            <w:tcW w:w="1145" w:type="dxa"/>
            <w:vAlign w:val="center"/>
          </w:tcPr>
          <w:p w:rsidR="00644456" w:rsidRDefault="008031C4">
            <w:pPr>
              <w:adjustRightInd w:val="0"/>
              <w:snapToGrid w:val="0"/>
              <w:jc w:val="center"/>
              <w:rPr>
                <w:color w:val="000000" w:themeColor="text1"/>
                <w:szCs w:val="21"/>
              </w:rPr>
            </w:pPr>
            <w:r>
              <w:rPr>
                <w:rFonts w:cs="Times New Roman"/>
                <w:szCs w:val="21"/>
                <w:lang w:bidi="ar"/>
              </w:rPr>
              <w:t>0.004</w:t>
            </w:r>
          </w:p>
        </w:tc>
      </w:tr>
      <w:tr w:rsidR="00644456">
        <w:tc>
          <w:tcPr>
            <w:tcW w:w="2986" w:type="dxa"/>
            <w:gridSpan w:val="2"/>
            <w:vMerge/>
            <w:vAlign w:val="center"/>
          </w:tcPr>
          <w:p w:rsidR="00644456" w:rsidRDefault="00644456">
            <w:pPr>
              <w:pStyle w:val="af"/>
              <w:spacing w:after="0"/>
              <w:jc w:val="center"/>
              <w:rPr>
                <w:color w:val="000000" w:themeColor="text1"/>
                <w:szCs w:val="21"/>
              </w:rPr>
            </w:pPr>
          </w:p>
        </w:tc>
        <w:tc>
          <w:tcPr>
            <w:tcW w:w="4427" w:type="dxa"/>
            <w:gridSpan w:val="3"/>
            <w:vAlign w:val="center"/>
          </w:tcPr>
          <w:p w:rsidR="00644456" w:rsidRDefault="008031C4">
            <w:pPr>
              <w:adjustRightInd w:val="0"/>
              <w:snapToGrid w:val="0"/>
              <w:jc w:val="center"/>
              <w:rPr>
                <w:color w:val="000000" w:themeColor="text1"/>
                <w:szCs w:val="21"/>
                <w:lang w:val="de-DE"/>
              </w:rPr>
            </w:pPr>
            <w:r>
              <w:rPr>
                <w:rFonts w:cs="Times New Roman"/>
                <w:kern w:val="0"/>
                <w:szCs w:val="21"/>
                <w:lang w:bidi="ar"/>
              </w:rPr>
              <w:t>颗粒物</w:t>
            </w:r>
          </w:p>
        </w:tc>
        <w:tc>
          <w:tcPr>
            <w:tcW w:w="1145" w:type="dxa"/>
            <w:vAlign w:val="center"/>
          </w:tcPr>
          <w:p w:rsidR="00644456" w:rsidRDefault="00EC17B3">
            <w:pPr>
              <w:adjustRightInd w:val="0"/>
              <w:snapToGrid w:val="0"/>
              <w:jc w:val="center"/>
              <w:rPr>
                <w:color w:val="000000" w:themeColor="text1"/>
                <w:szCs w:val="21"/>
              </w:rPr>
            </w:pPr>
            <w:r>
              <w:rPr>
                <w:rFonts w:cs="Times New Roman"/>
                <w:bCs/>
                <w:szCs w:val="21"/>
              </w:rPr>
              <w:t>0.121</w:t>
            </w:r>
          </w:p>
        </w:tc>
      </w:tr>
      <w:tr w:rsidR="00644456">
        <w:tc>
          <w:tcPr>
            <w:tcW w:w="2986" w:type="dxa"/>
            <w:gridSpan w:val="2"/>
            <w:vMerge/>
            <w:vAlign w:val="center"/>
          </w:tcPr>
          <w:p w:rsidR="00644456" w:rsidRDefault="00644456">
            <w:pPr>
              <w:pStyle w:val="af"/>
              <w:spacing w:after="0"/>
              <w:jc w:val="center"/>
              <w:rPr>
                <w:color w:val="000000" w:themeColor="text1"/>
                <w:szCs w:val="21"/>
              </w:rPr>
            </w:pPr>
          </w:p>
        </w:tc>
        <w:tc>
          <w:tcPr>
            <w:tcW w:w="4427" w:type="dxa"/>
            <w:gridSpan w:val="3"/>
            <w:vAlign w:val="center"/>
          </w:tcPr>
          <w:p w:rsidR="00644456" w:rsidRDefault="008031C4">
            <w:pPr>
              <w:adjustRightInd w:val="0"/>
              <w:snapToGrid w:val="0"/>
              <w:jc w:val="center"/>
              <w:rPr>
                <w:rFonts w:ascii="宋体" w:hAnsi="宋体"/>
                <w:color w:val="000000" w:themeColor="text1"/>
                <w:szCs w:val="21"/>
              </w:rPr>
            </w:pPr>
            <w:r>
              <w:rPr>
                <w:rFonts w:cs="Times New Roman"/>
                <w:kern w:val="0"/>
                <w:szCs w:val="21"/>
                <w:lang w:bidi="ar"/>
              </w:rPr>
              <w:t>SO</w:t>
            </w:r>
            <w:r>
              <w:rPr>
                <w:rFonts w:cs="Times New Roman"/>
                <w:kern w:val="0"/>
                <w:szCs w:val="21"/>
                <w:vertAlign w:val="subscript"/>
                <w:lang w:bidi="ar"/>
              </w:rPr>
              <w:t>2</w:t>
            </w:r>
          </w:p>
        </w:tc>
        <w:tc>
          <w:tcPr>
            <w:tcW w:w="1145" w:type="dxa"/>
            <w:vAlign w:val="center"/>
          </w:tcPr>
          <w:p w:rsidR="00644456" w:rsidRDefault="008031C4">
            <w:pPr>
              <w:adjustRightInd w:val="0"/>
              <w:snapToGrid w:val="0"/>
              <w:jc w:val="center"/>
              <w:rPr>
                <w:color w:val="000000" w:themeColor="text1"/>
                <w:szCs w:val="21"/>
              </w:rPr>
            </w:pPr>
            <w:r>
              <w:rPr>
                <w:rFonts w:cs="Times New Roman" w:hint="eastAsia"/>
                <w:bCs/>
                <w:szCs w:val="21"/>
              </w:rPr>
              <w:t>0</w:t>
            </w:r>
            <w:r>
              <w:rPr>
                <w:rFonts w:cs="Times New Roman"/>
                <w:bCs/>
                <w:szCs w:val="21"/>
              </w:rPr>
              <w:t>.021</w:t>
            </w:r>
          </w:p>
        </w:tc>
      </w:tr>
      <w:tr w:rsidR="00644456">
        <w:tc>
          <w:tcPr>
            <w:tcW w:w="2986" w:type="dxa"/>
            <w:gridSpan w:val="2"/>
            <w:vMerge/>
            <w:vAlign w:val="center"/>
          </w:tcPr>
          <w:p w:rsidR="00644456" w:rsidRDefault="00644456">
            <w:pPr>
              <w:pStyle w:val="af"/>
              <w:spacing w:after="0"/>
              <w:jc w:val="center"/>
              <w:rPr>
                <w:color w:val="000000" w:themeColor="text1"/>
                <w:szCs w:val="21"/>
              </w:rPr>
            </w:pPr>
          </w:p>
        </w:tc>
        <w:tc>
          <w:tcPr>
            <w:tcW w:w="4427" w:type="dxa"/>
            <w:gridSpan w:val="3"/>
            <w:vAlign w:val="center"/>
          </w:tcPr>
          <w:p w:rsidR="00644456" w:rsidRDefault="008031C4">
            <w:pPr>
              <w:adjustRightInd w:val="0"/>
              <w:snapToGrid w:val="0"/>
              <w:jc w:val="center"/>
              <w:rPr>
                <w:rFonts w:ascii="宋体" w:hAnsi="宋体"/>
                <w:color w:val="000000" w:themeColor="text1"/>
                <w:szCs w:val="21"/>
              </w:rPr>
            </w:pPr>
            <w:r>
              <w:rPr>
                <w:rFonts w:cs="Times New Roman" w:hint="eastAsia"/>
                <w:szCs w:val="21"/>
                <w:lang w:bidi="ar"/>
              </w:rPr>
              <w:t>NOx</w:t>
            </w:r>
          </w:p>
        </w:tc>
        <w:tc>
          <w:tcPr>
            <w:tcW w:w="1145" w:type="dxa"/>
            <w:vAlign w:val="center"/>
          </w:tcPr>
          <w:p w:rsidR="00644456" w:rsidRDefault="008031C4">
            <w:pPr>
              <w:adjustRightInd w:val="0"/>
              <w:snapToGrid w:val="0"/>
              <w:jc w:val="center"/>
              <w:rPr>
                <w:color w:val="000000" w:themeColor="text1"/>
                <w:szCs w:val="21"/>
              </w:rPr>
            </w:pPr>
            <w:r>
              <w:rPr>
                <w:rFonts w:cs="Times New Roman" w:hint="eastAsia"/>
                <w:bCs/>
                <w:szCs w:val="21"/>
              </w:rPr>
              <w:t>0</w:t>
            </w:r>
            <w:r>
              <w:rPr>
                <w:rFonts w:cs="Times New Roman"/>
                <w:bCs/>
                <w:szCs w:val="21"/>
              </w:rPr>
              <w:t>.809</w:t>
            </w:r>
          </w:p>
        </w:tc>
      </w:tr>
    </w:tbl>
    <w:bookmarkEnd w:id="309"/>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5.1-8</w:t>
      </w:r>
      <w:r>
        <w:rPr>
          <w:rFonts w:cs="Times New Roman" w:hint="eastAsia"/>
          <w:b/>
          <w:color w:val="000000" w:themeColor="text1"/>
          <w:sz w:val="24"/>
          <w:szCs w:val="20"/>
        </w:rPr>
        <w:t>项目大气污染物无组织排放量核算表</w:t>
      </w:r>
    </w:p>
    <w:tbl>
      <w:tblPr>
        <w:tblW w:w="8694"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88"/>
        <w:gridCol w:w="491"/>
        <w:gridCol w:w="1064"/>
        <w:gridCol w:w="1309"/>
        <w:gridCol w:w="1617"/>
        <w:gridCol w:w="156"/>
        <w:gridCol w:w="1411"/>
        <w:gridCol w:w="1426"/>
        <w:gridCol w:w="932"/>
      </w:tblGrid>
      <w:tr w:rsidR="00644456" w:rsidTr="008B0FF7">
        <w:tc>
          <w:tcPr>
            <w:tcW w:w="288" w:type="dxa"/>
            <w:vMerge w:val="restart"/>
            <w:vAlign w:val="center"/>
          </w:tcPr>
          <w:p w:rsidR="00644456" w:rsidRDefault="008031C4">
            <w:pPr>
              <w:pStyle w:val="af"/>
              <w:wordWrap w:val="0"/>
              <w:spacing w:after="0"/>
              <w:ind w:leftChars="-50" w:left="-105" w:rightChars="-50" w:right="-105"/>
              <w:jc w:val="center"/>
              <w:rPr>
                <w:b/>
                <w:color w:val="000000" w:themeColor="text1"/>
                <w:szCs w:val="21"/>
              </w:rPr>
            </w:pPr>
            <w:r>
              <w:rPr>
                <w:b/>
                <w:color w:val="000000" w:themeColor="text1"/>
                <w:szCs w:val="21"/>
              </w:rPr>
              <w:t>序号</w:t>
            </w:r>
          </w:p>
        </w:tc>
        <w:tc>
          <w:tcPr>
            <w:tcW w:w="491" w:type="dxa"/>
            <w:vMerge w:val="restart"/>
            <w:vAlign w:val="center"/>
          </w:tcPr>
          <w:p w:rsidR="00644456" w:rsidRDefault="008031C4">
            <w:pPr>
              <w:pStyle w:val="af"/>
              <w:wordWrap w:val="0"/>
              <w:spacing w:after="0"/>
              <w:ind w:leftChars="-50" w:left="-105" w:rightChars="-50" w:right="-105"/>
              <w:jc w:val="center"/>
              <w:rPr>
                <w:b/>
                <w:color w:val="000000" w:themeColor="text1"/>
                <w:szCs w:val="21"/>
              </w:rPr>
            </w:pPr>
            <w:r>
              <w:rPr>
                <w:b/>
                <w:color w:val="000000" w:themeColor="text1"/>
                <w:szCs w:val="21"/>
              </w:rPr>
              <w:t>排放口编号</w:t>
            </w:r>
          </w:p>
        </w:tc>
        <w:tc>
          <w:tcPr>
            <w:tcW w:w="1064" w:type="dxa"/>
            <w:vMerge w:val="restart"/>
            <w:vAlign w:val="center"/>
          </w:tcPr>
          <w:p w:rsidR="00644456" w:rsidRDefault="008031C4">
            <w:pPr>
              <w:pStyle w:val="af"/>
              <w:wordWrap w:val="0"/>
              <w:spacing w:after="0"/>
              <w:ind w:leftChars="-50" w:left="-105" w:rightChars="-50" w:right="-105"/>
              <w:jc w:val="center"/>
              <w:rPr>
                <w:b/>
                <w:color w:val="000000" w:themeColor="text1"/>
                <w:szCs w:val="21"/>
              </w:rPr>
            </w:pPr>
            <w:r>
              <w:rPr>
                <w:b/>
                <w:color w:val="000000" w:themeColor="text1"/>
                <w:szCs w:val="21"/>
              </w:rPr>
              <w:t>产污环节</w:t>
            </w:r>
          </w:p>
        </w:tc>
        <w:tc>
          <w:tcPr>
            <w:tcW w:w="1309" w:type="dxa"/>
            <w:vMerge w:val="restart"/>
            <w:vAlign w:val="center"/>
          </w:tcPr>
          <w:p w:rsidR="00644456" w:rsidRDefault="008031C4">
            <w:pPr>
              <w:pStyle w:val="af"/>
              <w:wordWrap w:val="0"/>
              <w:spacing w:after="0"/>
              <w:ind w:leftChars="-50" w:left="-105" w:rightChars="-50" w:right="-105"/>
              <w:jc w:val="center"/>
              <w:rPr>
                <w:b/>
                <w:color w:val="000000" w:themeColor="text1"/>
                <w:szCs w:val="21"/>
              </w:rPr>
            </w:pPr>
            <w:r>
              <w:rPr>
                <w:b/>
                <w:color w:val="000000" w:themeColor="text1"/>
                <w:szCs w:val="21"/>
              </w:rPr>
              <w:t>污染物</w:t>
            </w:r>
          </w:p>
        </w:tc>
        <w:tc>
          <w:tcPr>
            <w:tcW w:w="1617" w:type="dxa"/>
            <w:vMerge w:val="restart"/>
            <w:vAlign w:val="center"/>
          </w:tcPr>
          <w:p w:rsidR="00644456" w:rsidRDefault="008031C4">
            <w:pPr>
              <w:pStyle w:val="af"/>
              <w:wordWrap w:val="0"/>
              <w:spacing w:after="0"/>
              <w:ind w:leftChars="-50" w:left="-105" w:rightChars="-50" w:right="-105"/>
              <w:jc w:val="center"/>
              <w:rPr>
                <w:b/>
                <w:color w:val="000000" w:themeColor="text1"/>
                <w:szCs w:val="21"/>
              </w:rPr>
            </w:pPr>
            <w:r>
              <w:rPr>
                <w:b/>
                <w:color w:val="000000" w:themeColor="text1"/>
                <w:szCs w:val="21"/>
              </w:rPr>
              <w:t>主要污染防治措施</w:t>
            </w:r>
          </w:p>
        </w:tc>
        <w:tc>
          <w:tcPr>
            <w:tcW w:w="2993" w:type="dxa"/>
            <w:gridSpan w:val="3"/>
            <w:vAlign w:val="center"/>
          </w:tcPr>
          <w:p w:rsidR="00644456" w:rsidRDefault="008031C4">
            <w:pPr>
              <w:pStyle w:val="af"/>
              <w:wordWrap w:val="0"/>
              <w:spacing w:after="0"/>
              <w:ind w:leftChars="-50" w:left="-105" w:rightChars="-50" w:right="-105"/>
              <w:jc w:val="center"/>
              <w:rPr>
                <w:b/>
                <w:color w:val="000000" w:themeColor="text1"/>
                <w:szCs w:val="21"/>
              </w:rPr>
            </w:pPr>
            <w:r>
              <w:rPr>
                <w:b/>
                <w:color w:val="000000" w:themeColor="text1"/>
                <w:szCs w:val="21"/>
              </w:rPr>
              <w:t>国家或地方污染物排放标准</w:t>
            </w:r>
          </w:p>
        </w:tc>
        <w:tc>
          <w:tcPr>
            <w:tcW w:w="932" w:type="dxa"/>
            <w:vMerge w:val="restart"/>
            <w:vAlign w:val="center"/>
          </w:tcPr>
          <w:p w:rsidR="00644456" w:rsidRDefault="008031C4">
            <w:pPr>
              <w:pStyle w:val="af"/>
              <w:wordWrap w:val="0"/>
              <w:spacing w:after="0"/>
              <w:ind w:leftChars="-50" w:left="-105" w:rightChars="-50" w:right="-105"/>
              <w:jc w:val="center"/>
              <w:rPr>
                <w:b/>
                <w:color w:val="000000" w:themeColor="text1"/>
                <w:szCs w:val="21"/>
              </w:rPr>
            </w:pPr>
            <w:r>
              <w:rPr>
                <w:b/>
                <w:color w:val="000000" w:themeColor="text1"/>
                <w:szCs w:val="21"/>
              </w:rPr>
              <w:t>年排放量（</w:t>
            </w:r>
            <w:r>
              <w:rPr>
                <w:rFonts w:hint="eastAsia"/>
                <w:b/>
                <w:color w:val="000000" w:themeColor="text1"/>
                <w:szCs w:val="21"/>
              </w:rPr>
              <w:t>t</w:t>
            </w:r>
            <w:r>
              <w:rPr>
                <w:b/>
                <w:color w:val="000000" w:themeColor="text1"/>
                <w:szCs w:val="21"/>
              </w:rPr>
              <w:t>/a</w:t>
            </w:r>
            <w:r>
              <w:rPr>
                <w:b/>
                <w:color w:val="000000" w:themeColor="text1"/>
                <w:szCs w:val="21"/>
              </w:rPr>
              <w:t>）</w:t>
            </w:r>
          </w:p>
        </w:tc>
      </w:tr>
      <w:tr w:rsidR="00644456" w:rsidTr="008B0FF7">
        <w:tc>
          <w:tcPr>
            <w:tcW w:w="288" w:type="dxa"/>
            <w:vMerge/>
            <w:vAlign w:val="center"/>
          </w:tcPr>
          <w:p w:rsidR="00644456" w:rsidRDefault="00644456">
            <w:pPr>
              <w:pStyle w:val="af"/>
              <w:wordWrap w:val="0"/>
              <w:spacing w:after="0"/>
              <w:ind w:leftChars="-50" w:left="-105" w:rightChars="-50" w:right="-105"/>
              <w:jc w:val="center"/>
              <w:rPr>
                <w:color w:val="000000" w:themeColor="text1"/>
                <w:szCs w:val="21"/>
              </w:rPr>
            </w:pPr>
          </w:p>
        </w:tc>
        <w:tc>
          <w:tcPr>
            <w:tcW w:w="491" w:type="dxa"/>
            <w:vMerge/>
            <w:vAlign w:val="center"/>
          </w:tcPr>
          <w:p w:rsidR="00644456" w:rsidRDefault="00644456">
            <w:pPr>
              <w:pStyle w:val="af"/>
              <w:wordWrap w:val="0"/>
              <w:spacing w:after="0"/>
              <w:ind w:leftChars="-50" w:left="-105" w:rightChars="-50" w:right="-105"/>
              <w:jc w:val="center"/>
              <w:rPr>
                <w:color w:val="000000" w:themeColor="text1"/>
                <w:szCs w:val="21"/>
              </w:rPr>
            </w:pPr>
          </w:p>
        </w:tc>
        <w:tc>
          <w:tcPr>
            <w:tcW w:w="1064" w:type="dxa"/>
            <w:vMerge/>
            <w:vAlign w:val="center"/>
          </w:tcPr>
          <w:p w:rsidR="00644456" w:rsidRDefault="00644456">
            <w:pPr>
              <w:pStyle w:val="af"/>
              <w:wordWrap w:val="0"/>
              <w:spacing w:after="0"/>
              <w:ind w:leftChars="-50" w:left="-105" w:rightChars="-50" w:right="-105"/>
              <w:jc w:val="center"/>
              <w:rPr>
                <w:color w:val="000000" w:themeColor="text1"/>
                <w:szCs w:val="21"/>
              </w:rPr>
            </w:pPr>
          </w:p>
        </w:tc>
        <w:tc>
          <w:tcPr>
            <w:tcW w:w="1309" w:type="dxa"/>
            <w:vMerge/>
            <w:vAlign w:val="center"/>
          </w:tcPr>
          <w:p w:rsidR="00644456" w:rsidRDefault="00644456">
            <w:pPr>
              <w:pStyle w:val="af"/>
              <w:wordWrap w:val="0"/>
              <w:spacing w:after="0"/>
              <w:ind w:leftChars="-50" w:left="-105" w:rightChars="-50" w:right="-105"/>
              <w:jc w:val="center"/>
              <w:rPr>
                <w:color w:val="000000" w:themeColor="text1"/>
                <w:szCs w:val="21"/>
              </w:rPr>
            </w:pPr>
          </w:p>
        </w:tc>
        <w:tc>
          <w:tcPr>
            <w:tcW w:w="1617" w:type="dxa"/>
            <w:vMerge/>
            <w:vAlign w:val="center"/>
          </w:tcPr>
          <w:p w:rsidR="00644456" w:rsidRDefault="00644456">
            <w:pPr>
              <w:pStyle w:val="af"/>
              <w:wordWrap w:val="0"/>
              <w:spacing w:after="0"/>
              <w:ind w:leftChars="-50" w:left="-105" w:rightChars="-50" w:right="-105"/>
              <w:jc w:val="center"/>
              <w:rPr>
                <w:color w:val="000000" w:themeColor="text1"/>
                <w:szCs w:val="21"/>
              </w:rPr>
            </w:pPr>
          </w:p>
        </w:tc>
        <w:tc>
          <w:tcPr>
            <w:tcW w:w="1567" w:type="dxa"/>
            <w:gridSpan w:val="2"/>
            <w:vAlign w:val="center"/>
          </w:tcPr>
          <w:p w:rsidR="00644456" w:rsidRDefault="008031C4">
            <w:pPr>
              <w:pStyle w:val="af"/>
              <w:wordWrap w:val="0"/>
              <w:spacing w:after="0"/>
              <w:ind w:leftChars="-50" w:left="-105" w:rightChars="-50" w:right="-105"/>
              <w:jc w:val="center"/>
              <w:rPr>
                <w:b/>
                <w:color w:val="000000" w:themeColor="text1"/>
                <w:szCs w:val="21"/>
              </w:rPr>
            </w:pPr>
            <w:r>
              <w:rPr>
                <w:b/>
                <w:color w:val="000000" w:themeColor="text1"/>
                <w:szCs w:val="21"/>
              </w:rPr>
              <w:t>标准名称</w:t>
            </w:r>
          </w:p>
        </w:tc>
        <w:tc>
          <w:tcPr>
            <w:tcW w:w="1426" w:type="dxa"/>
            <w:vAlign w:val="center"/>
          </w:tcPr>
          <w:p w:rsidR="00644456" w:rsidRDefault="008031C4">
            <w:pPr>
              <w:pStyle w:val="af"/>
              <w:wordWrap w:val="0"/>
              <w:spacing w:after="0"/>
              <w:ind w:leftChars="-50" w:left="-105" w:rightChars="-50" w:right="-105"/>
              <w:jc w:val="center"/>
              <w:rPr>
                <w:b/>
                <w:color w:val="000000" w:themeColor="text1"/>
                <w:szCs w:val="21"/>
              </w:rPr>
            </w:pPr>
            <w:r>
              <w:rPr>
                <w:b/>
                <w:color w:val="000000" w:themeColor="text1"/>
                <w:szCs w:val="21"/>
              </w:rPr>
              <w:t>浓度限值</w:t>
            </w:r>
            <w:r>
              <w:rPr>
                <w:b/>
                <w:color w:val="000000" w:themeColor="text1"/>
                <w:szCs w:val="21"/>
              </w:rPr>
              <w:t>/</w:t>
            </w:r>
            <w:r>
              <w:rPr>
                <w:b/>
                <w:color w:val="000000" w:themeColor="text1"/>
                <w:szCs w:val="21"/>
              </w:rPr>
              <w:t>（</w:t>
            </w:r>
            <w:r>
              <w:rPr>
                <w:rFonts w:hint="eastAsia"/>
                <w:b/>
                <w:color w:val="000000" w:themeColor="text1"/>
                <w:szCs w:val="21"/>
              </w:rPr>
              <w:t>m</w:t>
            </w:r>
            <w:r>
              <w:rPr>
                <w:b/>
                <w:color w:val="000000" w:themeColor="text1"/>
                <w:szCs w:val="21"/>
              </w:rPr>
              <w:t>g/</w:t>
            </w:r>
            <w:r>
              <w:rPr>
                <w:rFonts w:hint="eastAsia"/>
                <w:b/>
                <w:color w:val="000000" w:themeColor="text1"/>
                <w:szCs w:val="21"/>
              </w:rPr>
              <w:t>N</w:t>
            </w:r>
            <w:r>
              <w:rPr>
                <w:b/>
                <w:color w:val="000000" w:themeColor="text1"/>
                <w:szCs w:val="21"/>
              </w:rPr>
              <w:t>m</w:t>
            </w:r>
            <w:r>
              <w:rPr>
                <w:b/>
                <w:color w:val="000000" w:themeColor="text1"/>
                <w:szCs w:val="21"/>
                <w:vertAlign w:val="superscript"/>
              </w:rPr>
              <w:t>3</w:t>
            </w:r>
            <w:r>
              <w:rPr>
                <w:b/>
                <w:color w:val="000000" w:themeColor="text1"/>
                <w:szCs w:val="21"/>
              </w:rPr>
              <w:t>）</w:t>
            </w:r>
          </w:p>
        </w:tc>
        <w:tc>
          <w:tcPr>
            <w:tcW w:w="932" w:type="dxa"/>
            <w:vMerge/>
            <w:vAlign w:val="center"/>
          </w:tcPr>
          <w:p w:rsidR="00644456" w:rsidRDefault="00644456">
            <w:pPr>
              <w:pStyle w:val="af"/>
              <w:wordWrap w:val="0"/>
              <w:spacing w:after="0"/>
              <w:ind w:leftChars="-50" w:left="-105" w:rightChars="-50" w:right="-105"/>
              <w:jc w:val="center"/>
              <w:rPr>
                <w:color w:val="000000" w:themeColor="text1"/>
                <w:szCs w:val="21"/>
              </w:rPr>
            </w:pPr>
          </w:p>
        </w:tc>
      </w:tr>
      <w:tr w:rsidR="00644456" w:rsidTr="008B0FF7">
        <w:tc>
          <w:tcPr>
            <w:tcW w:w="288" w:type="dxa"/>
            <w:vAlign w:val="center"/>
          </w:tcPr>
          <w:p w:rsidR="00644456" w:rsidRDefault="008031C4">
            <w:pPr>
              <w:pStyle w:val="af"/>
              <w:wordWrap w:val="0"/>
              <w:spacing w:after="0"/>
              <w:ind w:leftChars="-50" w:left="-105" w:rightChars="-50" w:right="-105"/>
              <w:jc w:val="center"/>
              <w:rPr>
                <w:color w:val="000000" w:themeColor="text1"/>
                <w:szCs w:val="21"/>
              </w:rPr>
            </w:pPr>
            <w:r>
              <w:rPr>
                <w:rFonts w:hint="eastAsia"/>
                <w:color w:val="000000" w:themeColor="text1"/>
                <w:szCs w:val="21"/>
              </w:rPr>
              <w:t>1</w:t>
            </w:r>
          </w:p>
        </w:tc>
        <w:tc>
          <w:tcPr>
            <w:tcW w:w="491" w:type="dxa"/>
            <w:vAlign w:val="center"/>
          </w:tcPr>
          <w:p w:rsidR="00644456" w:rsidRDefault="008031C4">
            <w:pPr>
              <w:pStyle w:val="af"/>
              <w:wordWrap w:val="0"/>
              <w:spacing w:after="0"/>
              <w:ind w:leftChars="-50" w:left="-105" w:rightChars="-50" w:right="-105"/>
              <w:jc w:val="center"/>
              <w:rPr>
                <w:color w:val="000000" w:themeColor="text1"/>
                <w:szCs w:val="21"/>
              </w:rPr>
            </w:pPr>
            <w:r>
              <w:rPr>
                <w:rFonts w:hint="eastAsia"/>
                <w:color w:val="000000" w:themeColor="text1"/>
                <w:szCs w:val="21"/>
              </w:rPr>
              <w:t>--</w:t>
            </w:r>
          </w:p>
        </w:tc>
        <w:tc>
          <w:tcPr>
            <w:tcW w:w="1064" w:type="dxa"/>
            <w:vAlign w:val="center"/>
          </w:tcPr>
          <w:p w:rsidR="00644456" w:rsidRDefault="008031C4">
            <w:pPr>
              <w:kinsoku w:val="0"/>
              <w:wordWrap w:val="0"/>
              <w:adjustRightInd w:val="0"/>
              <w:snapToGrid w:val="0"/>
              <w:jc w:val="center"/>
            </w:pPr>
            <w:r>
              <w:rPr>
                <w:rFonts w:cs="Times New Roman" w:hint="eastAsia"/>
                <w:color w:val="000000" w:themeColor="text1"/>
                <w:szCs w:val="21"/>
              </w:rPr>
              <w:t>罐区废气</w:t>
            </w:r>
          </w:p>
        </w:tc>
        <w:tc>
          <w:tcPr>
            <w:tcW w:w="1309" w:type="dxa"/>
            <w:vAlign w:val="center"/>
          </w:tcPr>
          <w:p w:rsidR="00644456" w:rsidRDefault="008031C4">
            <w:pPr>
              <w:kinsoku w:val="0"/>
              <w:wordWrap w:val="0"/>
              <w:adjustRightInd w:val="0"/>
              <w:snapToGrid w:val="0"/>
              <w:jc w:val="center"/>
              <w:rPr>
                <w:color w:val="000000" w:themeColor="text1"/>
                <w:szCs w:val="21"/>
              </w:rPr>
            </w:pPr>
            <w:r>
              <w:rPr>
                <w:rFonts w:cs="Times New Roman" w:hint="eastAsia"/>
                <w:szCs w:val="21"/>
                <w:lang w:bidi="ar"/>
              </w:rPr>
              <w:t>非甲烷总烃</w:t>
            </w:r>
          </w:p>
        </w:tc>
        <w:tc>
          <w:tcPr>
            <w:tcW w:w="1617" w:type="dxa"/>
            <w:vAlign w:val="center"/>
          </w:tcPr>
          <w:p w:rsidR="00644456" w:rsidRDefault="008031C4">
            <w:pPr>
              <w:kinsoku w:val="0"/>
              <w:wordWrap w:val="0"/>
              <w:adjustRightInd w:val="0"/>
              <w:snapToGrid w:val="0"/>
              <w:jc w:val="center"/>
            </w:pPr>
            <w:r>
              <w:rPr>
                <w:rFonts w:cs="Times New Roman" w:hint="eastAsia"/>
                <w:color w:val="000000" w:themeColor="text1"/>
                <w:szCs w:val="21"/>
              </w:rPr>
              <w:t>大气稀释扩散，罐体密封</w:t>
            </w:r>
          </w:p>
        </w:tc>
        <w:tc>
          <w:tcPr>
            <w:tcW w:w="1567" w:type="dxa"/>
            <w:gridSpan w:val="2"/>
            <w:vAlign w:val="center"/>
          </w:tcPr>
          <w:p w:rsidR="00644456" w:rsidRDefault="008031C4">
            <w:pPr>
              <w:kinsoku w:val="0"/>
              <w:wordWrap w:val="0"/>
              <w:adjustRightInd w:val="0"/>
              <w:snapToGrid w:val="0"/>
              <w:jc w:val="center"/>
              <w:rPr>
                <w:rFonts w:cs="Times New Roman"/>
                <w:szCs w:val="21"/>
                <w:lang w:bidi="ar"/>
              </w:rPr>
            </w:pPr>
            <w:r>
              <w:rPr>
                <w:rFonts w:cs="Times New Roman" w:hint="eastAsia"/>
                <w:szCs w:val="21"/>
                <w:lang w:bidi="ar"/>
              </w:rPr>
              <w:t>《大气污染物综合排放标准》（</w:t>
            </w:r>
            <w:r>
              <w:rPr>
                <w:rFonts w:cs="Times New Roman" w:hint="eastAsia"/>
                <w:szCs w:val="21"/>
                <w:lang w:bidi="ar"/>
              </w:rPr>
              <w:t>GB16297-1996</w:t>
            </w:r>
            <w:r>
              <w:rPr>
                <w:rFonts w:cs="Times New Roman" w:hint="eastAsia"/>
                <w:szCs w:val="21"/>
                <w:lang w:bidi="ar"/>
              </w:rPr>
              <w:t>）</w:t>
            </w:r>
          </w:p>
        </w:tc>
        <w:tc>
          <w:tcPr>
            <w:tcW w:w="1426" w:type="dxa"/>
            <w:vAlign w:val="center"/>
          </w:tcPr>
          <w:p w:rsidR="00644456" w:rsidRDefault="008031C4">
            <w:pPr>
              <w:pStyle w:val="af"/>
              <w:wordWrap w:val="0"/>
              <w:spacing w:after="0"/>
              <w:ind w:leftChars="-50" w:left="-105" w:rightChars="-50" w:right="-105"/>
              <w:jc w:val="center"/>
              <w:rPr>
                <w:color w:val="000000" w:themeColor="text1"/>
                <w:szCs w:val="21"/>
              </w:rPr>
            </w:pPr>
            <w:r>
              <w:rPr>
                <w:rFonts w:hint="eastAsia"/>
                <w:color w:val="000000" w:themeColor="text1"/>
                <w:szCs w:val="21"/>
              </w:rPr>
              <w:t>4.0</w:t>
            </w:r>
          </w:p>
        </w:tc>
        <w:tc>
          <w:tcPr>
            <w:tcW w:w="932" w:type="dxa"/>
            <w:vAlign w:val="center"/>
          </w:tcPr>
          <w:p w:rsidR="00644456" w:rsidRDefault="008031C4">
            <w:pPr>
              <w:adjustRightInd w:val="0"/>
              <w:snapToGrid w:val="0"/>
              <w:jc w:val="center"/>
              <w:rPr>
                <w:color w:val="000000" w:themeColor="text1"/>
                <w:szCs w:val="21"/>
              </w:rPr>
            </w:pPr>
            <w:r>
              <w:rPr>
                <w:rFonts w:cs="Times New Roman" w:hint="eastAsia"/>
                <w:szCs w:val="21"/>
                <w:lang w:bidi="ar"/>
              </w:rPr>
              <w:t>0</w:t>
            </w:r>
            <w:r>
              <w:rPr>
                <w:rFonts w:cs="Times New Roman"/>
                <w:szCs w:val="21"/>
                <w:lang w:bidi="ar"/>
              </w:rPr>
              <w:t>.531</w:t>
            </w:r>
          </w:p>
        </w:tc>
      </w:tr>
      <w:tr w:rsidR="00644456" w:rsidTr="008B0FF7">
        <w:tc>
          <w:tcPr>
            <w:tcW w:w="288" w:type="dxa"/>
            <w:vMerge w:val="restart"/>
            <w:vAlign w:val="center"/>
          </w:tcPr>
          <w:p w:rsidR="00644456" w:rsidRDefault="008031C4">
            <w:pPr>
              <w:pStyle w:val="af"/>
              <w:wordWrap w:val="0"/>
              <w:spacing w:after="0"/>
              <w:ind w:leftChars="-50" w:left="-105" w:rightChars="-50" w:right="-105"/>
              <w:jc w:val="center"/>
              <w:rPr>
                <w:color w:val="000000" w:themeColor="text1"/>
                <w:szCs w:val="21"/>
              </w:rPr>
            </w:pPr>
            <w:r>
              <w:rPr>
                <w:rFonts w:hint="eastAsia"/>
                <w:color w:val="000000" w:themeColor="text1"/>
                <w:szCs w:val="21"/>
              </w:rPr>
              <w:t>2</w:t>
            </w:r>
          </w:p>
        </w:tc>
        <w:tc>
          <w:tcPr>
            <w:tcW w:w="491" w:type="dxa"/>
            <w:vMerge w:val="restart"/>
            <w:vAlign w:val="center"/>
          </w:tcPr>
          <w:p w:rsidR="00644456" w:rsidRDefault="008031C4">
            <w:pPr>
              <w:pStyle w:val="af"/>
              <w:wordWrap w:val="0"/>
              <w:spacing w:after="0"/>
              <w:ind w:leftChars="-50" w:left="-105" w:rightChars="-50" w:right="-105"/>
              <w:jc w:val="center"/>
              <w:rPr>
                <w:color w:val="000000" w:themeColor="text1"/>
                <w:szCs w:val="21"/>
              </w:rPr>
            </w:pPr>
            <w:r>
              <w:rPr>
                <w:rFonts w:hint="eastAsia"/>
                <w:color w:val="000000" w:themeColor="text1"/>
                <w:szCs w:val="21"/>
              </w:rPr>
              <w:t>--</w:t>
            </w:r>
          </w:p>
        </w:tc>
        <w:tc>
          <w:tcPr>
            <w:tcW w:w="1064" w:type="dxa"/>
            <w:vMerge w:val="restart"/>
            <w:vAlign w:val="center"/>
          </w:tcPr>
          <w:p w:rsidR="00644456" w:rsidRDefault="008031C4">
            <w:pPr>
              <w:kinsoku w:val="0"/>
              <w:wordWrap w:val="0"/>
              <w:adjustRightInd w:val="0"/>
              <w:snapToGrid w:val="0"/>
              <w:jc w:val="center"/>
            </w:pPr>
            <w:r>
              <w:rPr>
                <w:rFonts w:cs="Times New Roman" w:hint="eastAsia"/>
                <w:color w:val="000000" w:themeColor="text1"/>
                <w:szCs w:val="21"/>
              </w:rPr>
              <w:t>污水处理站废气</w:t>
            </w:r>
          </w:p>
        </w:tc>
        <w:tc>
          <w:tcPr>
            <w:tcW w:w="1309" w:type="dxa"/>
            <w:vAlign w:val="center"/>
          </w:tcPr>
          <w:p w:rsidR="00644456" w:rsidRDefault="008031C4">
            <w:pPr>
              <w:kinsoku w:val="0"/>
              <w:wordWrap w:val="0"/>
              <w:adjustRightInd w:val="0"/>
              <w:snapToGrid w:val="0"/>
              <w:jc w:val="center"/>
              <w:rPr>
                <w:color w:val="000000" w:themeColor="text1"/>
                <w:szCs w:val="21"/>
              </w:rPr>
            </w:pPr>
            <w:r>
              <w:rPr>
                <w:rFonts w:cs="Times New Roman" w:hint="eastAsia"/>
                <w:szCs w:val="21"/>
                <w:lang w:eastAsia="en-US" w:bidi="ar"/>
              </w:rPr>
              <w:t>氨</w:t>
            </w:r>
          </w:p>
        </w:tc>
        <w:tc>
          <w:tcPr>
            <w:tcW w:w="1617" w:type="dxa"/>
            <w:vMerge w:val="restart"/>
            <w:vAlign w:val="center"/>
          </w:tcPr>
          <w:p w:rsidR="00644456" w:rsidRDefault="008031C4">
            <w:pPr>
              <w:kinsoku w:val="0"/>
              <w:wordWrap w:val="0"/>
              <w:adjustRightInd w:val="0"/>
              <w:snapToGrid w:val="0"/>
              <w:jc w:val="center"/>
              <w:rPr>
                <w:rFonts w:cs="Times New Roman"/>
                <w:color w:val="000000" w:themeColor="text1"/>
                <w:szCs w:val="21"/>
              </w:rPr>
            </w:pPr>
            <w:r>
              <w:rPr>
                <w:rFonts w:cs="Times New Roman" w:hint="eastAsia"/>
                <w:color w:val="000000" w:themeColor="text1"/>
                <w:szCs w:val="21"/>
              </w:rPr>
              <w:t>加盖</w:t>
            </w:r>
          </w:p>
          <w:p w:rsidR="00644456" w:rsidRDefault="008031C4">
            <w:pPr>
              <w:kinsoku w:val="0"/>
              <w:wordWrap w:val="0"/>
              <w:adjustRightInd w:val="0"/>
              <w:snapToGrid w:val="0"/>
              <w:jc w:val="center"/>
            </w:pPr>
            <w:r>
              <w:rPr>
                <w:rFonts w:cs="Times New Roman" w:hint="eastAsia"/>
                <w:color w:val="000000" w:themeColor="text1"/>
                <w:szCs w:val="21"/>
              </w:rPr>
              <w:t>实现密闭</w:t>
            </w:r>
          </w:p>
        </w:tc>
        <w:tc>
          <w:tcPr>
            <w:tcW w:w="1567" w:type="dxa"/>
            <w:gridSpan w:val="2"/>
            <w:vMerge w:val="restart"/>
            <w:vAlign w:val="center"/>
          </w:tcPr>
          <w:p w:rsidR="00644456" w:rsidRDefault="008031C4">
            <w:pPr>
              <w:kinsoku w:val="0"/>
              <w:wordWrap w:val="0"/>
              <w:adjustRightInd w:val="0"/>
              <w:snapToGrid w:val="0"/>
              <w:jc w:val="center"/>
              <w:rPr>
                <w:rFonts w:cs="Times New Roman"/>
                <w:szCs w:val="21"/>
                <w:lang w:bidi="ar"/>
              </w:rPr>
            </w:pPr>
            <w:r>
              <w:rPr>
                <w:rFonts w:cs="Times New Roman" w:hint="eastAsia"/>
                <w:szCs w:val="21"/>
                <w:lang w:bidi="ar"/>
              </w:rPr>
              <w:t>《恶臭污染物排放标准》（</w:t>
            </w:r>
            <w:r>
              <w:rPr>
                <w:rFonts w:cs="Times New Roman"/>
                <w:szCs w:val="21"/>
                <w:lang w:bidi="ar"/>
              </w:rPr>
              <w:t>GB14554-93</w:t>
            </w:r>
            <w:r>
              <w:rPr>
                <w:rFonts w:cs="Times New Roman" w:hint="eastAsia"/>
                <w:szCs w:val="21"/>
                <w:lang w:bidi="ar"/>
              </w:rPr>
              <w:t>）</w:t>
            </w:r>
          </w:p>
        </w:tc>
        <w:tc>
          <w:tcPr>
            <w:tcW w:w="1426" w:type="dxa"/>
            <w:vAlign w:val="center"/>
          </w:tcPr>
          <w:p w:rsidR="00644456" w:rsidRDefault="008031C4">
            <w:pPr>
              <w:pStyle w:val="af"/>
              <w:wordWrap w:val="0"/>
              <w:spacing w:after="0"/>
              <w:ind w:leftChars="-50" w:left="-105" w:rightChars="-50" w:right="-105"/>
              <w:jc w:val="center"/>
              <w:rPr>
                <w:color w:val="000000" w:themeColor="text1"/>
                <w:szCs w:val="21"/>
              </w:rPr>
            </w:pPr>
            <w:r>
              <w:rPr>
                <w:rFonts w:hint="eastAsia"/>
                <w:color w:val="000000" w:themeColor="text1"/>
                <w:szCs w:val="21"/>
              </w:rPr>
              <w:t>1.5</w:t>
            </w:r>
          </w:p>
        </w:tc>
        <w:tc>
          <w:tcPr>
            <w:tcW w:w="932" w:type="dxa"/>
            <w:vAlign w:val="center"/>
          </w:tcPr>
          <w:p w:rsidR="00644456" w:rsidRDefault="008031C4">
            <w:pPr>
              <w:adjustRightInd w:val="0"/>
              <w:snapToGrid w:val="0"/>
              <w:jc w:val="center"/>
              <w:rPr>
                <w:color w:val="000000" w:themeColor="text1"/>
                <w:szCs w:val="21"/>
              </w:rPr>
            </w:pPr>
            <w:r>
              <w:rPr>
                <w:rFonts w:cs="Times New Roman"/>
                <w:szCs w:val="21"/>
                <w:lang w:bidi="ar"/>
              </w:rPr>
              <w:t>0.027</w:t>
            </w:r>
          </w:p>
        </w:tc>
      </w:tr>
      <w:tr w:rsidR="00644456" w:rsidTr="008B0FF7">
        <w:tc>
          <w:tcPr>
            <w:tcW w:w="288" w:type="dxa"/>
            <w:vMerge/>
            <w:vAlign w:val="center"/>
          </w:tcPr>
          <w:p w:rsidR="00644456" w:rsidRDefault="00644456">
            <w:pPr>
              <w:pStyle w:val="af"/>
              <w:wordWrap w:val="0"/>
              <w:spacing w:after="0"/>
              <w:ind w:leftChars="-50" w:left="-105" w:rightChars="-50" w:right="-105"/>
              <w:jc w:val="center"/>
              <w:rPr>
                <w:color w:val="000000" w:themeColor="text1"/>
                <w:szCs w:val="21"/>
              </w:rPr>
            </w:pPr>
          </w:p>
        </w:tc>
        <w:tc>
          <w:tcPr>
            <w:tcW w:w="491" w:type="dxa"/>
            <w:vMerge/>
            <w:vAlign w:val="center"/>
          </w:tcPr>
          <w:p w:rsidR="00644456" w:rsidRDefault="00644456">
            <w:pPr>
              <w:pStyle w:val="af"/>
              <w:wordWrap w:val="0"/>
              <w:spacing w:after="0"/>
              <w:ind w:leftChars="-50" w:left="-105" w:rightChars="-50" w:right="-105"/>
              <w:jc w:val="center"/>
              <w:rPr>
                <w:color w:val="000000" w:themeColor="text1"/>
                <w:szCs w:val="21"/>
              </w:rPr>
            </w:pPr>
          </w:p>
        </w:tc>
        <w:tc>
          <w:tcPr>
            <w:tcW w:w="1064" w:type="dxa"/>
            <w:vMerge/>
            <w:vAlign w:val="center"/>
          </w:tcPr>
          <w:p w:rsidR="00644456" w:rsidRDefault="00644456">
            <w:pPr>
              <w:kinsoku w:val="0"/>
              <w:wordWrap w:val="0"/>
              <w:adjustRightInd w:val="0"/>
              <w:snapToGrid w:val="0"/>
              <w:jc w:val="center"/>
              <w:rPr>
                <w:rFonts w:cs="Times New Roman"/>
                <w:color w:val="000000" w:themeColor="text1"/>
                <w:szCs w:val="21"/>
              </w:rPr>
            </w:pPr>
          </w:p>
        </w:tc>
        <w:tc>
          <w:tcPr>
            <w:tcW w:w="1309" w:type="dxa"/>
            <w:vAlign w:val="center"/>
          </w:tcPr>
          <w:p w:rsidR="00644456" w:rsidRDefault="008031C4">
            <w:pPr>
              <w:kinsoku w:val="0"/>
              <w:wordWrap w:val="0"/>
              <w:adjustRightInd w:val="0"/>
              <w:snapToGrid w:val="0"/>
              <w:jc w:val="center"/>
              <w:rPr>
                <w:color w:val="000000" w:themeColor="text1"/>
                <w:szCs w:val="21"/>
              </w:rPr>
            </w:pPr>
            <w:r>
              <w:rPr>
                <w:rFonts w:cs="Times New Roman" w:hint="eastAsia"/>
                <w:szCs w:val="21"/>
                <w:lang w:eastAsia="en-US" w:bidi="ar"/>
              </w:rPr>
              <w:t>硫化氢</w:t>
            </w:r>
          </w:p>
        </w:tc>
        <w:tc>
          <w:tcPr>
            <w:tcW w:w="1617" w:type="dxa"/>
            <w:vMerge/>
            <w:vAlign w:val="center"/>
          </w:tcPr>
          <w:p w:rsidR="00644456" w:rsidRDefault="00644456">
            <w:pPr>
              <w:pStyle w:val="38"/>
              <w:kinsoku w:val="0"/>
              <w:wordWrap w:val="0"/>
            </w:pPr>
          </w:p>
        </w:tc>
        <w:tc>
          <w:tcPr>
            <w:tcW w:w="1567" w:type="dxa"/>
            <w:gridSpan w:val="2"/>
            <w:vMerge/>
            <w:vAlign w:val="center"/>
          </w:tcPr>
          <w:p w:rsidR="00644456" w:rsidRDefault="00644456">
            <w:pPr>
              <w:kinsoku w:val="0"/>
              <w:wordWrap w:val="0"/>
              <w:adjustRightInd w:val="0"/>
              <w:snapToGrid w:val="0"/>
              <w:jc w:val="center"/>
              <w:rPr>
                <w:rFonts w:cs="Times New Roman"/>
                <w:szCs w:val="21"/>
                <w:lang w:eastAsia="en-US" w:bidi="ar"/>
              </w:rPr>
            </w:pPr>
          </w:p>
        </w:tc>
        <w:tc>
          <w:tcPr>
            <w:tcW w:w="1426" w:type="dxa"/>
            <w:vAlign w:val="center"/>
          </w:tcPr>
          <w:p w:rsidR="00644456" w:rsidRDefault="008031C4">
            <w:pPr>
              <w:pStyle w:val="af"/>
              <w:wordWrap w:val="0"/>
              <w:spacing w:after="0"/>
              <w:ind w:leftChars="-50" w:left="-105" w:rightChars="-50" w:right="-105"/>
              <w:jc w:val="center"/>
              <w:rPr>
                <w:color w:val="000000" w:themeColor="text1"/>
                <w:szCs w:val="21"/>
              </w:rPr>
            </w:pPr>
            <w:r>
              <w:rPr>
                <w:rFonts w:hint="eastAsia"/>
                <w:color w:val="000000" w:themeColor="text1"/>
                <w:szCs w:val="21"/>
              </w:rPr>
              <w:t>0.06</w:t>
            </w:r>
          </w:p>
        </w:tc>
        <w:tc>
          <w:tcPr>
            <w:tcW w:w="932" w:type="dxa"/>
            <w:vAlign w:val="center"/>
          </w:tcPr>
          <w:p w:rsidR="00644456" w:rsidRDefault="008031C4">
            <w:pPr>
              <w:adjustRightInd w:val="0"/>
              <w:snapToGrid w:val="0"/>
              <w:jc w:val="center"/>
              <w:rPr>
                <w:color w:val="000000" w:themeColor="text1"/>
                <w:szCs w:val="21"/>
              </w:rPr>
            </w:pPr>
            <w:r>
              <w:rPr>
                <w:rFonts w:cs="Times New Roman"/>
                <w:szCs w:val="21"/>
                <w:lang w:bidi="ar"/>
              </w:rPr>
              <w:t>0.0001</w:t>
            </w:r>
          </w:p>
        </w:tc>
      </w:tr>
      <w:tr w:rsidR="00644456" w:rsidTr="008B0FF7">
        <w:tc>
          <w:tcPr>
            <w:tcW w:w="288" w:type="dxa"/>
            <w:vAlign w:val="center"/>
          </w:tcPr>
          <w:p w:rsidR="00644456" w:rsidRDefault="008031C4">
            <w:pPr>
              <w:pStyle w:val="af"/>
              <w:wordWrap w:val="0"/>
              <w:spacing w:after="0"/>
              <w:ind w:leftChars="-50" w:left="-105" w:rightChars="-50" w:right="-105"/>
              <w:jc w:val="center"/>
              <w:rPr>
                <w:color w:val="000000" w:themeColor="text1"/>
                <w:szCs w:val="21"/>
              </w:rPr>
            </w:pPr>
            <w:r>
              <w:rPr>
                <w:rFonts w:hint="eastAsia"/>
                <w:color w:val="000000" w:themeColor="text1"/>
                <w:szCs w:val="21"/>
              </w:rPr>
              <w:t>3</w:t>
            </w:r>
          </w:p>
        </w:tc>
        <w:tc>
          <w:tcPr>
            <w:tcW w:w="491" w:type="dxa"/>
            <w:vAlign w:val="center"/>
          </w:tcPr>
          <w:p w:rsidR="00644456" w:rsidRDefault="008031C4">
            <w:pPr>
              <w:pStyle w:val="af"/>
              <w:wordWrap w:val="0"/>
              <w:spacing w:after="0"/>
              <w:ind w:leftChars="-50" w:left="-105" w:rightChars="-50" w:right="-105"/>
              <w:jc w:val="center"/>
              <w:rPr>
                <w:color w:val="000000" w:themeColor="text1"/>
                <w:szCs w:val="21"/>
              </w:rPr>
            </w:pPr>
            <w:r>
              <w:rPr>
                <w:rFonts w:hint="eastAsia"/>
                <w:color w:val="000000" w:themeColor="text1"/>
                <w:szCs w:val="21"/>
              </w:rPr>
              <w:t>--</w:t>
            </w:r>
          </w:p>
        </w:tc>
        <w:tc>
          <w:tcPr>
            <w:tcW w:w="1064" w:type="dxa"/>
            <w:vAlign w:val="center"/>
          </w:tcPr>
          <w:p w:rsidR="00644456" w:rsidRDefault="008031C4">
            <w:pPr>
              <w:kinsoku w:val="0"/>
              <w:wordWrap w:val="0"/>
              <w:adjustRightInd w:val="0"/>
              <w:snapToGrid w:val="0"/>
              <w:jc w:val="center"/>
            </w:pPr>
            <w:r>
              <w:rPr>
                <w:rFonts w:cs="Times New Roman" w:hint="eastAsia"/>
                <w:color w:val="000000" w:themeColor="text1"/>
                <w:szCs w:val="21"/>
              </w:rPr>
              <w:t>装卸区车装卸损耗废气</w:t>
            </w:r>
          </w:p>
        </w:tc>
        <w:tc>
          <w:tcPr>
            <w:tcW w:w="1309" w:type="dxa"/>
            <w:vAlign w:val="center"/>
          </w:tcPr>
          <w:p w:rsidR="00644456" w:rsidRDefault="008031C4">
            <w:pPr>
              <w:kinsoku w:val="0"/>
              <w:wordWrap w:val="0"/>
              <w:adjustRightInd w:val="0"/>
              <w:snapToGrid w:val="0"/>
              <w:jc w:val="center"/>
              <w:rPr>
                <w:color w:val="000000" w:themeColor="text1"/>
                <w:szCs w:val="21"/>
              </w:rPr>
            </w:pPr>
            <w:r>
              <w:rPr>
                <w:rFonts w:cs="Times New Roman" w:hint="eastAsia"/>
                <w:szCs w:val="21"/>
                <w:lang w:bidi="ar"/>
              </w:rPr>
              <w:t>非甲烷总烃</w:t>
            </w:r>
          </w:p>
        </w:tc>
        <w:tc>
          <w:tcPr>
            <w:tcW w:w="1617" w:type="dxa"/>
            <w:vAlign w:val="center"/>
          </w:tcPr>
          <w:p w:rsidR="00644456" w:rsidRDefault="008031C4">
            <w:pPr>
              <w:kinsoku w:val="0"/>
              <w:wordWrap w:val="0"/>
              <w:adjustRightInd w:val="0"/>
              <w:snapToGrid w:val="0"/>
              <w:jc w:val="center"/>
            </w:pPr>
            <w:r>
              <w:rPr>
                <w:rFonts w:cs="Times New Roman" w:hint="eastAsia"/>
                <w:color w:val="000000" w:themeColor="text1"/>
                <w:szCs w:val="21"/>
              </w:rPr>
              <w:t>密闭装卸</w:t>
            </w:r>
          </w:p>
        </w:tc>
        <w:tc>
          <w:tcPr>
            <w:tcW w:w="1567" w:type="dxa"/>
            <w:gridSpan w:val="2"/>
            <w:vMerge/>
            <w:vAlign w:val="center"/>
          </w:tcPr>
          <w:p w:rsidR="00644456" w:rsidRDefault="00644456">
            <w:pPr>
              <w:pStyle w:val="af"/>
              <w:wordWrap w:val="0"/>
              <w:spacing w:after="0"/>
              <w:ind w:leftChars="-50" w:left="-105" w:rightChars="-50" w:right="-105"/>
              <w:jc w:val="center"/>
              <w:rPr>
                <w:color w:val="000000" w:themeColor="text1"/>
                <w:szCs w:val="21"/>
              </w:rPr>
            </w:pPr>
          </w:p>
        </w:tc>
        <w:tc>
          <w:tcPr>
            <w:tcW w:w="1426" w:type="dxa"/>
            <w:vMerge w:val="restart"/>
            <w:vAlign w:val="center"/>
          </w:tcPr>
          <w:p w:rsidR="00644456" w:rsidRDefault="008B0FF7">
            <w:pPr>
              <w:pStyle w:val="af"/>
              <w:wordWrap w:val="0"/>
              <w:spacing w:after="0"/>
              <w:ind w:leftChars="-50" w:left="-105" w:rightChars="-50" w:right="-105"/>
              <w:jc w:val="center"/>
              <w:rPr>
                <w:color w:val="000000" w:themeColor="text1"/>
                <w:szCs w:val="21"/>
              </w:rPr>
            </w:pPr>
            <w:r>
              <w:rPr>
                <w:rFonts w:hint="eastAsia"/>
                <w:color w:val="000000" w:themeColor="text1"/>
                <w:szCs w:val="21"/>
              </w:rPr>
              <w:t>3</w:t>
            </w:r>
            <w:r>
              <w:rPr>
                <w:color w:val="000000" w:themeColor="text1"/>
                <w:szCs w:val="21"/>
              </w:rPr>
              <w:t>.3228</w:t>
            </w:r>
          </w:p>
        </w:tc>
        <w:tc>
          <w:tcPr>
            <w:tcW w:w="932" w:type="dxa"/>
            <w:vAlign w:val="center"/>
          </w:tcPr>
          <w:p w:rsidR="00644456" w:rsidRDefault="008031C4">
            <w:pPr>
              <w:adjustRightInd w:val="0"/>
              <w:snapToGrid w:val="0"/>
              <w:jc w:val="center"/>
              <w:rPr>
                <w:color w:val="000000" w:themeColor="text1"/>
                <w:szCs w:val="21"/>
              </w:rPr>
            </w:pPr>
            <w:r>
              <w:rPr>
                <w:rFonts w:cs="Times New Roman"/>
                <w:szCs w:val="21"/>
                <w:lang w:bidi="ar"/>
              </w:rPr>
              <w:t>0.018</w:t>
            </w:r>
          </w:p>
        </w:tc>
      </w:tr>
      <w:tr w:rsidR="00644456" w:rsidTr="008B0FF7">
        <w:tc>
          <w:tcPr>
            <w:tcW w:w="288" w:type="dxa"/>
            <w:vAlign w:val="center"/>
          </w:tcPr>
          <w:p w:rsidR="00644456" w:rsidRDefault="008031C4">
            <w:pPr>
              <w:pStyle w:val="af"/>
              <w:wordWrap w:val="0"/>
              <w:spacing w:after="0"/>
              <w:ind w:leftChars="-50" w:left="-105" w:rightChars="-50" w:right="-105"/>
              <w:jc w:val="center"/>
              <w:rPr>
                <w:color w:val="000000" w:themeColor="text1"/>
                <w:szCs w:val="21"/>
              </w:rPr>
            </w:pPr>
            <w:r>
              <w:rPr>
                <w:rFonts w:hint="eastAsia"/>
                <w:color w:val="000000" w:themeColor="text1"/>
                <w:szCs w:val="21"/>
              </w:rPr>
              <w:t>4</w:t>
            </w:r>
          </w:p>
        </w:tc>
        <w:tc>
          <w:tcPr>
            <w:tcW w:w="491" w:type="dxa"/>
            <w:vAlign w:val="center"/>
          </w:tcPr>
          <w:p w:rsidR="00644456" w:rsidRDefault="008031C4">
            <w:pPr>
              <w:pStyle w:val="af"/>
              <w:wordWrap w:val="0"/>
              <w:spacing w:after="0"/>
              <w:ind w:leftChars="-50" w:left="-105" w:rightChars="-50" w:right="-105"/>
              <w:jc w:val="center"/>
              <w:rPr>
                <w:color w:val="000000" w:themeColor="text1"/>
                <w:szCs w:val="21"/>
              </w:rPr>
            </w:pPr>
            <w:r>
              <w:rPr>
                <w:rFonts w:hint="eastAsia"/>
                <w:color w:val="000000" w:themeColor="text1"/>
                <w:szCs w:val="21"/>
              </w:rPr>
              <w:t>--</w:t>
            </w:r>
          </w:p>
        </w:tc>
        <w:tc>
          <w:tcPr>
            <w:tcW w:w="1064" w:type="dxa"/>
            <w:vAlign w:val="center"/>
          </w:tcPr>
          <w:p w:rsidR="00644456" w:rsidRDefault="008031C4">
            <w:pPr>
              <w:kinsoku w:val="0"/>
              <w:wordWrap w:val="0"/>
              <w:adjustRightInd w:val="0"/>
              <w:snapToGrid w:val="0"/>
              <w:jc w:val="center"/>
            </w:pPr>
            <w:r>
              <w:rPr>
                <w:rFonts w:cs="Times New Roman" w:hint="eastAsia"/>
                <w:color w:val="000000" w:themeColor="text1"/>
                <w:szCs w:val="21"/>
              </w:rPr>
              <w:t>装置区动静密封点</w:t>
            </w:r>
            <w:r>
              <w:rPr>
                <w:rFonts w:cs="Times New Roman" w:hint="eastAsia"/>
                <w:color w:val="000000" w:themeColor="text1"/>
                <w:szCs w:val="21"/>
              </w:rPr>
              <w:lastRenderedPageBreak/>
              <w:t>泄漏散发损失</w:t>
            </w:r>
          </w:p>
        </w:tc>
        <w:tc>
          <w:tcPr>
            <w:tcW w:w="1309" w:type="dxa"/>
            <w:vAlign w:val="center"/>
          </w:tcPr>
          <w:p w:rsidR="00644456" w:rsidRDefault="008031C4">
            <w:pPr>
              <w:kinsoku w:val="0"/>
              <w:wordWrap w:val="0"/>
              <w:adjustRightInd w:val="0"/>
              <w:snapToGrid w:val="0"/>
              <w:jc w:val="center"/>
              <w:rPr>
                <w:color w:val="000000" w:themeColor="text1"/>
                <w:szCs w:val="21"/>
              </w:rPr>
            </w:pPr>
            <w:r>
              <w:rPr>
                <w:rFonts w:cs="Times New Roman" w:hint="eastAsia"/>
                <w:szCs w:val="21"/>
                <w:lang w:bidi="ar"/>
              </w:rPr>
              <w:lastRenderedPageBreak/>
              <w:t>非甲烷总烃</w:t>
            </w:r>
          </w:p>
        </w:tc>
        <w:tc>
          <w:tcPr>
            <w:tcW w:w="1617" w:type="dxa"/>
            <w:vAlign w:val="center"/>
          </w:tcPr>
          <w:p w:rsidR="00644456" w:rsidRDefault="008031C4">
            <w:pPr>
              <w:kinsoku w:val="0"/>
              <w:wordWrap w:val="0"/>
              <w:adjustRightInd w:val="0"/>
              <w:snapToGrid w:val="0"/>
              <w:jc w:val="center"/>
            </w:pPr>
            <w:r>
              <w:rPr>
                <w:rFonts w:cs="Times New Roman" w:hint="eastAsia"/>
                <w:color w:val="000000" w:themeColor="text1"/>
                <w:szCs w:val="21"/>
              </w:rPr>
              <w:t>设备密封</w:t>
            </w:r>
          </w:p>
        </w:tc>
        <w:tc>
          <w:tcPr>
            <w:tcW w:w="1567" w:type="dxa"/>
            <w:gridSpan w:val="2"/>
            <w:vMerge/>
            <w:vAlign w:val="center"/>
          </w:tcPr>
          <w:p w:rsidR="00644456" w:rsidRDefault="00644456">
            <w:pPr>
              <w:pStyle w:val="af"/>
              <w:wordWrap w:val="0"/>
              <w:spacing w:after="0"/>
              <w:ind w:leftChars="-50" w:left="-105" w:rightChars="-50" w:right="-105"/>
              <w:jc w:val="center"/>
              <w:rPr>
                <w:color w:val="000000" w:themeColor="text1"/>
                <w:szCs w:val="21"/>
              </w:rPr>
            </w:pPr>
          </w:p>
        </w:tc>
        <w:tc>
          <w:tcPr>
            <w:tcW w:w="1426" w:type="dxa"/>
            <w:vMerge/>
            <w:vAlign w:val="center"/>
          </w:tcPr>
          <w:p w:rsidR="00644456" w:rsidRDefault="00644456">
            <w:pPr>
              <w:pStyle w:val="af"/>
              <w:wordWrap w:val="0"/>
              <w:spacing w:after="0"/>
              <w:ind w:leftChars="-50" w:left="-105" w:rightChars="-50" w:right="-105"/>
              <w:jc w:val="center"/>
              <w:rPr>
                <w:color w:val="000000" w:themeColor="text1"/>
                <w:szCs w:val="21"/>
              </w:rPr>
            </w:pPr>
          </w:p>
        </w:tc>
        <w:tc>
          <w:tcPr>
            <w:tcW w:w="932" w:type="dxa"/>
            <w:vAlign w:val="center"/>
          </w:tcPr>
          <w:p w:rsidR="00644456" w:rsidRDefault="008031C4">
            <w:pPr>
              <w:adjustRightInd w:val="0"/>
              <w:snapToGrid w:val="0"/>
              <w:jc w:val="center"/>
              <w:rPr>
                <w:color w:val="000000" w:themeColor="text1"/>
                <w:szCs w:val="21"/>
              </w:rPr>
            </w:pPr>
            <w:r>
              <w:rPr>
                <w:rFonts w:cs="Times New Roman" w:hint="eastAsia"/>
                <w:szCs w:val="21"/>
                <w:lang w:bidi="ar"/>
              </w:rPr>
              <w:t>3.3048</w:t>
            </w:r>
          </w:p>
        </w:tc>
      </w:tr>
      <w:tr w:rsidR="00644456">
        <w:tc>
          <w:tcPr>
            <w:tcW w:w="8694" w:type="dxa"/>
            <w:gridSpan w:val="9"/>
            <w:vAlign w:val="center"/>
          </w:tcPr>
          <w:p w:rsidR="00644456" w:rsidRDefault="008031C4">
            <w:pPr>
              <w:pStyle w:val="af"/>
              <w:wordWrap w:val="0"/>
              <w:spacing w:after="0"/>
              <w:ind w:leftChars="-50" w:left="-105" w:rightChars="-50" w:right="-105"/>
              <w:jc w:val="center"/>
              <w:rPr>
                <w:color w:val="000000" w:themeColor="text1"/>
                <w:szCs w:val="21"/>
              </w:rPr>
            </w:pPr>
            <w:r>
              <w:rPr>
                <w:rFonts w:hint="eastAsia"/>
                <w:color w:val="000000" w:themeColor="text1"/>
                <w:szCs w:val="21"/>
              </w:rPr>
              <w:t>无组织排放总计</w:t>
            </w:r>
          </w:p>
        </w:tc>
      </w:tr>
      <w:tr w:rsidR="00644456">
        <w:tc>
          <w:tcPr>
            <w:tcW w:w="3152" w:type="dxa"/>
            <w:gridSpan w:val="4"/>
            <w:vMerge w:val="restart"/>
            <w:vAlign w:val="center"/>
          </w:tcPr>
          <w:p w:rsidR="00644456" w:rsidRDefault="008031C4">
            <w:pPr>
              <w:pStyle w:val="af"/>
              <w:wordWrap w:val="0"/>
              <w:spacing w:after="0"/>
              <w:ind w:leftChars="-50" w:left="-105" w:rightChars="-50" w:right="-105"/>
              <w:jc w:val="center"/>
              <w:rPr>
                <w:color w:val="000000" w:themeColor="text1"/>
                <w:szCs w:val="21"/>
              </w:rPr>
            </w:pPr>
            <w:bookmarkStart w:id="310" w:name="_Hlk160441837"/>
            <w:r>
              <w:rPr>
                <w:rFonts w:hint="eastAsia"/>
                <w:color w:val="000000" w:themeColor="text1"/>
                <w:szCs w:val="21"/>
              </w:rPr>
              <w:t>无组织排放总计</w:t>
            </w:r>
          </w:p>
        </w:tc>
        <w:tc>
          <w:tcPr>
            <w:tcW w:w="1773" w:type="dxa"/>
            <w:gridSpan w:val="2"/>
            <w:vAlign w:val="center"/>
          </w:tcPr>
          <w:p w:rsidR="00644456" w:rsidRDefault="008031C4">
            <w:pPr>
              <w:adjustRightInd w:val="0"/>
              <w:snapToGrid w:val="0"/>
              <w:jc w:val="center"/>
              <w:rPr>
                <w:color w:val="000000" w:themeColor="text1"/>
                <w:szCs w:val="21"/>
              </w:rPr>
            </w:pPr>
            <w:r>
              <w:rPr>
                <w:rFonts w:cs="Times New Roman" w:hint="eastAsia"/>
                <w:szCs w:val="21"/>
                <w:lang w:bidi="ar"/>
              </w:rPr>
              <w:t>非甲烷总烃</w:t>
            </w:r>
          </w:p>
        </w:tc>
        <w:tc>
          <w:tcPr>
            <w:tcW w:w="3769" w:type="dxa"/>
            <w:gridSpan w:val="3"/>
            <w:vAlign w:val="center"/>
          </w:tcPr>
          <w:p w:rsidR="00644456" w:rsidRDefault="008B0FF7">
            <w:pPr>
              <w:spacing w:line="240" w:lineRule="exact"/>
              <w:ind w:leftChars="-50" w:left="-105" w:rightChars="-50" w:right="-105"/>
              <w:jc w:val="center"/>
              <w:rPr>
                <w:color w:val="000000" w:themeColor="text1"/>
                <w:szCs w:val="21"/>
              </w:rPr>
            </w:pPr>
            <w:r>
              <w:rPr>
                <w:color w:val="000000" w:themeColor="text1"/>
                <w:szCs w:val="21"/>
              </w:rPr>
              <w:t>3.8538</w:t>
            </w:r>
          </w:p>
        </w:tc>
      </w:tr>
      <w:tr w:rsidR="00644456">
        <w:tc>
          <w:tcPr>
            <w:tcW w:w="3152" w:type="dxa"/>
            <w:gridSpan w:val="4"/>
            <w:vMerge/>
            <w:vAlign w:val="center"/>
          </w:tcPr>
          <w:p w:rsidR="00644456" w:rsidRDefault="00644456">
            <w:pPr>
              <w:pStyle w:val="af"/>
              <w:wordWrap w:val="0"/>
              <w:spacing w:after="0"/>
              <w:ind w:leftChars="-50" w:left="-105" w:rightChars="-50" w:right="-105"/>
              <w:jc w:val="center"/>
              <w:rPr>
                <w:color w:val="000000" w:themeColor="text1"/>
                <w:szCs w:val="21"/>
              </w:rPr>
            </w:pPr>
          </w:p>
        </w:tc>
        <w:tc>
          <w:tcPr>
            <w:tcW w:w="1773" w:type="dxa"/>
            <w:gridSpan w:val="2"/>
            <w:vAlign w:val="center"/>
          </w:tcPr>
          <w:p w:rsidR="00644456" w:rsidRDefault="008031C4">
            <w:pPr>
              <w:adjustRightInd w:val="0"/>
              <w:snapToGrid w:val="0"/>
              <w:jc w:val="center"/>
              <w:rPr>
                <w:color w:val="000000" w:themeColor="text1"/>
                <w:szCs w:val="21"/>
                <w:lang w:val="de-DE"/>
              </w:rPr>
            </w:pPr>
            <w:r>
              <w:rPr>
                <w:rFonts w:cs="Times New Roman" w:hint="eastAsia"/>
                <w:szCs w:val="21"/>
                <w:lang w:eastAsia="en-US" w:bidi="ar"/>
              </w:rPr>
              <w:t>氨</w:t>
            </w:r>
          </w:p>
        </w:tc>
        <w:tc>
          <w:tcPr>
            <w:tcW w:w="3769" w:type="dxa"/>
            <w:gridSpan w:val="3"/>
            <w:vAlign w:val="center"/>
          </w:tcPr>
          <w:p w:rsidR="00644456" w:rsidRDefault="008031C4">
            <w:pPr>
              <w:adjustRightInd w:val="0"/>
              <w:snapToGrid w:val="0"/>
              <w:jc w:val="center"/>
              <w:rPr>
                <w:color w:val="000000" w:themeColor="text1"/>
                <w:szCs w:val="21"/>
              </w:rPr>
            </w:pPr>
            <w:r>
              <w:rPr>
                <w:rFonts w:cs="Times New Roman"/>
                <w:szCs w:val="21"/>
                <w:lang w:bidi="ar"/>
              </w:rPr>
              <w:t>0.027</w:t>
            </w:r>
          </w:p>
        </w:tc>
      </w:tr>
      <w:tr w:rsidR="00644456">
        <w:tc>
          <w:tcPr>
            <w:tcW w:w="3152" w:type="dxa"/>
            <w:gridSpan w:val="4"/>
            <w:vMerge/>
            <w:vAlign w:val="center"/>
          </w:tcPr>
          <w:p w:rsidR="00644456" w:rsidRDefault="00644456">
            <w:pPr>
              <w:pStyle w:val="af"/>
              <w:wordWrap w:val="0"/>
              <w:spacing w:after="0"/>
              <w:ind w:leftChars="-50" w:left="-105" w:rightChars="-50" w:right="-105"/>
              <w:jc w:val="center"/>
              <w:rPr>
                <w:color w:val="000000" w:themeColor="text1"/>
                <w:szCs w:val="21"/>
              </w:rPr>
            </w:pPr>
          </w:p>
        </w:tc>
        <w:tc>
          <w:tcPr>
            <w:tcW w:w="1773" w:type="dxa"/>
            <w:gridSpan w:val="2"/>
            <w:vAlign w:val="center"/>
          </w:tcPr>
          <w:p w:rsidR="00644456" w:rsidRDefault="008031C4">
            <w:pPr>
              <w:adjustRightInd w:val="0"/>
              <w:snapToGrid w:val="0"/>
              <w:jc w:val="center"/>
              <w:rPr>
                <w:color w:val="000000" w:themeColor="text1"/>
                <w:szCs w:val="21"/>
                <w:lang w:val="de-DE"/>
              </w:rPr>
            </w:pPr>
            <w:r>
              <w:rPr>
                <w:rFonts w:cs="Times New Roman" w:hint="eastAsia"/>
                <w:szCs w:val="21"/>
                <w:lang w:eastAsia="en-US" w:bidi="ar"/>
              </w:rPr>
              <w:t>硫化氢</w:t>
            </w:r>
          </w:p>
        </w:tc>
        <w:tc>
          <w:tcPr>
            <w:tcW w:w="3769" w:type="dxa"/>
            <w:gridSpan w:val="3"/>
            <w:vAlign w:val="center"/>
          </w:tcPr>
          <w:p w:rsidR="00644456" w:rsidRDefault="008031C4">
            <w:pPr>
              <w:adjustRightInd w:val="0"/>
              <w:snapToGrid w:val="0"/>
              <w:jc w:val="center"/>
              <w:rPr>
                <w:color w:val="000000" w:themeColor="text1"/>
                <w:szCs w:val="21"/>
              </w:rPr>
            </w:pPr>
            <w:r>
              <w:rPr>
                <w:rFonts w:cs="Times New Roman"/>
                <w:szCs w:val="21"/>
                <w:lang w:bidi="ar"/>
              </w:rPr>
              <w:t>0.0001</w:t>
            </w:r>
          </w:p>
        </w:tc>
      </w:tr>
    </w:tbl>
    <w:bookmarkEnd w:id="310"/>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5.1-9</w:t>
      </w:r>
      <w:r>
        <w:rPr>
          <w:rFonts w:cs="Times New Roman" w:hint="eastAsia"/>
          <w:b/>
          <w:color w:val="000000" w:themeColor="text1"/>
          <w:sz w:val="24"/>
          <w:szCs w:val="20"/>
        </w:rPr>
        <w:t>项目大气污染物年排放量核算表</w:t>
      </w:r>
    </w:p>
    <w:tbl>
      <w:tblPr>
        <w:tblW w:w="8769"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917"/>
        <w:gridCol w:w="2924"/>
        <w:gridCol w:w="2928"/>
      </w:tblGrid>
      <w:tr w:rsidR="00644456">
        <w:trPr>
          <w:trHeight w:val="274"/>
        </w:trPr>
        <w:tc>
          <w:tcPr>
            <w:tcW w:w="2917" w:type="dxa"/>
            <w:vAlign w:val="center"/>
          </w:tcPr>
          <w:p w:rsidR="00644456" w:rsidRDefault="008031C4">
            <w:pPr>
              <w:pStyle w:val="af"/>
              <w:spacing w:after="0"/>
              <w:jc w:val="center"/>
              <w:rPr>
                <w:color w:val="000000" w:themeColor="text1"/>
                <w:szCs w:val="21"/>
              </w:rPr>
            </w:pPr>
            <w:r>
              <w:rPr>
                <w:rFonts w:hint="eastAsia"/>
                <w:color w:val="000000" w:themeColor="text1"/>
                <w:szCs w:val="21"/>
              </w:rPr>
              <w:t>序号</w:t>
            </w:r>
          </w:p>
        </w:tc>
        <w:tc>
          <w:tcPr>
            <w:tcW w:w="2924" w:type="dxa"/>
            <w:vAlign w:val="center"/>
          </w:tcPr>
          <w:p w:rsidR="00644456" w:rsidRDefault="008031C4">
            <w:pPr>
              <w:pStyle w:val="af"/>
              <w:spacing w:after="0"/>
              <w:jc w:val="center"/>
              <w:rPr>
                <w:color w:val="000000" w:themeColor="text1"/>
                <w:szCs w:val="21"/>
              </w:rPr>
            </w:pPr>
            <w:r>
              <w:rPr>
                <w:rFonts w:hint="eastAsia"/>
                <w:color w:val="000000" w:themeColor="text1"/>
                <w:szCs w:val="21"/>
              </w:rPr>
              <w:t>污染物</w:t>
            </w:r>
          </w:p>
        </w:tc>
        <w:tc>
          <w:tcPr>
            <w:tcW w:w="2928" w:type="dxa"/>
            <w:vAlign w:val="center"/>
          </w:tcPr>
          <w:p w:rsidR="00644456" w:rsidRDefault="008031C4">
            <w:pPr>
              <w:pStyle w:val="af"/>
              <w:spacing w:after="0"/>
              <w:jc w:val="center"/>
              <w:rPr>
                <w:color w:val="000000" w:themeColor="text1"/>
                <w:szCs w:val="21"/>
              </w:rPr>
            </w:pPr>
            <w:r>
              <w:rPr>
                <w:rFonts w:hint="eastAsia"/>
                <w:color w:val="000000" w:themeColor="text1"/>
                <w:szCs w:val="21"/>
              </w:rPr>
              <w:t>年排放量（</w:t>
            </w:r>
            <w:r>
              <w:rPr>
                <w:rFonts w:hint="eastAsia"/>
                <w:color w:val="000000" w:themeColor="text1"/>
                <w:szCs w:val="21"/>
              </w:rPr>
              <w:t>t/a</w:t>
            </w:r>
            <w:r>
              <w:rPr>
                <w:rFonts w:hint="eastAsia"/>
                <w:color w:val="000000" w:themeColor="text1"/>
                <w:szCs w:val="21"/>
              </w:rPr>
              <w:t>）</w:t>
            </w:r>
          </w:p>
        </w:tc>
      </w:tr>
      <w:tr w:rsidR="00644456">
        <w:trPr>
          <w:trHeight w:val="110"/>
        </w:trPr>
        <w:tc>
          <w:tcPr>
            <w:tcW w:w="2917" w:type="dxa"/>
            <w:vAlign w:val="center"/>
          </w:tcPr>
          <w:p w:rsidR="00644456" w:rsidRDefault="008031C4">
            <w:pPr>
              <w:pStyle w:val="af"/>
              <w:spacing w:after="0"/>
              <w:jc w:val="center"/>
              <w:rPr>
                <w:color w:val="000000" w:themeColor="text1"/>
                <w:szCs w:val="21"/>
              </w:rPr>
            </w:pPr>
            <w:r>
              <w:rPr>
                <w:rFonts w:hint="eastAsia"/>
                <w:color w:val="000000" w:themeColor="text1"/>
                <w:szCs w:val="21"/>
              </w:rPr>
              <w:t>1</w:t>
            </w:r>
          </w:p>
        </w:tc>
        <w:tc>
          <w:tcPr>
            <w:tcW w:w="2924" w:type="dxa"/>
            <w:vAlign w:val="center"/>
          </w:tcPr>
          <w:p w:rsidR="00644456" w:rsidRDefault="008031C4">
            <w:pPr>
              <w:adjustRightInd w:val="0"/>
              <w:snapToGrid w:val="0"/>
              <w:jc w:val="center"/>
              <w:rPr>
                <w:color w:val="000000" w:themeColor="text1"/>
                <w:szCs w:val="21"/>
              </w:rPr>
            </w:pPr>
            <w:r>
              <w:rPr>
                <w:rFonts w:cs="Times New Roman"/>
                <w:szCs w:val="21"/>
                <w:lang w:bidi="ar"/>
              </w:rPr>
              <w:t>非甲烷总烃</w:t>
            </w:r>
          </w:p>
        </w:tc>
        <w:tc>
          <w:tcPr>
            <w:tcW w:w="2928" w:type="dxa"/>
            <w:vAlign w:val="center"/>
          </w:tcPr>
          <w:p w:rsidR="00644456" w:rsidRDefault="008B0FF7">
            <w:pPr>
              <w:widowControl/>
              <w:jc w:val="center"/>
              <w:textAlignment w:val="center"/>
              <w:rPr>
                <w:color w:val="000000" w:themeColor="text1"/>
                <w:szCs w:val="21"/>
              </w:rPr>
            </w:pPr>
            <w:r>
              <w:rPr>
                <w:color w:val="000000" w:themeColor="text1"/>
                <w:kern w:val="0"/>
                <w:szCs w:val="21"/>
                <w:u w:val="single"/>
              </w:rPr>
              <w:t>6.3288</w:t>
            </w:r>
          </w:p>
        </w:tc>
      </w:tr>
      <w:tr w:rsidR="00644456">
        <w:trPr>
          <w:trHeight w:val="243"/>
        </w:trPr>
        <w:tc>
          <w:tcPr>
            <w:tcW w:w="2917" w:type="dxa"/>
            <w:vAlign w:val="center"/>
          </w:tcPr>
          <w:p w:rsidR="00644456" w:rsidRDefault="008031C4">
            <w:pPr>
              <w:pStyle w:val="af"/>
              <w:spacing w:after="0"/>
              <w:jc w:val="center"/>
              <w:rPr>
                <w:color w:val="000000" w:themeColor="text1"/>
                <w:szCs w:val="21"/>
              </w:rPr>
            </w:pPr>
            <w:r>
              <w:rPr>
                <w:rFonts w:hint="eastAsia"/>
                <w:color w:val="000000" w:themeColor="text1"/>
                <w:szCs w:val="21"/>
              </w:rPr>
              <w:t>2</w:t>
            </w:r>
          </w:p>
        </w:tc>
        <w:tc>
          <w:tcPr>
            <w:tcW w:w="2924" w:type="dxa"/>
            <w:vAlign w:val="center"/>
          </w:tcPr>
          <w:p w:rsidR="00644456" w:rsidRDefault="008031C4">
            <w:pPr>
              <w:adjustRightInd w:val="0"/>
              <w:snapToGrid w:val="0"/>
              <w:jc w:val="center"/>
              <w:rPr>
                <w:color w:val="000000" w:themeColor="text1"/>
                <w:szCs w:val="21"/>
              </w:rPr>
            </w:pPr>
            <w:r>
              <w:rPr>
                <w:rFonts w:cs="Times New Roman"/>
                <w:szCs w:val="21"/>
                <w:lang w:bidi="ar"/>
              </w:rPr>
              <w:t>硫化氢</w:t>
            </w:r>
          </w:p>
        </w:tc>
        <w:tc>
          <w:tcPr>
            <w:tcW w:w="2928" w:type="dxa"/>
            <w:vAlign w:val="center"/>
          </w:tcPr>
          <w:p w:rsidR="00644456" w:rsidRDefault="008031C4">
            <w:pPr>
              <w:jc w:val="center"/>
              <w:textAlignment w:val="center"/>
              <w:rPr>
                <w:color w:val="000000" w:themeColor="text1"/>
                <w:szCs w:val="21"/>
              </w:rPr>
            </w:pPr>
            <w:r>
              <w:rPr>
                <w:rFonts w:hint="eastAsia"/>
                <w:color w:val="000000" w:themeColor="text1"/>
                <w:szCs w:val="21"/>
              </w:rPr>
              <w:t>0.0041</w:t>
            </w:r>
          </w:p>
        </w:tc>
      </w:tr>
      <w:tr w:rsidR="00644456">
        <w:trPr>
          <w:trHeight w:val="258"/>
        </w:trPr>
        <w:tc>
          <w:tcPr>
            <w:tcW w:w="2917" w:type="dxa"/>
            <w:vAlign w:val="center"/>
          </w:tcPr>
          <w:p w:rsidR="00644456" w:rsidRDefault="008031C4">
            <w:pPr>
              <w:pStyle w:val="af"/>
              <w:spacing w:after="0"/>
              <w:jc w:val="center"/>
              <w:rPr>
                <w:color w:val="000000" w:themeColor="text1"/>
                <w:szCs w:val="21"/>
              </w:rPr>
            </w:pPr>
            <w:r>
              <w:rPr>
                <w:rFonts w:hint="eastAsia"/>
                <w:color w:val="000000" w:themeColor="text1"/>
                <w:szCs w:val="21"/>
              </w:rPr>
              <w:t>3</w:t>
            </w:r>
          </w:p>
        </w:tc>
        <w:tc>
          <w:tcPr>
            <w:tcW w:w="2924" w:type="dxa"/>
            <w:vAlign w:val="center"/>
          </w:tcPr>
          <w:p w:rsidR="00644456" w:rsidRDefault="008031C4">
            <w:pPr>
              <w:adjustRightInd w:val="0"/>
              <w:snapToGrid w:val="0"/>
              <w:jc w:val="center"/>
              <w:rPr>
                <w:color w:val="000000" w:themeColor="text1"/>
                <w:szCs w:val="21"/>
                <w:lang w:val="de-DE"/>
              </w:rPr>
            </w:pPr>
            <w:r>
              <w:rPr>
                <w:rFonts w:cs="Times New Roman"/>
                <w:kern w:val="0"/>
                <w:szCs w:val="21"/>
                <w:lang w:bidi="ar"/>
              </w:rPr>
              <w:t>颗粒物</w:t>
            </w:r>
          </w:p>
        </w:tc>
        <w:tc>
          <w:tcPr>
            <w:tcW w:w="2928" w:type="dxa"/>
            <w:vAlign w:val="center"/>
          </w:tcPr>
          <w:p w:rsidR="00644456" w:rsidRDefault="008031C4">
            <w:pPr>
              <w:jc w:val="center"/>
              <w:textAlignment w:val="center"/>
              <w:rPr>
                <w:color w:val="000000" w:themeColor="text1"/>
                <w:szCs w:val="21"/>
              </w:rPr>
            </w:pPr>
            <w:r>
              <w:rPr>
                <w:rFonts w:hint="eastAsia"/>
                <w:color w:val="000000" w:themeColor="text1"/>
                <w:szCs w:val="21"/>
              </w:rPr>
              <w:t>0.</w:t>
            </w:r>
            <w:r w:rsidR="00EC17B3">
              <w:rPr>
                <w:color w:val="000000" w:themeColor="text1"/>
                <w:szCs w:val="21"/>
              </w:rPr>
              <w:t>121</w:t>
            </w:r>
          </w:p>
        </w:tc>
      </w:tr>
      <w:tr w:rsidR="00644456">
        <w:trPr>
          <w:trHeight w:val="274"/>
        </w:trPr>
        <w:tc>
          <w:tcPr>
            <w:tcW w:w="2917" w:type="dxa"/>
            <w:vAlign w:val="center"/>
          </w:tcPr>
          <w:p w:rsidR="00644456" w:rsidRDefault="008031C4">
            <w:pPr>
              <w:pStyle w:val="af"/>
              <w:spacing w:after="0"/>
              <w:jc w:val="center"/>
              <w:rPr>
                <w:color w:val="000000" w:themeColor="text1"/>
                <w:szCs w:val="21"/>
              </w:rPr>
            </w:pPr>
            <w:r>
              <w:rPr>
                <w:rFonts w:hint="eastAsia"/>
                <w:color w:val="000000" w:themeColor="text1"/>
                <w:szCs w:val="21"/>
              </w:rPr>
              <w:t>4</w:t>
            </w:r>
          </w:p>
        </w:tc>
        <w:tc>
          <w:tcPr>
            <w:tcW w:w="2924" w:type="dxa"/>
            <w:vAlign w:val="center"/>
          </w:tcPr>
          <w:p w:rsidR="00644456" w:rsidRDefault="008031C4">
            <w:pPr>
              <w:adjustRightInd w:val="0"/>
              <w:snapToGrid w:val="0"/>
              <w:jc w:val="center"/>
              <w:rPr>
                <w:rFonts w:ascii="宋体" w:hAnsi="宋体"/>
                <w:color w:val="000000" w:themeColor="text1"/>
                <w:szCs w:val="21"/>
              </w:rPr>
            </w:pPr>
            <w:r>
              <w:rPr>
                <w:rFonts w:cs="Times New Roman"/>
                <w:kern w:val="0"/>
                <w:szCs w:val="21"/>
                <w:lang w:bidi="ar"/>
              </w:rPr>
              <w:t>SO</w:t>
            </w:r>
            <w:r>
              <w:rPr>
                <w:rFonts w:cs="Times New Roman"/>
                <w:kern w:val="0"/>
                <w:szCs w:val="21"/>
                <w:vertAlign w:val="subscript"/>
                <w:lang w:bidi="ar"/>
              </w:rPr>
              <w:t>2</w:t>
            </w:r>
          </w:p>
        </w:tc>
        <w:tc>
          <w:tcPr>
            <w:tcW w:w="2928" w:type="dxa"/>
            <w:vAlign w:val="center"/>
          </w:tcPr>
          <w:p w:rsidR="00644456" w:rsidRDefault="008031C4">
            <w:pPr>
              <w:adjustRightInd w:val="0"/>
              <w:snapToGrid w:val="0"/>
              <w:jc w:val="center"/>
              <w:rPr>
                <w:color w:val="000000" w:themeColor="text1"/>
                <w:szCs w:val="21"/>
              </w:rPr>
            </w:pPr>
            <w:r>
              <w:rPr>
                <w:rFonts w:cs="Times New Roman" w:hint="eastAsia"/>
                <w:bCs/>
                <w:szCs w:val="21"/>
              </w:rPr>
              <w:t>0</w:t>
            </w:r>
            <w:r>
              <w:rPr>
                <w:rFonts w:cs="Times New Roman"/>
                <w:bCs/>
                <w:szCs w:val="21"/>
              </w:rPr>
              <w:t>.021</w:t>
            </w:r>
          </w:p>
        </w:tc>
      </w:tr>
      <w:tr w:rsidR="00644456">
        <w:trPr>
          <w:trHeight w:val="274"/>
        </w:trPr>
        <w:tc>
          <w:tcPr>
            <w:tcW w:w="2917" w:type="dxa"/>
            <w:vAlign w:val="center"/>
          </w:tcPr>
          <w:p w:rsidR="00644456" w:rsidRDefault="008031C4">
            <w:pPr>
              <w:pStyle w:val="af"/>
              <w:spacing w:after="0"/>
              <w:jc w:val="center"/>
              <w:rPr>
                <w:color w:val="000000" w:themeColor="text1"/>
                <w:szCs w:val="21"/>
              </w:rPr>
            </w:pPr>
            <w:r>
              <w:rPr>
                <w:rFonts w:hint="eastAsia"/>
                <w:color w:val="000000" w:themeColor="text1"/>
                <w:szCs w:val="21"/>
              </w:rPr>
              <w:t>5</w:t>
            </w:r>
          </w:p>
        </w:tc>
        <w:tc>
          <w:tcPr>
            <w:tcW w:w="2924" w:type="dxa"/>
            <w:vAlign w:val="center"/>
          </w:tcPr>
          <w:p w:rsidR="00644456" w:rsidRDefault="008031C4">
            <w:pPr>
              <w:adjustRightInd w:val="0"/>
              <w:snapToGrid w:val="0"/>
              <w:jc w:val="center"/>
              <w:rPr>
                <w:color w:val="000000" w:themeColor="text1"/>
                <w:szCs w:val="21"/>
              </w:rPr>
            </w:pPr>
            <w:r>
              <w:rPr>
                <w:rFonts w:cs="Times New Roman" w:hint="eastAsia"/>
                <w:szCs w:val="21"/>
                <w:lang w:bidi="ar"/>
              </w:rPr>
              <w:t>NOx</w:t>
            </w:r>
          </w:p>
        </w:tc>
        <w:tc>
          <w:tcPr>
            <w:tcW w:w="2928" w:type="dxa"/>
            <w:vAlign w:val="center"/>
          </w:tcPr>
          <w:p w:rsidR="00644456" w:rsidRDefault="008031C4">
            <w:pPr>
              <w:adjustRightInd w:val="0"/>
              <w:snapToGrid w:val="0"/>
              <w:jc w:val="center"/>
              <w:rPr>
                <w:color w:val="000000" w:themeColor="text1"/>
                <w:szCs w:val="21"/>
              </w:rPr>
            </w:pPr>
            <w:r>
              <w:rPr>
                <w:rFonts w:cs="Times New Roman" w:hint="eastAsia"/>
                <w:bCs/>
                <w:szCs w:val="21"/>
              </w:rPr>
              <w:t>0</w:t>
            </w:r>
            <w:r>
              <w:rPr>
                <w:rFonts w:cs="Times New Roman"/>
                <w:bCs/>
                <w:szCs w:val="21"/>
              </w:rPr>
              <w:t>.809</w:t>
            </w:r>
          </w:p>
        </w:tc>
      </w:tr>
      <w:tr w:rsidR="00644456">
        <w:trPr>
          <w:trHeight w:val="274"/>
        </w:trPr>
        <w:tc>
          <w:tcPr>
            <w:tcW w:w="2917" w:type="dxa"/>
            <w:vAlign w:val="center"/>
          </w:tcPr>
          <w:p w:rsidR="00644456" w:rsidRDefault="008031C4">
            <w:pPr>
              <w:pStyle w:val="af"/>
              <w:spacing w:after="0"/>
              <w:jc w:val="center"/>
              <w:rPr>
                <w:color w:val="000000" w:themeColor="text1"/>
                <w:szCs w:val="21"/>
              </w:rPr>
            </w:pPr>
            <w:r>
              <w:rPr>
                <w:rFonts w:hint="eastAsia"/>
                <w:color w:val="000000" w:themeColor="text1"/>
                <w:szCs w:val="21"/>
              </w:rPr>
              <w:t>6</w:t>
            </w:r>
          </w:p>
        </w:tc>
        <w:tc>
          <w:tcPr>
            <w:tcW w:w="2924" w:type="dxa"/>
            <w:vAlign w:val="center"/>
          </w:tcPr>
          <w:p w:rsidR="00644456" w:rsidRDefault="008031C4">
            <w:pPr>
              <w:adjustRightInd w:val="0"/>
              <w:snapToGrid w:val="0"/>
              <w:jc w:val="center"/>
              <w:rPr>
                <w:color w:val="000000" w:themeColor="text1"/>
                <w:szCs w:val="21"/>
                <w:u w:val="single"/>
              </w:rPr>
            </w:pPr>
            <w:r>
              <w:rPr>
                <w:rFonts w:cs="Times New Roman" w:hint="eastAsia"/>
                <w:szCs w:val="21"/>
                <w:lang w:eastAsia="en-US" w:bidi="ar"/>
              </w:rPr>
              <w:t>氨</w:t>
            </w:r>
          </w:p>
        </w:tc>
        <w:tc>
          <w:tcPr>
            <w:tcW w:w="2928" w:type="dxa"/>
            <w:vAlign w:val="center"/>
          </w:tcPr>
          <w:p w:rsidR="00644456" w:rsidRDefault="008031C4">
            <w:pPr>
              <w:jc w:val="center"/>
              <w:textAlignment w:val="center"/>
              <w:rPr>
                <w:color w:val="000000" w:themeColor="text1"/>
                <w:kern w:val="0"/>
                <w:szCs w:val="21"/>
                <w:u w:val="single"/>
              </w:rPr>
            </w:pPr>
            <w:r>
              <w:rPr>
                <w:rFonts w:cs="Times New Roman"/>
                <w:szCs w:val="21"/>
                <w:lang w:bidi="ar"/>
              </w:rPr>
              <w:t>0.027</w:t>
            </w:r>
          </w:p>
        </w:tc>
      </w:tr>
    </w:tbl>
    <w:bookmarkEnd w:id="307"/>
    <w:bookmarkEnd w:id="308"/>
    <w:p w:rsidR="00644456" w:rsidRDefault="008031C4">
      <w:pPr>
        <w:pStyle w:val="3"/>
        <w:numPr>
          <w:ilvl w:val="2"/>
          <w:numId w:val="0"/>
        </w:numPr>
        <w:ind w:firstLineChars="200" w:firstLine="482"/>
      </w:pPr>
      <w:r>
        <w:rPr>
          <w:rFonts w:hint="eastAsia"/>
        </w:rPr>
        <w:t>5.1.3</w:t>
      </w:r>
      <w:r>
        <w:rPr>
          <w:rFonts w:hint="eastAsia"/>
        </w:rPr>
        <w:t>环境防护距离</w:t>
      </w:r>
    </w:p>
    <w:p w:rsidR="00644456" w:rsidRDefault="008031C4">
      <w:pPr>
        <w:spacing w:line="360" w:lineRule="auto"/>
        <w:ind w:firstLine="480"/>
        <w:contextualSpacing/>
        <w:textAlignment w:val="center"/>
        <w:rPr>
          <w:rFonts w:cs="Times New Roman"/>
          <w:b/>
          <w:color w:val="000000" w:themeColor="text1"/>
          <w:sz w:val="24"/>
        </w:rPr>
      </w:pPr>
      <w:r>
        <w:rPr>
          <w:rFonts w:cs="Times New Roman"/>
          <w:b/>
          <w:color w:val="000000" w:themeColor="text1"/>
          <w:sz w:val="24"/>
        </w:rPr>
        <w:t>1</w:t>
      </w:r>
      <w:r>
        <w:rPr>
          <w:rFonts w:cs="Times New Roman"/>
          <w:b/>
          <w:color w:val="000000" w:themeColor="text1"/>
          <w:sz w:val="24"/>
        </w:rPr>
        <w:t>、大气环境防护距离</w:t>
      </w:r>
    </w:p>
    <w:p w:rsidR="00644456" w:rsidRDefault="008031C4">
      <w:pPr>
        <w:spacing w:line="360" w:lineRule="auto"/>
        <w:ind w:firstLineChars="200" w:firstLine="480"/>
        <w:rPr>
          <w:rFonts w:cs="Times New Roman"/>
          <w:color w:val="000000" w:themeColor="text1"/>
          <w:sz w:val="24"/>
          <w:szCs w:val="24"/>
        </w:rPr>
      </w:pPr>
      <w:r>
        <w:rPr>
          <w:rFonts w:cs="Times New Roman"/>
          <w:color w:val="000000" w:themeColor="text1"/>
          <w:sz w:val="24"/>
          <w:szCs w:val="24"/>
        </w:rPr>
        <w:t>根据《</w:t>
      </w:r>
      <w:r>
        <w:rPr>
          <w:rFonts w:cs="Times New Roman" w:hint="eastAsia"/>
          <w:color w:val="000000" w:themeColor="text1"/>
          <w:sz w:val="24"/>
          <w:szCs w:val="24"/>
        </w:rPr>
        <w:t>环境影响评价技术导则</w:t>
      </w:r>
      <w:r>
        <w:rPr>
          <w:rFonts w:cs="Times New Roman"/>
          <w:color w:val="000000" w:themeColor="text1"/>
          <w:sz w:val="24"/>
          <w:szCs w:val="24"/>
        </w:rPr>
        <w:t>大气环境》（</w:t>
      </w:r>
      <w:r>
        <w:rPr>
          <w:rFonts w:cs="Times New Roman"/>
          <w:color w:val="000000" w:themeColor="text1"/>
          <w:sz w:val="24"/>
          <w:szCs w:val="24"/>
        </w:rPr>
        <w:t>HJ2.2-2018</w:t>
      </w:r>
      <w:r>
        <w:rPr>
          <w:rFonts w:cs="Times New Roman"/>
          <w:color w:val="000000" w:themeColor="text1"/>
          <w:sz w:val="24"/>
          <w:szCs w:val="24"/>
        </w:rPr>
        <w:t>）</w:t>
      </w:r>
      <w:r>
        <w:rPr>
          <w:rFonts w:cs="Times New Roman" w:hint="eastAsia"/>
          <w:color w:val="000000" w:themeColor="text1"/>
          <w:sz w:val="24"/>
          <w:szCs w:val="24"/>
        </w:rPr>
        <w:t>，</w:t>
      </w:r>
      <w:r>
        <w:rPr>
          <w:rFonts w:cs="Times New Roman"/>
          <w:color w:val="000000" w:themeColor="text1"/>
          <w:sz w:val="24"/>
          <w:szCs w:val="24"/>
        </w:rPr>
        <w:t>项目采用进一步预测模型</w:t>
      </w:r>
      <w:r>
        <w:rPr>
          <w:rFonts w:cs="Times New Roman"/>
          <w:color w:val="000000" w:themeColor="text1"/>
          <w:sz w:val="24"/>
          <w:szCs w:val="24"/>
        </w:rPr>
        <w:t>AERMOD</w:t>
      </w:r>
      <w:r>
        <w:rPr>
          <w:rFonts w:cs="Times New Roman"/>
          <w:color w:val="000000" w:themeColor="text1"/>
          <w:sz w:val="24"/>
          <w:szCs w:val="24"/>
        </w:rPr>
        <w:t>模拟评价基准年内厂区所有污染源对厂界外主要污染物的短期浓度贡献值，对于厂界外大气污染物短期贡献浓度超过环境质量浓度限值的，可以自厂界向外设置一定范围的大气环境防护区域，以确保大气环境防护区域外的污染物贡献浓度满足环境质量标准。</w:t>
      </w:r>
    </w:p>
    <w:p w:rsidR="00644456" w:rsidRDefault="008031C4">
      <w:pPr>
        <w:spacing w:line="360" w:lineRule="auto"/>
        <w:ind w:firstLineChars="200" w:firstLine="480"/>
        <w:rPr>
          <w:rFonts w:cs="Times New Roman"/>
          <w:color w:val="000000" w:themeColor="text1"/>
          <w:sz w:val="24"/>
          <w:szCs w:val="24"/>
        </w:rPr>
      </w:pPr>
      <w:r>
        <w:rPr>
          <w:rFonts w:cs="Times New Roman" w:hint="eastAsia"/>
          <w:color w:val="000000" w:themeColor="text1"/>
          <w:sz w:val="24"/>
          <w:szCs w:val="24"/>
        </w:rPr>
        <w:t>根据计算，项目厂界外所有污染物的所有受体均未超标</w:t>
      </w:r>
      <w:r>
        <w:rPr>
          <w:rFonts w:cs="Times New Roman"/>
          <w:color w:val="000000" w:themeColor="text1"/>
          <w:sz w:val="24"/>
          <w:szCs w:val="24"/>
        </w:rPr>
        <w:t>。因此不设置大气环境防护距离。</w:t>
      </w:r>
    </w:p>
    <w:p w:rsidR="00644456" w:rsidRDefault="008031C4">
      <w:pPr>
        <w:spacing w:line="360" w:lineRule="auto"/>
        <w:ind w:firstLine="480"/>
        <w:textAlignment w:val="center"/>
        <w:rPr>
          <w:rFonts w:cs="Times New Roman"/>
          <w:b/>
          <w:color w:val="000000" w:themeColor="text1"/>
          <w:sz w:val="24"/>
        </w:rPr>
      </w:pPr>
      <w:r>
        <w:rPr>
          <w:rFonts w:cs="Times New Roman"/>
          <w:b/>
          <w:color w:val="000000" w:themeColor="text1"/>
          <w:sz w:val="24"/>
        </w:rPr>
        <w:t>2</w:t>
      </w:r>
      <w:r>
        <w:rPr>
          <w:rFonts w:cs="Times New Roman"/>
          <w:b/>
          <w:color w:val="000000" w:themeColor="text1"/>
          <w:sz w:val="24"/>
        </w:rPr>
        <w:t>、卫生防护距离</w:t>
      </w:r>
    </w:p>
    <w:bookmarkEnd w:id="300"/>
    <w:p w:rsidR="00644456" w:rsidRDefault="008031C4">
      <w:pPr>
        <w:spacing w:line="360" w:lineRule="auto"/>
        <w:ind w:firstLineChars="200" w:firstLine="480"/>
        <w:rPr>
          <w:rFonts w:cs="Times New Roman"/>
          <w:color w:val="000000" w:themeColor="text1"/>
          <w:sz w:val="24"/>
          <w:szCs w:val="24"/>
        </w:rPr>
      </w:pPr>
      <w:r>
        <w:rPr>
          <w:rFonts w:cs="Times New Roman"/>
          <w:color w:val="000000" w:themeColor="text1"/>
          <w:sz w:val="24"/>
          <w:szCs w:val="24"/>
        </w:rPr>
        <w:t>为有效减轻废气无组织排放对外环境造成的不利影响，本次环评对无组织排放控制设置卫生防护距离。</w:t>
      </w:r>
    </w:p>
    <w:p w:rsidR="00644456" w:rsidRDefault="008031C4">
      <w:pPr>
        <w:pStyle w:val="Default"/>
        <w:spacing w:line="360" w:lineRule="auto"/>
        <w:ind w:firstLineChars="200" w:firstLine="480"/>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本项目卫生防护距离的计算方法采用《大气有害物质无组织排放卫生防护距离推导技术导则》（</w:t>
      </w:r>
      <w:r>
        <w:rPr>
          <w:rFonts w:ascii="Times New Roman" w:eastAsia="宋体" w:hAnsi="Times New Roman" w:cs="Times New Roman"/>
          <w:bCs/>
          <w:color w:val="000000" w:themeColor="text1"/>
        </w:rPr>
        <w:t>GB/T39499-2020</w:t>
      </w:r>
      <w:r>
        <w:rPr>
          <w:rFonts w:ascii="Times New Roman" w:eastAsia="宋体" w:hAnsi="Times New Roman" w:cs="Times New Roman"/>
          <w:bCs/>
          <w:color w:val="000000" w:themeColor="text1"/>
        </w:rPr>
        <w:t>）进行确定。</w:t>
      </w:r>
    </w:p>
    <w:p w:rsidR="00644456" w:rsidRDefault="008031C4">
      <w:pPr>
        <w:adjustRightInd w:val="0"/>
        <w:spacing w:line="360" w:lineRule="auto"/>
        <w:ind w:firstLine="482"/>
        <w:jc w:val="center"/>
        <w:rPr>
          <w:rFonts w:cs="Times New Roman"/>
          <w:color w:val="000000" w:themeColor="text1"/>
          <w:sz w:val="24"/>
          <w:szCs w:val="24"/>
        </w:rPr>
      </w:pPr>
      <w:r>
        <w:rPr>
          <w:rFonts w:cs="Times New Roman"/>
          <w:color w:val="000000" w:themeColor="text1"/>
          <w:sz w:val="24"/>
          <w:szCs w:val="24"/>
        </w:rPr>
        <w:object w:dxaOrig="3057" w:dyaOrig="761" w14:anchorId="75B013A8">
          <v:shape id="_x0000_i1032" type="#_x0000_t75" style="width:153pt;height:38.25pt" o:ole="">
            <v:imagedata r:id="rId62" o:title="" embosscolor="white"/>
          </v:shape>
          <o:OLEObject Type="Embed" ProgID="Equation.3" ShapeID="_x0000_i1032" DrawAspect="Content" ObjectID="_1791290103" r:id="rId63"/>
        </w:object>
      </w:r>
    </w:p>
    <w:p w:rsidR="00644456" w:rsidRDefault="008031C4">
      <w:pPr>
        <w:spacing w:line="360" w:lineRule="auto"/>
        <w:ind w:firstLineChars="100" w:firstLine="240"/>
        <w:rPr>
          <w:rFonts w:cs="Times New Roman"/>
          <w:color w:val="000000" w:themeColor="text1"/>
          <w:sz w:val="24"/>
          <w:szCs w:val="24"/>
        </w:rPr>
      </w:pPr>
      <w:r>
        <w:rPr>
          <w:rFonts w:cs="Times New Roman"/>
          <w:color w:val="000000" w:themeColor="text1"/>
          <w:sz w:val="24"/>
          <w:szCs w:val="24"/>
        </w:rPr>
        <w:t>式中：</w:t>
      </w:r>
      <w:r>
        <w:rPr>
          <w:rFonts w:cs="Times New Roman"/>
          <w:i/>
          <w:iCs/>
          <w:color w:val="000000" w:themeColor="text1"/>
          <w:sz w:val="24"/>
          <w:szCs w:val="24"/>
        </w:rPr>
        <w:t>C</w:t>
      </w:r>
      <w:r>
        <w:rPr>
          <w:rFonts w:cs="Times New Roman"/>
          <w:i/>
          <w:iCs/>
          <w:color w:val="000000" w:themeColor="text1"/>
          <w:sz w:val="24"/>
          <w:szCs w:val="24"/>
          <w:vertAlign w:val="subscript"/>
        </w:rPr>
        <w:t>m</w:t>
      </w:r>
      <w:r>
        <w:rPr>
          <w:rFonts w:cs="Times New Roman"/>
          <w:color w:val="000000" w:themeColor="text1"/>
          <w:sz w:val="24"/>
          <w:szCs w:val="24"/>
        </w:rPr>
        <w:t>----</w:t>
      </w:r>
      <w:r>
        <w:rPr>
          <w:rFonts w:cs="Times New Roman"/>
          <w:color w:val="000000" w:themeColor="text1"/>
          <w:sz w:val="24"/>
          <w:szCs w:val="24"/>
        </w:rPr>
        <w:t>标准浓度限值，</w:t>
      </w:r>
      <w:r>
        <w:rPr>
          <w:rFonts w:cs="Times New Roman"/>
          <w:color w:val="000000" w:themeColor="text1"/>
          <w:sz w:val="24"/>
          <w:szCs w:val="24"/>
        </w:rPr>
        <w:t>mg/m</w:t>
      </w:r>
      <w:r>
        <w:rPr>
          <w:rFonts w:cs="Times New Roman"/>
          <w:color w:val="000000" w:themeColor="text1"/>
          <w:sz w:val="24"/>
          <w:szCs w:val="24"/>
          <w:vertAlign w:val="superscript"/>
        </w:rPr>
        <w:t>3</w:t>
      </w:r>
      <w:r>
        <w:rPr>
          <w:rFonts w:cs="Times New Roman"/>
          <w:color w:val="000000" w:themeColor="text1"/>
          <w:sz w:val="24"/>
          <w:szCs w:val="24"/>
        </w:rPr>
        <w:t>；</w:t>
      </w:r>
    </w:p>
    <w:p w:rsidR="00644456" w:rsidRDefault="008031C4">
      <w:pPr>
        <w:spacing w:line="360" w:lineRule="auto"/>
        <w:ind w:leftChars="200" w:left="420" w:firstLineChars="200" w:firstLine="480"/>
        <w:rPr>
          <w:rFonts w:cs="Times New Roman"/>
          <w:color w:val="000000" w:themeColor="text1"/>
          <w:sz w:val="24"/>
          <w:szCs w:val="24"/>
        </w:rPr>
      </w:pPr>
      <w:r>
        <w:rPr>
          <w:rFonts w:cs="Times New Roman"/>
          <w:i/>
          <w:iCs/>
          <w:color w:val="000000" w:themeColor="text1"/>
          <w:sz w:val="24"/>
          <w:szCs w:val="24"/>
        </w:rPr>
        <w:t>L</w:t>
      </w:r>
      <w:r>
        <w:rPr>
          <w:rFonts w:cs="Times New Roman"/>
          <w:color w:val="000000" w:themeColor="text1"/>
          <w:sz w:val="24"/>
          <w:szCs w:val="24"/>
        </w:rPr>
        <w:t>----</w:t>
      </w:r>
      <w:r>
        <w:rPr>
          <w:rFonts w:cs="Times New Roman"/>
          <w:color w:val="000000" w:themeColor="text1"/>
          <w:sz w:val="24"/>
          <w:szCs w:val="24"/>
        </w:rPr>
        <w:t>工业企业所需卫生防护距离，</w:t>
      </w:r>
      <w:r>
        <w:rPr>
          <w:rFonts w:cs="Times New Roman"/>
          <w:color w:val="000000" w:themeColor="text1"/>
          <w:sz w:val="24"/>
          <w:szCs w:val="24"/>
        </w:rPr>
        <w:t>m</w:t>
      </w:r>
      <w:r>
        <w:rPr>
          <w:rFonts w:cs="Times New Roman"/>
          <w:color w:val="000000" w:themeColor="text1"/>
          <w:sz w:val="24"/>
          <w:szCs w:val="24"/>
        </w:rPr>
        <w:t>；</w:t>
      </w:r>
    </w:p>
    <w:p w:rsidR="00644456" w:rsidRDefault="008031C4">
      <w:pPr>
        <w:spacing w:line="360" w:lineRule="auto"/>
        <w:ind w:leftChars="200" w:left="420" w:firstLineChars="200" w:firstLine="480"/>
        <w:rPr>
          <w:rFonts w:cs="Times New Roman"/>
          <w:color w:val="000000" w:themeColor="text1"/>
          <w:sz w:val="24"/>
          <w:szCs w:val="24"/>
        </w:rPr>
      </w:pPr>
      <w:r>
        <w:rPr>
          <w:rFonts w:cs="Times New Roman"/>
          <w:i/>
          <w:iCs/>
          <w:color w:val="000000" w:themeColor="text1"/>
          <w:sz w:val="24"/>
          <w:szCs w:val="24"/>
        </w:rPr>
        <w:t>r</w:t>
      </w:r>
      <w:r>
        <w:rPr>
          <w:rFonts w:cs="Times New Roman"/>
          <w:color w:val="000000" w:themeColor="text1"/>
          <w:sz w:val="24"/>
          <w:szCs w:val="24"/>
        </w:rPr>
        <w:t>----</w:t>
      </w:r>
      <w:r>
        <w:rPr>
          <w:rFonts w:cs="Times New Roman"/>
          <w:color w:val="000000" w:themeColor="text1"/>
          <w:sz w:val="24"/>
          <w:szCs w:val="24"/>
        </w:rPr>
        <w:t>有害气体无组织排放源所在生产单元的等效半径，</w:t>
      </w:r>
      <w:r>
        <w:rPr>
          <w:rFonts w:cs="Times New Roman"/>
          <w:color w:val="000000" w:themeColor="text1"/>
          <w:sz w:val="24"/>
          <w:szCs w:val="24"/>
        </w:rPr>
        <w:t>m</w:t>
      </w:r>
      <w:r>
        <w:rPr>
          <w:rFonts w:cs="Times New Roman"/>
          <w:color w:val="000000" w:themeColor="text1"/>
          <w:sz w:val="24"/>
          <w:szCs w:val="24"/>
        </w:rPr>
        <w:t>；根据该生产单元占地面积</w:t>
      </w:r>
      <w:r>
        <w:rPr>
          <w:rFonts w:cs="Times New Roman"/>
          <w:i/>
          <w:iCs/>
          <w:color w:val="000000" w:themeColor="text1"/>
          <w:sz w:val="24"/>
          <w:szCs w:val="24"/>
        </w:rPr>
        <w:t>S</w:t>
      </w:r>
      <w:r>
        <w:rPr>
          <w:rFonts w:cs="Times New Roman"/>
          <w:color w:val="000000" w:themeColor="text1"/>
          <w:sz w:val="24"/>
          <w:szCs w:val="24"/>
        </w:rPr>
        <w:t>（</w:t>
      </w:r>
      <w:r>
        <w:rPr>
          <w:rFonts w:cs="Times New Roman"/>
          <w:color w:val="000000" w:themeColor="text1"/>
          <w:sz w:val="24"/>
          <w:szCs w:val="24"/>
        </w:rPr>
        <w:t>m</w:t>
      </w:r>
      <w:r>
        <w:rPr>
          <w:rFonts w:cs="Times New Roman"/>
          <w:color w:val="000000" w:themeColor="text1"/>
          <w:sz w:val="24"/>
          <w:szCs w:val="24"/>
          <w:vertAlign w:val="superscript"/>
        </w:rPr>
        <w:t>2</w:t>
      </w:r>
      <w:r>
        <w:rPr>
          <w:rFonts w:cs="Times New Roman"/>
          <w:color w:val="000000" w:themeColor="text1"/>
          <w:sz w:val="24"/>
          <w:szCs w:val="24"/>
        </w:rPr>
        <w:t>）计算；</w:t>
      </w:r>
    </w:p>
    <w:p w:rsidR="00644456" w:rsidRDefault="008031C4">
      <w:pPr>
        <w:spacing w:line="360" w:lineRule="auto"/>
        <w:ind w:leftChars="200" w:left="420" w:firstLineChars="200" w:firstLine="480"/>
        <w:rPr>
          <w:rFonts w:cs="Times New Roman"/>
          <w:color w:val="000000" w:themeColor="text1"/>
          <w:sz w:val="24"/>
          <w:szCs w:val="24"/>
        </w:rPr>
      </w:pPr>
      <w:r>
        <w:rPr>
          <w:rFonts w:cs="Times New Roman"/>
          <w:i/>
          <w:iCs/>
          <w:color w:val="000000" w:themeColor="text1"/>
          <w:sz w:val="24"/>
          <w:szCs w:val="24"/>
        </w:rPr>
        <w:t>A</w:t>
      </w:r>
      <w:r>
        <w:rPr>
          <w:rFonts w:cs="Times New Roman"/>
          <w:color w:val="000000" w:themeColor="text1"/>
          <w:sz w:val="24"/>
          <w:szCs w:val="24"/>
        </w:rPr>
        <w:t>、</w:t>
      </w:r>
      <w:r>
        <w:rPr>
          <w:rFonts w:cs="Times New Roman"/>
          <w:i/>
          <w:iCs/>
          <w:color w:val="000000" w:themeColor="text1"/>
          <w:sz w:val="24"/>
          <w:szCs w:val="24"/>
        </w:rPr>
        <w:t>B</w:t>
      </w:r>
      <w:r>
        <w:rPr>
          <w:rFonts w:cs="Times New Roman"/>
          <w:color w:val="000000" w:themeColor="text1"/>
          <w:sz w:val="24"/>
          <w:szCs w:val="24"/>
        </w:rPr>
        <w:t>、</w:t>
      </w:r>
      <w:r>
        <w:rPr>
          <w:rFonts w:cs="Times New Roman"/>
          <w:i/>
          <w:iCs/>
          <w:color w:val="000000" w:themeColor="text1"/>
          <w:sz w:val="24"/>
          <w:szCs w:val="24"/>
        </w:rPr>
        <w:t>C</w:t>
      </w:r>
      <w:r>
        <w:rPr>
          <w:rFonts w:cs="Times New Roman"/>
          <w:color w:val="000000" w:themeColor="text1"/>
          <w:sz w:val="24"/>
          <w:szCs w:val="24"/>
        </w:rPr>
        <w:t>、</w:t>
      </w:r>
      <w:r>
        <w:rPr>
          <w:rFonts w:cs="Times New Roman"/>
          <w:i/>
          <w:iCs/>
          <w:color w:val="000000" w:themeColor="text1"/>
          <w:sz w:val="24"/>
          <w:szCs w:val="24"/>
        </w:rPr>
        <w:t>D</w:t>
      </w:r>
      <w:r>
        <w:rPr>
          <w:rFonts w:cs="Times New Roman"/>
          <w:color w:val="000000" w:themeColor="text1"/>
          <w:sz w:val="24"/>
          <w:szCs w:val="24"/>
        </w:rPr>
        <w:t>----</w:t>
      </w:r>
      <w:r>
        <w:rPr>
          <w:rFonts w:cs="Times New Roman"/>
          <w:color w:val="000000" w:themeColor="text1"/>
          <w:sz w:val="24"/>
          <w:szCs w:val="24"/>
        </w:rPr>
        <w:t>卫生防护距离计算系数，无因次，根据工业企业所在地</w:t>
      </w:r>
      <w:r>
        <w:rPr>
          <w:rFonts w:cs="Times New Roman"/>
          <w:color w:val="000000" w:themeColor="text1"/>
          <w:sz w:val="24"/>
          <w:szCs w:val="24"/>
        </w:rPr>
        <w:lastRenderedPageBreak/>
        <w:t>区近五年平均风速及工业企业大气污染源构成类别从下表查取；</w:t>
      </w:r>
    </w:p>
    <w:p w:rsidR="00644456" w:rsidRDefault="008031C4">
      <w:pPr>
        <w:spacing w:line="360" w:lineRule="auto"/>
        <w:ind w:leftChars="200" w:left="420" w:firstLineChars="200" w:firstLine="480"/>
        <w:rPr>
          <w:rFonts w:cs="Times New Roman"/>
          <w:color w:val="000000" w:themeColor="text1"/>
          <w:sz w:val="24"/>
          <w:szCs w:val="24"/>
        </w:rPr>
      </w:pPr>
      <w:r>
        <w:rPr>
          <w:rFonts w:cs="Times New Roman"/>
          <w:i/>
          <w:iCs/>
          <w:color w:val="000000" w:themeColor="text1"/>
          <w:sz w:val="24"/>
          <w:szCs w:val="24"/>
        </w:rPr>
        <w:t>Q</w:t>
      </w:r>
      <w:r>
        <w:rPr>
          <w:rFonts w:cs="Times New Roman"/>
          <w:i/>
          <w:iCs/>
          <w:color w:val="000000" w:themeColor="text1"/>
          <w:sz w:val="24"/>
          <w:szCs w:val="24"/>
          <w:vertAlign w:val="subscript"/>
        </w:rPr>
        <w:t>c</w:t>
      </w:r>
      <w:r>
        <w:rPr>
          <w:rFonts w:cs="Times New Roman"/>
          <w:color w:val="000000" w:themeColor="text1"/>
          <w:sz w:val="24"/>
          <w:szCs w:val="24"/>
        </w:rPr>
        <w:t>----</w:t>
      </w:r>
      <w:r>
        <w:rPr>
          <w:rFonts w:cs="Times New Roman"/>
          <w:color w:val="000000" w:themeColor="text1"/>
          <w:sz w:val="24"/>
          <w:szCs w:val="24"/>
        </w:rPr>
        <w:t>工业企业有害气体无组织排放量可以达到的控制水平，</w:t>
      </w:r>
      <w:r>
        <w:rPr>
          <w:rFonts w:cs="Times New Roman"/>
          <w:color w:val="000000" w:themeColor="text1"/>
          <w:sz w:val="24"/>
          <w:szCs w:val="24"/>
        </w:rPr>
        <w:t>kg/h</w:t>
      </w:r>
      <w:r>
        <w:rPr>
          <w:rFonts w:cs="Times New Roman"/>
          <w:color w:val="000000" w:themeColor="text1"/>
          <w:sz w:val="24"/>
          <w:szCs w:val="24"/>
        </w:rPr>
        <w:t>。</w:t>
      </w:r>
      <w:r>
        <w:rPr>
          <w:rFonts w:cs="Times New Roman"/>
          <w:i/>
          <w:iCs/>
          <w:color w:val="000000" w:themeColor="text1"/>
          <w:sz w:val="24"/>
          <w:szCs w:val="24"/>
        </w:rPr>
        <w:t>Q</w:t>
      </w:r>
      <w:r>
        <w:rPr>
          <w:rFonts w:cs="Times New Roman"/>
          <w:i/>
          <w:iCs/>
          <w:color w:val="000000" w:themeColor="text1"/>
          <w:sz w:val="24"/>
          <w:szCs w:val="24"/>
          <w:vertAlign w:val="subscript"/>
        </w:rPr>
        <w:t>c</w:t>
      </w:r>
      <w:r>
        <w:rPr>
          <w:rFonts w:cs="Times New Roman"/>
          <w:color w:val="000000" w:themeColor="text1"/>
          <w:sz w:val="24"/>
          <w:szCs w:val="24"/>
        </w:rPr>
        <w:t>取同类企业中生产工艺流程合理，生产管理与设备维护处于先进水平的工业企业，在正常运行时的无组织排放量。当按上式计算的</w:t>
      </w:r>
      <w:r>
        <w:rPr>
          <w:rFonts w:cs="Times New Roman"/>
          <w:color w:val="000000" w:themeColor="text1"/>
          <w:sz w:val="24"/>
          <w:szCs w:val="24"/>
        </w:rPr>
        <w:t>L</w:t>
      </w:r>
      <w:r>
        <w:rPr>
          <w:rFonts w:cs="Times New Roman"/>
          <w:color w:val="000000" w:themeColor="text1"/>
          <w:sz w:val="24"/>
          <w:szCs w:val="24"/>
        </w:rPr>
        <w:t>值在两级之间时，取偏宽的一级。</w:t>
      </w:r>
    </w:p>
    <w:p w:rsidR="00644456" w:rsidRDefault="008031C4">
      <w:pPr>
        <w:pStyle w:val="Default"/>
        <w:spacing w:line="360" w:lineRule="auto"/>
        <w:ind w:firstLineChars="200" w:firstLine="482"/>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3</w:t>
      </w:r>
      <w:r>
        <w:rPr>
          <w:rFonts w:ascii="Times New Roman" w:eastAsia="宋体" w:hAnsi="Times New Roman" w:cs="Times New Roman"/>
          <w:b/>
          <w:color w:val="000000" w:themeColor="text1"/>
        </w:rPr>
        <w:t>、气象参数</w:t>
      </w:r>
    </w:p>
    <w:p w:rsidR="00644456" w:rsidRDefault="008031C4">
      <w:pPr>
        <w:spacing w:line="360" w:lineRule="auto"/>
        <w:ind w:firstLine="482"/>
        <w:rPr>
          <w:rFonts w:cs="Times New Roman"/>
          <w:color w:val="000000" w:themeColor="text1"/>
          <w:sz w:val="24"/>
          <w:szCs w:val="24"/>
        </w:rPr>
      </w:pPr>
      <w:r>
        <w:rPr>
          <w:rFonts w:cs="Times New Roman"/>
          <w:color w:val="000000" w:themeColor="text1"/>
          <w:sz w:val="24"/>
          <w:szCs w:val="24"/>
        </w:rPr>
        <w:t>按当地平均风速选取</w:t>
      </w:r>
      <w:r>
        <w:rPr>
          <w:rFonts w:cs="Times New Roman"/>
          <w:color w:val="000000" w:themeColor="text1"/>
          <w:sz w:val="24"/>
          <w:szCs w:val="24"/>
        </w:rPr>
        <w:t>A</w:t>
      </w:r>
      <w:r>
        <w:rPr>
          <w:rFonts w:cs="Times New Roman"/>
          <w:color w:val="000000" w:themeColor="text1"/>
          <w:sz w:val="24"/>
          <w:szCs w:val="24"/>
        </w:rPr>
        <w:t>、</w:t>
      </w:r>
      <w:r>
        <w:rPr>
          <w:rFonts w:cs="Times New Roman"/>
          <w:color w:val="000000" w:themeColor="text1"/>
          <w:sz w:val="24"/>
          <w:szCs w:val="24"/>
        </w:rPr>
        <w:t>B</w:t>
      </w:r>
      <w:r>
        <w:rPr>
          <w:rFonts w:cs="Times New Roman"/>
          <w:color w:val="000000" w:themeColor="text1"/>
          <w:sz w:val="24"/>
          <w:szCs w:val="24"/>
        </w:rPr>
        <w:t>、</w:t>
      </w:r>
      <w:r>
        <w:rPr>
          <w:rFonts w:cs="Times New Roman"/>
          <w:color w:val="000000" w:themeColor="text1"/>
          <w:sz w:val="24"/>
          <w:szCs w:val="24"/>
        </w:rPr>
        <w:t>C</w:t>
      </w:r>
      <w:r>
        <w:rPr>
          <w:rFonts w:cs="Times New Roman"/>
          <w:color w:val="000000" w:themeColor="text1"/>
          <w:sz w:val="24"/>
          <w:szCs w:val="24"/>
        </w:rPr>
        <w:t>、</w:t>
      </w:r>
      <w:r>
        <w:rPr>
          <w:rFonts w:cs="Times New Roman"/>
          <w:color w:val="000000" w:themeColor="text1"/>
          <w:sz w:val="24"/>
          <w:szCs w:val="24"/>
        </w:rPr>
        <w:t>D</w:t>
      </w:r>
      <w:r>
        <w:rPr>
          <w:rFonts w:cs="Times New Roman"/>
          <w:color w:val="000000" w:themeColor="text1"/>
          <w:sz w:val="24"/>
          <w:szCs w:val="24"/>
        </w:rPr>
        <w:t>值，见下表。</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5.1</w:t>
      </w:r>
      <w:r>
        <w:rPr>
          <w:rFonts w:cs="Times New Roman" w:hint="eastAsia"/>
          <w:b/>
          <w:color w:val="000000" w:themeColor="text1"/>
          <w:sz w:val="24"/>
          <w:szCs w:val="20"/>
        </w:rPr>
        <w:noBreakHyphen/>
        <w:t>10</w:t>
      </w:r>
      <w:r>
        <w:rPr>
          <w:rFonts w:cs="Times New Roman" w:hint="eastAsia"/>
          <w:b/>
          <w:color w:val="000000" w:themeColor="text1"/>
          <w:sz w:val="24"/>
          <w:szCs w:val="20"/>
        </w:rPr>
        <w:t>卫生防护距离计算系数</w:t>
      </w:r>
    </w:p>
    <w:tbl>
      <w:tblPr>
        <w:tblW w:w="4999"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
        <w:gridCol w:w="1117"/>
        <w:gridCol w:w="631"/>
        <w:gridCol w:w="885"/>
        <w:gridCol w:w="555"/>
        <w:gridCol w:w="766"/>
        <w:gridCol w:w="766"/>
        <w:gridCol w:w="774"/>
        <w:gridCol w:w="766"/>
        <w:gridCol w:w="767"/>
        <w:gridCol w:w="779"/>
      </w:tblGrid>
      <w:tr w:rsidR="00644456">
        <w:trPr>
          <w:trHeight w:val="20"/>
          <w:jc w:val="center"/>
        </w:trPr>
        <w:tc>
          <w:tcPr>
            <w:tcW w:w="299" w:type="pct"/>
            <w:vMerge w:val="restart"/>
            <w:vAlign w:val="center"/>
          </w:tcPr>
          <w:p w:rsidR="00644456" w:rsidRDefault="008031C4">
            <w:pPr>
              <w:adjustRightInd w:val="0"/>
              <w:snapToGrid w:val="0"/>
              <w:jc w:val="center"/>
              <w:rPr>
                <w:rFonts w:cs="Times New Roman"/>
                <w:bCs/>
                <w:color w:val="000000" w:themeColor="text1"/>
                <w:sz w:val="18"/>
                <w:szCs w:val="18"/>
              </w:rPr>
            </w:pPr>
            <w:r>
              <w:rPr>
                <w:rFonts w:cs="Times New Roman"/>
                <w:bCs/>
                <w:color w:val="000000" w:themeColor="text1"/>
                <w:sz w:val="18"/>
                <w:szCs w:val="18"/>
              </w:rPr>
              <w:t>计算系数</w:t>
            </w:r>
          </w:p>
        </w:tc>
        <w:tc>
          <w:tcPr>
            <w:tcW w:w="672" w:type="pct"/>
            <w:vMerge w:val="restart"/>
            <w:vAlign w:val="center"/>
          </w:tcPr>
          <w:p w:rsidR="00644456" w:rsidRDefault="008031C4">
            <w:pPr>
              <w:adjustRightInd w:val="0"/>
              <w:snapToGrid w:val="0"/>
              <w:jc w:val="center"/>
              <w:rPr>
                <w:rFonts w:cs="Times New Roman"/>
                <w:bCs/>
                <w:color w:val="000000" w:themeColor="text1"/>
                <w:sz w:val="18"/>
                <w:szCs w:val="18"/>
              </w:rPr>
            </w:pPr>
            <w:r>
              <w:rPr>
                <w:rFonts w:cs="Times New Roman"/>
                <w:bCs/>
                <w:color w:val="000000" w:themeColor="text1"/>
                <w:sz w:val="18"/>
                <w:szCs w:val="18"/>
              </w:rPr>
              <w:t>工业企业所在地区近五年平均风速</w:t>
            </w:r>
            <w:r>
              <w:rPr>
                <w:rFonts w:cs="Times New Roman"/>
                <w:bCs/>
                <w:color w:val="000000" w:themeColor="text1"/>
                <w:sz w:val="18"/>
                <w:szCs w:val="18"/>
              </w:rPr>
              <w:t>m/s</w:t>
            </w:r>
          </w:p>
        </w:tc>
        <w:tc>
          <w:tcPr>
            <w:tcW w:w="4027" w:type="pct"/>
            <w:gridSpan w:val="9"/>
            <w:vAlign w:val="center"/>
          </w:tcPr>
          <w:p w:rsidR="00644456" w:rsidRDefault="008031C4">
            <w:pPr>
              <w:adjustRightInd w:val="0"/>
              <w:snapToGrid w:val="0"/>
              <w:jc w:val="center"/>
              <w:rPr>
                <w:rFonts w:cs="Times New Roman"/>
                <w:bCs/>
                <w:color w:val="000000" w:themeColor="text1"/>
                <w:sz w:val="18"/>
                <w:szCs w:val="18"/>
              </w:rPr>
            </w:pPr>
            <w:r>
              <w:rPr>
                <w:rFonts w:cs="Times New Roman"/>
                <w:bCs/>
                <w:color w:val="000000" w:themeColor="text1"/>
                <w:sz w:val="18"/>
                <w:szCs w:val="18"/>
              </w:rPr>
              <w:t>卫生防护距离</w:t>
            </w:r>
            <w:r>
              <w:rPr>
                <w:rFonts w:cs="Times New Roman"/>
                <w:bCs/>
                <w:color w:val="000000" w:themeColor="text1"/>
                <w:sz w:val="18"/>
                <w:szCs w:val="18"/>
              </w:rPr>
              <w:t>L</w:t>
            </w:r>
            <w:r>
              <w:rPr>
                <w:rFonts w:cs="Times New Roman"/>
                <w:bCs/>
                <w:color w:val="000000" w:themeColor="text1"/>
                <w:sz w:val="18"/>
                <w:szCs w:val="18"/>
              </w:rPr>
              <w:t>，</w:t>
            </w:r>
            <w:r>
              <w:rPr>
                <w:rFonts w:cs="Times New Roman"/>
                <w:bCs/>
                <w:color w:val="000000" w:themeColor="text1"/>
                <w:sz w:val="18"/>
                <w:szCs w:val="18"/>
              </w:rPr>
              <w:t>m</w:t>
            </w:r>
          </w:p>
        </w:tc>
      </w:tr>
      <w:tr w:rsidR="00644456">
        <w:trPr>
          <w:trHeight w:val="20"/>
          <w:jc w:val="center"/>
        </w:trPr>
        <w:tc>
          <w:tcPr>
            <w:tcW w:w="299" w:type="pct"/>
            <w:vMerge/>
            <w:vAlign w:val="center"/>
          </w:tcPr>
          <w:p w:rsidR="00644456" w:rsidRDefault="00644456">
            <w:pPr>
              <w:adjustRightInd w:val="0"/>
              <w:snapToGrid w:val="0"/>
              <w:jc w:val="center"/>
              <w:rPr>
                <w:rFonts w:cs="Times New Roman"/>
                <w:bCs/>
                <w:color w:val="000000" w:themeColor="text1"/>
                <w:sz w:val="18"/>
                <w:szCs w:val="18"/>
              </w:rPr>
            </w:pPr>
          </w:p>
        </w:tc>
        <w:tc>
          <w:tcPr>
            <w:tcW w:w="672" w:type="pct"/>
            <w:vMerge/>
            <w:vAlign w:val="center"/>
          </w:tcPr>
          <w:p w:rsidR="00644456" w:rsidRDefault="00644456">
            <w:pPr>
              <w:adjustRightInd w:val="0"/>
              <w:snapToGrid w:val="0"/>
              <w:jc w:val="center"/>
              <w:rPr>
                <w:rFonts w:cs="Times New Roman"/>
                <w:bCs/>
                <w:color w:val="000000" w:themeColor="text1"/>
                <w:sz w:val="18"/>
                <w:szCs w:val="18"/>
              </w:rPr>
            </w:pPr>
          </w:p>
        </w:tc>
        <w:tc>
          <w:tcPr>
            <w:tcW w:w="1247" w:type="pct"/>
            <w:gridSpan w:val="3"/>
            <w:vAlign w:val="center"/>
          </w:tcPr>
          <w:p w:rsidR="00644456" w:rsidRDefault="008031C4">
            <w:pPr>
              <w:adjustRightInd w:val="0"/>
              <w:snapToGrid w:val="0"/>
              <w:jc w:val="center"/>
              <w:rPr>
                <w:rFonts w:cs="Times New Roman"/>
                <w:bCs/>
                <w:color w:val="000000" w:themeColor="text1"/>
                <w:sz w:val="18"/>
                <w:szCs w:val="18"/>
              </w:rPr>
            </w:pPr>
            <w:r>
              <w:rPr>
                <w:rFonts w:cs="Times New Roman"/>
                <w:bCs/>
                <w:color w:val="000000" w:themeColor="text1"/>
                <w:sz w:val="18"/>
                <w:szCs w:val="18"/>
              </w:rPr>
              <w:t>L≤1000</w:t>
            </w:r>
          </w:p>
        </w:tc>
        <w:tc>
          <w:tcPr>
            <w:tcW w:w="1388" w:type="pct"/>
            <w:gridSpan w:val="3"/>
            <w:vAlign w:val="center"/>
          </w:tcPr>
          <w:p w:rsidR="00644456" w:rsidRDefault="008031C4">
            <w:pPr>
              <w:adjustRightInd w:val="0"/>
              <w:snapToGrid w:val="0"/>
              <w:jc w:val="center"/>
              <w:rPr>
                <w:rFonts w:cs="Times New Roman"/>
                <w:bCs/>
                <w:color w:val="000000" w:themeColor="text1"/>
                <w:sz w:val="18"/>
                <w:szCs w:val="18"/>
              </w:rPr>
            </w:pPr>
            <w:r>
              <w:rPr>
                <w:rFonts w:cs="Times New Roman"/>
                <w:bCs/>
                <w:color w:val="000000" w:themeColor="text1"/>
                <w:sz w:val="18"/>
                <w:szCs w:val="18"/>
              </w:rPr>
              <w:t>1000</w:t>
            </w:r>
            <w:r>
              <w:rPr>
                <w:rFonts w:cs="Times New Roman"/>
                <w:bCs/>
                <w:color w:val="000000" w:themeColor="text1"/>
                <w:sz w:val="18"/>
                <w:szCs w:val="18"/>
              </w:rPr>
              <w:t>＜</w:t>
            </w:r>
            <w:r>
              <w:rPr>
                <w:rFonts w:cs="Times New Roman"/>
                <w:bCs/>
                <w:color w:val="000000" w:themeColor="text1"/>
                <w:sz w:val="18"/>
                <w:szCs w:val="18"/>
              </w:rPr>
              <w:t>L≤2000</w:t>
            </w:r>
          </w:p>
        </w:tc>
        <w:tc>
          <w:tcPr>
            <w:tcW w:w="1391" w:type="pct"/>
            <w:gridSpan w:val="3"/>
            <w:vAlign w:val="center"/>
          </w:tcPr>
          <w:p w:rsidR="00644456" w:rsidRDefault="008031C4">
            <w:pPr>
              <w:adjustRightInd w:val="0"/>
              <w:snapToGrid w:val="0"/>
              <w:jc w:val="center"/>
              <w:rPr>
                <w:rFonts w:cs="Times New Roman"/>
                <w:bCs/>
                <w:color w:val="000000" w:themeColor="text1"/>
                <w:sz w:val="18"/>
                <w:szCs w:val="18"/>
              </w:rPr>
            </w:pPr>
            <w:r>
              <w:rPr>
                <w:rFonts w:cs="Times New Roman"/>
                <w:bCs/>
                <w:color w:val="000000" w:themeColor="text1"/>
                <w:sz w:val="18"/>
                <w:szCs w:val="18"/>
              </w:rPr>
              <w:t>L</w:t>
            </w:r>
            <w:r>
              <w:rPr>
                <w:rFonts w:cs="Times New Roman"/>
                <w:bCs/>
                <w:color w:val="000000" w:themeColor="text1"/>
                <w:sz w:val="18"/>
                <w:szCs w:val="18"/>
              </w:rPr>
              <w:t>＞</w:t>
            </w:r>
            <w:r>
              <w:rPr>
                <w:rFonts w:cs="Times New Roman"/>
                <w:bCs/>
                <w:color w:val="000000" w:themeColor="text1"/>
                <w:sz w:val="18"/>
                <w:szCs w:val="18"/>
              </w:rPr>
              <w:t>2000</w:t>
            </w:r>
          </w:p>
        </w:tc>
      </w:tr>
      <w:tr w:rsidR="00644456">
        <w:trPr>
          <w:trHeight w:val="20"/>
          <w:jc w:val="center"/>
        </w:trPr>
        <w:tc>
          <w:tcPr>
            <w:tcW w:w="299" w:type="pct"/>
            <w:vMerge/>
            <w:vAlign w:val="center"/>
          </w:tcPr>
          <w:p w:rsidR="00644456" w:rsidRDefault="00644456">
            <w:pPr>
              <w:adjustRightInd w:val="0"/>
              <w:snapToGrid w:val="0"/>
              <w:jc w:val="center"/>
              <w:rPr>
                <w:rFonts w:cs="Times New Roman"/>
                <w:bCs/>
                <w:color w:val="000000" w:themeColor="text1"/>
                <w:sz w:val="18"/>
                <w:szCs w:val="18"/>
              </w:rPr>
            </w:pPr>
          </w:p>
        </w:tc>
        <w:tc>
          <w:tcPr>
            <w:tcW w:w="672" w:type="pct"/>
            <w:vMerge/>
            <w:vAlign w:val="center"/>
          </w:tcPr>
          <w:p w:rsidR="00644456" w:rsidRDefault="00644456">
            <w:pPr>
              <w:adjustRightInd w:val="0"/>
              <w:snapToGrid w:val="0"/>
              <w:jc w:val="center"/>
              <w:rPr>
                <w:rFonts w:cs="Times New Roman"/>
                <w:bCs/>
                <w:color w:val="000000" w:themeColor="text1"/>
                <w:sz w:val="18"/>
                <w:szCs w:val="18"/>
              </w:rPr>
            </w:pPr>
          </w:p>
        </w:tc>
        <w:tc>
          <w:tcPr>
            <w:tcW w:w="4027" w:type="pct"/>
            <w:gridSpan w:val="9"/>
            <w:vAlign w:val="center"/>
          </w:tcPr>
          <w:p w:rsidR="00644456" w:rsidRDefault="008031C4">
            <w:pPr>
              <w:pStyle w:val="45"/>
              <w:adjustRightInd w:val="0"/>
              <w:snapToGrid w:val="0"/>
              <w:ind w:leftChars="0" w:left="0"/>
              <w:jc w:val="center"/>
              <w:rPr>
                <w:rFonts w:ascii="Times New Roman" w:eastAsia="宋体" w:hAnsi="Times New Roman" w:cs="Times New Roman"/>
                <w:bCs/>
                <w:color w:val="000000" w:themeColor="text1"/>
                <w:sz w:val="18"/>
                <w:szCs w:val="18"/>
              </w:rPr>
            </w:pPr>
            <w:r>
              <w:rPr>
                <w:rFonts w:ascii="Times New Roman" w:eastAsia="宋体" w:hAnsi="Times New Roman" w:cs="Times New Roman"/>
                <w:bCs/>
                <w:color w:val="000000" w:themeColor="text1"/>
                <w:sz w:val="18"/>
                <w:szCs w:val="18"/>
              </w:rPr>
              <w:t>工业大气污染源构成类别</w:t>
            </w:r>
          </w:p>
        </w:tc>
      </w:tr>
      <w:tr w:rsidR="00644456">
        <w:trPr>
          <w:trHeight w:val="20"/>
          <w:jc w:val="center"/>
        </w:trPr>
        <w:tc>
          <w:tcPr>
            <w:tcW w:w="299" w:type="pct"/>
            <w:vMerge/>
            <w:vAlign w:val="center"/>
          </w:tcPr>
          <w:p w:rsidR="00644456" w:rsidRDefault="00644456">
            <w:pPr>
              <w:adjustRightInd w:val="0"/>
              <w:snapToGrid w:val="0"/>
              <w:jc w:val="center"/>
              <w:rPr>
                <w:rFonts w:cs="Times New Roman"/>
                <w:bCs/>
                <w:color w:val="000000" w:themeColor="text1"/>
                <w:sz w:val="18"/>
                <w:szCs w:val="18"/>
              </w:rPr>
            </w:pPr>
          </w:p>
        </w:tc>
        <w:tc>
          <w:tcPr>
            <w:tcW w:w="672" w:type="pct"/>
            <w:vMerge/>
            <w:vAlign w:val="center"/>
          </w:tcPr>
          <w:p w:rsidR="00644456" w:rsidRDefault="00644456">
            <w:pPr>
              <w:adjustRightInd w:val="0"/>
              <w:snapToGrid w:val="0"/>
              <w:jc w:val="center"/>
              <w:rPr>
                <w:rFonts w:cs="Times New Roman"/>
                <w:bCs/>
                <w:color w:val="000000" w:themeColor="text1"/>
                <w:sz w:val="18"/>
                <w:szCs w:val="18"/>
              </w:rPr>
            </w:pPr>
          </w:p>
        </w:tc>
        <w:tc>
          <w:tcPr>
            <w:tcW w:w="380" w:type="pct"/>
            <w:vAlign w:val="center"/>
          </w:tcPr>
          <w:p w:rsidR="00644456" w:rsidRDefault="008031C4">
            <w:pPr>
              <w:adjustRightInd w:val="0"/>
              <w:snapToGrid w:val="0"/>
              <w:jc w:val="center"/>
              <w:rPr>
                <w:rFonts w:cs="Times New Roman"/>
                <w:bCs/>
                <w:color w:val="000000" w:themeColor="text1"/>
                <w:sz w:val="18"/>
                <w:szCs w:val="18"/>
              </w:rPr>
            </w:pPr>
            <w:r>
              <w:rPr>
                <w:rFonts w:cs="Times New Roman"/>
                <w:bCs/>
                <w:color w:val="000000" w:themeColor="text1"/>
                <w:sz w:val="18"/>
                <w:szCs w:val="18"/>
              </w:rPr>
              <w:t>I</w:t>
            </w:r>
          </w:p>
        </w:tc>
        <w:tc>
          <w:tcPr>
            <w:tcW w:w="533" w:type="pct"/>
            <w:vAlign w:val="center"/>
          </w:tcPr>
          <w:p w:rsidR="00644456" w:rsidRDefault="008031C4">
            <w:pPr>
              <w:adjustRightInd w:val="0"/>
              <w:snapToGrid w:val="0"/>
              <w:jc w:val="center"/>
              <w:rPr>
                <w:rFonts w:cs="Times New Roman"/>
                <w:bCs/>
                <w:color w:val="000000" w:themeColor="text1"/>
                <w:sz w:val="18"/>
                <w:szCs w:val="18"/>
              </w:rPr>
            </w:pPr>
            <w:r>
              <w:rPr>
                <w:rFonts w:cs="Times New Roman"/>
                <w:bCs/>
                <w:color w:val="000000" w:themeColor="text1"/>
                <w:sz w:val="18"/>
                <w:szCs w:val="18"/>
              </w:rPr>
              <w:t>II</w:t>
            </w:r>
          </w:p>
        </w:tc>
        <w:tc>
          <w:tcPr>
            <w:tcW w:w="333" w:type="pct"/>
            <w:vAlign w:val="center"/>
          </w:tcPr>
          <w:p w:rsidR="00644456" w:rsidRDefault="008031C4">
            <w:pPr>
              <w:adjustRightInd w:val="0"/>
              <w:snapToGrid w:val="0"/>
              <w:jc w:val="center"/>
              <w:rPr>
                <w:rFonts w:cs="Times New Roman"/>
                <w:bCs/>
                <w:color w:val="000000" w:themeColor="text1"/>
                <w:sz w:val="18"/>
                <w:szCs w:val="18"/>
              </w:rPr>
            </w:pPr>
            <w:r>
              <w:rPr>
                <w:rFonts w:cs="Times New Roman"/>
                <w:bCs/>
                <w:color w:val="000000" w:themeColor="text1"/>
                <w:sz w:val="18"/>
                <w:szCs w:val="18"/>
              </w:rPr>
              <w:t>Ⅲ</w:t>
            </w:r>
          </w:p>
        </w:tc>
        <w:tc>
          <w:tcPr>
            <w:tcW w:w="461" w:type="pct"/>
            <w:vAlign w:val="center"/>
          </w:tcPr>
          <w:p w:rsidR="00644456" w:rsidRDefault="008031C4">
            <w:pPr>
              <w:adjustRightInd w:val="0"/>
              <w:snapToGrid w:val="0"/>
              <w:jc w:val="center"/>
              <w:rPr>
                <w:rFonts w:cs="Times New Roman"/>
                <w:bCs/>
                <w:color w:val="000000" w:themeColor="text1"/>
                <w:sz w:val="18"/>
                <w:szCs w:val="18"/>
              </w:rPr>
            </w:pPr>
            <w:r>
              <w:rPr>
                <w:rFonts w:cs="Times New Roman"/>
                <w:bCs/>
                <w:color w:val="000000" w:themeColor="text1"/>
                <w:sz w:val="18"/>
                <w:szCs w:val="18"/>
              </w:rPr>
              <w:t>I</w:t>
            </w:r>
          </w:p>
        </w:tc>
        <w:tc>
          <w:tcPr>
            <w:tcW w:w="461" w:type="pct"/>
            <w:vAlign w:val="center"/>
          </w:tcPr>
          <w:p w:rsidR="00644456" w:rsidRDefault="008031C4">
            <w:pPr>
              <w:adjustRightInd w:val="0"/>
              <w:snapToGrid w:val="0"/>
              <w:jc w:val="center"/>
              <w:rPr>
                <w:rFonts w:cs="Times New Roman"/>
                <w:bCs/>
                <w:color w:val="000000" w:themeColor="text1"/>
                <w:sz w:val="18"/>
                <w:szCs w:val="18"/>
              </w:rPr>
            </w:pPr>
            <w:r>
              <w:rPr>
                <w:rFonts w:cs="Times New Roman"/>
                <w:bCs/>
                <w:color w:val="000000" w:themeColor="text1"/>
                <w:sz w:val="18"/>
                <w:szCs w:val="18"/>
              </w:rPr>
              <w:t>II</w:t>
            </w:r>
          </w:p>
        </w:tc>
        <w:tc>
          <w:tcPr>
            <w:tcW w:w="465" w:type="pct"/>
            <w:vAlign w:val="center"/>
          </w:tcPr>
          <w:p w:rsidR="00644456" w:rsidRDefault="008031C4">
            <w:pPr>
              <w:adjustRightInd w:val="0"/>
              <w:snapToGrid w:val="0"/>
              <w:jc w:val="center"/>
              <w:rPr>
                <w:rFonts w:cs="Times New Roman"/>
                <w:bCs/>
                <w:color w:val="000000" w:themeColor="text1"/>
                <w:sz w:val="18"/>
                <w:szCs w:val="18"/>
              </w:rPr>
            </w:pPr>
            <w:r>
              <w:rPr>
                <w:rFonts w:cs="Times New Roman"/>
                <w:bCs/>
                <w:color w:val="000000" w:themeColor="text1"/>
                <w:sz w:val="18"/>
                <w:szCs w:val="18"/>
              </w:rPr>
              <w:t>Ⅲ</w:t>
            </w:r>
          </w:p>
        </w:tc>
        <w:tc>
          <w:tcPr>
            <w:tcW w:w="461" w:type="pct"/>
            <w:vAlign w:val="center"/>
          </w:tcPr>
          <w:p w:rsidR="00644456" w:rsidRDefault="008031C4">
            <w:pPr>
              <w:adjustRightInd w:val="0"/>
              <w:snapToGrid w:val="0"/>
              <w:jc w:val="center"/>
              <w:rPr>
                <w:rFonts w:cs="Times New Roman"/>
                <w:bCs/>
                <w:color w:val="000000" w:themeColor="text1"/>
                <w:sz w:val="18"/>
                <w:szCs w:val="18"/>
              </w:rPr>
            </w:pPr>
            <w:r>
              <w:rPr>
                <w:rFonts w:cs="Times New Roman"/>
                <w:bCs/>
                <w:color w:val="000000" w:themeColor="text1"/>
                <w:sz w:val="18"/>
                <w:szCs w:val="18"/>
              </w:rPr>
              <w:t>I</w:t>
            </w:r>
          </w:p>
        </w:tc>
        <w:tc>
          <w:tcPr>
            <w:tcW w:w="462" w:type="pct"/>
            <w:vAlign w:val="center"/>
          </w:tcPr>
          <w:p w:rsidR="00644456" w:rsidRDefault="008031C4">
            <w:pPr>
              <w:adjustRightInd w:val="0"/>
              <w:snapToGrid w:val="0"/>
              <w:jc w:val="center"/>
              <w:rPr>
                <w:rFonts w:cs="Times New Roman"/>
                <w:bCs/>
                <w:color w:val="000000" w:themeColor="text1"/>
                <w:sz w:val="18"/>
                <w:szCs w:val="18"/>
              </w:rPr>
            </w:pPr>
            <w:r>
              <w:rPr>
                <w:rFonts w:cs="Times New Roman"/>
                <w:bCs/>
                <w:color w:val="000000" w:themeColor="text1"/>
                <w:sz w:val="18"/>
                <w:szCs w:val="18"/>
              </w:rPr>
              <w:t>II</w:t>
            </w:r>
          </w:p>
        </w:tc>
        <w:tc>
          <w:tcPr>
            <w:tcW w:w="467" w:type="pct"/>
            <w:vAlign w:val="center"/>
          </w:tcPr>
          <w:p w:rsidR="00644456" w:rsidRDefault="008031C4">
            <w:pPr>
              <w:adjustRightInd w:val="0"/>
              <w:snapToGrid w:val="0"/>
              <w:jc w:val="center"/>
              <w:rPr>
                <w:rFonts w:cs="Times New Roman"/>
                <w:bCs/>
                <w:color w:val="000000" w:themeColor="text1"/>
                <w:sz w:val="18"/>
                <w:szCs w:val="18"/>
              </w:rPr>
            </w:pPr>
            <w:r>
              <w:rPr>
                <w:rFonts w:cs="Times New Roman"/>
                <w:bCs/>
                <w:color w:val="000000" w:themeColor="text1"/>
                <w:sz w:val="18"/>
                <w:szCs w:val="18"/>
              </w:rPr>
              <w:t>Ⅲ</w:t>
            </w:r>
          </w:p>
        </w:tc>
      </w:tr>
      <w:tr w:rsidR="00644456">
        <w:trPr>
          <w:trHeight w:val="20"/>
          <w:jc w:val="center"/>
        </w:trPr>
        <w:tc>
          <w:tcPr>
            <w:tcW w:w="299" w:type="pct"/>
            <w:vMerge w:val="restar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A</w:t>
            </w:r>
          </w:p>
        </w:tc>
        <w:tc>
          <w:tcPr>
            <w:tcW w:w="672"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w:t>
            </w:r>
            <w:r>
              <w:rPr>
                <w:rFonts w:cs="Times New Roman"/>
                <w:color w:val="000000" w:themeColor="text1"/>
                <w:sz w:val="18"/>
                <w:szCs w:val="18"/>
              </w:rPr>
              <w:t>2</w:t>
            </w:r>
          </w:p>
        </w:tc>
        <w:tc>
          <w:tcPr>
            <w:tcW w:w="380"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400</w:t>
            </w:r>
          </w:p>
        </w:tc>
        <w:tc>
          <w:tcPr>
            <w:tcW w:w="533"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400</w:t>
            </w:r>
          </w:p>
        </w:tc>
        <w:tc>
          <w:tcPr>
            <w:tcW w:w="333"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400</w:t>
            </w:r>
          </w:p>
        </w:tc>
        <w:tc>
          <w:tcPr>
            <w:tcW w:w="461"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400</w:t>
            </w:r>
          </w:p>
        </w:tc>
        <w:tc>
          <w:tcPr>
            <w:tcW w:w="461"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400</w:t>
            </w:r>
          </w:p>
        </w:tc>
        <w:tc>
          <w:tcPr>
            <w:tcW w:w="465"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400</w:t>
            </w:r>
          </w:p>
        </w:tc>
        <w:tc>
          <w:tcPr>
            <w:tcW w:w="461"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80</w:t>
            </w:r>
          </w:p>
        </w:tc>
        <w:tc>
          <w:tcPr>
            <w:tcW w:w="462"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80</w:t>
            </w:r>
          </w:p>
        </w:tc>
        <w:tc>
          <w:tcPr>
            <w:tcW w:w="467"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80</w:t>
            </w:r>
          </w:p>
        </w:tc>
      </w:tr>
      <w:tr w:rsidR="00644456">
        <w:trPr>
          <w:trHeight w:val="20"/>
          <w:jc w:val="center"/>
        </w:trPr>
        <w:tc>
          <w:tcPr>
            <w:tcW w:w="299" w:type="pct"/>
            <w:vMerge/>
            <w:vAlign w:val="center"/>
          </w:tcPr>
          <w:p w:rsidR="00644456" w:rsidRDefault="00644456">
            <w:pPr>
              <w:adjustRightInd w:val="0"/>
              <w:snapToGrid w:val="0"/>
              <w:jc w:val="center"/>
              <w:rPr>
                <w:rFonts w:cs="Times New Roman"/>
                <w:color w:val="000000" w:themeColor="text1"/>
                <w:sz w:val="18"/>
                <w:szCs w:val="18"/>
              </w:rPr>
            </w:pPr>
          </w:p>
        </w:tc>
        <w:tc>
          <w:tcPr>
            <w:tcW w:w="672"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w:t>
            </w:r>
            <w:r>
              <w:rPr>
                <w:rFonts w:cs="Times New Roman"/>
                <w:color w:val="000000" w:themeColor="text1"/>
                <w:sz w:val="18"/>
                <w:szCs w:val="18"/>
              </w:rPr>
              <w:t>4</w:t>
            </w:r>
          </w:p>
        </w:tc>
        <w:tc>
          <w:tcPr>
            <w:tcW w:w="380"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700</w:t>
            </w:r>
          </w:p>
        </w:tc>
        <w:tc>
          <w:tcPr>
            <w:tcW w:w="533"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470</w:t>
            </w:r>
          </w:p>
        </w:tc>
        <w:tc>
          <w:tcPr>
            <w:tcW w:w="333"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350</w:t>
            </w:r>
          </w:p>
        </w:tc>
        <w:tc>
          <w:tcPr>
            <w:tcW w:w="461"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700</w:t>
            </w:r>
          </w:p>
        </w:tc>
        <w:tc>
          <w:tcPr>
            <w:tcW w:w="461"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470</w:t>
            </w:r>
          </w:p>
        </w:tc>
        <w:tc>
          <w:tcPr>
            <w:tcW w:w="465"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350</w:t>
            </w:r>
          </w:p>
        </w:tc>
        <w:tc>
          <w:tcPr>
            <w:tcW w:w="461"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380</w:t>
            </w:r>
          </w:p>
        </w:tc>
        <w:tc>
          <w:tcPr>
            <w:tcW w:w="462"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250</w:t>
            </w:r>
          </w:p>
        </w:tc>
        <w:tc>
          <w:tcPr>
            <w:tcW w:w="467"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190</w:t>
            </w:r>
          </w:p>
        </w:tc>
      </w:tr>
      <w:tr w:rsidR="00644456">
        <w:trPr>
          <w:trHeight w:val="20"/>
          <w:jc w:val="center"/>
        </w:trPr>
        <w:tc>
          <w:tcPr>
            <w:tcW w:w="299" w:type="pct"/>
            <w:vMerge/>
            <w:vAlign w:val="center"/>
          </w:tcPr>
          <w:p w:rsidR="00644456" w:rsidRDefault="00644456">
            <w:pPr>
              <w:adjustRightInd w:val="0"/>
              <w:snapToGrid w:val="0"/>
              <w:jc w:val="center"/>
              <w:rPr>
                <w:rFonts w:cs="Times New Roman"/>
                <w:color w:val="000000" w:themeColor="text1"/>
                <w:sz w:val="18"/>
                <w:szCs w:val="18"/>
              </w:rPr>
            </w:pPr>
          </w:p>
        </w:tc>
        <w:tc>
          <w:tcPr>
            <w:tcW w:w="672"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w:t>
            </w:r>
            <w:r>
              <w:rPr>
                <w:rFonts w:cs="Times New Roman"/>
                <w:color w:val="000000" w:themeColor="text1"/>
                <w:sz w:val="18"/>
                <w:szCs w:val="18"/>
              </w:rPr>
              <w:t>4</w:t>
            </w:r>
          </w:p>
        </w:tc>
        <w:tc>
          <w:tcPr>
            <w:tcW w:w="380"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530</w:t>
            </w:r>
          </w:p>
        </w:tc>
        <w:tc>
          <w:tcPr>
            <w:tcW w:w="533"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350</w:t>
            </w:r>
          </w:p>
        </w:tc>
        <w:tc>
          <w:tcPr>
            <w:tcW w:w="333"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260</w:t>
            </w:r>
          </w:p>
        </w:tc>
        <w:tc>
          <w:tcPr>
            <w:tcW w:w="461"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530</w:t>
            </w:r>
          </w:p>
        </w:tc>
        <w:tc>
          <w:tcPr>
            <w:tcW w:w="461"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350</w:t>
            </w:r>
          </w:p>
        </w:tc>
        <w:tc>
          <w:tcPr>
            <w:tcW w:w="465"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260</w:t>
            </w:r>
          </w:p>
        </w:tc>
        <w:tc>
          <w:tcPr>
            <w:tcW w:w="461"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290</w:t>
            </w:r>
          </w:p>
        </w:tc>
        <w:tc>
          <w:tcPr>
            <w:tcW w:w="462"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190</w:t>
            </w:r>
          </w:p>
        </w:tc>
        <w:tc>
          <w:tcPr>
            <w:tcW w:w="467"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140</w:t>
            </w:r>
          </w:p>
        </w:tc>
      </w:tr>
      <w:tr w:rsidR="00644456">
        <w:trPr>
          <w:trHeight w:val="20"/>
          <w:jc w:val="center"/>
        </w:trPr>
        <w:tc>
          <w:tcPr>
            <w:tcW w:w="299" w:type="pct"/>
            <w:vMerge w:val="restar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B</w:t>
            </w:r>
          </w:p>
        </w:tc>
        <w:tc>
          <w:tcPr>
            <w:tcW w:w="672"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w:t>
            </w:r>
            <w:r>
              <w:rPr>
                <w:rFonts w:cs="Times New Roman"/>
                <w:color w:val="000000" w:themeColor="text1"/>
                <w:sz w:val="18"/>
                <w:szCs w:val="18"/>
              </w:rPr>
              <w:t>2</w:t>
            </w:r>
          </w:p>
        </w:tc>
        <w:tc>
          <w:tcPr>
            <w:tcW w:w="1247" w:type="pct"/>
            <w:gridSpan w:val="3"/>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0.01</w:t>
            </w:r>
          </w:p>
        </w:tc>
        <w:tc>
          <w:tcPr>
            <w:tcW w:w="1388" w:type="pct"/>
            <w:gridSpan w:val="3"/>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0.015</w:t>
            </w:r>
          </w:p>
        </w:tc>
        <w:tc>
          <w:tcPr>
            <w:tcW w:w="1391" w:type="pct"/>
            <w:gridSpan w:val="3"/>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0.015</w:t>
            </w:r>
          </w:p>
        </w:tc>
      </w:tr>
      <w:tr w:rsidR="00644456">
        <w:trPr>
          <w:trHeight w:val="20"/>
          <w:jc w:val="center"/>
        </w:trPr>
        <w:tc>
          <w:tcPr>
            <w:tcW w:w="299" w:type="pct"/>
            <w:vMerge/>
            <w:vAlign w:val="center"/>
          </w:tcPr>
          <w:p w:rsidR="00644456" w:rsidRDefault="00644456">
            <w:pPr>
              <w:adjustRightInd w:val="0"/>
              <w:snapToGrid w:val="0"/>
              <w:jc w:val="center"/>
              <w:rPr>
                <w:rFonts w:cs="Times New Roman"/>
                <w:color w:val="000000" w:themeColor="text1"/>
                <w:sz w:val="18"/>
                <w:szCs w:val="18"/>
              </w:rPr>
            </w:pPr>
          </w:p>
        </w:tc>
        <w:tc>
          <w:tcPr>
            <w:tcW w:w="672"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w:t>
            </w:r>
            <w:r>
              <w:rPr>
                <w:rFonts w:cs="Times New Roman"/>
                <w:color w:val="000000" w:themeColor="text1"/>
                <w:sz w:val="18"/>
                <w:szCs w:val="18"/>
              </w:rPr>
              <w:t>2</w:t>
            </w:r>
          </w:p>
        </w:tc>
        <w:tc>
          <w:tcPr>
            <w:tcW w:w="1247" w:type="pct"/>
            <w:gridSpan w:val="3"/>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0.021</w:t>
            </w:r>
          </w:p>
        </w:tc>
        <w:tc>
          <w:tcPr>
            <w:tcW w:w="1388" w:type="pct"/>
            <w:gridSpan w:val="3"/>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0.036</w:t>
            </w:r>
          </w:p>
        </w:tc>
        <w:tc>
          <w:tcPr>
            <w:tcW w:w="1391" w:type="pct"/>
            <w:gridSpan w:val="3"/>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0.036</w:t>
            </w:r>
          </w:p>
        </w:tc>
      </w:tr>
      <w:tr w:rsidR="00644456">
        <w:trPr>
          <w:trHeight w:val="20"/>
          <w:jc w:val="center"/>
        </w:trPr>
        <w:tc>
          <w:tcPr>
            <w:tcW w:w="299" w:type="pct"/>
            <w:vMerge w:val="restar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C</w:t>
            </w:r>
          </w:p>
        </w:tc>
        <w:tc>
          <w:tcPr>
            <w:tcW w:w="672"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w:t>
            </w:r>
            <w:r>
              <w:rPr>
                <w:rFonts w:cs="Times New Roman"/>
                <w:color w:val="000000" w:themeColor="text1"/>
                <w:sz w:val="18"/>
                <w:szCs w:val="18"/>
              </w:rPr>
              <w:t>2</w:t>
            </w:r>
          </w:p>
        </w:tc>
        <w:tc>
          <w:tcPr>
            <w:tcW w:w="1247" w:type="pct"/>
            <w:gridSpan w:val="3"/>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1.85</w:t>
            </w:r>
          </w:p>
        </w:tc>
        <w:tc>
          <w:tcPr>
            <w:tcW w:w="1388" w:type="pct"/>
            <w:gridSpan w:val="3"/>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1.79</w:t>
            </w:r>
          </w:p>
        </w:tc>
        <w:tc>
          <w:tcPr>
            <w:tcW w:w="1391" w:type="pct"/>
            <w:gridSpan w:val="3"/>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1.79</w:t>
            </w:r>
          </w:p>
        </w:tc>
      </w:tr>
      <w:tr w:rsidR="00644456">
        <w:trPr>
          <w:trHeight w:val="20"/>
          <w:jc w:val="center"/>
        </w:trPr>
        <w:tc>
          <w:tcPr>
            <w:tcW w:w="299" w:type="pct"/>
            <w:vMerge/>
            <w:vAlign w:val="center"/>
          </w:tcPr>
          <w:p w:rsidR="00644456" w:rsidRDefault="00644456">
            <w:pPr>
              <w:adjustRightInd w:val="0"/>
              <w:snapToGrid w:val="0"/>
              <w:jc w:val="center"/>
              <w:rPr>
                <w:rFonts w:cs="Times New Roman"/>
                <w:color w:val="000000" w:themeColor="text1"/>
                <w:sz w:val="18"/>
                <w:szCs w:val="18"/>
              </w:rPr>
            </w:pPr>
          </w:p>
        </w:tc>
        <w:tc>
          <w:tcPr>
            <w:tcW w:w="672"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w:t>
            </w:r>
            <w:r>
              <w:rPr>
                <w:rFonts w:cs="Times New Roman"/>
                <w:color w:val="000000" w:themeColor="text1"/>
                <w:sz w:val="18"/>
                <w:szCs w:val="18"/>
              </w:rPr>
              <w:t>2</w:t>
            </w:r>
          </w:p>
        </w:tc>
        <w:tc>
          <w:tcPr>
            <w:tcW w:w="1247" w:type="pct"/>
            <w:gridSpan w:val="3"/>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1.85</w:t>
            </w:r>
          </w:p>
        </w:tc>
        <w:tc>
          <w:tcPr>
            <w:tcW w:w="1388" w:type="pct"/>
            <w:gridSpan w:val="3"/>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1.77</w:t>
            </w:r>
          </w:p>
        </w:tc>
        <w:tc>
          <w:tcPr>
            <w:tcW w:w="1391" w:type="pct"/>
            <w:gridSpan w:val="3"/>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1.77</w:t>
            </w:r>
          </w:p>
        </w:tc>
      </w:tr>
      <w:tr w:rsidR="00644456">
        <w:trPr>
          <w:trHeight w:val="20"/>
          <w:jc w:val="center"/>
        </w:trPr>
        <w:tc>
          <w:tcPr>
            <w:tcW w:w="299" w:type="pct"/>
            <w:vMerge w:val="restar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D</w:t>
            </w:r>
          </w:p>
        </w:tc>
        <w:tc>
          <w:tcPr>
            <w:tcW w:w="672"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w:t>
            </w:r>
            <w:r>
              <w:rPr>
                <w:rFonts w:cs="Times New Roman"/>
                <w:color w:val="000000" w:themeColor="text1"/>
                <w:sz w:val="18"/>
                <w:szCs w:val="18"/>
              </w:rPr>
              <w:t>2</w:t>
            </w:r>
          </w:p>
        </w:tc>
        <w:tc>
          <w:tcPr>
            <w:tcW w:w="1247" w:type="pct"/>
            <w:gridSpan w:val="3"/>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0.78</w:t>
            </w:r>
          </w:p>
        </w:tc>
        <w:tc>
          <w:tcPr>
            <w:tcW w:w="1388" w:type="pct"/>
            <w:gridSpan w:val="3"/>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0.78</w:t>
            </w:r>
          </w:p>
        </w:tc>
        <w:tc>
          <w:tcPr>
            <w:tcW w:w="1391" w:type="pct"/>
            <w:gridSpan w:val="3"/>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0.57</w:t>
            </w:r>
          </w:p>
        </w:tc>
      </w:tr>
      <w:tr w:rsidR="00644456">
        <w:trPr>
          <w:trHeight w:val="20"/>
          <w:jc w:val="center"/>
        </w:trPr>
        <w:tc>
          <w:tcPr>
            <w:tcW w:w="299" w:type="pct"/>
            <w:vMerge/>
            <w:vAlign w:val="center"/>
          </w:tcPr>
          <w:p w:rsidR="00644456" w:rsidRDefault="00644456">
            <w:pPr>
              <w:adjustRightInd w:val="0"/>
              <w:snapToGrid w:val="0"/>
              <w:jc w:val="center"/>
              <w:rPr>
                <w:rFonts w:cs="Times New Roman"/>
                <w:color w:val="000000" w:themeColor="text1"/>
                <w:sz w:val="18"/>
                <w:szCs w:val="18"/>
              </w:rPr>
            </w:pPr>
          </w:p>
        </w:tc>
        <w:tc>
          <w:tcPr>
            <w:tcW w:w="672" w:type="pct"/>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w:t>
            </w:r>
            <w:r>
              <w:rPr>
                <w:rFonts w:cs="Times New Roman"/>
                <w:color w:val="000000" w:themeColor="text1"/>
                <w:sz w:val="18"/>
                <w:szCs w:val="18"/>
              </w:rPr>
              <w:t>2</w:t>
            </w:r>
          </w:p>
        </w:tc>
        <w:tc>
          <w:tcPr>
            <w:tcW w:w="1247" w:type="pct"/>
            <w:gridSpan w:val="3"/>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0.84</w:t>
            </w:r>
          </w:p>
        </w:tc>
        <w:tc>
          <w:tcPr>
            <w:tcW w:w="1388" w:type="pct"/>
            <w:gridSpan w:val="3"/>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0.84</w:t>
            </w:r>
          </w:p>
        </w:tc>
        <w:tc>
          <w:tcPr>
            <w:tcW w:w="1391" w:type="pct"/>
            <w:gridSpan w:val="3"/>
            <w:vAlign w:val="center"/>
          </w:tcPr>
          <w:p w:rsidR="00644456" w:rsidRDefault="008031C4">
            <w:pPr>
              <w:adjustRightInd w:val="0"/>
              <w:snapToGrid w:val="0"/>
              <w:jc w:val="center"/>
              <w:rPr>
                <w:rFonts w:cs="Times New Roman"/>
                <w:color w:val="000000" w:themeColor="text1"/>
                <w:sz w:val="18"/>
                <w:szCs w:val="18"/>
              </w:rPr>
            </w:pPr>
            <w:r>
              <w:rPr>
                <w:rFonts w:cs="Times New Roman"/>
                <w:color w:val="000000" w:themeColor="text1"/>
                <w:sz w:val="18"/>
                <w:szCs w:val="18"/>
              </w:rPr>
              <w:t>0.76</w:t>
            </w:r>
          </w:p>
        </w:tc>
      </w:tr>
    </w:tbl>
    <w:p w:rsidR="00644456" w:rsidRDefault="008031C4">
      <w:pPr>
        <w:spacing w:line="360" w:lineRule="auto"/>
        <w:ind w:leftChars="200" w:left="420" w:firstLineChars="200" w:firstLine="480"/>
        <w:rPr>
          <w:rFonts w:cs="Times New Roman"/>
          <w:color w:val="000000" w:themeColor="text1"/>
          <w:sz w:val="24"/>
          <w:szCs w:val="24"/>
        </w:rPr>
      </w:pPr>
      <w:r>
        <w:rPr>
          <w:rFonts w:cs="Times New Roman"/>
          <w:color w:val="000000" w:themeColor="text1"/>
          <w:sz w:val="24"/>
          <w:szCs w:val="24"/>
        </w:rPr>
        <w:t>注：</w:t>
      </w:r>
      <w:r>
        <w:rPr>
          <w:rFonts w:cs="Times New Roman"/>
          <w:color w:val="000000" w:themeColor="text1"/>
          <w:sz w:val="24"/>
          <w:szCs w:val="24"/>
        </w:rPr>
        <w:t>1</w:t>
      </w:r>
      <w:r>
        <w:rPr>
          <w:rFonts w:cs="Times New Roman"/>
          <w:color w:val="000000" w:themeColor="text1"/>
          <w:sz w:val="24"/>
          <w:szCs w:val="24"/>
        </w:rPr>
        <w:t>）工业企业大气污染源构成分为三类：</w:t>
      </w:r>
    </w:p>
    <w:p w:rsidR="00644456" w:rsidRDefault="008031C4">
      <w:pPr>
        <w:spacing w:line="360" w:lineRule="auto"/>
        <w:ind w:leftChars="200" w:left="420" w:firstLineChars="200" w:firstLine="480"/>
        <w:rPr>
          <w:rFonts w:cs="Times New Roman"/>
          <w:color w:val="000000" w:themeColor="text1"/>
          <w:sz w:val="24"/>
          <w:szCs w:val="24"/>
        </w:rPr>
      </w:pPr>
      <w:r>
        <w:rPr>
          <w:rFonts w:cs="Times New Roman"/>
          <w:color w:val="000000" w:themeColor="text1"/>
          <w:sz w:val="24"/>
          <w:szCs w:val="24"/>
        </w:rPr>
        <w:t>I</w:t>
      </w:r>
      <w:r>
        <w:rPr>
          <w:rFonts w:cs="Times New Roman"/>
          <w:color w:val="000000" w:themeColor="text1"/>
          <w:sz w:val="24"/>
          <w:szCs w:val="24"/>
        </w:rPr>
        <w:t>类：与无组织排放源共存的排放同种有害气体的排气筒的排放量，大于标准规定的允许排放量的三分之一者。</w:t>
      </w:r>
    </w:p>
    <w:p w:rsidR="00644456" w:rsidRDefault="008031C4">
      <w:pPr>
        <w:spacing w:line="360" w:lineRule="auto"/>
        <w:ind w:leftChars="200" w:left="420" w:firstLineChars="200" w:firstLine="480"/>
        <w:rPr>
          <w:rFonts w:cs="Times New Roman"/>
          <w:color w:val="000000" w:themeColor="text1"/>
          <w:sz w:val="24"/>
          <w:szCs w:val="24"/>
        </w:rPr>
      </w:pPr>
      <w:r>
        <w:rPr>
          <w:rFonts w:cs="Times New Roman" w:hint="eastAsia"/>
          <w:color w:val="000000" w:themeColor="text1"/>
          <w:sz w:val="24"/>
          <w:szCs w:val="24"/>
        </w:rPr>
        <w:t>Ⅱ类</w:t>
      </w:r>
      <w:r>
        <w:rPr>
          <w:rFonts w:cs="Times New Roman"/>
          <w:color w:val="000000" w:themeColor="text1"/>
          <w:sz w:val="24"/>
          <w:szCs w:val="24"/>
        </w:rPr>
        <w:t>：与无组织排放源共存的排放同种有害气体的排气筒的排放量，小于标准规定的允许排放量的三分之一，或虽无排放同种大气污染物之排气筒共存，但无组织排放的有害物质的容许浓度指标是按急性反应指标确定者。</w:t>
      </w:r>
    </w:p>
    <w:p w:rsidR="00644456" w:rsidRDefault="008031C4">
      <w:pPr>
        <w:spacing w:line="360" w:lineRule="auto"/>
        <w:ind w:leftChars="200" w:left="420" w:firstLineChars="200" w:firstLine="480"/>
        <w:rPr>
          <w:rFonts w:cs="Times New Roman"/>
          <w:color w:val="000000" w:themeColor="text1"/>
          <w:sz w:val="24"/>
          <w:szCs w:val="24"/>
        </w:rPr>
      </w:pPr>
      <w:r>
        <w:rPr>
          <w:rFonts w:ascii="宋体" w:hAnsi="宋体" w:cs="宋体" w:hint="eastAsia"/>
          <w:color w:val="000000" w:themeColor="text1"/>
          <w:sz w:val="24"/>
          <w:szCs w:val="24"/>
        </w:rPr>
        <w:t>Ⅲ</w:t>
      </w:r>
      <w:r>
        <w:rPr>
          <w:rFonts w:cs="Times New Roman"/>
          <w:color w:val="000000" w:themeColor="text1"/>
          <w:sz w:val="24"/>
          <w:szCs w:val="24"/>
        </w:rPr>
        <w:t>类：无排放同种有害物质的排气筒与无组织排放源共存，且无组织排放的有害物质的容许浓度是按慢性反应指标确定者。</w:t>
      </w:r>
    </w:p>
    <w:p w:rsidR="00644456" w:rsidRDefault="008031C4">
      <w:pPr>
        <w:pStyle w:val="Default"/>
        <w:spacing w:line="360" w:lineRule="auto"/>
        <w:ind w:firstLineChars="200" w:firstLine="482"/>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4</w:t>
      </w:r>
      <w:r>
        <w:rPr>
          <w:rFonts w:ascii="Times New Roman" w:eastAsia="宋体" w:hAnsi="Times New Roman" w:cs="Times New Roman"/>
          <w:b/>
          <w:color w:val="000000" w:themeColor="text1"/>
        </w:rPr>
        <w:t>、项目卫生防护距离计算结果</w:t>
      </w:r>
    </w:p>
    <w:p w:rsidR="00644456" w:rsidRDefault="008031C4">
      <w:pPr>
        <w:pStyle w:val="Default"/>
        <w:spacing w:line="360" w:lineRule="auto"/>
        <w:ind w:firstLineChars="200" w:firstLine="480"/>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w:t>
      </w:r>
      <w:r>
        <w:rPr>
          <w:rFonts w:ascii="Times New Roman" w:eastAsia="宋体" w:hAnsi="Times New Roman" w:cs="Times New Roman" w:hint="eastAsia"/>
          <w:bCs/>
          <w:color w:val="000000" w:themeColor="text1"/>
        </w:rPr>
        <w:t>1</w:t>
      </w:r>
      <w:r>
        <w:rPr>
          <w:rFonts w:ascii="Times New Roman" w:eastAsia="宋体" w:hAnsi="Times New Roman" w:cs="Times New Roman" w:hint="eastAsia"/>
          <w:bCs/>
          <w:color w:val="000000" w:themeColor="text1"/>
        </w:rPr>
        <w:t>）计算结果</w:t>
      </w:r>
    </w:p>
    <w:p w:rsidR="00644456" w:rsidRDefault="008031C4">
      <w:pPr>
        <w:pStyle w:val="Default"/>
        <w:spacing w:line="360" w:lineRule="auto"/>
        <w:ind w:firstLineChars="200" w:firstLine="480"/>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卫生防护距离是指从产生职业性有害因素的生产单元（生产区、车间或工段）的边界至居住区边界的最小距离，即在正常生产条件下，无组织排放的有害气体（大气污染物）自生产单元边界到居住区的范围内，能够满足国家居住区容许浓度限值相关标准规定的所需的最小距离。为防止企业有害气体无组织排放对居住区造成污染和危害，保护人体健康，必须在企业与居住区之间设置一定的卫生防</w:t>
      </w:r>
      <w:r>
        <w:rPr>
          <w:rFonts w:ascii="Times New Roman" w:eastAsia="宋体" w:hAnsi="Times New Roman" w:cs="Times New Roman" w:hint="eastAsia"/>
          <w:bCs/>
          <w:color w:val="000000" w:themeColor="text1"/>
        </w:rPr>
        <w:lastRenderedPageBreak/>
        <w:t>护距离。卫生防护距离内宜绿化或设置其他生产性厂房、仓库，但不宜作为长久居住和办公使用。</w:t>
      </w:r>
    </w:p>
    <w:p w:rsidR="00644456" w:rsidRDefault="008031C4">
      <w:pPr>
        <w:pStyle w:val="Default"/>
        <w:spacing w:line="360" w:lineRule="auto"/>
        <w:ind w:firstLineChars="200" w:firstLine="480"/>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根据《大气有害物质无组织排放卫生防护距离推导技术导则》（</w:t>
      </w:r>
      <w:r>
        <w:rPr>
          <w:rFonts w:ascii="Times New Roman" w:eastAsia="宋体" w:hAnsi="Times New Roman" w:cs="Times New Roman"/>
          <w:bCs/>
          <w:color w:val="000000" w:themeColor="text1"/>
        </w:rPr>
        <w:t>GB/T39499-2020</w:t>
      </w:r>
      <w:r>
        <w:rPr>
          <w:rFonts w:ascii="Times New Roman" w:eastAsia="宋体" w:hAnsi="Times New Roman" w:cs="Times New Roman"/>
          <w:bCs/>
          <w:color w:val="000000" w:themeColor="text1"/>
        </w:rPr>
        <w:t>），项目卫生防护距离计算结果如下：</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5.1</w:t>
      </w:r>
      <w:r>
        <w:rPr>
          <w:rFonts w:cs="Times New Roman" w:hint="eastAsia"/>
          <w:b/>
          <w:color w:val="000000" w:themeColor="text1"/>
          <w:sz w:val="24"/>
          <w:szCs w:val="20"/>
        </w:rPr>
        <w:noBreakHyphen/>
        <w:t>11</w:t>
      </w:r>
      <w:r>
        <w:rPr>
          <w:rFonts w:cs="Times New Roman" w:hint="eastAsia"/>
          <w:b/>
          <w:color w:val="000000" w:themeColor="text1"/>
          <w:sz w:val="24"/>
          <w:szCs w:val="20"/>
        </w:rPr>
        <w:t>项目卫生防护距离设置情况</w:t>
      </w:r>
    </w:p>
    <w:tbl>
      <w:tblPr>
        <w:tblW w:w="8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1317"/>
        <w:gridCol w:w="1287"/>
        <w:gridCol w:w="1299"/>
        <w:gridCol w:w="1046"/>
        <w:gridCol w:w="954"/>
        <w:gridCol w:w="992"/>
      </w:tblGrid>
      <w:tr w:rsidR="00644456">
        <w:trPr>
          <w:cantSplit/>
          <w:trHeight w:val="776"/>
          <w:jc w:val="center"/>
        </w:trPr>
        <w:tc>
          <w:tcPr>
            <w:tcW w:w="1317" w:type="dxa"/>
            <w:vAlign w:val="center"/>
          </w:tcPr>
          <w:p w:rsidR="00644456" w:rsidRDefault="008031C4">
            <w:pPr>
              <w:adjustRightInd w:val="0"/>
              <w:snapToGrid w:val="0"/>
              <w:jc w:val="center"/>
              <w:rPr>
                <w:b/>
                <w:bCs/>
                <w:szCs w:val="21"/>
              </w:rPr>
            </w:pPr>
            <w:r>
              <w:rPr>
                <w:b/>
                <w:bCs/>
                <w:szCs w:val="21"/>
              </w:rPr>
              <w:t>产污工段</w:t>
            </w:r>
          </w:p>
        </w:tc>
        <w:tc>
          <w:tcPr>
            <w:tcW w:w="1317" w:type="dxa"/>
            <w:vAlign w:val="center"/>
          </w:tcPr>
          <w:p w:rsidR="00644456" w:rsidRDefault="008031C4">
            <w:pPr>
              <w:adjustRightInd w:val="0"/>
              <w:snapToGrid w:val="0"/>
              <w:jc w:val="center"/>
              <w:rPr>
                <w:b/>
                <w:bCs/>
                <w:szCs w:val="21"/>
              </w:rPr>
            </w:pPr>
            <w:r>
              <w:rPr>
                <w:b/>
                <w:bCs/>
                <w:szCs w:val="21"/>
              </w:rPr>
              <w:t>污染物</w:t>
            </w:r>
          </w:p>
        </w:tc>
        <w:tc>
          <w:tcPr>
            <w:tcW w:w="1287" w:type="dxa"/>
            <w:vAlign w:val="center"/>
          </w:tcPr>
          <w:p w:rsidR="00644456" w:rsidRDefault="008031C4">
            <w:pPr>
              <w:adjustRightInd w:val="0"/>
              <w:snapToGrid w:val="0"/>
              <w:jc w:val="center"/>
              <w:rPr>
                <w:b/>
                <w:bCs/>
                <w:szCs w:val="21"/>
              </w:rPr>
            </w:pPr>
            <w:r>
              <w:rPr>
                <w:b/>
                <w:bCs/>
                <w:szCs w:val="21"/>
              </w:rPr>
              <w:t>排放量</w:t>
            </w:r>
          </w:p>
          <w:p w:rsidR="00644456" w:rsidRDefault="008031C4">
            <w:pPr>
              <w:adjustRightInd w:val="0"/>
              <w:snapToGrid w:val="0"/>
              <w:jc w:val="center"/>
              <w:rPr>
                <w:b/>
                <w:bCs/>
                <w:szCs w:val="21"/>
              </w:rPr>
            </w:pPr>
            <w:r>
              <w:rPr>
                <w:b/>
                <w:bCs/>
                <w:szCs w:val="21"/>
              </w:rPr>
              <w:t>（</w:t>
            </w:r>
            <w:r>
              <w:rPr>
                <w:b/>
                <w:bCs/>
                <w:szCs w:val="21"/>
              </w:rPr>
              <w:t>kg/h</w:t>
            </w:r>
            <w:r>
              <w:rPr>
                <w:b/>
                <w:bCs/>
                <w:szCs w:val="21"/>
              </w:rPr>
              <w:t>）</w:t>
            </w:r>
          </w:p>
        </w:tc>
        <w:tc>
          <w:tcPr>
            <w:tcW w:w="1299" w:type="dxa"/>
            <w:vAlign w:val="center"/>
          </w:tcPr>
          <w:p w:rsidR="00644456" w:rsidRDefault="008031C4">
            <w:pPr>
              <w:adjustRightInd w:val="0"/>
              <w:snapToGrid w:val="0"/>
              <w:jc w:val="center"/>
              <w:rPr>
                <w:b/>
                <w:bCs/>
                <w:szCs w:val="21"/>
              </w:rPr>
            </w:pPr>
            <w:r>
              <w:rPr>
                <w:b/>
                <w:bCs/>
                <w:szCs w:val="21"/>
              </w:rPr>
              <w:t>面源尺寸</w:t>
            </w:r>
          </w:p>
          <w:p w:rsidR="00644456" w:rsidRDefault="008031C4">
            <w:pPr>
              <w:adjustRightInd w:val="0"/>
              <w:snapToGrid w:val="0"/>
              <w:jc w:val="center"/>
              <w:rPr>
                <w:b/>
                <w:bCs/>
                <w:szCs w:val="21"/>
              </w:rPr>
            </w:pPr>
            <w:r>
              <w:rPr>
                <w:b/>
                <w:bCs/>
                <w:szCs w:val="21"/>
              </w:rPr>
              <w:t>（</w:t>
            </w:r>
            <w:r>
              <w:rPr>
                <w:b/>
                <w:bCs/>
                <w:szCs w:val="21"/>
              </w:rPr>
              <w:t>m</w:t>
            </w:r>
            <w:r>
              <w:rPr>
                <w:b/>
                <w:bCs/>
                <w:szCs w:val="21"/>
                <w:vertAlign w:val="superscript"/>
              </w:rPr>
              <w:t>2</w:t>
            </w:r>
            <w:r>
              <w:rPr>
                <w:b/>
                <w:bCs/>
                <w:szCs w:val="21"/>
              </w:rPr>
              <w:t>）</w:t>
            </w:r>
          </w:p>
        </w:tc>
        <w:tc>
          <w:tcPr>
            <w:tcW w:w="1046" w:type="dxa"/>
            <w:vAlign w:val="center"/>
          </w:tcPr>
          <w:p w:rsidR="00644456" w:rsidRDefault="008031C4">
            <w:pPr>
              <w:adjustRightInd w:val="0"/>
              <w:snapToGrid w:val="0"/>
              <w:jc w:val="center"/>
              <w:rPr>
                <w:b/>
                <w:bCs/>
                <w:szCs w:val="21"/>
              </w:rPr>
            </w:pPr>
            <w:r>
              <w:rPr>
                <w:b/>
                <w:bCs/>
                <w:szCs w:val="21"/>
              </w:rPr>
              <w:t>Cm</w:t>
            </w:r>
          </w:p>
          <w:p w:rsidR="00644456" w:rsidRDefault="008031C4">
            <w:pPr>
              <w:adjustRightInd w:val="0"/>
              <w:snapToGrid w:val="0"/>
              <w:jc w:val="center"/>
              <w:rPr>
                <w:b/>
                <w:bCs/>
                <w:szCs w:val="21"/>
              </w:rPr>
            </w:pPr>
            <w:r>
              <w:rPr>
                <w:b/>
                <w:bCs/>
                <w:szCs w:val="21"/>
              </w:rPr>
              <w:t>(mg/m³)</w:t>
            </w:r>
          </w:p>
        </w:tc>
        <w:tc>
          <w:tcPr>
            <w:tcW w:w="954" w:type="dxa"/>
            <w:vAlign w:val="center"/>
          </w:tcPr>
          <w:p w:rsidR="00644456" w:rsidRDefault="008031C4">
            <w:pPr>
              <w:adjustRightInd w:val="0"/>
              <w:snapToGrid w:val="0"/>
              <w:jc w:val="center"/>
              <w:rPr>
                <w:b/>
                <w:bCs/>
                <w:szCs w:val="21"/>
              </w:rPr>
            </w:pPr>
            <w:r>
              <w:rPr>
                <w:b/>
                <w:bCs/>
                <w:szCs w:val="21"/>
              </w:rPr>
              <w:t>近年平均风速（</w:t>
            </w:r>
            <w:r>
              <w:rPr>
                <w:b/>
                <w:bCs/>
                <w:szCs w:val="21"/>
              </w:rPr>
              <w:t>m/s</w:t>
            </w:r>
            <w:r>
              <w:rPr>
                <w:b/>
                <w:bCs/>
                <w:szCs w:val="21"/>
              </w:rPr>
              <w:t>）</w:t>
            </w:r>
          </w:p>
        </w:tc>
        <w:tc>
          <w:tcPr>
            <w:tcW w:w="992" w:type="dxa"/>
            <w:vAlign w:val="center"/>
          </w:tcPr>
          <w:p w:rsidR="00644456" w:rsidRDefault="008031C4">
            <w:pPr>
              <w:adjustRightInd w:val="0"/>
              <w:snapToGrid w:val="0"/>
              <w:jc w:val="center"/>
              <w:rPr>
                <w:b/>
                <w:bCs/>
                <w:szCs w:val="21"/>
              </w:rPr>
            </w:pPr>
            <w:r>
              <w:rPr>
                <w:b/>
                <w:bCs/>
                <w:szCs w:val="21"/>
              </w:rPr>
              <w:t>计算结果（</w:t>
            </w:r>
            <w:r>
              <w:rPr>
                <w:b/>
                <w:bCs/>
                <w:szCs w:val="21"/>
              </w:rPr>
              <w:t>m</w:t>
            </w:r>
            <w:r>
              <w:rPr>
                <w:b/>
                <w:bCs/>
                <w:szCs w:val="21"/>
              </w:rPr>
              <w:t>）</w:t>
            </w:r>
          </w:p>
        </w:tc>
      </w:tr>
      <w:tr w:rsidR="00644456">
        <w:trPr>
          <w:cantSplit/>
          <w:trHeight w:val="325"/>
          <w:jc w:val="center"/>
        </w:trPr>
        <w:tc>
          <w:tcPr>
            <w:tcW w:w="1317" w:type="dxa"/>
            <w:vAlign w:val="center"/>
          </w:tcPr>
          <w:p w:rsidR="00644456" w:rsidRDefault="008031C4">
            <w:pPr>
              <w:adjustRightInd w:val="0"/>
              <w:snapToGrid w:val="0"/>
              <w:jc w:val="center"/>
              <w:rPr>
                <w:szCs w:val="21"/>
              </w:rPr>
            </w:pPr>
            <w:r>
              <w:rPr>
                <w:szCs w:val="21"/>
              </w:rPr>
              <w:t>储罐区</w:t>
            </w:r>
          </w:p>
        </w:tc>
        <w:tc>
          <w:tcPr>
            <w:tcW w:w="1317" w:type="dxa"/>
            <w:vAlign w:val="center"/>
          </w:tcPr>
          <w:p w:rsidR="00644456" w:rsidRDefault="008031C4">
            <w:pPr>
              <w:adjustRightInd w:val="0"/>
              <w:snapToGrid w:val="0"/>
              <w:jc w:val="center"/>
              <w:rPr>
                <w:szCs w:val="21"/>
              </w:rPr>
            </w:pPr>
            <w:r>
              <w:rPr>
                <w:szCs w:val="21"/>
              </w:rPr>
              <w:t>非甲烷总烃</w:t>
            </w:r>
          </w:p>
        </w:tc>
        <w:tc>
          <w:tcPr>
            <w:tcW w:w="1287" w:type="dxa"/>
            <w:vAlign w:val="center"/>
          </w:tcPr>
          <w:p w:rsidR="00644456" w:rsidRDefault="008031C4">
            <w:pPr>
              <w:adjustRightInd w:val="0"/>
              <w:snapToGrid w:val="0"/>
              <w:jc w:val="center"/>
              <w:textAlignment w:val="center"/>
              <w:rPr>
                <w:bCs/>
                <w:szCs w:val="21"/>
              </w:rPr>
            </w:pPr>
            <w:r>
              <w:rPr>
                <w:rFonts w:hint="eastAsia"/>
                <w:bCs/>
                <w:szCs w:val="21"/>
              </w:rPr>
              <w:t>0.074</w:t>
            </w:r>
          </w:p>
        </w:tc>
        <w:tc>
          <w:tcPr>
            <w:tcW w:w="1299" w:type="dxa"/>
            <w:vAlign w:val="center"/>
          </w:tcPr>
          <w:p w:rsidR="00644456" w:rsidRDefault="008031C4">
            <w:pPr>
              <w:adjustRightInd w:val="0"/>
              <w:snapToGrid w:val="0"/>
              <w:jc w:val="center"/>
              <w:rPr>
                <w:szCs w:val="21"/>
              </w:rPr>
            </w:pPr>
            <w:r>
              <w:rPr>
                <w:rFonts w:hint="eastAsia"/>
                <w:szCs w:val="21"/>
              </w:rPr>
              <w:t>1740</w:t>
            </w:r>
          </w:p>
        </w:tc>
        <w:tc>
          <w:tcPr>
            <w:tcW w:w="1046" w:type="dxa"/>
            <w:vAlign w:val="center"/>
          </w:tcPr>
          <w:p w:rsidR="00644456" w:rsidRDefault="008031C4">
            <w:pPr>
              <w:adjustRightInd w:val="0"/>
              <w:snapToGrid w:val="0"/>
              <w:jc w:val="center"/>
              <w:rPr>
                <w:szCs w:val="21"/>
              </w:rPr>
            </w:pPr>
            <w:r>
              <w:rPr>
                <w:szCs w:val="21"/>
              </w:rPr>
              <w:t>2.0</w:t>
            </w:r>
          </w:p>
        </w:tc>
        <w:tc>
          <w:tcPr>
            <w:tcW w:w="954" w:type="dxa"/>
            <w:vMerge w:val="restart"/>
            <w:vAlign w:val="center"/>
          </w:tcPr>
          <w:p w:rsidR="00644456" w:rsidRDefault="008031C4">
            <w:pPr>
              <w:adjustRightInd w:val="0"/>
              <w:snapToGrid w:val="0"/>
              <w:jc w:val="center"/>
              <w:rPr>
                <w:szCs w:val="21"/>
              </w:rPr>
            </w:pPr>
            <w:r>
              <w:rPr>
                <w:szCs w:val="21"/>
              </w:rPr>
              <w:t>2.0</w:t>
            </w:r>
          </w:p>
        </w:tc>
        <w:tc>
          <w:tcPr>
            <w:tcW w:w="992" w:type="dxa"/>
            <w:vAlign w:val="center"/>
          </w:tcPr>
          <w:p w:rsidR="00644456" w:rsidRDefault="008031C4">
            <w:pPr>
              <w:adjustRightInd w:val="0"/>
              <w:snapToGrid w:val="0"/>
              <w:jc w:val="center"/>
              <w:rPr>
                <w:szCs w:val="21"/>
              </w:rPr>
            </w:pPr>
            <w:r>
              <w:rPr>
                <w:rFonts w:hint="eastAsia"/>
                <w:szCs w:val="21"/>
              </w:rPr>
              <w:t>0</w:t>
            </w:r>
            <w:r>
              <w:rPr>
                <w:szCs w:val="21"/>
              </w:rPr>
              <w:t>.101</w:t>
            </w:r>
          </w:p>
        </w:tc>
      </w:tr>
      <w:tr w:rsidR="00644456">
        <w:trPr>
          <w:cantSplit/>
          <w:trHeight w:val="325"/>
          <w:jc w:val="center"/>
        </w:trPr>
        <w:tc>
          <w:tcPr>
            <w:tcW w:w="1317" w:type="dxa"/>
            <w:vAlign w:val="center"/>
          </w:tcPr>
          <w:p w:rsidR="00644456" w:rsidRDefault="008031C4">
            <w:pPr>
              <w:adjustRightInd w:val="0"/>
              <w:snapToGrid w:val="0"/>
              <w:jc w:val="center"/>
              <w:rPr>
                <w:szCs w:val="21"/>
              </w:rPr>
            </w:pPr>
            <w:r>
              <w:rPr>
                <w:szCs w:val="21"/>
              </w:rPr>
              <w:t>装卸区</w:t>
            </w:r>
          </w:p>
        </w:tc>
        <w:tc>
          <w:tcPr>
            <w:tcW w:w="1317" w:type="dxa"/>
            <w:vAlign w:val="center"/>
          </w:tcPr>
          <w:p w:rsidR="00644456" w:rsidRDefault="008031C4">
            <w:pPr>
              <w:adjustRightInd w:val="0"/>
              <w:snapToGrid w:val="0"/>
              <w:jc w:val="center"/>
              <w:rPr>
                <w:szCs w:val="21"/>
              </w:rPr>
            </w:pPr>
            <w:r>
              <w:rPr>
                <w:szCs w:val="21"/>
              </w:rPr>
              <w:t>非甲烷总烃</w:t>
            </w:r>
          </w:p>
        </w:tc>
        <w:tc>
          <w:tcPr>
            <w:tcW w:w="1287" w:type="dxa"/>
            <w:vAlign w:val="center"/>
          </w:tcPr>
          <w:p w:rsidR="00644456" w:rsidRDefault="008031C4">
            <w:pPr>
              <w:adjustRightInd w:val="0"/>
              <w:snapToGrid w:val="0"/>
              <w:jc w:val="center"/>
              <w:textAlignment w:val="center"/>
              <w:rPr>
                <w:bCs/>
                <w:szCs w:val="21"/>
              </w:rPr>
            </w:pPr>
            <w:r>
              <w:rPr>
                <w:rFonts w:hint="eastAsia"/>
                <w:bCs/>
                <w:szCs w:val="21"/>
              </w:rPr>
              <w:t>0.0025</w:t>
            </w:r>
          </w:p>
        </w:tc>
        <w:tc>
          <w:tcPr>
            <w:tcW w:w="1299" w:type="dxa"/>
            <w:vAlign w:val="center"/>
          </w:tcPr>
          <w:p w:rsidR="00644456" w:rsidRDefault="008031C4">
            <w:pPr>
              <w:adjustRightInd w:val="0"/>
              <w:snapToGrid w:val="0"/>
              <w:jc w:val="center"/>
              <w:rPr>
                <w:szCs w:val="21"/>
              </w:rPr>
            </w:pPr>
            <w:r>
              <w:rPr>
                <w:rFonts w:hint="eastAsia"/>
                <w:szCs w:val="21"/>
              </w:rPr>
              <w:t>1470</w:t>
            </w:r>
          </w:p>
        </w:tc>
        <w:tc>
          <w:tcPr>
            <w:tcW w:w="1046" w:type="dxa"/>
            <w:vAlign w:val="center"/>
          </w:tcPr>
          <w:p w:rsidR="00644456" w:rsidRDefault="008031C4">
            <w:pPr>
              <w:adjustRightInd w:val="0"/>
              <w:snapToGrid w:val="0"/>
              <w:jc w:val="center"/>
              <w:rPr>
                <w:szCs w:val="21"/>
              </w:rPr>
            </w:pPr>
            <w:r>
              <w:rPr>
                <w:szCs w:val="21"/>
              </w:rPr>
              <w:t>2.0</w:t>
            </w:r>
          </w:p>
        </w:tc>
        <w:tc>
          <w:tcPr>
            <w:tcW w:w="954" w:type="dxa"/>
            <w:vMerge/>
            <w:vAlign w:val="center"/>
          </w:tcPr>
          <w:p w:rsidR="00644456" w:rsidRDefault="00644456">
            <w:pPr>
              <w:adjustRightInd w:val="0"/>
              <w:snapToGrid w:val="0"/>
              <w:jc w:val="center"/>
              <w:rPr>
                <w:szCs w:val="21"/>
              </w:rPr>
            </w:pPr>
          </w:p>
        </w:tc>
        <w:tc>
          <w:tcPr>
            <w:tcW w:w="992" w:type="dxa"/>
            <w:vAlign w:val="center"/>
          </w:tcPr>
          <w:p w:rsidR="00644456" w:rsidRDefault="008031C4">
            <w:pPr>
              <w:adjustRightInd w:val="0"/>
              <w:snapToGrid w:val="0"/>
              <w:jc w:val="center"/>
              <w:rPr>
                <w:szCs w:val="21"/>
              </w:rPr>
            </w:pPr>
            <w:r>
              <w:rPr>
                <w:rFonts w:hint="eastAsia"/>
                <w:szCs w:val="21"/>
              </w:rPr>
              <w:t>0</w:t>
            </w:r>
            <w:r>
              <w:rPr>
                <w:szCs w:val="21"/>
              </w:rPr>
              <w:t>.002</w:t>
            </w:r>
          </w:p>
        </w:tc>
      </w:tr>
      <w:tr w:rsidR="00644456">
        <w:trPr>
          <w:cantSplit/>
          <w:trHeight w:val="325"/>
          <w:jc w:val="center"/>
        </w:trPr>
        <w:tc>
          <w:tcPr>
            <w:tcW w:w="1317" w:type="dxa"/>
            <w:vAlign w:val="center"/>
          </w:tcPr>
          <w:p w:rsidR="00644456" w:rsidRDefault="008031C4">
            <w:pPr>
              <w:adjustRightInd w:val="0"/>
              <w:snapToGrid w:val="0"/>
              <w:jc w:val="center"/>
              <w:rPr>
                <w:szCs w:val="21"/>
              </w:rPr>
            </w:pPr>
            <w:r>
              <w:rPr>
                <w:szCs w:val="21"/>
              </w:rPr>
              <w:t>装置区</w:t>
            </w:r>
          </w:p>
        </w:tc>
        <w:tc>
          <w:tcPr>
            <w:tcW w:w="1317" w:type="dxa"/>
            <w:vAlign w:val="center"/>
          </w:tcPr>
          <w:p w:rsidR="00644456" w:rsidRDefault="008031C4">
            <w:pPr>
              <w:adjustRightInd w:val="0"/>
              <w:snapToGrid w:val="0"/>
              <w:jc w:val="center"/>
              <w:rPr>
                <w:szCs w:val="21"/>
              </w:rPr>
            </w:pPr>
            <w:r>
              <w:rPr>
                <w:szCs w:val="21"/>
              </w:rPr>
              <w:t>非甲烷总烃</w:t>
            </w:r>
          </w:p>
        </w:tc>
        <w:tc>
          <w:tcPr>
            <w:tcW w:w="1287" w:type="dxa"/>
            <w:vAlign w:val="center"/>
          </w:tcPr>
          <w:p w:rsidR="00644456" w:rsidRDefault="008031C4">
            <w:pPr>
              <w:adjustRightInd w:val="0"/>
              <w:snapToGrid w:val="0"/>
              <w:jc w:val="center"/>
              <w:textAlignment w:val="center"/>
              <w:rPr>
                <w:bCs/>
                <w:szCs w:val="21"/>
              </w:rPr>
            </w:pPr>
            <w:r>
              <w:rPr>
                <w:rFonts w:hint="eastAsia"/>
                <w:bCs/>
                <w:szCs w:val="21"/>
              </w:rPr>
              <w:t>0.459</w:t>
            </w:r>
          </w:p>
        </w:tc>
        <w:tc>
          <w:tcPr>
            <w:tcW w:w="1299" w:type="dxa"/>
            <w:vAlign w:val="center"/>
          </w:tcPr>
          <w:p w:rsidR="00644456" w:rsidRDefault="008031C4">
            <w:pPr>
              <w:adjustRightInd w:val="0"/>
              <w:snapToGrid w:val="0"/>
              <w:jc w:val="center"/>
              <w:rPr>
                <w:szCs w:val="21"/>
              </w:rPr>
            </w:pPr>
            <w:r>
              <w:rPr>
                <w:rFonts w:hint="eastAsia"/>
                <w:szCs w:val="21"/>
              </w:rPr>
              <w:t>3367.5</w:t>
            </w:r>
          </w:p>
        </w:tc>
        <w:tc>
          <w:tcPr>
            <w:tcW w:w="1046" w:type="dxa"/>
            <w:vAlign w:val="center"/>
          </w:tcPr>
          <w:p w:rsidR="00644456" w:rsidRDefault="008031C4">
            <w:pPr>
              <w:adjustRightInd w:val="0"/>
              <w:snapToGrid w:val="0"/>
              <w:jc w:val="center"/>
              <w:rPr>
                <w:szCs w:val="21"/>
              </w:rPr>
            </w:pPr>
            <w:r>
              <w:rPr>
                <w:szCs w:val="21"/>
              </w:rPr>
              <w:t>2.0</w:t>
            </w:r>
          </w:p>
        </w:tc>
        <w:tc>
          <w:tcPr>
            <w:tcW w:w="954" w:type="dxa"/>
            <w:vMerge/>
            <w:vAlign w:val="center"/>
          </w:tcPr>
          <w:p w:rsidR="00644456" w:rsidRDefault="00644456">
            <w:pPr>
              <w:adjustRightInd w:val="0"/>
              <w:snapToGrid w:val="0"/>
              <w:jc w:val="center"/>
              <w:rPr>
                <w:szCs w:val="21"/>
              </w:rPr>
            </w:pPr>
          </w:p>
        </w:tc>
        <w:tc>
          <w:tcPr>
            <w:tcW w:w="992" w:type="dxa"/>
            <w:vAlign w:val="center"/>
          </w:tcPr>
          <w:p w:rsidR="00644456" w:rsidRDefault="008031C4">
            <w:pPr>
              <w:adjustRightInd w:val="0"/>
              <w:snapToGrid w:val="0"/>
              <w:jc w:val="center"/>
              <w:rPr>
                <w:szCs w:val="21"/>
              </w:rPr>
            </w:pPr>
            <w:r>
              <w:rPr>
                <w:rFonts w:hint="eastAsia"/>
                <w:szCs w:val="21"/>
              </w:rPr>
              <w:t>0</w:t>
            </w:r>
            <w:r>
              <w:rPr>
                <w:szCs w:val="21"/>
              </w:rPr>
              <w:t>.627</w:t>
            </w:r>
          </w:p>
        </w:tc>
      </w:tr>
      <w:tr w:rsidR="00644456">
        <w:trPr>
          <w:cantSplit/>
          <w:trHeight w:val="325"/>
          <w:jc w:val="center"/>
        </w:trPr>
        <w:tc>
          <w:tcPr>
            <w:tcW w:w="1317" w:type="dxa"/>
            <w:vMerge w:val="restart"/>
            <w:vAlign w:val="center"/>
          </w:tcPr>
          <w:p w:rsidR="00644456" w:rsidRDefault="008031C4">
            <w:pPr>
              <w:adjustRightInd w:val="0"/>
              <w:snapToGrid w:val="0"/>
              <w:jc w:val="center"/>
              <w:rPr>
                <w:szCs w:val="21"/>
              </w:rPr>
            </w:pPr>
            <w:r>
              <w:rPr>
                <w:rFonts w:hint="eastAsia"/>
                <w:szCs w:val="21"/>
              </w:rPr>
              <w:t>污水处理</w:t>
            </w:r>
            <w:r>
              <w:rPr>
                <w:szCs w:val="21"/>
              </w:rPr>
              <w:t>区</w:t>
            </w:r>
          </w:p>
        </w:tc>
        <w:tc>
          <w:tcPr>
            <w:tcW w:w="1317" w:type="dxa"/>
            <w:vAlign w:val="center"/>
          </w:tcPr>
          <w:p w:rsidR="00644456" w:rsidRDefault="008031C4">
            <w:pPr>
              <w:adjustRightInd w:val="0"/>
              <w:snapToGrid w:val="0"/>
              <w:jc w:val="center"/>
              <w:rPr>
                <w:szCs w:val="21"/>
              </w:rPr>
            </w:pPr>
            <w:r>
              <w:rPr>
                <w:rFonts w:cs="Times New Roman" w:hint="eastAsia"/>
                <w:szCs w:val="21"/>
                <w:lang w:eastAsia="en-US" w:bidi="ar"/>
              </w:rPr>
              <w:t>氨</w:t>
            </w:r>
          </w:p>
        </w:tc>
        <w:tc>
          <w:tcPr>
            <w:tcW w:w="1287" w:type="dxa"/>
            <w:vAlign w:val="center"/>
          </w:tcPr>
          <w:p w:rsidR="00644456" w:rsidRDefault="008031C4">
            <w:pPr>
              <w:adjustRightInd w:val="0"/>
              <w:snapToGrid w:val="0"/>
              <w:jc w:val="center"/>
              <w:textAlignment w:val="center"/>
              <w:rPr>
                <w:bCs/>
                <w:szCs w:val="21"/>
              </w:rPr>
            </w:pPr>
            <w:r>
              <w:rPr>
                <w:rFonts w:hint="eastAsia"/>
                <w:bCs/>
                <w:szCs w:val="21"/>
              </w:rPr>
              <w:t>0.004</w:t>
            </w:r>
          </w:p>
        </w:tc>
        <w:tc>
          <w:tcPr>
            <w:tcW w:w="1299" w:type="dxa"/>
            <w:vMerge w:val="restart"/>
            <w:vAlign w:val="center"/>
          </w:tcPr>
          <w:p w:rsidR="00644456" w:rsidRDefault="008031C4">
            <w:pPr>
              <w:adjustRightInd w:val="0"/>
              <w:snapToGrid w:val="0"/>
              <w:jc w:val="center"/>
              <w:rPr>
                <w:szCs w:val="21"/>
              </w:rPr>
            </w:pPr>
            <w:r>
              <w:rPr>
                <w:rFonts w:hint="eastAsia"/>
                <w:szCs w:val="21"/>
              </w:rPr>
              <w:t>200</w:t>
            </w:r>
          </w:p>
        </w:tc>
        <w:tc>
          <w:tcPr>
            <w:tcW w:w="1046" w:type="dxa"/>
            <w:vAlign w:val="center"/>
          </w:tcPr>
          <w:p w:rsidR="00644456" w:rsidRDefault="008031C4">
            <w:pPr>
              <w:adjustRightInd w:val="0"/>
              <w:snapToGrid w:val="0"/>
              <w:jc w:val="center"/>
              <w:rPr>
                <w:szCs w:val="21"/>
              </w:rPr>
            </w:pPr>
            <w:r>
              <w:rPr>
                <w:szCs w:val="21"/>
              </w:rPr>
              <w:t>0.2</w:t>
            </w:r>
          </w:p>
        </w:tc>
        <w:tc>
          <w:tcPr>
            <w:tcW w:w="954" w:type="dxa"/>
            <w:vMerge/>
            <w:vAlign w:val="center"/>
          </w:tcPr>
          <w:p w:rsidR="00644456" w:rsidRDefault="00644456">
            <w:pPr>
              <w:adjustRightInd w:val="0"/>
              <w:snapToGrid w:val="0"/>
              <w:jc w:val="center"/>
              <w:rPr>
                <w:szCs w:val="21"/>
              </w:rPr>
            </w:pPr>
          </w:p>
        </w:tc>
        <w:tc>
          <w:tcPr>
            <w:tcW w:w="992" w:type="dxa"/>
            <w:vAlign w:val="center"/>
          </w:tcPr>
          <w:p w:rsidR="00644456" w:rsidRDefault="008031C4">
            <w:pPr>
              <w:adjustRightInd w:val="0"/>
              <w:snapToGrid w:val="0"/>
              <w:jc w:val="center"/>
              <w:rPr>
                <w:szCs w:val="21"/>
              </w:rPr>
            </w:pPr>
            <w:r>
              <w:rPr>
                <w:szCs w:val="21"/>
              </w:rPr>
              <w:t>2.760</w:t>
            </w:r>
          </w:p>
        </w:tc>
      </w:tr>
      <w:tr w:rsidR="00644456">
        <w:trPr>
          <w:cantSplit/>
          <w:trHeight w:val="325"/>
          <w:jc w:val="center"/>
        </w:trPr>
        <w:tc>
          <w:tcPr>
            <w:tcW w:w="1317" w:type="dxa"/>
            <w:vMerge/>
            <w:vAlign w:val="center"/>
          </w:tcPr>
          <w:p w:rsidR="00644456" w:rsidRDefault="00644456">
            <w:pPr>
              <w:adjustRightInd w:val="0"/>
              <w:snapToGrid w:val="0"/>
              <w:jc w:val="center"/>
              <w:rPr>
                <w:szCs w:val="21"/>
              </w:rPr>
            </w:pPr>
          </w:p>
        </w:tc>
        <w:tc>
          <w:tcPr>
            <w:tcW w:w="1317" w:type="dxa"/>
            <w:vAlign w:val="center"/>
          </w:tcPr>
          <w:p w:rsidR="00644456" w:rsidRDefault="008031C4">
            <w:pPr>
              <w:adjustRightInd w:val="0"/>
              <w:snapToGrid w:val="0"/>
              <w:jc w:val="center"/>
              <w:rPr>
                <w:szCs w:val="21"/>
              </w:rPr>
            </w:pPr>
            <w:r>
              <w:rPr>
                <w:rFonts w:cs="Times New Roman" w:hint="eastAsia"/>
                <w:szCs w:val="21"/>
                <w:lang w:eastAsia="en-US" w:bidi="ar"/>
              </w:rPr>
              <w:t>硫化氢</w:t>
            </w:r>
          </w:p>
        </w:tc>
        <w:tc>
          <w:tcPr>
            <w:tcW w:w="1287" w:type="dxa"/>
            <w:vAlign w:val="center"/>
          </w:tcPr>
          <w:p w:rsidR="00644456" w:rsidRDefault="008031C4">
            <w:pPr>
              <w:adjustRightInd w:val="0"/>
              <w:snapToGrid w:val="0"/>
              <w:jc w:val="center"/>
              <w:textAlignment w:val="center"/>
              <w:rPr>
                <w:bCs/>
                <w:szCs w:val="21"/>
              </w:rPr>
            </w:pPr>
            <w:r>
              <w:rPr>
                <w:rFonts w:hint="eastAsia"/>
                <w:bCs/>
                <w:szCs w:val="21"/>
              </w:rPr>
              <w:t>0.0001</w:t>
            </w:r>
          </w:p>
        </w:tc>
        <w:tc>
          <w:tcPr>
            <w:tcW w:w="1299" w:type="dxa"/>
            <w:vMerge/>
            <w:vAlign w:val="center"/>
          </w:tcPr>
          <w:p w:rsidR="00644456" w:rsidRDefault="00644456">
            <w:pPr>
              <w:adjustRightInd w:val="0"/>
              <w:snapToGrid w:val="0"/>
              <w:jc w:val="center"/>
              <w:rPr>
                <w:szCs w:val="21"/>
              </w:rPr>
            </w:pPr>
          </w:p>
        </w:tc>
        <w:tc>
          <w:tcPr>
            <w:tcW w:w="1046" w:type="dxa"/>
            <w:vAlign w:val="center"/>
          </w:tcPr>
          <w:p w:rsidR="00644456" w:rsidRDefault="008031C4">
            <w:pPr>
              <w:adjustRightInd w:val="0"/>
              <w:snapToGrid w:val="0"/>
              <w:jc w:val="center"/>
              <w:rPr>
                <w:szCs w:val="21"/>
              </w:rPr>
            </w:pPr>
            <w:r>
              <w:rPr>
                <w:szCs w:val="21"/>
              </w:rPr>
              <w:t>0.01</w:t>
            </w:r>
          </w:p>
        </w:tc>
        <w:tc>
          <w:tcPr>
            <w:tcW w:w="954" w:type="dxa"/>
            <w:vMerge/>
            <w:vAlign w:val="center"/>
          </w:tcPr>
          <w:p w:rsidR="00644456" w:rsidRDefault="00644456">
            <w:pPr>
              <w:adjustRightInd w:val="0"/>
              <w:snapToGrid w:val="0"/>
              <w:jc w:val="center"/>
              <w:rPr>
                <w:szCs w:val="21"/>
              </w:rPr>
            </w:pPr>
          </w:p>
        </w:tc>
        <w:tc>
          <w:tcPr>
            <w:tcW w:w="992" w:type="dxa"/>
            <w:vAlign w:val="center"/>
          </w:tcPr>
          <w:p w:rsidR="00644456" w:rsidRDefault="008031C4">
            <w:pPr>
              <w:adjustRightInd w:val="0"/>
              <w:snapToGrid w:val="0"/>
              <w:jc w:val="center"/>
              <w:rPr>
                <w:szCs w:val="21"/>
              </w:rPr>
            </w:pPr>
            <w:r>
              <w:rPr>
                <w:rFonts w:hint="eastAsia"/>
                <w:szCs w:val="21"/>
              </w:rPr>
              <w:t>1</w:t>
            </w:r>
            <w:r>
              <w:rPr>
                <w:szCs w:val="21"/>
              </w:rPr>
              <w:t>.214</w:t>
            </w:r>
          </w:p>
        </w:tc>
      </w:tr>
      <w:tr w:rsidR="00644456">
        <w:trPr>
          <w:cantSplit/>
          <w:trHeight w:val="344"/>
          <w:jc w:val="center"/>
        </w:trPr>
        <w:tc>
          <w:tcPr>
            <w:tcW w:w="1317" w:type="dxa"/>
            <w:vMerge/>
            <w:vAlign w:val="center"/>
          </w:tcPr>
          <w:p w:rsidR="00644456" w:rsidRDefault="00644456">
            <w:pPr>
              <w:adjustRightInd w:val="0"/>
              <w:snapToGrid w:val="0"/>
              <w:jc w:val="center"/>
              <w:rPr>
                <w:szCs w:val="21"/>
              </w:rPr>
            </w:pPr>
          </w:p>
        </w:tc>
        <w:tc>
          <w:tcPr>
            <w:tcW w:w="1317" w:type="dxa"/>
            <w:vAlign w:val="center"/>
          </w:tcPr>
          <w:p w:rsidR="00644456" w:rsidRDefault="008031C4">
            <w:pPr>
              <w:adjustRightInd w:val="0"/>
              <w:snapToGrid w:val="0"/>
              <w:jc w:val="center"/>
              <w:rPr>
                <w:szCs w:val="21"/>
              </w:rPr>
            </w:pPr>
            <w:r>
              <w:rPr>
                <w:rFonts w:cs="Times New Roman" w:hint="eastAsia"/>
                <w:szCs w:val="21"/>
                <w:lang w:bidi="ar"/>
              </w:rPr>
              <w:t>非甲烷总烃</w:t>
            </w:r>
          </w:p>
        </w:tc>
        <w:tc>
          <w:tcPr>
            <w:tcW w:w="1287" w:type="dxa"/>
            <w:vAlign w:val="center"/>
          </w:tcPr>
          <w:p w:rsidR="00644456" w:rsidRDefault="008031C4">
            <w:pPr>
              <w:adjustRightInd w:val="0"/>
              <w:snapToGrid w:val="0"/>
              <w:jc w:val="center"/>
              <w:textAlignment w:val="center"/>
              <w:rPr>
                <w:bCs/>
                <w:szCs w:val="21"/>
              </w:rPr>
            </w:pPr>
            <w:r>
              <w:rPr>
                <w:rFonts w:hint="eastAsia"/>
                <w:bCs/>
                <w:szCs w:val="21"/>
              </w:rPr>
              <w:t>0.0104</w:t>
            </w:r>
          </w:p>
        </w:tc>
        <w:tc>
          <w:tcPr>
            <w:tcW w:w="1299" w:type="dxa"/>
            <w:vMerge/>
            <w:vAlign w:val="center"/>
          </w:tcPr>
          <w:p w:rsidR="00644456" w:rsidRDefault="00644456">
            <w:pPr>
              <w:adjustRightInd w:val="0"/>
              <w:snapToGrid w:val="0"/>
              <w:jc w:val="center"/>
              <w:rPr>
                <w:szCs w:val="21"/>
              </w:rPr>
            </w:pPr>
          </w:p>
        </w:tc>
        <w:tc>
          <w:tcPr>
            <w:tcW w:w="1046" w:type="dxa"/>
            <w:vAlign w:val="center"/>
          </w:tcPr>
          <w:p w:rsidR="00644456" w:rsidRDefault="008031C4">
            <w:pPr>
              <w:adjustRightInd w:val="0"/>
              <w:snapToGrid w:val="0"/>
              <w:jc w:val="center"/>
              <w:rPr>
                <w:szCs w:val="21"/>
              </w:rPr>
            </w:pPr>
            <w:r>
              <w:rPr>
                <w:szCs w:val="21"/>
              </w:rPr>
              <w:t>2.0</w:t>
            </w:r>
          </w:p>
        </w:tc>
        <w:tc>
          <w:tcPr>
            <w:tcW w:w="954" w:type="dxa"/>
            <w:vMerge/>
            <w:vAlign w:val="center"/>
          </w:tcPr>
          <w:p w:rsidR="00644456" w:rsidRDefault="00644456">
            <w:pPr>
              <w:adjustRightInd w:val="0"/>
              <w:snapToGrid w:val="0"/>
              <w:jc w:val="center"/>
              <w:rPr>
                <w:szCs w:val="21"/>
              </w:rPr>
            </w:pPr>
          </w:p>
        </w:tc>
        <w:tc>
          <w:tcPr>
            <w:tcW w:w="992" w:type="dxa"/>
            <w:vAlign w:val="center"/>
          </w:tcPr>
          <w:p w:rsidR="00644456" w:rsidRDefault="008031C4">
            <w:pPr>
              <w:adjustRightInd w:val="0"/>
              <w:snapToGrid w:val="0"/>
              <w:jc w:val="center"/>
              <w:rPr>
                <w:szCs w:val="21"/>
              </w:rPr>
            </w:pPr>
            <w:r>
              <w:rPr>
                <w:rFonts w:hint="eastAsia"/>
                <w:szCs w:val="21"/>
              </w:rPr>
              <w:t>0</w:t>
            </w:r>
            <w:r>
              <w:rPr>
                <w:szCs w:val="21"/>
              </w:rPr>
              <w:t>.558</w:t>
            </w:r>
          </w:p>
        </w:tc>
      </w:tr>
    </w:tbl>
    <w:p w:rsidR="00644456" w:rsidRDefault="008031C4">
      <w:pPr>
        <w:adjustRightInd w:val="0"/>
        <w:snapToGrid w:val="0"/>
        <w:spacing w:line="360" w:lineRule="auto"/>
        <w:ind w:firstLineChars="200" w:firstLine="480"/>
        <w:rPr>
          <w:rFonts w:cs="Times New Roman"/>
          <w:color w:val="000000" w:themeColor="text1"/>
          <w:sz w:val="24"/>
          <w:szCs w:val="24"/>
        </w:rPr>
      </w:pPr>
      <w:r>
        <w:rPr>
          <w:rFonts w:cs="Times New Roman"/>
          <w:color w:val="000000" w:themeColor="text1"/>
          <w:sz w:val="24"/>
          <w:szCs w:val="24"/>
        </w:rPr>
        <w:t>根据《大气有害物质无组织排放卫生防护距离推导技术导则（</w:t>
      </w:r>
      <w:r>
        <w:rPr>
          <w:rFonts w:cs="Times New Roman"/>
          <w:color w:val="000000" w:themeColor="text1"/>
          <w:sz w:val="24"/>
          <w:szCs w:val="24"/>
        </w:rPr>
        <w:t>GB/T39499-2020</w:t>
      </w:r>
      <w:r>
        <w:rPr>
          <w:rFonts w:cs="Times New Roman"/>
          <w:color w:val="000000" w:themeColor="text1"/>
          <w:sz w:val="24"/>
          <w:szCs w:val="24"/>
        </w:rPr>
        <w:t>）》中：当目标企业无组织排放存在多种有毒有害污染物时，基于单个污染物的等标排放量计算结果，优先选择等标排放量最大的污染物为企业无组织排放的主要特征大气有害物质。当前两种污染物的等标排放量相差在</w:t>
      </w:r>
      <w:r>
        <w:rPr>
          <w:rFonts w:cs="Times New Roman"/>
          <w:color w:val="000000" w:themeColor="text1"/>
          <w:sz w:val="24"/>
          <w:szCs w:val="24"/>
        </w:rPr>
        <w:t>10%</w:t>
      </w:r>
      <w:r>
        <w:rPr>
          <w:rFonts w:cs="Times New Roman"/>
          <w:color w:val="000000" w:themeColor="text1"/>
          <w:sz w:val="24"/>
          <w:szCs w:val="24"/>
        </w:rPr>
        <w:t>以内时，需要同时选择这两种特征大气有害物质分别计算卫生防护距离初值。</w:t>
      </w:r>
    </w:p>
    <w:p w:rsidR="008B0FF7" w:rsidRDefault="008B0FF7">
      <w:pPr>
        <w:pStyle w:val="Default"/>
        <w:spacing w:line="360" w:lineRule="auto"/>
        <w:ind w:firstLineChars="200" w:firstLine="482"/>
        <w:rPr>
          <w:rFonts w:ascii="Times New Roman" w:eastAsia="宋体" w:hAnsi="Times New Roman" w:cs="Times New Roman"/>
          <w:b/>
          <w:color w:val="000000" w:themeColor="text1"/>
        </w:rPr>
      </w:pPr>
      <w:r w:rsidRPr="008B0FF7">
        <w:rPr>
          <w:rFonts w:ascii="Times New Roman" w:eastAsia="宋体" w:hAnsi="Times New Roman" w:cs="Times New Roman" w:hint="eastAsia"/>
          <w:b/>
          <w:color w:val="000000" w:themeColor="text1"/>
        </w:rPr>
        <w:t>根据《大气有害物质无组织排放卫生防护距离推导技术导则》（</w:t>
      </w:r>
      <w:r w:rsidRPr="008B0FF7">
        <w:rPr>
          <w:rFonts w:ascii="Times New Roman" w:eastAsia="宋体" w:hAnsi="Times New Roman" w:cs="Times New Roman" w:hint="eastAsia"/>
          <w:b/>
          <w:color w:val="000000" w:themeColor="text1"/>
        </w:rPr>
        <w:t>GB/T39499-2020</w:t>
      </w:r>
      <w:r w:rsidRPr="008B0FF7">
        <w:rPr>
          <w:rFonts w:ascii="Times New Roman" w:eastAsia="宋体" w:hAnsi="Times New Roman" w:cs="Times New Roman" w:hint="eastAsia"/>
          <w:b/>
          <w:color w:val="000000" w:themeColor="text1"/>
        </w:rPr>
        <w:t>）的要求，当企业某生产单元的无组织排放存在多种特征大气有害物质时，如果分别推导出的卫生防护距离初值在同一级别时，则该企业的卫生防护距离终值应提高一级</w:t>
      </w:r>
    </w:p>
    <w:p w:rsidR="00644456" w:rsidRDefault="008031C4">
      <w:pPr>
        <w:pStyle w:val="Default"/>
        <w:spacing w:line="360" w:lineRule="auto"/>
        <w:ind w:firstLineChars="200" w:firstLine="482"/>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综上所述：本项目卫生防护距离以储罐区、装卸区、装置区设置</w:t>
      </w:r>
      <w:r>
        <w:rPr>
          <w:rFonts w:ascii="Times New Roman" w:eastAsia="宋体" w:hAnsi="Times New Roman" w:cs="Times New Roman" w:hint="eastAsia"/>
          <w:b/>
          <w:color w:val="000000" w:themeColor="text1"/>
        </w:rPr>
        <w:t>5</w:t>
      </w:r>
      <w:r>
        <w:rPr>
          <w:rFonts w:ascii="Times New Roman" w:eastAsia="宋体" w:hAnsi="Times New Roman" w:cs="Times New Roman"/>
          <w:b/>
          <w:color w:val="000000" w:themeColor="text1"/>
        </w:rPr>
        <w:t>0</w:t>
      </w:r>
      <w:r>
        <w:rPr>
          <w:rFonts w:ascii="Times New Roman" w:eastAsia="宋体" w:hAnsi="Times New Roman" w:cs="Times New Roman" w:hint="eastAsia"/>
          <w:b/>
          <w:color w:val="000000" w:themeColor="text1"/>
        </w:rPr>
        <w:t>m</w:t>
      </w:r>
      <w:r w:rsidR="008B0FF7">
        <w:rPr>
          <w:rFonts w:ascii="Times New Roman" w:eastAsia="宋体" w:hAnsi="Times New Roman" w:cs="Times New Roman" w:hint="eastAsia"/>
          <w:b/>
          <w:color w:val="000000" w:themeColor="text1"/>
        </w:rPr>
        <w:t>，污水处理区设置</w:t>
      </w:r>
      <w:r w:rsidR="008B0FF7">
        <w:rPr>
          <w:rFonts w:ascii="Times New Roman" w:eastAsia="宋体" w:hAnsi="Times New Roman" w:cs="Times New Roman" w:hint="eastAsia"/>
          <w:b/>
          <w:color w:val="000000" w:themeColor="text1"/>
        </w:rPr>
        <w:t>1</w:t>
      </w:r>
      <w:r w:rsidR="008B0FF7">
        <w:rPr>
          <w:rFonts w:ascii="Times New Roman" w:eastAsia="宋体" w:hAnsi="Times New Roman" w:cs="Times New Roman"/>
          <w:b/>
          <w:color w:val="000000" w:themeColor="text1"/>
        </w:rPr>
        <w:t>00m</w:t>
      </w:r>
      <w:r>
        <w:rPr>
          <w:rFonts w:ascii="Times New Roman" w:eastAsia="宋体" w:hAnsi="Times New Roman" w:cs="Times New Roman" w:hint="eastAsia"/>
          <w:b/>
          <w:color w:val="000000" w:themeColor="text1"/>
        </w:rPr>
        <w:t>。</w:t>
      </w:r>
    </w:p>
    <w:p w:rsidR="00644456" w:rsidRDefault="008031C4">
      <w:pPr>
        <w:pStyle w:val="Default"/>
        <w:spacing w:line="360" w:lineRule="auto"/>
        <w:ind w:firstLineChars="200" w:firstLine="480"/>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根据卫生防护距离范围内用地规划性质，环评要求：在今后规划实施过程中，在本项目卫生防护距离范围内不应迁入、新建、规划医院、学校、居民区等敏感设施，以及制药、食品等对大气环境有特殊要求的企业。</w:t>
      </w:r>
    </w:p>
    <w:p w:rsidR="00644456" w:rsidRDefault="008031C4">
      <w:pPr>
        <w:pStyle w:val="Default"/>
        <w:spacing w:line="360" w:lineRule="auto"/>
        <w:ind w:firstLineChars="200" w:firstLine="480"/>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综上项目营运期产生的各种大气污染物经分类收集、处理后可实现达标排放，不会对周围环境产生明显影响。</w:t>
      </w:r>
    </w:p>
    <w:p w:rsidR="00644456" w:rsidRDefault="008031C4">
      <w:pPr>
        <w:pStyle w:val="3"/>
        <w:numPr>
          <w:ilvl w:val="2"/>
          <w:numId w:val="0"/>
        </w:numPr>
        <w:ind w:firstLineChars="200" w:firstLine="482"/>
      </w:pPr>
      <w:r>
        <w:rPr>
          <w:rFonts w:hint="eastAsia"/>
        </w:rPr>
        <w:t>5.1.4</w:t>
      </w:r>
      <w:r>
        <w:rPr>
          <w:rFonts w:hint="eastAsia"/>
        </w:rPr>
        <w:t>大气环境影响评价结论</w:t>
      </w:r>
    </w:p>
    <w:p w:rsidR="00644456" w:rsidRDefault="008031C4">
      <w:pPr>
        <w:autoSpaceDE w:val="0"/>
        <w:autoSpaceDN w:val="0"/>
        <w:spacing w:line="360" w:lineRule="auto"/>
        <w:ind w:firstLineChars="200" w:firstLine="480"/>
        <w:rPr>
          <w:rFonts w:ascii="宋体" w:hAnsi="宋体"/>
          <w:sz w:val="24"/>
          <w:szCs w:val="24"/>
        </w:rPr>
      </w:pPr>
      <w:r>
        <w:rPr>
          <w:rFonts w:ascii="宋体" w:hAnsi="宋体" w:hint="eastAsia"/>
          <w:sz w:val="24"/>
          <w:szCs w:val="24"/>
        </w:rPr>
        <w:t>本项目产生的废气主要是工艺不凝气、导热油锅炉废气、罐区大小呼吸废气、污水处理站废气、装卸区损失废气以及装置区密封损失废气等，主要特征因子为</w:t>
      </w:r>
      <w:r>
        <w:rPr>
          <w:rFonts w:ascii="宋体" w:hAnsi="宋体" w:hint="eastAsia"/>
          <w:sz w:val="24"/>
          <w:szCs w:val="24"/>
        </w:rPr>
        <w:lastRenderedPageBreak/>
        <w:t>非甲烷总烃、硫化氢、氨等。</w:t>
      </w:r>
    </w:p>
    <w:p w:rsidR="00644456" w:rsidRDefault="008031C4">
      <w:pPr>
        <w:autoSpaceDE w:val="0"/>
        <w:autoSpaceDN w:val="0"/>
        <w:spacing w:line="360" w:lineRule="auto"/>
        <w:ind w:firstLineChars="200" w:firstLine="482"/>
        <w:rPr>
          <w:rFonts w:ascii="宋体" w:hAnsi="宋体"/>
          <w:b/>
          <w:bCs/>
          <w:color w:val="000000" w:themeColor="text1"/>
          <w:sz w:val="24"/>
          <w:szCs w:val="24"/>
        </w:rPr>
      </w:pPr>
      <w:r>
        <w:rPr>
          <w:rFonts w:ascii="宋体" w:hAnsi="宋体" w:hint="eastAsia"/>
          <w:b/>
          <w:bCs/>
          <w:color w:val="000000" w:themeColor="text1"/>
          <w:sz w:val="24"/>
          <w:szCs w:val="24"/>
        </w:rPr>
        <w:t>工艺不凝气通过碱液喷淋+干式过滤+高温氧化+15m排气筒排放满足《大气污染物综合排放标准》（GB16297-1996），导热油锅炉设置低氮燃烧装置+8m排气筒满足《锅炉大气污染物排放标准》（GB13271-2014）。</w:t>
      </w:r>
    </w:p>
    <w:p w:rsidR="00644456" w:rsidRDefault="008031C4">
      <w:pPr>
        <w:autoSpaceDE w:val="0"/>
        <w:autoSpaceDN w:val="0"/>
        <w:spacing w:line="360" w:lineRule="auto"/>
        <w:ind w:firstLineChars="200" w:firstLine="482"/>
        <w:rPr>
          <w:rFonts w:ascii="宋体" w:hAnsi="宋体"/>
          <w:b/>
          <w:bCs/>
          <w:color w:val="000000" w:themeColor="text1"/>
          <w:sz w:val="24"/>
          <w:szCs w:val="24"/>
        </w:rPr>
      </w:pPr>
      <w:r>
        <w:rPr>
          <w:rFonts w:ascii="宋体" w:hAnsi="宋体" w:hint="eastAsia"/>
          <w:b/>
          <w:bCs/>
          <w:color w:val="000000" w:themeColor="text1"/>
          <w:sz w:val="24"/>
          <w:szCs w:val="24"/>
        </w:rPr>
        <w:t>根据外环境关系调查可知，本项目划定的卫生防护距离范围属于园区范围，无农户等敏感目标分布，因此工程不涉及环保搬迁。</w:t>
      </w:r>
    </w:p>
    <w:p w:rsidR="00644456" w:rsidRDefault="008031C4">
      <w:pPr>
        <w:autoSpaceDE w:val="0"/>
        <w:autoSpaceDN w:val="0"/>
        <w:spacing w:line="360" w:lineRule="auto"/>
        <w:ind w:firstLineChars="200" w:firstLine="482"/>
        <w:rPr>
          <w:rFonts w:ascii="宋体" w:hAnsi="宋体"/>
          <w:b/>
          <w:bCs/>
          <w:color w:val="000000" w:themeColor="text1"/>
          <w:sz w:val="24"/>
          <w:szCs w:val="24"/>
        </w:rPr>
      </w:pPr>
      <w:r>
        <w:rPr>
          <w:rFonts w:ascii="宋体" w:hAnsi="宋体" w:hint="eastAsia"/>
          <w:b/>
          <w:bCs/>
          <w:color w:val="000000" w:themeColor="text1"/>
          <w:sz w:val="24"/>
          <w:szCs w:val="24"/>
        </w:rPr>
        <w:t>综上，项目大气环境影响可接受。</w:t>
      </w:r>
    </w:p>
    <w:p w:rsidR="00644456" w:rsidRDefault="008031C4">
      <w:pPr>
        <w:pStyle w:val="20"/>
        <w:numPr>
          <w:ilvl w:val="1"/>
          <w:numId w:val="0"/>
        </w:numPr>
        <w:snapToGrid w:val="0"/>
        <w:spacing w:beforeLines="0" w:before="0" w:afterLines="0" w:after="0"/>
        <w:ind w:firstLine="600"/>
        <w:rPr>
          <w:rFonts w:cs="Times New Roman"/>
          <w:color w:val="000000" w:themeColor="text1"/>
          <w:sz w:val="30"/>
        </w:rPr>
      </w:pPr>
      <w:bookmarkStart w:id="311" w:name="_Toc155789380"/>
      <w:bookmarkStart w:id="312" w:name="_Toc177216888"/>
      <w:bookmarkEnd w:id="301"/>
      <w:bookmarkEnd w:id="302"/>
      <w:r>
        <w:rPr>
          <w:rFonts w:cs="Times New Roman" w:hint="eastAsia"/>
          <w:color w:val="000000" w:themeColor="text1"/>
          <w:sz w:val="30"/>
        </w:rPr>
        <w:t>5.2</w:t>
      </w:r>
      <w:r>
        <w:rPr>
          <w:rFonts w:cs="Times New Roman"/>
          <w:color w:val="000000" w:themeColor="text1"/>
          <w:sz w:val="30"/>
        </w:rPr>
        <w:t>地表水环境影响评价</w:t>
      </w:r>
      <w:bookmarkEnd w:id="311"/>
      <w:bookmarkEnd w:id="312"/>
    </w:p>
    <w:p w:rsidR="00644456" w:rsidRDefault="008031C4">
      <w:pPr>
        <w:pStyle w:val="3"/>
        <w:numPr>
          <w:ilvl w:val="2"/>
          <w:numId w:val="0"/>
        </w:numPr>
        <w:ind w:firstLineChars="200" w:firstLine="482"/>
      </w:pPr>
      <w:r>
        <w:rPr>
          <w:rFonts w:hint="eastAsia"/>
        </w:rPr>
        <w:t>5.2.1</w:t>
      </w:r>
      <w:r>
        <w:rPr>
          <w:rFonts w:hint="eastAsia"/>
        </w:rPr>
        <w:t>本项目废水排放情况</w:t>
      </w:r>
    </w:p>
    <w:p w:rsidR="00644456" w:rsidRDefault="008031C4">
      <w:pPr>
        <w:snapToGrid w:val="0"/>
        <w:spacing w:line="360" w:lineRule="auto"/>
        <w:ind w:firstLine="482"/>
        <w:rPr>
          <w:rFonts w:cs="Times New Roman"/>
          <w:color w:val="000000" w:themeColor="text1"/>
          <w:sz w:val="24"/>
          <w:szCs w:val="24"/>
        </w:rPr>
      </w:pPr>
      <w:r>
        <w:rPr>
          <w:rFonts w:cs="Times New Roman"/>
          <w:color w:val="000000" w:themeColor="text1"/>
          <w:sz w:val="24"/>
          <w:szCs w:val="24"/>
        </w:rPr>
        <w:t>根据《环境影响评价技术导则地表水环境》（</w:t>
      </w:r>
      <w:r>
        <w:rPr>
          <w:rFonts w:cs="Times New Roman"/>
          <w:color w:val="000000" w:themeColor="text1"/>
          <w:sz w:val="24"/>
          <w:szCs w:val="24"/>
        </w:rPr>
        <w:t>HJ2.3-2018</w:t>
      </w:r>
      <w:r>
        <w:rPr>
          <w:rFonts w:cs="Times New Roman"/>
          <w:color w:val="000000" w:themeColor="text1"/>
          <w:sz w:val="24"/>
          <w:szCs w:val="24"/>
        </w:rPr>
        <w:t>），</w:t>
      </w:r>
      <w:r>
        <w:rPr>
          <w:rFonts w:cs="Times New Roman" w:hint="eastAsia"/>
          <w:color w:val="000000" w:themeColor="text1"/>
          <w:sz w:val="24"/>
          <w:szCs w:val="24"/>
        </w:rPr>
        <w:t>本项目</w:t>
      </w:r>
      <w:r>
        <w:rPr>
          <w:rFonts w:cs="Times New Roman"/>
          <w:color w:val="000000" w:themeColor="text1"/>
          <w:sz w:val="24"/>
          <w:szCs w:val="24"/>
        </w:rPr>
        <w:t>地表水评价等级为三级</w:t>
      </w:r>
      <w:r>
        <w:rPr>
          <w:rFonts w:cs="Times New Roman"/>
          <w:color w:val="000000" w:themeColor="text1"/>
          <w:sz w:val="24"/>
          <w:szCs w:val="24"/>
        </w:rPr>
        <w:t>B</w:t>
      </w:r>
      <w:r>
        <w:rPr>
          <w:rFonts w:cs="Times New Roman"/>
          <w:color w:val="000000" w:themeColor="text1"/>
          <w:sz w:val="24"/>
          <w:szCs w:val="24"/>
        </w:rPr>
        <w:t>。因此，主要评价内容包括：水污染控制和水环境影响减缓措施有效性评价；依托污水处理设施环境可行性评价。</w:t>
      </w:r>
    </w:p>
    <w:p w:rsidR="00644456" w:rsidRDefault="008031C4">
      <w:pPr>
        <w:pStyle w:val="3"/>
        <w:numPr>
          <w:ilvl w:val="2"/>
          <w:numId w:val="0"/>
        </w:numPr>
        <w:ind w:firstLineChars="200" w:firstLine="482"/>
      </w:pPr>
      <w:r>
        <w:rPr>
          <w:rFonts w:hint="eastAsia"/>
        </w:rPr>
        <w:t>5.2.2</w:t>
      </w:r>
      <w:r>
        <w:rPr>
          <w:rFonts w:hint="eastAsia"/>
        </w:rPr>
        <w:t>项目污水产生及排放情况</w:t>
      </w:r>
    </w:p>
    <w:p w:rsidR="00644456" w:rsidRDefault="008031C4">
      <w:pPr>
        <w:snapToGrid w:val="0"/>
        <w:spacing w:line="360" w:lineRule="auto"/>
        <w:ind w:firstLine="482"/>
        <w:rPr>
          <w:rFonts w:cs="Times New Roman"/>
          <w:b/>
          <w:bCs/>
          <w:color w:val="000000" w:themeColor="text1"/>
          <w:sz w:val="24"/>
          <w:szCs w:val="24"/>
        </w:rPr>
      </w:pPr>
      <w:bookmarkStart w:id="313" w:name="_Hlk156400320"/>
      <w:r>
        <w:rPr>
          <w:rFonts w:cs="Times New Roman" w:hint="eastAsia"/>
          <w:color w:val="000000" w:themeColor="text1"/>
          <w:sz w:val="24"/>
          <w:szCs w:val="24"/>
        </w:rPr>
        <w:t>本项目污染物主要为</w:t>
      </w:r>
      <w:r>
        <w:rPr>
          <w:rFonts w:cs="Times New Roman" w:hint="eastAsia"/>
          <w:color w:val="000000" w:themeColor="text1"/>
          <w:sz w:val="24"/>
          <w:szCs w:val="24"/>
        </w:rPr>
        <w:t>CODcr</w:t>
      </w:r>
      <w:r>
        <w:rPr>
          <w:rFonts w:cs="Times New Roman" w:hint="eastAsia"/>
          <w:color w:val="000000" w:themeColor="text1"/>
          <w:sz w:val="24"/>
          <w:szCs w:val="24"/>
        </w:rPr>
        <w:t>、</w:t>
      </w:r>
      <w:r>
        <w:rPr>
          <w:rFonts w:cs="Times New Roman" w:hint="eastAsia"/>
          <w:color w:val="000000" w:themeColor="text1"/>
          <w:sz w:val="24"/>
          <w:szCs w:val="24"/>
        </w:rPr>
        <w:t>BOD</w:t>
      </w:r>
      <w:r w:rsidRPr="008B0FF7">
        <w:rPr>
          <w:rFonts w:cs="Times New Roman" w:hint="eastAsia"/>
          <w:color w:val="000000" w:themeColor="text1"/>
          <w:sz w:val="24"/>
          <w:szCs w:val="24"/>
          <w:vertAlign w:val="subscript"/>
        </w:rPr>
        <w:t>5</w:t>
      </w:r>
      <w:r>
        <w:rPr>
          <w:rFonts w:cs="Times New Roman" w:hint="eastAsia"/>
          <w:color w:val="000000" w:themeColor="text1"/>
          <w:sz w:val="24"/>
          <w:szCs w:val="24"/>
        </w:rPr>
        <w:t>、</w:t>
      </w:r>
      <w:r>
        <w:rPr>
          <w:rFonts w:cs="Times New Roman" w:hint="eastAsia"/>
          <w:color w:val="000000" w:themeColor="text1"/>
          <w:sz w:val="24"/>
          <w:szCs w:val="24"/>
        </w:rPr>
        <w:t>NH</w:t>
      </w:r>
      <w:r w:rsidRPr="008B0FF7">
        <w:rPr>
          <w:rFonts w:cs="Times New Roman" w:hint="eastAsia"/>
          <w:color w:val="000000" w:themeColor="text1"/>
          <w:sz w:val="24"/>
          <w:szCs w:val="24"/>
          <w:vertAlign w:val="subscript"/>
        </w:rPr>
        <w:t>3</w:t>
      </w:r>
      <w:r>
        <w:rPr>
          <w:rFonts w:cs="Times New Roman" w:hint="eastAsia"/>
          <w:color w:val="000000" w:themeColor="text1"/>
          <w:sz w:val="24"/>
          <w:szCs w:val="24"/>
        </w:rPr>
        <w:t>-N</w:t>
      </w:r>
      <w:r>
        <w:rPr>
          <w:rFonts w:cs="Times New Roman" w:hint="eastAsia"/>
          <w:color w:val="000000" w:themeColor="text1"/>
          <w:sz w:val="24"/>
          <w:szCs w:val="24"/>
        </w:rPr>
        <w:t>、</w:t>
      </w:r>
      <w:r>
        <w:rPr>
          <w:rFonts w:cs="Times New Roman" w:hint="eastAsia"/>
          <w:color w:val="000000" w:themeColor="text1"/>
          <w:sz w:val="24"/>
          <w:szCs w:val="24"/>
        </w:rPr>
        <w:t>TN</w:t>
      </w:r>
      <w:r>
        <w:rPr>
          <w:rFonts w:cs="Times New Roman" w:hint="eastAsia"/>
          <w:color w:val="000000" w:themeColor="text1"/>
          <w:sz w:val="24"/>
          <w:szCs w:val="24"/>
        </w:rPr>
        <w:t>、</w:t>
      </w:r>
      <w:r>
        <w:rPr>
          <w:rFonts w:cs="Times New Roman" w:hint="eastAsia"/>
          <w:color w:val="000000" w:themeColor="text1"/>
          <w:sz w:val="24"/>
          <w:szCs w:val="24"/>
        </w:rPr>
        <w:t>TP</w:t>
      </w:r>
      <w:r>
        <w:rPr>
          <w:rFonts w:cs="Times New Roman" w:hint="eastAsia"/>
          <w:color w:val="000000" w:themeColor="text1"/>
          <w:sz w:val="24"/>
          <w:szCs w:val="24"/>
        </w:rPr>
        <w:t>、</w:t>
      </w:r>
      <w:r>
        <w:rPr>
          <w:rFonts w:cs="Times New Roman" w:hint="eastAsia"/>
          <w:color w:val="000000" w:themeColor="text1"/>
          <w:sz w:val="24"/>
          <w:szCs w:val="24"/>
        </w:rPr>
        <w:t>SS</w:t>
      </w:r>
      <w:r>
        <w:rPr>
          <w:rFonts w:cs="Times New Roman" w:hint="eastAsia"/>
          <w:color w:val="000000" w:themeColor="text1"/>
          <w:sz w:val="24"/>
          <w:szCs w:val="24"/>
        </w:rPr>
        <w:t>、石油类，不存在有毒有害物质，为非持久性污染物，</w:t>
      </w:r>
      <w:r>
        <w:rPr>
          <w:rFonts w:cs="Times New Roman" w:hint="eastAsia"/>
          <w:b/>
          <w:bCs/>
          <w:color w:val="000000" w:themeColor="text1"/>
          <w:sz w:val="24"/>
          <w:szCs w:val="24"/>
        </w:rPr>
        <w:t>根据项目工程分析，本项目生产线产生的废水经过自建的污水处理装置处理后与生活污水一起通过市政管网送往生态钢城污水处理厂进一步处理，项目整体产生的废水不直接排入外环境地表水体中，不会对周边的地表水环境产生影响。</w:t>
      </w:r>
    </w:p>
    <w:bookmarkEnd w:id="313"/>
    <w:p w:rsidR="00644456" w:rsidRDefault="008031C4">
      <w:pPr>
        <w:pStyle w:val="3"/>
        <w:numPr>
          <w:ilvl w:val="2"/>
          <w:numId w:val="0"/>
        </w:numPr>
        <w:ind w:firstLineChars="200" w:firstLine="482"/>
      </w:pPr>
      <w:r>
        <w:rPr>
          <w:rFonts w:hint="eastAsia"/>
        </w:rPr>
        <w:t>5.2.3</w:t>
      </w:r>
      <w:r>
        <w:rPr>
          <w:rFonts w:hint="eastAsia"/>
        </w:rPr>
        <w:t>污水处理厂依托可行性</w:t>
      </w:r>
    </w:p>
    <w:p w:rsidR="00644456" w:rsidRDefault="008031C4">
      <w:pPr>
        <w:autoSpaceDE w:val="0"/>
        <w:autoSpaceDN w:val="0"/>
        <w:snapToGrid w:val="0"/>
        <w:spacing w:line="360" w:lineRule="auto"/>
        <w:ind w:firstLine="482"/>
        <w:jc w:val="left"/>
        <w:rPr>
          <w:rFonts w:cs="Times New Roman"/>
          <w:color w:val="000000" w:themeColor="text1"/>
          <w:sz w:val="24"/>
          <w:szCs w:val="24"/>
        </w:rPr>
      </w:pPr>
      <w:r>
        <w:rPr>
          <w:rFonts w:cs="Times New Roman" w:hint="eastAsia"/>
          <w:color w:val="000000" w:themeColor="text1"/>
          <w:sz w:val="24"/>
          <w:szCs w:val="24"/>
        </w:rPr>
        <w:t>生态钢城污水处理厂位于山钢产业园内（</w:t>
      </w:r>
      <w:r>
        <w:rPr>
          <w:rFonts w:cs="Times New Roman" w:hint="eastAsia"/>
          <w:color w:val="000000" w:themeColor="text1"/>
          <w:sz w:val="24"/>
          <w:szCs w:val="24"/>
        </w:rPr>
        <w:t>A</w:t>
      </w:r>
      <w:r>
        <w:rPr>
          <w:rFonts w:cs="Times New Roman" w:hint="eastAsia"/>
          <w:color w:val="000000" w:themeColor="text1"/>
          <w:sz w:val="24"/>
          <w:szCs w:val="24"/>
        </w:rPr>
        <w:t>号道路南侧），厂址坐标为：东经</w:t>
      </w:r>
      <w:r>
        <w:rPr>
          <w:rFonts w:cs="Times New Roman" w:hint="eastAsia"/>
          <w:color w:val="000000" w:themeColor="text1"/>
          <w:sz w:val="24"/>
          <w:szCs w:val="24"/>
        </w:rPr>
        <w:t>76</w:t>
      </w:r>
      <w:r>
        <w:rPr>
          <w:rFonts w:cs="Times New Roman" w:hint="eastAsia"/>
          <w:color w:val="000000" w:themeColor="text1"/>
          <w:sz w:val="24"/>
          <w:szCs w:val="24"/>
        </w:rPr>
        <w:t>°</w:t>
      </w:r>
      <w:r>
        <w:rPr>
          <w:rFonts w:cs="Times New Roman" w:hint="eastAsia"/>
          <w:color w:val="000000" w:themeColor="text1"/>
          <w:sz w:val="24"/>
          <w:szCs w:val="24"/>
        </w:rPr>
        <w:t>11</w:t>
      </w:r>
      <w:r>
        <w:rPr>
          <w:rFonts w:cs="Times New Roman" w:hint="eastAsia"/>
          <w:color w:val="000000" w:themeColor="text1"/>
          <w:sz w:val="24"/>
          <w:szCs w:val="24"/>
        </w:rPr>
        <w:t>′</w:t>
      </w:r>
      <w:r>
        <w:rPr>
          <w:rFonts w:cs="Times New Roman" w:hint="eastAsia"/>
          <w:color w:val="000000" w:themeColor="text1"/>
          <w:sz w:val="24"/>
          <w:szCs w:val="24"/>
        </w:rPr>
        <w:t>47.75</w:t>
      </w:r>
      <w:r>
        <w:rPr>
          <w:rFonts w:cs="Times New Roman" w:hint="eastAsia"/>
          <w:color w:val="000000" w:themeColor="text1"/>
          <w:sz w:val="24"/>
          <w:szCs w:val="24"/>
        </w:rPr>
        <w:t>″，北纬</w:t>
      </w:r>
      <w:r>
        <w:rPr>
          <w:rFonts w:cs="Times New Roman" w:hint="eastAsia"/>
          <w:color w:val="000000" w:themeColor="text1"/>
          <w:sz w:val="24"/>
          <w:szCs w:val="24"/>
        </w:rPr>
        <w:t>39</w:t>
      </w:r>
      <w:r>
        <w:rPr>
          <w:rFonts w:cs="Times New Roman" w:hint="eastAsia"/>
          <w:color w:val="000000" w:themeColor="text1"/>
          <w:sz w:val="24"/>
          <w:szCs w:val="24"/>
        </w:rPr>
        <w:t>°</w:t>
      </w:r>
      <w:r>
        <w:rPr>
          <w:rFonts w:cs="Times New Roman" w:hint="eastAsia"/>
          <w:color w:val="000000" w:themeColor="text1"/>
          <w:sz w:val="24"/>
          <w:szCs w:val="24"/>
        </w:rPr>
        <w:t>3</w:t>
      </w:r>
      <w:r>
        <w:rPr>
          <w:rFonts w:cs="Times New Roman" w:hint="eastAsia"/>
          <w:color w:val="000000" w:themeColor="text1"/>
          <w:sz w:val="24"/>
          <w:szCs w:val="24"/>
        </w:rPr>
        <w:t>′</w:t>
      </w:r>
      <w:r>
        <w:rPr>
          <w:rFonts w:cs="Times New Roman" w:hint="eastAsia"/>
          <w:color w:val="000000" w:themeColor="text1"/>
          <w:sz w:val="24"/>
          <w:szCs w:val="24"/>
        </w:rPr>
        <w:t>52.50</w:t>
      </w:r>
      <w:r>
        <w:rPr>
          <w:rFonts w:cs="Times New Roman" w:hint="eastAsia"/>
          <w:color w:val="000000" w:themeColor="text1"/>
          <w:sz w:val="24"/>
          <w:szCs w:val="24"/>
        </w:rPr>
        <w:t>″，污水处理厂占地</w:t>
      </w:r>
      <w:r>
        <w:rPr>
          <w:rFonts w:cs="Times New Roman" w:hint="eastAsia"/>
          <w:color w:val="000000" w:themeColor="text1"/>
          <w:sz w:val="24"/>
          <w:szCs w:val="24"/>
        </w:rPr>
        <w:t>8000m2</w:t>
      </w:r>
      <w:r>
        <w:rPr>
          <w:rFonts w:cs="Times New Roman" w:hint="eastAsia"/>
          <w:color w:val="000000" w:themeColor="text1"/>
          <w:sz w:val="24"/>
          <w:szCs w:val="24"/>
        </w:rPr>
        <w:t>，处理规模为</w:t>
      </w:r>
      <w:r>
        <w:rPr>
          <w:rFonts w:cs="Times New Roman" w:hint="eastAsia"/>
          <w:color w:val="000000" w:themeColor="text1"/>
          <w:sz w:val="24"/>
          <w:szCs w:val="24"/>
        </w:rPr>
        <w:t>2500m3/d</w:t>
      </w:r>
      <w:r>
        <w:rPr>
          <w:rFonts w:cs="Times New Roman" w:hint="eastAsia"/>
          <w:color w:val="000000" w:themeColor="text1"/>
          <w:sz w:val="24"/>
          <w:szCs w:val="24"/>
        </w:rPr>
        <w:t>，设计出水水质满足《城镇污水处理厂污染物排放标准》（</w:t>
      </w:r>
      <w:r>
        <w:rPr>
          <w:rFonts w:cs="Times New Roman" w:hint="eastAsia"/>
          <w:color w:val="000000" w:themeColor="text1"/>
          <w:sz w:val="24"/>
          <w:szCs w:val="24"/>
        </w:rPr>
        <w:t>GB18918-2002</w:t>
      </w:r>
      <w:r>
        <w:rPr>
          <w:rFonts w:cs="Times New Roman" w:hint="eastAsia"/>
          <w:color w:val="000000" w:themeColor="text1"/>
          <w:sz w:val="24"/>
          <w:szCs w:val="24"/>
        </w:rPr>
        <w:t>）的一级</w:t>
      </w:r>
      <w:r>
        <w:rPr>
          <w:rFonts w:cs="Times New Roman" w:hint="eastAsia"/>
          <w:color w:val="000000" w:themeColor="text1"/>
          <w:sz w:val="24"/>
          <w:szCs w:val="24"/>
        </w:rPr>
        <w:t>A</w:t>
      </w:r>
      <w:r>
        <w:rPr>
          <w:rFonts w:cs="Times New Roman" w:hint="eastAsia"/>
          <w:color w:val="000000" w:themeColor="text1"/>
          <w:sz w:val="24"/>
          <w:szCs w:val="24"/>
        </w:rPr>
        <w:t>标准后用于园区绿化。</w:t>
      </w:r>
    </w:p>
    <w:p w:rsidR="00644456" w:rsidRDefault="008031C4">
      <w:pPr>
        <w:autoSpaceDE w:val="0"/>
        <w:autoSpaceDN w:val="0"/>
        <w:snapToGrid w:val="0"/>
        <w:spacing w:line="360" w:lineRule="auto"/>
        <w:ind w:firstLine="482"/>
        <w:jc w:val="left"/>
        <w:rPr>
          <w:rFonts w:cs="Times New Roman"/>
          <w:b/>
          <w:bCs/>
          <w:color w:val="000000" w:themeColor="text1"/>
          <w:sz w:val="24"/>
          <w:szCs w:val="24"/>
        </w:rPr>
      </w:pPr>
      <w:r>
        <w:rPr>
          <w:rFonts w:cs="Times New Roman" w:hint="eastAsia"/>
          <w:color w:val="000000" w:themeColor="text1"/>
          <w:sz w:val="24"/>
          <w:szCs w:val="24"/>
        </w:rPr>
        <w:t>该项目于</w:t>
      </w:r>
      <w:r>
        <w:rPr>
          <w:rFonts w:cs="Times New Roman" w:hint="eastAsia"/>
          <w:color w:val="000000" w:themeColor="text1"/>
          <w:sz w:val="24"/>
          <w:szCs w:val="24"/>
        </w:rPr>
        <w:t>2019</w:t>
      </w:r>
      <w:r>
        <w:rPr>
          <w:rFonts w:cs="Times New Roman" w:hint="eastAsia"/>
          <w:color w:val="000000" w:themeColor="text1"/>
          <w:sz w:val="24"/>
          <w:szCs w:val="24"/>
        </w:rPr>
        <w:t>年</w:t>
      </w:r>
      <w:r>
        <w:rPr>
          <w:rFonts w:cs="Times New Roman" w:hint="eastAsia"/>
          <w:color w:val="000000" w:themeColor="text1"/>
          <w:sz w:val="24"/>
          <w:szCs w:val="24"/>
        </w:rPr>
        <w:t>8</w:t>
      </w:r>
      <w:r>
        <w:rPr>
          <w:rFonts w:cs="Times New Roman" w:hint="eastAsia"/>
          <w:color w:val="000000" w:themeColor="text1"/>
          <w:sz w:val="24"/>
          <w:szCs w:val="24"/>
        </w:rPr>
        <w:t>月取得新疆维吾尔自治区生态环境厅出具的《关于南疆齐鲁工业园齐鲁生态钢城污水处理厂及附属配套工程建设项目环境影响报告书的批复》（新环审</w:t>
      </w:r>
      <w:r>
        <w:rPr>
          <w:rFonts w:cs="Times New Roman" w:hint="eastAsia"/>
          <w:color w:val="000000" w:themeColor="text1"/>
          <w:sz w:val="24"/>
          <w:szCs w:val="24"/>
        </w:rPr>
        <w:t>[2019]149</w:t>
      </w:r>
      <w:r>
        <w:rPr>
          <w:rFonts w:cs="Times New Roman" w:hint="eastAsia"/>
          <w:color w:val="000000" w:themeColor="text1"/>
          <w:sz w:val="24"/>
          <w:szCs w:val="24"/>
        </w:rPr>
        <w:t>号）。</w:t>
      </w:r>
      <w:r>
        <w:rPr>
          <w:rFonts w:cs="Times New Roman" w:hint="eastAsia"/>
          <w:b/>
          <w:bCs/>
          <w:color w:val="000000" w:themeColor="text1"/>
          <w:sz w:val="24"/>
          <w:szCs w:val="24"/>
        </w:rPr>
        <w:t>但由于该区投运企业较少，排水管线建设不完善等原因，建成至今未运行。</w:t>
      </w:r>
    </w:p>
    <w:p w:rsidR="00644456" w:rsidRDefault="008031C4">
      <w:pPr>
        <w:autoSpaceDE w:val="0"/>
        <w:autoSpaceDN w:val="0"/>
        <w:snapToGrid w:val="0"/>
        <w:spacing w:line="360" w:lineRule="auto"/>
        <w:ind w:firstLine="482"/>
        <w:jc w:val="left"/>
        <w:rPr>
          <w:rFonts w:cs="Times New Roman"/>
          <w:b/>
          <w:bCs/>
          <w:color w:val="000000" w:themeColor="text1"/>
          <w:sz w:val="24"/>
          <w:szCs w:val="24"/>
        </w:rPr>
      </w:pPr>
      <w:r>
        <w:rPr>
          <w:rFonts w:cs="Times New Roman" w:hint="eastAsia"/>
          <w:color w:val="000000" w:themeColor="text1"/>
          <w:sz w:val="24"/>
          <w:szCs w:val="24"/>
        </w:rPr>
        <w:t>现由于园区规划的调整，园区拟将引进化工和电镀等类型企业，</w:t>
      </w:r>
      <w:r>
        <w:rPr>
          <w:rFonts w:cs="Times New Roman" w:hint="eastAsia"/>
          <w:b/>
          <w:bCs/>
          <w:color w:val="000000" w:themeColor="text1"/>
          <w:sz w:val="24"/>
          <w:szCs w:val="24"/>
        </w:rPr>
        <w:t>因此疏勒南疆齐鲁工业园区管理委员会拟对生态钢城污水处理厂进行提标改造，确保提标</w:t>
      </w:r>
      <w:r>
        <w:rPr>
          <w:rFonts w:cs="Times New Roman" w:hint="eastAsia"/>
          <w:b/>
          <w:bCs/>
          <w:color w:val="000000" w:themeColor="text1"/>
          <w:sz w:val="24"/>
          <w:szCs w:val="24"/>
        </w:rPr>
        <w:lastRenderedPageBreak/>
        <w:t>改造后的生态钢城污水处理厂能够处理园区的工业和生活污水。</w:t>
      </w:r>
    </w:p>
    <w:p w:rsidR="00644456" w:rsidRDefault="008031C4">
      <w:pPr>
        <w:autoSpaceDE w:val="0"/>
        <w:autoSpaceDN w:val="0"/>
        <w:snapToGrid w:val="0"/>
        <w:spacing w:line="360" w:lineRule="auto"/>
        <w:ind w:firstLine="482"/>
        <w:jc w:val="left"/>
        <w:rPr>
          <w:rFonts w:cs="Times New Roman"/>
          <w:color w:val="000000" w:themeColor="text1"/>
          <w:kern w:val="0"/>
          <w:sz w:val="24"/>
          <w:szCs w:val="24"/>
        </w:rPr>
      </w:pPr>
      <w:r>
        <w:rPr>
          <w:rFonts w:cs="Times New Roman" w:hint="eastAsia"/>
          <w:color w:val="000000" w:themeColor="text1"/>
          <w:kern w:val="0"/>
          <w:sz w:val="24"/>
          <w:szCs w:val="24"/>
        </w:rPr>
        <w:t>生态钢城污水处理厂收水范围包括三大块，一是疏勒高新技术产业开发区—齐鲁生态钢城产业园生活污水，二是电镀污水处理厂排放尾水，三是</w:t>
      </w:r>
      <w:r>
        <w:rPr>
          <w:rFonts w:cs="Times New Roman" w:hint="eastAsia"/>
          <w:b/>
          <w:bCs/>
          <w:color w:val="000000" w:themeColor="text1"/>
          <w:kern w:val="0"/>
          <w:sz w:val="24"/>
          <w:szCs w:val="24"/>
        </w:rPr>
        <w:t>化工园区废水</w:t>
      </w:r>
      <w:r>
        <w:rPr>
          <w:rFonts w:cs="Times New Roman" w:hint="eastAsia"/>
          <w:color w:val="000000" w:themeColor="text1"/>
          <w:kern w:val="0"/>
          <w:sz w:val="24"/>
          <w:szCs w:val="24"/>
        </w:rPr>
        <w:t>；因此本项目废水属于生态钢城污水处理厂收水范围</w:t>
      </w:r>
      <w:r>
        <w:rPr>
          <w:rFonts w:cs="Times New Roman"/>
          <w:color w:val="000000" w:themeColor="text1"/>
          <w:kern w:val="0"/>
          <w:sz w:val="24"/>
          <w:szCs w:val="24"/>
        </w:rPr>
        <w:t>。</w:t>
      </w:r>
    </w:p>
    <w:p w:rsidR="00644456" w:rsidRDefault="008031C4">
      <w:pPr>
        <w:autoSpaceDE w:val="0"/>
        <w:autoSpaceDN w:val="0"/>
        <w:snapToGrid w:val="0"/>
        <w:spacing w:line="360" w:lineRule="auto"/>
        <w:ind w:firstLine="482"/>
        <w:jc w:val="left"/>
        <w:rPr>
          <w:rFonts w:cs="Times New Roman"/>
          <w:color w:val="000000" w:themeColor="text1"/>
          <w:kern w:val="0"/>
          <w:sz w:val="24"/>
          <w:szCs w:val="24"/>
        </w:rPr>
      </w:pPr>
      <w:r>
        <w:rPr>
          <w:rFonts w:cs="Times New Roman" w:hint="eastAsia"/>
          <w:color w:val="000000" w:themeColor="text1"/>
          <w:kern w:val="0"/>
          <w:sz w:val="24"/>
          <w:szCs w:val="24"/>
        </w:rPr>
        <w:t>本项目排入生态钢城污水处理厂的水质满足生态钢城污水处理厂设计进水水质要求，本项目废水排入生态钢城污水处理厂不会对其造成冲击性影响。</w:t>
      </w:r>
    </w:p>
    <w:p w:rsidR="00644456" w:rsidRDefault="008031C4">
      <w:pPr>
        <w:autoSpaceDE w:val="0"/>
        <w:autoSpaceDN w:val="0"/>
        <w:snapToGrid w:val="0"/>
        <w:spacing w:line="360" w:lineRule="auto"/>
        <w:ind w:firstLine="480"/>
        <w:jc w:val="left"/>
        <w:rPr>
          <w:rFonts w:cs="Times New Roman"/>
          <w:b/>
          <w:bCs/>
          <w:color w:val="000000" w:themeColor="text1"/>
          <w:kern w:val="0"/>
          <w:sz w:val="24"/>
          <w:szCs w:val="24"/>
        </w:rPr>
      </w:pPr>
      <w:r>
        <w:rPr>
          <w:rFonts w:cs="Times New Roman" w:hint="eastAsia"/>
          <w:b/>
          <w:bCs/>
          <w:color w:val="000000" w:themeColor="text1"/>
          <w:kern w:val="0"/>
          <w:sz w:val="24"/>
          <w:szCs w:val="24"/>
        </w:rPr>
        <w:t>同时本次评价要求建设单位在生态钢城污水处理厂提标改造完成投产之前，本项目不得进行投产使用。</w:t>
      </w:r>
    </w:p>
    <w:p w:rsidR="00644456" w:rsidRDefault="008031C4">
      <w:pPr>
        <w:autoSpaceDE w:val="0"/>
        <w:autoSpaceDN w:val="0"/>
        <w:snapToGrid w:val="0"/>
        <w:spacing w:line="360" w:lineRule="auto"/>
        <w:ind w:firstLine="482"/>
        <w:jc w:val="left"/>
        <w:rPr>
          <w:rFonts w:cs="Times New Roman"/>
          <w:color w:val="000000" w:themeColor="text1"/>
          <w:kern w:val="0"/>
          <w:sz w:val="24"/>
          <w:szCs w:val="24"/>
        </w:rPr>
      </w:pPr>
      <w:r>
        <w:rPr>
          <w:rFonts w:cs="Times New Roman" w:hint="eastAsia"/>
          <w:color w:val="000000" w:themeColor="text1"/>
          <w:kern w:val="0"/>
          <w:sz w:val="24"/>
          <w:szCs w:val="24"/>
        </w:rPr>
        <w:t>综上所述，本项目依托生态钢城污水处理厂进行下一步处理是可行的。</w:t>
      </w:r>
    </w:p>
    <w:p w:rsidR="00644456" w:rsidRDefault="008031C4">
      <w:pPr>
        <w:pStyle w:val="3"/>
        <w:numPr>
          <w:ilvl w:val="2"/>
          <w:numId w:val="0"/>
        </w:numPr>
        <w:ind w:firstLineChars="200" w:firstLine="482"/>
      </w:pPr>
      <w:r>
        <w:rPr>
          <w:rFonts w:hint="eastAsia"/>
        </w:rPr>
        <w:t>5.2.4</w:t>
      </w:r>
      <w:r>
        <w:rPr>
          <w:rFonts w:hint="eastAsia"/>
        </w:rPr>
        <w:t>地表水环境影响分析</w:t>
      </w:r>
    </w:p>
    <w:p w:rsidR="00644456" w:rsidRDefault="008031C4">
      <w:pPr>
        <w:snapToGrid w:val="0"/>
        <w:spacing w:line="360" w:lineRule="auto"/>
        <w:ind w:firstLine="482"/>
        <w:rPr>
          <w:rFonts w:cs="Times New Roman"/>
          <w:b/>
          <w:color w:val="000000" w:themeColor="text1"/>
          <w:sz w:val="24"/>
          <w:szCs w:val="24"/>
        </w:rPr>
      </w:pPr>
      <w:r>
        <w:rPr>
          <w:rFonts w:cs="Times New Roman"/>
          <w:color w:val="000000" w:themeColor="text1"/>
          <w:sz w:val="24"/>
          <w:szCs w:val="24"/>
        </w:rPr>
        <w:t>本项目所在区域在</w:t>
      </w:r>
      <w:r>
        <w:rPr>
          <w:rFonts w:cs="Times New Roman" w:hint="eastAsia"/>
          <w:color w:val="000000" w:themeColor="text1"/>
          <w:kern w:val="0"/>
          <w:sz w:val="24"/>
          <w:szCs w:val="24"/>
        </w:rPr>
        <w:t>生态钢城污水处理厂</w:t>
      </w:r>
      <w:r>
        <w:rPr>
          <w:rFonts w:cs="Times New Roman"/>
          <w:color w:val="000000" w:themeColor="text1"/>
          <w:sz w:val="24"/>
          <w:szCs w:val="24"/>
        </w:rPr>
        <w:t>纳污范围内，项目所在区污水管网已建成，污水管道可与市政污水管网</w:t>
      </w:r>
      <w:r>
        <w:rPr>
          <w:rFonts w:cs="Times New Roman" w:hint="eastAsia"/>
          <w:color w:val="000000" w:themeColor="text1"/>
          <w:sz w:val="24"/>
          <w:szCs w:val="24"/>
        </w:rPr>
        <w:t>接管</w:t>
      </w:r>
      <w:r>
        <w:rPr>
          <w:rFonts w:cs="Times New Roman"/>
          <w:color w:val="000000" w:themeColor="text1"/>
          <w:sz w:val="24"/>
          <w:szCs w:val="24"/>
        </w:rPr>
        <w:t>。本项目水质简单，不含有毒有的特征水污染物，污水不会对</w:t>
      </w:r>
      <w:r>
        <w:rPr>
          <w:rFonts w:cs="Times New Roman" w:hint="eastAsia"/>
          <w:color w:val="000000" w:themeColor="text1"/>
          <w:kern w:val="0"/>
          <w:sz w:val="24"/>
          <w:szCs w:val="24"/>
        </w:rPr>
        <w:t>生态钢城污水处理厂</w:t>
      </w:r>
      <w:r>
        <w:rPr>
          <w:rFonts w:cs="Times New Roman"/>
          <w:color w:val="000000" w:themeColor="text1"/>
          <w:sz w:val="24"/>
          <w:szCs w:val="24"/>
        </w:rPr>
        <w:t>工艺产生明显影响，经处理后达标排放，不会对现有地表水环境质量造成明显影响。</w:t>
      </w:r>
    </w:p>
    <w:p w:rsidR="00644456" w:rsidRDefault="008031C4">
      <w:pPr>
        <w:pStyle w:val="3"/>
        <w:numPr>
          <w:ilvl w:val="2"/>
          <w:numId w:val="0"/>
        </w:numPr>
        <w:ind w:firstLineChars="200" w:firstLine="482"/>
      </w:pPr>
      <w:r>
        <w:rPr>
          <w:rFonts w:hint="eastAsia"/>
        </w:rPr>
        <w:t>5.2.5</w:t>
      </w:r>
      <w:r>
        <w:rPr>
          <w:rFonts w:hint="eastAsia"/>
        </w:rPr>
        <w:t>地表水环境影响评价小结</w:t>
      </w:r>
    </w:p>
    <w:p w:rsidR="00644456" w:rsidRDefault="008031C4">
      <w:pPr>
        <w:snapToGrid w:val="0"/>
        <w:spacing w:line="360" w:lineRule="auto"/>
        <w:ind w:firstLineChars="200" w:firstLine="480"/>
        <w:rPr>
          <w:rFonts w:cs="Times New Roman"/>
          <w:bCs/>
          <w:color w:val="000000" w:themeColor="text1"/>
          <w:sz w:val="24"/>
        </w:rPr>
      </w:pPr>
      <w:r>
        <w:rPr>
          <w:rFonts w:cs="Times New Roman"/>
          <w:bCs/>
          <w:color w:val="000000" w:themeColor="text1"/>
          <w:sz w:val="24"/>
        </w:rPr>
        <w:t>项目不会改变区域水环境质量功能，区域地表水环境质量将基本维持现状。</w:t>
      </w:r>
    </w:p>
    <w:p w:rsidR="00644456" w:rsidRDefault="008031C4">
      <w:pPr>
        <w:pStyle w:val="20"/>
        <w:numPr>
          <w:ilvl w:val="1"/>
          <w:numId w:val="0"/>
        </w:numPr>
        <w:snapToGrid w:val="0"/>
        <w:spacing w:beforeLines="0" w:before="0" w:afterLines="0" w:after="0"/>
        <w:ind w:firstLine="600"/>
        <w:rPr>
          <w:rFonts w:cs="Times New Roman"/>
          <w:color w:val="000000" w:themeColor="text1"/>
          <w:sz w:val="30"/>
        </w:rPr>
      </w:pPr>
      <w:bookmarkStart w:id="314" w:name="_Toc155789381"/>
      <w:bookmarkStart w:id="315" w:name="_Toc177216889"/>
      <w:r>
        <w:rPr>
          <w:rFonts w:cs="Times New Roman" w:hint="eastAsia"/>
          <w:color w:val="000000" w:themeColor="text1"/>
          <w:sz w:val="30"/>
        </w:rPr>
        <w:t>5.3</w:t>
      </w:r>
      <w:r>
        <w:rPr>
          <w:rFonts w:cs="Times New Roman"/>
          <w:color w:val="000000" w:themeColor="text1"/>
          <w:sz w:val="30"/>
        </w:rPr>
        <w:t>噪声环境影响评价</w:t>
      </w:r>
      <w:bookmarkEnd w:id="314"/>
      <w:bookmarkEnd w:id="315"/>
    </w:p>
    <w:p w:rsidR="00644456" w:rsidRDefault="008031C4">
      <w:pPr>
        <w:pStyle w:val="3"/>
        <w:numPr>
          <w:ilvl w:val="2"/>
          <w:numId w:val="0"/>
        </w:numPr>
        <w:ind w:firstLineChars="200" w:firstLine="482"/>
      </w:pPr>
      <w:r>
        <w:rPr>
          <w:rFonts w:hint="eastAsia"/>
        </w:rPr>
        <w:t>5.3.1</w:t>
      </w:r>
      <w:r>
        <w:rPr>
          <w:rFonts w:hint="eastAsia"/>
        </w:rPr>
        <w:t>声环境影响评价工作等级</w:t>
      </w:r>
    </w:p>
    <w:p w:rsidR="00644456" w:rsidRDefault="008031C4">
      <w:pPr>
        <w:pStyle w:val="-"/>
        <w:snapToGrid w:val="0"/>
        <w:ind w:firstLine="480"/>
        <w:rPr>
          <w:rFonts w:cs="Times New Roman"/>
          <w:color w:val="000000" w:themeColor="text1"/>
          <w:szCs w:val="24"/>
        </w:rPr>
      </w:pPr>
      <w:r>
        <w:rPr>
          <w:rFonts w:cs="Times New Roman"/>
          <w:color w:val="000000" w:themeColor="text1"/>
        </w:rPr>
        <w:t>项目所在区域工业园区，属于环境噪声</w:t>
      </w:r>
      <w:r>
        <w:rPr>
          <w:rFonts w:cs="Times New Roman"/>
          <w:color w:val="000000" w:themeColor="text1"/>
        </w:rPr>
        <w:t>3</w:t>
      </w:r>
      <w:r>
        <w:rPr>
          <w:rFonts w:cs="Times New Roman"/>
          <w:color w:val="000000" w:themeColor="text1"/>
        </w:rPr>
        <w:t>类声功能区，结合受影响人群程度，</w:t>
      </w:r>
      <w:r w:rsidR="008B0FF7" w:rsidRPr="008B0FF7">
        <w:rPr>
          <w:rFonts w:cs="Times New Roman" w:hint="eastAsia"/>
          <w:color w:val="000000" w:themeColor="text1"/>
        </w:rPr>
        <w:t>建设项目建设前后评价范围内声环境保护目标噪声级增量在</w:t>
      </w:r>
      <w:r w:rsidR="008B0FF7" w:rsidRPr="008B0FF7">
        <w:rPr>
          <w:rFonts w:cs="Times New Roman" w:hint="eastAsia"/>
          <w:color w:val="000000" w:themeColor="text1"/>
        </w:rPr>
        <w:t xml:space="preserve"> 3 dB(A)</w:t>
      </w:r>
      <w:r w:rsidR="008B0FF7" w:rsidRPr="008B0FF7">
        <w:rPr>
          <w:rFonts w:cs="Times New Roman" w:hint="eastAsia"/>
          <w:color w:val="000000" w:themeColor="text1"/>
        </w:rPr>
        <w:t>以下</w:t>
      </w:r>
      <w:r>
        <w:rPr>
          <w:rFonts w:cs="Times New Roman"/>
          <w:color w:val="000000" w:themeColor="text1"/>
        </w:rPr>
        <w:t>，且受影响人口变化不大，因此，本次声环境评价工作等级为</w:t>
      </w:r>
      <w:r>
        <w:rPr>
          <w:rFonts w:cs="Times New Roman"/>
          <w:b/>
          <w:bCs/>
          <w:color w:val="000000" w:themeColor="text1"/>
        </w:rPr>
        <w:t>三级</w:t>
      </w:r>
      <w:r>
        <w:rPr>
          <w:rFonts w:cs="Times New Roman"/>
          <w:color w:val="000000" w:themeColor="text1"/>
        </w:rPr>
        <w:t>。</w:t>
      </w:r>
    </w:p>
    <w:p w:rsidR="00644456" w:rsidRDefault="008031C4">
      <w:pPr>
        <w:pStyle w:val="3"/>
        <w:numPr>
          <w:ilvl w:val="2"/>
          <w:numId w:val="0"/>
        </w:numPr>
        <w:ind w:firstLineChars="200" w:firstLine="482"/>
      </w:pPr>
      <w:r>
        <w:rPr>
          <w:rFonts w:hint="eastAsia"/>
        </w:rPr>
        <w:t>5.3.2</w:t>
      </w:r>
      <w:r>
        <w:rPr>
          <w:rFonts w:hint="eastAsia"/>
        </w:rPr>
        <w:t>噪声产生情况</w:t>
      </w:r>
    </w:p>
    <w:p w:rsidR="00644456" w:rsidRPr="008B0FF7" w:rsidRDefault="008031C4">
      <w:pPr>
        <w:snapToGrid w:val="0"/>
        <w:spacing w:line="360" w:lineRule="auto"/>
        <w:ind w:firstLineChars="200" w:firstLine="480"/>
        <w:rPr>
          <w:rFonts w:cs="Times New Roman"/>
          <w:bCs/>
          <w:snapToGrid w:val="0"/>
          <w:color w:val="FF0000"/>
          <w:kern w:val="0"/>
          <w:sz w:val="24"/>
          <w:szCs w:val="24"/>
        </w:rPr>
        <w:sectPr w:rsidR="00644456" w:rsidRPr="008B0FF7">
          <w:pgSz w:w="11906" w:h="16838"/>
          <w:pgMar w:top="1440" w:right="1800" w:bottom="1440" w:left="1800" w:header="851" w:footer="992" w:gutter="0"/>
          <w:cols w:space="720"/>
          <w:titlePg/>
          <w:docGrid w:linePitch="326"/>
        </w:sectPr>
      </w:pPr>
      <w:r w:rsidRPr="008B0FF7">
        <w:rPr>
          <w:rFonts w:cs="Times New Roman" w:hint="eastAsia"/>
          <w:bCs/>
          <w:snapToGrid w:val="0"/>
          <w:color w:val="FF0000"/>
          <w:kern w:val="0"/>
          <w:sz w:val="24"/>
          <w:szCs w:val="24"/>
        </w:rPr>
        <w:t>本项目主要噪声设备有机泵、压缩机等，原料罐区及产品罐区的泵、污水处理设施的提升泵、压缩机等</w:t>
      </w:r>
      <w:r w:rsidRPr="008B0FF7">
        <w:rPr>
          <w:rFonts w:cs="Times New Roman"/>
          <w:bCs/>
          <w:snapToGrid w:val="0"/>
          <w:color w:val="FF0000"/>
          <w:kern w:val="0"/>
          <w:sz w:val="24"/>
          <w:szCs w:val="24"/>
        </w:rPr>
        <w:t>，根据类比资料，其噪声强度在</w:t>
      </w:r>
      <w:r w:rsidRPr="008B0FF7">
        <w:rPr>
          <w:rFonts w:cs="Times New Roman"/>
          <w:bCs/>
          <w:snapToGrid w:val="0"/>
          <w:color w:val="FF0000"/>
          <w:kern w:val="0"/>
          <w:sz w:val="24"/>
          <w:szCs w:val="24"/>
        </w:rPr>
        <w:t>80</w:t>
      </w:r>
      <w:r w:rsidRPr="008B0FF7">
        <w:rPr>
          <w:rFonts w:cs="Times New Roman"/>
          <w:bCs/>
          <w:snapToGrid w:val="0"/>
          <w:color w:val="FF0000"/>
          <w:kern w:val="0"/>
          <w:sz w:val="24"/>
          <w:szCs w:val="24"/>
        </w:rPr>
        <w:t>～</w:t>
      </w:r>
      <w:r w:rsidRPr="008B0FF7">
        <w:rPr>
          <w:rFonts w:cs="Times New Roman"/>
          <w:bCs/>
          <w:snapToGrid w:val="0"/>
          <w:color w:val="FF0000"/>
          <w:kern w:val="0"/>
          <w:sz w:val="24"/>
          <w:szCs w:val="24"/>
        </w:rPr>
        <w:t>9</w:t>
      </w:r>
      <w:r w:rsidR="008B0FF7" w:rsidRPr="008B0FF7">
        <w:rPr>
          <w:rFonts w:cs="Times New Roman"/>
          <w:bCs/>
          <w:snapToGrid w:val="0"/>
          <w:color w:val="FF0000"/>
          <w:kern w:val="0"/>
          <w:sz w:val="24"/>
          <w:szCs w:val="24"/>
        </w:rPr>
        <w:t>0</w:t>
      </w:r>
      <w:r w:rsidRPr="008B0FF7">
        <w:rPr>
          <w:rFonts w:cs="Times New Roman"/>
          <w:bCs/>
          <w:snapToGrid w:val="0"/>
          <w:color w:val="FF0000"/>
          <w:kern w:val="0"/>
          <w:sz w:val="24"/>
          <w:szCs w:val="24"/>
        </w:rPr>
        <w:t>dB</w:t>
      </w:r>
      <w:r w:rsidRPr="008B0FF7">
        <w:rPr>
          <w:rFonts w:cs="Times New Roman"/>
          <w:bCs/>
          <w:snapToGrid w:val="0"/>
          <w:color w:val="FF0000"/>
          <w:kern w:val="0"/>
          <w:sz w:val="24"/>
          <w:szCs w:val="24"/>
        </w:rPr>
        <w:t>（</w:t>
      </w:r>
      <w:r w:rsidRPr="008B0FF7">
        <w:rPr>
          <w:rFonts w:cs="Times New Roman"/>
          <w:bCs/>
          <w:snapToGrid w:val="0"/>
          <w:color w:val="FF0000"/>
          <w:kern w:val="0"/>
          <w:sz w:val="24"/>
          <w:szCs w:val="24"/>
        </w:rPr>
        <w:t>A</w:t>
      </w:r>
      <w:r w:rsidRPr="008B0FF7">
        <w:rPr>
          <w:rFonts w:cs="Times New Roman"/>
          <w:bCs/>
          <w:snapToGrid w:val="0"/>
          <w:color w:val="FF0000"/>
          <w:kern w:val="0"/>
          <w:sz w:val="24"/>
          <w:szCs w:val="24"/>
        </w:rPr>
        <w:t>）的范围内。针对不同噪声源采用隔声、消声、减振、合理布局等治理措施后，可使声源小于</w:t>
      </w:r>
      <w:r w:rsidR="008B0FF7" w:rsidRPr="008B0FF7">
        <w:rPr>
          <w:rFonts w:cs="Times New Roman"/>
          <w:bCs/>
          <w:snapToGrid w:val="0"/>
          <w:color w:val="FF0000"/>
          <w:kern w:val="0"/>
          <w:sz w:val="24"/>
          <w:szCs w:val="24"/>
        </w:rPr>
        <w:t>80</w:t>
      </w:r>
      <w:r w:rsidRPr="008B0FF7">
        <w:rPr>
          <w:rFonts w:cs="Times New Roman"/>
          <w:bCs/>
          <w:snapToGrid w:val="0"/>
          <w:color w:val="FF0000"/>
          <w:kern w:val="0"/>
          <w:sz w:val="24"/>
          <w:szCs w:val="24"/>
        </w:rPr>
        <w:t>dB</w:t>
      </w:r>
      <w:r w:rsidRPr="008B0FF7">
        <w:rPr>
          <w:rFonts w:cs="Times New Roman"/>
          <w:bCs/>
          <w:snapToGrid w:val="0"/>
          <w:color w:val="FF0000"/>
          <w:kern w:val="0"/>
          <w:sz w:val="24"/>
          <w:szCs w:val="24"/>
        </w:rPr>
        <w:t>（</w:t>
      </w:r>
      <w:r w:rsidRPr="008B0FF7">
        <w:rPr>
          <w:rFonts w:cs="Times New Roman"/>
          <w:bCs/>
          <w:snapToGrid w:val="0"/>
          <w:color w:val="FF0000"/>
          <w:kern w:val="0"/>
          <w:sz w:val="24"/>
          <w:szCs w:val="24"/>
        </w:rPr>
        <w:t>A</w:t>
      </w:r>
      <w:r w:rsidRPr="008B0FF7">
        <w:rPr>
          <w:rFonts w:cs="Times New Roman"/>
          <w:bCs/>
          <w:snapToGrid w:val="0"/>
          <w:color w:val="FF0000"/>
          <w:kern w:val="0"/>
          <w:sz w:val="24"/>
          <w:szCs w:val="24"/>
        </w:rPr>
        <w:t>）。</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lastRenderedPageBreak/>
        <w:t>表</w:t>
      </w:r>
      <w:r>
        <w:rPr>
          <w:rFonts w:cs="Times New Roman" w:hint="eastAsia"/>
          <w:b/>
          <w:color w:val="000000" w:themeColor="text1"/>
          <w:sz w:val="24"/>
          <w:szCs w:val="20"/>
        </w:rPr>
        <w:t>5.3-1</w:t>
      </w:r>
      <w:r>
        <w:rPr>
          <w:rFonts w:cs="Times New Roman" w:hint="eastAsia"/>
          <w:b/>
          <w:color w:val="000000" w:themeColor="text1"/>
          <w:sz w:val="24"/>
          <w:szCs w:val="20"/>
        </w:rPr>
        <w:t>工业企业噪声源调查清单（室内声源）</w:t>
      </w:r>
    </w:p>
    <w:tbl>
      <w:tblPr>
        <w:tblW w:w="14164" w:type="dxa"/>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7"/>
        <w:gridCol w:w="825"/>
        <w:gridCol w:w="1243"/>
        <w:gridCol w:w="972"/>
        <w:gridCol w:w="483"/>
        <w:gridCol w:w="378"/>
        <w:gridCol w:w="595"/>
        <w:gridCol w:w="613"/>
        <w:gridCol w:w="613"/>
        <w:gridCol w:w="613"/>
        <w:gridCol w:w="614"/>
        <w:gridCol w:w="614"/>
        <w:gridCol w:w="614"/>
        <w:gridCol w:w="614"/>
        <w:gridCol w:w="615"/>
        <w:gridCol w:w="384"/>
        <w:gridCol w:w="316"/>
        <w:gridCol w:w="316"/>
        <w:gridCol w:w="316"/>
        <w:gridCol w:w="316"/>
        <w:gridCol w:w="483"/>
        <w:gridCol w:w="483"/>
        <w:gridCol w:w="483"/>
        <w:gridCol w:w="483"/>
        <w:gridCol w:w="891"/>
      </w:tblGrid>
      <w:tr w:rsidR="008B0FF7" w:rsidRPr="008B0FF7" w:rsidTr="00DE0F42">
        <w:trPr>
          <w:trHeight w:val="374"/>
        </w:trPr>
        <w:tc>
          <w:tcPr>
            <w:tcW w:w="286" w:type="dxa"/>
            <w:vMerge w:val="restart"/>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序号</w:t>
            </w:r>
          </w:p>
        </w:tc>
        <w:tc>
          <w:tcPr>
            <w:tcW w:w="825" w:type="dxa"/>
            <w:vMerge w:val="restart"/>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建筑物名称</w:t>
            </w:r>
          </w:p>
        </w:tc>
        <w:tc>
          <w:tcPr>
            <w:tcW w:w="0" w:type="auto"/>
            <w:vMerge w:val="restart"/>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声源名称</w:t>
            </w:r>
          </w:p>
        </w:tc>
        <w:tc>
          <w:tcPr>
            <w:tcW w:w="0" w:type="auto"/>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声源源强</w:t>
            </w:r>
          </w:p>
        </w:tc>
        <w:tc>
          <w:tcPr>
            <w:tcW w:w="1456" w:type="dxa"/>
            <w:gridSpan w:val="3"/>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空间相对位置</w:t>
            </w:r>
            <w:r w:rsidRPr="008B0FF7">
              <w:rPr>
                <w:rFonts w:hint="eastAsia"/>
                <w:color w:val="FF0000"/>
                <w:kern w:val="0"/>
                <w:szCs w:val="21"/>
                <w:u w:val="single"/>
              </w:rPr>
              <w:t>/m</w:t>
            </w:r>
          </w:p>
        </w:tc>
        <w:tc>
          <w:tcPr>
            <w:tcW w:w="2453" w:type="dxa"/>
            <w:gridSpan w:val="4"/>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距室内边界距离</w:t>
            </w:r>
            <w:r w:rsidRPr="008B0FF7">
              <w:rPr>
                <w:rFonts w:hint="eastAsia"/>
                <w:color w:val="FF0000"/>
                <w:kern w:val="0"/>
                <w:szCs w:val="21"/>
                <w:u w:val="single"/>
              </w:rPr>
              <w:t>/m</w:t>
            </w:r>
          </w:p>
        </w:tc>
        <w:tc>
          <w:tcPr>
            <w:tcW w:w="2457" w:type="dxa"/>
            <w:gridSpan w:val="4"/>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室内边界声级</w:t>
            </w:r>
            <w:r w:rsidRPr="008B0FF7">
              <w:rPr>
                <w:rFonts w:hint="eastAsia"/>
                <w:color w:val="FF0000"/>
                <w:kern w:val="0"/>
                <w:szCs w:val="21"/>
                <w:u w:val="single"/>
              </w:rPr>
              <w:t>/dB</w:t>
            </w:r>
            <w:r w:rsidRPr="008B0FF7">
              <w:rPr>
                <w:rFonts w:hint="eastAsia"/>
                <w:color w:val="FF0000"/>
                <w:kern w:val="0"/>
                <w:szCs w:val="21"/>
                <w:u w:val="single"/>
              </w:rPr>
              <w:t>（</w:t>
            </w:r>
            <w:r w:rsidRPr="008B0FF7">
              <w:rPr>
                <w:rFonts w:hint="eastAsia"/>
                <w:color w:val="FF0000"/>
                <w:kern w:val="0"/>
                <w:szCs w:val="21"/>
                <w:u w:val="single"/>
              </w:rPr>
              <w:t>A</w:t>
            </w:r>
            <w:r w:rsidRPr="008B0FF7">
              <w:rPr>
                <w:rFonts w:hint="eastAsia"/>
                <w:color w:val="FF0000"/>
                <w:kern w:val="0"/>
                <w:szCs w:val="21"/>
                <w:u w:val="single"/>
              </w:rPr>
              <w:t>）</w:t>
            </w:r>
          </w:p>
        </w:tc>
        <w:tc>
          <w:tcPr>
            <w:tcW w:w="0" w:type="auto"/>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运行时段</w:t>
            </w:r>
          </w:p>
        </w:tc>
        <w:tc>
          <w:tcPr>
            <w:tcW w:w="0" w:type="auto"/>
            <w:gridSpan w:val="4"/>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建筑物插入损失</w:t>
            </w:r>
            <w:r w:rsidRPr="008B0FF7">
              <w:rPr>
                <w:rFonts w:hint="eastAsia"/>
                <w:color w:val="FF0000"/>
                <w:kern w:val="0"/>
                <w:szCs w:val="21"/>
                <w:u w:val="single"/>
              </w:rPr>
              <w:t>/dB</w:t>
            </w:r>
            <w:r w:rsidRPr="008B0FF7">
              <w:rPr>
                <w:rFonts w:hint="eastAsia"/>
                <w:color w:val="FF0000"/>
                <w:kern w:val="0"/>
                <w:szCs w:val="21"/>
                <w:u w:val="single"/>
              </w:rPr>
              <w:t>（</w:t>
            </w:r>
            <w:r w:rsidRPr="008B0FF7">
              <w:rPr>
                <w:rFonts w:hint="eastAsia"/>
                <w:color w:val="FF0000"/>
                <w:kern w:val="0"/>
                <w:szCs w:val="21"/>
                <w:u w:val="single"/>
              </w:rPr>
              <w:t>A</w:t>
            </w:r>
            <w:r w:rsidRPr="008B0FF7">
              <w:rPr>
                <w:rFonts w:hint="eastAsia"/>
                <w:color w:val="FF0000"/>
                <w:kern w:val="0"/>
                <w:szCs w:val="21"/>
                <w:u w:val="single"/>
              </w:rPr>
              <w:t>）</w:t>
            </w:r>
          </w:p>
        </w:tc>
        <w:tc>
          <w:tcPr>
            <w:tcW w:w="2823" w:type="dxa"/>
            <w:gridSpan w:val="5"/>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建筑物外噪声声压级</w:t>
            </w:r>
            <w:r w:rsidRPr="008B0FF7">
              <w:rPr>
                <w:rFonts w:hint="eastAsia"/>
                <w:color w:val="FF0000"/>
                <w:kern w:val="0"/>
                <w:szCs w:val="21"/>
                <w:u w:val="single"/>
              </w:rPr>
              <w:t>/dB</w:t>
            </w:r>
            <w:r w:rsidRPr="008B0FF7">
              <w:rPr>
                <w:rFonts w:hint="eastAsia"/>
                <w:color w:val="FF0000"/>
                <w:kern w:val="0"/>
                <w:szCs w:val="21"/>
                <w:u w:val="single"/>
              </w:rPr>
              <w:t>（</w:t>
            </w:r>
            <w:r w:rsidRPr="008B0FF7">
              <w:rPr>
                <w:rFonts w:hint="eastAsia"/>
                <w:color w:val="FF0000"/>
                <w:kern w:val="0"/>
                <w:szCs w:val="21"/>
                <w:u w:val="single"/>
              </w:rPr>
              <w:t>A</w:t>
            </w:r>
            <w:r w:rsidRPr="008B0FF7">
              <w:rPr>
                <w:rFonts w:hint="eastAsia"/>
                <w:color w:val="FF0000"/>
                <w:kern w:val="0"/>
                <w:szCs w:val="21"/>
                <w:u w:val="single"/>
              </w:rPr>
              <w:t>）</w:t>
            </w:r>
          </w:p>
        </w:tc>
      </w:tr>
      <w:tr w:rsidR="008B0FF7" w:rsidRPr="008B0FF7" w:rsidTr="00DE0F42">
        <w:trPr>
          <w:trHeight w:val="183"/>
        </w:trPr>
        <w:tc>
          <w:tcPr>
            <w:tcW w:w="286" w:type="dxa"/>
            <w:vMerge/>
            <w:tcBorders>
              <w:tl2br w:val="nil"/>
              <w:tr2bl w:val="nil"/>
            </w:tcBorders>
            <w:vAlign w:val="center"/>
          </w:tcPr>
          <w:p w:rsidR="00644456" w:rsidRPr="008B0FF7" w:rsidRDefault="00644456">
            <w:pPr>
              <w:widowControl/>
              <w:adjustRightInd w:val="0"/>
              <w:snapToGrid w:val="0"/>
              <w:jc w:val="center"/>
              <w:textAlignment w:val="center"/>
              <w:rPr>
                <w:color w:val="FF0000"/>
                <w:kern w:val="0"/>
                <w:szCs w:val="21"/>
                <w:u w:val="single"/>
              </w:rPr>
            </w:pPr>
          </w:p>
        </w:tc>
        <w:tc>
          <w:tcPr>
            <w:tcW w:w="825" w:type="dxa"/>
            <w:vMerge/>
            <w:tcBorders>
              <w:tl2br w:val="nil"/>
              <w:tr2bl w:val="nil"/>
            </w:tcBorders>
            <w:vAlign w:val="center"/>
          </w:tcPr>
          <w:p w:rsidR="00644456" w:rsidRPr="008B0FF7" w:rsidRDefault="00644456">
            <w:pPr>
              <w:widowControl/>
              <w:adjustRightInd w:val="0"/>
              <w:snapToGrid w:val="0"/>
              <w:jc w:val="center"/>
              <w:textAlignment w:val="center"/>
              <w:rPr>
                <w:color w:val="FF0000"/>
                <w:kern w:val="0"/>
                <w:szCs w:val="21"/>
                <w:u w:val="single"/>
              </w:rPr>
            </w:pPr>
          </w:p>
        </w:tc>
        <w:tc>
          <w:tcPr>
            <w:tcW w:w="0" w:type="auto"/>
            <w:vMerge/>
            <w:tcBorders>
              <w:tl2br w:val="nil"/>
              <w:tr2bl w:val="nil"/>
            </w:tcBorders>
            <w:vAlign w:val="center"/>
          </w:tcPr>
          <w:p w:rsidR="00644456" w:rsidRPr="008B0FF7" w:rsidRDefault="00644456">
            <w:pPr>
              <w:widowControl/>
              <w:adjustRightInd w:val="0"/>
              <w:snapToGrid w:val="0"/>
              <w:jc w:val="center"/>
              <w:textAlignment w:val="center"/>
              <w:rPr>
                <w:color w:val="FF0000"/>
                <w:kern w:val="0"/>
                <w:szCs w:val="21"/>
                <w:u w:val="single"/>
              </w:rPr>
            </w:pPr>
          </w:p>
        </w:tc>
        <w:tc>
          <w:tcPr>
            <w:tcW w:w="0" w:type="auto"/>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声压级</w:t>
            </w:r>
            <w:r w:rsidRPr="008B0FF7">
              <w:rPr>
                <w:rFonts w:hint="eastAsia"/>
                <w:color w:val="FF0000"/>
                <w:kern w:val="0"/>
                <w:szCs w:val="21"/>
                <w:u w:val="single"/>
              </w:rPr>
              <w:t>/</w:t>
            </w:r>
            <w:r w:rsidRPr="008B0FF7">
              <w:rPr>
                <w:rFonts w:hint="eastAsia"/>
                <w:color w:val="FF0000"/>
                <w:kern w:val="0"/>
                <w:szCs w:val="21"/>
                <w:u w:val="single"/>
              </w:rPr>
              <w:t>据声源距离</w:t>
            </w:r>
          </w:p>
        </w:tc>
        <w:tc>
          <w:tcPr>
            <w:tcW w:w="0" w:type="auto"/>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X</w:t>
            </w:r>
          </w:p>
        </w:tc>
        <w:tc>
          <w:tcPr>
            <w:tcW w:w="0" w:type="auto"/>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Y</w:t>
            </w:r>
          </w:p>
        </w:tc>
        <w:tc>
          <w:tcPr>
            <w:tcW w:w="595" w:type="dxa"/>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Z</w:t>
            </w:r>
          </w:p>
        </w:tc>
        <w:tc>
          <w:tcPr>
            <w:tcW w:w="613" w:type="dxa"/>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东</w:t>
            </w:r>
          </w:p>
        </w:tc>
        <w:tc>
          <w:tcPr>
            <w:tcW w:w="613" w:type="dxa"/>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南</w:t>
            </w:r>
          </w:p>
        </w:tc>
        <w:tc>
          <w:tcPr>
            <w:tcW w:w="613" w:type="dxa"/>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西</w:t>
            </w:r>
          </w:p>
        </w:tc>
        <w:tc>
          <w:tcPr>
            <w:tcW w:w="614" w:type="dxa"/>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北</w:t>
            </w:r>
          </w:p>
        </w:tc>
        <w:tc>
          <w:tcPr>
            <w:tcW w:w="614" w:type="dxa"/>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东</w:t>
            </w:r>
          </w:p>
        </w:tc>
        <w:tc>
          <w:tcPr>
            <w:tcW w:w="614" w:type="dxa"/>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南</w:t>
            </w:r>
          </w:p>
        </w:tc>
        <w:tc>
          <w:tcPr>
            <w:tcW w:w="614" w:type="dxa"/>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西</w:t>
            </w:r>
          </w:p>
        </w:tc>
        <w:tc>
          <w:tcPr>
            <w:tcW w:w="615" w:type="dxa"/>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北</w:t>
            </w:r>
          </w:p>
        </w:tc>
        <w:tc>
          <w:tcPr>
            <w:tcW w:w="0" w:type="auto"/>
            <w:tcBorders>
              <w:tl2br w:val="nil"/>
              <w:tr2bl w:val="nil"/>
            </w:tcBorders>
            <w:vAlign w:val="center"/>
          </w:tcPr>
          <w:p w:rsidR="00644456" w:rsidRPr="008B0FF7" w:rsidRDefault="00644456">
            <w:pPr>
              <w:widowControl/>
              <w:adjustRightInd w:val="0"/>
              <w:snapToGrid w:val="0"/>
              <w:jc w:val="center"/>
              <w:textAlignment w:val="center"/>
              <w:rPr>
                <w:color w:val="FF0000"/>
                <w:kern w:val="0"/>
                <w:szCs w:val="21"/>
                <w:u w:val="single"/>
              </w:rPr>
            </w:pPr>
          </w:p>
        </w:tc>
        <w:tc>
          <w:tcPr>
            <w:tcW w:w="0" w:type="auto"/>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东</w:t>
            </w:r>
          </w:p>
        </w:tc>
        <w:tc>
          <w:tcPr>
            <w:tcW w:w="0" w:type="auto"/>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南</w:t>
            </w:r>
          </w:p>
        </w:tc>
        <w:tc>
          <w:tcPr>
            <w:tcW w:w="0" w:type="auto"/>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西</w:t>
            </w:r>
          </w:p>
        </w:tc>
        <w:tc>
          <w:tcPr>
            <w:tcW w:w="0" w:type="auto"/>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北</w:t>
            </w:r>
          </w:p>
        </w:tc>
        <w:tc>
          <w:tcPr>
            <w:tcW w:w="0" w:type="auto"/>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东</w:t>
            </w:r>
          </w:p>
        </w:tc>
        <w:tc>
          <w:tcPr>
            <w:tcW w:w="0" w:type="auto"/>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南</w:t>
            </w:r>
          </w:p>
        </w:tc>
        <w:tc>
          <w:tcPr>
            <w:tcW w:w="0" w:type="auto"/>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西</w:t>
            </w:r>
          </w:p>
        </w:tc>
        <w:tc>
          <w:tcPr>
            <w:tcW w:w="0" w:type="auto"/>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北</w:t>
            </w:r>
          </w:p>
        </w:tc>
        <w:tc>
          <w:tcPr>
            <w:tcW w:w="891" w:type="dxa"/>
            <w:tcBorders>
              <w:tl2br w:val="nil"/>
              <w:tr2bl w:val="nil"/>
            </w:tcBorders>
            <w:vAlign w:val="center"/>
          </w:tcPr>
          <w:p w:rsidR="00644456" w:rsidRPr="008B0FF7" w:rsidRDefault="008031C4">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建筑物外距离</w:t>
            </w:r>
          </w:p>
        </w:tc>
      </w:tr>
      <w:tr w:rsidR="00DE0F42" w:rsidRPr="008B0FF7" w:rsidTr="00DE0F42">
        <w:trPr>
          <w:trHeight w:val="410"/>
        </w:trPr>
        <w:tc>
          <w:tcPr>
            <w:tcW w:w="286"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w:t>
            </w:r>
          </w:p>
        </w:tc>
        <w:tc>
          <w:tcPr>
            <w:tcW w:w="825" w:type="dxa"/>
            <w:vMerge w:val="restart"/>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配套设施</w:t>
            </w:r>
          </w:p>
        </w:tc>
        <w:tc>
          <w:tcPr>
            <w:tcW w:w="1243"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rPr>
              <w:t>消防泵</w:t>
            </w:r>
          </w:p>
        </w:tc>
        <w:tc>
          <w:tcPr>
            <w:tcW w:w="0" w:type="auto"/>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80</w:t>
            </w:r>
            <w:r w:rsidRPr="008B0FF7">
              <w:rPr>
                <w:rFonts w:hint="eastAsia"/>
                <w:color w:val="FF0000"/>
                <w:kern w:val="0"/>
                <w:szCs w:val="21"/>
                <w:u w:val="single"/>
              </w:rPr>
              <w:t>（</w:t>
            </w:r>
            <w:r w:rsidRPr="008B0FF7">
              <w:rPr>
                <w:rFonts w:hint="eastAsia"/>
                <w:color w:val="FF0000"/>
                <w:kern w:val="0"/>
                <w:szCs w:val="21"/>
                <w:u w:val="single"/>
              </w:rPr>
              <w:t>1m</w:t>
            </w:r>
            <w:r w:rsidRPr="008B0FF7">
              <w:rPr>
                <w:rFonts w:hint="eastAsia"/>
                <w:color w:val="FF0000"/>
                <w:kern w:val="0"/>
                <w:szCs w:val="21"/>
                <w:u w:val="single"/>
              </w:rPr>
              <w:t>）</w:t>
            </w:r>
          </w:p>
        </w:tc>
        <w:tc>
          <w:tcPr>
            <w:tcW w:w="0" w:type="auto"/>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123.2</w:t>
            </w:r>
          </w:p>
        </w:tc>
        <w:tc>
          <w:tcPr>
            <w:tcW w:w="0" w:type="auto"/>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35.8</w:t>
            </w:r>
          </w:p>
        </w:tc>
        <w:tc>
          <w:tcPr>
            <w:tcW w:w="595"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1.2</w:t>
            </w:r>
          </w:p>
        </w:tc>
        <w:tc>
          <w:tcPr>
            <w:tcW w:w="613"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19.5</w:t>
            </w:r>
          </w:p>
        </w:tc>
        <w:tc>
          <w:tcPr>
            <w:tcW w:w="613"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14.9</w:t>
            </w:r>
          </w:p>
        </w:tc>
        <w:tc>
          <w:tcPr>
            <w:tcW w:w="613"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5.1</w:t>
            </w:r>
          </w:p>
        </w:tc>
        <w:tc>
          <w:tcPr>
            <w:tcW w:w="614"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9.9</w:t>
            </w:r>
          </w:p>
        </w:tc>
        <w:tc>
          <w:tcPr>
            <w:tcW w:w="614"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56.19</w:t>
            </w:r>
          </w:p>
        </w:tc>
        <w:tc>
          <w:tcPr>
            <w:tcW w:w="614"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58.53</w:t>
            </w:r>
          </w:p>
        </w:tc>
        <w:tc>
          <w:tcPr>
            <w:tcW w:w="614"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67.84</w:t>
            </w:r>
          </w:p>
        </w:tc>
        <w:tc>
          <w:tcPr>
            <w:tcW w:w="615"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62.08</w:t>
            </w:r>
          </w:p>
        </w:tc>
        <w:tc>
          <w:tcPr>
            <w:tcW w:w="0" w:type="auto"/>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24</w:t>
            </w:r>
          </w:p>
        </w:tc>
        <w:tc>
          <w:tcPr>
            <w:tcW w:w="0" w:type="auto"/>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15</w:t>
            </w:r>
          </w:p>
        </w:tc>
        <w:tc>
          <w:tcPr>
            <w:tcW w:w="0" w:type="auto"/>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15</w:t>
            </w:r>
          </w:p>
        </w:tc>
        <w:tc>
          <w:tcPr>
            <w:tcW w:w="0" w:type="auto"/>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15</w:t>
            </w:r>
          </w:p>
        </w:tc>
        <w:tc>
          <w:tcPr>
            <w:tcW w:w="0" w:type="auto"/>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15</w:t>
            </w:r>
          </w:p>
        </w:tc>
        <w:tc>
          <w:tcPr>
            <w:tcW w:w="483"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41.19</w:t>
            </w:r>
          </w:p>
        </w:tc>
        <w:tc>
          <w:tcPr>
            <w:tcW w:w="483"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43.53</w:t>
            </w:r>
          </w:p>
        </w:tc>
        <w:tc>
          <w:tcPr>
            <w:tcW w:w="483"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52.84</w:t>
            </w:r>
          </w:p>
        </w:tc>
        <w:tc>
          <w:tcPr>
            <w:tcW w:w="483"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47.08</w:t>
            </w:r>
          </w:p>
        </w:tc>
        <w:tc>
          <w:tcPr>
            <w:tcW w:w="891"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w:t>
            </w:r>
          </w:p>
        </w:tc>
      </w:tr>
      <w:tr w:rsidR="00DE0F42" w:rsidRPr="008B0FF7" w:rsidTr="00DE0F42">
        <w:trPr>
          <w:trHeight w:val="183"/>
        </w:trPr>
        <w:tc>
          <w:tcPr>
            <w:tcW w:w="286"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2</w:t>
            </w:r>
          </w:p>
        </w:tc>
        <w:tc>
          <w:tcPr>
            <w:tcW w:w="825" w:type="dxa"/>
            <w:vMerge/>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p>
        </w:tc>
        <w:tc>
          <w:tcPr>
            <w:tcW w:w="1243"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rPr>
              <w:t>污水处理站泵</w:t>
            </w:r>
          </w:p>
        </w:tc>
        <w:tc>
          <w:tcPr>
            <w:tcW w:w="0" w:type="auto"/>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80</w:t>
            </w:r>
            <w:r w:rsidRPr="008B0FF7">
              <w:rPr>
                <w:rFonts w:hint="eastAsia"/>
                <w:color w:val="FF0000"/>
                <w:kern w:val="0"/>
                <w:szCs w:val="21"/>
                <w:u w:val="single"/>
              </w:rPr>
              <w:t>（</w:t>
            </w:r>
            <w:r w:rsidRPr="008B0FF7">
              <w:rPr>
                <w:rFonts w:hint="eastAsia"/>
                <w:color w:val="FF0000"/>
                <w:kern w:val="0"/>
                <w:szCs w:val="21"/>
                <w:u w:val="single"/>
              </w:rPr>
              <w:t>1m</w:t>
            </w:r>
            <w:r w:rsidRPr="008B0FF7">
              <w:rPr>
                <w:rFonts w:hint="eastAsia"/>
                <w:color w:val="FF0000"/>
                <w:kern w:val="0"/>
                <w:szCs w:val="21"/>
                <w:u w:val="single"/>
              </w:rPr>
              <w:t>）</w:t>
            </w:r>
          </w:p>
        </w:tc>
        <w:tc>
          <w:tcPr>
            <w:tcW w:w="0" w:type="auto"/>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121.9</w:t>
            </w:r>
          </w:p>
        </w:tc>
        <w:tc>
          <w:tcPr>
            <w:tcW w:w="0" w:type="auto"/>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41.4</w:t>
            </w:r>
          </w:p>
        </w:tc>
        <w:tc>
          <w:tcPr>
            <w:tcW w:w="595"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1.2</w:t>
            </w:r>
          </w:p>
        </w:tc>
        <w:tc>
          <w:tcPr>
            <w:tcW w:w="613"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10.7</w:t>
            </w:r>
          </w:p>
        </w:tc>
        <w:tc>
          <w:tcPr>
            <w:tcW w:w="613"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10.5</w:t>
            </w:r>
          </w:p>
        </w:tc>
        <w:tc>
          <w:tcPr>
            <w:tcW w:w="613"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8.8</w:t>
            </w:r>
          </w:p>
        </w:tc>
        <w:tc>
          <w:tcPr>
            <w:tcW w:w="614"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4.3</w:t>
            </w:r>
          </w:p>
        </w:tc>
        <w:tc>
          <w:tcPr>
            <w:tcW w:w="614"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61.27</w:t>
            </w:r>
          </w:p>
        </w:tc>
        <w:tc>
          <w:tcPr>
            <w:tcW w:w="614"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61.57</w:t>
            </w:r>
          </w:p>
        </w:tc>
        <w:tc>
          <w:tcPr>
            <w:tcW w:w="614"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63.11</w:t>
            </w:r>
          </w:p>
        </w:tc>
        <w:tc>
          <w:tcPr>
            <w:tcW w:w="615"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69.33</w:t>
            </w:r>
          </w:p>
        </w:tc>
        <w:tc>
          <w:tcPr>
            <w:tcW w:w="0" w:type="auto"/>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24</w:t>
            </w:r>
          </w:p>
        </w:tc>
        <w:tc>
          <w:tcPr>
            <w:tcW w:w="0" w:type="auto"/>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15</w:t>
            </w:r>
          </w:p>
        </w:tc>
        <w:tc>
          <w:tcPr>
            <w:tcW w:w="0" w:type="auto"/>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15</w:t>
            </w:r>
          </w:p>
        </w:tc>
        <w:tc>
          <w:tcPr>
            <w:tcW w:w="0" w:type="auto"/>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15</w:t>
            </w:r>
          </w:p>
        </w:tc>
        <w:tc>
          <w:tcPr>
            <w:tcW w:w="0" w:type="auto"/>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15</w:t>
            </w:r>
          </w:p>
        </w:tc>
        <w:tc>
          <w:tcPr>
            <w:tcW w:w="483"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46.27</w:t>
            </w:r>
          </w:p>
        </w:tc>
        <w:tc>
          <w:tcPr>
            <w:tcW w:w="483"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46.57</w:t>
            </w:r>
          </w:p>
        </w:tc>
        <w:tc>
          <w:tcPr>
            <w:tcW w:w="483"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48.11</w:t>
            </w:r>
          </w:p>
        </w:tc>
        <w:tc>
          <w:tcPr>
            <w:tcW w:w="483"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54.33</w:t>
            </w:r>
          </w:p>
        </w:tc>
        <w:tc>
          <w:tcPr>
            <w:tcW w:w="891"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w:t>
            </w:r>
          </w:p>
        </w:tc>
      </w:tr>
      <w:tr w:rsidR="00DE0F42" w:rsidRPr="008B0FF7" w:rsidTr="00DE0F42">
        <w:trPr>
          <w:trHeight w:val="90"/>
        </w:trPr>
        <w:tc>
          <w:tcPr>
            <w:tcW w:w="286"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3</w:t>
            </w:r>
          </w:p>
        </w:tc>
        <w:tc>
          <w:tcPr>
            <w:tcW w:w="825" w:type="dxa"/>
            <w:vMerge/>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p>
        </w:tc>
        <w:tc>
          <w:tcPr>
            <w:tcW w:w="1243"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rPr>
              <w:t>锅炉房风机</w:t>
            </w:r>
          </w:p>
        </w:tc>
        <w:tc>
          <w:tcPr>
            <w:tcW w:w="0" w:type="auto"/>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80</w:t>
            </w:r>
            <w:r w:rsidRPr="008B0FF7">
              <w:rPr>
                <w:rFonts w:hint="eastAsia"/>
                <w:color w:val="FF0000"/>
                <w:kern w:val="0"/>
                <w:szCs w:val="21"/>
                <w:u w:val="single"/>
              </w:rPr>
              <w:t>（</w:t>
            </w:r>
            <w:r w:rsidRPr="008B0FF7">
              <w:rPr>
                <w:rFonts w:hint="eastAsia"/>
                <w:color w:val="FF0000"/>
                <w:kern w:val="0"/>
                <w:szCs w:val="21"/>
                <w:u w:val="single"/>
              </w:rPr>
              <w:t>1m</w:t>
            </w:r>
            <w:r w:rsidRPr="008B0FF7">
              <w:rPr>
                <w:rFonts w:hint="eastAsia"/>
                <w:color w:val="FF0000"/>
                <w:kern w:val="0"/>
                <w:szCs w:val="21"/>
                <w:u w:val="single"/>
              </w:rPr>
              <w:t>）</w:t>
            </w:r>
          </w:p>
        </w:tc>
        <w:tc>
          <w:tcPr>
            <w:tcW w:w="0" w:type="auto"/>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130.7</w:t>
            </w:r>
          </w:p>
        </w:tc>
        <w:tc>
          <w:tcPr>
            <w:tcW w:w="0" w:type="auto"/>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45.7</w:t>
            </w:r>
          </w:p>
        </w:tc>
        <w:tc>
          <w:tcPr>
            <w:tcW w:w="595"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1.2</w:t>
            </w:r>
          </w:p>
        </w:tc>
        <w:tc>
          <w:tcPr>
            <w:tcW w:w="613"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11.8</w:t>
            </w:r>
          </w:p>
        </w:tc>
        <w:tc>
          <w:tcPr>
            <w:tcW w:w="613"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14.7</w:t>
            </w:r>
          </w:p>
        </w:tc>
        <w:tc>
          <w:tcPr>
            <w:tcW w:w="613"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7.6</w:t>
            </w:r>
          </w:p>
        </w:tc>
        <w:tc>
          <w:tcPr>
            <w:tcW w:w="614"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2.0</w:t>
            </w:r>
          </w:p>
        </w:tc>
        <w:tc>
          <w:tcPr>
            <w:tcW w:w="614"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60.56</w:t>
            </w:r>
          </w:p>
        </w:tc>
        <w:tc>
          <w:tcPr>
            <w:tcW w:w="614"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58.65</w:t>
            </w:r>
          </w:p>
        </w:tc>
        <w:tc>
          <w:tcPr>
            <w:tcW w:w="614"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64.38</w:t>
            </w:r>
          </w:p>
        </w:tc>
        <w:tc>
          <w:tcPr>
            <w:tcW w:w="615"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75.97</w:t>
            </w:r>
          </w:p>
        </w:tc>
        <w:tc>
          <w:tcPr>
            <w:tcW w:w="0" w:type="auto"/>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24</w:t>
            </w:r>
          </w:p>
        </w:tc>
        <w:tc>
          <w:tcPr>
            <w:tcW w:w="0" w:type="auto"/>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15</w:t>
            </w:r>
          </w:p>
        </w:tc>
        <w:tc>
          <w:tcPr>
            <w:tcW w:w="0" w:type="auto"/>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15</w:t>
            </w:r>
          </w:p>
        </w:tc>
        <w:tc>
          <w:tcPr>
            <w:tcW w:w="0" w:type="auto"/>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15</w:t>
            </w:r>
          </w:p>
        </w:tc>
        <w:tc>
          <w:tcPr>
            <w:tcW w:w="0" w:type="auto"/>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15</w:t>
            </w:r>
          </w:p>
        </w:tc>
        <w:tc>
          <w:tcPr>
            <w:tcW w:w="483"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45.56</w:t>
            </w:r>
          </w:p>
        </w:tc>
        <w:tc>
          <w:tcPr>
            <w:tcW w:w="483"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43.65</w:t>
            </w:r>
          </w:p>
        </w:tc>
        <w:tc>
          <w:tcPr>
            <w:tcW w:w="483"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49.38</w:t>
            </w:r>
          </w:p>
        </w:tc>
        <w:tc>
          <w:tcPr>
            <w:tcW w:w="483"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60.97</w:t>
            </w:r>
          </w:p>
        </w:tc>
        <w:tc>
          <w:tcPr>
            <w:tcW w:w="891" w:type="dxa"/>
            <w:tcBorders>
              <w:tl2br w:val="nil"/>
              <w:tr2bl w:val="nil"/>
            </w:tcBorders>
            <w:vAlign w:val="center"/>
          </w:tcPr>
          <w:p w:rsidR="00DE0F42" w:rsidRPr="008B0FF7" w:rsidRDefault="00DE0F42">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w:t>
            </w:r>
          </w:p>
        </w:tc>
      </w:tr>
      <w:tr w:rsidR="00DE0F42" w:rsidRPr="008B0FF7" w:rsidTr="00DE0F42">
        <w:trPr>
          <w:trHeight w:val="90"/>
        </w:trPr>
        <w:tc>
          <w:tcPr>
            <w:tcW w:w="286" w:type="dxa"/>
            <w:tcBorders>
              <w:tl2br w:val="nil"/>
              <w:tr2bl w:val="nil"/>
            </w:tcBorders>
            <w:vAlign w:val="center"/>
          </w:tcPr>
          <w:p w:rsidR="00DE0F42" w:rsidRPr="008B0FF7" w:rsidRDefault="00DE0F42" w:rsidP="008B0FF7">
            <w:pPr>
              <w:widowControl/>
              <w:adjustRightInd w:val="0"/>
              <w:snapToGrid w:val="0"/>
              <w:jc w:val="center"/>
              <w:textAlignment w:val="center"/>
              <w:rPr>
                <w:color w:val="FF0000"/>
                <w:kern w:val="0"/>
                <w:szCs w:val="21"/>
                <w:u w:val="single"/>
              </w:rPr>
            </w:pPr>
            <w:r>
              <w:rPr>
                <w:rFonts w:hint="eastAsia"/>
                <w:color w:val="FF0000"/>
                <w:kern w:val="0"/>
                <w:szCs w:val="21"/>
                <w:u w:val="single"/>
              </w:rPr>
              <w:t>4</w:t>
            </w:r>
          </w:p>
        </w:tc>
        <w:tc>
          <w:tcPr>
            <w:tcW w:w="825" w:type="dxa"/>
            <w:vMerge/>
            <w:tcBorders>
              <w:tl2br w:val="nil"/>
              <w:tr2bl w:val="nil"/>
            </w:tcBorders>
            <w:vAlign w:val="center"/>
          </w:tcPr>
          <w:p w:rsidR="00DE0F42" w:rsidRPr="008B0FF7" w:rsidRDefault="00DE0F42" w:rsidP="008B0FF7">
            <w:pPr>
              <w:widowControl/>
              <w:adjustRightInd w:val="0"/>
              <w:snapToGrid w:val="0"/>
              <w:jc w:val="center"/>
              <w:textAlignment w:val="center"/>
              <w:rPr>
                <w:color w:val="FF0000"/>
                <w:kern w:val="0"/>
                <w:szCs w:val="21"/>
                <w:u w:val="single"/>
              </w:rPr>
            </w:pPr>
          </w:p>
        </w:tc>
        <w:tc>
          <w:tcPr>
            <w:tcW w:w="1243" w:type="dxa"/>
            <w:tcBorders>
              <w:tl2br w:val="nil"/>
              <w:tr2bl w:val="nil"/>
            </w:tcBorders>
            <w:vAlign w:val="center"/>
          </w:tcPr>
          <w:p w:rsidR="00DE0F42" w:rsidRPr="008B0FF7" w:rsidRDefault="00DE0F42" w:rsidP="008B0FF7">
            <w:pPr>
              <w:widowControl/>
              <w:adjustRightInd w:val="0"/>
              <w:snapToGrid w:val="0"/>
              <w:jc w:val="center"/>
              <w:textAlignment w:val="center"/>
              <w:rPr>
                <w:color w:val="FF0000"/>
              </w:rPr>
            </w:pPr>
            <w:r>
              <w:rPr>
                <w:rFonts w:hint="eastAsia"/>
                <w:color w:val="FF0000"/>
              </w:rPr>
              <w:t>空压机</w:t>
            </w:r>
          </w:p>
        </w:tc>
        <w:tc>
          <w:tcPr>
            <w:tcW w:w="0" w:type="auto"/>
            <w:tcBorders>
              <w:tl2br w:val="nil"/>
              <w:tr2bl w:val="nil"/>
            </w:tcBorders>
            <w:vAlign w:val="center"/>
          </w:tcPr>
          <w:p w:rsidR="00DE0F42" w:rsidRPr="008B0FF7" w:rsidRDefault="00DE0F42" w:rsidP="008B0FF7">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80</w:t>
            </w:r>
            <w:r w:rsidRPr="008B0FF7">
              <w:rPr>
                <w:rFonts w:hint="eastAsia"/>
                <w:color w:val="FF0000"/>
                <w:kern w:val="0"/>
                <w:szCs w:val="21"/>
                <w:u w:val="single"/>
              </w:rPr>
              <w:t>（</w:t>
            </w:r>
            <w:r w:rsidRPr="008B0FF7">
              <w:rPr>
                <w:rFonts w:hint="eastAsia"/>
                <w:color w:val="FF0000"/>
                <w:kern w:val="0"/>
                <w:szCs w:val="21"/>
                <w:u w:val="single"/>
              </w:rPr>
              <w:t>1m</w:t>
            </w:r>
            <w:r w:rsidRPr="008B0FF7">
              <w:rPr>
                <w:rFonts w:hint="eastAsia"/>
                <w:color w:val="FF0000"/>
                <w:kern w:val="0"/>
                <w:szCs w:val="21"/>
                <w:u w:val="single"/>
              </w:rPr>
              <w:t>）</w:t>
            </w:r>
          </w:p>
        </w:tc>
        <w:tc>
          <w:tcPr>
            <w:tcW w:w="0" w:type="auto"/>
            <w:tcBorders>
              <w:tl2br w:val="nil"/>
              <w:tr2bl w:val="nil"/>
            </w:tcBorders>
            <w:vAlign w:val="center"/>
          </w:tcPr>
          <w:p w:rsidR="00DE0F42" w:rsidRPr="008B0FF7" w:rsidRDefault="00DE0F42" w:rsidP="008B0FF7">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130.7</w:t>
            </w:r>
          </w:p>
        </w:tc>
        <w:tc>
          <w:tcPr>
            <w:tcW w:w="0" w:type="auto"/>
            <w:tcBorders>
              <w:tl2br w:val="nil"/>
              <w:tr2bl w:val="nil"/>
            </w:tcBorders>
            <w:vAlign w:val="center"/>
          </w:tcPr>
          <w:p w:rsidR="00DE0F42" w:rsidRPr="008B0FF7" w:rsidRDefault="00DE0F42" w:rsidP="008B0FF7">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4</w:t>
            </w:r>
            <w:r>
              <w:rPr>
                <w:color w:val="FF0000"/>
                <w:kern w:val="0"/>
                <w:szCs w:val="21"/>
                <w:u w:val="single"/>
              </w:rPr>
              <w:t>2.3</w:t>
            </w:r>
          </w:p>
        </w:tc>
        <w:tc>
          <w:tcPr>
            <w:tcW w:w="595" w:type="dxa"/>
            <w:tcBorders>
              <w:tl2br w:val="nil"/>
              <w:tr2bl w:val="nil"/>
            </w:tcBorders>
            <w:vAlign w:val="center"/>
          </w:tcPr>
          <w:p w:rsidR="00DE0F42" w:rsidRPr="008B0FF7" w:rsidRDefault="00DE0F42" w:rsidP="008B0FF7">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1.2</w:t>
            </w:r>
          </w:p>
        </w:tc>
        <w:tc>
          <w:tcPr>
            <w:tcW w:w="613" w:type="dxa"/>
            <w:tcBorders>
              <w:tl2br w:val="nil"/>
              <w:tr2bl w:val="nil"/>
            </w:tcBorders>
            <w:vAlign w:val="center"/>
          </w:tcPr>
          <w:p w:rsidR="00DE0F42" w:rsidRPr="008B0FF7" w:rsidRDefault="00DE0F42" w:rsidP="008B0FF7">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11.8</w:t>
            </w:r>
          </w:p>
        </w:tc>
        <w:tc>
          <w:tcPr>
            <w:tcW w:w="613" w:type="dxa"/>
            <w:tcBorders>
              <w:tl2br w:val="nil"/>
              <w:tr2bl w:val="nil"/>
            </w:tcBorders>
            <w:vAlign w:val="center"/>
          </w:tcPr>
          <w:p w:rsidR="00DE0F42" w:rsidRPr="008B0FF7" w:rsidRDefault="00DE0F42" w:rsidP="008B0FF7">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14.7</w:t>
            </w:r>
          </w:p>
        </w:tc>
        <w:tc>
          <w:tcPr>
            <w:tcW w:w="613" w:type="dxa"/>
            <w:tcBorders>
              <w:tl2br w:val="nil"/>
              <w:tr2bl w:val="nil"/>
            </w:tcBorders>
            <w:vAlign w:val="center"/>
          </w:tcPr>
          <w:p w:rsidR="00DE0F42" w:rsidRPr="008B0FF7" w:rsidRDefault="00DE0F42" w:rsidP="008B0FF7">
            <w:pPr>
              <w:widowControl/>
              <w:adjustRightInd w:val="0"/>
              <w:snapToGrid w:val="0"/>
              <w:jc w:val="center"/>
              <w:textAlignment w:val="center"/>
              <w:rPr>
                <w:color w:val="FF0000"/>
                <w:kern w:val="0"/>
                <w:szCs w:val="21"/>
                <w:u w:val="single"/>
              </w:rPr>
            </w:pPr>
            <w:r>
              <w:rPr>
                <w:color w:val="FF0000"/>
                <w:kern w:val="0"/>
                <w:szCs w:val="21"/>
                <w:u w:val="single"/>
              </w:rPr>
              <w:t>8.5</w:t>
            </w:r>
          </w:p>
        </w:tc>
        <w:tc>
          <w:tcPr>
            <w:tcW w:w="614" w:type="dxa"/>
            <w:tcBorders>
              <w:tl2br w:val="nil"/>
              <w:tr2bl w:val="nil"/>
            </w:tcBorders>
            <w:vAlign w:val="center"/>
          </w:tcPr>
          <w:p w:rsidR="00DE0F42" w:rsidRPr="008B0FF7" w:rsidRDefault="00DE0F42" w:rsidP="008B0FF7">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2.0</w:t>
            </w:r>
          </w:p>
        </w:tc>
        <w:tc>
          <w:tcPr>
            <w:tcW w:w="614" w:type="dxa"/>
            <w:tcBorders>
              <w:tl2br w:val="nil"/>
              <w:tr2bl w:val="nil"/>
            </w:tcBorders>
            <w:vAlign w:val="center"/>
          </w:tcPr>
          <w:p w:rsidR="00DE0F42" w:rsidRPr="008B0FF7" w:rsidRDefault="00DE0F42" w:rsidP="008B0FF7">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60.56</w:t>
            </w:r>
          </w:p>
        </w:tc>
        <w:tc>
          <w:tcPr>
            <w:tcW w:w="614" w:type="dxa"/>
            <w:tcBorders>
              <w:tl2br w:val="nil"/>
              <w:tr2bl w:val="nil"/>
            </w:tcBorders>
            <w:vAlign w:val="center"/>
          </w:tcPr>
          <w:p w:rsidR="00DE0F42" w:rsidRPr="008B0FF7" w:rsidRDefault="00DE0F42" w:rsidP="008B0FF7">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58.65</w:t>
            </w:r>
          </w:p>
        </w:tc>
        <w:tc>
          <w:tcPr>
            <w:tcW w:w="614" w:type="dxa"/>
            <w:tcBorders>
              <w:tl2br w:val="nil"/>
              <w:tr2bl w:val="nil"/>
            </w:tcBorders>
            <w:vAlign w:val="center"/>
          </w:tcPr>
          <w:p w:rsidR="00DE0F42" w:rsidRPr="008B0FF7" w:rsidRDefault="00DE0F42" w:rsidP="008B0FF7">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6</w:t>
            </w:r>
            <w:r>
              <w:rPr>
                <w:color w:val="FF0000"/>
                <w:kern w:val="0"/>
                <w:szCs w:val="21"/>
                <w:u w:val="single"/>
              </w:rPr>
              <w:t>1.51</w:t>
            </w:r>
          </w:p>
        </w:tc>
        <w:tc>
          <w:tcPr>
            <w:tcW w:w="615" w:type="dxa"/>
            <w:tcBorders>
              <w:tl2br w:val="nil"/>
              <w:tr2bl w:val="nil"/>
            </w:tcBorders>
            <w:vAlign w:val="center"/>
          </w:tcPr>
          <w:p w:rsidR="00DE0F42" w:rsidRPr="008B0FF7" w:rsidRDefault="00DE0F42" w:rsidP="008B0FF7">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75.97</w:t>
            </w:r>
          </w:p>
        </w:tc>
        <w:tc>
          <w:tcPr>
            <w:tcW w:w="0" w:type="auto"/>
            <w:tcBorders>
              <w:tl2br w:val="nil"/>
              <w:tr2bl w:val="nil"/>
            </w:tcBorders>
            <w:vAlign w:val="center"/>
          </w:tcPr>
          <w:p w:rsidR="00DE0F42" w:rsidRPr="008B0FF7" w:rsidRDefault="00DE0F42" w:rsidP="008B0FF7">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24</w:t>
            </w:r>
          </w:p>
        </w:tc>
        <w:tc>
          <w:tcPr>
            <w:tcW w:w="0" w:type="auto"/>
            <w:tcBorders>
              <w:tl2br w:val="nil"/>
              <w:tr2bl w:val="nil"/>
            </w:tcBorders>
            <w:vAlign w:val="center"/>
          </w:tcPr>
          <w:p w:rsidR="00DE0F42" w:rsidRPr="008B0FF7" w:rsidRDefault="00DE0F42" w:rsidP="008B0FF7">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15</w:t>
            </w:r>
          </w:p>
        </w:tc>
        <w:tc>
          <w:tcPr>
            <w:tcW w:w="0" w:type="auto"/>
            <w:tcBorders>
              <w:tl2br w:val="nil"/>
              <w:tr2bl w:val="nil"/>
            </w:tcBorders>
            <w:vAlign w:val="center"/>
          </w:tcPr>
          <w:p w:rsidR="00DE0F42" w:rsidRPr="008B0FF7" w:rsidRDefault="00DE0F42" w:rsidP="008B0FF7">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15</w:t>
            </w:r>
          </w:p>
        </w:tc>
        <w:tc>
          <w:tcPr>
            <w:tcW w:w="0" w:type="auto"/>
            <w:tcBorders>
              <w:tl2br w:val="nil"/>
              <w:tr2bl w:val="nil"/>
            </w:tcBorders>
            <w:vAlign w:val="center"/>
          </w:tcPr>
          <w:p w:rsidR="00DE0F42" w:rsidRPr="008B0FF7" w:rsidRDefault="00DE0F42" w:rsidP="008B0FF7">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15</w:t>
            </w:r>
          </w:p>
        </w:tc>
        <w:tc>
          <w:tcPr>
            <w:tcW w:w="0" w:type="auto"/>
            <w:tcBorders>
              <w:tl2br w:val="nil"/>
              <w:tr2bl w:val="nil"/>
            </w:tcBorders>
            <w:vAlign w:val="center"/>
          </w:tcPr>
          <w:p w:rsidR="00DE0F42" w:rsidRPr="008B0FF7" w:rsidRDefault="00DE0F42" w:rsidP="008B0FF7">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15</w:t>
            </w:r>
          </w:p>
        </w:tc>
        <w:tc>
          <w:tcPr>
            <w:tcW w:w="483" w:type="dxa"/>
            <w:tcBorders>
              <w:tl2br w:val="nil"/>
              <w:tr2bl w:val="nil"/>
            </w:tcBorders>
            <w:vAlign w:val="center"/>
          </w:tcPr>
          <w:p w:rsidR="00DE0F42" w:rsidRPr="008B0FF7" w:rsidRDefault="00DE0F42" w:rsidP="008B0FF7">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45.56</w:t>
            </w:r>
          </w:p>
        </w:tc>
        <w:tc>
          <w:tcPr>
            <w:tcW w:w="483" w:type="dxa"/>
            <w:tcBorders>
              <w:tl2br w:val="nil"/>
              <w:tr2bl w:val="nil"/>
            </w:tcBorders>
            <w:vAlign w:val="center"/>
          </w:tcPr>
          <w:p w:rsidR="00DE0F42" w:rsidRPr="008B0FF7" w:rsidRDefault="00DE0F42" w:rsidP="008B0FF7">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43.65</w:t>
            </w:r>
          </w:p>
        </w:tc>
        <w:tc>
          <w:tcPr>
            <w:tcW w:w="483" w:type="dxa"/>
            <w:tcBorders>
              <w:tl2br w:val="nil"/>
              <w:tr2bl w:val="nil"/>
            </w:tcBorders>
            <w:vAlign w:val="center"/>
          </w:tcPr>
          <w:p w:rsidR="00DE0F42" w:rsidRPr="008B0FF7" w:rsidRDefault="00DE0F42" w:rsidP="008B0FF7">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4</w:t>
            </w:r>
            <w:r>
              <w:rPr>
                <w:color w:val="FF0000"/>
                <w:kern w:val="0"/>
                <w:szCs w:val="21"/>
                <w:u w:val="single"/>
              </w:rPr>
              <w:t>6</w:t>
            </w:r>
            <w:r w:rsidRPr="008B0FF7">
              <w:rPr>
                <w:rFonts w:hint="eastAsia"/>
                <w:color w:val="FF0000"/>
                <w:kern w:val="0"/>
                <w:szCs w:val="21"/>
                <w:u w:val="single"/>
              </w:rPr>
              <w:t>.</w:t>
            </w:r>
            <w:r>
              <w:rPr>
                <w:color w:val="FF0000"/>
                <w:kern w:val="0"/>
                <w:szCs w:val="21"/>
                <w:u w:val="single"/>
              </w:rPr>
              <w:t>51</w:t>
            </w:r>
          </w:p>
        </w:tc>
        <w:tc>
          <w:tcPr>
            <w:tcW w:w="483" w:type="dxa"/>
            <w:tcBorders>
              <w:tl2br w:val="nil"/>
              <w:tr2bl w:val="nil"/>
            </w:tcBorders>
            <w:vAlign w:val="center"/>
          </w:tcPr>
          <w:p w:rsidR="00DE0F42" w:rsidRPr="008B0FF7" w:rsidRDefault="00DE0F42" w:rsidP="008B0FF7">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60.97</w:t>
            </w:r>
          </w:p>
        </w:tc>
        <w:tc>
          <w:tcPr>
            <w:tcW w:w="891" w:type="dxa"/>
            <w:tcBorders>
              <w:tl2br w:val="nil"/>
              <w:tr2bl w:val="nil"/>
            </w:tcBorders>
            <w:vAlign w:val="center"/>
          </w:tcPr>
          <w:p w:rsidR="00DE0F42" w:rsidRPr="008B0FF7" w:rsidRDefault="00DE0F42" w:rsidP="008B0FF7">
            <w:pPr>
              <w:widowControl/>
              <w:adjustRightInd w:val="0"/>
              <w:snapToGrid w:val="0"/>
              <w:jc w:val="center"/>
              <w:textAlignment w:val="center"/>
              <w:rPr>
                <w:color w:val="FF0000"/>
                <w:kern w:val="0"/>
                <w:szCs w:val="21"/>
                <w:u w:val="single"/>
              </w:rPr>
            </w:pPr>
            <w:r w:rsidRPr="008B0FF7">
              <w:rPr>
                <w:rFonts w:hint="eastAsia"/>
                <w:color w:val="FF0000"/>
                <w:kern w:val="0"/>
                <w:szCs w:val="21"/>
                <w:u w:val="single"/>
              </w:rPr>
              <w:t>1</w:t>
            </w:r>
          </w:p>
        </w:tc>
      </w:tr>
    </w:tbl>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5.3-2</w:t>
      </w:r>
      <w:r>
        <w:rPr>
          <w:rFonts w:cs="Times New Roman" w:hint="eastAsia"/>
          <w:b/>
          <w:color w:val="000000" w:themeColor="text1"/>
          <w:sz w:val="24"/>
          <w:szCs w:val="20"/>
        </w:rPr>
        <w:t>企业噪声源强调查清单（室外声源）</w:t>
      </w:r>
    </w:p>
    <w:tbl>
      <w:tblPr>
        <w:tblW w:w="14171" w:type="dxa"/>
        <w:jc w:val="center"/>
        <w:tblBorders>
          <w:top w:val="single" w:sz="12" w:space="0" w:color="auto"/>
          <w:bottom w:val="single" w:sz="12"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122"/>
        <w:gridCol w:w="2241"/>
        <w:gridCol w:w="2232"/>
        <w:gridCol w:w="2343"/>
        <w:gridCol w:w="3208"/>
        <w:gridCol w:w="945"/>
        <w:gridCol w:w="945"/>
        <w:gridCol w:w="1135"/>
      </w:tblGrid>
      <w:tr w:rsidR="00644456" w:rsidRPr="008B0FF7" w:rsidTr="00DE0F42">
        <w:trPr>
          <w:jc w:val="center"/>
        </w:trPr>
        <w:tc>
          <w:tcPr>
            <w:tcW w:w="1122" w:type="dxa"/>
            <w:vMerge w:val="restart"/>
            <w:shd w:val="clear" w:color="auto" w:fill="FFFFFF"/>
            <w:vAlign w:val="center"/>
          </w:tcPr>
          <w:p w:rsidR="00644456" w:rsidRPr="008B0FF7" w:rsidRDefault="008031C4">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序号</w:t>
            </w:r>
          </w:p>
        </w:tc>
        <w:tc>
          <w:tcPr>
            <w:tcW w:w="2241" w:type="dxa"/>
            <w:vMerge w:val="restart"/>
            <w:shd w:val="clear" w:color="auto" w:fill="FFFFFF"/>
            <w:vAlign w:val="center"/>
          </w:tcPr>
          <w:p w:rsidR="00644456" w:rsidRPr="008B0FF7" w:rsidRDefault="008031C4">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建筑物名称</w:t>
            </w:r>
          </w:p>
        </w:tc>
        <w:tc>
          <w:tcPr>
            <w:tcW w:w="2232" w:type="dxa"/>
            <w:vMerge w:val="restart"/>
            <w:shd w:val="clear" w:color="auto" w:fill="FFFFFF"/>
            <w:vAlign w:val="center"/>
          </w:tcPr>
          <w:p w:rsidR="00644456" w:rsidRPr="008B0FF7" w:rsidRDefault="008031C4">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声源名称</w:t>
            </w:r>
          </w:p>
        </w:tc>
        <w:tc>
          <w:tcPr>
            <w:tcW w:w="2343" w:type="dxa"/>
            <w:vMerge w:val="restart"/>
            <w:shd w:val="clear" w:color="auto" w:fill="FFFFFF"/>
            <w:vAlign w:val="center"/>
          </w:tcPr>
          <w:p w:rsidR="00644456" w:rsidRPr="008B0FF7" w:rsidRDefault="008031C4">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声源源强</w:t>
            </w:r>
          </w:p>
          <w:p w:rsidR="00644456" w:rsidRPr="008B0FF7" w:rsidRDefault="008031C4">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声功率级</w:t>
            </w:r>
            <w:r w:rsidRPr="008B0FF7">
              <w:rPr>
                <w:rFonts w:cs="Times New Roman" w:hint="eastAsia"/>
                <w:color w:val="FF0000"/>
                <w:szCs w:val="21"/>
              </w:rPr>
              <w:t>/dB(A)</w:t>
            </w:r>
          </w:p>
        </w:tc>
        <w:tc>
          <w:tcPr>
            <w:tcW w:w="3208" w:type="dxa"/>
            <w:vMerge w:val="restart"/>
            <w:shd w:val="clear" w:color="auto" w:fill="FFFFFF"/>
            <w:vAlign w:val="center"/>
          </w:tcPr>
          <w:p w:rsidR="00644456" w:rsidRPr="008B0FF7" w:rsidRDefault="008031C4">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声源控制措施</w:t>
            </w:r>
          </w:p>
        </w:tc>
        <w:tc>
          <w:tcPr>
            <w:tcW w:w="3025" w:type="dxa"/>
            <w:gridSpan w:val="3"/>
            <w:shd w:val="clear" w:color="auto" w:fill="FFFFFF"/>
            <w:vAlign w:val="center"/>
          </w:tcPr>
          <w:p w:rsidR="00644456" w:rsidRPr="008B0FF7" w:rsidRDefault="008031C4">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空间相对位置</w:t>
            </w:r>
            <w:r w:rsidRPr="008B0FF7">
              <w:rPr>
                <w:rFonts w:cs="Times New Roman" w:hint="eastAsia"/>
                <w:color w:val="FF0000"/>
                <w:szCs w:val="21"/>
              </w:rPr>
              <w:t>/m</w:t>
            </w:r>
          </w:p>
        </w:tc>
      </w:tr>
      <w:tr w:rsidR="00644456" w:rsidRPr="008B0FF7" w:rsidTr="00DE0F42">
        <w:trPr>
          <w:jc w:val="center"/>
        </w:trPr>
        <w:tc>
          <w:tcPr>
            <w:tcW w:w="1122" w:type="dxa"/>
            <w:vMerge/>
            <w:shd w:val="clear" w:color="auto" w:fill="FFFFFF"/>
            <w:vAlign w:val="center"/>
          </w:tcPr>
          <w:p w:rsidR="00644456" w:rsidRPr="008B0FF7" w:rsidRDefault="00644456">
            <w:pPr>
              <w:adjustRightInd w:val="0"/>
              <w:snapToGrid w:val="0"/>
              <w:spacing w:line="240" w:lineRule="atLeast"/>
              <w:jc w:val="center"/>
              <w:outlineLvl w:val="8"/>
              <w:rPr>
                <w:rFonts w:cs="Times New Roman"/>
                <w:color w:val="FF0000"/>
                <w:szCs w:val="21"/>
              </w:rPr>
            </w:pPr>
          </w:p>
        </w:tc>
        <w:tc>
          <w:tcPr>
            <w:tcW w:w="2241" w:type="dxa"/>
            <w:vMerge/>
            <w:shd w:val="clear" w:color="auto" w:fill="FFFFFF"/>
            <w:vAlign w:val="center"/>
          </w:tcPr>
          <w:p w:rsidR="00644456" w:rsidRPr="008B0FF7" w:rsidRDefault="00644456">
            <w:pPr>
              <w:adjustRightInd w:val="0"/>
              <w:snapToGrid w:val="0"/>
              <w:spacing w:line="240" w:lineRule="atLeast"/>
              <w:jc w:val="center"/>
              <w:outlineLvl w:val="8"/>
              <w:rPr>
                <w:rFonts w:cs="Times New Roman"/>
                <w:color w:val="FF0000"/>
                <w:szCs w:val="21"/>
              </w:rPr>
            </w:pPr>
          </w:p>
        </w:tc>
        <w:tc>
          <w:tcPr>
            <w:tcW w:w="2232" w:type="dxa"/>
            <w:vMerge/>
            <w:shd w:val="clear" w:color="auto" w:fill="FFFFFF"/>
            <w:vAlign w:val="center"/>
          </w:tcPr>
          <w:p w:rsidR="00644456" w:rsidRPr="008B0FF7" w:rsidRDefault="00644456">
            <w:pPr>
              <w:adjustRightInd w:val="0"/>
              <w:snapToGrid w:val="0"/>
              <w:spacing w:line="240" w:lineRule="atLeast"/>
              <w:jc w:val="center"/>
              <w:outlineLvl w:val="8"/>
              <w:rPr>
                <w:rFonts w:cs="Times New Roman"/>
                <w:color w:val="FF0000"/>
                <w:szCs w:val="21"/>
              </w:rPr>
            </w:pPr>
          </w:p>
        </w:tc>
        <w:tc>
          <w:tcPr>
            <w:tcW w:w="2343" w:type="dxa"/>
            <w:vMerge/>
            <w:shd w:val="clear" w:color="auto" w:fill="FFFFFF"/>
            <w:vAlign w:val="center"/>
          </w:tcPr>
          <w:p w:rsidR="00644456" w:rsidRPr="008B0FF7" w:rsidRDefault="00644456">
            <w:pPr>
              <w:adjustRightInd w:val="0"/>
              <w:snapToGrid w:val="0"/>
              <w:spacing w:line="240" w:lineRule="atLeast"/>
              <w:jc w:val="center"/>
              <w:outlineLvl w:val="8"/>
              <w:rPr>
                <w:rFonts w:cs="Times New Roman"/>
                <w:color w:val="FF0000"/>
                <w:szCs w:val="21"/>
              </w:rPr>
            </w:pPr>
          </w:p>
        </w:tc>
        <w:tc>
          <w:tcPr>
            <w:tcW w:w="3208" w:type="dxa"/>
            <w:vMerge/>
            <w:shd w:val="clear" w:color="auto" w:fill="FFFFFF"/>
            <w:vAlign w:val="center"/>
          </w:tcPr>
          <w:p w:rsidR="00644456" w:rsidRPr="008B0FF7" w:rsidRDefault="00644456">
            <w:pPr>
              <w:adjustRightInd w:val="0"/>
              <w:snapToGrid w:val="0"/>
              <w:spacing w:line="240" w:lineRule="atLeast"/>
              <w:jc w:val="center"/>
              <w:outlineLvl w:val="8"/>
              <w:rPr>
                <w:rFonts w:cs="Times New Roman"/>
                <w:color w:val="FF0000"/>
                <w:szCs w:val="21"/>
              </w:rPr>
            </w:pPr>
          </w:p>
        </w:tc>
        <w:tc>
          <w:tcPr>
            <w:tcW w:w="945" w:type="dxa"/>
            <w:shd w:val="clear" w:color="auto" w:fill="FFFFFF"/>
            <w:vAlign w:val="center"/>
          </w:tcPr>
          <w:p w:rsidR="00644456" w:rsidRPr="008B0FF7" w:rsidRDefault="008031C4">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X</w:t>
            </w:r>
          </w:p>
        </w:tc>
        <w:tc>
          <w:tcPr>
            <w:tcW w:w="945" w:type="dxa"/>
            <w:shd w:val="clear" w:color="auto" w:fill="FFFFFF"/>
            <w:vAlign w:val="center"/>
          </w:tcPr>
          <w:p w:rsidR="00644456" w:rsidRPr="008B0FF7" w:rsidRDefault="008031C4">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Y</w:t>
            </w:r>
          </w:p>
        </w:tc>
        <w:tc>
          <w:tcPr>
            <w:tcW w:w="1135" w:type="dxa"/>
            <w:shd w:val="clear" w:color="auto" w:fill="FFFFFF"/>
            <w:vAlign w:val="center"/>
          </w:tcPr>
          <w:p w:rsidR="00644456" w:rsidRPr="008B0FF7" w:rsidRDefault="008031C4">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Z</w:t>
            </w:r>
          </w:p>
        </w:tc>
      </w:tr>
      <w:tr w:rsidR="00644456" w:rsidRPr="008B0FF7" w:rsidTr="00DE0F42">
        <w:trPr>
          <w:jc w:val="center"/>
        </w:trPr>
        <w:tc>
          <w:tcPr>
            <w:tcW w:w="1122" w:type="dxa"/>
            <w:shd w:val="clear" w:color="auto" w:fill="FFFFFF"/>
            <w:vAlign w:val="center"/>
          </w:tcPr>
          <w:p w:rsidR="00644456" w:rsidRPr="008B0FF7" w:rsidRDefault="008031C4">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1</w:t>
            </w:r>
          </w:p>
        </w:tc>
        <w:tc>
          <w:tcPr>
            <w:tcW w:w="2241" w:type="dxa"/>
            <w:shd w:val="clear" w:color="auto" w:fill="FFFFFF"/>
            <w:vAlign w:val="center"/>
          </w:tcPr>
          <w:p w:rsidR="00644456" w:rsidRPr="008B0FF7" w:rsidRDefault="008031C4">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储罐区</w:t>
            </w:r>
          </w:p>
        </w:tc>
        <w:tc>
          <w:tcPr>
            <w:tcW w:w="2232" w:type="dxa"/>
            <w:shd w:val="clear" w:color="auto" w:fill="FFFFFF"/>
            <w:vAlign w:val="center"/>
          </w:tcPr>
          <w:p w:rsidR="00644456" w:rsidRPr="008B0FF7" w:rsidRDefault="008031C4">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泵</w:t>
            </w:r>
          </w:p>
        </w:tc>
        <w:tc>
          <w:tcPr>
            <w:tcW w:w="2343" w:type="dxa"/>
            <w:shd w:val="clear" w:color="auto" w:fill="FFFFFF"/>
            <w:vAlign w:val="center"/>
          </w:tcPr>
          <w:p w:rsidR="00644456" w:rsidRPr="008B0FF7" w:rsidRDefault="008B0FF7">
            <w:pPr>
              <w:adjustRightInd w:val="0"/>
              <w:snapToGrid w:val="0"/>
              <w:spacing w:line="240" w:lineRule="atLeast"/>
              <w:jc w:val="center"/>
              <w:outlineLvl w:val="8"/>
              <w:rPr>
                <w:rFonts w:cs="Times New Roman"/>
                <w:color w:val="FF0000"/>
                <w:szCs w:val="21"/>
              </w:rPr>
            </w:pPr>
            <w:r w:rsidRPr="008B0FF7">
              <w:rPr>
                <w:rFonts w:cs="Times New Roman"/>
                <w:color w:val="FF0000"/>
                <w:szCs w:val="21"/>
              </w:rPr>
              <w:t>80</w:t>
            </w:r>
            <w:r w:rsidRPr="008B0FF7">
              <w:rPr>
                <w:rFonts w:cs="Times New Roman" w:hint="eastAsia"/>
                <w:color w:val="FF0000"/>
                <w:szCs w:val="21"/>
              </w:rPr>
              <w:t>~</w:t>
            </w:r>
            <w:r w:rsidRPr="008B0FF7">
              <w:rPr>
                <w:rFonts w:cs="Times New Roman"/>
                <w:color w:val="FF0000"/>
                <w:szCs w:val="21"/>
              </w:rPr>
              <w:t>90</w:t>
            </w:r>
          </w:p>
        </w:tc>
        <w:tc>
          <w:tcPr>
            <w:tcW w:w="3208" w:type="dxa"/>
            <w:shd w:val="clear" w:color="auto" w:fill="FFFFFF"/>
            <w:vAlign w:val="center"/>
          </w:tcPr>
          <w:p w:rsidR="00644456" w:rsidRPr="008B0FF7" w:rsidRDefault="008031C4">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减振隔声</w:t>
            </w:r>
          </w:p>
        </w:tc>
        <w:tc>
          <w:tcPr>
            <w:tcW w:w="945" w:type="dxa"/>
            <w:shd w:val="clear" w:color="auto" w:fill="FFFFFF"/>
            <w:vAlign w:val="center"/>
          </w:tcPr>
          <w:p w:rsidR="00644456" w:rsidRPr="008B0FF7" w:rsidRDefault="008031C4">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177</w:t>
            </w:r>
          </w:p>
        </w:tc>
        <w:tc>
          <w:tcPr>
            <w:tcW w:w="945" w:type="dxa"/>
            <w:shd w:val="clear" w:color="auto" w:fill="FFFFFF"/>
            <w:vAlign w:val="center"/>
          </w:tcPr>
          <w:p w:rsidR="00644456" w:rsidRPr="008B0FF7" w:rsidRDefault="008031C4">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408</w:t>
            </w:r>
          </w:p>
        </w:tc>
        <w:tc>
          <w:tcPr>
            <w:tcW w:w="1135" w:type="dxa"/>
            <w:shd w:val="clear" w:color="auto" w:fill="FFFFFF"/>
            <w:vAlign w:val="center"/>
          </w:tcPr>
          <w:p w:rsidR="00644456" w:rsidRPr="008B0FF7" w:rsidRDefault="008031C4">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1236</w:t>
            </w:r>
          </w:p>
        </w:tc>
      </w:tr>
      <w:tr w:rsidR="00DE0F42" w:rsidRPr="008B0FF7" w:rsidTr="00DE0F42">
        <w:trPr>
          <w:jc w:val="center"/>
        </w:trPr>
        <w:tc>
          <w:tcPr>
            <w:tcW w:w="1122" w:type="dxa"/>
            <w:vMerge w:val="restart"/>
            <w:shd w:val="clear" w:color="auto" w:fill="FFFFFF"/>
            <w:vAlign w:val="center"/>
          </w:tcPr>
          <w:p w:rsidR="00DE0F42" w:rsidRPr="008B0FF7" w:rsidRDefault="00DE0F42" w:rsidP="008B0FF7">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2</w:t>
            </w:r>
          </w:p>
        </w:tc>
        <w:tc>
          <w:tcPr>
            <w:tcW w:w="2241" w:type="dxa"/>
            <w:vMerge w:val="restart"/>
            <w:shd w:val="clear" w:color="auto" w:fill="FFFFFF"/>
            <w:vAlign w:val="center"/>
          </w:tcPr>
          <w:p w:rsidR="00DE0F42" w:rsidRPr="008B0FF7" w:rsidRDefault="00DE0F42" w:rsidP="008B0FF7">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装置区</w:t>
            </w:r>
          </w:p>
        </w:tc>
        <w:tc>
          <w:tcPr>
            <w:tcW w:w="2232" w:type="dxa"/>
            <w:shd w:val="clear" w:color="auto" w:fill="FFFFFF"/>
            <w:vAlign w:val="center"/>
          </w:tcPr>
          <w:p w:rsidR="00DE0F42" w:rsidRPr="008B0FF7" w:rsidRDefault="00DE0F42" w:rsidP="008B0FF7">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泵</w:t>
            </w:r>
          </w:p>
        </w:tc>
        <w:tc>
          <w:tcPr>
            <w:tcW w:w="2343" w:type="dxa"/>
            <w:shd w:val="clear" w:color="auto" w:fill="FFFFFF"/>
          </w:tcPr>
          <w:p w:rsidR="00DE0F42" w:rsidRPr="008B0FF7" w:rsidRDefault="00DE0F42" w:rsidP="008B0FF7">
            <w:pPr>
              <w:adjustRightInd w:val="0"/>
              <w:snapToGrid w:val="0"/>
              <w:spacing w:line="240" w:lineRule="atLeast"/>
              <w:jc w:val="center"/>
              <w:outlineLvl w:val="8"/>
              <w:rPr>
                <w:rFonts w:cs="Times New Roman"/>
                <w:color w:val="FF0000"/>
                <w:szCs w:val="21"/>
              </w:rPr>
            </w:pPr>
            <w:r w:rsidRPr="008B0FF7">
              <w:rPr>
                <w:rFonts w:cs="Times New Roman"/>
                <w:color w:val="FF0000"/>
                <w:szCs w:val="21"/>
              </w:rPr>
              <w:t>80</w:t>
            </w:r>
            <w:r w:rsidRPr="008B0FF7">
              <w:rPr>
                <w:rFonts w:cs="Times New Roman" w:hint="eastAsia"/>
                <w:color w:val="FF0000"/>
                <w:szCs w:val="21"/>
              </w:rPr>
              <w:t>~</w:t>
            </w:r>
            <w:r w:rsidRPr="008B0FF7">
              <w:rPr>
                <w:rFonts w:cs="Times New Roman"/>
                <w:color w:val="FF0000"/>
                <w:szCs w:val="21"/>
              </w:rPr>
              <w:t>90</w:t>
            </w:r>
          </w:p>
        </w:tc>
        <w:tc>
          <w:tcPr>
            <w:tcW w:w="3208" w:type="dxa"/>
            <w:shd w:val="clear" w:color="auto" w:fill="FFFFFF"/>
            <w:vAlign w:val="center"/>
          </w:tcPr>
          <w:p w:rsidR="00DE0F42" w:rsidRPr="008B0FF7" w:rsidRDefault="00DE0F42" w:rsidP="008B0FF7">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减振隔声</w:t>
            </w:r>
          </w:p>
        </w:tc>
        <w:tc>
          <w:tcPr>
            <w:tcW w:w="945" w:type="dxa"/>
            <w:shd w:val="clear" w:color="auto" w:fill="FFFFFF"/>
            <w:vAlign w:val="center"/>
          </w:tcPr>
          <w:p w:rsidR="00DE0F42" w:rsidRPr="008B0FF7" w:rsidRDefault="00DE0F42" w:rsidP="008B0FF7">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185</w:t>
            </w:r>
          </w:p>
        </w:tc>
        <w:tc>
          <w:tcPr>
            <w:tcW w:w="945" w:type="dxa"/>
            <w:shd w:val="clear" w:color="auto" w:fill="FFFFFF"/>
            <w:vAlign w:val="center"/>
          </w:tcPr>
          <w:p w:rsidR="00DE0F42" w:rsidRPr="008B0FF7" w:rsidRDefault="00DE0F42" w:rsidP="008B0FF7">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410</w:t>
            </w:r>
          </w:p>
        </w:tc>
        <w:tc>
          <w:tcPr>
            <w:tcW w:w="1135" w:type="dxa"/>
            <w:shd w:val="clear" w:color="auto" w:fill="FFFFFF"/>
            <w:vAlign w:val="center"/>
          </w:tcPr>
          <w:p w:rsidR="00DE0F42" w:rsidRPr="008B0FF7" w:rsidRDefault="00DE0F42" w:rsidP="008B0FF7">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1236</w:t>
            </w:r>
          </w:p>
        </w:tc>
      </w:tr>
      <w:tr w:rsidR="00DE0F42" w:rsidRPr="008B0FF7" w:rsidTr="00DE0F42">
        <w:trPr>
          <w:jc w:val="center"/>
        </w:trPr>
        <w:tc>
          <w:tcPr>
            <w:tcW w:w="1122" w:type="dxa"/>
            <w:vMerge/>
            <w:shd w:val="clear" w:color="auto" w:fill="FFFFFF"/>
            <w:vAlign w:val="center"/>
          </w:tcPr>
          <w:p w:rsidR="00DE0F42" w:rsidRPr="008B0FF7" w:rsidRDefault="00DE0F42" w:rsidP="008B0FF7">
            <w:pPr>
              <w:adjustRightInd w:val="0"/>
              <w:snapToGrid w:val="0"/>
              <w:spacing w:line="240" w:lineRule="atLeast"/>
              <w:jc w:val="center"/>
              <w:outlineLvl w:val="8"/>
              <w:rPr>
                <w:rFonts w:cs="Times New Roman"/>
                <w:color w:val="FF0000"/>
                <w:szCs w:val="21"/>
              </w:rPr>
            </w:pPr>
          </w:p>
        </w:tc>
        <w:tc>
          <w:tcPr>
            <w:tcW w:w="2241" w:type="dxa"/>
            <w:vMerge/>
            <w:shd w:val="clear" w:color="auto" w:fill="FFFFFF"/>
            <w:vAlign w:val="center"/>
          </w:tcPr>
          <w:p w:rsidR="00DE0F42" w:rsidRPr="008B0FF7" w:rsidRDefault="00DE0F42" w:rsidP="008B0FF7">
            <w:pPr>
              <w:adjustRightInd w:val="0"/>
              <w:snapToGrid w:val="0"/>
              <w:spacing w:line="240" w:lineRule="atLeast"/>
              <w:jc w:val="center"/>
              <w:outlineLvl w:val="8"/>
              <w:rPr>
                <w:rFonts w:cs="Times New Roman"/>
                <w:color w:val="FF0000"/>
                <w:szCs w:val="21"/>
              </w:rPr>
            </w:pPr>
          </w:p>
        </w:tc>
        <w:tc>
          <w:tcPr>
            <w:tcW w:w="2232" w:type="dxa"/>
            <w:shd w:val="clear" w:color="auto" w:fill="FFFFFF"/>
            <w:vAlign w:val="center"/>
          </w:tcPr>
          <w:p w:rsidR="00DE0F42" w:rsidRPr="008B0FF7" w:rsidRDefault="00DE0F42" w:rsidP="008B0FF7">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搅拌系统</w:t>
            </w:r>
          </w:p>
        </w:tc>
        <w:tc>
          <w:tcPr>
            <w:tcW w:w="2343" w:type="dxa"/>
            <w:shd w:val="clear" w:color="auto" w:fill="FFFFFF"/>
          </w:tcPr>
          <w:p w:rsidR="00DE0F42" w:rsidRPr="008B0FF7" w:rsidRDefault="00DE0F42" w:rsidP="008B0FF7">
            <w:pPr>
              <w:adjustRightInd w:val="0"/>
              <w:snapToGrid w:val="0"/>
              <w:spacing w:line="240" w:lineRule="atLeast"/>
              <w:jc w:val="center"/>
              <w:outlineLvl w:val="8"/>
              <w:rPr>
                <w:rFonts w:cs="Times New Roman"/>
                <w:color w:val="FF0000"/>
                <w:szCs w:val="21"/>
              </w:rPr>
            </w:pPr>
            <w:r w:rsidRPr="008B0FF7">
              <w:rPr>
                <w:rFonts w:cs="Times New Roman"/>
                <w:color w:val="FF0000"/>
                <w:szCs w:val="21"/>
              </w:rPr>
              <w:t>80</w:t>
            </w:r>
            <w:r w:rsidRPr="008B0FF7">
              <w:rPr>
                <w:rFonts w:cs="Times New Roman" w:hint="eastAsia"/>
                <w:color w:val="FF0000"/>
                <w:szCs w:val="21"/>
              </w:rPr>
              <w:t>~</w:t>
            </w:r>
            <w:r w:rsidRPr="008B0FF7">
              <w:rPr>
                <w:rFonts w:cs="Times New Roman"/>
                <w:color w:val="FF0000"/>
                <w:szCs w:val="21"/>
              </w:rPr>
              <w:t>90</w:t>
            </w:r>
          </w:p>
        </w:tc>
        <w:tc>
          <w:tcPr>
            <w:tcW w:w="3208" w:type="dxa"/>
            <w:shd w:val="clear" w:color="auto" w:fill="FFFFFF"/>
            <w:vAlign w:val="center"/>
          </w:tcPr>
          <w:p w:rsidR="00DE0F42" w:rsidRPr="008B0FF7" w:rsidRDefault="00DE0F42" w:rsidP="008B0FF7">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减振隔声</w:t>
            </w:r>
          </w:p>
        </w:tc>
        <w:tc>
          <w:tcPr>
            <w:tcW w:w="945" w:type="dxa"/>
            <w:shd w:val="clear" w:color="auto" w:fill="FFFFFF"/>
            <w:vAlign w:val="center"/>
          </w:tcPr>
          <w:p w:rsidR="00DE0F42" w:rsidRPr="008B0FF7" w:rsidRDefault="00DE0F42" w:rsidP="008B0FF7">
            <w:pPr>
              <w:adjustRightInd w:val="0"/>
              <w:snapToGrid w:val="0"/>
              <w:spacing w:line="240" w:lineRule="atLeast"/>
              <w:jc w:val="center"/>
              <w:outlineLvl w:val="8"/>
              <w:rPr>
                <w:rFonts w:cs="Times New Roman"/>
                <w:color w:val="FF0000"/>
                <w:szCs w:val="21"/>
              </w:rPr>
            </w:pPr>
            <w:r>
              <w:rPr>
                <w:rFonts w:cs="Times New Roman" w:hint="eastAsia"/>
                <w:color w:val="FF0000"/>
                <w:szCs w:val="21"/>
              </w:rPr>
              <w:t>1</w:t>
            </w:r>
            <w:r>
              <w:rPr>
                <w:rFonts w:cs="Times New Roman"/>
                <w:color w:val="FF0000"/>
                <w:szCs w:val="21"/>
              </w:rPr>
              <w:t>80</w:t>
            </w:r>
          </w:p>
        </w:tc>
        <w:tc>
          <w:tcPr>
            <w:tcW w:w="945" w:type="dxa"/>
            <w:shd w:val="clear" w:color="auto" w:fill="FFFFFF"/>
            <w:vAlign w:val="center"/>
          </w:tcPr>
          <w:p w:rsidR="00DE0F42" w:rsidRPr="008B0FF7" w:rsidRDefault="00DE0F42" w:rsidP="008B0FF7">
            <w:pPr>
              <w:adjustRightInd w:val="0"/>
              <w:snapToGrid w:val="0"/>
              <w:spacing w:line="240" w:lineRule="atLeast"/>
              <w:jc w:val="center"/>
              <w:outlineLvl w:val="8"/>
              <w:rPr>
                <w:rFonts w:cs="Times New Roman"/>
                <w:color w:val="FF0000"/>
                <w:szCs w:val="21"/>
              </w:rPr>
            </w:pPr>
            <w:r>
              <w:rPr>
                <w:rFonts w:cs="Times New Roman" w:hint="eastAsia"/>
                <w:color w:val="FF0000"/>
                <w:szCs w:val="21"/>
              </w:rPr>
              <w:t>4</w:t>
            </w:r>
            <w:r>
              <w:rPr>
                <w:rFonts w:cs="Times New Roman"/>
                <w:color w:val="FF0000"/>
                <w:szCs w:val="21"/>
              </w:rPr>
              <w:t>05</w:t>
            </w:r>
          </w:p>
        </w:tc>
        <w:tc>
          <w:tcPr>
            <w:tcW w:w="1135" w:type="dxa"/>
            <w:shd w:val="clear" w:color="auto" w:fill="FFFFFF"/>
            <w:vAlign w:val="center"/>
          </w:tcPr>
          <w:p w:rsidR="00DE0F42" w:rsidRPr="008B0FF7" w:rsidRDefault="00DE0F42" w:rsidP="008B0FF7">
            <w:pPr>
              <w:adjustRightInd w:val="0"/>
              <w:snapToGrid w:val="0"/>
              <w:spacing w:line="240" w:lineRule="atLeast"/>
              <w:jc w:val="center"/>
              <w:outlineLvl w:val="8"/>
              <w:rPr>
                <w:rFonts w:cs="Times New Roman"/>
                <w:color w:val="FF0000"/>
                <w:szCs w:val="21"/>
              </w:rPr>
            </w:pPr>
            <w:r>
              <w:rPr>
                <w:rFonts w:cs="Times New Roman" w:hint="eastAsia"/>
                <w:color w:val="FF0000"/>
                <w:szCs w:val="21"/>
              </w:rPr>
              <w:t>1</w:t>
            </w:r>
            <w:r>
              <w:rPr>
                <w:rFonts w:cs="Times New Roman"/>
                <w:color w:val="FF0000"/>
                <w:szCs w:val="21"/>
              </w:rPr>
              <w:t>236</w:t>
            </w:r>
          </w:p>
        </w:tc>
      </w:tr>
      <w:tr w:rsidR="00DE0F42" w:rsidRPr="008B0FF7" w:rsidTr="00DE0F42">
        <w:trPr>
          <w:jc w:val="center"/>
        </w:trPr>
        <w:tc>
          <w:tcPr>
            <w:tcW w:w="1122" w:type="dxa"/>
            <w:vMerge/>
            <w:shd w:val="clear" w:color="auto" w:fill="FFFFFF"/>
            <w:vAlign w:val="center"/>
          </w:tcPr>
          <w:p w:rsidR="00DE0F42" w:rsidRPr="008B0FF7" w:rsidRDefault="00DE0F42" w:rsidP="00DE0F42">
            <w:pPr>
              <w:adjustRightInd w:val="0"/>
              <w:snapToGrid w:val="0"/>
              <w:spacing w:line="240" w:lineRule="atLeast"/>
              <w:jc w:val="center"/>
              <w:outlineLvl w:val="8"/>
              <w:rPr>
                <w:rFonts w:cs="Times New Roman"/>
                <w:color w:val="FF0000"/>
                <w:szCs w:val="21"/>
              </w:rPr>
            </w:pPr>
          </w:p>
        </w:tc>
        <w:tc>
          <w:tcPr>
            <w:tcW w:w="2241" w:type="dxa"/>
            <w:vMerge/>
            <w:shd w:val="clear" w:color="auto" w:fill="FFFFFF"/>
            <w:vAlign w:val="center"/>
          </w:tcPr>
          <w:p w:rsidR="00DE0F42" w:rsidRPr="008B0FF7" w:rsidRDefault="00DE0F42" w:rsidP="00DE0F42">
            <w:pPr>
              <w:adjustRightInd w:val="0"/>
              <w:snapToGrid w:val="0"/>
              <w:spacing w:line="240" w:lineRule="atLeast"/>
              <w:jc w:val="center"/>
              <w:outlineLvl w:val="8"/>
              <w:rPr>
                <w:rFonts w:cs="Times New Roman"/>
                <w:color w:val="FF0000"/>
                <w:szCs w:val="21"/>
              </w:rPr>
            </w:pPr>
          </w:p>
        </w:tc>
        <w:tc>
          <w:tcPr>
            <w:tcW w:w="2232" w:type="dxa"/>
            <w:shd w:val="clear" w:color="auto" w:fill="FFFFFF"/>
            <w:vAlign w:val="center"/>
          </w:tcPr>
          <w:p w:rsidR="00DE0F42" w:rsidRPr="008B0FF7" w:rsidRDefault="00DE0F42" w:rsidP="00DE0F42">
            <w:pPr>
              <w:adjustRightInd w:val="0"/>
              <w:snapToGrid w:val="0"/>
              <w:spacing w:line="240" w:lineRule="atLeast"/>
              <w:jc w:val="center"/>
              <w:outlineLvl w:val="8"/>
              <w:rPr>
                <w:rFonts w:cs="Times New Roman"/>
                <w:color w:val="FF0000"/>
                <w:szCs w:val="21"/>
              </w:rPr>
            </w:pPr>
            <w:r w:rsidRPr="00DE0F42">
              <w:rPr>
                <w:rFonts w:cs="Times New Roman" w:hint="eastAsia"/>
                <w:color w:val="FF0000"/>
                <w:szCs w:val="21"/>
              </w:rPr>
              <w:t>高效三相离心机套装</w:t>
            </w:r>
          </w:p>
        </w:tc>
        <w:tc>
          <w:tcPr>
            <w:tcW w:w="2343" w:type="dxa"/>
            <w:shd w:val="clear" w:color="auto" w:fill="FFFFFF"/>
          </w:tcPr>
          <w:p w:rsidR="00DE0F42" w:rsidRPr="008B0FF7" w:rsidRDefault="00DE0F42" w:rsidP="00DE0F42">
            <w:pPr>
              <w:adjustRightInd w:val="0"/>
              <w:snapToGrid w:val="0"/>
              <w:spacing w:line="240" w:lineRule="atLeast"/>
              <w:jc w:val="center"/>
              <w:outlineLvl w:val="8"/>
              <w:rPr>
                <w:rFonts w:cs="Times New Roman"/>
                <w:color w:val="FF0000"/>
                <w:szCs w:val="21"/>
              </w:rPr>
            </w:pPr>
            <w:r w:rsidRPr="008B0FF7">
              <w:rPr>
                <w:rFonts w:cs="Times New Roman"/>
                <w:color w:val="FF0000"/>
                <w:szCs w:val="21"/>
              </w:rPr>
              <w:t>80</w:t>
            </w:r>
            <w:r w:rsidRPr="008B0FF7">
              <w:rPr>
                <w:rFonts w:cs="Times New Roman" w:hint="eastAsia"/>
                <w:color w:val="FF0000"/>
                <w:szCs w:val="21"/>
              </w:rPr>
              <w:t>~</w:t>
            </w:r>
            <w:r w:rsidRPr="008B0FF7">
              <w:rPr>
                <w:rFonts w:cs="Times New Roman"/>
                <w:color w:val="FF0000"/>
                <w:szCs w:val="21"/>
              </w:rPr>
              <w:t>90</w:t>
            </w:r>
          </w:p>
        </w:tc>
        <w:tc>
          <w:tcPr>
            <w:tcW w:w="3208" w:type="dxa"/>
            <w:shd w:val="clear" w:color="auto" w:fill="FFFFFF"/>
            <w:vAlign w:val="center"/>
          </w:tcPr>
          <w:p w:rsidR="00DE0F42" w:rsidRPr="008B0FF7" w:rsidRDefault="00DE0F42" w:rsidP="00DE0F42">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减振隔声</w:t>
            </w:r>
          </w:p>
        </w:tc>
        <w:tc>
          <w:tcPr>
            <w:tcW w:w="945" w:type="dxa"/>
            <w:shd w:val="clear" w:color="auto" w:fill="FFFFFF"/>
            <w:vAlign w:val="center"/>
          </w:tcPr>
          <w:p w:rsidR="00DE0F42" w:rsidRDefault="00DE0F42" w:rsidP="00DE0F42">
            <w:pPr>
              <w:adjustRightInd w:val="0"/>
              <w:snapToGrid w:val="0"/>
              <w:spacing w:line="240" w:lineRule="atLeast"/>
              <w:jc w:val="center"/>
              <w:outlineLvl w:val="8"/>
              <w:rPr>
                <w:rFonts w:cs="Times New Roman"/>
                <w:color w:val="FF0000"/>
                <w:szCs w:val="21"/>
              </w:rPr>
            </w:pPr>
            <w:r>
              <w:rPr>
                <w:rFonts w:cs="Times New Roman" w:hint="eastAsia"/>
                <w:color w:val="FF0000"/>
                <w:szCs w:val="21"/>
              </w:rPr>
              <w:t>1</w:t>
            </w:r>
            <w:r>
              <w:rPr>
                <w:rFonts w:cs="Times New Roman"/>
                <w:color w:val="FF0000"/>
                <w:szCs w:val="21"/>
              </w:rPr>
              <w:t>82</w:t>
            </w:r>
          </w:p>
        </w:tc>
        <w:tc>
          <w:tcPr>
            <w:tcW w:w="945" w:type="dxa"/>
            <w:shd w:val="clear" w:color="auto" w:fill="FFFFFF"/>
            <w:vAlign w:val="center"/>
          </w:tcPr>
          <w:p w:rsidR="00DE0F42" w:rsidRDefault="00DE0F42" w:rsidP="00DE0F42">
            <w:pPr>
              <w:adjustRightInd w:val="0"/>
              <w:snapToGrid w:val="0"/>
              <w:spacing w:line="240" w:lineRule="atLeast"/>
              <w:jc w:val="center"/>
              <w:outlineLvl w:val="8"/>
              <w:rPr>
                <w:rFonts w:cs="Times New Roman"/>
                <w:color w:val="FF0000"/>
                <w:szCs w:val="21"/>
              </w:rPr>
            </w:pPr>
            <w:r>
              <w:rPr>
                <w:rFonts w:cs="Times New Roman" w:hint="eastAsia"/>
                <w:color w:val="FF0000"/>
                <w:szCs w:val="21"/>
              </w:rPr>
              <w:t>4</w:t>
            </w:r>
            <w:r>
              <w:rPr>
                <w:rFonts w:cs="Times New Roman"/>
                <w:color w:val="FF0000"/>
                <w:szCs w:val="21"/>
              </w:rPr>
              <w:t>05</w:t>
            </w:r>
          </w:p>
        </w:tc>
        <w:tc>
          <w:tcPr>
            <w:tcW w:w="1135" w:type="dxa"/>
            <w:shd w:val="clear" w:color="auto" w:fill="FFFFFF"/>
            <w:vAlign w:val="center"/>
          </w:tcPr>
          <w:p w:rsidR="00DE0F42" w:rsidRDefault="00DE0F42" w:rsidP="00DE0F42">
            <w:pPr>
              <w:adjustRightInd w:val="0"/>
              <w:snapToGrid w:val="0"/>
              <w:spacing w:line="240" w:lineRule="atLeast"/>
              <w:jc w:val="center"/>
              <w:outlineLvl w:val="8"/>
              <w:rPr>
                <w:rFonts w:cs="Times New Roman"/>
                <w:color w:val="FF0000"/>
                <w:szCs w:val="21"/>
              </w:rPr>
            </w:pPr>
            <w:r>
              <w:rPr>
                <w:rFonts w:cs="Times New Roman" w:hint="eastAsia"/>
                <w:color w:val="FF0000"/>
                <w:szCs w:val="21"/>
              </w:rPr>
              <w:t>1</w:t>
            </w:r>
            <w:r>
              <w:rPr>
                <w:rFonts w:cs="Times New Roman"/>
                <w:color w:val="FF0000"/>
                <w:szCs w:val="21"/>
              </w:rPr>
              <w:t>236</w:t>
            </w:r>
          </w:p>
        </w:tc>
      </w:tr>
      <w:tr w:rsidR="008B0FF7" w:rsidRPr="008B0FF7" w:rsidTr="00DE0F42">
        <w:trPr>
          <w:jc w:val="center"/>
        </w:trPr>
        <w:tc>
          <w:tcPr>
            <w:tcW w:w="1122" w:type="dxa"/>
            <w:shd w:val="clear" w:color="auto" w:fill="FFFFFF"/>
            <w:vAlign w:val="center"/>
          </w:tcPr>
          <w:p w:rsidR="008B0FF7" w:rsidRPr="008B0FF7" w:rsidRDefault="008B0FF7" w:rsidP="008B0FF7">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3</w:t>
            </w:r>
          </w:p>
        </w:tc>
        <w:tc>
          <w:tcPr>
            <w:tcW w:w="2241" w:type="dxa"/>
            <w:shd w:val="clear" w:color="auto" w:fill="FFFFFF"/>
            <w:vAlign w:val="center"/>
          </w:tcPr>
          <w:p w:rsidR="008B0FF7" w:rsidRPr="008B0FF7" w:rsidRDefault="008B0FF7" w:rsidP="008B0FF7">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装卸区</w:t>
            </w:r>
          </w:p>
        </w:tc>
        <w:tc>
          <w:tcPr>
            <w:tcW w:w="2232" w:type="dxa"/>
            <w:shd w:val="clear" w:color="auto" w:fill="FFFFFF"/>
            <w:vAlign w:val="center"/>
          </w:tcPr>
          <w:p w:rsidR="008B0FF7" w:rsidRPr="008B0FF7" w:rsidRDefault="008B0FF7" w:rsidP="008B0FF7">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泵</w:t>
            </w:r>
          </w:p>
        </w:tc>
        <w:tc>
          <w:tcPr>
            <w:tcW w:w="2343" w:type="dxa"/>
            <w:shd w:val="clear" w:color="auto" w:fill="FFFFFF"/>
          </w:tcPr>
          <w:p w:rsidR="008B0FF7" w:rsidRPr="008B0FF7" w:rsidRDefault="008B0FF7" w:rsidP="008B0FF7">
            <w:pPr>
              <w:adjustRightInd w:val="0"/>
              <w:snapToGrid w:val="0"/>
              <w:spacing w:line="240" w:lineRule="atLeast"/>
              <w:jc w:val="center"/>
              <w:outlineLvl w:val="8"/>
              <w:rPr>
                <w:rFonts w:cs="Times New Roman"/>
                <w:color w:val="FF0000"/>
                <w:szCs w:val="21"/>
              </w:rPr>
            </w:pPr>
            <w:r w:rsidRPr="008B0FF7">
              <w:rPr>
                <w:rFonts w:cs="Times New Roman"/>
                <w:color w:val="FF0000"/>
                <w:szCs w:val="21"/>
              </w:rPr>
              <w:t>80</w:t>
            </w:r>
            <w:r w:rsidRPr="008B0FF7">
              <w:rPr>
                <w:rFonts w:cs="Times New Roman" w:hint="eastAsia"/>
                <w:color w:val="FF0000"/>
                <w:szCs w:val="21"/>
              </w:rPr>
              <w:t>~</w:t>
            </w:r>
            <w:r w:rsidRPr="008B0FF7">
              <w:rPr>
                <w:rFonts w:cs="Times New Roman"/>
                <w:color w:val="FF0000"/>
                <w:szCs w:val="21"/>
              </w:rPr>
              <w:t>90</w:t>
            </w:r>
          </w:p>
        </w:tc>
        <w:tc>
          <w:tcPr>
            <w:tcW w:w="3208" w:type="dxa"/>
            <w:shd w:val="clear" w:color="auto" w:fill="FFFFFF"/>
            <w:vAlign w:val="center"/>
          </w:tcPr>
          <w:p w:rsidR="008B0FF7" w:rsidRPr="008B0FF7" w:rsidRDefault="008B0FF7" w:rsidP="008B0FF7">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减振隔声</w:t>
            </w:r>
          </w:p>
        </w:tc>
        <w:tc>
          <w:tcPr>
            <w:tcW w:w="945" w:type="dxa"/>
            <w:shd w:val="clear" w:color="auto" w:fill="FFFFFF"/>
            <w:vAlign w:val="center"/>
          </w:tcPr>
          <w:p w:rsidR="008B0FF7" w:rsidRPr="008B0FF7" w:rsidRDefault="008B0FF7" w:rsidP="008B0FF7">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178</w:t>
            </w:r>
          </w:p>
        </w:tc>
        <w:tc>
          <w:tcPr>
            <w:tcW w:w="945" w:type="dxa"/>
            <w:shd w:val="clear" w:color="auto" w:fill="FFFFFF"/>
            <w:vAlign w:val="center"/>
          </w:tcPr>
          <w:p w:rsidR="008B0FF7" w:rsidRPr="008B0FF7" w:rsidRDefault="008B0FF7" w:rsidP="008B0FF7">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422</w:t>
            </w:r>
          </w:p>
        </w:tc>
        <w:tc>
          <w:tcPr>
            <w:tcW w:w="1135" w:type="dxa"/>
            <w:shd w:val="clear" w:color="auto" w:fill="FFFFFF"/>
            <w:vAlign w:val="center"/>
          </w:tcPr>
          <w:p w:rsidR="008B0FF7" w:rsidRPr="008B0FF7" w:rsidRDefault="008B0FF7" w:rsidP="008B0FF7">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1236</w:t>
            </w:r>
          </w:p>
        </w:tc>
      </w:tr>
      <w:tr w:rsidR="008B0FF7" w:rsidRPr="008B0FF7" w:rsidTr="00DE0F42">
        <w:trPr>
          <w:jc w:val="center"/>
        </w:trPr>
        <w:tc>
          <w:tcPr>
            <w:tcW w:w="1122" w:type="dxa"/>
            <w:shd w:val="clear" w:color="auto" w:fill="FFFFFF"/>
            <w:vAlign w:val="center"/>
          </w:tcPr>
          <w:p w:rsidR="008B0FF7" w:rsidRPr="008B0FF7" w:rsidRDefault="008B0FF7" w:rsidP="008B0FF7">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4</w:t>
            </w:r>
          </w:p>
        </w:tc>
        <w:tc>
          <w:tcPr>
            <w:tcW w:w="2241" w:type="dxa"/>
            <w:shd w:val="clear" w:color="auto" w:fill="FFFFFF"/>
            <w:vAlign w:val="center"/>
          </w:tcPr>
          <w:p w:rsidR="008B0FF7" w:rsidRPr="008B0FF7" w:rsidRDefault="008B0FF7" w:rsidP="008B0FF7">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废气处理设施</w:t>
            </w:r>
          </w:p>
        </w:tc>
        <w:tc>
          <w:tcPr>
            <w:tcW w:w="2232" w:type="dxa"/>
            <w:shd w:val="clear" w:color="auto" w:fill="FFFFFF"/>
            <w:vAlign w:val="center"/>
          </w:tcPr>
          <w:p w:rsidR="008B0FF7" w:rsidRPr="008B0FF7" w:rsidRDefault="008B0FF7" w:rsidP="008B0FF7">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泵</w:t>
            </w:r>
          </w:p>
        </w:tc>
        <w:tc>
          <w:tcPr>
            <w:tcW w:w="2343" w:type="dxa"/>
            <w:shd w:val="clear" w:color="auto" w:fill="FFFFFF"/>
          </w:tcPr>
          <w:p w:rsidR="008B0FF7" w:rsidRPr="008B0FF7" w:rsidRDefault="008B0FF7" w:rsidP="008B0FF7">
            <w:pPr>
              <w:adjustRightInd w:val="0"/>
              <w:snapToGrid w:val="0"/>
              <w:spacing w:line="240" w:lineRule="atLeast"/>
              <w:jc w:val="center"/>
              <w:outlineLvl w:val="8"/>
              <w:rPr>
                <w:rFonts w:cs="Times New Roman"/>
                <w:color w:val="FF0000"/>
                <w:szCs w:val="21"/>
              </w:rPr>
            </w:pPr>
            <w:r w:rsidRPr="008B0FF7">
              <w:rPr>
                <w:rFonts w:cs="Times New Roman"/>
                <w:color w:val="FF0000"/>
                <w:szCs w:val="21"/>
              </w:rPr>
              <w:t>80</w:t>
            </w:r>
            <w:r w:rsidRPr="008B0FF7">
              <w:rPr>
                <w:rFonts w:cs="Times New Roman" w:hint="eastAsia"/>
                <w:color w:val="FF0000"/>
                <w:szCs w:val="21"/>
              </w:rPr>
              <w:t>~</w:t>
            </w:r>
            <w:r w:rsidRPr="008B0FF7">
              <w:rPr>
                <w:rFonts w:cs="Times New Roman"/>
                <w:color w:val="FF0000"/>
                <w:szCs w:val="21"/>
              </w:rPr>
              <w:t>90</w:t>
            </w:r>
          </w:p>
        </w:tc>
        <w:tc>
          <w:tcPr>
            <w:tcW w:w="3208" w:type="dxa"/>
            <w:shd w:val="clear" w:color="auto" w:fill="FFFFFF"/>
            <w:vAlign w:val="center"/>
          </w:tcPr>
          <w:p w:rsidR="008B0FF7" w:rsidRPr="008B0FF7" w:rsidRDefault="008B0FF7" w:rsidP="008B0FF7">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减振隔声</w:t>
            </w:r>
          </w:p>
        </w:tc>
        <w:tc>
          <w:tcPr>
            <w:tcW w:w="945" w:type="dxa"/>
            <w:shd w:val="clear" w:color="auto" w:fill="FFFFFF"/>
            <w:vAlign w:val="center"/>
          </w:tcPr>
          <w:p w:rsidR="008B0FF7" w:rsidRPr="008B0FF7" w:rsidRDefault="008B0FF7" w:rsidP="008B0FF7">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191</w:t>
            </w:r>
          </w:p>
        </w:tc>
        <w:tc>
          <w:tcPr>
            <w:tcW w:w="945" w:type="dxa"/>
            <w:shd w:val="clear" w:color="auto" w:fill="FFFFFF"/>
            <w:vAlign w:val="center"/>
          </w:tcPr>
          <w:p w:rsidR="008B0FF7" w:rsidRPr="008B0FF7" w:rsidRDefault="008B0FF7" w:rsidP="008B0FF7">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385</w:t>
            </w:r>
          </w:p>
        </w:tc>
        <w:tc>
          <w:tcPr>
            <w:tcW w:w="1135" w:type="dxa"/>
            <w:shd w:val="clear" w:color="auto" w:fill="FFFFFF"/>
            <w:vAlign w:val="center"/>
          </w:tcPr>
          <w:p w:rsidR="008B0FF7" w:rsidRPr="008B0FF7" w:rsidRDefault="008B0FF7" w:rsidP="008B0FF7">
            <w:pPr>
              <w:adjustRightInd w:val="0"/>
              <w:snapToGrid w:val="0"/>
              <w:spacing w:line="240" w:lineRule="atLeast"/>
              <w:jc w:val="center"/>
              <w:outlineLvl w:val="8"/>
              <w:rPr>
                <w:rFonts w:cs="Times New Roman"/>
                <w:color w:val="FF0000"/>
                <w:szCs w:val="21"/>
              </w:rPr>
            </w:pPr>
            <w:r w:rsidRPr="008B0FF7">
              <w:rPr>
                <w:rFonts w:cs="Times New Roman" w:hint="eastAsia"/>
                <w:color w:val="FF0000"/>
                <w:szCs w:val="21"/>
              </w:rPr>
              <w:t>1236</w:t>
            </w:r>
          </w:p>
        </w:tc>
      </w:tr>
    </w:tbl>
    <w:p w:rsidR="00644456" w:rsidRDefault="008031C4">
      <w:pPr>
        <w:spacing w:line="360" w:lineRule="auto"/>
        <w:ind w:firstLineChars="200" w:firstLine="420"/>
        <w:rPr>
          <w:color w:val="000000" w:themeColor="text1"/>
          <w:szCs w:val="21"/>
        </w:rPr>
        <w:sectPr w:rsidR="00644456">
          <w:pgSz w:w="16838" w:h="11906" w:orient="landscape"/>
          <w:pgMar w:top="1803" w:right="1440" w:bottom="1803" w:left="1440" w:header="851" w:footer="992" w:gutter="0"/>
          <w:cols w:space="0"/>
          <w:titlePg/>
          <w:docGrid w:linePitch="326"/>
        </w:sectPr>
      </w:pPr>
      <w:r>
        <w:rPr>
          <w:rFonts w:hint="eastAsia"/>
          <w:color w:val="000000" w:themeColor="text1"/>
          <w:szCs w:val="21"/>
        </w:rPr>
        <w:t>备注：表中声源源强是经声源治理措施治理后的源强。</w:t>
      </w:r>
    </w:p>
    <w:p w:rsidR="00644456" w:rsidRDefault="008031C4">
      <w:pPr>
        <w:pStyle w:val="3"/>
        <w:numPr>
          <w:ilvl w:val="2"/>
          <w:numId w:val="0"/>
        </w:numPr>
        <w:ind w:firstLineChars="200" w:firstLine="482"/>
      </w:pPr>
      <w:r>
        <w:rPr>
          <w:rFonts w:hint="eastAsia"/>
        </w:rPr>
        <w:lastRenderedPageBreak/>
        <w:t>5.3.3</w:t>
      </w:r>
      <w:r>
        <w:rPr>
          <w:rFonts w:hint="eastAsia"/>
        </w:rPr>
        <w:t>预测模式</w:t>
      </w:r>
    </w:p>
    <w:p w:rsidR="00644456" w:rsidRDefault="008031C4">
      <w:pPr>
        <w:pStyle w:val="-2"/>
        <w:spacing w:line="360" w:lineRule="auto"/>
        <w:ind w:firstLine="480"/>
        <w:rPr>
          <w:rFonts w:ascii="Times New Roman" w:hAnsi="Times New Roman" w:cs="Times New Roman"/>
          <w:color w:val="000000" w:themeColor="text1"/>
          <w:szCs w:val="24"/>
        </w:rPr>
      </w:pPr>
      <w:bookmarkStart w:id="316" w:name="_Toc238292365"/>
      <w:bookmarkStart w:id="317" w:name="_Toc196909661"/>
      <w:bookmarkStart w:id="318" w:name="_Toc180290193"/>
      <w:bookmarkEnd w:id="316"/>
      <w:bookmarkEnd w:id="317"/>
      <w:bookmarkEnd w:id="318"/>
      <w:r>
        <w:rPr>
          <w:rFonts w:ascii="Times New Roman" w:hAnsi="Times New Roman" w:cs="Times New Roman"/>
          <w:color w:val="000000" w:themeColor="text1"/>
          <w:szCs w:val="24"/>
        </w:rPr>
        <w:t>本次环评采用《环境影响评价技术导则声环境》（</w:t>
      </w:r>
      <w:r>
        <w:rPr>
          <w:rFonts w:ascii="Times New Roman" w:hAnsi="Times New Roman" w:cs="Times New Roman"/>
          <w:color w:val="000000" w:themeColor="text1"/>
          <w:szCs w:val="24"/>
        </w:rPr>
        <w:t>HJ2.4-2021</w:t>
      </w:r>
      <w:r>
        <w:rPr>
          <w:rFonts w:ascii="Times New Roman" w:hAnsi="Times New Roman" w:cs="Times New Roman"/>
          <w:color w:val="000000" w:themeColor="text1"/>
          <w:szCs w:val="24"/>
        </w:rPr>
        <w:t>）中工业噪声预测计算模型，预测方法为：</w:t>
      </w:r>
    </w:p>
    <w:p w:rsidR="00644456" w:rsidRDefault="008031C4">
      <w:pPr>
        <w:pStyle w:val="-2"/>
        <w:spacing w:line="360" w:lineRule="auto"/>
        <w:ind w:firstLine="482"/>
        <w:rPr>
          <w:rFonts w:ascii="Times New Roman" w:hAnsi="Times New Roman" w:cs="Times New Roman"/>
          <w:b/>
          <w:bCs/>
          <w:color w:val="000000" w:themeColor="text1"/>
        </w:rPr>
      </w:pPr>
      <w:r>
        <w:rPr>
          <w:rFonts w:ascii="Times New Roman" w:hAnsi="Times New Roman" w:cs="Times New Roman"/>
          <w:b/>
          <w:bCs/>
          <w:color w:val="000000" w:themeColor="text1"/>
        </w:rPr>
        <w:t>（</w:t>
      </w:r>
      <w:r>
        <w:rPr>
          <w:rFonts w:ascii="Times New Roman" w:hAnsi="Times New Roman" w:cs="Times New Roman"/>
          <w:b/>
          <w:bCs/>
          <w:color w:val="000000" w:themeColor="text1"/>
        </w:rPr>
        <w:t>1</w:t>
      </w:r>
      <w:r>
        <w:rPr>
          <w:rFonts w:ascii="Times New Roman" w:hAnsi="Times New Roman" w:cs="Times New Roman"/>
          <w:b/>
          <w:bCs/>
          <w:color w:val="000000" w:themeColor="text1"/>
        </w:rPr>
        <w:t>）声源描述</w:t>
      </w:r>
    </w:p>
    <w:p w:rsidR="00644456" w:rsidRDefault="008031C4">
      <w:pPr>
        <w:pStyle w:val="-2"/>
        <w:spacing w:line="360" w:lineRule="auto"/>
        <w:ind w:firstLine="480"/>
        <w:rPr>
          <w:rFonts w:ascii="Times New Roman" w:hAnsi="Times New Roman" w:cs="Times New Roman"/>
          <w:color w:val="000000" w:themeColor="text1"/>
          <w:szCs w:val="24"/>
        </w:rPr>
      </w:pPr>
      <w:r>
        <w:rPr>
          <w:rFonts w:ascii="Times New Roman" w:hAnsi="Times New Roman" w:cs="Times New Roman"/>
          <w:color w:val="000000" w:themeColor="text1"/>
          <w:szCs w:val="24"/>
        </w:rPr>
        <w:t>声环境影响预测，一般采用声源的倍频带声功率级、</w:t>
      </w:r>
      <w:r>
        <w:rPr>
          <w:rFonts w:ascii="Times New Roman" w:hAnsi="Times New Roman" w:cs="Times New Roman"/>
          <w:color w:val="000000" w:themeColor="text1"/>
          <w:szCs w:val="24"/>
        </w:rPr>
        <w:t>A</w:t>
      </w:r>
      <w:r>
        <w:rPr>
          <w:rFonts w:ascii="Times New Roman" w:hAnsi="Times New Roman" w:cs="Times New Roman"/>
          <w:color w:val="000000" w:themeColor="text1"/>
          <w:szCs w:val="24"/>
        </w:rPr>
        <w:t>声功率级或靠近声源某一位置的倍频带声压级、</w:t>
      </w:r>
      <w:r>
        <w:rPr>
          <w:rFonts w:ascii="Times New Roman" w:hAnsi="Times New Roman" w:cs="Times New Roman"/>
          <w:color w:val="000000" w:themeColor="text1"/>
          <w:szCs w:val="24"/>
        </w:rPr>
        <w:t>A</w:t>
      </w:r>
      <w:r>
        <w:rPr>
          <w:rFonts w:ascii="Times New Roman" w:hAnsi="Times New Roman" w:cs="Times New Roman"/>
          <w:color w:val="000000" w:themeColor="text1"/>
          <w:szCs w:val="24"/>
        </w:rPr>
        <w:t>声级来预测计算距声源不同距离的声级。工业声源有室外和室内两种声源，应分别计算。</w:t>
      </w:r>
    </w:p>
    <w:p w:rsidR="00644456" w:rsidRDefault="008031C4">
      <w:pPr>
        <w:pStyle w:val="-2"/>
        <w:spacing w:line="360" w:lineRule="auto"/>
        <w:ind w:firstLine="482"/>
        <w:rPr>
          <w:rFonts w:ascii="Times New Roman" w:hAnsi="Times New Roman" w:cs="Times New Roman"/>
          <w:b/>
          <w:bCs/>
          <w:color w:val="000000" w:themeColor="text1"/>
        </w:rPr>
      </w:pPr>
      <w:r>
        <w:rPr>
          <w:rFonts w:ascii="Times New Roman" w:hAnsi="Times New Roman" w:cs="Times New Roman"/>
          <w:b/>
          <w:bCs/>
          <w:color w:val="000000" w:themeColor="text1"/>
        </w:rPr>
        <w:t>（</w:t>
      </w:r>
      <w:r>
        <w:rPr>
          <w:rFonts w:ascii="Times New Roman" w:hAnsi="Times New Roman" w:cs="Times New Roman"/>
          <w:b/>
          <w:bCs/>
          <w:color w:val="000000" w:themeColor="text1"/>
        </w:rPr>
        <w:t>2</w:t>
      </w:r>
      <w:r>
        <w:rPr>
          <w:rFonts w:ascii="Times New Roman" w:hAnsi="Times New Roman" w:cs="Times New Roman"/>
          <w:b/>
          <w:bCs/>
          <w:color w:val="000000" w:themeColor="text1"/>
        </w:rPr>
        <w:t>）室外声源在预测点产生的声级计算</w:t>
      </w:r>
    </w:p>
    <w:p w:rsidR="00644456" w:rsidRDefault="008031C4">
      <w:pPr>
        <w:pStyle w:val="-2"/>
        <w:spacing w:line="360" w:lineRule="auto"/>
        <w:ind w:firstLine="480"/>
        <w:rPr>
          <w:rFonts w:ascii="Times New Roman" w:hAnsi="Times New Roman" w:cs="Times New Roman"/>
          <w:color w:val="000000" w:themeColor="text1"/>
          <w:szCs w:val="24"/>
        </w:rPr>
      </w:pPr>
      <w:r>
        <w:rPr>
          <w:rFonts w:ascii="Times New Roman" w:hAnsi="Times New Roman" w:cs="Times New Roman"/>
          <w:color w:val="000000" w:themeColor="text1"/>
          <w:szCs w:val="24"/>
        </w:rPr>
        <w:t>按照无指向性点声源几何发散衰减进行计算：</w:t>
      </w:r>
    </w:p>
    <w:p w:rsidR="00644456" w:rsidRDefault="008031C4">
      <w:pPr>
        <w:pStyle w:val="-2"/>
        <w:spacing w:line="360" w:lineRule="auto"/>
        <w:ind w:firstLineChars="0" w:firstLine="0"/>
        <w:jc w:val="center"/>
        <w:rPr>
          <w:rFonts w:ascii="Times New Roman" w:hAnsi="Times New Roman" w:cs="Times New Roman"/>
          <w:color w:val="000000" w:themeColor="text1"/>
          <w:szCs w:val="24"/>
        </w:rPr>
      </w:pPr>
      <w:r>
        <w:rPr>
          <w:rFonts w:ascii="Times New Roman" w:hAnsi="Times New Roman" w:cs="Times New Roman"/>
          <w:color w:val="000000" w:themeColor="text1"/>
          <w:position w:val="-14"/>
        </w:rPr>
        <w:object w:dxaOrig="2839" w:dyaOrig="421" w14:anchorId="37B2DC7C">
          <v:shape id="_x0000_i1033" type="#_x0000_t75" style="width:141.8pt;height:21pt" o:ole="">
            <v:imagedata r:id="rId64" o:title=""/>
          </v:shape>
          <o:OLEObject Type="Embed" ProgID="Equation.DSMT4" ShapeID="_x0000_i1033" DrawAspect="Content" ObjectID="_1791290104" r:id="rId65"/>
        </w:object>
      </w:r>
    </w:p>
    <w:p w:rsidR="00644456" w:rsidRDefault="008031C4">
      <w:pPr>
        <w:pStyle w:val="-2"/>
        <w:spacing w:line="360" w:lineRule="auto"/>
        <w:ind w:firstLine="480"/>
        <w:rPr>
          <w:rFonts w:ascii="Times New Roman" w:hAnsi="Times New Roman" w:cs="Times New Roman"/>
          <w:color w:val="000000" w:themeColor="text1"/>
          <w:szCs w:val="24"/>
        </w:rPr>
      </w:pPr>
      <w:r>
        <w:rPr>
          <w:rFonts w:ascii="Times New Roman" w:hAnsi="Times New Roman" w:cs="Times New Roman"/>
          <w:color w:val="000000" w:themeColor="text1"/>
          <w:szCs w:val="24"/>
        </w:rPr>
        <w:t>式中，</w:t>
      </w:r>
      <w:r>
        <w:rPr>
          <w:rFonts w:ascii="Times New Roman" w:hAnsi="Times New Roman" w:cs="Times New Roman"/>
          <w:i/>
          <w:color w:val="000000" w:themeColor="text1"/>
          <w:szCs w:val="24"/>
        </w:rPr>
        <w:t>L</w:t>
      </w:r>
      <w:r>
        <w:rPr>
          <w:rFonts w:ascii="Times New Roman" w:hAnsi="Times New Roman" w:cs="Times New Roman"/>
          <w:i/>
          <w:color w:val="000000" w:themeColor="text1"/>
          <w:szCs w:val="24"/>
          <w:vertAlign w:val="subscript"/>
        </w:rPr>
        <w:t>p</w:t>
      </w:r>
      <w:r>
        <w:rPr>
          <w:rFonts w:ascii="Times New Roman" w:hAnsi="Times New Roman" w:cs="Times New Roman"/>
          <w:color w:val="000000" w:themeColor="text1"/>
          <w:szCs w:val="24"/>
        </w:rPr>
        <w:t>（</w:t>
      </w:r>
      <w:r>
        <w:rPr>
          <w:rFonts w:ascii="Times New Roman" w:hAnsi="Times New Roman" w:cs="Times New Roman"/>
          <w:i/>
          <w:color w:val="000000" w:themeColor="text1"/>
          <w:szCs w:val="24"/>
        </w:rPr>
        <w:t>r</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预测点处声压级，</w:t>
      </w:r>
      <w:r>
        <w:rPr>
          <w:rFonts w:ascii="Times New Roman" w:hAnsi="Times New Roman" w:cs="Times New Roman"/>
          <w:color w:val="000000" w:themeColor="text1"/>
          <w:szCs w:val="24"/>
        </w:rPr>
        <w:t>dB</w:t>
      </w:r>
      <w:r>
        <w:rPr>
          <w:rFonts w:ascii="Times New Roman" w:hAnsi="Times New Roman" w:cs="Times New Roman"/>
          <w:color w:val="000000" w:themeColor="text1"/>
          <w:szCs w:val="24"/>
        </w:rPr>
        <w:t>；</w:t>
      </w:r>
    </w:p>
    <w:p w:rsidR="00644456" w:rsidRDefault="008031C4">
      <w:pPr>
        <w:pStyle w:val="-2"/>
        <w:spacing w:line="360" w:lineRule="auto"/>
        <w:ind w:firstLineChars="500" w:firstLine="1200"/>
        <w:rPr>
          <w:rFonts w:ascii="Times New Roman" w:hAnsi="Times New Roman" w:cs="Times New Roman"/>
          <w:color w:val="000000" w:themeColor="text1"/>
          <w:szCs w:val="24"/>
        </w:rPr>
      </w:pPr>
      <w:r>
        <w:rPr>
          <w:rFonts w:ascii="Times New Roman" w:hAnsi="Times New Roman" w:cs="Times New Roman"/>
          <w:i/>
          <w:color w:val="000000" w:themeColor="text1"/>
          <w:szCs w:val="24"/>
        </w:rPr>
        <w:t>L</w:t>
      </w:r>
      <w:r>
        <w:rPr>
          <w:rFonts w:ascii="Times New Roman" w:hAnsi="Times New Roman" w:cs="Times New Roman"/>
          <w:i/>
          <w:color w:val="000000" w:themeColor="text1"/>
          <w:szCs w:val="24"/>
          <w:vertAlign w:val="subscript"/>
        </w:rPr>
        <w:t>p</w:t>
      </w:r>
      <w:r>
        <w:rPr>
          <w:rFonts w:ascii="Times New Roman" w:hAnsi="Times New Roman" w:cs="Times New Roman"/>
          <w:color w:val="000000" w:themeColor="text1"/>
          <w:szCs w:val="24"/>
        </w:rPr>
        <w:t>（</w:t>
      </w:r>
      <w:r>
        <w:rPr>
          <w:rFonts w:ascii="Times New Roman" w:hAnsi="Times New Roman" w:cs="Times New Roman"/>
          <w:i/>
          <w:color w:val="000000" w:themeColor="text1"/>
          <w:szCs w:val="24"/>
        </w:rPr>
        <w:t>r</w:t>
      </w:r>
      <w:r>
        <w:rPr>
          <w:rFonts w:ascii="Times New Roman" w:hAnsi="Times New Roman" w:cs="Times New Roman"/>
          <w:i/>
          <w:color w:val="000000" w:themeColor="text1"/>
          <w:szCs w:val="24"/>
          <w:vertAlign w:val="subscript"/>
        </w:rPr>
        <w:t>0</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参考位置</w:t>
      </w:r>
      <w:r>
        <w:rPr>
          <w:rFonts w:ascii="Times New Roman" w:hAnsi="Times New Roman" w:cs="Times New Roman"/>
          <w:i/>
          <w:color w:val="000000" w:themeColor="text1"/>
          <w:szCs w:val="24"/>
        </w:rPr>
        <w:t>r</w:t>
      </w:r>
      <w:r>
        <w:rPr>
          <w:rFonts w:ascii="Times New Roman" w:hAnsi="Times New Roman" w:cs="Times New Roman"/>
          <w:color w:val="000000" w:themeColor="text1"/>
          <w:szCs w:val="24"/>
          <w:vertAlign w:val="subscript"/>
        </w:rPr>
        <w:t>0</w:t>
      </w:r>
      <w:r>
        <w:rPr>
          <w:rFonts w:ascii="Times New Roman" w:hAnsi="Times New Roman" w:cs="Times New Roman"/>
          <w:color w:val="000000" w:themeColor="text1"/>
          <w:szCs w:val="24"/>
        </w:rPr>
        <w:t>处的声压级，</w:t>
      </w:r>
      <w:r>
        <w:rPr>
          <w:rFonts w:ascii="Times New Roman" w:hAnsi="Times New Roman" w:cs="Times New Roman"/>
          <w:color w:val="000000" w:themeColor="text1"/>
          <w:szCs w:val="24"/>
        </w:rPr>
        <w:t>dB</w:t>
      </w:r>
      <w:r>
        <w:rPr>
          <w:rFonts w:ascii="Times New Roman" w:hAnsi="Times New Roman" w:cs="Times New Roman"/>
          <w:color w:val="000000" w:themeColor="text1"/>
          <w:szCs w:val="24"/>
        </w:rPr>
        <w:t>；</w:t>
      </w:r>
    </w:p>
    <w:p w:rsidR="00644456" w:rsidRDefault="008031C4">
      <w:pPr>
        <w:pStyle w:val="-2"/>
        <w:spacing w:line="360" w:lineRule="auto"/>
        <w:ind w:firstLineChars="500" w:firstLine="1200"/>
        <w:rPr>
          <w:rFonts w:ascii="Times New Roman" w:hAnsi="Times New Roman" w:cs="Times New Roman"/>
          <w:color w:val="000000" w:themeColor="text1"/>
          <w:szCs w:val="24"/>
        </w:rPr>
      </w:pPr>
      <w:r>
        <w:rPr>
          <w:rFonts w:ascii="Times New Roman" w:hAnsi="Times New Roman" w:cs="Times New Roman"/>
          <w:i/>
          <w:color w:val="000000" w:themeColor="text1"/>
          <w:szCs w:val="24"/>
        </w:rPr>
        <w:t>r</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预测点距声源的距离，</w:t>
      </w:r>
      <w:r>
        <w:rPr>
          <w:rFonts w:ascii="Times New Roman" w:hAnsi="Times New Roman" w:cs="Times New Roman"/>
          <w:color w:val="000000" w:themeColor="text1"/>
          <w:szCs w:val="24"/>
        </w:rPr>
        <w:t>m</w:t>
      </w:r>
      <w:r>
        <w:rPr>
          <w:rFonts w:ascii="Times New Roman" w:hAnsi="Times New Roman" w:cs="Times New Roman"/>
          <w:color w:val="000000" w:themeColor="text1"/>
          <w:szCs w:val="24"/>
        </w:rPr>
        <w:t>；</w:t>
      </w:r>
    </w:p>
    <w:p w:rsidR="00644456" w:rsidRDefault="008031C4">
      <w:pPr>
        <w:pStyle w:val="-2"/>
        <w:spacing w:line="360" w:lineRule="auto"/>
        <w:ind w:firstLineChars="500" w:firstLine="1200"/>
        <w:rPr>
          <w:rFonts w:ascii="Times New Roman" w:hAnsi="Times New Roman" w:cs="Times New Roman"/>
          <w:color w:val="000000" w:themeColor="text1"/>
          <w:szCs w:val="24"/>
        </w:rPr>
      </w:pPr>
      <w:r>
        <w:rPr>
          <w:rFonts w:ascii="Times New Roman" w:hAnsi="Times New Roman" w:cs="Times New Roman"/>
          <w:i/>
          <w:color w:val="000000" w:themeColor="text1"/>
          <w:szCs w:val="24"/>
        </w:rPr>
        <w:t>r</w:t>
      </w:r>
      <w:r>
        <w:rPr>
          <w:rFonts w:ascii="Times New Roman" w:hAnsi="Times New Roman" w:cs="Times New Roman"/>
          <w:color w:val="000000" w:themeColor="text1"/>
          <w:szCs w:val="24"/>
          <w:vertAlign w:val="subscript"/>
        </w:rPr>
        <w:t>0</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参考位置距声源的距离，</w:t>
      </w:r>
      <w:r>
        <w:rPr>
          <w:rFonts w:ascii="Times New Roman" w:hAnsi="Times New Roman" w:cs="Times New Roman"/>
          <w:color w:val="000000" w:themeColor="text1"/>
          <w:szCs w:val="24"/>
        </w:rPr>
        <w:t>m</w:t>
      </w:r>
      <w:r>
        <w:rPr>
          <w:rFonts w:ascii="Times New Roman" w:hAnsi="Times New Roman" w:cs="Times New Roman"/>
          <w:color w:val="000000" w:themeColor="text1"/>
          <w:szCs w:val="24"/>
        </w:rPr>
        <w:t>。</w:t>
      </w:r>
    </w:p>
    <w:p w:rsidR="00644456" w:rsidRDefault="008031C4">
      <w:pPr>
        <w:pStyle w:val="-2"/>
        <w:spacing w:line="360" w:lineRule="auto"/>
        <w:ind w:firstLine="482"/>
        <w:rPr>
          <w:rFonts w:ascii="Times New Roman" w:hAnsi="Times New Roman" w:cs="Times New Roman"/>
          <w:b/>
          <w:bCs/>
          <w:color w:val="000000" w:themeColor="text1"/>
        </w:rPr>
      </w:pPr>
      <w:r>
        <w:rPr>
          <w:rFonts w:ascii="Times New Roman" w:hAnsi="Times New Roman" w:cs="Times New Roman"/>
          <w:b/>
          <w:bCs/>
          <w:color w:val="000000" w:themeColor="text1"/>
        </w:rPr>
        <w:t>（</w:t>
      </w:r>
      <w:r>
        <w:rPr>
          <w:rFonts w:ascii="Times New Roman" w:hAnsi="Times New Roman" w:cs="Times New Roman"/>
          <w:b/>
          <w:bCs/>
          <w:color w:val="000000" w:themeColor="text1"/>
        </w:rPr>
        <w:t>3</w:t>
      </w:r>
      <w:r>
        <w:rPr>
          <w:rFonts w:ascii="Times New Roman" w:hAnsi="Times New Roman" w:cs="Times New Roman"/>
          <w:b/>
          <w:bCs/>
          <w:color w:val="000000" w:themeColor="text1"/>
        </w:rPr>
        <w:t>）室内声源等效室外声源声功率级计算</w:t>
      </w:r>
    </w:p>
    <w:p w:rsidR="00644456" w:rsidRDefault="008031C4">
      <w:pPr>
        <w:pStyle w:val="-2"/>
        <w:spacing w:line="360" w:lineRule="auto"/>
        <w:ind w:firstLine="480"/>
        <w:rPr>
          <w:rFonts w:ascii="Times New Roman" w:hAnsi="Times New Roman" w:cs="Times New Roman"/>
          <w:color w:val="000000" w:themeColor="text1"/>
          <w:szCs w:val="24"/>
        </w:rPr>
      </w:pPr>
      <w:r>
        <w:rPr>
          <w:rFonts w:ascii="Times New Roman" w:hAnsi="Times New Roman" w:cs="Times New Roman"/>
          <w:color w:val="000000" w:themeColor="text1"/>
          <w:szCs w:val="24"/>
        </w:rPr>
        <w:t>如下图所示，声源位于室内，室内声源可采用等效室外声源声功率级法进行计算。设靠近开口处（或窗户）室内、室外某倍频带的声压级分别为</w:t>
      </w:r>
      <w:r>
        <w:rPr>
          <w:rFonts w:ascii="Times New Roman" w:hAnsi="Times New Roman" w:cs="Times New Roman"/>
          <w:i/>
          <w:color w:val="000000" w:themeColor="text1"/>
          <w:szCs w:val="24"/>
        </w:rPr>
        <w:t>L</w:t>
      </w:r>
      <w:r>
        <w:rPr>
          <w:rFonts w:ascii="Times New Roman" w:hAnsi="Times New Roman" w:cs="Times New Roman"/>
          <w:i/>
          <w:color w:val="000000" w:themeColor="text1"/>
          <w:szCs w:val="24"/>
          <w:vertAlign w:val="subscript"/>
        </w:rPr>
        <w:t>p</w:t>
      </w:r>
      <w:r>
        <w:rPr>
          <w:rFonts w:ascii="Times New Roman" w:hAnsi="Times New Roman" w:cs="Times New Roman"/>
          <w:color w:val="000000" w:themeColor="text1"/>
          <w:szCs w:val="24"/>
          <w:vertAlign w:val="subscript"/>
        </w:rPr>
        <w:t>1</w:t>
      </w:r>
      <w:r>
        <w:rPr>
          <w:rFonts w:ascii="Times New Roman" w:hAnsi="Times New Roman" w:cs="Times New Roman"/>
          <w:color w:val="000000" w:themeColor="text1"/>
          <w:szCs w:val="24"/>
        </w:rPr>
        <w:t>和</w:t>
      </w:r>
      <w:r>
        <w:rPr>
          <w:rFonts w:ascii="Times New Roman" w:hAnsi="Times New Roman" w:cs="Times New Roman"/>
          <w:i/>
          <w:color w:val="000000" w:themeColor="text1"/>
          <w:szCs w:val="24"/>
        </w:rPr>
        <w:t>L</w:t>
      </w:r>
      <w:r>
        <w:rPr>
          <w:rFonts w:ascii="Times New Roman" w:hAnsi="Times New Roman" w:cs="Times New Roman"/>
          <w:i/>
          <w:color w:val="000000" w:themeColor="text1"/>
          <w:szCs w:val="24"/>
          <w:vertAlign w:val="subscript"/>
        </w:rPr>
        <w:t>p</w:t>
      </w:r>
      <w:r>
        <w:rPr>
          <w:rFonts w:ascii="Times New Roman" w:hAnsi="Times New Roman" w:cs="Times New Roman"/>
          <w:color w:val="000000" w:themeColor="text1"/>
          <w:szCs w:val="24"/>
          <w:vertAlign w:val="subscript"/>
        </w:rPr>
        <w:t>2</w:t>
      </w:r>
      <w:r>
        <w:rPr>
          <w:rFonts w:ascii="Times New Roman" w:hAnsi="Times New Roman" w:cs="Times New Roman"/>
          <w:color w:val="000000" w:themeColor="text1"/>
          <w:szCs w:val="24"/>
        </w:rPr>
        <w:t>，若声源所在室内声场为近似扩散声场，则室外倍频带声压级按下式计算：</w:t>
      </w:r>
    </w:p>
    <w:p w:rsidR="00644456" w:rsidRDefault="008031C4">
      <w:pPr>
        <w:pStyle w:val="-2"/>
        <w:spacing w:line="360" w:lineRule="auto"/>
        <w:ind w:firstLineChars="0" w:firstLine="0"/>
        <w:jc w:val="center"/>
        <w:rPr>
          <w:rFonts w:ascii="Times New Roman" w:hAnsi="Times New Roman" w:cs="Times New Roman"/>
          <w:color w:val="000000" w:themeColor="text1"/>
          <w:szCs w:val="24"/>
        </w:rPr>
      </w:pPr>
      <w:r>
        <w:rPr>
          <w:rFonts w:ascii="Times New Roman" w:hAnsi="Times New Roman" w:cs="Times New Roman"/>
          <w:color w:val="000000" w:themeColor="text1"/>
          <w:position w:val="-14"/>
        </w:rPr>
        <w:object w:dxaOrig="1902" w:dyaOrig="380" w14:anchorId="6EEC2126">
          <v:shape id="_x0000_i1034" type="#_x0000_t75" style="width:95.3pt;height:18.75pt" o:ole="">
            <v:imagedata r:id="rId66" o:title=""/>
          </v:shape>
          <o:OLEObject Type="Embed" ProgID="Equation.DSMT4" ShapeID="_x0000_i1034" DrawAspect="Content" ObjectID="_1791290105" r:id="rId67"/>
        </w:object>
      </w:r>
    </w:p>
    <w:p w:rsidR="00644456" w:rsidRDefault="008031C4">
      <w:pPr>
        <w:pStyle w:val="-2"/>
        <w:spacing w:line="360" w:lineRule="auto"/>
        <w:ind w:firstLine="480"/>
        <w:rPr>
          <w:rFonts w:ascii="Times New Roman" w:hAnsi="Times New Roman" w:cs="Times New Roman"/>
          <w:color w:val="000000" w:themeColor="text1"/>
          <w:szCs w:val="24"/>
        </w:rPr>
      </w:pPr>
      <w:r>
        <w:rPr>
          <w:rFonts w:ascii="Times New Roman" w:hAnsi="Times New Roman" w:cs="Times New Roman"/>
          <w:color w:val="000000" w:themeColor="text1"/>
          <w:szCs w:val="24"/>
        </w:rPr>
        <w:t>式中，</w:t>
      </w:r>
      <w:r>
        <w:rPr>
          <w:rFonts w:ascii="Times New Roman" w:hAnsi="Times New Roman" w:cs="Times New Roman"/>
          <w:i/>
          <w:color w:val="000000" w:themeColor="text1"/>
          <w:szCs w:val="24"/>
        </w:rPr>
        <w:t>L</w:t>
      </w:r>
      <w:r>
        <w:rPr>
          <w:rFonts w:ascii="Times New Roman" w:hAnsi="Times New Roman" w:cs="Times New Roman"/>
          <w:i/>
          <w:color w:val="000000" w:themeColor="text1"/>
          <w:szCs w:val="24"/>
          <w:vertAlign w:val="subscript"/>
        </w:rPr>
        <w:t>p</w:t>
      </w:r>
      <w:r>
        <w:rPr>
          <w:rFonts w:ascii="Times New Roman" w:hAnsi="Times New Roman" w:cs="Times New Roman"/>
          <w:color w:val="000000" w:themeColor="text1"/>
          <w:szCs w:val="24"/>
          <w:vertAlign w:val="subscript"/>
        </w:rPr>
        <w:t>1</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靠近开口处（或窗户）室内某倍频带的声压级或</w:t>
      </w:r>
      <w:r>
        <w:rPr>
          <w:rFonts w:ascii="Times New Roman" w:hAnsi="Times New Roman" w:cs="Times New Roman"/>
          <w:color w:val="000000" w:themeColor="text1"/>
          <w:szCs w:val="24"/>
        </w:rPr>
        <w:t>A</w:t>
      </w:r>
      <w:r>
        <w:rPr>
          <w:rFonts w:ascii="Times New Roman" w:hAnsi="Times New Roman" w:cs="Times New Roman"/>
          <w:color w:val="000000" w:themeColor="text1"/>
          <w:szCs w:val="24"/>
        </w:rPr>
        <w:t>声级，</w:t>
      </w:r>
      <w:r>
        <w:rPr>
          <w:rFonts w:ascii="Times New Roman" w:hAnsi="Times New Roman" w:cs="Times New Roman"/>
          <w:color w:val="000000" w:themeColor="text1"/>
          <w:szCs w:val="24"/>
        </w:rPr>
        <w:t>dB</w:t>
      </w:r>
      <w:r>
        <w:rPr>
          <w:rFonts w:ascii="Times New Roman" w:hAnsi="Times New Roman" w:cs="Times New Roman"/>
          <w:color w:val="000000" w:themeColor="text1"/>
          <w:szCs w:val="24"/>
        </w:rPr>
        <w:t>；</w:t>
      </w:r>
    </w:p>
    <w:p w:rsidR="00644456" w:rsidRDefault="008031C4">
      <w:pPr>
        <w:pStyle w:val="-2"/>
        <w:spacing w:line="360" w:lineRule="auto"/>
        <w:ind w:firstLine="480"/>
        <w:rPr>
          <w:rFonts w:ascii="Times New Roman" w:hAnsi="Times New Roman" w:cs="Times New Roman"/>
          <w:color w:val="000000" w:themeColor="text1"/>
          <w:szCs w:val="24"/>
        </w:rPr>
      </w:pPr>
      <w:r>
        <w:rPr>
          <w:rFonts w:ascii="Times New Roman" w:hAnsi="Times New Roman" w:cs="Times New Roman"/>
          <w:i/>
          <w:color w:val="000000" w:themeColor="text1"/>
          <w:szCs w:val="24"/>
        </w:rPr>
        <w:t>L</w:t>
      </w:r>
      <w:r>
        <w:rPr>
          <w:rFonts w:ascii="Times New Roman" w:hAnsi="Times New Roman" w:cs="Times New Roman"/>
          <w:i/>
          <w:color w:val="000000" w:themeColor="text1"/>
          <w:szCs w:val="24"/>
          <w:vertAlign w:val="subscript"/>
        </w:rPr>
        <w:t>p</w:t>
      </w:r>
      <w:r>
        <w:rPr>
          <w:rFonts w:ascii="Times New Roman" w:hAnsi="Times New Roman" w:cs="Times New Roman"/>
          <w:color w:val="000000" w:themeColor="text1"/>
          <w:szCs w:val="24"/>
          <w:vertAlign w:val="subscript"/>
        </w:rPr>
        <w:t>2</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靠近开口处（或窗户）室外某倍频带的声压级或</w:t>
      </w:r>
      <w:r>
        <w:rPr>
          <w:rFonts w:ascii="Times New Roman" w:hAnsi="Times New Roman" w:cs="Times New Roman"/>
          <w:color w:val="000000" w:themeColor="text1"/>
          <w:szCs w:val="24"/>
        </w:rPr>
        <w:t>A</w:t>
      </w:r>
      <w:r>
        <w:rPr>
          <w:rFonts w:ascii="Times New Roman" w:hAnsi="Times New Roman" w:cs="Times New Roman"/>
          <w:color w:val="000000" w:themeColor="text1"/>
          <w:szCs w:val="24"/>
        </w:rPr>
        <w:t>声级，</w:t>
      </w:r>
      <w:r>
        <w:rPr>
          <w:rFonts w:ascii="Times New Roman" w:hAnsi="Times New Roman" w:cs="Times New Roman"/>
          <w:color w:val="000000" w:themeColor="text1"/>
          <w:szCs w:val="24"/>
        </w:rPr>
        <w:t>dB</w:t>
      </w:r>
      <w:r>
        <w:rPr>
          <w:rFonts w:ascii="Times New Roman" w:hAnsi="Times New Roman" w:cs="Times New Roman"/>
          <w:color w:val="000000" w:themeColor="text1"/>
          <w:szCs w:val="24"/>
        </w:rPr>
        <w:t>；</w:t>
      </w:r>
    </w:p>
    <w:p w:rsidR="00644456" w:rsidRDefault="008031C4">
      <w:pPr>
        <w:pStyle w:val="-2"/>
        <w:spacing w:line="360" w:lineRule="auto"/>
        <w:ind w:firstLine="480"/>
        <w:rPr>
          <w:rFonts w:ascii="Times New Roman" w:hAnsi="Times New Roman" w:cs="Times New Roman"/>
          <w:color w:val="000000" w:themeColor="text1"/>
          <w:szCs w:val="24"/>
        </w:rPr>
      </w:pPr>
      <w:r>
        <w:rPr>
          <w:rFonts w:ascii="Times New Roman" w:hAnsi="Times New Roman" w:cs="Times New Roman"/>
          <w:i/>
          <w:color w:val="000000" w:themeColor="text1"/>
          <w:szCs w:val="24"/>
        </w:rPr>
        <w:t>TL</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隔墙（或窗户）倍频带或</w:t>
      </w:r>
      <w:r>
        <w:rPr>
          <w:rFonts w:ascii="Times New Roman" w:hAnsi="Times New Roman" w:cs="Times New Roman"/>
          <w:color w:val="000000" w:themeColor="text1"/>
          <w:szCs w:val="24"/>
        </w:rPr>
        <w:t>A</w:t>
      </w:r>
      <w:r>
        <w:rPr>
          <w:rFonts w:ascii="Times New Roman" w:hAnsi="Times New Roman" w:cs="Times New Roman"/>
          <w:color w:val="000000" w:themeColor="text1"/>
          <w:szCs w:val="24"/>
        </w:rPr>
        <w:t>声级的隔声量，</w:t>
      </w:r>
      <w:r>
        <w:rPr>
          <w:rFonts w:ascii="Times New Roman" w:hAnsi="Times New Roman" w:cs="Times New Roman"/>
          <w:color w:val="000000" w:themeColor="text1"/>
          <w:szCs w:val="24"/>
        </w:rPr>
        <w:t>dB</w:t>
      </w:r>
      <w:r>
        <w:rPr>
          <w:rFonts w:ascii="Times New Roman" w:hAnsi="Times New Roman" w:cs="Times New Roman"/>
          <w:color w:val="000000" w:themeColor="text1"/>
          <w:szCs w:val="24"/>
        </w:rPr>
        <w:t>。</w:t>
      </w:r>
    </w:p>
    <w:p w:rsidR="00644456" w:rsidRDefault="008031C4">
      <w:pPr>
        <w:pStyle w:val="-2"/>
        <w:spacing w:line="360" w:lineRule="auto"/>
        <w:ind w:firstLine="480"/>
        <w:rPr>
          <w:rFonts w:ascii="Times New Roman" w:hAnsi="Times New Roman" w:cs="Times New Roman"/>
          <w:color w:val="000000" w:themeColor="text1"/>
          <w:szCs w:val="24"/>
        </w:rPr>
      </w:pPr>
      <w:r>
        <w:rPr>
          <w:rFonts w:ascii="Times New Roman" w:hAnsi="Times New Roman" w:cs="Times New Roman"/>
          <w:color w:val="000000" w:themeColor="text1"/>
          <w:szCs w:val="24"/>
        </w:rPr>
        <w:t>某一室内声源靠近围护结构处产生的倍频带声压级或</w:t>
      </w:r>
      <w:r>
        <w:rPr>
          <w:rFonts w:ascii="Times New Roman" w:hAnsi="Times New Roman" w:cs="Times New Roman"/>
          <w:color w:val="000000" w:themeColor="text1"/>
          <w:szCs w:val="24"/>
        </w:rPr>
        <w:t>A</w:t>
      </w:r>
      <w:r>
        <w:rPr>
          <w:rFonts w:ascii="Times New Roman" w:hAnsi="Times New Roman" w:cs="Times New Roman"/>
          <w:color w:val="000000" w:themeColor="text1"/>
          <w:szCs w:val="24"/>
        </w:rPr>
        <w:t>声级按下式计算：</w:t>
      </w:r>
    </w:p>
    <w:p w:rsidR="00644456" w:rsidRDefault="008031C4">
      <w:pPr>
        <w:pStyle w:val="-2"/>
        <w:spacing w:line="360" w:lineRule="auto"/>
        <w:ind w:firstLineChars="0" w:firstLine="0"/>
        <w:jc w:val="center"/>
        <w:rPr>
          <w:rFonts w:ascii="Times New Roman" w:hAnsi="Times New Roman" w:cs="Times New Roman"/>
          <w:color w:val="000000" w:themeColor="text1"/>
          <w:szCs w:val="24"/>
        </w:rPr>
      </w:pPr>
      <w:r>
        <w:rPr>
          <w:rFonts w:ascii="Times New Roman" w:hAnsi="Times New Roman" w:cs="Times New Roman"/>
          <w:color w:val="000000" w:themeColor="text1"/>
          <w:position w:val="-28"/>
        </w:rPr>
        <w:object w:dxaOrig="2731" w:dyaOrig="679" w14:anchorId="41EDD676">
          <v:shape id="_x0000_i1035" type="#_x0000_t75" style="width:136.55pt;height:33.75pt" o:ole="">
            <v:imagedata r:id="rId68" o:title=""/>
          </v:shape>
          <o:OLEObject Type="Embed" ProgID="Equation.DSMT4" ShapeID="_x0000_i1035" DrawAspect="Content" ObjectID="_1791290106" r:id="rId69"/>
        </w:object>
      </w:r>
    </w:p>
    <w:p w:rsidR="00644456" w:rsidRDefault="008031C4">
      <w:pPr>
        <w:pStyle w:val="-2"/>
        <w:spacing w:line="360" w:lineRule="auto"/>
        <w:ind w:firstLine="480"/>
        <w:rPr>
          <w:rFonts w:ascii="Times New Roman" w:hAnsi="Times New Roman" w:cs="Times New Roman"/>
          <w:color w:val="000000" w:themeColor="text1"/>
          <w:szCs w:val="24"/>
        </w:rPr>
      </w:pPr>
      <w:r>
        <w:rPr>
          <w:rFonts w:ascii="Times New Roman" w:hAnsi="Times New Roman" w:cs="Times New Roman"/>
          <w:color w:val="000000" w:themeColor="text1"/>
          <w:szCs w:val="24"/>
        </w:rPr>
        <w:t>式中，</w:t>
      </w:r>
      <w:r>
        <w:rPr>
          <w:rFonts w:ascii="Times New Roman" w:hAnsi="Times New Roman" w:cs="Times New Roman"/>
          <w:i/>
          <w:iCs/>
          <w:color w:val="000000" w:themeColor="text1"/>
          <w:szCs w:val="24"/>
        </w:rPr>
        <w:t>L</w:t>
      </w:r>
      <w:r>
        <w:rPr>
          <w:rFonts w:ascii="Times New Roman" w:hAnsi="Times New Roman" w:cs="Times New Roman"/>
          <w:i/>
          <w:iCs/>
          <w:color w:val="000000" w:themeColor="text1"/>
          <w:szCs w:val="24"/>
          <w:vertAlign w:val="subscript"/>
        </w:rPr>
        <w:t>w</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点声源声功率级（</w:t>
      </w:r>
      <w:r>
        <w:rPr>
          <w:rFonts w:ascii="Times New Roman" w:hAnsi="Times New Roman" w:cs="Times New Roman"/>
          <w:color w:val="000000" w:themeColor="text1"/>
          <w:szCs w:val="24"/>
        </w:rPr>
        <w:t>A</w:t>
      </w:r>
      <w:r>
        <w:rPr>
          <w:rFonts w:ascii="Times New Roman" w:hAnsi="Times New Roman" w:cs="Times New Roman"/>
          <w:color w:val="000000" w:themeColor="text1"/>
          <w:szCs w:val="24"/>
        </w:rPr>
        <w:t>计权或倍频带），</w:t>
      </w:r>
      <w:r>
        <w:rPr>
          <w:rFonts w:ascii="Times New Roman" w:hAnsi="Times New Roman" w:cs="Times New Roman"/>
          <w:color w:val="000000" w:themeColor="text1"/>
          <w:szCs w:val="24"/>
        </w:rPr>
        <w:t>dB</w:t>
      </w:r>
      <w:r>
        <w:rPr>
          <w:rFonts w:ascii="Times New Roman" w:hAnsi="Times New Roman" w:cs="Times New Roman"/>
          <w:color w:val="000000" w:themeColor="text1"/>
          <w:szCs w:val="24"/>
        </w:rPr>
        <w:t>；</w:t>
      </w:r>
    </w:p>
    <w:p w:rsidR="00644456" w:rsidRDefault="008031C4">
      <w:pPr>
        <w:pStyle w:val="-2"/>
        <w:spacing w:line="360" w:lineRule="auto"/>
        <w:ind w:firstLine="480"/>
        <w:rPr>
          <w:rFonts w:ascii="Times New Roman" w:hAnsi="Times New Roman" w:cs="Times New Roman"/>
          <w:color w:val="000000" w:themeColor="text1"/>
          <w:szCs w:val="24"/>
        </w:rPr>
      </w:pPr>
      <w:r>
        <w:rPr>
          <w:rFonts w:ascii="Times New Roman" w:hAnsi="Times New Roman" w:cs="Times New Roman"/>
          <w:i/>
          <w:color w:val="000000" w:themeColor="text1"/>
          <w:szCs w:val="24"/>
        </w:rPr>
        <w:t>Q</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指向性因数；通常对无指向性声源，当声源放在房间中心时，</w:t>
      </w:r>
      <w:r>
        <w:rPr>
          <w:rFonts w:ascii="Times New Roman" w:hAnsi="Times New Roman" w:cs="Times New Roman"/>
          <w:i/>
          <w:iCs/>
          <w:color w:val="000000" w:themeColor="text1"/>
          <w:szCs w:val="24"/>
        </w:rPr>
        <w:t>Q</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；当放在一面墙的中心时，</w:t>
      </w:r>
      <w:r>
        <w:rPr>
          <w:rFonts w:ascii="Times New Roman" w:hAnsi="Times New Roman" w:cs="Times New Roman"/>
          <w:i/>
          <w:iCs/>
          <w:color w:val="000000" w:themeColor="text1"/>
          <w:szCs w:val="24"/>
        </w:rPr>
        <w:t>Q</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；当放在两面墙夹角处时，</w:t>
      </w:r>
      <w:r>
        <w:rPr>
          <w:rFonts w:ascii="Times New Roman" w:hAnsi="Times New Roman" w:cs="Times New Roman"/>
          <w:i/>
          <w:iCs/>
          <w:color w:val="000000" w:themeColor="text1"/>
          <w:szCs w:val="24"/>
        </w:rPr>
        <w:t>Q</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；当放在三面墙夹角处时，</w:t>
      </w:r>
      <w:r>
        <w:rPr>
          <w:rFonts w:ascii="Times New Roman" w:hAnsi="Times New Roman" w:cs="Times New Roman"/>
          <w:i/>
          <w:iCs/>
          <w:color w:val="000000" w:themeColor="text1"/>
          <w:szCs w:val="24"/>
        </w:rPr>
        <w:t>Q</w:t>
      </w:r>
      <w:r>
        <w:rPr>
          <w:rFonts w:ascii="Times New Roman" w:hAnsi="Times New Roman" w:cs="Times New Roman"/>
          <w:color w:val="000000" w:themeColor="text1"/>
          <w:szCs w:val="24"/>
        </w:rPr>
        <w:t>=8</w:t>
      </w:r>
      <w:r>
        <w:rPr>
          <w:rFonts w:ascii="Times New Roman" w:hAnsi="Times New Roman" w:cs="Times New Roman"/>
          <w:color w:val="000000" w:themeColor="text1"/>
          <w:szCs w:val="24"/>
        </w:rPr>
        <w:t>；</w:t>
      </w:r>
    </w:p>
    <w:p w:rsidR="00644456" w:rsidRDefault="008031C4">
      <w:pPr>
        <w:pStyle w:val="-2"/>
        <w:spacing w:line="360" w:lineRule="auto"/>
        <w:ind w:firstLine="480"/>
        <w:rPr>
          <w:rFonts w:ascii="Times New Roman" w:hAnsi="Times New Roman" w:cs="Times New Roman"/>
          <w:color w:val="000000" w:themeColor="text1"/>
          <w:szCs w:val="24"/>
        </w:rPr>
      </w:pPr>
      <w:r>
        <w:rPr>
          <w:rFonts w:ascii="Times New Roman" w:hAnsi="Times New Roman" w:cs="Times New Roman"/>
          <w:i/>
          <w:color w:val="000000" w:themeColor="text1"/>
          <w:szCs w:val="24"/>
        </w:rPr>
        <w:t>R</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房间常数；</w:t>
      </w:r>
      <w:r>
        <w:rPr>
          <w:rFonts w:ascii="Times New Roman" w:hAnsi="Times New Roman" w:cs="Times New Roman"/>
          <w:i/>
          <w:iCs/>
          <w:color w:val="000000" w:themeColor="text1"/>
          <w:szCs w:val="24"/>
        </w:rPr>
        <w:t>R</w:t>
      </w:r>
      <w:r>
        <w:rPr>
          <w:rFonts w:ascii="Times New Roman" w:hAnsi="Times New Roman" w:cs="Times New Roman"/>
          <w:color w:val="000000" w:themeColor="text1"/>
          <w:szCs w:val="24"/>
        </w:rPr>
        <w:t>=</w:t>
      </w:r>
      <w:r>
        <w:rPr>
          <w:rFonts w:ascii="Times New Roman" w:hAnsi="Times New Roman" w:cs="Times New Roman"/>
          <w:i/>
          <w:iCs/>
          <w:color w:val="000000" w:themeColor="text1"/>
          <w:szCs w:val="24"/>
        </w:rPr>
        <w:t>Sα</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i/>
          <w:iCs/>
          <w:color w:val="000000" w:themeColor="text1"/>
          <w:szCs w:val="24"/>
        </w:rPr>
        <w:t>α</w:t>
      </w:r>
      <w:r>
        <w:rPr>
          <w:rFonts w:ascii="Times New Roman" w:hAnsi="Times New Roman" w:cs="Times New Roman"/>
          <w:color w:val="000000" w:themeColor="text1"/>
          <w:szCs w:val="24"/>
        </w:rPr>
        <w:t>），</w:t>
      </w:r>
      <w:r>
        <w:rPr>
          <w:rFonts w:ascii="Times New Roman" w:hAnsi="Times New Roman" w:cs="Times New Roman"/>
          <w:i/>
          <w:iCs/>
          <w:color w:val="000000" w:themeColor="text1"/>
          <w:szCs w:val="24"/>
        </w:rPr>
        <w:t>S</w:t>
      </w:r>
      <w:r>
        <w:rPr>
          <w:rFonts w:ascii="Times New Roman" w:hAnsi="Times New Roman" w:cs="Times New Roman"/>
          <w:color w:val="000000" w:themeColor="text1"/>
          <w:szCs w:val="24"/>
        </w:rPr>
        <w:t>为房间内表面面积，</w:t>
      </w:r>
      <w:r>
        <w:rPr>
          <w:rFonts w:ascii="Times New Roman" w:hAnsi="Times New Roman" w:cs="Times New Roman"/>
          <w:color w:val="000000" w:themeColor="text1"/>
          <w:szCs w:val="24"/>
        </w:rPr>
        <w:t>m</w:t>
      </w:r>
      <w:r>
        <w:rPr>
          <w:rFonts w:ascii="Times New Roman" w:hAnsi="Times New Roman" w:cs="Times New Roman"/>
          <w:color w:val="000000" w:themeColor="text1"/>
          <w:szCs w:val="24"/>
          <w:vertAlign w:val="superscript"/>
        </w:rPr>
        <w:t>2</w:t>
      </w:r>
      <w:r>
        <w:rPr>
          <w:rFonts w:ascii="Times New Roman" w:hAnsi="Times New Roman" w:cs="Times New Roman"/>
          <w:color w:val="000000" w:themeColor="text1"/>
          <w:szCs w:val="24"/>
        </w:rPr>
        <w:t>；</w:t>
      </w:r>
      <w:r>
        <w:rPr>
          <w:rFonts w:ascii="Times New Roman" w:hAnsi="Times New Roman" w:cs="Times New Roman"/>
          <w:i/>
          <w:iCs/>
          <w:color w:val="000000" w:themeColor="text1"/>
          <w:szCs w:val="24"/>
        </w:rPr>
        <w:t>α</w:t>
      </w:r>
      <w:r>
        <w:rPr>
          <w:rFonts w:ascii="Times New Roman" w:hAnsi="Times New Roman" w:cs="Times New Roman"/>
          <w:color w:val="000000" w:themeColor="text1"/>
          <w:szCs w:val="24"/>
        </w:rPr>
        <w:t>为平均吸声系数；</w:t>
      </w:r>
    </w:p>
    <w:p w:rsidR="00644456" w:rsidRDefault="008031C4">
      <w:pPr>
        <w:pStyle w:val="-2"/>
        <w:spacing w:line="360" w:lineRule="auto"/>
        <w:ind w:firstLine="480"/>
        <w:rPr>
          <w:rFonts w:ascii="Times New Roman" w:hAnsi="Times New Roman" w:cs="Times New Roman"/>
          <w:color w:val="000000" w:themeColor="text1"/>
          <w:szCs w:val="24"/>
        </w:rPr>
      </w:pPr>
      <w:r>
        <w:rPr>
          <w:rFonts w:ascii="Times New Roman" w:hAnsi="Times New Roman" w:cs="Times New Roman"/>
          <w:i/>
          <w:color w:val="000000" w:themeColor="text1"/>
          <w:szCs w:val="24"/>
        </w:rPr>
        <w:t>r</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声源到靠近围护结构某点处的距离，</w:t>
      </w:r>
      <w:r>
        <w:rPr>
          <w:rFonts w:ascii="Times New Roman" w:hAnsi="Times New Roman" w:cs="Times New Roman"/>
          <w:color w:val="000000" w:themeColor="text1"/>
          <w:szCs w:val="24"/>
        </w:rPr>
        <w:t>m</w:t>
      </w:r>
      <w:r>
        <w:rPr>
          <w:rFonts w:ascii="Times New Roman" w:hAnsi="Times New Roman" w:cs="Times New Roman"/>
          <w:color w:val="000000" w:themeColor="text1"/>
          <w:szCs w:val="24"/>
        </w:rPr>
        <w:t>。</w:t>
      </w:r>
    </w:p>
    <w:p w:rsidR="00644456" w:rsidRDefault="008031C4">
      <w:pPr>
        <w:pStyle w:val="-2"/>
        <w:spacing w:line="360" w:lineRule="auto"/>
        <w:ind w:firstLine="480"/>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然后按下式计算出所有室内声源在围护结构处产生的</w:t>
      </w:r>
      <w:r>
        <w:rPr>
          <w:rFonts w:ascii="Times New Roman" w:hAnsi="Times New Roman" w:cs="Times New Roman"/>
          <w:i/>
          <w:iCs/>
          <w:color w:val="000000" w:themeColor="text1"/>
          <w:szCs w:val="24"/>
        </w:rPr>
        <w:t>i</w:t>
      </w:r>
      <w:r>
        <w:rPr>
          <w:rFonts w:ascii="Times New Roman" w:hAnsi="Times New Roman" w:cs="Times New Roman"/>
          <w:color w:val="000000" w:themeColor="text1"/>
          <w:szCs w:val="24"/>
        </w:rPr>
        <w:t>倍频带叠加声压级：</w:t>
      </w:r>
    </w:p>
    <w:p w:rsidR="00644456" w:rsidRDefault="008031C4">
      <w:pPr>
        <w:pStyle w:val="-2"/>
        <w:spacing w:line="360" w:lineRule="auto"/>
        <w:ind w:firstLineChars="0" w:firstLine="0"/>
        <w:jc w:val="center"/>
        <w:rPr>
          <w:rFonts w:ascii="Times New Roman" w:hAnsi="Times New Roman" w:cs="Times New Roman"/>
          <w:color w:val="000000" w:themeColor="text1"/>
          <w:szCs w:val="24"/>
        </w:rPr>
      </w:pPr>
      <w:r>
        <w:rPr>
          <w:rFonts w:ascii="Times New Roman" w:hAnsi="Times New Roman" w:cs="Times New Roman"/>
          <w:color w:val="000000" w:themeColor="text1"/>
          <w:position w:val="-32"/>
        </w:rPr>
        <w:object w:dxaOrig="2731" w:dyaOrig="761" w14:anchorId="2AA56D5C">
          <v:shape id="_x0000_i1036" type="#_x0000_t75" style="width:136.55pt;height:38.25pt" o:ole="">
            <v:imagedata r:id="rId70" o:title=""/>
          </v:shape>
          <o:OLEObject Type="Embed" ProgID="Equation.DSMT4" ShapeID="_x0000_i1036" DrawAspect="Content" ObjectID="_1791290107" r:id="rId71"/>
        </w:object>
      </w:r>
    </w:p>
    <w:p w:rsidR="00644456" w:rsidRDefault="008031C4">
      <w:pPr>
        <w:pStyle w:val="-2"/>
        <w:spacing w:line="360" w:lineRule="auto"/>
        <w:ind w:firstLine="480"/>
        <w:rPr>
          <w:rFonts w:ascii="Times New Roman" w:hAnsi="Times New Roman" w:cs="Times New Roman"/>
          <w:color w:val="000000" w:themeColor="text1"/>
          <w:szCs w:val="24"/>
        </w:rPr>
      </w:pPr>
      <w:r>
        <w:rPr>
          <w:rFonts w:ascii="Times New Roman" w:hAnsi="Times New Roman" w:cs="Times New Roman"/>
          <w:color w:val="000000" w:themeColor="text1"/>
          <w:szCs w:val="24"/>
        </w:rPr>
        <w:t>式中，</w:t>
      </w:r>
      <w:r>
        <w:rPr>
          <w:rFonts w:ascii="Times New Roman" w:hAnsi="Times New Roman" w:cs="Times New Roman"/>
          <w:i/>
          <w:iCs/>
          <w:color w:val="000000" w:themeColor="text1"/>
          <w:szCs w:val="24"/>
        </w:rPr>
        <w:t>L</w:t>
      </w:r>
      <w:r>
        <w:rPr>
          <w:rFonts w:ascii="Times New Roman" w:hAnsi="Times New Roman" w:cs="Times New Roman"/>
          <w:i/>
          <w:iCs/>
          <w:color w:val="000000" w:themeColor="text1"/>
          <w:szCs w:val="24"/>
          <w:vertAlign w:val="subscript"/>
        </w:rPr>
        <w:t>p1i</w:t>
      </w:r>
      <w:r>
        <w:rPr>
          <w:rFonts w:ascii="Times New Roman" w:hAnsi="Times New Roman" w:cs="Times New Roman"/>
          <w:color w:val="000000" w:themeColor="text1"/>
          <w:szCs w:val="24"/>
        </w:rPr>
        <w:t>（</w:t>
      </w:r>
      <w:r>
        <w:rPr>
          <w:rFonts w:ascii="Times New Roman" w:hAnsi="Times New Roman" w:cs="Times New Roman"/>
          <w:i/>
          <w:iCs/>
          <w:color w:val="000000" w:themeColor="text1"/>
          <w:szCs w:val="24"/>
        </w:rPr>
        <w:t>T</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靠近围护结构处室内</w:t>
      </w:r>
      <w:r>
        <w:rPr>
          <w:rFonts w:ascii="Times New Roman" w:hAnsi="Times New Roman" w:cs="Times New Roman"/>
          <w:color w:val="000000" w:themeColor="text1"/>
          <w:szCs w:val="24"/>
        </w:rPr>
        <w:t>N</w:t>
      </w:r>
      <w:r>
        <w:rPr>
          <w:rFonts w:ascii="Times New Roman" w:hAnsi="Times New Roman" w:cs="Times New Roman"/>
          <w:color w:val="000000" w:themeColor="text1"/>
          <w:szCs w:val="24"/>
        </w:rPr>
        <w:t>个声源</w:t>
      </w:r>
      <w:r>
        <w:rPr>
          <w:rFonts w:ascii="Times New Roman" w:hAnsi="Times New Roman" w:cs="Times New Roman"/>
          <w:i/>
          <w:iCs/>
          <w:color w:val="000000" w:themeColor="text1"/>
          <w:szCs w:val="24"/>
        </w:rPr>
        <w:t>i</w:t>
      </w:r>
      <w:r>
        <w:rPr>
          <w:rFonts w:ascii="Times New Roman" w:hAnsi="Times New Roman" w:cs="Times New Roman"/>
          <w:color w:val="000000" w:themeColor="text1"/>
          <w:szCs w:val="24"/>
        </w:rPr>
        <w:t>倍频带的叠加声压级，</w:t>
      </w:r>
      <w:r>
        <w:rPr>
          <w:rFonts w:ascii="Times New Roman" w:hAnsi="Times New Roman" w:cs="Times New Roman"/>
          <w:color w:val="000000" w:themeColor="text1"/>
          <w:szCs w:val="24"/>
        </w:rPr>
        <w:t>dB</w:t>
      </w:r>
      <w:r>
        <w:rPr>
          <w:rFonts w:ascii="Times New Roman" w:hAnsi="Times New Roman" w:cs="Times New Roman"/>
          <w:color w:val="000000" w:themeColor="text1"/>
          <w:szCs w:val="24"/>
        </w:rPr>
        <w:t>；</w:t>
      </w:r>
    </w:p>
    <w:p w:rsidR="00644456" w:rsidRDefault="008031C4">
      <w:pPr>
        <w:pStyle w:val="-2"/>
        <w:spacing w:line="360" w:lineRule="auto"/>
        <w:ind w:firstLineChars="500" w:firstLine="1200"/>
        <w:rPr>
          <w:rFonts w:ascii="Times New Roman" w:hAnsi="Times New Roman" w:cs="Times New Roman"/>
          <w:color w:val="000000" w:themeColor="text1"/>
          <w:szCs w:val="24"/>
        </w:rPr>
      </w:pPr>
      <w:r>
        <w:rPr>
          <w:rFonts w:ascii="Times New Roman" w:hAnsi="Times New Roman" w:cs="Times New Roman"/>
          <w:i/>
          <w:iCs/>
          <w:color w:val="000000" w:themeColor="text1"/>
          <w:szCs w:val="24"/>
        </w:rPr>
        <w:t>L</w:t>
      </w:r>
      <w:r>
        <w:rPr>
          <w:rFonts w:ascii="Times New Roman" w:hAnsi="Times New Roman" w:cs="Times New Roman"/>
          <w:i/>
          <w:iCs/>
          <w:color w:val="000000" w:themeColor="text1"/>
          <w:szCs w:val="24"/>
          <w:vertAlign w:val="subscript"/>
        </w:rPr>
        <w:t>p1ij</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室内</w:t>
      </w:r>
      <w:r>
        <w:rPr>
          <w:rFonts w:ascii="Times New Roman" w:hAnsi="Times New Roman" w:cs="Times New Roman"/>
          <w:i/>
          <w:iCs/>
          <w:color w:val="000000" w:themeColor="text1"/>
          <w:szCs w:val="24"/>
        </w:rPr>
        <w:t>j</w:t>
      </w:r>
      <w:r>
        <w:rPr>
          <w:rFonts w:ascii="Times New Roman" w:hAnsi="Times New Roman" w:cs="Times New Roman"/>
          <w:color w:val="000000" w:themeColor="text1"/>
          <w:szCs w:val="24"/>
        </w:rPr>
        <w:t>声源</w:t>
      </w:r>
      <w:r>
        <w:rPr>
          <w:rFonts w:ascii="Times New Roman" w:hAnsi="Times New Roman" w:cs="Times New Roman"/>
          <w:i/>
          <w:iCs/>
          <w:color w:val="000000" w:themeColor="text1"/>
          <w:szCs w:val="24"/>
        </w:rPr>
        <w:t>i</w:t>
      </w:r>
      <w:r>
        <w:rPr>
          <w:rFonts w:ascii="Times New Roman" w:hAnsi="Times New Roman" w:cs="Times New Roman"/>
          <w:color w:val="000000" w:themeColor="text1"/>
          <w:szCs w:val="24"/>
        </w:rPr>
        <w:t>倍频带的声压级，</w:t>
      </w:r>
      <w:r>
        <w:rPr>
          <w:rFonts w:ascii="Times New Roman" w:hAnsi="Times New Roman" w:cs="Times New Roman"/>
          <w:color w:val="000000" w:themeColor="text1"/>
          <w:szCs w:val="24"/>
        </w:rPr>
        <w:t>dB</w:t>
      </w:r>
      <w:r>
        <w:rPr>
          <w:rFonts w:ascii="Times New Roman" w:hAnsi="Times New Roman" w:cs="Times New Roman"/>
          <w:color w:val="000000" w:themeColor="text1"/>
          <w:szCs w:val="24"/>
        </w:rPr>
        <w:t>；</w:t>
      </w:r>
    </w:p>
    <w:p w:rsidR="00644456" w:rsidRDefault="008031C4">
      <w:pPr>
        <w:pStyle w:val="-2"/>
        <w:spacing w:line="360" w:lineRule="auto"/>
        <w:ind w:firstLineChars="500" w:firstLine="1200"/>
        <w:rPr>
          <w:rFonts w:ascii="Times New Roman" w:hAnsi="Times New Roman" w:cs="Times New Roman"/>
          <w:color w:val="000000" w:themeColor="text1"/>
          <w:szCs w:val="24"/>
        </w:rPr>
      </w:pPr>
      <w:r>
        <w:rPr>
          <w:rFonts w:ascii="Times New Roman" w:hAnsi="Times New Roman" w:cs="Times New Roman"/>
          <w:i/>
          <w:iCs/>
          <w:color w:val="000000" w:themeColor="text1"/>
          <w:szCs w:val="24"/>
        </w:rPr>
        <w:t>N</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室内声源总数。</w:t>
      </w:r>
    </w:p>
    <w:p w:rsidR="00644456" w:rsidRDefault="008031C4">
      <w:pPr>
        <w:pStyle w:val="-2"/>
        <w:spacing w:line="360" w:lineRule="auto"/>
        <w:ind w:firstLine="482"/>
        <w:rPr>
          <w:rFonts w:ascii="Times New Roman" w:hAnsi="Times New Roman" w:cs="Times New Roman"/>
          <w:color w:val="000000" w:themeColor="text1"/>
          <w:szCs w:val="24"/>
        </w:rPr>
      </w:pPr>
      <w:r>
        <w:rPr>
          <w:rFonts w:ascii="Times New Roman" w:hAnsi="Times New Roman" w:cs="Times New Roman"/>
          <w:b/>
          <w:bCs/>
          <w:color w:val="000000" w:themeColor="text1"/>
        </w:rPr>
        <w:t>（</w:t>
      </w:r>
      <w:r>
        <w:rPr>
          <w:rFonts w:ascii="Times New Roman" w:hAnsi="Times New Roman" w:cs="Times New Roman"/>
          <w:b/>
          <w:bCs/>
          <w:color w:val="000000" w:themeColor="text1"/>
        </w:rPr>
        <w:t>4</w:t>
      </w:r>
      <w:r>
        <w:rPr>
          <w:rFonts w:ascii="Times New Roman" w:hAnsi="Times New Roman" w:cs="Times New Roman"/>
          <w:b/>
          <w:bCs/>
          <w:color w:val="000000" w:themeColor="text1"/>
        </w:rPr>
        <w:t>）靠近声源处的预测点噪声预测模型：</w:t>
      </w:r>
      <w:r>
        <w:rPr>
          <w:rFonts w:ascii="Times New Roman" w:hAnsi="Times New Roman" w:cs="Times New Roman"/>
          <w:color w:val="000000" w:themeColor="text1"/>
          <w:szCs w:val="24"/>
        </w:rPr>
        <w:t>如预测点在靠近声源处，但不能满足点声源条件时，需按线声源或面声源模型计算。</w:t>
      </w:r>
    </w:p>
    <w:p w:rsidR="00644456" w:rsidRDefault="008031C4">
      <w:pPr>
        <w:pStyle w:val="-2"/>
        <w:spacing w:line="360" w:lineRule="auto"/>
        <w:ind w:firstLine="482"/>
        <w:rPr>
          <w:rFonts w:ascii="Times New Roman" w:hAnsi="Times New Roman" w:cs="Times New Roman"/>
          <w:b/>
          <w:bCs/>
          <w:color w:val="000000" w:themeColor="text1"/>
        </w:rPr>
      </w:pPr>
      <w:r>
        <w:rPr>
          <w:rFonts w:ascii="Times New Roman" w:hAnsi="Times New Roman" w:cs="Times New Roman"/>
          <w:b/>
          <w:bCs/>
          <w:color w:val="000000" w:themeColor="text1"/>
        </w:rPr>
        <w:t>（</w:t>
      </w:r>
      <w:r>
        <w:rPr>
          <w:rFonts w:ascii="Times New Roman" w:hAnsi="Times New Roman" w:cs="Times New Roman"/>
          <w:b/>
          <w:bCs/>
          <w:color w:val="000000" w:themeColor="text1"/>
        </w:rPr>
        <w:t>5</w:t>
      </w:r>
      <w:r>
        <w:rPr>
          <w:rFonts w:ascii="Times New Roman" w:hAnsi="Times New Roman" w:cs="Times New Roman"/>
          <w:b/>
          <w:bCs/>
          <w:color w:val="000000" w:themeColor="text1"/>
        </w:rPr>
        <w:t>）工业企业噪声计算</w:t>
      </w:r>
    </w:p>
    <w:p w:rsidR="00644456" w:rsidRDefault="008031C4">
      <w:pPr>
        <w:pStyle w:val="-2"/>
        <w:spacing w:line="360" w:lineRule="auto"/>
        <w:ind w:firstLine="480"/>
        <w:rPr>
          <w:rFonts w:ascii="Times New Roman" w:hAnsi="Times New Roman" w:cs="Times New Roman"/>
          <w:color w:val="000000" w:themeColor="text1"/>
          <w:szCs w:val="24"/>
        </w:rPr>
      </w:pPr>
      <w:r>
        <w:rPr>
          <w:rFonts w:ascii="Times New Roman" w:hAnsi="Times New Roman" w:cs="Times New Roman"/>
          <w:color w:val="000000" w:themeColor="text1"/>
          <w:szCs w:val="24"/>
        </w:rPr>
        <w:t>设第</w:t>
      </w:r>
      <w:r>
        <w:rPr>
          <w:rFonts w:ascii="Times New Roman" w:hAnsi="Times New Roman" w:cs="Times New Roman"/>
          <w:i/>
          <w:color w:val="000000" w:themeColor="text1"/>
          <w:szCs w:val="24"/>
        </w:rPr>
        <w:t>i</w:t>
      </w:r>
      <w:r>
        <w:rPr>
          <w:rFonts w:ascii="Times New Roman" w:hAnsi="Times New Roman" w:cs="Times New Roman"/>
          <w:color w:val="000000" w:themeColor="text1"/>
          <w:szCs w:val="24"/>
        </w:rPr>
        <w:t>个室外声源在预测点产生的</w:t>
      </w:r>
      <w:r>
        <w:rPr>
          <w:rFonts w:ascii="Times New Roman" w:hAnsi="Times New Roman" w:cs="Times New Roman"/>
          <w:color w:val="000000" w:themeColor="text1"/>
          <w:szCs w:val="24"/>
        </w:rPr>
        <w:t>A</w:t>
      </w:r>
      <w:r>
        <w:rPr>
          <w:rFonts w:ascii="Times New Roman" w:hAnsi="Times New Roman" w:cs="Times New Roman"/>
          <w:color w:val="000000" w:themeColor="text1"/>
          <w:szCs w:val="24"/>
        </w:rPr>
        <w:t>声级为</w:t>
      </w:r>
      <w:r>
        <w:rPr>
          <w:rFonts w:ascii="Times New Roman" w:hAnsi="Times New Roman" w:cs="Times New Roman"/>
          <w:i/>
          <w:color w:val="000000" w:themeColor="text1"/>
          <w:szCs w:val="24"/>
        </w:rPr>
        <w:t>L</w:t>
      </w:r>
      <w:r>
        <w:rPr>
          <w:rFonts w:ascii="Times New Roman" w:hAnsi="Times New Roman" w:cs="Times New Roman"/>
          <w:color w:val="000000" w:themeColor="text1"/>
          <w:szCs w:val="24"/>
          <w:vertAlign w:val="subscript"/>
        </w:rPr>
        <w:t>A</w:t>
      </w:r>
      <w:r>
        <w:rPr>
          <w:rFonts w:ascii="Times New Roman" w:hAnsi="Times New Roman" w:cs="Times New Roman"/>
          <w:i/>
          <w:color w:val="000000" w:themeColor="text1"/>
          <w:szCs w:val="24"/>
          <w:vertAlign w:val="subscript"/>
        </w:rPr>
        <w:t>i</w:t>
      </w:r>
      <w:r>
        <w:rPr>
          <w:rFonts w:ascii="Times New Roman" w:hAnsi="Times New Roman" w:cs="Times New Roman"/>
          <w:color w:val="000000" w:themeColor="text1"/>
          <w:szCs w:val="24"/>
        </w:rPr>
        <w:t>，在</w:t>
      </w:r>
      <w:r>
        <w:rPr>
          <w:rFonts w:ascii="Times New Roman" w:hAnsi="Times New Roman" w:cs="Times New Roman"/>
          <w:i/>
          <w:color w:val="000000" w:themeColor="text1"/>
          <w:szCs w:val="24"/>
        </w:rPr>
        <w:t>T</w:t>
      </w:r>
      <w:r>
        <w:rPr>
          <w:rFonts w:ascii="Times New Roman" w:hAnsi="Times New Roman" w:cs="Times New Roman"/>
          <w:color w:val="000000" w:themeColor="text1"/>
          <w:szCs w:val="24"/>
        </w:rPr>
        <w:t>时间内该声源工作时间为</w:t>
      </w:r>
      <w:r>
        <w:rPr>
          <w:rFonts w:ascii="Times New Roman" w:hAnsi="Times New Roman" w:cs="Times New Roman"/>
          <w:i/>
          <w:color w:val="000000" w:themeColor="text1"/>
          <w:szCs w:val="24"/>
        </w:rPr>
        <w:t>t</w:t>
      </w:r>
      <w:r>
        <w:rPr>
          <w:rFonts w:ascii="Times New Roman" w:hAnsi="Times New Roman" w:cs="Times New Roman"/>
          <w:i/>
          <w:color w:val="000000" w:themeColor="text1"/>
          <w:szCs w:val="24"/>
          <w:vertAlign w:val="subscript"/>
        </w:rPr>
        <w:t>i</w:t>
      </w:r>
      <w:r>
        <w:rPr>
          <w:rFonts w:ascii="Times New Roman" w:hAnsi="Times New Roman" w:cs="Times New Roman"/>
          <w:color w:val="000000" w:themeColor="text1"/>
          <w:szCs w:val="24"/>
        </w:rPr>
        <w:t>，第</w:t>
      </w:r>
      <w:r>
        <w:rPr>
          <w:rFonts w:ascii="Times New Roman" w:hAnsi="Times New Roman" w:cs="Times New Roman"/>
          <w:i/>
          <w:iCs/>
          <w:color w:val="000000" w:themeColor="text1"/>
          <w:szCs w:val="24"/>
        </w:rPr>
        <w:t>j</w:t>
      </w:r>
      <w:r>
        <w:rPr>
          <w:rFonts w:ascii="Times New Roman" w:hAnsi="Times New Roman" w:cs="Times New Roman"/>
          <w:color w:val="000000" w:themeColor="text1"/>
          <w:szCs w:val="24"/>
        </w:rPr>
        <w:t>个等效室外声源在预测点产生的</w:t>
      </w:r>
      <w:r>
        <w:rPr>
          <w:rFonts w:ascii="Times New Roman" w:hAnsi="Times New Roman" w:cs="Times New Roman"/>
          <w:color w:val="000000" w:themeColor="text1"/>
          <w:szCs w:val="24"/>
        </w:rPr>
        <w:t>A</w:t>
      </w:r>
      <w:r>
        <w:rPr>
          <w:rFonts w:ascii="Times New Roman" w:hAnsi="Times New Roman" w:cs="Times New Roman"/>
          <w:color w:val="000000" w:themeColor="text1"/>
          <w:szCs w:val="24"/>
        </w:rPr>
        <w:t>声级为</w:t>
      </w:r>
      <w:r>
        <w:rPr>
          <w:rFonts w:ascii="Times New Roman" w:hAnsi="Times New Roman" w:cs="Times New Roman"/>
          <w:i/>
          <w:iCs/>
          <w:color w:val="000000" w:themeColor="text1"/>
          <w:szCs w:val="24"/>
        </w:rPr>
        <w:t>L</w:t>
      </w:r>
      <w:r>
        <w:rPr>
          <w:rFonts w:ascii="Times New Roman" w:hAnsi="Times New Roman" w:cs="Times New Roman"/>
          <w:color w:val="000000" w:themeColor="text1"/>
          <w:szCs w:val="24"/>
          <w:vertAlign w:val="subscript"/>
        </w:rPr>
        <w:t>A</w:t>
      </w:r>
      <w:r>
        <w:rPr>
          <w:rFonts w:ascii="Times New Roman" w:hAnsi="Times New Roman" w:cs="Times New Roman"/>
          <w:i/>
          <w:iCs/>
          <w:color w:val="000000" w:themeColor="text1"/>
          <w:szCs w:val="24"/>
          <w:vertAlign w:val="subscript"/>
        </w:rPr>
        <w:t>j</w:t>
      </w:r>
      <w:r>
        <w:rPr>
          <w:rFonts w:ascii="Times New Roman" w:hAnsi="Times New Roman" w:cs="Times New Roman"/>
          <w:color w:val="000000" w:themeColor="text1"/>
          <w:szCs w:val="24"/>
        </w:rPr>
        <w:t>，在</w:t>
      </w:r>
      <w:r>
        <w:rPr>
          <w:rFonts w:ascii="Times New Roman" w:hAnsi="Times New Roman" w:cs="Times New Roman"/>
          <w:i/>
          <w:iCs/>
          <w:color w:val="000000" w:themeColor="text1"/>
          <w:szCs w:val="24"/>
        </w:rPr>
        <w:t>T</w:t>
      </w:r>
      <w:r>
        <w:rPr>
          <w:rFonts w:ascii="Times New Roman" w:hAnsi="Times New Roman" w:cs="Times New Roman"/>
          <w:color w:val="000000" w:themeColor="text1"/>
          <w:szCs w:val="24"/>
        </w:rPr>
        <w:t>时间内该声源工作时间为</w:t>
      </w:r>
      <w:r>
        <w:rPr>
          <w:rFonts w:ascii="Times New Roman" w:hAnsi="Times New Roman" w:cs="Times New Roman"/>
          <w:i/>
          <w:color w:val="000000" w:themeColor="text1"/>
          <w:szCs w:val="24"/>
        </w:rPr>
        <w:t>t</w:t>
      </w:r>
      <w:r>
        <w:rPr>
          <w:rFonts w:ascii="Times New Roman" w:hAnsi="Times New Roman" w:cs="Times New Roman"/>
          <w:i/>
          <w:color w:val="000000" w:themeColor="text1"/>
          <w:szCs w:val="24"/>
          <w:vertAlign w:val="subscript"/>
        </w:rPr>
        <w:t>j</w:t>
      </w:r>
      <w:r>
        <w:rPr>
          <w:rFonts w:ascii="Times New Roman" w:hAnsi="Times New Roman" w:cs="Times New Roman"/>
          <w:color w:val="000000" w:themeColor="text1"/>
          <w:szCs w:val="24"/>
        </w:rPr>
        <w:t>，则拟建工程声源对预测点产生的贡献值（</w:t>
      </w:r>
      <w:r>
        <w:rPr>
          <w:rFonts w:ascii="Times New Roman" w:hAnsi="Times New Roman" w:cs="Times New Roman"/>
          <w:i/>
          <w:iCs/>
          <w:color w:val="000000" w:themeColor="text1"/>
          <w:szCs w:val="24"/>
        </w:rPr>
        <w:t>L</w:t>
      </w:r>
      <w:r>
        <w:rPr>
          <w:rFonts w:ascii="Times New Roman" w:hAnsi="Times New Roman" w:cs="Times New Roman"/>
          <w:color w:val="000000" w:themeColor="text1"/>
          <w:szCs w:val="24"/>
          <w:vertAlign w:val="subscript"/>
        </w:rPr>
        <w:t>eqg</w:t>
      </w:r>
      <w:r>
        <w:rPr>
          <w:rFonts w:ascii="Times New Roman" w:hAnsi="Times New Roman" w:cs="Times New Roman"/>
          <w:color w:val="000000" w:themeColor="text1"/>
          <w:szCs w:val="24"/>
        </w:rPr>
        <w:t>）为：</w:t>
      </w:r>
    </w:p>
    <w:p w:rsidR="00644456" w:rsidRDefault="008031C4">
      <w:pPr>
        <w:pStyle w:val="-2"/>
        <w:spacing w:line="360" w:lineRule="auto"/>
        <w:ind w:firstLineChars="0" w:firstLine="0"/>
        <w:jc w:val="center"/>
        <w:rPr>
          <w:rFonts w:ascii="Times New Roman" w:hAnsi="Times New Roman" w:cs="Times New Roman"/>
          <w:color w:val="000000" w:themeColor="text1"/>
          <w:szCs w:val="24"/>
        </w:rPr>
      </w:pPr>
      <w:r>
        <w:rPr>
          <w:rFonts w:ascii="Times New Roman" w:hAnsi="Times New Roman" w:cs="Times New Roman"/>
          <w:color w:val="000000" w:themeColor="text1"/>
          <w:position w:val="-34"/>
          <w:szCs w:val="24"/>
        </w:rPr>
        <w:object w:dxaOrig="4171" w:dyaOrig="842" w14:anchorId="39009CE4">
          <v:shape id="_x0000_i1037" type="#_x0000_t75" style="width:208.55pt;height:42pt" o:ole="">
            <v:imagedata r:id="rId72" o:title=""/>
          </v:shape>
          <o:OLEObject Type="Embed" ProgID="Equation.DSMT4" ShapeID="_x0000_i1037" DrawAspect="Content" ObjectID="_1791290108" r:id="rId73"/>
        </w:object>
      </w:r>
    </w:p>
    <w:p w:rsidR="00644456" w:rsidRDefault="008031C4">
      <w:pPr>
        <w:pStyle w:val="-2"/>
        <w:spacing w:line="360" w:lineRule="auto"/>
        <w:ind w:firstLine="480"/>
        <w:rPr>
          <w:rFonts w:ascii="Times New Roman" w:hAnsi="Times New Roman" w:cs="Times New Roman"/>
          <w:color w:val="000000" w:themeColor="text1"/>
          <w:szCs w:val="24"/>
        </w:rPr>
      </w:pPr>
      <w:r>
        <w:rPr>
          <w:rFonts w:ascii="Times New Roman" w:hAnsi="Times New Roman" w:cs="Times New Roman"/>
          <w:color w:val="000000" w:themeColor="text1"/>
          <w:szCs w:val="24"/>
        </w:rPr>
        <w:t>式中，</w:t>
      </w:r>
      <w:r>
        <w:rPr>
          <w:rFonts w:ascii="Times New Roman" w:hAnsi="Times New Roman" w:cs="Times New Roman"/>
          <w:i/>
          <w:iCs/>
          <w:color w:val="000000" w:themeColor="text1"/>
          <w:szCs w:val="24"/>
        </w:rPr>
        <w:t>L</w:t>
      </w:r>
      <w:r>
        <w:rPr>
          <w:rFonts w:ascii="Times New Roman" w:hAnsi="Times New Roman" w:cs="Times New Roman"/>
          <w:color w:val="000000" w:themeColor="text1"/>
          <w:szCs w:val="24"/>
          <w:vertAlign w:val="subscript"/>
        </w:rPr>
        <w:t>eqg</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建设项目声源在预测点产生的噪声贡献值，</w:t>
      </w:r>
      <w:r>
        <w:rPr>
          <w:rFonts w:ascii="Times New Roman" w:hAnsi="Times New Roman" w:cs="Times New Roman"/>
          <w:color w:val="000000" w:themeColor="text1"/>
          <w:szCs w:val="24"/>
        </w:rPr>
        <w:t>dB</w:t>
      </w:r>
      <w:r>
        <w:rPr>
          <w:rFonts w:ascii="Times New Roman" w:hAnsi="Times New Roman" w:cs="Times New Roman"/>
          <w:color w:val="000000" w:themeColor="text1"/>
          <w:szCs w:val="24"/>
        </w:rPr>
        <w:t>；</w:t>
      </w:r>
    </w:p>
    <w:p w:rsidR="00644456" w:rsidRDefault="008031C4">
      <w:pPr>
        <w:pStyle w:val="-2"/>
        <w:spacing w:line="360" w:lineRule="auto"/>
        <w:ind w:firstLineChars="500" w:firstLine="1200"/>
        <w:rPr>
          <w:rFonts w:ascii="Times New Roman" w:hAnsi="Times New Roman" w:cs="Times New Roman"/>
          <w:color w:val="000000" w:themeColor="text1"/>
          <w:szCs w:val="24"/>
        </w:rPr>
      </w:pPr>
      <w:r>
        <w:rPr>
          <w:rFonts w:ascii="Times New Roman" w:hAnsi="Times New Roman" w:cs="Times New Roman"/>
          <w:i/>
          <w:color w:val="000000" w:themeColor="text1"/>
          <w:szCs w:val="24"/>
        </w:rPr>
        <w:t>T</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用于计算等效声级的时间，</w:t>
      </w:r>
      <w:r>
        <w:rPr>
          <w:rFonts w:ascii="Times New Roman" w:hAnsi="Times New Roman" w:cs="Times New Roman"/>
          <w:color w:val="000000" w:themeColor="text1"/>
          <w:szCs w:val="24"/>
        </w:rPr>
        <w:t>s</w:t>
      </w:r>
      <w:r>
        <w:rPr>
          <w:rFonts w:ascii="Times New Roman" w:hAnsi="Times New Roman" w:cs="Times New Roman"/>
          <w:color w:val="000000" w:themeColor="text1"/>
          <w:szCs w:val="24"/>
        </w:rPr>
        <w:t>；</w:t>
      </w:r>
    </w:p>
    <w:p w:rsidR="00644456" w:rsidRDefault="008031C4">
      <w:pPr>
        <w:pStyle w:val="-2"/>
        <w:spacing w:line="360" w:lineRule="auto"/>
        <w:ind w:firstLineChars="500" w:firstLine="1200"/>
        <w:rPr>
          <w:rFonts w:ascii="Times New Roman" w:hAnsi="Times New Roman" w:cs="Times New Roman"/>
          <w:color w:val="000000" w:themeColor="text1"/>
          <w:szCs w:val="24"/>
        </w:rPr>
      </w:pPr>
      <w:r>
        <w:rPr>
          <w:rFonts w:ascii="Times New Roman" w:hAnsi="Times New Roman" w:cs="Times New Roman"/>
          <w:i/>
          <w:color w:val="000000" w:themeColor="text1"/>
          <w:szCs w:val="24"/>
        </w:rPr>
        <w:t>N</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室外声源个数；</w:t>
      </w:r>
    </w:p>
    <w:p w:rsidR="00644456" w:rsidRDefault="008031C4">
      <w:pPr>
        <w:pStyle w:val="-2"/>
        <w:spacing w:line="360" w:lineRule="auto"/>
        <w:ind w:firstLineChars="500" w:firstLine="1200"/>
        <w:rPr>
          <w:rFonts w:ascii="Times New Roman" w:hAnsi="Times New Roman" w:cs="Times New Roman"/>
          <w:color w:val="000000" w:themeColor="text1"/>
          <w:szCs w:val="24"/>
        </w:rPr>
      </w:pPr>
      <w:r>
        <w:rPr>
          <w:rFonts w:ascii="Times New Roman" w:hAnsi="Times New Roman" w:cs="Times New Roman"/>
          <w:i/>
          <w:iCs/>
          <w:color w:val="000000" w:themeColor="text1"/>
          <w:szCs w:val="24"/>
        </w:rPr>
        <w:t>t</w:t>
      </w:r>
      <w:r>
        <w:rPr>
          <w:rFonts w:ascii="Times New Roman" w:hAnsi="Times New Roman" w:cs="Times New Roman"/>
          <w:i/>
          <w:iCs/>
          <w:color w:val="000000" w:themeColor="text1"/>
          <w:szCs w:val="24"/>
          <w:vertAlign w:val="subscript"/>
        </w:rPr>
        <w:t>i</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在</w:t>
      </w:r>
      <w:r>
        <w:rPr>
          <w:rFonts w:ascii="Times New Roman" w:hAnsi="Times New Roman" w:cs="Times New Roman"/>
          <w:i/>
          <w:iCs/>
          <w:color w:val="000000" w:themeColor="text1"/>
          <w:szCs w:val="24"/>
        </w:rPr>
        <w:t>T</w:t>
      </w:r>
      <w:r>
        <w:rPr>
          <w:rFonts w:ascii="Times New Roman" w:hAnsi="Times New Roman" w:cs="Times New Roman"/>
          <w:color w:val="000000" w:themeColor="text1"/>
          <w:szCs w:val="24"/>
        </w:rPr>
        <w:t>时间内</w:t>
      </w:r>
      <w:r>
        <w:rPr>
          <w:rFonts w:ascii="Times New Roman" w:hAnsi="Times New Roman" w:cs="Times New Roman"/>
          <w:i/>
          <w:iCs/>
          <w:color w:val="000000" w:themeColor="text1"/>
          <w:szCs w:val="24"/>
        </w:rPr>
        <w:t>i</w:t>
      </w:r>
      <w:r>
        <w:rPr>
          <w:rFonts w:ascii="Times New Roman" w:hAnsi="Times New Roman" w:cs="Times New Roman"/>
          <w:color w:val="000000" w:themeColor="text1"/>
          <w:szCs w:val="24"/>
        </w:rPr>
        <w:t>声源工作时间，</w:t>
      </w:r>
      <w:r>
        <w:rPr>
          <w:rFonts w:ascii="Times New Roman" w:hAnsi="Times New Roman" w:cs="Times New Roman"/>
          <w:color w:val="000000" w:themeColor="text1"/>
          <w:szCs w:val="24"/>
        </w:rPr>
        <w:t>s</w:t>
      </w:r>
      <w:r>
        <w:rPr>
          <w:rFonts w:ascii="Times New Roman" w:hAnsi="Times New Roman" w:cs="Times New Roman"/>
          <w:color w:val="000000" w:themeColor="text1"/>
          <w:szCs w:val="24"/>
        </w:rPr>
        <w:t>；</w:t>
      </w:r>
    </w:p>
    <w:p w:rsidR="00644456" w:rsidRDefault="008031C4">
      <w:pPr>
        <w:pStyle w:val="-2"/>
        <w:spacing w:line="360" w:lineRule="auto"/>
        <w:ind w:firstLineChars="500" w:firstLine="1200"/>
        <w:rPr>
          <w:rFonts w:ascii="Times New Roman" w:hAnsi="Times New Roman" w:cs="Times New Roman"/>
          <w:color w:val="000000" w:themeColor="text1"/>
          <w:szCs w:val="24"/>
        </w:rPr>
      </w:pPr>
      <w:r>
        <w:rPr>
          <w:rFonts w:ascii="Times New Roman" w:hAnsi="Times New Roman" w:cs="Times New Roman"/>
          <w:i/>
          <w:iCs/>
          <w:color w:val="000000" w:themeColor="text1"/>
          <w:szCs w:val="24"/>
        </w:rPr>
        <w:t>M</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等效室外声源个数；</w:t>
      </w:r>
    </w:p>
    <w:p w:rsidR="00644456" w:rsidRDefault="008031C4">
      <w:pPr>
        <w:pStyle w:val="-2"/>
        <w:spacing w:line="360" w:lineRule="auto"/>
        <w:ind w:firstLineChars="500" w:firstLine="1200"/>
        <w:rPr>
          <w:rFonts w:ascii="Times New Roman" w:hAnsi="Times New Roman" w:cs="Times New Roman"/>
          <w:color w:val="000000" w:themeColor="text1"/>
          <w:szCs w:val="24"/>
        </w:rPr>
      </w:pPr>
      <w:r>
        <w:rPr>
          <w:rFonts w:ascii="Times New Roman" w:hAnsi="Times New Roman" w:cs="Times New Roman"/>
          <w:i/>
          <w:iCs/>
          <w:color w:val="000000" w:themeColor="text1"/>
          <w:szCs w:val="24"/>
        </w:rPr>
        <w:t>t</w:t>
      </w:r>
      <w:r>
        <w:rPr>
          <w:rFonts w:ascii="Times New Roman" w:hAnsi="Times New Roman" w:cs="Times New Roman"/>
          <w:i/>
          <w:iCs/>
          <w:color w:val="000000" w:themeColor="text1"/>
          <w:szCs w:val="24"/>
          <w:vertAlign w:val="subscript"/>
        </w:rPr>
        <w:t>j</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在</w:t>
      </w:r>
      <w:r>
        <w:rPr>
          <w:rFonts w:ascii="Times New Roman" w:hAnsi="Times New Roman" w:cs="Times New Roman"/>
          <w:i/>
          <w:iCs/>
          <w:color w:val="000000" w:themeColor="text1"/>
          <w:szCs w:val="24"/>
        </w:rPr>
        <w:t>T</w:t>
      </w:r>
      <w:r>
        <w:rPr>
          <w:rFonts w:ascii="Times New Roman" w:hAnsi="Times New Roman" w:cs="Times New Roman"/>
          <w:color w:val="000000" w:themeColor="text1"/>
          <w:szCs w:val="24"/>
        </w:rPr>
        <w:t>时间内</w:t>
      </w:r>
      <w:r>
        <w:rPr>
          <w:rFonts w:ascii="Times New Roman" w:hAnsi="Times New Roman" w:cs="Times New Roman"/>
          <w:i/>
          <w:iCs/>
          <w:color w:val="000000" w:themeColor="text1"/>
          <w:szCs w:val="24"/>
        </w:rPr>
        <w:t>j</w:t>
      </w:r>
      <w:r>
        <w:rPr>
          <w:rFonts w:ascii="Times New Roman" w:hAnsi="Times New Roman" w:cs="Times New Roman"/>
          <w:color w:val="000000" w:themeColor="text1"/>
          <w:szCs w:val="24"/>
        </w:rPr>
        <w:t>声源工作时间，</w:t>
      </w:r>
      <w:r>
        <w:rPr>
          <w:rFonts w:ascii="Times New Roman" w:hAnsi="Times New Roman" w:cs="Times New Roman"/>
          <w:color w:val="000000" w:themeColor="text1"/>
          <w:szCs w:val="24"/>
        </w:rPr>
        <w:t>s</w:t>
      </w:r>
      <w:r>
        <w:rPr>
          <w:rFonts w:ascii="Times New Roman" w:hAnsi="Times New Roman" w:cs="Times New Roman"/>
          <w:color w:val="000000" w:themeColor="text1"/>
          <w:szCs w:val="24"/>
        </w:rPr>
        <w:t>。</w:t>
      </w:r>
    </w:p>
    <w:p w:rsidR="00644456" w:rsidRDefault="008031C4">
      <w:pPr>
        <w:pStyle w:val="-2"/>
        <w:spacing w:line="360" w:lineRule="auto"/>
        <w:ind w:firstLine="482"/>
        <w:rPr>
          <w:rFonts w:ascii="Times New Roman" w:hAnsi="Times New Roman" w:cs="Times New Roman"/>
          <w:b/>
          <w:bCs/>
          <w:color w:val="000000" w:themeColor="text1"/>
        </w:rPr>
      </w:pPr>
      <w:r>
        <w:rPr>
          <w:rFonts w:ascii="Times New Roman" w:hAnsi="Times New Roman" w:cs="Times New Roman"/>
          <w:b/>
          <w:bCs/>
          <w:color w:val="000000" w:themeColor="text1"/>
        </w:rPr>
        <w:t>（</w:t>
      </w:r>
      <w:r>
        <w:rPr>
          <w:rFonts w:ascii="Times New Roman" w:hAnsi="Times New Roman" w:cs="Times New Roman"/>
          <w:b/>
          <w:bCs/>
          <w:color w:val="000000" w:themeColor="text1"/>
        </w:rPr>
        <w:t>6</w:t>
      </w:r>
      <w:r>
        <w:rPr>
          <w:rFonts w:ascii="Times New Roman" w:hAnsi="Times New Roman" w:cs="Times New Roman"/>
          <w:b/>
          <w:bCs/>
          <w:color w:val="000000" w:themeColor="text1"/>
        </w:rPr>
        <w:t>）预测值计算</w:t>
      </w:r>
    </w:p>
    <w:p w:rsidR="00644456" w:rsidRDefault="008031C4">
      <w:pPr>
        <w:pStyle w:val="-2"/>
        <w:spacing w:line="360" w:lineRule="auto"/>
        <w:ind w:firstLineChars="0" w:firstLine="0"/>
        <w:jc w:val="center"/>
        <w:rPr>
          <w:rFonts w:ascii="Times New Roman" w:hAnsi="Times New Roman" w:cs="Times New Roman"/>
          <w:color w:val="000000" w:themeColor="text1"/>
          <w:szCs w:val="24"/>
        </w:rPr>
      </w:pPr>
      <w:r>
        <w:rPr>
          <w:rFonts w:ascii="Times New Roman" w:hAnsi="Times New Roman" w:cs="Times New Roman"/>
          <w:color w:val="000000" w:themeColor="text1"/>
          <w:position w:val="-14"/>
        </w:rPr>
        <w:object w:dxaOrig="2731" w:dyaOrig="421" w14:anchorId="641F80E0">
          <v:shape id="_x0000_i1038" type="#_x0000_t75" style="width:136.55pt;height:21pt" o:ole="">
            <v:imagedata r:id="rId74" o:title=""/>
          </v:shape>
          <o:OLEObject Type="Embed" ProgID="Equation.DSMT4" ShapeID="_x0000_i1038" DrawAspect="Content" ObjectID="_1791290109" r:id="rId75"/>
        </w:object>
      </w:r>
    </w:p>
    <w:p w:rsidR="00644456" w:rsidRDefault="008031C4">
      <w:pPr>
        <w:pStyle w:val="-2"/>
        <w:spacing w:line="360" w:lineRule="auto"/>
        <w:ind w:firstLine="480"/>
        <w:rPr>
          <w:rFonts w:ascii="Times New Roman" w:hAnsi="Times New Roman" w:cs="Times New Roman"/>
          <w:color w:val="000000" w:themeColor="text1"/>
          <w:szCs w:val="24"/>
        </w:rPr>
      </w:pPr>
      <w:r>
        <w:rPr>
          <w:rFonts w:ascii="Times New Roman" w:hAnsi="Times New Roman" w:cs="Times New Roman"/>
          <w:color w:val="000000" w:themeColor="text1"/>
          <w:szCs w:val="24"/>
        </w:rPr>
        <w:t>式中，</w:t>
      </w:r>
      <w:r>
        <w:rPr>
          <w:rFonts w:ascii="Times New Roman" w:hAnsi="Times New Roman" w:cs="Times New Roman"/>
          <w:i/>
          <w:color w:val="000000" w:themeColor="text1"/>
          <w:szCs w:val="24"/>
        </w:rPr>
        <w:t>L</w:t>
      </w:r>
      <w:r>
        <w:rPr>
          <w:rFonts w:ascii="Times New Roman" w:hAnsi="Times New Roman" w:cs="Times New Roman"/>
          <w:color w:val="000000" w:themeColor="text1"/>
          <w:szCs w:val="24"/>
          <w:vertAlign w:val="subscript"/>
        </w:rPr>
        <w:t>eq</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预测点的噪声预测值，</w:t>
      </w:r>
      <w:r>
        <w:rPr>
          <w:rFonts w:ascii="Times New Roman" w:hAnsi="Times New Roman" w:cs="Times New Roman"/>
          <w:color w:val="000000" w:themeColor="text1"/>
          <w:szCs w:val="24"/>
        </w:rPr>
        <w:t>dB</w:t>
      </w:r>
      <w:r>
        <w:rPr>
          <w:rFonts w:ascii="Times New Roman" w:hAnsi="Times New Roman" w:cs="Times New Roman"/>
          <w:color w:val="000000" w:themeColor="text1"/>
          <w:szCs w:val="24"/>
        </w:rPr>
        <w:t>；</w:t>
      </w:r>
    </w:p>
    <w:p w:rsidR="00644456" w:rsidRDefault="008031C4">
      <w:pPr>
        <w:pStyle w:val="-2"/>
        <w:spacing w:line="360" w:lineRule="auto"/>
        <w:ind w:firstLineChars="500" w:firstLine="1200"/>
        <w:rPr>
          <w:rFonts w:ascii="Times New Roman" w:hAnsi="Times New Roman" w:cs="Times New Roman"/>
          <w:color w:val="000000" w:themeColor="text1"/>
          <w:szCs w:val="24"/>
        </w:rPr>
      </w:pPr>
      <w:r>
        <w:rPr>
          <w:rFonts w:ascii="Times New Roman" w:hAnsi="Times New Roman" w:cs="Times New Roman"/>
          <w:i/>
          <w:color w:val="000000" w:themeColor="text1"/>
          <w:szCs w:val="24"/>
        </w:rPr>
        <w:t>L</w:t>
      </w:r>
      <w:r>
        <w:rPr>
          <w:rFonts w:ascii="Times New Roman" w:hAnsi="Times New Roman" w:cs="Times New Roman"/>
          <w:color w:val="000000" w:themeColor="text1"/>
          <w:szCs w:val="24"/>
          <w:vertAlign w:val="subscript"/>
        </w:rPr>
        <w:t>eqb</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预测点的背景值，</w:t>
      </w:r>
      <w:r>
        <w:rPr>
          <w:rFonts w:ascii="Times New Roman" w:hAnsi="Times New Roman" w:cs="Times New Roman"/>
          <w:color w:val="000000" w:themeColor="text1"/>
          <w:szCs w:val="24"/>
        </w:rPr>
        <w:t>dB</w:t>
      </w:r>
      <w:r>
        <w:rPr>
          <w:rFonts w:ascii="Times New Roman" w:hAnsi="Times New Roman" w:cs="Times New Roman"/>
          <w:color w:val="000000" w:themeColor="text1"/>
          <w:szCs w:val="24"/>
        </w:rPr>
        <w:t>。</w:t>
      </w:r>
    </w:p>
    <w:p w:rsidR="00644456" w:rsidRDefault="008031C4">
      <w:pPr>
        <w:pStyle w:val="3"/>
        <w:numPr>
          <w:ilvl w:val="2"/>
          <w:numId w:val="0"/>
        </w:numPr>
        <w:ind w:firstLineChars="200" w:firstLine="482"/>
      </w:pPr>
      <w:r>
        <w:rPr>
          <w:rFonts w:hint="eastAsia"/>
        </w:rPr>
        <w:t>5.3.4</w:t>
      </w:r>
      <w:r>
        <w:rPr>
          <w:rFonts w:hint="eastAsia"/>
        </w:rPr>
        <w:t>厂界噪声预测</w:t>
      </w:r>
    </w:p>
    <w:p w:rsidR="00644456" w:rsidRDefault="008031C4">
      <w:pPr>
        <w:autoSpaceDE w:val="0"/>
        <w:autoSpaceDN w:val="0"/>
        <w:spacing w:line="360" w:lineRule="auto"/>
        <w:ind w:firstLineChars="200" w:firstLine="480"/>
        <w:rPr>
          <w:rFonts w:cs="Times New Roman"/>
          <w:color w:val="000000" w:themeColor="text1"/>
          <w:sz w:val="24"/>
        </w:rPr>
      </w:pPr>
      <w:r>
        <w:rPr>
          <w:rFonts w:cs="Times New Roman"/>
          <w:color w:val="000000" w:themeColor="text1"/>
          <w:sz w:val="24"/>
        </w:rPr>
        <w:t>按照上述的预测方法与模式对项目建成投产后对厂界的噪声影响预测结果见下表。</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5.3</w:t>
      </w:r>
      <w:r>
        <w:rPr>
          <w:rFonts w:cs="Times New Roman" w:hint="eastAsia"/>
          <w:b/>
          <w:color w:val="000000" w:themeColor="text1"/>
          <w:sz w:val="24"/>
          <w:szCs w:val="20"/>
        </w:rPr>
        <w:noBreakHyphen/>
        <w:t>2</w:t>
      </w:r>
      <w:r>
        <w:rPr>
          <w:rFonts w:cs="Times New Roman" w:hint="eastAsia"/>
          <w:b/>
          <w:color w:val="000000" w:themeColor="text1"/>
          <w:sz w:val="24"/>
          <w:szCs w:val="20"/>
        </w:rPr>
        <w:t>项目噪声预测值表单位：</w:t>
      </w:r>
      <w:r>
        <w:rPr>
          <w:rFonts w:cs="Times New Roman" w:hint="eastAsia"/>
          <w:b/>
          <w:color w:val="000000" w:themeColor="text1"/>
          <w:sz w:val="24"/>
          <w:szCs w:val="20"/>
        </w:rPr>
        <w:t>dB</w:t>
      </w:r>
      <w:r>
        <w:rPr>
          <w:rFonts w:cs="Times New Roman" w:hint="eastAsia"/>
          <w:b/>
          <w:color w:val="000000" w:themeColor="text1"/>
          <w:sz w:val="24"/>
          <w:szCs w:val="20"/>
        </w:rPr>
        <w:t>（</w:t>
      </w:r>
      <w:r>
        <w:rPr>
          <w:rFonts w:cs="Times New Roman" w:hint="eastAsia"/>
          <w:b/>
          <w:color w:val="000000" w:themeColor="text1"/>
          <w:sz w:val="24"/>
          <w:szCs w:val="20"/>
        </w:rPr>
        <w:t>A</w:t>
      </w:r>
      <w:r>
        <w:rPr>
          <w:rFonts w:cs="Times New Roman" w:hint="eastAsia"/>
          <w:b/>
          <w:color w:val="000000" w:themeColor="text1"/>
          <w:sz w:val="24"/>
          <w:szCs w:val="20"/>
        </w:rPr>
        <w:t>）</w:t>
      </w:r>
    </w:p>
    <w:tbl>
      <w:tblPr>
        <w:tblW w:w="4763"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60"/>
        <w:gridCol w:w="1060"/>
        <w:gridCol w:w="2461"/>
        <w:gridCol w:w="1761"/>
        <w:gridCol w:w="1761"/>
      </w:tblGrid>
      <w:tr w:rsidR="00644456">
        <w:trPr>
          <w:trHeight w:val="241"/>
          <w:jc w:val="center"/>
        </w:trPr>
        <w:tc>
          <w:tcPr>
            <w:tcW w:w="0" w:type="auto"/>
            <w:vMerge w:val="restart"/>
            <w:vAlign w:val="center"/>
          </w:tcPr>
          <w:p w:rsidR="00644456" w:rsidRDefault="008031C4">
            <w:pPr>
              <w:widowControl/>
              <w:adjustRightInd w:val="0"/>
              <w:snapToGrid w:val="0"/>
              <w:jc w:val="center"/>
              <w:textAlignment w:val="center"/>
            </w:pPr>
            <w:r>
              <w:rPr>
                <w:rFonts w:hint="eastAsia"/>
              </w:rPr>
              <w:t>预测方位</w:t>
            </w:r>
          </w:p>
        </w:tc>
        <w:tc>
          <w:tcPr>
            <w:tcW w:w="0" w:type="auto"/>
            <w:vMerge w:val="restart"/>
            <w:vAlign w:val="center"/>
          </w:tcPr>
          <w:p w:rsidR="00644456" w:rsidRDefault="008031C4">
            <w:pPr>
              <w:widowControl/>
              <w:adjustRightInd w:val="0"/>
              <w:snapToGrid w:val="0"/>
              <w:jc w:val="center"/>
              <w:textAlignment w:val="center"/>
            </w:pPr>
            <w:r>
              <w:rPr>
                <w:rFonts w:hint="eastAsia"/>
              </w:rPr>
              <w:t>时段</w:t>
            </w:r>
          </w:p>
        </w:tc>
        <w:tc>
          <w:tcPr>
            <w:tcW w:w="0" w:type="auto"/>
            <w:vMerge w:val="restart"/>
            <w:vAlign w:val="center"/>
          </w:tcPr>
          <w:p w:rsidR="00644456" w:rsidRDefault="008031C4">
            <w:pPr>
              <w:widowControl/>
              <w:adjustRightInd w:val="0"/>
              <w:snapToGrid w:val="0"/>
              <w:jc w:val="center"/>
              <w:textAlignment w:val="center"/>
            </w:pPr>
            <w:r>
              <w:rPr>
                <w:rFonts w:hint="eastAsia"/>
              </w:rPr>
              <w:t>本项目贡献值</w:t>
            </w:r>
          </w:p>
        </w:tc>
        <w:tc>
          <w:tcPr>
            <w:tcW w:w="0" w:type="auto"/>
            <w:vMerge w:val="restart"/>
            <w:vAlign w:val="center"/>
          </w:tcPr>
          <w:p w:rsidR="00644456" w:rsidRDefault="008031C4">
            <w:pPr>
              <w:widowControl/>
              <w:adjustRightInd w:val="0"/>
              <w:snapToGrid w:val="0"/>
              <w:jc w:val="center"/>
              <w:textAlignment w:val="center"/>
            </w:pPr>
            <w:r>
              <w:rPr>
                <w:rFonts w:hint="eastAsia"/>
              </w:rPr>
              <w:t>标准限值</w:t>
            </w:r>
          </w:p>
        </w:tc>
        <w:tc>
          <w:tcPr>
            <w:tcW w:w="0" w:type="auto"/>
            <w:vMerge w:val="restart"/>
            <w:vAlign w:val="center"/>
          </w:tcPr>
          <w:p w:rsidR="00644456" w:rsidRDefault="008031C4">
            <w:pPr>
              <w:widowControl/>
              <w:adjustRightInd w:val="0"/>
              <w:snapToGrid w:val="0"/>
              <w:jc w:val="center"/>
              <w:textAlignment w:val="center"/>
            </w:pPr>
            <w:r>
              <w:rPr>
                <w:rFonts w:hint="eastAsia"/>
              </w:rPr>
              <w:t>达标情况</w:t>
            </w:r>
          </w:p>
        </w:tc>
      </w:tr>
      <w:tr w:rsidR="00644456">
        <w:trPr>
          <w:trHeight w:val="241"/>
          <w:jc w:val="center"/>
        </w:trPr>
        <w:tc>
          <w:tcPr>
            <w:tcW w:w="0" w:type="auto"/>
            <w:vMerge/>
            <w:vAlign w:val="center"/>
          </w:tcPr>
          <w:p w:rsidR="00644456" w:rsidRDefault="00644456">
            <w:pPr>
              <w:widowControl/>
              <w:adjustRightInd w:val="0"/>
              <w:snapToGrid w:val="0"/>
              <w:jc w:val="center"/>
              <w:textAlignment w:val="center"/>
            </w:pPr>
          </w:p>
        </w:tc>
        <w:tc>
          <w:tcPr>
            <w:tcW w:w="0" w:type="auto"/>
            <w:vMerge/>
            <w:vAlign w:val="center"/>
          </w:tcPr>
          <w:p w:rsidR="00644456" w:rsidRDefault="00644456">
            <w:pPr>
              <w:widowControl/>
              <w:adjustRightInd w:val="0"/>
              <w:snapToGrid w:val="0"/>
              <w:jc w:val="center"/>
              <w:textAlignment w:val="center"/>
            </w:pPr>
          </w:p>
        </w:tc>
        <w:tc>
          <w:tcPr>
            <w:tcW w:w="0" w:type="auto"/>
            <w:vMerge/>
            <w:vAlign w:val="center"/>
          </w:tcPr>
          <w:p w:rsidR="00644456" w:rsidRDefault="00644456">
            <w:pPr>
              <w:widowControl/>
              <w:adjustRightInd w:val="0"/>
              <w:snapToGrid w:val="0"/>
              <w:jc w:val="center"/>
              <w:textAlignment w:val="center"/>
            </w:pPr>
          </w:p>
        </w:tc>
        <w:tc>
          <w:tcPr>
            <w:tcW w:w="0" w:type="auto"/>
            <w:vMerge/>
            <w:vAlign w:val="center"/>
          </w:tcPr>
          <w:p w:rsidR="00644456" w:rsidRDefault="00644456">
            <w:pPr>
              <w:widowControl/>
              <w:adjustRightInd w:val="0"/>
              <w:snapToGrid w:val="0"/>
              <w:jc w:val="center"/>
              <w:textAlignment w:val="center"/>
            </w:pPr>
          </w:p>
        </w:tc>
        <w:tc>
          <w:tcPr>
            <w:tcW w:w="0" w:type="auto"/>
            <w:vMerge/>
            <w:vAlign w:val="center"/>
          </w:tcPr>
          <w:p w:rsidR="00644456" w:rsidRDefault="00644456">
            <w:pPr>
              <w:widowControl/>
              <w:adjustRightInd w:val="0"/>
              <w:snapToGrid w:val="0"/>
              <w:jc w:val="center"/>
              <w:textAlignment w:val="center"/>
            </w:pPr>
          </w:p>
        </w:tc>
      </w:tr>
      <w:tr w:rsidR="00644456">
        <w:trPr>
          <w:jc w:val="center"/>
        </w:trPr>
        <w:tc>
          <w:tcPr>
            <w:tcW w:w="0" w:type="auto"/>
            <w:vMerge w:val="restart"/>
            <w:vAlign w:val="center"/>
          </w:tcPr>
          <w:p w:rsidR="00644456" w:rsidRDefault="008031C4">
            <w:pPr>
              <w:widowControl/>
              <w:adjustRightInd w:val="0"/>
              <w:snapToGrid w:val="0"/>
              <w:jc w:val="center"/>
              <w:textAlignment w:val="center"/>
            </w:pPr>
            <w:r>
              <w:rPr>
                <w:rFonts w:hint="eastAsia"/>
              </w:rPr>
              <w:t>东侧</w:t>
            </w:r>
          </w:p>
        </w:tc>
        <w:tc>
          <w:tcPr>
            <w:tcW w:w="0" w:type="auto"/>
            <w:vAlign w:val="center"/>
          </w:tcPr>
          <w:p w:rsidR="00644456" w:rsidRDefault="008031C4">
            <w:pPr>
              <w:widowControl/>
              <w:adjustRightInd w:val="0"/>
              <w:snapToGrid w:val="0"/>
              <w:jc w:val="center"/>
              <w:textAlignment w:val="center"/>
            </w:pPr>
            <w:r>
              <w:rPr>
                <w:rFonts w:hint="eastAsia"/>
              </w:rPr>
              <w:t>昼间</w:t>
            </w:r>
          </w:p>
        </w:tc>
        <w:tc>
          <w:tcPr>
            <w:tcW w:w="0" w:type="auto"/>
            <w:vAlign w:val="center"/>
          </w:tcPr>
          <w:p w:rsidR="00644456" w:rsidRDefault="008031C4">
            <w:pPr>
              <w:widowControl/>
              <w:adjustRightInd w:val="0"/>
              <w:snapToGrid w:val="0"/>
              <w:jc w:val="center"/>
              <w:textAlignment w:val="center"/>
            </w:pPr>
            <w:r>
              <w:rPr>
                <w:rFonts w:hint="eastAsia"/>
              </w:rPr>
              <w:t>25.5</w:t>
            </w:r>
          </w:p>
        </w:tc>
        <w:tc>
          <w:tcPr>
            <w:tcW w:w="0" w:type="auto"/>
            <w:vAlign w:val="center"/>
          </w:tcPr>
          <w:p w:rsidR="00644456" w:rsidRDefault="008031C4">
            <w:pPr>
              <w:widowControl/>
              <w:adjustRightInd w:val="0"/>
              <w:snapToGrid w:val="0"/>
              <w:jc w:val="center"/>
              <w:textAlignment w:val="center"/>
            </w:pPr>
            <w:r>
              <w:rPr>
                <w:rFonts w:hint="eastAsia"/>
              </w:rPr>
              <w:t>65</w:t>
            </w:r>
          </w:p>
        </w:tc>
        <w:tc>
          <w:tcPr>
            <w:tcW w:w="0" w:type="auto"/>
            <w:vAlign w:val="center"/>
          </w:tcPr>
          <w:p w:rsidR="00644456" w:rsidRDefault="008031C4">
            <w:pPr>
              <w:widowControl/>
              <w:adjustRightInd w:val="0"/>
              <w:snapToGrid w:val="0"/>
              <w:jc w:val="center"/>
              <w:textAlignment w:val="center"/>
            </w:pPr>
            <w:r>
              <w:rPr>
                <w:rFonts w:hint="eastAsia"/>
              </w:rPr>
              <w:t>达标</w:t>
            </w:r>
          </w:p>
        </w:tc>
      </w:tr>
      <w:tr w:rsidR="00644456">
        <w:trPr>
          <w:jc w:val="center"/>
        </w:trPr>
        <w:tc>
          <w:tcPr>
            <w:tcW w:w="0" w:type="auto"/>
            <w:vMerge/>
            <w:vAlign w:val="center"/>
          </w:tcPr>
          <w:p w:rsidR="00644456" w:rsidRDefault="00644456">
            <w:pPr>
              <w:widowControl/>
              <w:adjustRightInd w:val="0"/>
              <w:snapToGrid w:val="0"/>
              <w:jc w:val="center"/>
              <w:textAlignment w:val="center"/>
            </w:pPr>
          </w:p>
        </w:tc>
        <w:tc>
          <w:tcPr>
            <w:tcW w:w="0" w:type="auto"/>
            <w:vAlign w:val="center"/>
          </w:tcPr>
          <w:p w:rsidR="00644456" w:rsidRDefault="008031C4">
            <w:pPr>
              <w:widowControl/>
              <w:adjustRightInd w:val="0"/>
              <w:snapToGrid w:val="0"/>
              <w:jc w:val="center"/>
              <w:textAlignment w:val="center"/>
            </w:pPr>
            <w:r>
              <w:rPr>
                <w:rFonts w:hint="eastAsia"/>
              </w:rPr>
              <w:t>夜间</w:t>
            </w:r>
          </w:p>
        </w:tc>
        <w:tc>
          <w:tcPr>
            <w:tcW w:w="0" w:type="auto"/>
            <w:vAlign w:val="center"/>
          </w:tcPr>
          <w:p w:rsidR="00644456" w:rsidRDefault="008031C4">
            <w:pPr>
              <w:widowControl/>
              <w:adjustRightInd w:val="0"/>
              <w:snapToGrid w:val="0"/>
              <w:jc w:val="center"/>
              <w:textAlignment w:val="center"/>
            </w:pPr>
            <w:r>
              <w:rPr>
                <w:rFonts w:hint="eastAsia"/>
              </w:rPr>
              <w:t>25.5</w:t>
            </w:r>
          </w:p>
        </w:tc>
        <w:tc>
          <w:tcPr>
            <w:tcW w:w="0" w:type="auto"/>
            <w:vAlign w:val="center"/>
          </w:tcPr>
          <w:p w:rsidR="00644456" w:rsidRDefault="008031C4">
            <w:pPr>
              <w:widowControl/>
              <w:adjustRightInd w:val="0"/>
              <w:snapToGrid w:val="0"/>
              <w:jc w:val="center"/>
              <w:textAlignment w:val="center"/>
            </w:pPr>
            <w:r>
              <w:rPr>
                <w:rFonts w:hint="eastAsia"/>
              </w:rPr>
              <w:t>55</w:t>
            </w:r>
          </w:p>
        </w:tc>
        <w:tc>
          <w:tcPr>
            <w:tcW w:w="0" w:type="auto"/>
            <w:vAlign w:val="center"/>
          </w:tcPr>
          <w:p w:rsidR="00644456" w:rsidRDefault="008031C4">
            <w:pPr>
              <w:widowControl/>
              <w:adjustRightInd w:val="0"/>
              <w:snapToGrid w:val="0"/>
              <w:jc w:val="center"/>
              <w:textAlignment w:val="center"/>
            </w:pPr>
            <w:r>
              <w:rPr>
                <w:rFonts w:hint="eastAsia"/>
              </w:rPr>
              <w:t>达标</w:t>
            </w:r>
          </w:p>
        </w:tc>
      </w:tr>
      <w:tr w:rsidR="00644456">
        <w:trPr>
          <w:jc w:val="center"/>
        </w:trPr>
        <w:tc>
          <w:tcPr>
            <w:tcW w:w="0" w:type="auto"/>
            <w:vMerge w:val="restart"/>
            <w:vAlign w:val="center"/>
          </w:tcPr>
          <w:p w:rsidR="00644456" w:rsidRDefault="008031C4">
            <w:pPr>
              <w:widowControl/>
              <w:adjustRightInd w:val="0"/>
              <w:snapToGrid w:val="0"/>
              <w:jc w:val="center"/>
              <w:textAlignment w:val="center"/>
            </w:pPr>
            <w:r>
              <w:rPr>
                <w:rFonts w:hint="eastAsia"/>
              </w:rPr>
              <w:t>南侧</w:t>
            </w:r>
          </w:p>
        </w:tc>
        <w:tc>
          <w:tcPr>
            <w:tcW w:w="0" w:type="auto"/>
            <w:vAlign w:val="center"/>
          </w:tcPr>
          <w:p w:rsidR="00644456" w:rsidRDefault="008031C4">
            <w:pPr>
              <w:widowControl/>
              <w:adjustRightInd w:val="0"/>
              <w:snapToGrid w:val="0"/>
              <w:jc w:val="center"/>
              <w:textAlignment w:val="center"/>
            </w:pPr>
            <w:r>
              <w:rPr>
                <w:rFonts w:hint="eastAsia"/>
              </w:rPr>
              <w:t>昼间</w:t>
            </w:r>
          </w:p>
        </w:tc>
        <w:tc>
          <w:tcPr>
            <w:tcW w:w="0" w:type="auto"/>
            <w:vAlign w:val="center"/>
          </w:tcPr>
          <w:p w:rsidR="00644456" w:rsidRDefault="008031C4">
            <w:pPr>
              <w:widowControl/>
              <w:adjustRightInd w:val="0"/>
              <w:snapToGrid w:val="0"/>
              <w:jc w:val="center"/>
              <w:textAlignment w:val="center"/>
            </w:pPr>
            <w:r>
              <w:rPr>
                <w:rFonts w:hint="eastAsia"/>
              </w:rPr>
              <w:t>34.2</w:t>
            </w:r>
          </w:p>
        </w:tc>
        <w:tc>
          <w:tcPr>
            <w:tcW w:w="0" w:type="auto"/>
            <w:vAlign w:val="center"/>
          </w:tcPr>
          <w:p w:rsidR="00644456" w:rsidRDefault="008031C4">
            <w:pPr>
              <w:widowControl/>
              <w:adjustRightInd w:val="0"/>
              <w:snapToGrid w:val="0"/>
              <w:jc w:val="center"/>
              <w:textAlignment w:val="center"/>
            </w:pPr>
            <w:r>
              <w:rPr>
                <w:rFonts w:hint="eastAsia"/>
              </w:rPr>
              <w:t>65</w:t>
            </w:r>
          </w:p>
        </w:tc>
        <w:tc>
          <w:tcPr>
            <w:tcW w:w="0" w:type="auto"/>
            <w:vAlign w:val="center"/>
          </w:tcPr>
          <w:p w:rsidR="00644456" w:rsidRDefault="008031C4">
            <w:pPr>
              <w:widowControl/>
              <w:adjustRightInd w:val="0"/>
              <w:snapToGrid w:val="0"/>
              <w:jc w:val="center"/>
              <w:textAlignment w:val="center"/>
            </w:pPr>
            <w:r>
              <w:rPr>
                <w:rFonts w:hint="eastAsia"/>
              </w:rPr>
              <w:t>达标</w:t>
            </w:r>
          </w:p>
        </w:tc>
      </w:tr>
      <w:tr w:rsidR="00644456">
        <w:trPr>
          <w:jc w:val="center"/>
        </w:trPr>
        <w:tc>
          <w:tcPr>
            <w:tcW w:w="0" w:type="auto"/>
            <w:vMerge/>
            <w:vAlign w:val="center"/>
          </w:tcPr>
          <w:p w:rsidR="00644456" w:rsidRDefault="00644456">
            <w:pPr>
              <w:widowControl/>
              <w:adjustRightInd w:val="0"/>
              <w:snapToGrid w:val="0"/>
              <w:jc w:val="center"/>
              <w:textAlignment w:val="center"/>
            </w:pPr>
          </w:p>
        </w:tc>
        <w:tc>
          <w:tcPr>
            <w:tcW w:w="0" w:type="auto"/>
            <w:vAlign w:val="center"/>
          </w:tcPr>
          <w:p w:rsidR="00644456" w:rsidRDefault="008031C4">
            <w:pPr>
              <w:widowControl/>
              <w:adjustRightInd w:val="0"/>
              <w:snapToGrid w:val="0"/>
              <w:jc w:val="center"/>
              <w:textAlignment w:val="center"/>
            </w:pPr>
            <w:r>
              <w:rPr>
                <w:rFonts w:hint="eastAsia"/>
              </w:rPr>
              <w:t>夜间</w:t>
            </w:r>
          </w:p>
        </w:tc>
        <w:tc>
          <w:tcPr>
            <w:tcW w:w="0" w:type="auto"/>
            <w:vAlign w:val="center"/>
          </w:tcPr>
          <w:p w:rsidR="00644456" w:rsidRDefault="008031C4">
            <w:pPr>
              <w:widowControl/>
              <w:adjustRightInd w:val="0"/>
              <w:snapToGrid w:val="0"/>
              <w:jc w:val="center"/>
              <w:textAlignment w:val="center"/>
            </w:pPr>
            <w:r>
              <w:rPr>
                <w:rFonts w:hint="eastAsia"/>
              </w:rPr>
              <w:t>34.2</w:t>
            </w:r>
          </w:p>
        </w:tc>
        <w:tc>
          <w:tcPr>
            <w:tcW w:w="0" w:type="auto"/>
            <w:vAlign w:val="center"/>
          </w:tcPr>
          <w:p w:rsidR="00644456" w:rsidRDefault="008031C4">
            <w:pPr>
              <w:widowControl/>
              <w:adjustRightInd w:val="0"/>
              <w:snapToGrid w:val="0"/>
              <w:jc w:val="center"/>
              <w:textAlignment w:val="center"/>
            </w:pPr>
            <w:r>
              <w:rPr>
                <w:rFonts w:hint="eastAsia"/>
              </w:rPr>
              <w:t>55</w:t>
            </w:r>
          </w:p>
        </w:tc>
        <w:tc>
          <w:tcPr>
            <w:tcW w:w="0" w:type="auto"/>
            <w:vAlign w:val="center"/>
          </w:tcPr>
          <w:p w:rsidR="00644456" w:rsidRDefault="008031C4">
            <w:pPr>
              <w:widowControl/>
              <w:adjustRightInd w:val="0"/>
              <w:snapToGrid w:val="0"/>
              <w:jc w:val="center"/>
              <w:textAlignment w:val="center"/>
            </w:pPr>
            <w:r>
              <w:rPr>
                <w:rFonts w:hint="eastAsia"/>
              </w:rPr>
              <w:t>达标</w:t>
            </w:r>
          </w:p>
        </w:tc>
      </w:tr>
      <w:tr w:rsidR="00644456">
        <w:trPr>
          <w:jc w:val="center"/>
        </w:trPr>
        <w:tc>
          <w:tcPr>
            <w:tcW w:w="0" w:type="auto"/>
            <w:vMerge w:val="restart"/>
            <w:vAlign w:val="center"/>
          </w:tcPr>
          <w:p w:rsidR="00644456" w:rsidRDefault="008031C4">
            <w:pPr>
              <w:widowControl/>
              <w:adjustRightInd w:val="0"/>
              <w:snapToGrid w:val="0"/>
              <w:jc w:val="center"/>
              <w:textAlignment w:val="center"/>
            </w:pPr>
            <w:r>
              <w:rPr>
                <w:rFonts w:hint="eastAsia"/>
              </w:rPr>
              <w:t>西侧</w:t>
            </w:r>
          </w:p>
        </w:tc>
        <w:tc>
          <w:tcPr>
            <w:tcW w:w="0" w:type="auto"/>
            <w:vAlign w:val="center"/>
          </w:tcPr>
          <w:p w:rsidR="00644456" w:rsidRDefault="008031C4">
            <w:pPr>
              <w:widowControl/>
              <w:adjustRightInd w:val="0"/>
              <w:snapToGrid w:val="0"/>
              <w:jc w:val="center"/>
              <w:textAlignment w:val="center"/>
            </w:pPr>
            <w:r>
              <w:rPr>
                <w:rFonts w:hint="eastAsia"/>
              </w:rPr>
              <w:t>昼间</w:t>
            </w:r>
          </w:p>
        </w:tc>
        <w:tc>
          <w:tcPr>
            <w:tcW w:w="0" w:type="auto"/>
            <w:vAlign w:val="center"/>
          </w:tcPr>
          <w:p w:rsidR="00644456" w:rsidRDefault="008031C4">
            <w:pPr>
              <w:widowControl/>
              <w:adjustRightInd w:val="0"/>
              <w:snapToGrid w:val="0"/>
              <w:jc w:val="center"/>
              <w:textAlignment w:val="center"/>
            </w:pPr>
            <w:r>
              <w:rPr>
                <w:rFonts w:hint="eastAsia"/>
              </w:rPr>
              <w:t>38.8</w:t>
            </w:r>
          </w:p>
        </w:tc>
        <w:tc>
          <w:tcPr>
            <w:tcW w:w="0" w:type="auto"/>
            <w:vAlign w:val="center"/>
          </w:tcPr>
          <w:p w:rsidR="00644456" w:rsidRDefault="008031C4">
            <w:pPr>
              <w:widowControl/>
              <w:adjustRightInd w:val="0"/>
              <w:snapToGrid w:val="0"/>
              <w:jc w:val="center"/>
              <w:textAlignment w:val="center"/>
            </w:pPr>
            <w:r>
              <w:rPr>
                <w:rFonts w:hint="eastAsia"/>
              </w:rPr>
              <w:t>65</w:t>
            </w:r>
          </w:p>
        </w:tc>
        <w:tc>
          <w:tcPr>
            <w:tcW w:w="0" w:type="auto"/>
            <w:vAlign w:val="center"/>
          </w:tcPr>
          <w:p w:rsidR="00644456" w:rsidRDefault="008031C4">
            <w:pPr>
              <w:widowControl/>
              <w:adjustRightInd w:val="0"/>
              <w:snapToGrid w:val="0"/>
              <w:jc w:val="center"/>
              <w:textAlignment w:val="center"/>
            </w:pPr>
            <w:r>
              <w:rPr>
                <w:rFonts w:hint="eastAsia"/>
              </w:rPr>
              <w:t>达标</w:t>
            </w:r>
          </w:p>
        </w:tc>
      </w:tr>
      <w:tr w:rsidR="00644456">
        <w:trPr>
          <w:jc w:val="center"/>
        </w:trPr>
        <w:tc>
          <w:tcPr>
            <w:tcW w:w="0" w:type="auto"/>
            <w:vMerge/>
            <w:vAlign w:val="center"/>
          </w:tcPr>
          <w:p w:rsidR="00644456" w:rsidRDefault="00644456">
            <w:pPr>
              <w:widowControl/>
              <w:adjustRightInd w:val="0"/>
              <w:snapToGrid w:val="0"/>
              <w:jc w:val="center"/>
              <w:textAlignment w:val="center"/>
            </w:pPr>
          </w:p>
        </w:tc>
        <w:tc>
          <w:tcPr>
            <w:tcW w:w="0" w:type="auto"/>
            <w:vAlign w:val="center"/>
          </w:tcPr>
          <w:p w:rsidR="00644456" w:rsidRDefault="008031C4">
            <w:pPr>
              <w:widowControl/>
              <w:adjustRightInd w:val="0"/>
              <w:snapToGrid w:val="0"/>
              <w:jc w:val="center"/>
              <w:textAlignment w:val="center"/>
            </w:pPr>
            <w:r>
              <w:rPr>
                <w:rFonts w:hint="eastAsia"/>
              </w:rPr>
              <w:t>夜间</w:t>
            </w:r>
          </w:p>
        </w:tc>
        <w:tc>
          <w:tcPr>
            <w:tcW w:w="0" w:type="auto"/>
            <w:vAlign w:val="center"/>
          </w:tcPr>
          <w:p w:rsidR="00644456" w:rsidRDefault="008031C4">
            <w:pPr>
              <w:widowControl/>
              <w:adjustRightInd w:val="0"/>
              <w:snapToGrid w:val="0"/>
              <w:jc w:val="center"/>
              <w:textAlignment w:val="center"/>
            </w:pPr>
            <w:r>
              <w:rPr>
                <w:rFonts w:hint="eastAsia"/>
              </w:rPr>
              <w:t>38.8</w:t>
            </w:r>
          </w:p>
        </w:tc>
        <w:tc>
          <w:tcPr>
            <w:tcW w:w="0" w:type="auto"/>
            <w:vAlign w:val="center"/>
          </w:tcPr>
          <w:p w:rsidR="00644456" w:rsidRDefault="008031C4">
            <w:pPr>
              <w:widowControl/>
              <w:adjustRightInd w:val="0"/>
              <w:snapToGrid w:val="0"/>
              <w:jc w:val="center"/>
              <w:textAlignment w:val="center"/>
            </w:pPr>
            <w:r>
              <w:rPr>
                <w:rFonts w:hint="eastAsia"/>
              </w:rPr>
              <w:t>55</w:t>
            </w:r>
          </w:p>
        </w:tc>
        <w:tc>
          <w:tcPr>
            <w:tcW w:w="0" w:type="auto"/>
            <w:vAlign w:val="center"/>
          </w:tcPr>
          <w:p w:rsidR="00644456" w:rsidRDefault="008031C4">
            <w:pPr>
              <w:widowControl/>
              <w:adjustRightInd w:val="0"/>
              <w:snapToGrid w:val="0"/>
              <w:jc w:val="center"/>
              <w:textAlignment w:val="center"/>
            </w:pPr>
            <w:r>
              <w:rPr>
                <w:rFonts w:hint="eastAsia"/>
              </w:rPr>
              <w:t>达标</w:t>
            </w:r>
          </w:p>
        </w:tc>
      </w:tr>
      <w:tr w:rsidR="00644456">
        <w:trPr>
          <w:jc w:val="center"/>
        </w:trPr>
        <w:tc>
          <w:tcPr>
            <w:tcW w:w="0" w:type="auto"/>
            <w:vMerge w:val="restart"/>
            <w:vAlign w:val="center"/>
          </w:tcPr>
          <w:p w:rsidR="00644456" w:rsidRDefault="008031C4">
            <w:pPr>
              <w:widowControl/>
              <w:adjustRightInd w:val="0"/>
              <w:snapToGrid w:val="0"/>
              <w:jc w:val="center"/>
              <w:textAlignment w:val="center"/>
            </w:pPr>
            <w:r>
              <w:rPr>
                <w:rFonts w:hint="eastAsia"/>
              </w:rPr>
              <w:t>北侧</w:t>
            </w:r>
          </w:p>
        </w:tc>
        <w:tc>
          <w:tcPr>
            <w:tcW w:w="0" w:type="auto"/>
            <w:vAlign w:val="center"/>
          </w:tcPr>
          <w:p w:rsidR="00644456" w:rsidRDefault="008031C4">
            <w:pPr>
              <w:widowControl/>
              <w:adjustRightInd w:val="0"/>
              <w:snapToGrid w:val="0"/>
              <w:jc w:val="center"/>
              <w:textAlignment w:val="center"/>
            </w:pPr>
            <w:r>
              <w:rPr>
                <w:rFonts w:hint="eastAsia"/>
              </w:rPr>
              <w:t>昼间</w:t>
            </w:r>
          </w:p>
        </w:tc>
        <w:tc>
          <w:tcPr>
            <w:tcW w:w="0" w:type="auto"/>
            <w:vAlign w:val="center"/>
          </w:tcPr>
          <w:p w:rsidR="00644456" w:rsidRDefault="008031C4">
            <w:pPr>
              <w:widowControl/>
              <w:adjustRightInd w:val="0"/>
              <w:snapToGrid w:val="0"/>
              <w:jc w:val="center"/>
              <w:textAlignment w:val="center"/>
            </w:pPr>
            <w:r>
              <w:rPr>
                <w:rFonts w:hint="eastAsia"/>
              </w:rPr>
              <w:t>47.4</w:t>
            </w:r>
          </w:p>
        </w:tc>
        <w:tc>
          <w:tcPr>
            <w:tcW w:w="0" w:type="auto"/>
            <w:vAlign w:val="center"/>
          </w:tcPr>
          <w:p w:rsidR="00644456" w:rsidRDefault="008031C4">
            <w:pPr>
              <w:widowControl/>
              <w:adjustRightInd w:val="0"/>
              <w:snapToGrid w:val="0"/>
              <w:jc w:val="center"/>
              <w:textAlignment w:val="center"/>
            </w:pPr>
            <w:r>
              <w:rPr>
                <w:rFonts w:hint="eastAsia"/>
              </w:rPr>
              <w:t>65</w:t>
            </w:r>
          </w:p>
        </w:tc>
        <w:tc>
          <w:tcPr>
            <w:tcW w:w="0" w:type="auto"/>
            <w:vAlign w:val="center"/>
          </w:tcPr>
          <w:p w:rsidR="00644456" w:rsidRDefault="008031C4">
            <w:pPr>
              <w:widowControl/>
              <w:adjustRightInd w:val="0"/>
              <w:snapToGrid w:val="0"/>
              <w:jc w:val="center"/>
              <w:textAlignment w:val="center"/>
            </w:pPr>
            <w:r>
              <w:rPr>
                <w:rFonts w:hint="eastAsia"/>
              </w:rPr>
              <w:t>达标</w:t>
            </w:r>
          </w:p>
        </w:tc>
      </w:tr>
      <w:tr w:rsidR="00644456">
        <w:trPr>
          <w:jc w:val="center"/>
        </w:trPr>
        <w:tc>
          <w:tcPr>
            <w:tcW w:w="0" w:type="auto"/>
            <w:vMerge/>
            <w:vAlign w:val="center"/>
          </w:tcPr>
          <w:p w:rsidR="00644456" w:rsidRDefault="00644456">
            <w:pPr>
              <w:widowControl/>
              <w:adjustRightInd w:val="0"/>
              <w:snapToGrid w:val="0"/>
              <w:jc w:val="center"/>
              <w:textAlignment w:val="center"/>
            </w:pPr>
          </w:p>
        </w:tc>
        <w:tc>
          <w:tcPr>
            <w:tcW w:w="0" w:type="auto"/>
            <w:vAlign w:val="center"/>
          </w:tcPr>
          <w:p w:rsidR="00644456" w:rsidRDefault="008031C4">
            <w:pPr>
              <w:widowControl/>
              <w:adjustRightInd w:val="0"/>
              <w:snapToGrid w:val="0"/>
              <w:jc w:val="center"/>
              <w:textAlignment w:val="center"/>
            </w:pPr>
            <w:r>
              <w:rPr>
                <w:rFonts w:hint="eastAsia"/>
              </w:rPr>
              <w:t>夜间</w:t>
            </w:r>
          </w:p>
        </w:tc>
        <w:tc>
          <w:tcPr>
            <w:tcW w:w="0" w:type="auto"/>
            <w:vAlign w:val="center"/>
          </w:tcPr>
          <w:p w:rsidR="00644456" w:rsidRDefault="008031C4">
            <w:pPr>
              <w:widowControl/>
              <w:adjustRightInd w:val="0"/>
              <w:snapToGrid w:val="0"/>
              <w:jc w:val="center"/>
              <w:textAlignment w:val="center"/>
            </w:pPr>
            <w:r>
              <w:rPr>
                <w:rFonts w:hint="eastAsia"/>
              </w:rPr>
              <w:t>47.4</w:t>
            </w:r>
          </w:p>
        </w:tc>
        <w:tc>
          <w:tcPr>
            <w:tcW w:w="0" w:type="auto"/>
            <w:vAlign w:val="center"/>
          </w:tcPr>
          <w:p w:rsidR="00644456" w:rsidRDefault="008031C4">
            <w:pPr>
              <w:widowControl/>
              <w:adjustRightInd w:val="0"/>
              <w:snapToGrid w:val="0"/>
              <w:jc w:val="center"/>
              <w:textAlignment w:val="center"/>
            </w:pPr>
            <w:r>
              <w:rPr>
                <w:rFonts w:hint="eastAsia"/>
              </w:rPr>
              <w:t>55</w:t>
            </w:r>
          </w:p>
        </w:tc>
        <w:tc>
          <w:tcPr>
            <w:tcW w:w="0" w:type="auto"/>
            <w:vAlign w:val="center"/>
          </w:tcPr>
          <w:p w:rsidR="00644456" w:rsidRDefault="008031C4">
            <w:pPr>
              <w:widowControl/>
              <w:adjustRightInd w:val="0"/>
              <w:snapToGrid w:val="0"/>
              <w:jc w:val="center"/>
              <w:textAlignment w:val="center"/>
            </w:pPr>
            <w:r>
              <w:rPr>
                <w:rFonts w:hint="eastAsia"/>
              </w:rPr>
              <w:t>达标</w:t>
            </w:r>
          </w:p>
        </w:tc>
      </w:tr>
    </w:tbl>
    <w:p w:rsidR="00644456" w:rsidRDefault="008031C4">
      <w:pPr>
        <w:autoSpaceDE w:val="0"/>
        <w:autoSpaceDN w:val="0"/>
        <w:spacing w:line="360" w:lineRule="auto"/>
        <w:ind w:firstLineChars="200" w:firstLine="480"/>
        <w:rPr>
          <w:rFonts w:cs="Times New Roman"/>
          <w:sz w:val="24"/>
        </w:rPr>
      </w:pPr>
      <w:r>
        <w:rPr>
          <w:rFonts w:cs="Times New Roman"/>
          <w:sz w:val="24"/>
        </w:rPr>
        <w:t>由上表可知，本项目营运过程中，通过对噪声源采取隔声、减振、消声等有效措施后，其对厂界噪声有一定的影响，厂界</w:t>
      </w:r>
      <w:r>
        <w:rPr>
          <w:rFonts w:cs="Times New Roman"/>
          <w:sz w:val="24"/>
        </w:rPr>
        <w:t>200m</w:t>
      </w:r>
      <w:r>
        <w:rPr>
          <w:rFonts w:cs="Times New Roman"/>
          <w:sz w:val="24"/>
        </w:rPr>
        <w:t>范围内没有敏感点分布，根据预测结果，本项目噪声源影响较小，不会改变区域环境功能，项目厂界噪声</w:t>
      </w:r>
      <w:r>
        <w:rPr>
          <w:rFonts w:cs="Times New Roman" w:hint="eastAsia"/>
          <w:sz w:val="24"/>
        </w:rPr>
        <w:t>贡献值</w:t>
      </w:r>
      <w:r>
        <w:rPr>
          <w:rFonts w:cs="Times New Roman"/>
          <w:sz w:val="24"/>
        </w:rPr>
        <w:t>均能</w:t>
      </w:r>
      <w:r>
        <w:rPr>
          <w:rFonts w:cs="Times New Roman" w:hint="eastAsia"/>
          <w:sz w:val="24"/>
        </w:rPr>
        <w:t>达到</w:t>
      </w:r>
      <w:r>
        <w:rPr>
          <w:rFonts w:cs="Times New Roman"/>
          <w:sz w:val="24"/>
        </w:rPr>
        <w:t>《工业企业厂界环境噪声排放标准》（</w:t>
      </w:r>
      <w:r>
        <w:rPr>
          <w:rFonts w:cs="Times New Roman"/>
          <w:sz w:val="24"/>
        </w:rPr>
        <w:t>GB12348-2008</w:t>
      </w:r>
      <w:r>
        <w:rPr>
          <w:rFonts w:cs="Times New Roman"/>
          <w:sz w:val="24"/>
        </w:rPr>
        <w:t>）</w:t>
      </w:r>
      <w:r>
        <w:rPr>
          <w:rFonts w:cs="Times New Roman"/>
          <w:sz w:val="24"/>
        </w:rPr>
        <w:t>3</w:t>
      </w:r>
      <w:r>
        <w:rPr>
          <w:rFonts w:cs="Times New Roman"/>
          <w:sz w:val="24"/>
        </w:rPr>
        <w:t>类标准。</w:t>
      </w:r>
    </w:p>
    <w:p w:rsidR="00644456" w:rsidRDefault="008031C4">
      <w:pPr>
        <w:pStyle w:val="20"/>
        <w:numPr>
          <w:ilvl w:val="1"/>
          <w:numId w:val="0"/>
        </w:numPr>
        <w:snapToGrid w:val="0"/>
        <w:spacing w:beforeLines="0" w:before="0" w:afterLines="0" w:after="0"/>
        <w:ind w:firstLine="600"/>
        <w:rPr>
          <w:rFonts w:cs="Times New Roman"/>
          <w:color w:val="000000" w:themeColor="text1"/>
          <w:sz w:val="30"/>
        </w:rPr>
      </w:pPr>
      <w:bookmarkStart w:id="319" w:name="_Toc111019395"/>
      <w:bookmarkStart w:id="320" w:name="_Toc111019496"/>
      <w:bookmarkStart w:id="321" w:name="_Toc111019294"/>
      <w:bookmarkStart w:id="322" w:name="_Toc482203342"/>
      <w:bookmarkStart w:id="323" w:name="_Toc155789382"/>
      <w:bookmarkStart w:id="324" w:name="_Toc177216890"/>
      <w:bookmarkStart w:id="325" w:name="_Toc492460557"/>
      <w:bookmarkStart w:id="326" w:name="_Toc492461230"/>
      <w:bookmarkEnd w:id="319"/>
      <w:bookmarkEnd w:id="320"/>
      <w:bookmarkEnd w:id="321"/>
      <w:r>
        <w:rPr>
          <w:rFonts w:cs="Times New Roman" w:hint="eastAsia"/>
          <w:color w:val="000000" w:themeColor="text1"/>
          <w:sz w:val="30"/>
        </w:rPr>
        <w:t>5.4</w:t>
      </w:r>
      <w:r>
        <w:rPr>
          <w:rFonts w:cs="Times New Roman"/>
          <w:color w:val="000000" w:themeColor="text1"/>
          <w:sz w:val="30"/>
        </w:rPr>
        <w:t>固体废物环境影响评价</w:t>
      </w:r>
      <w:bookmarkEnd w:id="322"/>
      <w:bookmarkEnd w:id="323"/>
      <w:bookmarkEnd w:id="324"/>
      <w:bookmarkEnd w:id="325"/>
      <w:bookmarkEnd w:id="326"/>
    </w:p>
    <w:p w:rsidR="00644456" w:rsidRDefault="008031C4">
      <w:pPr>
        <w:pStyle w:val="3"/>
        <w:numPr>
          <w:ilvl w:val="2"/>
          <w:numId w:val="0"/>
        </w:numPr>
        <w:ind w:firstLineChars="200" w:firstLine="482"/>
      </w:pPr>
      <w:r>
        <w:rPr>
          <w:rFonts w:hint="eastAsia"/>
        </w:rPr>
        <w:t>5.4.1</w:t>
      </w:r>
      <w:r>
        <w:rPr>
          <w:rFonts w:hint="eastAsia"/>
        </w:rPr>
        <w:t>固废产生及处置情况</w:t>
      </w:r>
    </w:p>
    <w:p w:rsidR="00644456" w:rsidRDefault="008031C4">
      <w:pPr>
        <w:autoSpaceDE w:val="0"/>
        <w:autoSpaceDN w:val="0"/>
        <w:spacing w:line="360" w:lineRule="auto"/>
        <w:ind w:firstLineChars="200" w:firstLine="480"/>
        <w:rPr>
          <w:rFonts w:cs="Times New Roman"/>
          <w:sz w:val="24"/>
        </w:rPr>
      </w:pPr>
      <w:r>
        <w:rPr>
          <w:rFonts w:cs="Times New Roman" w:hint="eastAsia"/>
          <w:sz w:val="24"/>
        </w:rPr>
        <w:t>办公及生活垃圾产生量按</w:t>
      </w:r>
      <w:r>
        <w:rPr>
          <w:rFonts w:cs="Times New Roman" w:hint="eastAsia"/>
          <w:sz w:val="24"/>
        </w:rPr>
        <w:t>0.5kg/</w:t>
      </w:r>
      <w:r>
        <w:rPr>
          <w:rFonts w:cs="Times New Roman" w:hint="eastAsia"/>
          <w:sz w:val="24"/>
        </w:rPr>
        <w:t>人</w:t>
      </w:r>
      <w:r>
        <w:rPr>
          <w:rFonts w:cs="Times New Roman" w:hint="eastAsia"/>
          <w:sz w:val="24"/>
        </w:rPr>
        <w:t>.d</w:t>
      </w:r>
      <w:r>
        <w:rPr>
          <w:rFonts w:cs="Times New Roman" w:hint="eastAsia"/>
          <w:sz w:val="24"/>
        </w:rPr>
        <w:t>计算，全厂</w:t>
      </w:r>
      <w:r>
        <w:rPr>
          <w:rFonts w:cs="Times New Roman" w:hint="eastAsia"/>
          <w:sz w:val="24"/>
        </w:rPr>
        <w:t>60</w:t>
      </w:r>
      <w:r>
        <w:rPr>
          <w:rFonts w:cs="Times New Roman" w:hint="eastAsia"/>
          <w:sz w:val="24"/>
        </w:rPr>
        <w:t>人日产生办公及生活垃圾</w:t>
      </w:r>
      <w:r>
        <w:rPr>
          <w:rFonts w:cs="Times New Roman" w:hint="eastAsia"/>
          <w:sz w:val="24"/>
        </w:rPr>
        <w:t>30kg</w:t>
      </w:r>
      <w:r>
        <w:rPr>
          <w:rFonts w:cs="Times New Roman" w:hint="eastAsia"/>
          <w:sz w:val="24"/>
        </w:rPr>
        <w:t>，年产生量约</w:t>
      </w:r>
      <w:r>
        <w:rPr>
          <w:rFonts w:cs="Times New Roman" w:hint="eastAsia"/>
          <w:sz w:val="24"/>
        </w:rPr>
        <w:t>9t/a</w:t>
      </w:r>
      <w:r>
        <w:rPr>
          <w:rFonts w:cs="Times New Roman" w:hint="eastAsia"/>
          <w:sz w:val="24"/>
        </w:rPr>
        <w:t>，建设单位统一收集，交由环卫部门运至垃圾填埋场处理。</w:t>
      </w:r>
    </w:p>
    <w:p w:rsidR="00644456" w:rsidRDefault="008031C4">
      <w:pPr>
        <w:autoSpaceDE w:val="0"/>
        <w:autoSpaceDN w:val="0"/>
        <w:spacing w:line="360" w:lineRule="auto"/>
        <w:ind w:firstLineChars="200" w:firstLine="480"/>
        <w:rPr>
          <w:rFonts w:cs="Times New Roman"/>
          <w:sz w:val="24"/>
        </w:rPr>
      </w:pPr>
      <w:r>
        <w:rPr>
          <w:rFonts w:cs="Times New Roman" w:hint="eastAsia"/>
          <w:sz w:val="24"/>
        </w:rPr>
        <w:t>预处理池污泥：主要为预处理池清掏的污泥，按</w:t>
      </w:r>
      <w:r>
        <w:rPr>
          <w:rFonts w:cs="Times New Roman" w:hint="eastAsia"/>
          <w:sz w:val="24"/>
        </w:rPr>
        <w:t>8kg/100m3</w:t>
      </w:r>
      <w:r>
        <w:rPr>
          <w:rFonts w:cs="Times New Roman" w:hint="eastAsia"/>
          <w:sz w:val="24"/>
        </w:rPr>
        <w:t>·</w:t>
      </w:r>
      <w:r>
        <w:rPr>
          <w:rFonts w:cs="Times New Roman" w:hint="eastAsia"/>
          <w:sz w:val="24"/>
        </w:rPr>
        <w:t>d</w:t>
      </w:r>
      <w:r>
        <w:rPr>
          <w:rFonts w:cs="Times New Roman" w:hint="eastAsia"/>
          <w:sz w:val="24"/>
        </w:rPr>
        <w:t>（废水）计，产生量约</w:t>
      </w:r>
      <w:r>
        <w:rPr>
          <w:rFonts w:cs="Times New Roman" w:hint="eastAsia"/>
          <w:sz w:val="24"/>
        </w:rPr>
        <w:t>0.098t/a</w:t>
      </w:r>
      <w:r>
        <w:rPr>
          <w:rFonts w:cs="Times New Roman" w:hint="eastAsia"/>
          <w:sz w:val="24"/>
        </w:rPr>
        <w:t>。定期委托环卫部门清掏处理。</w:t>
      </w:r>
    </w:p>
    <w:p w:rsidR="00644456" w:rsidRDefault="008031C4">
      <w:pPr>
        <w:autoSpaceDE w:val="0"/>
        <w:autoSpaceDN w:val="0"/>
        <w:spacing w:line="360" w:lineRule="auto"/>
        <w:ind w:firstLineChars="200" w:firstLine="480"/>
        <w:rPr>
          <w:rFonts w:cs="Times New Roman"/>
          <w:sz w:val="24"/>
        </w:rPr>
      </w:pPr>
      <w:r>
        <w:rPr>
          <w:rFonts w:cs="Times New Roman" w:hint="eastAsia"/>
          <w:sz w:val="24"/>
        </w:rPr>
        <w:t>含油废渣：含油废渣来自原料储罐初步沉淀后，储罐中下部的物料经过三相分离（油、渣、水）预处理后会产生固相含油废渣及储罐定期清罐产生的含油渣。根据物料平衡，这部分含油废渣的量为</w:t>
      </w:r>
      <w:r>
        <w:rPr>
          <w:rFonts w:cs="Times New Roman" w:hint="eastAsia"/>
          <w:sz w:val="24"/>
        </w:rPr>
        <w:t>1211.8562t/a</w:t>
      </w:r>
      <w:r>
        <w:rPr>
          <w:rFonts w:cs="Times New Roman" w:hint="eastAsia"/>
          <w:sz w:val="24"/>
        </w:rPr>
        <w:t>。根据《国家危险废物名录》（</w:t>
      </w:r>
      <w:r>
        <w:rPr>
          <w:rFonts w:cs="Times New Roman" w:hint="eastAsia"/>
          <w:sz w:val="24"/>
        </w:rPr>
        <w:t>2021</w:t>
      </w:r>
      <w:r>
        <w:rPr>
          <w:rFonts w:cs="Times New Roman" w:hint="eastAsia"/>
          <w:sz w:val="24"/>
        </w:rPr>
        <w:t>版），这部分的废渣属于危险废物，代码为</w:t>
      </w:r>
      <w:r>
        <w:rPr>
          <w:rFonts w:cs="Times New Roman" w:hint="eastAsia"/>
          <w:sz w:val="24"/>
        </w:rPr>
        <w:t>900-213-08</w:t>
      </w:r>
      <w:r>
        <w:rPr>
          <w:rFonts w:cs="Times New Roman" w:hint="eastAsia"/>
          <w:sz w:val="24"/>
        </w:rPr>
        <w:t>，产生后暂存在危险废物暂存区，定期委托资质单位处理。</w:t>
      </w:r>
    </w:p>
    <w:p w:rsidR="00644456" w:rsidRDefault="008031C4">
      <w:pPr>
        <w:autoSpaceDE w:val="0"/>
        <w:autoSpaceDN w:val="0"/>
        <w:spacing w:line="360" w:lineRule="auto"/>
        <w:ind w:firstLineChars="200" w:firstLine="480"/>
        <w:rPr>
          <w:rFonts w:cs="Times New Roman"/>
          <w:sz w:val="24"/>
        </w:rPr>
      </w:pPr>
      <w:r>
        <w:rPr>
          <w:rFonts w:cs="Times New Roman" w:hint="eastAsia"/>
          <w:sz w:val="24"/>
        </w:rPr>
        <w:t>污水处理设施浮渣、浮油和污泥：本项目自建的污水处理设施处理含油废水在隔油、气浮等过程中产生的浮渣、浮油及污泥。该部分固废经过三相分离设施处理后，油相进入生产系统再次利用，固相排放量约为</w:t>
      </w:r>
      <w:r>
        <w:rPr>
          <w:rFonts w:cs="Times New Roman" w:hint="eastAsia"/>
          <w:sz w:val="24"/>
        </w:rPr>
        <w:t>0.2t/a</w:t>
      </w:r>
      <w:r>
        <w:rPr>
          <w:rFonts w:cs="Times New Roman" w:hint="eastAsia"/>
          <w:sz w:val="24"/>
        </w:rPr>
        <w:t>。根据《国家危险废物名录》（</w:t>
      </w:r>
      <w:r>
        <w:rPr>
          <w:rFonts w:cs="Times New Roman" w:hint="eastAsia"/>
          <w:sz w:val="24"/>
        </w:rPr>
        <w:t>2021</w:t>
      </w:r>
      <w:r>
        <w:rPr>
          <w:rFonts w:cs="Times New Roman" w:hint="eastAsia"/>
          <w:sz w:val="24"/>
        </w:rPr>
        <w:t>版），这部分固废属于危险废物，代码为</w:t>
      </w:r>
      <w:r>
        <w:rPr>
          <w:rFonts w:cs="Times New Roman" w:hint="eastAsia"/>
          <w:sz w:val="24"/>
        </w:rPr>
        <w:t>900-210-08</w:t>
      </w:r>
      <w:r>
        <w:rPr>
          <w:rFonts w:cs="Times New Roman" w:hint="eastAsia"/>
          <w:sz w:val="24"/>
        </w:rPr>
        <w:t>，产生后暂存在危险废物暂存区，定期委托资质单位处理。</w:t>
      </w:r>
    </w:p>
    <w:p w:rsidR="00644456" w:rsidRDefault="008031C4">
      <w:pPr>
        <w:autoSpaceDE w:val="0"/>
        <w:autoSpaceDN w:val="0"/>
        <w:spacing w:line="360" w:lineRule="auto"/>
        <w:ind w:firstLineChars="200" w:firstLine="480"/>
        <w:rPr>
          <w:rFonts w:cs="Times New Roman"/>
          <w:sz w:val="24"/>
        </w:rPr>
      </w:pPr>
      <w:r>
        <w:rPr>
          <w:rFonts w:cs="Times New Roman" w:hint="eastAsia"/>
          <w:sz w:val="24"/>
        </w:rPr>
        <w:t>废导热油：项目设置</w:t>
      </w:r>
      <w:r>
        <w:rPr>
          <w:rFonts w:cs="Times New Roman" w:hint="eastAsia"/>
          <w:sz w:val="24"/>
        </w:rPr>
        <w:t>1</w:t>
      </w:r>
      <w:r>
        <w:rPr>
          <w:rFonts w:cs="Times New Roman" w:hint="eastAsia"/>
          <w:sz w:val="24"/>
        </w:rPr>
        <w:t>台</w:t>
      </w:r>
      <w:r>
        <w:rPr>
          <w:rFonts w:cs="Times New Roman" w:hint="eastAsia"/>
          <w:sz w:val="24"/>
        </w:rPr>
        <w:t>400KW</w:t>
      </w:r>
      <w:r>
        <w:rPr>
          <w:rFonts w:cs="Times New Roman" w:hint="eastAsia"/>
          <w:sz w:val="24"/>
        </w:rPr>
        <w:t>导热油炉，炉内容积为</w:t>
      </w:r>
      <w:r>
        <w:rPr>
          <w:rFonts w:cs="Times New Roman" w:hint="eastAsia"/>
          <w:sz w:val="24"/>
        </w:rPr>
        <w:t>11m3</w:t>
      </w:r>
      <w:r>
        <w:rPr>
          <w:rFonts w:cs="Times New Roman" w:hint="eastAsia"/>
          <w:sz w:val="24"/>
        </w:rPr>
        <w:t>，导热油的密度为</w:t>
      </w:r>
      <w:r>
        <w:rPr>
          <w:rFonts w:cs="Times New Roman" w:hint="eastAsia"/>
          <w:sz w:val="24"/>
        </w:rPr>
        <w:t>860kg/m3</w:t>
      </w:r>
      <w:r>
        <w:rPr>
          <w:rFonts w:cs="Times New Roman" w:hint="eastAsia"/>
          <w:sz w:val="24"/>
        </w:rPr>
        <w:t>，导热油炉两年更换一次，每次更换量为</w:t>
      </w:r>
      <w:r>
        <w:rPr>
          <w:rFonts w:cs="Times New Roman" w:hint="eastAsia"/>
          <w:sz w:val="24"/>
        </w:rPr>
        <w:t>15.5t</w:t>
      </w:r>
      <w:r>
        <w:rPr>
          <w:rFonts w:cs="Times New Roman" w:hint="eastAsia"/>
          <w:sz w:val="24"/>
        </w:rPr>
        <w:t>，即每年更换量为</w:t>
      </w:r>
      <w:r>
        <w:rPr>
          <w:rFonts w:cs="Times New Roman" w:hint="eastAsia"/>
          <w:sz w:val="24"/>
        </w:rPr>
        <w:t>7.8</w:t>
      </w:r>
      <w:r>
        <w:rPr>
          <w:rFonts w:cs="Times New Roman" w:hint="eastAsia"/>
          <w:sz w:val="24"/>
        </w:rPr>
        <w:t>吨。另外，导热油炉在运行过程中会有少量导热油损失，每年需补充导热油约</w:t>
      </w:r>
      <w:r>
        <w:rPr>
          <w:rFonts w:cs="Times New Roman" w:hint="eastAsia"/>
          <w:sz w:val="24"/>
        </w:rPr>
        <w:t>0.7t/a</w:t>
      </w:r>
      <w:r>
        <w:rPr>
          <w:rFonts w:cs="Times New Roman" w:hint="eastAsia"/>
          <w:sz w:val="24"/>
        </w:rPr>
        <w:t>。更换的废导热油属于危险废物，属危险废物</w:t>
      </w:r>
      <w:r>
        <w:rPr>
          <w:rFonts w:cs="Times New Roman" w:hint="eastAsia"/>
          <w:sz w:val="24"/>
        </w:rPr>
        <w:t>HW08</w:t>
      </w:r>
      <w:r>
        <w:rPr>
          <w:rFonts w:cs="Times New Roman" w:hint="eastAsia"/>
          <w:sz w:val="24"/>
        </w:rPr>
        <w:t>（</w:t>
      </w:r>
      <w:r>
        <w:rPr>
          <w:rFonts w:cs="Times New Roman" w:hint="eastAsia"/>
          <w:sz w:val="24"/>
        </w:rPr>
        <w:t>900-249-08</w:t>
      </w:r>
      <w:r>
        <w:rPr>
          <w:rFonts w:cs="Times New Roman" w:hint="eastAsia"/>
          <w:sz w:val="24"/>
        </w:rPr>
        <w:t>），须交由有资质的单位处理。</w:t>
      </w:r>
    </w:p>
    <w:p w:rsidR="00644456" w:rsidRDefault="008031C4">
      <w:pPr>
        <w:autoSpaceDE w:val="0"/>
        <w:autoSpaceDN w:val="0"/>
        <w:spacing w:line="360" w:lineRule="auto"/>
        <w:ind w:firstLineChars="200" w:firstLine="480"/>
        <w:rPr>
          <w:rFonts w:cs="Times New Roman"/>
          <w:sz w:val="24"/>
        </w:rPr>
      </w:pPr>
      <w:r>
        <w:rPr>
          <w:rFonts w:cs="Times New Roman" w:hint="eastAsia"/>
          <w:sz w:val="24"/>
        </w:rPr>
        <w:t>蒸馏残渣：本项目在蒸馏过程中会产生蒸馏残渣，根据物料平衡，这部分含油废渣的量为</w:t>
      </w:r>
      <w:r>
        <w:rPr>
          <w:rFonts w:cs="Times New Roman" w:hint="eastAsia"/>
          <w:sz w:val="24"/>
        </w:rPr>
        <w:t>5.974t/a</w:t>
      </w:r>
      <w:r>
        <w:rPr>
          <w:rFonts w:cs="Times New Roman" w:hint="eastAsia"/>
          <w:sz w:val="24"/>
        </w:rPr>
        <w:t>。根据《国家危险废物名录》（</w:t>
      </w:r>
      <w:r>
        <w:rPr>
          <w:rFonts w:cs="Times New Roman" w:hint="eastAsia"/>
          <w:sz w:val="24"/>
        </w:rPr>
        <w:t>2021</w:t>
      </w:r>
      <w:r>
        <w:rPr>
          <w:rFonts w:cs="Times New Roman" w:hint="eastAsia"/>
          <w:sz w:val="24"/>
        </w:rPr>
        <w:t>版），这部分的废渣属于危险废物，</w:t>
      </w:r>
      <w:r>
        <w:rPr>
          <w:rFonts w:cs="Times New Roman" w:hint="eastAsia"/>
          <w:sz w:val="24"/>
        </w:rPr>
        <w:lastRenderedPageBreak/>
        <w:t>代码为</w:t>
      </w:r>
      <w:r>
        <w:rPr>
          <w:rFonts w:cs="Times New Roman" w:hint="eastAsia"/>
          <w:sz w:val="24"/>
        </w:rPr>
        <w:t>900-213-08</w:t>
      </w:r>
      <w:r>
        <w:rPr>
          <w:rFonts w:cs="Times New Roman" w:hint="eastAsia"/>
          <w:sz w:val="24"/>
        </w:rPr>
        <w:t>，产生后暂存在危险废物暂存区，定期委托资质单位处理。</w:t>
      </w:r>
    </w:p>
    <w:p w:rsidR="00644456" w:rsidRDefault="008031C4">
      <w:pPr>
        <w:autoSpaceDE w:val="0"/>
        <w:autoSpaceDN w:val="0"/>
        <w:spacing w:line="360" w:lineRule="auto"/>
        <w:ind w:firstLineChars="200" w:firstLine="480"/>
        <w:rPr>
          <w:rFonts w:cs="Times New Roman"/>
          <w:sz w:val="24"/>
        </w:rPr>
      </w:pPr>
      <w:r>
        <w:rPr>
          <w:rFonts w:cs="Times New Roman" w:hint="eastAsia"/>
          <w:sz w:val="24"/>
        </w:rPr>
        <w:t>废干式过滤器：本项目废气净化设施干式过滤器</w:t>
      </w:r>
      <w:r>
        <w:rPr>
          <w:rFonts w:cs="Times New Roman" w:hint="eastAsia"/>
          <w:sz w:val="24"/>
        </w:rPr>
        <w:t>1</w:t>
      </w:r>
      <w:r>
        <w:rPr>
          <w:rFonts w:cs="Times New Roman" w:hint="eastAsia"/>
          <w:sz w:val="24"/>
        </w:rPr>
        <w:t>年更换一次，一次更换量为</w:t>
      </w:r>
      <w:r>
        <w:rPr>
          <w:rFonts w:cs="Times New Roman" w:hint="eastAsia"/>
          <w:sz w:val="24"/>
        </w:rPr>
        <w:t>0.005t/a</w:t>
      </w:r>
      <w:r>
        <w:rPr>
          <w:rFonts w:cs="Times New Roman" w:hint="eastAsia"/>
          <w:sz w:val="24"/>
        </w:rPr>
        <w:t>，其属于危险废物，代码为</w:t>
      </w:r>
      <w:r>
        <w:rPr>
          <w:rFonts w:cs="Times New Roman" w:hint="eastAsia"/>
          <w:sz w:val="24"/>
        </w:rPr>
        <w:t>900-249-08</w:t>
      </w:r>
      <w:r>
        <w:rPr>
          <w:rFonts w:cs="Times New Roman" w:hint="eastAsia"/>
          <w:sz w:val="24"/>
        </w:rPr>
        <w:t>。</w:t>
      </w:r>
    </w:p>
    <w:p w:rsidR="00644456" w:rsidRDefault="008031C4">
      <w:pPr>
        <w:pStyle w:val="3"/>
        <w:numPr>
          <w:ilvl w:val="2"/>
          <w:numId w:val="0"/>
        </w:numPr>
        <w:ind w:firstLineChars="200" w:firstLine="482"/>
      </w:pPr>
      <w:r>
        <w:rPr>
          <w:rFonts w:hint="eastAsia"/>
        </w:rPr>
        <w:t>5.4.2</w:t>
      </w:r>
      <w:r>
        <w:rPr>
          <w:rFonts w:hint="eastAsia"/>
        </w:rPr>
        <w:t>危险固废环境影响分析</w:t>
      </w:r>
    </w:p>
    <w:p w:rsidR="00644456" w:rsidRDefault="008031C4">
      <w:pPr>
        <w:snapToGrid w:val="0"/>
        <w:spacing w:line="360" w:lineRule="auto"/>
        <w:ind w:firstLine="482"/>
        <w:textAlignment w:val="center"/>
        <w:rPr>
          <w:rFonts w:cs="Times New Roman"/>
          <w:color w:val="000000" w:themeColor="text1"/>
          <w:sz w:val="24"/>
        </w:rPr>
      </w:pPr>
      <w:r>
        <w:rPr>
          <w:rFonts w:cs="Times New Roman" w:hint="eastAsia"/>
          <w:color w:val="000000" w:themeColor="text1"/>
          <w:sz w:val="24"/>
        </w:rPr>
        <w:t>项目原料属于危险废物，生产过程中也会产生危险废物，危险废物在收集、贮存、运输、利用和处置过程中可能会对外环境造成影响。</w:t>
      </w:r>
    </w:p>
    <w:p w:rsidR="00644456" w:rsidRDefault="008031C4">
      <w:pPr>
        <w:snapToGrid w:val="0"/>
        <w:spacing w:line="360" w:lineRule="auto"/>
        <w:ind w:firstLine="482"/>
        <w:textAlignment w:val="center"/>
        <w:rPr>
          <w:rFonts w:cs="Times New Roman"/>
          <w:color w:val="000000" w:themeColor="text1"/>
          <w:sz w:val="24"/>
        </w:rPr>
      </w:pPr>
      <w:r>
        <w:rPr>
          <w:rFonts w:cs="Times New Roman" w:hint="eastAsia"/>
          <w:color w:val="000000" w:themeColor="text1"/>
          <w:sz w:val="24"/>
        </w:rPr>
        <w:t>①暂存过程中的环境影响</w:t>
      </w:r>
    </w:p>
    <w:p w:rsidR="00644456" w:rsidRDefault="008031C4">
      <w:pPr>
        <w:snapToGrid w:val="0"/>
        <w:spacing w:line="360" w:lineRule="auto"/>
        <w:ind w:firstLine="482"/>
        <w:textAlignment w:val="center"/>
        <w:rPr>
          <w:rFonts w:cs="Times New Roman"/>
          <w:color w:val="000000" w:themeColor="text1"/>
          <w:sz w:val="24"/>
        </w:rPr>
      </w:pPr>
      <w:r>
        <w:rPr>
          <w:rFonts w:cs="Times New Roman" w:hint="eastAsia"/>
          <w:color w:val="000000" w:themeColor="text1"/>
          <w:sz w:val="24"/>
        </w:rPr>
        <w:t>本项目原料为废矿物油，原料属于危险废物，厂区内采取储罐贮存，因此储罐区应满足《危险废物贮存污染控制标准》（</w:t>
      </w:r>
      <w:r>
        <w:rPr>
          <w:rFonts w:cs="Times New Roman" w:hint="eastAsia"/>
          <w:color w:val="000000" w:themeColor="text1"/>
          <w:sz w:val="24"/>
        </w:rPr>
        <w:t>GB18597-2001</w:t>
      </w:r>
      <w:r>
        <w:rPr>
          <w:rFonts w:cs="Times New Roman" w:hint="eastAsia"/>
          <w:color w:val="000000" w:themeColor="text1"/>
          <w:sz w:val="24"/>
        </w:rPr>
        <w:t>）的要求，应做好防腐、防渗等措施。</w:t>
      </w:r>
    </w:p>
    <w:p w:rsidR="00644456" w:rsidRDefault="008031C4">
      <w:pPr>
        <w:snapToGrid w:val="0"/>
        <w:spacing w:line="360" w:lineRule="auto"/>
        <w:ind w:firstLine="482"/>
        <w:textAlignment w:val="center"/>
        <w:rPr>
          <w:rFonts w:cs="Times New Roman"/>
          <w:color w:val="000000" w:themeColor="text1"/>
          <w:sz w:val="24"/>
        </w:rPr>
      </w:pPr>
      <w:r>
        <w:rPr>
          <w:rFonts w:cs="Times New Roman" w:hint="eastAsia"/>
          <w:color w:val="000000" w:themeColor="text1"/>
          <w:sz w:val="24"/>
        </w:rPr>
        <w:t>生产过程中产生的二次危险废物例如含油的废渣、蒸馏残渣等，本项目在厂区西南侧设置了危险废物暂存区（</w:t>
      </w:r>
      <w:r>
        <w:rPr>
          <w:rFonts w:cs="Times New Roman" w:hint="eastAsia"/>
          <w:color w:val="000000" w:themeColor="text1"/>
          <w:sz w:val="24"/>
        </w:rPr>
        <w:t>200m</w:t>
      </w:r>
      <w:r>
        <w:rPr>
          <w:rFonts w:cs="Times New Roman" w:hint="eastAsia"/>
          <w:color w:val="000000" w:themeColor="text1"/>
          <w:sz w:val="24"/>
          <w:vertAlign w:val="superscript"/>
        </w:rPr>
        <w:t>2</w:t>
      </w:r>
      <w:r>
        <w:rPr>
          <w:rFonts w:cs="Times New Roman" w:hint="eastAsia"/>
          <w:color w:val="000000" w:themeColor="text1"/>
          <w:sz w:val="24"/>
        </w:rPr>
        <w:t>），暂存区配建防雨顶棚及四周设置</w:t>
      </w:r>
      <w:r>
        <w:rPr>
          <w:rFonts w:cs="Times New Roman" w:hint="eastAsia"/>
          <w:color w:val="000000" w:themeColor="text1"/>
          <w:sz w:val="24"/>
        </w:rPr>
        <w:t>1m</w:t>
      </w:r>
      <w:r>
        <w:rPr>
          <w:rFonts w:cs="Times New Roman" w:hint="eastAsia"/>
          <w:color w:val="000000" w:themeColor="text1"/>
          <w:sz w:val="24"/>
        </w:rPr>
        <w:t>的围堰。同时按照《危险废物贮存污染控制标准》（</w:t>
      </w:r>
      <w:r>
        <w:rPr>
          <w:rFonts w:cs="Times New Roman" w:hint="eastAsia"/>
          <w:color w:val="000000" w:themeColor="text1"/>
          <w:sz w:val="24"/>
        </w:rPr>
        <w:t>GB18597</w:t>
      </w:r>
      <w:r>
        <w:rPr>
          <w:rFonts w:cs="Times New Roman" w:hint="eastAsia"/>
          <w:color w:val="000000" w:themeColor="text1"/>
          <w:sz w:val="24"/>
        </w:rPr>
        <w:t>－</w:t>
      </w:r>
      <w:r>
        <w:rPr>
          <w:rFonts w:cs="Times New Roman" w:hint="eastAsia"/>
          <w:color w:val="000000" w:themeColor="text1"/>
          <w:sz w:val="24"/>
        </w:rPr>
        <w:t>2001</w:t>
      </w:r>
      <w:r>
        <w:rPr>
          <w:rFonts w:cs="Times New Roman" w:hint="eastAsia"/>
          <w:color w:val="000000" w:themeColor="text1"/>
          <w:sz w:val="24"/>
        </w:rPr>
        <w:t>）中要求基础必须防渗，防渗层为至少</w:t>
      </w:r>
      <w:r>
        <w:rPr>
          <w:rFonts w:cs="Times New Roman" w:hint="eastAsia"/>
          <w:color w:val="000000" w:themeColor="text1"/>
          <w:sz w:val="24"/>
        </w:rPr>
        <w:t>1</w:t>
      </w:r>
      <w:r>
        <w:rPr>
          <w:rFonts w:cs="Times New Roman" w:hint="eastAsia"/>
          <w:color w:val="000000" w:themeColor="text1"/>
          <w:sz w:val="24"/>
        </w:rPr>
        <w:t>米厚粘土层（渗透系数≤</w:t>
      </w:r>
      <w:r>
        <w:rPr>
          <w:rFonts w:cs="Times New Roman" w:hint="eastAsia"/>
          <w:color w:val="000000" w:themeColor="text1"/>
          <w:sz w:val="24"/>
        </w:rPr>
        <w:t>10-7</w:t>
      </w:r>
      <w:r>
        <w:rPr>
          <w:rFonts w:cs="Times New Roman" w:hint="eastAsia"/>
          <w:color w:val="000000" w:themeColor="text1"/>
          <w:sz w:val="24"/>
        </w:rPr>
        <w:t>厘米</w:t>
      </w:r>
      <w:r>
        <w:rPr>
          <w:rFonts w:cs="Times New Roman" w:hint="eastAsia"/>
          <w:color w:val="000000" w:themeColor="text1"/>
          <w:sz w:val="24"/>
        </w:rPr>
        <w:t>/</w:t>
      </w:r>
      <w:r>
        <w:rPr>
          <w:rFonts w:cs="Times New Roman" w:hint="eastAsia"/>
          <w:color w:val="000000" w:themeColor="text1"/>
          <w:sz w:val="24"/>
        </w:rPr>
        <w:t>秒），或</w:t>
      </w:r>
      <w:r>
        <w:rPr>
          <w:rFonts w:cs="Times New Roman" w:hint="eastAsia"/>
          <w:color w:val="000000" w:themeColor="text1"/>
          <w:sz w:val="24"/>
        </w:rPr>
        <w:t>2</w:t>
      </w:r>
      <w:r>
        <w:rPr>
          <w:rFonts w:cs="Times New Roman" w:hint="eastAsia"/>
          <w:color w:val="000000" w:themeColor="text1"/>
          <w:sz w:val="24"/>
        </w:rPr>
        <w:t>毫米厚高密度聚乙烯，或至少</w:t>
      </w:r>
      <w:r>
        <w:rPr>
          <w:rFonts w:cs="Times New Roman" w:hint="eastAsia"/>
          <w:color w:val="000000" w:themeColor="text1"/>
          <w:sz w:val="24"/>
        </w:rPr>
        <w:t>2</w:t>
      </w:r>
      <w:r>
        <w:rPr>
          <w:rFonts w:cs="Times New Roman" w:hint="eastAsia"/>
          <w:color w:val="000000" w:themeColor="text1"/>
          <w:sz w:val="24"/>
        </w:rPr>
        <w:t>毫米厚的其他人工材料，渗透系数≤</w:t>
      </w:r>
      <w:r>
        <w:rPr>
          <w:rFonts w:cs="Times New Roman" w:hint="eastAsia"/>
          <w:color w:val="000000" w:themeColor="text1"/>
          <w:sz w:val="24"/>
        </w:rPr>
        <w:t>10-10</w:t>
      </w:r>
      <w:r>
        <w:rPr>
          <w:rFonts w:cs="Times New Roman" w:hint="eastAsia"/>
          <w:color w:val="000000" w:themeColor="text1"/>
          <w:sz w:val="24"/>
        </w:rPr>
        <w:t>厘米</w:t>
      </w:r>
      <w:r>
        <w:rPr>
          <w:rFonts w:cs="Times New Roman" w:hint="eastAsia"/>
          <w:color w:val="000000" w:themeColor="text1"/>
          <w:sz w:val="24"/>
        </w:rPr>
        <w:t>/</w:t>
      </w:r>
      <w:r>
        <w:rPr>
          <w:rFonts w:cs="Times New Roman" w:hint="eastAsia"/>
          <w:color w:val="000000" w:themeColor="text1"/>
          <w:sz w:val="24"/>
        </w:rPr>
        <w:t>秒。</w:t>
      </w:r>
    </w:p>
    <w:p w:rsidR="00644456" w:rsidRDefault="008031C4">
      <w:pPr>
        <w:snapToGrid w:val="0"/>
        <w:spacing w:line="360" w:lineRule="auto"/>
        <w:ind w:firstLine="482"/>
        <w:textAlignment w:val="center"/>
        <w:rPr>
          <w:rFonts w:cs="Times New Roman"/>
          <w:color w:val="000000" w:themeColor="text1"/>
          <w:sz w:val="24"/>
        </w:rPr>
      </w:pPr>
      <w:r>
        <w:rPr>
          <w:rFonts w:cs="Times New Roman" w:hint="eastAsia"/>
          <w:color w:val="000000" w:themeColor="text1"/>
          <w:sz w:val="24"/>
        </w:rPr>
        <w:t>根据本项目危险废物种类，危险废物暂存内划分分区储存单元，采用堆存的形式进行存放，根据设计资料，本项目产生的危险计划按照季度转运，最长转运周期不超过一年，实际生产中可根据堆场量及时调整转运周期，故本危险废物暂存可满足需求，危险废物暂存期间的环境影响亦可在接受范围内。</w:t>
      </w:r>
    </w:p>
    <w:p w:rsidR="00644456" w:rsidRDefault="008031C4">
      <w:pPr>
        <w:snapToGrid w:val="0"/>
        <w:spacing w:line="360" w:lineRule="auto"/>
        <w:ind w:firstLine="482"/>
        <w:textAlignment w:val="center"/>
        <w:rPr>
          <w:rFonts w:cs="Times New Roman"/>
          <w:color w:val="000000" w:themeColor="text1"/>
          <w:sz w:val="24"/>
        </w:rPr>
      </w:pPr>
      <w:r>
        <w:rPr>
          <w:rFonts w:cs="Times New Roman" w:hint="eastAsia"/>
          <w:color w:val="000000" w:themeColor="text1"/>
          <w:sz w:val="24"/>
        </w:rPr>
        <w:t>②收集运输过程中的环境影响</w:t>
      </w:r>
    </w:p>
    <w:p w:rsidR="00644456" w:rsidRDefault="008031C4">
      <w:pPr>
        <w:snapToGrid w:val="0"/>
        <w:spacing w:line="360" w:lineRule="auto"/>
        <w:ind w:firstLine="482"/>
        <w:textAlignment w:val="center"/>
        <w:rPr>
          <w:rFonts w:cs="Times New Roman"/>
          <w:color w:val="000000" w:themeColor="text1"/>
          <w:sz w:val="24"/>
        </w:rPr>
      </w:pPr>
      <w:r>
        <w:rPr>
          <w:rFonts w:cs="Times New Roman" w:hint="eastAsia"/>
          <w:color w:val="000000" w:themeColor="text1"/>
          <w:sz w:val="24"/>
        </w:rPr>
        <w:t>原料收集运输过程环境影响</w:t>
      </w:r>
    </w:p>
    <w:p w:rsidR="00644456" w:rsidRDefault="008031C4">
      <w:pPr>
        <w:snapToGrid w:val="0"/>
        <w:spacing w:line="360" w:lineRule="auto"/>
        <w:ind w:firstLine="482"/>
        <w:textAlignment w:val="center"/>
        <w:rPr>
          <w:rFonts w:cs="Times New Roman"/>
          <w:color w:val="000000" w:themeColor="text1"/>
          <w:sz w:val="24"/>
        </w:rPr>
      </w:pPr>
      <w:r>
        <w:rPr>
          <w:rFonts w:cs="Times New Roman" w:hint="eastAsia"/>
          <w:color w:val="000000" w:themeColor="text1"/>
          <w:sz w:val="24"/>
        </w:rPr>
        <w:t>本项目原料为危险废物，若在收集时未按照要求进行收集采用专用容器进行收集，在运输过程中未采用专用车辆，未配置比较的防护设施，则可能造成原料废矿油在收集及运输过程中发生泄漏，火灾等事故，会对事故地点的环境产生不利影响，为此在原料的收集运输环节应采取如下措施：</w:t>
      </w:r>
    </w:p>
    <w:p w:rsidR="00644456" w:rsidRDefault="008031C4">
      <w:pPr>
        <w:snapToGrid w:val="0"/>
        <w:spacing w:line="360" w:lineRule="auto"/>
        <w:ind w:firstLine="482"/>
        <w:textAlignment w:val="center"/>
        <w:rPr>
          <w:rFonts w:cs="Times New Roman"/>
          <w:color w:val="000000" w:themeColor="text1"/>
          <w:sz w:val="24"/>
        </w:rPr>
      </w:pPr>
      <w:r>
        <w:rPr>
          <w:rFonts w:cs="Times New Roman" w:hint="eastAsia"/>
          <w:color w:val="000000" w:themeColor="text1"/>
          <w:sz w:val="24"/>
        </w:rPr>
        <w:t>1</w:t>
      </w:r>
      <w:r>
        <w:rPr>
          <w:rFonts w:cs="Times New Roman" w:hint="eastAsia"/>
          <w:color w:val="000000" w:themeColor="text1"/>
          <w:sz w:val="24"/>
        </w:rPr>
        <w:t>）承担废矿物油运输的单位应获得交通运输部门颁发的危险货物运输资质，采用公路运输应按照《道路危险货物运输管理规定》等相关规定执行，并按照《道路运输危险货物车辆标志》（</w:t>
      </w:r>
      <w:r>
        <w:rPr>
          <w:rFonts w:cs="Times New Roman" w:hint="eastAsia"/>
          <w:color w:val="000000" w:themeColor="text1"/>
          <w:sz w:val="24"/>
        </w:rPr>
        <w:t>GB13392</w:t>
      </w:r>
      <w:r>
        <w:rPr>
          <w:rFonts w:cs="Times New Roman" w:hint="eastAsia"/>
          <w:color w:val="000000" w:themeColor="text1"/>
          <w:sz w:val="24"/>
        </w:rPr>
        <w:t>）要求设置车辆标志；</w:t>
      </w:r>
    </w:p>
    <w:p w:rsidR="00644456" w:rsidRDefault="008031C4">
      <w:pPr>
        <w:snapToGrid w:val="0"/>
        <w:spacing w:line="360" w:lineRule="auto"/>
        <w:ind w:firstLine="482"/>
        <w:textAlignment w:val="center"/>
        <w:rPr>
          <w:rFonts w:cs="Times New Roman"/>
          <w:color w:val="000000" w:themeColor="text1"/>
          <w:sz w:val="24"/>
        </w:rPr>
      </w:pPr>
      <w:r>
        <w:rPr>
          <w:rFonts w:cs="Times New Roman" w:hint="eastAsia"/>
          <w:color w:val="000000" w:themeColor="text1"/>
          <w:sz w:val="24"/>
        </w:rPr>
        <w:t>2</w:t>
      </w:r>
      <w:r>
        <w:rPr>
          <w:rFonts w:cs="Times New Roman" w:hint="eastAsia"/>
          <w:color w:val="000000" w:themeColor="text1"/>
          <w:sz w:val="24"/>
        </w:rPr>
        <w:t>）运输单位运输废矿物油时，应在废矿物油的外包装上按照《危险废物贮存污染控制标准》（</w:t>
      </w:r>
      <w:r>
        <w:rPr>
          <w:rFonts w:cs="Times New Roman" w:hint="eastAsia"/>
          <w:color w:val="000000" w:themeColor="text1"/>
          <w:sz w:val="24"/>
        </w:rPr>
        <w:t>GB18597-2001</w:t>
      </w:r>
      <w:r>
        <w:rPr>
          <w:rFonts w:cs="Times New Roman" w:hint="eastAsia"/>
          <w:color w:val="000000" w:themeColor="text1"/>
          <w:sz w:val="24"/>
        </w:rPr>
        <w:t>）中附录</w:t>
      </w:r>
      <w:r>
        <w:rPr>
          <w:rFonts w:cs="Times New Roman" w:hint="eastAsia"/>
          <w:color w:val="000000" w:themeColor="text1"/>
          <w:sz w:val="24"/>
        </w:rPr>
        <w:t>A</w:t>
      </w:r>
      <w:r>
        <w:rPr>
          <w:rFonts w:cs="Times New Roman" w:hint="eastAsia"/>
          <w:color w:val="000000" w:themeColor="text1"/>
          <w:sz w:val="24"/>
        </w:rPr>
        <w:t>要求设置标志；</w:t>
      </w:r>
    </w:p>
    <w:p w:rsidR="00644456" w:rsidRDefault="008031C4">
      <w:pPr>
        <w:snapToGrid w:val="0"/>
        <w:spacing w:line="360" w:lineRule="auto"/>
        <w:ind w:firstLine="482"/>
        <w:textAlignment w:val="center"/>
        <w:rPr>
          <w:rFonts w:cs="Times New Roman"/>
          <w:color w:val="000000" w:themeColor="text1"/>
          <w:sz w:val="24"/>
        </w:rPr>
      </w:pPr>
      <w:r>
        <w:rPr>
          <w:rFonts w:cs="Times New Roman" w:hint="eastAsia"/>
          <w:color w:val="000000" w:themeColor="text1"/>
          <w:sz w:val="24"/>
        </w:rPr>
        <w:lastRenderedPageBreak/>
        <w:t>3</w:t>
      </w:r>
      <w:r>
        <w:rPr>
          <w:rFonts w:cs="Times New Roman" w:hint="eastAsia"/>
          <w:color w:val="000000" w:themeColor="text1"/>
          <w:sz w:val="24"/>
        </w:rPr>
        <w:t>）应按照《危险废物转移管理办法》（生态环境部、公安部、交通运输部令第</w:t>
      </w:r>
      <w:r>
        <w:rPr>
          <w:rFonts w:cs="Times New Roman" w:hint="eastAsia"/>
          <w:color w:val="000000" w:themeColor="text1"/>
          <w:sz w:val="24"/>
        </w:rPr>
        <w:t>23</w:t>
      </w:r>
      <w:r>
        <w:rPr>
          <w:rFonts w:cs="Times New Roman" w:hint="eastAsia"/>
          <w:color w:val="000000" w:themeColor="text1"/>
          <w:sz w:val="24"/>
        </w:rPr>
        <w:t>号）严格实行危险废物转移联单制度；</w:t>
      </w:r>
    </w:p>
    <w:p w:rsidR="00644456" w:rsidRDefault="008031C4">
      <w:pPr>
        <w:snapToGrid w:val="0"/>
        <w:spacing w:line="360" w:lineRule="auto"/>
        <w:ind w:firstLine="482"/>
        <w:textAlignment w:val="center"/>
        <w:rPr>
          <w:rFonts w:cs="Times New Roman"/>
          <w:color w:val="000000" w:themeColor="text1"/>
          <w:sz w:val="24"/>
        </w:rPr>
      </w:pPr>
      <w:r>
        <w:rPr>
          <w:rFonts w:cs="Times New Roman" w:hint="eastAsia"/>
          <w:color w:val="000000" w:themeColor="text1"/>
          <w:sz w:val="24"/>
        </w:rPr>
        <w:t>4</w:t>
      </w:r>
      <w:r>
        <w:rPr>
          <w:rFonts w:cs="Times New Roman" w:hint="eastAsia"/>
          <w:color w:val="000000" w:themeColor="text1"/>
          <w:sz w:val="24"/>
        </w:rPr>
        <w:t>）在运输过程中要严格按照危险废物运输的管理规定，尽量避免运输过程中的二次污染和可能造成的环境风险。</w:t>
      </w:r>
    </w:p>
    <w:p w:rsidR="00644456" w:rsidRDefault="008031C4">
      <w:pPr>
        <w:snapToGrid w:val="0"/>
        <w:spacing w:line="360" w:lineRule="auto"/>
        <w:ind w:firstLine="482"/>
        <w:textAlignment w:val="center"/>
        <w:rPr>
          <w:rFonts w:cs="Times New Roman"/>
          <w:color w:val="000000" w:themeColor="text1"/>
          <w:sz w:val="24"/>
        </w:rPr>
      </w:pPr>
      <w:r>
        <w:rPr>
          <w:rFonts w:cs="Times New Roman" w:hint="eastAsia"/>
          <w:color w:val="000000" w:themeColor="text1"/>
          <w:sz w:val="24"/>
        </w:rPr>
        <w:t>5</w:t>
      </w:r>
      <w:r>
        <w:rPr>
          <w:rFonts w:cs="Times New Roman" w:hint="eastAsia"/>
          <w:color w:val="000000" w:themeColor="text1"/>
          <w:sz w:val="24"/>
        </w:rPr>
        <w:t>）运输过程中应按照要求配置驾驶员及押运人员，驾驶员、押运人员需持有“危险品运输资格证”，并具备专业知识及处理突发事故的能力；运输、搬运过程中，专人专车、轻拿轻放，保证货物不倾泻、不翻出；对驾驶员、装卸管理人员、押运人员进行有关安全知识培训，使其了解所运载的危险废物的性质、危害特性、包装容器的使用特性和发生意外时的应急措施，同时在运输过程中需配备必要的应急处理器材和防护用品；运输工程中配备押运人员，并随时对运输中的危险废物进行监管，做到不超载、不超速、不进入危险废物运输车辆禁止通行的区域。运输过程中遇到无法正常行驶的情况时，需向当地有关部门报告；运输车上应配备通讯设备（</w:t>
      </w:r>
      <w:r>
        <w:rPr>
          <w:rFonts w:cs="Times New Roman" w:hint="eastAsia"/>
          <w:color w:val="000000" w:themeColor="text1"/>
          <w:sz w:val="24"/>
        </w:rPr>
        <w:t>GPS</w:t>
      </w:r>
      <w:r>
        <w:rPr>
          <w:rFonts w:cs="Times New Roman" w:hint="eastAsia"/>
          <w:color w:val="000000" w:themeColor="text1"/>
          <w:sz w:val="24"/>
        </w:rPr>
        <w:t>系统）、联络人员名单及联系电话，以备发生事故时及时抢救和处理；危险废物在运输过程中发生被盗、丢失、流散、泄漏等情况时，驾驶员及押运人员应立即向当地公安部门报告，并在事发地采取相应的警示措施。设置作业界限标志和警示牌；</w:t>
      </w:r>
    </w:p>
    <w:p w:rsidR="00644456" w:rsidRDefault="008031C4">
      <w:pPr>
        <w:snapToGrid w:val="0"/>
        <w:spacing w:line="360" w:lineRule="auto"/>
        <w:ind w:firstLine="482"/>
        <w:textAlignment w:val="center"/>
        <w:rPr>
          <w:rFonts w:cs="Times New Roman"/>
          <w:color w:val="000000" w:themeColor="text1"/>
          <w:sz w:val="24"/>
        </w:rPr>
      </w:pPr>
      <w:r>
        <w:rPr>
          <w:rFonts w:cs="Times New Roman" w:hint="eastAsia"/>
          <w:color w:val="000000" w:themeColor="text1"/>
          <w:sz w:val="24"/>
        </w:rPr>
        <w:t>6</w:t>
      </w:r>
      <w:r>
        <w:rPr>
          <w:rFonts w:cs="Times New Roman" w:hint="eastAsia"/>
          <w:color w:val="000000" w:themeColor="text1"/>
          <w:sz w:val="24"/>
        </w:rPr>
        <w:t>）应规划制定详细的运输路线，收运车辆的行驶严格按照当地公安部门与交通部门协商确定的行驶路线和行驶时段进行。危险废物的收集频次依据危险废物的产生量、产生单位到本项目的距离、处置能力及库存情况等确定。以定期收集为主，兼顾应急收集。运输路线力求最短、对沿路影响最小，避免转运过程中产生二次污染。</w:t>
      </w:r>
    </w:p>
    <w:p w:rsidR="00644456" w:rsidRDefault="008031C4">
      <w:pPr>
        <w:snapToGrid w:val="0"/>
        <w:spacing w:line="360" w:lineRule="auto"/>
        <w:ind w:firstLine="482"/>
        <w:textAlignment w:val="center"/>
        <w:rPr>
          <w:rFonts w:cs="Times New Roman"/>
          <w:color w:val="000000" w:themeColor="text1"/>
          <w:sz w:val="24"/>
        </w:rPr>
      </w:pPr>
      <w:r>
        <w:rPr>
          <w:rFonts w:cs="Times New Roman" w:hint="eastAsia"/>
          <w:color w:val="000000" w:themeColor="text1"/>
          <w:sz w:val="24"/>
        </w:rPr>
        <w:t>采取上述措施后，原料的外部运输对环境的影响可降至最低。</w:t>
      </w:r>
    </w:p>
    <w:p w:rsidR="00644456" w:rsidRDefault="008031C4">
      <w:pPr>
        <w:snapToGrid w:val="0"/>
        <w:spacing w:line="360" w:lineRule="auto"/>
        <w:ind w:firstLine="482"/>
        <w:textAlignment w:val="center"/>
        <w:rPr>
          <w:rFonts w:cs="Times New Roman"/>
          <w:color w:val="000000" w:themeColor="text1"/>
          <w:sz w:val="24"/>
        </w:rPr>
      </w:pPr>
      <w:r>
        <w:rPr>
          <w:rFonts w:cs="Times New Roman" w:hint="eastAsia"/>
          <w:color w:val="000000" w:themeColor="text1"/>
          <w:sz w:val="24"/>
        </w:rPr>
        <w:t>内部运输过程中的环境影响</w:t>
      </w:r>
    </w:p>
    <w:p w:rsidR="00644456" w:rsidRDefault="008031C4">
      <w:pPr>
        <w:snapToGrid w:val="0"/>
        <w:spacing w:line="360" w:lineRule="auto"/>
        <w:ind w:firstLine="482"/>
        <w:textAlignment w:val="center"/>
        <w:rPr>
          <w:rFonts w:cs="Times New Roman"/>
          <w:color w:val="000000" w:themeColor="text1"/>
          <w:sz w:val="24"/>
        </w:rPr>
      </w:pPr>
      <w:r>
        <w:rPr>
          <w:rFonts w:cs="Times New Roman" w:hint="eastAsia"/>
          <w:color w:val="000000" w:themeColor="text1"/>
          <w:sz w:val="24"/>
        </w:rPr>
        <w:t>自身产生的危险废物在厂区内部运输时若不按照规范要求进行转运，易发生污染事件，为此在危险废物的内部转运过程中应采取如下措施：</w:t>
      </w:r>
    </w:p>
    <w:p w:rsidR="00644456" w:rsidRDefault="008031C4">
      <w:pPr>
        <w:snapToGrid w:val="0"/>
        <w:spacing w:line="360" w:lineRule="auto"/>
        <w:ind w:firstLine="482"/>
        <w:textAlignment w:val="center"/>
        <w:rPr>
          <w:rFonts w:cs="Times New Roman"/>
          <w:color w:val="000000" w:themeColor="text1"/>
          <w:sz w:val="24"/>
        </w:rPr>
      </w:pPr>
      <w:r>
        <w:rPr>
          <w:rFonts w:cs="Times New Roman" w:hint="eastAsia"/>
          <w:color w:val="000000" w:themeColor="text1"/>
          <w:sz w:val="24"/>
        </w:rPr>
        <w:t>1</w:t>
      </w:r>
      <w:r>
        <w:rPr>
          <w:rFonts w:cs="Times New Roman" w:hint="eastAsia"/>
          <w:color w:val="000000" w:themeColor="text1"/>
          <w:sz w:val="24"/>
        </w:rPr>
        <w:t>）综合考虑厂区的实际情况确定转运路线，尽量避开办公区和生活区；</w:t>
      </w:r>
    </w:p>
    <w:p w:rsidR="00644456" w:rsidRDefault="008031C4">
      <w:pPr>
        <w:snapToGrid w:val="0"/>
        <w:spacing w:line="360" w:lineRule="auto"/>
        <w:ind w:firstLine="482"/>
        <w:textAlignment w:val="center"/>
        <w:rPr>
          <w:rFonts w:cs="Times New Roman"/>
          <w:color w:val="000000" w:themeColor="text1"/>
          <w:sz w:val="24"/>
        </w:rPr>
      </w:pPr>
      <w:r>
        <w:rPr>
          <w:rFonts w:cs="Times New Roman" w:hint="eastAsia"/>
          <w:color w:val="000000" w:themeColor="text1"/>
          <w:sz w:val="24"/>
        </w:rPr>
        <w:t>2</w:t>
      </w:r>
      <w:r>
        <w:rPr>
          <w:rFonts w:cs="Times New Roman" w:hint="eastAsia"/>
          <w:color w:val="000000" w:themeColor="text1"/>
          <w:sz w:val="24"/>
        </w:rPr>
        <w:t>）采用专用的工具，危险废物内部转运应填写危险废物厂内转运记录表；</w:t>
      </w:r>
    </w:p>
    <w:p w:rsidR="00644456" w:rsidRDefault="008031C4">
      <w:pPr>
        <w:snapToGrid w:val="0"/>
        <w:spacing w:line="360" w:lineRule="auto"/>
        <w:ind w:firstLine="482"/>
        <w:textAlignment w:val="center"/>
        <w:rPr>
          <w:rFonts w:cs="Times New Roman"/>
          <w:color w:val="000000" w:themeColor="text1"/>
          <w:sz w:val="24"/>
        </w:rPr>
      </w:pPr>
      <w:r>
        <w:rPr>
          <w:rFonts w:cs="Times New Roman" w:hint="eastAsia"/>
          <w:color w:val="000000" w:themeColor="text1"/>
          <w:sz w:val="24"/>
        </w:rPr>
        <w:t>3</w:t>
      </w:r>
      <w:r>
        <w:rPr>
          <w:rFonts w:cs="Times New Roman" w:hint="eastAsia"/>
          <w:color w:val="000000" w:themeColor="text1"/>
          <w:sz w:val="24"/>
        </w:rPr>
        <w:t>）危险废物内部转运结束后对转运路线进行检查和清理，确保无危险废物遗失在转运路线上，并对转运工具进行清洗；</w:t>
      </w:r>
    </w:p>
    <w:p w:rsidR="00644456" w:rsidRDefault="008031C4">
      <w:pPr>
        <w:snapToGrid w:val="0"/>
        <w:spacing w:line="360" w:lineRule="auto"/>
        <w:ind w:firstLine="482"/>
        <w:textAlignment w:val="center"/>
        <w:rPr>
          <w:rFonts w:cs="Times New Roman"/>
          <w:color w:val="000000" w:themeColor="text1"/>
          <w:sz w:val="24"/>
        </w:rPr>
      </w:pPr>
      <w:r>
        <w:rPr>
          <w:rFonts w:cs="Times New Roman" w:hint="eastAsia"/>
          <w:color w:val="000000" w:themeColor="text1"/>
          <w:sz w:val="24"/>
        </w:rPr>
        <w:t>4</w:t>
      </w:r>
      <w:r>
        <w:rPr>
          <w:rFonts w:cs="Times New Roman" w:hint="eastAsia"/>
          <w:color w:val="000000" w:themeColor="text1"/>
          <w:sz w:val="24"/>
        </w:rPr>
        <w:t>）含油废渣、精馏残渣等在收集过程中，应注意防止洒落，在搬运过程应注意容器开口朝上，不得有残留液体泄漏出现；</w:t>
      </w:r>
    </w:p>
    <w:p w:rsidR="00644456" w:rsidRDefault="008031C4">
      <w:pPr>
        <w:snapToGrid w:val="0"/>
        <w:spacing w:line="360" w:lineRule="auto"/>
        <w:ind w:firstLine="482"/>
        <w:textAlignment w:val="center"/>
        <w:rPr>
          <w:rFonts w:cs="Times New Roman"/>
          <w:color w:val="000000" w:themeColor="text1"/>
          <w:sz w:val="24"/>
        </w:rPr>
      </w:pPr>
      <w:r>
        <w:rPr>
          <w:rFonts w:cs="Times New Roman" w:hint="eastAsia"/>
          <w:color w:val="000000" w:themeColor="text1"/>
          <w:sz w:val="24"/>
        </w:rPr>
        <w:t>5</w:t>
      </w:r>
      <w:r>
        <w:rPr>
          <w:rFonts w:cs="Times New Roman" w:hint="eastAsia"/>
          <w:color w:val="000000" w:themeColor="text1"/>
          <w:sz w:val="24"/>
        </w:rPr>
        <w:t>）内部装卸时装卸区工作人员应熟悉废物的危险特性，并配备适当的个人防护装</w:t>
      </w:r>
      <w:r>
        <w:rPr>
          <w:rFonts w:cs="Times New Roman" w:hint="eastAsia"/>
          <w:color w:val="000000" w:themeColor="text1"/>
          <w:sz w:val="24"/>
        </w:rPr>
        <w:lastRenderedPageBreak/>
        <w:t>备，装卸剧毒废物应配备特殊的防护装备；</w:t>
      </w:r>
    </w:p>
    <w:p w:rsidR="00644456" w:rsidRDefault="008031C4">
      <w:pPr>
        <w:snapToGrid w:val="0"/>
        <w:spacing w:line="360" w:lineRule="auto"/>
        <w:ind w:firstLine="482"/>
        <w:textAlignment w:val="center"/>
        <w:rPr>
          <w:rFonts w:cs="Times New Roman"/>
          <w:color w:val="000000" w:themeColor="text1"/>
          <w:sz w:val="24"/>
        </w:rPr>
      </w:pPr>
      <w:r>
        <w:rPr>
          <w:rFonts w:cs="Times New Roman" w:hint="eastAsia"/>
          <w:color w:val="000000" w:themeColor="text1"/>
          <w:sz w:val="24"/>
        </w:rPr>
        <w:t>6</w:t>
      </w:r>
      <w:r>
        <w:rPr>
          <w:rFonts w:cs="Times New Roman" w:hint="eastAsia"/>
          <w:color w:val="000000" w:themeColor="text1"/>
          <w:sz w:val="24"/>
        </w:rPr>
        <w:t>）卸载区应配备必要的消防设备和设施，并设置明显的指示标志。</w:t>
      </w:r>
    </w:p>
    <w:p w:rsidR="00644456" w:rsidRDefault="008031C4">
      <w:pPr>
        <w:snapToGrid w:val="0"/>
        <w:spacing w:line="360" w:lineRule="auto"/>
        <w:ind w:firstLine="482"/>
        <w:textAlignment w:val="center"/>
        <w:rPr>
          <w:rFonts w:cs="Times New Roman"/>
          <w:color w:val="000000" w:themeColor="text1"/>
          <w:sz w:val="24"/>
        </w:rPr>
      </w:pPr>
      <w:r>
        <w:rPr>
          <w:rFonts w:cs="Times New Roman" w:hint="eastAsia"/>
          <w:color w:val="000000" w:themeColor="text1"/>
          <w:sz w:val="24"/>
        </w:rPr>
        <w:t>综上，本项目严格按照标准规范要求对生产过程中产生的危险废物进行管理、对原料的运输收集加以监督，本项目涉及的危险废物可得到妥善地处理，对环境影响较小。</w:t>
      </w:r>
    </w:p>
    <w:p w:rsidR="00644456" w:rsidRDefault="008031C4">
      <w:pPr>
        <w:snapToGrid w:val="0"/>
        <w:spacing w:line="360" w:lineRule="auto"/>
        <w:ind w:firstLine="480"/>
        <w:textAlignment w:val="center"/>
        <w:rPr>
          <w:rFonts w:cs="Times New Roman"/>
          <w:b/>
          <w:color w:val="000000" w:themeColor="text1"/>
          <w:sz w:val="24"/>
        </w:rPr>
      </w:pPr>
      <w:r>
        <w:rPr>
          <w:rFonts w:cs="Times New Roman"/>
          <w:b/>
          <w:color w:val="000000" w:themeColor="text1"/>
          <w:sz w:val="24"/>
        </w:rPr>
        <w:t>综上所述，项目固体废物去向明确，均能得到妥善处置，不会造成二次污染。</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327" w:name="_Toc155789383"/>
      <w:bookmarkStart w:id="328" w:name="_Toc177216891"/>
      <w:r>
        <w:rPr>
          <w:rFonts w:cs="Times New Roman" w:hint="eastAsia"/>
          <w:color w:val="000000" w:themeColor="text1"/>
        </w:rPr>
        <w:t>5.5</w:t>
      </w:r>
      <w:r>
        <w:rPr>
          <w:rFonts w:cs="Times New Roman"/>
          <w:color w:val="000000" w:themeColor="text1"/>
        </w:rPr>
        <w:t>土壤环境影响评价</w:t>
      </w:r>
      <w:bookmarkEnd w:id="327"/>
      <w:bookmarkEnd w:id="328"/>
    </w:p>
    <w:p w:rsidR="00644456" w:rsidRDefault="008031C4">
      <w:pPr>
        <w:pStyle w:val="3"/>
        <w:numPr>
          <w:ilvl w:val="2"/>
          <w:numId w:val="0"/>
        </w:numPr>
        <w:ind w:firstLineChars="200" w:firstLine="482"/>
      </w:pPr>
      <w:r>
        <w:rPr>
          <w:rFonts w:hint="eastAsia"/>
        </w:rPr>
        <w:t>5.5.1</w:t>
      </w:r>
      <w:r>
        <w:rPr>
          <w:rFonts w:hint="eastAsia"/>
        </w:rPr>
        <w:t>评价等级和评价范围</w:t>
      </w:r>
    </w:p>
    <w:p w:rsidR="00644456" w:rsidRDefault="008031C4">
      <w:pPr>
        <w:snapToGrid w:val="0"/>
        <w:spacing w:line="360" w:lineRule="auto"/>
        <w:ind w:firstLineChars="200" w:firstLine="480"/>
        <w:textAlignment w:val="baseline"/>
        <w:rPr>
          <w:rFonts w:cs="Times New Roman"/>
          <w:bCs/>
          <w:color w:val="000000" w:themeColor="text1"/>
          <w:sz w:val="24"/>
        </w:rPr>
      </w:pPr>
      <w:r>
        <w:rPr>
          <w:rFonts w:cs="Times New Roman" w:hint="eastAsia"/>
          <w:bCs/>
          <w:color w:val="000000" w:themeColor="text1"/>
          <w:sz w:val="24"/>
        </w:rPr>
        <w:t>根据前文分析：</w:t>
      </w:r>
    </w:p>
    <w:p w:rsidR="00644456" w:rsidRDefault="008031C4">
      <w:pPr>
        <w:snapToGrid w:val="0"/>
        <w:spacing w:line="360" w:lineRule="auto"/>
        <w:ind w:firstLineChars="200" w:firstLine="480"/>
        <w:textAlignment w:val="baseline"/>
        <w:rPr>
          <w:rFonts w:cs="Times New Roman"/>
          <w:bCs/>
          <w:color w:val="000000" w:themeColor="text1"/>
          <w:sz w:val="24"/>
        </w:rPr>
      </w:pPr>
      <w:r>
        <w:rPr>
          <w:rFonts w:cs="Times New Roman" w:hint="eastAsia"/>
          <w:bCs/>
          <w:color w:val="000000" w:themeColor="text1"/>
          <w:sz w:val="24"/>
        </w:rPr>
        <w:t>本项目属于“环境和公共设施管理业”行业中“危险废物利用及处置”，项目类别为</w:t>
      </w:r>
      <w:r>
        <w:rPr>
          <w:rFonts w:cs="Times New Roman" w:hint="eastAsia"/>
          <w:bCs/>
          <w:color w:val="000000" w:themeColor="text1"/>
          <w:sz w:val="24"/>
        </w:rPr>
        <w:t>I</w:t>
      </w:r>
      <w:r>
        <w:rPr>
          <w:rFonts w:cs="Times New Roman" w:hint="eastAsia"/>
          <w:bCs/>
          <w:color w:val="000000" w:themeColor="text1"/>
          <w:sz w:val="24"/>
        </w:rPr>
        <w:t>类。本项目位于疏勒高新技术产业开发区齐鲁生态钢城化工产业聚集区，根据项目特点，本项目属于污染影响型项目。本项目占地为工业用地，位于园区内，因此土壤环境属于不敏感。本项目在工业园区预留空地内建设，项目总占地</w:t>
      </w:r>
      <w:r>
        <w:rPr>
          <w:rFonts w:cs="Times New Roman" w:hint="eastAsia"/>
          <w:bCs/>
          <w:color w:val="000000" w:themeColor="text1"/>
          <w:sz w:val="24"/>
        </w:rPr>
        <w:t>30524m2</w:t>
      </w:r>
      <w:r>
        <w:rPr>
          <w:rFonts w:cs="Times New Roman" w:hint="eastAsia"/>
          <w:bCs/>
          <w:color w:val="000000" w:themeColor="text1"/>
          <w:sz w:val="24"/>
        </w:rPr>
        <w:t>≈</w:t>
      </w:r>
      <w:r>
        <w:rPr>
          <w:rFonts w:cs="Times New Roman" w:hint="eastAsia"/>
          <w:bCs/>
          <w:color w:val="000000" w:themeColor="text1"/>
          <w:sz w:val="24"/>
        </w:rPr>
        <w:t>3.0524hm2&lt;5hm2</w:t>
      </w:r>
      <w:r>
        <w:rPr>
          <w:rFonts w:cs="Times New Roman" w:hint="eastAsia"/>
          <w:bCs/>
          <w:color w:val="000000" w:themeColor="text1"/>
          <w:sz w:val="24"/>
        </w:rPr>
        <w:t>，判定占地规模为小型。根据《环境影响评价技术导则土壤环境（试行）》（</w:t>
      </w:r>
      <w:r>
        <w:rPr>
          <w:rFonts w:cs="Times New Roman" w:hint="eastAsia"/>
          <w:bCs/>
          <w:color w:val="000000" w:themeColor="text1"/>
          <w:sz w:val="24"/>
        </w:rPr>
        <w:t>HJ964-2018</w:t>
      </w:r>
      <w:r>
        <w:rPr>
          <w:rFonts w:cs="Times New Roman" w:hint="eastAsia"/>
          <w:bCs/>
          <w:color w:val="000000" w:themeColor="text1"/>
          <w:sz w:val="24"/>
        </w:rPr>
        <w:t>），本项目污染影响型土壤环境影响评价等级划定为二级。</w:t>
      </w:r>
    </w:p>
    <w:p w:rsidR="00644456" w:rsidRDefault="008031C4">
      <w:pPr>
        <w:snapToGrid w:val="0"/>
        <w:spacing w:line="360" w:lineRule="auto"/>
        <w:ind w:firstLineChars="200" w:firstLine="480"/>
        <w:textAlignment w:val="baseline"/>
        <w:rPr>
          <w:rFonts w:cs="Times New Roman"/>
          <w:bCs/>
          <w:color w:val="000000" w:themeColor="text1"/>
          <w:sz w:val="24"/>
        </w:rPr>
      </w:pPr>
      <w:r>
        <w:rPr>
          <w:rFonts w:cs="Times New Roman" w:hint="eastAsia"/>
          <w:bCs/>
          <w:color w:val="000000" w:themeColor="text1"/>
          <w:sz w:val="24"/>
        </w:rPr>
        <w:t>根据《环境影响评价技术导则土壤环境》（</w:t>
      </w:r>
      <w:r>
        <w:rPr>
          <w:rFonts w:cs="Times New Roman" w:hint="eastAsia"/>
          <w:bCs/>
          <w:color w:val="000000" w:themeColor="text1"/>
          <w:sz w:val="24"/>
        </w:rPr>
        <w:t>HJ964-2018</w:t>
      </w:r>
      <w:r>
        <w:rPr>
          <w:rFonts w:cs="Times New Roman" w:hint="eastAsia"/>
          <w:bCs/>
          <w:color w:val="000000" w:themeColor="text1"/>
          <w:sz w:val="24"/>
        </w:rPr>
        <w:t>），根据《环境影响评价技术导则土壤环境》（</w:t>
      </w:r>
      <w:r>
        <w:rPr>
          <w:rFonts w:cs="Times New Roman" w:hint="eastAsia"/>
          <w:bCs/>
          <w:color w:val="000000" w:themeColor="text1"/>
          <w:sz w:val="24"/>
        </w:rPr>
        <w:t>HJ964-2018</w:t>
      </w:r>
      <w:r>
        <w:rPr>
          <w:rFonts w:cs="Times New Roman" w:hint="eastAsia"/>
          <w:bCs/>
          <w:color w:val="000000" w:themeColor="text1"/>
          <w:sz w:val="24"/>
        </w:rPr>
        <w:t>），本项目污染影响型土壤评价范围确定为占地范围内</w:t>
      </w:r>
      <w:r>
        <w:rPr>
          <w:rFonts w:cs="Times New Roman" w:hint="eastAsia"/>
          <w:bCs/>
          <w:color w:val="000000" w:themeColor="text1"/>
          <w:sz w:val="24"/>
        </w:rPr>
        <w:t>+</w:t>
      </w:r>
      <w:r>
        <w:rPr>
          <w:rFonts w:cs="Times New Roman" w:hint="eastAsia"/>
          <w:bCs/>
          <w:color w:val="000000" w:themeColor="text1"/>
          <w:sz w:val="24"/>
        </w:rPr>
        <w:t>占地范围外</w:t>
      </w:r>
      <w:r>
        <w:rPr>
          <w:rFonts w:cs="Times New Roman" w:hint="eastAsia"/>
          <w:bCs/>
          <w:color w:val="000000" w:themeColor="text1"/>
          <w:sz w:val="24"/>
        </w:rPr>
        <w:t>0.2km</w:t>
      </w:r>
      <w:r>
        <w:rPr>
          <w:rFonts w:cs="Times New Roman" w:hint="eastAsia"/>
          <w:bCs/>
          <w:color w:val="000000" w:themeColor="text1"/>
          <w:sz w:val="24"/>
        </w:rPr>
        <w:t>范围内。</w:t>
      </w:r>
    </w:p>
    <w:p w:rsidR="00644456" w:rsidRDefault="008031C4">
      <w:pPr>
        <w:pStyle w:val="3"/>
        <w:numPr>
          <w:ilvl w:val="2"/>
          <w:numId w:val="0"/>
        </w:numPr>
        <w:ind w:firstLineChars="200" w:firstLine="482"/>
      </w:pPr>
      <w:r>
        <w:rPr>
          <w:rFonts w:hint="eastAsia"/>
        </w:rPr>
        <w:t>5.5.2</w:t>
      </w:r>
      <w:r>
        <w:rPr>
          <w:rFonts w:hint="eastAsia"/>
        </w:rPr>
        <w:t>土壤环境影响识别</w:t>
      </w:r>
    </w:p>
    <w:p w:rsidR="00644456" w:rsidRDefault="008031C4">
      <w:pPr>
        <w:snapToGrid w:val="0"/>
        <w:spacing w:line="360" w:lineRule="auto"/>
        <w:ind w:firstLineChars="200" w:firstLine="482"/>
        <w:textAlignment w:val="baseline"/>
        <w:rPr>
          <w:rFonts w:cs="Times New Roman"/>
          <w:b/>
          <w:color w:val="000000" w:themeColor="text1"/>
          <w:sz w:val="24"/>
        </w:rPr>
      </w:pPr>
      <w:r>
        <w:rPr>
          <w:rFonts w:cs="Times New Roman"/>
          <w:b/>
          <w:color w:val="000000" w:themeColor="text1"/>
          <w:sz w:val="24"/>
        </w:rPr>
        <w:t>1</w:t>
      </w:r>
      <w:r>
        <w:rPr>
          <w:rFonts w:cs="Times New Roman"/>
          <w:b/>
          <w:color w:val="000000" w:themeColor="text1"/>
          <w:sz w:val="24"/>
        </w:rPr>
        <w:t>、建设项目土壤环境影响类型与影响途径、影响源与影响因子识别</w:t>
      </w:r>
    </w:p>
    <w:p w:rsidR="00644456" w:rsidRDefault="008031C4">
      <w:pPr>
        <w:snapToGrid w:val="0"/>
        <w:spacing w:line="360" w:lineRule="auto"/>
        <w:ind w:firstLineChars="200" w:firstLine="480"/>
        <w:textAlignment w:val="baseline"/>
        <w:rPr>
          <w:rFonts w:cs="Times New Roman"/>
          <w:bCs/>
          <w:color w:val="000000" w:themeColor="text1"/>
          <w:sz w:val="24"/>
        </w:rPr>
      </w:pPr>
      <w:r>
        <w:rPr>
          <w:rFonts w:cs="Times New Roman" w:hint="eastAsia"/>
          <w:bCs/>
          <w:color w:val="000000" w:themeColor="text1"/>
          <w:sz w:val="24"/>
        </w:rPr>
        <w:t>施工期环境影响识别主要针对施工过程中施工机械在使用过程中，施工人员在施工生产过程中对土壤产生的影响，固废临时堆放对土壤环境的影响等。</w:t>
      </w:r>
    </w:p>
    <w:p w:rsidR="00644456" w:rsidRDefault="008031C4">
      <w:pPr>
        <w:snapToGrid w:val="0"/>
        <w:spacing w:line="360" w:lineRule="auto"/>
        <w:ind w:firstLineChars="200" w:firstLine="480"/>
        <w:textAlignment w:val="baseline"/>
        <w:rPr>
          <w:rFonts w:cs="Times New Roman"/>
          <w:bCs/>
          <w:color w:val="000000" w:themeColor="text1"/>
          <w:sz w:val="24"/>
        </w:rPr>
      </w:pPr>
      <w:r>
        <w:rPr>
          <w:rFonts w:cs="Times New Roman" w:hint="eastAsia"/>
          <w:bCs/>
          <w:color w:val="000000" w:themeColor="text1"/>
          <w:sz w:val="24"/>
        </w:rPr>
        <w:t>根据项目具体情况，重点针对运营期的土壤环境影响类型与影响途径进行识别：本项目属于污染影响型建设项目，重点对运营期的环境影响进行识别。</w:t>
      </w:r>
    </w:p>
    <w:p w:rsidR="00644456" w:rsidRDefault="008031C4">
      <w:pPr>
        <w:snapToGrid w:val="0"/>
        <w:spacing w:line="360" w:lineRule="auto"/>
        <w:ind w:firstLineChars="200" w:firstLine="480"/>
        <w:textAlignment w:val="baseline"/>
        <w:rPr>
          <w:rFonts w:cs="Times New Roman"/>
          <w:bCs/>
          <w:color w:val="000000" w:themeColor="text1"/>
          <w:sz w:val="24"/>
        </w:rPr>
      </w:pPr>
      <w:r>
        <w:rPr>
          <w:rFonts w:cs="Times New Roman" w:hint="eastAsia"/>
          <w:bCs/>
          <w:color w:val="000000" w:themeColor="text1"/>
          <w:sz w:val="24"/>
        </w:rPr>
        <w:t>本项目施工期主要为土方施工，在做好厂内硬化的情况下，基本不涉及土壤污染影响。运营期仅排放少量氮氧化物、</w:t>
      </w:r>
      <w:r>
        <w:rPr>
          <w:rFonts w:cs="Times New Roman" w:hint="eastAsia"/>
          <w:bCs/>
          <w:color w:val="000000" w:themeColor="text1"/>
          <w:sz w:val="24"/>
        </w:rPr>
        <w:t>SO2</w:t>
      </w:r>
      <w:r>
        <w:rPr>
          <w:rFonts w:cs="Times New Roman" w:hint="eastAsia"/>
          <w:bCs/>
          <w:color w:val="000000" w:themeColor="text1"/>
          <w:sz w:val="24"/>
        </w:rPr>
        <w:t>、</w:t>
      </w:r>
      <w:r>
        <w:rPr>
          <w:rFonts w:cs="Times New Roman" w:hint="eastAsia"/>
          <w:bCs/>
          <w:color w:val="000000" w:themeColor="text1"/>
          <w:sz w:val="24"/>
        </w:rPr>
        <w:t>NOx</w:t>
      </w:r>
      <w:r>
        <w:rPr>
          <w:rFonts w:cs="Times New Roman" w:hint="eastAsia"/>
          <w:bCs/>
          <w:color w:val="000000" w:themeColor="text1"/>
          <w:sz w:val="24"/>
        </w:rPr>
        <w:t>、非甲烷总烃、</w:t>
      </w:r>
      <w:r>
        <w:rPr>
          <w:rFonts w:cs="Times New Roman" w:hint="eastAsia"/>
          <w:bCs/>
          <w:color w:val="000000" w:themeColor="text1"/>
          <w:sz w:val="24"/>
        </w:rPr>
        <w:t>NH3</w:t>
      </w:r>
      <w:r>
        <w:rPr>
          <w:rFonts w:cs="Times New Roman" w:hint="eastAsia"/>
          <w:bCs/>
          <w:color w:val="000000" w:themeColor="text1"/>
          <w:sz w:val="24"/>
        </w:rPr>
        <w:t>和</w:t>
      </w:r>
      <w:r>
        <w:rPr>
          <w:rFonts w:cs="Times New Roman" w:hint="eastAsia"/>
          <w:bCs/>
          <w:color w:val="000000" w:themeColor="text1"/>
          <w:sz w:val="24"/>
        </w:rPr>
        <w:t>H2S</w:t>
      </w:r>
      <w:r>
        <w:rPr>
          <w:rFonts w:cs="Times New Roman" w:hint="eastAsia"/>
          <w:bCs/>
          <w:color w:val="000000" w:themeColor="text1"/>
          <w:sz w:val="24"/>
        </w:rPr>
        <w:t>，大气沉降作用对土壤环境的影响很小；本项目生产废水经处理后，无法利用部分排入园区污水处理系统，不会造成废水地面漫流。项目运营时可能存在由于跑冒滴漏、在不易发现的部位造成废水的垂直入渗。</w:t>
      </w:r>
    </w:p>
    <w:p w:rsidR="00644456" w:rsidRDefault="008031C4">
      <w:pPr>
        <w:snapToGrid w:val="0"/>
        <w:spacing w:line="360" w:lineRule="auto"/>
        <w:ind w:firstLineChars="200" w:firstLine="480"/>
        <w:textAlignment w:val="baseline"/>
        <w:rPr>
          <w:rFonts w:cs="Times New Roman"/>
          <w:bCs/>
          <w:color w:val="000000" w:themeColor="text1"/>
          <w:sz w:val="24"/>
        </w:rPr>
      </w:pPr>
      <w:r>
        <w:rPr>
          <w:rFonts w:cs="Times New Roman"/>
          <w:bCs/>
          <w:color w:val="000000" w:themeColor="text1"/>
          <w:sz w:val="24"/>
        </w:rPr>
        <w:t>项目土壤环境影响类型与影响途径见下表。</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5.5-1</w:t>
      </w:r>
      <w:r>
        <w:rPr>
          <w:rFonts w:cs="Times New Roman" w:hint="eastAsia"/>
          <w:b/>
          <w:color w:val="000000" w:themeColor="text1"/>
          <w:sz w:val="24"/>
          <w:szCs w:val="20"/>
        </w:rPr>
        <w:t>项目土壤环境影响类型与影响途径表</w:t>
      </w:r>
    </w:p>
    <w:tbl>
      <w:tblPr>
        <w:tblW w:w="5000" w:type="pct"/>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1272"/>
        <w:gridCol w:w="1510"/>
        <w:gridCol w:w="1163"/>
        <w:gridCol w:w="1320"/>
        <w:gridCol w:w="715"/>
        <w:gridCol w:w="1022"/>
        <w:gridCol w:w="739"/>
        <w:gridCol w:w="739"/>
        <w:gridCol w:w="761"/>
      </w:tblGrid>
      <w:tr w:rsidR="00644456">
        <w:trPr>
          <w:trHeight w:val="265"/>
        </w:trPr>
        <w:tc>
          <w:tcPr>
            <w:tcW w:w="688" w:type="pct"/>
            <w:vMerge w:val="restart"/>
            <w:noWrap/>
            <w:vAlign w:val="center"/>
          </w:tcPr>
          <w:p w:rsidR="00644456" w:rsidRDefault="008031C4">
            <w:pPr>
              <w:widowControl/>
              <w:jc w:val="center"/>
              <w:rPr>
                <w:b/>
                <w:color w:val="000000" w:themeColor="text1"/>
                <w:kern w:val="0"/>
                <w:szCs w:val="21"/>
              </w:rPr>
            </w:pPr>
            <w:r>
              <w:rPr>
                <w:b/>
                <w:color w:val="000000" w:themeColor="text1"/>
                <w:kern w:val="0"/>
                <w:szCs w:val="21"/>
              </w:rPr>
              <w:lastRenderedPageBreak/>
              <w:t>不同时段</w:t>
            </w:r>
          </w:p>
        </w:tc>
        <w:tc>
          <w:tcPr>
            <w:tcW w:w="2547" w:type="pct"/>
            <w:gridSpan w:val="4"/>
            <w:noWrap/>
            <w:vAlign w:val="center"/>
          </w:tcPr>
          <w:p w:rsidR="00644456" w:rsidRDefault="008031C4">
            <w:pPr>
              <w:widowControl/>
              <w:jc w:val="center"/>
              <w:rPr>
                <w:b/>
                <w:color w:val="000000" w:themeColor="text1"/>
                <w:kern w:val="0"/>
                <w:szCs w:val="21"/>
              </w:rPr>
            </w:pPr>
            <w:r>
              <w:rPr>
                <w:b/>
                <w:color w:val="000000" w:themeColor="text1"/>
                <w:kern w:val="0"/>
                <w:szCs w:val="21"/>
              </w:rPr>
              <w:t>污染影响型</w:t>
            </w:r>
          </w:p>
        </w:tc>
        <w:tc>
          <w:tcPr>
            <w:tcW w:w="1765" w:type="pct"/>
            <w:gridSpan w:val="4"/>
            <w:vAlign w:val="center"/>
          </w:tcPr>
          <w:p w:rsidR="00644456" w:rsidRDefault="008031C4">
            <w:pPr>
              <w:widowControl/>
              <w:jc w:val="center"/>
              <w:rPr>
                <w:b/>
                <w:color w:val="000000" w:themeColor="text1"/>
                <w:kern w:val="0"/>
                <w:szCs w:val="21"/>
              </w:rPr>
            </w:pPr>
            <w:r>
              <w:rPr>
                <w:rFonts w:hint="eastAsia"/>
                <w:b/>
                <w:color w:val="000000" w:themeColor="text1"/>
                <w:kern w:val="0"/>
                <w:szCs w:val="21"/>
              </w:rPr>
              <w:t>生态影响型</w:t>
            </w:r>
          </w:p>
        </w:tc>
      </w:tr>
      <w:tr w:rsidR="00644456">
        <w:trPr>
          <w:trHeight w:val="265"/>
        </w:trPr>
        <w:tc>
          <w:tcPr>
            <w:tcW w:w="688" w:type="pct"/>
            <w:vMerge/>
            <w:noWrap/>
            <w:vAlign w:val="center"/>
          </w:tcPr>
          <w:p w:rsidR="00644456" w:rsidRDefault="00644456">
            <w:pPr>
              <w:widowControl/>
              <w:jc w:val="center"/>
              <w:rPr>
                <w:b/>
                <w:color w:val="000000" w:themeColor="text1"/>
                <w:kern w:val="0"/>
                <w:szCs w:val="21"/>
              </w:rPr>
            </w:pPr>
          </w:p>
        </w:tc>
        <w:tc>
          <w:tcPr>
            <w:tcW w:w="817" w:type="pct"/>
            <w:noWrap/>
            <w:vAlign w:val="center"/>
          </w:tcPr>
          <w:p w:rsidR="00644456" w:rsidRDefault="008031C4">
            <w:pPr>
              <w:widowControl/>
              <w:jc w:val="center"/>
              <w:rPr>
                <w:b/>
                <w:color w:val="000000" w:themeColor="text1"/>
                <w:kern w:val="0"/>
                <w:szCs w:val="21"/>
              </w:rPr>
            </w:pPr>
            <w:r>
              <w:rPr>
                <w:b/>
                <w:color w:val="000000" w:themeColor="text1"/>
                <w:kern w:val="0"/>
                <w:szCs w:val="21"/>
              </w:rPr>
              <w:t>大气沉降</w:t>
            </w:r>
          </w:p>
        </w:tc>
        <w:tc>
          <w:tcPr>
            <w:tcW w:w="629" w:type="pct"/>
            <w:noWrap/>
            <w:vAlign w:val="center"/>
          </w:tcPr>
          <w:p w:rsidR="00644456" w:rsidRDefault="008031C4">
            <w:pPr>
              <w:widowControl/>
              <w:jc w:val="center"/>
              <w:rPr>
                <w:b/>
                <w:color w:val="000000" w:themeColor="text1"/>
                <w:kern w:val="0"/>
                <w:szCs w:val="21"/>
              </w:rPr>
            </w:pPr>
            <w:r>
              <w:rPr>
                <w:b/>
                <w:color w:val="000000" w:themeColor="text1"/>
                <w:kern w:val="0"/>
                <w:szCs w:val="21"/>
              </w:rPr>
              <w:t>地面漫流</w:t>
            </w:r>
          </w:p>
        </w:tc>
        <w:tc>
          <w:tcPr>
            <w:tcW w:w="714" w:type="pct"/>
            <w:noWrap/>
            <w:vAlign w:val="center"/>
          </w:tcPr>
          <w:p w:rsidR="00644456" w:rsidRDefault="008031C4">
            <w:pPr>
              <w:widowControl/>
              <w:jc w:val="center"/>
              <w:rPr>
                <w:b/>
                <w:color w:val="000000" w:themeColor="text1"/>
                <w:kern w:val="0"/>
                <w:szCs w:val="21"/>
              </w:rPr>
            </w:pPr>
            <w:r>
              <w:rPr>
                <w:b/>
                <w:color w:val="000000" w:themeColor="text1"/>
                <w:kern w:val="0"/>
                <w:szCs w:val="21"/>
              </w:rPr>
              <w:t>垂直入渗</w:t>
            </w:r>
          </w:p>
        </w:tc>
        <w:tc>
          <w:tcPr>
            <w:tcW w:w="387" w:type="pct"/>
            <w:noWrap/>
            <w:vAlign w:val="center"/>
          </w:tcPr>
          <w:p w:rsidR="00644456" w:rsidRDefault="008031C4">
            <w:pPr>
              <w:widowControl/>
              <w:jc w:val="center"/>
              <w:rPr>
                <w:b/>
                <w:color w:val="000000" w:themeColor="text1"/>
                <w:kern w:val="0"/>
                <w:szCs w:val="21"/>
              </w:rPr>
            </w:pPr>
            <w:r>
              <w:rPr>
                <w:b/>
                <w:color w:val="000000" w:themeColor="text1"/>
                <w:kern w:val="0"/>
                <w:szCs w:val="21"/>
              </w:rPr>
              <w:t>其他</w:t>
            </w:r>
          </w:p>
        </w:tc>
        <w:tc>
          <w:tcPr>
            <w:tcW w:w="553" w:type="pct"/>
            <w:vAlign w:val="center"/>
          </w:tcPr>
          <w:p w:rsidR="00644456" w:rsidRDefault="008031C4">
            <w:pPr>
              <w:widowControl/>
              <w:jc w:val="center"/>
              <w:rPr>
                <w:b/>
                <w:color w:val="000000" w:themeColor="text1"/>
                <w:kern w:val="0"/>
                <w:szCs w:val="21"/>
              </w:rPr>
            </w:pPr>
            <w:r>
              <w:rPr>
                <w:rFonts w:hint="eastAsia"/>
                <w:b/>
                <w:color w:val="000000" w:themeColor="text1"/>
                <w:kern w:val="0"/>
                <w:szCs w:val="21"/>
              </w:rPr>
              <w:t>盐化</w:t>
            </w:r>
          </w:p>
        </w:tc>
        <w:tc>
          <w:tcPr>
            <w:tcW w:w="400" w:type="pct"/>
            <w:vAlign w:val="center"/>
          </w:tcPr>
          <w:p w:rsidR="00644456" w:rsidRDefault="008031C4">
            <w:pPr>
              <w:widowControl/>
              <w:jc w:val="center"/>
              <w:rPr>
                <w:b/>
                <w:color w:val="000000" w:themeColor="text1"/>
                <w:kern w:val="0"/>
                <w:szCs w:val="21"/>
              </w:rPr>
            </w:pPr>
            <w:r>
              <w:rPr>
                <w:rFonts w:hint="eastAsia"/>
                <w:b/>
                <w:color w:val="000000" w:themeColor="text1"/>
                <w:kern w:val="0"/>
                <w:szCs w:val="21"/>
              </w:rPr>
              <w:t>碱化</w:t>
            </w:r>
          </w:p>
        </w:tc>
        <w:tc>
          <w:tcPr>
            <w:tcW w:w="400" w:type="pct"/>
            <w:vAlign w:val="center"/>
          </w:tcPr>
          <w:p w:rsidR="00644456" w:rsidRDefault="008031C4">
            <w:pPr>
              <w:widowControl/>
              <w:jc w:val="center"/>
              <w:rPr>
                <w:b/>
                <w:color w:val="000000" w:themeColor="text1"/>
                <w:kern w:val="0"/>
                <w:szCs w:val="21"/>
              </w:rPr>
            </w:pPr>
            <w:r>
              <w:rPr>
                <w:rFonts w:hint="eastAsia"/>
                <w:b/>
                <w:color w:val="000000" w:themeColor="text1"/>
                <w:kern w:val="0"/>
                <w:szCs w:val="21"/>
              </w:rPr>
              <w:t>酸化</w:t>
            </w:r>
          </w:p>
        </w:tc>
        <w:tc>
          <w:tcPr>
            <w:tcW w:w="412" w:type="pct"/>
            <w:vAlign w:val="center"/>
          </w:tcPr>
          <w:p w:rsidR="00644456" w:rsidRDefault="008031C4">
            <w:pPr>
              <w:widowControl/>
              <w:jc w:val="center"/>
              <w:rPr>
                <w:b/>
                <w:color w:val="000000" w:themeColor="text1"/>
                <w:kern w:val="0"/>
                <w:szCs w:val="21"/>
              </w:rPr>
            </w:pPr>
            <w:r>
              <w:rPr>
                <w:rFonts w:hint="eastAsia"/>
                <w:b/>
                <w:color w:val="000000" w:themeColor="text1"/>
                <w:kern w:val="0"/>
                <w:szCs w:val="21"/>
              </w:rPr>
              <w:t>其他</w:t>
            </w:r>
          </w:p>
        </w:tc>
      </w:tr>
      <w:tr w:rsidR="00644456">
        <w:trPr>
          <w:trHeight w:val="265"/>
        </w:trPr>
        <w:tc>
          <w:tcPr>
            <w:tcW w:w="688" w:type="pct"/>
            <w:noWrap/>
            <w:vAlign w:val="center"/>
          </w:tcPr>
          <w:p w:rsidR="00644456" w:rsidRDefault="008031C4">
            <w:pPr>
              <w:widowControl/>
              <w:jc w:val="center"/>
              <w:rPr>
                <w:color w:val="000000" w:themeColor="text1"/>
                <w:kern w:val="0"/>
                <w:szCs w:val="21"/>
              </w:rPr>
            </w:pPr>
            <w:r>
              <w:rPr>
                <w:color w:val="000000" w:themeColor="text1"/>
                <w:kern w:val="0"/>
                <w:szCs w:val="21"/>
              </w:rPr>
              <w:t>建设期</w:t>
            </w:r>
          </w:p>
        </w:tc>
        <w:tc>
          <w:tcPr>
            <w:tcW w:w="817" w:type="pct"/>
            <w:noWrap/>
            <w:vAlign w:val="center"/>
          </w:tcPr>
          <w:p w:rsidR="00644456" w:rsidRDefault="008031C4">
            <w:pPr>
              <w:widowControl/>
              <w:jc w:val="center"/>
              <w:rPr>
                <w:color w:val="000000" w:themeColor="text1"/>
                <w:kern w:val="0"/>
                <w:szCs w:val="21"/>
              </w:rPr>
            </w:pPr>
            <w:r>
              <w:rPr>
                <w:color w:val="000000" w:themeColor="text1"/>
                <w:kern w:val="0"/>
                <w:szCs w:val="21"/>
              </w:rPr>
              <w:t>--</w:t>
            </w:r>
          </w:p>
        </w:tc>
        <w:tc>
          <w:tcPr>
            <w:tcW w:w="629" w:type="pct"/>
            <w:noWrap/>
            <w:vAlign w:val="center"/>
          </w:tcPr>
          <w:p w:rsidR="00644456" w:rsidRDefault="008031C4">
            <w:pPr>
              <w:widowControl/>
              <w:jc w:val="center"/>
              <w:rPr>
                <w:color w:val="000000" w:themeColor="text1"/>
                <w:kern w:val="0"/>
                <w:szCs w:val="21"/>
              </w:rPr>
            </w:pPr>
            <w:r>
              <w:rPr>
                <w:color w:val="000000" w:themeColor="text1"/>
                <w:kern w:val="0"/>
                <w:szCs w:val="21"/>
              </w:rPr>
              <w:t>--</w:t>
            </w:r>
          </w:p>
        </w:tc>
        <w:tc>
          <w:tcPr>
            <w:tcW w:w="714" w:type="pct"/>
            <w:noWrap/>
            <w:vAlign w:val="center"/>
          </w:tcPr>
          <w:p w:rsidR="00644456" w:rsidRDefault="008031C4">
            <w:pPr>
              <w:widowControl/>
              <w:jc w:val="center"/>
              <w:rPr>
                <w:color w:val="000000" w:themeColor="text1"/>
                <w:kern w:val="0"/>
                <w:szCs w:val="21"/>
              </w:rPr>
            </w:pPr>
            <w:r>
              <w:rPr>
                <w:color w:val="000000" w:themeColor="text1"/>
                <w:kern w:val="0"/>
                <w:szCs w:val="21"/>
              </w:rPr>
              <w:t>--</w:t>
            </w:r>
          </w:p>
        </w:tc>
        <w:tc>
          <w:tcPr>
            <w:tcW w:w="387" w:type="pct"/>
            <w:noWrap/>
            <w:vAlign w:val="center"/>
          </w:tcPr>
          <w:p w:rsidR="00644456" w:rsidRDefault="008031C4">
            <w:pPr>
              <w:widowControl/>
              <w:jc w:val="center"/>
              <w:rPr>
                <w:color w:val="000000" w:themeColor="text1"/>
                <w:kern w:val="0"/>
                <w:szCs w:val="21"/>
              </w:rPr>
            </w:pPr>
            <w:r>
              <w:rPr>
                <w:color w:val="000000" w:themeColor="text1"/>
                <w:kern w:val="0"/>
                <w:szCs w:val="21"/>
              </w:rPr>
              <w:t>--</w:t>
            </w:r>
          </w:p>
        </w:tc>
        <w:tc>
          <w:tcPr>
            <w:tcW w:w="553" w:type="pct"/>
            <w:vAlign w:val="center"/>
          </w:tcPr>
          <w:p w:rsidR="00644456" w:rsidRDefault="008031C4">
            <w:pPr>
              <w:widowControl/>
              <w:jc w:val="center"/>
              <w:rPr>
                <w:color w:val="000000" w:themeColor="text1"/>
                <w:kern w:val="0"/>
                <w:szCs w:val="21"/>
              </w:rPr>
            </w:pPr>
            <w:r>
              <w:rPr>
                <w:color w:val="000000" w:themeColor="text1"/>
                <w:kern w:val="0"/>
                <w:szCs w:val="21"/>
              </w:rPr>
              <w:t>--</w:t>
            </w:r>
          </w:p>
        </w:tc>
        <w:tc>
          <w:tcPr>
            <w:tcW w:w="400" w:type="pct"/>
            <w:vAlign w:val="center"/>
          </w:tcPr>
          <w:p w:rsidR="00644456" w:rsidRDefault="008031C4">
            <w:pPr>
              <w:widowControl/>
              <w:jc w:val="center"/>
              <w:rPr>
                <w:color w:val="000000" w:themeColor="text1"/>
                <w:kern w:val="0"/>
                <w:szCs w:val="21"/>
              </w:rPr>
            </w:pPr>
            <w:r>
              <w:rPr>
                <w:color w:val="000000" w:themeColor="text1"/>
                <w:kern w:val="0"/>
                <w:szCs w:val="21"/>
              </w:rPr>
              <w:t>--</w:t>
            </w:r>
          </w:p>
        </w:tc>
        <w:tc>
          <w:tcPr>
            <w:tcW w:w="400" w:type="pct"/>
            <w:vAlign w:val="center"/>
          </w:tcPr>
          <w:p w:rsidR="00644456" w:rsidRDefault="008031C4">
            <w:pPr>
              <w:widowControl/>
              <w:jc w:val="center"/>
              <w:rPr>
                <w:color w:val="000000" w:themeColor="text1"/>
                <w:kern w:val="0"/>
                <w:szCs w:val="21"/>
              </w:rPr>
            </w:pPr>
            <w:r>
              <w:rPr>
                <w:color w:val="000000" w:themeColor="text1"/>
                <w:kern w:val="0"/>
                <w:szCs w:val="21"/>
              </w:rPr>
              <w:t>--</w:t>
            </w:r>
          </w:p>
        </w:tc>
        <w:tc>
          <w:tcPr>
            <w:tcW w:w="412" w:type="pct"/>
            <w:vAlign w:val="center"/>
          </w:tcPr>
          <w:p w:rsidR="00644456" w:rsidRDefault="008031C4">
            <w:pPr>
              <w:widowControl/>
              <w:jc w:val="center"/>
              <w:rPr>
                <w:color w:val="000000" w:themeColor="text1"/>
                <w:kern w:val="0"/>
                <w:szCs w:val="21"/>
              </w:rPr>
            </w:pPr>
            <w:r>
              <w:rPr>
                <w:color w:val="000000" w:themeColor="text1"/>
                <w:kern w:val="0"/>
                <w:szCs w:val="21"/>
              </w:rPr>
              <w:t>--</w:t>
            </w:r>
          </w:p>
        </w:tc>
      </w:tr>
      <w:tr w:rsidR="00644456">
        <w:trPr>
          <w:trHeight w:val="265"/>
        </w:trPr>
        <w:tc>
          <w:tcPr>
            <w:tcW w:w="688" w:type="pct"/>
            <w:noWrap/>
            <w:vAlign w:val="center"/>
          </w:tcPr>
          <w:p w:rsidR="00644456" w:rsidRDefault="008031C4">
            <w:pPr>
              <w:widowControl/>
              <w:jc w:val="center"/>
              <w:rPr>
                <w:color w:val="000000" w:themeColor="text1"/>
                <w:kern w:val="0"/>
                <w:szCs w:val="21"/>
              </w:rPr>
            </w:pPr>
            <w:r>
              <w:rPr>
                <w:color w:val="000000" w:themeColor="text1"/>
                <w:kern w:val="0"/>
                <w:szCs w:val="21"/>
              </w:rPr>
              <w:t>运营期</w:t>
            </w:r>
          </w:p>
        </w:tc>
        <w:tc>
          <w:tcPr>
            <w:tcW w:w="817" w:type="pct"/>
            <w:noWrap/>
            <w:vAlign w:val="center"/>
          </w:tcPr>
          <w:p w:rsidR="00644456" w:rsidRDefault="008031C4">
            <w:pPr>
              <w:widowControl/>
              <w:jc w:val="center"/>
              <w:rPr>
                <w:color w:val="000000" w:themeColor="text1"/>
                <w:kern w:val="0"/>
                <w:szCs w:val="21"/>
              </w:rPr>
            </w:pPr>
            <w:r>
              <w:rPr>
                <w:color w:val="000000" w:themeColor="text1"/>
                <w:kern w:val="0"/>
                <w:szCs w:val="21"/>
              </w:rPr>
              <w:t>--</w:t>
            </w:r>
          </w:p>
        </w:tc>
        <w:tc>
          <w:tcPr>
            <w:tcW w:w="629" w:type="pct"/>
            <w:noWrap/>
            <w:vAlign w:val="center"/>
          </w:tcPr>
          <w:p w:rsidR="00644456" w:rsidRDefault="008031C4">
            <w:pPr>
              <w:widowControl/>
              <w:jc w:val="center"/>
              <w:rPr>
                <w:color w:val="000000" w:themeColor="text1"/>
                <w:kern w:val="0"/>
                <w:szCs w:val="21"/>
              </w:rPr>
            </w:pPr>
            <w:r>
              <w:rPr>
                <w:color w:val="000000" w:themeColor="text1"/>
                <w:kern w:val="0"/>
                <w:szCs w:val="21"/>
              </w:rPr>
              <w:t>--</w:t>
            </w:r>
          </w:p>
        </w:tc>
        <w:tc>
          <w:tcPr>
            <w:tcW w:w="714" w:type="pct"/>
            <w:noWrap/>
            <w:vAlign w:val="center"/>
          </w:tcPr>
          <w:p w:rsidR="00644456" w:rsidRDefault="008031C4">
            <w:pPr>
              <w:widowControl/>
              <w:jc w:val="center"/>
              <w:rPr>
                <w:color w:val="000000" w:themeColor="text1"/>
                <w:kern w:val="0"/>
                <w:szCs w:val="21"/>
              </w:rPr>
            </w:pPr>
            <w:r>
              <w:rPr>
                <w:color w:val="000000" w:themeColor="text1"/>
                <w:kern w:val="0"/>
                <w:szCs w:val="21"/>
              </w:rPr>
              <w:t>√</w:t>
            </w:r>
          </w:p>
        </w:tc>
        <w:tc>
          <w:tcPr>
            <w:tcW w:w="387" w:type="pct"/>
            <w:noWrap/>
            <w:vAlign w:val="center"/>
          </w:tcPr>
          <w:p w:rsidR="00644456" w:rsidRDefault="008031C4">
            <w:pPr>
              <w:widowControl/>
              <w:jc w:val="center"/>
              <w:rPr>
                <w:color w:val="000000" w:themeColor="text1"/>
                <w:kern w:val="0"/>
                <w:szCs w:val="21"/>
              </w:rPr>
            </w:pPr>
            <w:r>
              <w:rPr>
                <w:color w:val="000000" w:themeColor="text1"/>
                <w:kern w:val="0"/>
                <w:szCs w:val="21"/>
              </w:rPr>
              <w:t>--</w:t>
            </w:r>
          </w:p>
        </w:tc>
        <w:tc>
          <w:tcPr>
            <w:tcW w:w="553" w:type="pct"/>
            <w:vAlign w:val="center"/>
          </w:tcPr>
          <w:p w:rsidR="00644456" w:rsidRDefault="008031C4">
            <w:pPr>
              <w:widowControl/>
              <w:jc w:val="center"/>
              <w:rPr>
                <w:color w:val="000000" w:themeColor="text1"/>
                <w:kern w:val="0"/>
                <w:szCs w:val="21"/>
              </w:rPr>
            </w:pPr>
            <w:r>
              <w:rPr>
                <w:color w:val="000000" w:themeColor="text1"/>
                <w:kern w:val="0"/>
                <w:szCs w:val="21"/>
              </w:rPr>
              <w:t>--</w:t>
            </w:r>
          </w:p>
        </w:tc>
        <w:tc>
          <w:tcPr>
            <w:tcW w:w="400" w:type="pct"/>
            <w:vAlign w:val="center"/>
          </w:tcPr>
          <w:p w:rsidR="00644456" w:rsidRDefault="008031C4">
            <w:pPr>
              <w:widowControl/>
              <w:jc w:val="center"/>
              <w:rPr>
                <w:color w:val="000000" w:themeColor="text1"/>
                <w:kern w:val="0"/>
                <w:szCs w:val="21"/>
              </w:rPr>
            </w:pPr>
            <w:r>
              <w:rPr>
                <w:color w:val="000000" w:themeColor="text1"/>
                <w:kern w:val="0"/>
                <w:szCs w:val="21"/>
              </w:rPr>
              <w:t>--</w:t>
            </w:r>
          </w:p>
        </w:tc>
        <w:tc>
          <w:tcPr>
            <w:tcW w:w="400" w:type="pct"/>
            <w:vAlign w:val="center"/>
          </w:tcPr>
          <w:p w:rsidR="00644456" w:rsidRDefault="008031C4">
            <w:pPr>
              <w:widowControl/>
              <w:jc w:val="center"/>
              <w:rPr>
                <w:color w:val="000000" w:themeColor="text1"/>
                <w:kern w:val="0"/>
                <w:szCs w:val="21"/>
              </w:rPr>
            </w:pPr>
            <w:r>
              <w:rPr>
                <w:color w:val="000000" w:themeColor="text1"/>
                <w:kern w:val="0"/>
                <w:szCs w:val="21"/>
              </w:rPr>
              <w:t>--</w:t>
            </w:r>
          </w:p>
        </w:tc>
        <w:tc>
          <w:tcPr>
            <w:tcW w:w="412" w:type="pct"/>
            <w:vAlign w:val="center"/>
          </w:tcPr>
          <w:p w:rsidR="00644456" w:rsidRDefault="008031C4">
            <w:pPr>
              <w:widowControl/>
              <w:jc w:val="center"/>
              <w:rPr>
                <w:color w:val="000000" w:themeColor="text1"/>
                <w:kern w:val="0"/>
                <w:szCs w:val="21"/>
              </w:rPr>
            </w:pPr>
            <w:r>
              <w:rPr>
                <w:color w:val="000000" w:themeColor="text1"/>
                <w:kern w:val="0"/>
                <w:szCs w:val="21"/>
              </w:rPr>
              <w:t>--</w:t>
            </w:r>
          </w:p>
        </w:tc>
      </w:tr>
      <w:tr w:rsidR="00644456">
        <w:trPr>
          <w:trHeight w:val="265"/>
        </w:trPr>
        <w:tc>
          <w:tcPr>
            <w:tcW w:w="5000" w:type="pct"/>
            <w:gridSpan w:val="9"/>
            <w:noWrap/>
            <w:vAlign w:val="center"/>
          </w:tcPr>
          <w:p w:rsidR="00644456" w:rsidRDefault="008031C4">
            <w:pPr>
              <w:widowControl/>
              <w:jc w:val="left"/>
              <w:rPr>
                <w:color w:val="000000" w:themeColor="text1"/>
                <w:kern w:val="0"/>
                <w:szCs w:val="21"/>
              </w:rPr>
            </w:pPr>
            <w:r>
              <w:rPr>
                <w:color w:val="000000" w:themeColor="text1"/>
                <w:kern w:val="0"/>
                <w:szCs w:val="21"/>
              </w:rPr>
              <w:t>注：在可能产生的土壤影响类型处打</w:t>
            </w:r>
            <w:r>
              <w:rPr>
                <w:color w:val="000000" w:themeColor="text1"/>
                <w:kern w:val="0"/>
                <w:szCs w:val="21"/>
              </w:rPr>
              <w:t>“√”</w:t>
            </w:r>
            <w:r>
              <w:rPr>
                <w:color w:val="000000" w:themeColor="text1"/>
                <w:kern w:val="0"/>
                <w:szCs w:val="21"/>
              </w:rPr>
              <w:t>，列表未涵盖可自行设计。</w:t>
            </w:r>
          </w:p>
        </w:tc>
      </w:tr>
    </w:tbl>
    <w:p w:rsidR="00644456" w:rsidRDefault="008031C4">
      <w:pPr>
        <w:snapToGrid w:val="0"/>
        <w:spacing w:line="360" w:lineRule="auto"/>
        <w:ind w:firstLineChars="200" w:firstLine="482"/>
        <w:textAlignment w:val="baseline"/>
        <w:rPr>
          <w:rFonts w:cs="Times New Roman"/>
          <w:b/>
          <w:color w:val="000000" w:themeColor="text1"/>
          <w:sz w:val="24"/>
        </w:rPr>
      </w:pPr>
      <w:r>
        <w:rPr>
          <w:rFonts w:cs="Times New Roman" w:hint="eastAsia"/>
          <w:b/>
          <w:color w:val="000000" w:themeColor="text1"/>
          <w:sz w:val="24"/>
        </w:rPr>
        <w:t>2</w:t>
      </w:r>
      <w:r>
        <w:rPr>
          <w:rFonts w:cs="Times New Roman" w:hint="eastAsia"/>
          <w:b/>
          <w:color w:val="000000" w:themeColor="text1"/>
          <w:sz w:val="24"/>
        </w:rPr>
        <w:t>、影响源及影响因子</w:t>
      </w:r>
    </w:p>
    <w:p w:rsidR="00644456" w:rsidRDefault="008031C4">
      <w:pPr>
        <w:snapToGrid w:val="0"/>
        <w:spacing w:line="360" w:lineRule="auto"/>
        <w:ind w:firstLineChars="200" w:firstLine="480"/>
        <w:textAlignment w:val="baseline"/>
        <w:rPr>
          <w:rFonts w:cs="Times New Roman"/>
          <w:bCs/>
          <w:color w:val="000000" w:themeColor="text1"/>
          <w:sz w:val="24"/>
        </w:rPr>
      </w:pPr>
      <w:r>
        <w:rPr>
          <w:rFonts w:cs="Times New Roman" w:hint="eastAsia"/>
          <w:bCs/>
          <w:color w:val="000000" w:themeColor="text1"/>
          <w:sz w:val="24"/>
        </w:rPr>
        <w:t>本项目厂区全部进行水泥硬化（空地处种植绿植），按照分区防渗要求进行防渗。发生污染土壤环境的途径主要为事故泄漏导致的垂直入渗，最大可能污染源为污水处理设施、储存区域；</w:t>
      </w:r>
    </w:p>
    <w:p w:rsidR="00644456" w:rsidRDefault="008031C4">
      <w:pPr>
        <w:snapToGrid w:val="0"/>
        <w:spacing w:line="360" w:lineRule="auto"/>
        <w:ind w:firstLineChars="200" w:firstLine="480"/>
        <w:textAlignment w:val="baseline"/>
        <w:rPr>
          <w:rFonts w:cs="Times New Roman"/>
          <w:bCs/>
          <w:color w:val="000000" w:themeColor="text1"/>
          <w:sz w:val="24"/>
        </w:rPr>
      </w:pPr>
      <w:r>
        <w:rPr>
          <w:rFonts w:cs="Times New Roman"/>
          <w:bCs/>
          <w:color w:val="000000" w:themeColor="text1"/>
          <w:sz w:val="24"/>
        </w:rPr>
        <w:t>土壤环境影响源及影响因子识别见下表。</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5.5-2</w:t>
      </w:r>
      <w:r>
        <w:rPr>
          <w:rFonts w:cs="Times New Roman" w:hint="eastAsia"/>
          <w:b/>
          <w:color w:val="000000" w:themeColor="text1"/>
          <w:sz w:val="24"/>
          <w:szCs w:val="20"/>
        </w:rPr>
        <w:t>污染影响型建设项目土壤环境影响源与影响因子识别表</w:t>
      </w:r>
    </w:p>
    <w:tbl>
      <w:tblPr>
        <w:tblW w:w="8798"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71"/>
        <w:gridCol w:w="1425"/>
        <w:gridCol w:w="1426"/>
        <w:gridCol w:w="2014"/>
        <w:gridCol w:w="1095"/>
        <w:gridCol w:w="1167"/>
      </w:tblGrid>
      <w:tr w:rsidR="00644456">
        <w:trPr>
          <w:trHeight w:val="425"/>
          <w:jc w:val="center"/>
        </w:trPr>
        <w:tc>
          <w:tcPr>
            <w:tcW w:w="1671" w:type="dxa"/>
            <w:vAlign w:val="center"/>
          </w:tcPr>
          <w:p w:rsidR="00644456" w:rsidRDefault="008031C4">
            <w:pPr>
              <w:adjustRightInd w:val="0"/>
              <w:snapToGrid w:val="0"/>
              <w:jc w:val="center"/>
              <w:rPr>
                <w:b/>
                <w:bCs/>
                <w:color w:val="000000" w:themeColor="text1"/>
                <w:szCs w:val="21"/>
              </w:rPr>
            </w:pPr>
            <w:r>
              <w:rPr>
                <w:b/>
                <w:bCs/>
                <w:color w:val="000000" w:themeColor="text1"/>
                <w:szCs w:val="21"/>
              </w:rPr>
              <w:t>污染源</w:t>
            </w:r>
          </w:p>
        </w:tc>
        <w:tc>
          <w:tcPr>
            <w:tcW w:w="1425" w:type="dxa"/>
            <w:vAlign w:val="center"/>
          </w:tcPr>
          <w:p w:rsidR="00644456" w:rsidRDefault="008031C4">
            <w:pPr>
              <w:adjustRightInd w:val="0"/>
              <w:snapToGrid w:val="0"/>
              <w:jc w:val="center"/>
              <w:rPr>
                <w:b/>
                <w:bCs/>
                <w:color w:val="000000" w:themeColor="text1"/>
                <w:szCs w:val="21"/>
              </w:rPr>
            </w:pPr>
            <w:r>
              <w:rPr>
                <w:b/>
                <w:bCs/>
                <w:color w:val="000000" w:themeColor="text1"/>
                <w:szCs w:val="21"/>
              </w:rPr>
              <w:t>工艺流程</w:t>
            </w:r>
            <w:r>
              <w:rPr>
                <w:b/>
                <w:bCs/>
                <w:color w:val="000000" w:themeColor="text1"/>
                <w:szCs w:val="21"/>
              </w:rPr>
              <w:t>/</w:t>
            </w:r>
            <w:r>
              <w:rPr>
                <w:b/>
                <w:bCs/>
                <w:color w:val="000000" w:themeColor="text1"/>
                <w:szCs w:val="21"/>
              </w:rPr>
              <w:t>节点</w:t>
            </w:r>
          </w:p>
        </w:tc>
        <w:tc>
          <w:tcPr>
            <w:tcW w:w="1426" w:type="dxa"/>
            <w:vAlign w:val="center"/>
          </w:tcPr>
          <w:p w:rsidR="00644456" w:rsidRDefault="008031C4">
            <w:pPr>
              <w:adjustRightInd w:val="0"/>
              <w:snapToGrid w:val="0"/>
              <w:jc w:val="center"/>
              <w:rPr>
                <w:b/>
                <w:bCs/>
                <w:color w:val="000000" w:themeColor="text1"/>
                <w:szCs w:val="21"/>
              </w:rPr>
            </w:pPr>
            <w:r>
              <w:rPr>
                <w:b/>
                <w:bCs/>
                <w:color w:val="000000" w:themeColor="text1"/>
                <w:szCs w:val="21"/>
              </w:rPr>
              <w:t>污染途径</w:t>
            </w:r>
          </w:p>
        </w:tc>
        <w:tc>
          <w:tcPr>
            <w:tcW w:w="2014" w:type="dxa"/>
            <w:vAlign w:val="center"/>
          </w:tcPr>
          <w:p w:rsidR="00644456" w:rsidRDefault="008031C4">
            <w:pPr>
              <w:adjustRightInd w:val="0"/>
              <w:snapToGrid w:val="0"/>
              <w:jc w:val="center"/>
              <w:rPr>
                <w:b/>
                <w:snapToGrid w:val="0"/>
                <w:color w:val="000000" w:themeColor="text1"/>
                <w:kern w:val="0"/>
                <w:szCs w:val="21"/>
              </w:rPr>
            </w:pPr>
            <w:r>
              <w:rPr>
                <w:b/>
                <w:snapToGrid w:val="0"/>
                <w:color w:val="000000" w:themeColor="text1"/>
                <w:kern w:val="0"/>
                <w:szCs w:val="21"/>
              </w:rPr>
              <w:t>全部污染物指标</w:t>
            </w:r>
            <w:r>
              <w:rPr>
                <w:b/>
                <w:snapToGrid w:val="0"/>
                <w:color w:val="000000" w:themeColor="text1"/>
                <w:kern w:val="0"/>
                <w:szCs w:val="21"/>
              </w:rPr>
              <w:t>a</w:t>
            </w:r>
          </w:p>
        </w:tc>
        <w:tc>
          <w:tcPr>
            <w:tcW w:w="1095" w:type="dxa"/>
            <w:vAlign w:val="center"/>
          </w:tcPr>
          <w:p w:rsidR="00644456" w:rsidRDefault="008031C4">
            <w:pPr>
              <w:adjustRightInd w:val="0"/>
              <w:snapToGrid w:val="0"/>
              <w:jc w:val="center"/>
              <w:rPr>
                <w:b/>
                <w:snapToGrid w:val="0"/>
                <w:color w:val="000000" w:themeColor="text1"/>
                <w:kern w:val="0"/>
                <w:szCs w:val="21"/>
              </w:rPr>
            </w:pPr>
            <w:r>
              <w:rPr>
                <w:b/>
                <w:snapToGrid w:val="0"/>
                <w:color w:val="000000" w:themeColor="text1"/>
                <w:kern w:val="0"/>
                <w:szCs w:val="21"/>
              </w:rPr>
              <w:t>特征因子</w:t>
            </w:r>
          </w:p>
        </w:tc>
        <w:tc>
          <w:tcPr>
            <w:tcW w:w="1167" w:type="dxa"/>
            <w:vAlign w:val="center"/>
          </w:tcPr>
          <w:p w:rsidR="00644456" w:rsidRDefault="008031C4">
            <w:pPr>
              <w:adjustRightInd w:val="0"/>
              <w:snapToGrid w:val="0"/>
              <w:jc w:val="center"/>
              <w:rPr>
                <w:b/>
                <w:snapToGrid w:val="0"/>
                <w:color w:val="000000" w:themeColor="text1"/>
                <w:kern w:val="0"/>
                <w:szCs w:val="21"/>
              </w:rPr>
            </w:pPr>
            <w:r>
              <w:rPr>
                <w:b/>
                <w:snapToGrid w:val="0"/>
                <w:color w:val="000000" w:themeColor="text1"/>
                <w:kern w:val="0"/>
                <w:szCs w:val="21"/>
              </w:rPr>
              <w:t>备注</w:t>
            </w:r>
            <w:r>
              <w:rPr>
                <w:b/>
                <w:snapToGrid w:val="0"/>
                <w:color w:val="000000" w:themeColor="text1"/>
                <w:kern w:val="0"/>
                <w:szCs w:val="21"/>
              </w:rPr>
              <w:t>b</w:t>
            </w:r>
          </w:p>
        </w:tc>
      </w:tr>
      <w:tr w:rsidR="00644456">
        <w:trPr>
          <w:trHeight w:val="575"/>
          <w:jc w:val="center"/>
        </w:trPr>
        <w:tc>
          <w:tcPr>
            <w:tcW w:w="1671" w:type="dxa"/>
            <w:vAlign w:val="center"/>
          </w:tcPr>
          <w:p w:rsidR="00644456" w:rsidRDefault="008031C4">
            <w:pPr>
              <w:autoSpaceDE w:val="0"/>
              <w:autoSpaceDN w:val="0"/>
              <w:adjustRightInd w:val="0"/>
              <w:jc w:val="center"/>
              <w:rPr>
                <w:color w:val="000000" w:themeColor="text1"/>
                <w:kern w:val="0"/>
                <w:szCs w:val="21"/>
              </w:rPr>
            </w:pPr>
            <w:r>
              <w:rPr>
                <w:rFonts w:ascii="宋体" w:hAnsi="宋体" w:hint="eastAsia"/>
                <w:sz w:val="24"/>
                <w:szCs w:val="24"/>
              </w:rPr>
              <w:t>储罐</w:t>
            </w:r>
          </w:p>
        </w:tc>
        <w:tc>
          <w:tcPr>
            <w:tcW w:w="1425" w:type="dxa"/>
            <w:vAlign w:val="center"/>
          </w:tcPr>
          <w:p w:rsidR="00644456" w:rsidRDefault="008031C4">
            <w:pPr>
              <w:autoSpaceDE w:val="0"/>
              <w:autoSpaceDN w:val="0"/>
              <w:adjustRightInd w:val="0"/>
              <w:jc w:val="center"/>
              <w:rPr>
                <w:color w:val="000000" w:themeColor="text1"/>
                <w:kern w:val="0"/>
                <w:szCs w:val="21"/>
              </w:rPr>
            </w:pPr>
            <w:r>
              <w:rPr>
                <w:rFonts w:hint="eastAsia"/>
                <w:color w:val="000000" w:themeColor="text1"/>
                <w:kern w:val="0"/>
                <w:szCs w:val="21"/>
              </w:rPr>
              <w:t>储存</w:t>
            </w:r>
          </w:p>
        </w:tc>
        <w:tc>
          <w:tcPr>
            <w:tcW w:w="1426" w:type="dxa"/>
            <w:vAlign w:val="center"/>
          </w:tcPr>
          <w:p w:rsidR="00644456" w:rsidRDefault="008031C4">
            <w:pPr>
              <w:autoSpaceDE w:val="0"/>
              <w:autoSpaceDN w:val="0"/>
              <w:adjustRightInd w:val="0"/>
              <w:jc w:val="center"/>
              <w:rPr>
                <w:bCs/>
                <w:color w:val="000000" w:themeColor="text1"/>
                <w:kern w:val="0"/>
                <w:szCs w:val="21"/>
              </w:rPr>
            </w:pPr>
            <w:r>
              <w:rPr>
                <w:rFonts w:hint="eastAsia"/>
                <w:bCs/>
                <w:color w:val="000000" w:themeColor="text1"/>
                <w:kern w:val="0"/>
                <w:szCs w:val="21"/>
              </w:rPr>
              <w:t>垂直入渗</w:t>
            </w:r>
          </w:p>
        </w:tc>
        <w:tc>
          <w:tcPr>
            <w:tcW w:w="2014" w:type="dxa"/>
            <w:vAlign w:val="center"/>
          </w:tcPr>
          <w:p w:rsidR="00644456" w:rsidRDefault="008031C4">
            <w:pPr>
              <w:autoSpaceDE w:val="0"/>
              <w:autoSpaceDN w:val="0"/>
              <w:adjustRightInd w:val="0"/>
              <w:jc w:val="center"/>
              <w:rPr>
                <w:color w:val="000000" w:themeColor="text1"/>
                <w:kern w:val="0"/>
                <w:szCs w:val="21"/>
              </w:rPr>
            </w:pPr>
            <w:r>
              <w:rPr>
                <w:rFonts w:hint="eastAsia"/>
                <w:color w:val="000000" w:themeColor="text1"/>
                <w:kern w:val="0"/>
                <w:szCs w:val="21"/>
              </w:rPr>
              <w:t>石油类</w:t>
            </w:r>
          </w:p>
        </w:tc>
        <w:tc>
          <w:tcPr>
            <w:tcW w:w="1095" w:type="dxa"/>
            <w:vAlign w:val="center"/>
          </w:tcPr>
          <w:p w:rsidR="00644456" w:rsidRDefault="008031C4">
            <w:pPr>
              <w:autoSpaceDE w:val="0"/>
              <w:autoSpaceDN w:val="0"/>
              <w:adjustRightInd w:val="0"/>
              <w:jc w:val="center"/>
              <w:rPr>
                <w:color w:val="000000" w:themeColor="text1"/>
                <w:kern w:val="0"/>
                <w:szCs w:val="21"/>
              </w:rPr>
            </w:pPr>
            <w:r>
              <w:rPr>
                <w:rFonts w:hint="eastAsia"/>
                <w:color w:val="000000" w:themeColor="text1"/>
                <w:kern w:val="0"/>
                <w:szCs w:val="21"/>
              </w:rPr>
              <w:t>石油类</w:t>
            </w:r>
          </w:p>
        </w:tc>
        <w:tc>
          <w:tcPr>
            <w:tcW w:w="1167" w:type="dxa"/>
            <w:vMerge w:val="restart"/>
            <w:vAlign w:val="center"/>
          </w:tcPr>
          <w:p w:rsidR="00644456" w:rsidRDefault="008031C4">
            <w:pPr>
              <w:autoSpaceDE w:val="0"/>
              <w:autoSpaceDN w:val="0"/>
              <w:adjustRightInd w:val="0"/>
              <w:jc w:val="center"/>
              <w:rPr>
                <w:color w:val="000000" w:themeColor="text1"/>
                <w:kern w:val="0"/>
                <w:szCs w:val="21"/>
              </w:rPr>
            </w:pPr>
            <w:r>
              <w:rPr>
                <w:color w:val="000000" w:themeColor="text1"/>
                <w:kern w:val="0"/>
                <w:szCs w:val="21"/>
              </w:rPr>
              <w:t>泄漏对土壤的影响</w:t>
            </w:r>
          </w:p>
        </w:tc>
      </w:tr>
      <w:tr w:rsidR="00DE0F42">
        <w:trPr>
          <w:trHeight w:val="575"/>
          <w:jc w:val="center"/>
        </w:trPr>
        <w:tc>
          <w:tcPr>
            <w:tcW w:w="1671" w:type="dxa"/>
            <w:vAlign w:val="center"/>
          </w:tcPr>
          <w:p w:rsidR="00DE0F42" w:rsidRPr="00DE0F42" w:rsidRDefault="00DE0F42" w:rsidP="00DE0F42">
            <w:pPr>
              <w:autoSpaceDE w:val="0"/>
              <w:autoSpaceDN w:val="0"/>
              <w:adjustRightInd w:val="0"/>
              <w:jc w:val="center"/>
              <w:rPr>
                <w:rFonts w:ascii="宋体" w:hAnsi="宋体"/>
                <w:color w:val="FF0000"/>
                <w:sz w:val="24"/>
                <w:szCs w:val="24"/>
              </w:rPr>
            </w:pPr>
            <w:r w:rsidRPr="00DE0F42">
              <w:rPr>
                <w:rFonts w:ascii="宋体" w:hAnsi="宋体" w:hint="eastAsia"/>
                <w:color w:val="FF0000"/>
                <w:sz w:val="24"/>
                <w:szCs w:val="24"/>
              </w:rPr>
              <w:t>危废暂存间</w:t>
            </w:r>
          </w:p>
        </w:tc>
        <w:tc>
          <w:tcPr>
            <w:tcW w:w="1425" w:type="dxa"/>
            <w:vAlign w:val="center"/>
          </w:tcPr>
          <w:p w:rsidR="00DE0F42" w:rsidRPr="00DE0F42" w:rsidRDefault="00DE0F42" w:rsidP="00DE0F42">
            <w:pPr>
              <w:autoSpaceDE w:val="0"/>
              <w:autoSpaceDN w:val="0"/>
              <w:adjustRightInd w:val="0"/>
              <w:jc w:val="center"/>
              <w:rPr>
                <w:color w:val="FF0000"/>
                <w:kern w:val="0"/>
                <w:szCs w:val="21"/>
              </w:rPr>
            </w:pPr>
            <w:r w:rsidRPr="00DE0F42">
              <w:rPr>
                <w:rFonts w:hint="eastAsia"/>
                <w:color w:val="FF0000"/>
                <w:kern w:val="0"/>
                <w:szCs w:val="21"/>
              </w:rPr>
              <w:t>暂存</w:t>
            </w:r>
          </w:p>
        </w:tc>
        <w:tc>
          <w:tcPr>
            <w:tcW w:w="1426" w:type="dxa"/>
            <w:vAlign w:val="center"/>
          </w:tcPr>
          <w:p w:rsidR="00DE0F42" w:rsidRPr="00DE0F42" w:rsidRDefault="00DE0F42" w:rsidP="00DE0F42">
            <w:pPr>
              <w:autoSpaceDE w:val="0"/>
              <w:autoSpaceDN w:val="0"/>
              <w:adjustRightInd w:val="0"/>
              <w:jc w:val="center"/>
              <w:rPr>
                <w:bCs/>
                <w:color w:val="FF0000"/>
                <w:kern w:val="0"/>
                <w:szCs w:val="21"/>
              </w:rPr>
            </w:pPr>
            <w:r w:rsidRPr="00DE0F42">
              <w:rPr>
                <w:rFonts w:hint="eastAsia"/>
                <w:bCs/>
                <w:color w:val="FF0000"/>
                <w:kern w:val="0"/>
                <w:szCs w:val="21"/>
              </w:rPr>
              <w:t>垂直入渗</w:t>
            </w:r>
          </w:p>
        </w:tc>
        <w:tc>
          <w:tcPr>
            <w:tcW w:w="2014" w:type="dxa"/>
            <w:vAlign w:val="center"/>
          </w:tcPr>
          <w:p w:rsidR="00DE0F42" w:rsidRPr="00DE0F42" w:rsidRDefault="00DE0F42" w:rsidP="00DE0F42">
            <w:pPr>
              <w:autoSpaceDE w:val="0"/>
              <w:autoSpaceDN w:val="0"/>
              <w:adjustRightInd w:val="0"/>
              <w:jc w:val="center"/>
              <w:rPr>
                <w:color w:val="FF0000"/>
                <w:kern w:val="0"/>
                <w:szCs w:val="21"/>
              </w:rPr>
            </w:pPr>
            <w:r w:rsidRPr="00DE0F42">
              <w:rPr>
                <w:rFonts w:hint="eastAsia"/>
                <w:color w:val="FF0000"/>
                <w:kern w:val="0"/>
                <w:szCs w:val="21"/>
              </w:rPr>
              <w:t>石油类</w:t>
            </w:r>
          </w:p>
        </w:tc>
        <w:tc>
          <w:tcPr>
            <w:tcW w:w="1095" w:type="dxa"/>
            <w:vAlign w:val="center"/>
          </w:tcPr>
          <w:p w:rsidR="00DE0F42" w:rsidRPr="00DE0F42" w:rsidRDefault="00DE0F42" w:rsidP="00DE0F42">
            <w:pPr>
              <w:autoSpaceDE w:val="0"/>
              <w:autoSpaceDN w:val="0"/>
              <w:adjustRightInd w:val="0"/>
              <w:jc w:val="center"/>
              <w:rPr>
                <w:color w:val="FF0000"/>
                <w:kern w:val="0"/>
                <w:szCs w:val="21"/>
              </w:rPr>
            </w:pPr>
            <w:r w:rsidRPr="00DE0F42">
              <w:rPr>
                <w:rFonts w:hint="eastAsia"/>
                <w:color w:val="FF0000"/>
                <w:kern w:val="0"/>
                <w:szCs w:val="21"/>
              </w:rPr>
              <w:t>石油类</w:t>
            </w:r>
          </w:p>
        </w:tc>
        <w:tc>
          <w:tcPr>
            <w:tcW w:w="1167" w:type="dxa"/>
            <w:vMerge/>
            <w:vAlign w:val="center"/>
          </w:tcPr>
          <w:p w:rsidR="00DE0F42" w:rsidRDefault="00DE0F42" w:rsidP="00DE0F42">
            <w:pPr>
              <w:autoSpaceDE w:val="0"/>
              <w:autoSpaceDN w:val="0"/>
              <w:adjustRightInd w:val="0"/>
              <w:jc w:val="center"/>
              <w:rPr>
                <w:color w:val="000000" w:themeColor="text1"/>
                <w:kern w:val="0"/>
                <w:szCs w:val="21"/>
              </w:rPr>
            </w:pPr>
          </w:p>
        </w:tc>
      </w:tr>
      <w:tr w:rsidR="00644456">
        <w:trPr>
          <w:trHeight w:val="575"/>
          <w:jc w:val="center"/>
        </w:trPr>
        <w:tc>
          <w:tcPr>
            <w:tcW w:w="1671" w:type="dxa"/>
            <w:vAlign w:val="center"/>
          </w:tcPr>
          <w:p w:rsidR="00644456" w:rsidRDefault="008031C4">
            <w:pPr>
              <w:autoSpaceDE w:val="0"/>
              <w:autoSpaceDN w:val="0"/>
              <w:adjustRightInd w:val="0"/>
              <w:jc w:val="center"/>
              <w:rPr>
                <w:rFonts w:ascii="宋体" w:hAnsi="宋体"/>
                <w:sz w:val="24"/>
                <w:szCs w:val="24"/>
              </w:rPr>
            </w:pPr>
            <w:r>
              <w:rPr>
                <w:rFonts w:ascii="宋体" w:hAnsi="宋体" w:hint="eastAsia"/>
                <w:sz w:val="24"/>
                <w:szCs w:val="24"/>
              </w:rPr>
              <w:t>污水处理站</w:t>
            </w:r>
          </w:p>
        </w:tc>
        <w:tc>
          <w:tcPr>
            <w:tcW w:w="1425" w:type="dxa"/>
            <w:vAlign w:val="center"/>
          </w:tcPr>
          <w:p w:rsidR="00644456" w:rsidRDefault="008031C4">
            <w:pPr>
              <w:autoSpaceDE w:val="0"/>
              <w:autoSpaceDN w:val="0"/>
              <w:adjustRightInd w:val="0"/>
              <w:jc w:val="center"/>
              <w:rPr>
                <w:color w:val="000000" w:themeColor="text1"/>
                <w:kern w:val="0"/>
                <w:szCs w:val="21"/>
              </w:rPr>
            </w:pPr>
            <w:r>
              <w:rPr>
                <w:rFonts w:hint="eastAsia"/>
                <w:color w:val="000000" w:themeColor="text1"/>
                <w:kern w:val="0"/>
                <w:szCs w:val="21"/>
              </w:rPr>
              <w:t>含油污水处理系统</w:t>
            </w:r>
          </w:p>
        </w:tc>
        <w:tc>
          <w:tcPr>
            <w:tcW w:w="1426" w:type="dxa"/>
            <w:vAlign w:val="center"/>
          </w:tcPr>
          <w:p w:rsidR="00644456" w:rsidRDefault="008031C4">
            <w:pPr>
              <w:autoSpaceDE w:val="0"/>
              <w:autoSpaceDN w:val="0"/>
              <w:adjustRightInd w:val="0"/>
              <w:jc w:val="center"/>
              <w:rPr>
                <w:bCs/>
                <w:color w:val="000000" w:themeColor="text1"/>
                <w:kern w:val="0"/>
                <w:szCs w:val="21"/>
              </w:rPr>
            </w:pPr>
            <w:r>
              <w:rPr>
                <w:rFonts w:hint="eastAsia"/>
                <w:bCs/>
                <w:color w:val="000000" w:themeColor="text1"/>
                <w:kern w:val="0"/>
                <w:szCs w:val="21"/>
              </w:rPr>
              <w:t>垂直入渗</w:t>
            </w:r>
          </w:p>
        </w:tc>
        <w:tc>
          <w:tcPr>
            <w:tcW w:w="2014" w:type="dxa"/>
            <w:vAlign w:val="center"/>
          </w:tcPr>
          <w:p w:rsidR="00644456" w:rsidRDefault="008031C4">
            <w:pPr>
              <w:autoSpaceDE w:val="0"/>
              <w:autoSpaceDN w:val="0"/>
              <w:adjustRightInd w:val="0"/>
              <w:jc w:val="center"/>
              <w:rPr>
                <w:color w:val="000000" w:themeColor="text1"/>
                <w:kern w:val="0"/>
                <w:szCs w:val="21"/>
              </w:rPr>
            </w:pPr>
            <w:r>
              <w:rPr>
                <w:rFonts w:hint="eastAsia"/>
                <w:color w:val="000000" w:themeColor="text1"/>
                <w:kern w:val="0"/>
                <w:szCs w:val="21"/>
              </w:rPr>
              <w:t>pH</w:t>
            </w:r>
            <w:r>
              <w:rPr>
                <w:rFonts w:hint="eastAsia"/>
                <w:color w:val="000000" w:themeColor="text1"/>
                <w:kern w:val="0"/>
                <w:szCs w:val="21"/>
              </w:rPr>
              <w:t>、</w:t>
            </w:r>
            <w:r>
              <w:rPr>
                <w:rFonts w:hint="eastAsia"/>
                <w:color w:val="000000" w:themeColor="text1"/>
                <w:kern w:val="0"/>
                <w:szCs w:val="21"/>
              </w:rPr>
              <w:t>COD</w:t>
            </w:r>
            <w:r>
              <w:rPr>
                <w:rFonts w:hint="eastAsia"/>
                <w:color w:val="000000" w:themeColor="text1"/>
                <w:kern w:val="0"/>
                <w:szCs w:val="21"/>
              </w:rPr>
              <w:t>、石油类、</w:t>
            </w:r>
          </w:p>
          <w:p w:rsidR="00644456" w:rsidRDefault="008031C4">
            <w:pPr>
              <w:autoSpaceDE w:val="0"/>
              <w:autoSpaceDN w:val="0"/>
              <w:adjustRightInd w:val="0"/>
              <w:jc w:val="center"/>
              <w:rPr>
                <w:color w:val="000000" w:themeColor="text1"/>
                <w:kern w:val="0"/>
                <w:szCs w:val="21"/>
              </w:rPr>
            </w:pPr>
            <w:r>
              <w:rPr>
                <w:rFonts w:hint="eastAsia"/>
                <w:color w:val="000000" w:themeColor="text1"/>
                <w:kern w:val="0"/>
                <w:szCs w:val="21"/>
              </w:rPr>
              <w:t>硫化物、</w:t>
            </w:r>
            <w:r>
              <w:rPr>
                <w:rFonts w:hint="eastAsia"/>
                <w:color w:val="000000" w:themeColor="text1"/>
                <w:kern w:val="0"/>
                <w:szCs w:val="21"/>
              </w:rPr>
              <w:t>SS</w:t>
            </w:r>
          </w:p>
        </w:tc>
        <w:tc>
          <w:tcPr>
            <w:tcW w:w="1095" w:type="dxa"/>
            <w:vAlign w:val="center"/>
          </w:tcPr>
          <w:p w:rsidR="00644456" w:rsidRDefault="008031C4">
            <w:pPr>
              <w:autoSpaceDE w:val="0"/>
              <w:autoSpaceDN w:val="0"/>
              <w:adjustRightInd w:val="0"/>
              <w:jc w:val="center"/>
              <w:rPr>
                <w:color w:val="000000" w:themeColor="text1"/>
                <w:kern w:val="0"/>
                <w:szCs w:val="21"/>
              </w:rPr>
            </w:pPr>
            <w:r>
              <w:rPr>
                <w:rFonts w:hint="eastAsia"/>
                <w:color w:val="000000" w:themeColor="text1"/>
                <w:kern w:val="0"/>
                <w:szCs w:val="21"/>
              </w:rPr>
              <w:t>石油类</w:t>
            </w:r>
          </w:p>
        </w:tc>
        <w:tc>
          <w:tcPr>
            <w:tcW w:w="1167" w:type="dxa"/>
            <w:vMerge/>
            <w:vAlign w:val="center"/>
          </w:tcPr>
          <w:p w:rsidR="00644456" w:rsidRDefault="00644456">
            <w:pPr>
              <w:autoSpaceDE w:val="0"/>
              <w:autoSpaceDN w:val="0"/>
              <w:adjustRightInd w:val="0"/>
              <w:jc w:val="center"/>
              <w:rPr>
                <w:color w:val="000000" w:themeColor="text1"/>
                <w:kern w:val="0"/>
                <w:szCs w:val="21"/>
              </w:rPr>
            </w:pPr>
          </w:p>
        </w:tc>
      </w:tr>
    </w:tbl>
    <w:p w:rsidR="00644456" w:rsidRDefault="008031C4">
      <w:pPr>
        <w:pStyle w:val="3"/>
        <w:numPr>
          <w:ilvl w:val="2"/>
          <w:numId w:val="0"/>
        </w:numPr>
        <w:ind w:firstLineChars="200" w:firstLine="482"/>
      </w:pPr>
      <w:r>
        <w:rPr>
          <w:rFonts w:hint="eastAsia"/>
        </w:rPr>
        <w:t>5.5.3</w:t>
      </w:r>
      <w:r>
        <w:rPr>
          <w:rFonts w:hint="eastAsia"/>
        </w:rPr>
        <w:t>土壤环境敏感目标</w:t>
      </w:r>
    </w:p>
    <w:p w:rsidR="00644456" w:rsidRDefault="008031C4">
      <w:pPr>
        <w:snapToGrid w:val="0"/>
        <w:spacing w:line="360" w:lineRule="auto"/>
        <w:ind w:firstLineChars="200" w:firstLine="480"/>
        <w:textAlignment w:val="baseline"/>
        <w:rPr>
          <w:rFonts w:cs="Times New Roman"/>
          <w:bCs/>
          <w:color w:val="000000" w:themeColor="text1"/>
          <w:sz w:val="24"/>
        </w:rPr>
      </w:pPr>
      <w:r>
        <w:rPr>
          <w:rFonts w:cs="Times New Roman" w:hint="eastAsia"/>
          <w:bCs/>
          <w:color w:val="000000" w:themeColor="text1"/>
          <w:sz w:val="24"/>
        </w:rPr>
        <w:t>本项目位于疏勒高新技术产业开发区，项目周边均为工业用地，根据现场踏勘项目厂界外</w:t>
      </w:r>
      <w:r>
        <w:rPr>
          <w:rFonts w:cs="Times New Roman" w:hint="eastAsia"/>
          <w:bCs/>
          <w:color w:val="000000" w:themeColor="text1"/>
          <w:sz w:val="24"/>
        </w:rPr>
        <w:t>200m</w:t>
      </w:r>
      <w:r>
        <w:rPr>
          <w:rFonts w:cs="Times New Roman" w:hint="eastAsia"/>
          <w:bCs/>
          <w:color w:val="000000" w:themeColor="text1"/>
          <w:sz w:val="24"/>
        </w:rPr>
        <w:t>范围内无土壤环境敏感点</w:t>
      </w:r>
      <w:r>
        <w:rPr>
          <w:rFonts w:cs="Times New Roman"/>
          <w:bCs/>
          <w:color w:val="000000" w:themeColor="text1"/>
          <w:sz w:val="24"/>
        </w:rPr>
        <w:t>。</w:t>
      </w:r>
    </w:p>
    <w:p w:rsidR="00644456" w:rsidRDefault="008031C4">
      <w:pPr>
        <w:pStyle w:val="3"/>
        <w:numPr>
          <w:ilvl w:val="2"/>
          <w:numId w:val="0"/>
        </w:numPr>
        <w:ind w:firstLineChars="200" w:firstLine="482"/>
      </w:pPr>
      <w:r>
        <w:rPr>
          <w:rFonts w:hint="eastAsia"/>
        </w:rPr>
        <w:t>5.5.4</w:t>
      </w:r>
      <w:r>
        <w:rPr>
          <w:rFonts w:hint="eastAsia"/>
        </w:rPr>
        <w:t>项目所在地土壤类型及理化特性调查</w:t>
      </w:r>
    </w:p>
    <w:p w:rsidR="00644456" w:rsidRDefault="008031C4">
      <w:pPr>
        <w:adjustRightInd w:val="0"/>
        <w:snapToGrid w:val="0"/>
        <w:spacing w:line="360" w:lineRule="auto"/>
        <w:ind w:firstLineChars="200" w:firstLine="480"/>
        <w:textAlignment w:val="baseline"/>
        <w:rPr>
          <w:rFonts w:cs="Times New Roman"/>
          <w:bCs/>
          <w:color w:val="000000" w:themeColor="text1"/>
          <w:sz w:val="24"/>
          <w:szCs w:val="24"/>
          <w:lang w:val="zh-CN"/>
        </w:rPr>
      </w:pPr>
      <w:r>
        <w:rPr>
          <w:rFonts w:cs="Times New Roman" w:hint="eastAsia"/>
          <w:bCs/>
          <w:color w:val="000000" w:themeColor="text1"/>
          <w:sz w:val="24"/>
          <w:szCs w:val="24"/>
          <w:lang w:val="zh-CN"/>
        </w:rPr>
        <w:t>1</w:t>
      </w:r>
      <w:r>
        <w:rPr>
          <w:rFonts w:cs="Times New Roman" w:hint="eastAsia"/>
          <w:bCs/>
          <w:color w:val="000000" w:themeColor="text1"/>
          <w:sz w:val="24"/>
          <w:szCs w:val="24"/>
          <w:lang w:val="zh-CN"/>
        </w:rPr>
        <w:t>、项目所在地的土壤类型</w:t>
      </w:r>
    </w:p>
    <w:p w:rsidR="00644456" w:rsidRDefault="008031C4">
      <w:pPr>
        <w:adjustRightInd w:val="0"/>
        <w:snapToGrid w:val="0"/>
        <w:spacing w:line="360" w:lineRule="auto"/>
        <w:ind w:firstLineChars="200" w:firstLine="480"/>
        <w:textAlignment w:val="baseline"/>
        <w:rPr>
          <w:rFonts w:cs="Times New Roman"/>
          <w:bCs/>
          <w:color w:val="000000" w:themeColor="text1"/>
          <w:sz w:val="24"/>
          <w:szCs w:val="24"/>
          <w:lang w:val="zh-CN"/>
        </w:rPr>
      </w:pPr>
      <w:r>
        <w:rPr>
          <w:rFonts w:cs="Times New Roman" w:hint="eastAsia"/>
          <w:bCs/>
          <w:color w:val="000000" w:themeColor="text1"/>
          <w:sz w:val="24"/>
          <w:szCs w:val="24"/>
          <w:lang w:val="zh-CN"/>
        </w:rPr>
        <w:t>根据国家土壤信息平台（</w:t>
      </w:r>
      <w:r>
        <w:rPr>
          <w:rFonts w:cs="Times New Roman" w:hint="eastAsia"/>
          <w:bCs/>
          <w:color w:val="000000" w:themeColor="text1"/>
          <w:sz w:val="24"/>
          <w:szCs w:val="24"/>
          <w:lang w:val="zh-CN"/>
        </w:rPr>
        <w:t>http://www.soilinfo.cn/MAP/index.aspx</w:t>
      </w:r>
      <w:r>
        <w:rPr>
          <w:rFonts w:cs="Times New Roman" w:hint="eastAsia"/>
          <w:bCs/>
          <w:color w:val="000000" w:themeColor="text1"/>
          <w:sz w:val="24"/>
          <w:szCs w:val="24"/>
          <w:lang w:val="zh-CN"/>
        </w:rPr>
        <w:t>）查询及现场调查，本项目评价范围内的土壤类型为“草甸盐土”。</w:t>
      </w:r>
    </w:p>
    <w:p w:rsidR="00644456" w:rsidRDefault="00644456">
      <w:pPr>
        <w:autoSpaceDE w:val="0"/>
        <w:autoSpaceDN w:val="0"/>
        <w:spacing w:line="360" w:lineRule="auto"/>
        <w:jc w:val="center"/>
        <w:rPr>
          <w:rFonts w:cs="Times New Roman"/>
          <w:color w:val="000000"/>
        </w:rPr>
      </w:pP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图</w:t>
      </w:r>
      <w:r>
        <w:rPr>
          <w:rFonts w:cs="Times New Roman" w:hint="eastAsia"/>
          <w:b/>
          <w:color w:val="000000" w:themeColor="text1"/>
          <w:sz w:val="24"/>
          <w:szCs w:val="20"/>
        </w:rPr>
        <w:t>5.5-1</w:t>
      </w:r>
      <w:r>
        <w:rPr>
          <w:rFonts w:cs="Times New Roman" w:hint="eastAsia"/>
          <w:b/>
          <w:color w:val="000000" w:themeColor="text1"/>
          <w:sz w:val="24"/>
          <w:szCs w:val="20"/>
        </w:rPr>
        <w:t>项目占地范围土壤类型分布图</w:t>
      </w:r>
    </w:p>
    <w:p w:rsidR="00644456" w:rsidRDefault="00644456">
      <w:pPr>
        <w:jc w:val="center"/>
        <w:rPr>
          <w:rFonts w:cs="Times New Roman"/>
          <w:color w:val="000000"/>
        </w:rPr>
      </w:pP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图</w:t>
      </w:r>
      <w:r>
        <w:rPr>
          <w:rFonts w:cs="Times New Roman" w:hint="eastAsia"/>
          <w:b/>
          <w:color w:val="000000" w:themeColor="text1"/>
          <w:sz w:val="24"/>
          <w:szCs w:val="20"/>
        </w:rPr>
        <w:t>5.5-2</w:t>
      </w:r>
      <w:r>
        <w:rPr>
          <w:rFonts w:cs="Times New Roman" w:hint="eastAsia"/>
          <w:b/>
          <w:color w:val="000000" w:themeColor="text1"/>
          <w:sz w:val="24"/>
          <w:szCs w:val="20"/>
        </w:rPr>
        <w:t>土地利用类型图</w:t>
      </w:r>
    </w:p>
    <w:p w:rsidR="00644456" w:rsidRDefault="008031C4">
      <w:pPr>
        <w:adjustRightInd w:val="0"/>
        <w:snapToGrid w:val="0"/>
        <w:spacing w:line="360" w:lineRule="auto"/>
        <w:ind w:firstLineChars="200" w:firstLine="480"/>
        <w:textAlignment w:val="baseline"/>
        <w:rPr>
          <w:rFonts w:cs="Times New Roman"/>
          <w:bCs/>
          <w:color w:val="000000" w:themeColor="text1"/>
          <w:sz w:val="24"/>
          <w:szCs w:val="24"/>
        </w:rPr>
      </w:pPr>
      <w:r>
        <w:rPr>
          <w:rFonts w:cs="Times New Roman" w:hint="eastAsia"/>
          <w:bCs/>
          <w:color w:val="000000" w:themeColor="text1"/>
          <w:sz w:val="24"/>
          <w:szCs w:val="24"/>
        </w:rPr>
        <w:t>草甸盐土又称“普通盐土”。盐土的一个亚类。由各种类型的草甸土逐渐演变而成。中国各盐渍区均有分布，主要分布于河流冲积平原，如黄淮海平原、汾渭河谷平原、内蒙古河套平原、宁夏银川平原等。其形成受地下水常年上下活动的影响，积盐过程和草甸过程相伴进行，而以积盐过程为主。土壤积盐状况各地差异很大，愈干旱积盐愈重，积盐层或盐壳愈厚。表层有一定数量的有机质积累，底土有明显的锈色斑纹。依其盐分种类和含量，可分为氯化物草甸盐土（即潮湿盐土）、硫酸盐草甸盐土（即蓬松盐土）、硫酸盐—氯化物草甸盐土、氯化物硫酸盐草甸盐土等。</w:t>
      </w:r>
    </w:p>
    <w:p w:rsidR="00644456" w:rsidRDefault="008031C4">
      <w:pPr>
        <w:adjustRightInd w:val="0"/>
        <w:snapToGrid w:val="0"/>
        <w:spacing w:line="360" w:lineRule="auto"/>
        <w:ind w:firstLineChars="200" w:firstLine="480"/>
        <w:textAlignment w:val="baseline"/>
        <w:rPr>
          <w:rFonts w:cs="Times New Roman"/>
          <w:bCs/>
          <w:color w:val="000000" w:themeColor="text1"/>
          <w:sz w:val="24"/>
          <w:szCs w:val="24"/>
        </w:rPr>
      </w:pPr>
      <w:r>
        <w:rPr>
          <w:rFonts w:cs="Times New Roman" w:hint="eastAsia"/>
          <w:bCs/>
          <w:color w:val="000000" w:themeColor="text1"/>
          <w:sz w:val="24"/>
          <w:szCs w:val="24"/>
        </w:rPr>
        <w:lastRenderedPageBreak/>
        <w:t>2</w:t>
      </w:r>
      <w:r>
        <w:rPr>
          <w:rFonts w:cs="Times New Roman" w:hint="eastAsia"/>
          <w:bCs/>
          <w:color w:val="000000" w:themeColor="text1"/>
          <w:sz w:val="24"/>
          <w:szCs w:val="24"/>
        </w:rPr>
        <w:t>、现状监测</w:t>
      </w:r>
    </w:p>
    <w:p w:rsidR="00644456" w:rsidRDefault="008031C4">
      <w:pPr>
        <w:adjustRightInd w:val="0"/>
        <w:snapToGrid w:val="0"/>
        <w:spacing w:line="360" w:lineRule="auto"/>
        <w:ind w:firstLineChars="200" w:firstLine="480"/>
        <w:textAlignment w:val="baseline"/>
        <w:rPr>
          <w:rFonts w:cs="Times New Roman"/>
          <w:bCs/>
          <w:color w:val="000000" w:themeColor="text1"/>
          <w:sz w:val="24"/>
          <w:szCs w:val="24"/>
        </w:rPr>
      </w:pPr>
      <w:r>
        <w:rPr>
          <w:rFonts w:cs="Times New Roman" w:hint="eastAsia"/>
          <w:bCs/>
          <w:color w:val="000000" w:themeColor="text1"/>
          <w:sz w:val="24"/>
          <w:szCs w:val="24"/>
        </w:rPr>
        <w:t>现状监测详见“</w:t>
      </w:r>
      <w:r>
        <w:rPr>
          <w:rFonts w:cs="Times New Roman" w:hint="eastAsia"/>
          <w:bCs/>
          <w:color w:val="000000" w:themeColor="text1"/>
          <w:sz w:val="24"/>
          <w:szCs w:val="24"/>
        </w:rPr>
        <w:t>4.2.5</w:t>
      </w:r>
      <w:r>
        <w:rPr>
          <w:rFonts w:cs="Times New Roman" w:hint="eastAsia"/>
          <w:bCs/>
          <w:color w:val="000000" w:themeColor="text1"/>
          <w:sz w:val="24"/>
          <w:szCs w:val="24"/>
        </w:rPr>
        <w:t>土壤现状监测及评价”章节。</w:t>
      </w:r>
    </w:p>
    <w:p w:rsidR="00644456" w:rsidRDefault="008031C4">
      <w:pPr>
        <w:adjustRightInd w:val="0"/>
        <w:snapToGrid w:val="0"/>
        <w:spacing w:line="360" w:lineRule="auto"/>
        <w:ind w:firstLineChars="200" w:firstLine="480"/>
        <w:textAlignment w:val="baseline"/>
        <w:rPr>
          <w:rFonts w:cs="Times New Roman"/>
          <w:bCs/>
          <w:color w:val="000000" w:themeColor="text1"/>
          <w:sz w:val="24"/>
          <w:szCs w:val="24"/>
        </w:rPr>
      </w:pPr>
      <w:r>
        <w:rPr>
          <w:rFonts w:cs="Times New Roman" w:hint="eastAsia"/>
          <w:bCs/>
          <w:color w:val="000000" w:themeColor="text1"/>
          <w:sz w:val="24"/>
          <w:szCs w:val="24"/>
        </w:rPr>
        <w:t>现状评价结论：</w:t>
      </w:r>
    </w:p>
    <w:p w:rsidR="00644456" w:rsidRDefault="008031C4">
      <w:pPr>
        <w:adjustRightInd w:val="0"/>
        <w:snapToGrid w:val="0"/>
        <w:spacing w:line="360" w:lineRule="auto"/>
        <w:ind w:firstLineChars="200" w:firstLine="480"/>
        <w:textAlignment w:val="baseline"/>
        <w:rPr>
          <w:rFonts w:cs="Times New Roman"/>
          <w:bCs/>
          <w:color w:val="000000" w:themeColor="text1"/>
          <w:sz w:val="24"/>
          <w:szCs w:val="24"/>
        </w:rPr>
      </w:pPr>
      <w:r>
        <w:rPr>
          <w:rFonts w:cs="Times New Roman" w:hint="eastAsia"/>
          <w:bCs/>
          <w:color w:val="000000" w:themeColor="text1"/>
          <w:sz w:val="24"/>
          <w:szCs w:val="24"/>
        </w:rPr>
        <w:t>项目区各监测点位土壤中各项监测指标均满足《土壤环境质量建设用地土壤污染风险管控标准》（试行）（</w:t>
      </w:r>
      <w:r>
        <w:rPr>
          <w:rFonts w:cs="Times New Roman" w:hint="eastAsia"/>
          <w:bCs/>
          <w:color w:val="000000" w:themeColor="text1"/>
          <w:sz w:val="24"/>
          <w:szCs w:val="24"/>
        </w:rPr>
        <w:t>GB36600-2018</w:t>
      </w:r>
      <w:r>
        <w:rPr>
          <w:rFonts w:cs="Times New Roman" w:hint="eastAsia"/>
          <w:bCs/>
          <w:color w:val="000000" w:themeColor="text1"/>
          <w:sz w:val="24"/>
          <w:szCs w:val="24"/>
        </w:rPr>
        <w:t>）表</w:t>
      </w:r>
      <w:r>
        <w:rPr>
          <w:rFonts w:cs="Times New Roman" w:hint="eastAsia"/>
          <w:bCs/>
          <w:color w:val="000000" w:themeColor="text1"/>
          <w:sz w:val="24"/>
          <w:szCs w:val="24"/>
        </w:rPr>
        <w:t>1</w:t>
      </w:r>
      <w:r>
        <w:rPr>
          <w:rFonts w:cs="Times New Roman" w:hint="eastAsia"/>
          <w:bCs/>
          <w:color w:val="000000" w:themeColor="text1"/>
          <w:sz w:val="24"/>
          <w:szCs w:val="24"/>
        </w:rPr>
        <w:t>和表</w:t>
      </w:r>
      <w:r>
        <w:rPr>
          <w:rFonts w:cs="Times New Roman" w:hint="eastAsia"/>
          <w:bCs/>
          <w:color w:val="000000" w:themeColor="text1"/>
          <w:sz w:val="24"/>
          <w:szCs w:val="24"/>
        </w:rPr>
        <w:t>2</w:t>
      </w:r>
      <w:r>
        <w:rPr>
          <w:rFonts w:cs="Times New Roman" w:hint="eastAsia"/>
          <w:bCs/>
          <w:color w:val="000000" w:themeColor="text1"/>
          <w:sz w:val="24"/>
          <w:szCs w:val="24"/>
        </w:rPr>
        <w:t>第二类用地筛选值标准要求。</w:t>
      </w:r>
    </w:p>
    <w:p w:rsidR="00644456" w:rsidRDefault="008031C4">
      <w:pPr>
        <w:adjustRightInd w:val="0"/>
        <w:snapToGrid w:val="0"/>
        <w:spacing w:line="360" w:lineRule="auto"/>
        <w:ind w:firstLineChars="200" w:firstLine="480"/>
        <w:textAlignment w:val="baseline"/>
        <w:rPr>
          <w:rFonts w:cs="Times New Roman"/>
          <w:bCs/>
          <w:color w:val="000000" w:themeColor="text1"/>
          <w:sz w:val="24"/>
          <w:szCs w:val="24"/>
        </w:rPr>
      </w:pPr>
      <w:r>
        <w:rPr>
          <w:rFonts w:cs="Times New Roman" w:hint="eastAsia"/>
          <w:bCs/>
          <w:color w:val="000000" w:themeColor="text1"/>
          <w:sz w:val="24"/>
          <w:szCs w:val="24"/>
        </w:rPr>
        <w:t>综上可知，项目所在区域土壤环境质量现状良好。</w:t>
      </w:r>
    </w:p>
    <w:p w:rsidR="00644456" w:rsidRDefault="008031C4">
      <w:pPr>
        <w:adjustRightInd w:val="0"/>
        <w:snapToGrid w:val="0"/>
        <w:spacing w:line="360" w:lineRule="auto"/>
        <w:ind w:firstLineChars="200" w:firstLine="480"/>
        <w:textAlignment w:val="baseline"/>
        <w:rPr>
          <w:rFonts w:cs="Times New Roman"/>
          <w:bCs/>
          <w:color w:val="000000" w:themeColor="text1"/>
          <w:sz w:val="24"/>
          <w:szCs w:val="24"/>
        </w:rPr>
      </w:pPr>
      <w:r>
        <w:rPr>
          <w:rFonts w:cs="Times New Roman" w:hint="eastAsia"/>
          <w:bCs/>
          <w:color w:val="000000" w:themeColor="text1"/>
          <w:sz w:val="24"/>
          <w:szCs w:val="24"/>
        </w:rPr>
        <w:t>3</w:t>
      </w:r>
      <w:r>
        <w:rPr>
          <w:rFonts w:cs="Times New Roman" w:hint="eastAsia"/>
          <w:bCs/>
          <w:color w:val="000000" w:themeColor="text1"/>
          <w:sz w:val="24"/>
          <w:szCs w:val="24"/>
        </w:rPr>
        <w:t>、理化特性</w:t>
      </w:r>
    </w:p>
    <w:p w:rsidR="00644456" w:rsidRDefault="008031C4">
      <w:pPr>
        <w:adjustRightInd w:val="0"/>
        <w:snapToGrid w:val="0"/>
        <w:spacing w:line="360" w:lineRule="auto"/>
        <w:ind w:firstLineChars="200" w:firstLine="480"/>
        <w:textAlignment w:val="baseline"/>
        <w:rPr>
          <w:rFonts w:cs="Times New Roman"/>
          <w:bCs/>
          <w:color w:val="000000" w:themeColor="text1"/>
          <w:sz w:val="24"/>
          <w:szCs w:val="24"/>
        </w:rPr>
      </w:pPr>
      <w:r>
        <w:rPr>
          <w:rFonts w:cs="Times New Roman" w:hint="eastAsia"/>
          <w:bCs/>
          <w:color w:val="000000" w:themeColor="text1"/>
          <w:sz w:val="24"/>
          <w:szCs w:val="24"/>
        </w:rPr>
        <w:t>根据本项目土壤环境影响类型、建设项目特征与评价需要，引用新疆锡水金山环境科技有限公司于</w:t>
      </w:r>
      <w:r>
        <w:rPr>
          <w:rFonts w:cs="Times New Roman" w:hint="eastAsia"/>
          <w:bCs/>
          <w:color w:val="000000" w:themeColor="text1"/>
          <w:sz w:val="24"/>
          <w:szCs w:val="24"/>
        </w:rPr>
        <w:t>2023</w:t>
      </w:r>
      <w:r>
        <w:rPr>
          <w:rFonts w:cs="Times New Roman" w:hint="eastAsia"/>
          <w:bCs/>
          <w:color w:val="000000" w:themeColor="text1"/>
          <w:sz w:val="24"/>
          <w:szCs w:val="24"/>
        </w:rPr>
        <w:t>年</w:t>
      </w:r>
      <w:r>
        <w:rPr>
          <w:rFonts w:cs="Times New Roman" w:hint="eastAsia"/>
          <w:bCs/>
          <w:color w:val="000000" w:themeColor="text1"/>
          <w:sz w:val="24"/>
          <w:szCs w:val="24"/>
        </w:rPr>
        <w:t>5</w:t>
      </w:r>
      <w:r>
        <w:rPr>
          <w:rFonts w:cs="Times New Roman" w:hint="eastAsia"/>
          <w:bCs/>
          <w:color w:val="000000" w:themeColor="text1"/>
          <w:sz w:val="24"/>
          <w:szCs w:val="24"/>
        </w:rPr>
        <w:t>月对疏勒县表面处理生态工业园（化工园区）基础设施配套建设项目—电镀污水处理厂项目土壤理化性质进行了调查（位于项目北侧</w:t>
      </w:r>
      <w:r>
        <w:rPr>
          <w:rFonts w:cs="Times New Roman" w:hint="eastAsia"/>
          <w:bCs/>
          <w:color w:val="000000" w:themeColor="text1"/>
          <w:sz w:val="24"/>
          <w:szCs w:val="24"/>
        </w:rPr>
        <w:t>20m</w:t>
      </w:r>
      <w:r>
        <w:rPr>
          <w:rFonts w:cs="Times New Roman" w:hint="eastAsia"/>
          <w:bCs/>
          <w:color w:val="000000" w:themeColor="text1"/>
          <w:sz w:val="24"/>
          <w:szCs w:val="24"/>
        </w:rPr>
        <w:t>），具体见下表。</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5.5-3TC1#</w:t>
      </w:r>
      <w:r>
        <w:rPr>
          <w:rFonts w:cs="Times New Roman" w:hint="eastAsia"/>
          <w:b/>
          <w:color w:val="000000" w:themeColor="text1"/>
          <w:sz w:val="24"/>
          <w:szCs w:val="20"/>
        </w:rPr>
        <w:t>（建设项目场地内—表层样）的土壤理化性质调查表</w:t>
      </w:r>
    </w:p>
    <w:tbl>
      <w:tblPr>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148"/>
        <w:gridCol w:w="168"/>
        <w:gridCol w:w="1916"/>
        <w:gridCol w:w="2380"/>
        <w:gridCol w:w="2151"/>
      </w:tblGrid>
      <w:tr w:rsidR="00644456">
        <w:trPr>
          <w:jc w:val="center"/>
        </w:trPr>
        <w:tc>
          <w:tcPr>
            <w:tcW w:w="2317" w:type="dxa"/>
            <w:gridSpan w:val="2"/>
            <w:vAlign w:val="center"/>
          </w:tcPr>
          <w:p w:rsidR="00644456" w:rsidRDefault="008031C4">
            <w:pPr>
              <w:widowControl/>
              <w:spacing w:line="360" w:lineRule="exact"/>
              <w:jc w:val="center"/>
              <w:textAlignment w:val="center"/>
              <w:rPr>
                <w:rFonts w:cs="Times New Roman"/>
                <w:bCs/>
                <w:color w:val="000000"/>
                <w:kern w:val="0"/>
                <w:szCs w:val="21"/>
                <w:lang w:bidi="ar"/>
              </w:rPr>
            </w:pPr>
            <w:r>
              <w:rPr>
                <w:rFonts w:cs="Times New Roman" w:hint="eastAsia"/>
                <w:bCs/>
                <w:color w:val="000000"/>
                <w:kern w:val="0"/>
                <w:szCs w:val="21"/>
                <w:lang w:bidi="ar"/>
              </w:rPr>
              <w:t>监测点位名称</w:t>
            </w:r>
          </w:p>
        </w:tc>
        <w:tc>
          <w:tcPr>
            <w:tcW w:w="6447" w:type="dxa"/>
            <w:gridSpan w:val="3"/>
            <w:vAlign w:val="center"/>
          </w:tcPr>
          <w:p w:rsidR="00644456" w:rsidRDefault="008031C4">
            <w:pPr>
              <w:widowControl/>
              <w:spacing w:line="360" w:lineRule="exact"/>
              <w:jc w:val="center"/>
              <w:textAlignment w:val="center"/>
              <w:rPr>
                <w:rFonts w:cs="Times New Roman"/>
                <w:bCs/>
                <w:color w:val="000000"/>
                <w:szCs w:val="21"/>
              </w:rPr>
            </w:pPr>
            <w:r>
              <w:rPr>
                <w:rFonts w:cs="Times New Roman" w:hint="eastAsia"/>
                <w:bCs/>
                <w:color w:val="000000"/>
                <w:szCs w:val="21"/>
              </w:rPr>
              <w:t>TC1#</w:t>
            </w:r>
            <w:r>
              <w:rPr>
                <w:rFonts w:cs="Times New Roman" w:hint="eastAsia"/>
                <w:bCs/>
                <w:color w:val="000000"/>
                <w:szCs w:val="21"/>
              </w:rPr>
              <w:t>（建设项目场地内—表层样）</w:t>
            </w:r>
          </w:p>
        </w:tc>
      </w:tr>
      <w:tr w:rsidR="00644456">
        <w:trPr>
          <w:jc w:val="center"/>
        </w:trPr>
        <w:tc>
          <w:tcPr>
            <w:tcW w:w="2317" w:type="dxa"/>
            <w:gridSpan w:val="2"/>
            <w:vAlign w:val="center"/>
          </w:tcPr>
          <w:p w:rsidR="00644456" w:rsidRDefault="008031C4">
            <w:pPr>
              <w:widowControl/>
              <w:spacing w:line="360" w:lineRule="exact"/>
              <w:jc w:val="center"/>
              <w:textAlignment w:val="center"/>
              <w:rPr>
                <w:rFonts w:cs="Times New Roman"/>
                <w:bCs/>
                <w:color w:val="000000"/>
                <w:kern w:val="0"/>
                <w:szCs w:val="21"/>
                <w:lang w:bidi="ar"/>
              </w:rPr>
            </w:pPr>
            <w:r>
              <w:rPr>
                <w:rFonts w:cs="Times New Roman" w:hint="eastAsia"/>
                <w:bCs/>
                <w:color w:val="000000"/>
                <w:szCs w:val="21"/>
              </w:rPr>
              <w:t>采样</w:t>
            </w:r>
            <w:r>
              <w:rPr>
                <w:rFonts w:cs="Times New Roman"/>
                <w:bCs/>
                <w:color w:val="000000"/>
                <w:szCs w:val="21"/>
              </w:rPr>
              <w:t>日期</w:t>
            </w:r>
          </w:p>
        </w:tc>
        <w:tc>
          <w:tcPr>
            <w:tcW w:w="1916" w:type="dxa"/>
            <w:vAlign w:val="center"/>
          </w:tcPr>
          <w:p w:rsidR="00644456" w:rsidRDefault="008031C4">
            <w:pPr>
              <w:widowControl/>
              <w:spacing w:line="360" w:lineRule="exact"/>
              <w:jc w:val="center"/>
              <w:textAlignment w:val="center"/>
              <w:rPr>
                <w:rFonts w:cs="Times New Roman"/>
                <w:bCs/>
                <w:color w:val="000000"/>
                <w:szCs w:val="21"/>
                <w:highlight w:val="yellow"/>
              </w:rPr>
            </w:pPr>
            <w:r>
              <w:rPr>
                <w:rFonts w:cs="Times New Roman"/>
                <w:color w:val="000000"/>
                <w:kern w:val="0"/>
                <w:szCs w:val="21"/>
                <w:lang w:bidi="ar"/>
              </w:rPr>
              <w:t>202</w:t>
            </w:r>
            <w:r>
              <w:rPr>
                <w:rFonts w:cs="Times New Roman" w:hint="eastAsia"/>
                <w:color w:val="000000"/>
                <w:kern w:val="0"/>
                <w:szCs w:val="21"/>
                <w:lang w:bidi="ar"/>
              </w:rPr>
              <w:t>3</w:t>
            </w:r>
            <w:r>
              <w:rPr>
                <w:rFonts w:cs="Times New Roman" w:hint="eastAsia"/>
                <w:color w:val="000000"/>
                <w:kern w:val="0"/>
                <w:szCs w:val="21"/>
                <w:lang w:bidi="ar"/>
              </w:rPr>
              <w:t>年</w:t>
            </w:r>
            <w:r>
              <w:rPr>
                <w:rFonts w:cs="Times New Roman" w:hint="eastAsia"/>
                <w:color w:val="000000"/>
                <w:kern w:val="0"/>
                <w:szCs w:val="21"/>
                <w:lang w:bidi="ar"/>
              </w:rPr>
              <w:t>5</w:t>
            </w:r>
            <w:r>
              <w:rPr>
                <w:rFonts w:cs="Times New Roman" w:hint="eastAsia"/>
                <w:color w:val="000000"/>
                <w:kern w:val="0"/>
                <w:szCs w:val="21"/>
                <w:lang w:bidi="ar"/>
              </w:rPr>
              <w:t>月</w:t>
            </w:r>
            <w:r>
              <w:rPr>
                <w:rFonts w:cs="Times New Roman" w:hint="eastAsia"/>
                <w:color w:val="000000"/>
                <w:kern w:val="0"/>
                <w:szCs w:val="21"/>
                <w:lang w:bidi="ar"/>
              </w:rPr>
              <w:t>19</w:t>
            </w:r>
            <w:r>
              <w:rPr>
                <w:rFonts w:cs="Times New Roman" w:hint="eastAsia"/>
                <w:color w:val="000000"/>
                <w:kern w:val="0"/>
                <w:szCs w:val="21"/>
                <w:lang w:bidi="ar"/>
              </w:rPr>
              <w:t>日</w:t>
            </w:r>
          </w:p>
        </w:tc>
        <w:tc>
          <w:tcPr>
            <w:tcW w:w="2380" w:type="dxa"/>
            <w:vAlign w:val="center"/>
          </w:tcPr>
          <w:p w:rsidR="00644456" w:rsidRDefault="008031C4">
            <w:pPr>
              <w:widowControl/>
              <w:spacing w:line="360" w:lineRule="exact"/>
              <w:jc w:val="center"/>
              <w:textAlignment w:val="center"/>
              <w:rPr>
                <w:rFonts w:cs="Times New Roman"/>
                <w:bCs/>
                <w:color w:val="000000"/>
                <w:szCs w:val="21"/>
              </w:rPr>
            </w:pPr>
            <w:r>
              <w:rPr>
                <w:rFonts w:cs="Times New Roman"/>
                <w:bCs/>
                <w:color w:val="000000"/>
                <w:szCs w:val="21"/>
              </w:rPr>
              <w:t>分析日期</w:t>
            </w:r>
          </w:p>
        </w:tc>
        <w:tc>
          <w:tcPr>
            <w:tcW w:w="2151" w:type="dxa"/>
            <w:vAlign w:val="center"/>
          </w:tcPr>
          <w:p w:rsidR="00644456" w:rsidRDefault="008031C4">
            <w:pPr>
              <w:widowControl/>
              <w:spacing w:line="360" w:lineRule="exact"/>
              <w:jc w:val="center"/>
              <w:textAlignment w:val="center"/>
              <w:rPr>
                <w:rFonts w:cs="Times New Roman"/>
                <w:bCs/>
                <w:color w:val="000000"/>
                <w:szCs w:val="21"/>
              </w:rPr>
            </w:pPr>
            <w:r>
              <w:rPr>
                <w:rFonts w:cs="Times New Roman"/>
                <w:color w:val="000000"/>
                <w:kern w:val="0"/>
                <w:szCs w:val="21"/>
                <w:lang w:bidi="ar"/>
              </w:rPr>
              <w:t>202</w:t>
            </w:r>
            <w:r>
              <w:rPr>
                <w:rFonts w:cs="Times New Roman" w:hint="eastAsia"/>
                <w:color w:val="000000"/>
                <w:kern w:val="0"/>
                <w:szCs w:val="21"/>
                <w:lang w:bidi="ar"/>
              </w:rPr>
              <w:t>3</w:t>
            </w:r>
            <w:r>
              <w:rPr>
                <w:rFonts w:cs="Times New Roman" w:hint="eastAsia"/>
                <w:color w:val="000000"/>
                <w:kern w:val="0"/>
                <w:szCs w:val="21"/>
                <w:lang w:bidi="ar"/>
              </w:rPr>
              <w:t>年</w:t>
            </w:r>
            <w:r>
              <w:rPr>
                <w:rFonts w:cs="Times New Roman" w:hint="eastAsia"/>
                <w:color w:val="000000"/>
                <w:kern w:val="0"/>
                <w:szCs w:val="21"/>
                <w:lang w:bidi="ar"/>
              </w:rPr>
              <w:t>5</w:t>
            </w:r>
            <w:r>
              <w:rPr>
                <w:rFonts w:cs="Times New Roman" w:hint="eastAsia"/>
                <w:color w:val="000000"/>
                <w:kern w:val="0"/>
                <w:szCs w:val="21"/>
                <w:lang w:bidi="ar"/>
              </w:rPr>
              <w:t>月</w:t>
            </w:r>
            <w:r>
              <w:rPr>
                <w:rFonts w:cs="Times New Roman" w:hint="eastAsia"/>
                <w:color w:val="000000"/>
                <w:kern w:val="0"/>
                <w:szCs w:val="21"/>
                <w:lang w:bidi="ar"/>
              </w:rPr>
              <w:t>20</w:t>
            </w:r>
            <w:r>
              <w:rPr>
                <w:rFonts w:cs="Times New Roman" w:hint="eastAsia"/>
                <w:color w:val="000000"/>
                <w:kern w:val="0"/>
                <w:szCs w:val="21"/>
                <w:lang w:bidi="ar"/>
              </w:rPr>
              <w:t>日</w:t>
            </w:r>
            <w:r>
              <w:rPr>
                <w:rFonts w:cs="Times New Roman" w:hint="eastAsia"/>
                <w:color w:val="000000"/>
                <w:kern w:val="0"/>
                <w:szCs w:val="21"/>
                <w:lang w:bidi="ar"/>
              </w:rPr>
              <w:t>-21</w:t>
            </w:r>
            <w:r>
              <w:rPr>
                <w:rFonts w:cs="Times New Roman" w:hint="eastAsia"/>
                <w:color w:val="000000"/>
                <w:kern w:val="0"/>
                <w:szCs w:val="21"/>
                <w:lang w:bidi="ar"/>
              </w:rPr>
              <w:t>日</w:t>
            </w:r>
          </w:p>
        </w:tc>
      </w:tr>
      <w:tr w:rsidR="00644456">
        <w:trPr>
          <w:jc w:val="center"/>
        </w:trPr>
        <w:tc>
          <w:tcPr>
            <w:tcW w:w="4233" w:type="dxa"/>
            <w:gridSpan w:val="3"/>
            <w:vAlign w:val="center"/>
          </w:tcPr>
          <w:p w:rsidR="00644456" w:rsidRDefault="008031C4">
            <w:pPr>
              <w:widowControl/>
              <w:spacing w:line="360" w:lineRule="exact"/>
              <w:jc w:val="center"/>
              <w:textAlignment w:val="center"/>
              <w:rPr>
                <w:rFonts w:cs="Times New Roman"/>
                <w:bCs/>
                <w:color w:val="000000"/>
                <w:szCs w:val="21"/>
              </w:rPr>
            </w:pPr>
            <w:r>
              <w:rPr>
                <w:rFonts w:cs="Times New Roman"/>
                <w:bCs/>
                <w:color w:val="000000"/>
                <w:kern w:val="0"/>
                <w:szCs w:val="21"/>
                <w:lang w:bidi="ar"/>
              </w:rPr>
              <w:t>采样地点</w:t>
            </w:r>
          </w:p>
        </w:tc>
        <w:tc>
          <w:tcPr>
            <w:tcW w:w="4531" w:type="dxa"/>
            <w:gridSpan w:val="2"/>
            <w:vAlign w:val="center"/>
          </w:tcPr>
          <w:p w:rsidR="00644456" w:rsidRDefault="008031C4">
            <w:pPr>
              <w:widowControl/>
              <w:spacing w:line="360" w:lineRule="exact"/>
              <w:jc w:val="center"/>
              <w:textAlignment w:val="center"/>
              <w:rPr>
                <w:rFonts w:cs="Times New Roman"/>
                <w:bCs/>
                <w:color w:val="000000"/>
                <w:kern w:val="0"/>
                <w:szCs w:val="21"/>
                <w:lang w:bidi="ar"/>
              </w:rPr>
            </w:pPr>
            <w:r>
              <w:rPr>
                <w:rFonts w:cs="Times New Roman"/>
                <w:bCs/>
                <w:color w:val="000000"/>
                <w:kern w:val="0"/>
                <w:szCs w:val="21"/>
                <w:lang w:bidi="ar"/>
              </w:rPr>
              <w:t>E</w:t>
            </w:r>
            <w:r>
              <w:rPr>
                <w:rFonts w:cs="Times New Roman" w:hint="eastAsia"/>
                <w:bCs/>
                <w:color w:val="000000"/>
                <w:kern w:val="0"/>
                <w:szCs w:val="21"/>
                <w:lang w:bidi="ar"/>
              </w:rPr>
              <w:t>：</w:t>
            </w:r>
            <w:r>
              <w:rPr>
                <w:rFonts w:cs="Times New Roman" w:hint="eastAsia"/>
                <w:bCs/>
                <w:color w:val="000000"/>
                <w:kern w:val="0"/>
                <w:szCs w:val="21"/>
                <w:lang w:bidi="ar"/>
              </w:rPr>
              <w:t>76</w:t>
            </w:r>
            <w:r>
              <w:rPr>
                <w:rFonts w:cs="Times New Roman"/>
                <w:bCs/>
                <w:color w:val="000000"/>
                <w:kern w:val="0"/>
                <w:szCs w:val="21"/>
                <w:lang w:bidi="ar"/>
              </w:rPr>
              <w:t>°</w:t>
            </w:r>
            <w:r>
              <w:rPr>
                <w:rFonts w:cs="Times New Roman" w:hint="eastAsia"/>
                <w:bCs/>
                <w:color w:val="000000"/>
                <w:kern w:val="0"/>
                <w:szCs w:val="21"/>
                <w:lang w:bidi="ar"/>
              </w:rPr>
              <w:t>09</w:t>
            </w:r>
            <w:r>
              <w:rPr>
                <w:rFonts w:cs="Times New Roman"/>
                <w:bCs/>
                <w:color w:val="000000"/>
                <w:kern w:val="0"/>
                <w:szCs w:val="21"/>
                <w:lang w:bidi="ar"/>
              </w:rPr>
              <w:t>′</w:t>
            </w:r>
            <w:r>
              <w:rPr>
                <w:rFonts w:cs="Times New Roman" w:hint="eastAsia"/>
                <w:bCs/>
                <w:color w:val="000000"/>
                <w:kern w:val="0"/>
                <w:szCs w:val="21"/>
                <w:lang w:bidi="ar"/>
              </w:rPr>
              <w:t>43.46</w:t>
            </w:r>
            <w:r>
              <w:rPr>
                <w:rFonts w:cs="Times New Roman"/>
                <w:bCs/>
                <w:color w:val="000000"/>
                <w:kern w:val="0"/>
                <w:szCs w:val="21"/>
                <w:lang w:bidi="ar"/>
              </w:rPr>
              <w:t>″</w:t>
            </w:r>
          </w:p>
          <w:p w:rsidR="00644456" w:rsidRDefault="008031C4">
            <w:pPr>
              <w:widowControl/>
              <w:spacing w:line="360" w:lineRule="exact"/>
              <w:jc w:val="center"/>
              <w:textAlignment w:val="center"/>
              <w:rPr>
                <w:rFonts w:cs="Times New Roman"/>
                <w:bCs/>
                <w:color w:val="000000"/>
                <w:kern w:val="0"/>
                <w:szCs w:val="21"/>
                <w:lang w:bidi="ar"/>
              </w:rPr>
            </w:pPr>
            <w:r>
              <w:rPr>
                <w:rFonts w:cs="Times New Roman"/>
                <w:color w:val="000000"/>
                <w:spacing w:val="-6"/>
                <w:szCs w:val="21"/>
              </w:rPr>
              <w:t>N</w:t>
            </w:r>
            <w:r>
              <w:rPr>
                <w:rFonts w:cs="Times New Roman" w:hint="eastAsia"/>
                <w:color w:val="000000"/>
                <w:spacing w:val="-6"/>
                <w:szCs w:val="21"/>
              </w:rPr>
              <w:t>：</w:t>
            </w:r>
            <w:r>
              <w:rPr>
                <w:rFonts w:cs="Times New Roman" w:hint="eastAsia"/>
                <w:color w:val="000000"/>
                <w:spacing w:val="-6"/>
                <w:szCs w:val="21"/>
              </w:rPr>
              <w:t>39</w:t>
            </w:r>
            <w:r>
              <w:rPr>
                <w:rFonts w:cs="Times New Roman"/>
                <w:color w:val="000000"/>
                <w:spacing w:val="-6"/>
                <w:szCs w:val="21"/>
              </w:rPr>
              <w:t>°</w:t>
            </w:r>
            <w:r>
              <w:rPr>
                <w:rFonts w:cs="Times New Roman" w:hint="eastAsia"/>
                <w:color w:val="000000"/>
                <w:spacing w:val="-6"/>
                <w:szCs w:val="21"/>
              </w:rPr>
              <w:t>03</w:t>
            </w:r>
            <w:r>
              <w:rPr>
                <w:rFonts w:cs="Times New Roman"/>
                <w:color w:val="000000"/>
                <w:spacing w:val="-6"/>
                <w:szCs w:val="21"/>
              </w:rPr>
              <w:t>′</w:t>
            </w:r>
            <w:r>
              <w:rPr>
                <w:rFonts w:cs="Times New Roman" w:hint="eastAsia"/>
                <w:color w:val="000000"/>
                <w:spacing w:val="-6"/>
                <w:szCs w:val="21"/>
              </w:rPr>
              <w:t>51.49</w:t>
            </w:r>
            <w:r>
              <w:rPr>
                <w:rFonts w:cs="Times New Roman"/>
                <w:color w:val="000000"/>
                <w:spacing w:val="-6"/>
                <w:szCs w:val="21"/>
              </w:rPr>
              <w:t>″</w:t>
            </w:r>
          </w:p>
        </w:tc>
      </w:tr>
      <w:tr w:rsidR="00644456">
        <w:trPr>
          <w:jc w:val="center"/>
        </w:trPr>
        <w:tc>
          <w:tcPr>
            <w:tcW w:w="4233" w:type="dxa"/>
            <w:gridSpan w:val="3"/>
            <w:vAlign w:val="center"/>
          </w:tcPr>
          <w:p w:rsidR="00644456" w:rsidRDefault="008031C4">
            <w:pPr>
              <w:widowControl/>
              <w:spacing w:line="360" w:lineRule="exact"/>
              <w:jc w:val="center"/>
              <w:textAlignment w:val="center"/>
              <w:rPr>
                <w:rFonts w:cs="Times New Roman"/>
                <w:bCs/>
                <w:color w:val="000000"/>
                <w:kern w:val="0"/>
                <w:szCs w:val="21"/>
                <w:lang w:bidi="ar"/>
              </w:rPr>
            </w:pPr>
            <w:r>
              <w:rPr>
                <w:rFonts w:cs="Times New Roman" w:hint="eastAsia"/>
                <w:bCs/>
                <w:color w:val="000000"/>
                <w:szCs w:val="21"/>
              </w:rPr>
              <w:t>深度（</w:t>
            </w:r>
            <w:r>
              <w:rPr>
                <w:rFonts w:cs="Times New Roman" w:hint="eastAsia"/>
                <w:bCs/>
                <w:color w:val="000000"/>
                <w:szCs w:val="21"/>
              </w:rPr>
              <w:t>cm</w:t>
            </w:r>
            <w:r>
              <w:rPr>
                <w:rFonts w:cs="Times New Roman" w:hint="eastAsia"/>
                <w:bCs/>
                <w:color w:val="000000"/>
                <w:szCs w:val="21"/>
              </w:rPr>
              <w:t>）</w:t>
            </w:r>
          </w:p>
        </w:tc>
        <w:tc>
          <w:tcPr>
            <w:tcW w:w="4531" w:type="dxa"/>
            <w:gridSpan w:val="2"/>
            <w:vAlign w:val="center"/>
          </w:tcPr>
          <w:p w:rsidR="00644456" w:rsidRDefault="008031C4">
            <w:pPr>
              <w:widowControl/>
              <w:spacing w:line="360" w:lineRule="exact"/>
              <w:jc w:val="center"/>
              <w:textAlignment w:val="center"/>
              <w:rPr>
                <w:rFonts w:cs="Times New Roman"/>
                <w:bCs/>
                <w:color w:val="000000"/>
                <w:kern w:val="0"/>
                <w:szCs w:val="21"/>
                <w:lang w:bidi="ar"/>
              </w:rPr>
            </w:pPr>
            <w:r>
              <w:rPr>
                <w:rFonts w:cs="Times New Roman" w:hint="eastAsia"/>
                <w:bCs/>
                <w:color w:val="000000"/>
                <w:kern w:val="0"/>
                <w:szCs w:val="21"/>
                <w:lang w:bidi="ar"/>
              </w:rPr>
              <w:t>17</w:t>
            </w:r>
          </w:p>
        </w:tc>
      </w:tr>
      <w:tr w:rsidR="00644456">
        <w:trPr>
          <w:jc w:val="center"/>
        </w:trPr>
        <w:tc>
          <w:tcPr>
            <w:tcW w:w="8764" w:type="dxa"/>
            <w:gridSpan w:val="5"/>
            <w:vAlign w:val="center"/>
          </w:tcPr>
          <w:p w:rsidR="00644456" w:rsidRDefault="008031C4">
            <w:pPr>
              <w:widowControl/>
              <w:spacing w:line="360" w:lineRule="exact"/>
              <w:jc w:val="center"/>
              <w:textAlignment w:val="center"/>
              <w:rPr>
                <w:rFonts w:cs="Times New Roman"/>
                <w:bCs/>
                <w:color w:val="000000"/>
                <w:kern w:val="0"/>
                <w:szCs w:val="21"/>
                <w:lang w:bidi="ar"/>
              </w:rPr>
            </w:pPr>
            <w:r>
              <w:rPr>
                <w:rFonts w:cs="Times New Roman"/>
                <w:bCs/>
                <w:color w:val="000000"/>
                <w:szCs w:val="21"/>
              </w:rPr>
              <w:t>检测结果</w:t>
            </w:r>
          </w:p>
        </w:tc>
      </w:tr>
      <w:tr w:rsidR="00644456">
        <w:trPr>
          <w:jc w:val="center"/>
        </w:trPr>
        <w:tc>
          <w:tcPr>
            <w:tcW w:w="2149" w:type="dxa"/>
            <w:vMerge w:val="restart"/>
            <w:vAlign w:val="center"/>
          </w:tcPr>
          <w:p w:rsidR="00644456" w:rsidRDefault="008031C4">
            <w:pPr>
              <w:spacing w:line="360" w:lineRule="exact"/>
              <w:jc w:val="center"/>
              <w:rPr>
                <w:rFonts w:cs="Times New Roman"/>
                <w:bCs/>
                <w:color w:val="000000"/>
                <w:szCs w:val="21"/>
              </w:rPr>
            </w:pPr>
            <w:r>
              <w:rPr>
                <w:rFonts w:cs="Times New Roman" w:hint="eastAsia"/>
                <w:color w:val="000000"/>
                <w:szCs w:val="21"/>
              </w:rPr>
              <w:t>现场记录</w:t>
            </w:r>
          </w:p>
        </w:tc>
        <w:tc>
          <w:tcPr>
            <w:tcW w:w="2084" w:type="dxa"/>
            <w:gridSpan w:val="2"/>
            <w:vAlign w:val="center"/>
          </w:tcPr>
          <w:p w:rsidR="00644456" w:rsidRDefault="008031C4">
            <w:pPr>
              <w:spacing w:line="360" w:lineRule="exact"/>
              <w:jc w:val="center"/>
              <w:rPr>
                <w:rFonts w:cs="Times New Roman"/>
                <w:bCs/>
                <w:color w:val="000000"/>
                <w:szCs w:val="21"/>
              </w:rPr>
            </w:pPr>
            <w:r>
              <w:rPr>
                <w:rFonts w:cs="Times New Roman" w:hint="eastAsia"/>
                <w:color w:val="000000"/>
                <w:szCs w:val="21"/>
              </w:rPr>
              <w:t>颜色</w:t>
            </w:r>
          </w:p>
        </w:tc>
        <w:tc>
          <w:tcPr>
            <w:tcW w:w="4531" w:type="dxa"/>
            <w:gridSpan w:val="2"/>
            <w:vAlign w:val="center"/>
          </w:tcPr>
          <w:p w:rsidR="00644456" w:rsidRDefault="008031C4">
            <w:pPr>
              <w:widowControl/>
              <w:spacing w:line="360" w:lineRule="exact"/>
              <w:jc w:val="center"/>
              <w:textAlignment w:val="center"/>
              <w:rPr>
                <w:rFonts w:cs="Times New Roman"/>
                <w:bCs/>
                <w:color w:val="000000"/>
                <w:kern w:val="0"/>
                <w:szCs w:val="21"/>
                <w:lang w:bidi="ar"/>
              </w:rPr>
            </w:pPr>
            <w:r>
              <w:rPr>
                <w:rFonts w:cs="Times New Roman" w:hint="eastAsia"/>
                <w:bCs/>
                <w:color w:val="000000"/>
                <w:kern w:val="0"/>
                <w:szCs w:val="21"/>
                <w:lang w:bidi="ar"/>
              </w:rPr>
              <w:t>灰色</w:t>
            </w:r>
          </w:p>
        </w:tc>
      </w:tr>
      <w:tr w:rsidR="00644456">
        <w:trPr>
          <w:jc w:val="center"/>
        </w:trPr>
        <w:tc>
          <w:tcPr>
            <w:tcW w:w="2149" w:type="dxa"/>
            <w:vMerge/>
            <w:vAlign w:val="center"/>
          </w:tcPr>
          <w:p w:rsidR="00644456" w:rsidRDefault="00644456">
            <w:pPr>
              <w:spacing w:line="360" w:lineRule="exact"/>
              <w:jc w:val="center"/>
              <w:rPr>
                <w:rFonts w:cs="Times New Roman"/>
                <w:color w:val="000000"/>
                <w:szCs w:val="21"/>
              </w:rPr>
            </w:pPr>
          </w:p>
        </w:tc>
        <w:tc>
          <w:tcPr>
            <w:tcW w:w="2084" w:type="dxa"/>
            <w:gridSpan w:val="2"/>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rPr>
              <w:t>结构</w:t>
            </w:r>
          </w:p>
        </w:tc>
        <w:tc>
          <w:tcPr>
            <w:tcW w:w="4531" w:type="dxa"/>
            <w:gridSpan w:val="2"/>
            <w:vAlign w:val="center"/>
          </w:tcPr>
          <w:p w:rsidR="00644456" w:rsidRDefault="008031C4">
            <w:pPr>
              <w:spacing w:line="360" w:lineRule="exact"/>
              <w:jc w:val="center"/>
              <w:rPr>
                <w:rFonts w:cs="Times New Roman"/>
                <w:bCs/>
                <w:color w:val="000000"/>
                <w:szCs w:val="21"/>
              </w:rPr>
            </w:pPr>
            <w:r>
              <w:rPr>
                <w:rFonts w:cs="Times New Roman" w:hint="eastAsia"/>
                <w:bCs/>
                <w:color w:val="000000"/>
                <w:szCs w:val="21"/>
              </w:rPr>
              <w:t>团粒结构体</w:t>
            </w:r>
          </w:p>
        </w:tc>
      </w:tr>
      <w:tr w:rsidR="00644456">
        <w:trPr>
          <w:jc w:val="center"/>
        </w:trPr>
        <w:tc>
          <w:tcPr>
            <w:tcW w:w="2149" w:type="dxa"/>
            <w:vMerge/>
            <w:vAlign w:val="center"/>
          </w:tcPr>
          <w:p w:rsidR="00644456" w:rsidRDefault="00644456">
            <w:pPr>
              <w:spacing w:line="360" w:lineRule="exact"/>
              <w:jc w:val="center"/>
              <w:rPr>
                <w:rFonts w:cs="Times New Roman"/>
                <w:color w:val="000000"/>
                <w:szCs w:val="21"/>
              </w:rPr>
            </w:pPr>
          </w:p>
        </w:tc>
        <w:tc>
          <w:tcPr>
            <w:tcW w:w="2084" w:type="dxa"/>
            <w:gridSpan w:val="2"/>
            <w:vAlign w:val="center"/>
          </w:tcPr>
          <w:p w:rsidR="00644456" w:rsidRDefault="008031C4">
            <w:pPr>
              <w:spacing w:line="360" w:lineRule="exact"/>
              <w:jc w:val="center"/>
              <w:rPr>
                <w:rFonts w:cs="Times New Roman"/>
                <w:color w:val="000000"/>
                <w:szCs w:val="21"/>
              </w:rPr>
            </w:pPr>
            <w:r>
              <w:rPr>
                <w:rFonts w:cs="Times New Roman" w:hint="eastAsia"/>
                <w:color w:val="000000"/>
                <w:szCs w:val="21"/>
              </w:rPr>
              <w:t>质地</w:t>
            </w:r>
          </w:p>
        </w:tc>
        <w:tc>
          <w:tcPr>
            <w:tcW w:w="4531" w:type="dxa"/>
            <w:gridSpan w:val="2"/>
            <w:vAlign w:val="center"/>
          </w:tcPr>
          <w:p w:rsidR="00644456" w:rsidRDefault="008031C4">
            <w:pPr>
              <w:spacing w:line="360" w:lineRule="exact"/>
              <w:jc w:val="center"/>
              <w:rPr>
                <w:rFonts w:cs="Times New Roman"/>
                <w:bCs/>
                <w:color w:val="000000"/>
                <w:szCs w:val="21"/>
              </w:rPr>
            </w:pPr>
            <w:r>
              <w:rPr>
                <w:rFonts w:cs="Times New Roman" w:hint="eastAsia"/>
                <w:bCs/>
                <w:color w:val="000000"/>
                <w:szCs w:val="21"/>
              </w:rPr>
              <w:t>砂土</w:t>
            </w:r>
          </w:p>
        </w:tc>
      </w:tr>
      <w:tr w:rsidR="00644456">
        <w:trPr>
          <w:jc w:val="center"/>
        </w:trPr>
        <w:tc>
          <w:tcPr>
            <w:tcW w:w="2149" w:type="dxa"/>
            <w:vMerge/>
            <w:vAlign w:val="center"/>
          </w:tcPr>
          <w:p w:rsidR="00644456" w:rsidRDefault="00644456">
            <w:pPr>
              <w:spacing w:line="360" w:lineRule="exact"/>
              <w:jc w:val="center"/>
              <w:rPr>
                <w:rFonts w:cs="Times New Roman"/>
                <w:color w:val="000000"/>
                <w:szCs w:val="21"/>
              </w:rPr>
            </w:pPr>
          </w:p>
        </w:tc>
        <w:tc>
          <w:tcPr>
            <w:tcW w:w="2084" w:type="dxa"/>
            <w:gridSpan w:val="2"/>
            <w:vAlign w:val="center"/>
          </w:tcPr>
          <w:p w:rsidR="00644456" w:rsidRDefault="008031C4">
            <w:pPr>
              <w:spacing w:line="360" w:lineRule="exact"/>
              <w:jc w:val="center"/>
              <w:rPr>
                <w:rFonts w:cs="Times New Roman"/>
                <w:color w:val="000000"/>
                <w:szCs w:val="21"/>
              </w:rPr>
            </w:pPr>
            <w:r>
              <w:rPr>
                <w:rFonts w:cs="Times New Roman" w:hint="eastAsia"/>
                <w:color w:val="000000"/>
                <w:szCs w:val="21"/>
              </w:rPr>
              <w:t>砂砾含量（</w:t>
            </w:r>
            <w:r>
              <w:rPr>
                <w:rFonts w:cs="Times New Roman" w:hint="eastAsia"/>
                <w:color w:val="000000"/>
                <w:szCs w:val="21"/>
              </w:rPr>
              <w:t>%</w:t>
            </w:r>
            <w:r>
              <w:rPr>
                <w:rFonts w:cs="Times New Roman" w:hint="eastAsia"/>
                <w:color w:val="000000"/>
                <w:szCs w:val="21"/>
              </w:rPr>
              <w:t>）</w:t>
            </w:r>
          </w:p>
        </w:tc>
        <w:tc>
          <w:tcPr>
            <w:tcW w:w="4531" w:type="dxa"/>
            <w:gridSpan w:val="2"/>
            <w:vAlign w:val="center"/>
          </w:tcPr>
          <w:p w:rsidR="00644456" w:rsidRDefault="008031C4">
            <w:pPr>
              <w:spacing w:line="360" w:lineRule="exact"/>
              <w:jc w:val="center"/>
              <w:rPr>
                <w:rFonts w:cs="Times New Roman"/>
                <w:bCs/>
                <w:color w:val="000000"/>
                <w:szCs w:val="21"/>
              </w:rPr>
            </w:pPr>
            <w:r>
              <w:rPr>
                <w:rFonts w:cs="Times New Roman" w:hint="eastAsia"/>
                <w:bCs/>
                <w:color w:val="000000"/>
                <w:szCs w:val="21"/>
              </w:rPr>
              <w:t>40</w:t>
            </w:r>
          </w:p>
        </w:tc>
      </w:tr>
      <w:tr w:rsidR="00644456">
        <w:trPr>
          <w:jc w:val="center"/>
        </w:trPr>
        <w:tc>
          <w:tcPr>
            <w:tcW w:w="2149" w:type="dxa"/>
            <w:vMerge/>
            <w:vAlign w:val="center"/>
          </w:tcPr>
          <w:p w:rsidR="00644456" w:rsidRDefault="00644456">
            <w:pPr>
              <w:spacing w:line="360" w:lineRule="exact"/>
              <w:jc w:val="center"/>
              <w:rPr>
                <w:rFonts w:cs="Times New Roman"/>
                <w:color w:val="000000"/>
                <w:szCs w:val="21"/>
              </w:rPr>
            </w:pPr>
          </w:p>
        </w:tc>
        <w:tc>
          <w:tcPr>
            <w:tcW w:w="2084" w:type="dxa"/>
            <w:gridSpan w:val="2"/>
            <w:vAlign w:val="center"/>
          </w:tcPr>
          <w:p w:rsidR="00644456" w:rsidRDefault="008031C4">
            <w:pPr>
              <w:spacing w:line="360" w:lineRule="exact"/>
              <w:jc w:val="center"/>
              <w:rPr>
                <w:rFonts w:cs="Times New Roman"/>
                <w:color w:val="000000"/>
                <w:szCs w:val="21"/>
              </w:rPr>
            </w:pPr>
            <w:r>
              <w:rPr>
                <w:rFonts w:cs="Times New Roman" w:hint="eastAsia"/>
                <w:color w:val="000000"/>
                <w:szCs w:val="21"/>
              </w:rPr>
              <w:t>其他异物</w:t>
            </w:r>
          </w:p>
        </w:tc>
        <w:tc>
          <w:tcPr>
            <w:tcW w:w="4531" w:type="dxa"/>
            <w:gridSpan w:val="2"/>
            <w:vAlign w:val="center"/>
          </w:tcPr>
          <w:p w:rsidR="00644456" w:rsidRDefault="008031C4">
            <w:pPr>
              <w:spacing w:line="360" w:lineRule="exact"/>
              <w:jc w:val="center"/>
              <w:rPr>
                <w:rFonts w:cs="Times New Roman"/>
                <w:bCs/>
                <w:color w:val="000000"/>
                <w:szCs w:val="21"/>
              </w:rPr>
            </w:pPr>
            <w:r>
              <w:rPr>
                <w:rFonts w:cs="Times New Roman" w:hint="eastAsia"/>
                <w:bCs/>
                <w:color w:val="000000"/>
                <w:szCs w:val="21"/>
              </w:rPr>
              <w:t>无</w:t>
            </w:r>
          </w:p>
        </w:tc>
      </w:tr>
      <w:tr w:rsidR="00644456">
        <w:trPr>
          <w:jc w:val="center"/>
        </w:trPr>
        <w:tc>
          <w:tcPr>
            <w:tcW w:w="2149" w:type="dxa"/>
            <w:vMerge/>
            <w:vAlign w:val="center"/>
          </w:tcPr>
          <w:p w:rsidR="00644456" w:rsidRDefault="00644456">
            <w:pPr>
              <w:spacing w:line="360" w:lineRule="exact"/>
              <w:jc w:val="center"/>
              <w:rPr>
                <w:rFonts w:cs="Times New Roman"/>
                <w:color w:val="000000"/>
                <w:szCs w:val="21"/>
              </w:rPr>
            </w:pPr>
          </w:p>
        </w:tc>
        <w:tc>
          <w:tcPr>
            <w:tcW w:w="2084" w:type="dxa"/>
            <w:gridSpan w:val="2"/>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rPr>
              <w:t>氧化还原电位（</w:t>
            </w:r>
            <w:r>
              <w:rPr>
                <w:rFonts w:cs="Times New Roman" w:hint="eastAsia"/>
                <w:color w:val="000000"/>
                <w:kern w:val="0"/>
                <w:szCs w:val="21"/>
              </w:rPr>
              <w:t>mv</w:t>
            </w:r>
            <w:r>
              <w:rPr>
                <w:rFonts w:cs="Times New Roman" w:hint="eastAsia"/>
                <w:color w:val="000000"/>
                <w:kern w:val="0"/>
                <w:szCs w:val="21"/>
              </w:rPr>
              <w:t>）</w:t>
            </w:r>
          </w:p>
        </w:tc>
        <w:tc>
          <w:tcPr>
            <w:tcW w:w="4531" w:type="dxa"/>
            <w:gridSpan w:val="2"/>
            <w:vAlign w:val="center"/>
          </w:tcPr>
          <w:p w:rsidR="00644456" w:rsidRDefault="008031C4">
            <w:pPr>
              <w:spacing w:line="360" w:lineRule="exact"/>
              <w:jc w:val="center"/>
              <w:rPr>
                <w:rFonts w:cs="Times New Roman"/>
                <w:bCs/>
                <w:color w:val="000000"/>
                <w:szCs w:val="21"/>
              </w:rPr>
            </w:pPr>
            <w:r>
              <w:rPr>
                <w:rFonts w:cs="Times New Roman" w:hint="eastAsia"/>
                <w:bCs/>
                <w:color w:val="000000"/>
                <w:szCs w:val="21"/>
              </w:rPr>
              <w:t>427</w:t>
            </w:r>
          </w:p>
        </w:tc>
      </w:tr>
      <w:tr w:rsidR="00644456">
        <w:trPr>
          <w:jc w:val="center"/>
        </w:trPr>
        <w:tc>
          <w:tcPr>
            <w:tcW w:w="2149" w:type="dxa"/>
            <w:vMerge w:val="restart"/>
            <w:vAlign w:val="center"/>
          </w:tcPr>
          <w:p w:rsidR="00644456" w:rsidRDefault="008031C4">
            <w:pPr>
              <w:spacing w:line="360" w:lineRule="exact"/>
              <w:jc w:val="center"/>
              <w:rPr>
                <w:rFonts w:cs="Times New Roman"/>
                <w:color w:val="000000"/>
                <w:szCs w:val="21"/>
              </w:rPr>
            </w:pPr>
            <w:r>
              <w:rPr>
                <w:rFonts w:cs="Times New Roman" w:hint="eastAsia"/>
                <w:color w:val="000000"/>
                <w:szCs w:val="21"/>
              </w:rPr>
              <w:t>实验室测定</w:t>
            </w:r>
          </w:p>
        </w:tc>
        <w:tc>
          <w:tcPr>
            <w:tcW w:w="2084" w:type="dxa"/>
            <w:gridSpan w:val="2"/>
            <w:vAlign w:val="center"/>
          </w:tcPr>
          <w:p w:rsidR="00644456" w:rsidRDefault="008031C4">
            <w:pPr>
              <w:spacing w:line="360" w:lineRule="exact"/>
              <w:jc w:val="center"/>
              <w:rPr>
                <w:rFonts w:cs="Times New Roman"/>
                <w:color w:val="000000"/>
                <w:szCs w:val="21"/>
              </w:rPr>
            </w:pPr>
            <w:r>
              <w:rPr>
                <w:rFonts w:cs="Times New Roman" w:hint="eastAsia"/>
                <w:bCs/>
                <w:color w:val="000000"/>
                <w:kern w:val="0"/>
                <w:szCs w:val="21"/>
              </w:rPr>
              <w:t>pH</w:t>
            </w:r>
            <w:r>
              <w:rPr>
                <w:rFonts w:cs="Times New Roman" w:hint="eastAsia"/>
                <w:color w:val="000000"/>
                <w:szCs w:val="21"/>
              </w:rPr>
              <w:t>（</w:t>
            </w:r>
            <w:r>
              <w:rPr>
                <w:rFonts w:cs="Times New Roman" w:hint="eastAsia"/>
                <w:color w:val="000000"/>
                <w:kern w:val="0"/>
                <w:szCs w:val="21"/>
              </w:rPr>
              <w:t>无量纲</w:t>
            </w:r>
            <w:r>
              <w:rPr>
                <w:rFonts w:cs="Times New Roman" w:hint="eastAsia"/>
                <w:color w:val="000000"/>
                <w:szCs w:val="21"/>
              </w:rPr>
              <w:t>）</w:t>
            </w:r>
          </w:p>
        </w:tc>
        <w:tc>
          <w:tcPr>
            <w:tcW w:w="4531" w:type="dxa"/>
            <w:gridSpan w:val="2"/>
            <w:vAlign w:val="center"/>
          </w:tcPr>
          <w:p w:rsidR="00644456" w:rsidRDefault="008031C4">
            <w:pPr>
              <w:spacing w:line="360" w:lineRule="exact"/>
              <w:jc w:val="center"/>
              <w:rPr>
                <w:rFonts w:cs="Times New Roman"/>
                <w:bCs/>
                <w:color w:val="000000"/>
                <w:szCs w:val="21"/>
              </w:rPr>
            </w:pPr>
            <w:r>
              <w:rPr>
                <w:rFonts w:cs="Times New Roman" w:hint="eastAsia"/>
                <w:bCs/>
                <w:color w:val="000000"/>
                <w:szCs w:val="21"/>
              </w:rPr>
              <w:t>7.95</w:t>
            </w:r>
          </w:p>
        </w:tc>
      </w:tr>
      <w:tr w:rsidR="00644456">
        <w:trPr>
          <w:jc w:val="center"/>
        </w:trPr>
        <w:tc>
          <w:tcPr>
            <w:tcW w:w="2149" w:type="dxa"/>
            <w:vMerge/>
            <w:vAlign w:val="center"/>
          </w:tcPr>
          <w:p w:rsidR="00644456" w:rsidRDefault="00644456">
            <w:pPr>
              <w:spacing w:line="360" w:lineRule="exact"/>
              <w:jc w:val="center"/>
              <w:rPr>
                <w:rFonts w:cs="Times New Roman"/>
                <w:color w:val="000000"/>
                <w:szCs w:val="21"/>
              </w:rPr>
            </w:pPr>
          </w:p>
        </w:tc>
        <w:tc>
          <w:tcPr>
            <w:tcW w:w="2084" w:type="dxa"/>
            <w:gridSpan w:val="2"/>
            <w:vAlign w:val="center"/>
          </w:tcPr>
          <w:p w:rsidR="00644456" w:rsidRDefault="008031C4">
            <w:pPr>
              <w:spacing w:line="360" w:lineRule="exact"/>
              <w:jc w:val="center"/>
              <w:rPr>
                <w:rFonts w:cs="Times New Roman"/>
                <w:color w:val="000000"/>
                <w:szCs w:val="21"/>
              </w:rPr>
            </w:pPr>
            <w:r>
              <w:rPr>
                <w:rFonts w:cs="Times New Roman" w:hint="eastAsia"/>
                <w:color w:val="000000"/>
                <w:szCs w:val="21"/>
              </w:rPr>
              <w:t>阳离子交换量</w:t>
            </w:r>
          </w:p>
          <w:p w:rsidR="00644456" w:rsidRDefault="008031C4">
            <w:pPr>
              <w:spacing w:line="360" w:lineRule="exact"/>
              <w:jc w:val="center"/>
              <w:rPr>
                <w:rFonts w:cs="Times New Roman"/>
                <w:color w:val="000000"/>
                <w:szCs w:val="21"/>
              </w:rPr>
            </w:pPr>
            <w:r>
              <w:rPr>
                <w:rFonts w:cs="Times New Roman" w:hint="eastAsia"/>
                <w:color w:val="000000"/>
                <w:szCs w:val="21"/>
              </w:rPr>
              <w:t>（</w:t>
            </w:r>
            <w:r>
              <w:rPr>
                <w:rFonts w:cs="Times New Roman" w:hint="eastAsia"/>
                <w:bCs/>
                <w:color w:val="000000"/>
                <w:szCs w:val="21"/>
                <w:lang w:bidi="ar"/>
              </w:rPr>
              <w:t>cmol</w:t>
            </w:r>
            <w:r>
              <w:rPr>
                <w:rFonts w:cs="Times New Roman" w:hint="eastAsia"/>
                <w:bCs/>
                <w:color w:val="000000"/>
                <w:szCs w:val="21"/>
                <w:vertAlign w:val="superscript"/>
                <w:lang w:bidi="ar"/>
              </w:rPr>
              <w:t>＋</w:t>
            </w:r>
            <w:r>
              <w:rPr>
                <w:rFonts w:cs="Times New Roman" w:hint="eastAsia"/>
                <w:bCs/>
                <w:color w:val="000000"/>
                <w:szCs w:val="21"/>
                <w:lang w:bidi="ar"/>
              </w:rPr>
              <w:t>/kg</w:t>
            </w:r>
            <w:r>
              <w:rPr>
                <w:rFonts w:cs="Times New Roman" w:hint="eastAsia"/>
                <w:color w:val="000000"/>
                <w:szCs w:val="21"/>
              </w:rPr>
              <w:t>）</w:t>
            </w:r>
          </w:p>
        </w:tc>
        <w:tc>
          <w:tcPr>
            <w:tcW w:w="4531" w:type="dxa"/>
            <w:gridSpan w:val="2"/>
            <w:vAlign w:val="center"/>
          </w:tcPr>
          <w:p w:rsidR="00644456" w:rsidRDefault="008031C4">
            <w:pPr>
              <w:spacing w:line="360" w:lineRule="exact"/>
              <w:jc w:val="center"/>
              <w:rPr>
                <w:rFonts w:cs="Times New Roman"/>
                <w:bCs/>
                <w:color w:val="000000"/>
                <w:szCs w:val="21"/>
              </w:rPr>
            </w:pPr>
            <w:r>
              <w:rPr>
                <w:rFonts w:cs="Times New Roman" w:hint="eastAsia"/>
                <w:bCs/>
                <w:color w:val="000000"/>
                <w:szCs w:val="21"/>
              </w:rPr>
              <w:t>8.0</w:t>
            </w:r>
          </w:p>
        </w:tc>
      </w:tr>
      <w:tr w:rsidR="00644456">
        <w:trPr>
          <w:jc w:val="center"/>
        </w:trPr>
        <w:tc>
          <w:tcPr>
            <w:tcW w:w="2149" w:type="dxa"/>
            <w:vMerge/>
            <w:vAlign w:val="center"/>
          </w:tcPr>
          <w:p w:rsidR="00644456" w:rsidRDefault="00644456">
            <w:pPr>
              <w:spacing w:line="360" w:lineRule="exact"/>
              <w:jc w:val="center"/>
              <w:rPr>
                <w:rFonts w:cs="Times New Roman"/>
                <w:color w:val="000000"/>
                <w:szCs w:val="21"/>
              </w:rPr>
            </w:pPr>
          </w:p>
        </w:tc>
        <w:tc>
          <w:tcPr>
            <w:tcW w:w="2084" w:type="dxa"/>
            <w:gridSpan w:val="2"/>
            <w:vAlign w:val="center"/>
          </w:tcPr>
          <w:p w:rsidR="00644456" w:rsidRDefault="008031C4">
            <w:pPr>
              <w:spacing w:line="360" w:lineRule="exact"/>
              <w:jc w:val="center"/>
              <w:rPr>
                <w:rFonts w:cs="Times New Roman"/>
                <w:color w:val="000000"/>
                <w:szCs w:val="21"/>
              </w:rPr>
            </w:pPr>
            <w:r>
              <w:rPr>
                <w:rFonts w:cs="Times New Roman" w:hint="eastAsia"/>
                <w:color w:val="000000"/>
                <w:szCs w:val="21"/>
              </w:rPr>
              <w:t>渗滤率（</w:t>
            </w:r>
            <w:r>
              <w:rPr>
                <w:rFonts w:cs="Times New Roman" w:hint="eastAsia"/>
                <w:color w:val="000000"/>
                <w:kern w:val="0"/>
                <w:szCs w:val="21"/>
              </w:rPr>
              <w:t>mm/min</w:t>
            </w:r>
            <w:r>
              <w:rPr>
                <w:rFonts w:cs="Times New Roman" w:hint="eastAsia"/>
                <w:color w:val="000000"/>
                <w:kern w:val="0"/>
                <w:szCs w:val="21"/>
              </w:rPr>
              <w:t>）</w:t>
            </w:r>
          </w:p>
        </w:tc>
        <w:tc>
          <w:tcPr>
            <w:tcW w:w="4531" w:type="dxa"/>
            <w:gridSpan w:val="2"/>
            <w:vAlign w:val="center"/>
          </w:tcPr>
          <w:p w:rsidR="00644456" w:rsidRDefault="008031C4">
            <w:pPr>
              <w:spacing w:line="360" w:lineRule="exact"/>
              <w:jc w:val="center"/>
              <w:rPr>
                <w:rFonts w:cs="Times New Roman"/>
                <w:bCs/>
                <w:color w:val="000000"/>
                <w:szCs w:val="21"/>
              </w:rPr>
            </w:pPr>
            <w:r>
              <w:rPr>
                <w:rFonts w:cs="Times New Roman" w:hint="eastAsia"/>
                <w:bCs/>
                <w:color w:val="000000"/>
                <w:szCs w:val="21"/>
              </w:rPr>
              <w:t>0.659</w:t>
            </w:r>
          </w:p>
        </w:tc>
      </w:tr>
      <w:tr w:rsidR="00644456">
        <w:trPr>
          <w:jc w:val="center"/>
        </w:trPr>
        <w:tc>
          <w:tcPr>
            <w:tcW w:w="2149" w:type="dxa"/>
            <w:vMerge/>
            <w:vAlign w:val="center"/>
          </w:tcPr>
          <w:p w:rsidR="00644456" w:rsidRDefault="00644456">
            <w:pPr>
              <w:spacing w:line="360" w:lineRule="exact"/>
              <w:jc w:val="center"/>
              <w:rPr>
                <w:rFonts w:cs="Times New Roman"/>
                <w:color w:val="000000"/>
                <w:szCs w:val="21"/>
              </w:rPr>
            </w:pPr>
          </w:p>
        </w:tc>
        <w:tc>
          <w:tcPr>
            <w:tcW w:w="2084" w:type="dxa"/>
            <w:gridSpan w:val="2"/>
            <w:vAlign w:val="center"/>
          </w:tcPr>
          <w:p w:rsidR="00644456" w:rsidRDefault="008031C4">
            <w:pPr>
              <w:spacing w:line="360" w:lineRule="exact"/>
              <w:jc w:val="center"/>
              <w:rPr>
                <w:rFonts w:cs="Times New Roman"/>
                <w:color w:val="000000"/>
                <w:szCs w:val="21"/>
              </w:rPr>
            </w:pPr>
            <w:r>
              <w:rPr>
                <w:rFonts w:cs="Times New Roman" w:hint="eastAsia"/>
                <w:color w:val="000000"/>
                <w:kern w:val="0"/>
                <w:szCs w:val="21"/>
              </w:rPr>
              <w:t>土壤容重（</w:t>
            </w:r>
            <w:r>
              <w:rPr>
                <w:rFonts w:cs="Times New Roman" w:hint="eastAsia"/>
                <w:color w:val="000000"/>
                <w:kern w:val="0"/>
                <w:szCs w:val="21"/>
              </w:rPr>
              <w:t>g/cm</w:t>
            </w:r>
            <w:r>
              <w:rPr>
                <w:rFonts w:cs="Times New Roman" w:hint="eastAsia"/>
                <w:color w:val="000000"/>
                <w:kern w:val="0"/>
                <w:szCs w:val="21"/>
                <w:vertAlign w:val="superscript"/>
              </w:rPr>
              <w:t>3</w:t>
            </w:r>
            <w:r>
              <w:rPr>
                <w:rFonts w:cs="Times New Roman" w:hint="eastAsia"/>
                <w:color w:val="000000"/>
                <w:kern w:val="0"/>
                <w:szCs w:val="21"/>
                <w:vertAlign w:val="superscript"/>
              </w:rPr>
              <w:t>）</w:t>
            </w:r>
          </w:p>
        </w:tc>
        <w:tc>
          <w:tcPr>
            <w:tcW w:w="4531" w:type="dxa"/>
            <w:gridSpan w:val="2"/>
            <w:vAlign w:val="center"/>
          </w:tcPr>
          <w:p w:rsidR="00644456" w:rsidRDefault="008031C4">
            <w:pPr>
              <w:spacing w:line="360" w:lineRule="exact"/>
              <w:jc w:val="center"/>
              <w:rPr>
                <w:rFonts w:cs="Times New Roman"/>
                <w:bCs/>
                <w:color w:val="000000"/>
                <w:szCs w:val="21"/>
              </w:rPr>
            </w:pPr>
            <w:r>
              <w:rPr>
                <w:rFonts w:cs="Times New Roman" w:hint="eastAsia"/>
                <w:bCs/>
                <w:color w:val="000000"/>
                <w:szCs w:val="21"/>
              </w:rPr>
              <w:t>5.94</w:t>
            </w:r>
          </w:p>
        </w:tc>
      </w:tr>
      <w:tr w:rsidR="00644456">
        <w:trPr>
          <w:jc w:val="center"/>
        </w:trPr>
        <w:tc>
          <w:tcPr>
            <w:tcW w:w="2149" w:type="dxa"/>
            <w:vMerge/>
            <w:vAlign w:val="center"/>
          </w:tcPr>
          <w:p w:rsidR="00644456" w:rsidRDefault="00644456">
            <w:pPr>
              <w:spacing w:line="360" w:lineRule="exact"/>
              <w:jc w:val="center"/>
              <w:rPr>
                <w:rFonts w:cs="Times New Roman"/>
                <w:color w:val="000000"/>
                <w:szCs w:val="21"/>
              </w:rPr>
            </w:pPr>
          </w:p>
        </w:tc>
        <w:tc>
          <w:tcPr>
            <w:tcW w:w="2084" w:type="dxa"/>
            <w:gridSpan w:val="2"/>
            <w:vAlign w:val="center"/>
          </w:tcPr>
          <w:p w:rsidR="00644456" w:rsidRDefault="008031C4">
            <w:pPr>
              <w:spacing w:line="360" w:lineRule="exact"/>
              <w:jc w:val="center"/>
              <w:rPr>
                <w:rFonts w:cs="Times New Roman"/>
                <w:color w:val="000000"/>
                <w:szCs w:val="21"/>
              </w:rPr>
            </w:pPr>
            <w:r>
              <w:rPr>
                <w:rFonts w:cs="Times New Roman" w:hint="eastAsia"/>
                <w:color w:val="000000"/>
                <w:szCs w:val="21"/>
              </w:rPr>
              <w:t>总孔隙度（</w:t>
            </w:r>
            <w:r>
              <w:rPr>
                <w:rFonts w:cs="Times New Roman" w:hint="eastAsia"/>
                <w:color w:val="000000"/>
                <w:szCs w:val="21"/>
              </w:rPr>
              <w:t>%</w:t>
            </w:r>
            <w:r>
              <w:rPr>
                <w:rFonts w:cs="Times New Roman" w:hint="eastAsia"/>
                <w:color w:val="000000"/>
                <w:szCs w:val="21"/>
              </w:rPr>
              <w:t>）</w:t>
            </w:r>
          </w:p>
        </w:tc>
        <w:tc>
          <w:tcPr>
            <w:tcW w:w="4531" w:type="dxa"/>
            <w:gridSpan w:val="2"/>
            <w:vAlign w:val="center"/>
          </w:tcPr>
          <w:p w:rsidR="00644456" w:rsidRDefault="008031C4">
            <w:pPr>
              <w:spacing w:line="360" w:lineRule="exact"/>
              <w:jc w:val="center"/>
              <w:rPr>
                <w:rFonts w:cs="Times New Roman"/>
                <w:bCs/>
                <w:color w:val="000000"/>
                <w:szCs w:val="21"/>
              </w:rPr>
            </w:pPr>
            <w:r>
              <w:rPr>
                <w:rFonts w:cs="Times New Roman" w:hint="eastAsia"/>
                <w:bCs/>
                <w:color w:val="000000"/>
                <w:szCs w:val="21"/>
              </w:rPr>
              <w:t>33.7</w:t>
            </w:r>
          </w:p>
        </w:tc>
      </w:tr>
    </w:tbl>
    <w:p w:rsidR="00644456" w:rsidRDefault="008031C4">
      <w:pPr>
        <w:pStyle w:val="afffff3"/>
        <w:snapToGrid w:val="0"/>
        <w:ind w:firstLineChars="200" w:firstLine="482"/>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t>（</w:t>
      </w:r>
      <w:r>
        <w:rPr>
          <w:rFonts w:ascii="Times New Roman" w:hAnsi="Times New Roman" w:cs="Times New Roman"/>
          <w:b/>
          <w:bCs/>
          <w:color w:val="000000" w:themeColor="text1"/>
          <w:szCs w:val="24"/>
        </w:rPr>
        <w:t>2</w:t>
      </w:r>
      <w:r>
        <w:rPr>
          <w:rFonts w:ascii="Times New Roman" w:hAnsi="Times New Roman" w:cs="Times New Roman"/>
          <w:b/>
          <w:bCs/>
          <w:color w:val="000000" w:themeColor="text1"/>
          <w:szCs w:val="24"/>
        </w:rPr>
        <w:t>）区域污染源调查</w:t>
      </w:r>
    </w:p>
    <w:p w:rsidR="00644456" w:rsidRDefault="008031C4">
      <w:pPr>
        <w:adjustRightInd w:val="0"/>
        <w:snapToGrid w:val="0"/>
        <w:spacing w:line="360" w:lineRule="auto"/>
        <w:ind w:firstLineChars="200" w:firstLine="480"/>
        <w:textAlignment w:val="baseline"/>
        <w:rPr>
          <w:rFonts w:cs="Times New Roman"/>
          <w:bCs/>
          <w:color w:val="000000" w:themeColor="text1"/>
          <w:sz w:val="24"/>
          <w:szCs w:val="24"/>
        </w:rPr>
      </w:pPr>
      <w:r>
        <w:rPr>
          <w:rFonts w:cs="Times New Roman"/>
          <w:bCs/>
          <w:color w:val="000000" w:themeColor="text1"/>
          <w:sz w:val="24"/>
          <w:szCs w:val="24"/>
        </w:rPr>
        <w:t>本项目位于</w:t>
      </w:r>
      <w:r>
        <w:rPr>
          <w:rFonts w:cs="Times New Roman" w:hint="eastAsia"/>
          <w:bCs/>
          <w:color w:val="000000" w:themeColor="text1"/>
          <w:sz w:val="24"/>
          <w:szCs w:val="24"/>
        </w:rPr>
        <w:t>疏勒高新技术产业开发区</w:t>
      </w:r>
      <w:r>
        <w:rPr>
          <w:rFonts w:cs="Times New Roman"/>
          <w:bCs/>
          <w:color w:val="000000" w:themeColor="text1"/>
          <w:sz w:val="24"/>
          <w:szCs w:val="24"/>
        </w:rPr>
        <w:t>，根据现场调查项目评价范围</w:t>
      </w:r>
      <w:r>
        <w:rPr>
          <w:rFonts w:cs="Times New Roman" w:hint="eastAsia"/>
          <w:bCs/>
          <w:color w:val="000000" w:themeColor="text1"/>
          <w:sz w:val="24"/>
          <w:szCs w:val="24"/>
        </w:rPr>
        <w:t>内均为空地</w:t>
      </w:r>
      <w:r>
        <w:rPr>
          <w:rFonts w:cs="Times New Roman"/>
          <w:bCs/>
          <w:color w:val="000000" w:themeColor="text1"/>
          <w:sz w:val="24"/>
          <w:szCs w:val="24"/>
        </w:rPr>
        <w:t>。</w:t>
      </w:r>
    </w:p>
    <w:p w:rsidR="00644456" w:rsidRDefault="008031C4">
      <w:pPr>
        <w:pStyle w:val="3"/>
        <w:numPr>
          <w:ilvl w:val="2"/>
          <w:numId w:val="0"/>
        </w:numPr>
        <w:ind w:firstLineChars="200" w:firstLine="482"/>
      </w:pPr>
      <w:r>
        <w:rPr>
          <w:rFonts w:hint="eastAsia"/>
        </w:rPr>
        <w:lastRenderedPageBreak/>
        <w:t>5.5.5</w:t>
      </w:r>
      <w:r>
        <w:rPr>
          <w:rFonts w:hint="eastAsia"/>
        </w:rPr>
        <w:t>土壤环境影响预测与评价</w:t>
      </w:r>
    </w:p>
    <w:p w:rsidR="00644456" w:rsidRDefault="008031C4">
      <w:pPr>
        <w:snapToGrid w:val="0"/>
        <w:spacing w:line="360" w:lineRule="auto"/>
        <w:ind w:firstLineChars="200" w:firstLine="480"/>
        <w:rPr>
          <w:rFonts w:cs="Times New Roman"/>
          <w:color w:val="000000" w:themeColor="text1"/>
          <w:sz w:val="24"/>
          <w:szCs w:val="20"/>
        </w:rPr>
      </w:pPr>
      <w:bookmarkStart w:id="329" w:name="_Hlk13737267"/>
      <w:r>
        <w:rPr>
          <w:rFonts w:cs="Times New Roman"/>
          <w:color w:val="000000" w:themeColor="text1"/>
          <w:sz w:val="24"/>
          <w:szCs w:val="20"/>
        </w:rPr>
        <w:t>由于厂区区域拟采取地面硬化和分区防渗措施，布设有完整的排水系统，并以定期巡查和电子监控的方式防止废水外泄，对土壤的影响概率较小。</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w:t>
      </w:r>
      <w:r>
        <w:rPr>
          <w:rFonts w:cs="Times New Roman" w:hint="eastAsia"/>
          <w:color w:val="000000" w:themeColor="text1"/>
          <w:sz w:val="24"/>
        </w:rPr>
        <w:t>1</w:t>
      </w:r>
      <w:r>
        <w:rPr>
          <w:rFonts w:cs="Times New Roman" w:hint="eastAsia"/>
          <w:color w:val="000000" w:themeColor="text1"/>
          <w:sz w:val="24"/>
        </w:rPr>
        <w:t>）大气沉降</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根据工程分析，生产过程中相应的废气污染源均采取了环保措施，排入大气环境的污染物较少。因此，项目生产过程中通过大气沉降途径对土壤环境的影响不明显。</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w:t>
      </w:r>
      <w:r>
        <w:rPr>
          <w:rFonts w:cs="Times New Roman" w:hint="eastAsia"/>
          <w:color w:val="000000" w:themeColor="text1"/>
          <w:sz w:val="24"/>
        </w:rPr>
        <w:t>2</w:t>
      </w:r>
      <w:r>
        <w:rPr>
          <w:rFonts w:cs="Times New Roman" w:hint="eastAsia"/>
          <w:color w:val="000000" w:themeColor="text1"/>
          <w:sz w:val="24"/>
        </w:rPr>
        <w:t>）地面漫流</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对于地上设施，在事故情况和暴雨情况下产生的废水会发生地面漫流，进而污染土壤环境。项目建设有完整的排水系统，并以定期巡查和电子监控的方式防止废水外泄；罐区储存区域设置堵截泄漏的裙脚，地面与裙脚所围建的容积不低于堵截最大容器的最大储量或总储量的</w:t>
      </w:r>
      <w:r>
        <w:rPr>
          <w:rFonts w:cs="Times New Roman" w:hint="eastAsia"/>
          <w:color w:val="000000" w:themeColor="text1"/>
          <w:sz w:val="24"/>
        </w:rPr>
        <w:t>1/5</w:t>
      </w:r>
      <w:r>
        <w:rPr>
          <w:rFonts w:cs="Times New Roman" w:hint="eastAsia"/>
          <w:color w:val="000000" w:themeColor="text1"/>
          <w:sz w:val="24"/>
        </w:rPr>
        <w:t>，故两者发生地面漫流的可能性较小。企业在厂区污水处理站旁低矮位置处设置有应急水池（</w:t>
      </w:r>
      <w:r>
        <w:rPr>
          <w:rFonts w:cs="Times New Roman" w:hint="eastAsia"/>
          <w:color w:val="000000" w:themeColor="text1"/>
          <w:sz w:val="24"/>
        </w:rPr>
        <w:t>2000m</w:t>
      </w:r>
      <w:r>
        <w:rPr>
          <w:rFonts w:cs="Times New Roman" w:hint="eastAsia"/>
          <w:color w:val="000000" w:themeColor="text1"/>
          <w:sz w:val="24"/>
          <w:vertAlign w:val="superscript"/>
        </w:rPr>
        <w:t>3</w:t>
      </w:r>
      <w:r>
        <w:rPr>
          <w:rFonts w:cs="Times New Roman" w:hint="eastAsia"/>
          <w:color w:val="000000" w:themeColor="text1"/>
          <w:sz w:val="24"/>
        </w:rPr>
        <w:t>，钢混结构），可有效防控事故废水和可能受污染的雨水发生地面漫流进入土壤。采取上述措施后，物料或污染物的地面漫流对土壤环境影响较小。</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w:t>
      </w:r>
      <w:r>
        <w:rPr>
          <w:rFonts w:cs="Times New Roman" w:hint="eastAsia"/>
          <w:color w:val="000000" w:themeColor="text1"/>
          <w:sz w:val="24"/>
        </w:rPr>
        <w:t>3</w:t>
      </w:r>
      <w:r>
        <w:rPr>
          <w:rFonts w:cs="Times New Roman" w:hint="eastAsia"/>
          <w:color w:val="000000" w:themeColor="text1"/>
          <w:sz w:val="24"/>
        </w:rPr>
        <w:t>）垂直入渗</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1</w:t>
      </w:r>
      <w:r>
        <w:rPr>
          <w:rFonts w:cs="Times New Roman" w:hint="eastAsia"/>
          <w:color w:val="000000" w:themeColor="text1"/>
          <w:sz w:val="24"/>
        </w:rPr>
        <w:t>）储罐发生泄漏后的石油类垂直入渗对土壤环境影响分析</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根据土壤环境影响识别，营运期储罐在事故状态下发生泄漏，污染物以点源形式通过垂直入渗进入土壤环境，进而造成土壤环境污染。</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①情景设置</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储罐因外力作用等原因破裂，导致污染物进入土壤包气带中。</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②预测因子</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储罐选择本项目主要特征污染因子石油类。</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③预测方法</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A</w:t>
      </w:r>
      <w:r>
        <w:rPr>
          <w:rFonts w:cs="Times New Roman" w:hint="eastAsia"/>
          <w:color w:val="000000" w:themeColor="text1"/>
          <w:sz w:val="24"/>
        </w:rPr>
        <w:t>、预测模型</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本次预测方法选用《环境影响评价技术导则土壤环境（试行）》（</w:t>
      </w:r>
      <w:r>
        <w:rPr>
          <w:rFonts w:cs="Times New Roman" w:hint="eastAsia"/>
          <w:color w:val="000000" w:themeColor="text1"/>
          <w:sz w:val="24"/>
        </w:rPr>
        <w:t>HJ964-2018</w:t>
      </w:r>
      <w:r>
        <w:rPr>
          <w:rFonts w:cs="Times New Roman" w:hint="eastAsia"/>
          <w:color w:val="000000" w:themeColor="text1"/>
          <w:sz w:val="24"/>
        </w:rPr>
        <w:t>）附录</w:t>
      </w:r>
      <w:r>
        <w:rPr>
          <w:rFonts w:cs="Times New Roman" w:hint="eastAsia"/>
          <w:color w:val="000000" w:themeColor="text1"/>
          <w:sz w:val="24"/>
        </w:rPr>
        <w:t>E</w:t>
      </w:r>
      <w:r>
        <w:rPr>
          <w:rFonts w:cs="Times New Roman" w:hint="eastAsia"/>
          <w:color w:val="000000" w:themeColor="text1"/>
          <w:sz w:val="24"/>
        </w:rPr>
        <w:t>方法二（一维非饱和溶质垂向运移模型预测方法）：</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a</w:t>
      </w:r>
      <w:r>
        <w:rPr>
          <w:rFonts w:cs="Times New Roman" w:hint="eastAsia"/>
          <w:color w:val="000000" w:themeColor="text1"/>
          <w:sz w:val="24"/>
        </w:rPr>
        <w:t>）一维非饱和溶质垂向运移控制方程：</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noProof/>
          <w:color w:val="000000" w:themeColor="text1"/>
          <w:sz w:val="24"/>
        </w:rPr>
        <w:drawing>
          <wp:inline distT="0" distB="0" distL="0" distR="0" wp14:anchorId="565E81E8" wp14:editId="02AA80F8">
            <wp:extent cx="2404745" cy="500380"/>
            <wp:effectExtent l="0" t="0" r="14605" b="1397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noChangeArrowheads="1"/>
                    </pic:cNvPicPr>
                  </pic:nvPicPr>
                  <pic:blipFill>
                    <a:blip r:embed="rId76"/>
                    <a:srcRect/>
                    <a:stretch>
                      <a:fillRect/>
                    </a:stretch>
                  </pic:blipFill>
                  <pic:spPr>
                    <a:xfrm>
                      <a:off x="0" y="0"/>
                      <a:ext cx="2405940" cy="500719"/>
                    </a:xfrm>
                    <a:prstGeom prst="rect">
                      <a:avLst/>
                    </a:prstGeom>
                    <a:noFill/>
                    <a:ln w="9525">
                      <a:noFill/>
                      <a:miter lim="800000"/>
                      <a:headEnd/>
                      <a:tailEnd/>
                    </a:ln>
                  </pic:spPr>
                </pic:pic>
              </a:graphicData>
            </a:graphic>
          </wp:inline>
        </w:drawing>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式中，</w:t>
      </w:r>
      <w:r>
        <w:rPr>
          <w:rFonts w:cs="Times New Roman" w:hint="eastAsia"/>
          <w:color w:val="000000" w:themeColor="text1"/>
          <w:sz w:val="24"/>
        </w:rPr>
        <w:t>c</w:t>
      </w:r>
      <w:r>
        <w:rPr>
          <w:rFonts w:cs="Times New Roman" w:hint="eastAsia"/>
          <w:color w:val="000000" w:themeColor="text1"/>
          <w:sz w:val="24"/>
        </w:rPr>
        <w:t>—污染物介质中的浓度，</w:t>
      </w:r>
      <w:r>
        <w:rPr>
          <w:rFonts w:cs="Times New Roman" w:hint="eastAsia"/>
          <w:color w:val="000000" w:themeColor="text1"/>
          <w:sz w:val="24"/>
        </w:rPr>
        <w:t>mg/L</w:t>
      </w:r>
      <w:r>
        <w:rPr>
          <w:rFonts w:cs="Times New Roman" w:hint="eastAsia"/>
          <w:color w:val="000000" w:themeColor="text1"/>
          <w:sz w:val="24"/>
        </w:rPr>
        <w:t>；</w:t>
      </w:r>
      <w:r>
        <w:rPr>
          <w:rFonts w:cs="Times New Roman" w:hint="eastAsia"/>
          <w:color w:val="000000" w:themeColor="text1"/>
          <w:sz w:val="24"/>
        </w:rPr>
        <w:t>D</w:t>
      </w:r>
      <w:r>
        <w:rPr>
          <w:rFonts w:cs="Times New Roman" w:hint="eastAsia"/>
          <w:color w:val="000000" w:themeColor="text1"/>
          <w:sz w:val="24"/>
        </w:rPr>
        <w:t>—弥散系数，</w:t>
      </w:r>
      <w:r>
        <w:rPr>
          <w:rFonts w:cs="Times New Roman" w:hint="eastAsia"/>
          <w:color w:val="000000" w:themeColor="text1"/>
          <w:sz w:val="24"/>
        </w:rPr>
        <w:t>m2/d</w:t>
      </w:r>
      <w:r>
        <w:rPr>
          <w:rFonts w:cs="Times New Roman" w:hint="eastAsia"/>
          <w:color w:val="000000" w:themeColor="text1"/>
          <w:sz w:val="24"/>
        </w:rPr>
        <w:t>；</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lastRenderedPageBreak/>
        <w:t>q</w:t>
      </w:r>
      <w:r>
        <w:rPr>
          <w:rFonts w:cs="Times New Roman" w:hint="eastAsia"/>
          <w:color w:val="000000" w:themeColor="text1"/>
          <w:sz w:val="24"/>
        </w:rPr>
        <w:t>—渗流速率，</w:t>
      </w:r>
      <w:r>
        <w:rPr>
          <w:rFonts w:cs="Times New Roman" w:hint="eastAsia"/>
          <w:color w:val="000000" w:themeColor="text1"/>
          <w:sz w:val="24"/>
        </w:rPr>
        <w:t>m/d</w:t>
      </w:r>
      <w:r>
        <w:rPr>
          <w:rFonts w:cs="Times New Roman" w:hint="eastAsia"/>
          <w:color w:val="000000" w:themeColor="text1"/>
          <w:sz w:val="24"/>
        </w:rPr>
        <w:t>；</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z</w:t>
      </w:r>
      <w:r>
        <w:rPr>
          <w:rFonts w:cs="Times New Roman" w:hint="eastAsia"/>
          <w:color w:val="000000" w:themeColor="text1"/>
          <w:sz w:val="24"/>
        </w:rPr>
        <w:t>—沿</w:t>
      </w:r>
      <w:r>
        <w:rPr>
          <w:rFonts w:cs="Times New Roman" w:hint="eastAsia"/>
          <w:color w:val="000000" w:themeColor="text1"/>
          <w:sz w:val="24"/>
        </w:rPr>
        <w:t>z</w:t>
      </w:r>
      <w:r>
        <w:rPr>
          <w:rFonts w:cs="Times New Roman" w:hint="eastAsia"/>
          <w:color w:val="000000" w:themeColor="text1"/>
          <w:sz w:val="24"/>
        </w:rPr>
        <w:t>轴的距离，</w:t>
      </w:r>
      <w:r>
        <w:rPr>
          <w:rFonts w:cs="Times New Roman" w:hint="eastAsia"/>
          <w:color w:val="000000" w:themeColor="text1"/>
          <w:sz w:val="24"/>
        </w:rPr>
        <w:t>m</w:t>
      </w:r>
      <w:r>
        <w:rPr>
          <w:rFonts w:cs="Times New Roman" w:hint="eastAsia"/>
          <w:color w:val="000000" w:themeColor="text1"/>
          <w:sz w:val="24"/>
        </w:rPr>
        <w:t>；</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t</w:t>
      </w:r>
      <w:r>
        <w:rPr>
          <w:rFonts w:cs="Times New Roman" w:hint="eastAsia"/>
          <w:color w:val="000000" w:themeColor="text1"/>
          <w:sz w:val="24"/>
        </w:rPr>
        <w:t>—时间变量，</w:t>
      </w:r>
      <w:r>
        <w:rPr>
          <w:rFonts w:cs="Times New Roman" w:hint="eastAsia"/>
          <w:color w:val="000000" w:themeColor="text1"/>
          <w:sz w:val="24"/>
        </w:rPr>
        <w:t>d</w:t>
      </w:r>
      <w:r>
        <w:rPr>
          <w:rFonts w:cs="Times New Roman" w:hint="eastAsia"/>
          <w:color w:val="000000" w:themeColor="text1"/>
          <w:sz w:val="24"/>
        </w:rPr>
        <w:t>；</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θ—土壤含水率，</w:t>
      </w:r>
      <w:r>
        <w:rPr>
          <w:rFonts w:cs="Times New Roman" w:hint="eastAsia"/>
          <w:color w:val="000000" w:themeColor="text1"/>
          <w:sz w:val="24"/>
        </w:rPr>
        <w:t>%</w:t>
      </w:r>
      <w:r>
        <w:rPr>
          <w:rFonts w:cs="Times New Roman" w:hint="eastAsia"/>
          <w:color w:val="000000" w:themeColor="text1"/>
          <w:sz w:val="24"/>
        </w:rPr>
        <w:t>。</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b</w:t>
      </w:r>
      <w:r>
        <w:rPr>
          <w:rFonts w:cs="Times New Roman" w:hint="eastAsia"/>
          <w:color w:val="000000" w:themeColor="text1"/>
          <w:sz w:val="24"/>
        </w:rPr>
        <w:t>）初始条件：</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c</w:t>
      </w:r>
      <w:r>
        <w:rPr>
          <w:rFonts w:cs="Times New Roman" w:hint="eastAsia"/>
          <w:color w:val="000000" w:themeColor="text1"/>
          <w:sz w:val="24"/>
        </w:rPr>
        <w:t>（</w:t>
      </w:r>
      <w:r>
        <w:rPr>
          <w:rFonts w:cs="Times New Roman" w:hint="eastAsia"/>
          <w:color w:val="000000" w:themeColor="text1"/>
          <w:sz w:val="24"/>
        </w:rPr>
        <w:t>z</w:t>
      </w:r>
      <w:r>
        <w:rPr>
          <w:rFonts w:cs="Times New Roman" w:hint="eastAsia"/>
          <w:color w:val="000000" w:themeColor="text1"/>
          <w:sz w:val="24"/>
        </w:rPr>
        <w:t>，</w:t>
      </w:r>
      <w:r>
        <w:rPr>
          <w:rFonts w:cs="Times New Roman" w:hint="eastAsia"/>
          <w:color w:val="000000" w:themeColor="text1"/>
          <w:sz w:val="24"/>
        </w:rPr>
        <w:t>t</w:t>
      </w:r>
      <w:r>
        <w:rPr>
          <w:rFonts w:cs="Times New Roman" w:hint="eastAsia"/>
          <w:color w:val="000000" w:themeColor="text1"/>
          <w:sz w:val="24"/>
        </w:rPr>
        <w:t>）</w:t>
      </w:r>
      <w:r>
        <w:rPr>
          <w:rFonts w:cs="Times New Roman" w:hint="eastAsia"/>
          <w:color w:val="000000" w:themeColor="text1"/>
          <w:sz w:val="24"/>
        </w:rPr>
        <w:t>=0t=0</w:t>
      </w:r>
      <w:r>
        <w:rPr>
          <w:rFonts w:cs="Times New Roman" w:hint="eastAsia"/>
          <w:color w:val="000000" w:themeColor="text1"/>
          <w:sz w:val="24"/>
        </w:rPr>
        <w:t>，</w:t>
      </w:r>
      <w:r>
        <w:rPr>
          <w:rFonts w:cs="Times New Roman" w:hint="eastAsia"/>
          <w:color w:val="000000" w:themeColor="text1"/>
          <w:sz w:val="24"/>
        </w:rPr>
        <w:t>L</w:t>
      </w:r>
      <w:r>
        <w:rPr>
          <w:rFonts w:cs="Times New Roman" w:hint="eastAsia"/>
          <w:color w:val="000000" w:themeColor="text1"/>
          <w:sz w:val="24"/>
        </w:rPr>
        <w:t>≤</w:t>
      </w:r>
      <w:r>
        <w:rPr>
          <w:rFonts w:cs="Times New Roman" w:hint="eastAsia"/>
          <w:color w:val="000000" w:themeColor="text1"/>
          <w:sz w:val="24"/>
        </w:rPr>
        <w:t>z</w:t>
      </w:r>
      <w:r>
        <w:rPr>
          <w:rFonts w:cs="Times New Roman" w:hint="eastAsia"/>
          <w:color w:val="000000" w:themeColor="text1"/>
          <w:sz w:val="24"/>
        </w:rPr>
        <w:t>＜</w:t>
      </w:r>
      <w:r>
        <w:rPr>
          <w:rFonts w:cs="Times New Roman" w:hint="eastAsia"/>
          <w:color w:val="000000" w:themeColor="text1"/>
          <w:sz w:val="24"/>
        </w:rPr>
        <w:t>0</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c</w:t>
      </w:r>
      <w:r>
        <w:rPr>
          <w:rFonts w:cs="Times New Roman" w:hint="eastAsia"/>
          <w:color w:val="000000" w:themeColor="text1"/>
          <w:sz w:val="24"/>
        </w:rPr>
        <w:t>）边界条件：</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采用适用于连续点源情形的第一类</w:t>
      </w:r>
      <w:r>
        <w:rPr>
          <w:rFonts w:cs="Times New Roman" w:hint="eastAsia"/>
          <w:color w:val="000000" w:themeColor="text1"/>
          <w:sz w:val="24"/>
        </w:rPr>
        <w:t>Dirichlet</w:t>
      </w:r>
      <w:r>
        <w:rPr>
          <w:rFonts w:cs="Times New Roman" w:hint="eastAsia"/>
          <w:color w:val="000000" w:themeColor="text1"/>
          <w:sz w:val="24"/>
        </w:rPr>
        <w:t>边界条件。</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c</w:t>
      </w:r>
      <w:r>
        <w:rPr>
          <w:rFonts w:cs="Times New Roman" w:hint="eastAsia"/>
          <w:color w:val="000000" w:themeColor="text1"/>
          <w:sz w:val="24"/>
        </w:rPr>
        <w:t>（</w:t>
      </w:r>
      <w:r>
        <w:rPr>
          <w:rFonts w:cs="Times New Roman" w:hint="eastAsia"/>
          <w:color w:val="000000" w:themeColor="text1"/>
          <w:sz w:val="24"/>
        </w:rPr>
        <w:t>z</w:t>
      </w:r>
      <w:r>
        <w:rPr>
          <w:rFonts w:cs="Times New Roman" w:hint="eastAsia"/>
          <w:color w:val="000000" w:themeColor="text1"/>
          <w:sz w:val="24"/>
        </w:rPr>
        <w:t>，</w:t>
      </w:r>
      <w:r>
        <w:rPr>
          <w:rFonts w:cs="Times New Roman" w:hint="eastAsia"/>
          <w:color w:val="000000" w:themeColor="text1"/>
          <w:sz w:val="24"/>
        </w:rPr>
        <w:t>t</w:t>
      </w:r>
      <w:r>
        <w:rPr>
          <w:rFonts w:cs="Times New Roman" w:hint="eastAsia"/>
          <w:color w:val="000000" w:themeColor="text1"/>
          <w:sz w:val="24"/>
        </w:rPr>
        <w:t>）</w:t>
      </w:r>
      <w:r>
        <w:rPr>
          <w:rFonts w:cs="Times New Roman" w:hint="eastAsia"/>
          <w:color w:val="000000" w:themeColor="text1"/>
          <w:sz w:val="24"/>
        </w:rPr>
        <w:t>=Cot</w:t>
      </w:r>
      <w:r>
        <w:rPr>
          <w:rFonts w:cs="Times New Roman" w:hint="eastAsia"/>
          <w:color w:val="000000" w:themeColor="text1"/>
          <w:sz w:val="24"/>
        </w:rPr>
        <w:t>＞</w:t>
      </w:r>
      <w:r>
        <w:rPr>
          <w:rFonts w:cs="Times New Roman" w:hint="eastAsia"/>
          <w:color w:val="000000" w:themeColor="text1"/>
          <w:sz w:val="24"/>
        </w:rPr>
        <w:t>0</w:t>
      </w:r>
      <w:r>
        <w:rPr>
          <w:rFonts w:cs="Times New Roman" w:hint="eastAsia"/>
          <w:color w:val="000000" w:themeColor="text1"/>
          <w:sz w:val="24"/>
        </w:rPr>
        <w:t>，</w:t>
      </w:r>
      <w:r>
        <w:rPr>
          <w:rFonts w:cs="Times New Roman" w:hint="eastAsia"/>
          <w:color w:val="000000" w:themeColor="text1"/>
          <w:sz w:val="24"/>
        </w:rPr>
        <w:t>z=0</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B</w:t>
      </w:r>
      <w:r>
        <w:rPr>
          <w:rFonts w:cs="Times New Roman" w:hint="eastAsia"/>
          <w:color w:val="000000" w:themeColor="text1"/>
          <w:sz w:val="24"/>
        </w:rPr>
        <w:t>、预测软件</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Hydrus</w:t>
      </w:r>
      <w:r>
        <w:rPr>
          <w:rFonts w:cs="Times New Roman" w:hint="eastAsia"/>
          <w:color w:val="000000" w:themeColor="text1"/>
          <w:sz w:val="24"/>
        </w:rPr>
        <w:t>是美国盐土实验室开发的系列软件，用于计算模拟饱和</w:t>
      </w:r>
      <w:r>
        <w:rPr>
          <w:rFonts w:cs="Times New Roman" w:hint="eastAsia"/>
          <w:color w:val="000000" w:themeColor="text1"/>
          <w:sz w:val="24"/>
        </w:rPr>
        <w:t>-</w:t>
      </w:r>
      <w:r>
        <w:rPr>
          <w:rFonts w:cs="Times New Roman" w:hint="eastAsia"/>
          <w:color w:val="000000" w:themeColor="text1"/>
          <w:sz w:val="24"/>
        </w:rPr>
        <w:t>非饱和带的水分运行和溶质运移。</w:t>
      </w:r>
      <w:r>
        <w:rPr>
          <w:rFonts w:cs="Times New Roman" w:hint="eastAsia"/>
          <w:color w:val="000000" w:themeColor="text1"/>
          <w:sz w:val="24"/>
        </w:rPr>
        <w:t>Hydrus-1D</w:t>
      </w:r>
      <w:r>
        <w:rPr>
          <w:rFonts w:cs="Times New Roman" w:hint="eastAsia"/>
          <w:color w:val="000000" w:themeColor="text1"/>
          <w:sz w:val="24"/>
        </w:rPr>
        <w:t>软件可以模拟一维水流、二氧化碳、溶质和热在包气带非饱和带介质中的运移，包括有水分运移、溶质运移、热传递和植物根系吸水等几大模块，并具有简便的输入和输出功能，在环境科学、土壤学、水文地质学等领域都得到了广泛应用。</w:t>
      </w:r>
    </w:p>
    <w:p w:rsidR="00644456" w:rsidRDefault="008031C4">
      <w:pPr>
        <w:spacing w:line="360" w:lineRule="auto"/>
        <w:ind w:firstLineChars="200" w:firstLine="482"/>
        <w:textAlignment w:val="baseline"/>
        <w:rPr>
          <w:rFonts w:cs="Times New Roman"/>
          <w:color w:val="000000" w:themeColor="text1"/>
          <w:sz w:val="24"/>
        </w:rPr>
      </w:pPr>
      <w:r>
        <w:rPr>
          <w:rFonts w:cs="Times New Roman" w:hint="eastAsia"/>
          <w:b/>
          <w:bCs/>
          <w:color w:val="000000" w:themeColor="text1"/>
          <w:sz w:val="24"/>
        </w:rPr>
        <w:t>本次评价采用</w:t>
      </w:r>
      <w:r>
        <w:rPr>
          <w:rFonts w:cs="Times New Roman" w:hint="eastAsia"/>
          <w:b/>
          <w:bCs/>
          <w:color w:val="000000" w:themeColor="text1"/>
          <w:sz w:val="24"/>
        </w:rPr>
        <w:t>Hydrus-1D</w:t>
      </w:r>
      <w:r>
        <w:rPr>
          <w:rFonts w:cs="Times New Roman" w:hint="eastAsia"/>
          <w:b/>
          <w:bCs/>
          <w:color w:val="000000" w:themeColor="text1"/>
          <w:sz w:val="24"/>
        </w:rPr>
        <w:t>软件中的数学模型，对包气带构建水流运动和溶质运移模型，模拟事故状态下污染物垂直入渗包气带后在土壤中运移情况。</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C</w:t>
      </w:r>
      <w:r>
        <w:rPr>
          <w:rFonts w:cs="Times New Roman" w:hint="eastAsia"/>
          <w:color w:val="000000" w:themeColor="text1"/>
          <w:sz w:val="24"/>
        </w:rPr>
        <w:t>、源强设定</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本项目储罐中主要特征污染物为石油类，本次预测选取对土壤影响较大的石油类作为预测因子，储罐石油类约浓度为</w:t>
      </w:r>
      <w:r>
        <w:rPr>
          <w:rFonts w:cs="Times New Roman" w:hint="eastAsia"/>
          <w:color w:val="000000" w:themeColor="text1"/>
          <w:sz w:val="24"/>
        </w:rPr>
        <w:t>1500mg/L</w:t>
      </w:r>
      <w:r>
        <w:rPr>
          <w:rFonts w:cs="Times New Roman" w:hint="eastAsia"/>
          <w:color w:val="000000" w:themeColor="text1"/>
          <w:sz w:val="24"/>
        </w:rPr>
        <w:t>。</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D</w:t>
      </w:r>
      <w:r>
        <w:rPr>
          <w:rFonts w:cs="Times New Roman" w:hint="eastAsia"/>
          <w:color w:val="000000" w:themeColor="text1"/>
          <w:sz w:val="24"/>
        </w:rPr>
        <w:t>、模型建立</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w:t>
      </w:r>
      <w:r>
        <w:rPr>
          <w:rFonts w:cs="Times New Roman" w:hint="eastAsia"/>
          <w:color w:val="000000" w:themeColor="text1"/>
          <w:sz w:val="24"/>
        </w:rPr>
        <w:t>a</w:t>
      </w:r>
      <w:r>
        <w:rPr>
          <w:rFonts w:cs="Times New Roman" w:hint="eastAsia"/>
          <w:color w:val="000000" w:themeColor="text1"/>
          <w:sz w:val="24"/>
        </w:rPr>
        <w:t>）以储罐地面作为模型上边界，将厂区土壤层概化为</w:t>
      </w:r>
      <w:r>
        <w:rPr>
          <w:rFonts w:cs="Times New Roman" w:hint="eastAsia"/>
          <w:color w:val="000000" w:themeColor="text1"/>
          <w:sz w:val="24"/>
        </w:rPr>
        <w:t>1</w:t>
      </w:r>
      <w:r>
        <w:rPr>
          <w:rFonts w:cs="Times New Roman" w:hint="eastAsia"/>
          <w:color w:val="000000" w:themeColor="text1"/>
          <w:sz w:val="24"/>
        </w:rPr>
        <w:t>层，本项目土壤类型为粉质粘土，土壤厚度按平均厚度为</w:t>
      </w:r>
      <w:r>
        <w:rPr>
          <w:rFonts w:cs="Times New Roman" w:hint="eastAsia"/>
          <w:color w:val="000000" w:themeColor="text1"/>
          <w:sz w:val="24"/>
        </w:rPr>
        <w:t>2m</w:t>
      </w:r>
      <w:r>
        <w:rPr>
          <w:rFonts w:cs="Times New Roman" w:hint="eastAsia"/>
          <w:color w:val="000000" w:themeColor="text1"/>
          <w:sz w:val="24"/>
        </w:rPr>
        <w:t>计取，设定垂向厚度为</w:t>
      </w:r>
      <w:r>
        <w:rPr>
          <w:rFonts w:cs="Times New Roman" w:hint="eastAsia"/>
          <w:color w:val="000000" w:themeColor="text1"/>
          <w:sz w:val="24"/>
        </w:rPr>
        <w:t>2m</w:t>
      </w:r>
      <w:r>
        <w:rPr>
          <w:rFonts w:cs="Times New Roman" w:hint="eastAsia"/>
          <w:color w:val="000000" w:themeColor="text1"/>
          <w:sz w:val="24"/>
        </w:rPr>
        <w:t>的土壤模型。在地面以下</w:t>
      </w:r>
      <w:r>
        <w:rPr>
          <w:rFonts w:cs="Times New Roman" w:hint="eastAsia"/>
          <w:color w:val="000000" w:themeColor="text1"/>
          <w:sz w:val="24"/>
        </w:rPr>
        <w:t>0.1m</w:t>
      </w:r>
      <w:r>
        <w:rPr>
          <w:rFonts w:cs="Times New Roman" w:hint="eastAsia"/>
          <w:color w:val="000000" w:themeColor="text1"/>
          <w:sz w:val="24"/>
        </w:rPr>
        <w:t>（</w:t>
      </w:r>
      <w:r>
        <w:rPr>
          <w:rFonts w:cs="Times New Roman" w:hint="eastAsia"/>
          <w:color w:val="000000" w:themeColor="text1"/>
          <w:sz w:val="24"/>
        </w:rPr>
        <w:t>N1</w:t>
      </w:r>
      <w:r>
        <w:rPr>
          <w:rFonts w:cs="Times New Roman" w:hint="eastAsia"/>
          <w:color w:val="000000" w:themeColor="text1"/>
          <w:sz w:val="24"/>
        </w:rPr>
        <w:t>）、</w:t>
      </w:r>
      <w:r>
        <w:rPr>
          <w:rFonts w:cs="Times New Roman" w:hint="eastAsia"/>
          <w:color w:val="000000" w:themeColor="text1"/>
          <w:sz w:val="24"/>
        </w:rPr>
        <w:t>0.2m</w:t>
      </w:r>
      <w:r>
        <w:rPr>
          <w:rFonts w:cs="Times New Roman" w:hint="eastAsia"/>
          <w:color w:val="000000" w:themeColor="text1"/>
          <w:sz w:val="24"/>
        </w:rPr>
        <w:t>（</w:t>
      </w:r>
      <w:r>
        <w:rPr>
          <w:rFonts w:cs="Times New Roman" w:hint="eastAsia"/>
          <w:color w:val="000000" w:themeColor="text1"/>
          <w:sz w:val="24"/>
        </w:rPr>
        <w:t>N2</w:t>
      </w:r>
      <w:r>
        <w:rPr>
          <w:rFonts w:cs="Times New Roman" w:hint="eastAsia"/>
          <w:color w:val="000000" w:themeColor="text1"/>
          <w:sz w:val="24"/>
        </w:rPr>
        <w:t>）、</w:t>
      </w:r>
      <w:r>
        <w:rPr>
          <w:rFonts w:cs="Times New Roman" w:hint="eastAsia"/>
          <w:color w:val="000000" w:themeColor="text1"/>
          <w:sz w:val="24"/>
        </w:rPr>
        <w:t>0.5m</w:t>
      </w:r>
      <w:r>
        <w:rPr>
          <w:rFonts w:cs="Times New Roman" w:hint="eastAsia"/>
          <w:color w:val="000000" w:themeColor="text1"/>
          <w:sz w:val="24"/>
        </w:rPr>
        <w:t>（</w:t>
      </w:r>
      <w:r>
        <w:rPr>
          <w:rFonts w:cs="Times New Roman" w:hint="eastAsia"/>
          <w:color w:val="000000" w:themeColor="text1"/>
          <w:sz w:val="24"/>
        </w:rPr>
        <w:t>N3</w:t>
      </w:r>
      <w:r>
        <w:rPr>
          <w:rFonts w:cs="Times New Roman" w:hint="eastAsia"/>
          <w:color w:val="000000" w:themeColor="text1"/>
          <w:sz w:val="24"/>
        </w:rPr>
        <w:t>）、</w:t>
      </w:r>
      <w:r>
        <w:rPr>
          <w:rFonts w:cs="Times New Roman" w:hint="eastAsia"/>
          <w:color w:val="000000" w:themeColor="text1"/>
          <w:sz w:val="24"/>
        </w:rPr>
        <w:t>1m</w:t>
      </w:r>
      <w:r>
        <w:rPr>
          <w:rFonts w:cs="Times New Roman" w:hint="eastAsia"/>
          <w:color w:val="000000" w:themeColor="text1"/>
          <w:sz w:val="24"/>
        </w:rPr>
        <w:t>（</w:t>
      </w:r>
      <w:r>
        <w:rPr>
          <w:rFonts w:cs="Times New Roman" w:hint="eastAsia"/>
          <w:color w:val="000000" w:themeColor="text1"/>
          <w:sz w:val="24"/>
        </w:rPr>
        <w:t>N4</w:t>
      </w:r>
      <w:r>
        <w:rPr>
          <w:rFonts w:cs="Times New Roman" w:hint="eastAsia"/>
          <w:color w:val="000000" w:themeColor="text1"/>
          <w:sz w:val="24"/>
        </w:rPr>
        <w:t>）、</w:t>
      </w:r>
      <w:r>
        <w:rPr>
          <w:rFonts w:cs="Times New Roman" w:hint="eastAsia"/>
          <w:color w:val="000000" w:themeColor="text1"/>
          <w:sz w:val="24"/>
        </w:rPr>
        <w:t>1.2m</w:t>
      </w:r>
      <w:r>
        <w:rPr>
          <w:rFonts w:cs="Times New Roman" w:hint="eastAsia"/>
          <w:color w:val="000000" w:themeColor="text1"/>
          <w:sz w:val="24"/>
        </w:rPr>
        <w:t>（</w:t>
      </w:r>
      <w:r>
        <w:rPr>
          <w:rFonts w:cs="Times New Roman" w:hint="eastAsia"/>
          <w:color w:val="000000" w:themeColor="text1"/>
          <w:sz w:val="24"/>
        </w:rPr>
        <w:t>N5</w:t>
      </w:r>
      <w:r>
        <w:rPr>
          <w:rFonts w:cs="Times New Roman" w:hint="eastAsia"/>
          <w:color w:val="000000" w:themeColor="text1"/>
          <w:sz w:val="24"/>
        </w:rPr>
        <w:t>，模型底部）、</w:t>
      </w:r>
      <w:r>
        <w:rPr>
          <w:rFonts w:cs="Times New Roman" w:hint="eastAsia"/>
          <w:color w:val="000000" w:themeColor="text1"/>
          <w:sz w:val="24"/>
        </w:rPr>
        <w:t>2m</w:t>
      </w:r>
      <w:r>
        <w:rPr>
          <w:rFonts w:cs="Times New Roman" w:hint="eastAsia"/>
          <w:color w:val="000000" w:themeColor="text1"/>
          <w:sz w:val="24"/>
        </w:rPr>
        <w:t>（</w:t>
      </w:r>
      <w:r>
        <w:rPr>
          <w:rFonts w:cs="Times New Roman" w:hint="eastAsia"/>
          <w:color w:val="000000" w:themeColor="text1"/>
          <w:sz w:val="24"/>
        </w:rPr>
        <w:t>N6</w:t>
      </w:r>
      <w:r>
        <w:rPr>
          <w:rFonts w:cs="Times New Roman" w:hint="eastAsia"/>
          <w:color w:val="000000" w:themeColor="text1"/>
          <w:sz w:val="24"/>
        </w:rPr>
        <w:t>，模型底部）共设置</w:t>
      </w:r>
      <w:r>
        <w:rPr>
          <w:rFonts w:cs="Times New Roman" w:hint="eastAsia"/>
          <w:color w:val="000000" w:themeColor="text1"/>
          <w:sz w:val="24"/>
        </w:rPr>
        <w:t>6</w:t>
      </w:r>
      <w:r>
        <w:rPr>
          <w:rFonts w:cs="Times New Roman" w:hint="eastAsia"/>
          <w:color w:val="000000" w:themeColor="text1"/>
          <w:sz w:val="24"/>
        </w:rPr>
        <w:t>个观测点，如下图所示：</w:t>
      </w:r>
    </w:p>
    <w:p w:rsidR="00644456" w:rsidRDefault="008031C4">
      <w:pPr>
        <w:pStyle w:val="-3"/>
        <w:ind w:firstLineChars="0" w:firstLine="0"/>
        <w:jc w:val="center"/>
        <w:rPr>
          <w:color w:val="000000" w:themeColor="text1"/>
        </w:rPr>
      </w:pPr>
      <w:r>
        <w:rPr>
          <w:noProof/>
          <w:color w:val="000000" w:themeColor="text1"/>
          <w:lang w:val="en-US"/>
        </w:rPr>
        <mc:AlternateContent>
          <mc:Choice Requires="wps">
            <w:drawing>
              <wp:anchor distT="0" distB="0" distL="114300" distR="114300" simplePos="0" relativeHeight="251674624" behindDoc="0" locked="0" layoutInCell="1" allowOverlap="1" wp14:anchorId="62225BD8" wp14:editId="5B2A5EB0">
                <wp:simplePos x="0" y="0"/>
                <wp:positionH relativeFrom="column">
                  <wp:posOffset>2795905</wp:posOffset>
                </wp:positionH>
                <wp:positionV relativeFrom="paragraph">
                  <wp:posOffset>4070985</wp:posOffset>
                </wp:positionV>
                <wp:extent cx="556895" cy="294640"/>
                <wp:effectExtent l="0" t="0" r="0" b="0"/>
                <wp:wrapNone/>
                <wp:docPr id="43" name="矩形 43"/>
                <wp:cNvGraphicFramePr/>
                <a:graphic xmlns:a="http://schemas.openxmlformats.org/drawingml/2006/main">
                  <a:graphicData uri="http://schemas.microsoft.com/office/word/2010/wordprocessingShape">
                    <wps:wsp>
                      <wps:cNvSpPr/>
                      <wps:spPr>
                        <a:xfrm>
                          <a:off x="0" y="0"/>
                          <a:ext cx="556895" cy="294640"/>
                        </a:xfrm>
                        <a:prstGeom prst="rect">
                          <a:avLst/>
                        </a:prstGeom>
                        <a:noFill/>
                        <a:ln>
                          <a:noFill/>
                        </a:ln>
                      </wps:spPr>
                      <wps:txbx>
                        <w:txbxContent>
                          <w:p w:rsidR="00AC71A6" w:rsidRDefault="00AC71A6">
                            <w:pPr>
                              <w:rPr>
                                <w:color w:val="FF0000"/>
                                <w:szCs w:val="21"/>
                              </w:rPr>
                            </w:pPr>
                            <w:r>
                              <w:rPr>
                                <w:rFonts w:hint="eastAsia"/>
                                <w:color w:val="FF0000"/>
                                <w:szCs w:val="21"/>
                              </w:rPr>
                              <w:t>N6</w:t>
                            </w:r>
                          </w:p>
                        </w:txbxContent>
                      </wps:txbx>
                      <wps:bodyPr upright="1"/>
                    </wps:wsp>
                  </a:graphicData>
                </a:graphic>
              </wp:anchor>
            </w:drawing>
          </mc:Choice>
          <mc:Fallback>
            <w:pict>
              <v:rect w14:anchorId="62225BD8" id="矩形 43" o:spid="_x0000_s1029" style="position:absolute;left:0;text-align:left;margin-left:220.15pt;margin-top:320.55pt;width:43.85pt;height:23.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" filled="f" stroked="f">
                <v:textbox>
                  <w:txbxContent>
                    <w:p w:rsidR="00AC71A6" w:rsidRDefault="00AC71A6">
                      <w:pPr>
                        <w:rPr>
                          <w:color w:val="FF0000"/>
                          <w:szCs w:val="21"/>
                        </w:rPr>
                      </w:pPr>
                      <w:r>
                        <w:rPr>
                          <w:rFonts w:hint="eastAsia"/>
                          <w:color w:val="FF0000"/>
                          <w:szCs w:val="21"/>
                        </w:rPr>
                        <w:t>N6</w:t>
                      </w:r>
                    </w:p>
                  </w:txbxContent>
                </v:textbox>
              </v:rect>
            </w:pict>
          </mc:Fallback>
        </mc:AlternateContent>
      </w:r>
      <w:r>
        <w:rPr>
          <w:noProof/>
          <w:color w:val="000000" w:themeColor="text1"/>
          <w:lang w:val="en-US"/>
        </w:rPr>
        <mc:AlternateContent>
          <mc:Choice Requires="wps">
            <w:drawing>
              <wp:anchor distT="0" distB="0" distL="114300" distR="114300" simplePos="0" relativeHeight="251669504" behindDoc="0" locked="0" layoutInCell="1" allowOverlap="1" wp14:anchorId="037F6207" wp14:editId="48E06316">
                <wp:simplePos x="0" y="0"/>
                <wp:positionH relativeFrom="column">
                  <wp:posOffset>2795905</wp:posOffset>
                </wp:positionH>
                <wp:positionV relativeFrom="paragraph">
                  <wp:posOffset>2440940</wp:posOffset>
                </wp:positionV>
                <wp:extent cx="556895" cy="294640"/>
                <wp:effectExtent l="0" t="0" r="0" b="0"/>
                <wp:wrapNone/>
                <wp:docPr id="44" name="矩形 44"/>
                <wp:cNvGraphicFramePr/>
                <a:graphic xmlns:a="http://schemas.openxmlformats.org/drawingml/2006/main">
                  <a:graphicData uri="http://schemas.microsoft.com/office/word/2010/wordprocessingShape">
                    <wps:wsp>
                      <wps:cNvSpPr/>
                      <wps:spPr>
                        <a:xfrm>
                          <a:off x="0" y="0"/>
                          <a:ext cx="556895" cy="294640"/>
                        </a:xfrm>
                        <a:prstGeom prst="rect">
                          <a:avLst/>
                        </a:prstGeom>
                        <a:noFill/>
                        <a:ln>
                          <a:noFill/>
                        </a:ln>
                      </wps:spPr>
                      <wps:txbx>
                        <w:txbxContent>
                          <w:p w:rsidR="00AC71A6" w:rsidRDefault="00AC71A6">
                            <w:pPr>
                              <w:rPr>
                                <w:color w:val="FF0000"/>
                                <w:szCs w:val="21"/>
                              </w:rPr>
                            </w:pPr>
                            <w:r>
                              <w:rPr>
                                <w:rFonts w:hint="eastAsia"/>
                                <w:color w:val="FF0000"/>
                                <w:szCs w:val="21"/>
                              </w:rPr>
                              <w:t>N5</w:t>
                            </w:r>
                          </w:p>
                        </w:txbxContent>
                      </wps:txbx>
                      <wps:bodyPr upright="1"/>
                    </wps:wsp>
                  </a:graphicData>
                </a:graphic>
              </wp:anchor>
            </w:drawing>
          </mc:Choice>
          <mc:Fallback>
            <w:pict>
              <v:rect w14:anchorId="037F6207" id="矩形 44" o:spid="_x0000_s1030" style="position:absolute;left:0;text-align:left;margin-left:220.15pt;margin-top:192.2pt;width:43.85pt;height:23.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" filled="f" stroked="f">
                <v:textbox>
                  <w:txbxContent>
                    <w:p w:rsidR="00AC71A6" w:rsidRDefault="00AC71A6">
                      <w:pPr>
                        <w:rPr>
                          <w:color w:val="FF0000"/>
                          <w:szCs w:val="21"/>
                        </w:rPr>
                      </w:pPr>
                      <w:r>
                        <w:rPr>
                          <w:rFonts w:hint="eastAsia"/>
                          <w:color w:val="FF0000"/>
                          <w:szCs w:val="21"/>
                        </w:rPr>
                        <w:t>N5</w:t>
                      </w:r>
                    </w:p>
                  </w:txbxContent>
                </v:textbox>
              </v:rect>
            </w:pict>
          </mc:Fallback>
        </mc:AlternateContent>
      </w:r>
      <w:r>
        <w:rPr>
          <w:noProof/>
          <w:color w:val="000000" w:themeColor="text1"/>
          <w:lang w:val="en-US"/>
        </w:rPr>
        <mc:AlternateContent>
          <mc:Choice Requires="wps">
            <w:drawing>
              <wp:anchor distT="0" distB="0" distL="114300" distR="114300" simplePos="0" relativeHeight="251670528" behindDoc="0" locked="0" layoutInCell="1" allowOverlap="1" wp14:anchorId="634613D7" wp14:editId="1273F893">
                <wp:simplePos x="0" y="0"/>
                <wp:positionH relativeFrom="column">
                  <wp:posOffset>2795905</wp:posOffset>
                </wp:positionH>
                <wp:positionV relativeFrom="paragraph">
                  <wp:posOffset>2035810</wp:posOffset>
                </wp:positionV>
                <wp:extent cx="556895" cy="294640"/>
                <wp:effectExtent l="0" t="0" r="0" b="0"/>
                <wp:wrapNone/>
                <wp:docPr id="39" name="矩形 39"/>
                <wp:cNvGraphicFramePr/>
                <a:graphic xmlns:a="http://schemas.openxmlformats.org/drawingml/2006/main">
                  <a:graphicData uri="http://schemas.microsoft.com/office/word/2010/wordprocessingShape">
                    <wps:wsp>
                      <wps:cNvSpPr/>
                      <wps:spPr>
                        <a:xfrm>
                          <a:off x="0" y="0"/>
                          <a:ext cx="556895" cy="294640"/>
                        </a:xfrm>
                        <a:prstGeom prst="rect">
                          <a:avLst/>
                        </a:prstGeom>
                        <a:noFill/>
                        <a:ln>
                          <a:noFill/>
                        </a:ln>
                      </wps:spPr>
                      <wps:txbx>
                        <w:txbxContent>
                          <w:p w:rsidR="00AC71A6" w:rsidRDefault="00AC71A6">
                            <w:pPr>
                              <w:rPr>
                                <w:color w:val="FF0000"/>
                                <w:szCs w:val="21"/>
                              </w:rPr>
                            </w:pPr>
                            <w:r>
                              <w:rPr>
                                <w:rFonts w:hint="eastAsia"/>
                                <w:color w:val="FF0000"/>
                                <w:szCs w:val="21"/>
                              </w:rPr>
                              <w:t>N4</w:t>
                            </w:r>
                          </w:p>
                        </w:txbxContent>
                      </wps:txbx>
                      <wps:bodyPr upright="1"/>
                    </wps:wsp>
                  </a:graphicData>
                </a:graphic>
              </wp:anchor>
            </w:drawing>
          </mc:Choice>
          <mc:Fallback>
            <w:pict>
              <v:rect w14:anchorId="634613D7" id="矩形 39" o:spid="_x0000_s1031" style="position:absolute;left:0;text-align:left;margin-left:220.15pt;margin-top:160.3pt;width:43.85pt;height:23.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" filled="f" stroked="f">
                <v:textbox>
                  <w:txbxContent>
                    <w:p w:rsidR="00AC71A6" w:rsidRDefault="00AC71A6">
                      <w:pPr>
                        <w:rPr>
                          <w:color w:val="FF0000"/>
                          <w:szCs w:val="21"/>
                        </w:rPr>
                      </w:pPr>
                      <w:r>
                        <w:rPr>
                          <w:rFonts w:hint="eastAsia"/>
                          <w:color w:val="FF0000"/>
                          <w:szCs w:val="21"/>
                        </w:rPr>
                        <w:t>N4</w:t>
                      </w:r>
                    </w:p>
                  </w:txbxContent>
                </v:textbox>
              </v:rect>
            </w:pict>
          </mc:Fallback>
        </mc:AlternateContent>
      </w:r>
      <w:r>
        <w:rPr>
          <w:noProof/>
          <w:color w:val="000000" w:themeColor="text1"/>
          <w:lang w:val="en-US"/>
        </w:rPr>
        <mc:AlternateContent>
          <mc:Choice Requires="wps">
            <w:drawing>
              <wp:anchor distT="0" distB="0" distL="114300" distR="114300" simplePos="0" relativeHeight="251671552" behindDoc="0" locked="0" layoutInCell="1" allowOverlap="1" wp14:anchorId="0613CE3D" wp14:editId="40DB9B6E">
                <wp:simplePos x="0" y="0"/>
                <wp:positionH relativeFrom="column">
                  <wp:posOffset>2795905</wp:posOffset>
                </wp:positionH>
                <wp:positionV relativeFrom="paragraph">
                  <wp:posOffset>986155</wp:posOffset>
                </wp:positionV>
                <wp:extent cx="556895" cy="294640"/>
                <wp:effectExtent l="0" t="0" r="0" b="0"/>
                <wp:wrapNone/>
                <wp:docPr id="42" name="矩形 42"/>
                <wp:cNvGraphicFramePr/>
                <a:graphic xmlns:a="http://schemas.openxmlformats.org/drawingml/2006/main">
                  <a:graphicData uri="http://schemas.microsoft.com/office/word/2010/wordprocessingShape">
                    <wps:wsp>
                      <wps:cNvSpPr/>
                      <wps:spPr>
                        <a:xfrm>
                          <a:off x="0" y="0"/>
                          <a:ext cx="556895" cy="294640"/>
                        </a:xfrm>
                        <a:prstGeom prst="rect">
                          <a:avLst/>
                        </a:prstGeom>
                        <a:noFill/>
                        <a:ln>
                          <a:noFill/>
                        </a:ln>
                      </wps:spPr>
                      <wps:txbx>
                        <w:txbxContent>
                          <w:p w:rsidR="00AC71A6" w:rsidRDefault="00AC71A6">
                            <w:pPr>
                              <w:rPr>
                                <w:color w:val="FF0000"/>
                                <w:szCs w:val="21"/>
                              </w:rPr>
                            </w:pPr>
                            <w:r>
                              <w:rPr>
                                <w:rFonts w:hint="eastAsia"/>
                                <w:color w:val="FF0000"/>
                                <w:szCs w:val="21"/>
                              </w:rPr>
                              <w:t>N3</w:t>
                            </w:r>
                          </w:p>
                        </w:txbxContent>
                      </wps:txbx>
                      <wps:bodyPr upright="1"/>
                    </wps:wsp>
                  </a:graphicData>
                </a:graphic>
              </wp:anchor>
            </w:drawing>
          </mc:Choice>
          <mc:Fallback>
            <w:pict>
              <v:rect w14:anchorId="0613CE3D" id="矩形 42" o:spid="_x0000_s1032" style="position:absolute;left:0;text-align:left;margin-left:220.15pt;margin-top:77.65pt;width:43.85pt;height:23.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" filled="f" stroked="f">
                <v:textbox>
                  <w:txbxContent>
                    <w:p w:rsidR="00AC71A6" w:rsidRDefault="00AC71A6">
                      <w:pPr>
                        <w:rPr>
                          <w:color w:val="FF0000"/>
                          <w:szCs w:val="21"/>
                        </w:rPr>
                      </w:pPr>
                      <w:r>
                        <w:rPr>
                          <w:rFonts w:hint="eastAsia"/>
                          <w:color w:val="FF0000"/>
                          <w:szCs w:val="21"/>
                        </w:rPr>
                        <w:t>N3</w:t>
                      </w:r>
                    </w:p>
                  </w:txbxContent>
                </v:textbox>
              </v:rect>
            </w:pict>
          </mc:Fallback>
        </mc:AlternateContent>
      </w:r>
      <w:r>
        <w:rPr>
          <w:noProof/>
          <w:color w:val="000000" w:themeColor="text1"/>
          <w:lang w:val="en-US"/>
        </w:rPr>
        <mc:AlternateContent>
          <mc:Choice Requires="wps">
            <w:drawing>
              <wp:anchor distT="0" distB="0" distL="114300" distR="114300" simplePos="0" relativeHeight="251672576" behindDoc="0" locked="0" layoutInCell="1" allowOverlap="1" wp14:anchorId="43E69750" wp14:editId="0047B56D">
                <wp:simplePos x="0" y="0"/>
                <wp:positionH relativeFrom="column">
                  <wp:posOffset>2795905</wp:posOffset>
                </wp:positionH>
                <wp:positionV relativeFrom="paragraph">
                  <wp:posOffset>374015</wp:posOffset>
                </wp:positionV>
                <wp:extent cx="556895" cy="294640"/>
                <wp:effectExtent l="0" t="0" r="0" b="0"/>
                <wp:wrapNone/>
                <wp:docPr id="40" name="矩形 40"/>
                <wp:cNvGraphicFramePr/>
                <a:graphic xmlns:a="http://schemas.openxmlformats.org/drawingml/2006/main">
                  <a:graphicData uri="http://schemas.microsoft.com/office/word/2010/wordprocessingShape">
                    <wps:wsp>
                      <wps:cNvSpPr/>
                      <wps:spPr>
                        <a:xfrm>
                          <a:off x="0" y="0"/>
                          <a:ext cx="556895" cy="294640"/>
                        </a:xfrm>
                        <a:prstGeom prst="rect">
                          <a:avLst/>
                        </a:prstGeom>
                        <a:noFill/>
                        <a:ln>
                          <a:noFill/>
                        </a:ln>
                      </wps:spPr>
                      <wps:txbx>
                        <w:txbxContent>
                          <w:p w:rsidR="00AC71A6" w:rsidRDefault="00AC71A6">
                            <w:pPr>
                              <w:rPr>
                                <w:color w:val="FF0000"/>
                                <w:szCs w:val="21"/>
                              </w:rPr>
                            </w:pPr>
                            <w:r>
                              <w:rPr>
                                <w:rFonts w:hint="eastAsia"/>
                                <w:color w:val="FF0000"/>
                                <w:szCs w:val="21"/>
                              </w:rPr>
                              <w:t>N2</w:t>
                            </w:r>
                          </w:p>
                        </w:txbxContent>
                      </wps:txbx>
                      <wps:bodyPr upright="1"/>
                    </wps:wsp>
                  </a:graphicData>
                </a:graphic>
              </wp:anchor>
            </w:drawing>
          </mc:Choice>
          <mc:Fallback>
            <w:pict>
              <v:rect w14:anchorId="43E69750" id="矩形 40" o:spid="_x0000_s1033" style="position:absolute;left:0;text-align:left;margin-left:220.15pt;margin-top:29.45pt;width:43.85pt;height:23.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" filled="f" stroked="f">
                <v:textbox>
                  <w:txbxContent>
                    <w:p w:rsidR="00AC71A6" w:rsidRDefault="00AC71A6">
                      <w:pPr>
                        <w:rPr>
                          <w:color w:val="FF0000"/>
                          <w:szCs w:val="21"/>
                        </w:rPr>
                      </w:pPr>
                      <w:r>
                        <w:rPr>
                          <w:rFonts w:hint="eastAsia"/>
                          <w:color w:val="FF0000"/>
                          <w:szCs w:val="21"/>
                        </w:rPr>
                        <w:t>N2</w:t>
                      </w:r>
                    </w:p>
                  </w:txbxContent>
                </v:textbox>
              </v:rect>
            </w:pict>
          </mc:Fallback>
        </mc:AlternateContent>
      </w:r>
      <w:r>
        <w:rPr>
          <w:noProof/>
          <w:color w:val="000000" w:themeColor="text1"/>
          <w:lang w:val="en-US"/>
        </w:rPr>
        <mc:AlternateContent>
          <mc:Choice Requires="wps">
            <w:drawing>
              <wp:anchor distT="0" distB="0" distL="114300" distR="114300" simplePos="0" relativeHeight="251673600" behindDoc="0" locked="0" layoutInCell="1" allowOverlap="1" wp14:anchorId="5A07D683" wp14:editId="79BD371B">
                <wp:simplePos x="0" y="0"/>
                <wp:positionH relativeFrom="column">
                  <wp:posOffset>2795905</wp:posOffset>
                </wp:positionH>
                <wp:positionV relativeFrom="paragraph">
                  <wp:posOffset>182880</wp:posOffset>
                </wp:positionV>
                <wp:extent cx="556895" cy="294640"/>
                <wp:effectExtent l="0" t="0" r="0" b="0"/>
                <wp:wrapNone/>
                <wp:docPr id="41" name="矩形 41"/>
                <wp:cNvGraphicFramePr/>
                <a:graphic xmlns:a="http://schemas.openxmlformats.org/drawingml/2006/main">
                  <a:graphicData uri="http://schemas.microsoft.com/office/word/2010/wordprocessingShape">
                    <wps:wsp>
                      <wps:cNvSpPr/>
                      <wps:spPr>
                        <a:xfrm>
                          <a:off x="0" y="0"/>
                          <a:ext cx="556895" cy="294640"/>
                        </a:xfrm>
                        <a:prstGeom prst="rect">
                          <a:avLst/>
                        </a:prstGeom>
                        <a:noFill/>
                        <a:ln>
                          <a:noFill/>
                        </a:ln>
                      </wps:spPr>
                      <wps:txbx>
                        <w:txbxContent>
                          <w:p w:rsidR="00AC71A6" w:rsidRDefault="00AC71A6">
                            <w:pPr>
                              <w:rPr>
                                <w:color w:val="FF0000"/>
                                <w:szCs w:val="21"/>
                              </w:rPr>
                            </w:pPr>
                            <w:r>
                              <w:rPr>
                                <w:rFonts w:hint="eastAsia"/>
                                <w:color w:val="FF0000"/>
                                <w:szCs w:val="21"/>
                              </w:rPr>
                              <w:t>N1</w:t>
                            </w:r>
                          </w:p>
                        </w:txbxContent>
                      </wps:txbx>
                      <wps:bodyPr upright="1"/>
                    </wps:wsp>
                  </a:graphicData>
                </a:graphic>
              </wp:anchor>
            </w:drawing>
          </mc:Choice>
          <mc:Fallback>
            <w:pict>
              <v:rect w14:anchorId="5A07D683" id="矩形 41" o:spid="_x0000_s1034" style="position:absolute;left:0;text-align:left;margin-left:220.15pt;margin-top:14.4pt;width:43.85pt;height:23.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" filled="f" stroked="f">
                <v:textbox>
                  <w:txbxContent>
                    <w:p w:rsidR="00AC71A6" w:rsidRDefault="00AC71A6">
                      <w:pPr>
                        <w:rPr>
                          <w:color w:val="FF0000"/>
                          <w:szCs w:val="21"/>
                        </w:rPr>
                      </w:pPr>
                      <w:r>
                        <w:rPr>
                          <w:rFonts w:hint="eastAsia"/>
                          <w:color w:val="FF0000"/>
                          <w:szCs w:val="21"/>
                        </w:rPr>
                        <w:t>N1</w:t>
                      </w:r>
                    </w:p>
                  </w:txbxContent>
                </v:textbox>
              </v:rect>
            </w:pict>
          </mc:Fallback>
        </mc:AlternateConten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图</w:t>
      </w:r>
      <w:r>
        <w:rPr>
          <w:rFonts w:cs="Times New Roman" w:hint="eastAsia"/>
          <w:b/>
          <w:color w:val="000000" w:themeColor="text1"/>
          <w:sz w:val="24"/>
          <w:szCs w:val="20"/>
        </w:rPr>
        <w:t>5.5-5</w:t>
      </w:r>
      <w:r>
        <w:rPr>
          <w:rFonts w:cs="Times New Roman" w:hint="eastAsia"/>
          <w:b/>
          <w:color w:val="000000" w:themeColor="text1"/>
          <w:sz w:val="24"/>
          <w:szCs w:val="20"/>
        </w:rPr>
        <w:t>包气带分层、剖分和观测点位置</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假设土壤模型剖面初始状态为静力平衡态，设定模型底部和地面压力水头。项目区土壤为砂土，参数使用模型中已有数据。</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5.5-6</w:t>
      </w:r>
      <w:r>
        <w:rPr>
          <w:rFonts w:cs="Times New Roman" w:hint="eastAsia"/>
          <w:b/>
          <w:color w:val="000000" w:themeColor="text1"/>
          <w:sz w:val="24"/>
          <w:szCs w:val="20"/>
        </w:rPr>
        <w:t>土壤预测参数表</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1276"/>
        <w:gridCol w:w="1417"/>
        <w:gridCol w:w="1134"/>
        <w:gridCol w:w="851"/>
        <w:gridCol w:w="992"/>
        <w:gridCol w:w="992"/>
        <w:gridCol w:w="1134"/>
      </w:tblGrid>
      <w:tr w:rsidR="00644456">
        <w:trPr>
          <w:trHeight w:val="148"/>
        </w:trPr>
        <w:tc>
          <w:tcPr>
            <w:tcW w:w="567" w:type="dxa"/>
            <w:vAlign w:val="center"/>
          </w:tcPr>
          <w:p w:rsidR="00644456" w:rsidRDefault="008031C4">
            <w:pPr>
              <w:adjustRightInd w:val="0"/>
              <w:snapToGrid w:val="0"/>
              <w:spacing w:line="240" w:lineRule="exact"/>
              <w:contextualSpacing/>
              <w:jc w:val="center"/>
              <w:rPr>
                <w:b/>
                <w:color w:val="000000" w:themeColor="text1"/>
                <w:szCs w:val="21"/>
              </w:rPr>
            </w:pPr>
            <w:r>
              <w:rPr>
                <w:rFonts w:hint="eastAsia"/>
                <w:b/>
                <w:color w:val="000000" w:themeColor="text1"/>
                <w:szCs w:val="21"/>
              </w:rPr>
              <w:t>序</w:t>
            </w:r>
            <w:r>
              <w:rPr>
                <w:rFonts w:hint="eastAsia"/>
                <w:b/>
                <w:color w:val="000000" w:themeColor="text1"/>
                <w:szCs w:val="21"/>
              </w:rPr>
              <w:lastRenderedPageBreak/>
              <w:t>号</w:t>
            </w:r>
          </w:p>
        </w:tc>
        <w:tc>
          <w:tcPr>
            <w:tcW w:w="709" w:type="dxa"/>
            <w:vAlign w:val="center"/>
          </w:tcPr>
          <w:p w:rsidR="00644456" w:rsidRDefault="008031C4">
            <w:pPr>
              <w:adjustRightInd w:val="0"/>
              <w:snapToGrid w:val="0"/>
              <w:spacing w:line="240" w:lineRule="exact"/>
              <w:contextualSpacing/>
              <w:jc w:val="center"/>
              <w:rPr>
                <w:b/>
                <w:color w:val="000000" w:themeColor="text1"/>
                <w:szCs w:val="21"/>
              </w:rPr>
            </w:pPr>
            <w:r>
              <w:rPr>
                <w:rFonts w:hint="eastAsia"/>
                <w:b/>
                <w:color w:val="000000" w:themeColor="text1"/>
                <w:szCs w:val="21"/>
              </w:rPr>
              <w:lastRenderedPageBreak/>
              <w:t>土壤</w:t>
            </w:r>
            <w:r>
              <w:rPr>
                <w:rFonts w:hint="eastAsia"/>
                <w:b/>
                <w:color w:val="000000" w:themeColor="text1"/>
                <w:szCs w:val="21"/>
              </w:rPr>
              <w:lastRenderedPageBreak/>
              <w:t>类型</w:t>
            </w:r>
          </w:p>
        </w:tc>
        <w:tc>
          <w:tcPr>
            <w:tcW w:w="1276" w:type="dxa"/>
            <w:vAlign w:val="center"/>
          </w:tcPr>
          <w:p w:rsidR="00644456" w:rsidRDefault="008031C4">
            <w:pPr>
              <w:adjustRightInd w:val="0"/>
              <w:snapToGrid w:val="0"/>
              <w:spacing w:line="240" w:lineRule="exact"/>
              <w:contextualSpacing/>
              <w:jc w:val="center"/>
              <w:rPr>
                <w:b/>
                <w:color w:val="000000" w:themeColor="text1"/>
                <w:szCs w:val="21"/>
              </w:rPr>
            </w:pPr>
            <w:r>
              <w:rPr>
                <w:rFonts w:hint="eastAsia"/>
                <w:b/>
                <w:color w:val="000000" w:themeColor="text1"/>
                <w:szCs w:val="21"/>
              </w:rPr>
              <w:lastRenderedPageBreak/>
              <w:t>残余含水率</w:t>
            </w:r>
            <w:r>
              <w:rPr>
                <w:rFonts w:hint="eastAsia"/>
                <w:b/>
                <w:color w:val="000000" w:themeColor="text1"/>
                <w:szCs w:val="21"/>
              </w:rPr>
              <w:lastRenderedPageBreak/>
              <w:t>（</w:t>
            </w:r>
            <w:r>
              <w:rPr>
                <w:b/>
                <w:color w:val="000000" w:themeColor="text1"/>
                <w:szCs w:val="21"/>
              </w:rPr>
              <w:t>cm</w:t>
            </w:r>
            <w:r>
              <w:rPr>
                <w:b/>
                <w:color w:val="000000" w:themeColor="text1"/>
                <w:szCs w:val="21"/>
                <w:vertAlign w:val="superscript"/>
              </w:rPr>
              <w:t>3</w:t>
            </w:r>
            <w:r>
              <w:rPr>
                <w:b/>
                <w:color w:val="000000" w:themeColor="text1"/>
                <w:szCs w:val="21"/>
              </w:rPr>
              <w:t>/cm</w:t>
            </w:r>
            <w:r>
              <w:rPr>
                <w:b/>
                <w:color w:val="000000" w:themeColor="text1"/>
                <w:szCs w:val="21"/>
                <w:vertAlign w:val="superscript"/>
              </w:rPr>
              <w:t>3</w:t>
            </w:r>
            <w:r>
              <w:rPr>
                <w:rFonts w:hint="eastAsia"/>
                <w:b/>
                <w:color w:val="000000" w:themeColor="text1"/>
                <w:szCs w:val="21"/>
              </w:rPr>
              <w:t>）</w:t>
            </w:r>
          </w:p>
        </w:tc>
        <w:tc>
          <w:tcPr>
            <w:tcW w:w="1417" w:type="dxa"/>
            <w:vAlign w:val="center"/>
          </w:tcPr>
          <w:p w:rsidR="00644456" w:rsidRDefault="008031C4">
            <w:pPr>
              <w:adjustRightInd w:val="0"/>
              <w:snapToGrid w:val="0"/>
              <w:spacing w:line="240" w:lineRule="exact"/>
              <w:contextualSpacing/>
              <w:jc w:val="center"/>
              <w:rPr>
                <w:b/>
                <w:color w:val="000000" w:themeColor="text1"/>
                <w:szCs w:val="21"/>
              </w:rPr>
            </w:pPr>
            <w:r>
              <w:rPr>
                <w:rFonts w:hint="eastAsia"/>
                <w:b/>
                <w:color w:val="000000" w:themeColor="text1"/>
                <w:szCs w:val="21"/>
              </w:rPr>
              <w:lastRenderedPageBreak/>
              <w:t>饱和含水率</w:t>
            </w:r>
            <w:r>
              <w:rPr>
                <w:rFonts w:hint="eastAsia"/>
                <w:b/>
                <w:color w:val="000000" w:themeColor="text1"/>
                <w:szCs w:val="21"/>
              </w:rPr>
              <w:lastRenderedPageBreak/>
              <w:t>（</w:t>
            </w:r>
            <w:r>
              <w:rPr>
                <w:b/>
                <w:color w:val="000000" w:themeColor="text1"/>
                <w:szCs w:val="21"/>
              </w:rPr>
              <w:t>cm</w:t>
            </w:r>
            <w:r>
              <w:rPr>
                <w:b/>
                <w:color w:val="000000" w:themeColor="text1"/>
                <w:szCs w:val="21"/>
                <w:vertAlign w:val="superscript"/>
              </w:rPr>
              <w:t>3</w:t>
            </w:r>
            <w:r>
              <w:rPr>
                <w:b/>
                <w:color w:val="000000" w:themeColor="text1"/>
                <w:szCs w:val="21"/>
              </w:rPr>
              <w:t>/cm</w:t>
            </w:r>
            <w:r>
              <w:rPr>
                <w:b/>
                <w:color w:val="000000" w:themeColor="text1"/>
                <w:szCs w:val="21"/>
                <w:vertAlign w:val="superscript"/>
              </w:rPr>
              <w:t>3</w:t>
            </w:r>
            <w:r>
              <w:rPr>
                <w:rFonts w:hint="eastAsia"/>
                <w:b/>
                <w:color w:val="000000" w:themeColor="text1"/>
                <w:szCs w:val="21"/>
              </w:rPr>
              <w:t>）</w:t>
            </w:r>
          </w:p>
        </w:tc>
        <w:tc>
          <w:tcPr>
            <w:tcW w:w="1134" w:type="dxa"/>
            <w:vAlign w:val="center"/>
          </w:tcPr>
          <w:p w:rsidR="00644456" w:rsidRDefault="008031C4">
            <w:pPr>
              <w:adjustRightInd w:val="0"/>
              <w:snapToGrid w:val="0"/>
              <w:spacing w:line="240" w:lineRule="exact"/>
              <w:contextualSpacing/>
              <w:jc w:val="center"/>
              <w:rPr>
                <w:b/>
                <w:color w:val="000000" w:themeColor="text1"/>
                <w:szCs w:val="21"/>
              </w:rPr>
            </w:pPr>
            <w:r>
              <w:rPr>
                <w:rFonts w:hint="eastAsia"/>
                <w:b/>
                <w:color w:val="000000" w:themeColor="text1"/>
                <w:szCs w:val="21"/>
              </w:rPr>
              <w:lastRenderedPageBreak/>
              <w:t>经验参数</w:t>
            </w:r>
            <w:r>
              <w:rPr>
                <w:rFonts w:hint="eastAsia"/>
                <w:b/>
                <w:color w:val="000000" w:themeColor="text1"/>
                <w:szCs w:val="21"/>
              </w:rPr>
              <w:lastRenderedPageBreak/>
              <w:t>（</w:t>
            </w:r>
            <w:r>
              <w:rPr>
                <w:b/>
                <w:color w:val="000000" w:themeColor="text1"/>
                <w:szCs w:val="21"/>
              </w:rPr>
              <w:t>cm</w:t>
            </w:r>
            <w:r>
              <w:rPr>
                <w:b/>
                <w:color w:val="000000" w:themeColor="text1"/>
                <w:szCs w:val="21"/>
                <w:vertAlign w:val="superscript"/>
              </w:rPr>
              <w:t>-1</w:t>
            </w:r>
            <w:r>
              <w:rPr>
                <w:rFonts w:hint="eastAsia"/>
                <w:b/>
                <w:color w:val="000000" w:themeColor="text1"/>
                <w:szCs w:val="21"/>
              </w:rPr>
              <w:t>）</w:t>
            </w:r>
          </w:p>
        </w:tc>
        <w:tc>
          <w:tcPr>
            <w:tcW w:w="851" w:type="dxa"/>
            <w:vAlign w:val="center"/>
          </w:tcPr>
          <w:p w:rsidR="00644456" w:rsidRDefault="008031C4">
            <w:pPr>
              <w:adjustRightInd w:val="0"/>
              <w:snapToGrid w:val="0"/>
              <w:spacing w:line="240" w:lineRule="exact"/>
              <w:contextualSpacing/>
              <w:jc w:val="center"/>
              <w:rPr>
                <w:b/>
                <w:color w:val="000000" w:themeColor="text1"/>
                <w:szCs w:val="21"/>
              </w:rPr>
            </w:pPr>
            <w:r>
              <w:rPr>
                <w:rFonts w:hint="eastAsia"/>
                <w:b/>
                <w:color w:val="000000" w:themeColor="text1"/>
                <w:szCs w:val="21"/>
              </w:rPr>
              <w:lastRenderedPageBreak/>
              <w:t>曲线形</w:t>
            </w:r>
            <w:r>
              <w:rPr>
                <w:rFonts w:hint="eastAsia"/>
                <w:b/>
                <w:color w:val="000000" w:themeColor="text1"/>
                <w:szCs w:val="21"/>
              </w:rPr>
              <w:lastRenderedPageBreak/>
              <w:t>状参数</w:t>
            </w:r>
          </w:p>
        </w:tc>
        <w:tc>
          <w:tcPr>
            <w:tcW w:w="992" w:type="dxa"/>
            <w:vAlign w:val="center"/>
          </w:tcPr>
          <w:p w:rsidR="00644456" w:rsidRDefault="008031C4">
            <w:pPr>
              <w:adjustRightInd w:val="0"/>
              <w:snapToGrid w:val="0"/>
              <w:spacing w:line="240" w:lineRule="exact"/>
              <w:contextualSpacing/>
              <w:jc w:val="center"/>
              <w:rPr>
                <w:b/>
                <w:color w:val="000000" w:themeColor="text1"/>
                <w:szCs w:val="21"/>
              </w:rPr>
            </w:pPr>
            <w:r>
              <w:rPr>
                <w:rFonts w:hint="eastAsia"/>
                <w:b/>
                <w:color w:val="000000" w:themeColor="text1"/>
                <w:szCs w:val="21"/>
              </w:rPr>
              <w:lastRenderedPageBreak/>
              <w:t>降雨量</w:t>
            </w:r>
            <w:r>
              <w:rPr>
                <w:rFonts w:hint="eastAsia"/>
                <w:b/>
                <w:color w:val="000000" w:themeColor="text1"/>
                <w:szCs w:val="21"/>
              </w:rPr>
              <w:lastRenderedPageBreak/>
              <w:t>（</w:t>
            </w:r>
            <w:r>
              <w:rPr>
                <w:rFonts w:hint="eastAsia"/>
                <w:b/>
                <w:color w:val="000000" w:themeColor="text1"/>
                <w:szCs w:val="21"/>
              </w:rPr>
              <w:t>cm/d</w:t>
            </w:r>
            <w:r>
              <w:rPr>
                <w:rFonts w:hint="eastAsia"/>
                <w:b/>
                <w:color w:val="000000" w:themeColor="text1"/>
                <w:szCs w:val="21"/>
              </w:rPr>
              <w:t>）</w:t>
            </w:r>
          </w:p>
        </w:tc>
        <w:tc>
          <w:tcPr>
            <w:tcW w:w="992" w:type="dxa"/>
            <w:vAlign w:val="center"/>
          </w:tcPr>
          <w:p w:rsidR="00644456" w:rsidRDefault="008031C4">
            <w:pPr>
              <w:adjustRightInd w:val="0"/>
              <w:snapToGrid w:val="0"/>
              <w:spacing w:line="240" w:lineRule="exact"/>
              <w:contextualSpacing/>
              <w:jc w:val="center"/>
              <w:rPr>
                <w:b/>
                <w:color w:val="000000" w:themeColor="text1"/>
                <w:szCs w:val="21"/>
              </w:rPr>
            </w:pPr>
            <w:r>
              <w:rPr>
                <w:rFonts w:hint="eastAsia"/>
                <w:b/>
                <w:color w:val="000000" w:themeColor="text1"/>
                <w:szCs w:val="21"/>
              </w:rPr>
              <w:lastRenderedPageBreak/>
              <w:t>渗透</w:t>
            </w:r>
          </w:p>
          <w:p w:rsidR="00644456" w:rsidRDefault="008031C4">
            <w:pPr>
              <w:adjustRightInd w:val="0"/>
              <w:snapToGrid w:val="0"/>
              <w:spacing w:line="240" w:lineRule="exact"/>
              <w:contextualSpacing/>
              <w:jc w:val="center"/>
              <w:rPr>
                <w:b/>
                <w:color w:val="000000" w:themeColor="text1"/>
                <w:szCs w:val="21"/>
              </w:rPr>
            </w:pPr>
            <w:r>
              <w:rPr>
                <w:rFonts w:hint="eastAsia"/>
                <w:b/>
                <w:color w:val="000000" w:themeColor="text1"/>
                <w:szCs w:val="21"/>
              </w:rPr>
              <w:lastRenderedPageBreak/>
              <w:t>系数（</w:t>
            </w:r>
            <w:r>
              <w:rPr>
                <w:b/>
                <w:color w:val="000000" w:themeColor="text1"/>
                <w:szCs w:val="21"/>
              </w:rPr>
              <w:t>cm/d</w:t>
            </w:r>
            <w:r>
              <w:rPr>
                <w:rFonts w:hint="eastAsia"/>
                <w:b/>
                <w:color w:val="000000" w:themeColor="text1"/>
                <w:szCs w:val="21"/>
              </w:rPr>
              <w:t>）</w:t>
            </w:r>
          </w:p>
        </w:tc>
        <w:tc>
          <w:tcPr>
            <w:tcW w:w="1134" w:type="dxa"/>
            <w:vAlign w:val="center"/>
          </w:tcPr>
          <w:p w:rsidR="00644456" w:rsidRDefault="008031C4">
            <w:pPr>
              <w:adjustRightInd w:val="0"/>
              <w:snapToGrid w:val="0"/>
              <w:spacing w:line="240" w:lineRule="exact"/>
              <w:contextualSpacing/>
              <w:jc w:val="center"/>
              <w:rPr>
                <w:b/>
                <w:color w:val="000000" w:themeColor="text1"/>
                <w:szCs w:val="21"/>
              </w:rPr>
            </w:pPr>
            <w:r>
              <w:rPr>
                <w:rFonts w:hint="eastAsia"/>
                <w:b/>
                <w:color w:val="000000" w:themeColor="text1"/>
                <w:szCs w:val="21"/>
              </w:rPr>
              <w:lastRenderedPageBreak/>
              <w:t>容重</w:t>
            </w:r>
            <w:r>
              <w:rPr>
                <w:rFonts w:hint="eastAsia"/>
                <w:b/>
                <w:color w:val="000000" w:themeColor="text1"/>
                <w:szCs w:val="21"/>
              </w:rPr>
              <w:lastRenderedPageBreak/>
              <w:t>（</w:t>
            </w:r>
            <w:r>
              <w:rPr>
                <w:rFonts w:hint="eastAsia"/>
                <w:b/>
                <w:color w:val="000000" w:themeColor="text1"/>
                <w:szCs w:val="21"/>
              </w:rPr>
              <w:t>g/cm</w:t>
            </w:r>
            <w:r>
              <w:rPr>
                <w:rFonts w:hint="eastAsia"/>
                <w:b/>
                <w:color w:val="000000" w:themeColor="text1"/>
                <w:szCs w:val="21"/>
                <w:vertAlign w:val="superscript"/>
              </w:rPr>
              <w:t>3</w:t>
            </w:r>
            <w:r>
              <w:rPr>
                <w:rFonts w:hint="eastAsia"/>
                <w:b/>
                <w:color w:val="000000" w:themeColor="text1"/>
                <w:szCs w:val="21"/>
              </w:rPr>
              <w:t>）</w:t>
            </w:r>
          </w:p>
        </w:tc>
      </w:tr>
      <w:tr w:rsidR="00644456">
        <w:trPr>
          <w:trHeight w:val="244"/>
        </w:trPr>
        <w:tc>
          <w:tcPr>
            <w:tcW w:w="567" w:type="dxa"/>
            <w:vAlign w:val="center"/>
          </w:tcPr>
          <w:p w:rsidR="00644456" w:rsidRDefault="008031C4">
            <w:pPr>
              <w:adjustRightInd w:val="0"/>
              <w:snapToGrid w:val="0"/>
              <w:spacing w:line="240" w:lineRule="exact"/>
              <w:contextualSpacing/>
              <w:jc w:val="center"/>
              <w:rPr>
                <w:color w:val="000000" w:themeColor="text1"/>
                <w:szCs w:val="21"/>
              </w:rPr>
            </w:pPr>
            <w:r>
              <w:rPr>
                <w:rFonts w:hint="eastAsia"/>
                <w:color w:val="000000" w:themeColor="text1"/>
                <w:szCs w:val="21"/>
              </w:rPr>
              <w:lastRenderedPageBreak/>
              <w:t>1</w:t>
            </w:r>
          </w:p>
        </w:tc>
        <w:tc>
          <w:tcPr>
            <w:tcW w:w="709" w:type="dxa"/>
            <w:vAlign w:val="center"/>
          </w:tcPr>
          <w:p w:rsidR="00644456" w:rsidRDefault="008031C4">
            <w:pPr>
              <w:adjustRightInd w:val="0"/>
              <w:snapToGrid w:val="0"/>
              <w:spacing w:line="240" w:lineRule="exact"/>
              <w:contextualSpacing/>
              <w:jc w:val="center"/>
              <w:rPr>
                <w:color w:val="000000" w:themeColor="text1"/>
                <w:szCs w:val="21"/>
              </w:rPr>
            </w:pPr>
            <w:r>
              <w:rPr>
                <w:rFonts w:hint="eastAsia"/>
                <w:color w:val="000000" w:themeColor="text1"/>
                <w:szCs w:val="21"/>
              </w:rPr>
              <w:t>砂土</w:t>
            </w:r>
          </w:p>
        </w:tc>
        <w:tc>
          <w:tcPr>
            <w:tcW w:w="1276" w:type="dxa"/>
            <w:vAlign w:val="center"/>
          </w:tcPr>
          <w:p w:rsidR="00644456" w:rsidRDefault="008031C4">
            <w:pPr>
              <w:adjustRightInd w:val="0"/>
              <w:snapToGrid w:val="0"/>
              <w:spacing w:line="240" w:lineRule="exact"/>
              <w:contextualSpacing/>
              <w:jc w:val="center"/>
              <w:rPr>
                <w:color w:val="000000" w:themeColor="text1"/>
                <w:szCs w:val="21"/>
              </w:rPr>
            </w:pPr>
            <w:r>
              <w:rPr>
                <w:rFonts w:hint="eastAsia"/>
                <w:color w:val="000000" w:themeColor="text1"/>
                <w:szCs w:val="21"/>
              </w:rPr>
              <w:t>0.07</w:t>
            </w:r>
          </w:p>
        </w:tc>
        <w:tc>
          <w:tcPr>
            <w:tcW w:w="1417" w:type="dxa"/>
            <w:vAlign w:val="center"/>
          </w:tcPr>
          <w:p w:rsidR="00644456" w:rsidRDefault="008031C4">
            <w:pPr>
              <w:adjustRightInd w:val="0"/>
              <w:snapToGrid w:val="0"/>
              <w:spacing w:line="240" w:lineRule="exact"/>
              <w:contextualSpacing/>
              <w:jc w:val="center"/>
              <w:rPr>
                <w:color w:val="000000" w:themeColor="text1"/>
                <w:szCs w:val="21"/>
              </w:rPr>
            </w:pPr>
            <w:r>
              <w:rPr>
                <w:rFonts w:hint="eastAsia"/>
                <w:color w:val="000000" w:themeColor="text1"/>
                <w:szCs w:val="21"/>
              </w:rPr>
              <w:t>0.36</w:t>
            </w:r>
          </w:p>
        </w:tc>
        <w:tc>
          <w:tcPr>
            <w:tcW w:w="1134" w:type="dxa"/>
            <w:vAlign w:val="center"/>
          </w:tcPr>
          <w:p w:rsidR="00644456" w:rsidRDefault="008031C4">
            <w:pPr>
              <w:adjustRightInd w:val="0"/>
              <w:snapToGrid w:val="0"/>
              <w:spacing w:line="240" w:lineRule="exact"/>
              <w:contextualSpacing/>
              <w:jc w:val="center"/>
              <w:rPr>
                <w:color w:val="000000" w:themeColor="text1"/>
                <w:szCs w:val="21"/>
              </w:rPr>
            </w:pPr>
            <w:r>
              <w:rPr>
                <w:rFonts w:hint="eastAsia"/>
                <w:color w:val="000000" w:themeColor="text1"/>
                <w:szCs w:val="21"/>
              </w:rPr>
              <w:t>0.005</w:t>
            </w:r>
          </w:p>
        </w:tc>
        <w:tc>
          <w:tcPr>
            <w:tcW w:w="851" w:type="dxa"/>
            <w:vAlign w:val="center"/>
          </w:tcPr>
          <w:p w:rsidR="00644456" w:rsidRDefault="008031C4">
            <w:pPr>
              <w:adjustRightInd w:val="0"/>
              <w:snapToGrid w:val="0"/>
              <w:spacing w:line="240" w:lineRule="exact"/>
              <w:contextualSpacing/>
              <w:jc w:val="center"/>
              <w:rPr>
                <w:color w:val="000000" w:themeColor="text1"/>
                <w:szCs w:val="21"/>
              </w:rPr>
            </w:pPr>
            <w:r>
              <w:rPr>
                <w:rFonts w:hint="eastAsia"/>
                <w:color w:val="000000" w:themeColor="text1"/>
                <w:szCs w:val="21"/>
              </w:rPr>
              <w:t>1.79</w:t>
            </w:r>
          </w:p>
        </w:tc>
        <w:tc>
          <w:tcPr>
            <w:tcW w:w="992" w:type="dxa"/>
            <w:vAlign w:val="center"/>
          </w:tcPr>
          <w:p w:rsidR="00644456" w:rsidRDefault="008031C4">
            <w:pPr>
              <w:adjustRightInd w:val="0"/>
              <w:snapToGrid w:val="0"/>
              <w:spacing w:line="240" w:lineRule="exact"/>
              <w:contextualSpacing/>
              <w:jc w:val="center"/>
              <w:rPr>
                <w:color w:val="000000" w:themeColor="text1"/>
                <w:szCs w:val="21"/>
              </w:rPr>
            </w:pPr>
            <w:r>
              <w:rPr>
                <w:rFonts w:hint="eastAsia"/>
                <w:color w:val="000000" w:themeColor="text1"/>
                <w:szCs w:val="21"/>
              </w:rPr>
              <w:t>0.2227</w:t>
            </w:r>
          </w:p>
        </w:tc>
        <w:tc>
          <w:tcPr>
            <w:tcW w:w="992" w:type="dxa"/>
            <w:vAlign w:val="center"/>
          </w:tcPr>
          <w:p w:rsidR="00644456" w:rsidRDefault="008031C4">
            <w:pPr>
              <w:adjustRightInd w:val="0"/>
              <w:snapToGrid w:val="0"/>
              <w:spacing w:line="240" w:lineRule="exact"/>
              <w:contextualSpacing/>
              <w:jc w:val="center"/>
              <w:rPr>
                <w:color w:val="000000" w:themeColor="text1"/>
                <w:szCs w:val="21"/>
              </w:rPr>
            </w:pPr>
            <w:r>
              <w:rPr>
                <w:rFonts w:hint="eastAsia"/>
                <w:color w:val="000000" w:themeColor="text1"/>
                <w:szCs w:val="21"/>
              </w:rPr>
              <w:t>0.48</w:t>
            </w:r>
          </w:p>
        </w:tc>
        <w:tc>
          <w:tcPr>
            <w:tcW w:w="1134" w:type="dxa"/>
            <w:vAlign w:val="center"/>
          </w:tcPr>
          <w:p w:rsidR="00644456" w:rsidRDefault="008031C4">
            <w:pPr>
              <w:adjustRightInd w:val="0"/>
              <w:snapToGrid w:val="0"/>
              <w:spacing w:line="240" w:lineRule="exact"/>
              <w:contextualSpacing/>
              <w:jc w:val="center"/>
              <w:rPr>
                <w:color w:val="000000" w:themeColor="text1"/>
                <w:szCs w:val="21"/>
              </w:rPr>
            </w:pPr>
            <w:r>
              <w:rPr>
                <w:rFonts w:hint="eastAsia"/>
                <w:color w:val="000000" w:themeColor="text1"/>
                <w:szCs w:val="21"/>
              </w:rPr>
              <w:t>1.2</w:t>
            </w:r>
          </w:p>
        </w:tc>
      </w:tr>
    </w:tbl>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④预测结果</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预测结果详见下图：</w:t>
      </w:r>
    </w:p>
    <w:p w:rsidR="00644456" w:rsidRDefault="008031C4">
      <w:pPr>
        <w:pStyle w:val="-3"/>
        <w:ind w:firstLineChars="0" w:firstLine="0"/>
        <w:jc w:val="center"/>
        <w:rPr>
          <w:color w:val="000000" w:themeColor="text1"/>
        </w:rPr>
      </w:pPr>
      <w:r>
        <w:rPr>
          <w:noProof/>
          <w:lang w:val="en-US"/>
        </w:rPr>
        <w:drawing>
          <wp:inline distT="0" distB="0" distL="114300" distR="114300" wp14:anchorId="57FBDF6A" wp14:editId="74B6CFC1">
            <wp:extent cx="3503930" cy="2364740"/>
            <wp:effectExtent l="0" t="0" r="1270" b="16510"/>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77"/>
                    <a:stretch>
                      <a:fillRect/>
                    </a:stretch>
                  </pic:blipFill>
                  <pic:spPr>
                    <a:xfrm>
                      <a:off x="0" y="0"/>
                      <a:ext cx="3503930" cy="2364740"/>
                    </a:xfrm>
                    <a:prstGeom prst="rect">
                      <a:avLst/>
                    </a:prstGeom>
                    <a:noFill/>
                    <a:ln>
                      <a:noFill/>
                    </a:ln>
                  </pic:spPr>
                </pic:pic>
              </a:graphicData>
            </a:graphic>
          </wp:inline>
        </w:drawing>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图</w:t>
      </w:r>
      <w:r>
        <w:rPr>
          <w:rFonts w:cs="Times New Roman" w:hint="eastAsia"/>
          <w:b/>
          <w:color w:val="000000" w:themeColor="text1"/>
          <w:sz w:val="24"/>
          <w:szCs w:val="20"/>
        </w:rPr>
        <w:t>5.5-6</w:t>
      </w:r>
      <w:r>
        <w:rPr>
          <w:rFonts w:cs="Times New Roman" w:hint="eastAsia"/>
          <w:b/>
          <w:color w:val="000000" w:themeColor="text1"/>
          <w:sz w:val="24"/>
          <w:szCs w:val="20"/>
        </w:rPr>
        <w:t>不同预测期石油类浓度变化曲线</w:t>
      </w:r>
    </w:p>
    <w:p w:rsidR="00644456" w:rsidRDefault="00644456">
      <w:pPr>
        <w:pStyle w:val="af4"/>
        <w:ind w:firstLine="480"/>
        <w:jc w:val="center"/>
        <w:rPr>
          <w:rFonts w:ascii="Times New Roman" w:eastAsia="宋体" w:hAnsi="Times New Roman" w:cs="Times New Roman"/>
          <w:b/>
          <w:color w:val="000000" w:themeColor="text1"/>
          <w:sz w:val="24"/>
        </w:rPr>
      </w:pPr>
    </w:p>
    <w:p w:rsidR="00644456" w:rsidRDefault="008031C4">
      <w:pPr>
        <w:pStyle w:val="af4"/>
        <w:ind w:firstLine="480"/>
        <w:jc w:val="center"/>
        <w:rPr>
          <w:rFonts w:ascii="Times New Roman" w:eastAsia="宋体" w:hAnsi="Times New Roman" w:cs="Times New Roman"/>
          <w:b/>
          <w:color w:val="000000" w:themeColor="text1"/>
          <w:sz w:val="24"/>
        </w:rPr>
      </w:pPr>
      <w:r>
        <w:rPr>
          <w:noProof/>
        </w:rPr>
        <w:drawing>
          <wp:inline distT="0" distB="0" distL="114300" distR="114300" wp14:anchorId="244D0EAF" wp14:editId="3B3914E2">
            <wp:extent cx="4059555" cy="2499995"/>
            <wp:effectExtent l="0" t="0" r="17145" b="14605"/>
            <wp:docPr id="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pic:cNvPicPr>
                      <a:picLocks noChangeAspect="1"/>
                    </pic:cNvPicPr>
                  </pic:nvPicPr>
                  <pic:blipFill>
                    <a:blip r:embed="rId78"/>
                    <a:stretch>
                      <a:fillRect/>
                    </a:stretch>
                  </pic:blipFill>
                  <pic:spPr>
                    <a:xfrm>
                      <a:off x="0" y="0"/>
                      <a:ext cx="4059555" cy="2499995"/>
                    </a:xfrm>
                    <a:prstGeom prst="rect">
                      <a:avLst/>
                    </a:prstGeom>
                    <a:noFill/>
                    <a:ln>
                      <a:noFill/>
                    </a:ln>
                  </pic:spPr>
                </pic:pic>
              </a:graphicData>
            </a:graphic>
          </wp:inline>
        </w:drawing>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图</w:t>
      </w:r>
      <w:r>
        <w:rPr>
          <w:rFonts w:cs="Times New Roman" w:hint="eastAsia"/>
          <w:b/>
          <w:color w:val="000000" w:themeColor="text1"/>
          <w:sz w:val="24"/>
          <w:szCs w:val="20"/>
        </w:rPr>
        <w:t>5.5-7</w:t>
      </w:r>
      <w:r>
        <w:rPr>
          <w:rFonts w:cs="Times New Roman" w:hint="eastAsia"/>
          <w:b/>
          <w:color w:val="000000" w:themeColor="text1"/>
          <w:sz w:val="24"/>
          <w:szCs w:val="20"/>
        </w:rPr>
        <w:t>不同时间石油类垂直下渗浓度—深度变化关系</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由模型输出结果可知，随着非正常状况泄漏的持续，泄漏点以下包气带石油类以泄漏点为起点逐渐向下部迁移，影响深度逐渐增大，结合预测结果图可知：</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①地面以下</w:t>
      </w:r>
      <w:r>
        <w:rPr>
          <w:rFonts w:cs="Times New Roman" w:hint="eastAsia"/>
          <w:color w:val="000000" w:themeColor="text1"/>
          <w:sz w:val="24"/>
        </w:rPr>
        <w:t>0.1m</w:t>
      </w:r>
      <w:r>
        <w:rPr>
          <w:rFonts w:cs="Times New Roman" w:hint="eastAsia"/>
          <w:color w:val="000000" w:themeColor="text1"/>
          <w:sz w:val="24"/>
        </w:rPr>
        <w:t>位置处石油类的浓度逐渐增大，整个预测期内达到最大值</w:t>
      </w:r>
      <w:r>
        <w:rPr>
          <w:rFonts w:cs="Times New Roman" w:hint="eastAsia"/>
          <w:color w:val="000000" w:themeColor="text1"/>
          <w:sz w:val="24"/>
        </w:rPr>
        <w:t>0.0175mg/cm</w:t>
      </w:r>
      <w:r w:rsidRPr="00DE0F42">
        <w:rPr>
          <w:rFonts w:cs="Times New Roman" w:hint="eastAsia"/>
          <w:color w:val="000000" w:themeColor="text1"/>
          <w:sz w:val="24"/>
          <w:vertAlign w:val="superscript"/>
        </w:rPr>
        <w:t>3</w:t>
      </w:r>
      <w:r w:rsidRPr="00DE0F42">
        <w:rPr>
          <w:rFonts w:cs="Times New Roman" w:hint="eastAsia"/>
          <w:color w:val="000000" w:themeColor="text1"/>
          <w:sz w:val="24"/>
          <w:vertAlign w:val="superscript"/>
        </w:rPr>
        <w:t>（</w:t>
      </w:r>
      <w:r>
        <w:rPr>
          <w:rFonts w:cs="Times New Roman" w:hint="eastAsia"/>
          <w:color w:val="000000" w:themeColor="text1"/>
          <w:sz w:val="24"/>
        </w:rPr>
        <w:t>14.583mg/kg</w:t>
      </w:r>
      <w:r>
        <w:rPr>
          <w:rFonts w:cs="Times New Roman" w:hint="eastAsia"/>
          <w:color w:val="000000" w:themeColor="text1"/>
          <w:sz w:val="24"/>
        </w:rPr>
        <w:t>），未超过《土壤环境质量建设用地土壤污染风险管控标准（试行）》（</w:t>
      </w:r>
      <w:r>
        <w:rPr>
          <w:rFonts w:cs="Times New Roman" w:hint="eastAsia"/>
          <w:color w:val="000000" w:themeColor="text1"/>
          <w:sz w:val="24"/>
        </w:rPr>
        <w:t>GB36600-2018</w:t>
      </w:r>
      <w:r>
        <w:rPr>
          <w:rFonts w:cs="Times New Roman" w:hint="eastAsia"/>
          <w:color w:val="000000" w:themeColor="text1"/>
          <w:sz w:val="24"/>
        </w:rPr>
        <w:t>）。</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②整个预测期内地面以下</w:t>
      </w:r>
      <w:r>
        <w:rPr>
          <w:rFonts w:cs="Times New Roman" w:hint="eastAsia"/>
          <w:color w:val="000000" w:themeColor="text1"/>
          <w:sz w:val="24"/>
        </w:rPr>
        <w:t>1.6m</w:t>
      </w:r>
      <w:r>
        <w:rPr>
          <w:rFonts w:cs="Times New Roman" w:hint="eastAsia"/>
          <w:color w:val="000000" w:themeColor="text1"/>
          <w:sz w:val="24"/>
        </w:rPr>
        <w:t>至模型底部石油类的浓度为</w:t>
      </w:r>
      <w:r>
        <w:rPr>
          <w:rFonts w:cs="Times New Roman" w:hint="eastAsia"/>
          <w:color w:val="000000" w:themeColor="text1"/>
          <w:sz w:val="24"/>
        </w:rPr>
        <w:t>0</w:t>
      </w:r>
      <w:r>
        <w:rPr>
          <w:rFonts w:cs="Times New Roman" w:hint="eastAsia"/>
          <w:color w:val="000000" w:themeColor="text1"/>
          <w:sz w:val="24"/>
        </w:rPr>
        <w:t>。</w:t>
      </w:r>
    </w:p>
    <w:p w:rsidR="00644456" w:rsidRDefault="008031C4">
      <w:pPr>
        <w:pStyle w:val="3"/>
        <w:numPr>
          <w:ilvl w:val="2"/>
          <w:numId w:val="0"/>
        </w:numPr>
        <w:ind w:firstLineChars="200" w:firstLine="482"/>
      </w:pPr>
      <w:bookmarkStart w:id="330" w:name="_Toc29289046"/>
      <w:r>
        <w:rPr>
          <w:rFonts w:hint="eastAsia"/>
        </w:rPr>
        <w:lastRenderedPageBreak/>
        <w:t>5.5.6</w:t>
      </w:r>
      <w:r>
        <w:rPr>
          <w:rFonts w:hint="eastAsia"/>
        </w:rPr>
        <w:t>土壤环境保护措施与对策</w:t>
      </w:r>
      <w:bookmarkEnd w:id="330"/>
    </w:p>
    <w:p w:rsidR="00644456" w:rsidRDefault="008031C4">
      <w:pPr>
        <w:spacing w:line="360" w:lineRule="auto"/>
        <w:ind w:firstLineChars="200" w:firstLine="482"/>
        <w:contextualSpacing/>
        <w:rPr>
          <w:rFonts w:cs="Times New Roman"/>
          <w:b/>
          <w:bCs/>
          <w:color w:val="000000" w:themeColor="text1"/>
          <w:sz w:val="24"/>
          <w:szCs w:val="20"/>
        </w:rPr>
      </w:pPr>
      <w:r>
        <w:rPr>
          <w:rFonts w:cs="Times New Roman"/>
          <w:b/>
          <w:bCs/>
          <w:color w:val="000000" w:themeColor="text1"/>
          <w:sz w:val="24"/>
          <w:szCs w:val="20"/>
        </w:rPr>
        <w:t>1</w:t>
      </w:r>
      <w:r>
        <w:rPr>
          <w:rFonts w:cs="Times New Roman"/>
          <w:b/>
          <w:bCs/>
          <w:color w:val="000000" w:themeColor="text1"/>
          <w:sz w:val="24"/>
          <w:szCs w:val="20"/>
        </w:rPr>
        <w:t>、源头控制措施</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rsidR="00644456" w:rsidRDefault="008031C4">
      <w:pPr>
        <w:spacing w:line="360" w:lineRule="auto"/>
        <w:ind w:firstLineChars="200" w:firstLine="480"/>
        <w:textAlignment w:val="baseline"/>
        <w:rPr>
          <w:rFonts w:cs="Times New Roman"/>
          <w:color w:val="000000" w:themeColor="text1"/>
          <w:sz w:val="24"/>
        </w:rPr>
      </w:pPr>
      <w:r>
        <w:rPr>
          <w:rFonts w:cs="Times New Roman" w:hint="eastAsia"/>
          <w:color w:val="000000" w:themeColor="text1"/>
          <w:sz w:val="24"/>
        </w:rPr>
        <w:t>控制项目污染物的排放。大力推广闭路循环、清洁工艺，以减少污染物；控制污染物排放的数量和浓度，使之符合排放标准和总量控制要求。</w:t>
      </w:r>
    </w:p>
    <w:p w:rsidR="00644456" w:rsidRDefault="008031C4">
      <w:pPr>
        <w:spacing w:line="360" w:lineRule="auto"/>
        <w:ind w:firstLineChars="200" w:firstLine="482"/>
        <w:contextualSpacing/>
        <w:rPr>
          <w:rFonts w:cs="Times New Roman"/>
          <w:b/>
          <w:bCs/>
          <w:color w:val="000000" w:themeColor="text1"/>
          <w:sz w:val="24"/>
          <w:szCs w:val="20"/>
        </w:rPr>
      </w:pPr>
      <w:r>
        <w:rPr>
          <w:rFonts w:cs="Times New Roman"/>
          <w:b/>
          <w:bCs/>
          <w:color w:val="000000" w:themeColor="text1"/>
          <w:sz w:val="24"/>
          <w:szCs w:val="20"/>
        </w:rPr>
        <w:t>2</w:t>
      </w:r>
      <w:r>
        <w:rPr>
          <w:rFonts w:cs="Times New Roman"/>
          <w:b/>
          <w:bCs/>
          <w:color w:val="000000" w:themeColor="text1"/>
          <w:sz w:val="24"/>
          <w:szCs w:val="20"/>
        </w:rPr>
        <w:t>、过程控制措施</w:t>
      </w:r>
    </w:p>
    <w:p w:rsidR="00644456" w:rsidRDefault="008031C4">
      <w:pPr>
        <w:spacing w:line="360" w:lineRule="auto"/>
        <w:ind w:firstLineChars="200" w:firstLine="480"/>
        <w:textAlignment w:val="baseline"/>
        <w:rPr>
          <w:color w:val="000000" w:themeColor="text1"/>
          <w:sz w:val="24"/>
          <w:szCs w:val="24"/>
        </w:rPr>
      </w:pPr>
      <w:r>
        <w:rPr>
          <w:rFonts w:hint="eastAsia"/>
          <w:color w:val="000000" w:themeColor="text1"/>
          <w:sz w:val="24"/>
          <w:szCs w:val="24"/>
        </w:rPr>
        <w:t>本项目污染物质可以通过多种途径进入土壤，主要类型有以下三种：</w:t>
      </w:r>
    </w:p>
    <w:p w:rsidR="00644456" w:rsidRDefault="008031C4">
      <w:pPr>
        <w:spacing w:line="360" w:lineRule="auto"/>
        <w:ind w:firstLineChars="200" w:firstLine="480"/>
        <w:textAlignment w:val="baseline"/>
        <w:rPr>
          <w:color w:val="000000" w:themeColor="text1"/>
          <w:sz w:val="24"/>
          <w:szCs w:val="24"/>
        </w:rPr>
      </w:pPr>
      <w:r>
        <w:rPr>
          <w:rFonts w:hint="eastAsia"/>
          <w:color w:val="000000" w:themeColor="text1"/>
          <w:sz w:val="24"/>
          <w:szCs w:val="24"/>
        </w:rPr>
        <w:t>（</w:t>
      </w:r>
      <w:r>
        <w:rPr>
          <w:rFonts w:hint="eastAsia"/>
          <w:color w:val="000000" w:themeColor="text1"/>
          <w:sz w:val="24"/>
          <w:szCs w:val="24"/>
        </w:rPr>
        <w:t>1</w:t>
      </w:r>
      <w:r>
        <w:rPr>
          <w:rFonts w:hint="eastAsia"/>
          <w:color w:val="000000" w:themeColor="text1"/>
          <w:sz w:val="24"/>
          <w:szCs w:val="24"/>
        </w:rPr>
        <w:t>）大气污染型：污染物质来源于被污染的大气，污染物质主要集中在土壤表层，其主要污染物是大气中的二氧化硫、氮氧化物等，污染物降落到地表可引起土壤酸化，破坏土壤肥力与生态系统的平衡。</w:t>
      </w:r>
    </w:p>
    <w:p w:rsidR="00644456" w:rsidRDefault="008031C4">
      <w:pPr>
        <w:spacing w:line="360" w:lineRule="auto"/>
        <w:ind w:firstLineChars="200" w:firstLine="480"/>
        <w:textAlignment w:val="baseline"/>
        <w:rPr>
          <w:color w:val="000000" w:themeColor="text1"/>
          <w:sz w:val="24"/>
          <w:szCs w:val="24"/>
        </w:rPr>
      </w:pPr>
      <w:r>
        <w:rPr>
          <w:rFonts w:hint="eastAsia"/>
          <w:color w:val="000000" w:themeColor="text1"/>
          <w:sz w:val="24"/>
          <w:szCs w:val="24"/>
        </w:rPr>
        <w:t>（</w:t>
      </w:r>
      <w:r>
        <w:rPr>
          <w:rFonts w:hint="eastAsia"/>
          <w:color w:val="000000" w:themeColor="text1"/>
          <w:sz w:val="24"/>
          <w:szCs w:val="24"/>
        </w:rPr>
        <w:t>2</w:t>
      </w:r>
      <w:r>
        <w:rPr>
          <w:rFonts w:hint="eastAsia"/>
          <w:color w:val="000000" w:themeColor="text1"/>
          <w:sz w:val="24"/>
          <w:szCs w:val="24"/>
        </w:rPr>
        <w:t>）水污染型：事故状态下废水等未经处理直接排放，或储罐发生泄漏，致使土壤受到污染。</w:t>
      </w:r>
    </w:p>
    <w:p w:rsidR="00644456" w:rsidRDefault="008031C4">
      <w:pPr>
        <w:spacing w:line="360" w:lineRule="auto"/>
        <w:ind w:firstLineChars="200" w:firstLine="480"/>
        <w:textAlignment w:val="baseline"/>
        <w:rPr>
          <w:color w:val="000000" w:themeColor="text1"/>
          <w:sz w:val="24"/>
          <w:szCs w:val="24"/>
        </w:rPr>
      </w:pPr>
      <w:r>
        <w:rPr>
          <w:rFonts w:hint="eastAsia"/>
          <w:color w:val="000000" w:themeColor="text1"/>
          <w:sz w:val="24"/>
          <w:szCs w:val="24"/>
        </w:rPr>
        <w:t>（</w:t>
      </w:r>
      <w:r>
        <w:rPr>
          <w:rFonts w:hint="eastAsia"/>
          <w:color w:val="000000" w:themeColor="text1"/>
          <w:sz w:val="24"/>
          <w:szCs w:val="24"/>
        </w:rPr>
        <w:t>3</w:t>
      </w:r>
      <w:r>
        <w:rPr>
          <w:rFonts w:hint="eastAsia"/>
          <w:color w:val="000000" w:themeColor="text1"/>
          <w:sz w:val="24"/>
          <w:szCs w:val="24"/>
        </w:rPr>
        <w:t>）固体废物污染型：项目产生的一般固废及危险废物等在运输、贮存或堆放过程中通过扩散、降水淋滤等直接或间接地影响土壤。</w:t>
      </w:r>
    </w:p>
    <w:p w:rsidR="00644456" w:rsidRDefault="008031C4">
      <w:pPr>
        <w:spacing w:line="360" w:lineRule="auto"/>
        <w:ind w:firstLineChars="200" w:firstLine="480"/>
        <w:textAlignment w:val="baseline"/>
        <w:rPr>
          <w:color w:val="000000" w:themeColor="text1"/>
          <w:sz w:val="24"/>
          <w:szCs w:val="24"/>
        </w:rPr>
      </w:pPr>
      <w:r>
        <w:rPr>
          <w:rFonts w:hint="eastAsia"/>
          <w:color w:val="000000" w:themeColor="text1"/>
          <w:sz w:val="24"/>
          <w:szCs w:val="24"/>
        </w:rPr>
        <w:t>针对以上污染，采取以下措施：</w:t>
      </w:r>
    </w:p>
    <w:p w:rsidR="00644456" w:rsidRDefault="008031C4">
      <w:pPr>
        <w:spacing w:line="360" w:lineRule="auto"/>
        <w:ind w:firstLineChars="200" w:firstLine="480"/>
        <w:textAlignment w:val="baseline"/>
        <w:rPr>
          <w:color w:val="000000" w:themeColor="text1"/>
          <w:sz w:val="24"/>
          <w:szCs w:val="24"/>
        </w:rPr>
      </w:pPr>
      <w:r>
        <w:rPr>
          <w:rFonts w:hint="eastAsia"/>
          <w:color w:val="000000" w:themeColor="text1"/>
          <w:sz w:val="24"/>
          <w:szCs w:val="24"/>
        </w:rPr>
        <w:t>（</w:t>
      </w:r>
      <w:r>
        <w:rPr>
          <w:rFonts w:hint="eastAsia"/>
          <w:color w:val="000000" w:themeColor="text1"/>
          <w:sz w:val="24"/>
          <w:szCs w:val="24"/>
        </w:rPr>
        <w:t>1</w:t>
      </w:r>
      <w:r>
        <w:rPr>
          <w:rFonts w:hint="eastAsia"/>
          <w:color w:val="000000" w:themeColor="text1"/>
          <w:sz w:val="24"/>
          <w:szCs w:val="24"/>
        </w:rPr>
        <w:t>）项目厂区内种植约</w:t>
      </w:r>
      <w:r>
        <w:rPr>
          <w:rFonts w:hint="eastAsia"/>
          <w:color w:val="000000" w:themeColor="text1"/>
          <w:sz w:val="24"/>
          <w:szCs w:val="24"/>
        </w:rPr>
        <w:t>2000m</w:t>
      </w:r>
      <w:r>
        <w:rPr>
          <w:rFonts w:hint="eastAsia"/>
          <w:color w:val="000000" w:themeColor="text1"/>
          <w:sz w:val="24"/>
          <w:szCs w:val="24"/>
          <w:vertAlign w:val="superscript"/>
        </w:rPr>
        <w:t>2</w:t>
      </w:r>
      <w:r>
        <w:rPr>
          <w:rFonts w:hint="eastAsia"/>
          <w:color w:val="000000" w:themeColor="text1"/>
          <w:sz w:val="24"/>
          <w:szCs w:val="24"/>
        </w:rPr>
        <w:t>绿化，绿化树种具有较强的吸附能力，从而控制污染物通过大气沉降影响土壤环境。</w:t>
      </w:r>
    </w:p>
    <w:p w:rsidR="00644456" w:rsidRDefault="008031C4">
      <w:pPr>
        <w:spacing w:line="360" w:lineRule="auto"/>
        <w:ind w:firstLineChars="200" w:firstLine="480"/>
        <w:textAlignment w:val="baseline"/>
        <w:rPr>
          <w:color w:val="000000" w:themeColor="text1"/>
          <w:sz w:val="24"/>
          <w:szCs w:val="24"/>
        </w:rPr>
      </w:pPr>
      <w:r>
        <w:rPr>
          <w:rFonts w:hint="eastAsia"/>
          <w:color w:val="000000" w:themeColor="text1"/>
          <w:sz w:val="24"/>
          <w:szCs w:val="24"/>
        </w:rPr>
        <w:t>（</w:t>
      </w:r>
      <w:r>
        <w:rPr>
          <w:rFonts w:hint="eastAsia"/>
          <w:color w:val="000000" w:themeColor="text1"/>
          <w:sz w:val="24"/>
          <w:szCs w:val="24"/>
        </w:rPr>
        <w:t>2</w:t>
      </w:r>
      <w:r>
        <w:rPr>
          <w:rFonts w:hint="eastAsia"/>
          <w:color w:val="000000" w:themeColor="text1"/>
          <w:sz w:val="24"/>
          <w:szCs w:val="24"/>
        </w:rPr>
        <w:t>）项目根据各单元的工程特性设置了废气处理设施等收集、处理措施，处理后的废气经排气筒达标排放。</w:t>
      </w:r>
    </w:p>
    <w:p w:rsidR="00644456" w:rsidRDefault="008031C4">
      <w:pPr>
        <w:spacing w:line="360" w:lineRule="auto"/>
        <w:ind w:firstLineChars="200" w:firstLine="480"/>
        <w:textAlignment w:val="baseline"/>
        <w:rPr>
          <w:color w:val="000000" w:themeColor="text1"/>
          <w:sz w:val="24"/>
          <w:szCs w:val="24"/>
        </w:rPr>
      </w:pPr>
      <w:r>
        <w:rPr>
          <w:rFonts w:hint="eastAsia"/>
          <w:color w:val="000000" w:themeColor="text1"/>
          <w:sz w:val="24"/>
          <w:szCs w:val="24"/>
        </w:rPr>
        <w:t>（</w:t>
      </w:r>
      <w:r>
        <w:rPr>
          <w:color w:val="000000" w:themeColor="text1"/>
          <w:sz w:val="24"/>
          <w:szCs w:val="24"/>
        </w:rPr>
        <w:t>3</w:t>
      </w:r>
      <w:r>
        <w:rPr>
          <w:rFonts w:hint="eastAsia"/>
          <w:color w:val="000000" w:themeColor="text1"/>
          <w:sz w:val="24"/>
          <w:szCs w:val="24"/>
        </w:rPr>
        <w:t>）本项目严格按照防渗分区及防渗要求，对各构筑物采取了相应的防渗措施；装置等存在土壤污染风险的设施，应当按照国家有关标准和规范的要求，设计、建设和安装有关防腐蚀、防泄漏设施和泄漏监测装置，从而控制污染物通过垂直入渗途径响土壤环境。</w:t>
      </w:r>
    </w:p>
    <w:p w:rsidR="00644456" w:rsidRDefault="008031C4">
      <w:pPr>
        <w:spacing w:line="360" w:lineRule="auto"/>
        <w:ind w:firstLineChars="200" w:firstLine="480"/>
        <w:textAlignment w:val="baseline"/>
        <w:rPr>
          <w:color w:val="000000" w:themeColor="text1"/>
          <w:sz w:val="24"/>
          <w:szCs w:val="24"/>
        </w:rPr>
      </w:pPr>
      <w:r>
        <w:rPr>
          <w:rFonts w:hint="eastAsia"/>
          <w:color w:val="000000" w:themeColor="text1"/>
          <w:sz w:val="24"/>
          <w:szCs w:val="24"/>
        </w:rPr>
        <w:t>（</w:t>
      </w:r>
      <w:r>
        <w:rPr>
          <w:rFonts w:hint="eastAsia"/>
          <w:color w:val="000000" w:themeColor="text1"/>
          <w:sz w:val="24"/>
          <w:szCs w:val="24"/>
        </w:rPr>
        <w:t>5</w:t>
      </w:r>
      <w:r>
        <w:rPr>
          <w:rFonts w:hint="eastAsia"/>
          <w:color w:val="000000" w:themeColor="text1"/>
          <w:sz w:val="24"/>
          <w:szCs w:val="24"/>
        </w:rPr>
        <w:t>）建立土壤污染隐患排查治理制度，定期对重点区域、重点设施开展隐患排查。发现污染隐患的，应当制定整改方案，及时采取技术、管理措施消除隐患。隐患排查、治理情况应当如实记录并建立档案。</w:t>
      </w:r>
    </w:p>
    <w:p w:rsidR="00644456" w:rsidRDefault="008031C4">
      <w:pPr>
        <w:spacing w:line="360" w:lineRule="auto"/>
        <w:ind w:firstLineChars="200" w:firstLine="480"/>
        <w:rPr>
          <w:color w:val="000000" w:themeColor="text1"/>
          <w:sz w:val="24"/>
          <w:szCs w:val="24"/>
        </w:rPr>
      </w:pPr>
      <w:r>
        <w:rPr>
          <w:rFonts w:hint="eastAsia"/>
          <w:color w:val="000000" w:themeColor="text1"/>
          <w:sz w:val="24"/>
          <w:szCs w:val="24"/>
        </w:rPr>
        <w:t>（</w:t>
      </w:r>
      <w:r>
        <w:rPr>
          <w:rFonts w:hint="eastAsia"/>
          <w:color w:val="000000" w:themeColor="text1"/>
          <w:sz w:val="24"/>
          <w:szCs w:val="24"/>
        </w:rPr>
        <w:t>6</w:t>
      </w:r>
      <w:r>
        <w:rPr>
          <w:rFonts w:hint="eastAsia"/>
          <w:color w:val="000000" w:themeColor="text1"/>
          <w:sz w:val="24"/>
          <w:szCs w:val="24"/>
        </w:rPr>
        <w:t>）按照相关技术规范要求，自行或者委托第三方定期开展土壤监测，重点监测</w:t>
      </w:r>
      <w:r>
        <w:rPr>
          <w:rFonts w:hint="eastAsia"/>
          <w:color w:val="000000" w:themeColor="text1"/>
          <w:sz w:val="24"/>
          <w:szCs w:val="24"/>
        </w:rPr>
        <w:lastRenderedPageBreak/>
        <w:t>存在污染隐患的区域和设施周边的土壤，并按照规定公开相关信息。</w:t>
      </w:r>
    </w:p>
    <w:p w:rsidR="00644456" w:rsidRDefault="008031C4">
      <w:pPr>
        <w:spacing w:line="360" w:lineRule="auto"/>
        <w:ind w:firstLineChars="200" w:firstLine="480"/>
        <w:rPr>
          <w:color w:val="000000" w:themeColor="text1"/>
          <w:sz w:val="24"/>
          <w:szCs w:val="24"/>
        </w:rPr>
      </w:pPr>
      <w:r>
        <w:rPr>
          <w:rFonts w:hint="eastAsia"/>
          <w:color w:val="000000" w:themeColor="text1"/>
          <w:sz w:val="24"/>
          <w:szCs w:val="24"/>
        </w:rPr>
        <w:t>（</w:t>
      </w:r>
      <w:r>
        <w:rPr>
          <w:rFonts w:hint="eastAsia"/>
          <w:color w:val="000000" w:themeColor="text1"/>
          <w:sz w:val="24"/>
          <w:szCs w:val="24"/>
        </w:rPr>
        <w:t>7</w:t>
      </w:r>
      <w:r>
        <w:rPr>
          <w:rFonts w:hint="eastAsia"/>
          <w:color w:val="000000" w:themeColor="text1"/>
          <w:sz w:val="24"/>
          <w:szCs w:val="24"/>
        </w:rPr>
        <w:t>）在隐患排查、监测等活动中发现项目用地土壤存在污染迹象的，应当排查污染源，查明污染原因，采取措施防止新增污染，并参照污染地块土壤环境管理有关规定及时开展土壤环境调查与风险评估，根据调查与风险评估结果采取风险管控或者治理与修复等措施。</w:t>
      </w:r>
    </w:p>
    <w:p w:rsidR="00644456" w:rsidRDefault="008031C4">
      <w:pPr>
        <w:pStyle w:val="3"/>
        <w:numPr>
          <w:ilvl w:val="2"/>
          <w:numId w:val="0"/>
        </w:numPr>
        <w:ind w:firstLineChars="200" w:firstLine="482"/>
      </w:pPr>
      <w:bookmarkStart w:id="331" w:name="_Toc29289047"/>
      <w:r>
        <w:rPr>
          <w:rFonts w:hint="eastAsia"/>
        </w:rPr>
        <w:t>5.5.7</w:t>
      </w:r>
      <w:r>
        <w:rPr>
          <w:rFonts w:hint="eastAsia"/>
        </w:rPr>
        <w:t>土壤环境影响预测结论</w:t>
      </w:r>
      <w:bookmarkEnd w:id="331"/>
    </w:p>
    <w:p w:rsidR="00644456" w:rsidRDefault="008031C4">
      <w:pPr>
        <w:spacing w:line="360" w:lineRule="auto"/>
        <w:ind w:firstLineChars="200" w:firstLine="480"/>
        <w:contextualSpacing/>
        <w:rPr>
          <w:rFonts w:cs="Times New Roman"/>
          <w:color w:val="000000" w:themeColor="text1"/>
          <w:sz w:val="24"/>
          <w:szCs w:val="20"/>
        </w:rPr>
      </w:pPr>
      <w:r>
        <w:rPr>
          <w:rFonts w:cs="Times New Roman"/>
          <w:color w:val="000000" w:themeColor="text1"/>
          <w:sz w:val="24"/>
          <w:szCs w:val="20"/>
        </w:rPr>
        <w:t>针对各类污染物采取了对应的污染治理措施，同时采取地面硬化和分区防渗措施，可确保污染物达标排放及防止渗漏发生，从源头上控制项目对区域土壤环境的污染源强，确保项目对区域土壤环境的影响处于可接受水平。因此，只要企业严格落实报告提出的污染防治措施和防渗措施，项目对区域土壤环境的影响是可接受的。</w:t>
      </w:r>
    </w:p>
    <w:p w:rsidR="00644456" w:rsidRDefault="008031C4">
      <w:pPr>
        <w:pStyle w:val="20"/>
        <w:numPr>
          <w:ilvl w:val="1"/>
          <w:numId w:val="0"/>
        </w:numPr>
        <w:snapToGrid w:val="0"/>
        <w:spacing w:beforeLines="0" w:before="0" w:afterLines="0" w:after="0"/>
        <w:ind w:firstLine="600"/>
        <w:rPr>
          <w:rFonts w:cs="Times New Roman"/>
          <w:color w:val="000000" w:themeColor="text1"/>
          <w:sz w:val="30"/>
        </w:rPr>
      </w:pPr>
      <w:bookmarkStart w:id="332" w:name="_Toc177216892"/>
      <w:bookmarkStart w:id="333" w:name="_Toc155789384"/>
      <w:bookmarkEnd w:id="329"/>
      <w:r>
        <w:rPr>
          <w:rFonts w:cs="Times New Roman" w:hint="eastAsia"/>
          <w:color w:val="000000" w:themeColor="text1"/>
          <w:sz w:val="30"/>
        </w:rPr>
        <w:t>5.6</w:t>
      </w:r>
      <w:r>
        <w:rPr>
          <w:rFonts w:cs="Times New Roman"/>
          <w:color w:val="000000" w:themeColor="text1"/>
          <w:sz w:val="30"/>
        </w:rPr>
        <w:t>生态环境影响评价</w:t>
      </w:r>
      <w:bookmarkEnd w:id="332"/>
      <w:bookmarkEnd w:id="333"/>
    </w:p>
    <w:p w:rsidR="00644456" w:rsidRDefault="008031C4">
      <w:pPr>
        <w:pStyle w:val="af"/>
        <w:spacing w:after="0" w:line="360" w:lineRule="auto"/>
        <w:ind w:firstLine="482"/>
        <w:rPr>
          <w:snapToGrid w:val="0"/>
          <w:color w:val="000000" w:themeColor="text1"/>
          <w:sz w:val="24"/>
        </w:rPr>
      </w:pPr>
      <w:bookmarkStart w:id="334" w:name="_Toc27124"/>
      <w:bookmarkStart w:id="335" w:name="_Toc32760"/>
      <w:bookmarkStart w:id="336" w:name="_Toc25661"/>
      <w:bookmarkStart w:id="337" w:name="_Toc6279"/>
      <w:bookmarkStart w:id="338" w:name="_Toc155789385"/>
      <w:r>
        <w:rPr>
          <w:rFonts w:hint="eastAsia"/>
          <w:snapToGrid w:val="0"/>
          <w:color w:val="000000" w:themeColor="text1"/>
          <w:sz w:val="24"/>
        </w:rPr>
        <w:t>1</w:t>
      </w:r>
      <w:r>
        <w:rPr>
          <w:rFonts w:hint="eastAsia"/>
          <w:snapToGrid w:val="0"/>
          <w:color w:val="000000" w:themeColor="text1"/>
          <w:sz w:val="24"/>
        </w:rPr>
        <w:t>、评价等级</w:t>
      </w:r>
      <w:bookmarkEnd w:id="334"/>
      <w:bookmarkEnd w:id="335"/>
      <w:bookmarkEnd w:id="336"/>
      <w:bookmarkEnd w:id="337"/>
    </w:p>
    <w:p w:rsidR="00644456" w:rsidRDefault="008031C4">
      <w:pPr>
        <w:pStyle w:val="af"/>
        <w:spacing w:after="0" w:line="360" w:lineRule="auto"/>
        <w:ind w:firstLine="482"/>
        <w:rPr>
          <w:snapToGrid w:val="0"/>
          <w:color w:val="000000" w:themeColor="text1"/>
          <w:sz w:val="24"/>
        </w:rPr>
      </w:pPr>
      <w:r>
        <w:rPr>
          <w:rFonts w:hint="eastAsia"/>
          <w:snapToGrid w:val="0"/>
          <w:color w:val="000000" w:themeColor="text1"/>
          <w:sz w:val="24"/>
        </w:rPr>
        <w:t>根据《环境影响评价技术导则生态影响》</w:t>
      </w:r>
      <w:r>
        <w:rPr>
          <w:rFonts w:hint="eastAsia"/>
          <w:snapToGrid w:val="0"/>
          <w:color w:val="000000" w:themeColor="text1"/>
          <w:sz w:val="24"/>
        </w:rPr>
        <w:t>(HJ19-2022)</w:t>
      </w:r>
      <w:r>
        <w:rPr>
          <w:rFonts w:hint="eastAsia"/>
          <w:snapToGrid w:val="0"/>
          <w:color w:val="000000" w:themeColor="text1"/>
          <w:sz w:val="24"/>
        </w:rPr>
        <w:t>中“</w:t>
      </w:r>
      <w:r>
        <w:rPr>
          <w:rFonts w:hint="eastAsia"/>
          <w:snapToGrid w:val="0"/>
          <w:color w:val="000000" w:themeColor="text1"/>
          <w:sz w:val="24"/>
        </w:rPr>
        <w:t xml:space="preserve">6.1.8 </w:t>
      </w:r>
      <w:r>
        <w:rPr>
          <w:rFonts w:hint="eastAsia"/>
          <w:snapToGrid w:val="0"/>
          <w:color w:val="000000" w:themeColor="text1"/>
          <w:sz w:val="24"/>
        </w:rPr>
        <w:t>符合生态环境分区管控要求且位于原厂界（或永久用地）范围内的污染影响类项目，位于已批准规划环评的产业园区内且符合规划环评要求、不涉及生态敏感区的污染影响类建设项目，可不确定评价等级，直接进行生态影响简单分析。</w:t>
      </w:r>
    </w:p>
    <w:p w:rsidR="00644456" w:rsidRDefault="008031C4">
      <w:pPr>
        <w:pStyle w:val="af"/>
        <w:spacing w:after="0" w:line="360" w:lineRule="auto"/>
        <w:ind w:firstLine="482"/>
        <w:rPr>
          <w:snapToGrid w:val="0"/>
          <w:color w:val="000000" w:themeColor="text1"/>
          <w:sz w:val="24"/>
        </w:rPr>
      </w:pPr>
      <w:bookmarkStart w:id="339" w:name="_Toc14787"/>
      <w:bookmarkStart w:id="340" w:name="_Toc7543"/>
      <w:bookmarkStart w:id="341" w:name="_Toc30671"/>
      <w:bookmarkStart w:id="342" w:name="_Toc19686"/>
      <w:r>
        <w:rPr>
          <w:rFonts w:hint="eastAsia"/>
          <w:snapToGrid w:val="0"/>
          <w:color w:val="000000" w:themeColor="text1"/>
          <w:sz w:val="24"/>
        </w:rPr>
        <w:t>2</w:t>
      </w:r>
      <w:r>
        <w:rPr>
          <w:rFonts w:hint="eastAsia"/>
          <w:snapToGrid w:val="0"/>
          <w:color w:val="000000" w:themeColor="text1"/>
          <w:sz w:val="24"/>
        </w:rPr>
        <w:t>、评价范围</w:t>
      </w:r>
      <w:bookmarkEnd w:id="339"/>
      <w:bookmarkEnd w:id="340"/>
      <w:bookmarkEnd w:id="341"/>
      <w:bookmarkEnd w:id="342"/>
    </w:p>
    <w:p w:rsidR="00644456" w:rsidRDefault="008031C4">
      <w:pPr>
        <w:pStyle w:val="af"/>
        <w:spacing w:after="0" w:line="360" w:lineRule="auto"/>
        <w:ind w:firstLine="482"/>
        <w:rPr>
          <w:snapToGrid w:val="0"/>
          <w:color w:val="000000" w:themeColor="text1"/>
          <w:sz w:val="24"/>
        </w:rPr>
      </w:pPr>
      <w:r>
        <w:rPr>
          <w:rFonts w:hint="eastAsia"/>
          <w:snapToGrid w:val="0"/>
          <w:color w:val="000000" w:themeColor="text1"/>
          <w:sz w:val="24"/>
        </w:rPr>
        <w:t>根据《环境影响评价技术导则生态环境》（</w:t>
      </w:r>
      <w:r>
        <w:rPr>
          <w:rFonts w:hint="eastAsia"/>
          <w:snapToGrid w:val="0"/>
          <w:color w:val="000000" w:themeColor="text1"/>
          <w:sz w:val="24"/>
        </w:rPr>
        <w:t>HJ19-2022</w:t>
      </w:r>
      <w:r>
        <w:rPr>
          <w:rFonts w:hint="eastAsia"/>
          <w:snapToGrid w:val="0"/>
          <w:color w:val="000000" w:themeColor="text1"/>
          <w:sz w:val="24"/>
        </w:rPr>
        <w:t>）：</w:t>
      </w:r>
      <w:r>
        <w:rPr>
          <w:rFonts w:hint="eastAsia"/>
          <w:snapToGrid w:val="0"/>
          <w:color w:val="000000" w:themeColor="text1"/>
          <w:sz w:val="24"/>
        </w:rPr>
        <w:t>6.2.8</w:t>
      </w:r>
      <w:r>
        <w:rPr>
          <w:rFonts w:hint="eastAsia"/>
          <w:snapToGrid w:val="0"/>
          <w:color w:val="000000" w:themeColor="text1"/>
          <w:sz w:val="24"/>
        </w:rPr>
        <w:t>污染影响类建设项目评价范围应涵盖直接占用区域以及污染物排放产生的间接生态影响区域。</w:t>
      </w:r>
    </w:p>
    <w:p w:rsidR="00644456" w:rsidRDefault="008031C4">
      <w:pPr>
        <w:pStyle w:val="af"/>
        <w:spacing w:after="0" w:line="360" w:lineRule="auto"/>
        <w:ind w:firstLine="482"/>
        <w:rPr>
          <w:snapToGrid w:val="0"/>
          <w:color w:val="000000" w:themeColor="text1"/>
          <w:sz w:val="24"/>
        </w:rPr>
      </w:pPr>
      <w:r>
        <w:rPr>
          <w:rFonts w:hint="eastAsia"/>
          <w:snapToGrid w:val="0"/>
          <w:color w:val="000000" w:themeColor="text1"/>
          <w:sz w:val="24"/>
        </w:rPr>
        <w:t>本项目评价范围为项目占地范围。</w:t>
      </w:r>
    </w:p>
    <w:p w:rsidR="00644456" w:rsidRDefault="008031C4">
      <w:pPr>
        <w:pStyle w:val="af"/>
        <w:spacing w:after="0" w:line="360" w:lineRule="auto"/>
        <w:ind w:firstLine="482"/>
        <w:rPr>
          <w:snapToGrid w:val="0"/>
          <w:color w:val="000000" w:themeColor="text1"/>
          <w:sz w:val="24"/>
        </w:rPr>
      </w:pPr>
      <w:bookmarkStart w:id="343" w:name="_Toc13473"/>
      <w:bookmarkStart w:id="344" w:name="_Toc23502"/>
      <w:bookmarkStart w:id="345" w:name="_Toc10766"/>
      <w:bookmarkStart w:id="346" w:name="_Toc9710"/>
      <w:r>
        <w:rPr>
          <w:rFonts w:hint="eastAsia"/>
          <w:snapToGrid w:val="0"/>
          <w:color w:val="000000" w:themeColor="text1"/>
          <w:sz w:val="24"/>
        </w:rPr>
        <w:t>3</w:t>
      </w:r>
      <w:r>
        <w:rPr>
          <w:rFonts w:hint="eastAsia"/>
          <w:snapToGrid w:val="0"/>
          <w:color w:val="000000" w:themeColor="text1"/>
          <w:sz w:val="24"/>
        </w:rPr>
        <w:t>、对土地利用影响分析</w:t>
      </w:r>
      <w:bookmarkEnd w:id="343"/>
      <w:bookmarkEnd w:id="344"/>
      <w:bookmarkEnd w:id="345"/>
      <w:bookmarkEnd w:id="346"/>
    </w:p>
    <w:p w:rsidR="00644456" w:rsidRDefault="008031C4">
      <w:pPr>
        <w:pStyle w:val="af"/>
        <w:spacing w:after="0" w:line="360" w:lineRule="auto"/>
        <w:ind w:firstLine="482"/>
        <w:rPr>
          <w:snapToGrid w:val="0"/>
          <w:color w:val="000000" w:themeColor="text1"/>
          <w:sz w:val="24"/>
        </w:rPr>
      </w:pPr>
      <w:r>
        <w:rPr>
          <w:rFonts w:hint="eastAsia"/>
          <w:snapToGrid w:val="0"/>
          <w:color w:val="000000" w:themeColor="text1"/>
          <w:sz w:val="24"/>
        </w:rPr>
        <w:t>本项目工程占地约</w:t>
      </w:r>
      <w:r>
        <w:rPr>
          <w:rFonts w:hint="eastAsia"/>
          <w:snapToGrid w:val="0"/>
          <w:color w:val="000000" w:themeColor="text1"/>
          <w:sz w:val="24"/>
        </w:rPr>
        <w:t>30524m</w:t>
      </w:r>
      <w:r>
        <w:rPr>
          <w:rFonts w:hint="eastAsia"/>
          <w:snapToGrid w:val="0"/>
          <w:color w:val="000000" w:themeColor="text1"/>
          <w:sz w:val="24"/>
          <w:vertAlign w:val="superscript"/>
        </w:rPr>
        <w:t>2</w:t>
      </w:r>
      <w:r>
        <w:rPr>
          <w:rFonts w:hint="eastAsia"/>
          <w:snapToGrid w:val="0"/>
          <w:color w:val="000000" w:themeColor="text1"/>
          <w:sz w:val="24"/>
        </w:rPr>
        <w:t>，项目用地为三类工业用地，本工程的建设使原来的荒漠地为主的土地利用类型转变为工业用地，改变了评价区域土地利用类型。但拟建项目建成后将进行相应的绿化和地面硬化措施，因此土地利用类型的变化并不会导致生态环境质量的降低。</w:t>
      </w:r>
    </w:p>
    <w:p w:rsidR="00644456" w:rsidRDefault="008031C4">
      <w:pPr>
        <w:pStyle w:val="af"/>
        <w:spacing w:after="0" w:line="360" w:lineRule="auto"/>
        <w:ind w:firstLine="482"/>
        <w:rPr>
          <w:snapToGrid w:val="0"/>
          <w:color w:val="000000" w:themeColor="text1"/>
          <w:sz w:val="24"/>
        </w:rPr>
      </w:pPr>
      <w:bookmarkStart w:id="347" w:name="_Toc5018"/>
      <w:bookmarkStart w:id="348" w:name="_Toc14907"/>
      <w:bookmarkStart w:id="349" w:name="_Toc32231"/>
      <w:bookmarkStart w:id="350" w:name="_Toc25360"/>
      <w:r>
        <w:rPr>
          <w:rFonts w:hint="eastAsia"/>
          <w:snapToGrid w:val="0"/>
          <w:color w:val="000000" w:themeColor="text1"/>
          <w:sz w:val="24"/>
        </w:rPr>
        <w:t>4</w:t>
      </w:r>
      <w:r>
        <w:rPr>
          <w:rFonts w:hint="eastAsia"/>
          <w:snapToGrid w:val="0"/>
          <w:color w:val="000000" w:themeColor="text1"/>
          <w:sz w:val="24"/>
        </w:rPr>
        <w:t>、对植物资源的影响分析</w:t>
      </w:r>
      <w:bookmarkEnd w:id="347"/>
      <w:bookmarkEnd w:id="348"/>
      <w:bookmarkEnd w:id="349"/>
      <w:bookmarkEnd w:id="350"/>
    </w:p>
    <w:p w:rsidR="00644456" w:rsidRDefault="008031C4">
      <w:pPr>
        <w:pStyle w:val="af"/>
        <w:spacing w:after="0" w:line="360" w:lineRule="auto"/>
        <w:ind w:firstLine="482"/>
        <w:rPr>
          <w:snapToGrid w:val="0"/>
          <w:color w:val="000000" w:themeColor="text1"/>
          <w:sz w:val="24"/>
        </w:rPr>
      </w:pPr>
      <w:bookmarkStart w:id="351" w:name="_Toc24527"/>
      <w:bookmarkStart w:id="352" w:name="_Toc17044"/>
      <w:bookmarkStart w:id="353" w:name="_Toc1551"/>
      <w:r>
        <w:rPr>
          <w:rFonts w:hint="eastAsia"/>
          <w:snapToGrid w:val="0"/>
          <w:color w:val="000000" w:themeColor="text1"/>
          <w:sz w:val="24"/>
        </w:rPr>
        <w:t>（</w:t>
      </w:r>
      <w:r>
        <w:rPr>
          <w:rFonts w:hint="eastAsia"/>
          <w:snapToGrid w:val="0"/>
          <w:color w:val="000000" w:themeColor="text1"/>
          <w:sz w:val="24"/>
        </w:rPr>
        <w:t>1</w:t>
      </w:r>
      <w:r>
        <w:rPr>
          <w:rFonts w:hint="eastAsia"/>
          <w:snapToGrid w:val="0"/>
          <w:color w:val="000000" w:themeColor="text1"/>
          <w:sz w:val="24"/>
        </w:rPr>
        <w:t>）施工期对植物资源的影响</w:t>
      </w:r>
      <w:bookmarkEnd w:id="351"/>
      <w:bookmarkEnd w:id="352"/>
      <w:bookmarkEnd w:id="353"/>
    </w:p>
    <w:p w:rsidR="00644456" w:rsidRDefault="008031C4">
      <w:pPr>
        <w:pStyle w:val="af"/>
        <w:spacing w:after="0" w:line="360" w:lineRule="auto"/>
        <w:ind w:firstLine="482"/>
        <w:rPr>
          <w:snapToGrid w:val="0"/>
          <w:color w:val="000000" w:themeColor="text1"/>
          <w:sz w:val="24"/>
        </w:rPr>
      </w:pPr>
      <w:r>
        <w:rPr>
          <w:rFonts w:hint="eastAsia"/>
          <w:snapToGrid w:val="0"/>
          <w:color w:val="000000" w:themeColor="text1"/>
          <w:sz w:val="24"/>
        </w:rPr>
        <w:t>项目施工期将使厂区占地内的零星植被完全破坏，基建施工运输、临时占地等也将会使施工区及周围植被受到不同程度的影响。因而在施工过程中要注意保护植被，减少</w:t>
      </w:r>
      <w:r>
        <w:rPr>
          <w:rFonts w:hint="eastAsia"/>
          <w:snapToGrid w:val="0"/>
          <w:color w:val="000000" w:themeColor="text1"/>
          <w:sz w:val="24"/>
        </w:rPr>
        <w:lastRenderedPageBreak/>
        <w:t>植被破坏面积，并尽快恢复植被。但从植物种类来看，在建设期和运营期作业常被破坏或影响的植物均为广布种和常见种，且分布也较均匀，因此，尽管项目建设会使原有植被遭到局部损失，但不会使评价区植物群落的种类组成发生变化，也不会造成某种植物的消失。</w:t>
      </w:r>
    </w:p>
    <w:p w:rsidR="00644456" w:rsidRDefault="008031C4">
      <w:pPr>
        <w:pStyle w:val="af"/>
        <w:spacing w:after="0" w:line="360" w:lineRule="auto"/>
        <w:ind w:firstLine="482"/>
        <w:rPr>
          <w:snapToGrid w:val="0"/>
          <w:color w:val="000000" w:themeColor="text1"/>
          <w:sz w:val="24"/>
        </w:rPr>
      </w:pPr>
      <w:bookmarkStart w:id="354" w:name="_Toc10939"/>
      <w:bookmarkStart w:id="355" w:name="_Toc26290"/>
      <w:bookmarkStart w:id="356" w:name="_Toc20867"/>
      <w:r>
        <w:rPr>
          <w:rFonts w:hint="eastAsia"/>
          <w:snapToGrid w:val="0"/>
          <w:color w:val="000000" w:themeColor="text1"/>
          <w:sz w:val="24"/>
        </w:rPr>
        <w:t>（</w:t>
      </w:r>
      <w:r>
        <w:rPr>
          <w:rFonts w:hint="eastAsia"/>
          <w:snapToGrid w:val="0"/>
          <w:color w:val="000000" w:themeColor="text1"/>
          <w:sz w:val="24"/>
        </w:rPr>
        <w:t>2</w:t>
      </w:r>
      <w:r>
        <w:rPr>
          <w:rFonts w:hint="eastAsia"/>
          <w:snapToGrid w:val="0"/>
          <w:color w:val="000000" w:themeColor="text1"/>
          <w:sz w:val="24"/>
        </w:rPr>
        <w:t>）运营期对植物资源的影响</w:t>
      </w:r>
      <w:bookmarkEnd w:id="354"/>
      <w:bookmarkEnd w:id="355"/>
      <w:bookmarkEnd w:id="356"/>
    </w:p>
    <w:p w:rsidR="00644456" w:rsidRDefault="008031C4">
      <w:pPr>
        <w:pStyle w:val="af"/>
        <w:spacing w:after="0" w:line="360" w:lineRule="auto"/>
        <w:ind w:firstLine="482"/>
        <w:rPr>
          <w:snapToGrid w:val="0"/>
          <w:color w:val="000000" w:themeColor="text1"/>
          <w:sz w:val="24"/>
        </w:rPr>
      </w:pPr>
      <w:r>
        <w:rPr>
          <w:rFonts w:hint="eastAsia"/>
          <w:snapToGrid w:val="0"/>
          <w:color w:val="000000" w:themeColor="text1"/>
          <w:sz w:val="24"/>
        </w:rPr>
        <w:t>项目投入运营后，将会加强厂区及其周围的绿化和植被工作，生产过程中不存在破化植被的工业活动。因此，运营期不会对植物资源产生不利影响。</w:t>
      </w:r>
    </w:p>
    <w:p w:rsidR="00644456" w:rsidRDefault="008031C4">
      <w:pPr>
        <w:pStyle w:val="af"/>
        <w:spacing w:after="0" w:line="360" w:lineRule="auto"/>
        <w:ind w:firstLine="482"/>
        <w:rPr>
          <w:snapToGrid w:val="0"/>
          <w:color w:val="000000" w:themeColor="text1"/>
          <w:sz w:val="24"/>
        </w:rPr>
      </w:pPr>
      <w:bookmarkStart w:id="357" w:name="_Toc31898"/>
      <w:bookmarkStart w:id="358" w:name="_Toc21474"/>
      <w:bookmarkStart w:id="359" w:name="_Toc28208"/>
      <w:bookmarkStart w:id="360" w:name="_Toc15328"/>
      <w:r>
        <w:rPr>
          <w:rFonts w:hint="eastAsia"/>
          <w:snapToGrid w:val="0"/>
          <w:color w:val="000000" w:themeColor="text1"/>
          <w:sz w:val="24"/>
        </w:rPr>
        <w:t>3</w:t>
      </w:r>
      <w:r>
        <w:rPr>
          <w:rFonts w:hint="eastAsia"/>
          <w:snapToGrid w:val="0"/>
          <w:color w:val="000000" w:themeColor="text1"/>
          <w:sz w:val="24"/>
        </w:rPr>
        <w:t>、对动物资源的影响分析</w:t>
      </w:r>
      <w:bookmarkEnd w:id="357"/>
      <w:bookmarkEnd w:id="358"/>
      <w:bookmarkEnd w:id="359"/>
      <w:bookmarkEnd w:id="360"/>
    </w:p>
    <w:p w:rsidR="00644456" w:rsidRDefault="008031C4">
      <w:pPr>
        <w:pStyle w:val="af"/>
        <w:spacing w:after="0" w:line="360" w:lineRule="auto"/>
        <w:ind w:firstLine="482"/>
        <w:rPr>
          <w:snapToGrid w:val="0"/>
          <w:color w:val="000000" w:themeColor="text1"/>
          <w:sz w:val="24"/>
        </w:rPr>
      </w:pPr>
      <w:bookmarkStart w:id="361" w:name="_Toc30465"/>
      <w:bookmarkStart w:id="362" w:name="_Toc5471"/>
      <w:bookmarkStart w:id="363" w:name="_Toc1040"/>
      <w:r>
        <w:rPr>
          <w:rFonts w:hint="eastAsia"/>
          <w:snapToGrid w:val="0"/>
          <w:color w:val="000000" w:themeColor="text1"/>
          <w:sz w:val="24"/>
        </w:rPr>
        <w:t>（</w:t>
      </w:r>
      <w:r>
        <w:rPr>
          <w:rFonts w:hint="eastAsia"/>
          <w:snapToGrid w:val="0"/>
          <w:color w:val="000000" w:themeColor="text1"/>
          <w:sz w:val="24"/>
        </w:rPr>
        <w:t>1</w:t>
      </w:r>
      <w:r>
        <w:rPr>
          <w:rFonts w:hint="eastAsia"/>
          <w:snapToGrid w:val="0"/>
          <w:color w:val="000000" w:themeColor="text1"/>
          <w:sz w:val="24"/>
        </w:rPr>
        <w:t>）施工期对野生动物资源的影响分析</w:t>
      </w:r>
      <w:bookmarkEnd w:id="361"/>
      <w:bookmarkEnd w:id="362"/>
      <w:bookmarkEnd w:id="363"/>
    </w:p>
    <w:p w:rsidR="00644456" w:rsidRDefault="008031C4">
      <w:pPr>
        <w:pStyle w:val="af"/>
        <w:spacing w:after="0" w:line="360" w:lineRule="auto"/>
        <w:ind w:firstLine="482"/>
        <w:rPr>
          <w:snapToGrid w:val="0"/>
          <w:color w:val="000000" w:themeColor="text1"/>
          <w:sz w:val="24"/>
        </w:rPr>
      </w:pPr>
      <w:r>
        <w:rPr>
          <w:rFonts w:hint="eastAsia"/>
          <w:snapToGrid w:val="0"/>
          <w:color w:val="000000" w:themeColor="text1"/>
          <w:sz w:val="24"/>
        </w:rPr>
        <w:t>评价区内动物资源的典型代表为鸟类和兽类。该区环境恶劣，气候干旱，植被稀疏，生物多样性单一，生态系统脆弱。在施工过程中，由于各类机械产生的噪声和人为活动的干扰，会使野生动物如啮齿类动物和一些鸟类向外迁移，使价区周边的局部地区动物的密度相应增加。另外，施工人员如果出现滥捕乱猎现象，将直接影响到这一地区的某些野生动物种群的数量，这种影响可通过加强施工人员的宣传教育和管理得到消除。</w:t>
      </w:r>
    </w:p>
    <w:p w:rsidR="00644456" w:rsidRDefault="008031C4">
      <w:pPr>
        <w:pStyle w:val="af"/>
        <w:spacing w:after="0" w:line="360" w:lineRule="auto"/>
        <w:ind w:firstLine="482"/>
        <w:rPr>
          <w:snapToGrid w:val="0"/>
          <w:color w:val="000000" w:themeColor="text1"/>
          <w:sz w:val="24"/>
        </w:rPr>
      </w:pPr>
      <w:r>
        <w:rPr>
          <w:rFonts w:hint="eastAsia"/>
          <w:snapToGrid w:val="0"/>
          <w:color w:val="000000" w:themeColor="text1"/>
          <w:sz w:val="24"/>
        </w:rPr>
        <w:t>由于评价区野生动物种类较少，现有的野生动物多为一些常见的鸟类、啮齿类及昆虫等。动物在受到人为影响时均可就近迁入周边地区继续生存繁衍，因此，项目在施工期不会使评价区内野生动物物种数量发生较大的变化，其种群数量也不会发生明显变化。</w:t>
      </w:r>
    </w:p>
    <w:p w:rsidR="00644456" w:rsidRDefault="008031C4">
      <w:pPr>
        <w:pStyle w:val="af"/>
        <w:spacing w:after="0" w:line="360" w:lineRule="auto"/>
        <w:ind w:firstLine="482"/>
        <w:rPr>
          <w:snapToGrid w:val="0"/>
          <w:color w:val="000000" w:themeColor="text1"/>
          <w:sz w:val="24"/>
        </w:rPr>
      </w:pPr>
      <w:bookmarkStart w:id="364" w:name="_Toc27909"/>
      <w:bookmarkStart w:id="365" w:name="_Toc28502"/>
      <w:bookmarkStart w:id="366" w:name="_Toc17819"/>
      <w:r>
        <w:rPr>
          <w:rFonts w:hint="eastAsia"/>
          <w:snapToGrid w:val="0"/>
          <w:color w:val="000000" w:themeColor="text1"/>
          <w:sz w:val="24"/>
        </w:rPr>
        <w:t>（</w:t>
      </w:r>
      <w:r>
        <w:rPr>
          <w:rFonts w:hint="eastAsia"/>
          <w:snapToGrid w:val="0"/>
          <w:color w:val="000000" w:themeColor="text1"/>
          <w:sz w:val="24"/>
        </w:rPr>
        <w:t>2</w:t>
      </w:r>
      <w:r>
        <w:rPr>
          <w:rFonts w:hint="eastAsia"/>
          <w:snapToGrid w:val="0"/>
          <w:color w:val="000000" w:themeColor="text1"/>
          <w:sz w:val="24"/>
        </w:rPr>
        <w:t>）施工期对野生动物资源的影响分析</w:t>
      </w:r>
      <w:bookmarkEnd w:id="364"/>
      <w:bookmarkEnd w:id="365"/>
      <w:bookmarkEnd w:id="366"/>
    </w:p>
    <w:p w:rsidR="00644456" w:rsidRDefault="008031C4">
      <w:pPr>
        <w:pStyle w:val="af"/>
        <w:spacing w:after="0" w:line="360" w:lineRule="auto"/>
        <w:ind w:firstLine="482"/>
        <w:rPr>
          <w:snapToGrid w:val="0"/>
          <w:color w:val="000000" w:themeColor="text1"/>
          <w:sz w:val="24"/>
        </w:rPr>
      </w:pPr>
      <w:r>
        <w:rPr>
          <w:rFonts w:hint="eastAsia"/>
          <w:snapToGrid w:val="0"/>
          <w:color w:val="000000" w:themeColor="text1"/>
          <w:sz w:val="24"/>
        </w:rPr>
        <w:t>对于大多数野生动物来说，最大的威胁来自其生境被分割、缩小、破坏和退化。拟建项目位于工业园区，拟选厂址周围有少数工业企业以及人为活动，厂址附近没有野生动物，在拟建项目建设完成后，厂区的正常生产不会对野生动物的栖息地和生境再产生干扰和影响，因此，在运营期对野生动物的影响很小。</w:t>
      </w:r>
    </w:p>
    <w:p w:rsidR="00644456" w:rsidRDefault="008031C4">
      <w:pPr>
        <w:pStyle w:val="af"/>
        <w:spacing w:after="0" w:line="360" w:lineRule="auto"/>
        <w:ind w:firstLine="482"/>
        <w:rPr>
          <w:snapToGrid w:val="0"/>
          <w:color w:val="000000" w:themeColor="text1"/>
          <w:sz w:val="24"/>
        </w:rPr>
      </w:pPr>
      <w:bookmarkStart w:id="367" w:name="_Toc32242"/>
      <w:bookmarkStart w:id="368" w:name="_Toc11231"/>
      <w:bookmarkStart w:id="369" w:name="_Toc4038"/>
      <w:bookmarkStart w:id="370" w:name="_Toc19930"/>
      <w:r>
        <w:rPr>
          <w:rFonts w:hint="eastAsia"/>
          <w:snapToGrid w:val="0"/>
          <w:color w:val="000000" w:themeColor="text1"/>
          <w:sz w:val="24"/>
        </w:rPr>
        <w:t>4</w:t>
      </w:r>
      <w:r>
        <w:rPr>
          <w:rFonts w:hint="eastAsia"/>
          <w:snapToGrid w:val="0"/>
          <w:color w:val="000000" w:themeColor="text1"/>
          <w:sz w:val="24"/>
        </w:rPr>
        <w:t>、对土壤侵蚀的影响</w:t>
      </w:r>
      <w:bookmarkEnd w:id="367"/>
      <w:bookmarkEnd w:id="368"/>
      <w:bookmarkEnd w:id="369"/>
      <w:bookmarkEnd w:id="370"/>
    </w:p>
    <w:p w:rsidR="00644456" w:rsidRDefault="008031C4">
      <w:pPr>
        <w:pStyle w:val="af"/>
        <w:spacing w:after="0" w:line="360" w:lineRule="auto"/>
        <w:ind w:firstLine="482"/>
        <w:rPr>
          <w:snapToGrid w:val="0"/>
          <w:color w:val="000000" w:themeColor="text1"/>
          <w:sz w:val="24"/>
        </w:rPr>
      </w:pPr>
      <w:r>
        <w:rPr>
          <w:rFonts w:hint="eastAsia"/>
          <w:snapToGrid w:val="0"/>
          <w:color w:val="000000" w:themeColor="text1"/>
          <w:sz w:val="24"/>
        </w:rPr>
        <w:t>项目的建设活动对土壤侵蚀的影响因素主要包括自然因素和人为因素。自然因素是潜在的，人为因素将直接诱发加速水土流失。根据建设施工工艺，厂区施工一般首先用推土机推平施工区域，然后开挖基础，并在此基础上进行厂房等设施的施工浇筑。厂区开始施工后，原地貌被扰动，原有稀疏植被也将遭到彻底剥离破坏，除一小部分面积被施工生活区建（构）筑物遮挡覆盖外，其余绝大部分面积处于完全裸露状态。当施工进程达到基础开挖阶段后，厂房等设施基础开发产生的基槽土将堆积在指定的地点，从而</w:t>
      </w:r>
      <w:r>
        <w:rPr>
          <w:rFonts w:hint="eastAsia"/>
          <w:snapToGrid w:val="0"/>
          <w:color w:val="000000" w:themeColor="text1"/>
          <w:sz w:val="24"/>
        </w:rPr>
        <w:lastRenderedPageBreak/>
        <w:t>形成边坡较大的临时性再塑地貌，这些都为厂区水土流失（风蚀、水蚀）的产生创造了条件。但按照规定，施工期在场地内设有覆盖、遮挡、压实等临时防护措施，一定程度上起到防止风蚀、水蚀的作用。另外，即使发生一定量的水土流失，但因开挖和堆土均在围墙范围内，围墙对水土流失起到一定的阻挡作用。因此，厂区施工对环境生态的影响有限。</w:t>
      </w:r>
    </w:p>
    <w:p w:rsidR="00644456" w:rsidRDefault="008031C4">
      <w:pPr>
        <w:pStyle w:val="af"/>
        <w:spacing w:after="0" w:line="360" w:lineRule="auto"/>
        <w:ind w:firstLine="482"/>
        <w:rPr>
          <w:snapToGrid w:val="0"/>
          <w:color w:val="000000" w:themeColor="text1"/>
          <w:sz w:val="24"/>
        </w:rPr>
      </w:pPr>
      <w:bookmarkStart w:id="371" w:name="_Toc17702"/>
      <w:bookmarkStart w:id="372" w:name="_Toc23266"/>
      <w:bookmarkStart w:id="373" w:name="_Toc29152"/>
      <w:bookmarkStart w:id="374" w:name="_Toc19718"/>
      <w:r>
        <w:rPr>
          <w:rFonts w:hint="eastAsia"/>
          <w:snapToGrid w:val="0"/>
          <w:color w:val="000000" w:themeColor="text1"/>
          <w:sz w:val="24"/>
        </w:rPr>
        <w:t>5</w:t>
      </w:r>
      <w:r>
        <w:rPr>
          <w:rFonts w:hint="eastAsia"/>
          <w:snapToGrid w:val="0"/>
          <w:color w:val="000000" w:themeColor="text1"/>
          <w:sz w:val="24"/>
        </w:rPr>
        <w:t>、对自然景观的影响</w:t>
      </w:r>
      <w:bookmarkEnd w:id="371"/>
      <w:bookmarkEnd w:id="372"/>
      <w:bookmarkEnd w:id="373"/>
      <w:bookmarkEnd w:id="374"/>
    </w:p>
    <w:p w:rsidR="00644456" w:rsidRDefault="008031C4">
      <w:pPr>
        <w:pStyle w:val="af"/>
        <w:spacing w:after="0" w:line="360" w:lineRule="auto"/>
        <w:ind w:firstLine="482"/>
        <w:rPr>
          <w:snapToGrid w:val="0"/>
          <w:color w:val="000000" w:themeColor="text1"/>
          <w:sz w:val="24"/>
        </w:rPr>
      </w:pPr>
      <w:r>
        <w:rPr>
          <w:rFonts w:hint="eastAsia"/>
          <w:snapToGrid w:val="0"/>
          <w:color w:val="000000" w:themeColor="text1"/>
          <w:sz w:val="24"/>
        </w:rPr>
        <w:t>拟建项目建设会对区域内自然景观产生严重的影响。建设期的取土、弃土、砍等一系列施工活动，形成取土坑、弃石场、废弃地等，破坏了原有的自然景观，形成一些劣质景观。</w:t>
      </w:r>
    </w:p>
    <w:p w:rsidR="00644456" w:rsidRDefault="008031C4">
      <w:pPr>
        <w:pStyle w:val="af"/>
        <w:spacing w:after="0" w:line="360" w:lineRule="auto"/>
        <w:ind w:firstLine="482"/>
        <w:rPr>
          <w:snapToGrid w:val="0"/>
          <w:color w:val="000000" w:themeColor="text1"/>
          <w:sz w:val="24"/>
        </w:rPr>
      </w:pPr>
      <w:r>
        <w:rPr>
          <w:rFonts w:hint="eastAsia"/>
          <w:snapToGrid w:val="0"/>
          <w:color w:val="000000" w:themeColor="text1"/>
          <w:sz w:val="24"/>
        </w:rPr>
        <w:t>随着与项目建设同步实施的一系列生态保护与恢复措施，又形成了以厂区为中心、周围有绿化带的新的生态系统，进而改善了厂区所在地及周边地区的生态环境，防止了项目建设对周边环境的污染与破坏，并改善了当地土壤侵蚀状况，产生新的景观类型，使项目所在区域生态景观多样化，促进该地区景观生态系统向良性方向发展。</w:t>
      </w:r>
    </w:p>
    <w:p w:rsidR="00644456" w:rsidRDefault="008031C4">
      <w:pPr>
        <w:pStyle w:val="af"/>
        <w:spacing w:after="0" w:line="360" w:lineRule="auto"/>
        <w:ind w:firstLine="482"/>
        <w:rPr>
          <w:snapToGrid w:val="0"/>
          <w:color w:val="000000" w:themeColor="text1"/>
          <w:sz w:val="24"/>
        </w:rPr>
      </w:pPr>
      <w:bookmarkStart w:id="375" w:name="_Toc16280"/>
      <w:bookmarkStart w:id="376" w:name="_Toc10906"/>
      <w:bookmarkStart w:id="377" w:name="_Toc5206"/>
      <w:bookmarkStart w:id="378" w:name="_Toc23665"/>
      <w:r>
        <w:rPr>
          <w:rFonts w:hint="eastAsia"/>
          <w:snapToGrid w:val="0"/>
          <w:color w:val="000000" w:themeColor="text1"/>
          <w:sz w:val="24"/>
        </w:rPr>
        <w:t>6</w:t>
      </w:r>
      <w:r>
        <w:rPr>
          <w:rFonts w:hint="eastAsia"/>
          <w:snapToGrid w:val="0"/>
          <w:color w:val="000000" w:themeColor="text1"/>
          <w:sz w:val="24"/>
        </w:rPr>
        <w:t>、结论</w:t>
      </w:r>
      <w:bookmarkEnd w:id="375"/>
      <w:bookmarkEnd w:id="376"/>
      <w:bookmarkEnd w:id="377"/>
      <w:bookmarkEnd w:id="378"/>
    </w:p>
    <w:p w:rsidR="00644456" w:rsidRDefault="008031C4">
      <w:pPr>
        <w:pStyle w:val="af"/>
        <w:spacing w:after="0" w:line="360" w:lineRule="auto"/>
        <w:ind w:firstLine="482"/>
        <w:rPr>
          <w:snapToGrid w:val="0"/>
          <w:color w:val="000000" w:themeColor="text1"/>
          <w:sz w:val="24"/>
        </w:rPr>
      </w:pPr>
      <w:r>
        <w:rPr>
          <w:rFonts w:hint="eastAsia"/>
          <w:snapToGrid w:val="0"/>
          <w:color w:val="000000" w:themeColor="text1"/>
          <w:sz w:val="24"/>
        </w:rPr>
        <w:t>根据以上分析，项目建设对区域生态环境影响评价结论如下：项目的建设使评价区域的土地利用格局产生了变化，但是项目厂区在建设完成后会进行相应的绿化和地面硬化措施，故本工程建设使土地利用类型发生的变化并不会导致生态环境质量的降低；在建设期和运营期作业常被破坏或影响的植物均为广布种和常见种，且分布也较均匀，因此，尽管项目建设会使原有植被遭到局部损失，但不会使评价区植物群落的种类组成发生变化，也不会造成某种植物的消失。项目投入运营后，将加强厂区及其周围的绿化和植被的恢复工作，项目在生产过程中不存在破坏植被的工业活动，运营期不会对植物资源产生不利影响；评价区现有的野生动物多为一些常见的鸟类、啮齿类及昆虫等。通过加强施工人员的宣传教育和管理，可减少在建设初期对野生动物的影响，对生态环境的影响有限，本项目建设造成的生态影响是可行的。</w:t>
      </w:r>
    </w:p>
    <w:p w:rsidR="00644456" w:rsidRDefault="008031C4">
      <w:pPr>
        <w:pStyle w:val="20"/>
        <w:numPr>
          <w:ilvl w:val="1"/>
          <w:numId w:val="0"/>
        </w:numPr>
        <w:snapToGrid w:val="0"/>
        <w:spacing w:beforeLines="0" w:before="0" w:afterLines="0" w:after="0"/>
        <w:ind w:firstLine="600"/>
        <w:rPr>
          <w:rFonts w:cs="Times New Roman"/>
          <w:color w:val="000000" w:themeColor="text1"/>
          <w:sz w:val="30"/>
        </w:rPr>
      </w:pPr>
      <w:bookmarkStart w:id="379" w:name="_Toc177216893"/>
      <w:r>
        <w:rPr>
          <w:rFonts w:cs="Times New Roman" w:hint="eastAsia"/>
          <w:color w:val="000000" w:themeColor="text1"/>
          <w:sz w:val="30"/>
        </w:rPr>
        <w:t>5.7</w:t>
      </w:r>
      <w:r>
        <w:rPr>
          <w:rFonts w:cs="Times New Roman"/>
          <w:color w:val="000000" w:themeColor="text1"/>
          <w:sz w:val="30"/>
        </w:rPr>
        <w:t>地下水环境影响评价</w:t>
      </w:r>
      <w:bookmarkEnd w:id="338"/>
      <w:bookmarkEnd w:id="379"/>
    </w:p>
    <w:p w:rsidR="00644456" w:rsidRDefault="008031C4">
      <w:pPr>
        <w:pStyle w:val="3"/>
        <w:numPr>
          <w:ilvl w:val="2"/>
          <w:numId w:val="0"/>
        </w:numPr>
        <w:ind w:firstLineChars="200" w:firstLine="482"/>
      </w:pPr>
      <w:r>
        <w:rPr>
          <w:rFonts w:hint="eastAsia"/>
        </w:rPr>
        <w:t>5.7.1</w:t>
      </w:r>
      <w:r>
        <w:rPr>
          <w:rFonts w:hint="eastAsia"/>
        </w:rPr>
        <w:t>评价等级、评价范围</w:t>
      </w:r>
    </w:p>
    <w:p w:rsidR="00644456" w:rsidRDefault="008031C4">
      <w:pPr>
        <w:snapToGrid w:val="0"/>
        <w:spacing w:line="360" w:lineRule="auto"/>
        <w:ind w:firstLineChars="200" w:firstLine="482"/>
        <w:rPr>
          <w:rFonts w:cs="Times New Roman"/>
          <w:b/>
          <w:snapToGrid w:val="0"/>
          <w:color w:val="000000" w:themeColor="text1"/>
          <w:kern w:val="0"/>
          <w:sz w:val="24"/>
          <w:szCs w:val="20"/>
        </w:rPr>
      </w:pPr>
      <w:r>
        <w:rPr>
          <w:rFonts w:cs="Times New Roman"/>
          <w:b/>
          <w:snapToGrid w:val="0"/>
          <w:color w:val="000000" w:themeColor="text1"/>
          <w:kern w:val="0"/>
          <w:sz w:val="24"/>
          <w:szCs w:val="20"/>
        </w:rPr>
        <w:t>1</w:t>
      </w:r>
      <w:r>
        <w:rPr>
          <w:rFonts w:cs="Times New Roman"/>
          <w:b/>
          <w:snapToGrid w:val="0"/>
          <w:color w:val="000000" w:themeColor="text1"/>
          <w:kern w:val="0"/>
          <w:sz w:val="24"/>
          <w:szCs w:val="20"/>
        </w:rPr>
        <w:t>、评价等级</w:t>
      </w:r>
    </w:p>
    <w:p w:rsidR="00644456" w:rsidRDefault="008031C4">
      <w:pPr>
        <w:widowControl/>
        <w:spacing w:line="360" w:lineRule="auto"/>
        <w:ind w:firstLineChars="200" w:firstLine="480"/>
        <w:rPr>
          <w:rFonts w:cs="Times New Roman"/>
          <w:color w:val="000000" w:themeColor="text1"/>
          <w:sz w:val="24"/>
          <w:szCs w:val="24"/>
        </w:rPr>
      </w:pPr>
      <w:r>
        <w:rPr>
          <w:rFonts w:cs="Times New Roman" w:hint="eastAsia"/>
          <w:color w:val="000000" w:themeColor="text1"/>
          <w:sz w:val="24"/>
          <w:szCs w:val="24"/>
        </w:rPr>
        <w:t>按前文分析，</w:t>
      </w:r>
      <w:r>
        <w:rPr>
          <w:rFonts w:cs="Times New Roman"/>
          <w:color w:val="000000" w:themeColor="text1"/>
          <w:sz w:val="24"/>
          <w:szCs w:val="24"/>
        </w:rPr>
        <w:t>本项目地下水评价工作等级为</w:t>
      </w:r>
      <w:r>
        <w:rPr>
          <w:rFonts w:cs="Times New Roman" w:hint="eastAsia"/>
          <w:color w:val="000000" w:themeColor="text1"/>
          <w:sz w:val="24"/>
          <w:szCs w:val="24"/>
        </w:rPr>
        <w:t>二</w:t>
      </w:r>
      <w:r>
        <w:rPr>
          <w:rFonts w:cs="Times New Roman"/>
          <w:color w:val="000000" w:themeColor="text1"/>
          <w:sz w:val="24"/>
          <w:szCs w:val="24"/>
        </w:rPr>
        <w:t>级。</w:t>
      </w:r>
    </w:p>
    <w:p w:rsidR="00644456" w:rsidRDefault="008031C4">
      <w:pPr>
        <w:spacing w:line="360" w:lineRule="auto"/>
        <w:ind w:firstLineChars="200" w:firstLine="482"/>
        <w:rPr>
          <w:rFonts w:cs="Times New Roman"/>
          <w:b/>
          <w:snapToGrid w:val="0"/>
          <w:color w:val="000000" w:themeColor="text1"/>
          <w:kern w:val="0"/>
          <w:sz w:val="24"/>
          <w:szCs w:val="20"/>
        </w:rPr>
      </w:pPr>
      <w:r>
        <w:rPr>
          <w:rFonts w:cs="Times New Roman" w:hint="eastAsia"/>
          <w:b/>
          <w:snapToGrid w:val="0"/>
          <w:color w:val="000000" w:themeColor="text1"/>
          <w:kern w:val="0"/>
          <w:sz w:val="24"/>
          <w:szCs w:val="20"/>
        </w:rPr>
        <w:t>2</w:t>
      </w:r>
      <w:r>
        <w:rPr>
          <w:rFonts w:cs="Times New Roman" w:hint="eastAsia"/>
          <w:b/>
          <w:snapToGrid w:val="0"/>
          <w:color w:val="000000" w:themeColor="text1"/>
          <w:kern w:val="0"/>
          <w:sz w:val="24"/>
          <w:szCs w:val="20"/>
        </w:rPr>
        <w:t>、评价范围</w:t>
      </w:r>
    </w:p>
    <w:p w:rsidR="00644456" w:rsidRDefault="008031C4">
      <w:pPr>
        <w:widowControl/>
        <w:spacing w:line="360" w:lineRule="auto"/>
        <w:ind w:firstLineChars="200" w:firstLine="480"/>
        <w:rPr>
          <w:rFonts w:cs="Times New Roman"/>
          <w:color w:val="000000" w:themeColor="text1"/>
          <w:sz w:val="24"/>
          <w:szCs w:val="24"/>
        </w:rPr>
      </w:pPr>
      <w:r>
        <w:rPr>
          <w:rFonts w:cs="Times New Roman"/>
          <w:color w:val="000000" w:themeColor="text1"/>
          <w:sz w:val="24"/>
          <w:szCs w:val="24"/>
        </w:rPr>
        <w:lastRenderedPageBreak/>
        <w:t>根据测算，本项目地下水环境影响评价范围共计约</w:t>
      </w:r>
      <w:r>
        <w:rPr>
          <w:rFonts w:cs="Times New Roman" w:hint="eastAsia"/>
          <w:color w:val="000000" w:themeColor="text1"/>
          <w:sz w:val="24"/>
          <w:szCs w:val="24"/>
        </w:rPr>
        <w:t>7.83</w:t>
      </w:r>
      <w:r>
        <w:rPr>
          <w:rFonts w:cs="Times New Roman"/>
          <w:color w:val="000000" w:themeColor="text1"/>
          <w:sz w:val="24"/>
          <w:szCs w:val="24"/>
        </w:rPr>
        <w:t>km</w:t>
      </w:r>
      <w:r>
        <w:rPr>
          <w:rFonts w:cs="Times New Roman"/>
          <w:color w:val="000000" w:themeColor="text1"/>
          <w:sz w:val="24"/>
          <w:szCs w:val="24"/>
          <w:vertAlign w:val="superscript"/>
        </w:rPr>
        <w:t>2</w:t>
      </w:r>
      <w:r>
        <w:rPr>
          <w:rFonts w:cs="Times New Roman"/>
          <w:color w:val="000000" w:themeColor="text1"/>
          <w:sz w:val="24"/>
          <w:szCs w:val="24"/>
        </w:rPr>
        <w:t>。</w:t>
      </w:r>
    </w:p>
    <w:p w:rsidR="00644456" w:rsidRDefault="008031C4">
      <w:pPr>
        <w:pStyle w:val="3"/>
        <w:numPr>
          <w:ilvl w:val="2"/>
          <w:numId w:val="0"/>
        </w:numPr>
        <w:ind w:firstLineChars="200" w:firstLine="482"/>
      </w:pPr>
      <w:r>
        <w:rPr>
          <w:rFonts w:hint="eastAsia"/>
        </w:rPr>
        <w:t>5.7.2</w:t>
      </w:r>
      <w:r>
        <w:rPr>
          <w:rFonts w:hint="eastAsia"/>
        </w:rPr>
        <w:t>评价区地质条件</w:t>
      </w:r>
    </w:p>
    <w:p w:rsidR="00644456" w:rsidRDefault="008031C4">
      <w:pPr>
        <w:pStyle w:val="af"/>
        <w:spacing w:after="0" w:line="360" w:lineRule="auto"/>
        <w:ind w:firstLine="480"/>
        <w:rPr>
          <w:b/>
          <w:snapToGrid w:val="0"/>
          <w:color w:val="000000" w:themeColor="text1"/>
          <w:sz w:val="24"/>
        </w:rPr>
      </w:pPr>
      <w:r>
        <w:rPr>
          <w:b/>
          <w:snapToGrid w:val="0"/>
          <w:color w:val="000000" w:themeColor="text1"/>
          <w:sz w:val="24"/>
        </w:rPr>
        <w:t>（</w:t>
      </w:r>
      <w:r>
        <w:rPr>
          <w:b/>
          <w:snapToGrid w:val="0"/>
          <w:color w:val="000000" w:themeColor="text1"/>
          <w:sz w:val="24"/>
        </w:rPr>
        <w:t>1</w:t>
      </w:r>
      <w:r>
        <w:rPr>
          <w:b/>
          <w:snapToGrid w:val="0"/>
          <w:color w:val="000000" w:themeColor="text1"/>
          <w:sz w:val="24"/>
        </w:rPr>
        <w:t>）地形地貌</w:t>
      </w:r>
    </w:p>
    <w:p w:rsidR="00644456" w:rsidRDefault="008031C4">
      <w:pPr>
        <w:pStyle w:val="af"/>
        <w:spacing w:after="0" w:line="360" w:lineRule="auto"/>
        <w:ind w:firstLine="482"/>
        <w:rPr>
          <w:snapToGrid w:val="0"/>
          <w:color w:val="000000" w:themeColor="text1"/>
          <w:sz w:val="24"/>
        </w:rPr>
      </w:pPr>
      <w:r>
        <w:rPr>
          <w:rFonts w:hint="eastAsia"/>
          <w:snapToGrid w:val="0"/>
          <w:color w:val="000000" w:themeColor="text1"/>
          <w:sz w:val="24"/>
        </w:rPr>
        <w:t>疏勒县地处克孜勒河、盖孜河和库山河冲积平原中游地区，境内地势平坦，仅在东南部的沙漠区地形起伏较大。县境海拔最高点在西部，为</w:t>
      </w:r>
      <w:r>
        <w:rPr>
          <w:rFonts w:hint="eastAsia"/>
          <w:snapToGrid w:val="0"/>
          <w:color w:val="000000" w:themeColor="text1"/>
          <w:sz w:val="24"/>
        </w:rPr>
        <w:t>1310</w:t>
      </w:r>
      <w:r>
        <w:rPr>
          <w:rFonts w:hint="eastAsia"/>
          <w:snapToGrid w:val="0"/>
          <w:color w:val="000000" w:themeColor="text1"/>
          <w:sz w:val="24"/>
        </w:rPr>
        <w:t>米；最低点在东部，为</w:t>
      </w:r>
      <w:r>
        <w:rPr>
          <w:rFonts w:hint="eastAsia"/>
          <w:snapToGrid w:val="0"/>
          <w:color w:val="000000" w:themeColor="text1"/>
          <w:sz w:val="24"/>
        </w:rPr>
        <w:t>1198</w:t>
      </w:r>
      <w:r>
        <w:rPr>
          <w:rFonts w:hint="eastAsia"/>
          <w:snapToGrid w:val="0"/>
          <w:color w:val="000000" w:themeColor="text1"/>
          <w:sz w:val="24"/>
        </w:rPr>
        <w:t>米。按地形倾向和地貌成因，全县可分为三大地貌单元。克孜勒河冲积平原：大体分布于疏勒县－岳普湖县公路以北，海拔介于</w:t>
      </w:r>
      <w:r>
        <w:rPr>
          <w:rFonts w:hint="eastAsia"/>
          <w:snapToGrid w:val="0"/>
          <w:color w:val="000000" w:themeColor="text1"/>
          <w:sz w:val="24"/>
        </w:rPr>
        <w:t>1310</w:t>
      </w:r>
      <w:r>
        <w:rPr>
          <w:rFonts w:hint="eastAsia"/>
          <w:snapToGrid w:val="0"/>
          <w:color w:val="000000" w:themeColor="text1"/>
          <w:sz w:val="24"/>
        </w:rPr>
        <w:t>～</w:t>
      </w:r>
      <w:r>
        <w:rPr>
          <w:rFonts w:hint="eastAsia"/>
          <w:snapToGrid w:val="0"/>
          <w:color w:val="000000" w:themeColor="text1"/>
          <w:sz w:val="24"/>
        </w:rPr>
        <w:t>1224</w:t>
      </w:r>
      <w:r>
        <w:rPr>
          <w:rFonts w:hint="eastAsia"/>
          <w:snapToGrid w:val="0"/>
          <w:color w:val="000000" w:themeColor="text1"/>
          <w:sz w:val="24"/>
        </w:rPr>
        <w:t>米之间，地势向北东东向倾斜，地表坡降</w:t>
      </w:r>
      <w:r>
        <w:rPr>
          <w:rFonts w:hint="eastAsia"/>
          <w:snapToGrid w:val="0"/>
          <w:color w:val="000000" w:themeColor="text1"/>
          <w:sz w:val="24"/>
        </w:rPr>
        <w:t>2.86</w:t>
      </w:r>
      <w:r>
        <w:rPr>
          <w:rFonts w:hint="eastAsia"/>
          <w:snapToGrid w:val="0"/>
          <w:color w:val="000000" w:themeColor="text1"/>
          <w:sz w:val="24"/>
        </w:rPr>
        <w:t>‰。该区克孜勒河分为南北两支由西向东流过。历史上南支曾从洋大曼多与亚曼牙乡之间汇入北支，在两乡之间留下古河道和牛轭湖地貌形态。后又向东摆移，现从亚曼牙乡与岳普湖县之间汇入北支。</w:t>
      </w:r>
    </w:p>
    <w:p w:rsidR="00644456" w:rsidRDefault="008031C4">
      <w:pPr>
        <w:pStyle w:val="af"/>
        <w:spacing w:after="0" w:line="360" w:lineRule="auto"/>
        <w:ind w:firstLine="482"/>
        <w:rPr>
          <w:snapToGrid w:val="0"/>
          <w:color w:val="000000" w:themeColor="text1"/>
          <w:sz w:val="24"/>
        </w:rPr>
      </w:pPr>
      <w:r>
        <w:rPr>
          <w:rFonts w:hint="eastAsia"/>
          <w:snapToGrid w:val="0"/>
          <w:color w:val="000000" w:themeColor="text1"/>
          <w:sz w:val="24"/>
        </w:rPr>
        <w:t>盖孜河－库山河冲积平原：分布于疏勒县－岳普湖县公路以南，海拔介于</w:t>
      </w:r>
      <w:r>
        <w:rPr>
          <w:rFonts w:hint="eastAsia"/>
          <w:snapToGrid w:val="0"/>
          <w:color w:val="000000" w:themeColor="text1"/>
          <w:sz w:val="24"/>
        </w:rPr>
        <w:t>1295</w:t>
      </w:r>
      <w:r>
        <w:rPr>
          <w:rFonts w:hint="eastAsia"/>
          <w:snapToGrid w:val="0"/>
          <w:color w:val="000000" w:themeColor="text1"/>
          <w:sz w:val="24"/>
        </w:rPr>
        <w:t>～</w:t>
      </w:r>
      <w:r>
        <w:rPr>
          <w:rFonts w:hint="eastAsia"/>
          <w:snapToGrid w:val="0"/>
          <w:color w:val="000000" w:themeColor="text1"/>
          <w:sz w:val="24"/>
        </w:rPr>
        <w:t>1200</w:t>
      </w:r>
      <w:r>
        <w:rPr>
          <w:rFonts w:hint="eastAsia"/>
          <w:snapToGrid w:val="0"/>
          <w:color w:val="000000" w:themeColor="text1"/>
          <w:sz w:val="24"/>
        </w:rPr>
        <w:t>米之间，地势倾向东微偏南，地表坡降</w:t>
      </w:r>
      <w:r>
        <w:rPr>
          <w:rFonts w:hint="eastAsia"/>
          <w:snapToGrid w:val="0"/>
          <w:color w:val="000000" w:themeColor="text1"/>
          <w:sz w:val="24"/>
        </w:rPr>
        <w:t>2.86</w:t>
      </w:r>
      <w:r>
        <w:rPr>
          <w:rFonts w:hint="eastAsia"/>
          <w:snapToGrid w:val="0"/>
          <w:color w:val="000000" w:themeColor="text1"/>
          <w:sz w:val="24"/>
        </w:rPr>
        <w:t>‰。该区盖孜河（又名岳普湖河）河道宽泛，在库木西力克乡贝希塔木村以东，发育河流泛滥平原。本区较克孜勒河冲积平原区，沙丘地及沼泽湿地分布更为广泛。布古拉库木沙漠：分布于县境东南部，面积较广，海拔介于</w:t>
      </w:r>
      <w:r>
        <w:rPr>
          <w:rFonts w:hint="eastAsia"/>
          <w:snapToGrid w:val="0"/>
          <w:color w:val="000000" w:themeColor="text1"/>
          <w:sz w:val="24"/>
        </w:rPr>
        <w:t>1231</w:t>
      </w:r>
      <w:r>
        <w:rPr>
          <w:rFonts w:hint="eastAsia"/>
          <w:snapToGrid w:val="0"/>
          <w:color w:val="000000" w:themeColor="text1"/>
          <w:sz w:val="24"/>
        </w:rPr>
        <w:t>～</w:t>
      </w:r>
      <w:r>
        <w:rPr>
          <w:rFonts w:hint="eastAsia"/>
          <w:snapToGrid w:val="0"/>
          <w:color w:val="000000" w:themeColor="text1"/>
          <w:sz w:val="24"/>
        </w:rPr>
        <w:t>1198</w:t>
      </w:r>
      <w:r>
        <w:rPr>
          <w:rFonts w:hint="eastAsia"/>
          <w:snapToGrid w:val="0"/>
          <w:color w:val="000000" w:themeColor="text1"/>
          <w:sz w:val="24"/>
        </w:rPr>
        <w:t>米之间。地势总体倾向北东北向，地面坡降</w:t>
      </w:r>
      <w:r>
        <w:rPr>
          <w:rFonts w:hint="eastAsia"/>
          <w:snapToGrid w:val="0"/>
          <w:color w:val="000000" w:themeColor="text1"/>
          <w:sz w:val="24"/>
        </w:rPr>
        <w:t>1.3</w:t>
      </w:r>
      <w:r>
        <w:rPr>
          <w:rFonts w:hint="eastAsia"/>
          <w:snapToGrid w:val="0"/>
          <w:color w:val="000000" w:themeColor="text1"/>
          <w:sz w:val="24"/>
        </w:rPr>
        <w:t>‰。该区从东南向中部、北部依次分布着波状沙丘、多垄沙地和风蚀残丘等地貌景观。</w:t>
      </w:r>
    </w:p>
    <w:p w:rsidR="00644456" w:rsidRDefault="008031C4">
      <w:pPr>
        <w:pStyle w:val="af"/>
        <w:spacing w:after="0" w:line="360" w:lineRule="auto"/>
        <w:ind w:firstLine="482"/>
        <w:rPr>
          <w:snapToGrid w:val="0"/>
          <w:color w:val="000000" w:themeColor="text1"/>
          <w:sz w:val="24"/>
        </w:rPr>
      </w:pPr>
      <w:r>
        <w:rPr>
          <w:rFonts w:hint="eastAsia"/>
          <w:snapToGrid w:val="0"/>
          <w:color w:val="000000" w:themeColor="text1"/>
          <w:sz w:val="24"/>
        </w:rPr>
        <w:t>拟建场地位于冲洪积平原地带，地形较为平整。</w:t>
      </w:r>
    </w:p>
    <w:p w:rsidR="00644456" w:rsidRDefault="00644456">
      <w:pPr>
        <w:jc w:val="center"/>
      </w:pP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图</w:t>
      </w:r>
      <w:r>
        <w:rPr>
          <w:rFonts w:cs="Times New Roman" w:hint="eastAsia"/>
          <w:b/>
          <w:color w:val="000000" w:themeColor="text1"/>
          <w:sz w:val="24"/>
          <w:szCs w:val="20"/>
        </w:rPr>
        <w:t>5.7-1</w:t>
      </w:r>
      <w:r>
        <w:rPr>
          <w:rFonts w:cs="Times New Roman" w:hint="eastAsia"/>
          <w:b/>
          <w:color w:val="000000" w:themeColor="text1"/>
          <w:sz w:val="24"/>
          <w:szCs w:val="20"/>
        </w:rPr>
        <w:t>地貌略图</w:t>
      </w:r>
    </w:p>
    <w:p w:rsidR="00644456" w:rsidRDefault="008031C4">
      <w:pPr>
        <w:pStyle w:val="af"/>
        <w:spacing w:after="0" w:line="360" w:lineRule="auto"/>
        <w:ind w:firstLine="480"/>
        <w:rPr>
          <w:b/>
          <w:snapToGrid w:val="0"/>
          <w:color w:val="000000" w:themeColor="text1"/>
          <w:sz w:val="24"/>
        </w:rPr>
      </w:pPr>
      <w:r>
        <w:rPr>
          <w:b/>
          <w:snapToGrid w:val="0"/>
          <w:color w:val="000000" w:themeColor="text1"/>
          <w:sz w:val="24"/>
        </w:rPr>
        <w:t>（</w:t>
      </w:r>
      <w:r>
        <w:rPr>
          <w:b/>
          <w:snapToGrid w:val="0"/>
          <w:color w:val="000000" w:themeColor="text1"/>
          <w:sz w:val="24"/>
        </w:rPr>
        <w:t>2</w:t>
      </w:r>
      <w:r>
        <w:rPr>
          <w:b/>
          <w:snapToGrid w:val="0"/>
          <w:color w:val="000000" w:themeColor="text1"/>
          <w:sz w:val="24"/>
        </w:rPr>
        <w:t>）地层岩性</w:t>
      </w:r>
    </w:p>
    <w:p w:rsidR="00644456" w:rsidRDefault="008031C4">
      <w:pPr>
        <w:pStyle w:val="af"/>
        <w:spacing w:after="0" w:line="360" w:lineRule="auto"/>
        <w:ind w:firstLine="482"/>
        <w:rPr>
          <w:snapToGrid w:val="0"/>
          <w:color w:val="000000" w:themeColor="text1"/>
          <w:sz w:val="24"/>
        </w:rPr>
      </w:pPr>
      <w:r>
        <w:rPr>
          <w:rFonts w:hint="eastAsia"/>
          <w:snapToGrid w:val="0"/>
          <w:color w:val="000000" w:themeColor="text1"/>
          <w:sz w:val="24"/>
        </w:rPr>
        <w:t>区域属于上更新统</w:t>
      </w:r>
      <w:r>
        <w:rPr>
          <w:rFonts w:hint="eastAsia"/>
          <w:snapToGrid w:val="0"/>
          <w:color w:val="000000" w:themeColor="text1"/>
          <w:sz w:val="24"/>
        </w:rPr>
        <w:t>-</w:t>
      </w:r>
      <w:r>
        <w:rPr>
          <w:rFonts w:hint="eastAsia"/>
          <w:snapToGrid w:val="0"/>
          <w:color w:val="000000" w:themeColor="text1"/>
          <w:sz w:val="24"/>
        </w:rPr>
        <w:t>全新统冲积层（</w:t>
      </w:r>
      <w:r>
        <w:rPr>
          <w:rFonts w:hint="eastAsia"/>
          <w:snapToGrid w:val="0"/>
          <w:color w:val="000000" w:themeColor="text1"/>
          <w:sz w:val="24"/>
        </w:rPr>
        <w:t>Qal3-4</w:t>
      </w:r>
      <w:r>
        <w:rPr>
          <w:rFonts w:hint="eastAsia"/>
          <w:snapToGrid w:val="0"/>
          <w:color w:val="000000" w:themeColor="text1"/>
          <w:sz w:val="24"/>
        </w:rPr>
        <w:t>），广泛分布于佰什克然木乡</w:t>
      </w:r>
      <w:r>
        <w:rPr>
          <w:rFonts w:hint="eastAsia"/>
          <w:snapToGrid w:val="0"/>
          <w:color w:val="000000" w:themeColor="text1"/>
          <w:sz w:val="24"/>
        </w:rPr>
        <w:t>-</w:t>
      </w:r>
      <w:r>
        <w:rPr>
          <w:rFonts w:hint="eastAsia"/>
          <w:snapToGrid w:val="0"/>
          <w:color w:val="000000" w:themeColor="text1"/>
          <w:sz w:val="24"/>
        </w:rPr>
        <w:t>木什乡以南、兰干乡</w:t>
      </w:r>
      <w:r>
        <w:rPr>
          <w:rFonts w:hint="eastAsia"/>
          <w:snapToGrid w:val="0"/>
          <w:color w:val="000000" w:themeColor="text1"/>
          <w:sz w:val="24"/>
        </w:rPr>
        <w:t>-</w:t>
      </w:r>
      <w:r>
        <w:rPr>
          <w:rFonts w:hint="eastAsia"/>
          <w:snapToGrid w:val="0"/>
          <w:color w:val="000000" w:themeColor="text1"/>
          <w:sz w:val="24"/>
        </w:rPr>
        <w:t>布拉克苏乡</w:t>
      </w:r>
      <w:r>
        <w:rPr>
          <w:rFonts w:hint="eastAsia"/>
          <w:snapToGrid w:val="0"/>
          <w:color w:val="000000" w:themeColor="text1"/>
          <w:sz w:val="24"/>
        </w:rPr>
        <w:t>-</w:t>
      </w:r>
      <w:r>
        <w:rPr>
          <w:rFonts w:hint="eastAsia"/>
          <w:snapToGrid w:val="0"/>
          <w:color w:val="000000" w:themeColor="text1"/>
          <w:sz w:val="24"/>
        </w:rPr>
        <w:t>塔什米里克乡以东及铁日木乡</w:t>
      </w:r>
      <w:r>
        <w:rPr>
          <w:rFonts w:hint="eastAsia"/>
          <w:snapToGrid w:val="0"/>
          <w:color w:val="000000" w:themeColor="text1"/>
          <w:sz w:val="24"/>
        </w:rPr>
        <w:t>-</w:t>
      </w:r>
      <w:r>
        <w:rPr>
          <w:rFonts w:hint="eastAsia"/>
          <w:snapToGrid w:val="0"/>
          <w:color w:val="000000" w:themeColor="text1"/>
          <w:sz w:val="24"/>
        </w:rPr>
        <w:t>阿克陶县城以北的广大细土平原地区。沉积物的颗粒表现为上粗下细，在沉积旋回中具明显的二元结构，该层自北向南、由西向东、自南向北方向地层颗粒逐渐变细，地层物质来源于西部、北部的西南天山及西南部的昆仑山</w:t>
      </w:r>
      <w:r>
        <w:rPr>
          <w:snapToGrid w:val="0"/>
          <w:color w:val="000000" w:themeColor="text1"/>
          <w:sz w:val="24"/>
        </w:rPr>
        <w:t>。</w:t>
      </w:r>
    </w:p>
    <w:p w:rsidR="00644456" w:rsidRDefault="008031C4">
      <w:pPr>
        <w:pStyle w:val="af"/>
        <w:spacing w:after="0" w:line="360" w:lineRule="auto"/>
        <w:ind w:firstLine="482"/>
        <w:rPr>
          <w:b/>
          <w:snapToGrid w:val="0"/>
          <w:color w:val="000000" w:themeColor="text1"/>
          <w:sz w:val="24"/>
        </w:rPr>
      </w:pPr>
      <w:r>
        <w:rPr>
          <w:b/>
          <w:snapToGrid w:val="0"/>
          <w:color w:val="000000" w:themeColor="text1"/>
          <w:sz w:val="24"/>
        </w:rPr>
        <w:t>（</w:t>
      </w:r>
      <w:r>
        <w:rPr>
          <w:b/>
          <w:snapToGrid w:val="0"/>
          <w:color w:val="000000" w:themeColor="text1"/>
          <w:sz w:val="24"/>
        </w:rPr>
        <w:t>3</w:t>
      </w:r>
      <w:r>
        <w:rPr>
          <w:b/>
          <w:snapToGrid w:val="0"/>
          <w:color w:val="000000" w:themeColor="text1"/>
          <w:sz w:val="24"/>
        </w:rPr>
        <w:t>）</w:t>
      </w:r>
      <w:r>
        <w:rPr>
          <w:rFonts w:hint="eastAsia"/>
          <w:b/>
          <w:snapToGrid w:val="0"/>
          <w:color w:val="000000" w:themeColor="text1"/>
          <w:sz w:val="24"/>
        </w:rPr>
        <w:t>场地地震效应</w:t>
      </w:r>
    </w:p>
    <w:p w:rsidR="00644456" w:rsidRDefault="008031C4">
      <w:pPr>
        <w:pStyle w:val="af"/>
        <w:spacing w:after="0" w:line="360" w:lineRule="auto"/>
        <w:ind w:firstLine="482"/>
        <w:rPr>
          <w:snapToGrid w:val="0"/>
          <w:color w:val="000000" w:themeColor="text1"/>
          <w:sz w:val="24"/>
        </w:rPr>
      </w:pPr>
      <w:r>
        <w:rPr>
          <w:rFonts w:hint="eastAsia"/>
          <w:snapToGrid w:val="0"/>
          <w:color w:val="000000" w:themeColor="text1"/>
          <w:sz w:val="24"/>
        </w:rPr>
        <w:t>拟建场地岩土由圆砾地层构成，根据国家标准《建筑抗震设计规范》</w:t>
      </w:r>
      <w:r>
        <w:rPr>
          <w:rFonts w:hint="eastAsia"/>
          <w:snapToGrid w:val="0"/>
          <w:color w:val="000000" w:themeColor="text1"/>
          <w:sz w:val="24"/>
        </w:rPr>
        <w:t>(GB50011</w:t>
      </w:r>
      <w:r>
        <w:rPr>
          <w:rFonts w:hint="eastAsia"/>
          <w:snapToGrid w:val="0"/>
          <w:color w:val="000000" w:themeColor="text1"/>
          <w:sz w:val="24"/>
        </w:rPr>
        <w:t>—</w:t>
      </w:r>
      <w:r>
        <w:rPr>
          <w:rFonts w:hint="eastAsia"/>
          <w:snapToGrid w:val="0"/>
          <w:color w:val="000000" w:themeColor="text1"/>
          <w:sz w:val="24"/>
        </w:rPr>
        <w:t>2010)</w:t>
      </w:r>
      <w:r>
        <w:rPr>
          <w:rFonts w:hint="eastAsia"/>
          <w:snapToGrid w:val="0"/>
          <w:color w:val="000000" w:themeColor="text1"/>
          <w:sz w:val="24"/>
        </w:rPr>
        <w:t>（</w:t>
      </w:r>
      <w:r>
        <w:rPr>
          <w:rFonts w:hint="eastAsia"/>
          <w:snapToGrid w:val="0"/>
          <w:color w:val="000000" w:themeColor="text1"/>
          <w:sz w:val="24"/>
        </w:rPr>
        <w:t>2016</w:t>
      </w:r>
      <w:r>
        <w:rPr>
          <w:rFonts w:hint="eastAsia"/>
          <w:snapToGrid w:val="0"/>
          <w:color w:val="000000" w:themeColor="text1"/>
          <w:sz w:val="24"/>
        </w:rPr>
        <w:t>年版）的规定，从场地土的性质判断拟建场地属中硬土地，场地土层等效剪切波速值在</w:t>
      </w:r>
      <w:r>
        <w:rPr>
          <w:rFonts w:hint="eastAsia"/>
          <w:snapToGrid w:val="0"/>
          <w:color w:val="000000" w:themeColor="text1"/>
          <w:sz w:val="24"/>
        </w:rPr>
        <w:t>Vse=250.0</w:t>
      </w:r>
      <w:r>
        <w:rPr>
          <w:rFonts w:hint="eastAsia"/>
          <w:snapToGrid w:val="0"/>
          <w:color w:val="000000" w:themeColor="text1"/>
          <w:sz w:val="24"/>
        </w:rPr>
        <w:t>～</w:t>
      </w:r>
      <w:r>
        <w:rPr>
          <w:rFonts w:hint="eastAsia"/>
          <w:snapToGrid w:val="0"/>
          <w:color w:val="000000" w:themeColor="text1"/>
          <w:sz w:val="24"/>
        </w:rPr>
        <w:t>500.0m/s</w:t>
      </w:r>
      <w:r>
        <w:rPr>
          <w:rFonts w:hint="eastAsia"/>
          <w:snapToGrid w:val="0"/>
          <w:color w:val="000000" w:themeColor="text1"/>
          <w:sz w:val="24"/>
        </w:rPr>
        <w:t>之间，覆盖层厚度大于</w:t>
      </w:r>
      <w:r>
        <w:rPr>
          <w:rFonts w:hint="eastAsia"/>
          <w:snapToGrid w:val="0"/>
          <w:color w:val="000000" w:themeColor="text1"/>
          <w:sz w:val="24"/>
        </w:rPr>
        <w:t>5.00</w:t>
      </w:r>
      <w:r>
        <w:rPr>
          <w:rFonts w:hint="eastAsia"/>
          <w:snapToGrid w:val="0"/>
          <w:color w:val="000000" w:themeColor="text1"/>
          <w:sz w:val="24"/>
        </w:rPr>
        <w:t>米，场地类别为Ⅱ类，属于对建筑物抗震有利地段。</w:t>
      </w:r>
    </w:p>
    <w:p w:rsidR="00644456" w:rsidRDefault="008031C4">
      <w:pPr>
        <w:pStyle w:val="af"/>
        <w:spacing w:after="0" w:line="360" w:lineRule="auto"/>
        <w:ind w:firstLine="482"/>
        <w:rPr>
          <w:snapToGrid w:val="0"/>
          <w:color w:val="000000" w:themeColor="text1"/>
          <w:sz w:val="24"/>
        </w:rPr>
      </w:pPr>
      <w:r>
        <w:rPr>
          <w:rFonts w:hint="eastAsia"/>
          <w:snapToGrid w:val="0"/>
          <w:color w:val="000000" w:themeColor="text1"/>
          <w:sz w:val="24"/>
        </w:rPr>
        <w:t>根据国家颁布的《中国地震动参数区划图》（</w:t>
      </w:r>
      <w:r>
        <w:rPr>
          <w:rFonts w:hint="eastAsia"/>
          <w:snapToGrid w:val="0"/>
          <w:color w:val="000000" w:themeColor="text1"/>
          <w:sz w:val="24"/>
        </w:rPr>
        <w:t>GB18306-2015</w:t>
      </w:r>
      <w:r>
        <w:rPr>
          <w:rFonts w:hint="eastAsia"/>
          <w:snapToGrid w:val="0"/>
          <w:color w:val="000000" w:themeColor="text1"/>
          <w:sz w:val="24"/>
        </w:rPr>
        <w:t>）和有关的规范，本</w:t>
      </w:r>
      <w:r>
        <w:rPr>
          <w:rFonts w:hint="eastAsia"/>
          <w:snapToGrid w:val="0"/>
          <w:color w:val="000000" w:themeColor="text1"/>
          <w:sz w:val="24"/>
        </w:rPr>
        <w:lastRenderedPageBreak/>
        <w:t>场地的基本地震动峰值加速度</w:t>
      </w:r>
      <w:r>
        <w:rPr>
          <w:rFonts w:hint="eastAsia"/>
          <w:snapToGrid w:val="0"/>
          <w:color w:val="000000" w:themeColor="text1"/>
          <w:sz w:val="24"/>
        </w:rPr>
        <w:t>0.20g</w:t>
      </w:r>
      <w:r>
        <w:rPr>
          <w:rFonts w:hint="eastAsia"/>
          <w:snapToGrid w:val="0"/>
          <w:color w:val="000000" w:themeColor="text1"/>
          <w:sz w:val="24"/>
        </w:rPr>
        <w:t>，设计地震分组为第三组，反应谱特征周期值</w:t>
      </w:r>
      <w:r>
        <w:rPr>
          <w:rFonts w:hint="eastAsia"/>
          <w:snapToGrid w:val="0"/>
          <w:color w:val="000000" w:themeColor="text1"/>
          <w:sz w:val="24"/>
        </w:rPr>
        <w:t>0.45s</w:t>
      </w:r>
      <w:r>
        <w:rPr>
          <w:rFonts w:hint="eastAsia"/>
          <w:snapToGrid w:val="0"/>
          <w:color w:val="000000" w:themeColor="text1"/>
          <w:sz w:val="24"/>
        </w:rPr>
        <w:t>，基本地震烈度为</w:t>
      </w:r>
      <w:r>
        <w:rPr>
          <w:rFonts w:hint="eastAsia"/>
          <w:snapToGrid w:val="0"/>
          <w:color w:val="000000" w:themeColor="text1"/>
          <w:sz w:val="24"/>
        </w:rPr>
        <w:t>8</w:t>
      </w:r>
      <w:r>
        <w:rPr>
          <w:rFonts w:hint="eastAsia"/>
          <w:snapToGrid w:val="0"/>
          <w:color w:val="000000" w:themeColor="text1"/>
          <w:sz w:val="24"/>
        </w:rPr>
        <w:t>度。</w:t>
      </w:r>
    </w:p>
    <w:p w:rsidR="00644456" w:rsidRDefault="008031C4">
      <w:pPr>
        <w:pStyle w:val="3"/>
        <w:numPr>
          <w:ilvl w:val="2"/>
          <w:numId w:val="0"/>
        </w:numPr>
        <w:ind w:firstLineChars="200" w:firstLine="482"/>
      </w:pPr>
      <w:r>
        <w:rPr>
          <w:rFonts w:hint="eastAsia"/>
        </w:rPr>
        <w:t>5.7.3</w:t>
      </w:r>
      <w:r>
        <w:rPr>
          <w:rFonts w:hint="eastAsia"/>
        </w:rPr>
        <w:t>水文地质条件</w:t>
      </w:r>
    </w:p>
    <w:p w:rsidR="00644456" w:rsidRDefault="008031C4">
      <w:pPr>
        <w:spacing w:line="360" w:lineRule="auto"/>
        <w:ind w:firstLine="482"/>
        <w:jc w:val="left"/>
        <w:rPr>
          <w:rFonts w:cs="Times New Roman"/>
          <w:b/>
          <w:bCs/>
          <w:color w:val="000000"/>
        </w:rPr>
      </w:pPr>
      <w:r>
        <w:rPr>
          <w:rFonts w:cs="Times New Roman" w:hint="eastAsia"/>
          <w:b/>
          <w:bCs/>
          <w:color w:val="000000"/>
        </w:rPr>
        <w:t>（</w:t>
      </w:r>
      <w:r>
        <w:rPr>
          <w:rFonts w:cs="Times New Roman" w:hint="eastAsia"/>
          <w:b/>
          <w:bCs/>
          <w:color w:val="000000"/>
        </w:rPr>
        <w:t>1</w:t>
      </w:r>
      <w:r>
        <w:rPr>
          <w:rFonts w:cs="Times New Roman" w:hint="eastAsia"/>
          <w:b/>
          <w:bCs/>
          <w:color w:val="000000"/>
        </w:rPr>
        <w:t>）水文地质单元</w:t>
      </w:r>
    </w:p>
    <w:p w:rsidR="00644456" w:rsidRDefault="008031C4">
      <w:pPr>
        <w:spacing w:line="360" w:lineRule="auto"/>
        <w:ind w:firstLine="480"/>
        <w:jc w:val="left"/>
        <w:rPr>
          <w:rFonts w:cs="Times New Roman"/>
          <w:color w:val="000000"/>
        </w:rPr>
      </w:pPr>
      <w:r>
        <w:rPr>
          <w:rFonts w:cs="Times New Roman" w:hint="eastAsia"/>
          <w:color w:val="000000"/>
        </w:rPr>
        <w:t>本项目评价区域属于克孜勒河一恰克马克河平原区水文地质单元。</w:t>
      </w:r>
    </w:p>
    <w:p w:rsidR="00644456" w:rsidRDefault="008031C4">
      <w:pPr>
        <w:spacing w:line="360" w:lineRule="auto"/>
        <w:jc w:val="center"/>
        <w:rPr>
          <w:rFonts w:cs="Times New Roman"/>
          <w:b/>
          <w:bCs/>
          <w:color w:val="000000"/>
        </w:rPr>
      </w:pPr>
      <w:r>
        <w:rPr>
          <w:rFonts w:cs="Times New Roman"/>
          <w:noProof/>
          <w:color w:val="000000"/>
        </w:rPr>
        <mc:AlternateContent>
          <mc:Choice Requires="wps">
            <w:drawing>
              <wp:anchor distT="0" distB="0" distL="114300" distR="114300" simplePos="0" relativeHeight="251675648" behindDoc="0" locked="0" layoutInCell="1" allowOverlap="1" wp14:anchorId="3956031D" wp14:editId="33C24148">
                <wp:simplePos x="0" y="0"/>
                <wp:positionH relativeFrom="column">
                  <wp:posOffset>465455</wp:posOffset>
                </wp:positionH>
                <wp:positionV relativeFrom="paragraph">
                  <wp:posOffset>1355725</wp:posOffset>
                </wp:positionV>
                <wp:extent cx="676910" cy="276225"/>
                <wp:effectExtent l="4445" t="4445" r="137795" b="786130"/>
                <wp:wrapNone/>
                <wp:docPr id="50" name="矩形标注 50"/>
                <wp:cNvGraphicFramePr/>
                <a:graphic xmlns:a="http://schemas.openxmlformats.org/drawingml/2006/main">
                  <a:graphicData uri="http://schemas.microsoft.com/office/word/2010/wordprocessingShape">
                    <wps:wsp>
                      <wps:cNvSpPr/>
                      <wps:spPr>
                        <a:xfrm>
                          <a:off x="0" y="0"/>
                          <a:ext cx="676910" cy="276225"/>
                        </a:xfrm>
                        <a:prstGeom prst="wedgeRectCallout">
                          <a:avLst>
                            <a:gd name="adj1" fmla="val 67731"/>
                            <a:gd name="adj2" fmla="val 317125"/>
                          </a:avLst>
                        </a:prstGeom>
                        <a:solidFill>
                          <a:srgbClr val="FF0000"/>
                        </a:solidFill>
                        <a:ln w="9525" cap="flat" cmpd="sng">
                          <a:solidFill>
                            <a:srgbClr val="000000"/>
                          </a:solidFill>
                          <a:prstDash val="solid"/>
                          <a:miter/>
                          <a:headEnd type="none" w="med" len="med"/>
                          <a:tailEnd type="none" w="med" len="med"/>
                        </a:ln>
                      </wps:spPr>
                      <wps:txbx>
                        <w:txbxContent>
                          <w:p w:rsidR="00AC71A6" w:rsidRDefault="00AC71A6">
                            <w:pPr>
                              <w:jc w:val="center"/>
                            </w:pPr>
                            <w:r>
                              <w:rPr>
                                <w:rFonts w:hint="eastAsia"/>
                              </w:rPr>
                              <w:t>本项目</w:t>
                            </w:r>
                          </w:p>
                        </w:txbxContent>
                      </wps:txbx>
                      <wps:bodyPr upright="1"/>
                    </wps:wsp>
                  </a:graphicData>
                </a:graphic>
              </wp:anchor>
            </w:drawing>
          </mc:Choice>
          <mc:Fallback>
            <w:pict>
              <v:shapetype w14:anchorId="3956031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50" o:spid="_x0000_s1035" type="#_x0000_t61" style="position:absolute;left:0;text-align:left;margin-left:36.65pt;margin-top:106.75pt;width:53.3pt;height:21.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" adj="25430,79299" fillcolor="red">
                <v:textbox>
                  <w:txbxContent>
                    <w:p w:rsidR="00AC71A6" w:rsidRDefault="00AC71A6">
                      <w:pPr>
                        <w:jc w:val="center"/>
                      </w:pPr>
                      <w:r>
                        <w:rPr>
                          <w:rFonts w:hint="eastAsia"/>
                        </w:rPr>
                        <w:t>本项目</w:t>
                      </w:r>
                    </w:p>
                  </w:txbxContent>
                </v:textbox>
              </v:shape>
            </w:pict>
          </mc:Fallback>
        </mc:AlternateConten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图</w:t>
      </w:r>
      <w:r>
        <w:rPr>
          <w:rFonts w:cs="Times New Roman" w:hint="eastAsia"/>
          <w:b/>
          <w:color w:val="000000" w:themeColor="text1"/>
          <w:sz w:val="24"/>
          <w:szCs w:val="20"/>
        </w:rPr>
        <w:t>5.7-2</w:t>
      </w:r>
      <w:r>
        <w:rPr>
          <w:rFonts w:cs="Times New Roman" w:hint="eastAsia"/>
          <w:b/>
          <w:color w:val="000000" w:themeColor="text1"/>
          <w:sz w:val="24"/>
          <w:szCs w:val="20"/>
        </w:rPr>
        <w:t>水文地质图</w:t>
      </w:r>
    </w:p>
    <w:p w:rsidR="00644456" w:rsidRDefault="008031C4">
      <w:pPr>
        <w:spacing w:line="360" w:lineRule="auto"/>
        <w:ind w:firstLine="480"/>
        <w:jc w:val="left"/>
        <w:rPr>
          <w:rFonts w:cs="Times New Roman"/>
          <w:color w:val="000000"/>
        </w:rPr>
      </w:pPr>
      <w:r>
        <w:rPr>
          <w:rFonts w:cs="Times New Roman" w:hint="eastAsia"/>
          <w:color w:val="000000"/>
        </w:rPr>
        <w:t>（</w:t>
      </w:r>
      <w:r>
        <w:rPr>
          <w:rFonts w:cs="Times New Roman" w:hint="eastAsia"/>
          <w:color w:val="000000"/>
        </w:rPr>
        <w:t>2</w:t>
      </w:r>
      <w:r>
        <w:rPr>
          <w:rFonts w:cs="Times New Roman" w:hint="eastAsia"/>
          <w:color w:val="000000"/>
        </w:rPr>
        <w:t>）地下水赋存条件</w:t>
      </w:r>
    </w:p>
    <w:p w:rsidR="00644456" w:rsidRDefault="008031C4">
      <w:pPr>
        <w:spacing w:line="360" w:lineRule="auto"/>
        <w:ind w:firstLine="480"/>
        <w:jc w:val="left"/>
        <w:rPr>
          <w:rFonts w:cs="Times New Roman"/>
          <w:color w:val="000000"/>
        </w:rPr>
      </w:pPr>
      <w:r>
        <w:rPr>
          <w:rFonts w:cs="Times New Roman" w:hint="eastAsia"/>
          <w:color w:val="000000"/>
        </w:rPr>
        <w:t>该调查区地下水的埋藏分布受地质、地貌、岩性、水文等因素决定，第四系松散岩类孔隙水为本区域的主要地下水类型。</w:t>
      </w:r>
    </w:p>
    <w:p w:rsidR="00644456" w:rsidRDefault="008031C4">
      <w:pPr>
        <w:spacing w:line="360" w:lineRule="auto"/>
        <w:ind w:firstLine="480"/>
        <w:jc w:val="left"/>
        <w:rPr>
          <w:rFonts w:cs="Times New Roman"/>
          <w:color w:val="000000"/>
        </w:rPr>
      </w:pPr>
      <w:r>
        <w:rPr>
          <w:rFonts w:cs="Times New Roman" w:hint="eastAsia"/>
          <w:color w:val="000000"/>
        </w:rPr>
        <w:t>a.</w:t>
      </w:r>
      <w:r>
        <w:rPr>
          <w:rFonts w:cs="Times New Roman" w:hint="eastAsia"/>
          <w:color w:val="000000"/>
        </w:rPr>
        <w:t>上覆潜水</w:t>
      </w:r>
      <w:r>
        <w:rPr>
          <w:rFonts w:cs="Times New Roman" w:hint="eastAsia"/>
          <w:color w:val="000000"/>
        </w:rPr>
        <w:t>.</w:t>
      </w:r>
    </w:p>
    <w:p w:rsidR="00644456" w:rsidRDefault="008031C4">
      <w:pPr>
        <w:spacing w:line="360" w:lineRule="auto"/>
        <w:ind w:firstLine="480"/>
        <w:jc w:val="left"/>
        <w:rPr>
          <w:rFonts w:cs="Times New Roman"/>
          <w:color w:val="000000"/>
        </w:rPr>
      </w:pPr>
      <w:r>
        <w:rPr>
          <w:rFonts w:cs="Times New Roman" w:hint="eastAsia"/>
          <w:color w:val="000000"/>
        </w:rPr>
        <w:t>该地区表层分布有</w:t>
      </w:r>
      <w:r>
        <w:rPr>
          <w:rFonts w:cs="Times New Roman" w:hint="eastAsia"/>
          <w:color w:val="000000"/>
        </w:rPr>
        <w:t>3-30</w:t>
      </w:r>
      <w:r>
        <w:rPr>
          <w:rFonts w:cs="Times New Roman" w:hint="eastAsia"/>
          <w:color w:val="000000"/>
        </w:rPr>
        <w:t>米厚的亚砂土、亚粘土层，构成砂卵砾石含水层的覆盖层，但冲洪积平原上游区上部含水层水位埋深低于覆盖层的底板，上部含水层为潜水含水层。冲洪积平原中下游区其下部含水层水位埋深一般高于覆盖层的底板，作为其相对隔水顶板，但由于隔水作用相对较弱，其含水层与西部、北部的潜水呈连续分布，水力性质基本一致。水位埋深大致由北西向南东由深变浅，潜水含水层底板埋深在</w:t>
      </w:r>
      <w:r>
        <w:rPr>
          <w:rFonts w:cs="Times New Roman" w:hint="eastAsia"/>
          <w:color w:val="000000"/>
        </w:rPr>
        <w:t>80-120</w:t>
      </w:r>
      <w:r>
        <w:rPr>
          <w:rFonts w:cs="Times New Roman" w:hint="eastAsia"/>
          <w:color w:val="000000"/>
        </w:rPr>
        <w:t>米。富水性北向南逐渐增大，换算单井涌水量由</w:t>
      </w:r>
      <w:r>
        <w:rPr>
          <w:rFonts w:cs="Times New Roman" w:hint="eastAsia"/>
          <w:color w:val="000000"/>
        </w:rPr>
        <w:t>1000-3000m3/d</w:t>
      </w:r>
      <w:r>
        <w:rPr>
          <w:rFonts w:cs="Times New Roman" w:hint="eastAsia"/>
          <w:color w:val="000000"/>
        </w:rPr>
        <w:t>增大到</w:t>
      </w:r>
      <w:r>
        <w:rPr>
          <w:rFonts w:cs="Times New Roman" w:hint="eastAsia"/>
          <w:color w:val="000000"/>
        </w:rPr>
        <w:t>3000-5000m3/d</w:t>
      </w:r>
      <w:r>
        <w:rPr>
          <w:rFonts w:cs="Times New Roman" w:hint="eastAsia"/>
          <w:color w:val="000000"/>
        </w:rPr>
        <w:t>又减小到</w:t>
      </w:r>
      <w:r>
        <w:rPr>
          <w:rFonts w:cs="Times New Roman" w:hint="eastAsia"/>
          <w:color w:val="000000"/>
        </w:rPr>
        <w:t>1000-3000m3/d</w:t>
      </w:r>
      <w:r>
        <w:rPr>
          <w:rFonts w:cs="Times New Roman" w:hint="eastAsia"/>
          <w:color w:val="000000"/>
        </w:rPr>
        <w:t>；富水性由西向东，换算单井涌水量从小于</w:t>
      </w:r>
      <w:r>
        <w:rPr>
          <w:rFonts w:cs="Times New Roman" w:hint="eastAsia"/>
          <w:color w:val="000000"/>
        </w:rPr>
        <w:t>1000m3/d</w:t>
      </w:r>
      <w:r>
        <w:rPr>
          <w:rFonts w:cs="Times New Roman" w:hint="eastAsia"/>
          <w:color w:val="000000"/>
        </w:rPr>
        <w:t>变化到</w:t>
      </w:r>
      <w:r>
        <w:rPr>
          <w:rFonts w:cs="Times New Roman" w:hint="eastAsia"/>
          <w:color w:val="000000"/>
        </w:rPr>
        <w:t>1000-3000m3/d</w:t>
      </w:r>
      <w:r>
        <w:rPr>
          <w:rFonts w:cs="Times New Roman" w:hint="eastAsia"/>
          <w:color w:val="000000"/>
        </w:rPr>
        <w:t>，增大到</w:t>
      </w:r>
      <w:r>
        <w:rPr>
          <w:rFonts w:cs="Times New Roman" w:hint="eastAsia"/>
          <w:color w:val="000000"/>
        </w:rPr>
        <w:t>3000-5000m3/d</w:t>
      </w:r>
      <w:r>
        <w:rPr>
          <w:rFonts w:cs="Times New Roman" w:hint="eastAsia"/>
          <w:color w:val="000000"/>
        </w:rPr>
        <w:t>又减小到</w:t>
      </w:r>
      <w:r>
        <w:rPr>
          <w:rFonts w:cs="Times New Roman" w:hint="eastAsia"/>
          <w:color w:val="000000"/>
        </w:rPr>
        <w:t>1000-3000m3/d</w:t>
      </w:r>
      <w:r>
        <w:rPr>
          <w:rFonts w:cs="Times New Roman" w:hint="eastAsia"/>
          <w:color w:val="000000"/>
        </w:rPr>
        <w:t>。</w:t>
      </w:r>
    </w:p>
    <w:p w:rsidR="00644456" w:rsidRDefault="00644456">
      <w:pPr>
        <w:spacing w:line="360" w:lineRule="auto"/>
        <w:jc w:val="center"/>
        <w:rPr>
          <w:rFonts w:cs="Times New Roman"/>
          <w:color w:val="000000"/>
        </w:rPr>
      </w:pP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图</w:t>
      </w:r>
      <w:r>
        <w:rPr>
          <w:rFonts w:cs="Times New Roman" w:hint="eastAsia"/>
          <w:b/>
          <w:color w:val="000000" w:themeColor="text1"/>
          <w:sz w:val="24"/>
          <w:szCs w:val="20"/>
        </w:rPr>
        <w:t>5.7-3</w:t>
      </w:r>
      <w:r>
        <w:rPr>
          <w:rFonts w:cs="Times New Roman" w:hint="eastAsia"/>
          <w:b/>
          <w:color w:val="000000" w:themeColor="text1"/>
          <w:sz w:val="24"/>
          <w:szCs w:val="20"/>
        </w:rPr>
        <w:t>潜水流场图</w:t>
      </w:r>
    </w:p>
    <w:p w:rsidR="00644456" w:rsidRDefault="008031C4">
      <w:pPr>
        <w:spacing w:line="360" w:lineRule="auto"/>
        <w:ind w:firstLine="480"/>
        <w:jc w:val="left"/>
        <w:rPr>
          <w:rFonts w:cs="Times New Roman"/>
          <w:color w:val="000000"/>
        </w:rPr>
      </w:pPr>
      <w:r>
        <w:rPr>
          <w:rFonts w:cs="Times New Roman" w:hint="eastAsia"/>
          <w:color w:val="000000"/>
        </w:rPr>
        <w:t>b.</w:t>
      </w:r>
      <w:r>
        <w:rPr>
          <w:rFonts w:cs="Times New Roman" w:hint="eastAsia"/>
          <w:color w:val="000000"/>
        </w:rPr>
        <w:t>下伏承压水</w:t>
      </w:r>
    </w:p>
    <w:p w:rsidR="00644456" w:rsidRDefault="008031C4">
      <w:pPr>
        <w:spacing w:line="360" w:lineRule="auto"/>
        <w:ind w:firstLine="480"/>
        <w:jc w:val="left"/>
        <w:rPr>
          <w:rFonts w:cs="Times New Roman"/>
          <w:color w:val="000000"/>
        </w:rPr>
      </w:pPr>
      <w:r>
        <w:rPr>
          <w:rFonts w:cs="Times New Roman" w:hint="eastAsia"/>
          <w:color w:val="000000"/>
        </w:rPr>
        <w:t>该地区埋藏分布于潜水含水层之下，含水层顶板埋深在</w:t>
      </w:r>
      <w:r>
        <w:rPr>
          <w:rFonts w:cs="Times New Roman" w:hint="eastAsia"/>
          <w:color w:val="000000"/>
        </w:rPr>
        <w:t>80-120</w:t>
      </w:r>
      <w:r>
        <w:rPr>
          <w:rFonts w:cs="Times New Roman" w:hint="eastAsia"/>
          <w:color w:val="000000"/>
        </w:rPr>
        <w:t>米，厚度</w:t>
      </w:r>
      <w:r>
        <w:rPr>
          <w:rFonts w:cs="Times New Roman" w:hint="eastAsia"/>
          <w:color w:val="000000"/>
        </w:rPr>
        <w:t>10-20</w:t>
      </w:r>
      <w:r>
        <w:rPr>
          <w:rFonts w:cs="Times New Roman" w:hint="eastAsia"/>
          <w:color w:val="000000"/>
        </w:rPr>
        <w:t>米，隔水底板埋深在</w:t>
      </w:r>
      <w:r>
        <w:rPr>
          <w:rFonts w:cs="Times New Roman" w:hint="eastAsia"/>
          <w:color w:val="000000"/>
        </w:rPr>
        <w:t>180-210</w:t>
      </w:r>
      <w:r>
        <w:rPr>
          <w:rFonts w:cs="Times New Roman" w:hint="eastAsia"/>
          <w:color w:val="000000"/>
        </w:rPr>
        <w:t>米。由西向东、由北向南含水层介质颗粒逐渐变细，由砂卵砾石过渡到砂砾石、中粗砂，渗透性能逐渐减弱，含水层厚度一般在</w:t>
      </w:r>
      <w:r>
        <w:rPr>
          <w:rFonts w:cs="Times New Roman" w:hint="eastAsia"/>
          <w:color w:val="000000"/>
        </w:rPr>
        <w:t>100-130</w:t>
      </w:r>
      <w:r>
        <w:rPr>
          <w:rFonts w:cs="Times New Roman" w:hint="eastAsia"/>
          <w:color w:val="000000"/>
        </w:rPr>
        <w:t>米，水头高度一般在</w:t>
      </w:r>
      <w:r>
        <w:rPr>
          <w:rFonts w:cs="Times New Roman" w:hint="eastAsia"/>
          <w:color w:val="000000"/>
        </w:rPr>
        <w:t>+6.03-60.45</w:t>
      </w:r>
      <w:r>
        <w:rPr>
          <w:rFonts w:cs="Times New Roman" w:hint="eastAsia"/>
          <w:color w:val="000000"/>
        </w:rPr>
        <w:t>米。富水性由北向南逐渐增大，换算单井涌水量由</w:t>
      </w:r>
      <w:r>
        <w:rPr>
          <w:rFonts w:cs="Times New Roman" w:hint="eastAsia"/>
          <w:color w:val="000000"/>
        </w:rPr>
        <w:t>1000-3000m</w:t>
      </w:r>
      <w:r>
        <w:rPr>
          <w:rFonts w:cs="Times New Roman" w:hint="eastAsia"/>
          <w:color w:val="000000"/>
          <w:vertAlign w:val="superscript"/>
        </w:rPr>
        <w:t>3</w:t>
      </w:r>
      <w:r>
        <w:rPr>
          <w:rFonts w:cs="Times New Roman" w:hint="eastAsia"/>
          <w:color w:val="000000"/>
        </w:rPr>
        <w:t>/d</w:t>
      </w:r>
      <w:r>
        <w:rPr>
          <w:rFonts w:cs="Times New Roman" w:hint="eastAsia"/>
          <w:color w:val="000000"/>
        </w:rPr>
        <w:t>增大到</w:t>
      </w:r>
      <w:r>
        <w:rPr>
          <w:rFonts w:cs="Times New Roman" w:hint="eastAsia"/>
          <w:color w:val="000000"/>
        </w:rPr>
        <w:t>3000-5000m</w:t>
      </w:r>
      <w:r>
        <w:rPr>
          <w:rFonts w:cs="Times New Roman" w:hint="eastAsia"/>
          <w:color w:val="000000"/>
          <w:vertAlign w:val="superscript"/>
        </w:rPr>
        <w:t>3</w:t>
      </w:r>
      <w:r>
        <w:rPr>
          <w:rFonts w:cs="Times New Roman" w:hint="eastAsia"/>
          <w:color w:val="000000"/>
        </w:rPr>
        <w:t>/d</w:t>
      </w:r>
      <w:r>
        <w:rPr>
          <w:rFonts w:cs="Times New Roman" w:hint="eastAsia"/>
          <w:color w:val="000000"/>
        </w:rPr>
        <w:t>又减小到</w:t>
      </w:r>
      <w:r>
        <w:rPr>
          <w:rFonts w:cs="Times New Roman" w:hint="eastAsia"/>
          <w:color w:val="000000"/>
        </w:rPr>
        <w:t>1000-3000m</w:t>
      </w:r>
      <w:r>
        <w:rPr>
          <w:rFonts w:cs="Times New Roman" w:hint="eastAsia"/>
          <w:color w:val="000000"/>
          <w:vertAlign w:val="superscript"/>
        </w:rPr>
        <w:t>3</w:t>
      </w:r>
      <w:r>
        <w:rPr>
          <w:rFonts w:cs="Times New Roman" w:hint="eastAsia"/>
          <w:color w:val="000000"/>
        </w:rPr>
        <w:t>/d</w:t>
      </w:r>
      <w:r>
        <w:rPr>
          <w:rFonts w:cs="Times New Roman" w:hint="eastAsia"/>
          <w:color w:val="000000"/>
        </w:rPr>
        <w:t>；富水性由西向东，换算单井涌水量从小于</w:t>
      </w:r>
      <w:r>
        <w:rPr>
          <w:rFonts w:cs="Times New Roman" w:hint="eastAsia"/>
          <w:color w:val="000000"/>
        </w:rPr>
        <w:t>1000m</w:t>
      </w:r>
      <w:r>
        <w:rPr>
          <w:rFonts w:cs="Times New Roman" w:hint="eastAsia"/>
          <w:color w:val="000000"/>
          <w:vertAlign w:val="superscript"/>
        </w:rPr>
        <w:t>3</w:t>
      </w:r>
      <w:r>
        <w:rPr>
          <w:rFonts w:cs="Times New Roman" w:hint="eastAsia"/>
          <w:color w:val="000000"/>
        </w:rPr>
        <w:t>/d</w:t>
      </w:r>
      <w:r>
        <w:rPr>
          <w:rFonts w:cs="Times New Roman" w:hint="eastAsia"/>
          <w:color w:val="000000"/>
        </w:rPr>
        <w:t>变化到</w:t>
      </w:r>
      <w:r>
        <w:rPr>
          <w:rFonts w:cs="Times New Roman" w:hint="eastAsia"/>
          <w:color w:val="000000"/>
        </w:rPr>
        <w:t>1000-3000m</w:t>
      </w:r>
      <w:r>
        <w:rPr>
          <w:rFonts w:cs="Times New Roman" w:hint="eastAsia"/>
          <w:color w:val="000000"/>
          <w:vertAlign w:val="superscript"/>
        </w:rPr>
        <w:t>3</w:t>
      </w:r>
      <w:r>
        <w:rPr>
          <w:rFonts w:cs="Times New Roman" w:hint="eastAsia"/>
          <w:color w:val="000000"/>
        </w:rPr>
        <w:t>/d</w:t>
      </w:r>
      <w:r>
        <w:rPr>
          <w:rFonts w:cs="Times New Roman" w:hint="eastAsia"/>
          <w:color w:val="000000"/>
        </w:rPr>
        <w:t>，增大到</w:t>
      </w:r>
      <w:r>
        <w:rPr>
          <w:rFonts w:cs="Times New Roman" w:hint="eastAsia"/>
          <w:color w:val="000000"/>
        </w:rPr>
        <w:t>3000-5000m</w:t>
      </w:r>
      <w:r>
        <w:rPr>
          <w:rFonts w:cs="Times New Roman" w:hint="eastAsia"/>
          <w:color w:val="000000"/>
          <w:vertAlign w:val="superscript"/>
        </w:rPr>
        <w:t>3</w:t>
      </w:r>
      <w:r>
        <w:rPr>
          <w:rFonts w:cs="Times New Roman" w:hint="eastAsia"/>
          <w:color w:val="000000"/>
        </w:rPr>
        <w:t>/d</w:t>
      </w:r>
      <w:r>
        <w:rPr>
          <w:rFonts w:cs="Times New Roman" w:hint="eastAsia"/>
          <w:color w:val="000000"/>
        </w:rPr>
        <w:t>又减小到</w:t>
      </w:r>
      <w:r>
        <w:rPr>
          <w:rFonts w:cs="Times New Roman" w:hint="eastAsia"/>
          <w:color w:val="000000"/>
        </w:rPr>
        <w:t>1000-3000m</w:t>
      </w:r>
      <w:r>
        <w:rPr>
          <w:rFonts w:cs="Times New Roman" w:hint="eastAsia"/>
          <w:color w:val="000000"/>
          <w:vertAlign w:val="superscript"/>
        </w:rPr>
        <w:t>3</w:t>
      </w:r>
      <w:r>
        <w:rPr>
          <w:rFonts w:cs="Times New Roman" w:hint="eastAsia"/>
          <w:color w:val="000000"/>
        </w:rPr>
        <w:t>/d</w:t>
      </w:r>
      <w:r>
        <w:rPr>
          <w:rFonts w:cs="Times New Roman" w:hint="eastAsia"/>
          <w:color w:val="000000"/>
        </w:rPr>
        <w:t>。</w:t>
      </w:r>
    </w:p>
    <w:p w:rsidR="00644456" w:rsidRDefault="00644456">
      <w:pPr>
        <w:spacing w:line="360" w:lineRule="auto"/>
        <w:jc w:val="center"/>
        <w:rPr>
          <w:rFonts w:cs="Times New Roman"/>
          <w:b/>
          <w:bCs/>
          <w:color w:val="000000"/>
        </w:rPr>
      </w:pP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图</w:t>
      </w:r>
      <w:r>
        <w:rPr>
          <w:rFonts w:cs="Times New Roman" w:hint="eastAsia"/>
          <w:b/>
          <w:color w:val="000000" w:themeColor="text1"/>
          <w:sz w:val="24"/>
          <w:szCs w:val="20"/>
        </w:rPr>
        <w:t>5.7-4</w:t>
      </w:r>
      <w:r>
        <w:rPr>
          <w:rFonts w:cs="Times New Roman" w:hint="eastAsia"/>
          <w:b/>
          <w:color w:val="000000" w:themeColor="text1"/>
          <w:sz w:val="24"/>
          <w:szCs w:val="20"/>
        </w:rPr>
        <w:t>承压水流场图</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w:t>
      </w:r>
      <w:r>
        <w:rPr>
          <w:rFonts w:cs="Times New Roman" w:hint="eastAsia"/>
          <w:color w:val="000000" w:themeColor="text1"/>
          <w:sz w:val="24"/>
        </w:rPr>
        <w:t>3</w:t>
      </w:r>
      <w:r>
        <w:rPr>
          <w:rFonts w:cs="Times New Roman" w:hint="eastAsia"/>
          <w:color w:val="000000" w:themeColor="text1"/>
          <w:sz w:val="24"/>
        </w:rPr>
        <w:t>）地下水补径排特征</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1</w:t>
      </w:r>
      <w:r>
        <w:rPr>
          <w:rFonts w:cs="Times New Roman" w:hint="eastAsia"/>
          <w:color w:val="000000" w:themeColor="text1"/>
          <w:sz w:val="24"/>
        </w:rPr>
        <w:t>）地下水补给条件</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克孜勒河一恰克马克河平原调查区内地下水主要接受西部克孜勒河、北部恰克马克河的引水渠水入渗补给、田间灌溉入渗、侧向径流入渗，以及井泉水回归入渗、大气降水入渗、山前暴雨洪流入渗、潜流补给、河道入渗补给。</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lastRenderedPageBreak/>
        <w:t>2</w:t>
      </w:r>
      <w:r>
        <w:rPr>
          <w:rFonts w:cs="Times New Roman" w:hint="eastAsia"/>
          <w:color w:val="000000" w:themeColor="text1"/>
          <w:sz w:val="24"/>
        </w:rPr>
        <w:t>）地下水径流条件</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克孜勒河一恰克马克河平原调查区内地下水径流，主要受地形地貌、含水层结构的影响，地下水的总体流向与地形坡降趋势相似，受北部恰克马克河冲洪积地貌及西部克孜勒河冲洪积地貌的综合影响，地下水径流总体方向是由北西流向南东。含水层水力坡度一般</w:t>
      </w:r>
      <w:r>
        <w:rPr>
          <w:rFonts w:cs="Times New Roman" w:hint="eastAsia"/>
          <w:color w:val="000000" w:themeColor="text1"/>
          <w:sz w:val="24"/>
        </w:rPr>
        <w:t>2%-8.0%</w:t>
      </w:r>
      <w:r>
        <w:rPr>
          <w:rFonts w:cs="Times New Roman" w:hint="eastAsia"/>
          <w:color w:val="000000" w:themeColor="text1"/>
          <w:sz w:val="24"/>
        </w:rPr>
        <w:t>，地下水总体运动规律表现为由西向东、由北向南水力坡度逐渐减小。</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3</w:t>
      </w:r>
      <w:r>
        <w:rPr>
          <w:rFonts w:cs="Times New Roman" w:hint="eastAsia"/>
          <w:color w:val="000000" w:themeColor="text1"/>
          <w:sz w:val="24"/>
        </w:rPr>
        <w:t>）地下水排泄条件</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区内地下水的主要排泄方式为人工开采、泉水溢出和地下水蒸发、植被的蒸腾以及侧向流出调查区。</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w:t>
      </w:r>
      <w:r>
        <w:rPr>
          <w:rFonts w:cs="Times New Roman" w:hint="eastAsia"/>
          <w:color w:val="000000" w:themeColor="text1"/>
          <w:sz w:val="24"/>
        </w:rPr>
        <w:t>4</w:t>
      </w:r>
      <w:r>
        <w:rPr>
          <w:rFonts w:cs="Times New Roman" w:hint="eastAsia"/>
          <w:color w:val="000000" w:themeColor="text1"/>
          <w:sz w:val="24"/>
        </w:rPr>
        <w:t>）地下水化学特征</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1</w:t>
      </w:r>
      <w:r>
        <w:rPr>
          <w:rFonts w:cs="Times New Roman" w:hint="eastAsia"/>
          <w:color w:val="000000" w:themeColor="text1"/>
          <w:sz w:val="24"/>
        </w:rPr>
        <w:t>）潜水</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该含水层主要接受阿瓦提渠渠水入渗、克孜勒河、吐曼河及少部分恰克马克河河水的入渗补给，其水化学特征主要受到补给来源、含水层岩性、地下水径流条件的影响。</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潜水水化学作用以浓缩</w:t>
      </w:r>
      <w:r>
        <w:rPr>
          <w:rFonts w:cs="Times New Roman" w:hint="eastAsia"/>
          <w:color w:val="000000" w:themeColor="text1"/>
          <w:sz w:val="24"/>
        </w:rPr>
        <w:t>-</w:t>
      </w:r>
      <w:r>
        <w:rPr>
          <w:rFonts w:cs="Times New Roman" w:hint="eastAsia"/>
          <w:color w:val="000000" w:themeColor="text1"/>
          <w:sz w:val="24"/>
        </w:rPr>
        <w:t>溶滤作用为主，水化学类型以</w:t>
      </w:r>
      <w:r>
        <w:rPr>
          <w:rFonts w:cs="Times New Roman" w:hint="eastAsia"/>
          <w:color w:val="000000" w:themeColor="text1"/>
          <w:sz w:val="24"/>
        </w:rPr>
        <w:t>SO4-CaMg</w:t>
      </w:r>
      <w:r>
        <w:rPr>
          <w:rFonts w:cs="Times New Roman" w:hint="eastAsia"/>
          <w:color w:val="000000" w:themeColor="text1"/>
          <w:sz w:val="24"/>
        </w:rPr>
        <w:t>（</w:t>
      </w:r>
      <w:r>
        <w:rPr>
          <w:rFonts w:cs="Times New Roman" w:hint="eastAsia"/>
          <w:color w:val="000000" w:themeColor="text1"/>
          <w:sz w:val="24"/>
        </w:rPr>
        <w:t>Na</w:t>
      </w:r>
      <w:r>
        <w:rPr>
          <w:rFonts w:cs="Times New Roman" w:hint="eastAsia"/>
          <w:color w:val="000000" w:themeColor="text1"/>
          <w:sz w:val="24"/>
        </w:rPr>
        <w:t>）型为主，西部山前及东北部局部地段为</w:t>
      </w:r>
      <w:r>
        <w:rPr>
          <w:rFonts w:cs="Times New Roman" w:hint="eastAsia"/>
          <w:color w:val="000000" w:themeColor="text1"/>
          <w:sz w:val="24"/>
        </w:rPr>
        <w:t>SO4Cl(HCO3)-Na.Mg</w:t>
      </w:r>
      <w:r>
        <w:rPr>
          <w:rFonts w:cs="Times New Roman" w:hint="eastAsia"/>
          <w:color w:val="000000" w:themeColor="text1"/>
          <w:sz w:val="24"/>
        </w:rPr>
        <w:t>型。克孜勒河</w:t>
      </w:r>
      <w:r>
        <w:rPr>
          <w:rFonts w:cs="Times New Roman" w:hint="eastAsia"/>
          <w:color w:val="000000" w:themeColor="text1"/>
          <w:sz w:val="24"/>
        </w:rPr>
        <w:t>-</w:t>
      </w:r>
      <w:r>
        <w:rPr>
          <w:rFonts w:cs="Times New Roman" w:hint="eastAsia"/>
          <w:color w:val="000000" w:themeColor="text1"/>
          <w:sz w:val="24"/>
        </w:rPr>
        <w:t>恰克马克河冲洪积平原潜水水化学特征在水平方向上，呈现出主要水化学指标沿河流流程的增加而逐渐增大的趋势。硫酸盐含量从西部山前平原区的</w:t>
      </w:r>
      <w:r>
        <w:rPr>
          <w:rFonts w:cs="Times New Roman" w:hint="eastAsia"/>
          <w:color w:val="000000" w:themeColor="text1"/>
          <w:sz w:val="24"/>
        </w:rPr>
        <w:t>430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升逐渐向东部增大到</w:t>
      </w:r>
      <w:r>
        <w:rPr>
          <w:rFonts w:cs="Times New Roman" w:hint="eastAsia"/>
          <w:color w:val="000000" w:themeColor="text1"/>
          <w:sz w:val="24"/>
        </w:rPr>
        <w:t>440-630-1400-1760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升，最大可达</w:t>
      </w:r>
      <w:r>
        <w:rPr>
          <w:rFonts w:cs="Times New Roman" w:hint="eastAsia"/>
          <w:color w:val="000000" w:themeColor="text1"/>
          <w:sz w:val="24"/>
        </w:rPr>
        <w:t>3900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升；硬度含量从西部山前平原区的</w:t>
      </w:r>
      <w:r>
        <w:rPr>
          <w:rFonts w:cs="Times New Roman" w:hint="eastAsia"/>
          <w:color w:val="000000" w:themeColor="text1"/>
          <w:sz w:val="24"/>
        </w:rPr>
        <w:t>520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升逐渐向东部增大到</w:t>
      </w:r>
      <w:r>
        <w:rPr>
          <w:rFonts w:cs="Times New Roman" w:hint="eastAsia"/>
          <w:color w:val="000000" w:themeColor="text1"/>
          <w:sz w:val="24"/>
        </w:rPr>
        <w:t>580-790-1550-2030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升，最大可达</w:t>
      </w:r>
      <w:r>
        <w:rPr>
          <w:rFonts w:cs="Times New Roman" w:hint="eastAsia"/>
          <w:color w:val="000000" w:themeColor="text1"/>
          <w:sz w:val="24"/>
        </w:rPr>
        <w:t>3160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升；矿化度从西部山前平原区的</w:t>
      </w:r>
      <w:r>
        <w:rPr>
          <w:rFonts w:cs="Times New Roman" w:hint="eastAsia"/>
          <w:color w:val="000000" w:themeColor="text1"/>
          <w:sz w:val="24"/>
        </w:rPr>
        <w:t>830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升逐渐向东部增大到</w:t>
      </w:r>
      <w:r>
        <w:rPr>
          <w:rFonts w:cs="Times New Roman" w:hint="eastAsia"/>
          <w:color w:val="000000" w:themeColor="text1"/>
          <w:sz w:val="24"/>
        </w:rPr>
        <w:t>940-1180-2540-3360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升，最大可达</w:t>
      </w:r>
      <w:r>
        <w:rPr>
          <w:rFonts w:cs="Times New Roman" w:hint="eastAsia"/>
          <w:color w:val="000000" w:themeColor="text1"/>
          <w:sz w:val="24"/>
        </w:rPr>
        <w:t>6870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垂直方向上，呈现出主要潜水水化学指标随着钻孔深度的增加而逐渐减小的趋势。硫酸盐含量由浅部</w:t>
      </w:r>
      <w:r>
        <w:rPr>
          <w:rFonts w:cs="Times New Roman" w:hint="eastAsia"/>
          <w:color w:val="000000" w:themeColor="text1"/>
          <w:sz w:val="24"/>
        </w:rPr>
        <w:t>100</w:t>
      </w:r>
      <w:r>
        <w:rPr>
          <w:rFonts w:cs="Times New Roman" w:hint="eastAsia"/>
          <w:color w:val="000000" w:themeColor="text1"/>
          <w:sz w:val="24"/>
        </w:rPr>
        <w:t>米的</w:t>
      </w:r>
      <w:r>
        <w:rPr>
          <w:rFonts w:cs="Times New Roman" w:hint="eastAsia"/>
          <w:color w:val="000000" w:themeColor="text1"/>
          <w:sz w:val="24"/>
        </w:rPr>
        <w:t>670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升逐渐向深部</w:t>
      </w:r>
      <w:r>
        <w:rPr>
          <w:rFonts w:cs="Times New Roman" w:hint="eastAsia"/>
          <w:color w:val="000000" w:themeColor="text1"/>
          <w:sz w:val="24"/>
        </w:rPr>
        <w:t>200</w:t>
      </w:r>
      <w:r>
        <w:rPr>
          <w:rFonts w:cs="Times New Roman" w:hint="eastAsia"/>
          <w:color w:val="000000" w:themeColor="text1"/>
          <w:sz w:val="24"/>
        </w:rPr>
        <w:t>米减小到</w:t>
      </w:r>
      <w:r>
        <w:rPr>
          <w:rFonts w:cs="Times New Roman" w:hint="eastAsia"/>
          <w:color w:val="000000" w:themeColor="text1"/>
          <w:sz w:val="24"/>
        </w:rPr>
        <w:t>440-430-370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升；硬度由浅部</w:t>
      </w:r>
      <w:r>
        <w:rPr>
          <w:rFonts w:cs="Times New Roman" w:hint="eastAsia"/>
          <w:color w:val="000000" w:themeColor="text1"/>
          <w:sz w:val="24"/>
        </w:rPr>
        <w:t>100</w:t>
      </w:r>
      <w:r>
        <w:rPr>
          <w:rFonts w:cs="Times New Roman" w:hint="eastAsia"/>
          <w:color w:val="000000" w:themeColor="text1"/>
          <w:sz w:val="24"/>
        </w:rPr>
        <w:t>米的</w:t>
      </w:r>
      <w:r>
        <w:rPr>
          <w:rFonts w:cs="Times New Roman" w:hint="eastAsia"/>
          <w:color w:val="000000" w:themeColor="text1"/>
          <w:sz w:val="24"/>
        </w:rPr>
        <w:t>770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升逐渐向深部</w:t>
      </w:r>
      <w:r>
        <w:rPr>
          <w:rFonts w:cs="Times New Roman" w:hint="eastAsia"/>
          <w:color w:val="000000" w:themeColor="text1"/>
          <w:sz w:val="24"/>
        </w:rPr>
        <w:t>200</w:t>
      </w:r>
      <w:r>
        <w:rPr>
          <w:rFonts w:cs="Times New Roman" w:hint="eastAsia"/>
          <w:color w:val="000000" w:themeColor="text1"/>
          <w:sz w:val="24"/>
        </w:rPr>
        <w:t>米减小到</w:t>
      </w:r>
      <w:r>
        <w:rPr>
          <w:rFonts w:cs="Times New Roman" w:hint="eastAsia"/>
          <w:color w:val="000000" w:themeColor="text1"/>
          <w:sz w:val="24"/>
        </w:rPr>
        <w:t>500-520-410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升；矿化度由浅部</w:t>
      </w:r>
      <w:r>
        <w:rPr>
          <w:rFonts w:cs="Times New Roman" w:hint="eastAsia"/>
          <w:color w:val="000000" w:themeColor="text1"/>
          <w:sz w:val="24"/>
        </w:rPr>
        <w:t>100</w:t>
      </w:r>
      <w:r>
        <w:rPr>
          <w:rFonts w:cs="Times New Roman" w:hint="eastAsia"/>
          <w:color w:val="000000" w:themeColor="text1"/>
          <w:sz w:val="24"/>
        </w:rPr>
        <w:t>米的</w:t>
      </w:r>
      <w:r>
        <w:rPr>
          <w:rFonts w:cs="Times New Roman" w:hint="eastAsia"/>
          <w:color w:val="000000" w:themeColor="text1"/>
          <w:sz w:val="24"/>
        </w:rPr>
        <w:t>1220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升逐渐向深部</w:t>
      </w:r>
      <w:r>
        <w:rPr>
          <w:rFonts w:cs="Times New Roman" w:hint="eastAsia"/>
          <w:color w:val="000000" w:themeColor="text1"/>
          <w:sz w:val="24"/>
        </w:rPr>
        <w:t>200</w:t>
      </w:r>
      <w:r>
        <w:rPr>
          <w:rFonts w:cs="Times New Roman" w:hint="eastAsia"/>
          <w:color w:val="000000" w:themeColor="text1"/>
          <w:sz w:val="24"/>
        </w:rPr>
        <w:t>米减小到</w:t>
      </w:r>
      <w:r>
        <w:rPr>
          <w:rFonts w:cs="Times New Roman" w:hint="eastAsia"/>
          <w:color w:val="000000" w:themeColor="text1"/>
          <w:sz w:val="24"/>
        </w:rPr>
        <w:t>800-830-720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2</w:t>
      </w:r>
      <w:r>
        <w:rPr>
          <w:rFonts w:cs="Times New Roman" w:hint="eastAsia"/>
          <w:color w:val="000000" w:themeColor="text1"/>
          <w:sz w:val="24"/>
        </w:rPr>
        <w:t>）下伏承压水</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主要受到上游克孜勒河冲洪积平原地下水侧向径流补给的影响，其二层承压水水化学类型与克孜勒河河水水化学类型基本一致，均为</w:t>
      </w:r>
      <w:r>
        <w:rPr>
          <w:rFonts w:cs="Times New Roman" w:hint="eastAsia"/>
          <w:color w:val="000000" w:themeColor="text1"/>
          <w:sz w:val="24"/>
        </w:rPr>
        <w:t>SO4-Ca</w:t>
      </w:r>
      <w:r>
        <w:rPr>
          <w:rFonts w:cs="Times New Roman" w:hint="eastAsia"/>
          <w:color w:val="000000" w:themeColor="text1"/>
          <w:sz w:val="24"/>
        </w:rPr>
        <w:t>型。克孜勒河</w:t>
      </w:r>
      <w:r>
        <w:rPr>
          <w:rFonts w:cs="Times New Roman" w:hint="eastAsia"/>
          <w:color w:val="000000" w:themeColor="text1"/>
          <w:sz w:val="24"/>
        </w:rPr>
        <w:t>-</w:t>
      </w:r>
      <w:r>
        <w:rPr>
          <w:rFonts w:cs="Times New Roman" w:hint="eastAsia"/>
          <w:color w:val="000000" w:themeColor="text1"/>
          <w:sz w:val="24"/>
        </w:rPr>
        <w:t>恰克马克河冲洪积平原承压水水化学特征在水平方向上，呈现出主要水化学指标沿河流流程的增加而逐渐增大的趋势。硫酸盐含量从中西部山前平原区的</w:t>
      </w:r>
      <w:r>
        <w:rPr>
          <w:rFonts w:cs="Times New Roman" w:hint="eastAsia"/>
          <w:color w:val="000000" w:themeColor="text1"/>
          <w:sz w:val="24"/>
        </w:rPr>
        <w:t>510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升逐渐向东部增大到</w:t>
      </w:r>
      <w:r>
        <w:rPr>
          <w:rFonts w:cs="Times New Roman" w:hint="eastAsia"/>
          <w:color w:val="000000" w:themeColor="text1"/>
          <w:sz w:val="24"/>
        </w:rPr>
        <w:t>660-1070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升；硬度含量从西部山前平原区的</w:t>
      </w:r>
      <w:r>
        <w:rPr>
          <w:rFonts w:cs="Times New Roman" w:hint="eastAsia"/>
          <w:color w:val="000000" w:themeColor="text1"/>
          <w:sz w:val="24"/>
        </w:rPr>
        <w:t>930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升逐渐向东部增大到</w:t>
      </w:r>
      <w:r>
        <w:rPr>
          <w:rFonts w:cs="Times New Roman" w:hint="eastAsia"/>
          <w:color w:val="000000" w:themeColor="text1"/>
          <w:sz w:val="24"/>
        </w:rPr>
        <w:lastRenderedPageBreak/>
        <w:t>1310-1950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升；矿化度从西部山前平原区的</w:t>
      </w:r>
      <w:r>
        <w:rPr>
          <w:rFonts w:cs="Times New Roman" w:hint="eastAsia"/>
          <w:color w:val="000000" w:themeColor="text1"/>
          <w:sz w:val="24"/>
        </w:rPr>
        <w:t>580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升逐渐向东部增大到</w:t>
      </w:r>
      <w:r>
        <w:rPr>
          <w:rFonts w:cs="Times New Roman" w:hint="eastAsia"/>
          <w:color w:val="000000" w:themeColor="text1"/>
          <w:sz w:val="24"/>
        </w:rPr>
        <w:t>810-1170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垂直方向上，呈现出主要承压水水化学指标随着钻孔深度的增加而逐渐减小的趋势。硫酸盐含量由浅部</w:t>
      </w:r>
      <w:r>
        <w:rPr>
          <w:rFonts w:cs="Times New Roman" w:hint="eastAsia"/>
          <w:color w:val="000000" w:themeColor="text1"/>
          <w:sz w:val="24"/>
        </w:rPr>
        <w:t>162</w:t>
      </w:r>
      <w:r>
        <w:rPr>
          <w:rFonts w:cs="Times New Roman" w:hint="eastAsia"/>
          <w:color w:val="000000" w:themeColor="text1"/>
          <w:sz w:val="24"/>
        </w:rPr>
        <w:t>米的</w:t>
      </w:r>
      <w:r>
        <w:rPr>
          <w:rFonts w:cs="Times New Roman" w:hint="eastAsia"/>
          <w:color w:val="000000" w:themeColor="text1"/>
          <w:sz w:val="24"/>
        </w:rPr>
        <w:t>1070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升逐渐向深部</w:t>
      </w:r>
      <w:r>
        <w:rPr>
          <w:rFonts w:cs="Times New Roman" w:hint="eastAsia"/>
          <w:color w:val="000000" w:themeColor="text1"/>
          <w:sz w:val="24"/>
        </w:rPr>
        <w:t>174</w:t>
      </w:r>
      <w:r>
        <w:rPr>
          <w:rFonts w:cs="Times New Roman" w:hint="eastAsia"/>
          <w:color w:val="000000" w:themeColor="text1"/>
          <w:sz w:val="24"/>
        </w:rPr>
        <w:t>米减小到</w:t>
      </w:r>
      <w:r>
        <w:rPr>
          <w:rFonts w:cs="Times New Roman" w:hint="eastAsia"/>
          <w:color w:val="000000" w:themeColor="text1"/>
          <w:sz w:val="24"/>
        </w:rPr>
        <w:t>660-510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升；硬度由浅部</w:t>
      </w:r>
      <w:r>
        <w:rPr>
          <w:rFonts w:cs="Times New Roman" w:hint="eastAsia"/>
          <w:color w:val="000000" w:themeColor="text1"/>
          <w:sz w:val="24"/>
        </w:rPr>
        <w:t>162</w:t>
      </w:r>
      <w:r>
        <w:rPr>
          <w:rFonts w:cs="Times New Roman" w:hint="eastAsia"/>
          <w:color w:val="000000" w:themeColor="text1"/>
          <w:sz w:val="24"/>
        </w:rPr>
        <w:t>米的</w:t>
      </w:r>
      <w:r>
        <w:rPr>
          <w:rFonts w:cs="Times New Roman" w:hint="eastAsia"/>
          <w:color w:val="000000" w:themeColor="text1"/>
          <w:sz w:val="24"/>
        </w:rPr>
        <w:t>1170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升逐渐向深部</w:t>
      </w:r>
      <w:r>
        <w:rPr>
          <w:rFonts w:cs="Times New Roman" w:hint="eastAsia"/>
          <w:color w:val="000000" w:themeColor="text1"/>
          <w:sz w:val="24"/>
        </w:rPr>
        <w:t>174</w:t>
      </w:r>
      <w:r>
        <w:rPr>
          <w:rFonts w:cs="Times New Roman" w:hint="eastAsia"/>
          <w:color w:val="000000" w:themeColor="text1"/>
          <w:sz w:val="24"/>
        </w:rPr>
        <w:t>米减小到</w:t>
      </w:r>
      <w:r>
        <w:rPr>
          <w:rFonts w:cs="Times New Roman" w:hint="eastAsia"/>
          <w:color w:val="000000" w:themeColor="text1"/>
          <w:sz w:val="24"/>
        </w:rPr>
        <w:t>810-580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升；矿化度由浅部</w:t>
      </w:r>
      <w:r>
        <w:rPr>
          <w:rFonts w:cs="Times New Roman" w:hint="eastAsia"/>
          <w:color w:val="000000" w:themeColor="text1"/>
          <w:sz w:val="24"/>
        </w:rPr>
        <w:t>162</w:t>
      </w:r>
      <w:r>
        <w:rPr>
          <w:rFonts w:cs="Times New Roman" w:hint="eastAsia"/>
          <w:color w:val="000000" w:themeColor="text1"/>
          <w:sz w:val="24"/>
        </w:rPr>
        <w:t>米的</w:t>
      </w:r>
      <w:r>
        <w:rPr>
          <w:rFonts w:cs="Times New Roman" w:hint="eastAsia"/>
          <w:color w:val="000000" w:themeColor="text1"/>
          <w:sz w:val="24"/>
        </w:rPr>
        <w:t>1950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升逐渐向深部</w:t>
      </w:r>
      <w:r>
        <w:rPr>
          <w:rFonts w:cs="Times New Roman" w:hint="eastAsia"/>
          <w:color w:val="000000" w:themeColor="text1"/>
          <w:sz w:val="24"/>
        </w:rPr>
        <w:t>174</w:t>
      </w:r>
      <w:r>
        <w:rPr>
          <w:rFonts w:cs="Times New Roman" w:hint="eastAsia"/>
          <w:color w:val="000000" w:themeColor="text1"/>
          <w:sz w:val="24"/>
        </w:rPr>
        <w:t>米减小到</w:t>
      </w:r>
      <w:r>
        <w:rPr>
          <w:rFonts w:cs="Times New Roman" w:hint="eastAsia"/>
          <w:color w:val="000000" w:themeColor="text1"/>
          <w:sz w:val="24"/>
        </w:rPr>
        <w:t>1310-930</w:t>
      </w:r>
      <w:r>
        <w:rPr>
          <w:rFonts w:cs="Times New Roman" w:hint="eastAsia"/>
          <w:color w:val="000000" w:themeColor="text1"/>
          <w:sz w:val="24"/>
        </w:rPr>
        <w:t>毫克</w:t>
      </w:r>
      <w:r>
        <w:rPr>
          <w:rFonts w:cs="Times New Roman" w:hint="eastAsia"/>
          <w:color w:val="000000" w:themeColor="text1"/>
          <w:sz w:val="24"/>
        </w:rPr>
        <w:t>/</w:t>
      </w:r>
      <w:r>
        <w:rPr>
          <w:rFonts w:cs="Times New Roman" w:hint="eastAsia"/>
          <w:color w:val="000000" w:themeColor="text1"/>
          <w:sz w:val="24"/>
        </w:rPr>
        <w:t>升。</w:t>
      </w:r>
    </w:p>
    <w:p w:rsidR="00644456" w:rsidRDefault="008031C4">
      <w:pPr>
        <w:pStyle w:val="3"/>
        <w:numPr>
          <w:ilvl w:val="2"/>
          <w:numId w:val="0"/>
        </w:numPr>
        <w:ind w:firstLineChars="200" w:firstLine="482"/>
      </w:pPr>
      <w:r>
        <w:rPr>
          <w:rFonts w:hint="eastAsia"/>
        </w:rPr>
        <w:t>5.7.4</w:t>
      </w:r>
      <w:r>
        <w:rPr>
          <w:rFonts w:hint="eastAsia"/>
        </w:rPr>
        <w:t>地下水开发利用现状及污染源调查</w:t>
      </w:r>
    </w:p>
    <w:p w:rsidR="00644456" w:rsidRDefault="008031C4">
      <w:pPr>
        <w:spacing w:line="360" w:lineRule="auto"/>
        <w:ind w:firstLine="482"/>
        <w:rPr>
          <w:rFonts w:cs="Times New Roman"/>
          <w:color w:val="000000" w:themeColor="text1"/>
          <w:sz w:val="24"/>
        </w:rPr>
      </w:pPr>
      <w:r>
        <w:rPr>
          <w:rFonts w:cs="Times New Roman"/>
          <w:color w:val="000000" w:themeColor="text1"/>
          <w:sz w:val="24"/>
        </w:rPr>
        <w:t>1</w:t>
      </w:r>
      <w:r>
        <w:rPr>
          <w:rFonts w:cs="Times New Roman"/>
          <w:color w:val="000000" w:themeColor="text1"/>
          <w:sz w:val="24"/>
        </w:rPr>
        <w:t>、</w:t>
      </w:r>
      <w:r>
        <w:rPr>
          <w:rFonts w:cs="Times New Roman" w:hint="eastAsia"/>
          <w:color w:val="000000" w:themeColor="text1"/>
          <w:sz w:val="24"/>
        </w:rPr>
        <w:t>区域</w:t>
      </w:r>
      <w:r>
        <w:rPr>
          <w:rFonts w:cs="Times New Roman"/>
          <w:color w:val="000000" w:themeColor="text1"/>
          <w:sz w:val="24"/>
        </w:rPr>
        <w:t>地下水</w:t>
      </w:r>
      <w:r>
        <w:rPr>
          <w:rFonts w:cs="Times New Roman" w:hint="eastAsia"/>
          <w:color w:val="000000" w:themeColor="text1"/>
          <w:sz w:val="24"/>
        </w:rPr>
        <w:t>开发利用现状</w:t>
      </w:r>
    </w:p>
    <w:p w:rsidR="00644456" w:rsidRDefault="008031C4">
      <w:pPr>
        <w:spacing w:line="360" w:lineRule="auto"/>
        <w:ind w:firstLine="482"/>
        <w:rPr>
          <w:rFonts w:cs="Times New Roman"/>
          <w:color w:val="000000" w:themeColor="text1"/>
          <w:sz w:val="24"/>
        </w:rPr>
      </w:pPr>
      <w:r>
        <w:rPr>
          <w:rFonts w:cs="Times New Roman"/>
          <w:color w:val="000000" w:themeColor="text1"/>
          <w:sz w:val="24"/>
        </w:rPr>
        <w:t>根据现场调查访问，项目评价区为园区的工业企业，给水方式均为园区自来水，水源取自地表水，没有大量开发利用地下水资源。评价区域内周边无集中式饮用水源</w:t>
      </w:r>
      <w:r>
        <w:rPr>
          <w:rFonts w:cs="Times New Roman" w:hint="eastAsia"/>
          <w:color w:val="000000" w:themeColor="text1"/>
          <w:sz w:val="24"/>
        </w:rPr>
        <w:t>和分散式饮用水源</w:t>
      </w:r>
      <w:r>
        <w:rPr>
          <w:rFonts w:cs="Times New Roman"/>
          <w:color w:val="000000" w:themeColor="text1"/>
          <w:sz w:val="24"/>
        </w:rPr>
        <w:t>等敏感点。区域上，目前没有开发利用地下水及相关供水规划。因此，评价区无地下水资源开发利用。</w:t>
      </w:r>
    </w:p>
    <w:p w:rsidR="00644456" w:rsidRDefault="008031C4">
      <w:pPr>
        <w:spacing w:line="360" w:lineRule="auto"/>
        <w:ind w:firstLine="482"/>
        <w:rPr>
          <w:rFonts w:cs="Times New Roman"/>
          <w:color w:val="000000" w:themeColor="text1"/>
          <w:sz w:val="24"/>
        </w:rPr>
      </w:pPr>
      <w:r>
        <w:rPr>
          <w:rFonts w:cs="Times New Roman"/>
          <w:color w:val="000000" w:themeColor="text1"/>
          <w:sz w:val="24"/>
        </w:rPr>
        <w:t>2</w:t>
      </w:r>
      <w:r>
        <w:rPr>
          <w:rFonts w:cs="Times New Roman" w:hint="eastAsia"/>
          <w:color w:val="000000" w:themeColor="text1"/>
          <w:sz w:val="24"/>
        </w:rPr>
        <w:t>、</w:t>
      </w:r>
      <w:r>
        <w:rPr>
          <w:rFonts w:cs="Times New Roman"/>
          <w:color w:val="000000" w:themeColor="text1"/>
          <w:sz w:val="24"/>
        </w:rPr>
        <w:t>地下水污染源调查</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项目位于疏勒高新技术产业开发区，地下水评价范围内分布地下水污染源主要为工业污染源，</w:t>
      </w:r>
      <w:r>
        <w:rPr>
          <w:rFonts w:cs="Times New Roman" w:hint="eastAsia"/>
          <w:b/>
          <w:bCs/>
          <w:color w:val="000000" w:themeColor="text1"/>
          <w:sz w:val="24"/>
        </w:rPr>
        <w:t>如山钢集团莱芜钢铁新疆有限公司企业。</w:t>
      </w:r>
      <w:r>
        <w:rPr>
          <w:rFonts w:cs="Times New Roman" w:hint="eastAsia"/>
          <w:color w:val="000000" w:themeColor="text1"/>
          <w:sz w:val="24"/>
        </w:rPr>
        <w:t>评价范围内企业的有毒有害液体、生产废水等在非正常状况发生泄漏，通过淋滤或者垂直入渗途径进入到地下水环境，可能会污染区域地下水水质。</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4</w:t>
      </w:r>
      <w:r>
        <w:rPr>
          <w:rFonts w:cs="Times New Roman"/>
          <w:color w:val="000000" w:themeColor="text1"/>
          <w:sz w:val="24"/>
        </w:rPr>
        <w:t>、</w:t>
      </w:r>
      <w:r>
        <w:rPr>
          <w:rFonts w:cs="Times New Roman" w:hint="eastAsia"/>
          <w:color w:val="000000" w:themeColor="text1"/>
          <w:sz w:val="24"/>
        </w:rPr>
        <w:t>地下水环境功能</w:t>
      </w:r>
    </w:p>
    <w:p w:rsidR="00644456" w:rsidRDefault="008031C4">
      <w:pPr>
        <w:snapToGrid w:val="0"/>
        <w:spacing w:line="360" w:lineRule="auto"/>
        <w:ind w:firstLine="482"/>
        <w:rPr>
          <w:rFonts w:cs="Times New Roman"/>
          <w:color w:val="000000" w:themeColor="text1"/>
          <w:sz w:val="24"/>
        </w:rPr>
      </w:pPr>
      <w:r>
        <w:rPr>
          <w:rFonts w:cs="Times New Roman"/>
          <w:color w:val="000000" w:themeColor="text1"/>
          <w:sz w:val="24"/>
        </w:rPr>
        <w:t>地下水系统是一个具有综合服务功能的开放系统，是维持社会经济发展的重要供水水源，也是维持生态环境系统稳定的重要因素。依据《全国地下水功能区划分技术大纲》的要求和规定，地下水功能是指地下水的水质和水量及其在空间和时间上的变化对人类社会和环境所产生的作用或效应，它由地下水的资源功能、生态环境功能和地质环境功能组成。</w:t>
      </w:r>
    </w:p>
    <w:p w:rsidR="00644456" w:rsidRDefault="008031C4">
      <w:pPr>
        <w:spacing w:line="360" w:lineRule="auto"/>
        <w:ind w:firstLine="482"/>
        <w:rPr>
          <w:rFonts w:cs="Times New Roman"/>
          <w:color w:val="000000" w:themeColor="text1"/>
          <w:sz w:val="24"/>
        </w:rPr>
      </w:pPr>
      <w:r>
        <w:rPr>
          <w:rFonts w:ascii="宋体" w:hAnsi="宋体" w:cs="宋体" w:hint="eastAsia"/>
          <w:color w:val="000000" w:themeColor="text1"/>
          <w:sz w:val="24"/>
        </w:rPr>
        <w:t>①</w:t>
      </w:r>
      <w:r>
        <w:rPr>
          <w:rFonts w:cs="Times New Roman"/>
          <w:color w:val="000000" w:themeColor="text1"/>
          <w:sz w:val="24"/>
        </w:rPr>
        <w:t>地下水的资源功能是指具备一定的补给、储存和更新条件的地下水资源供给保障作用或效应。为了保持地下水的资源供给功能，首先在水量上，地下水要得到可持续的稳定补给，这样才能保障可持续开发。</w:t>
      </w:r>
    </w:p>
    <w:p w:rsidR="00644456" w:rsidRDefault="008031C4">
      <w:pPr>
        <w:spacing w:line="360" w:lineRule="auto"/>
        <w:ind w:firstLine="482"/>
        <w:rPr>
          <w:rFonts w:cs="Times New Roman"/>
          <w:color w:val="000000" w:themeColor="text1"/>
          <w:sz w:val="24"/>
        </w:rPr>
      </w:pPr>
      <w:r>
        <w:rPr>
          <w:rFonts w:ascii="宋体" w:hAnsi="宋体" w:cs="宋体" w:hint="eastAsia"/>
          <w:color w:val="000000" w:themeColor="text1"/>
          <w:sz w:val="24"/>
        </w:rPr>
        <w:t>②</w:t>
      </w:r>
      <w:r>
        <w:rPr>
          <w:rFonts w:cs="Times New Roman"/>
          <w:color w:val="000000" w:themeColor="text1"/>
          <w:sz w:val="24"/>
        </w:rPr>
        <w:t>地下水的生态功能是指地下水系统对陆表植被或湖泊、湿地或土地质量良性维持的作用或效应，如果地下水系统发生变化，则生态环境出现相应的改变。地表水生态系统（河道基流、湿地、泉水等）和陆地非地带性植被都需要地下水的补给和调节。地下水位下降和水质的恶化对地表生态系统会带来严重影响。</w:t>
      </w:r>
    </w:p>
    <w:p w:rsidR="00644456" w:rsidRDefault="008031C4">
      <w:pPr>
        <w:spacing w:line="360" w:lineRule="auto"/>
        <w:ind w:firstLine="482"/>
        <w:rPr>
          <w:rFonts w:cs="Times New Roman"/>
          <w:color w:val="000000" w:themeColor="text1"/>
          <w:sz w:val="24"/>
        </w:rPr>
      </w:pPr>
      <w:r>
        <w:rPr>
          <w:rFonts w:ascii="宋体" w:hAnsi="宋体" w:cs="宋体" w:hint="eastAsia"/>
          <w:color w:val="000000" w:themeColor="text1"/>
          <w:sz w:val="24"/>
        </w:rPr>
        <w:lastRenderedPageBreak/>
        <w:t>③</w:t>
      </w:r>
      <w:r>
        <w:rPr>
          <w:rFonts w:cs="Times New Roman"/>
          <w:color w:val="000000" w:themeColor="text1"/>
          <w:sz w:val="24"/>
        </w:rPr>
        <w:t>地下水的地质环境功能是指地下水的地质安全保障功能，是指地下水系统对其所赋存的地质环境稳定性所具有支撑和保护的作用或效应，如果地下水系统发生变化，则地质环境出现相应的改变。</w:t>
      </w:r>
    </w:p>
    <w:p w:rsidR="00644456" w:rsidRDefault="008031C4">
      <w:pPr>
        <w:spacing w:line="360" w:lineRule="auto"/>
        <w:ind w:firstLine="482"/>
        <w:rPr>
          <w:rFonts w:cs="Times New Roman"/>
          <w:color w:val="000000" w:themeColor="text1"/>
          <w:sz w:val="24"/>
        </w:rPr>
      </w:pPr>
      <w:r>
        <w:rPr>
          <w:rFonts w:cs="Times New Roman"/>
          <w:bCs/>
          <w:color w:val="000000" w:themeColor="text1"/>
          <w:sz w:val="24"/>
        </w:rPr>
        <w:t>本项目评价区内地下水未得以集中开发和利用，无分散供水水源。根据《全国地下水功能区划分技术大纲》的要求和实地调查项目区的地下水环境状况，本项目评价区地下水功能为生态</w:t>
      </w:r>
      <w:r>
        <w:rPr>
          <w:rFonts w:cs="Times New Roman" w:hint="eastAsia"/>
          <w:bCs/>
          <w:color w:val="000000" w:themeColor="text1"/>
          <w:sz w:val="24"/>
        </w:rPr>
        <w:t>环境地质</w:t>
      </w:r>
      <w:r>
        <w:rPr>
          <w:rFonts w:cs="Times New Roman"/>
          <w:bCs/>
          <w:color w:val="000000" w:themeColor="text1"/>
          <w:sz w:val="24"/>
        </w:rPr>
        <w:t>调节功能。</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5</w:t>
      </w:r>
      <w:r>
        <w:rPr>
          <w:rFonts w:cs="Times New Roman" w:hint="eastAsia"/>
          <w:color w:val="000000" w:themeColor="text1"/>
          <w:sz w:val="24"/>
        </w:rPr>
        <w:t>、</w:t>
      </w:r>
      <w:r>
        <w:rPr>
          <w:rFonts w:cs="Times New Roman"/>
          <w:color w:val="000000" w:themeColor="text1"/>
          <w:sz w:val="24"/>
        </w:rPr>
        <w:t>地下水环境保护目标</w:t>
      </w:r>
    </w:p>
    <w:p w:rsidR="00644456" w:rsidRDefault="008031C4">
      <w:pPr>
        <w:spacing w:line="360" w:lineRule="auto"/>
        <w:ind w:firstLine="482"/>
        <w:rPr>
          <w:rFonts w:cs="Times New Roman"/>
          <w:color w:val="000000" w:themeColor="text1"/>
          <w:sz w:val="24"/>
        </w:rPr>
      </w:pPr>
      <w:r>
        <w:rPr>
          <w:rFonts w:cs="Times New Roman"/>
          <w:color w:val="000000" w:themeColor="text1"/>
          <w:sz w:val="24"/>
        </w:rPr>
        <w:t>通过对项目所在区域地下水、地表水及环境状况调查，本项目所在区域地下水类型包括碎屑岩类裂隙水及岩浆岩类浅层风化裂隙水。</w:t>
      </w:r>
    </w:p>
    <w:p w:rsidR="00644456" w:rsidRDefault="008031C4">
      <w:pPr>
        <w:spacing w:line="360" w:lineRule="auto"/>
        <w:ind w:firstLine="482"/>
        <w:rPr>
          <w:rFonts w:cs="Times New Roman"/>
          <w:color w:val="000000" w:themeColor="text1"/>
          <w:sz w:val="24"/>
        </w:rPr>
      </w:pPr>
      <w:r>
        <w:rPr>
          <w:rFonts w:cs="Times New Roman"/>
          <w:color w:val="000000" w:themeColor="text1"/>
          <w:sz w:val="24"/>
        </w:rPr>
        <w:t>本项目评价区位于</w:t>
      </w:r>
      <w:r>
        <w:rPr>
          <w:rFonts w:cs="Times New Roman" w:hint="eastAsia"/>
          <w:color w:val="000000" w:themeColor="text1"/>
          <w:sz w:val="24"/>
        </w:rPr>
        <w:t>疏勒高新技术产业开发区</w:t>
      </w:r>
      <w:r>
        <w:rPr>
          <w:rFonts w:cs="Times New Roman"/>
          <w:color w:val="000000" w:themeColor="text1"/>
          <w:sz w:val="24"/>
        </w:rPr>
        <w:t>，项目周边均为园区工业企业及荒地。园区已实现自来水集中供水，供水水源为地表水。根据调查评价范围上游</w:t>
      </w:r>
      <w:r>
        <w:rPr>
          <w:rFonts w:cs="Times New Roman" w:hint="eastAsia"/>
          <w:color w:val="000000" w:themeColor="text1"/>
          <w:sz w:val="24"/>
        </w:rPr>
        <w:t>居民点</w:t>
      </w:r>
      <w:r>
        <w:rPr>
          <w:rFonts w:cs="Times New Roman"/>
          <w:color w:val="000000" w:themeColor="text1"/>
          <w:sz w:val="24"/>
        </w:rPr>
        <w:t>饮用水均为</w:t>
      </w:r>
      <w:r>
        <w:rPr>
          <w:rFonts w:cs="Times New Roman" w:hint="eastAsia"/>
          <w:color w:val="000000" w:themeColor="text1"/>
          <w:sz w:val="24"/>
        </w:rPr>
        <w:t>地表水</w:t>
      </w:r>
      <w:r>
        <w:rPr>
          <w:rFonts w:cs="Times New Roman"/>
          <w:color w:val="000000" w:themeColor="text1"/>
          <w:sz w:val="24"/>
        </w:rPr>
        <w:t>，</w:t>
      </w:r>
      <w:r>
        <w:rPr>
          <w:rFonts w:cs="Times New Roman" w:hint="eastAsia"/>
          <w:color w:val="000000" w:themeColor="text1"/>
          <w:sz w:val="24"/>
        </w:rPr>
        <w:t>不取用地下水</w:t>
      </w:r>
      <w:r>
        <w:rPr>
          <w:rFonts w:cs="Times New Roman"/>
          <w:color w:val="000000" w:themeColor="text1"/>
          <w:sz w:val="24"/>
        </w:rPr>
        <w:t>，</w:t>
      </w:r>
      <w:r>
        <w:rPr>
          <w:rFonts w:cs="Times New Roman" w:hint="eastAsia"/>
          <w:color w:val="000000" w:themeColor="text1"/>
          <w:sz w:val="24"/>
        </w:rPr>
        <w:t>且</w:t>
      </w:r>
      <w:r>
        <w:rPr>
          <w:rFonts w:cs="Times New Roman"/>
          <w:color w:val="000000" w:themeColor="text1"/>
          <w:sz w:val="24"/>
        </w:rPr>
        <w:t>无与地下水相关的水源保护区和</w:t>
      </w:r>
      <w:r>
        <w:rPr>
          <w:rFonts w:cs="Times New Roman" w:hint="eastAsia"/>
          <w:color w:val="000000" w:themeColor="text1"/>
          <w:sz w:val="24"/>
        </w:rPr>
        <w:t>其他</w:t>
      </w:r>
      <w:r>
        <w:rPr>
          <w:rFonts w:cs="Times New Roman"/>
          <w:color w:val="000000" w:themeColor="text1"/>
          <w:sz w:val="24"/>
        </w:rPr>
        <w:t>资源保护区。本项目地下水环境保护目标见下表。</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5.7-2</w:t>
      </w:r>
      <w:r>
        <w:rPr>
          <w:rFonts w:cs="Times New Roman" w:hint="eastAsia"/>
          <w:b/>
          <w:color w:val="000000" w:themeColor="text1"/>
          <w:sz w:val="24"/>
          <w:szCs w:val="20"/>
        </w:rPr>
        <w:t>本项目地下水保护目标</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99"/>
        <w:gridCol w:w="1661"/>
        <w:gridCol w:w="1582"/>
        <w:gridCol w:w="1702"/>
        <w:gridCol w:w="3597"/>
      </w:tblGrid>
      <w:tr w:rsidR="00644456">
        <w:trPr>
          <w:trHeight w:val="405"/>
          <w:tblHeader/>
          <w:jc w:val="center"/>
        </w:trPr>
        <w:tc>
          <w:tcPr>
            <w:tcW w:w="379" w:type="pct"/>
            <w:vAlign w:val="center"/>
          </w:tcPr>
          <w:p w:rsidR="00644456" w:rsidRDefault="008031C4">
            <w:pPr>
              <w:adjustRightInd w:val="0"/>
              <w:snapToGrid w:val="0"/>
              <w:jc w:val="center"/>
              <w:rPr>
                <w:color w:val="000000" w:themeColor="text1"/>
                <w:szCs w:val="21"/>
              </w:rPr>
            </w:pPr>
            <w:r>
              <w:rPr>
                <w:color w:val="000000" w:themeColor="text1"/>
                <w:szCs w:val="21"/>
              </w:rPr>
              <w:t>序号</w:t>
            </w:r>
          </w:p>
        </w:tc>
        <w:tc>
          <w:tcPr>
            <w:tcW w:w="898" w:type="pct"/>
            <w:vAlign w:val="center"/>
          </w:tcPr>
          <w:p w:rsidR="00644456" w:rsidRDefault="008031C4">
            <w:pPr>
              <w:adjustRightInd w:val="0"/>
              <w:snapToGrid w:val="0"/>
              <w:jc w:val="center"/>
              <w:rPr>
                <w:color w:val="000000" w:themeColor="text1"/>
                <w:szCs w:val="21"/>
              </w:rPr>
            </w:pPr>
            <w:r>
              <w:rPr>
                <w:color w:val="000000" w:themeColor="text1"/>
                <w:szCs w:val="21"/>
              </w:rPr>
              <w:t>保护目标</w:t>
            </w:r>
          </w:p>
        </w:tc>
        <w:tc>
          <w:tcPr>
            <w:tcW w:w="855" w:type="pct"/>
            <w:vAlign w:val="center"/>
          </w:tcPr>
          <w:p w:rsidR="00644456" w:rsidRDefault="008031C4">
            <w:pPr>
              <w:adjustRightInd w:val="0"/>
              <w:snapToGrid w:val="0"/>
              <w:jc w:val="center"/>
              <w:rPr>
                <w:color w:val="000000" w:themeColor="text1"/>
                <w:szCs w:val="21"/>
              </w:rPr>
            </w:pPr>
            <w:r>
              <w:rPr>
                <w:color w:val="000000" w:themeColor="text1"/>
                <w:szCs w:val="21"/>
              </w:rPr>
              <w:t>主要保护内容</w:t>
            </w:r>
          </w:p>
        </w:tc>
        <w:tc>
          <w:tcPr>
            <w:tcW w:w="920" w:type="pct"/>
            <w:vAlign w:val="center"/>
          </w:tcPr>
          <w:p w:rsidR="00644456" w:rsidRDefault="008031C4">
            <w:pPr>
              <w:adjustRightInd w:val="0"/>
              <w:snapToGrid w:val="0"/>
              <w:jc w:val="center"/>
              <w:rPr>
                <w:color w:val="000000" w:themeColor="text1"/>
                <w:szCs w:val="21"/>
              </w:rPr>
            </w:pPr>
            <w:r>
              <w:rPr>
                <w:color w:val="000000" w:themeColor="text1"/>
                <w:szCs w:val="21"/>
              </w:rPr>
              <w:t>位置关系</w:t>
            </w:r>
          </w:p>
        </w:tc>
        <w:tc>
          <w:tcPr>
            <w:tcW w:w="1945" w:type="pct"/>
            <w:vAlign w:val="center"/>
          </w:tcPr>
          <w:p w:rsidR="00644456" w:rsidRDefault="008031C4">
            <w:pPr>
              <w:adjustRightInd w:val="0"/>
              <w:snapToGrid w:val="0"/>
              <w:jc w:val="center"/>
              <w:rPr>
                <w:color w:val="000000" w:themeColor="text1"/>
                <w:szCs w:val="21"/>
              </w:rPr>
            </w:pPr>
            <w:r>
              <w:rPr>
                <w:color w:val="000000" w:themeColor="text1"/>
                <w:szCs w:val="21"/>
              </w:rPr>
              <w:t>开发利用情况</w:t>
            </w:r>
          </w:p>
        </w:tc>
      </w:tr>
      <w:tr w:rsidR="00644456">
        <w:trPr>
          <w:trHeight w:val="642"/>
          <w:jc w:val="center"/>
        </w:trPr>
        <w:tc>
          <w:tcPr>
            <w:tcW w:w="379" w:type="pct"/>
            <w:vAlign w:val="center"/>
          </w:tcPr>
          <w:p w:rsidR="00644456" w:rsidRDefault="008031C4">
            <w:pPr>
              <w:adjustRightInd w:val="0"/>
              <w:snapToGrid w:val="0"/>
              <w:jc w:val="center"/>
              <w:rPr>
                <w:color w:val="000000" w:themeColor="text1"/>
                <w:szCs w:val="21"/>
              </w:rPr>
            </w:pPr>
            <w:r>
              <w:rPr>
                <w:color w:val="000000" w:themeColor="text1"/>
                <w:szCs w:val="21"/>
              </w:rPr>
              <w:t>1</w:t>
            </w:r>
          </w:p>
        </w:tc>
        <w:tc>
          <w:tcPr>
            <w:tcW w:w="898" w:type="pct"/>
            <w:vAlign w:val="center"/>
          </w:tcPr>
          <w:p w:rsidR="00644456" w:rsidRDefault="008031C4">
            <w:pPr>
              <w:adjustRightInd w:val="0"/>
              <w:snapToGrid w:val="0"/>
              <w:jc w:val="center"/>
              <w:rPr>
                <w:color w:val="000000" w:themeColor="text1"/>
                <w:szCs w:val="21"/>
              </w:rPr>
            </w:pPr>
            <w:r>
              <w:rPr>
                <w:rFonts w:hint="eastAsia"/>
                <w:color w:val="000000" w:themeColor="text1"/>
                <w:szCs w:val="21"/>
              </w:rPr>
              <w:t>第四系松散岩类孔隙水</w:t>
            </w:r>
            <w:r>
              <w:rPr>
                <w:color w:val="000000" w:themeColor="text1"/>
                <w:szCs w:val="21"/>
              </w:rPr>
              <w:t>含水层</w:t>
            </w:r>
          </w:p>
        </w:tc>
        <w:tc>
          <w:tcPr>
            <w:tcW w:w="855" w:type="pct"/>
            <w:vAlign w:val="center"/>
          </w:tcPr>
          <w:p w:rsidR="00644456" w:rsidRDefault="008031C4">
            <w:pPr>
              <w:adjustRightInd w:val="0"/>
              <w:snapToGrid w:val="0"/>
              <w:jc w:val="center"/>
              <w:rPr>
                <w:color w:val="000000" w:themeColor="text1"/>
                <w:szCs w:val="21"/>
              </w:rPr>
            </w:pPr>
            <w:r>
              <w:rPr>
                <w:rFonts w:hint="eastAsia"/>
                <w:color w:val="000000" w:themeColor="text1"/>
                <w:szCs w:val="21"/>
              </w:rPr>
              <w:t>潜水含水层</w:t>
            </w:r>
          </w:p>
        </w:tc>
        <w:tc>
          <w:tcPr>
            <w:tcW w:w="920" w:type="pct"/>
            <w:vAlign w:val="center"/>
          </w:tcPr>
          <w:p w:rsidR="00644456" w:rsidRDefault="008031C4">
            <w:pPr>
              <w:adjustRightInd w:val="0"/>
              <w:snapToGrid w:val="0"/>
              <w:jc w:val="center"/>
              <w:rPr>
                <w:color w:val="000000" w:themeColor="text1"/>
                <w:szCs w:val="21"/>
              </w:rPr>
            </w:pPr>
            <w:r>
              <w:rPr>
                <w:color w:val="000000" w:themeColor="text1"/>
                <w:szCs w:val="21"/>
              </w:rPr>
              <w:t>项目厂区下伏含水层</w:t>
            </w:r>
          </w:p>
        </w:tc>
        <w:tc>
          <w:tcPr>
            <w:tcW w:w="1945" w:type="pct"/>
            <w:vAlign w:val="center"/>
          </w:tcPr>
          <w:p w:rsidR="00644456" w:rsidRDefault="008031C4">
            <w:pPr>
              <w:adjustRightInd w:val="0"/>
              <w:snapToGrid w:val="0"/>
              <w:jc w:val="center"/>
              <w:rPr>
                <w:color w:val="000000" w:themeColor="text1"/>
                <w:szCs w:val="21"/>
              </w:rPr>
            </w:pPr>
            <w:r>
              <w:rPr>
                <w:color w:val="000000" w:themeColor="text1"/>
                <w:szCs w:val="21"/>
              </w:rPr>
              <w:t>调查范围位于</w:t>
            </w:r>
            <w:r>
              <w:rPr>
                <w:rFonts w:hint="eastAsia"/>
                <w:bCs/>
                <w:color w:val="000000" w:themeColor="text1"/>
                <w:szCs w:val="21"/>
              </w:rPr>
              <w:t>疏勒高新技术产业开发区</w:t>
            </w:r>
            <w:r>
              <w:rPr>
                <w:color w:val="000000" w:themeColor="text1"/>
                <w:szCs w:val="21"/>
              </w:rPr>
              <w:t>，区内无地下水的开发利用</w:t>
            </w:r>
          </w:p>
        </w:tc>
      </w:tr>
    </w:tbl>
    <w:p w:rsidR="00644456" w:rsidRDefault="008031C4">
      <w:pPr>
        <w:pStyle w:val="3"/>
        <w:numPr>
          <w:ilvl w:val="2"/>
          <w:numId w:val="0"/>
        </w:numPr>
        <w:ind w:firstLineChars="200" w:firstLine="482"/>
      </w:pPr>
      <w:r>
        <w:rPr>
          <w:rFonts w:hint="eastAsia"/>
        </w:rPr>
        <w:t>5.7.5</w:t>
      </w:r>
      <w:r>
        <w:rPr>
          <w:rFonts w:hint="eastAsia"/>
        </w:rPr>
        <w:t>地下水环境影响识别</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5.7.5.1</w:t>
      </w:r>
      <w:r>
        <w:rPr>
          <w:rFonts w:cs="Times New Roman"/>
          <w:snapToGrid w:val="0"/>
          <w:color w:val="000000" w:themeColor="text1"/>
          <w:kern w:val="0"/>
          <w:szCs w:val="24"/>
        </w:rPr>
        <w:t>地下水污染源分析</w:t>
      </w:r>
    </w:p>
    <w:p w:rsidR="00644456" w:rsidRDefault="008031C4">
      <w:pPr>
        <w:spacing w:line="360" w:lineRule="auto"/>
        <w:ind w:firstLine="482"/>
        <w:rPr>
          <w:rFonts w:cs="Times New Roman"/>
          <w:color w:val="000000" w:themeColor="text1"/>
          <w:sz w:val="24"/>
        </w:rPr>
      </w:pPr>
      <w:r>
        <w:rPr>
          <w:rFonts w:cs="Times New Roman"/>
          <w:color w:val="000000" w:themeColor="text1"/>
          <w:sz w:val="24"/>
        </w:rPr>
        <w:t>根据《环境影响评价技术导则</w:t>
      </w:r>
      <w:r>
        <w:rPr>
          <w:rFonts w:cs="Times New Roman"/>
          <w:color w:val="000000" w:themeColor="text1"/>
          <w:sz w:val="24"/>
        </w:rPr>
        <w:t>—</w:t>
      </w:r>
      <w:r>
        <w:rPr>
          <w:rFonts w:cs="Times New Roman"/>
          <w:color w:val="000000" w:themeColor="text1"/>
          <w:sz w:val="24"/>
        </w:rPr>
        <w:t>地下水环境》（</w:t>
      </w:r>
      <w:r>
        <w:rPr>
          <w:rFonts w:cs="Times New Roman"/>
          <w:color w:val="000000" w:themeColor="text1"/>
          <w:sz w:val="24"/>
        </w:rPr>
        <w:t>HJ610-2016</w:t>
      </w:r>
      <w:r>
        <w:rPr>
          <w:rFonts w:cs="Times New Roman"/>
          <w:color w:val="000000" w:themeColor="text1"/>
          <w:sz w:val="24"/>
        </w:rPr>
        <w:t>）要求，本项目构筑物均需采取相应的防渗措施。正常工况条件下，在采取防渗措施后，本项目涉及的各构筑物仅存在少量的跑、冒、滴、漏，对地下水环境影响较小，但在非正常运行状态下，受生产线设备老化及防渗系统等环保设施腐蚀等因素影响，生产溶液和生产废水泄漏并部分</w:t>
      </w:r>
      <w:r>
        <w:rPr>
          <w:rFonts w:cs="Times New Roman" w:hint="eastAsia"/>
          <w:color w:val="000000" w:themeColor="text1"/>
          <w:sz w:val="24"/>
        </w:rPr>
        <w:t>渗入</w:t>
      </w:r>
      <w:r>
        <w:rPr>
          <w:rFonts w:cs="Times New Roman"/>
          <w:color w:val="000000" w:themeColor="text1"/>
          <w:sz w:val="24"/>
        </w:rPr>
        <w:t>含水层，将会对区内地下水水质造成影响。</w:t>
      </w:r>
    </w:p>
    <w:bookmarkStart w:id="380" w:name="_Toc180824216"/>
    <w:bookmarkStart w:id="381" w:name="_Toc3880"/>
    <w:bookmarkStart w:id="382" w:name="_Toc30892"/>
    <w:bookmarkStart w:id="383" w:name="_Toc64081501"/>
    <w:bookmarkStart w:id="384" w:name="_Toc30546"/>
    <w:bookmarkStart w:id="385" w:name="_Toc180817084"/>
    <w:bookmarkStart w:id="386" w:name="_Toc180817064"/>
    <w:bookmarkStart w:id="387" w:name="_Toc180824164"/>
    <w:p w:rsidR="00644456" w:rsidRDefault="008031C4">
      <w:pPr>
        <w:spacing w:line="360" w:lineRule="auto"/>
        <w:ind w:firstLine="482"/>
        <w:rPr>
          <w:rFonts w:cs="Times New Roman"/>
          <w:color w:val="000000" w:themeColor="text1"/>
          <w:sz w:val="24"/>
        </w:rPr>
      </w:pPr>
      <w:r>
        <w:rPr>
          <w:rFonts w:cs="Times New Roman"/>
          <w:color w:val="000000" w:themeColor="text1"/>
          <w:sz w:val="24"/>
        </w:rPr>
        <w:fldChar w:fldCharType="begin"/>
      </w:r>
      <w:r>
        <w:rPr>
          <w:rFonts w:cs="Times New Roman" w:hint="eastAsia"/>
          <w:color w:val="000000" w:themeColor="text1"/>
          <w:sz w:val="24"/>
        </w:rPr>
        <w:instrText>= 1 \* GB3</w:instrText>
      </w:r>
      <w:r>
        <w:rPr>
          <w:rFonts w:cs="Times New Roman"/>
          <w:color w:val="000000" w:themeColor="text1"/>
          <w:sz w:val="24"/>
        </w:rPr>
        <w:fldChar w:fldCharType="separate"/>
      </w:r>
      <w:r>
        <w:rPr>
          <w:rFonts w:cs="Times New Roman" w:hint="eastAsia"/>
          <w:color w:val="000000" w:themeColor="text1"/>
          <w:sz w:val="24"/>
        </w:rPr>
        <w:t>①</w:t>
      </w:r>
      <w:r>
        <w:rPr>
          <w:rFonts w:cs="Times New Roman"/>
          <w:color w:val="000000" w:themeColor="text1"/>
          <w:sz w:val="24"/>
        </w:rPr>
        <w:fldChar w:fldCharType="end"/>
      </w:r>
      <w:r>
        <w:rPr>
          <w:rFonts w:cs="Times New Roman" w:hint="eastAsia"/>
          <w:color w:val="000000" w:themeColor="text1"/>
          <w:sz w:val="24"/>
        </w:rPr>
        <w:t>地下水</w:t>
      </w:r>
      <w:r>
        <w:rPr>
          <w:rFonts w:cs="Times New Roman"/>
          <w:color w:val="000000" w:themeColor="text1"/>
          <w:sz w:val="24"/>
        </w:rPr>
        <w:t>污染源项识别</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本项目工程内容包括罐区、装置区域、装卸区域、污水处理设施、车间及综合楼等公辅工程。</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项目各涉水生产工序及对应的构筑物见下表：</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5.7-3</w:t>
      </w:r>
      <w:r>
        <w:rPr>
          <w:rFonts w:cs="Times New Roman" w:hint="eastAsia"/>
          <w:b/>
          <w:color w:val="000000" w:themeColor="text1"/>
          <w:sz w:val="24"/>
          <w:szCs w:val="20"/>
        </w:rPr>
        <w:t>本项目地下水环境影响识别</w:t>
      </w:r>
    </w:p>
    <w:tbl>
      <w:tblPr>
        <w:tblStyle w:val="affff4"/>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746"/>
        <w:gridCol w:w="2746"/>
        <w:gridCol w:w="2746"/>
      </w:tblGrid>
      <w:tr w:rsidR="00644456">
        <w:trPr>
          <w:trHeight w:val="553"/>
          <w:jc w:val="center"/>
        </w:trPr>
        <w:tc>
          <w:tcPr>
            <w:tcW w:w="2746" w:type="dxa"/>
            <w:vAlign w:val="center"/>
          </w:tcPr>
          <w:p w:rsidR="00644456" w:rsidRDefault="008031C4">
            <w:pPr>
              <w:widowControl/>
              <w:jc w:val="center"/>
              <w:rPr>
                <w:color w:val="000000" w:themeColor="text1"/>
              </w:rPr>
            </w:pPr>
            <w:r>
              <w:rPr>
                <w:rFonts w:hint="eastAsia"/>
                <w:color w:val="000000" w:themeColor="text1"/>
              </w:rPr>
              <w:t>工艺名称</w:t>
            </w:r>
          </w:p>
        </w:tc>
        <w:tc>
          <w:tcPr>
            <w:tcW w:w="2746" w:type="dxa"/>
            <w:vAlign w:val="center"/>
          </w:tcPr>
          <w:p w:rsidR="00644456" w:rsidRDefault="008031C4">
            <w:pPr>
              <w:widowControl/>
              <w:jc w:val="center"/>
              <w:rPr>
                <w:color w:val="000000" w:themeColor="text1"/>
              </w:rPr>
            </w:pPr>
            <w:r>
              <w:rPr>
                <w:rFonts w:hint="eastAsia"/>
                <w:color w:val="000000" w:themeColor="text1"/>
              </w:rPr>
              <w:t>工艺涉及的构筑物</w:t>
            </w:r>
          </w:p>
        </w:tc>
        <w:tc>
          <w:tcPr>
            <w:tcW w:w="2746" w:type="dxa"/>
            <w:vAlign w:val="center"/>
          </w:tcPr>
          <w:p w:rsidR="00644456" w:rsidRDefault="008031C4">
            <w:pPr>
              <w:widowControl/>
              <w:jc w:val="center"/>
              <w:rPr>
                <w:color w:val="000000" w:themeColor="text1"/>
              </w:rPr>
            </w:pPr>
            <w:r>
              <w:rPr>
                <w:rFonts w:hint="eastAsia"/>
                <w:color w:val="000000" w:themeColor="text1"/>
              </w:rPr>
              <w:t>污染物类型</w:t>
            </w:r>
          </w:p>
        </w:tc>
      </w:tr>
      <w:tr w:rsidR="00DE0F42">
        <w:trPr>
          <w:trHeight w:val="272"/>
          <w:jc w:val="center"/>
        </w:trPr>
        <w:tc>
          <w:tcPr>
            <w:tcW w:w="2746" w:type="dxa"/>
            <w:vAlign w:val="center"/>
          </w:tcPr>
          <w:p w:rsidR="00DE0F42" w:rsidRDefault="00DE0F42">
            <w:pPr>
              <w:widowControl/>
              <w:jc w:val="center"/>
              <w:rPr>
                <w:color w:val="000000" w:themeColor="text1"/>
              </w:rPr>
            </w:pPr>
            <w:r>
              <w:rPr>
                <w:rFonts w:hint="eastAsia"/>
                <w:color w:val="000000" w:themeColor="text1"/>
              </w:rPr>
              <w:lastRenderedPageBreak/>
              <w:t>原料储存</w:t>
            </w:r>
          </w:p>
        </w:tc>
        <w:tc>
          <w:tcPr>
            <w:tcW w:w="2746" w:type="dxa"/>
            <w:vAlign w:val="center"/>
          </w:tcPr>
          <w:p w:rsidR="00DE0F42" w:rsidRDefault="00DE0F42">
            <w:pPr>
              <w:widowControl/>
              <w:jc w:val="center"/>
              <w:rPr>
                <w:color w:val="000000" w:themeColor="text1"/>
              </w:rPr>
            </w:pPr>
            <w:r>
              <w:rPr>
                <w:rFonts w:hint="eastAsia"/>
                <w:color w:val="000000" w:themeColor="text1"/>
              </w:rPr>
              <w:t>储罐</w:t>
            </w:r>
          </w:p>
        </w:tc>
        <w:tc>
          <w:tcPr>
            <w:tcW w:w="2746" w:type="dxa"/>
            <w:vMerge w:val="restart"/>
            <w:vAlign w:val="center"/>
          </w:tcPr>
          <w:p w:rsidR="00DE0F42" w:rsidRDefault="00DE0F42">
            <w:pPr>
              <w:widowControl/>
              <w:jc w:val="center"/>
              <w:rPr>
                <w:color w:val="000000" w:themeColor="text1"/>
              </w:rPr>
            </w:pPr>
            <w:r>
              <w:rPr>
                <w:rFonts w:hint="eastAsia"/>
                <w:color w:val="000000" w:themeColor="text1"/>
              </w:rPr>
              <w:t>CODCr</w:t>
            </w:r>
            <w:r>
              <w:rPr>
                <w:rFonts w:hint="eastAsia"/>
                <w:color w:val="000000" w:themeColor="text1"/>
              </w:rPr>
              <w:t>、</w:t>
            </w:r>
            <w:r>
              <w:rPr>
                <w:rFonts w:hint="eastAsia"/>
                <w:color w:val="000000" w:themeColor="text1"/>
              </w:rPr>
              <w:t>BOD</w:t>
            </w:r>
            <w:r w:rsidRPr="00DE0F42">
              <w:rPr>
                <w:rFonts w:hint="eastAsia"/>
                <w:color w:val="000000" w:themeColor="text1"/>
                <w:vertAlign w:val="subscript"/>
              </w:rPr>
              <w:t>5</w:t>
            </w:r>
            <w:r>
              <w:rPr>
                <w:rFonts w:hint="eastAsia"/>
                <w:color w:val="000000" w:themeColor="text1"/>
              </w:rPr>
              <w:t>、</w:t>
            </w:r>
            <w:r>
              <w:rPr>
                <w:rFonts w:hint="eastAsia"/>
                <w:color w:val="000000" w:themeColor="text1"/>
              </w:rPr>
              <w:t>SS</w:t>
            </w:r>
            <w:r>
              <w:rPr>
                <w:rFonts w:hint="eastAsia"/>
                <w:color w:val="000000" w:themeColor="text1"/>
              </w:rPr>
              <w:t>、</w:t>
            </w:r>
          </w:p>
          <w:p w:rsidR="00DE0F42" w:rsidRDefault="00DE0F42">
            <w:pPr>
              <w:widowControl/>
              <w:jc w:val="center"/>
              <w:rPr>
                <w:color w:val="000000" w:themeColor="text1"/>
              </w:rPr>
            </w:pPr>
            <w:r>
              <w:rPr>
                <w:rFonts w:hint="eastAsia"/>
                <w:color w:val="000000" w:themeColor="text1"/>
              </w:rPr>
              <w:t>NH</w:t>
            </w:r>
            <w:r w:rsidRPr="00DE0F42">
              <w:rPr>
                <w:rFonts w:hint="eastAsia"/>
                <w:color w:val="000000" w:themeColor="text1"/>
                <w:vertAlign w:val="subscript"/>
              </w:rPr>
              <w:t>3</w:t>
            </w:r>
            <w:r>
              <w:rPr>
                <w:rFonts w:hint="eastAsia"/>
                <w:color w:val="000000" w:themeColor="text1"/>
              </w:rPr>
              <w:t>-N</w:t>
            </w:r>
            <w:r>
              <w:rPr>
                <w:rFonts w:hint="eastAsia"/>
                <w:color w:val="000000" w:themeColor="text1"/>
              </w:rPr>
              <w:t>、石油类等</w:t>
            </w:r>
          </w:p>
        </w:tc>
      </w:tr>
      <w:tr w:rsidR="00DE0F42">
        <w:trPr>
          <w:trHeight w:val="309"/>
          <w:jc w:val="center"/>
        </w:trPr>
        <w:tc>
          <w:tcPr>
            <w:tcW w:w="2746" w:type="dxa"/>
            <w:vAlign w:val="center"/>
          </w:tcPr>
          <w:p w:rsidR="00DE0F42" w:rsidRDefault="00DE0F42">
            <w:pPr>
              <w:widowControl/>
              <w:jc w:val="center"/>
              <w:rPr>
                <w:color w:val="000000" w:themeColor="text1"/>
              </w:rPr>
            </w:pPr>
            <w:r>
              <w:rPr>
                <w:rFonts w:hint="eastAsia"/>
                <w:color w:val="000000" w:themeColor="text1"/>
              </w:rPr>
              <w:t>生产装置</w:t>
            </w:r>
          </w:p>
        </w:tc>
        <w:tc>
          <w:tcPr>
            <w:tcW w:w="2746" w:type="dxa"/>
            <w:vAlign w:val="center"/>
          </w:tcPr>
          <w:p w:rsidR="00DE0F42" w:rsidRDefault="00DE0F42">
            <w:pPr>
              <w:widowControl/>
              <w:jc w:val="center"/>
              <w:rPr>
                <w:color w:val="000000" w:themeColor="text1"/>
              </w:rPr>
            </w:pPr>
            <w:r>
              <w:rPr>
                <w:rFonts w:hint="eastAsia"/>
                <w:color w:val="000000" w:themeColor="text1"/>
              </w:rPr>
              <w:t>管道</w:t>
            </w:r>
          </w:p>
        </w:tc>
        <w:tc>
          <w:tcPr>
            <w:tcW w:w="2746" w:type="dxa"/>
            <w:vMerge/>
            <w:vAlign w:val="center"/>
          </w:tcPr>
          <w:p w:rsidR="00DE0F42" w:rsidRDefault="00DE0F42">
            <w:pPr>
              <w:widowControl/>
              <w:jc w:val="center"/>
              <w:rPr>
                <w:color w:val="000000" w:themeColor="text1"/>
              </w:rPr>
            </w:pPr>
          </w:p>
        </w:tc>
      </w:tr>
      <w:tr w:rsidR="00DE0F42">
        <w:trPr>
          <w:trHeight w:val="272"/>
          <w:jc w:val="center"/>
        </w:trPr>
        <w:tc>
          <w:tcPr>
            <w:tcW w:w="2746" w:type="dxa"/>
            <w:vAlign w:val="center"/>
          </w:tcPr>
          <w:p w:rsidR="00DE0F42" w:rsidRDefault="00DE0F42">
            <w:pPr>
              <w:widowControl/>
              <w:jc w:val="center"/>
              <w:rPr>
                <w:color w:val="000000" w:themeColor="text1"/>
              </w:rPr>
            </w:pPr>
            <w:r>
              <w:rPr>
                <w:rFonts w:hint="eastAsia"/>
                <w:color w:val="000000" w:themeColor="text1"/>
              </w:rPr>
              <w:t>装卸</w:t>
            </w:r>
          </w:p>
        </w:tc>
        <w:tc>
          <w:tcPr>
            <w:tcW w:w="2746" w:type="dxa"/>
            <w:vAlign w:val="center"/>
          </w:tcPr>
          <w:p w:rsidR="00DE0F42" w:rsidRDefault="00DE0F42">
            <w:pPr>
              <w:widowControl/>
              <w:jc w:val="center"/>
              <w:rPr>
                <w:color w:val="000000" w:themeColor="text1"/>
              </w:rPr>
            </w:pPr>
            <w:r>
              <w:rPr>
                <w:rFonts w:hint="eastAsia"/>
                <w:color w:val="000000" w:themeColor="text1"/>
              </w:rPr>
              <w:t>管道</w:t>
            </w:r>
          </w:p>
        </w:tc>
        <w:tc>
          <w:tcPr>
            <w:tcW w:w="2746" w:type="dxa"/>
            <w:vMerge/>
            <w:vAlign w:val="center"/>
          </w:tcPr>
          <w:p w:rsidR="00DE0F42" w:rsidRDefault="00DE0F42">
            <w:pPr>
              <w:widowControl/>
              <w:jc w:val="center"/>
              <w:rPr>
                <w:color w:val="000000" w:themeColor="text1"/>
              </w:rPr>
            </w:pPr>
          </w:p>
        </w:tc>
      </w:tr>
      <w:tr w:rsidR="00DE0F42" w:rsidTr="007B7F59">
        <w:trPr>
          <w:trHeight w:val="272"/>
          <w:jc w:val="center"/>
        </w:trPr>
        <w:tc>
          <w:tcPr>
            <w:tcW w:w="2746" w:type="dxa"/>
            <w:vAlign w:val="center"/>
          </w:tcPr>
          <w:p w:rsidR="00DE0F42" w:rsidRDefault="00DE0F42" w:rsidP="007B7F59">
            <w:pPr>
              <w:widowControl/>
              <w:jc w:val="center"/>
              <w:rPr>
                <w:color w:val="000000" w:themeColor="text1"/>
              </w:rPr>
            </w:pPr>
            <w:r>
              <w:rPr>
                <w:rFonts w:hint="eastAsia"/>
                <w:color w:val="000000" w:themeColor="text1"/>
              </w:rPr>
              <w:t>污水处理站</w:t>
            </w:r>
          </w:p>
        </w:tc>
        <w:tc>
          <w:tcPr>
            <w:tcW w:w="2746" w:type="dxa"/>
            <w:vAlign w:val="center"/>
          </w:tcPr>
          <w:p w:rsidR="00DE0F42" w:rsidRDefault="00DE0F42" w:rsidP="007B7F59">
            <w:pPr>
              <w:widowControl/>
              <w:jc w:val="center"/>
              <w:rPr>
                <w:color w:val="000000" w:themeColor="text1"/>
              </w:rPr>
            </w:pPr>
            <w:r>
              <w:rPr>
                <w:rFonts w:hint="eastAsia"/>
                <w:color w:val="000000" w:themeColor="text1"/>
              </w:rPr>
              <w:t>调节池</w:t>
            </w:r>
          </w:p>
        </w:tc>
        <w:tc>
          <w:tcPr>
            <w:tcW w:w="2746" w:type="dxa"/>
            <w:vMerge/>
            <w:vAlign w:val="center"/>
          </w:tcPr>
          <w:p w:rsidR="00DE0F42" w:rsidRDefault="00DE0F42" w:rsidP="007B7F59">
            <w:pPr>
              <w:widowControl/>
              <w:jc w:val="center"/>
              <w:rPr>
                <w:color w:val="000000" w:themeColor="text1"/>
              </w:rPr>
            </w:pPr>
          </w:p>
        </w:tc>
      </w:tr>
      <w:tr w:rsidR="00DE0F42">
        <w:trPr>
          <w:trHeight w:val="272"/>
          <w:jc w:val="center"/>
        </w:trPr>
        <w:tc>
          <w:tcPr>
            <w:tcW w:w="2746" w:type="dxa"/>
            <w:vAlign w:val="center"/>
          </w:tcPr>
          <w:p w:rsidR="00DE0F42" w:rsidRDefault="00DE0F42">
            <w:pPr>
              <w:widowControl/>
              <w:jc w:val="center"/>
              <w:rPr>
                <w:color w:val="000000" w:themeColor="text1"/>
              </w:rPr>
            </w:pPr>
            <w:r>
              <w:rPr>
                <w:rFonts w:hint="eastAsia"/>
                <w:color w:val="000000" w:themeColor="text1"/>
              </w:rPr>
              <w:t>危废暂存间</w:t>
            </w:r>
          </w:p>
        </w:tc>
        <w:tc>
          <w:tcPr>
            <w:tcW w:w="2746" w:type="dxa"/>
            <w:vAlign w:val="center"/>
          </w:tcPr>
          <w:p w:rsidR="00DE0F42" w:rsidRDefault="00DE0F42">
            <w:pPr>
              <w:widowControl/>
              <w:jc w:val="center"/>
              <w:rPr>
                <w:color w:val="000000" w:themeColor="text1"/>
              </w:rPr>
            </w:pPr>
            <w:r>
              <w:rPr>
                <w:rFonts w:hint="eastAsia"/>
                <w:color w:val="000000" w:themeColor="text1"/>
              </w:rPr>
              <w:t>暂存桶</w:t>
            </w:r>
          </w:p>
        </w:tc>
        <w:tc>
          <w:tcPr>
            <w:tcW w:w="2746" w:type="dxa"/>
            <w:vMerge/>
            <w:vAlign w:val="center"/>
          </w:tcPr>
          <w:p w:rsidR="00DE0F42" w:rsidRDefault="00DE0F42">
            <w:pPr>
              <w:widowControl/>
              <w:jc w:val="center"/>
              <w:rPr>
                <w:color w:val="000000" w:themeColor="text1"/>
              </w:rPr>
            </w:pPr>
          </w:p>
        </w:tc>
      </w:tr>
    </w:tbl>
    <w:p w:rsidR="00644456" w:rsidRDefault="008031C4">
      <w:pPr>
        <w:snapToGrid w:val="0"/>
        <w:spacing w:line="360" w:lineRule="auto"/>
        <w:ind w:firstLine="482"/>
        <w:rPr>
          <w:rFonts w:cs="Times New Roman"/>
          <w:color w:val="000000" w:themeColor="text1"/>
          <w:sz w:val="24"/>
        </w:rPr>
      </w:pPr>
      <w:r>
        <w:rPr>
          <w:rFonts w:cs="Times New Roman" w:hint="eastAsia"/>
          <w:color w:val="000000" w:themeColor="text1"/>
          <w:sz w:val="24"/>
        </w:rPr>
        <w:t>通过以上分析，本项目各生产车间中，罐区、装置区域、装卸区域其运行过程中可能出现跑、冒、滴、漏的废水进入地下水系统。</w:t>
      </w:r>
    </w:p>
    <w:p w:rsidR="00644456" w:rsidRDefault="008031C4">
      <w:pPr>
        <w:snapToGrid w:val="0"/>
        <w:spacing w:line="360" w:lineRule="auto"/>
        <w:ind w:firstLine="482"/>
        <w:rPr>
          <w:rFonts w:cs="Times New Roman"/>
          <w:color w:val="000000" w:themeColor="text1"/>
          <w:sz w:val="24"/>
        </w:rPr>
      </w:pPr>
      <w:r>
        <w:rPr>
          <w:rFonts w:cs="Times New Roman" w:hint="eastAsia"/>
          <w:color w:val="000000" w:themeColor="text1"/>
          <w:sz w:val="24"/>
        </w:rPr>
        <w:t>除生产车间外，项目厂区内还设置有废水处理站，其中废水处理站内的处理池体内废水可能在池体内稳定水头驱使下下渗进入地下水系统。</w:t>
      </w:r>
    </w:p>
    <w:p w:rsidR="00644456" w:rsidRDefault="008031C4">
      <w:pPr>
        <w:snapToGrid w:val="0"/>
        <w:spacing w:line="360" w:lineRule="auto"/>
        <w:ind w:firstLine="482"/>
        <w:rPr>
          <w:rFonts w:cs="Times New Roman"/>
          <w:color w:val="000000" w:themeColor="text1"/>
          <w:sz w:val="24"/>
        </w:rPr>
      </w:pPr>
      <w:r>
        <w:rPr>
          <w:rFonts w:cs="Times New Roman" w:hint="eastAsia"/>
          <w:color w:val="000000" w:themeColor="text1"/>
          <w:sz w:val="24"/>
        </w:rPr>
        <w:t>为防止项目运行对地下水系统产生影响，环评要求项目应采取分区防渗措施，分为重点防渗区、一般防渗区及简单防渗区。</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5.7.5.2</w:t>
      </w:r>
      <w:r>
        <w:rPr>
          <w:rFonts w:cs="Times New Roman"/>
          <w:snapToGrid w:val="0"/>
          <w:color w:val="000000" w:themeColor="text1"/>
          <w:kern w:val="0"/>
          <w:szCs w:val="24"/>
        </w:rPr>
        <w:t>预测情景及源强计算</w:t>
      </w:r>
    </w:p>
    <w:p w:rsidR="00644456" w:rsidRDefault="008031C4">
      <w:pPr>
        <w:snapToGrid w:val="0"/>
        <w:spacing w:line="360" w:lineRule="auto"/>
        <w:ind w:firstLine="482"/>
        <w:rPr>
          <w:rFonts w:cs="Times New Roman"/>
          <w:color w:val="000000" w:themeColor="text1"/>
          <w:sz w:val="24"/>
        </w:rPr>
      </w:pPr>
      <w:bookmarkStart w:id="388" w:name="_Toc28177669"/>
      <w:r>
        <w:rPr>
          <w:rFonts w:cs="Times New Roman" w:hint="eastAsia"/>
          <w:color w:val="000000" w:themeColor="text1"/>
          <w:sz w:val="24"/>
        </w:rPr>
        <w:t>根据地下水污染源分析，本项目主要的可能对地下水产生影响的构筑物包括罐区、装置区域、装卸区域、污水处理设施。项目设计废矿物油储罐下设置足够数量的砂土等吸附物质，以用于液态废物泄漏后阻止其向外溢出；装置区域耐腐蚀的硬化地面，且表面无裂隙；并设置有事故池运行对地下水环境的影响较小，本次环评主要以</w:t>
      </w:r>
      <w:r>
        <w:rPr>
          <w:rFonts w:cs="Times New Roman" w:hint="eastAsia"/>
          <w:b/>
          <w:bCs/>
          <w:color w:val="000000" w:themeColor="text1"/>
          <w:sz w:val="24"/>
        </w:rPr>
        <w:t>废水处理站</w:t>
      </w:r>
      <w:r>
        <w:rPr>
          <w:rFonts w:cs="Times New Roman" w:hint="eastAsia"/>
          <w:color w:val="000000" w:themeColor="text1"/>
          <w:sz w:val="24"/>
        </w:rPr>
        <w:t>为预测重点，对其进行运行状况设计。</w:t>
      </w:r>
    </w:p>
    <w:p w:rsidR="00644456" w:rsidRDefault="008031C4">
      <w:pPr>
        <w:snapToGrid w:val="0"/>
        <w:spacing w:line="360" w:lineRule="auto"/>
        <w:ind w:firstLine="482"/>
        <w:rPr>
          <w:rFonts w:cs="Times New Roman"/>
          <w:color w:val="000000" w:themeColor="text1"/>
          <w:sz w:val="24"/>
        </w:rPr>
      </w:pPr>
      <w:r>
        <w:rPr>
          <w:rFonts w:cs="Times New Roman" w:hint="eastAsia"/>
          <w:color w:val="000000" w:themeColor="text1"/>
          <w:sz w:val="24"/>
        </w:rPr>
        <w:t>1</w:t>
      </w:r>
      <w:r>
        <w:rPr>
          <w:rFonts w:cs="Times New Roman" w:hint="eastAsia"/>
          <w:color w:val="000000" w:themeColor="text1"/>
          <w:sz w:val="24"/>
        </w:rPr>
        <w:t>）正常状况：项目在正常状况下运行，液态物料的跑、冒、滴、漏，废水处理站内废水仅存在少量废水在池体稳定水头驱使下的渗漏，但在以上构筑物采取的防渗措施完好的情况下，受防渗层阻隔，跑、冒、滴、漏的废水不会进入地下水系统，废水处理站的废水量下渗量极少，不会对区内地下水水质产生影响。</w:t>
      </w:r>
    </w:p>
    <w:p w:rsidR="00644456" w:rsidRDefault="008031C4">
      <w:pPr>
        <w:snapToGrid w:val="0"/>
        <w:spacing w:line="360" w:lineRule="auto"/>
        <w:ind w:firstLine="482"/>
        <w:rPr>
          <w:rFonts w:cs="Times New Roman"/>
          <w:b/>
          <w:bCs/>
          <w:color w:val="000000" w:themeColor="text1"/>
          <w:sz w:val="24"/>
        </w:rPr>
      </w:pPr>
      <w:r>
        <w:rPr>
          <w:rFonts w:cs="Times New Roman" w:hint="eastAsia"/>
          <w:color w:val="000000" w:themeColor="text1"/>
          <w:sz w:val="24"/>
        </w:rPr>
        <w:t>2</w:t>
      </w:r>
      <w:r>
        <w:rPr>
          <w:rFonts w:cs="Times New Roman" w:hint="eastAsia"/>
          <w:color w:val="000000" w:themeColor="text1"/>
          <w:sz w:val="24"/>
        </w:rPr>
        <w:t>）非正常状况：项目在非正常状况下运行，</w:t>
      </w:r>
      <w:r>
        <w:rPr>
          <w:rFonts w:cs="Times New Roman" w:hint="eastAsia"/>
          <w:b/>
          <w:bCs/>
          <w:color w:val="000000" w:themeColor="text1"/>
          <w:sz w:val="24"/>
        </w:rPr>
        <w:t>根据项目区包气带岩土性质，取泄漏废水的</w:t>
      </w:r>
      <w:r>
        <w:rPr>
          <w:rFonts w:cs="Times New Roman" w:hint="eastAsia"/>
          <w:b/>
          <w:bCs/>
          <w:color w:val="000000" w:themeColor="text1"/>
          <w:sz w:val="24"/>
        </w:rPr>
        <w:t>2%</w:t>
      </w:r>
      <w:r>
        <w:rPr>
          <w:rFonts w:cs="Times New Roman" w:hint="eastAsia"/>
          <w:b/>
          <w:bCs/>
          <w:color w:val="000000" w:themeColor="text1"/>
          <w:sz w:val="24"/>
        </w:rPr>
        <w:t>下渗进入含水层，废水处理站池体防渗层老化面积占池体面积的</w:t>
      </w:r>
      <w:r>
        <w:rPr>
          <w:rFonts w:cs="Times New Roman" w:hint="eastAsia"/>
          <w:b/>
          <w:bCs/>
          <w:color w:val="000000" w:themeColor="text1"/>
          <w:sz w:val="24"/>
        </w:rPr>
        <w:t>5%</w:t>
      </w:r>
      <w:r>
        <w:rPr>
          <w:rFonts w:cs="Times New Roman" w:hint="eastAsia"/>
          <w:b/>
          <w:bCs/>
          <w:color w:val="000000" w:themeColor="text1"/>
          <w:sz w:val="24"/>
        </w:rPr>
        <w:t>，在处理站发生泄漏事故</w:t>
      </w:r>
      <w:r>
        <w:rPr>
          <w:rFonts w:cs="Times New Roman" w:hint="eastAsia"/>
          <w:b/>
          <w:bCs/>
          <w:color w:val="000000" w:themeColor="text1"/>
          <w:sz w:val="24"/>
        </w:rPr>
        <w:t>90d</w:t>
      </w:r>
      <w:r>
        <w:rPr>
          <w:rFonts w:cs="Times New Roman" w:hint="eastAsia"/>
          <w:b/>
          <w:bCs/>
          <w:color w:val="000000" w:themeColor="text1"/>
          <w:sz w:val="24"/>
        </w:rPr>
        <w:t>后在场区下游监测井发现污染物浓度异常升高，此时清空站内废水，实施防渗层检修。</w:t>
      </w:r>
    </w:p>
    <w:p w:rsidR="00644456" w:rsidRDefault="008031C4">
      <w:pPr>
        <w:snapToGrid w:val="0"/>
        <w:spacing w:line="360" w:lineRule="auto"/>
        <w:ind w:firstLine="482"/>
        <w:rPr>
          <w:rFonts w:cs="Times New Roman"/>
          <w:color w:val="000000" w:themeColor="text1"/>
          <w:sz w:val="24"/>
        </w:rPr>
      </w:pPr>
      <w:r>
        <w:rPr>
          <w:rFonts w:cs="Times New Roman" w:hint="eastAsia"/>
          <w:color w:val="000000" w:themeColor="text1"/>
          <w:sz w:val="24"/>
        </w:rPr>
        <w:t>①下渗量</w:t>
      </w:r>
    </w:p>
    <w:p w:rsidR="00644456" w:rsidRDefault="008031C4">
      <w:pPr>
        <w:snapToGrid w:val="0"/>
        <w:spacing w:line="360" w:lineRule="auto"/>
        <w:ind w:firstLine="482"/>
        <w:rPr>
          <w:rFonts w:cs="Times New Roman"/>
          <w:color w:val="000000" w:themeColor="text1"/>
          <w:sz w:val="24"/>
        </w:rPr>
      </w:pPr>
      <w:r>
        <w:rPr>
          <w:rFonts w:cs="Times New Roman" w:hint="eastAsia"/>
          <w:color w:val="000000" w:themeColor="text1"/>
          <w:sz w:val="24"/>
        </w:rPr>
        <w:t>1</w:t>
      </w:r>
      <w:r>
        <w:rPr>
          <w:rFonts w:cs="Times New Roman" w:hint="eastAsia"/>
          <w:color w:val="000000" w:themeColor="text1"/>
          <w:sz w:val="24"/>
        </w:rPr>
        <w:t>）正常状况下渗量</w:t>
      </w:r>
    </w:p>
    <w:p w:rsidR="00644456" w:rsidRDefault="008031C4">
      <w:pPr>
        <w:snapToGrid w:val="0"/>
        <w:spacing w:line="360" w:lineRule="auto"/>
        <w:ind w:firstLine="482"/>
        <w:rPr>
          <w:rFonts w:cs="Times New Roman"/>
          <w:color w:val="000000" w:themeColor="text1"/>
          <w:sz w:val="24"/>
        </w:rPr>
      </w:pPr>
      <w:r>
        <w:rPr>
          <w:rFonts w:cs="Times New Roman" w:hint="eastAsia"/>
          <w:color w:val="000000" w:themeColor="text1"/>
          <w:sz w:val="24"/>
        </w:rPr>
        <w:t>项目在正常状况下运行，废水处理站内废水在稳定水头驱使下的渗漏，但受防渗层阻隔，跑、冒、滴、漏的废水不会进入地下水系统，废水处理站渗漏进入含水层的污染物量极少，不会对地下水水质产生影响。</w:t>
      </w:r>
    </w:p>
    <w:p w:rsidR="00644456" w:rsidRDefault="008031C4">
      <w:pPr>
        <w:snapToGrid w:val="0"/>
        <w:spacing w:line="360" w:lineRule="auto"/>
        <w:ind w:firstLine="482"/>
        <w:rPr>
          <w:rFonts w:cs="Times New Roman"/>
          <w:color w:val="000000" w:themeColor="text1"/>
          <w:sz w:val="24"/>
        </w:rPr>
      </w:pPr>
      <w:r>
        <w:rPr>
          <w:rFonts w:cs="Times New Roman" w:hint="eastAsia"/>
          <w:color w:val="000000" w:themeColor="text1"/>
          <w:sz w:val="24"/>
        </w:rPr>
        <w:t>2</w:t>
      </w:r>
      <w:r>
        <w:rPr>
          <w:rFonts w:cs="Times New Roman" w:hint="eastAsia"/>
          <w:color w:val="000000" w:themeColor="text1"/>
          <w:sz w:val="24"/>
        </w:rPr>
        <w:t>）非正常状况下渗量</w:t>
      </w:r>
    </w:p>
    <w:p w:rsidR="00644456" w:rsidRDefault="008031C4">
      <w:pPr>
        <w:snapToGrid w:val="0"/>
        <w:spacing w:line="360" w:lineRule="auto"/>
        <w:ind w:firstLine="482"/>
        <w:rPr>
          <w:rFonts w:cs="Times New Roman"/>
          <w:color w:val="000000" w:themeColor="text1"/>
          <w:sz w:val="24"/>
        </w:rPr>
      </w:pPr>
      <w:r>
        <w:rPr>
          <w:rFonts w:cs="Times New Roman" w:hint="eastAsia"/>
          <w:color w:val="000000" w:themeColor="text1"/>
          <w:sz w:val="24"/>
        </w:rPr>
        <w:t>非正常状况下，废水处理站</w:t>
      </w:r>
      <w:r>
        <w:rPr>
          <w:rFonts w:cs="Times New Roman" w:hint="eastAsia"/>
          <w:color w:val="000000" w:themeColor="text1"/>
          <w:sz w:val="24"/>
        </w:rPr>
        <w:t>5%</w:t>
      </w:r>
      <w:r>
        <w:rPr>
          <w:rFonts w:cs="Times New Roman" w:hint="eastAsia"/>
          <w:color w:val="000000" w:themeColor="text1"/>
          <w:sz w:val="24"/>
        </w:rPr>
        <w:t>的池体防渗层出现泄漏，利用达西公式计算非正常</w:t>
      </w:r>
      <w:r>
        <w:rPr>
          <w:rFonts w:cs="Times New Roman" w:hint="eastAsia"/>
          <w:color w:val="000000" w:themeColor="text1"/>
          <w:sz w:val="24"/>
        </w:rPr>
        <w:lastRenderedPageBreak/>
        <w:t>状况下废水处理站池体污水的下渗量，如下：</w:t>
      </w:r>
    </w:p>
    <w:p w:rsidR="00644456" w:rsidRDefault="008031C4">
      <w:pPr>
        <w:snapToGrid w:val="0"/>
        <w:spacing w:line="360" w:lineRule="auto"/>
        <w:ind w:firstLine="482"/>
        <w:jc w:val="center"/>
        <w:rPr>
          <w:rFonts w:cs="Times New Roman"/>
          <w:color w:val="000000" w:themeColor="text1"/>
          <w:sz w:val="24"/>
        </w:rPr>
      </w:pPr>
      <w:r>
        <w:rPr>
          <w:noProof/>
        </w:rPr>
        <w:drawing>
          <wp:inline distT="0" distB="0" distL="0" distR="0" wp14:anchorId="3158DB05" wp14:editId="38D725E2">
            <wp:extent cx="1161415" cy="247015"/>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9"/>
                    <a:stretch>
                      <a:fillRect/>
                    </a:stretch>
                  </pic:blipFill>
                  <pic:spPr>
                    <a:xfrm>
                      <a:off x="0" y="0"/>
                      <a:ext cx="1161905" cy="247619"/>
                    </a:xfrm>
                    <a:prstGeom prst="rect">
                      <a:avLst/>
                    </a:prstGeom>
                  </pic:spPr>
                </pic:pic>
              </a:graphicData>
            </a:graphic>
          </wp:inline>
        </w:drawing>
      </w:r>
    </w:p>
    <w:p w:rsidR="00644456" w:rsidRDefault="008031C4">
      <w:pPr>
        <w:snapToGrid w:val="0"/>
        <w:spacing w:line="360" w:lineRule="auto"/>
        <w:ind w:firstLine="482"/>
        <w:rPr>
          <w:rFonts w:cs="Times New Roman"/>
          <w:color w:val="000000" w:themeColor="text1"/>
          <w:sz w:val="24"/>
        </w:rPr>
      </w:pPr>
      <w:r>
        <w:rPr>
          <w:rFonts w:cs="Times New Roman" w:hint="eastAsia"/>
          <w:color w:val="000000" w:themeColor="text1"/>
          <w:sz w:val="24"/>
        </w:rPr>
        <w:t>式中：</w:t>
      </w:r>
      <w:r>
        <w:rPr>
          <w:noProof/>
        </w:rPr>
        <w:drawing>
          <wp:inline distT="0" distB="0" distL="0" distR="0" wp14:anchorId="30D52B7D" wp14:editId="7CF232D2">
            <wp:extent cx="237490" cy="208915"/>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80"/>
                    <a:stretch>
                      <a:fillRect/>
                    </a:stretch>
                  </pic:blipFill>
                  <pic:spPr>
                    <a:xfrm>
                      <a:off x="0" y="0"/>
                      <a:ext cx="238095" cy="209524"/>
                    </a:xfrm>
                    <a:prstGeom prst="rect">
                      <a:avLst/>
                    </a:prstGeom>
                  </pic:spPr>
                </pic:pic>
              </a:graphicData>
            </a:graphic>
          </wp:inline>
        </w:drawing>
      </w:r>
      <w:r>
        <w:rPr>
          <w:rFonts w:cs="Times New Roman" w:hint="eastAsia"/>
          <w:color w:val="000000" w:themeColor="text1"/>
          <w:sz w:val="24"/>
        </w:rPr>
        <w:t>—下渗量（</w:t>
      </w:r>
      <w:r>
        <w:rPr>
          <w:rFonts w:cs="Times New Roman" w:hint="eastAsia"/>
          <w:color w:val="000000" w:themeColor="text1"/>
          <w:sz w:val="24"/>
        </w:rPr>
        <w:t>m</w:t>
      </w:r>
      <w:r>
        <w:rPr>
          <w:rFonts w:cs="Times New Roman" w:hint="eastAsia"/>
          <w:color w:val="000000" w:themeColor="text1"/>
          <w:sz w:val="24"/>
          <w:vertAlign w:val="superscript"/>
        </w:rPr>
        <w:t>3</w:t>
      </w:r>
      <w:r>
        <w:rPr>
          <w:rFonts w:cs="Times New Roman" w:hint="eastAsia"/>
          <w:color w:val="000000" w:themeColor="text1"/>
          <w:sz w:val="24"/>
        </w:rPr>
        <w:t>/d</w:t>
      </w:r>
      <w:r>
        <w:rPr>
          <w:rFonts w:cs="Times New Roman" w:hint="eastAsia"/>
          <w:color w:val="000000" w:themeColor="text1"/>
          <w:sz w:val="24"/>
        </w:rPr>
        <w:t>）；</w:t>
      </w:r>
    </w:p>
    <w:p w:rsidR="00644456" w:rsidRDefault="008031C4">
      <w:pPr>
        <w:pStyle w:val="affffff4"/>
        <w:numPr>
          <w:ilvl w:val="0"/>
          <w:numId w:val="7"/>
        </w:numPr>
        <w:snapToGrid w:val="0"/>
        <w:spacing w:line="360" w:lineRule="auto"/>
        <w:ind w:firstLine="482"/>
        <w:rPr>
          <w:rFonts w:cs="Times New Roman"/>
          <w:color w:val="000000" w:themeColor="text1"/>
          <w:sz w:val="24"/>
        </w:rPr>
      </w:pPr>
      <w:r>
        <w:rPr>
          <w:rFonts w:cs="Times New Roman" w:hint="eastAsia"/>
          <w:color w:val="000000" w:themeColor="text1"/>
          <w:sz w:val="24"/>
        </w:rPr>
        <w:t>—渗透系数（m/d）；</w:t>
      </w:r>
    </w:p>
    <w:p w:rsidR="00644456" w:rsidRDefault="008031C4">
      <w:pPr>
        <w:pStyle w:val="affffff4"/>
        <w:numPr>
          <w:ilvl w:val="0"/>
          <w:numId w:val="8"/>
        </w:numPr>
        <w:snapToGrid w:val="0"/>
        <w:spacing w:line="360" w:lineRule="auto"/>
        <w:ind w:firstLine="482"/>
        <w:rPr>
          <w:rFonts w:cs="Times New Roman"/>
          <w:color w:val="000000" w:themeColor="text1"/>
          <w:sz w:val="24"/>
        </w:rPr>
      </w:pPr>
      <w:r>
        <w:rPr>
          <w:rFonts w:cs="Times New Roman" w:hint="eastAsia"/>
          <w:color w:val="000000" w:themeColor="text1"/>
          <w:sz w:val="24"/>
        </w:rPr>
        <w:t>—水力坡度；</w:t>
      </w:r>
    </w:p>
    <w:p w:rsidR="00644456" w:rsidRDefault="008031C4">
      <w:pPr>
        <w:snapToGrid w:val="0"/>
        <w:spacing w:line="360" w:lineRule="auto"/>
        <w:ind w:firstLine="482"/>
        <w:rPr>
          <w:rFonts w:cs="Times New Roman"/>
          <w:color w:val="000000" w:themeColor="text1"/>
          <w:sz w:val="24"/>
        </w:rPr>
      </w:pPr>
      <w:r>
        <w:rPr>
          <w:rFonts w:cs="Times New Roman" w:hint="eastAsia"/>
          <w:color w:val="000000" w:themeColor="text1"/>
          <w:sz w:val="24"/>
        </w:rPr>
        <w:t>A</w:t>
      </w:r>
      <w:r>
        <w:rPr>
          <w:rFonts w:cs="Times New Roman" w:hint="eastAsia"/>
          <w:color w:val="000000" w:themeColor="text1"/>
          <w:sz w:val="24"/>
        </w:rPr>
        <w:t>—渗漏面积（</w:t>
      </w:r>
      <w:r>
        <w:rPr>
          <w:rFonts w:cs="Times New Roman" w:hint="eastAsia"/>
          <w:color w:val="000000" w:themeColor="text1"/>
          <w:sz w:val="24"/>
        </w:rPr>
        <w:t>m</w:t>
      </w:r>
      <w:r>
        <w:rPr>
          <w:rFonts w:cs="Times New Roman" w:hint="eastAsia"/>
          <w:color w:val="000000" w:themeColor="text1"/>
          <w:sz w:val="24"/>
          <w:vertAlign w:val="superscript"/>
        </w:rPr>
        <w:t>2</w:t>
      </w:r>
      <w:r>
        <w:rPr>
          <w:rFonts w:cs="Times New Roman" w:hint="eastAsia"/>
          <w:color w:val="000000" w:themeColor="text1"/>
          <w:sz w:val="24"/>
        </w:rPr>
        <w:t>）。</w:t>
      </w:r>
    </w:p>
    <w:p w:rsidR="00644456" w:rsidRDefault="008031C4">
      <w:pPr>
        <w:snapToGrid w:val="0"/>
        <w:spacing w:line="360" w:lineRule="auto"/>
        <w:ind w:firstLine="482"/>
        <w:rPr>
          <w:rFonts w:cs="Times New Roman"/>
          <w:color w:val="000000" w:themeColor="text1"/>
          <w:sz w:val="24"/>
        </w:rPr>
      </w:pPr>
      <w:r>
        <w:rPr>
          <w:rFonts w:cs="Times New Roman" w:hint="eastAsia"/>
          <w:color w:val="000000" w:themeColor="text1"/>
          <w:sz w:val="24"/>
        </w:rPr>
        <w:t>②污染因子及浓度分析</w:t>
      </w:r>
    </w:p>
    <w:p w:rsidR="00644456" w:rsidRDefault="008031C4">
      <w:pPr>
        <w:pStyle w:val="affffffff"/>
        <w:ind w:firstLine="482"/>
        <w:rPr>
          <w:b/>
          <w:bCs/>
          <w:color w:val="000000" w:themeColor="text1"/>
        </w:rPr>
      </w:pPr>
      <w:r>
        <w:rPr>
          <w:rFonts w:hint="eastAsia"/>
          <w:b/>
          <w:bCs/>
          <w:color w:val="000000" w:themeColor="text1"/>
        </w:rPr>
        <w:t>项目非正常工况下，选取</w:t>
      </w:r>
      <w:r w:rsidR="00DE0F42">
        <w:rPr>
          <w:rFonts w:hint="eastAsia"/>
          <w:b/>
          <w:bCs/>
          <w:color w:val="000000" w:themeColor="text1"/>
        </w:rPr>
        <w:t>石油类、硫化物</w:t>
      </w:r>
      <w:r>
        <w:rPr>
          <w:rFonts w:hint="eastAsia"/>
          <w:b/>
          <w:bCs/>
          <w:color w:val="000000" w:themeColor="text1"/>
        </w:rPr>
        <w:t>作为预测因子。</w:t>
      </w:r>
    </w:p>
    <w:p w:rsidR="00644456" w:rsidRDefault="008031C4">
      <w:pPr>
        <w:autoSpaceDE w:val="0"/>
        <w:autoSpaceDN w:val="0"/>
        <w:adjustRightInd w:val="0"/>
        <w:jc w:val="center"/>
        <w:rPr>
          <w:rFonts w:cs="Times New Roman"/>
          <w:b/>
          <w:color w:val="000000" w:themeColor="text1"/>
          <w:sz w:val="24"/>
          <w:szCs w:val="20"/>
        </w:rPr>
      </w:pPr>
      <w:bookmarkStart w:id="389" w:name="_Hlk179551561"/>
      <w:r>
        <w:rPr>
          <w:rFonts w:cs="Times New Roman" w:hint="eastAsia"/>
          <w:b/>
          <w:color w:val="000000" w:themeColor="text1"/>
          <w:sz w:val="24"/>
          <w:szCs w:val="20"/>
        </w:rPr>
        <w:t>表</w:t>
      </w:r>
      <w:r>
        <w:rPr>
          <w:rFonts w:cs="Times New Roman" w:hint="eastAsia"/>
          <w:b/>
          <w:color w:val="000000" w:themeColor="text1"/>
          <w:sz w:val="24"/>
          <w:szCs w:val="20"/>
        </w:rPr>
        <w:t>5.7-4</w:t>
      </w:r>
      <w:r>
        <w:rPr>
          <w:rFonts w:cs="Times New Roman" w:hint="eastAsia"/>
          <w:b/>
          <w:color w:val="000000" w:themeColor="text1"/>
          <w:sz w:val="24"/>
          <w:szCs w:val="20"/>
        </w:rPr>
        <w:t>非正常状况下各产污构筑物污染物下渗情况表</w:t>
      </w:r>
    </w:p>
    <w:tbl>
      <w:tblPr>
        <w:tblStyle w:val="affff4"/>
        <w:tblW w:w="9214"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64"/>
        <w:gridCol w:w="1113"/>
        <w:gridCol w:w="1186"/>
        <w:gridCol w:w="1096"/>
        <w:gridCol w:w="1112"/>
        <w:gridCol w:w="1063"/>
        <w:gridCol w:w="1387"/>
        <w:gridCol w:w="1193"/>
      </w:tblGrid>
      <w:tr w:rsidR="00644456" w:rsidTr="00DE0F42">
        <w:trPr>
          <w:jc w:val="center"/>
        </w:trPr>
        <w:tc>
          <w:tcPr>
            <w:tcW w:w="1064" w:type="dxa"/>
            <w:vMerge w:val="restart"/>
            <w:vAlign w:val="center"/>
          </w:tcPr>
          <w:p w:rsidR="00644456" w:rsidRDefault="008031C4">
            <w:pPr>
              <w:adjustRightInd w:val="0"/>
              <w:jc w:val="center"/>
              <w:textAlignment w:val="baseline"/>
              <w:rPr>
                <w:rFonts w:cs="Times New Roman"/>
                <w:color w:val="000000" w:themeColor="text1"/>
                <w:kern w:val="0"/>
                <w:szCs w:val="21"/>
              </w:rPr>
            </w:pPr>
            <w:r>
              <w:rPr>
                <w:rFonts w:cs="Times New Roman"/>
                <w:color w:val="000000" w:themeColor="text1"/>
                <w:kern w:val="0"/>
                <w:szCs w:val="21"/>
              </w:rPr>
              <w:t>构筑物</w:t>
            </w:r>
          </w:p>
        </w:tc>
        <w:tc>
          <w:tcPr>
            <w:tcW w:w="1113" w:type="dxa"/>
            <w:vMerge w:val="restart"/>
            <w:vAlign w:val="center"/>
          </w:tcPr>
          <w:p w:rsidR="00644456" w:rsidRDefault="008031C4">
            <w:pPr>
              <w:adjustRightInd w:val="0"/>
              <w:jc w:val="center"/>
              <w:textAlignment w:val="baseline"/>
              <w:rPr>
                <w:rFonts w:cs="Times New Roman"/>
                <w:color w:val="000000" w:themeColor="text1"/>
                <w:kern w:val="0"/>
                <w:szCs w:val="21"/>
              </w:rPr>
            </w:pPr>
            <w:r>
              <w:rPr>
                <w:rFonts w:cs="Times New Roman"/>
                <w:color w:val="000000" w:themeColor="text1"/>
                <w:kern w:val="0"/>
                <w:szCs w:val="21"/>
              </w:rPr>
              <w:t>废水泄漏量（</w:t>
            </w:r>
            <w:r>
              <w:rPr>
                <w:rFonts w:cs="Times New Roman"/>
                <w:color w:val="000000" w:themeColor="text1"/>
                <w:kern w:val="0"/>
                <w:szCs w:val="21"/>
              </w:rPr>
              <w:t>m</w:t>
            </w:r>
            <w:r>
              <w:rPr>
                <w:rFonts w:cs="Times New Roman"/>
                <w:color w:val="000000" w:themeColor="text1"/>
                <w:kern w:val="0"/>
                <w:szCs w:val="21"/>
                <w:vertAlign w:val="superscript"/>
              </w:rPr>
              <w:t>3</w:t>
            </w:r>
            <w:r>
              <w:rPr>
                <w:rFonts w:cs="Times New Roman"/>
                <w:color w:val="000000" w:themeColor="text1"/>
                <w:kern w:val="0"/>
                <w:szCs w:val="21"/>
              </w:rPr>
              <w:t>）</w:t>
            </w:r>
          </w:p>
        </w:tc>
        <w:tc>
          <w:tcPr>
            <w:tcW w:w="1186" w:type="dxa"/>
            <w:vMerge w:val="restart"/>
            <w:vAlign w:val="center"/>
          </w:tcPr>
          <w:p w:rsidR="00644456" w:rsidRDefault="008031C4">
            <w:pPr>
              <w:adjustRightInd w:val="0"/>
              <w:jc w:val="center"/>
              <w:textAlignment w:val="baseline"/>
              <w:rPr>
                <w:rFonts w:cs="Times New Roman"/>
                <w:color w:val="000000" w:themeColor="text1"/>
                <w:kern w:val="0"/>
                <w:szCs w:val="21"/>
              </w:rPr>
            </w:pPr>
            <w:r>
              <w:rPr>
                <w:rFonts w:cs="Times New Roman"/>
                <w:color w:val="000000" w:themeColor="text1"/>
                <w:kern w:val="0"/>
                <w:szCs w:val="21"/>
              </w:rPr>
              <w:t>单日废水下渗量（</w:t>
            </w:r>
            <w:r>
              <w:rPr>
                <w:rFonts w:cs="Times New Roman"/>
                <w:color w:val="000000" w:themeColor="text1"/>
                <w:kern w:val="0"/>
                <w:szCs w:val="21"/>
              </w:rPr>
              <w:t>m</w:t>
            </w:r>
            <w:r>
              <w:rPr>
                <w:rFonts w:cs="Times New Roman"/>
                <w:color w:val="000000" w:themeColor="text1"/>
                <w:kern w:val="0"/>
                <w:szCs w:val="21"/>
                <w:vertAlign w:val="superscript"/>
              </w:rPr>
              <w:t>3</w:t>
            </w:r>
            <w:r>
              <w:rPr>
                <w:rFonts w:cs="Times New Roman"/>
                <w:color w:val="000000" w:themeColor="text1"/>
                <w:kern w:val="0"/>
                <w:szCs w:val="21"/>
              </w:rPr>
              <w:t>/d</w:t>
            </w:r>
            <w:r>
              <w:rPr>
                <w:rFonts w:cs="Times New Roman"/>
                <w:color w:val="000000" w:themeColor="text1"/>
                <w:kern w:val="0"/>
                <w:szCs w:val="21"/>
              </w:rPr>
              <w:t>）</w:t>
            </w:r>
          </w:p>
        </w:tc>
        <w:tc>
          <w:tcPr>
            <w:tcW w:w="1096" w:type="dxa"/>
            <w:vMerge w:val="restart"/>
            <w:vAlign w:val="center"/>
          </w:tcPr>
          <w:p w:rsidR="00644456" w:rsidRDefault="008031C4">
            <w:pPr>
              <w:adjustRightInd w:val="0"/>
              <w:jc w:val="center"/>
              <w:textAlignment w:val="baseline"/>
              <w:rPr>
                <w:rFonts w:cs="Times New Roman"/>
                <w:color w:val="000000" w:themeColor="text1"/>
                <w:kern w:val="0"/>
                <w:szCs w:val="21"/>
              </w:rPr>
            </w:pPr>
            <w:r>
              <w:rPr>
                <w:rFonts w:cs="Times New Roman"/>
                <w:color w:val="000000" w:themeColor="text1"/>
                <w:kern w:val="0"/>
                <w:szCs w:val="21"/>
              </w:rPr>
              <w:t>下渗持续时间（</w:t>
            </w:r>
            <w:r>
              <w:rPr>
                <w:rFonts w:cs="Times New Roman"/>
                <w:color w:val="000000" w:themeColor="text1"/>
                <w:kern w:val="0"/>
                <w:szCs w:val="21"/>
              </w:rPr>
              <w:t>d</w:t>
            </w:r>
            <w:r>
              <w:rPr>
                <w:rFonts w:cs="Times New Roman"/>
                <w:color w:val="000000" w:themeColor="text1"/>
                <w:kern w:val="0"/>
                <w:szCs w:val="21"/>
              </w:rPr>
              <w:t>）</w:t>
            </w:r>
          </w:p>
        </w:tc>
        <w:tc>
          <w:tcPr>
            <w:tcW w:w="1112" w:type="dxa"/>
            <w:vMerge w:val="restart"/>
            <w:vAlign w:val="center"/>
          </w:tcPr>
          <w:p w:rsidR="00644456" w:rsidRDefault="008031C4">
            <w:pPr>
              <w:adjustRightInd w:val="0"/>
              <w:jc w:val="center"/>
              <w:textAlignment w:val="baseline"/>
              <w:rPr>
                <w:rFonts w:cs="Times New Roman"/>
                <w:color w:val="000000" w:themeColor="text1"/>
                <w:kern w:val="0"/>
                <w:szCs w:val="21"/>
              </w:rPr>
            </w:pPr>
            <w:r>
              <w:rPr>
                <w:rFonts w:cs="Times New Roman"/>
                <w:color w:val="000000" w:themeColor="text1"/>
                <w:kern w:val="0"/>
                <w:szCs w:val="21"/>
              </w:rPr>
              <w:t>废水下渗总量（</w:t>
            </w:r>
            <w:r>
              <w:rPr>
                <w:rFonts w:cs="Times New Roman"/>
                <w:color w:val="000000" w:themeColor="text1"/>
                <w:kern w:val="0"/>
                <w:szCs w:val="21"/>
              </w:rPr>
              <w:t>m</w:t>
            </w:r>
            <w:r>
              <w:rPr>
                <w:rFonts w:cs="Times New Roman"/>
                <w:color w:val="000000" w:themeColor="text1"/>
                <w:kern w:val="0"/>
                <w:szCs w:val="21"/>
                <w:vertAlign w:val="superscript"/>
              </w:rPr>
              <w:t>3</w:t>
            </w:r>
            <w:r>
              <w:rPr>
                <w:rFonts w:cs="Times New Roman"/>
                <w:color w:val="000000" w:themeColor="text1"/>
                <w:kern w:val="0"/>
                <w:szCs w:val="21"/>
              </w:rPr>
              <w:t>）</w:t>
            </w:r>
          </w:p>
        </w:tc>
        <w:tc>
          <w:tcPr>
            <w:tcW w:w="3643" w:type="dxa"/>
            <w:gridSpan w:val="3"/>
            <w:vAlign w:val="center"/>
          </w:tcPr>
          <w:p w:rsidR="00644456" w:rsidRDefault="008031C4">
            <w:pPr>
              <w:adjustRightInd w:val="0"/>
              <w:jc w:val="center"/>
              <w:textAlignment w:val="baseline"/>
              <w:rPr>
                <w:rFonts w:cs="Times New Roman"/>
                <w:color w:val="000000" w:themeColor="text1"/>
                <w:kern w:val="0"/>
                <w:szCs w:val="21"/>
              </w:rPr>
            </w:pPr>
            <w:r>
              <w:rPr>
                <w:rFonts w:cs="Times New Roman"/>
                <w:color w:val="000000" w:themeColor="text1"/>
                <w:kern w:val="0"/>
                <w:szCs w:val="21"/>
              </w:rPr>
              <w:t>污染物浓度及下渗量</w:t>
            </w:r>
          </w:p>
        </w:tc>
      </w:tr>
      <w:tr w:rsidR="00644456" w:rsidTr="00DE0F42">
        <w:trPr>
          <w:jc w:val="center"/>
        </w:trPr>
        <w:tc>
          <w:tcPr>
            <w:tcW w:w="1064" w:type="dxa"/>
            <w:vMerge/>
            <w:vAlign w:val="center"/>
          </w:tcPr>
          <w:p w:rsidR="00644456" w:rsidRDefault="00644456">
            <w:pPr>
              <w:adjustRightInd w:val="0"/>
              <w:jc w:val="center"/>
              <w:textAlignment w:val="baseline"/>
              <w:rPr>
                <w:rFonts w:cs="Times New Roman"/>
                <w:color w:val="000000" w:themeColor="text1"/>
                <w:kern w:val="0"/>
                <w:szCs w:val="21"/>
              </w:rPr>
            </w:pPr>
          </w:p>
        </w:tc>
        <w:tc>
          <w:tcPr>
            <w:tcW w:w="1113" w:type="dxa"/>
            <w:vMerge/>
            <w:vAlign w:val="center"/>
          </w:tcPr>
          <w:p w:rsidR="00644456" w:rsidRDefault="00644456">
            <w:pPr>
              <w:adjustRightInd w:val="0"/>
              <w:jc w:val="center"/>
              <w:textAlignment w:val="baseline"/>
              <w:rPr>
                <w:rFonts w:cs="Times New Roman"/>
                <w:color w:val="000000" w:themeColor="text1"/>
                <w:kern w:val="0"/>
                <w:szCs w:val="21"/>
              </w:rPr>
            </w:pPr>
          </w:p>
        </w:tc>
        <w:tc>
          <w:tcPr>
            <w:tcW w:w="1186" w:type="dxa"/>
            <w:vMerge/>
            <w:vAlign w:val="center"/>
          </w:tcPr>
          <w:p w:rsidR="00644456" w:rsidRDefault="00644456">
            <w:pPr>
              <w:adjustRightInd w:val="0"/>
              <w:jc w:val="center"/>
              <w:textAlignment w:val="baseline"/>
              <w:rPr>
                <w:rFonts w:cs="Times New Roman"/>
                <w:color w:val="000000" w:themeColor="text1"/>
                <w:kern w:val="0"/>
                <w:szCs w:val="21"/>
              </w:rPr>
            </w:pPr>
          </w:p>
        </w:tc>
        <w:tc>
          <w:tcPr>
            <w:tcW w:w="1096" w:type="dxa"/>
            <w:vMerge/>
            <w:vAlign w:val="center"/>
          </w:tcPr>
          <w:p w:rsidR="00644456" w:rsidRDefault="00644456">
            <w:pPr>
              <w:adjustRightInd w:val="0"/>
              <w:jc w:val="center"/>
              <w:textAlignment w:val="baseline"/>
              <w:rPr>
                <w:rFonts w:cs="Times New Roman"/>
                <w:color w:val="000000" w:themeColor="text1"/>
                <w:kern w:val="0"/>
                <w:szCs w:val="21"/>
              </w:rPr>
            </w:pPr>
          </w:p>
        </w:tc>
        <w:tc>
          <w:tcPr>
            <w:tcW w:w="1112" w:type="dxa"/>
            <w:vMerge/>
            <w:vAlign w:val="center"/>
          </w:tcPr>
          <w:p w:rsidR="00644456" w:rsidRDefault="00644456">
            <w:pPr>
              <w:adjustRightInd w:val="0"/>
              <w:jc w:val="center"/>
              <w:textAlignment w:val="baseline"/>
              <w:rPr>
                <w:rFonts w:cs="Times New Roman"/>
                <w:color w:val="000000" w:themeColor="text1"/>
                <w:kern w:val="0"/>
                <w:szCs w:val="21"/>
              </w:rPr>
            </w:pPr>
          </w:p>
        </w:tc>
        <w:tc>
          <w:tcPr>
            <w:tcW w:w="106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color w:val="000000" w:themeColor="text1"/>
                <w:kern w:val="0"/>
                <w:szCs w:val="21"/>
              </w:rPr>
              <w:t>污染物类型</w:t>
            </w:r>
          </w:p>
        </w:tc>
        <w:tc>
          <w:tcPr>
            <w:tcW w:w="1387"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color w:val="000000" w:themeColor="text1"/>
                <w:kern w:val="0"/>
                <w:szCs w:val="21"/>
              </w:rPr>
              <w:t>污染物浓度（</w:t>
            </w:r>
            <w:r>
              <w:rPr>
                <w:rFonts w:cs="Times New Roman"/>
                <w:color w:val="000000" w:themeColor="text1"/>
                <w:kern w:val="0"/>
                <w:szCs w:val="21"/>
              </w:rPr>
              <w:t>mg/L</w:t>
            </w:r>
            <w:r>
              <w:rPr>
                <w:rFonts w:cs="Times New Roman"/>
                <w:color w:val="000000" w:themeColor="text1"/>
                <w:kern w:val="0"/>
                <w:szCs w:val="21"/>
              </w:rPr>
              <w:t>）</w:t>
            </w:r>
          </w:p>
        </w:tc>
        <w:tc>
          <w:tcPr>
            <w:tcW w:w="119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color w:val="000000" w:themeColor="text1"/>
                <w:kern w:val="0"/>
                <w:szCs w:val="21"/>
              </w:rPr>
              <w:t>下渗质量（</w:t>
            </w:r>
            <w:r>
              <w:rPr>
                <w:rFonts w:cs="Times New Roman"/>
                <w:color w:val="000000" w:themeColor="text1"/>
                <w:kern w:val="0"/>
                <w:szCs w:val="21"/>
              </w:rPr>
              <w:t>kg</w:t>
            </w:r>
            <w:r>
              <w:rPr>
                <w:rFonts w:cs="Times New Roman"/>
                <w:color w:val="000000" w:themeColor="text1"/>
                <w:kern w:val="0"/>
                <w:szCs w:val="21"/>
              </w:rPr>
              <w:t>）</w:t>
            </w:r>
          </w:p>
        </w:tc>
      </w:tr>
      <w:tr w:rsidR="00DE0F42" w:rsidTr="00DE0F42">
        <w:trPr>
          <w:trHeight w:val="257"/>
          <w:jc w:val="center"/>
        </w:trPr>
        <w:tc>
          <w:tcPr>
            <w:tcW w:w="1064" w:type="dxa"/>
            <w:vMerge w:val="restart"/>
            <w:vAlign w:val="center"/>
          </w:tcPr>
          <w:p w:rsidR="00DE0F42" w:rsidRDefault="00DE0F42">
            <w:pPr>
              <w:adjustRightInd w:val="0"/>
              <w:jc w:val="center"/>
              <w:textAlignment w:val="baseline"/>
              <w:rPr>
                <w:rFonts w:cs="Times New Roman"/>
                <w:color w:val="000000" w:themeColor="text1"/>
                <w:kern w:val="0"/>
                <w:szCs w:val="21"/>
              </w:rPr>
            </w:pPr>
            <w:r>
              <w:rPr>
                <w:rFonts w:cs="Times New Roman"/>
                <w:color w:val="000000" w:themeColor="text1"/>
                <w:kern w:val="0"/>
                <w:szCs w:val="21"/>
              </w:rPr>
              <w:t>污水处理站</w:t>
            </w:r>
          </w:p>
        </w:tc>
        <w:tc>
          <w:tcPr>
            <w:tcW w:w="1113" w:type="dxa"/>
            <w:vMerge w:val="restart"/>
            <w:vAlign w:val="center"/>
          </w:tcPr>
          <w:p w:rsidR="00DE0F42" w:rsidRDefault="00DE0F42">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9</w:t>
            </w:r>
            <w:r>
              <w:rPr>
                <w:rFonts w:cs="Times New Roman"/>
                <w:color w:val="000000" w:themeColor="text1"/>
                <w:kern w:val="0"/>
                <w:szCs w:val="21"/>
              </w:rPr>
              <w:t>.19</w:t>
            </w:r>
          </w:p>
        </w:tc>
        <w:tc>
          <w:tcPr>
            <w:tcW w:w="1186" w:type="dxa"/>
            <w:vMerge w:val="restart"/>
            <w:vAlign w:val="center"/>
          </w:tcPr>
          <w:p w:rsidR="00DE0F42" w:rsidRDefault="00DE0F42">
            <w:pPr>
              <w:adjustRightInd w:val="0"/>
              <w:jc w:val="center"/>
              <w:textAlignment w:val="baseline"/>
              <w:rPr>
                <w:rFonts w:cs="Times New Roman"/>
                <w:color w:val="000000" w:themeColor="text1"/>
                <w:kern w:val="0"/>
                <w:szCs w:val="21"/>
              </w:rPr>
            </w:pPr>
            <w:r>
              <w:rPr>
                <w:rFonts w:cs="Times New Roman"/>
                <w:color w:val="000000" w:themeColor="text1"/>
                <w:kern w:val="0"/>
                <w:szCs w:val="21"/>
              </w:rPr>
              <w:t>0.1838</w:t>
            </w:r>
          </w:p>
        </w:tc>
        <w:tc>
          <w:tcPr>
            <w:tcW w:w="1096" w:type="dxa"/>
            <w:vMerge w:val="restart"/>
            <w:vAlign w:val="center"/>
          </w:tcPr>
          <w:p w:rsidR="00DE0F42" w:rsidRDefault="00DE0F42">
            <w:pPr>
              <w:adjustRightInd w:val="0"/>
              <w:jc w:val="center"/>
              <w:textAlignment w:val="baseline"/>
              <w:rPr>
                <w:rFonts w:cs="Times New Roman"/>
                <w:color w:val="000000" w:themeColor="text1"/>
                <w:kern w:val="0"/>
                <w:szCs w:val="21"/>
              </w:rPr>
            </w:pPr>
            <w:r>
              <w:rPr>
                <w:rFonts w:cs="Times New Roman"/>
                <w:color w:val="000000" w:themeColor="text1"/>
                <w:kern w:val="0"/>
                <w:szCs w:val="21"/>
              </w:rPr>
              <w:t>90</w:t>
            </w:r>
          </w:p>
        </w:tc>
        <w:tc>
          <w:tcPr>
            <w:tcW w:w="1112" w:type="dxa"/>
            <w:vMerge w:val="restart"/>
            <w:vAlign w:val="center"/>
          </w:tcPr>
          <w:p w:rsidR="00DE0F42" w:rsidRDefault="00DE0F42">
            <w:pPr>
              <w:adjustRightInd w:val="0"/>
              <w:jc w:val="center"/>
              <w:textAlignment w:val="baseline"/>
              <w:rPr>
                <w:rFonts w:cs="Times New Roman"/>
                <w:color w:val="000000" w:themeColor="text1"/>
                <w:kern w:val="0"/>
                <w:szCs w:val="21"/>
              </w:rPr>
            </w:pPr>
            <w:r>
              <w:rPr>
                <w:rFonts w:cs="Times New Roman"/>
                <w:color w:val="000000" w:themeColor="text1"/>
                <w:kern w:val="0"/>
                <w:szCs w:val="21"/>
              </w:rPr>
              <w:t>16.542</w:t>
            </w:r>
          </w:p>
        </w:tc>
        <w:tc>
          <w:tcPr>
            <w:tcW w:w="1063" w:type="dxa"/>
            <w:vAlign w:val="center"/>
          </w:tcPr>
          <w:p w:rsidR="00DE0F42" w:rsidRDefault="00DE0F42">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石油类</w:t>
            </w:r>
          </w:p>
        </w:tc>
        <w:tc>
          <w:tcPr>
            <w:tcW w:w="1387" w:type="dxa"/>
            <w:vAlign w:val="center"/>
          </w:tcPr>
          <w:p w:rsidR="00DE0F42" w:rsidRDefault="00DE0F42">
            <w:pPr>
              <w:adjustRightInd w:val="0"/>
              <w:jc w:val="center"/>
              <w:textAlignment w:val="baseline"/>
              <w:rPr>
                <w:rFonts w:cs="Times New Roman"/>
                <w:color w:val="000000" w:themeColor="text1"/>
                <w:kern w:val="0"/>
                <w:szCs w:val="21"/>
              </w:rPr>
            </w:pPr>
            <w:r>
              <w:rPr>
                <w:rFonts w:cs="Times New Roman"/>
                <w:color w:val="000000" w:themeColor="text1"/>
                <w:szCs w:val="21"/>
              </w:rPr>
              <w:t>35.6</w:t>
            </w:r>
          </w:p>
        </w:tc>
        <w:tc>
          <w:tcPr>
            <w:tcW w:w="1193" w:type="dxa"/>
            <w:vAlign w:val="center"/>
          </w:tcPr>
          <w:p w:rsidR="00DE0F42" w:rsidRDefault="00DE0F42">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133.2789</w:t>
            </w:r>
          </w:p>
        </w:tc>
      </w:tr>
      <w:tr w:rsidR="00DE0F42" w:rsidTr="00DE0F42">
        <w:trPr>
          <w:jc w:val="center"/>
        </w:trPr>
        <w:tc>
          <w:tcPr>
            <w:tcW w:w="1064" w:type="dxa"/>
            <w:vMerge/>
            <w:vAlign w:val="center"/>
          </w:tcPr>
          <w:p w:rsidR="00DE0F42" w:rsidRDefault="00DE0F42">
            <w:pPr>
              <w:adjustRightInd w:val="0"/>
              <w:jc w:val="center"/>
              <w:textAlignment w:val="baseline"/>
              <w:rPr>
                <w:rFonts w:cs="Times New Roman"/>
                <w:color w:val="000000" w:themeColor="text1"/>
                <w:kern w:val="0"/>
                <w:szCs w:val="21"/>
              </w:rPr>
            </w:pPr>
          </w:p>
        </w:tc>
        <w:tc>
          <w:tcPr>
            <w:tcW w:w="1113" w:type="dxa"/>
            <w:vMerge/>
            <w:vAlign w:val="center"/>
          </w:tcPr>
          <w:p w:rsidR="00DE0F42" w:rsidRDefault="00DE0F42">
            <w:pPr>
              <w:adjustRightInd w:val="0"/>
              <w:jc w:val="center"/>
              <w:textAlignment w:val="baseline"/>
              <w:rPr>
                <w:rFonts w:cs="Times New Roman"/>
                <w:color w:val="000000" w:themeColor="text1"/>
                <w:kern w:val="0"/>
                <w:szCs w:val="21"/>
              </w:rPr>
            </w:pPr>
          </w:p>
        </w:tc>
        <w:tc>
          <w:tcPr>
            <w:tcW w:w="1186" w:type="dxa"/>
            <w:vMerge/>
            <w:vAlign w:val="center"/>
          </w:tcPr>
          <w:p w:rsidR="00DE0F42" w:rsidRDefault="00DE0F42">
            <w:pPr>
              <w:adjustRightInd w:val="0"/>
              <w:jc w:val="center"/>
              <w:textAlignment w:val="baseline"/>
              <w:rPr>
                <w:rFonts w:cs="Times New Roman"/>
                <w:color w:val="000000" w:themeColor="text1"/>
                <w:kern w:val="0"/>
                <w:szCs w:val="21"/>
              </w:rPr>
            </w:pPr>
          </w:p>
        </w:tc>
        <w:tc>
          <w:tcPr>
            <w:tcW w:w="1096" w:type="dxa"/>
            <w:vMerge/>
            <w:vAlign w:val="center"/>
          </w:tcPr>
          <w:p w:rsidR="00DE0F42" w:rsidRDefault="00DE0F42">
            <w:pPr>
              <w:adjustRightInd w:val="0"/>
              <w:jc w:val="center"/>
              <w:textAlignment w:val="baseline"/>
              <w:rPr>
                <w:rFonts w:cs="Times New Roman"/>
                <w:color w:val="000000" w:themeColor="text1"/>
                <w:kern w:val="0"/>
                <w:szCs w:val="21"/>
              </w:rPr>
            </w:pPr>
          </w:p>
        </w:tc>
        <w:tc>
          <w:tcPr>
            <w:tcW w:w="1112" w:type="dxa"/>
            <w:vMerge/>
            <w:vAlign w:val="center"/>
          </w:tcPr>
          <w:p w:rsidR="00DE0F42" w:rsidRDefault="00DE0F42">
            <w:pPr>
              <w:adjustRightInd w:val="0"/>
              <w:jc w:val="center"/>
              <w:textAlignment w:val="baseline"/>
              <w:rPr>
                <w:rFonts w:cs="Times New Roman"/>
                <w:color w:val="000000" w:themeColor="text1"/>
                <w:kern w:val="0"/>
                <w:szCs w:val="21"/>
              </w:rPr>
            </w:pPr>
          </w:p>
        </w:tc>
        <w:tc>
          <w:tcPr>
            <w:tcW w:w="1063" w:type="dxa"/>
            <w:vAlign w:val="center"/>
          </w:tcPr>
          <w:p w:rsidR="00DE0F42" w:rsidRDefault="00DE0F42">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硫化物</w:t>
            </w:r>
          </w:p>
        </w:tc>
        <w:tc>
          <w:tcPr>
            <w:tcW w:w="1387" w:type="dxa"/>
            <w:vAlign w:val="center"/>
          </w:tcPr>
          <w:p w:rsidR="00DE0F42" w:rsidRDefault="00DE0F42">
            <w:pPr>
              <w:adjustRightInd w:val="0"/>
              <w:jc w:val="center"/>
              <w:textAlignment w:val="baseline"/>
              <w:rPr>
                <w:rFonts w:cs="Times New Roman"/>
                <w:color w:val="000000" w:themeColor="text1"/>
                <w:szCs w:val="21"/>
              </w:rPr>
            </w:pPr>
            <w:r w:rsidRPr="00DE0F42">
              <w:rPr>
                <w:rFonts w:cs="Times New Roman"/>
                <w:color w:val="000000" w:themeColor="text1"/>
                <w:szCs w:val="21"/>
              </w:rPr>
              <w:t>0.326</w:t>
            </w:r>
          </w:p>
        </w:tc>
        <w:tc>
          <w:tcPr>
            <w:tcW w:w="1193" w:type="dxa"/>
            <w:vAlign w:val="center"/>
          </w:tcPr>
          <w:p w:rsidR="00DE0F42" w:rsidRDefault="00DE0F42">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5</w:t>
            </w:r>
            <w:r>
              <w:rPr>
                <w:rFonts w:cs="Times New Roman"/>
                <w:color w:val="000000" w:themeColor="text1"/>
                <w:kern w:val="0"/>
                <w:szCs w:val="21"/>
              </w:rPr>
              <w:t>.3927</w:t>
            </w:r>
          </w:p>
        </w:tc>
      </w:tr>
    </w:tbl>
    <w:bookmarkEnd w:id="388"/>
    <w:bookmarkEnd w:id="389"/>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5.7.5.3</w:t>
      </w:r>
      <w:r>
        <w:rPr>
          <w:rFonts w:cs="Times New Roman"/>
          <w:snapToGrid w:val="0"/>
          <w:color w:val="000000" w:themeColor="text1"/>
          <w:kern w:val="0"/>
          <w:szCs w:val="24"/>
        </w:rPr>
        <w:t>地下水环境影响预测</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5.7.5.4</w:t>
      </w:r>
      <w:r>
        <w:rPr>
          <w:rFonts w:cs="Times New Roman"/>
          <w:snapToGrid w:val="0"/>
          <w:color w:val="000000" w:themeColor="text1"/>
          <w:kern w:val="0"/>
          <w:szCs w:val="24"/>
        </w:rPr>
        <w:t>预测原则</w:t>
      </w:r>
    </w:p>
    <w:p w:rsidR="00644456" w:rsidRDefault="008031C4">
      <w:pPr>
        <w:spacing w:line="360" w:lineRule="auto"/>
        <w:ind w:firstLine="482"/>
        <w:rPr>
          <w:rFonts w:cs="Times New Roman"/>
          <w:color w:val="000000" w:themeColor="text1"/>
          <w:sz w:val="24"/>
        </w:rPr>
      </w:pPr>
      <w:r>
        <w:rPr>
          <w:rFonts w:cs="Times New Roman"/>
          <w:color w:val="000000" w:themeColor="text1"/>
          <w:sz w:val="24"/>
        </w:rPr>
        <w:t>1</w:t>
      </w:r>
      <w:r>
        <w:rPr>
          <w:rFonts w:cs="Times New Roman"/>
          <w:color w:val="000000" w:themeColor="text1"/>
          <w:sz w:val="24"/>
        </w:rPr>
        <w:t>、考虑到地下水环境污染的隐蔽性和难恢复性，遵循环境安全性原则，为评价各方案的环境安全和环境保护措施的合理性提供依据。</w:t>
      </w:r>
    </w:p>
    <w:p w:rsidR="00644456" w:rsidRDefault="008031C4">
      <w:pPr>
        <w:spacing w:line="360" w:lineRule="auto"/>
        <w:ind w:firstLine="482"/>
        <w:rPr>
          <w:rFonts w:cs="Times New Roman"/>
          <w:color w:val="000000" w:themeColor="text1"/>
          <w:sz w:val="24"/>
        </w:rPr>
      </w:pPr>
      <w:r>
        <w:rPr>
          <w:rFonts w:cs="Times New Roman"/>
          <w:color w:val="000000" w:themeColor="text1"/>
          <w:sz w:val="24"/>
        </w:rPr>
        <w:t>2</w:t>
      </w:r>
      <w:r>
        <w:rPr>
          <w:rFonts w:cs="Times New Roman"/>
          <w:color w:val="000000" w:themeColor="text1"/>
          <w:sz w:val="24"/>
        </w:rPr>
        <w:t>、预测的范围、时段、内容和方法根据评价工作等级、工程特征与环境特征，结合当地环境功能和环保要求确定，以拟建项目对地下水水质的影响及由此而产生的主要环境水文地质问题为重点。</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5.7.5.5</w:t>
      </w:r>
      <w:r>
        <w:rPr>
          <w:rFonts w:cs="Times New Roman"/>
          <w:snapToGrid w:val="0"/>
          <w:color w:val="000000" w:themeColor="text1"/>
          <w:kern w:val="0"/>
          <w:szCs w:val="24"/>
        </w:rPr>
        <w:t>预测范围及时段</w:t>
      </w:r>
    </w:p>
    <w:p w:rsidR="00644456" w:rsidRDefault="008031C4">
      <w:pPr>
        <w:spacing w:line="360" w:lineRule="auto"/>
        <w:ind w:firstLine="482"/>
        <w:rPr>
          <w:rFonts w:cs="Times New Roman"/>
          <w:color w:val="000000" w:themeColor="text1"/>
          <w:sz w:val="24"/>
        </w:rPr>
      </w:pPr>
      <w:r>
        <w:rPr>
          <w:rFonts w:cs="Times New Roman" w:hint="eastAsia"/>
          <w:snapToGrid w:val="0"/>
          <w:color w:val="000000" w:themeColor="text1"/>
          <w:sz w:val="24"/>
        </w:rPr>
        <w:t>预测评价范围与项目地下水环境影响评价范围一致，共计约</w:t>
      </w:r>
      <w:r>
        <w:rPr>
          <w:rFonts w:cs="Times New Roman" w:hint="eastAsia"/>
          <w:snapToGrid w:val="0"/>
          <w:color w:val="000000" w:themeColor="text1"/>
          <w:sz w:val="24"/>
        </w:rPr>
        <w:t>7.83km</w:t>
      </w:r>
      <w:r>
        <w:rPr>
          <w:rFonts w:cs="Times New Roman" w:hint="eastAsia"/>
          <w:snapToGrid w:val="0"/>
          <w:color w:val="000000" w:themeColor="text1"/>
          <w:sz w:val="24"/>
          <w:vertAlign w:val="superscript"/>
        </w:rPr>
        <w:t>2</w:t>
      </w:r>
      <w:r>
        <w:rPr>
          <w:rFonts w:cs="Times New Roman" w:hint="eastAsia"/>
          <w:snapToGrid w:val="0"/>
          <w:color w:val="000000" w:themeColor="text1"/>
          <w:sz w:val="24"/>
        </w:rPr>
        <w:t>。根据导则要求，分别预测</w:t>
      </w:r>
      <w:r>
        <w:rPr>
          <w:rFonts w:cs="Times New Roman" w:hint="eastAsia"/>
          <w:snapToGrid w:val="0"/>
          <w:color w:val="000000" w:themeColor="text1"/>
          <w:sz w:val="24"/>
        </w:rPr>
        <w:t>10d</w:t>
      </w:r>
      <w:r>
        <w:rPr>
          <w:rFonts w:cs="Times New Roman" w:hint="eastAsia"/>
          <w:snapToGrid w:val="0"/>
          <w:color w:val="000000" w:themeColor="text1"/>
          <w:sz w:val="24"/>
        </w:rPr>
        <w:t>、</w:t>
      </w:r>
      <w:r>
        <w:rPr>
          <w:rFonts w:cs="Times New Roman" w:hint="eastAsia"/>
          <w:snapToGrid w:val="0"/>
          <w:color w:val="000000" w:themeColor="text1"/>
          <w:sz w:val="24"/>
        </w:rPr>
        <w:t>100d</w:t>
      </w:r>
      <w:r>
        <w:rPr>
          <w:rFonts w:cs="Times New Roman" w:hint="eastAsia"/>
          <w:snapToGrid w:val="0"/>
          <w:color w:val="000000" w:themeColor="text1"/>
          <w:sz w:val="24"/>
        </w:rPr>
        <w:t>、</w:t>
      </w:r>
      <w:r>
        <w:rPr>
          <w:rFonts w:cs="Times New Roman"/>
          <w:snapToGrid w:val="0"/>
          <w:color w:val="000000" w:themeColor="text1"/>
          <w:sz w:val="24"/>
        </w:rPr>
        <w:t>500d</w:t>
      </w:r>
      <w:r>
        <w:rPr>
          <w:rFonts w:cs="Times New Roman" w:hint="eastAsia"/>
          <w:snapToGrid w:val="0"/>
          <w:color w:val="000000" w:themeColor="text1"/>
          <w:sz w:val="24"/>
        </w:rPr>
        <w:t>、</w:t>
      </w:r>
      <w:r>
        <w:rPr>
          <w:rFonts w:cs="Times New Roman" w:hint="eastAsia"/>
          <w:snapToGrid w:val="0"/>
          <w:color w:val="000000" w:themeColor="text1"/>
          <w:sz w:val="24"/>
        </w:rPr>
        <w:t>1000d</w:t>
      </w:r>
      <w:r>
        <w:rPr>
          <w:rFonts w:cs="Times New Roman" w:hint="eastAsia"/>
          <w:snapToGrid w:val="0"/>
          <w:color w:val="000000" w:themeColor="text1"/>
          <w:sz w:val="24"/>
        </w:rPr>
        <w:t>、</w:t>
      </w:r>
      <w:r>
        <w:rPr>
          <w:rFonts w:cs="Times New Roman"/>
          <w:snapToGrid w:val="0"/>
          <w:color w:val="000000" w:themeColor="text1"/>
          <w:sz w:val="24"/>
        </w:rPr>
        <w:t>5000</w:t>
      </w:r>
      <w:r>
        <w:rPr>
          <w:rFonts w:cs="Times New Roman" w:hint="eastAsia"/>
          <w:snapToGrid w:val="0"/>
          <w:color w:val="000000" w:themeColor="text1"/>
          <w:sz w:val="24"/>
        </w:rPr>
        <w:t>d</w:t>
      </w:r>
      <w:r>
        <w:rPr>
          <w:rFonts w:cs="Times New Roman" w:hint="eastAsia"/>
          <w:snapToGrid w:val="0"/>
          <w:color w:val="000000" w:themeColor="text1"/>
          <w:sz w:val="24"/>
        </w:rPr>
        <w:t>时间段泄漏对地下水环境的影响</w:t>
      </w:r>
      <w:r>
        <w:rPr>
          <w:rFonts w:cs="Times New Roman"/>
          <w:color w:val="000000" w:themeColor="text1"/>
          <w:sz w:val="24"/>
        </w:rPr>
        <w:t>。</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5.7.5.6</w:t>
      </w:r>
      <w:r>
        <w:rPr>
          <w:rFonts w:cs="Times New Roman"/>
          <w:snapToGrid w:val="0"/>
          <w:color w:val="000000" w:themeColor="text1"/>
          <w:kern w:val="0"/>
          <w:szCs w:val="24"/>
        </w:rPr>
        <w:t>源项分析及预测因子</w:t>
      </w:r>
    </w:p>
    <w:p w:rsidR="00644456" w:rsidRDefault="008031C4">
      <w:pPr>
        <w:spacing w:line="360" w:lineRule="auto"/>
        <w:ind w:firstLine="482"/>
        <w:rPr>
          <w:rFonts w:cs="Times New Roman"/>
          <w:snapToGrid w:val="0"/>
          <w:color w:val="000000" w:themeColor="text1"/>
          <w:sz w:val="24"/>
        </w:rPr>
      </w:pPr>
      <w:r>
        <w:rPr>
          <w:rFonts w:cs="Times New Roman" w:hint="eastAsia"/>
          <w:snapToGrid w:val="0"/>
          <w:color w:val="000000" w:themeColor="text1"/>
          <w:sz w:val="24"/>
        </w:rPr>
        <w:t>本项目地下水潜在风险源较多，环评预测重点主要为本次环评主要以泡丝车间、副产品车间及废水处理站为预测重点；重点预测分析非正常状况对地下水环境的影响。</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5.7.5.7</w:t>
      </w:r>
      <w:r>
        <w:rPr>
          <w:rFonts w:cs="Times New Roman"/>
          <w:snapToGrid w:val="0"/>
          <w:color w:val="000000" w:themeColor="text1"/>
          <w:kern w:val="0"/>
          <w:szCs w:val="24"/>
        </w:rPr>
        <w:t>预测方法</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本项目地下水评价等级为二级，按照《环境影响评价技术导则地下水环境》（</w:t>
      </w:r>
      <w:r>
        <w:rPr>
          <w:rFonts w:cs="Times New Roman" w:hint="eastAsia"/>
          <w:color w:val="000000" w:themeColor="text1"/>
          <w:sz w:val="24"/>
        </w:rPr>
        <w:t>HJ610-2016</w:t>
      </w:r>
      <w:r>
        <w:rPr>
          <w:rFonts w:cs="Times New Roman" w:hint="eastAsia"/>
          <w:color w:val="000000" w:themeColor="text1"/>
          <w:sz w:val="24"/>
        </w:rPr>
        <w:t>）的规定，本次评价预测方法采用解析法。</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厂区及附近区域没有集中式供水水源地，地下水动态基本稳定，本次评价采用《环境影响评价技术导则地下水环境》（</w:t>
      </w:r>
      <w:r>
        <w:rPr>
          <w:rFonts w:cs="Times New Roman" w:hint="eastAsia"/>
          <w:color w:val="000000" w:themeColor="text1"/>
          <w:sz w:val="24"/>
        </w:rPr>
        <w:t>HJ610-2016</w:t>
      </w:r>
      <w:r>
        <w:rPr>
          <w:rFonts w:cs="Times New Roman" w:hint="eastAsia"/>
          <w:color w:val="000000" w:themeColor="text1"/>
          <w:sz w:val="24"/>
        </w:rPr>
        <w:t>）中</w:t>
      </w:r>
      <w:r>
        <w:rPr>
          <w:rFonts w:cs="Times New Roman" w:hint="eastAsia"/>
          <w:color w:val="000000" w:themeColor="text1"/>
          <w:sz w:val="24"/>
        </w:rPr>
        <w:t>D.1.2.2</w:t>
      </w:r>
      <w:r>
        <w:rPr>
          <w:rFonts w:cs="Times New Roman" w:hint="eastAsia"/>
          <w:color w:val="000000" w:themeColor="text1"/>
          <w:sz w:val="24"/>
        </w:rPr>
        <w:t>一维稳定流动二维水动力</w:t>
      </w:r>
      <w:r>
        <w:rPr>
          <w:rFonts w:cs="Times New Roman" w:hint="eastAsia"/>
          <w:color w:val="000000" w:themeColor="text1"/>
          <w:sz w:val="24"/>
        </w:rPr>
        <w:lastRenderedPageBreak/>
        <w:t>弥散问题中的“瞬时注入示踪剂一一平面瞬时点源”预测模型。具体公式如下：</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w:t>
      </w:r>
      <w:r>
        <w:rPr>
          <w:rFonts w:cs="Times New Roman" w:hint="eastAsia"/>
          <w:color w:val="000000" w:themeColor="text1"/>
          <w:sz w:val="24"/>
        </w:rPr>
        <w:t>1</w:t>
      </w:r>
      <w:r>
        <w:rPr>
          <w:rFonts w:cs="Times New Roman" w:hint="eastAsia"/>
          <w:color w:val="000000" w:themeColor="text1"/>
          <w:sz w:val="24"/>
        </w:rPr>
        <w:t>）</w:t>
      </w:r>
      <w:r>
        <w:rPr>
          <w:rFonts w:cs="Times New Roman" w:hint="eastAsia"/>
          <w:color w:val="000000" w:themeColor="text1"/>
          <w:sz w:val="24"/>
        </w:rPr>
        <w:t>D.1.2.2.1</w:t>
      </w:r>
      <w:r>
        <w:rPr>
          <w:rFonts w:cs="Times New Roman" w:hint="eastAsia"/>
          <w:color w:val="000000" w:themeColor="text1"/>
          <w:sz w:val="24"/>
        </w:rPr>
        <w:t>瞬时注入示踪剂一一平面连续点源的公式：</w:t>
      </w:r>
    </w:p>
    <w:p w:rsidR="00644456" w:rsidRDefault="008031C4">
      <w:pPr>
        <w:pStyle w:val="af"/>
        <w:jc w:val="center"/>
        <w:rPr>
          <w:color w:val="000000" w:themeColor="text1"/>
        </w:rPr>
      </w:pPr>
      <w:r>
        <w:rPr>
          <w:noProof/>
          <w:color w:val="000000" w:themeColor="text1"/>
        </w:rPr>
        <w:drawing>
          <wp:inline distT="0" distB="0" distL="0" distR="0" wp14:anchorId="7294AF60" wp14:editId="4D18F747">
            <wp:extent cx="3761105" cy="560070"/>
            <wp:effectExtent l="0" t="0" r="0" b="0"/>
            <wp:docPr id="2145836230" name="图片 214583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36230" name="图片 2145836230"/>
                    <pic:cNvPicPr>
                      <a:picLocks noChangeAspect="1"/>
                    </pic:cNvPicPr>
                  </pic:nvPicPr>
                  <pic:blipFill>
                    <a:blip r:embed="rId81"/>
                    <a:stretch>
                      <a:fillRect/>
                    </a:stretch>
                  </pic:blipFill>
                  <pic:spPr>
                    <a:xfrm>
                      <a:off x="0" y="0"/>
                      <a:ext cx="3797427" cy="565932"/>
                    </a:xfrm>
                    <a:prstGeom prst="rect">
                      <a:avLst/>
                    </a:prstGeom>
                  </pic:spPr>
                </pic:pic>
              </a:graphicData>
            </a:graphic>
          </wp:inline>
        </w:drawing>
      </w:r>
    </w:p>
    <w:p w:rsidR="00644456" w:rsidRDefault="008031C4">
      <w:pPr>
        <w:jc w:val="center"/>
        <w:rPr>
          <w:color w:val="000000" w:themeColor="text1"/>
        </w:rPr>
      </w:pPr>
      <w:r>
        <w:rPr>
          <w:noProof/>
          <w:color w:val="000000" w:themeColor="text1"/>
        </w:rPr>
        <w:drawing>
          <wp:inline distT="0" distB="0" distL="0" distR="0" wp14:anchorId="51D32CF1" wp14:editId="2D7004B3">
            <wp:extent cx="1440180" cy="542925"/>
            <wp:effectExtent l="0" t="0" r="7620" b="9525"/>
            <wp:docPr id="2145836231" name="图片 214583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36231" name="图片 2145836231"/>
                    <pic:cNvPicPr>
                      <a:picLocks noChangeAspect="1"/>
                    </pic:cNvPicPr>
                  </pic:nvPicPr>
                  <pic:blipFill>
                    <a:blip r:embed="rId82"/>
                    <a:stretch>
                      <a:fillRect/>
                    </a:stretch>
                  </pic:blipFill>
                  <pic:spPr>
                    <a:xfrm>
                      <a:off x="0" y="0"/>
                      <a:ext cx="1456181" cy="549418"/>
                    </a:xfrm>
                    <a:prstGeom prst="rect">
                      <a:avLst/>
                    </a:prstGeom>
                  </pic:spPr>
                </pic:pic>
              </a:graphicData>
            </a:graphic>
          </wp:inline>
        </w:drawing>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式中：</w:t>
      </w:r>
      <w:r>
        <w:rPr>
          <w:rFonts w:cs="Times New Roman" w:hint="eastAsia"/>
          <w:color w:val="000000" w:themeColor="text1"/>
          <w:sz w:val="24"/>
        </w:rPr>
        <w:t>x</w:t>
      </w:r>
      <w:r>
        <w:rPr>
          <w:rFonts w:cs="Times New Roman" w:hint="eastAsia"/>
          <w:color w:val="000000" w:themeColor="text1"/>
          <w:sz w:val="24"/>
        </w:rPr>
        <w:t>，</w:t>
      </w:r>
      <w:r>
        <w:rPr>
          <w:rFonts w:cs="Times New Roman" w:hint="eastAsia"/>
          <w:color w:val="000000" w:themeColor="text1"/>
          <w:sz w:val="24"/>
        </w:rPr>
        <w:t>y</w:t>
      </w:r>
      <w:r>
        <w:rPr>
          <w:rFonts w:cs="Times New Roman" w:hint="eastAsia"/>
          <w:color w:val="000000" w:themeColor="text1"/>
          <w:sz w:val="24"/>
        </w:rPr>
        <w:t>——计算点出处的位置坐标；</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t</w:t>
      </w:r>
      <w:r>
        <w:rPr>
          <w:rFonts w:cs="Times New Roman" w:hint="eastAsia"/>
          <w:color w:val="000000" w:themeColor="text1"/>
          <w:sz w:val="24"/>
        </w:rPr>
        <w:t>——时间，</w:t>
      </w:r>
      <w:r>
        <w:rPr>
          <w:rFonts w:cs="Times New Roman" w:hint="eastAsia"/>
          <w:color w:val="000000" w:themeColor="text1"/>
          <w:sz w:val="24"/>
        </w:rPr>
        <w:t>d</w:t>
      </w:r>
      <w:r>
        <w:rPr>
          <w:rFonts w:cs="Times New Roman" w:hint="eastAsia"/>
          <w:color w:val="000000" w:themeColor="text1"/>
          <w:sz w:val="24"/>
        </w:rPr>
        <w:t>；</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C(x</w:t>
      </w:r>
      <w:r>
        <w:rPr>
          <w:rFonts w:cs="Times New Roman" w:hint="eastAsia"/>
          <w:color w:val="000000" w:themeColor="text1"/>
          <w:sz w:val="24"/>
        </w:rPr>
        <w:t>，</w:t>
      </w:r>
      <w:r>
        <w:rPr>
          <w:rFonts w:cs="Times New Roman" w:hint="eastAsia"/>
          <w:color w:val="000000" w:themeColor="text1"/>
          <w:sz w:val="24"/>
        </w:rPr>
        <w:t>y</w:t>
      </w:r>
      <w:r>
        <w:rPr>
          <w:rFonts w:cs="Times New Roman" w:hint="eastAsia"/>
          <w:color w:val="000000" w:themeColor="text1"/>
          <w:sz w:val="24"/>
        </w:rPr>
        <w:t>，</w:t>
      </w:r>
      <w:r>
        <w:rPr>
          <w:rFonts w:cs="Times New Roman" w:hint="eastAsia"/>
          <w:color w:val="000000" w:themeColor="text1"/>
          <w:sz w:val="24"/>
        </w:rPr>
        <w:t>t)</w:t>
      </w:r>
      <w:r>
        <w:rPr>
          <w:rFonts w:cs="Times New Roman" w:hint="eastAsia"/>
          <w:color w:val="000000" w:themeColor="text1"/>
          <w:sz w:val="24"/>
        </w:rPr>
        <w:t>——</w:t>
      </w:r>
      <w:r>
        <w:rPr>
          <w:rFonts w:cs="Times New Roman" w:hint="eastAsia"/>
          <w:color w:val="000000" w:themeColor="text1"/>
          <w:sz w:val="24"/>
        </w:rPr>
        <w:t>t</w:t>
      </w:r>
      <w:r>
        <w:rPr>
          <w:rFonts w:cs="Times New Roman" w:hint="eastAsia"/>
          <w:color w:val="000000" w:themeColor="text1"/>
          <w:sz w:val="24"/>
        </w:rPr>
        <w:t>时刻点</w:t>
      </w:r>
      <w:r>
        <w:rPr>
          <w:rFonts w:cs="Times New Roman" w:hint="eastAsia"/>
          <w:color w:val="000000" w:themeColor="text1"/>
          <w:sz w:val="24"/>
        </w:rPr>
        <w:t>x</w:t>
      </w:r>
      <w:r>
        <w:rPr>
          <w:rFonts w:cs="Times New Roman" w:hint="eastAsia"/>
          <w:color w:val="000000" w:themeColor="text1"/>
          <w:sz w:val="24"/>
        </w:rPr>
        <w:t>，</w:t>
      </w:r>
      <w:r>
        <w:rPr>
          <w:rFonts w:cs="Times New Roman" w:hint="eastAsia"/>
          <w:color w:val="000000" w:themeColor="text1"/>
          <w:sz w:val="24"/>
        </w:rPr>
        <w:t>y</w:t>
      </w:r>
      <w:r>
        <w:rPr>
          <w:rFonts w:cs="Times New Roman" w:hint="eastAsia"/>
          <w:color w:val="000000" w:themeColor="text1"/>
          <w:sz w:val="24"/>
        </w:rPr>
        <w:t>处的示踪剂浓度，</w:t>
      </w:r>
      <w:r>
        <w:rPr>
          <w:rFonts w:cs="Times New Roman" w:hint="eastAsia"/>
          <w:color w:val="000000" w:themeColor="text1"/>
          <w:sz w:val="24"/>
        </w:rPr>
        <w:t>g/L</w:t>
      </w:r>
      <w:r>
        <w:rPr>
          <w:rFonts w:cs="Times New Roman" w:hint="eastAsia"/>
          <w:color w:val="000000" w:themeColor="text1"/>
          <w:sz w:val="24"/>
        </w:rPr>
        <w:t>；</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M</w:t>
      </w:r>
      <w:r>
        <w:rPr>
          <w:rFonts w:cs="Times New Roman" w:hint="eastAsia"/>
          <w:color w:val="000000" w:themeColor="text1"/>
          <w:sz w:val="24"/>
        </w:rPr>
        <w:t>——含水层的厚度，</w:t>
      </w:r>
      <w:r>
        <w:rPr>
          <w:rFonts w:cs="Times New Roman" w:hint="eastAsia"/>
          <w:color w:val="000000" w:themeColor="text1"/>
          <w:sz w:val="24"/>
        </w:rPr>
        <w:t>m</w:t>
      </w:r>
      <w:r>
        <w:rPr>
          <w:rFonts w:cs="Times New Roman" w:hint="eastAsia"/>
          <w:color w:val="000000" w:themeColor="text1"/>
          <w:sz w:val="24"/>
        </w:rPr>
        <w:t>；</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Mt</w:t>
      </w:r>
      <w:r>
        <w:rPr>
          <w:rFonts w:cs="Times New Roman" w:hint="eastAsia"/>
          <w:color w:val="000000" w:themeColor="text1"/>
          <w:sz w:val="24"/>
        </w:rPr>
        <w:t>——单位时间注入示踪剂的质量，</w:t>
      </w:r>
      <w:r>
        <w:rPr>
          <w:rFonts w:cs="Times New Roman" w:hint="eastAsia"/>
          <w:color w:val="000000" w:themeColor="text1"/>
          <w:sz w:val="24"/>
        </w:rPr>
        <w:t>kg/d</w:t>
      </w:r>
      <w:r>
        <w:rPr>
          <w:rFonts w:cs="Times New Roman" w:hint="eastAsia"/>
          <w:color w:val="000000" w:themeColor="text1"/>
          <w:sz w:val="24"/>
        </w:rPr>
        <w:t>；</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u</w:t>
      </w:r>
      <w:r>
        <w:rPr>
          <w:rFonts w:cs="Times New Roman" w:hint="eastAsia"/>
          <w:color w:val="000000" w:themeColor="text1"/>
          <w:sz w:val="24"/>
        </w:rPr>
        <w:t>——水流速度，</w:t>
      </w:r>
      <w:r>
        <w:rPr>
          <w:rFonts w:cs="Times New Roman" w:hint="eastAsia"/>
          <w:color w:val="000000" w:themeColor="text1"/>
          <w:sz w:val="24"/>
        </w:rPr>
        <w:t>m/d</w:t>
      </w:r>
      <w:r>
        <w:rPr>
          <w:rFonts w:cs="Times New Roman" w:hint="eastAsia"/>
          <w:color w:val="000000" w:themeColor="text1"/>
          <w:sz w:val="24"/>
        </w:rPr>
        <w:t>；</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n</w:t>
      </w:r>
      <w:r>
        <w:rPr>
          <w:rFonts w:cs="Times New Roman" w:hint="eastAsia"/>
          <w:color w:val="000000" w:themeColor="text1"/>
          <w:sz w:val="24"/>
        </w:rPr>
        <w:t>——有效孔隙度，无量纲；</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DL</w:t>
      </w:r>
      <w:r>
        <w:rPr>
          <w:rFonts w:cs="Times New Roman" w:hint="eastAsia"/>
          <w:color w:val="000000" w:themeColor="text1"/>
          <w:sz w:val="24"/>
        </w:rPr>
        <w:t>——纵向弥散系数，</w:t>
      </w:r>
      <w:r>
        <w:rPr>
          <w:rFonts w:cs="Times New Roman" w:hint="eastAsia"/>
          <w:color w:val="000000" w:themeColor="text1"/>
          <w:sz w:val="24"/>
        </w:rPr>
        <w:t>m</w:t>
      </w:r>
      <w:r w:rsidRPr="00DE0F42">
        <w:rPr>
          <w:rFonts w:cs="Times New Roman" w:hint="eastAsia"/>
          <w:color w:val="000000" w:themeColor="text1"/>
          <w:sz w:val="24"/>
          <w:vertAlign w:val="superscript"/>
        </w:rPr>
        <w:t>2</w:t>
      </w:r>
      <w:r>
        <w:rPr>
          <w:rFonts w:cs="Times New Roman" w:hint="eastAsia"/>
          <w:color w:val="000000" w:themeColor="text1"/>
          <w:sz w:val="24"/>
        </w:rPr>
        <w:t>/d</w:t>
      </w:r>
      <w:r>
        <w:rPr>
          <w:rFonts w:cs="Times New Roman" w:hint="eastAsia"/>
          <w:color w:val="000000" w:themeColor="text1"/>
          <w:sz w:val="24"/>
        </w:rPr>
        <w:t>；</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DT</w:t>
      </w:r>
      <w:r>
        <w:rPr>
          <w:rFonts w:cs="Times New Roman" w:hint="eastAsia"/>
          <w:color w:val="000000" w:themeColor="text1"/>
          <w:sz w:val="24"/>
        </w:rPr>
        <w:t>——横向</w:t>
      </w:r>
      <w:r>
        <w:rPr>
          <w:rFonts w:cs="Times New Roman" w:hint="eastAsia"/>
          <w:color w:val="000000" w:themeColor="text1"/>
          <w:sz w:val="24"/>
        </w:rPr>
        <w:t>y</w:t>
      </w:r>
      <w:r>
        <w:rPr>
          <w:rFonts w:cs="Times New Roman" w:hint="eastAsia"/>
          <w:color w:val="000000" w:themeColor="text1"/>
          <w:sz w:val="24"/>
        </w:rPr>
        <w:t>方向的弥散系数，</w:t>
      </w:r>
      <w:r>
        <w:rPr>
          <w:rFonts w:cs="Times New Roman" w:hint="eastAsia"/>
          <w:color w:val="000000" w:themeColor="text1"/>
          <w:sz w:val="24"/>
        </w:rPr>
        <w:t>m</w:t>
      </w:r>
      <w:r w:rsidRPr="00DE0F42">
        <w:rPr>
          <w:rFonts w:cs="Times New Roman" w:hint="eastAsia"/>
          <w:color w:val="000000" w:themeColor="text1"/>
          <w:sz w:val="24"/>
          <w:vertAlign w:val="superscript"/>
        </w:rPr>
        <w:t>2</w:t>
      </w:r>
      <w:r>
        <w:rPr>
          <w:rFonts w:cs="Times New Roman" w:hint="eastAsia"/>
          <w:color w:val="000000" w:themeColor="text1"/>
          <w:sz w:val="24"/>
        </w:rPr>
        <w:t>/d</w:t>
      </w:r>
      <w:r>
        <w:rPr>
          <w:rFonts w:cs="Times New Roman" w:hint="eastAsia"/>
          <w:color w:val="000000" w:themeColor="text1"/>
          <w:sz w:val="24"/>
        </w:rPr>
        <w:t>；</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π—圆周率；</w:t>
      </w:r>
    </w:p>
    <w:p w:rsidR="00644456" w:rsidRDefault="008031C4">
      <w:pPr>
        <w:spacing w:line="360" w:lineRule="auto"/>
        <w:ind w:firstLine="482"/>
        <w:rPr>
          <w:rFonts w:cs="Times New Roman"/>
          <w:color w:val="000000" w:themeColor="text1"/>
          <w:sz w:val="24"/>
        </w:rPr>
      </w:pPr>
      <w:r>
        <w:rPr>
          <w:rFonts w:cs="Times New Roman"/>
          <w:noProof/>
          <w:color w:val="000000" w:themeColor="text1"/>
          <w:sz w:val="24"/>
        </w:rPr>
        <w:drawing>
          <wp:inline distT="0" distB="0" distL="0" distR="0" wp14:anchorId="3D711720" wp14:editId="36910722">
            <wp:extent cx="353060" cy="207010"/>
            <wp:effectExtent l="0" t="0" r="8890" b="2540"/>
            <wp:docPr id="2145836233" name="图片 214583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36233" name="图片 2145836233"/>
                    <pic:cNvPicPr>
                      <a:picLocks noChangeAspect="1"/>
                    </pic:cNvPicPr>
                  </pic:nvPicPr>
                  <pic:blipFill>
                    <a:blip r:embed="rId83"/>
                    <a:stretch>
                      <a:fillRect/>
                    </a:stretch>
                  </pic:blipFill>
                  <pic:spPr>
                    <a:xfrm>
                      <a:off x="0" y="0"/>
                      <a:ext cx="363659" cy="212873"/>
                    </a:xfrm>
                    <a:prstGeom prst="rect">
                      <a:avLst/>
                    </a:prstGeom>
                  </pic:spPr>
                </pic:pic>
              </a:graphicData>
            </a:graphic>
          </wp:inline>
        </w:drawing>
      </w:r>
      <w:r>
        <w:rPr>
          <w:rFonts w:cs="Times New Roman" w:hint="eastAsia"/>
          <w:color w:val="000000" w:themeColor="text1"/>
          <w:sz w:val="24"/>
        </w:rPr>
        <w:t>—第二类零阶修正贝塞尔函数；</w:t>
      </w:r>
    </w:p>
    <w:p w:rsidR="00644456" w:rsidRDefault="008031C4">
      <w:pPr>
        <w:spacing w:line="360" w:lineRule="auto"/>
        <w:ind w:firstLine="482"/>
        <w:rPr>
          <w:rFonts w:cs="Times New Roman"/>
          <w:color w:val="000000" w:themeColor="text1"/>
          <w:sz w:val="24"/>
        </w:rPr>
      </w:pPr>
      <w:r>
        <w:rPr>
          <w:rFonts w:cs="Times New Roman"/>
          <w:noProof/>
          <w:color w:val="000000" w:themeColor="text1"/>
          <w:sz w:val="24"/>
        </w:rPr>
        <w:drawing>
          <wp:inline distT="0" distB="0" distL="0" distR="0" wp14:anchorId="74CB7B64" wp14:editId="3D499594">
            <wp:extent cx="637540" cy="249555"/>
            <wp:effectExtent l="0" t="0" r="0" b="0"/>
            <wp:docPr id="2145836235" name="图片 214583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36235" name="图片 2145836235"/>
                    <pic:cNvPicPr>
                      <a:picLocks noChangeAspect="1"/>
                    </pic:cNvPicPr>
                  </pic:nvPicPr>
                  <pic:blipFill>
                    <a:blip r:embed="rId84"/>
                    <a:stretch>
                      <a:fillRect/>
                    </a:stretch>
                  </pic:blipFill>
                  <pic:spPr>
                    <a:xfrm>
                      <a:off x="0" y="0"/>
                      <a:ext cx="650250" cy="255070"/>
                    </a:xfrm>
                    <a:prstGeom prst="rect">
                      <a:avLst/>
                    </a:prstGeom>
                  </pic:spPr>
                </pic:pic>
              </a:graphicData>
            </a:graphic>
          </wp:inline>
        </w:drawing>
      </w:r>
      <w:r>
        <w:rPr>
          <w:rFonts w:cs="Times New Roman" w:hint="eastAsia"/>
          <w:color w:val="000000" w:themeColor="text1"/>
          <w:sz w:val="24"/>
        </w:rPr>
        <w:t>——第一类越流系统井函数。</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w:t>
      </w:r>
      <w:r>
        <w:rPr>
          <w:rFonts w:cs="Times New Roman" w:hint="eastAsia"/>
          <w:color w:val="000000" w:themeColor="text1"/>
          <w:sz w:val="24"/>
        </w:rPr>
        <w:t>2</w:t>
      </w:r>
      <w:r>
        <w:rPr>
          <w:rFonts w:cs="Times New Roman" w:hint="eastAsia"/>
          <w:color w:val="000000" w:themeColor="text1"/>
          <w:sz w:val="24"/>
        </w:rPr>
        <w:t>）模型参数的取值</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主要参数有：外泄污染物的泄漏量；含水层厚度、有效孔隙度</w:t>
      </w:r>
      <w:r>
        <w:rPr>
          <w:rFonts w:cs="Times New Roman" w:hint="eastAsia"/>
          <w:color w:val="000000" w:themeColor="text1"/>
          <w:sz w:val="24"/>
        </w:rPr>
        <w:t>n</w:t>
      </w:r>
      <w:r>
        <w:rPr>
          <w:rFonts w:cs="Times New Roman" w:hint="eastAsia"/>
          <w:color w:val="000000" w:themeColor="text1"/>
          <w:sz w:val="24"/>
        </w:rPr>
        <w:t>；水流的实际平均速度</w:t>
      </w:r>
      <w:r>
        <w:rPr>
          <w:rFonts w:cs="Times New Roman" w:hint="eastAsia"/>
          <w:color w:val="000000" w:themeColor="text1"/>
          <w:sz w:val="24"/>
        </w:rPr>
        <w:t>u</w:t>
      </w:r>
      <w:r>
        <w:rPr>
          <w:rFonts w:cs="Times New Roman" w:hint="eastAsia"/>
          <w:color w:val="000000" w:themeColor="text1"/>
          <w:sz w:val="24"/>
        </w:rPr>
        <w:t>；弥散系数；圆周率为常数。</w:t>
      </w:r>
    </w:p>
    <w:p w:rsidR="00644456" w:rsidRDefault="008031C4">
      <w:pPr>
        <w:spacing w:line="360" w:lineRule="auto"/>
        <w:ind w:firstLine="480"/>
        <w:rPr>
          <w:rFonts w:cs="Times New Roman"/>
          <w:b/>
          <w:bCs/>
          <w:color w:val="000000" w:themeColor="text1"/>
          <w:sz w:val="24"/>
        </w:rPr>
      </w:pPr>
      <w:r>
        <w:rPr>
          <w:rFonts w:cs="Times New Roman" w:hint="eastAsia"/>
          <w:b/>
          <w:bCs/>
          <w:color w:val="000000" w:themeColor="text1"/>
          <w:sz w:val="24"/>
        </w:rPr>
        <w:t>①</w:t>
      </w:r>
      <w:r>
        <w:rPr>
          <w:rFonts w:cs="Times New Roman" w:hint="eastAsia"/>
          <w:b/>
          <w:bCs/>
          <w:color w:val="000000" w:themeColor="text1"/>
          <w:sz w:val="24"/>
        </w:rPr>
        <w:t>x</w:t>
      </w:r>
      <w:r>
        <w:rPr>
          <w:rFonts w:cs="Times New Roman" w:hint="eastAsia"/>
          <w:b/>
          <w:bCs/>
          <w:color w:val="000000" w:themeColor="text1"/>
          <w:sz w:val="24"/>
        </w:rPr>
        <w:t>坐标选取与地下水水流方向相同，以污染源为坐标零点。根据包气带调查资料，本项目含水层渗透系数取</w:t>
      </w:r>
      <w:r>
        <w:rPr>
          <w:rFonts w:cs="Times New Roman" w:hint="eastAsia"/>
          <w:b/>
          <w:bCs/>
          <w:color w:val="000000" w:themeColor="text1"/>
          <w:sz w:val="24"/>
        </w:rPr>
        <w:t>25m/d</w:t>
      </w:r>
      <w:r>
        <w:rPr>
          <w:rFonts w:cs="Times New Roman" w:hint="eastAsia"/>
          <w:b/>
          <w:bCs/>
          <w:color w:val="000000" w:themeColor="text1"/>
          <w:sz w:val="24"/>
        </w:rPr>
        <w:t>。</w:t>
      </w:r>
    </w:p>
    <w:p w:rsidR="00644456" w:rsidRDefault="008031C4">
      <w:pPr>
        <w:spacing w:line="360" w:lineRule="auto"/>
        <w:ind w:firstLine="480"/>
        <w:rPr>
          <w:rFonts w:cs="Times New Roman"/>
          <w:b/>
          <w:bCs/>
          <w:color w:val="000000" w:themeColor="text1"/>
          <w:sz w:val="24"/>
        </w:rPr>
      </w:pPr>
      <w:r>
        <w:rPr>
          <w:rFonts w:cs="Times New Roman" w:hint="eastAsia"/>
          <w:b/>
          <w:bCs/>
          <w:color w:val="000000" w:themeColor="text1"/>
          <w:sz w:val="24"/>
        </w:rPr>
        <w:t>②浅层含水层的平均有效孔隙度</w:t>
      </w:r>
      <w:r>
        <w:rPr>
          <w:rFonts w:cs="Times New Roman" w:hint="eastAsia"/>
          <w:b/>
          <w:bCs/>
          <w:color w:val="000000" w:themeColor="text1"/>
          <w:sz w:val="24"/>
        </w:rPr>
        <w:t>n</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项目区含水层岩性以细砂为主，取有效孔隙度为</w:t>
      </w:r>
      <w:r>
        <w:rPr>
          <w:rFonts w:cs="Times New Roman" w:hint="eastAsia"/>
          <w:color w:val="000000" w:themeColor="text1"/>
          <w:sz w:val="24"/>
        </w:rPr>
        <w:t>0.33</w:t>
      </w:r>
      <w:r>
        <w:rPr>
          <w:rFonts w:cs="Times New Roman" w:hint="eastAsia"/>
          <w:color w:val="000000" w:themeColor="text1"/>
          <w:sz w:val="24"/>
        </w:rPr>
        <w:t>。</w:t>
      </w:r>
    </w:p>
    <w:p w:rsidR="00644456" w:rsidRDefault="008031C4">
      <w:pPr>
        <w:spacing w:line="360" w:lineRule="auto"/>
        <w:ind w:firstLine="480"/>
        <w:rPr>
          <w:rFonts w:cs="Times New Roman"/>
          <w:b/>
          <w:bCs/>
          <w:color w:val="000000" w:themeColor="text1"/>
          <w:sz w:val="24"/>
        </w:rPr>
      </w:pPr>
      <w:r>
        <w:rPr>
          <w:rFonts w:cs="Times New Roman" w:hint="eastAsia"/>
          <w:b/>
          <w:bCs/>
          <w:color w:val="000000" w:themeColor="text1"/>
          <w:sz w:val="24"/>
        </w:rPr>
        <w:t>③含水层厚度</w:t>
      </w:r>
    </w:p>
    <w:p w:rsidR="00644456" w:rsidRDefault="008031C4">
      <w:pPr>
        <w:spacing w:line="360" w:lineRule="auto"/>
        <w:ind w:firstLine="482"/>
        <w:rPr>
          <w:rFonts w:cs="Times New Roman"/>
          <w:color w:val="FF0000"/>
          <w:sz w:val="24"/>
        </w:rPr>
      </w:pPr>
      <w:r>
        <w:rPr>
          <w:rFonts w:cs="Times New Roman" w:hint="eastAsia"/>
          <w:color w:val="000000" w:themeColor="text1"/>
          <w:sz w:val="24"/>
        </w:rPr>
        <w:t>项目区含水层为第四系松散岩类孔隙水，根据目前工程地质勘察资料与水文地质钻孔揭露，该地区基岩含水层平均厚度在</w:t>
      </w:r>
      <w:r>
        <w:rPr>
          <w:rFonts w:cs="Times New Roman" w:hint="eastAsia"/>
          <w:color w:val="000000" w:themeColor="text1"/>
          <w:sz w:val="24"/>
        </w:rPr>
        <w:t>10m</w:t>
      </w:r>
      <w:r>
        <w:rPr>
          <w:rFonts w:cs="Times New Roman" w:hint="eastAsia"/>
          <w:color w:val="000000" w:themeColor="text1"/>
          <w:sz w:val="24"/>
        </w:rPr>
        <w:t>左右，故本次计算与评价，暂按含水层厚度为</w:t>
      </w:r>
      <w:r>
        <w:rPr>
          <w:rFonts w:cs="Times New Roman" w:hint="eastAsia"/>
          <w:color w:val="000000" w:themeColor="text1"/>
          <w:sz w:val="24"/>
        </w:rPr>
        <w:t>M</w:t>
      </w:r>
      <w:r>
        <w:rPr>
          <w:rFonts w:cs="Times New Roman" w:hint="eastAsia"/>
          <w:color w:val="000000" w:themeColor="text1"/>
          <w:sz w:val="24"/>
        </w:rPr>
        <w:t>为</w:t>
      </w:r>
      <w:r>
        <w:rPr>
          <w:rFonts w:cs="Times New Roman" w:hint="eastAsia"/>
          <w:color w:val="000000" w:themeColor="text1"/>
          <w:sz w:val="24"/>
        </w:rPr>
        <w:t>10m</w:t>
      </w:r>
      <w:r>
        <w:rPr>
          <w:rFonts w:cs="Times New Roman" w:hint="eastAsia"/>
          <w:color w:val="000000" w:themeColor="text1"/>
          <w:sz w:val="24"/>
        </w:rPr>
        <w:t>进行概化预测。</w:t>
      </w:r>
    </w:p>
    <w:p w:rsidR="00644456" w:rsidRDefault="008031C4">
      <w:pPr>
        <w:spacing w:line="360" w:lineRule="auto"/>
        <w:ind w:firstLine="480"/>
        <w:rPr>
          <w:rFonts w:cs="Times New Roman"/>
          <w:b/>
          <w:bCs/>
          <w:color w:val="000000" w:themeColor="text1"/>
          <w:sz w:val="24"/>
        </w:rPr>
      </w:pPr>
      <w:r>
        <w:rPr>
          <w:rFonts w:cs="Times New Roman" w:hint="eastAsia"/>
          <w:b/>
          <w:bCs/>
          <w:color w:val="000000" w:themeColor="text1"/>
          <w:sz w:val="24"/>
        </w:rPr>
        <w:lastRenderedPageBreak/>
        <w:t>④水流实际平均流速μ及流向</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项目区第四系潜水层含水介质的有效孔隙度</w:t>
      </w:r>
      <w:r>
        <w:rPr>
          <w:rFonts w:cs="Times New Roman" w:hint="eastAsia"/>
          <w:color w:val="000000" w:themeColor="text1"/>
          <w:sz w:val="24"/>
        </w:rPr>
        <w:t>n</w:t>
      </w:r>
      <w:r>
        <w:rPr>
          <w:rFonts w:cs="Times New Roman" w:hint="eastAsia"/>
          <w:color w:val="000000" w:themeColor="text1"/>
          <w:sz w:val="24"/>
        </w:rPr>
        <w:t>取值为</w:t>
      </w:r>
      <w:r>
        <w:rPr>
          <w:rFonts w:cs="Times New Roman" w:hint="eastAsia"/>
          <w:color w:val="000000" w:themeColor="text1"/>
          <w:sz w:val="24"/>
        </w:rPr>
        <w:t>0.33</w:t>
      </w:r>
      <w:r>
        <w:rPr>
          <w:rFonts w:cs="Times New Roman" w:hint="eastAsia"/>
          <w:color w:val="000000" w:themeColor="text1"/>
          <w:sz w:val="24"/>
        </w:rPr>
        <w:t>；渗透系数</w:t>
      </w:r>
      <w:r>
        <w:rPr>
          <w:rFonts w:cs="Times New Roman" w:hint="eastAsia"/>
          <w:color w:val="000000" w:themeColor="text1"/>
          <w:sz w:val="24"/>
        </w:rPr>
        <w:t>K</w:t>
      </w:r>
      <w:r>
        <w:rPr>
          <w:rFonts w:cs="Times New Roman" w:hint="eastAsia"/>
          <w:color w:val="000000" w:themeColor="text1"/>
          <w:sz w:val="24"/>
        </w:rPr>
        <w:t>取值为</w:t>
      </w:r>
      <w:r>
        <w:rPr>
          <w:rFonts w:cs="Times New Roman" w:hint="eastAsia"/>
          <w:color w:val="000000" w:themeColor="text1"/>
          <w:sz w:val="24"/>
        </w:rPr>
        <w:t>25m/d</w:t>
      </w:r>
      <w:r>
        <w:rPr>
          <w:rFonts w:cs="Times New Roman" w:hint="eastAsia"/>
          <w:color w:val="000000" w:themeColor="text1"/>
          <w:sz w:val="24"/>
        </w:rPr>
        <w:t>，水力梯度以</w:t>
      </w:r>
      <w:r>
        <w:rPr>
          <w:rFonts w:cs="Times New Roman" w:hint="eastAsia"/>
          <w:color w:val="000000" w:themeColor="text1"/>
          <w:sz w:val="24"/>
        </w:rPr>
        <w:t>0.003</w:t>
      </w:r>
      <w:r>
        <w:rPr>
          <w:rFonts w:cs="Times New Roman" w:hint="eastAsia"/>
          <w:color w:val="000000" w:themeColor="text1"/>
          <w:sz w:val="24"/>
        </w:rPr>
        <w:t>计，地下水流速度为</w:t>
      </w:r>
      <w:r>
        <w:rPr>
          <w:rFonts w:cs="Times New Roman" w:hint="eastAsia"/>
          <w:color w:val="000000" w:themeColor="text1"/>
          <w:sz w:val="24"/>
        </w:rPr>
        <w:t>25*0.003/0.33=0.227m/d</w:t>
      </w:r>
      <w:r>
        <w:rPr>
          <w:rFonts w:cs="Times New Roman" w:hint="eastAsia"/>
          <w:color w:val="000000" w:themeColor="text1"/>
          <w:sz w:val="24"/>
        </w:rPr>
        <w:t>。</w:t>
      </w:r>
    </w:p>
    <w:p w:rsidR="00644456" w:rsidRDefault="008031C4">
      <w:pPr>
        <w:spacing w:line="360" w:lineRule="auto"/>
        <w:ind w:firstLine="480"/>
        <w:rPr>
          <w:rFonts w:cs="Times New Roman"/>
          <w:b/>
          <w:bCs/>
          <w:color w:val="000000" w:themeColor="text1"/>
          <w:sz w:val="24"/>
        </w:rPr>
      </w:pPr>
      <w:r>
        <w:rPr>
          <w:rFonts w:cs="Times New Roman" w:hint="eastAsia"/>
          <w:b/>
          <w:bCs/>
          <w:color w:val="000000" w:themeColor="text1"/>
          <w:sz w:val="24"/>
        </w:rPr>
        <w:t>⑤弥散系数</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一般弥散试验的结果受试验场地的尺度效应影响明显，其结果应用受到很大的局限性，因此，本次预测过程中所用的弥散度根据前人有关弥散度尺度效应的研究成果来确定。参考</w:t>
      </w:r>
      <w:r>
        <w:rPr>
          <w:rFonts w:cs="Times New Roman" w:hint="eastAsia"/>
          <w:color w:val="000000" w:themeColor="text1"/>
          <w:sz w:val="24"/>
        </w:rPr>
        <w:t>GelharL.W</w:t>
      </w:r>
      <w:r>
        <w:rPr>
          <w:rFonts w:cs="Times New Roman" w:hint="eastAsia"/>
          <w:color w:val="000000" w:themeColor="text1"/>
          <w:sz w:val="24"/>
        </w:rPr>
        <w:t>（</w:t>
      </w:r>
      <w:r>
        <w:rPr>
          <w:rFonts w:cs="Times New Roman" w:hint="eastAsia"/>
          <w:color w:val="000000" w:themeColor="text1"/>
          <w:sz w:val="24"/>
        </w:rPr>
        <w:t>1992</w:t>
      </w:r>
      <w:r>
        <w:rPr>
          <w:rFonts w:cs="Times New Roman" w:hint="eastAsia"/>
          <w:color w:val="000000" w:themeColor="text1"/>
          <w:sz w:val="24"/>
        </w:rPr>
        <w:t>年）在“</w:t>
      </w:r>
      <w:r>
        <w:rPr>
          <w:rFonts w:cs="Times New Roman" w:hint="eastAsia"/>
          <w:color w:val="000000" w:themeColor="text1"/>
          <w:sz w:val="24"/>
        </w:rPr>
        <w:t>Acriticalreviewofdataonfield-scaledispersioninaquifer</w:t>
      </w:r>
      <w:r>
        <w:rPr>
          <w:rFonts w:cs="Times New Roman" w:hint="eastAsia"/>
          <w:color w:val="000000" w:themeColor="text1"/>
          <w:sz w:val="24"/>
        </w:rPr>
        <w:t>”一文中对</w:t>
      </w:r>
      <w:r>
        <w:rPr>
          <w:rFonts w:cs="Times New Roman" w:hint="eastAsia"/>
          <w:color w:val="000000" w:themeColor="text1"/>
          <w:sz w:val="24"/>
        </w:rPr>
        <w:t>59</w:t>
      </w:r>
      <w:r>
        <w:rPr>
          <w:rFonts w:cs="Times New Roman" w:hint="eastAsia"/>
          <w:color w:val="000000" w:themeColor="text1"/>
          <w:sz w:val="24"/>
        </w:rPr>
        <w:t>个不同尺度的地区弥散度的研究成果，以及成建梅（</w:t>
      </w:r>
      <w:r>
        <w:rPr>
          <w:rFonts w:cs="Times New Roman" w:hint="eastAsia"/>
          <w:color w:val="000000" w:themeColor="text1"/>
          <w:sz w:val="24"/>
        </w:rPr>
        <w:t>2002</w:t>
      </w:r>
      <w:r>
        <w:rPr>
          <w:rFonts w:cs="Times New Roman" w:hint="eastAsia"/>
          <w:color w:val="000000" w:themeColor="text1"/>
          <w:sz w:val="24"/>
        </w:rPr>
        <w:t>年）在“考虑可信度的弥散尺度效应分析”一文中根据</w:t>
      </w:r>
      <w:r>
        <w:rPr>
          <w:rFonts w:cs="Times New Roman" w:hint="eastAsia"/>
          <w:color w:val="000000" w:themeColor="text1"/>
          <w:sz w:val="24"/>
        </w:rPr>
        <w:t>118</w:t>
      </w:r>
      <w:r>
        <w:rPr>
          <w:rFonts w:cs="Times New Roman" w:hint="eastAsia"/>
          <w:color w:val="000000" w:themeColor="text1"/>
          <w:sz w:val="24"/>
        </w:rPr>
        <w:t>个弥散资料对纵向弥散度与试验尺度数据回归分析所得到的回归方程。孔隙介质的二维数值模型关系图见图</w:t>
      </w:r>
      <w:r>
        <w:rPr>
          <w:rFonts w:cs="Times New Roman" w:hint="eastAsia"/>
          <w:color w:val="000000" w:themeColor="text1"/>
          <w:sz w:val="24"/>
        </w:rPr>
        <w:t>6.4-2</w:t>
      </w:r>
      <w:r>
        <w:rPr>
          <w:rFonts w:cs="Times New Roman" w:hint="eastAsia"/>
          <w:color w:val="000000" w:themeColor="text1"/>
          <w:sz w:val="24"/>
        </w:rPr>
        <w:t>。结合区域水文地质条件特征，确定含水层纵向弥散度应介于</w:t>
      </w:r>
      <w:r>
        <w:rPr>
          <w:rFonts w:cs="Times New Roman" w:hint="eastAsia"/>
          <w:color w:val="000000" w:themeColor="text1"/>
          <w:sz w:val="24"/>
        </w:rPr>
        <w:t>10</w:t>
      </w:r>
      <w:r>
        <w:rPr>
          <w:rFonts w:cs="Times New Roman" w:hint="eastAsia"/>
          <w:color w:val="000000" w:themeColor="text1"/>
          <w:sz w:val="24"/>
        </w:rPr>
        <w:t>～</w:t>
      </w:r>
      <w:r>
        <w:rPr>
          <w:rFonts w:cs="Times New Roman" w:hint="eastAsia"/>
          <w:color w:val="000000" w:themeColor="text1"/>
          <w:sz w:val="24"/>
        </w:rPr>
        <w:t>100</w:t>
      </w:r>
      <w:r>
        <w:rPr>
          <w:rFonts w:cs="Times New Roman" w:hint="eastAsia"/>
          <w:color w:val="000000" w:themeColor="text1"/>
          <w:sz w:val="24"/>
        </w:rPr>
        <w:t>之间，纵向弥散系数按公式</w:t>
      </w:r>
      <w:r>
        <w:rPr>
          <w:rFonts w:cs="Times New Roman" w:hint="eastAsia"/>
          <w:color w:val="000000" w:themeColor="text1"/>
          <w:sz w:val="24"/>
        </w:rPr>
        <w:t>DL=</w:t>
      </w:r>
      <w:r>
        <w:rPr>
          <w:rFonts w:cs="Times New Roman" w:hint="eastAsia"/>
          <w:color w:val="000000" w:themeColor="text1"/>
          <w:sz w:val="24"/>
        </w:rPr>
        <w:t>α</w:t>
      </w:r>
      <w:r>
        <w:rPr>
          <w:rFonts w:cs="Times New Roman" w:hint="eastAsia"/>
          <w:color w:val="000000" w:themeColor="text1"/>
          <w:sz w:val="24"/>
        </w:rPr>
        <w:t>L</w:t>
      </w:r>
      <w:r>
        <w:rPr>
          <w:rFonts w:cs="Times New Roman" w:hint="eastAsia"/>
          <w:color w:val="000000" w:themeColor="text1"/>
          <w:sz w:val="24"/>
        </w:rPr>
        <w:t>·</w:t>
      </w:r>
      <w:r>
        <w:rPr>
          <w:rFonts w:cs="Times New Roman" w:hint="eastAsia"/>
          <w:color w:val="000000" w:themeColor="text1"/>
          <w:sz w:val="24"/>
        </w:rPr>
        <w:t>u</w:t>
      </w:r>
      <w:r>
        <w:rPr>
          <w:rFonts w:cs="Times New Roman" w:hint="eastAsia"/>
          <w:color w:val="000000" w:themeColor="text1"/>
          <w:sz w:val="24"/>
        </w:rPr>
        <w:t>计算，弥散度α</w:t>
      </w:r>
      <w:r>
        <w:rPr>
          <w:rFonts w:cs="Times New Roman" w:hint="eastAsia"/>
          <w:color w:val="000000" w:themeColor="text1"/>
          <w:sz w:val="24"/>
        </w:rPr>
        <w:t>L</w:t>
      </w:r>
      <w:r>
        <w:rPr>
          <w:rFonts w:cs="Times New Roman" w:hint="eastAsia"/>
          <w:color w:val="000000" w:themeColor="text1"/>
          <w:sz w:val="24"/>
        </w:rPr>
        <w:t>取</w:t>
      </w:r>
      <w:r>
        <w:rPr>
          <w:rFonts w:cs="Times New Roman" w:hint="eastAsia"/>
          <w:color w:val="000000" w:themeColor="text1"/>
          <w:sz w:val="24"/>
        </w:rPr>
        <w:t>10m</w:t>
      </w:r>
      <w:r>
        <w:rPr>
          <w:rFonts w:cs="Times New Roman" w:hint="eastAsia"/>
          <w:color w:val="000000" w:themeColor="text1"/>
          <w:sz w:val="24"/>
        </w:rPr>
        <w:t>（室内弥散系数</w:t>
      </w:r>
      <w:r>
        <w:rPr>
          <w:rFonts w:cs="Times New Roman" w:hint="eastAsia"/>
          <w:color w:val="000000" w:themeColor="text1"/>
          <w:sz w:val="24"/>
        </w:rPr>
        <w:t>0.01</w:t>
      </w:r>
      <w:r>
        <w:rPr>
          <w:rFonts w:cs="Times New Roman" w:hint="eastAsia"/>
          <w:color w:val="000000" w:themeColor="text1"/>
          <w:sz w:val="24"/>
        </w:rPr>
        <w:t>～</w:t>
      </w:r>
      <w:r>
        <w:rPr>
          <w:rFonts w:cs="Times New Roman" w:hint="eastAsia"/>
          <w:color w:val="000000" w:themeColor="text1"/>
          <w:sz w:val="24"/>
        </w:rPr>
        <w:t>1cm</w:t>
      </w:r>
      <w:r>
        <w:rPr>
          <w:rFonts w:cs="Times New Roman" w:hint="eastAsia"/>
          <w:color w:val="000000" w:themeColor="text1"/>
          <w:sz w:val="24"/>
        </w:rPr>
        <w:t>，野外实际运用时，考虑弥散度的宏观尺度效用，将该值放大</w:t>
      </w:r>
      <w:r>
        <w:rPr>
          <w:rFonts w:cs="Times New Roman" w:hint="eastAsia"/>
          <w:color w:val="000000" w:themeColor="text1"/>
          <w:sz w:val="24"/>
        </w:rPr>
        <w:t>2</w:t>
      </w:r>
      <w:r>
        <w:rPr>
          <w:rFonts w:cs="Times New Roman" w:hint="eastAsia"/>
          <w:color w:val="000000" w:themeColor="text1"/>
          <w:sz w:val="24"/>
        </w:rPr>
        <w:t>～</w:t>
      </w:r>
      <w:r>
        <w:rPr>
          <w:rFonts w:cs="Times New Roman" w:hint="eastAsia"/>
          <w:color w:val="000000" w:themeColor="text1"/>
          <w:sz w:val="24"/>
        </w:rPr>
        <w:t>6</w:t>
      </w:r>
      <w:r>
        <w:rPr>
          <w:rFonts w:cs="Times New Roman" w:hint="eastAsia"/>
          <w:color w:val="000000" w:themeColor="text1"/>
          <w:sz w:val="24"/>
        </w:rPr>
        <w:t>个数量级，取</w:t>
      </w:r>
      <w:r>
        <w:rPr>
          <w:rFonts w:cs="Times New Roman" w:hint="eastAsia"/>
          <w:color w:val="000000" w:themeColor="text1"/>
          <w:sz w:val="24"/>
        </w:rPr>
        <w:t>10m</w:t>
      </w:r>
      <w:r>
        <w:rPr>
          <w:rFonts w:cs="Times New Roman" w:hint="eastAsia"/>
          <w:color w:val="000000" w:themeColor="text1"/>
          <w:sz w:val="24"/>
        </w:rPr>
        <w:t>），从而计算出</w:t>
      </w:r>
      <w:r>
        <w:rPr>
          <w:rFonts w:cs="Times New Roman" w:hint="eastAsia"/>
          <w:color w:val="000000" w:themeColor="text1"/>
          <w:sz w:val="24"/>
        </w:rPr>
        <w:t>DL=2.27m2/d</w:t>
      </w:r>
      <w:r>
        <w:rPr>
          <w:rFonts w:cs="Times New Roman" w:hint="eastAsia"/>
          <w:color w:val="000000" w:themeColor="text1"/>
          <w:sz w:val="24"/>
        </w:rPr>
        <w:t>。</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横向</w:t>
      </w:r>
      <w:r>
        <w:rPr>
          <w:rFonts w:cs="Times New Roman" w:hint="eastAsia"/>
          <w:color w:val="000000" w:themeColor="text1"/>
          <w:sz w:val="24"/>
        </w:rPr>
        <w:t>Y</w:t>
      </w:r>
      <w:r>
        <w:rPr>
          <w:rFonts w:cs="Times New Roman" w:hint="eastAsia"/>
          <w:color w:val="000000" w:themeColor="text1"/>
          <w:sz w:val="24"/>
        </w:rPr>
        <w:t>方向的弥散系数</w:t>
      </w:r>
      <w:r>
        <w:rPr>
          <w:rFonts w:cs="Times New Roman" w:hint="eastAsia"/>
          <w:color w:val="000000" w:themeColor="text1"/>
          <w:sz w:val="24"/>
        </w:rPr>
        <w:t>DT</w:t>
      </w:r>
      <w:r>
        <w:rPr>
          <w:rFonts w:cs="Times New Roman" w:hint="eastAsia"/>
          <w:color w:val="000000" w:themeColor="text1"/>
          <w:sz w:val="24"/>
        </w:rPr>
        <w:t>：根据经验一般</w:t>
      </w:r>
      <w:r>
        <w:rPr>
          <w:rFonts w:cs="Times New Roman" w:hint="eastAsia"/>
          <w:color w:val="000000" w:themeColor="text1"/>
          <w:sz w:val="24"/>
        </w:rPr>
        <w:t>DT/DL=0.1</w:t>
      </w:r>
      <w:r>
        <w:rPr>
          <w:rFonts w:cs="Times New Roman" w:hint="eastAsia"/>
          <w:color w:val="000000" w:themeColor="text1"/>
          <w:sz w:val="24"/>
        </w:rPr>
        <w:t>，因此</w:t>
      </w:r>
      <w:r>
        <w:rPr>
          <w:rFonts w:cs="Times New Roman" w:hint="eastAsia"/>
          <w:color w:val="000000" w:themeColor="text1"/>
          <w:sz w:val="24"/>
        </w:rPr>
        <w:t>DT</w:t>
      </w:r>
      <w:r>
        <w:rPr>
          <w:rFonts w:cs="Times New Roman" w:hint="eastAsia"/>
          <w:color w:val="000000" w:themeColor="text1"/>
          <w:sz w:val="24"/>
        </w:rPr>
        <w:t>取</w:t>
      </w:r>
      <w:r>
        <w:rPr>
          <w:rFonts w:cs="Times New Roman" w:hint="eastAsia"/>
          <w:color w:val="000000" w:themeColor="text1"/>
          <w:sz w:val="24"/>
        </w:rPr>
        <w:t>0.227m</w:t>
      </w:r>
      <w:r>
        <w:rPr>
          <w:rFonts w:cs="Times New Roman" w:hint="eastAsia"/>
          <w:color w:val="000000" w:themeColor="text1"/>
          <w:sz w:val="24"/>
          <w:vertAlign w:val="superscript"/>
        </w:rPr>
        <w:t>2</w:t>
      </w:r>
      <w:r>
        <w:rPr>
          <w:rFonts w:cs="Times New Roman" w:hint="eastAsia"/>
          <w:color w:val="000000" w:themeColor="text1"/>
          <w:sz w:val="24"/>
        </w:rPr>
        <w:t>/d</w:t>
      </w:r>
      <w:r>
        <w:rPr>
          <w:rFonts w:cs="Times New Roman" w:hint="eastAsia"/>
          <w:color w:val="000000" w:themeColor="text1"/>
          <w:sz w:val="24"/>
        </w:rPr>
        <w:t>。</w:t>
      </w:r>
    </w:p>
    <w:p w:rsidR="00644456" w:rsidRDefault="008031C4" w:rsidP="00DE0F42">
      <w:pPr>
        <w:spacing w:line="360" w:lineRule="auto"/>
        <w:ind w:firstLine="482"/>
        <w:jc w:val="center"/>
      </w:pPr>
      <w:r>
        <w:rPr>
          <w:noProof/>
        </w:rPr>
        <w:drawing>
          <wp:inline distT="0" distB="0" distL="114300" distR="114300" wp14:anchorId="4AFC181F" wp14:editId="2005E797">
            <wp:extent cx="4314825" cy="2062897"/>
            <wp:effectExtent l="0" t="0" r="0" b="0"/>
            <wp:docPr id="6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4"/>
                    <pic:cNvPicPr>
                      <a:picLocks noChangeAspect="1"/>
                    </pic:cNvPicPr>
                  </pic:nvPicPr>
                  <pic:blipFill>
                    <a:blip r:embed="rId85"/>
                    <a:stretch>
                      <a:fillRect/>
                    </a:stretch>
                  </pic:blipFill>
                  <pic:spPr>
                    <a:xfrm>
                      <a:off x="0" y="0"/>
                      <a:ext cx="4320438" cy="2065581"/>
                    </a:xfrm>
                    <a:prstGeom prst="rect">
                      <a:avLst/>
                    </a:prstGeom>
                    <a:noFill/>
                    <a:ln>
                      <a:noFill/>
                    </a:ln>
                  </pic:spPr>
                </pic:pic>
              </a:graphicData>
            </a:graphic>
          </wp:inline>
        </w:drawing>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图</w:t>
      </w:r>
      <w:r>
        <w:rPr>
          <w:rFonts w:cs="Times New Roman" w:hint="eastAsia"/>
          <w:b/>
          <w:color w:val="000000" w:themeColor="text1"/>
          <w:sz w:val="24"/>
          <w:szCs w:val="20"/>
        </w:rPr>
        <w:t>5.7-4lg</w:t>
      </w:r>
      <w:r>
        <w:rPr>
          <w:rFonts w:cs="Times New Roman" w:hint="eastAsia"/>
          <w:b/>
          <w:color w:val="000000" w:themeColor="text1"/>
          <w:sz w:val="24"/>
          <w:szCs w:val="20"/>
        </w:rPr>
        <w:t>α</w:t>
      </w:r>
      <w:r>
        <w:rPr>
          <w:rFonts w:cs="Times New Roman" w:hint="eastAsia"/>
          <w:b/>
          <w:color w:val="000000" w:themeColor="text1"/>
          <w:sz w:val="24"/>
          <w:szCs w:val="20"/>
        </w:rPr>
        <w:t>L</w:t>
      </w:r>
      <w:r>
        <w:rPr>
          <w:rFonts w:cs="Times New Roman" w:hint="eastAsia"/>
          <w:b/>
          <w:color w:val="000000" w:themeColor="text1"/>
          <w:sz w:val="24"/>
          <w:szCs w:val="20"/>
        </w:rPr>
        <w:t>—</w:t>
      </w:r>
      <w:r>
        <w:rPr>
          <w:rFonts w:cs="Times New Roman" w:hint="eastAsia"/>
          <w:b/>
          <w:color w:val="000000" w:themeColor="text1"/>
          <w:sz w:val="24"/>
          <w:szCs w:val="20"/>
        </w:rPr>
        <w:t>lgLs</w:t>
      </w:r>
      <w:r>
        <w:rPr>
          <w:rFonts w:cs="Times New Roman" w:hint="eastAsia"/>
          <w:b/>
          <w:color w:val="000000" w:themeColor="text1"/>
          <w:sz w:val="24"/>
          <w:szCs w:val="20"/>
        </w:rPr>
        <w:t>关系图</w:t>
      </w:r>
    </w:p>
    <w:p w:rsidR="00644456" w:rsidRDefault="008031C4">
      <w:pPr>
        <w:spacing w:line="360" w:lineRule="auto"/>
        <w:ind w:firstLine="482"/>
        <w:rPr>
          <w:rFonts w:cs="Times New Roman"/>
          <w:color w:val="000000" w:themeColor="text1"/>
          <w:sz w:val="24"/>
        </w:rPr>
      </w:pPr>
      <w:r>
        <w:rPr>
          <w:rFonts w:cs="Times New Roman" w:hint="eastAsia"/>
          <w:color w:val="000000" w:themeColor="text1"/>
          <w:sz w:val="24"/>
        </w:rPr>
        <w:t>评价工作区的水文地质参数见表</w:t>
      </w:r>
      <w:r>
        <w:rPr>
          <w:rFonts w:cs="Times New Roman" w:hint="eastAsia"/>
          <w:color w:val="000000" w:themeColor="text1"/>
          <w:sz w:val="24"/>
        </w:rPr>
        <w:t>5.7-5</w:t>
      </w:r>
      <w:r>
        <w:rPr>
          <w:rFonts w:cs="Times New Roman" w:hint="eastAsia"/>
          <w:color w:val="000000" w:themeColor="text1"/>
          <w:sz w:val="24"/>
        </w:rPr>
        <w:t>。</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5.7-5</w:t>
      </w:r>
      <w:r>
        <w:rPr>
          <w:rFonts w:cs="Times New Roman" w:hint="eastAsia"/>
          <w:b/>
          <w:color w:val="000000" w:themeColor="text1"/>
          <w:sz w:val="24"/>
          <w:szCs w:val="20"/>
        </w:rPr>
        <w:t>水文地质参数值表</w:t>
      </w:r>
    </w:p>
    <w:tbl>
      <w:tblPr>
        <w:tblStyle w:val="affff4"/>
        <w:tblW w:w="9209"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481"/>
        <w:gridCol w:w="1519"/>
        <w:gridCol w:w="1519"/>
        <w:gridCol w:w="1543"/>
        <w:gridCol w:w="1519"/>
        <w:gridCol w:w="1628"/>
      </w:tblGrid>
      <w:tr w:rsidR="00644456">
        <w:tc>
          <w:tcPr>
            <w:tcW w:w="1481" w:type="dxa"/>
            <w:vMerge w:val="restart"/>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非正常工况泄漏</w:t>
            </w:r>
          </w:p>
        </w:tc>
        <w:tc>
          <w:tcPr>
            <w:tcW w:w="1519"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渗透系数</w:t>
            </w:r>
          </w:p>
        </w:tc>
        <w:tc>
          <w:tcPr>
            <w:tcW w:w="1519" w:type="dxa"/>
            <w:vMerge w:val="restart"/>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有效孔隙度</w:t>
            </w:r>
          </w:p>
        </w:tc>
        <w:tc>
          <w:tcPr>
            <w:tcW w:w="154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水流实际速度</w:t>
            </w:r>
          </w:p>
        </w:tc>
        <w:tc>
          <w:tcPr>
            <w:tcW w:w="1519"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纵向弥散系数</w:t>
            </w:r>
          </w:p>
        </w:tc>
        <w:tc>
          <w:tcPr>
            <w:tcW w:w="1628" w:type="dxa"/>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横向弥散系数</w:t>
            </w:r>
          </w:p>
        </w:tc>
      </w:tr>
      <w:tr w:rsidR="00644456">
        <w:tc>
          <w:tcPr>
            <w:tcW w:w="1481" w:type="dxa"/>
            <w:vMerge/>
            <w:vAlign w:val="center"/>
          </w:tcPr>
          <w:p w:rsidR="00644456" w:rsidRDefault="00644456">
            <w:pPr>
              <w:adjustRightInd w:val="0"/>
              <w:jc w:val="center"/>
              <w:textAlignment w:val="baseline"/>
              <w:rPr>
                <w:rFonts w:cs="Times New Roman"/>
                <w:color w:val="000000" w:themeColor="text1"/>
                <w:kern w:val="0"/>
                <w:szCs w:val="21"/>
              </w:rPr>
            </w:pPr>
          </w:p>
        </w:tc>
        <w:tc>
          <w:tcPr>
            <w:tcW w:w="1519"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color w:val="000000" w:themeColor="text1"/>
                <w:kern w:val="0"/>
                <w:szCs w:val="21"/>
              </w:rPr>
              <w:t>m/d</w:t>
            </w:r>
          </w:p>
        </w:tc>
        <w:tc>
          <w:tcPr>
            <w:tcW w:w="1519" w:type="dxa"/>
            <w:vMerge/>
            <w:vAlign w:val="center"/>
          </w:tcPr>
          <w:p w:rsidR="00644456" w:rsidRDefault="00644456">
            <w:pPr>
              <w:adjustRightInd w:val="0"/>
              <w:jc w:val="center"/>
              <w:textAlignment w:val="baseline"/>
              <w:rPr>
                <w:rFonts w:cs="Times New Roman"/>
                <w:color w:val="000000" w:themeColor="text1"/>
                <w:kern w:val="0"/>
                <w:szCs w:val="21"/>
              </w:rPr>
            </w:pPr>
          </w:p>
        </w:tc>
        <w:tc>
          <w:tcPr>
            <w:tcW w:w="154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color w:val="000000" w:themeColor="text1"/>
                <w:kern w:val="0"/>
                <w:szCs w:val="21"/>
              </w:rPr>
              <w:t>m/d</w:t>
            </w:r>
          </w:p>
        </w:tc>
        <w:tc>
          <w:tcPr>
            <w:tcW w:w="1519"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szCs w:val="21"/>
              </w:rPr>
              <w:t>m</w:t>
            </w:r>
            <w:r>
              <w:rPr>
                <w:rFonts w:cs="Times New Roman" w:hint="eastAsia"/>
                <w:color w:val="000000" w:themeColor="text1"/>
                <w:szCs w:val="21"/>
                <w:vertAlign w:val="superscript"/>
              </w:rPr>
              <w:t>2</w:t>
            </w:r>
            <w:r>
              <w:rPr>
                <w:rFonts w:cs="Times New Roman" w:hint="eastAsia"/>
                <w:color w:val="000000" w:themeColor="text1"/>
                <w:szCs w:val="21"/>
              </w:rPr>
              <w:t>/d</w:t>
            </w:r>
          </w:p>
        </w:tc>
        <w:tc>
          <w:tcPr>
            <w:tcW w:w="1628" w:type="dxa"/>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szCs w:val="21"/>
              </w:rPr>
              <w:t>m</w:t>
            </w:r>
            <w:r>
              <w:rPr>
                <w:rFonts w:cs="Times New Roman" w:hint="eastAsia"/>
                <w:color w:val="000000" w:themeColor="text1"/>
                <w:szCs w:val="21"/>
                <w:vertAlign w:val="superscript"/>
              </w:rPr>
              <w:t>2</w:t>
            </w:r>
            <w:r>
              <w:rPr>
                <w:rFonts w:cs="Times New Roman" w:hint="eastAsia"/>
                <w:color w:val="000000" w:themeColor="text1"/>
                <w:szCs w:val="21"/>
              </w:rPr>
              <w:t>/d</w:t>
            </w:r>
          </w:p>
        </w:tc>
      </w:tr>
      <w:tr w:rsidR="00644456">
        <w:tc>
          <w:tcPr>
            <w:tcW w:w="1481" w:type="dxa"/>
            <w:vMerge/>
            <w:vAlign w:val="center"/>
          </w:tcPr>
          <w:p w:rsidR="00644456" w:rsidRDefault="00644456">
            <w:pPr>
              <w:adjustRightInd w:val="0"/>
              <w:jc w:val="center"/>
              <w:textAlignment w:val="baseline"/>
              <w:rPr>
                <w:rFonts w:cs="Times New Roman"/>
                <w:color w:val="000000" w:themeColor="text1"/>
                <w:kern w:val="0"/>
                <w:szCs w:val="21"/>
              </w:rPr>
            </w:pPr>
          </w:p>
        </w:tc>
        <w:tc>
          <w:tcPr>
            <w:tcW w:w="1519"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25</w:t>
            </w:r>
          </w:p>
        </w:tc>
        <w:tc>
          <w:tcPr>
            <w:tcW w:w="1519"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0.33</w:t>
            </w:r>
          </w:p>
        </w:tc>
        <w:tc>
          <w:tcPr>
            <w:tcW w:w="154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0.227</w:t>
            </w:r>
          </w:p>
        </w:tc>
        <w:tc>
          <w:tcPr>
            <w:tcW w:w="1519"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2.27</w:t>
            </w:r>
          </w:p>
        </w:tc>
        <w:tc>
          <w:tcPr>
            <w:tcW w:w="1628" w:type="dxa"/>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0.227</w:t>
            </w:r>
          </w:p>
        </w:tc>
      </w:tr>
    </w:tbl>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5.7.5.8</w:t>
      </w:r>
      <w:r>
        <w:rPr>
          <w:rFonts w:cs="Times New Roman"/>
          <w:snapToGrid w:val="0"/>
          <w:color w:val="000000" w:themeColor="text1"/>
          <w:kern w:val="0"/>
          <w:szCs w:val="24"/>
        </w:rPr>
        <w:t>预测结果</w:t>
      </w:r>
    </w:p>
    <w:p w:rsidR="00644456" w:rsidRDefault="008031C4">
      <w:pPr>
        <w:adjustRightInd w:val="0"/>
        <w:snapToGrid w:val="0"/>
        <w:spacing w:line="360" w:lineRule="auto"/>
        <w:ind w:firstLineChars="200" w:firstLine="480"/>
        <w:rPr>
          <w:rFonts w:cs="Times New Roman"/>
          <w:snapToGrid w:val="0"/>
          <w:color w:val="000000" w:themeColor="text1"/>
          <w:sz w:val="24"/>
          <w:szCs w:val="24"/>
        </w:rPr>
      </w:pPr>
      <w:bookmarkStart w:id="390" w:name="_Hlk160460572"/>
      <w:r>
        <w:rPr>
          <w:rFonts w:cs="Times New Roman" w:hint="eastAsia"/>
          <w:snapToGrid w:val="0"/>
          <w:color w:val="000000" w:themeColor="text1"/>
          <w:sz w:val="24"/>
          <w:szCs w:val="24"/>
        </w:rPr>
        <w:t>将确定的参数代入模型，可求出含水层不同位置，任何时刻的污染物因子浓度分布情况。污染物在含水层中运移情况见表</w:t>
      </w:r>
      <w:r>
        <w:rPr>
          <w:rFonts w:cs="Times New Roman" w:hint="eastAsia"/>
          <w:snapToGrid w:val="0"/>
          <w:color w:val="000000" w:themeColor="text1"/>
          <w:sz w:val="24"/>
          <w:szCs w:val="24"/>
        </w:rPr>
        <w:t>5.7-6</w:t>
      </w:r>
      <w:r>
        <w:rPr>
          <w:rFonts w:cs="Times New Roman" w:hint="eastAsia"/>
          <w:snapToGrid w:val="0"/>
          <w:color w:val="000000" w:themeColor="text1"/>
          <w:sz w:val="24"/>
          <w:szCs w:val="24"/>
        </w:rPr>
        <w:t>。</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5.7-6</w:t>
      </w:r>
      <w:r>
        <w:rPr>
          <w:rFonts w:cs="Times New Roman" w:hint="eastAsia"/>
          <w:b/>
          <w:color w:val="000000" w:themeColor="text1"/>
          <w:sz w:val="24"/>
          <w:szCs w:val="20"/>
        </w:rPr>
        <w:t>废水泄漏石油类浓度分布图</w:t>
      </w:r>
    </w:p>
    <w:tbl>
      <w:tblPr>
        <w:tblStyle w:val="afff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3005"/>
        <w:gridCol w:w="1287"/>
        <w:gridCol w:w="1718"/>
        <w:gridCol w:w="3005"/>
      </w:tblGrid>
      <w:tr w:rsidR="00644456">
        <w:tc>
          <w:tcPr>
            <w:tcW w:w="4292" w:type="dxa"/>
            <w:gridSpan w:val="2"/>
            <w:vAlign w:val="center"/>
          </w:tcPr>
          <w:p w:rsidR="00644456" w:rsidRDefault="008031C4">
            <w:pPr>
              <w:adjustRightInd w:val="0"/>
              <w:snapToGrid w:val="0"/>
              <w:spacing w:line="360" w:lineRule="auto"/>
              <w:jc w:val="center"/>
              <w:rPr>
                <w:rFonts w:cs="Times New Roman"/>
                <w:snapToGrid w:val="0"/>
                <w:color w:val="000000" w:themeColor="text1"/>
                <w:szCs w:val="21"/>
              </w:rPr>
            </w:pPr>
            <w:r>
              <w:rPr>
                <w:noProof/>
                <w:szCs w:val="21"/>
              </w:rPr>
              <w:lastRenderedPageBreak/>
              <w:drawing>
                <wp:inline distT="0" distB="0" distL="0" distR="0" wp14:anchorId="6DECDDA0" wp14:editId="32FF3205">
                  <wp:extent cx="2499995" cy="1325245"/>
                  <wp:effectExtent l="0" t="0" r="0" b="825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86"/>
                          <a:stretch>
                            <a:fillRect/>
                          </a:stretch>
                        </pic:blipFill>
                        <pic:spPr>
                          <a:xfrm>
                            <a:off x="0" y="0"/>
                            <a:ext cx="2514171" cy="1333373"/>
                          </a:xfrm>
                          <a:prstGeom prst="rect">
                            <a:avLst/>
                          </a:prstGeom>
                        </pic:spPr>
                      </pic:pic>
                    </a:graphicData>
                  </a:graphic>
                </wp:inline>
              </w:drawing>
            </w:r>
          </w:p>
        </w:tc>
        <w:tc>
          <w:tcPr>
            <w:tcW w:w="4723" w:type="dxa"/>
            <w:gridSpan w:val="2"/>
            <w:vAlign w:val="center"/>
          </w:tcPr>
          <w:p w:rsidR="00644456" w:rsidRDefault="008031C4">
            <w:pPr>
              <w:adjustRightInd w:val="0"/>
              <w:snapToGrid w:val="0"/>
              <w:spacing w:line="360" w:lineRule="auto"/>
              <w:jc w:val="center"/>
              <w:rPr>
                <w:rFonts w:cs="Times New Roman"/>
                <w:snapToGrid w:val="0"/>
                <w:color w:val="000000" w:themeColor="text1"/>
                <w:szCs w:val="21"/>
              </w:rPr>
            </w:pPr>
            <w:r>
              <w:rPr>
                <w:noProof/>
              </w:rPr>
              <w:drawing>
                <wp:inline distT="0" distB="0" distL="0" distR="0" wp14:anchorId="032EBD11" wp14:editId="3317E116">
                  <wp:extent cx="2861945" cy="1478915"/>
                  <wp:effectExtent l="0" t="0" r="0" b="6985"/>
                  <wp:docPr id="2145836242" name="图片 214583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36242" name="图片 2145836242"/>
                          <pic:cNvPicPr>
                            <a:picLocks noChangeAspect="1"/>
                          </pic:cNvPicPr>
                        </pic:nvPicPr>
                        <pic:blipFill>
                          <a:blip r:embed="rId87"/>
                          <a:stretch>
                            <a:fillRect/>
                          </a:stretch>
                        </pic:blipFill>
                        <pic:spPr>
                          <a:xfrm>
                            <a:off x="0" y="0"/>
                            <a:ext cx="2861945" cy="1478915"/>
                          </a:xfrm>
                          <a:prstGeom prst="rect">
                            <a:avLst/>
                          </a:prstGeom>
                        </pic:spPr>
                      </pic:pic>
                    </a:graphicData>
                  </a:graphic>
                </wp:inline>
              </w:drawing>
            </w:r>
          </w:p>
        </w:tc>
      </w:tr>
      <w:tr w:rsidR="00644456">
        <w:tc>
          <w:tcPr>
            <w:tcW w:w="4292" w:type="dxa"/>
            <w:gridSpan w:val="2"/>
            <w:vAlign w:val="center"/>
          </w:tcPr>
          <w:p w:rsidR="00644456" w:rsidRDefault="008031C4">
            <w:pPr>
              <w:adjustRightInd w:val="0"/>
              <w:snapToGrid w:val="0"/>
              <w:spacing w:line="360" w:lineRule="auto"/>
              <w:jc w:val="center"/>
              <w:rPr>
                <w:rFonts w:cs="Times New Roman"/>
                <w:snapToGrid w:val="0"/>
                <w:color w:val="000000" w:themeColor="text1"/>
                <w:szCs w:val="21"/>
              </w:rPr>
            </w:pPr>
            <w:r>
              <w:rPr>
                <w:rFonts w:cs="Times New Roman" w:hint="eastAsia"/>
                <w:snapToGrid w:val="0"/>
                <w:color w:val="000000" w:themeColor="text1"/>
                <w:szCs w:val="21"/>
              </w:rPr>
              <w:t>10d</w:t>
            </w:r>
            <w:r>
              <w:rPr>
                <w:rFonts w:cs="Times New Roman" w:hint="eastAsia"/>
                <w:snapToGrid w:val="0"/>
                <w:color w:val="000000" w:themeColor="text1"/>
                <w:szCs w:val="21"/>
              </w:rPr>
              <w:t>，石油类运移浓度分布图</w:t>
            </w:r>
          </w:p>
        </w:tc>
        <w:tc>
          <w:tcPr>
            <w:tcW w:w="4723" w:type="dxa"/>
            <w:gridSpan w:val="2"/>
            <w:vAlign w:val="center"/>
          </w:tcPr>
          <w:p w:rsidR="00644456" w:rsidRDefault="008031C4">
            <w:pPr>
              <w:adjustRightInd w:val="0"/>
              <w:snapToGrid w:val="0"/>
              <w:spacing w:line="360" w:lineRule="auto"/>
              <w:jc w:val="center"/>
              <w:rPr>
                <w:rFonts w:cs="Times New Roman"/>
                <w:snapToGrid w:val="0"/>
                <w:color w:val="000000" w:themeColor="text1"/>
                <w:szCs w:val="21"/>
              </w:rPr>
            </w:pPr>
            <w:r>
              <w:rPr>
                <w:rFonts w:cs="Times New Roman" w:hint="eastAsia"/>
                <w:snapToGrid w:val="0"/>
                <w:color w:val="000000" w:themeColor="text1"/>
                <w:szCs w:val="21"/>
              </w:rPr>
              <w:t>100d</w:t>
            </w:r>
            <w:r>
              <w:rPr>
                <w:rFonts w:cs="Times New Roman" w:hint="eastAsia"/>
                <w:snapToGrid w:val="0"/>
                <w:color w:val="000000" w:themeColor="text1"/>
                <w:szCs w:val="21"/>
              </w:rPr>
              <w:t>，石油类运移浓度分布图</w:t>
            </w:r>
          </w:p>
        </w:tc>
      </w:tr>
      <w:tr w:rsidR="00644456">
        <w:tc>
          <w:tcPr>
            <w:tcW w:w="3005" w:type="dxa"/>
            <w:vAlign w:val="center"/>
          </w:tcPr>
          <w:p w:rsidR="00644456" w:rsidRDefault="008031C4">
            <w:pPr>
              <w:adjustRightInd w:val="0"/>
              <w:snapToGrid w:val="0"/>
              <w:spacing w:line="360" w:lineRule="auto"/>
              <w:jc w:val="center"/>
              <w:rPr>
                <w:rFonts w:cs="Times New Roman"/>
                <w:snapToGrid w:val="0"/>
                <w:color w:val="000000" w:themeColor="text1"/>
                <w:szCs w:val="21"/>
              </w:rPr>
            </w:pPr>
            <w:r>
              <w:rPr>
                <w:noProof/>
              </w:rPr>
              <w:drawing>
                <wp:inline distT="0" distB="0" distL="0" distR="0" wp14:anchorId="3622CD68" wp14:editId="702ED30A">
                  <wp:extent cx="1771015" cy="894715"/>
                  <wp:effectExtent l="0" t="0" r="635" b="635"/>
                  <wp:docPr id="2145836241" name="图片 214583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36241" name="图片 2145836241"/>
                          <pic:cNvPicPr>
                            <a:picLocks noChangeAspect="1"/>
                          </pic:cNvPicPr>
                        </pic:nvPicPr>
                        <pic:blipFill>
                          <a:blip r:embed="rId88"/>
                          <a:stretch>
                            <a:fillRect/>
                          </a:stretch>
                        </pic:blipFill>
                        <pic:spPr>
                          <a:xfrm>
                            <a:off x="0" y="0"/>
                            <a:ext cx="1771015" cy="894715"/>
                          </a:xfrm>
                          <a:prstGeom prst="rect">
                            <a:avLst/>
                          </a:prstGeom>
                        </pic:spPr>
                      </pic:pic>
                    </a:graphicData>
                  </a:graphic>
                </wp:inline>
              </w:drawing>
            </w:r>
          </w:p>
        </w:tc>
        <w:tc>
          <w:tcPr>
            <w:tcW w:w="3005" w:type="dxa"/>
            <w:gridSpan w:val="2"/>
            <w:vAlign w:val="center"/>
          </w:tcPr>
          <w:p w:rsidR="00644456" w:rsidRDefault="008031C4">
            <w:pPr>
              <w:adjustRightInd w:val="0"/>
              <w:snapToGrid w:val="0"/>
              <w:spacing w:line="360" w:lineRule="auto"/>
              <w:jc w:val="center"/>
              <w:rPr>
                <w:rFonts w:cs="Times New Roman"/>
                <w:snapToGrid w:val="0"/>
                <w:color w:val="000000" w:themeColor="text1"/>
                <w:szCs w:val="21"/>
              </w:rPr>
            </w:pPr>
            <w:r>
              <w:rPr>
                <w:noProof/>
              </w:rPr>
              <w:drawing>
                <wp:inline distT="0" distB="0" distL="0" distR="0" wp14:anchorId="4F6312AE" wp14:editId="26D0745B">
                  <wp:extent cx="1771015" cy="921385"/>
                  <wp:effectExtent l="0" t="0" r="635" b="0"/>
                  <wp:docPr id="2145836240" name="图片 214583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36240" name="图片 2145836240"/>
                          <pic:cNvPicPr>
                            <a:picLocks noChangeAspect="1"/>
                          </pic:cNvPicPr>
                        </pic:nvPicPr>
                        <pic:blipFill>
                          <a:blip r:embed="rId89"/>
                          <a:stretch>
                            <a:fillRect/>
                          </a:stretch>
                        </pic:blipFill>
                        <pic:spPr>
                          <a:xfrm>
                            <a:off x="0" y="0"/>
                            <a:ext cx="1771015" cy="921385"/>
                          </a:xfrm>
                          <a:prstGeom prst="rect">
                            <a:avLst/>
                          </a:prstGeom>
                        </pic:spPr>
                      </pic:pic>
                    </a:graphicData>
                  </a:graphic>
                </wp:inline>
              </w:drawing>
            </w:r>
          </w:p>
        </w:tc>
        <w:tc>
          <w:tcPr>
            <w:tcW w:w="3005" w:type="dxa"/>
            <w:vAlign w:val="center"/>
          </w:tcPr>
          <w:p w:rsidR="00644456" w:rsidRDefault="008031C4">
            <w:pPr>
              <w:adjustRightInd w:val="0"/>
              <w:snapToGrid w:val="0"/>
              <w:spacing w:line="360" w:lineRule="auto"/>
              <w:jc w:val="center"/>
              <w:rPr>
                <w:rFonts w:cs="Times New Roman"/>
                <w:snapToGrid w:val="0"/>
                <w:color w:val="000000" w:themeColor="text1"/>
                <w:szCs w:val="21"/>
              </w:rPr>
            </w:pPr>
            <w:r>
              <w:rPr>
                <w:noProof/>
              </w:rPr>
              <w:drawing>
                <wp:inline distT="0" distB="0" distL="0" distR="0" wp14:anchorId="260C840D" wp14:editId="4932BB04">
                  <wp:extent cx="1771015" cy="992505"/>
                  <wp:effectExtent l="0" t="0" r="635" b="0"/>
                  <wp:docPr id="2145836239" name="图片 214583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36239" name="图片 2145836239"/>
                          <pic:cNvPicPr>
                            <a:picLocks noChangeAspect="1"/>
                          </pic:cNvPicPr>
                        </pic:nvPicPr>
                        <pic:blipFill>
                          <a:blip r:embed="rId90"/>
                          <a:stretch>
                            <a:fillRect/>
                          </a:stretch>
                        </pic:blipFill>
                        <pic:spPr>
                          <a:xfrm>
                            <a:off x="0" y="0"/>
                            <a:ext cx="1771015" cy="992505"/>
                          </a:xfrm>
                          <a:prstGeom prst="rect">
                            <a:avLst/>
                          </a:prstGeom>
                        </pic:spPr>
                      </pic:pic>
                    </a:graphicData>
                  </a:graphic>
                </wp:inline>
              </w:drawing>
            </w:r>
          </w:p>
        </w:tc>
      </w:tr>
      <w:tr w:rsidR="00644456">
        <w:tc>
          <w:tcPr>
            <w:tcW w:w="3005" w:type="dxa"/>
            <w:vAlign w:val="center"/>
          </w:tcPr>
          <w:p w:rsidR="00644456" w:rsidRDefault="008031C4">
            <w:pPr>
              <w:adjustRightInd w:val="0"/>
              <w:snapToGrid w:val="0"/>
              <w:spacing w:line="360" w:lineRule="auto"/>
              <w:jc w:val="center"/>
              <w:rPr>
                <w:szCs w:val="21"/>
              </w:rPr>
            </w:pPr>
            <w:r>
              <w:rPr>
                <w:szCs w:val="21"/>
              </w:rPr>
              <w:t>5</w:t>
            </w:r>
            <w:r>
              <w:rPr>
                <w:rFonts w:hint="eastAsia"/>
                <w:szCs w:val="21"/>
              </w:rPr>
              <w:t>00d</w:t>
            </w:r>
            <w:r>
              <w:rPr>
                <w:rFonts w:hint="eastAsia"/>
                <w:szCs w:val="21"/>
              </w:rPr>
              <w:t>，</w:t>
            </w:r>
            <w:r>
              <w:rPr>
                <w:rFonts w:cs="Times New Roman" w:hint="eastAsia"/>
                <w:snapToGrid w:val="0"/>
                <w:color w:val="000000" w:themeColor="text1"/>
                <w:szCs w:val="21"/>
              </w:rPr>
              <w:t>石油类</w:t>
            </w:r>
            <w:r>
              <w:rPr>
                <w:rFonts w:hint="eastAsia"/>
                <w:szCs w:val="21"/>
              </w:rPr>
              <w:t>运移浓度分布图</w:t>
            </w:r>
          </w:p>
        </w:tc>
        <w:tc>
          <w:tcPr>
            <w:tcW w:w="3005" w:type="dxa"/>
            <w:gridSpan w:val="2"/>
            <w:vAlign w:val="center"/>
          </w:tcPr>
          <w:p w:rsidR="00644456" w:rsidRDefault="008031C4">
            <w:pPr>
              <w:adjustRightInd w:val="0"/>
              <w:snapToGrid w:val="0"/>
              <w:spacing w:line="360" w:lineRule="auto"/>
              <w:jc w:val="center"/>
              <w:rPr>
                <w:rFonts w:cs="Times New Roman"/>
                <w:snapToGrid w:val="0"/>
                <w:color w:val="000000" w:themeColor="text1"/>
                <w:szCs w:val="21"/>
              </w:rPr>
            </w:pPr>
            <w:r>
              <w:rPr>
                <w:rFonts w:cs="Times New Roman" w:hint="eastAsia"/>
                <w:snapToGrid w:val="0"/>
                <w:color w:val="000000" w:themeColor="text1"/>
                <w:szCs w:val="21"/>
              </w:rPr>
              <w:t>1</w:t>
            </w:r>
            <w:r>
              <w:rPr>
                <w:rFonts w:cs="Times New Roman"/>
                <w:snapToGrid w:val="0"/>
                <w:color w:val="000000" w:themeColor="text1"/>
                <w:szCs w:val="21"/>
              </w:rPr>
              <w:t>0</w:t>
            </w:r>
            <w:r>
              <w:rPr>
                <w:rFonts w:cs="Times New Roman" w:hint="eastAsia"/>
                <w:snapToGrid w:val="0"/>
                <w:color w:val="000000" w:themeColor="text1"/>
                <w:szCs w:val="21"/>
              </w:rPr>
              <w:t>00d</w:t>
            </w:r>
            <w:r>
              <w:rPr>
                <w:rFonts w:cs="Times New Roman" w:hint="eastAsia"/>
                <w:snapToGrid w:val="0"/>
                <w:color w:val="000000" w:themeColor="text1"/>
                <w:szCs w:val="21"/>
              </w:rPr>
              <w:t>，石油类运移浓度分布图</w:t>
            </w:r>
          </w:p>
        </w:tc>
        <w:tc>
          <w:tcPr>
            <w:tcW w:w="3005" w:type="dxa"/>
            <w:vAlign w:val="center"/>
          </w:tcPr>
          <w:p w:rsidR="00644456" w:rsidRDefault="008031C4">
            <w:pPr>
              <w:adjustRightInd w:val="0"/>
              <w:snapToGrid w:val="0"/>
              <w:spacing w:line="360" w:lineRule="auto"/>
              <w:jc w:val="center"/>
              <w:rPr>
                <w:szCs w:val="21"/>
              </w:rPr>
            </w:pPr>
            <w:r>
              <w:rPr>
                <w:szCs w:val="21"/>
              </w:rPr>
              <w:t>50</w:t>
            </w:r>
            <w:r>
              <w:rPr>
                <w:rFonts w:hint="eastAsia"/>
                <w:szCs w:val="21"/>
              </w:rPr>
              <w:t>00d</w:t>
            </w:r>
            <w:r>
              <w:rPr>
                <w:rFonts w:hint="eastAsia"/>
                <w:szCs w:val="21"/>
              </w:rPr>
              <w:t>，</w:t>
            </w:r>
            <w:r>
              <w:rPr>
                <w:rFonts w:cs="Times New Roman" w:hint="eastAsia"/>
                <w:snapToGrid w:val="0"/>
                <w:color w:val="000000" w:themeColor="text1"/>
                <w:szCs w:val="21"/>
              </w:rPr>
              <w:t>石油类</w:t>
            </w:r>
            <w:r>
              <w:rPr>
                <w:rFonts w:hint="eastAsia"/>
                <w:szCs w:val="21"/>
              </w:rPr>
              <w:t>运移浓度分布图</w:t>
            </w:r>
          </w:p>
        </w:tc>
      </w:tr>
    </w:tbl>
    <w:bookmarkEnd w:id="390"/>
    <w:p w:rsidR="00177A8C" w:rsidRDefault="00177A8C" w:rsidP="00177A8C">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5.7-</w:t>
      </w:r>
      <w:r>
        <w:rPr>
          <w:rFonts w:cs="Times New Roman"/>
          <w:b/>
          <w:color w:val="000000" w:themeColor="text1"/>
          <w:sz w:val="24"/>
          <w:szCs w:val="20"/>
        </w:rPr>
        <w:t>7</w:t>
      </w:r>
      <w:r>
        <w:rPr>
          <w:rFonts w:cs="Times New Roman" w:hint="eastAsia"/>
          <w:b/>
          <w:color w:val="000000" w:themeColor="text1"/>
          <w:sz w:val="24"/>
          <w:szCs w:val="20"/>
        </w:rPr>
        <w:t>废水泄漏硫化物浓度分布图</w:t>
      </w:r>
    </w:p>
    <w:tbl>
      <w:tblPr>
        <w:tblStyle w:val="afff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3005"/>
        <w:gridCol w:w="1287"/>
        <w:gridCol w:w="1718"/>
        <w:gridCol w:w="3005"/>
      </w:tblGrid>
      <w:tr w:rsidR="00177A8C" w:rsidTr="007B7F59">
        <w:tc>
          <w:tcPr>
            <w:tcW w:w="4292" w:type="dxa"/>
            <w:gridSpan w:val="2"/>
            <w:vAlign w:val="center"/>
          </w:tcPr>
          <w:p w:rsidR="00177A8C" w:rsidRDefault="00177A8C" w:rsidP="007B7F59">
            <w:pPr>
              <w:adjustRightInd w:val="0"/>
              <w:snapToGrid w:val="0"/>
              <w:spacing w:line="360" w:lineRule="auto"/>
              <w:jc w:val="center"/>
              <w:rPr>
                <w:rFonts w:cs="Times New Roman"/>
                <w:snapToGrid w:val="0"/>
                <w:color w:val="000000" w:themeColor="text1"/>
                <w:szCs w:val="21"/>
              </w:rPr>
            </w:pPr>
            <w:r>
              <w:rPr>
                <w:noProof/>
              </w:rPr>
              <w:drawing>
                <wp:inline distT="0" distB="0" distL="0" distR="0" wp14:anchorId="425156A7" wp14:editId="45761285">
                  <wp:extent cx="2588260" cy="1652905"/>
                  <wp:effectExtent l="0" t="0" r="2540" b="44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588260" cy="1652905"/>
                          </a:xfrm>
                          <a:prstGeom prst="rect">
                            <a:avLst/>
                          </a:prstGeom>
                        </pic:spPr>
                      </pic:pic>
                    </a:graphicData>
                  </a:graphic>
                </wp:inline>
              </w:drawing>
            </w:r>
          </w:p>
        </w:tc>
        <w:tc>
          <w:tcPr>
            <w:tcW w:w="4723" w:type="dxa"/>
            <w:gridSpan w:val="2"/>
            <w:vAlign w:val="center"/>
          </w:tcPr>
          <w:p w:rsidR="00177A8C" w:rsidRDefault="00177A8C" w:rsidP="007B7F59">
            <w:pPr>
              <w:adjustRightInd w:val="0"/>
              <w:snapToGrid w:val="0"/>
              <w:spacing w:line="360" w:lineRule="auto"/>
              <w:jc w:val="center"/>
              <w:rPr>
                <w:rFonts w:cs="Times New Roman"/>
                <w:snapToGrid w:val="0"/>
                <w:color w:val="000000" w:themeColor="text1"/>
                <w:szCs w:val="21"/>
              </w:rPr>
            </w:pPr>
            <w:r>
              <w:rPr>
                <w:noProof/>
              </w:rPr>
              <w:drawing>
                <wp:inline distT="0" distB="0" distL="0" distR="0" wp14:anchorId="45F73745" wp14:editId="38102982">
                  <wp:extent cx="2600000" cy="1609524"/>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600000" cy="1609524"/>
                          </a:xfrm>
                          <a:prstGeom prst="rect">
                            <a:avLst/>
                          </a:prstGeom>
                        </pic:spPr>
                      </pic:pic>
                    </a:graphicData>
                  </a:graphic>
                </wp:inline>
              </w:drawing>
            </w:r>
          </w:p>
        </w:tc>
      </w:tr>
      <w:tr w:rsidR="00177A8C" w:rsidTr="007B7F59">
        <w:tc>
          <w:tcPr>
            <w:tcW w:w="4292" w:type="dxa"/>
            <w:gridSpan w:val="2"/>
            <w:vAlign w:val="center"/>
          </w:tcPr>
          <w:p w:rsidR="00177A8C" w:rsidRDefault="00177A8C" w:rsidP="007B7F59">
            <w:pPr>
              <w:adjustRightInd w:val="0"/>
              <w:snapToGrid w:val="0"/>
              <w:spacing w:line="360" w:lineRule="auto"/>
              <w:jc w:val="center"/>
              <w:rPr>
                <w:rFonts w:cs="Times New Roman"/>
                <w:snapToGrid w:val="0"/>
                <w:color w:val="000000" w:themeColor="text1"/>
                <w:szCs w:val="21"/>
              </w:rPr>
            </w:pPr>
            <w:r>
              <w:rPr>
                <w:rFonts w:cs="Times New Roman" w:hint="eastAsia"/>
                <w:snapToGrid w:val="0"/>
                <w:color w:val="000000" w:themeColor="text1"/>
                <w:szCs w:val="21"/>
              </w:rPr>
              <w:t>10d</w:t>
            </w:r>
            <w:r>
              <w:rPr>
                <w:rFonts w:cs="Times New Roman" w:hint="eastAsia"/>
                <w:snapToGrid w:val="0"/>
                <w:color w:val="000000" w:themeColor="text1"/>
                <w:szCs w:val="21"/>
              </w:rPr>
              <w:t>，</w:t>
            </w:r>
            <w:r w:rsidRPr="00177A8C">
              <w:rPr>
                <w:rFonts w:cs="Times New Roman" w:hint="eastAsia"/>
                <w:snapToGrid w:val="0"/>
                <w:color w:val="000000" w:themeColor="text1"/>
                <w:szCs w:val="21"/>
              </w:rPr>
              <w:t>硫化物</w:t>
            </w:r>
            <w:r>
              <w:rPr>
                <w:rFonts w:cs="Times New Roman" w:hint="eastAsia"/>
                <w:snapToGrid w:val="0"/>
                <w:color w:val="000000" w:themeColor="text1"/>
                <w:szCs w:val="21"/>
              </w:rPr>
              <w:t>运移浓度分布图</w:t>
            </w:r>
          </w:p>
        </w:tc>
        <w:tc>
          <w:tcPr>
            <w:tcW w:w="4723" w:type="dxa"/>
            <w:gridSpan w:val="2"/>
            <w:vAlign w:val="center"/>
          </w:tcPr>
          <w:p w:rsidR="00177A8C" w:rsidRDefault="00177A8C" w:rsidP="007B7F59">
            <w:pPr>
              <w:adjustRightInd w:val="0"/>
              <w:snapToGrid w:val="0"/>
              <w:spacing w:line="360" w:lineRule="auto"/>
              <w:jc w:val="center"/>
              <w:rPr>
                <w:rFonts w:cs="Times New Roman"/>
                <w:snapToGrid w:val="0"/>
                <w:color w:val="000000" w:themeColor="text1"/>
                <w:szCs w:val="21"/>
              </w:rPr>
            </w:pPr>
            <w:r>
              <w:rPr>
                <w:rFonts w:cs="Times New Roman" w:hint="eastAsia"/>
                <w:snapToGrid w:val="0"/>
                <w:color w:val="000000" w:themeColor="text1"/>
                <w:szCs w:val="21"/>
              </w:rPr>
              <w:t>100d</w:t>
            </w:r>
            <w:r>
              <w:rPr>
                <w:rFonts w:cs="Times New Roman" w:hint="eastAsia"/>
                <w:snapToGrid w:val="0"/>
                <w:color w:val="000000" w:themeColor="text1"/>
                <w:szCs w:val="21"/>
              </w:rPr>
              <w:t>，</w:t>
            </w:r>
            <w:r w:rsidRPr="00177A8C">
              <w:rPr>
                <w:rFonts w:cs="Times New Roman" w:hint="eastAsia"/>
                <w:snapToGrid w:val="0"/>
                <w:color w:val="000000" w:themeColor="text1"/>
                <w:szCs w:val="21"/>
              </w:rPr>
              <w:t>硫化物</w:t>
            </w:r>
            <w:r>
              <w:rPr>
                <w:rFonts w:cs="Times New Roman" w:hint="eastAsia"/>
                <w:snapToGrid w:val="0"/>
                <w:color w:val="000000" w:themeColor="text1"/>
                <w:szCs w:val="21"/>
              </w:rPr>
              <w:t>运移浓度分布图</w:t>
            </w:r>
          </w:p>
        </w:tc>
      </w:tr>
      <w:tr w:rsidR="00177A8C" w:rsidTr="007B7F59">
        <w:tc>
          <w:tcPr>
            <w:tcW w:w="3005" w:type="dxa"/>
            <w:vAlign w:val="center"/>
          </w:tcPr>
          <w:p w:rsidR="00177A8C" w:rsidRDefault="00177A8C" w:rsidP="007B7F59">
            <w:pPr>
              <w:adjustRightInd w:val="0"/>
              <w:snapToGrid w:val="0"/>
              <w:spacing w:line="360" w:lineRule="auto"/>
              <w:jc w:val="center"/>
              <w:rPr>
                <w:rFonts w:cs="Times New Roman"/>
                <w:snapToGrid w:val="0"/>
                <w:color w:val="000000" w:themeColor="text1"/>
                <w:szCs w:val="21"/>
              </w:rPr>
            </w:pPr>
            <w:r>
              <w:rPr>
                <w:noProof/>
              </w:rPr>
              <w:drawing>
                <wp:inline distT="0" distB="0" distL="0" distR="0" wp14:anchorId="7BC28775" wp14:editId="70D388D7">
                  <wp:extent cx="1771015" cy="1146175"/>
                  <wp:effectExtent l="0" t="0" r="63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771015" cy="1146175"/>
                          </a:xfrm>
                          <a:prstGeom prst="rect">
                            <a:avLst/>
                          </a:prstGeom>
                        </pic:spPr>
                      </pic:pic>
                    </a:graphicData>
                  </a:graphic>
                </wp:inline>
              </w:drawing>
            </w:r>
          </w:p>
        </w:tc>
        <w:tc>
          <w:tcPr>
            <w:tcW w:w="3005" w:type="dxa"/>
            <w:gridSpan w:val="2"/>
            <w:vAlign w:val="center"/>
          </w:tcPr>
          <w:p w:rsidR="00177A8C" w:rsidRDefault="00177A8C" w:rsidP="007B7F59">
            <w:pPr>
              <w:adjustRightInd w:val="0"/>
              <w:snapToGrid w:val="0"/>
              <w:spacing w:line="360" w:lineRule="auto"/>
              <w:jc w:val="center"/>
              <w:rPr>
                <w:rFonts w:cs="Times New Roman"/>
                <w:snapToGrid w:val="0"/>
                <w:color w:val="000000" w:themeColor="text1"/>
                <w:szCs w:val="21"/>
              </w:rPr>
            </w:pPr>
            <w:r>
              <w:rPr>
                <w:noProof/>
              </w:rPr>
              <w:drawing>
                <wp:inline distT="0" distB="0" distL="0" distR="0" wp14:anchorId="33524BA0" wp14:editId="772C1403">
                  <wp:extent cx="1771015" cy="1136650"/>
                  <wp:effectExtent l="0" t="0" r="635"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771015" cy="1136650"/>
                          </a:xfrm>
                          <a:prstGeom prst="rect">
                            <a:avLst/>
                          </a:prstGeom>
                        </pic:spPr>
                      </pic:pic>
                    </a:graphicData>
                  </a:graphic>
                </wp:inline>
              </w:drawing>
            </w:r>
          </w:p>
        </w:tc>
        <w:tc>
          <w:tcPr>
            <w:tcW w:w="3005" w:type="dxa"/>
            <w:vAlign w:val="center"/>
          </w:tcPr>
          <w:p w:rsidR="00177A8C" w:rsidRDefault="00177A8C" w:rsidP="007B7F59">
            <w:pPr>
              <w:adjustRightInd w:val="0"/>
              <w:snapToGrid w:val="0"/>
              <w:spacing w:line="360" w:lineRule="auto"/>
              <w:jc w:val="center"/>
              <w:rPr>
                <w:rFonts w:cs="Times New Roman"/>
                <w:snapToGrid w:val="0"/>
                <w:color w:val="000000" w:themeColor="text1"/>
                <w:szCs w:val="21"/>
              </w:rPr>
            </w:pPr>
            <w:r>
              <w:rPr>
                <w:noProof/>
              </w:rPr>
              <w:drawing>
                <wp:inline distT="0" distB="0" distL="0" distR="0" wp14:anchorId="046B7507" wp14:editId="29754704">
                  <wp:extent cx="1771015" cy="1163320"/>
                  <wp:effectExtent l="0" t="0" r="63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771015" cy="1163320"/>
                          </a:xfrm>
                          <a:prstGeom prst="rect">
                            <a:avLst/>
                          </a:prstGeom>
                        </pic:spPr>
                      </pic:pic>
                    </a:graphicData>
                  </a:graphic>
                </wp:inline>
              </w:drawing>
            </w:r>
          </w:p>
        </w:tc>
      </w:tr>
      <w:tr w:rsidR="00177A8C" w:rsidTr="007B7F59">
        <w:tc>
          <w:tcPr>
            <w:tcW w:w="3005" w:type="dxa"/>
            <w:vAlign w:val="center"/>
          </w:tcPr>
          <w:p w:rsidR="00177A8C" w:rsidRDefault="00177A8C" w:rsidP="007B7F59">
            <w:pPr>
              <w:adjustRightInd w:val="0"/>
              <w:snapToGrid w:val="0"/>
              <w:spacing w:line="360" w:lineRule="auto"/>
              <w:jc w:val="center"/>
              <w:rPr>
                <w:szCs w:val="21"/>
              </w:rPr>
            </w:pPr>
            <w:r>
              <w:rPr>
                <w:szCs w:val="21"/>
              </w:rPr>
              <w:t>5</w:t>
            </w:r>
            <w:r>
              <w:rPr>
                <w:rFonts w:hint="eastAsia"/>
                <w:szCs w:val="21"/>
              </w:rPr>
              <w:t>00d</w:t>
            </w:r>
            <w:r>
              <w:rPr>
                <w:rFonts w:hint="eastAsia"/>
                <w:szCs w:val="21"/>
              </w:rPr>
              <w:t>，</w:t>
            </w:r>
            <w:r w:rsidRPr="00177A8C">
              <w:rPr>
                <w:rFonts w:cs="Times New Roman" w:hint="eastAsia"/>
                <w:snapToGrid w:val="0"/>
                <w:color w:val="000000" w:themeColor="text1"/>
                <w:szCs w:val="21"/>
              </w:rPr>
              <w:t>硫化物</w:t>
            </w:r>
            <w:r>
              <w:rPr>
                <w:rFonts w:hint="eastAsia"/>
                <w:szCs w:val="21"/>
              </w:rPr>
              <w:t>运移浓度分布图</w:t>
            </w:r>
          </w:p>
        </w:tc>
        <w:tc>
          <w:tcPr>
            <w:tcW w:w="3005" w:type="dxa"/>
            <w:gridSpan w:val="2"/>
            <w:vAlign w:val="center"/>
          </w:tcPr>
          <w:p w:rsidR="00177A8C" w:rsidRDefault="00177A8C" w:rsidP="007B7F59">
            <w:pPr>
              <w:adjustRightInd w:val="0"/>
              <w:snapToGrid w:val="0"/>
              <w:spacing w:line="360" w:lineRule="auto"/>
              <w:jc w:val="center"/>
              <w:rPr>
                <w:rFonts w:cs="Times New Roman"/>
                <w:snapToGrid w:val="0"/>
                <w:color w:val="000000" w:themeColor="text1"/>
                <w:szCs w:val="21"/>
              </w:rPr>
            </w:pPr>
            <w:r>
              <w:rPr>
                <w:rFonts w:cs="Times New Roman" w:hint="eastAsia"/>
                <w:snapToGrid w:val="0"/>
                <w:color w:val="000000" w:themeColor="text1"/>
                <w:szCs w:val="21"/>
              </w:rPr>
              <w:t>1</w:t>
            </w:r>
            <w:r>
              <w:rPr>
                <w:rFonts w:cs="Times New Roman"/>
                <w:snapToGrid w:val="0"/>
                <w:color w:val="000000" w:themeColor="text1"/>
                <w:szCs w:val="21"/>
              </w:rPr>
              <w:t>0</w:t>
            </w:r>
            <w:r>
              <w:rPr>
                <w:rFonts w:cs="Times New Roman" w:hint="eastAsia"/>
                <w:snapToGrid w:val="0"/>
                <w:color w:val="000000" w:themeColor="text1"/>
                <w:szCs w:val="21"/>
              </w:rPr>
              <w:t>00d</w:t>
            </w:r>
            <w:r>
              <w:rPr>
                <w:rFonts w:cs="Times New Roman" w:hint="eastAsia"/>
                <w:snapToGrid w:val="0"/>
                <w:color w:val="000000" w:themeColor="text1"/>
                <w:szCs w:val="21"/>
              </w:rPr>
              <w:t>，</w:t>
            </w:r>
            <w:r w:rsidRPr="00177A8C">
              <w:rPr>
                <w:rFonts w:cs="Times New Roman" w:hint="eastAsia"/>
                <w:snapToGrid w:val="0"/>
                <w:color w:val="000000" w:themeColor="text1"/>
                <w:szCs w:val="21"/>
              </w:rPr>
              <w:t>硫化物</w:t>
            </w:r>
            <w:r>
              <w:rPr>
                <w:rFonts w:cs="Times New Roman" w:hint="eastAsia"/>
                <w:snapToGrid w:val="0"/>
                <w:color w:val="000000" w:themeColor="text1"/>
                <w:szCs w:val="21"/>
              </w:rPr>
              <w:t>运移浓度分布图</w:t>
            </w:r>
          </w:p>
        </w:tc>
        <w:tc>
          <w:tcPr>
            <w:tcW w:w="3005" w:type="dxa"/>
            <w:vAlign w:val="center"/>
          </w:tcPr>
          <w:p w:rsidR="00177A8C" w:rsidRDefault="00177A8C" w:rsidP="007B7F59">
            <w:pPr>
              <w:adjustRightInd w:val="0"/>
              <w:snapToGrid w:val="0"/>
              <w:spacing w:line="360" w:lineRule="auto"/>
              <w:jc w:val="center"/>
              <w:rPr>
                <w:szCs w:val="21"/>
              </w:rPr>
            </w:pPr>
            <w:r>
              <w:rPr>
                <w:szCs w:val="21"/>
              </w:rPr>
              <w:t>50</w:t>
            </w:r>
            <w:r>
              <w:rPr>
                <w:rFonts w:hint="eastAsia"/>
                <w:szCs w:val="21"/>
              </w:rPr>
              <w:t>00d</w:t>
            </w:r>
            <w:r>
              <w:rPr>
                <w:rFonts w:hint="eastAsia"/>
                <w:szCs w:val="21"/>
              </w:rPr>
              <w:t>，</w:t>
            </w:r>
            <w:r w:rsidRPr="00177A8C">
              <w:rPr>
                <w:rFonts w:cs="Times New Roman" w:hint="eastAsia"/>
                <w:snapToGrid w:val="0"/>
                <w:color w:val="000000" w:themeColor="text1"/>
                <w:szCs w:val="21"/>
              </w:rPr>
              <w:t>硫化物</w:t>
            </w:r>
            <w:r>
              <w:rPr>
                <w:rFonts w:hint="eastAsia"/>
                <w:szCs w:val="21"/>
              </w:rPr>
              <w:t>运移浓度分布图</w:t>
            </w:r>
          </w:p>
        </w:tc>
      </w:tr>
    </w:tbl>
    <w:p w:rsidR="00644456" w:rsidRDefault="008031C4">
      <w:pPr>
        <w:adjustRightInd w:val="0"/>
        <w:snapToGrid w:val="0"/>
        <w:spacing w:line="360" w:lineRule="auto"/>
        <w:ind w:firstLineChars="200" w:firstLine="480"/>
        <w:rPr>
          <w:rFonts w:cs="Times New Roman"/>
          <w:snapToGrid w:val="0"/>
          <w:color w:val="000000" w:themeColor="text1"/>
          <w:sz w:val="24"/>
          <w:szCs w:val="24"/>
        </w:rPr>
      </w:pPr>
      <w:r>
        <w:rPr>
          <w:rFonts w:cs="Times New Roman" w:hint="eastAsia"/>
          <w:snapToGrid w:val="0"/>
          <w:color w:val="000000" w:themeColor="text1"/>
          <w:sz w:val="24"/>
          <w:szCs w:val="24"/>
        </w:rPr>
        <w:t>各预测因子各预测时段地下水污染物最高浓度贡献值统计见下表，</w:t>
      </w:r>
      <w:r w:rsidR="00DE0F42" w:rsidRPr="00DE0F42">
        <w:rPr>
          <w:rFonts w:cs="Times New Roman" w:hint="eastAsia"/>
          <w:snapToGrid w:val="0"/>
          <w:color w:val="000000" w:themeColor="text1"/>
          <w:sz w:val="24"/>
          <w:szCs w:val="24"/>
        </w:rPr>
        <w:t>因《地下水质量标准》（</w:t>
      </w:r>
      <w:r w:rsidR="00DE0F42" w:rsidRPr="00DE0F42">
        <w:rPr>
          <w:rFonts w:cs="Times New Roman" w:hint="eastAsia"/>
          <w:snapToGrid w:val="0"/>
          <w:color w:val="000000" w:themeColor="text1"/>
          <w:sz w:val="24"/>
          <w:szCs w:val="24"/>
        </w:rPr>
        <w:t>GB/T 14848-2017</w:t>
      </w:r>
      <w:r w:rsidR="00DE0F42" w:rsidRPr="00DE0F42">
        <w:rPr>
          <w:rFonts w:cs="Times New Roman" w:hint="eastAsia"/>
          <w:snapToGrid w:val="0"/>
          <w:color w:val="000000" w:themeColor="text1"/>
          <w:sz w:val="24"/>
          <w:szCs w:val="24"/>
        </w:rPr>
        <w:t>）标准中无石油类的限值，本次预测参照《地表水环境质量标准》（</w:t>
      </w:r>
      <w:r w:rsidR="00DE0F42" w:rsidRPr="00DE0F42">
        <w:rPr>
          <w:rFonts w:cs="Times New Roman" w:hint="eastAsia"/>
          <w:snapToGrid w:val="0"/>
          <w:color w:val="000000" w:themeColor="text1"/>
          <w:sz w:val="24"/>
          <w:szCs w:val="24"/>
        </w:rPr>
        <w:t>GB3838-2002</w:t>
      </w:r>
      <w:r w:rsidR="00DE0F42" w:rsidRPr="00DE0F42">
        <w:rPr>
          <w:rFonts w:cs="Times New Roman" w:hint="eastAsia"/>
          <w:snapToGrid w:val="0"/>
          <w:color w:val="000000" w:themeColor="text1"/>
          <w:sz w:val="24"/>
          <w:szCs w:val="24"/>
        </w:rPr>
        <w:t>）Ⅲ类标准为本次预测的超标值</w:t>
      </w:r>
      <w:r w:rsidR="00177A8C">
        <w:rPr>
          <w:rFonts w:cs="Times New Roman" w:hint="eastAsia"/>
          <w:snapToGrid w:val="0"/>
          <w:color w:val="000000" w:themeColor="text1"/>
          <w:sz w:val="24"/>
          <w:szCs w:val="24"/>
        </w:rPr>
        <w:t>，硫化物执行</w:t>
      </w:r>
      <w:r w:rsidR="00177A8C" w:rsidRPr="00177A8C">
        <w:rPr>
          <w:rFonts w:cs="Times New Roman" w:hint="eastAsia"/>
          <w:snapToGrid w:val="0"/>
          <w:color w:val="000000" w:themeColor="text1"/>
          <w:sz w:val="24"/>
          <w:szCs w:val="24"/>
        </w:rPr>
        <w:t>《地下水质量标准》（</w:t>
      </w:r>
      <w:r w:rsidR="00177A8C" w:rsidRPr="00177A8C">
        <w:rPr>
          <w:rFonts w:cs="Times New Roman" w:hint="eastAsia"/>
          <w:snapToGrid w:val="0"/>
          <w:color w:val="000000" w:themeColor="text1"/>
          <w:sz w:val="24"/>
          <w:szCs w:val="24"/>
        </w:rPr>
        <w:t>GB/T 14848-2017</w:t>
      </w:r>
      <w:r w:rsidR="00177A8C" w:rsidRPr="00177A8C">
        <w:rPr>
          <w:rFonts w:cs="Times New Roman" w:hint="eastAsia"/>
          <w:snapToGrid w:val="0"/>
          <w:color w:val="000000" w:themeColor="text1"/>
          <w:sz w:val="24"/>
          <w:szCs w:val="24"/>
        </w:rPr>
        <w:t>）Ⅲ类标准</w:t>
      </w:r>
      <w:r>
        <w:rPr>
          <w:rFonts w:cs="Times New Roman" w:hint="eastAsia"/>
          <w:snapToGrid w:val="0"/>
          <w:color w:val="000000" w:themeColor="text1"/>
          <w:sz w:val="24"/>
          <w:szCs w:val="24"/>
        </w:rPr>
        <w:t>。</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5.5-7</w:t>
      </w:r>
      <w:r>
        <w:rPr>
          <w:rFonts w:cs="Times New Roman" w:hint="eastAsia"/>
          <w:b/>
          <w:color w:val="000000" w:themeColor="text1"/>
          <w:sz w:val="24"/>
          <w:szCs w:val="20"/>
        </w:rPr>
        <w:t>非正常状况废水调节池渗漏不同时段的地下水中污染物浓度超标情况</w:t>
      </w:r>
    </w:p>
    <w:tbl>
      <w:tblPr>
        <w:tblStyle w:val="affff4"/>
        <w:tblW w:w="0" w:type="auto"/>
        <w:tblLook w:val="04A0" w:firstRow="1" w:lastRow="0" w:firstColumn="1" w:lastColumn="0" w:noHBand="0" w:noVBand="1"/>
      </w:tblPr>
      <w:tblGrid>
        <w:gridCol w:w="3000"/>
        <w:gridCol w:w="3012"/>
        <w:gridCol w:w="3003"/>
      </w:tblGrid>
      <w:tr w:rsidR="00644456" w:rsidTr="00177A8C">
        <w:tc>
          <w:tcPr>
            <w:tcW w:w="3000" w:type="dxa"/>
            <w:vMerge w:val="restart"/>
          </w:tcPr>
          <w:p w:rsidR="00644456" w:rsidRDefault="008031C4">
            <w:pPr>
              <w:jc w:val="center"/>
              <w:outlineLvl w:val="8"/>
              <w:rPr>
                <w:rFonts w:cs="Times New Roman"/>
                <w:color w:val="000000" w:themeColor="text1"/>
                <w:szCs w:val="21"/>
              </w:rPr>
            </w:pPr>
            <w:r>
              <w:rPr>
                <w:rFonts w:cs="Times New Roman" w:hint="eastAsia"/>
                <w:color w:val="000000" w:themeColor="text1"/>
                <w:szCs w:val="21"/>
              </w:rPr>
              <w:t>时段</w:t>
            </w:r>
          </w:p>
        </w:tc>
        <w:tc>
          <w:tcPr>
            <w:tcW w:w="6015" w:type="dxa"/>
            <w:gridSpan w:val="2"/>
          </w:tcPr>
          <w:p w:rsidR="00644456" w:rsidRDefault="008031C4">
            <w:pPr>
              <w:jc w:val="center"/>
              <w:outlineLvl w:val="8"/>
              <w:rPr>
                <w:rFonts w:cs="Times New Roman"/>
                <w:color w:val="000000" w:themeColor="text1"/>
                <w:szCs w:val="21"/>
              </w:rPr>
            </w:pPr>
            <w:r>
              <w:rPr>
                <w:rFonts w:cs="Times New Roman" w:hint="eastAsia"/>
                <w:color w:val="000000" w:themeColor="text1"/>
                <w:szCs w:val="21"/>
              </w:rPr>
              <w:t>石油类</w:t>
            </w:r>
          </w:p>
        </w:tc>
      </w:tr>
      <w:tr w:rsidR="00644456" w:rsidTr="00177A8C">
        <w:tc>
          <w:tcPr>
            <w:tcW w:w="3000" w:type="dxa"/>
            <w:vMerge/>
          </w:tcPr>
          <w:p w:rsidR="00644456" w:rsidRDefault="00644456">
            <w:pPr>
              <w:jc w:val="center"/>
              <w:outlineLvl w:val="8"/>
              <w:rPr>
                <w:rFonts w:cs="Times New Roman"/>
                <w:color w:val="000000" w:themeColor="text1"/>
                <w:szCs w:val="21"/>
              </w:rPr>
            </w:pPr>
          </w:p>
        </w:tc>
        <w:tc>
          <w:tcPr>
            <w:tcW w:w="3012"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最大浓度</w:t>
            </w:r>
          </w:p>
          <w:p w:rsidR="00644456" w:rsidRDefault="008031C4">
            <w:pPr>
              <w:jc w:val="center"/>
              <w:outlineLvl w:val="8"/>
              <w:rPr>
                <w:rFonts w:cs="Times New Roman"/>
                <w:color w:val="000000" w:themeColor="text1"/>
                <w:szCs w:val="21"/>
              </w:rPr>
            </w:pPr>
            <w:r>
              <w:rPr>
                <w:rFonts w:cs="Times New Roman" w:hint="eastAsia"/>
                <w:color w:val="000000" w:themeColor="text1"/>
                <w:szCs w:val="21"/>
              </w:rPr>
              <w:lastRenderedPageBreak/>
              <w:t>（</w:t>
            </w:r>
            <w:r>
              <w:rPr>
                <w:rFonts w:cs="Times New Roman" w:hint="eastAsia"/>
                <w:color w:val="000000" w:themeColor="text1"/>
                <w:szCs w:val="21"/>
              </w:rPr>
              <w:t>mg/L</w:t>
            </w:r>
            <w:r>
              <w:rPr>
                <w:rFonts w:cs="Times New Roman" w:hint="eastAsia"/>
                <w:color w:val="000000" w:themeColor="text1"/>
                <w:szCs w:val="21"/>
              </w:rPr>
              <w:t>）</w:t>
            </w:r>
          </w:p>
        </w:tc>
        <w:tc>
          <w:tcPr>
            <w:tcW w:w="3003"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lastRenderedPageBreak/>
              <w:t>下游超标距离</w:t>
            </w:r>
          </w:p>
          <w:p w:rsidR="00644456" w:rsidRDefault="008031C4">
            <w:pPr>
              <w:jc w:val="center"/>
              <w:outlineLvl w:val="8"/>
              <w:rPr>
                <w:rFonts w:cs="Times New Roman"/>
                <w:color w:val="000000" w:themeColor="text1"/>
                <w:szCs w:val="21"/>
              </w:rPr>
            </w:pPr>
            <w:r>
              <w:rPr>
                <w:rFonts w:cs="Times New Roman" w:hint="eastAsia"/>
                <w:color w:val="000000" w:themeColor="text1"/>
                <w:szCs w:val="21"/>
              </w:rPr>
              <w:lastRenderedPageBreak/>
              <w:t>（</w:t>
            </w:r>
            <w:r>
              <w:rPr>
                <w:rFonts w:cs="Times New Roman" w:hint="eastAsia"/>
                <w:color w:val="000000" w:themeColor="text1"/>
                <w:szCs w:val="21"/>
              </w:rPr>
              <w:t>m</w:t>
            </w:r>
            <w:r>
              <w:rPr>
                <w:rFonts w:cs="Times New Roman" w:hint="eastAsia"/>
                <w:color w:val="000000" w:themeColor="text1"/>
                <w:szCs w:val="21"/>
              </w:rPr>
              <w:t>）</w:t>
            </w:r>
          </w:p>
        </w:tc>
      </w:tr>
      <w:tr w:rsidR="00644456" w:rsidTr="00177A8C">
        <w:tc>
          <w:tcPr>
            <w:tcW w:w="3000"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lastRenderedPageBreak/>
              <w:t>1d</w:t>
            </w:r>
          </w:p>
        </w:tc>
        <w:tc>
          <w:tcPr>
            <w:tcW w:w="3012"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4.057</w:t>
            </w:r>
          </w:p>
        </w:tc>
        <w:tc>
          <w:tcPr>
            <w:tcW w:w="3003"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5</w:t>
            </w:r>
          </w:p>
        </w:tc>
      </w:tr>
      <w:tr w:rsidR="00644456" w:rsidTr="00177A8C">
        <w:tc>
          <w:tcPr>
            <w:tcW w:w="3000"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4d</w:t>
            </w:r>
          </w:p>
        </w:tc>
        <w:tc>
          <w:tcPr>
            <w:tcW w:w="3012"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w:t>
            </w:r>
          </w:p>
        </w:tc>
        <w:tc>
          <w:tcPr>
            <w:tcW w:w="3003"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w:t>
            </w:r>
          </w:p>
        </w:tc>
      </w:tr>
      <w:tr w:rsidR="00644456" w:rsidTr="00177A8C">
        <w:tc>
          <w:tcPr>
            <w:tcW w:w="3000"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5d</w:t>
            </w:r>
          </w:p>
        </w:tc>
        <w:tc>
          <w:tcPr>
            <w:tcW w:w="3012"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w:t>
            </w:r>
          </w:p>
        </w:tc>
        <w:tc>
          <w:tcPr>
            <w:tcW w:w="3003"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w:t>
            </w:r>
          </w:p>
        </w:tc>
      </w:tr>
      <w:tr w:rsidR="00644456" w:rsidTr="00177A8C">
        <w:tc>
          <w:tcPr>
            <w:tcW w:w="3000"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13d</w:t>
            </w:r>
          </w:p>
        </w:tc>
        <w:tc>
          <w:tcPr>
            <w:tcW w:w="3012"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0.306</w:t>
            </w:r>
          </w:p>
        </w:tc>
        <w:tc>
          <w:tcPr>
            <w:tcW w:w="3003"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2</w:t>
            </w:r>
          </w:p>
        </w:tc>
      </w:tr>
      <w:tr w:rsidR="00644456" w:rsidTr="00177A8C">
        <w:tc>
          <w:tcPr>
            <w:tcW w:w="3000"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14d</w:t>
            </w:r>
          </w:p>
        </w:tc>
        <w:tc>
          <w:tcPr>
            <w:tcW w:w="3012"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0.284</w:t>
            </w:r>
          </w:p>
        </w:tc>
        <w:tc>
          <w:tcPr>
            <w:tcW w:w="3003"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0</w:t>
            </w:r>
          </w:p>
        </w:tc>
      </w:tr>
      <w:tr w:rsidR="00644456" w:rsidTr="00177A8C">
        <w:tc>
          <w:tcPr>
            <w:tcW w:w="3000"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30d</w:t>
            </w:r>
          </w:p>
        </w:tc>
        <w:tc>
          <w:tcPr>
            <w:tcW w:w="3012"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0.129</w:t>
            </w:r>
          </w:p>
        </w:tc>
        <w:tc>
          <w:tcPr>
            <w:tcW w:w="3003"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0</w:t>
            </w:r>
          </w:p>
        </w:tc>
      </w:tr>
      <w:tr w:rsidR="00644456" w:rsidTr="00177A8C">
        <w:trPr>
          <w:trHeight w:val="90"/>
        </w:trPr>
        <w:tc>
          <w:tcPr>
            <w:tcW w:w="3000"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100d</w:t>
            </w:r>
          </w:p>
        </w:tc>
        <w:tc>
          <w:tcPr>
            <w:tcW w:w="3012"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0.041</w:t>
            </w:r>
          </w:p>
        </w:tc>
        <w:tc>
          <w:tcPr>
            <w:tcW w:w="3003"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0</w:t>
            </w:r>
          </w:p>
        </w:tc>
      </w:tr>
      <w:tr w:rsidR="00644456" w:rsidTr="00177A8C">
        <w:tc>
          <w:tcPr>
            <w:tcW w:w="3000"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365d</w:t>
            </w:r>
          </w:p>
        </w:tc>
        <w:tc>
          <w:tcPr>
            <w:tcW w:w="3012"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0.011</w:t>
            </w:r>
          </w:p>
        </w:tc>
        <w:tc>
          <w:tcPr>
            <w:tcW w:w="3003"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0</w:t>
            </w:r>
          </w:p>
        </w:tc>
      </w:tr>
      <w:tr w:rsidR="00644456" w:rsidTr="00177A8C">
        <w:tc>
          <w:tcPr>
            <w:tcW w:w="3000"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1000d</w:t>
            </w:r>
          </w:p>
        </w:tc>
        <w:tc>
          <w:tcPr>
            <w:tcW w:w="3012"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0.004</w:t>
            </w:r>
          </w:p>
        </w:tc>
        <w:tc>
          <w:tcPr>
            <w:tcW w:w="3003"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w:t>
            </w:r>
          </w:p>
        </w:tc>
      </w:tr>
      <w:tr w:rsidR="00644456" w:rsidTr="00177A8C">
        <w:tc>
          <w:tcPr>
            <w:tcW w:w="3000"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最大值</w:t>
            </w:r>
          </w:p>
        </w:tc>
        <w:tc>
          <w:tcPr>
            <w:tcW w:w="3012"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4.324</w:t>
            </w:r>
          </w:p>
        </w:tc>
        <w:tc>
          <w:tcPr>
            <w:tcW w:w="3003"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5</w:t>
            </w:r>
          </w:p>
        </w:tc>
      </w:tr>
      <w:tr w:rsidR="00644456" w:rsidTr="00177A8C">
        <w:tc>
          <w:tcPr>
            <w:tcW w:w="3000"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标准</w:t>
            </w:r>
          </w:p>
        </w:tc>
        <w:tc>
          <w:tcPr>
            <w:tcW w:w="3012"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0.3</w:t>
            </w:r>
          </w:p>
        </w:tc>
        <w:tc>
          <w:tcPr>
            <w:tcW w:w="3003" w:type="dxa"/>
          </w:tcPr>
          <w:p w:rsidR="00644456" w:rsidRDefault="008031C4">
            <w:pPr>
              <w:jc w:val="center"/>
              <w:outlineLvl w:val="8"/>
              <w:rPr>
                <w:rFonts w:cs="Times New Roman"/>
                <w:color w:val="000000" w:themeColor="text1"/>
                <w:szCs w:val="21"/>
              </w:rPr>
            </w:pPr>
            <w:r>
              <w:rPr>
                <w:rFonts w:cs="Times New Roman" w:hint="eastAsia"/>
                <w:color w:val="000000" w:themeColor="text1"/>
                <w:szCs w:val="21"/>
              </w:rPr>
              <w:t>/</w:t>
            </w:r>
          </w:p>
        </w:tc>
      </w:tr>
    </w:tbl>
    <w:p w:rsidR="00177A8C" w:rsidRDefault="00177A8C" w:rsidP="00177A8C">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5.5-</w:t>
      </w:r>
      <w:r>
        <w:rPr>
          <w:rFonts w:cs="Times New Roman"/>
          <w:b/>
          <w:color w:val="000000" w:themeColor="text1"/>
          <w:sz w:val="24"/>
          <w:szCs w:val="20"/>
        </w:rPr>
        <w:t>8</w:t>
      </w:r>
      <w:r>
        <w:rPr>
          <w:rFonts w:cs="Times New Roman" w:hint="eastAsia"/>
          <w:b/>
          <w:color w:val="000000" w:themeColor="text1"/>
          <w:sz w:val="24"/>
          <w:szCs w:val="20"/>
        </w:rPr>
        <w:t>非正常状况废水调节池渗漏不同时段的地下水中污染物浓度超标情况</w:t>
      </w:r>
    </w:p>
    <w:tbl>
      <w:tblPr>
        <w:tblStyle w:val="affff4"/>
        <w:tblW w:w="0" w:type="auto"/>
        <w:tblLook w:val="04A0" w:firstRow="1" w:lastRow="0" w:firstColumn="1" w:lastColumn="0" w:noHBand="0" w:noVBand="1"/>
      </w:tblPr>
      <w:tblGrid>
        <w:gridCol w:w="3080"/>
        <w:gridCol w:w="3080"/>
        <w:gridCol w:w="3081"/>
      </w:tblGrid>
      <w:tr w:rsidR="00177A8C" w:rsidTr="007B7F59">
        <w:tc>
          <w:tcPr>
            <w:tcW w:w="3080" w:type="dxa"/>
            <w:vMerge w:val="restart"/>
          </w:tcPr>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时段</w:t>
            </w:r>
          </w:p>
        </w:tc>
        <w:tc>
          <w:tcPr>
            <w:tcW w:w="6161" w:type="dxa"/>
            <w:gridSpan w:val="2"/>
          </w:tcPr>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硫化物</w:t>
            </w:r>
          </w:p>
        </w:tc>
      </w:tr>
      <w:tr w:rsidR="00177A8C" w:rsidTr="007B7F59">
        <w:tc>
          <w:tcPr>
            <w:tcW w:w="3080" w:type="dxa"/>
            <w:vMerge/>
          </w:tcPr>
          <w:p w:rsidR="00177A8C" w:rsidRDefault="00177A8C" w:rsidP="007B7F59">
            <w:pPr>
              <w:jc w:val="center"/>
              <w:outlineLvl w:val="8"/>
              <w:rPr>
                <w:rFonts w:cs="Times New Roman"/>
                <w:color w:val="000000" w:themeColor="text1"/>
                <w:szCs w:val="21"/>
              </w:rPr>
            </w:pPr>
          </w:p>
        </w:tc>
        <w:tc>
          <w:tcPr>
            <w:tcW w:w="3080" w:type="dxa"/>
          </w:tcPr>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最大浓度</w:t>
            </w:r>
          </w:p>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w:t>
            </w:r>
            <w:r>
              <w:rPr>
                <w:rFonts w:cs="Times New Roman" w:hint="eastAsia"/>
                <w:color w:val="000000" w:themeColor="text1"/>
                <w:szCs w:val="21"/>
              </w:rPr>
              <w:t>mg/L</w:t>
            </w:r>
            <w:r>
              <w:rPr>
                <w:rFonts w:cs="Times New Roman" w:hint="eastAsia"/>
                <w:color w:val="000000" w:themeColor="text1"/>
                <w:szCs w:val="21"/>
              </w:rPr>
              <w:t>）</w:t>
            </w:r>
          </w:p>
        </w:tc>
        <w:tc>
          <w:tcPr>
            <w:tcW w:w="3081" w:type="dxa"/>
          </w:tcPr>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下游超标距离</w:t>
            </w:r>
          </w:p>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w:t>
            </w:r>
            <w:r>
              <w:rPr>
                <w:rFonts w:cs="Times New Roman" w:hint="eastAsia"/>
                <w:color w:val="000000" w:themeColor="text1"/>
                <w:szCs w:val="21"/>
              </w:rPr>
              <w:t>m</w:t>
            </w:r>
            <w:r>
              <w:rPr>
                <w:rFonts w:cs="Times New Roman" w:hint="eastAsia"/>
                <w:color w:val="000000" w:themeColor="text1"/>
                <w:szCs w:val="21"/>
              </w:rPr>
              <w:t>）</w:t>
            </w:r>
          </w:p>
        </w:tc>
      </w:tr>
      <w:tr w:rsidR="00177A8C" w:rsidTr="007B7F59">
        <w:tc>
          <w:tcPr>
            <w:tcW w:w="3080" w:type="dxa"/>
          </w:tcPr>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1d</w:t>
            </w:r>
          </w:p>
        </w:tc>
        <w:tc>
          <w:tcPr>
            <w:tcW w:w="3080" w:type="dxa"/>
          </w:tcPr>
          <w:p w:rsidR="00177A8C" w:rsidRDefault="00177A8C" w:rsidP="007B7F59">
            <w:pPr>
              <w:jc w:val="center"/>
              <w:outlineLvl w:val="8"/>
              <w:rPr>
                <w:rFonts w:cs="Times New Roman"/>
                <w:color w:val="000000" w:themeColor="text1"/>
                <w:szCs w:val="21"/>
              </w:rPr>
            </w:pPr>
            <w:r>
              <w:rPr>
                <w:rFonts w:cs="Times New Roman"/>
                <w:color w:val="000000" w:themeColor="text1"/>
                <w:szCs w:val="21"/>
              </w:rPr>
              <w:t>0.0051</w:t>
            </w:r>
          </w:p>
        </w:tc>
        <w:tc>
          <w:tcPr>
            <w:tcW w:w="3081" w:type="dxa"/>
          </w:tcPr>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0</w:t>
            </w:r>
          </w:p>
        </w:tc>
      </w:tr>
      <w:tr w:rsidR="00177A8C" w:rsidTr="007B7F59">
        <w:tc>
          <w:tcPr>
            <w:tcW w:w="3080" w:type="dxa"/>
          </w:tcPr>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4d</w:t>
            </w:r>
          </w:p>
        </w:tc>
        <w:tc>
          <w:tcPr>
            <w:tcW w:w="3080" w:type="dxa"/>
          </w:tcPr>
          <w:p w:rsidR="00177A8C" w:rsidRDefault="00177A8C" w:rsidP="007B7F59">
            <w:pPr>
              <w:jc w:val="center"/>
              <w:outlineLvl w:val="8"/>
              <w:rPr>
                <w:rFonts w:cs="Times New Roman"/>
                <w:color w:val="000000" w:themeColor="text1"/>
                <w:szCs w:val="21"/>
              </w:rPr>
            </w:pPr>
            <w:r>
              <w:rPr>
                <w:rFonts w:cs="Times New Roman"/>
                <w:color w:val="000000" w:themeColor="text1"/>
                <w:szCs w:val="21"/>
              </w:rPr>
              <w:t>0.0012</w:t>
            </w:r>
          </w:p>
        </w:tc>
        <w:tc>
          <w:tcPr>
            <w:tcW w:w="3081" w:type="dxa"/>
          </w:tcPr>
          <w:p w:rsidR="00177A8C" w:rsidRDefault="00177A8C" w:rsidP="007B7F59">
            <w:pPr>
              <w:jc w:val="center"/>
              <w:outlineLvl w:val="8"/>
              <w:rPr>
                <w:rFonts w:cs="Times New Roman"/>
                <w:color w:val="000000" w:themeColor="text1"/>
                <w:szCs w:val="21"/>
              </w:rPr>
            </w:pPr>
            <w:r>
              <w:rPr>
                <w:rFonts w:cs="Times New Roman"/>
                <w:color w:val="000000" w:themeColor="text1"/>
                <w:szCs w:val="21"/>
              </w:rPr>
              <w:t>0</w:t>
            </w:r>
          </w:p>
        </w:tc>
      </w:tr>
      <w:tr w:rsidR="00177A8C" w:rsidTr="007B7F59">
        <w:tc>
          <w:tcPr>
            <w:tcW w:w="3080" w:type="dxa"/>
          </w:tcPr>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5d</w:t>
            </w:r>
          </w:p>
        </w:tc>
        <w:tc>
          <w:tcPr>
            <w:tcW w:w="3080" w:type="dxa"/>
          </w:tcPr>
          <w:p w:rsidR="00177A8C" w:rsidRDefault="00177A8C" w:rsidP="007B7F59">
            <w:pPr>
              <w:jc w:val="center"/>
              <w:outlineLvl w:val="8"/>
              <w:rPr>
                <w:rFonts w:cs="Times New Roman"/>
                <w:color w:val="000000" w:themeColor="text1"/>
                <w:szCs w:val="21"/>
              </w:rPr>
            </w:pPr>
            <w:r>
              <w:rPr>
                <w:rFonts w:cs="Times New Roman"/>
                <w:color w:val="000000" w:themeColor="text1"/>
                <w:szCs w:val="21"/>
              </w:rPr>
              <w:t>0.0015</w:t>
            </w:r>
          </w:p>
        </w:tc>
        <w:tc>
          <w:tcPr>
            <w:tcW w:w="3081" w:type="dxa"/>
          </w:tcPr>
          <w:p w:rsidR="00177A8C" w:rsidRDefault="00177A8C" w:rsidP="007B7F59">
            <w:pPr>
              <w:jc w:val="center"/>
              <w:outlineLvl w:val="8"/>
              <w:rPr>
                <w:rFonts w:cs="Times New Roman"/>
                <w:color w:val="000000" w:themeColor="text1"/>
                <w:szCs w:val="21"/>
              </w:rPr>
            </w:pPr>
            <w:r>
              <w:rPr>
                <w:rFonts w:cs="Times New Roman"/>
                <w:color w:val="000000" w:themeColor="text1"/>
                <w:szCs w:val="21"/>
              </w:rPr>
              <w:t>0</w:t>
            </w:r>
          </w:p>
        </w:tc>
      </w:tr>
      <w:tr w:rsidR="00177A8C" w:rsidTr="007B7F59">
        <w:tc>
          <w:tcPr>
            <w:tcW w:w="3080" w:type="dxa"/>
          </w:tcPr>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13d</w:t>
            </w:r>
          </w:p>
        </w:tc>
        <w:tc>
          <w:tcPr>
            <w:tcW w:w="3080" w:type="dxa"/>
          </w:tcPr>
          <w:p w:rsidR="00177A8C" w:rsidRDefault="00177A8C" w:rsidP="007B7F59">
            <w:pPr>
              <w:jc w:val="center"/>
              <w:outlineLvl w:val="8"/>
              <w:rPr>
                <w:rFonts w:cs="Times New Roman"/>
                <w:color w:val="000000" w:themeColor="text1"/>
                <w:szCs w:val="21"/>
              </w:rPr>
            </w:pPr>
            <w:r>
              <w:rPr>
                <w:rFonts w:cs="Times New Roman"/>
                <w:color w:val="000000" w:themeColor="text1"/>
                <w:szCs w:val="21"/>
              </w:rPr>
              <w:t>0.0015</w:t>
            </w:r>
          </w:p>
        </w:tc>
        <w:tc>
          <w:tcPr>
            <w:tcW w:w="3081" w:type="dxa"/>
          </w:tcPr>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0</w:t>
            </w:r>
          </w:p>
        </w:tc>
      </w:tr>
      <w:tr w:rsidR="00177A8C" w:rsidTr="007B7F59">
        <w:tc>
          <w:tcPr>
            <w:tcW w:w="3080" w:type="dxa"/>
          </w:tcPr>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14d</w:t>
            </w:r>
          </w:p>
        </w:tc>
        <w:tc>
          <w:tcPr>
            <w:tcW w:w="3080" w:type="dxa"/>
          </w:tcPr>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0.</w:t>
            </w:r>
            <w:r>
              <w:rPr>
                <w:rFonts w:cs="Times New Roman"/>
                <w:color w:val="000000" w:themeColor="text1"/>
                <w:szCs w:val="21"/>
              </w:rPr>
              <w:t>0003</w:t>
            </w:r>
          </w:p>
        </w:tc>
        <w:tc>
          <w:tcPr>
            <w:tcW w:w="3081" w:type="dxa"/>
          </w:tcPr>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0</w:t>
            </w:r>
          </w:p>
        </w:tc>
      </w:tr>
      <w:tr w:rsidR="00177A8C" w:rsidTr="007B7F59">
        <w:tc>
          <w:tcPr>
            <w:tcW w:w="3080" w:type="dxa"/>
          </w:tcPr>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30d</w:t>
            </w:r>
          </w:p>
        </w:tc>
        <w:tc>
          <w:tcPr>
            <w:tcW w:w="3080" w:type="dxa"/>
          </w:tcPr>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0.</w:t>
            </w:r>
            <w:r>
              <w:rPr>
                <w:rFonts w:cs="Times New Roman"/>
                <w:color w:val="000000" w:themeColor="text1"/>
                <w:szCs w:val="21"/>
              </w:rPr>
              <w:t>0001</w:t>
            </w:r>
          </w:p>
        </w:tc>
        <w:tc>
          <w:tcPr>
            <w:tcW w:w="3081" w:type="dxa"/>
          </w:tcPr>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0</w:t>
            </w:r>
          </w:p>
        </w:tc>
      </w:tr>
      <w:tr w:rsidR="00177A8C" w:rsidTr="007B7F59">
        <w:trPr>
          <w:trHeight w:val="90"/>
        </w:trPr>
        <w:tc>
          <w:tcPr>
            <w:tcW w:w="3080" w:type="dxa"/>
          </w:tcPr>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100d</w:t>
            </w:r>
          </w:p>
        </w:tc>
        <w:tc>
          <w:tcPr>
            <w:tcW w:w="3080" w:type="dxa"/>
          </w:tcPr>
          <w:p w:rsidR="00177A8C" w:rsidRDefault="00177A8C" w:rsidP="007B7F59">
            <w:pPr>
              <w:jc w:val="center"/>
              <w:outlineLvl w:val="8"/>
              <w:rPr>
                <w:rFonts w:cs="Times New Roman"/>
                <w:color w:val="000000" w:themeColor="text1"/>
                <w:szCs w:val="21"/>
              </w:rPr>
            </w:pPr>
            <w:r>
              <w:rPr>
                <w:rFonts w:cs="Times New Roman"/>
                <w:color w:val="000000" w:themeColor="text1"/>
                <w:szCs w:val="21"/>
              </w:rPr>
              <w:t>1.5E-06</w:t>
            </w:r>
          </w:p>
        </w:tc>
        <w:tc>
          <w:tcPr>
            <w:tcW w:w="3081" w:type="dxa"/>
          </w:tcPr>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0</w:t>
            </w:r>
          </w:p>
        </w:tc>
      </w:tr>
      <w:tr w:rsidR="00177A8C" w:rsidTr="007B7F59">
        <w:tc>
          <w:tcPr>
            <w:tcW w:w="3080" w:type="dxa"/>
          </w:tcPr>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365d</w:t>
            </w:r>
          </w:p>
        </w:tc>
        <w:tc>
          <w:tcPr>
            <w:tcW w:w="3080" w:type="dxa"/>
          </w:tcPr>
          <w:p w:rsidR="00177A8C" w:rsidRDefault="00177A8C" w:rsidP="007B7F59">
            <w:pPr>
              <w:jc w:val="center"/>
              <w:outlineLvl w:val="8"/>
              <w:rPr>
                <w:rFonts w:cs="Times New Roman"/>
                <w:color w:val="000000" w:themeColor="text1"/>
                <w:szCs w:val="21"/>
              </w:rPr>
            </w:pPr>
            <w:r>
              <w:rPr>
                <w:rFonts w:cs="Times New Roman"/>
                <w:color w:val="000000" w:themeColor="text1"/>
                <w:szCs w:val="21"/>
              </w:rPr>
              <w:t>1.2E-08</w:t>
            </w:r>
          </w:p>
        </w:tc>
        <w:tc>
          <w:tcPr>
            <w:tcW w:w="3081" w:type="dxa"/>
          </w:tcPr>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0</w:t>
            </w:r>
          </w:p>
        </w:tc>
      </w:tr>
      <w:tr w:rsidR="00177A8C" w:rsidTr="007B7F59">
        <w:tc>
          <w:tcPr>
            <w:tcW w:w="3080" w:type="dxa"/>
          </w:tcPr>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1000d</w:t>
            </w:r>
          </w:p>
        </w:tc>
        <w:tc>
          <w:tcPr>
            <w:tcW w:w="3080" w:type="dxa"/>
          </w:tcPr>
          <w:p w:rsidR="00177A8C" w:rsidRDefault="00177A8C" w:rsidP="007B7F59">
            <w:pPr>
              <w:jc w:val="center"/>
              <w:outlineLvl w:val="8"/>
              <w:rPr>
                <w:rFonts w:cs="Times New Roman"/>
                <w:color w:val="000000" w:themeColor="text1"/>
                <w:szCs w:val="21"/>
              </w:rPr>
            </w:pPr>
            <w:r>
              <w:rPr>
                <w:rFonts w:cs="Times New Roman"/>
                <w:color w:val="000000" w:themeColor="text1"/>
                <w:szCs w:val="21"/>
              </w:rPr>
              <w:t>2.5E-12</w:t>
            </w:r>
          </w:p>
        </w:tc>
        <w:tc>
          <w:tcPr>
            <w:tcW w:w="3081" w:type="dxa"/>
          </w:tcPr>
          <w:p w:rsidR="00177A8C" w:rsidRDefault="00177A8C" w:rsidP="007B7F59">
            <w:pPr>
              <w:jc w:val="center"/>
              <w:outlineLvl w:val="8"/>
              <w:rPr>
                <w:rFonts w:cs="Times New Roman"/>
                <w:color w:val="000000" w:themeColor="text1"/>
                <w:szCs w:val="21"/>
              </w:rPr>
            </w:pPr>
            <w:r>
              <w:rPr>
                <w:rFonts w:cs="Times New Roman"/>
                <w:color w:val="000000" w:themeColor="text1"/>
                <w:szCs w:val="21"/>
              </w:rPr>
              <w:t>0</w:t>
            </w:r>
          </w:p>
        </w:tc>
      </w:tr>
      <w:tr w:rsidR="00177A8C" w:rsidTr="007B7F59">
        <w:tc>
          <w:tcPr>
            <w:tcW w:w="3080" w:type="dxa"/>
          </w:tcPr>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最大值</w:t>
            </w:r>
          </w:p>
        </w:tc>
        <w:tc>
          <w:tcPr>
            <w:tcW w:w="3080" w:type="dxa"/>
          </w:tcPr>
          <w:p w:rsidR="00177A8C" w:rsidRDefault="00177A8C" w:rsidP="007B7F59">
            <w:pPr>
              <w:jc w:val="center"/>
              <w:outlineLvl w:val="8"/>
              <w:rPr>
                <w:rFonts w:cs="Times New Roman"/>
                <w:color w:val="000000" w:themeColor="text1"/>
                <w:szCs w:val="21"/>
              </w:rPr>
            </w:pPr>
            <w:r>
              <w:rPr>
                <w:rFonts w:cs="Times New Roman"/>
                <w:color w:val="000000" w:themeColor="text1"/>
                <w:szCs w:val="21"/>
              </w:rPr>
              <w:t>0.0051</w:t>
            </w:r>
          </w:p>
        </w:tc>
        <w:tc>
          <w:tcPr>
            <w:tcW w:w="3081" w:type="dxa"/>
          </w:tcPr>
          <w:p w:rsidR="00177A8C" w:rsidRDefault="00177A8C" w:rsidP="007B7F59">
            <w:pPr>
              <w:jc w:val="center"/>
              <w:outlineLvl w:val="8"/>
              <w:rPr>
                <w:rFonts w:cs="Times New Roman"/>
                <w:color w:val="000000" w:themeColor="text1"/>
                <w:szCs w:val="21"/>
              </w:rPr>
            </w:pPr>
            <w:r>
              <w:rPr>
                <w:rFonts w:cs="Times New Roman"/>
                <w:color w:val="000000" w:themeColor="text1"/>
                <w:szCs w:val="21"/>
              </w:rPr>
              <w:t>0</w:t>
            </w:r>
          </w:p>
        </w:tc>
      </w:tr>
      <w:tr w:rsidR="00177A8C" w:rsidTr="007B7F59">
        <w:tc>
          <w:tcPr>
            <w:tcW w:w="3080" w:type="dxa"/>
          </w:tcPr>
          <w:p w:rsidR="00177A8C" w:rsidRDefault="00177A8C" w:rsidP="007B7F59">
            <w:pPr>
              <w:jc w:val="center"/>
              <w:outlineLvl w:val="8"/>
              <w:rPr>
                <w:rFonts w:cs="Times New Roman"/>
                <w:color w:val="000000" w:themeColor="text1"/>
                <w:szCs w:val="21"/>
              </w:rPr>
            </w:pPr>
            <w:r>
              <w:rPr>
                <w:rFonts w:cs="Times New Roman" w:hint="eastAsia"/>
                <w:color w:val="000000" w:themeColor="text1"/>
                <w:szCs w:val="21"/>
              </w:rPr>
              <w:t>标准</w:t>
            </w:r>
          </w:p>
        </w:tc>
        <w:tc>
          <w:tcPr>
            <w:tcW w:w="3080" w:type="dxa"/>
          </w:tcPr>
          <w:p w:rsidR="00177A8C" w:rsidRDefault="00177A8C" w:rsidP="007B7F59">
            <w:pPr>
              <w:jc w:val="center"/>
              <w:outlineLvl w:val="8"/>
              <w:rPr>
                <w:rFonts w:cs="Times New Roman"/>
                <w:color w:val="000000" w:themeColor="text1"/>
                <w:szCs w:val="21"/>
              </w:rPr>
            </w:pPr>
            <w:r>
              <w:rPr>
                <w:rFonts w:cs="Times New Roman"/>
                <w:color w:val="000000" w:themeColor="text1"/>
                <w:szCs w:val="21"/>
              </w:rPr>
              <w:t>0.02</w:t>
            </w:r>
          </w:p>
        </w:tc>
        <w:tc>
          <w:tcPr>
            <w:tcW w:w="3081" w:type="dxa"/>
          </w:tcPr>
          <w:p w:rsidR="00177A8C" w:rsidRDefault="00177A8C" w:rsidP="007B7F59">
            <w:pPr>
              <w:jc w:val="center"/>
              <w:outlineLvl w:val="8"/>
              <w:rPr>
                <w:rFonts w:cs="Times New Roman"/>
                <w:color w:val="000000" w:themeColor="text1"/>
                <w:szCs w:val="21"/>
              </w:rPr>
            </w:pPr>
            <w:r>
              <w:rPr>
                <w:rFonts w:cs="Times New Roman"/>
                <w:color w:val="000000" w:themeColor="text1"/>
                <w:szCs w:val="21"/>
              </w:rPr>
              <w:t>0</w:t>
            </w:r>
          </w:p>
        </w:tc>
      </w:tr>
    </w:tbl>
    <w:p w:rsidR="00644456" w:rsidRDefault="008031C4">
      <w:pPr>
        <w:adjustRightInd w:val="0"/>
        <w:snapToGrid w:val="0"/>
        <w:spacing w:line="360" w:lineRule="auto"/>
        <w:ind w:firstLineChars="200" w:firstLine="480"/>
        <w:rPr>
          <w:rFonts w:cs="Times New Roman"/>
          <w:snapToGrid w:val="0"/>
          <w:color w:val="000000" w:themeColor="text1"/>
          <w:sz w:val="24"/>
          <w:szCs w:val="24"/>
        </w:rPr>
      </w:pPr>
      <w:r>
        <w:rPr>
          <w:rFonts w:cs="Times New Roman" w:hint="eastAsia"/>
          <w:snapToGrid w:val="0"/>
          <w:color w:val="000000" w:themeColor="text1"/>
          <w:sz w:val="24"/>
          <w:szCs w:val="24"/>
        </w:rPr>
        <w:t>非正常状况发生后，受地下水流场的控制，污染物进入地下水系统后沿地下水主径流方向下游排泄，并在径流过程中伴随着向径流方向两侧的弥散。</w:t>
      </w:r>
    </w:p>
    <w:p w:rsidR="00644456" w:rsidRDefault="008031C4">
      <w:pPr>
        <w:adjustRightInd w:val="0"/>
        <w:snapToGrid w:val="0"/>
        <w:spacing w:line="360" w:lineRule="auto"/>
        <w:ind w:firstLineChars="200" w:firstLine="480"/>
        <w:rPr>
          <w:rFonts w:cs="Times New Roman"/>
          <w:snapToGrid w:val="0"/>
          <w:color w:val="000000" w:themeColor="text1"/>
          <w:sz w:val="24"/>
          <w:szCs w:val="24"/>
        </w:rPr>
      </w:pPr>
      <w:r>
        <w:rPr>
          <w:rFonts w:cs="Times New Roman" w:hint="eastAsia"/>
          <w:snapToGrid w:val="0"/>
          <w:color w:val="000000" w:themeColor="text1"/>
          <w:sz w:val="24"/>
          <w:szCs w:val="24"/>
        </w:rPr>
        <w:t>非正常状况各污染物随着时间在地下水中的浓度分布变化见表</w:t>
      </w:r>
      <w:r>
        <w:rPr>
          <w:rFonts w:cs="Times New Roman" w:hint="eastAsia"/>
          <w:snapToGrid w:val="0"/>
          <w:color w:val="000000" w:themeColor="text1"/>
          <w:sz w:val="24"/>
          <w:szCs w:val="24"/>
        </w:rPr>
        <w:t>5.5-8</w:t>
      </w:r>
      <w:r>
        <w:rPr>
          <w:rFonts w:cs="Times New Roman" w:hint="eastAsia"/>
          <w:snapToGrid w:val="0"/>
          <w:color w:val="000000" w:themeColor="text1"/>
          <w:sz w:val="24"/>
          <w:szCs w:val="24"/>
        </w:rPr>
        <w:t>至表</w:t>
      </w:r>
      <w:r>
        <w:rPr>
          <w:rFonts w:cs="Times New Roman" w:hint="eastAsia"/>
          <w:snapToGrid w:val="0"/>
          <w:color w:val="000000" w:themeColor="text1"/>
          <w:sz w:val="24"/>
          <w:szCs w:val="24"/>
        </w:rPr>
        <w:t>5.5-9</w:t>
      </w:r>
      <w:r>
        <w:rPr>
          <w:rFonts w:cs="Times New Roman" w:hint="eastAsia"/>
          <w:snapToGrid w:val="0"/>
          <w:color w:val="000000" w:themeColor="text1"/>
          <w:sz w:val="24"/>
          <w:szCs w:val="24"/>
        </w:rPr>
        <w:t>，最大浓度叠加值及超标距离分析见表</w:t>
      </w:r>
      <w:r>
        <w:rPr>
          <w:rFonts w:cs="Times New Roman" w:hint="eastAsia"/>
          <w:snapToGrid w:val="0"/>
          <w:color w:val="000000" w:themeColor="text1"/>
          <w:sz w:val="24"/>
          <w:szCs w:val="24"/>
        </w:rPr>
        <w:t>5.5-7</w:t>
      </w:r>
      <w:r>
        <w:rPr>
          <w:rFonts w:cs="Times New Roman" w:hint="eastAsia"/>
          <w:snapToGrid w:val="0"/>
          <w:color w:val="000000" w:themeColor="text1"/>
          <w:sz w:val="24"/>
          <w:szCs w:val="24"/>
        </w:rPr>
        <w:t>。泄漏事故发生后</w:t>
      </w:r>
      <w:r>
        <w:rPr>
          <w:rFonts w:cs="Times New Roman" w:hint="eastAsia"/>
          <w:snapToGrid w:val="0"/>
          <w:color w:val="000000" w:themeColor="text1"/>
          <w:sz w:val="24"/>
          <w:szCs w:val="24"/>
        </w:rPr>
        <w:t>1</w:t>
      </w:r>
      <w:r>
        <w:rPr>
          <w:rFonts w:cs="Times New Roman" w:hint="eastAsia"/>
          <w:snapToGrid w:val="0"/>
          <w:color w:val="000000" w:themeColor="text1"/>
          <w:sz w:val="24"/>
          <w:szCs w:val="24"/>
        </w:rPr>
        <w:t>天得到及时发现，停止向调节池注水后，石油类</w:t>
      </w:r>
      <w:r w:rsidR="00177A8C">
        <w:rPr>
          <w:rFonts w:cs="Times New Roman" w:hint="eastAsia"/>
          <w:snapToGrid w:val="0"/>
          <w:color w:val="000000" w:themeColor="text1"/>
          <w:sz w:val="24"/>
          <w:szCs w:val="24"/>
        </w:rPr>
        <w:t>、硫化物</w:t>
      </w:r>
      <w:r>
        <w:rPr>
          <w:rFonts w:cs="Times New Roman" w:hint="eastAsia"/>
          <w:snapToGrid w:val="0"/>
          <w:color w:val="000000" w:themeColor="text1"/>
          <w:sz w:val="24"/>
          <w:szCs w:val="24"/>
        </w:rPr>
        <w:t>的浓度贡献值持续下降，经过地下水的稀释扩散影响逐渐减小。</w:t>
      </w:r>
    </w:p>
    <w:p w:rsidR="00644456" w:rsidRDefault="008031C4">
      <w:pPr>
        <w:adjustRightInd w:val="0"/>
        <w:snapToGrid w:val="0"/>
        <w:spacing w:line="360" w:lineRule="auto"/>
        <w:ind w:firstLineChars="200" w:firstLine="480"/>
        <w:rPr>
          <w:rFonts w:cs="Times New Roman"/>
          <w:snapToGrid w:val="0"/>
          <w:color w:val="000000" w:themeColor="text1"/>
          <w:sz w:val="24"/>
          <w:szCs w:val="24"/>
        </w:rPr>
      </w:pPr>
      <w:r>
        <w:rPr>
          <w:rFonts w:cs="Times New Roman" w:hint="eastAsia"/>
          <w:snapToGrid w:val="0"/>
          <w:color w:val="000000" w:themeColor="text1"/>
          <w:sz w:val="24"/>
          <w:szCs w:val="24"/>
        </w:rPr>
        <w:t>石油类贡献值在事故发生</w:t>
      </w:r>
      <w:r>
        <w:rPr>
          <w:rFonts w:cs="Times New Roman" w:hint="eastAsia"/>
          <w:snapToGrid w:val="0"/>
          <w:color w:val="000000" w:themeColor="text1"/>
          <w:sz w:val="24"/>
          <w:szCs w:val="24"/>
        </w:rPr>
        <w:t>1</w:t>
      </w:r>
      <w:r>
        <w:rPr>
          <w:rFonts w:cs="Times New Roman" w:hint="eastAsia"/>
          <w:snapToGrid w:val="0"/>
          <w:color w:val="000000" w:themeColor="text1"/>
          <w:sz w:val="24"/>
          <w:szCs w:val="24"/>
        </w:rPr>
        <w:t>天后达到超标水平，叠加本底值后超标</w:t>
      </w:r>
      <w:r>
        <w:rPr>
          <w:rFonts w:cs="Times New Roman" w:hint="eastAsia"/>
          <w:snapToGrid w:val="0"/>
          <w:color w:val="000000" w:themeColor="text1"/>
          <w:sz w:val="24"/>
          <w:szCs w:val="24"/>
        </w:rPr>
        <w:t>14.4</w:t>
      </w:r>
      <w:r>
        <w:rPr>
          <w:rFonts w:cs="Times New Roman" w:hint="eastAsia"/>
          <w:snapToGrid w:val="0"/>
          <w:color w:val="000000" w:themeColor="text1"/>
          <w:sz w:val="24"/>
          <w:szCs w:val="24"/>
        </w:rPr>
        <w:t>倍，超标距离为</w:t>
      </w:r>
      <w:r>
        <w:rPr>
          <w:rFonts w:cs="Times New Roman" w:hint="eastAsia"/>
          <w:snapToGrid w:val="0"/>
          <w:color w:val="000000" w:themeColor="text1"/>
          <w:sz w:val="24"/>
          <w:szCs w:val="24"/>
        </w:rPr>
        <w:t>5m</w:t>
      </w:r>
      <w:r>
        <w:rPr>
          <w:rFonts w:cs="Times New Roman" w:hint="eastAsia"/>
          <w:snapToGrid w:val="0"/>
          <w:color w:val="000000" w:themeColor="text1"/>
          <w:sz w:val="24"/>
          <w:szCs w:val="24"/>
        </w:rPr>
        <w:t>以内；石油类贡献值在事故发生</w:t>
      </w:r>
      <w:r>
        <w:rPr>
          <w:rFonts w:cs="Times New Roman" w:hint="eastAsia"/>
          <w:snapToGrid w:val="0"/>
          <w:color w:val="000000" w:themeColor="text1"/>
          <w:sz w:val="24"/>
          <w:szCs w:val="24"/>
        </w:rPr>
        <w:t>14</w:t>
      </w:r>
      <w:r>
        <w:rPr>
          <w:rFonts w:cs="Times New Roman" w:hint="eastAsia"/>
          <w:snapToGrid w:val="0"/>
          <w:color w:val="000000" w:themeColor="text1"/>
          <w:sz w:val="24"/>
          <w:szCs w:val="24"/>
        </w:rPr>
        <w:t>天后恢复达标，叠加值在事故发生</w:t>
      </w:r>
      <w:r>
        <w:rPr>
          <w:rFonts w:cs="Times New Roman" w:hint="eastAsia"/>
          <w:snapToGrid w:val="0"/>
          <w:color w:val="000000" w:themeColor="text1"/>
          <w:sz w:val="24"/>
          <w:szCs w:val="24"/>
        </w:rPr>
        <w:t>365</w:t>
      </w:r>
      <w:r>
        <w:rPr>
          <w:rFonts w:cs="Times New Roman" w:hint="eastAsia"/>
          <w:snapToGrid w:val="0"/>
          <w:color w:val="000000" w:themeColor="text1"/>
          <w:sz w:val="24"/>
          <w:szCs w:val="24"/>
        </w:rPr>
        <w:t>天后恢复达标，期间最远超标距离为</w:t>
      </w:r>
      <w:r>
        <w:rPr>
          <w:rFonts w:cs="Times New Roman" w:hint="eastAsia"/>
          <w:snapToGrid w:val="0"/>
          <w:color w:val="000000" w:themeColor="text1"/>
          <w:sz w:val="24"/>
          <w:szCs w:val="24"/>
        </w:rPr>
        <w:t>5m</w:t>
      </w:r>
      <w:r>
        <w:rPr>
          <w:rFonts w:cs="Times New Roman" w:hint="eastAsia"/>
          <w:snapToGrid w:val="0"/>
          <w:color w:val="000000" w:themeColor="text1"/>
          <w:sz w:val="24"/>
          <w:szCs w:val="24"/>
        </w:rPr>
        <w:t>；贡献值在</w:t>
      </w:r>
      <w:r>
        <w:rPr>
          <w:rFonts w:cs="Times New Roman" w:hint="eastAsia"/>
          <w:snapToGrid w:val="0"/>
          <w:color w:val="000000" w:themeColor="text1"/>
          <w:sz w:val="24"/>
          <w:szCs w:val="24"/>
        </w:rPr>
        <w:t>365</w:t>
      </w:r>
      <w:r>
        <w:rPr>
          <w:rFonts w:cs="Times New Roman" w:hint="eastAsia"/>
          <w:snapToGrid w:val="0"/>
          <w:color w:val="000000" w:themeColor="text1"/>
          <w:sz w:val="24"/>
          <w:szCs w:val="24"/>
        </w:rPr>
        <w:t>天后达到未检出水平。</w:t>
      </w:r>
    </w:p>
    <w:p w:rsidR="00381961" w:rsidRPr="00381961" w:rsidRDefault="00381961" w:rsidP="00381961">
      <w:pPr>
        <w:adjustRightInd w:val="0"/>
        <w:snapToGrid w:val="0"/>
        <w:spacing w:line="360" w:lineRule="auto"/>
        <w:ind w:firstLineChars="200" w:firstLine="480"/>
        <w:rPr>
          <w:rFonts w:cs="Times New Roman"/>
          <w:snapToGrid w:val="0"/>
          <w:color w:val="000000" w:themeColor="text1"/>
          <w:sz w:val="24"/>
          <w:szCs w:val="24"/>
        </w:rPr>
      </w:pPr>
      <w:r w:rsidRPr="00381961">
        <w:rPr>
          <w:rFonts w:cs="Times New Roman" w:hint="eastAsia"/>
          <w:snapToGrid w:val="0"/>
          <w:color w:val="000000" w:themeColor="text1"/>
          <w:sz w:val="24"/>
          <w:szCs w:val="24"/>
        </w:rPr>
        <w:t>硫化物</w:t>
      </w:r>
      <w:r>
        <w:rPr>
          <w:rFonts w:cs="Times New Roman" w:hint="eastAsia"/>
          <w:snapToGrid w:val="0"/>
          <w:color w:val="000000" w:themeColor="text1"/>
          <w:sz w:val="24"/>
          <w:szCs w:val="24"/>
        </w:rPr>
        <w:t>无超标情况。</w:t>
      </w:r>
    </w:p>
    <w:p w:rsidR="00644456" w:rsidRDefault="008031C4">
      <w:pPr>
        <w:adjustRightInd w:val="0"/>
        <w:snapToGrid w:val="0"/>
        <w:spacing w:line="360" w:lineRule="auto"/>
        <w:ind w:firstLineChars="200" w:firstLine="480"/>
        <w:rPr>
          <w:rFonts w:cs="Times New Roman"/>
          <w:snapToGrid w:val="0"/>
          <w:color w:val="000000" w:themeColor="text1"/>
          <w:sz w:val="24"/>
          <w:szCs w:val="24"/>
        </w:rPr>
      </w:pPr>
      <w:r>
        <w:rPr>
          <w:rFonts w:cs="Times New Roman" w:hint="eastAsia"/>
          <w:snapToGrid w:val="0"/>
          <w:color w:val="000000" w:themeColor="text1"/>
          <w:sz w:val="24"/>
          <w:szCs w:val="24"/>
        </w:rPr>
        <w:t>由以上分析可知，在项目发生污染事故，污染物进入地下水环境，不同情形下各预测污染物最大污染距离点均未超过厂区边界，对厂区外以及周边敏感点地下水的影响较小。</w:t>
      </w:r>
    </w:p>
    <w:p w:rsidR="00644456" w:rsidRDefault="008031C4">
      <w:pPr>
        <w:adjustRightInd w:val="0"/>
        <w:snapToGrid w:val="0"/>
        <w:spacing w:line="360" w:lineRule="auto"/>
        <w:ind w:firstLineChars="200" w:firstLine="480"/>
        <w:rPr>
          <w:rFonts w:cs="Times New Roman"/>
          <w:snapToGrid w:val="0"/>
          <w:color w:val="000000" w:themeColor="text1"/>
          <w:sz w:val="24"/>
          <w:szCs w:val="24"/>
        </w:rPr>
      </w:pPr>
      <w:r>
        <w:rPr>
          <w:rFonts w:cs="Times New Roman"/>
          <w:snapToGrid w:val="0"/>
          <w:color w:val="000000" w:themeColor="text1"/>
          <w:sz w:val="24"/>
          <w:szCs w:val="24"/>
        </w:rPr>
        <w:t>非正常运行状况下，各污染物下渗进入地下水系统后，将污染项目区下伏含水层，因此应尽量避免非正常状况发生。环评要求：项目运行过程中，应严格按照环评要求对</w:t>
      </w:r>
      <w:r>
        <w:rPr>
          <w:rFonts w:cs="Times New Roman"/>
          <w:snapToGrid w:val="0"/>
          <w:color w:val="000000" w:themeColor="text1"/>
          <w:sz w:val="24"/>
          <w:szCs w:val="24"/>
        </w:rPr>
        <w:lastRenderedPageBreak/>
        <w:t>下游水质监测井进行监测，一旦发现水质异常，立刻采取有效措施</w:t>
      </w:r>
      <w:r>
        <w:rPr>
          <w:rFonts w:cs="Times New Roman" w:hint="eastAsia"/>
          <w:snapToGrid w:val="0"/>
          <w:color w:val="000000" w:themeColor="text1"/>
          <w:sz w:val="24"/>
          <w:szCs w:val="24"/>
        </w:rPr>
        <w:t>（</w:t>
      </w:r>
      <w:r>
        <w:rPr>
          <w:rFonts w:cs="Times New Roman"/>
          <w:snapToGrid w:val="0"/>
          <w:color w:val="000000" w:themeColor="text1"/>
          <w:sz w:val="24"/>
          <w:szCs w:val="24"/>
        </w:rPr>
        <w:t>如采用水动力隔离技术</w:t>
      </w:r>
      <w:r>
        <w:rPr>
          <w:rFonts w:cs="Times New Roman" w:hint="eastAsia"/>
          <w:snapToGrid w:val="0"/>
          <w:color w:val="000000" w:themeColor="text1"/>
          <w:sz w:val="24"/>
          <w:szCs w:val="24"/>
        </w:rPr>
        <w:t>）</w:t>
      </w:r>
      <w:r>
        <w:rPr>
          <w:rFonts w:cs="Times New Roman"/>
          <w:snapToGrid w:val="0"/>
          <w:color w:val="000000" w:themeColor="text1"/>
          <w:sz w:val="24"/>
          <w:szCs w:val="24"/>
        </w:rPr>
        <w:t>阻止污染羽的扩散迁移，将地下水控制在局部范围，避免对厂区下游地下水造成污染。</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5.7.5.9</w:t>
      </w:r>
      <w:r>
        <w:rPr>
          <w:rFonts w:cs="Times New Roman" w:hint="eastAsia"/>
          <w:snapToGrid w:val="0"/>
          <w:color w:val="000000" w:themeColor="text1"/>
          <w:kern w:val="0"/>
          <w:szCs w:val="24"/>
        </w:rPr>
        <w:t>项目对地下水环境影响分析</w:t>
      </w:r>
    </w:p>
    <w:p w:rsidR="00644456" w:rsidRDefault="008031C4">
      <w:pPr>
        <w:adjustRightInd w:val="0"/>
        <w:snapToGrid w:val="0"/>
        <w:spacing w:line="360" w:lineRule="auto"/>
        <w:ind w:firstLineChars="200" w:firstLine="480"/>
        <w:rPr>
          <w:rFonts w:cs="Times New Roman"/>
          <w:snapToGrid w:val="0"/>
          <w:color w:val="000000" w:themeColor="text1"/>
          <w:sz w:val="24"/>
          <w:szCs w:val="24"/>
        </w:rPr>
      </w:pPr>
      <w:r>
        <w:rPr>
          <w:rFonts w:cs="Times New Roman" w:hint="eastAsia"/>
          <w:snapToGrid w:val="0"/>
          <w:color w:val="000000" w:themeColor="text1"/>
          <w:sz w:val="24"/>
          <w:szCs w:val="24"/>
        </w:rPr>
        <w:t>（</w:t>
      </w:r>
      <w:r>
        <w:rPr>
          <w:rFonts w:cs="Times New Roman" w:hint="eastAsia"/>
          <w:snapToGrid w:val="0"/>
          <w:color w:val="000000" w:themeColor="text1"/>
          <w:sz w:val="24"/>
          <w:szCs w:val="24"/>
        </w:rPr>
        <w:t>1</w:t>
      </w:r>
      <w:r>
        <w:rPr>
          <w:rFonts w:cs="Times New Roman" w:hint="eastAsia"/>
          <w:snapToGrid w:val="0"/>
          <w:color w:val="000000" w:themeColor="text1"/>
          <w:sz w:val="24"/>
          <w:szCs w:val="24"/>
        </w:rPr>
        <w:t>）对区内地下水水质的影响</w:t>
      </w:r>
    </w:p>
    <w:p w:rsidR="00644456" w:rsidRDefault="008031C4">
      <w:pPr>
        <w:adjustRightInd w:val="0"/>
        <w:snapToGrid w:val="0"/>
        <w:spacing w:line="360" w:lineRule="auto"/>
        <w:ind w:firstLineChars="200" w:firstLine="480"/>
        <w:rPr>
          <w:rFonts w:cs="Times New Roman"/>
          <w:snapToGrid w:val="0"/>
          <w:color w:val="000000" w:themeColor="text1"/>
          <w:sz w:val="24"/>
          <w:szCs w:val="24"/>
        </w:rPr>
      </w:pPr>
      <w:r>
        <w:rPr>
          <w:rFonts w:cs="Times New Roman" w:hint="eastAsia"/>
          <w:snapToGrid w:val="0"/>
          <w:color w:val="000000" w:themeColor="text1"/>
          <w:sz w:val="24"/>
          <w:szCs w:val="24"/>
        </w:rPr>
        <w:t>根据本项目地下水产污环节分析，项目运行可能对地下水环境产生污染的构筑物包括罐区、装置区域、装卸区域其运行过程中可能出现跑、冒、滴、漏的废水进入地下水系统。</w:t>
      </w:r>
    </w:p>
    <w:p w:rsidR="00644456" w:rsidRPr="007B7F59" w:rsidRDefault="008031C4">
      <w:pPr>
        <w:adjustRightInd w:val="0"/>
        <w:snapToGrid w:val="0"/>
        <w:spacing w:line="360" w:lineRule="auto"/>
        <w:ind w:firstLineChars="200" w:firstLine="480"/>
        <w:rPr>
          <w:rFonts w:cs="Times New Roman"/>
          <w:snapToGrid w:val="0"/>
          <w:color w:val="FF0000"/>
          <w:sz w:val="24"/>
          <w:szCs w:val="24"/>
        </w:rPr>
      </w:pPr>
      <w:r w:rsidRPr="007B7F59">
        <w:rPr>
          <w:rFonts w:cs="Times New Roman" w:hint="eastAsia"/>
          <w:snapToGrid w:val="0"/>
          <w:color w:val="FF0000"/>
          <w:sz w:val="24"/>
          <w:szCs w:val="24"/>
        </w:rPr>
        <w:t>环评</w:t>
      </w:r>
      <w:r w:rsidR="007B7F59" w:rsidRPr="007B7F59">
        <w:rPr>
          <w:rFonts w:cs="Times New Roman" w:hint="eastAsia"/>
          <w:snapToGrid w:val="0"/>
          <w:color w:val="FF0000"/>
          <w:sz w:val="24"/>
          <w:szCs w:val="24"/>
        </w:rPr>
        <w:t>要求</w:t>
      </w:r>
    </w:p>
    <w:p w:rsidR="007B7F59" w:rsidRPr="007B7F59" w:rsidRDefault="007B7F59" w:rsidP="007B7F59">
      <w:pPr>
        <w:adjustRightInd w:val="0"/>
        <w:snapToGrid w:val="0"/>
        <w:spacing w:line="360" w:lineRule="auto"/>
        <w:ind w:firstLineChars="200" w:firstLine="480"/>
        <w:rPr>
          <w:rFonts w:cs="Times New Roman"/>
          <w:snapToGrid w:val="0"/>
          <w:color w:val="FF0000"/>
          <w:sz w:val="24"/>
          <w:szCs w:val="24"/>
        </w:rPr>
      </w:pPr>
      <w:r w:rsidRPr="007B7F59">
        <w:rPr>
          <w:rFonts w:cs="Times New Roman" w:hint="eastAsia"/>
          <w:snapToGrid w:val="0"/>
          <w:color w:val="FF0000"/>
          <w:sz w:val="24"/>
          <w:szCs w:val="24"/>
        </w:rPr>
        <w:t>污水处理站、危废暂存间、罐区及生产区域设置重点防渗，一般固废等区域设置一般防渗，综合楼等设置简单防渗。</w:t>
      </w:r>
      <w:r w:rsidRPr="007B7F59">
        <w:rPr>
          <w:rFonts w:cs="Times New Roman"/>
          <w:snapToGrid w:val="0"/>
          <w:color w:val="FF0000"/>
          <w:sz w:val="24"/>
          <w:szCs w:val="24"/>
        </w:rPr>
        <w:t xml:space="preserve"> </w:t>
      </w:r>
    </w:p>
    <w:p w:rsidR="00644456" w:rsidRDefault="008031C4">
      <w:pPr>
        <w:adjustRightInd w:val="0"/>
        <w:snapToGrid w:val="0"/>
        <w:spacing w:line="360" w:lineRule="auto"/>
        <w:ind w:firstLineChars="200" w:firstLine="480"/>
        <w:rPr>
          <w:rFonts w:cs="Times New Roman"/>
          <w:snapToGrid w:val="0"/>
          <w:color w:val="000000" w:themeColor="text1"/>
          <w:sz w:val="24"/>
          <w:szCs w:val="24"/>
        </w:rPr>
      </w:pPr>
      <w:r>
        <w:rPr>
          <w:rFonts w:cs="Times New Roman" w:hint="eastAsia"/>
          <w:snapToGrid w:val="0"/>
          <w:color w:val="000000" w:themeColor="text1"/>
          <w:sz w:val="24"/>
          <w:szCs w:val="24"/>
        </w:rPr>
        <w:t>在上述构筑物运行状况良好且地面防渗层完好的情况下，仅存在少量生产废水的跑、冒、滴、漏及废水处理站废水的渗漏，但受防渗层阻隔，由该途径进入含水层的污染物量极少，不会对地下水系统产生影响非正常状况下，受生产线设备破损等因素影响，其内的液态生产物料出现泄漏，同时，地面防渗层因老化等因素失效，泄漏的物料沿老化的防渗层下渗进入地下水系统，废水处理站内的废水则直接沿老化的防渗层经包气带下渗进入含水层，项目在此状况下运行，将对地下水水质产生影响。</w:t>
      </w:r>
    </w:p>
    <w:p w:rsidR="00644456" w:rsidRDefault="008031C4">
      <w:pPr>
        <w:adjustRightInd w:val="0"/>
        <w:snapToGrid w:val="0"/>
        <w:spacing w:line="360" w:lineRule="auto"/>
        <w:ind w:firstLineChars="200" w:firstLine="480"/>
        <w:rPr>
          <w:rFonts w:cs="Times New Roman"/>
          <w:snapToGrid w:val="0"/>
          <w:color w:val="000000" w:themeColor="text1"/>
          <w:sz w:val="24"/>
          <w:szCs w:val="24"/>
        </w:rPr>
      </w:pPr>
      <w:r>
        <w:rPr>
          <w:rFonts w:cs="Times New Roman" w:hint="eastAsia"/>
          <w:snapToGrid w:val="0"/>
          <w:color w:val="000000" w:themeColor="text1"/>
          <w:sz w:val="24"/>
          <w:szCs w:val="24"/>
        </w:rPr>
        <w:t>环评要求本项目运行过程中应于项目厂区下游布设地下水水质监测井，定期对地下水水质进行监测，若发现水质异常，应立即采取有效措施（如采用水动力隔离技术）阻止污染羽的扩散、迁移，将地下水污染控制在局部范围内，避免对厂区下游的地下水及地表水体产生污染。</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5.7.5.10</w:t>
      </w:r>
      <w:r>
        <w:rPr>
          <w:rFonts w:cs="Times New Roman" w:hint="eastAsia"/>
          <w:snapToGrid w:val="0"/>
          <w:color w:val="000000" w:themeColor="text1"/>
          <w:kern w:val="0"/>
          <w:szCs w:val="24"/>
        </w:rPr>
        <w:t>地下水环境保护措施及对策</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5.7.5.11</w:t>
      </w:r>
      <w:r>
        <w:rPr>
          <w:rFonts w:cs="Times New Roman"/>
          <w:snapToGrid w:val="0"/>
          <w:color w:val="000000" w:themeColor="text1"/>
          <w:kern w:val="0"/>
          <w:szCs w:val="24"/>
        </w:rPr>
        <w:t>防止地下水污染控制措施的原则</w:t>
      </w:r>
    </w:p>
    <w:p w:rsidR="00644456" w:rsidRDefault="008031C4">
      <w:pPr>
        <w:adjustRightInd w:val="0"/>
        <w:snapToGrid w:val="0"/>
        <w:spacing w:line="360" w:lineRule="auto"/>
        <w:ind w:firstLine="482"/>
        <w:rPr>
          <w:rFonts w:cs="Times New Roman"/>
          <w:snapToGrid w:val="0"/>
          <w:color w:val="000000" w:themeColor="text1"/>
          <w:sz w:val="24"/>
        </w:rPr>
      </w:pPr>
      <w:r>
        <w:rPr>
          <w:rFonts w:cs="Times New Roman"/>
          <w:snapToGrid w:val="0"/>
          <w:color w:val="000000" w:themeColor="text1"/>
          <w:sz w:val="24"/>
        </w:rPr>
        <w:t>地下水污染防治措施坚持</w:t>
      </w:r>
      <w:r>
        <w:rPr>
          <w:rFonts w:cs="Times New Roman"/>
          <w:snapToGrid w:val="0"/>
          <w:color w:val="000000" w:themeColor="text1"/>
          <w:sz w:val="24"/>
        </w:rPr>
        <w:t>“</w:t>
      </w:r>
      <w:r>
        <w:rPr>
          <w:rFonts w:cs="Times New Roman"/>
          <w:snapToGrid w:val="0"/>
          <w:color w:val="000000" w:themeColor="text1"/>
          <w:sz w:val="24"/>
        </w:rPr>
        <w:t>源头控制、末端防治、污染监控、应急响应相结合</w:t>
      </w:r>
      <w:r>
        <w:rPr>
          <w:rFonts w:cs="Times New Roman"/>
          <w:snapToGrid w:val="0"/>
          <w:color w:val="000000" w:themeColor="text1"/>
          <w:sz w:val="24"/>
        </w:rPr>
        <w:t>”</w:t>
      </w:r>
      <w:r>
        <w:rPr>
          <w:rFonts w:cs="Times New Roman"/>
          <w:snapToGrid w:val="0"/>
          <w:color w:val="000000" w:themeColor="text1"/>
          <w:sz w:val="24"/>
        </w:rPr>
        <w:t>的原则，即采取主动控制和被动控制相结合的措施。</w:t>
      </w:r>
    </w:p>
    <w:p w:rsidR="00644456" w:rsidRDefault="008031C4">
      <w:pPr>
        <w:adjustRightInd w:val="0"/>
        <w:snapToGrid w:val="0"/>
        <w:spacing w:line="360" w:lineRule="auto"/>
        <w:ind w:firstLine="482"/>
        <w:rPr>
          <w:rFonts w:cs="Times New Roman"/>
          <w:snapToGrid w:val="0"/>
          <w:color w:val="000000" w:themeColor="text1"/>
          <w:sz w:val="24"/>
        </w:rPr>
      </w:pPr>
      <w:r>
        <w:rPr>
          <w:rFonts w:cs="Times New Roman" w:hint="eastAsia"/>
          <w:snapToGrid w:val="0"/>
          <w:color w:val="000000" w:themeColor="text1"/>
          <w:sz w:val="24"/>
        </w:rPr>
        <w:t>①</w:t>
      </w:r>
      <w:r>
        <w:rPr>
          <w:rFonts w:cs="Times New Roman"/>
          <w:snapToGrid w:val="0"/>
          <w:color w:val="000000" w:themeColor="text1"/>
          <w:sz w:val="24"/>
        </w:rPr>
        <w:t>主动控制即从源头控制措施，主要包括在储存区、管道、设备、废水储存及处理构筑物采取相应措施，防止和降低污染物跑、冒、滴、漏，将污染物泄漏的环境风险事故降到最低程度。优化设计，管线铺设尽量采用</w:t>
      </w:r>
      <w:r>
        <w:rPr>
          <w:rFonts w:cs="Times New Roman"/>
          <w:snapToGrid w:val="0"/>
          <w:color w:val="000000" w:themeColor="text1"/>
          <w:sz w:val="24"/>
        </w:rPr>
        <w:t>“</w:t>
      </w:r>
      <w:r>
        <w:rPr>
          <w:rFonts w:cs="Times New Roman"/>
          <w:snapToGrid w:val="0"/>
          <w:color w:val="000000" w:themeColor="text1"/>
          <w:sz w:val="24"/>
        </w:rPr>
        <w:t>可视化</w:t>
      </w:r>
      <w:r>
        <w:rPr>
          <w:rFonts w:cs="Times New Roman"/>
          <w:snapToGrid w:val="0"/>
          <w:color w:val="000000" w:themeColor="text1"/>
          <w:sz w:val="24"/>
        </w:rPr>
        <w:t>”</w:t>
      </w:r>
      <w:r>
        <w:rPr>
          <w:rFonts w:cs="Times New Roman"/>
          <w:snapToGrid w:val="0"/>
          <w:color w:val="000000" w:themeColor="text1"/>
          <w:sz w:val="24"/>
        </w:rPr>
        <w:t>原则，即管道尽可能地上铺设，做到污染物</w:t>
      </w:r>
      <w:r>
        <w:rPr>
          <w:rFonts w:cs="Times New Roman"/>
          <w:snapToGrid w:val="0"/>
          <w:color w:val="000000" w:themeColor="text1"/>
          <w:sz w:val="24"/>
        </w:rPr>
        <w:t>“</w:t>
      </w:r>
      <w:r>
        <w:rPr>
          <w:rFonts w:cs="Times New Roman"/>
          <w:snapToGrid w:val="0"/>
          <w:color w:val="000000" w:themeColor="text1"/>
          <w:sz w:val="24"/>
        </w:rPr>
        <w:t>早发现、早处理</w:t>
      </w:r>
      <w:r>
        <w:rPr>
          <w:rFonts w:cs="Times New Roman"/>
          <w:snapToGrid w:val="0"/>
          <w:color w:val="000000" w:themeColor="text1"/>
          <w:sz w:val="24"/>
        </w:rPr>
        <w:t>”</w:t>
      </w:r>
      <w:r>
        <w:rPr>
          <w:rFonts w:cs="Times New Roman"/>
          <w:snapToGrid w:val="0"/>
          <w:color w:val="000000" w:themeColor="text1"/>
          <w:sz w:val="24"/>
        </w:rPr>
        <w:t>，以减少由于埋地管道泄漏而可能造成的地下水污染。</w:t>
      </w:r>
    </w:p>
    <w:p w:rsidR="00644456" w:rsidRDefault="008031C4">
      <w:pPr>
        <w:adjustRightInd w:val="0"/>
        <w:snapToGrid w:val="0"/>
        <w:spacing w:line="360" w:lineRule="auto"/>
        <w:ind w:firstLine="482"/>
        <w:rPr>
          <w:rFonts w:cs="Times New Roman"/>
          <w:snapToGrid w:val="0"/>
          <w:color w:val="000000" w:themeColor="text1"/>
          <w:sz w:val="24"/>
        </w:rPr>
      </w:pPr>
      <w:r>
        <w:rPr>
          <w:rFonts w:cs="Times New Roman" w:hint="eastAsia"/>
          <w:snapToGrid w:val="0"/>
          <w:color w:val="000000" w:themeColor="text1"/>
          <w:sz w:val="24"/>
        </w:rPr>
        <w:t>②</w:t>
      </w:r>
      <w:r>
        <w:rPr>
          <w:rFonts w:cs="Times New Roman"/>
          <w:snapToGrid w:val="0"/>
          <w:color w:val="000000" w:themeColor="text1"/>
          <w:sz w:val="24"/>
        </w:rPr>
        <w:t>被动控制即末端控制措施，结合厂区建设项目各生产设备、管廊或管线、贮存与</w:t>
      </w:r>
      <w:r>
        <w:rPr>
          <w:rFonts w:cs="Times New Roman"/>
          <w:snapToGrid w:val="0"/>
          <w:color w:val="000000" w:themeColor="text1"/>
          <w:sz w:val="24"/>
        </w:rPr>
        <w:lastRenderedPageBreak/>
        <w:t>运输装置、污染物贮存与处理装置、事故应急装置等的布局，根据可能进入地下水环境的各种有毒有害物质的泄漏（含跑、冒、滴、漏）量及其他各类污染物的性质、产生量和排放量，划分污染防治区，提出不同区域的地面防渗方案，给出具体的防渗材料及防渗标准要求，建立防渗设施的检漏系统；防渗分区一般分为重点污染防治区、一般污染防治区和非污染区。</w:t>
      </w:r>
    </w:p>
    <w:p w:rsidR="00644456" w:rsidRDefault="008031C4">
      <w:pPr>
        <w:adjustRightInd w:val="0"/>
        <w:snapToGrid w:val="0"/>
        <w:spacing w:line="360" w:lineRule="auto"/>
        <w:ind w:firstLine="482"/>
        <w:rPr>
          <w:rFonts w:cs="Times New Roman"/>
          <w:snapToGrid w:val="0"/>
          <w:color w:val="000000" w:themeColor="text1"/>
          <w:sz w:val="24"/>
        </w:rPr>
      </w:pPr>
      <w:r>
        <w:rPr>
          <w:rFonts w:cs="Times New Roman" w:hint="eastAsia"/>
          <w:snapToGrid w:val="0"/>
          <w:color w:val="000000" w:themeColor="text1"/>
          <w:sz w:val="24"/>
        </w:rPr>
        <w:t>③</w:t>
      </w:r>
      <w:r>
        <w:rPr>
          <w:rFonts w:cs="Times New Roman"/>
          <w:snapToGrid w:val="0"/>
          <w:color w:val="000000" w:themeColor="text1"/>
          <w:sz w:val="24"/>
        </w:rPr>
        <w:t>污染监控体系：建立厂区地下水污染监控系统，包括建立完善的监测制度、配备先进的检测仪器和设备、科学、合理设置地下水污染监控井，及时发现污染、及时控制；</w:t>
      </w:r>
    </w:p>
    <w:p w:rsidR="00644456" w:rsidRDefault="008031C4">
      <w:pPr>
        <w:adjustRightInd w:val="0"/>
        <w:snapToGrid w:val="0"/>
        <w:spacing w:line="360" w:lineRule="auto"/>
        <w:ind w:firstLine="482"/>
        <w:rPr>
          <w:rFonts w:cs="Times New Roman"/>
          <w:snapToGrid w:val="0"/>
          <w:color w:val="000000" w:themeColor="text1"/>
          <w:sz w:val="24"/>
        </w:rPr>
      </w:pPr>
      <w:r>
        <w:rPr>
          <w:rFonts w:cs="Times New Roman"/>
          <w:snapToGrid w:val="0"/>
          <w:color w:val="000000" w:themeColor="text1"/>
          <w:sz w:val="24"/>
        </w:rPr>
        <w:fldChar w:fldCharType="begin"/>
      </w:r>
      <w:r>
        <w:rPr>
          <w:rFonts w:cs="Times New Roman"/>
          <w:snapToGrid w:val="0"/>
          <w:color w:val="000000" w:themeColor="text1"/>
          <w:sz w:val="24"/>
        </w:rPr>
        <w:instrText>= 4 \* GB3</w:instrText>
      </w:r>
      <w:r>
        <w:rPr>
          <w:rFonts w:cs="Times New Roman"/>
          <w:snapToGrid w:val="0"/>
          <w:color w:val="000000" w:themeColor="text1"/>
          <w:sz w:val="24"/>
        </w:rPr>
        <w:fldChar w:fldCharType="separate"/>
      </w:r>
      <w:r>
        <w:rPr>
          <w:rFonts w:cs="Times New Roman" w:hint="eastAsia"/>
          <w:snapToGrid w:val="0"/>
          <w:color w:val="000000" w:themeColor="text1"/>
          <w:sz w:val="24"/>
        </w:rPr>
        <w:t>④</w:t>
      </w:r>
      <w:r>
        <w:rPr>
          <w:rFonts w:cs="Times New Roman"/>
          <w:snapToGrid w:val="0"/>
          <w:color w:val="000000" w:themeColor="text1"/>
          <w:sz w:val="24"/>
        </w:rPr>
        <w:fldChar w:fldCharType="end"/>
      </w:r>
      <w:r>
        <w:rPr>
          <w:rFonts w:cs="Times New Roman"/>
          <w:snapToGrid w:val="0"/>
          <w:color w:val="000000" w:themeColor="text1"/>
          <w:sz w:val="24"/>
        </w:rPr>
        <w:t>应急响应措施：制定地下水风险事故应急响应预案，明确风险事故状态下应采取的封闭、截流等措施，提出防止受污染的地下水扩散和对受污染的地下水进行治理的具体方案。</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5.7.5.12</w:t>
      </w:r>
      <w:r>
        <w:rPr>
          <w:rFonts w:cs="Times New Roman"/>
          <w:snapToGrid w:val="0"/>
          <w:color w:val="000000" w:themeColor="text1"/>
          <w:kern w:val="0"/>
          <w:szCs w:val="24"/>
        </w:rPr>
        <w:t>地下水污染源源头控制</w:t>
      </w:r>
    </w:p>
    <w:p w:rsidR="00644456" w:rsidRDefault="008031C4">
      <w:pPr>
        <w:shd w:val="clear" w:color="auto" w:fill="FFFFFF"/>
        <w:spacing w:line="360" w:lineRule="auto"/>
        <w:ind w:firstLineChars="200" w:firstLine="480"/>
        <w:rPr>
          <w:color w:val="000000" w:themeColor="text1"/>
          <w:sz w:val="24"/>
          <w:szCs w:val="24"/>
        </w:rPr>
      </w:pPr>
      <w:r>
        <w:rPr>
          <w:rFonts w:hint="eastAsia"/>
          <w:color w:val="000000" w:themeColor="text1"/>
          <w:sz w:val="24"/>
          <w:szCs w:val="24"/>
        </w:rPr>
        <w:t>①对工艺、管道、设备、污水储存、储罐及处理构筑物等严格检查，有质量问题的及时更换，阀门采用优质产品，防止和降低“跑、冒、滴、漏”发生。</w:t>
      </w:r>
    </w:p>
    <w:p w:rsidR="00644456" w:rsidRDefault="008031C4">
      <w:pPr>
        <w:shd w:val="clear" w:color="auto" w:fill="FFFFFF"/>
        <w:spacing w:line="360" w:lineRule="auto"/>
        <w:ind w:firstLineChars="200" w:firstLine="480"/>
        <w:rPr>
          <w:color w:val="000000" w:themeColor="text1"/>
          <w:sz w:val="24"/>
          <w:szCs w:val="24"/>
        </w:rPr>
      </w:pPr>
      <w:r>
        <w:rPr>
          <w:rFonts w:hint="eastAsia"/>
          <w:color w:val="000000" w:themeColor="text1"/>
          <w:sz w:val="24"/>
          <w:szCs w:val="24"/>
        </w:rPr>
        <w:t>②所有生产中的容器均做防腐处理，禁止在厂区内任意设置排污水口。</w:t>
      </w:r>
    </w:p>
    <w:p w:rsidR="00644456" w:rsidRDefault="008031C4">
      <w:pPr>
        <w:shd w:val="clear" w:color="auto" w:fill="FFFFFF"/>
        <w:spacing w:line="360" w:lineRule="auto"/>
        <w:ind w:firstLineChars="200" w:firstLine="480"/>
        <w:rPr>
          <w:color w:val="000000" w:themeColor="text1"/>
          <w:sz w:val="24"/>
          <w:szCs w:val="24"/>
        </w:rPr>
      </w:pPr>
      <w:r>
        <w:rPr>
          <w:rFonts w:hint="eastAsia"/>
          <w:color w:val="000000" w:themeColor="text1"/>
          <w:sz w:val="24"/>
          <w:szCs w:val="24"/>
        </w:rPr>
        <w:t>③对工艺要求必须地下走管的管道、阀门设专用防渗管沟，管沟上设活动观察顶盖，对排水管网定期巡检，以便出现渗漏问题及时观察、解决，管沟与污水集水井相连，并设计合理的排水坡度，便于废水排至集水井，然后统一排入污水收集池。</w:t>
      </w:r>
    </w:p>
    <w:p w:rsidR="00644456" w:rsidRDefault="008031C4">
      <w:pPr>
        <w:shd w:val="clear" w:color="auto" w:fill="FFFFFF"/>
        <w:spacing w:line="360" w:lineRule="auto"/>
        <w:ind w:firstLineChars="200" w:firstLine="480"/>
        <w:rPr>
          <w:color w:val="000000" w:themeColor="text1"/>
          <w:sz w:val="24"/>
          <w:szCs w:val="24"/>
        </w:rPr>
      </w:pPr>
      <w:r>
        <w:rPr>
          <w:rFonts w:hint="eastAsia"/>
          <w:color w:val="000000" w:themeColor="text1"/>
          <w:sz w:val="24"/>
          <w:szCs w:val="24"/>
        </w:rPr>
        <w:t>④厂区内设置生活垃圾收集点和垃圾中转站，集中收集后的生活垃圾及时清运至城市规划的生活垃圾填埋场。生活垃圾运输基本实现收集容器化、运输密封化。工业固废首先在企业内部进行无害化处理，再运至规划建设的固体废弃物填埋场做进一步处置，防止固废因淋溶对地下水造成的二次污染。</w:t>
      </w:r>
    </w:p>
    <w:p w:rsidR="00644456" w:rsidRDefault="008031C4">
      <w:pPr>
        <w:shd w:val="clear" w:color="auto" w:fill="FFFFFF"/>
        <w:spacing w:line="360" w:lineRule="auto"/>
        <w:ind w:firstLineChars="200" w:firstLine="480"/>
        <w:rPr>
          <w:color w:val="000000" w:themeColor="text1"/>
          <w:sz w:val="24"/>
          <w:szCs w:val="24"/>
        </w:rPr>
      </w:pPr>
      <w:r>
        <w:rPr>
          <w:rFonts w:hint="eastAsia"/>
          <w:color w:val="000000" w:themeColor="text1"/>
          <w:sz w:val="24"/>
          <w:szCs w:val="24"/>
        </w:rPr>
        <w:t>⑤为了防止突发事故，污染物外泄，造成对环境的污染，厂区已设置专门的事故应急池及安全事故报警系统，一旦有事故发生，被污染的消防水、冲洗水等直接流入事故应急池，厂区排水口设置了在线监测系统，以防止超标污水外泄。</w:t>
      </w:r>
    </w:p>
    <w:p w:rsidR="00644456" w:rsidRDefault="008031C4">
      <w:pPr>
        <w:shd w:val="clear" w:color="auto" w:fill="FFFFFF"/>
        <w:spacing w:line="360" w:lineRule="auto"/>
        <w:ind w:firstLineChars="200" w:firstLine="480"/>
        <w:rPr>
          <w:color w:val="000000" w:themeColor="text1"/>
          <w:sz w:val="24"/>
          <w:szCs w:val="24"/>
        </w:rPr>
      </w:pPr>
      <w:r>
        <w:rPr>
          <w:rFonts w:hint="eastAsia"/>
          <w:color w:val="000000" w:themeColor="text1"/>
          <w:sz w:val="24"/>
          <w:szCs w:val="24"/>
        </w:rPr>
        <w:t>⑥项目运行过程中，严格按照环评要求对下游水质监测井进行监测，一旦发现水质异常，立刻采取有效措施（如采用水动力隔离技术）阻止污染羽的扩散迁移，将地下水控制在局部范围，避免对厂区下游地下水造成污染。</w:t>
      </w:r>
    </w:p>
    <w:p w:rsidR="00644456" w:rsidRDefault="008031C4">
      <w:pPr>
        <w:shd w:val="clear" w:color="auto" w:fill="FFFFFF"/>
        <w:spacing w:line="360" w:lineRule="auto"/>
        <w:ind w:firstLineChars="200" w:firstLine="480"/>
        <w:rPr>
          <w:color w:val="000000" w:themeColor="text1"/>
          <w:sz w:val="24"/>
          <w:szCs w:val="24"/>
        </w:rPr>
      </w:pPr>
      <w:r>
        <w:rPr>
          <w:rFonts w:hint="eastAsia"/>
          <w:color w:val="000000" w:themeColor="text1"/>
          <w:sz w:val="24"/>
          <w:szCs w:val="24"/>
        </w:rPr>
        <w:t>⑦本项目各池体均进行了防渗处理，出现泄漏情况能及时收集、拦截事故废水。</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5.7.5.13</w:t>
      </w:r>
      <w:r>
        <w:rPr>
          <w:rFonts w:cs="Times New Roman"/>
          <w:snapToGrid w:val="0"/>
          <w:color w:val="000000" w:themeColor="text1"/>
          <w:kern w:val="0"/>
          <w:szCs w:val="24"/>
        </w:rPr>
        <w:t>污染防治</w:t>
      </w:r>
      <w:r>
        <w:rPr>
          <w:rFonts w:cs="Times New Roman" w:hint="eastAsia"/>
          <w:snapToGrid w:val="0"/>
          <w:color w:val="000000" w:themeColor="text1"/>
          <w:kern w:val="0"/>
          <w:szCs w:val="24"/>
        </w:rPr>
        <w:t>分区</w:t>
      </w:r>
    </w:p>
    <w:p w:rsidR="00644456" w:rsidRDefault="008031C4">
      <w:pPr>
        <w:snapToGrid w:val="0"/>
        <w:spacing w:line="360" w:lineRule="auto"/>
        <w:ind w:firstLineChars="200" w:firstLine="482"/>
        <w:rPr>
          <w:rFonts w:cs="Times New Roman"/>
          <w:b/>
          <w:color w:val="000000" w:themeColor="text1"/>
          <w:kern w:val="0"/>
          <w:sz w:val="24"/>
          <w:szCs w:val="20"/>
        </w:rPr>
      </w:pPr>
      <w:r>
        <w:rPr>
          <w:rFonts w:cs="Times New Roman"/>
          <w:b/>
          <w:bCs/>
          <w:color w:val="000000" w:themeColor="text1"/>
          <w:kern w:val="0"/>
          <w:sz w:val="24"/>
          <w:szCs w:val="20"/>
          <w:shd w:val="clear" w:color="auto" w:fill="FFFFFF"/>
        </w:rPr>
        <w:t>1</w:t>
      </w:r>
      <w:r>
        <w:rPr>
          <w:rFonts w:cs="Times New Roman"/>
          <w:b/>
          <w:bCs/>
          <w:color w:val="000000" w:themeColor="text1"/>
          <w:kern w:val="0"/>
          <w:sz w:val="24"/>
          <w:szCs w:val="20"/>
          <w:shd w:val="clear" w:color="auto" w:fill="FFFFFF"/>
        </w:rPr>
        <w:t>、防渗设计基本内容与要求</w:t>
      </w:r>
    </w:p>
    <w:p w:rsidR="00644456" w:rsidRDefault="008031C4">
      <w:pPr>
        <w:shd w:val="clear" w:color="auto" w:fill="FFFFFF"/>
        <w:snapToGrid w:val="0"/>
        <w:spacing w:line="360" w:lineRule="auto"/>
        <w:ind w:firstLineChars="200" w:firstLine="480"/>
        <w:rPr>
          <w:rFonts w:cs="Times New Roman"/>
          <w:color w:val="000000" w:themeColor="text1"/>
          <w:sz w:val="24"/>
          <w:szCs w:val="20"/>
        </w:rPr>
      </w:pPr>
      <w:r>
        <w:rPr>
          <w:rFonts w:cs="Times New Roman"/>
          <w:color w:val="000000" w:themeColor="text1"/>
          <w:sz w:val="24"/>
          <w:szCs w:val="20"/>
        </w:rPr>
        <w:lastRenderedPageBreak/>
        <w:t>本项目防渗</w:t>
      </w:r>
      <w:r>
        <w:rPr>
          <w:rFonts w:cs="Times New Roman" w:hint="eastAsia"/>
          <w:color w:val="000000" w:themeColor="text1"/>
          <w:sz w:val="24"/>
          <w:szCs w:val="20"/>
        </w:rPr>
        <w:t>设计</w:t>
      </w:r>
      <w:r>
        <w:rPr>
          <w:rFonts w:cs="Times New Roman"/>
          <w:color w:val="000000" w:themeColor="text1"/>
          <w:sz w:val="24"/>
          <w:szCs w:val="20"/>
        </w:rPr>
        <w:t>参考《危险废物贮存污染控制标准》（</w:t>
      </w:r>
      <w:r>
        <w:rPr>
          <w:rFonts w:cs="Times New Roman"/>
          <w:color w:val="000000" w:themeColor="text1"/>
          <w:sz w:val="24"/>
          <w:szCs w:val="20"/>
        </w:rPr>
        <w:t>GB18597</w:t>
      </w:r>
      <w:r>
        <w:rPr>
          <w:rFonts w:cs="Times New Roman"/>
          <w:color w:val="000000" w:themeColor="text1"/>
          <w:sz w:val="24"/>
          <w:szCs w:val="20"/>
        </w:rPr>
        <w:t>）、《环境影响评价技术导则地下水环境》（</w:t>
      </w:r>
      <w:r>
        <w:rPr>
          <w:rFonts w:cs="Times New Roman"/>
          <w:color w:val="000000" w:themeColor="text1"/>
          <w:sz w:val="24"/>
          <w:szCs w:val="20"/>
        </w:rPr>
        <w:t>HJ610-2016</w:t>
      </w:r>
      <w:r>
        <w:rPr>
          <w:rFonts w:cs="Times New Roman"/>
          <w:color w:val="000000" w:themeColor="text1"/>
          <w:sz w:val="24"/>
          <w:szCs w:val="20"/>
        </w:rPr>
        <w:t>）等相关规范对本项目生产区域地下水防渗提出相关要求。</w:t>
      </w:r>
    </w:p>
    <w:p w:rsidR="00644456" w:rsidRDefault="008031C4">
      <w:pPr>
        <w:snapToGrid w:val="0"/>
        <w:spacing w:line="360" w:lineRule="auto"/>
        <w:ind w:firstLineChars="200" w:firstLine="482"/>
        <w:rPr>
          <w:rFonts w:cs="Times New Roman"/>
          <w:b/>
          <w:color w:val="000000" w:themeColor="text1"/>
          <w:kern w:val="0"/>
          <w:sz w:val="24"/>
          <w:szCs w:val="20"/>
        </w:rPr>
      </w:pPr>
      <w:r>
        <w:rPr>
          <w:rFonts w:cs="Times New Roman"/>
          <w:b/>
          <w:bCs/>
          <w:color w:val="000000" w:themeColor="text1"/>
          <w:kern w:val="0"/>
          <w:sz w:val="24"/>
          <w:szCs w:val="20"/>
          <w:shd w:val="clear" w:color="auto" w:fill="FFFFFF"/>
        </w:rPr>
        <w:t>2</w:t>
      </w:r>
      <w:r>
        <w:rPr>
          <w:rFonts w:cs="Times New Roman"/>
          <w:b/>
          <w:bCs/>
          <w:color w:val="000000" w:themeColor="text1"/>
          <w:kern w:val="0"/>
          <w:sz w:val="24"/>
          <w:szCs w:val="20"/>
          <w:shd w:val="clear" w:color="auto" w:fill="FFFFFF"/>
        </w:rPr>
        <w:t>、防渗分区划分</w:t>
      </w:r>
    </w:p>
    <w:p w:rsidR="00644456" w:rsidRDefault="008031C4">
      <w:pPr>
        <w:shd w:val="clear" w:color="auto" w:fill="FFFFFF"/>
        <w:snapToGrid w:val="0"/>
        <w:spacing w:line="360" w:lineRule="auto"/>
        <w:ind w:firstLineChars="200" w:firstLine="480"/>
        <w:rPr>
          <w:rFonts w:cs="Times New Roman"/>
          <w:color w:val="000000" w:themeColor="text1"/>
          <w:sz w:val="24"/>
          <w:szCs w:val="20"/>
        </w:rPr>
      </w:pPr>
      <w:r>
        <w:rPr>
          <w:rFonts w:cs="Times New Roman"/>
          <w:color w:val="000000" w:themeColor="text1"/>
          <w:sz w:val="24"/>
          <w:szCs w:val="20"/>
        </w:rPr>
        <w:t>根据《环境影响评价技术导则</w:t>
      </w:r>
      <w:r>
        <w:rPr>
          <w:rFonts w:cs="Times New Roman"/>
          <w:color w:val="000000" w:themeColor="text1"/>
          <w:sz w:val="24"/>
          <w:szCs w:val="20"/>
        </w:rPr>
        <w:t>—</w:t>
      </w:r>
      <w:r>
        <w:rPr>
          <w:rFonts w:cs="Times New Roman"/>
          <w:color w:val="000000" w:themeColor="text1"/>
          <w:sz w:val="24"/>
          <w:szCs w:val="20"/>
        </w:rPr>
        <w:t>地下水环境》（</w:t>
      </w:r>
      <w:r>
        <w:rPr>
          <w:rFonts w:cs="Times New Roman"/>
          <w:color w:val="000000" w:themeColor="text1"/>
          <w:sz w:val="24"/>
          <w:szCs w:val="20"/>
        </w:rPr>
        <w:t>HJ610-2016</w:t>
      </w:r>
      <w:r>
        <w:rPr>
          <w:rFonts w:cs="Times New Roman"/>
          <w:color w:val="000000" w:themeColor="text1"/>
          <w:sz w:val="24"/>
          <w:szCs w:val="20"/>
        </w:rPr>
        <w:t>）对地下水分区防控措施，地下水污染防治分区参照表</w:t>
      </w:r>
      <w:r>
        <w:rPr>
          <w:rFonts w:eastAsia="黑体" w:cs="Times New Roman" w:hint="eastAsia"/>
          <w:color w:val="000000" w:themeColor="text1"/>
          <w:kern w:val="0"/>
          <w:sz w:val="24"/>
          <w:szCs w:val="24"/>
        </w:rPr>
        <w:t>5.7-</w:t>
      </w:r>
      <w:r>
        <w:rPr>
          <w:rFonts w:eastAsia="黑体" w:cs="Times New Roman" w:hint="eastAsia"/>
          <w:color w:val="000000" w:themeColor="text1"/>
          <w:sz w:val="24"/>
          <w:szCs w:val="20"/>
        </w:rPr>
        <w:t>10</w:t>
      </w:r>
      <w:r>
        <w:rPr>
          <w:rFonts w:cs="Times New Roman" w:hint="eastAsia"/>
          <w:color w:val="000000" w:themeColor="text1"/>
          <w:sz w:val="24"/>
          <w:szCs w:val="20"/>
        </w:rPr>
        <w:t>~13</w:t>
      </w:r>
      <w:r>
        <w:rPr>
          <w:rFonts w:cs="Times New Roman"/>
          <w:color w:val="000000" w:themeColor="text1"/>
          <w:sz w:val="24"/>
          <w:szCs w:val="20"/>
        </w:rPr>
        <w:t>进行。</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5.7-10</w:t>
      </w:r>
      <w:r>
        <w:rPr>
          <w:rFonts w:cs="Times New Roman" w:hint="eastAsia"/>
          <w:b/>
          <w:color w:val="000000" w:themeColor="text1"/>
          <w:sz w:val="24"/>
          <w:szCs w:val="20"/>
        </w:rPr>
        <w:t>地下水污染防渗分区参照表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04"/>
        <w:gridCol w:w="1361"/>
        <w:gridCol w:w="1058"/>
        <w:gridCol w:w="1513"/>
        <w:gridCol w:w="3714"/>
      </w:tblGrid>
      <w:tr w:rsidR="00644456">
        <w:trPr>
          <w:trHeight w:val="791"/>
          <w:jc w:val="center"/>
        </w:trPr>
        <w:tc>
          <w:tcPr>
            <w:tcW w:w="1204"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防渗分区</w:t>
            </w:r>
          </w:p>
        </w:tc>
        <w:tc>
          <w:tcPr>
            <w:tcW w:w="1361"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天然包气带防污性能</w:t>
            </w:r>
          </w:p>
        </w:tc>
        <w:tc>
          <w:tcPr>
            <w:tcW w:w="1058"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污染控制难易程度</w:t>
            </w:r>
          </w:p>
        </w:tc>
        <w:tc>
          <w:tcPr>
            <w:tcW w:w="1513"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污染物类型</w:t>
            </w:r>
          </w:p>
        </w:tc>
        <w:tc>
          <w:tcPr>
            <w:tcW w:w="3714"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防渗技术要求</w:t>
            </w:r>
          </w:p>
        </w:tc>
      </w:tr>
      <w:tr w:rsidR="00644456">
        <w:trPr>
          <w:trHeight w:val="263"/>
          <w:jc w:val="center"/>
        </w:trPr>
        <w:tc>
          <w:tcPr>
            <w:tcW w:w="1204" w:type="dxa"/>
            <w:vMerge w:val="restart"/>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重点防渗区</w:t>
            </w:r>
          </w:p>
        </w:tc>
        <w:tc>
          <w:tcPr>
            <w:tcW w:w="1361"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弱</w:t>
            </w:r>
          </w:p>
        </w:tc>
        <w:tc>
          <w:tcPr>
            <w:tcW w:w="1058"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难</w:t>
            </w:r>
          </w:p>
        </w:tc>
        <w:tc>
          <w:tcPr>
            <w:tcW w:w="1513" w:type="dxa"/>
            <w:vMerge w:val="restart"/>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重金属、持久性有机污染物</w:t>
            </w:r>
          </w:p>
        </w:tc>
        <w:tc>
          <w:tcPr>
            <w:tcW w:w="3714" w:type="dxa"/>
            <w:vMerge w:val="restart"/>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等效粘土防渗层</w:t>
            </w:r>
            <w:r>
              <w:rPr>
                <w:rFonts w:cs="Times New Roman"/>
                <w:color w:val="000000" w:themeColor="text1"/>
                <w:szCs w:val="21"/>
              </w:rPr>
              <w:t>Mb≥6m</w:t>
            </w:r>
            <w:r>
              <w:rPr>
                <w:rFonts w:cs="Times New Roman"/>
                <w:color w:val="000000" w:themeColor="text1"/>
                <w:szCs w:val="21"/>
              </w:rPr>
              <w:t>，</w:t>
            </w:r>
            <w:r>
              <w:rPr>
                <w:rFonts w:cs="Times New Roman"/>
                <w:color w:val="000000" w:themeColor="text1"/>
                <w:szCs w:val="21"/>
              </w:rPr>
              <w:t>K≤1×10-7cm/s</w:t>
            </w:r>
            <w:r>
              <w:rPr>
                <w:rFonts w:cs="Times New Roman"/>
                <w:color w:val="000000" w:themeColor="text1"/>
                <w:szCs w:val="21"/>
              </w:rPr>
              <w:t>；或参照</w:t>
            </w:r>
            <w:r>
              <w:rPr>
                <w:rFonts w:cs="Times New Roman"/>
                <w:color w:val="000000" w:themeColor="text1"/>
                <w:szCs w:val="21"/>
              </w:rPr>
              <w:t>GB18598</w:t>
            </w:r>
            <w:r>
              <w:rPr>
                <w:rFonts w:cs="Times New Roman"/>
                <w:color w:val="000000" w:themeColor="text1"/>
                <w:szCs w:val="21"/>
              </w:rPr>
              <w:t>执行</w:t>
            </w:r>
          </w:p>
        </w:tc>
      </w:tr>
      <w:tr w:rsidR="00644456">
        <w:trPr>
          <w:trHeight w:val="278"/>
          <w:jc w:val="center"/>
        </w:trPr>
        <w:tc>
          <w:tcPr>
            <w:tcW w:w="1204" w:type="dxa"/>
            <w:vMerge/>
            <w:vAlign w:val="center"/>
          </w:tcPr>
          <w:p w:rsidR="00644456" w:rsidRDefault="00644456">
            <w:pPr>
              <w:jc w:val="center"/>
              <w:outlineLvl w:val="8"/>
              <w:rPr>
                <w:rFonts w:cs="Times New Roman"/>
                <w:color w:val="000000" w:themeColor="text1"/>
                <w:szCs w:val="21"/>
              </w:rPr>
            </w:pPr>
          </w:p>
        </w:tc>
        <w:tc>
          <w:tcPr>
            <w:tcW w:w="1361"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中</w:t>
            </w:r>
            <w:r>
              <w:rPr>
                <w:rFonts w:cs="Times New Roman"/>
                <w:color w:val="000000" w:themeColor="text1"/>
                <w:szCs w:val="21"/>
              </w:rPr>
              <w:t>-</w:t>
            </w:r>
            <w:r>
              <w:rPr>
                <w:rFonts w:cs="Times New Roman"/>
                <w:color w:val="000000" w:themeColor="text1"/>
                <w:szCs w:val="21"/>
              </w:rPr>
              <w:t>强</w:t>
            </w:r>
          </w:p>
        </w:tc>
        <w:tc>
          <w:tcPr>
            <w:tcW w:w="1058"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难</w:t>
            </w:r>
          </w:p>
        </w:tc>
        <w:tc>
          <w:tcPr>
            <w:tcW w:w="1513" w:type="dxa"/>
            <w:vMerge/>
            <w:vAlign w:val="center"/>
          </w:tcPr>
          <w:p w:rsidR="00644456" w:rsidRDefault="00644456">
            <w:pPr>
              <w:jc w:val="center"/>
              <w:outlineLvl w:val="8"/>
              <w:rPr>
                <w:rFonts w:cs="Times New Roman"/>
                <w:color w:val="000000" w:themeColor="text1"/>
                <w:szCs w:val="21"/>
              </w:rPr>
            </w:pPr>
          </w:p>
        </w:tc>
        <w:tc>
          <w:tcPr>
            <w:tcW w:w="3714" w:type="dxa"/>
            <w:vMerge/>
            <w:vAlign w:val="center"/>
          </w:tcPr>
          <w:p w:rsidR="00644456" w:rsidRDefault="00644456">
            <w:pPr>
              <w:jc w:val="center"/>
              <w:outlineLvl w:val="8"/>
              <w:rPr>
                <w:rFonts w:cs="Times New Roman"/>
                <w:color w:val="000000" w:themeColor="text1"/>
                <w:szCs w:val="21"/>
              </w:rPr>
            </w:pPr>
          </w:p>
        </w:tc>
      </w:tr>
      <w:tr w:rsidR="00644456">
        <w:trPr>
          <w:trHeight w:val="440"/>
          <w:jc w:val="center"/>
        </w:trPr>
        <w:tc>
          <w:tcPr>
            <w:tcW w:w="1204" w:type="dxa"/>
            <w:vMerge/>
            <w:vAlign w:val="center"/>
          </w:tcPr>
          <w:p w:rsidR="00644456" w:rsidRDefault="00644456">
            <w:pPr>
              <w:jc w:val="center"/>
              <w:outlineLvl w:val="8"/>
              <w:rPr>
                <w:rFonts w:cs="Times New Roman"/>
                <w:color w:val="000000" w:themeColor="text1"/>
                <w:szCs w:val="21"/>
              </w:rPr>
            </w:pPr>
          </w:p>
        </w:tc>
        <w:tc>
          <w:tcPr>
            <w:tcW w:w="1361"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弱</w:t>
            </w:r>
          </w:p>
        </w:tc>
        <w:tc>
          <w:tcPr>
            <w:tcW w:w="1058"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易</w:t>
            </w:r>
          </w:p>
        </w:tc>
        <w:tc>
          <w:tcPr>
            <w:tcW w:w="1513" w:type="dxa"/>
            <w:vMerge/>
            <w:vAlign w:val="center"/>
          </w:tcPr>
          <w:p w:rsidR="00644456" w:rsidRDefault="00644456">
            <w:pPr>
              <w:jc w:val="center"/>
              <w:outlineLvl w:val="8"/>
              <w:rPr>
                <w:rFonts w:cs="Times New Roman"/>
                <w:color w:val="000000" w:themeColor="text1"/>
                <w:szCs w:val="21"/>
              </w:rPr>
            </w:pPr>
          </w:p>
        </w:tc>
        <w:tc>
          <w:tcPr>
            <w:tcW w:w="3714" w:type="dxa"/>
            <w:vMerge/>
            <w:vAlign w:val="center"/>
          </w:tcPr>
          <w:p w:rsidR="00644456" w:rsidRDefault="00644456">
            <w:pPr>
              <w:jc w:val="center"/>
              <w:outlineLvl w:val="8"/>
              <w:rPr>
                <w:rFonts w:cs="Times New Roman"/>
                <w:color w:val="000000" w:themeColor="text1"/>
                <w:szCs w:val="21"/>
              </w:rPr>
            </w:pPr>
          </w:p>
        </w:tc>
      </w:tr>
      <w:tr w:rsidR="00644456">
        <w:trPr>
          <w:trHeight w:val="263"/>
          <w:jc w:val="center"/>
        </w:trPr>
        <w:tc>
          <w:tcPr>
            <w:tcW w:w="1204" w:type="dxa"/>
            <w:vMerge w:val="restart"/>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一般防渗区</w:t>
            </w:r>
          </w:p>
        </w:tc>
        <w:tc>
          <w:tcPr>
            <w:tcW w:w="1361"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弱</w:t>
            </w:r>
          </w:p>
        </w:tc>
        <w:tc>
          <w:tcPr>
            <w:tcW w:w="1058"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易</w:t>
            </w:r>
            <w:r>
              <w:rPr>
                <w:rFonts w:cs="Times New Roman"/>
                <w:color w:val="000000" w:themeColor="text1"/>
                <w:szCs w:val="21"/>
              </w:rPr>
              <w:t>-</w:t>
            </w:r>
            <w:r>
              <w:rPr>
                <w:rFonts w:cs="Times New Roman"/>
                <w:color w:val="000000" w:themeColor="text1"/>
                <w:szCs w:val="21"/>
              </w:rPr>
              <w:t>难</w:t>
            </w:r>
          </w:p>
        </w:tc>
        <w:tc>
          <w:tcPr>
            <w:tcW w:w="1513" w:type="dxa"/>
            <w:vMerge w:val="restart"/>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其他类型</w:t>
            </w:r>
          </w:p>
        </w:tc>
        <w:tc>
          <w:tcPr>
            <w:tcW w:w="3714" w:type="dxa"/>
            <w:vMerge w:val="restart"/>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等效粘土防渗层</w:t>
            </w:r>
            <w:r>
              <w:rPr>
                <w:rFonts w:cs="Times New Roman"/>
                <w:color w:val="000000" w:themeColor="text1"/>
                <w:szCs w:val="21"/>
              </w:rPr>
              <w:t>Mb≥1.5m</w:t>
            </w:r>
            <w:r>
              <w:rPr>
                <w:rFonts w:cs="Times New Roman"/>
                <w:color w:val="000000" w:themeColor="text1"/>
                <w:szCs w:val="21"/>
              </w:rPr>
              <w:t>，</w:t>
            </w:r>
            <w:r>
              <w:rPr>
                <w:rFonts w:cs="Times New Roman"/>
                <w:color w:val="000000" w:themeColor="text1"/>
                <w:szCs w:val="21"/>
              </w:rPr>
              <w:t>K≤1×10-7cm/s</w:t>
            </w:r>
            <w:r>
              <w:rPr>
                <w:rFonts w:cs="Times New Roman"/>
                <w:color w:val="000000" w:themeColor="text1"/>
                <w:szCs w:val="21"/>
              </w:rPr>
              <w:t>；或参照</w:t>
            </w:r>
            <w:r>
              <w:rPr>
                <w:rFonts w:cs="Times New Roman"/>
                <w:color w:val="000000" w:themeColor="text1"/>
                <w:szCs w:val="21"/>
              </w:rPr>
              <w:t>GB18598</w:t>
            </w:r>
            <w:r>
              <w:rPr>
                <w:rFonts w:cs="Times New Roman"/>
                <w:color w:val="000000" w:themeColor="text1"/>
                <w:szCs w:val="21"/>
              </w:rPr>
              <w:t>执行</w:t>
            </w:r>
          </w:p>
        </w:tc>
      </w:tr>
      <w:tr w:rsidR="00644456">
        <w:trPr>
          <w:trHeight w:val="263"/>
          <w:jc w:val="center"/>
        </w:trPr>
        <w:tc>
          <w:tcPr>
            <w:tcW w:w="1204" w:type="dxa"/>
            <w:vMerge/>
            <w:vAlign w:val="center"/>
          </w:tcPr>
          <w:p w:rsidR="00644456" w:rsidRDefault="00644456">
            <w:pPr>
              <w:jc w:val="center"/>
              <w:outlineLvl w:val="8"/>
              <w:rPr>
                <w:rFonts w:cs="Times New Roman"/>
                <w:color w:val="000000" w:themeColor="text1"/>
                <w:szCs w:val="21"/>
              </w:rPr>
            </w:pPr>
          </w:p>
        </w:tc>
        <w:tc>
          <w:tcPr>
            <w:tcW w:w="1361"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中</w:t>
            </w:r>
            <w:r>
              <w:rPr>
                <w:rFonts w:cs="Times New Roman"/>
                <w:color w:val="000000" w:themeColor="text1"/>
                <w:szCs w:val="21"/>
              </w:rPr>
              <w:t>-</w:t>
            </w:r>
            <w:r>
              <w:rPr>
                <w:rFonts w:cs="Times New Roman"/>
                <w:color w:val="000000" w:themeColor="text1"/>
                <w:szCs w:val="21"/>
              </w:rPr>
              <w:t>强</w:t>
            </w:r>
          </w:p>
        </w:tc>
        <w:tc>
          <w:tcPr>
            <w:tcW w:w="1058"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难</w:t>
            </w:r>
          </w:p>
        </w:tc>
        <w:tc>
          <w:tcPr>
            <w:tcW w:w="1513" w:type="dxa"/>
            <w:vMerge/>
            <w:vAlign w:val="center"/>
          </w:tcPr>
          <w:p w:rsidR="00644456" w:rsidRDefault="00644456">
            <w:pPr>
              <w:jc w:val="center"/>
              <w:outlineLvl w:val="8"/>
              <w:rPr>
                <w:rFonts w:cs="Times New Roman"/>
                <w:color w:val="000000" w:themeColor="text1"/>
                <w:szCs w:val="21"/>
              </w:rPr>
            </w:pPr>
          </w:p>
        </w:tc>
        <w:tc>
          <w:tcPr>
            <w:tcW w:w="3714" w:type="dxa"/>
            <w:vMerge/>
            <w:vAlign w:val="center"/>
          </w:tcPr>
          <w:p w:rsidR="00644456" w:rsidRDefault="00644456">
            <w:pPr>
              <w:jc w:val="center"/>
              <w:outlineLvl w:val="8"/>
              <w:rPr>
                <w:rFonts w:cs="Times New Roman"/>
                <w:color w:val="000000" w:themeColor="text1"/>
                <w:szCs w:val="21"/>
              </w:rPr>
            </w:pPr>
          </w:p>
        </w:tc>
      </w:tr>
      <w:tr w:rsidR="00644456">
        <w:trPr>
          <w:trHeight w:val="278"/>
          <w:jc w:val="center"/>
        </w:trPr>
        <w:tc>
          <w:tcPr>
            <w:tcW w:w="1204" w:type="dxa"/>
            <w:vMerge/>
            <w:vAlign w:val="center"/>
          </w:tcPr>
          <w:p w:rsidR="00644456" w:rsidRDefault="00644456">
            <w:pPr>
              <w:jc w:val="center"/>
              <w:outlineLvl w:val="8"/>
              <w:rPr>
                <w:rFonts w:cs="Times New Roman"/>
                <w:color w:val="000000" w:themeColor="text1"/>
                <w:szCs w:val="21"/>
              </w:rPr>
            </w:pPr>
          </w:p>
        </w:tc>
        <w:tc>
          <w:tcPr>
            <w:tcW w:w="1361"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中</w:t>
            </w:r>
          </w:p>
        </w:tc>
        <w:tc>
          <w:tcPr>
            <w:tcW w:w="1058"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易</w:t>
            </w:r>
          </w:p>
        </w:tc>
        <w:tc>
          <w:tcPr>
            <w:tcW w:w="1513" w:type="dxa"/>
            <w:vMerge w:val="restart"/>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重金属、持久性有机污染物</w:t>
            </w:r>
          </w:p>
        </w:tc>
        <w:tc>
          <w:tcPr>
            <w:tcW w:w="3714" w:type="dxa"/>
            <w:vMerge/>
            <w:vAlign w:val="center"/>
          </w:tcPr>
          <w:p w:rsidR="00644456" w:rsidRDefault="00644456">
            <w:pPr>
              <w:jc w:val="center"/>
              <w:outlineLvl w:val="8"/>
              <w:rPr>
                <w:rFonts w:cs="Times New Roman"/>
                <w:color w:val="000000" w:themeColor="text1"/>
                <w:szCs w:val="21"/>
              </w:rPr>
            </w:pPr>
          </w:p>
        </w:tc>
      </w:tr>
      <w:tr w:rsidR="00644456">
        <w:trPr>
          <w:trHeight w:val="541"/>
          <w:jc w:val="center"/>
        </w:trPr>
        <w:tc>
          <w:tcPr>
            <w:tcW w:w="1204" w:type="dxa"/>
            <w:vMerge/>
            <w:vAlign w:val="center"/>
          </w:tcPr>
          <w:p w:rsidR="00644456" w:rsidRDefault="00644456">
            <w:pPr>
              <w:jc w:val="center"/>
              <w:outlineLvl w:val="8"/>
              <w:rPr>
                <w:rFonts w:cs="Times New Roman"/>
                <w:color w:val="000000" w:themeColor="text1"/>
                <w:szCs w:val="21"/>
              </w:rPr>
            </w:pPr>
          </w:p>
        </w:tc>
        <w:tc>
          <w:tcPr>
            <w:tcW w:w="1361"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强</w:t>
            </w:r>
          </w:p>
        </w:tc>
        <w:tc>
          <w:tcPr>
            <w:tcW w:w="1058"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易</w:t>
            </w:r>
          </w:p>
        </w:tc>
        <w:tc>
          <w:tcPr>
            <w:tcW w:w="1513" w:type="dxa"/>
            <w:vMerge/>
            <w:vAlign w:val="center"/>
          </w:tcPr>
          <w:p w:rsidR="00644456" w:rsidRDefault="00644456">
            <w:pPr>
              <w:jc w:val="center"/>
              <w:outlineLvl w:val="8"/>
              <w:rPr>
                <w:rFonts w:cs="Times New Roman"/>
                <w:color w:val="000000" w:themeColor="text1"/>
                <w:szCs w:val="21"/>
              </w:rPr>
            </w:pPr>
          </w:p>
        </w:tc>
        <w:tc>
          <w:tcPr>
            <w:tcW w:w="3714" w:type="dxa"/>
            <w:vMerge/>
            <w:vAlign w:val="center"/>
          </w:tcPr>
          <w:p w:rsidR="00644456" w:rsidRDefault="00644456">
            <w:pPr>
              <w:jc w:val="center"/>
              <w:outlineLvl w:val="8"/>
              <w:rPr>
                <w:rFonts w:cs="Times New Roman"/>
                <w:color w:val="000000" w:themeColor="text1"/>
                <w:szCs w:val="21"/>
              </w:rPr>
            </w:pPr>
          </w:p>
        </w:tc>
      </w:tr>
      <w:tr w:rsidR="00644456">
        <w:trPr>
          <w:trHeight w:val="527"/>
          <w:jc w:val="center"/>
        </w:trPr>
        <w:tc>
          <w:tcPr>
            <w:tcW w:w="1204"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简单防渗区</w:t>
            </w:r>
          </w:p>
        </w:tc>
        <w:tc>
          <w:tcPr>
            <w:tcW w:w="1361"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中</w:t>
            </w:r>
            <w:r>
              <w:rPr>
                <w:rFonts w:cs="Times New Roman"/>
                <w:color w:val="000000" w:themeColor="text1"/>
                <w:szCs w:val="21"/>
              </w:rPr>
              <w:t>-</w:t>
            </w:r>
            <w:r>
              <w:rPr>
                <w:rFonts w:cs="Times New Roman"/>
                <w:color w:val="000000" w:themeColor="text1"/>
                <w:szCs w:val="21"/>
              </w:rPr>
              <w:t>强</w:t>
            </w:r>
          </w:p>
        </w:tc>
        <w:tc>
          <w:tcPr>
            <w:tcW w:w="1058"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易</w:t>
            </w:r>
          </w:p>
        </w:tc>
        <w:tc>
          <w:tcPr>
            <w:tcW w:w="1513"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其他类型</w:t>
            </w:r>
          </w:p>
        </w:tc>
        <w:tc>
          <w:tcPr>
            <w:tcW w:w="3714"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一般地面硬化</w:t>
            </w:r>
          </w:p>
        </w:tc>
      </w:tr>
    </w:tbl>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5.7-11</w:t>
      </w:r>
      <w:r>
        <w:rPr>
          <w:rFonts w:cs="Times New Roman" w:hint="eastAsia"/>
          <w:b/>
          <w:color w:val="000000" w:themeColor="text1"/>
          <w:sz w:val="24"/>
          <w:szCs w:val="20"/>
        </w:rPr>
        <w:t>地下水污染防渗的划分依据</w:t>
      </w:r>
    </w:p>
    <w:tbl>
      <w:tblPr>
        <w:tblW w:w="871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58"/>
        <w:gridCol w:w="1179"/>
        <w:gridCol w:w="3462"/>
        <w:gridCol w:w="2916"/>
      </w:tblGrid>
      <w:tr w:rsidR="00644456">
        <w:trPr>
          <w:jc w:val="center"/>
        </w:trPr>
        <w:tc>
          <w:tcPr>
            <w:tcW w:w="1158" w:type="dxa"/>
            <w:vAlign w:val="center"/>
          </w:tcPr>
          <w:p w:rsidR="00644456" w:rsidRDefault="008031C4">
            <w:pPr>
              <w:widowControl/>
              <w:jc w:val="center"/>
              <w:rPr>
                <w:rFonts w:cs="Times New Roman"/>
                <w:color w:val="000000" w:themeColor="text1"/>
                <w:szCs w:val="21"/>
              </w:rPr>
            </w:pPr>
            <w:r>
              <w:rPr>
                <w:rFonts w:cs="Times New Roman"/>
                <w:color w:val="000000" w:themeColor="text1"/>
                <w:szCs w:val="21"/>
              </w:rPr>
              <w:t>分区防渗划分依据</w:t>
            </w:r>
          </w:p>
        </w:tc>
        <w:tc>
          <w:tcPr>
            <w:tcW w:w="1179" w:type="dxa"/>
            <w:vAlign w:val="center"/>
          </w:tcPr>
          <w:p w:rsidR="00644456" w:rsidRDefault="008031C4">
            <w:pPr>
              <w:widowControl/>
              <w:jc w:val="center"/>
              <w:rPr>
                <w:rFonts w:cs="Times New Roman"/>
                <w:color w:val="000000" w:themeColor="text1"/>
                <w:szCs w:val="21"/>
              </w:rPr>
            </w:pPr>
            <w:r>
              <w:rPr>
                <w:rFonts w:cs="Times New Roman"/>
                <w:color w:val="000000" w:themeColor="text1"/>
                <w:szCs w:val="21"/>
              </w:rPr>
              <w:t>分级</w:t>
            </w:r>
          </w:p>
        </w:tc>
        <w:tc>
          <w:tcPr>
            <w:tcW w:w="3462" w:type="dxa"/>
            <w:vAlign w:val="center"/>
          </w:tcPr>
          <w:p w:rsidR="00644456" w:rsidRDefault="008031C4">
            <w:pPr>
              <w:widowControl/>
              <w:jc w:val="center"/>
              <w:rPr>
                <w:rFonts w:cs="Times New Roman"/>
                <w:color w:val="000000" w:themeColor="text1"/>
                <w:szCs w:val="21"/>
              </w:rPr>
            </w:pPr>
            <w:r>
              <w:rPr>
                <w:rFonts w:cs="Times New Roman"/>
                <w:color w:val="000000" w:themeColor="text1"/>
                <w:szCs w:val="21"/>
              </w:rPr>
              <w:t>主要特征</w:t>
            </w:r>
          </w:p>
        </w:tc>
        <w:tc>
          <w:tcPr>
            <w:tcW w:w="2916" w:type="dxa"/>
            <w:vAlign w:val="center"/>
          </w:tcPr>
          <w:p w:rsidR="00644456" w:rsidRDefault="008031C4">
            <w:pPr>
              <w:widowControl/>
              <w:jc w:val="center"/>
              <w:rPr>
                <w:rFonts w:cs="Times New Roman"/>
                <w:color w:val="000000" w:themeColor="text1"/>
                <w:szCs w:val="21"/>
              </w:rPr>
            </w:pPr>
            <w:r>
              <w:rPr>
                <w:rFonts w:cs="Times New Roman"/>
                <w:color w:val="000000" w:themeColor="text1"/>
                <w:szCs w:val="21"/>
              </w:rPr>
              <w:t>本建设项目特征</w:t>
            </w:r>
          </w:p>
        </w:tc>
      </w:tr>
      <w:tr w:rsidR="00644456">
        <w:trPr>
          <w:jc w:val="center"/>
        </w:trPr>
        <w:tc>
          <w:tcPr>
            <w:tcW w:w="1158" w:type="dxa"/>
            <w:vMerge w:val="restart"/>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天然包气带的防污性能</w:t>
            </w:r>
          </w:p>
        </w:tc>
        <w:tc>
          <w:tcPr>
            <w:tcW w:w="1179"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强</w:t>
            </w:r>
          </w:p>
        </w:tc>
        <w:tc>
          <w:tcPr>
            <w:tcW w:w="3462"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岩（土）层单层厚度</w:t>
            </w:r>
            <w:r>
              <w:rPr>
                <w:rFonts w:cs="Times New Roman"/>
                <w:color w:val="000000" w:themeColor="text1"/>
                <w:szCs w:val="21"/>
              </w:rPr>
              <w:t>Mb≥1.0m</w:t>
            </w:r>
            <w:r>
              <w:rPr>
                <w:rFonts w:cs="Times New Roman"/>
                <w:color w:val="000000" w:themeColor="text1"/>
                <w:szCs w:val="21"/>
              </w:rPr>
              <w:t>，渗透系数</w:t>
            </w:r>
            <w:r>
              <w:rPr>
                <w:rFonts w:cs="Times New Roman"/>
                <w:color w:val="000000" w:themeColor="text1"/>
                <w:szCs w:val="21"/>
              </w:rPr>
              <w:t>K≤1×10</w:t>
            </w:r>
            <w:r>
              <w:rPr>
                <w:rFonts w:cs="Times New Roman"/>
                <w:color w:val="000000" w:themeColor="text1"/>
                <w:szCs w:val="21"/>
                <w:vertAlign w:val="superscript"/>
              </w:rPr>
              <w:t>-6</w:t>
            </w:r>
            <w:r>
              <w:rPr>
                <w:rFonts w:cs="Times New Roman"/>
                <w:color w:val="000000" w:themeColor="text1"/>
                <w:szCs w:val="21"/>
              </w:rPr>
              <w:t>cm/s</w:t>
            </w:r>
            <w:r>
              <w:rPr>
                <w:rFonts w:cs="Times New Roman"/>
                <w:color w:val="000000" w:themeColor="text1"/>
                <w:szCs w:val="21"/>
              </w:rPr>
              <w:t>，且分布连续、稳定</w:t>
            </w:r>
          </w:p>
        </w:tc>
        <w:tc>
          <w:tcPr>
            <w:tcW w:w="2916" w:type="dxa"/>
            <w:vMerge w:val="restart"/>
            <w:vAlign w:val="center"/>
          </w:tcPr>
          <w:p w:rsidR="00644456" w:rsidRDefault="008031C4">
            <w:pPr>
              <w:widowControl/>
              <w:rPr>
                <w:rFonts w:cs="Times New Roman"/>
                <w:color w:val="000000" w:themeColor="text1"/>
                <w:szCs w:val="21"/>
              </w:rPr>
            </w:pPr>
            <w:r>
              <w:rPr>
                <w:rFonts w:cs="Times New Roman"/>
                <w:color w:val="000000" w:themeColor="text1"/>
                <w:szCs w:val="21"/>
              </w:rPr>
              <w:t>包气带防污性能为</w:t>
            </w:r>
            <w:r>
              <w:rPr>
                <w:rFonts w:cs="Times New Roman"/>
                <w:color w:val="000000" w:themeColor="text1"/>
                <w:szCs w:val="21"/>
              </w:rPr>
              <w:t>“</w:t>
            </w:r>
            <w:r>
              <w:rPr>
                <w:rFonts w:cs="Times New Roman"/>
                <w:color w:val="000000" w:themeColor="text1"/>
                <w:szCs w:val="21"/>
              </w:rPr>
              <w:t>中</w:t>
            </w:r>
            <w:r>
              <w:rPr>
                <w:rFonts w:cs="Times New Roman"/>
                <w:color w:val="000000" w:themeColor="text1"/>
                <w:szCs w:val="21"/>
              </w:rPr>
              <w:t>”</w:t>
            </w:r>
            <w:r>
              <w:rPr>
                <w:rFonts w:cs="Times New Roman"/>
                <w:color w:val="000000" w:themeColor="text1"/>
                <w:szCs w:val="21"/>
              </w:rPr>
              <w:t>。</w:t>
            </w:r>
          </w:p>
        </w:tc>
      </w:tr>
      <w:tr w:rsidR="00644456">
        <w:trPr>
          <w:jc w:val="center"/>
        </w:trPr>
        <w:tc>
          <w:tcPr>
            <w:tcW w:w="1158" w:type="dxa"/>
            <w:vMerge/>
            <w:vAlign w:val="center"/>
          </w:tcPr>
          <w:p w:rsidR="00644456" w:rsidRDefault="00644456">
            <w:pPr>
              <w:jc w:val="center"/>
              <w:outlineLvl w:val="8"/>
              <w:rPr>
                <w:rFonts w:cs="Times New Roman"/>
                <w:color w:val="000000" w:themeColor="text1"/>
                <w:szCs w:val="21"/>
              </w:rPr>
            </w:pPr>
          </w:p>
        </w:tc>
        <w:tc>
          <w:tcPr>
            <w:tcW w:w="1179"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中</w:t>
            </w:r>
          </w:p>
        </w:tc>
        <w:tc>
          <w:tcPr>
            <w:tcW w:w="3462" w:type="dxa"/>
            <w:vAlign w:val="center"/>
          </w:tcPr>
          <w:p w:rsidR="00644456" w:rsidRDefault="008031C4">
            <w:pPr>
              <w:jc w:val="center"/>
              <w:outlineLvl w:val="8"/>
              <w:rPr>
                <w:rFonts w:cs="Times New Roman"/>
                <w:color w:val="000000" w:themeColor="text1"/>
                <w:szCs w:val="21"/>
              </w:rPr>
            </w:pPr>
            <w:r>
              <w:rPr>
                <w:rFonts w:cs="Times New Roman"/>
                <w:color w:val="000000" w:themeColor="text1"/>
                <w:szCs w:val="21"/>
              </w:rPr>
              <w:t>岩（土）层单层厚度</w:t>
            </w:r>
            <w:r>
              <w:rPr>
                <w:rFonts w:cs="Times New Roman"/>
                <w:color w:val="000000" w:themeColor="text1"/>
                <w:szCs w:val="21"/>
              </w:rPr>
              <w:t>0.5m≤Mb</w:t>
            </w:r>
            <w:r>
              <w:rPr>
                <w:rFonts w:cs="Times New Roman"/>
                <w:color w:val="000000" w:themeColor="text1"/>
                <w:szCs w:val="21"/>
              </w:rPr>
              <w:t>＜</w:t>
            </w:r>
            <w:r>
              <w:rPr>
                <w:rFonts w:cs="Times New Roman"/>
                <w:color w:val="000000" w:themeColor="text1"/>
                <w:szCs w:val="21"/>
              </w:rPr>
              <w:t>1m</w:t>
            </w:r>
            <w:r>
              <w:rPr>
                <w:rFonts w:cs="Times New Roman"/>
                <w:color w:val="000000" w:themeColor="text1"/>
                <w:szCs w:val="21"/>
              </w:rPr>
              <w:t>，渗透系数</w:t>
            </w:r>
            <w:r>
              <w:rPr>
                <w:rFonts w:cs="Times New Roman"/>
                <w:color w:val="000000" w:themeColor="text1"/>
                <w:szCs w:val="21"/>
              </w:rPr>
              <w:t>K≤1×10</w:t>
            </w:r>
            <w:r>
              <w:rPr>
                <w:rFonts w:cs="Times New Roman"/>
                <w:color w:val="000000" w:themeColor="text1"/>
                <w:szCs w:val="21"/>
                <w:vertAlign w:val="superscript"/>
              </w:rPr>
              <w:t>-6</w:t>
            </w:r>
            <w:r>
              <w:rPr>
                <w:rFonts w:cs="Times New Roman"/>
                <w:color w:val="000000" w:themeColor="text1"/>
                <w:szCs w:val="21"/>
              </w:rPr>
              <w:t>cm/s</w:t>
            </w:r>
            <w:r>
              <w:rPr>
                <w:rFonts w:cs="Times New Roman"/>
                <w:color w:val="000000" w:themeColor="text1"/>
                <w:szCs w:val="21"/>
              </w:rPr>
              <w:t>，且分布连续、稳定；或岩（土）层单层厚度</w:t>
            </w:r>
            <w:r>
              <w:rPr>
                <w:rFonts w:cs="Times New Roman"/>
                <w:color w:val="000000" w:themeColor="text1"/>
                <w:szCs w:val="21"/>
              </w:rPr>
              <w:t>Mb≥1.0m</w:t>
            </w:r>
            <w:r>
              <w:rPr>
                <w:rFonts w:cs="Times New Roman"/>
                <w:color w:val="000000" w:themeColor="text1"/>
                <w:szCs w:val="21"/>
              </w:rPr>
              <w:t>，渗透系数</w:t>
            </w:r>
            <w:r>
              <w:rPr>
                <w:rFonts w:cs="Times New Roman"/>
                <w:color w:val="000000" w:themeColor="text1"/>
                <w:szCs w:val="21"/>
              </w:rPr>
              <w:t>1×10</w:t>
            </w:r>
            <w:r>
              <w:rPr>
                <w:rFonts w:cs="Times New Roman"/>
                <w:color w:val="000000" w:themeColor="text1"/>
                <w:szCs w:val="21"/>
                <w:vertAlign w:val="superscript"/>
              </w:rPr>
              <w:t>-6</w:t>
            </w:r>
            <w:r>
              <w:rPr>
                <w:rFonts w:cs="Times New Roman"/>
                <w:color w:val="000000" w:themeColor="text1"/>
                <w:szCs w:val="21"/>
              </w:rPr>
              <w:t>cm/s</w:t>
            </w:r>
            <w:r>
              <w:rPr>
                <w:rFonts w:cs="Times New Roman"/>
                <w:color w:val="000000" w:themeColor="text1"/>
                <w:szCs w:val="21"/>
              </w:rPr>
              <w:t>＜</w:t>
            </w:r>
            <w:r>
              <w:rPr>
                <w:rFonts w:cs="Times New Roman"/>
                <w:color w:val="000000" w:themeColor="text1"/>
                <w:szCs w:val="21"/>
              </w:rPr>
              <w:t>K≤1×10</w:t>
            </w:r>
            <w:r>
              <w:rPr>
                <w:rFonts w:cs="Times New Roman"/>
                <w:color w:val="000000" w:themeColor="text1"/>
                <w:szCs w:val="21"/>
                <w:vertAlign w:val="superscript"/>
              </w:rPr>
              <w:t>-4</w:t>
            </w:r>
            <w:r>
              <w:rPr>
                <w:rFonts w:cs="Times New Roman"/>
                <w:color w:val="000000" w:themeColor="text1"/>
                <w:szCs w:val="21"/>
              </w:rPr>
              <w:t>cm/s</w:t>
            </w:r>
            <w:r>
              <w:rPr>
                <w:rFonts w:cs="Times New Roman"/>
                <w:color w:val="000000" w:themeColor="text1"/>
                <w:szCs w:val="21"/>
              </w:rPr>
              <w:t>，且分布连续、稳定</w:t>
            </w:r>
          </w:p>
        </w:tc>
        <w:tc>
          <w:tcPr>
            <w:tcW w:w="2916" w:type="dxa"/>
            <w:vMerge/>
            <w:vAlign w:val="center"/>
          </w:tcPr>
          <w:p w:rsidR="00644456" w:rsidRDefault="00644456">
            <w:pPr>
              <w:widowControl/>
              <w:jc w:val="center"/>
              <w:rPr>
                <w:rFonts w:cs="Times New Roman"/>
                <w:color w:val="000000" w:themeColor="text1"/>
                <w:szCs w:val="21"/>
              </w:rPr>
            </w:pPr>
          </w:p>
        </w:tc>
      </w:tr>
      <w:tr w:rsidR="00644456">
        <w:trPr>
          <w:jc w:val="center"/>
        </w:trPr>
        <w:tc>
          <w:tcPr>
            <w:tcW w:w="1158" w:type="dxa"/>
            <w:vMerge/>
            <w:vAlign w:val="center"/>
          </w:tcPr>
          <w:p w:rsidR="00644456" w:rsidRDefault="00644456">
            <w:pPr>
              <w:widowControl/>
              <w:jc w:val="center"/>
              <w:rPr>
                <w:rFonts w:cs="Times New Roman"/>
                <w:color w:val="000000" w:themeColor="text1"/>
                <w:szCs w:val="21"/>
              </w:rPr>
            </w:pPr>
          </w:p>
        </w:tc>
        <w:tc>
          <w:tcPr>
            <w:tcW w:w="1179" w:type="dxa"/>
            <w:vAlign w:val="center"/>
          </w:tcPr>
          <w:p w:rsidR="00644456" w:rsidRDefault="008031C4">
            <w:pPr>
              <w:widowControl/>
              <w:jc w:val="center"/>
              <w:rPr>
                <w:rFonts w:cs="Times New Roman"/>
                <w:color w:val="000000" w:themeColor="text1"/>
                <w:szCs w:val="21"/>
              </w:rPr>
            </w:pPr>
            <w:r>
              <w:rPr>
                <w:rFonts w:cs="Times New Roman"/>
                <w:color w:val="000000" w:themeColor="text1"/>
                <w:szCs w:val="21"/>
              </w:rPr>
              <w:t>弱</w:t>
            </w:r>
          </w:p>
        </w:tc>
        <w:tc>
          <w:tcPr>
            <w:tcW w:w="3462" w:type="dxa"/>
            <w:vAlign w:val="center"/>
          </w:tcPr>
          <w:p w:rsidR="00644456" w:rsidRDefault="008031C4">
            <w:pPr>
              <w:widowControl/>
              <w:jc w:val="center"/>
              <w:rPr>
                <w:rFonts w:cs="Times New Roman"/>
                <w:color w:val="000000" w:themeColor="text1"/>
                <w:szCs w:val="21"/>
              </w:rPr>
            </w:pPr>
            <w:r>
              <w:rPr>
                <w:rFonts w:cs="Times New Roman"/>
                <w:color w:val="000000" w:themeColor="text1"/>
                <w:szCs w:val="21"/>
              </w:rPr>
              <w:t>岩（土）层不</w:t>
            </w:r>
            <w:r>
              <w:rPr>
                <w:rFonts w:ascii="宋体" w:hAnsi="宋体" w:cs="Times New Roman"/>
                <w:color w:val="000000" w:themeColor="text1"/>
                <w:szCs w:val="21"/>
              </w:rPr>
              <w:t>满足上述“强”和“中”条</w:t>
            </w:r>
            <w:r>
              <w:rPr>
                <w:rFonts w:cs="Times New Roman"/>
                <w:color w:val="000000" w:themeColor="text1"/>
                <w:szCs w:val="21"/>
              </w:rPr>
              <w:t>件</w:t>
            </w:r>
          </w:p>
        </w:tc>
        <w:tc>
          <w:tcPr>
            <w:tcW w:w="2916" w:type="dxa"/>
            <w:vMerge/>
            <w:vAlign w:val="center"/>
          </w:tcPr>
          <w:p w:rsidR="00644456" w:rsidRDefault="00644456">
            <w:pPr>
              <w:widowControl/>
              <w:jc w:val="center"/>
              <w:rPr>
                <w:rFonts w:cs="Times New Roman"/>
                <w:color w:val="000000" w:themeColor="text1"/>
                <w:szCs w:val="21"/>
              </w:rPr>
            </w:pPr>
          </w:p>
        </w:tc>
      </w:tr>
      <w:tr w:rsidR="00644456">
        <w:trPr>
          <w:jc w:val="center"/>
        </w:trPr>
        <w:tc>
          <w:tcPr>
            <w:tcW w:w="1158" w:type="dxa"/>
            <w:vMerge w:val="restart"/>
            <w:vAlign w:val="center"/>
          </w:tcPr>
          <w:p w:rsidR="00644456" w:rsidRDefault="008031C4">
            <w:pPr>
              <w:widowControl/>
              <w:jc w:val="center"/>
              <w:rPr>
                <w:rFonts w:cs="Times New Roman"/>
                <w:color w:val="000000" w:themeColor="text1"/>
                <w:szCs w:val="21"/>
              </w:rPr>
            </w:pPr>
            <w:r>
              <w:rPr>
                <w:rFonts w:cs="Times New Roman"/>
                <w:color w:val="000000" w:themeColor="text1"/>
                <w:szCs w:val="21"/>
              </w:rPr>
              <w:t>污染控制难易程度</w:t>
            </w:r>
          </w:p>
        </w:tc>
        <w:tc>
          <w:tcPr>
            <w:tcW w:w="1179" w:type="dxa"/>
            <w:vAlign w:val="center"/>
          </w:tcPr>
          <w:p w:rsidR="00644456" w:rsidRDefault="008031C4">
            <w:pPr>
              <w:widowControl/>
              <w:jc w:val="center"/>
              <w:rPr>
                <w:rFonts w:cs="Times New Roman"/>
                <w:color w:val="000000" w:themeColor="text1"/>
                <w:szCs w:val="21"/>
              </w:rPr>
            </w:pPr>
            <w:r>
              <w:rPr>
                <w:rFonts w:cs="Times New Roman"/>
                <w:color w:val="000000" w:themeColor="text1"/>
                <w:szCs w:val="21"/>
              </w:rPr>
              <w:t>难</w:t>
            </w:r>
          </w:p>
        </w:tc>
        <w:tc>
          <w:tcPr>
            <w:tcW w:w="3462" w:type="dxa"/>
            <w:vAlign w:val="center"/>
          </w:tcPr>
          <w:p w:rsidR="00644456" w:rsidRDefault="008031C4">
            <w:pPr>
              <w:widowControl/>
              <w:jc w:val="center"/>
              <w:rPr>
                <w:rFonts w:cs="Times New Roman"/>
                <w:color w:val="000000" w:themeColor="text1"/>
                <w:szCs w:val="21"/>
              </w:rPr>
            </w:pPr>
            <w:r>
              <w:rPr>
                <w:rFonts w:cs="Times New Roman"/>
                <w:color w:val="000000" w:themeColor="text1"/>
                <w:szCs w:val="21"/>
              </w:rPr>
              <w:t>对地下水环境有污染的物料或污染物泄漏后不能及时发现和处理</w:t>
            </w:r>
          </w:p>
        </w:tc>
        <w:tc>
          <w:tcPr>
            <w:tcW w:w="2916" w:type="dxa"/>
            <w:vMerge w:val="restart"/>
            <w:vAlign w:val="center"/>
          </w:tcPr>
          <w:p w:rsidR="00644456" w:rsidRDefault="008031C4">
            <w:pPr>
              <w:widowControl/>
              <w:jc w:val="center"/>
              <w:rPr>
                <w:rFonts w:cs="Times New Roman"/>
                <w:color w:val="000000" w:themeColor="text1"/>
                <w:szCs w:val="21"/>
              </w:rPr>
            </w:pPr>
            <w:r>
              <w:rPr>
                <w:rFonts w:cs="Times New Roman"/>
                <w:color w:val="000000" w:themeColor="text1"/>
                <w:szCs w:val="21"/>
              </w:rPr>
              <w:t>建设项目生产车间等地面工程等，污染控制较易；各管线等半地下工程，较为隐蔽，污染控制较难。</w:t>
            </w:r>
          </w:p>
        </w:tc>
      </w:tr>
      <w:tr w:rsidR="00644456">
        <w:trPr>
          <w:jc w:val="center"/>
        </w:trPr>
        <w:tc>
          <w:tcPr>
            <w:tcW w:w="1158" w:type="dxa"/>
            <w:vMerge/>
            <w:vAlign w:val="center"/>
          </w:tcPr>
          <w:p w:rsidR="00644456" w:rsidRDefault="00644456">
            <w:pPr>
              <w:widowControl/>
              <w:jc w:val="center"/>
              <w:rPr>
                <w:rFonts w:cs="Times New Roman"/>
                <w:color w:val="000000" w:themeColor="text1"/>
                <w:szCs w:val="21"/>
              </w:rPr>
            </w:pPr>
          </w:p>
        </w:tc>
        <w:tc>
          <w:tcPr>
            <w:tcW w:w="1179" w:type="dxa"/>
            <w:vAlign w:val="center"/>
          </w:tcPr>
          <w:p w:rsidR="00644456" w:rsidRDefault="008031C4">
            <w:pPr>
              <w:widowControl/>
              <w:jc w:val="center"/>
              <w:rPr>
                <w:rFonts w:cs="Times New Roman"/>
                <w:color w:val="000000" w:themeColor="text1"/>
                <w:szCs w:val="21"/>
              </w:rPr>
            </w:pPr>
            <w:r>
              <w:rPr>
                <w:rFonts w:cs="Times New Roman"/>
                <w:color w:val="000000" w:themeColor="text1"/>
                <w:szCs w:val="21"/>
              </w:rPr>
              <w:t>易</w:t>
            </w:r>
          </w:p>
        </w:tc>
        <w:tc>
          <w:tcPr>
            <w:tcW w:w="3462" w:type="dxa"/>
            <w:vAlign w:val="center"/>
          </w:tcPr>
          <w:p w:rsidR="00644456" w:rsidRDefault="008031C4">
            <w:pPr>
              <w:widowControl/>
              <w:jc w:val="center"/>
              <w:rPr>
                <w:rFonts w:cs="Times New Roman"/>
                <w:color w:val="000000" w:themeColor="text1"/>
                <w:szCs w:val="21"/>
              </w:rPr>
            </w:pPr>
            <w:r>
              <w:rPr>
                <w:rFonts w:cs="Times New Roman"/>
                <w:color w:val="000000" w:themeColor="text1"/>
                <w:szCs w:val="21"/>
              </w:rPr>
              <w:t>对地下水环境有污染的物料或污染物泄漏后可及时发现和处理</w:t>
            </w:r>
          </w:p>
        </w:tc>
        <w:tc>
          <w:tcPr>
            <w:tcW w:w="2916" w:type="dxa"/>
            <w:vMerge/>
            <w:vAlign w:val="center"/>
          </w:tcPr>
          <w:p w:rsidR="00644456" w:rsidRDefault="00644456">
            <w:pPr>
              <w:widowControl/>
              <w:jc w:val="center"/>
              <w:rPr>
                <w:rFonts w:cs="Times New Roman"/>
                <w:color w:val="000000" w:themeColor="text1"/>
                <w:szCs w:val="21"/>
              </w:rPr>
            </w:pPr>
          </w:p>
        </w:tc>
      </w:tr>
      <w:tr w:rsidR="00644456">
        <w:trPr>
          <w:jc w:val="center"/>
        </w:trPr>
        <w:tc>
          <w:tcPr>
            <w:tcW w:w="1158" w:type="dxa"/>
            <w:vMerge w:val="restart"/>
            <w:vAlign w:val="center"/>
          </w:tcPr>
          <w:p w:rsidR="00644456" w:rsidRDefault="008031C4">
            <w:pPr>
              <w:widowControl/>
              <w:jc w:val="center"/>
              <w:rPr>
                <w:rFonts w:cs="Times New Roman"/>
                <w:color w:val="000000" w:themeColor="text1"/>
                <w:szCs w:val="21"/>
              </w:rPr>
            </w:pPr>
            <w:r>
              <w:rPr>
                <w:rFonts w:cs="Times New Roman"/>
                <w:color w:val="000000" w:themeColor="text1"/>
                <w:szCs w:val="21"/>
              </w:rPr>
              <w:t>污染物类型</w:t>
            </w:r>
          </w:p>
        </w:tc>
        <w:tc>
          <w:tcPr>
            <w:tcW w:w="1179" w:type="dxa"/>
            <w:vAlign w:val="center"/>
          </w:tcPr>
          <w:p w:rsidR="00644456" w:rsidRDefault="008031C4">
            <w:pPr>
              <w:widowControl/>
              <w:jc w:val="center"/>
              <w:rPr>
                <w:rFonts w:cs="Times New Roman"/>
                <w:color w:val="000000" w:themeColor="text1"/>
                <w:szCs w:val="21"/>
              </w:rPr>
            </w:pPr>
            <w:r>
              <w:rPr>
                <w:rFonts w:cs="Times New Roman"/>
                <w:color w:val="000000" w:themeColor="text1"/>
                <w:szCs w:val="21"/>
              </w:rPr>
              <w:t>重金属</w:t>
            </w:r>
          </w:p>
        </w:tc>
        <w:tc>
          <w:tcPr>
            <w:tcW w:w="3462" w:type="dxa"/>
            <w:vAlign w:val="center"/>
          </w:tcPr>
          <w:p w:rsidR="00644456" w:rsidRDefault="008031C4">
            <w:pPr>
              <w:widowControl/>
              <w:jc w:val="center"/>
              <w:rPr>
                <w:rFonts w:cs="Times New Roman"/>
                <w:color w:val="000000" w:themeColor="text1"/>
                <w:szCs w:val="21"/>
              </w:rPr>
            </w:pPr>
            <w:r>
              <w:rPr>
                <w:rFonts w:cs="Times New Roman"/>
                <w:color w:val="000000" w:themeColor="text1"/>
                <w:szCs w:val="21"/>
              </w:rPr>
              <w:t>铬、砷、汞、铅、镉等</w:t>
            </w:r>
          </w:p>
        </w:tc>
        <w:tc>
          <w:tcPr>
            <w:tcW w:w="2916" w:type="dxa"/>
            <w:vMerge w:val="restart"/>
            <w:vAlign w:val="center"/>
          </w:tcPr>
          <w:p w:rsidR="00644456" w:rsidRDefault="008031C4">
            <w:pPr>
              <w:widowControl/>
              <w:jc w:val="center"/>
              <w:rPr>
                <w:rFonts w:cs="Times New Roman"/>
                <w:color w:val="000000" w:themeColor="text1"/>
                <w:szCs w:val="21"/>
              </w:rPr>
            </w:pPr>
            <w:r>
              <w:rPr>
                <w:rFonts w:cs="Times New Roman"/>
                <w:color w:val="000000" w:themeColor="text1"/>
                <w:szCs w:val="21"/>
              </w:rPr>
              <w:t>建设项目各工程污染物见地下水环境影响识别</w:t>
            </w:r>
          </w:p>
        </w:tc>
      </w:tr>
      <w:tr w:rsidR="00644456">
        <w:trPr>
          <w:jc w:val="center"/>
        </w:trPr>
        <w:tc>
          <w:tcPr>
            <w:tcW w:w="1158" w:type="dxa"/>
            <w:vMerge/>
            <w:vAlign w:val="center"/>
          </w:tcPr>
          <w:p w:rsidR="00644456" w:rsidRDefault="00644456">
            <w:pPr>
              <w:widowControl/>
              <w:jc w:val="center"/>
              <w:rPr>
                <w:rFonts w:cs="Times New Roman"/>
                <w:color w:val="000000" w:themeColor="text1"/>
                <w:szCs w:val="21"/>
              </w:rPr>
            </w:pPr>
          </w:p>
        </w:tc>
        <w:tc>
          <w:tcPr>
            <w:tcW w:w="1179" w:type="dxa"/>
            <w:vAlign w:val="center"/>
          </w:tcPr>
          <w:p w:rsidR="00644456" w:rsidRDefault="008031C4">
            <w:pPr>
              <w:widowControl/>
              <w:jc w:val="center"/>
              <w:rPr>
                <w:rFonts w:cs="Times New Roman"/>
                <w:color w:val="000000" w:themeColor="text1"/>
                <w:szCs w:val="21"/>
              </w:rPr>
            </w:pPr>
            <w:r>
              <w:rPr>
                <w:rFonts w:cs="Times New Roman"/>
                <w:color w:val="000000" w:themeColor="text1"/>
                <w:szCs w:val="21"/>
              </w:rPr>
              <w:t>持久性污染物</w:t>
            </w:r>
          </w:p>
        </w:tc>
        <w:tc>
          <w:tcPr>
            <w:tcW w:w="3462" w:type="dxa"/>
            <w:vAlign w:val="center"/>
          </w:tcPr>
          <w:p w:rsidR="00644456" w:rsidRDefault="008031C4">
            <w:pPr>
              <w:widowControl/>
              <w:jc w:val="center"/>
              <w:rPr>
                <w:rFonts w:cs="Times New Roman"/>
                <w:color w:val="000000" w:themeColor="text1"/>
                <w:szCs w:val="21"/>
              </w:rPr>
            </w:pPr>
            <w:r>
              <w:rPr>
                <w:rFonts w:cs="Times New Roman"/>
                <w:color w:val="000000" w:themeColor="text1"/>
                <w:szCs w:val="21"/>
              </w:rPr>
              <w:t>在水中难降解的污染物，如有机污染物。</w:t>
            </w:r>
          </w:p>
        </w:tc>
        <w:tc>
          <w:tcPr>
            <w:tcW w:w="2916" w:type="dxa"/>
            <w:vMerge/>
            <w:vAlign w:val="center"/>
          </w:tcPr>
          <w:p w:rsidR="00644456" w:rsidRDefault="00644456">
            <w:pPr>
              <w:widowControl/>
              <w:jc w:val="center"/>
              <w:rPr>
                <w:rFonts w:cs="Times New Roman"/>
                <w:color w:val="000000" w:themeColor="text1"/>
                <w:szCs w:val="21"/>
              </w:rPr>
            </w:pPr>
          </w:p>
        </w:tc>
      </w:tr>
    </w:tbl>
    <w:p w:rsidR="00644456" w:rsidRDefault="008031C4">
      <w:pPr>
        <w:snapToGrid w:val="0"/>
        <w:spacing w:line="360" w:lineRule="auto"/>
        <w:ind w:firstLineChars="200" w:firstLine="482"/>
        <w:rPr>
          <w:rFonts w:cs="Times New Roman"/>
          <w:b/>
          <w:bCs/>
          <w:color w:val="000000" w:themeColor="text1"/>
          <w:kern w:val="0"/>
          <w:sz w:val="24"/>
          <w:szCs w:val="20"/>
          <w:shd w:val="clear" w:color="auto" w:fill="FFFFFF"/>
        </w:rPr>
      </w:pPr>
      <w:r>
        <w:rPr>
          <w:rFonts w:cs="Times New Roman" w:hint="eastAsia"/>
          <w:b/>
          <w:bCs/>
          <w:color w:val="000000" w:themeColor="text1"/>
          <w:kern w:val="0"/>
          <w:sz w:val="24"/>
          <w:szCs w:val="20"/>
          <w:shd w:val="clear" w:color="auto" w:fill="FFFFFF"/>
        </w:rPr>
        <w:t>3</w:t>
      </w:r>
      <w:r>
        <w:rPr>
          <w:rFonts w:cs="Times New Roman"/>
          <w:b/>
          <w:bCs/>
          <w:color w:val="000000" w:themeColor="text1"/>
          <w:kern w:val="0"/>
          <w:sz w:val="24"/>
          <w:szCs w:val="20"/>
          <w:shd w:val="clear" w:color="auto" w:fill="FFFFFF"/>
        </w:rPr>
        <w:t>、分区防渗</w:t>
      </w:r>
      <w:r>
        <w:rPr>
          <w:rFonts w:cs="Times New Roman" w:hint="eastAsia"/>
          <w:b/>
          <w:bCs/>
          <w:color w:val="000000" w:themeColor="text1"/>
          <w:kern w:val="0"/>
          <w:sz w:val="24"/>
          <w:szCs w:val="20"/>
          <w:shd w:val="clear" w:color="auto" w:fill="FFFFFF"/>
        </w:rPr>
        <w:t>措施</w:t>
      </w:r>
    </w:p>
    <w:p w:rsidR="00644456" w:rsidRDefault="008031C4">
      <w:pPr>
        <w:snapToGrid w:val="0"/>
        <w:spacing w:line="360" w:lineRule="auto"/>
        <w:ind w:firstLine="480"/>
        <w:rPr>
          <w:rFonts w:cs="Times New Roman"/>
          <w:color w:val="000000" w:themeColor="text1"/>
          <w:sz w:val="24"/>
          <w:szCs w:val="24"/>
        </w:rPr>
      </w:pPr>
      <w:r>
        <w:rPr>
          <w:rFonts w:cs="Times New Roman"/>
          <w:b/>
          <w:color w:val="000000" w:themeColor="text1"/>
          <w:sz w:val="24"/>
          <w:szCs w:val="24"/>
        </w:rPr>
        <w:t>本项目厂区内各构筑物采取分区防渗措施。</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5.7</w:t>
      </w:r>
      <w:r>
        <w:rPr>
          <w:rFonts w:cs="Times New Roman" w:hint="eastAsia"/>
          <w:b/>
          <w:color w:val="000000" w:themeColor="text1"/>
          <w:sz w:val="24"/>
          <w:szCs w:val="20"/>
        </w:rPr>
        <w:noBreakHyphen/>
        <w:t>12</w:t>
      </w:r>
      <w:r>
        <w:rPr>
          <w:rFonts w:cs="Times New Roman" w:hint="eastAsia"/>
          <w:b/>
          <w:color w:val="000000" w:themeColor="text1"/>
          <w:sz w:val="24"/>
          <w:szCs w:val="20"/>
        </w:rPr>
        <w:t>本项目地下水污染防渗分区</w:t>
      </w:r>
    </w:p>
    <w:tbl>
      <w:tblPr>
        <w:tblW w:w="9017"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65"/>
        <w:gridCol w:w="6768"/>
        <w:gridCol w:w="784"/>
      </w:tblGrid>
      <w:tr w:rsidR="00644456">
        <w:trPr>
          <w:trHeight w:val="310"/>
          <w:jc w:val="center"/>
        </w:trPr>
        <w:tc>
          <w:tcPr>
            <w:tcW w:w="1465" w:type="dxa"/>
            <w:vAlign w:val="center"/>
          </w:tcPr>
          <w:p w:rsidR="00644456" w:rsidRDefault="008031C4">
            <w:pPr>
              <w:jc w:val="center"/>
              <w:rPr>
                <w:b/>
                <w:snapToGrid w:val="0"/>
                <w:color w:val="000000" w:themeColor="text1"/>
                <w:szCs w:val="21"/>
              </w:rPr>
            </w:pPr>
            <w:bookmarkStart w:id="391" w:name="_Hlk179552316"/>
            <w:r>
              <w:rPr>
                <w:rFonts w:hint="eastAsia"/>
                <w:b/>
                <w:snapToGrid w:val="0"/>
                <w:color w:val="000000" w:themeColor="text1"/>
                <w:szCs w:val="21"/>
              </w:rPr>
              <w:lastRenderedPageBreak/>
              <w:t>区域</w:t>
            </w:r>
          </w:p>
        </w:tc>
        <w:tc>
          <w:tcPr>
            <w:tcW w:w="6768" w:type="dxa"/>
            <w:vAlign w:val="center"/>
          </w:tcPr>
          <w:p w:rsidR="00644456" w:rsidRDefault="008031C4">
            <w:pPr>
              <w:jc w:val="center"/>
              <w:rPr>
                <w:b/>
                <w:snapToGrid w:val="0"/>
                <w:color w:val="000000" w:themeColor="text1"/>
                <w:szCs w:val="21"/>
              </w:rPr>
            </w:pPr>
            <w:r>
              <w:rPr>
                <w:rFonts w:hint="eastAsia"/>
                <w:b/>
                <w:snapToGrid w:val="0"/>
                <w:color w:val="000000" w:themeColor="text1"/>
                <w:szCs w:val="21"/>
              </w:rPr>
              <w:t>防渗措施</w:t>
            </w:r>
          </w:p>
        </w:tc>
        <w:tc>
          <w:tcPr>
            <w:tcW w:w="784" w:type="dxa"/>
            <w:vAlign w:val="center"/>
          </w:tcPr>
          <w:p w:rsidR="00644456" w:rsidRDefault="008031C4">
            <w:pPr>
              <w:jc w:val="center"/>
              <w:rPr>
                <w:b/>
                <w:snapToGrid w:val="0"/>
                <w:color w:val="000000" w:themeColor="text1"/>
                <w:szCs w:val="21"/>
              </w:rPr>
            </w:pPr>
            <w:r>
              <w:rPr>
                <w:rFonts w:hint="eastAsia"/>
                <w:b/>
                <w:snapToGrid w:val="0"/>
                <w:color w:val="000000" w:themeColor="text1"/>
                <w:szCs w:val="21"/>
              </w:rPr>
              <w:t>备注</w:t>
            </w:r>
          </w:p>
        </w:tc>
      </w:tr>
      <w:tr w:rsidR="00644456">
        <w:trPr>
          <w:trHeight w:val="310"/>
          <w:jc w:val="center"/>
        </w:trPr>
        <w:tc>
          <w:tcPr>
            <w:tcW w:w="1465" w:type="dxa"/>
            <w:vAlign w:val="center"/>
          </w:tcPr>
          <w:p w:rsidR="00644456" w:rsidRDefault="008031C4">
            <w:pPr>
              <w:jc w:val="center"/>
              <w:rPr>
                <w:snapToGrid w:val="0"/>
                <w:color w:val="000000" w:themeColor="text1"/>
                <w:szCs w:val="21"/>
              </w:rPr>
            </w:pPr>
            <w:r>
              <w:rPr>
                <w:rFonts w:hint="eastAsia"/>
                <w:snapToGrid w:val="0"/>
                <w:color w:val="000000" w:themeColor="text1"/>
                <w:szCs w:val="21"/>
              </w:rPr>
              <w:t>污水</w:t>
            </w:r>
          </w:p>
          <w:p w:rsidR="00644456" w:rsidRDefault="008031C4">
            <w:pPr>
              <w:jc w:val="center"/>
              <w:rPr>
                <w:snapToGrid w:val="0"/>
                <w:color w:val="000000" w:themeColor="text1"/>
                <w:szCs w:val="21"/>
              </w:rPr>
            </w:pPr>
            <w:r>
              <w:rPr>
                <w:rFonts w:hint="eastAsia"/>
                <w:snapToGrid w:val="0"/>
                <w:color w:val="000000" w:themeColor="text1"/>
                <w:szCs w:val="21"/>
              </w:rPr>
              <w:t>处理站</w:t>
            </w:r>
          </w:p>
        </w:tc>
        <w:tc>
          <w:tcPr>
            <w:tcW w:w="6768" w:type="dxa"/>
            <w:vAlign w:val="center"/>
          </w:tcPr>
          <w:p w:rsidR="00644456" w:rsidRDefault="008031C4">
            <w:pPr>
              <w:jc w:val="center"/>
              <w:rPr>
                <w:snapToGrid w:val="0"/>
                <w:color w:val="000000" w:themeColor="text1"/>
                <w:szCs w:val="21"/>
              </w:rPr>
            </w:pPr>
            <w:r>
              <w:rPr>
                <w:rFonts w:hint="eastAsia"/>
                <w:snapToGrid w:val="0"/>
                <w:color w:val="000000" w:themeColor="text1"/>
                <w:szCs w:val="21"/>
              </w:rPr>
              <w:t>重点防渗：地坪（从下至上）及围堰四周采用</w:t>
            </w:r>
            <w:r>
              <w:rPr>
                <w:bCs/>
                <w:color w:val="000000" w:themeColor="text1"/>
                <w:szCs w:val="21"/>
              </w:rPr>
              <w:t>100mm</w:t>
            </w:r>
            <w:r>
              <w:rPr>
                <w:bCs/>
                <w:color w:val="000000" w:themeColor="text1"/>
                <w:szCs w:val="21"/>
              </w:rPr>
              <w:t>厚</w:t>
            </w:r>
            <w:r>
              <w:rPr>
                <w:bCs/>
                <w:color w:val="000000" w:themeColor="text1"/>
                <w:szCs w:val="21"/>
              </w:rPr>
              <w:t>C10</w:t>
            </w:r>
            <w:r>
              <w:rPr>
                <w:bCs/>
                <w:color w:val="000000" w:themeColor="text1"/>
                <w:szCs w:val="21"/>
              </w:rPr>
              <w:t>混凝土垫层</w:t>
            </w:r>
            <w:r>
              <w:rPr>
                <w:bCs/>
                <w:color w:val="000000" w:themeColor="text1"/>
                <w:szCs w:val="21"/>
              </w:rPr>
              <w:t>+200mm</w:t>
            </w:r>
            <w:r>
              <w:rPr>
                <w:bCs/>
                <w:color w:val="000000" w:themeColor="text1"/>
                <w:szCs w:val="21"/>
              </w:rPr>
              <w:t>厚</w:t>
            </w:r>
            <w:r>
              <w:rPr>
                <w:bCs/>
                <w:color w:val="000000" w:themeColor="text1"/>
                <w:szCs w:val="21"/>
              </w:rPr>
              <w:t>C20</w:t>
            </w:r>
            <w:r>
              <w:rPr>
                <w:bCs/>
                <w:color w:val="000000" w:themeColor="text1"/>
                <w:szCs w:val="21"/>
              </w:rPr>
              <w:t>钢筋混凝土沟底（壁）</w:t>
            </w:r>
            <w:r>
              <w:rPr>
                <w:bCs/>
                <w:color w:val="000000" w:themeColor="text1"/>
                <w:szCs w:val="21"/>
              </w:rPr>
              <w:t>+</w:t>
            </w:r>
            <w:r>
              <w:rPr>
                <w:bCs/>
                <w:color w:val="000000" w:themeColor="text1"/>
                <w:szCs w:val="21"/>
              </w:rPr>
              <w:t>耐腐蚀地砖</w:t>
            </w:r>
            <w:r>
              <w:rPr>
                <w:rFonts w:hint="eastAsia"/>
                <w:color w:val="000000" w:themeColor="text1"/>
                <w:szCs w:val="21"/>
              </w:rPr>
              <w:t>进行防渗防腐处理</w:t>
            </w:r>
            <w:r>
              <w:rPr>
                <w:bCs/>
                <w:color w:val="000000" w:themeColor="text1"/>
                <w:szCs w:val="21"/>
              </w:rPr>
              <w:t>，重点防渗区</w:t>
            </w:r>
            <w:r>
              <w:rPr>
                <w:rFonts w:hint="eastAsia"/>
                <w:bCs/>
                <w:color w:val="000000" w:themeColor="text1"/>
                <w:szCs w:val="21"/>
              </w:rPr>
              <w:t>防渗系数</w:t>
            </w:r>
            <w:r>
              <w:rPr>
                <w:bCs/>
                <w:color w:val="000000" w:themeColor="text1"/>
                <w:szCs w:val="21"/>
              </w:rPr>
              <w:t>k≤1×10</w:t>
            </w:r>
            <w:r>
              <w:rPr>
                <w:bCs/>
                <w:color w:val="000000" w:themeColor="text1"/>
                <w:szCs w:val="21"/>
                <w:vertAlign w:val="superscript"/>
              </w:rPr>
              <w:t>-</w:t>
            </w:r>
            <w:r>
              <w:rPr>
                <w:rFonts w:hint="eastAsia"/>
                <w:bCs/>
                <w:color w:val="000000" w:themeColor="text1"/>
                <w:szCs w:val="21"/>
                <w:vertAlign w:val="superscript"/>
              </w:rPr>
              <w:t>10</w:t>
            </w:r>
            <w:r>
              <w:rPr>
                <w:bCs/>
                <w:color w:val="000000" w:themeColor="text1"/>
                <w:szCs w:val="21"/>
              </w:rPr>
              <w:t>cm/s</w:t>
            </w:r>
            <w:r>
              <w:rPr>
                <w:rFonts w:hint="eastAsia"/>
                <w:bCs/>
                <w:color w:val="000000" w:themeColor="text1"/>
                <w:szCs w:val="21"/>
              </w:rPr>
              <w:t>。</w:t>
            </w:r>
          </w:p>
        </w:tc>
        <w:tc>
          <w:tcPr>
            <w:tcW w:w="784" w:type="dxa"/>
            <w:vAlign w:val="center"/>
          </w:tcPr>
          <w:p w:rsidR="00644456" w:rsidRDefault="008031C4">
            <w:pPr>
              <w:jc w:val="center"/>
              <w:rPr>
                <w:snapToGrid w:val="0"/>
                <w:color w:val="000000" w:themeColor="text1"/>
                <w:szCs w:val="21"/>
              </w:rPr>
            </w:pPr>
            <w:r>
              <w:rPr>
                <w:rFonts w:hint="eastAsia"/>
                <w:color w:val="000000" w:themeColor="text1"/>
                <w:szCs w:val="21"/>
              </w:rPr>
              <w:t>新建</w:t>
            </w:r>
          </w:p>
        </w:tc>
      </w:tr>
      <w:tr w:rsidR="00644456">
        <w:trPr>
          <w:trHeight w:val="310"/>
          <w:jc w:val="center"/>
        </w:trPr>
        <w:tc>
          <w:tcPr>
            <w:tcW w:w="1465" w:type="dxa"/>
            <w:vAlign w:val="center"/>
          </w:tcPr>
          <w:p w:rsidR="00644456" w:rsidRDefault="008031C4">
            <w:pPr>
              <w:jc w:val="center"/>
              <w:rPr>
                <w:snapToGrid w:val="0"/>
                <w:color w:val="000000" w:themeColor="text1"/>
                <w:szCs w:val="21"/>
              </w:rPr>
            </w:pPr>
            <w:r>
              <w:rPr>
                <w:rFonts w:hint="eastAsia"/>
                <w:snapToGrid w:val="0"/>
                <w:color w:val="000000" w:themeColor="text1"/>
                <w:szCs w:val="21"/>
              </w:rPr>
              <w:t>危废暂存间</w:t>
            </w:r>
          </w:p>
        </w:tc>
        <w:tc>
          <w:tcPr>
            <w:tcW w:w="6768" w:type="dxa"/>
            <w:vAlign w:val="center"/>
          </w:tcPr>
          <w:p w:rsidR="00644456" w:rsidRDefault="008031C4">
            <w:pPr>
              <w:jc w:val="center"/>
              <w:rPr>
                <w:snapToGrid w:val="0"/>
                <w:color w:val="000000" w:themeColor="text1"/>
                <w:szCs w:val="21"/>
              </w:rPr>
            </w:pPr>
            <w:r>
              <w:rPr>
                <w:rFonts w:hint="eastAsia"/>
                <w:snapToGrid w:val="0"/>
                <w:color w:val="000000" w:themeColor="text1"/>
                <w:szCs w:val="21"/>
              </w:rPr>
              <w:t>重点防渗：地坪（从下至上）及围堰四周采用</w:t>
            </w:r>
            <w:r>
              <w:rPr>
                <w:bCs/>
                <w:color w:val="000000" w:themeColor="text1"/>
                <w:szCs w:val="21"/>
              </w:rPr>
              <w:t>100mm</w:t>
            </w:r>
            <w:r>
              <w:rPr>
                <w:bCs/>
                <w:color w:val="000000" w:themeColor="text1"/>
                <w:szCs w:val="21"/>
              </w:rPr>
              <w:t>厚</w:t>
            </w:r>
            <w:r>
              <w:rPr>
                <w:bCs/>
                <w:color w:val="000000" w:themeColor="text1"/>
                <w:szCs w:val="21"/>
              </w:rPr>
              <w:t>C10</w:t>
            </w:r>
            <w:r>
              <w:rPr>
                <w:bCs/>
                <w:color w:val="000000" w:themeColor="text1"/>
                <w:szCs w:val="21"/>
              </w:rPr>
              <w:t>混凝土垫层</w:t>
            </w:r>
            <w:r>
              <w:rPr>
                <w:bCs/>
                <w:color w:val="000000" w:themeColor="text1"/>
                <w:szCs w:val="21"/>
              </w:rPr>
              <w:t>+200mm</w:t>
            </w:r>
            <w:r>
              <w:rPr>
                <w:bCs/>
                <w:color w:val="000000" w:themeColor="text1"/>
                <w:szCs w:val="21"/>
              </w:rPr>
              <w:t>厚</w:t>
            </w:r>
            <w:r>
              <w:rPr>
                <w:bCs/>
                <w:color w:val="000000" w:themeColor="text1"/>
                <w:szCs w:val="21"/>
              </w:rPr>
              <w:t>C20</w:t>
            </w:r>
            <w:r>
              <w:rPr>
                <w:bCs/>
                <w:color w:val="000000" w:themeColor="text1"/>
                <w:szCs w:val="21"/>
              </w:rPr>
              <w:t>混凝土</w:t>
            </w:r>
            <w:r>
              <w:rPr>
                <w:bCs/>
                <w:color w:val="000000" w:themeColor="text1"/>
                <w:szCs w:val="21"/>
              </w:rPr>
              <w:t>+3mm</w:t>
            </w:r>
            <w:r>
              <w:rPr>
                <w:bCs/>
                <w:color w:val="000000" w:themeColor="text1"/>
                <w:szCs w:val="21"/>
              </w:rPr>
              <w:t>环氧玻璃钢隔离层</w:t>
            </w:r>
            <w:r>
              <w:rPr>
                <w:bCs/>
                <w:color w:val="000000" w:themeColor="text1"/>
                <w:szCs w:val="21"/>
              </w:rPr>
              <w:t>+5mm</w:t>
            </w:r>
            <w:r>
              <w:rPr>
                <w:bCs/>
                <w:color w:val="000000" w:themeColor="text1"/>
                <w:szCs w:val="21"/>
              </w:rPr>
              <w:t>厚环氧胶泥</w:t>
            </w:r>
            <w:r>
              <w:rPr>
                <w:rFonts w:hint="eastAsia"/>
                <w:color w:val="000000" w:themeColor="text1"/>
                <w:szCs w:val="21"/>
              </w:rPr>
              <w:t>进行防渗防腐处理</w:t>
            </w:r>
            <w:r>
              <w:rPr>
                <w:bCs/>
                <w:color w:val="000000" w:themeColor="text1"/>
                <w:szCs w:val="21"/>
              </w:rPr>
              <w:t>，重点防渗区</w:t>
            </w:r>
            <w:r>
              <w:rPr>
                <w:rFonts w:hint="eastAsia"/>
                <w:bCs/>
                <w:color w:val="000000" w:themeColor="text1"/>
                <w:szCs w:val="21"/>
              </w:rPr>
              <w:t>防渗系数</w:t>
            </w:r>
            <w:r>
              <w:rPr>
                <w:bCs/>
                <w:color w:val="000000" w:themeColor="text1"/>
                <w:szCs w:val="21"/>
              </w:rPr>
              <w:t>k≤1×10</w:t>
            </w:r>
            <w:r>
              <w:rPr>
                <w:bCs/>
                <w:color w:val="000000" w:themeColor="text1"/>
                <w:szCs w:val="21"/>
                <w:vertAlign w:val="superscript"/>
              </w:rPr>
              <w:t>-</w:t>
            </w:r>
            <w:r>
              <w:rPr>
                <w:rFonts w:hint="eastAsia"/>
                <w:bCs/>
                <w:color w:val="000000" w:themeColor="text1"/>
                <w:szCs w:val="21"/>
                <w:vertAlign w:val="superscript"/>
              </w:rPr>
              <w:t>10</w:t>
            </w:r>
            <w:r>
              <w:rPr>
                <w:bCs/>
                <w:color w:val="000000" w:themeColor="text1"/>
                <w:szCs w:val="21"/>
              </w:rPr>
              <w:t>cm/s</w:t>
            </w:r>
            <w:r>
              <w:rPr>
                <w:rFonts w:hint="eastAsia"/>
                <w:bCs/>
                <w:color w:val="000000" w:themeColor="text1"/>
                <w:szCs w:val="21"/>
              </w:rPr>
              <w:t>。</w:t>
            </w:r>
          </w:p>
        </w:tc>
        <w:tc>
          <w:tcPr>
            <w:tcW w:w="784" w:type="dxa"/>
            <w:vAlign w:val="center"/>
          </w:tcPr>
          <w:p w:rsidR="00644456" w:rsidRDefault="008031C4">
            <w:pPr>
              <w:jc w:val="center"/>
              <w:rPr>
                <w:color w:val="000000" w:themeColor="text1"/>
                <w:szCs w:val="21"/>
              </w:rPr>
            </w:pPr>
            <w:r>
              <w:rPr>
                <w:rFonts w:hint="eastAsia"/>
                <w:color w:val="000000" w:themeColor="text1"/>
                <w:szCs w:val="21"/>
              </w:rPr>
              <w:t>新建</w:t>
            </w:r>
          </w:p>
        </w:tc>
      </w:tr>
      <w:tr w:rsidR="00644456">
        <w:trPr>
          <w:trHeight w:val="310"/>
          <w:jc w:val="center"/>
        </w:trPr>
        <w:tc>
          <w:tcPr>
            <w:tcW w:w="1465" w:type="dxa"/>
            <w:vAlign w:val="center"/>
          </w:tcPr>
          <w:p w:rsidR="00644456" w:rsidRDefault="008031C4">
            <w:pPr>
              <w:jc w:val="center"/>
              <w:rPr>
                <w:snapToGrid w:val="0"/>
                <w:color w:val="000000" w:themeColor="text1"/>
                <w:szCs w:val="21"/>
              </w:rPr>
            </w:pPr>
            <w:r>
              <w:rPr>
                <w:rFonts w:hint="eastAsia"/>
                <w:snapToGrid w:val="0"/>
                <w:color w:val="000000" w:themeColor="text1"/>
                <w:szCs w:val="21"/>
              </w:rPr>
              <w:t>罐区以及生产区域</w:t>
            </w:r>
          </w:p>
        </w:tc>
        <w:tc>
          <w:tcPr>
            <w:tcW w:w="6768" w:type="dxa"/>
            <w:vAlign w:val="center"/>
          </w:tcPr>
          <w:p w:rsidR="00644456" w:rsidRDefault="008031C4">
            <w:pPr>
              <w:jc w:val="center"/>
              <w:rPr>
                <w:snapToGrid w:val="0"/>
                <w:color w:val="000000" w:themeColor="text1"/>
                <w:szCs w:val="21"/>
              </w:rPr>
            </w:pPr>
            <w:r>
              <w:rPr>
                <w:rFonts w:hint="eastAsia"/>
                <w:snapToGrid w:val="0"/>
                <w:color w:val="000000" w:themeColor="text1"/>
                <w:szCs w:val="21"/>
              </w:rPr>
              <w:t>重点防渗：地坪（从下至上）及围堰四周采用</w:t>
            </w:r>
            <w:r>
              <w:rPr>
                <w:bCs/>
                <w:color w:val="000000" w:themeColor="text1"/>
                <w:szCs w:val="21"/>
              </w:rPr>
              <w:t>100mm</w:t>
            </w:r>
            <w:r>
              <w:rPr>
                <w:bCs/>
                <w:color w:val="000000" w:themeColor="text1"/>
                <w:szCs w:val="21"/>
              </w:rPr>
              <w:t>厚</w:t>
            </w:r>
            <w:r>
              <w:rPr>
                <w:bCs/>
                <w:color w:val="000000" w:themeColor="text1"/>
                <w:szCs w:val="21"/>
              </w:rPr>
              <w:t>C10</w:t>
            </w:r>
            <w:r>
              <w:rPr>
                <w:bCs/>
                <w:color w:val="000000" w:themeColor="text1"/>
                <w:szCs w:val="21"/>
              </w:rPr>
              <w:t>混凝土垫层</w:t>
            </w:r>
            <w:r>
              <w:rPr>
                <w:bCs/>
                <w:color w:val="000000" w:themeColor="text1"/>
                <w:szCs w:val="21"/>
              </w:rPr>
              <w:t>+</w:t>
            </w:r>
            <w:r>
              <w:rPr>
                <w:rFonts w:hint="eastAsia"/>
                <w:bCs/>
                <w:color w:val="000000" w:themeColor="text1"/>
                <w:szCs w:val="21"/>
              </w:rPr>
              <w:t>200</w:t>
            </w:r>
            <w:r>
              <w:rPr>
                <w:bCs/>
                <w:color w:val="000000" w:themeColor="text1"/>
                <w:szCs w:val="21"/>
              </w:rPr>
              <w:t>mm</w:t>
            </w:r>
            <w:r>
              <w:rPr>
                <w:bCs/>
                <w:color w:val="000000" w:themeColor="text1"/>
                <w:szCs w:val="21"/>
              </w:rPr>
              <w:t>厚</w:t>
            </w:r>
            <w:r>
              <w:rPr>
                <w:bCs/>
                <w:color w:val="000000" w:themeColor="text1"/>
                <w:szCs w:val="21"/>
              </w:rPr>
              <w:t>C20</w:t>
            </w:r>
            <w:r>
              <w:rPr>
                <w:bCs/>
                <w:color w:val="000000" w:themeColor="text1"/>
                <w:szCs w:val="21"/>
              </w:rPr>
              <w:t>混凝土</w:t>
            </w:r>
            <w:r>
              <w:rPr>
                <w:bCs/>
                <w:color w:val="000000" w:themeColor="text1"/>
                <w:szCs w:val="21"/>
              </w:rPr>
              <w:t>+3mm</w:t>
            </w:r>
            <w:r>
              <w:rPr>
                <w:bCs/>
                <w:color w:val="000000" w:themeColor="text1"/>
                <w:szCs w:val="21"/>
              </w:rPr>
              <w:t>环氧玻璃钢隔离层</w:t>
            </w:r>
            <w:r>
              <w:rPr>
                <w:bCs/>
                <w:color w:val="000000" w:themeColor="text1"/>
                <w:szCs w:val="21"/>
              </w:rPr>
              <w:t>+</w:t>
            </w:r>
            <w:r>
              <w:rPr>
                <w:bCs/>
                <w:color w:val="000000" w:themeColor="text1"/>
                <w:szCs w:val="21"/>
              </w:rPr>
              <w:t>耐腐蚀地砖</w:t>
            </w:r>
            <w:r>
              <w:rPr>
                <w:rFonts w:hint="eastAsia"/>
                <w:color w:val="000000" w:themeColor="text1"/>
                <w:szCs w:val="21"/>
              </w:rPr>
              <w:t>进行防渗防腐处理</w:t>
            </w:r>
            <w:r>
              <w:rPr>
                <w:bCs/>
                <w:color w:val="000000" w:themeColor="text1"/>
                <w:szCs w:val="21"/>
              </w:rPr>
              <w:t>，重点防渗区</w:t>
            </w:r>
            <w:r>
              <w:rPr>
                <w:rFonts w:hint="eastAsia"/>
                <w:bCs/>
                <w:color w:val="000000" w:themeColor="text1"/>
                <w:szCs w:val="21"/>
              </w:rPr>
              <w:t>防渗系数</w:t>
            </w:r>
            <w:r>
              <w:rPr>
                <w:bCs/>
                <w:color w:val="000000" w:themeColor="text1"/>
                <w:szCs w:val="21"/>
              </w:rPr>
              <w:t>k≤1×10</w:t>
            </w:r>
            <w:r>
              <w:rPr>
                <w:bCs/>
                <w:color w:val="000000" w:themeColor="text1"/>
                <w:szCs w:val="21"/>
                <w:vertAlign w:val="superscript"/>
              </w:rPr>
              <w:t>-</w:t>
            </w:r>
            <w:r>
              <w:rPr>
                <w:rFonts w:hint="eastAsia"/>
                <w:bCs/>
                <w:color w:val="000000" w:themeColor="text1"/>
                <w:szCs w:val="21"/>
                <w:vertAlign w:val="superscript"/>
              </w:rPr>
              <w:t>10</w:t>
            </w:r>
            <w:r>
              <w:rPr>
                <w:bCs/>
                <w:color w:val="000000" w:themeColor="text1"/>
                <w:szCs w:val="21"/>
              </w:rPr>
              <w:t>cm/s</w:t>
            </w:r>
            <w:r>
              <w:rPr>
                <w:rFonts w:hint="eastAsia"/>
                <w:bCs/>
                <w:color w:val="000000" w:themeColor="text1"/>
                <w:szCs w:val="21"/>
              </w:rPr>
              <w:t>。</w:t>
            </w:r>
          </w:p>
        </w:tc>
        <w:tc>
          <w:tcPr>
            <w:tcW w:w="784" w:type="dxa"/>
            <w:vAlign w:val="center"/>
          </w:tcPr>
          <w:p w:rsidR="00644456" w:rsidRDefault="008031C4">
            <w:pPr>
              <w:jc w:val="center"/>
              <w:rPr>
                <w:color w:val="000000" w:themeColor="text1"/>
                <w:szCs w:val="21"/>
              </w:rPr>
            </w:pPr>
            <w:r>
              <w:rPr>
                <w:rFonts w:hint="eastAsia"/>
                <w:color w:val="000000" w:themeColor="text1"/>
                <w:szCs w:val="21"/>
              </w:rPr>
              <w:t>新建</w:t>
            </w:r>
          </w:p>
        </w:tc>
      </w:tr>
      <w:tr w:rsidR="00644456">
        <w:trPr>
          <w:trHeight w:val="310"/>
          <w:jc w:val="center"/>
        </w:trPr>
        <w:tc>
          <w:tcPr>
            <w:tcW w:w="1465" w:type="dxa"/>
            <w:vAlign w:val="center"/>
          </w:tcPr>
          <w:p w:rsidR="00644456" w:rsidRDefault="008031C4">
            <w:pPr>
              <w:jc w:val="center"/>
              <w:rPr>
                <w:snapToGrid w:val="0"/>
                <w:color w:val="000000" w:themeColor="text1"/>
                <w:szCs w:val="21"/>
              </w:rPr>
            </w:pPr>
            <w:r>
              <w:rPr>
                <w:rFonts w:hint="eastAsia"/>
                <w:snapToGrid w:val="0"/>
                <w:color w:val="000000" w:themeColor="text1"/>
                <w:szCs w:val="21"/>
              </w:rPr>
              <w:t>一般固废暂存间等</w:t>
            </w:r>
          </w:p>
        </w:tc>
        <w:tc>
          <w:tcPr>
            <w:tcW w:w="6768" w:type="dxa"/>
            <w:vAlign w:val="center"/>
          </w:tcPr>
          <w:p w:rsidR="00644456" w:rsidRDefault="008031C4">
            <w:pPr>
              <w:jc w:val="center"/>
              <w:rPr>
                <w:snapToGrid w:val="0"/>
                <w:color w:val="000000" w:themeColor="text1"/>
                <w:szCs w:val="21"/>
              </w:rPr>
            </w:pPr>
            <w:r>
              <w:rPr>
                <w:rFonts w:hint="eastAsia"/>
                <w:snapToGrid w:val="0"/>
                <w:color w:val="000000" w:themeColor="text1"/>
                <w:szCs w:val="21"/>
              </w:rPr>
              <w:t>一般防渗：地坪（从下至上）</w:t>
            </w:r>
            <w:r>
              <w:rPr>
                <w:bCs/>
                <w:color w:val="000000" w:themeColor="text1"/>
                <w:szCs w:val="21"/>
              </w:rPr>
              <w:t>素土（或粘土）夯实</w:t>
            </w:r>
            <w:r>
              <w:rPr>
                <w:bCs/>
                <w:color w:val="000000" w:themeColor="text1"/>
                <w:szCs w:val="21"/>
              </w:rPr>
              <w:t>+100mm</w:t>
            </w:r>
            <w:r>
              <w:rPr>
                <w:bCs/>
                <w:color w:val="000000" w:themeColor="text1"/>
                <w:szCs w:val="21"/>
              </w:rPr>
              <w:t>厚</w:t>
            </w:r>
            <w:r>
              <w:rPr>
                <w:bCs/>
                <w:color w:val="000000" w:themeColor="text1"/>
                <w:szCs w:val="21"/>
              </w:rPr>
              <w:t>C10</w:t>
            </w:r>
            <w:r>
              <w:rPr>
                <w:bCs/>
                <w:color w:val="000000" w:themeColor="text1"/>
                <w:szCs w:val="21"/>
              </w:rPr>
              <w:t>混凝土垫层</w:t>
            </w:r>
            <w:r>
              <w:rPr>
                <w:bCs/>
                <w:color w:val="000000" w:themeColor="text1"/>
                <w:szCs w:val="21"/>
              </w:rPr>
              <w:t>+250mm</w:t>
            </w:r>
            <w:r>
              <w:rPr>
                <w:bCs/>
                <w:color w:val="000000" w:themeColor="text1"/>
                <w:szCs w:val="21"/>
              </w:rPr>
              <w:t>厚</w:t>
            </w:r>
            <w:r>
              <w:rPr>
                <w:bCs/>
                <w:color w:val="000000" w:themeColor="text1"/>
                <w:szCs w:val="21"/>
              </w:rPr>
              <w:t>C25</w:t>
            </w:r>
            <w:r>
              <w:rPr>
                <w:bCs/>
                <w:color w:val="000000" w:themeColor="text1"/>
                <w:szCs w:val="21"/>
              </w:rPr>
              <w:t>混凝土</w:t>
            </w:r>
            <w:r>
              <w:rPr>
                <w:rFonts w:hint="eastAsia"/>
                <w:color w:val="000000" w:themeColor="text1"/>
                <w:szCs w:val="21"/>
              </w:rPr>
              <w:t>进行防渗处理</w:t>
            </w:r>
            <w:r>
              <w:rPr>
                <w:bCs/>
                <w:color w:val="000000" w:themeColor="text1"/>
                <w:szCs w:val="21"/>
              </w:rPr>
              <w:t>，</w:t>
            </w:r>
            <w:r>
              <w:rPr>
                <w:rFonts w:hint="eastAsia"/>
                <w:bCs/>
                <w:color w:val="000000" w:themeColor="text1"/>
                <w:szCs w:val="21"/>
              </w:rPr>
              <w:t>防渗系数</w:t>
            </w:r>
            <w:r>
              <w:rPr>
                <w:bCs/>
                <w:color w:val="000000" w:themeColor="text1"/>
                <w:szCs w:val="21"/>
              </w:rPr>
              <w:t>≤1×10</w:t>
            </w:r>
            <w:r>
              <w:rPr>
                <w:bCs/>
                <w:color w:val="000000" w:themeColor="text1"/>
                <w:szCs w:val="21"/>
                <w:vertAlign w:val="superscript"/>
              </w:rPr>
              <w:t>-</w:t>
            </w:r>
            <w:r>
              <w:rPr>
                <w:rFonts w:hint="eastAsia"/>
                <w:bCs/>
                <w:color w:val="000000" w:themeColor="text1"/>
                <w:szCs w:val="21"/>
                <w:vertAlign w:val="superscript"/>
              </w:rPr>
              <w:t>7</w:t>
            </w:r>
            <w:r>
              <w:rPr>
                <w:bCs/>
                <w:color w:val="000000" w:themeColor="text1"/>
                <w:szCs w:val="21"/>
              </w:rPr>
              <w:t>cm/s</w:t>
            </w:r>
            <w:r>
              <w:rPr>
                <w:rFonts w:hint="eastAsia"/>
                <w:bCs/>
                <w:color w:val="000000" w:themeColor="text1"/>
                <w:szCs w:val="21"/>
              </w:rPr>
              <w:t>。</w:t>
            </w:r>
          </w:p>
        </w:tc>
        <w:tc>
          <w:tcPr>
            <w:tcW w:w="784" w:type="dxa"/>
            <w:vAlign w:val="center"/>
          </w:tcPr>
          <w:p w:rsidR="00644456" w:rsidRDefault="008031C4">
            <w:pPr>
              <w:jc w:val="center"/>
              <w:rPr>
                <w:color w:val="000000" w:themeColor="text1"/>
                <w:szCs w:val="21"/>
              </w:rPr>
            </w:pPr>
            <w:r>
              <w:rPr>
                <w:rFonts w:hint="eastAsia"/>
                <w:color w:val="000000" w:themeColor="text1"/>
                <w:szCs w:val="21"/>
              </w:rPr>
              <w:t>新建</w:t>
            </w:r>
          </w:p>
        </w:tc>
      </w:tr>
      <w:tr w:rsidR="00644456">
        <w:trPr>
          <w:trHeight w:val="310"/>
          <w:jc w:val="center"/>
        </w:trPr>
        <w:tc>
          <w:tcPr>
            <w:tcW w:w="1465" w:type="dxa"/>
            <w:vAlign w:val="center"/>
          </w:tcPr>
          <w:p w:rsidR="00644456" w:rsidRDefault="008031C4">
            <w:pPr>
              <w:jc w:val="center"/>
              <w:rPr>
                <w:snapToGrid w:val="0"/>
                <w:color w:val="000000" w:themeColor="text1"/>
                <w:szCs w:val="21"/>
              </w:rPr>
            </w:pPr>
            <w:r>
              <w:rPr>
                <w:rFonts w:hint="eastAsia"/>
                <w:snapToGrid w:val="0"/>
                <w:color w:val="000000" w:themeColor="text1"/>
                <w:szCs w:val="21"/>
              </w:rPr>
              <w:t>综合楼</w:t>
            </w:r>
          </w:p>
        </w:tc>
        <w:tc>
          <w:tcPr>
            <w:tcW w:w="6768" w:type="dxa"/>
            <w:vAlign w:val="center"/>
          </w:tcPr>
          <w:p w:rsidR="00644456" w:rsidRDefault="008031C4">
            <w:pPr>
              <w:jc w:val="center"/>
              <w:rPr>
                <w:snapToGrid w:val="0"/>
                <w:color w:val="000000" w:themeColor="text1"/>
                <w:szCs w:val="21"/>
              </w:rPr>
            </w:pPr>
            <w:r>
              <w:rPr>
                <w:rFonts w:hint="eastAsia"/>
                <w:snapToGrid w:val="0"/>
                <w:color w:val="000000" w:themeColor="text1"/>
                <w:szCs w:val="21"/>
              </w:rPr>
              <w:t>一般防渗：地坪采用抗渗混凝土进行硬化处理</w:t>
            </w:r>
            <w:r>
              <w:rPr>
                <w:bCs/>
                <w:color w:val="000000" w:themeColor="text1"/>
                <w:szCs w:val="21"/>
              </w:rPr>
              <w:t>，</w:t>
            </w:r>
            <w:r>
              <w:rPr>
                <w:rFonts w:hint="eastAsia"/>
                <w:bCs/>
                <w:color w:val="000000" w:themeColor="text1"/>
                <w:szCs w:val="21"/>
              </w:rPr>
              <w:t>防渗系数</w:t>
            </w:r>
            <w:r>
              <w:rPr>
                <w:bCs/>
                <w:color w:val="000000" w:themeColor="text1"/>
                <w:szCs w:val="21"/>
              </w:rPr>
              <w:t>≤1×10</w:t>
            </w:r>
            <w:r>
              <w:rPr>
                <w:bCs/>
                <w:color w:val="000000" w:themeColor="text1"/>
                <w:szCs w:val="21"/>
                <w:vertAlign w:val="superscript"/>
              </w:rPr>
              <w:t>-</w:t>
            </w:r>
            <w:r>
              <w:rPr>
                <w:rFonts w:hint="eastAsia"/>
                <w:bCs/>
                <w:color w:val="000000" w:themeColor="text1"/>
                <w:szCs w:val="21"/>
                <w:vertAlign w:val="superscript"/>
              </w:rPr>
              <w:t>7</w:t>
            </w:r>
            <w:r>
              <w:rPr>
                <w:bCs/>
                <w:color w:val="000000" w:themeColor="text1"/>
                <w:szCs w:val="21"/>
              </w:rPr>
              <w:t>cm/s</w:t>
            </w:r>
            <w:r>
              <w:rPr>
                <w:rFonts w:hint="eastAsia"/>
                <w:bCs/>
                <w:color w:val="000000" w:themeColor="text1"/>
                <w:szCs w:val="21"/>
              </w:rPr>
              <w:t>。</w:t>
            </w:r>
          </w:p>
        </w:tc>
        <w:tc>
          <w:tcPr>
            <w:tcW w:w="784" w:type="dxa"/>
            <w:vAlign w:val="center"/>
          </w:tcPr>
          <w:p w:rsidR="00644456" w:rsidRDefault="008031C4">
            <w:pPr>
              <w:jc w:val="center"/>
              <w:rPr>
                <w:color w:val="000000" w:themeColor="text1"/>
                <w:szCs w:val="21"/>
              </w:rPr>
            </w:pPr>
            <w:r>
              <w:rPr>
                <w:rFonts w:hint="eastAsia"/>
                <w:color w:val="000000" w:themeColor="text1"/>
                <w:szCs w:val="21"/>
              </w:rPr>
              <w:t>新建</w:t>
            </w:r>
          </w:p>
        </w:tc>
      </w:tr>
    </w:tbl>
    <w:bookmarkEnd w:id="391"/>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5.7.5.14</w:t>
      </w:r>
      <w:r>
        <w:rPr>
          <w:rFonts w:cs="Times New Roman"/>
          <w:snapToGrid w:val="0"/>
          <w:color w:val="000000" w:themeColor="text1"/>
          <w:kern w:val="0"/>
          <w:szCs w:val="24"/>
        </w:rPr>
        <w:t>地下水污染监控</w:t>
      </w:r>
    </w:p>
    <w:p w:rsidR="00644456" w:rsidRDefault="008031C4">
      <w:pPr>
        <w:snapToGrid w:val="0"/>
        <w:spacing w:line="360" w:lineRule="auto"/>
        <w:ind w:firstLineChars="200" w:firstLine="480"/>
        <w:rPr>
          <w:rFonts w:cs="Times New Roman"/>
          <w:bCs/>
          <w:color w:val="000000" w:themeColor="text1"/>
          <w:kern w:val="0"/>
          <w:sz w:val="24"/>
          <w:szCs w:val="20"/>
          <w:shd w:val="clear" w:color="auto" w:fill="FFFFFF"/>
        </w:rPr>
      </w:pPr>
      <w:r>
        <w:rPr>
          <w:rFonts w:cs="Times New Roman"/>
          <w:bCs/>
          <w:color w:val="000000" w:themeColor="text1"/>
          <w:kern w:val="0"/>
          <w:sz w:val="24"/>
          <w:szCs w:val="20"/>
          <w:shd w:val="clear" w:color="auto" w:fill="FFFFFF"/>
        </w:rPr>
        <w:t>为了及时</w:t>
      </w:r>
      <w:r>
        <w:rPr>
          <w:rFonts w:cs="Times New Roman" w:hint="eastAsia"/>
          <w:bCs/>
          <w:color w:val="000000" w:themeColor="text1"/>
          <w:kern w:val="0"/>
          <w:sz w:val="24"/>
          <w:szCs w:val="20"/>
          <w:shd w:val="clear" w:color="auto" w:fill="FFFFFF"/>
        </w:rPr>
        <w:t>准确地掌握</w:t>
      </w:r>
      <w:r>
        <w:rPr>
          <w:rFonts w:cs="Times New Roman"/>
          <w:bCs/>
          <w:color w:val="000000" w:themeColor="text1"/>
          <w:kern w:val="0"/>
          <w:sz w:val="24"/>
          <w:szCs w:val="20"/>
          <w:shd w:val="clear" w:color="auto" w:fill="FFFFFF"/>
        </w:rPr>
        <w:t>厂区区域地下水环境质量状况和地下水中污染物的动态变化，应根据当地地下水流向、污染源分布情况及污染物在地下水中的扩散形式，在厂区及周边布设一定数量的地下水污染监控井，建立地下水污染监控体系，建立完善的监测制度，配备先进的监测仪器设备，以便及时发现、及时控制。</w:t>
      </w:r>
    </w:p>
    <w:p w:rsidR="00644456" w:rsidRDefault="008031C4">
      <w:pPr>
        <w:snapToGrid w:val="0"/>
        <w:spacing w:line="360" w:lineRule="auto"/>
        <w:ind w:firstLineChars="200" w:firstLine="482"/>
        <w:rPr>
          <w:rFonts w:cs="Times New Roman"/>
          <w:b/>
          <w:bCs/>
          <w:color w:val="000000" w:themeColor="text1"/>
          <w:kern w:val="0"/>
          <w:sz w:val="24"/>
          <w:szCs w:val="20"/>
          <w:shd w:val="clear" w:color="auto" w:fill="FFFFFF"/>
        </w:rPr>
      </w:pPr>
      <w:r>
        <w:rPr>
          <w:rFonts w:cs="Times New Roman" w:hint="eastAsia"/>
          <w:b/>
          <w:bCs/>
          <w:color w:val="000000" w:themeColor="text1"/>
          <w:kern w:val="0"/>
          <w:sz w:val="24"/>
          <w:szCs w:val="20"/>
          <w:shd w:val="clear" w:color="auto" w:fill="FFFFFF"/>
        </w:rPr>
        <w:t>（</w:t>
      </w:r>
      <w:r>
        <w:rPr>
          <w:rFonts w:cs="Times New Roman"/>
          <w:b/>
          <w:bCs/>
          <w:color w:val="000000" w:themeColor="text1"/>
          <w:kern w:val="0"/>
          <w:sz w:val="24"/>
          <w:szCs w:val="20"/>
          <w:shd w:val="clear" w:color="auto" w:fill="FFFFFF"/>
        </w:rPr>
        <w:t>1</w:t>
      </w:r>
      <w:r>
        <w:rPr>
          <w:rFonts w:cs="Times New Roman"/>
          <w:b/>
          <w:bCs/>
          <w:color w:val="000000" w:themeColor="text1"/>
          <w:kern w:val="0"/>
          <w:sz w:val="24"/>
          <w:szCs w:val="20"/>
          <w:shd w:val="clear" w:color="auto" w:fill="FFFFFF"/>
        </w:rPr>
        <w:t>）地下水监测原则</w:t>
      </w:r>
    </w:p>
    <w:p w:rsidR="00644456" w:rsidRDefault="008031C4">
      <w:pPr>
        <w:snapToGrid w:val="0"/>
        <w:spacing w:line="360" w:lineRule="auto"/>
        <w:ind w:firstLineChars="200" w:firstLine="480"/>
        <w:rPr>
          <w:rFonts w:cs="Times New Roman"/>
          <w:bCs/>
          <w:color w:val="000000" w:themeColor="text1"/>
          <w:kern w:val="0"/>
          <w:sz w:val="24"/>
          <w:szCs w:val="20"/>
          <w:shd w:val="clear" w:color="auto" w:fill="FFFFFF"/>
        </w:rPr>
      </w:pPr>
      <w:r>
        <w:rPr>
          <w:rFonts w:cs="Times New Roman"/>
          <w:bCs/>
          <w:color w:val="000000" w:themeColor="text1"/>
          <w:kern w:val="0"/>
          <w:sz w:val="24"/>
          <w:szCs w:val="20"/>
          <w:shd w:val="clear" w:color="auto" w:fill="FFFFFF"/>
        </w:rPr>
        <w:fldChar w:fldCharType="begin"/>
      </w:r>
      <w:r>
        <w:rPr>
          <w:rFonts w:cs="Times New Roman"/>
          <w:bCs/>
          <w:color w:val="000000" w:themeColor="text1"/>
          <w:kern w:val="0"/>
          <w:sz w:val="24"/>
          <w:szCs w:val="20"/>
          <w:shd w:val="clear" w:color="auto" w:fill="FFFFFF"/>
        </w:rPr>
        <w:instrText>= 1 \* GB3</w:instrText>
      </w:r>
      <w:r>
        <w:rPr>
          <w:rFonts w:cs="Times New Roman"/>
          <w:bCs/>
          <w:color w:val="000000" w:themeColor="text1"/>
          <w:kern w:val="0"/>
          <w:sz w:val="24"/>
          <w:szCs w:val="20"/>
          <w:shd w:val="clear" w:color="auto" w:fill="FFFFFF"/>
        </w:rPr>
        <w:fldChar w:fldCharType="separate"/>
      </w:r>
      <w:r>
        <w:rPr>
          <w:rFonts w:cs="Times New Roman" w:hint="eastAsia"/>
          <w:bCs/>
          <w:color w:val="000000" w:themeColor="text1"/>
          <w:kern w:val="0"/>
          <w:sz w:val="24"/>
          <w:szCs w:val="20"/>
          <w:shd w:val="clear" w:color="auto" w:fill="FFFFFF"/>
        </w:rPr>
        <w:t>①</w:t>
      </w:r>
      <w:r>
        <w:rPr>
          <w:rFonts w:cs="Times New Roman"/>
          <w:bCs/>
          <w:color w:val="000000" w:themeColor="text1"/>
          <w:kern w:val="0"/>
          <w:sz w:val="24"/>
          <w:szCs w:val="20"/>
          <w:shd w:val="clear" w:color="auto" w:fill="FFFFFF"/>
        </w:rPr>
        <w:fldChar w:fldCharType="end"/>
      </w:r>
      <w:r>
        <w:rPr>
          <w:rFonts w:cs="Times New Roman"/>
          <w:bCs/>
          <w:color w:val="000000" w:themeColor="text1"/>
          <w:kern w:val="0"/>
          <w:sz w:val="24"/>
          <w:szCs w:val="20"/>
          <w:shd w:val="clear" w:color="auto" w:fill="FFFFFF"/>
        </w:rPr>
        <w:t>重点污染防治区加密监测原则。重点污染防治区及特殊污染防治区应设置地下水污染监控井。地下水污染监控井应靠近重点污染防治区及特殊污染防治区内的主要泄漏源，并布设在其地下水水流的下游。</w:t>
      </w:r>
    </w:p>
    <w:p w:rsidR="00644456" w:rsidRDefault="008031C4">
      <w:pPr>
        <w:snapToGrid w:val="0"/>
        <w:spacing w:line="360" w:lineRule="auto"/>
        <w:ind w:firstLineChars="200" w:firstLine="480"/>
        <w:rPr>
          <w:rFonts w:cs="Times New Roman"/>
          <w:bCs/>
          <w:color w:val="000000" w:themeColor="text1"/>
          <w:kern w:val="0"/>
          <w:sz w:val="24"/>
          <w:szCs w:val="20"/>
          <w:shd w:val="clear" w:color="auto" w:fill="FFFFFF"/>
        </w:rPr>
      </w:pPr>
      <w:r>
        <w:rPr>
          <w:rFonts w:cs="Times New Roman"/>
          <w:bCs/>
          <w:color w:val="000000" w:themeColor="text1"/>
          <w:kern w:val="0"/>
          <w:sz w:val="24"/>
          <w:szCs w:val="20"/>
          <w:shd w:val="clear" w:color="auto" w:fill="FFFFFF"/>
        </w:rPr>
        <w:fldChar w:fldCharType="begin"/>
      </w:r>
      <w:r>
        <w:rPr>
          <w:rFonts w:cs="Times New Roman"/>
          <w:bCs/>
          <w:color w:val="000000" w:themeColor="text1"/>
          <w:kern w:val="0"/>
          <w:sz w:val="24"/>
          <w:szCs w:val="20"/>
          <w:shd w:val="clear" w:color="auto" w:fill="FFFFFF"/>
        </w:rPr>
        <w:instrText>= 2 \* GB3</w:instrText>
      </w:r>
      <w:r>
        <w:rPr>
          <w:rFonts w:cs="Times New Roman"/>
          <w:bCs/>
          <w:color w:val="000000" w:themeColor="text1"/>
          <w:kern w:val="0"/>
          <w:sz w:val="24"/>
          <w:szCs w:val="20"/>
          <w:shd w:val="clear" w:color="auto" w:fill="FFFFFF"/>
        </w:rPr>
        <w:fldChar w:fldCharType="separate"/>
      </w:r>
      <w:r>
        <w:rPr>
          <w:rFonts w:cs="Times New Roman" w:hint="eastAsia"/>
          <w:bCs/>
          <w:color w:val="000000" w:themeColor="text1"/>
          <w:kern w:val="0"/>
          <w:sz w:val="24"/>
          <w:szCs w:val="20"/>
          <w:shd w:val="clear" w:color="auto" w:fill="FFFFFF"/>
        </w:rPr>
        <w:t>②</w:t>
      </w:r>
      <w:r>
        <w:rPr>
          <w:rFonts w:cs="Times New Roman"/>
          <w:bCs/>
          <w:color w:val="000000" w:themeColor="text1"/>
          <w:kern w:val="0"/>
          <w:sz w:val="24"/>
          <w:szCs w:val="20"/>
          <w:shd w:val="clear" w:color="auto" w:fill="FFFFFF"/>
        </w:rPr>
        <w:fldChar w:fldCharType="end"/>
      </w:r>
      <w:r>
        <w:rPr>
          <w:rFonts w:cs="Times New Roman"/>
          <w:bCs/>
          <w:color w:val="000000" w:themeColor="text1"/>
          <w:kern w:val="0"/>
          <w:sz w:val="24"/>
          <w:szCs w:val="20"/>
          <w:shd w:val="clear" w:color="auto" w:fill="FFFFFF"/>
        </w:rPr>
        <w:t>地下水污染监控井监测层位的选择应以潜水含水层为主，并考虑可能受影响的承压含水层。</w:t>
      </w:r>
    </w:p>
    <w:p w:rsidR="00644456" w:rsidRDefault="008031C4">
      <w:pPr>
        <w:snapToGrid w:val="0"/>
        <w:spacing w:line="360" w:lineRule="auto"/>
        <w:ind w:firstLineChars="200" w:firstLine="480"/>
        <w:rPr>
          <w:rFonts w:cs="Times New Roman"/>
          <w:bCs/>
          <w:color w:val="000000" w:themeColor="text1"/>
          <w:kern w:val="0"/>
          <w:sz w:val="24"/>
          <w:szCs w:val="20"/>
          <w:shd w:val="clear" w:color="auto" w:fill="FFFFFF"/>
        </w:rPr>
      </w:pPr>
      <w:r>
        <w:rPr>
          <w:rFonts w:cs="Times New Roman"/>
          <w:bCs/>
          <w:color w:val="000000" w:themeColor="text1"/>
          <w:kern w:val="0"/>
          <w:sz w:val="24"/>
          <w:szCs w:val="20"/>
          <w:shd w:val="clear" w:color="auto" w:fill="FFFFFF"/>
        </w:rPr>
        <w:fldChar w:fldCharType="begin"/>
      </w:r>
      <w:r>
        <w:rPr>
          <w:rFonts w:cs="Times New Roman"/>
          <w:bCs/>
          <w:color w:val="000000" w:themeColor="text1"/>
          <w:kern w:val="0"/>
          <w:sz w:val="24"/>
          <w:szCs w:val="20"/>
          <w:shd w:val="clear" w:color="auto" w:fill="FFFFFF"/>
        </w:rPr>
        <w:instrText>= 3 \* GB3</w:instrText>
      </w:r>
      <w:r>
        <w:rPr>
          <w:rFonts w:cs="Times New Roman"/>
          <w:bCs/>
          <w:color w:val="000000" w:themeColor="text1"/>
          <w:kern w:val="0"/>
          <w:sz w:val="24"/>
          <w:szCs w:val="20"/>
          <w:shd w:val="clear" w:color="auto" w:fill="FFFFFF"/>
        </w:rPr>
        <w:fldChar w:fldCharType="separate"/>
      </w:r>
      <w:r>
        <w:rPr>
          <w:rFonts w:cs="Times New Roman" w:hint="eastAsia"/>
          <w:bCs/>
          <w:color w:val="000000" w:themeColor="text1"/>
          <w:kern w:val="0"/>
          <w:sz w:val="24"/>
          <w:szCs w:val="20"/>
          <w:shd w:val="clear" w:color="auto" w:fill="FFFFFF"/>
        </w:rPr>
        <w:t>③</w:t>
      </w:r>
      <w:r>
        <w:rPr>
          <w:rFonts w:cs="Times New Roman"/>
          <w:bCs/>
          <w:color w:val="000000" w:themeColor="text1"/>
          <w:kern w:val="0"/>
          <w:sz w:val="24"/>
          <w:szCs w:val="20"/>
          <w:shd w:val="clear" w:color="auto" w:fill="FFFFFF"/>
        </w:rPr>
        <w:fldChar w:fldCharType="end"/>
      </w:r>
      <w:r>
        <w:rPr>
          <w:rFonts w:cs="Times New Roman"/>
          <w:bCs/>
          <w:color w:val="000000" w:themeColor="text1"/>
          <w:kern w:val="0"/>
          <w:sz w:val="24"/>
          <w:szCs w:val="20"/>
          <w:shd w:val="clear" w:color="auto" w:fill="FFFFFF"/>
        </w:rPr>
        <w:t>上下游同步对比监测原则，应在</w:t>
      </w:r>
      <w:r>
        <w:rPr>
          <w:rFonts w:cs="Times New Roman" w:hint="eastAsia"/>
          <w:bCs/>
          <w:color w:val="000000" w:themeColor="text1"/>
          <w:kern w:val="0"/>
          <w:sz w:val="24"/>
          <w:szCs w:val="20"/>
          <w:shd w:val="clear" w:color="auto" w:fill="FFFFFF"/>
        </w:rPr>
        <w:t>潜在</w:t>
      </w:r>
      <w:r>
        <w:rPr>
          <w:rFonts w:cs="Times New Roman"/>
          <w:bCs/>
          <w:color w:val="000000" w:themeColor="text1"/>
          <w:kern w:val="0"/>
          <w:sz w:val="24"/>
          <w:szCs w:val="20"/>
          <w:shd w:val="clear" w:color="auto" w:fill="FFFFFF"/>
        </w:rPr>
        <w:t>风险源等位置布设采样点。</w:t>
      </w:r>
    </w:p>
    <w:p w:rsidR="00644456" w:rsidRDefault="008031C4">
      <w:pPr>
        <w:snapToGrid w:val="0"/>
        <w:spacing w:line="360" w:lineRule="auto"/>
        <w:ind w:firstLineChars="200" w:firstLine="480"/>
        <w:rPr>
          <w:rFonts w:cs="Times New Roman"/>
          <w:bCs/>
          <w:color w:val="000000" w:themeColor="text1"/>
          <w:kern w:val="0"/>
          <w:sz w:val="24"/>
          <w:szCs w:val="20"/>
          <w:shd w:val="clear" w:color="auto" w:fill="FFFFFF"/>
        </w:rPr>
      </w:pPr>
      <w:r>
        <w:rPr>
          <w:rFonts w:cs="Times New Roman"/>
          <w:bCs/>
          <w:color w:val="000000" w:themeColor="text1"/>
          <w:kern w:val="0"/>
          <w:sz w:val="24"/>
          <w:szCs w:val="20"/>
          <w:shd w:val="clear" w:color="auto" w:fill="FFFFFF"/>
        </w:rPr>
        <w:fldChar w:fldCharType="begin"/>
      </w:r>
      <w:r>
        <w:rPr>
          <w:rFonts w:cs="Times New Roman"/>
          <w:bCs/>
          <w:color w:val="000000" w:themeColor="text1"/>
          <w:kern w:val="0"/>
          <w:sz w:val="24"/>
          <w:szCs w:val="20"/>
          <w:shd w:val="clear" w:color="auto" w:fill="FFFFFF"/>
        </w:rPr>
        <w:instrText>= 4 \* GB3</w:instrText>
      </w:r>
      <w:r>
        <w:rPr>
          <w:rFonts w:cs="Times New Roman"/>
          <w:bCs/>
          <w:color w:val="000000" w:themeColor="text1"/>
          <w:kern w:val="0"/>
          <w:sz w:val="24"/>
          <w:szCs w:val="20"/>
          <w:shd w:val="clear" w:color="auto" w:fill="FFFFFF"/>
        </w:rPr>
        <w:fldChar w:fldCharType="separate"/>
      </w:r>
      <w:r>
        <w:rPr>
          <w:rFonts w:cs="Times New Roman" w:hint="eastAsia"/>
          <w:bCs/>
          <w:color w:val="000000" w:themeColor="text1"/>
          <w:kern w:val="0"/>
          <w:sz w:val="24"/>
          <w:szCs w:val="20"/>
          <w:shd w:val="clear" w:color="auto" w:fill="FFFFFF"/>
        </w:rPr>
        <w:t>④</w:t>
      </w:r>
      <w:r>
        <w:rPr>
          <w:rFonts w:cs="Times New Roman"/>
          <w:bCs/>
          <w:color w:val="000000" w:themeColor="text1"/>
          <w:kern w:val="0"/>
          <w:sz w:val="24"/>
          <w:szCs w:val="20"/>
          <w:shd w:val="clear" w:color="auto" w:fill="FFFFFF"/>
        </w:rPr>
        <w:fldChar w:fldCharType="end"/>
      </w:r>
      <w:r>
        <w:rPr>
          <w:rFonts w:cs="Times New Roman"/>
          <w:bCs/>
          <w:color w:val="000000" w:themeColor="text1"/>
          <w:kern w:val="0"/>
          <w:sz w:val="24"/>
          <w:szCs w:val="20"/>
          <w:shd w:val="clear" w:color="auto" w:fill="FFFFFF"/>
        </w:rPr>
        <w:t>监测点不要轻易变动，尽量保持单井地下水监测工作的连续性。</w:t>
      </w:r>
    </w:p>
    <w:p w:rsidR="00644456" w:rsidRDefault="008031C4">
      <w:pPr>
        <w:snapToGrid w:val="0"/>
        <w:spacing w:line="360" w:lineRule="auto"/>
        <w:ind w:firstLineChars="200" w:firstLine="480"/>
        <w:rPr>
          <w:rFonts w:cs="Times New Roman"/>
          <w:bCs/>
          <w:color w:val="000000" w:themeColor="text1"/>
          <w:kern w:val="0"/>
          <w:sz w:val="24"/>
          <w:szCs w:val="20"/>
          <w:shd w:val="clear" w:color="auto" w:fill="FFFFFF"/>
        </w:rPr>
      </w:pPr>
      <w:r>
        <w:rPr>
          <w:rFonts w:cs="Times New Roman"/>
          <w:bCs/>
          <w:color w:val="000000" w:themeColor="text1"/>
          <w:kern w:val="0"/>
          <w:sz w:val="24"/>
          <w:szCs w:val="20"/>
          <w:shd w:val="clear" w:color="auto" w:fill="FFFFFF"/>
        </w:rPr>
        <w:fldChar w:fldCharType="begin"/>
      </w:r>
      <w:r>
        <w:rPr>
          <w:rFonts w:cs="Times New Roman"/>
          <w:bCs/>
          <w:color w:val="000000" w:themeColor="text1"/>
          <w:kern w:val="0"/>
          <w:sz w:val="24"/>
          <w:szCs w:val="20"/>
          <w:shd w:val="clear" w:color="auto" w:fill="FFFFFF"/>
        </w:rPr>
        <w:instrText>= 5 \* GB3</w:instrText>
      </w:r>
      <w:r>
        <w:rPr>
          <w:rFonts w:cs="Times New Roman"/>
          <w:bCs/>
          <w:color w:val="000000" w:themeColor="text1"/>
          <w:kern w:val="0"/>
          <w:sz w:val="24"/>
          <w:szCs w:val="20"/>
          <w:shd w:val="clear" w:color="auto" w:fill="FFFFFF"/>
        </w:rPr>
        <w:fldChar w:fldCharType="separate"/>
      </w:r>
      <w:r>
        <w:rPr>
          <w:rFonts w:cs="Times New Roman" w:hint="eastAsia"/>
          <w:bCs/>
          <w:color w:val="000000" w:themeColor="text1"/>
          <w:kern w:val="0"/>
          <w:sz w:val="24"/>
          <w:szCs w:val="20"/>
          <w:shd w:val="clear" w:color="auto" w:fill="FFFFFF"/>
        </w:rPr>
        <w:t>⑤</w:t>
      </w:r>
      <w:r>
        <w:rPr>
          <w:rFonts w:cs="Times New Roman"/>
          <w:bCs/>
          <w:color w:val="000000" w:themeColor="text1"/>
          <w:kern w:val="0"/>
          <w:sz w:val="24"/>
          <w:szCs w:val="20"/>
          <w:shd w:val="clear" w:color="auto" w:fill="FFFFFF"/>
        </w:rPr>
        <w:fldChar w:fldCharType="end"/>
      </w:r>
      <w:r>
        <w:rPr>
          <w:rFonts w:cs="Times New Roman"/>
          <w:bCs/>
          <w:color w:val="000000" w:themeColor="text1"/>
          <w:kern w:val="0"/>
          <w:sz w:val="24"/>
          <w:szCs w:val="20"/>
          <w:shd w:val="clear" w:color="auto" w:fill="FFFFFF"/>
        </w:rPr>
        <w:t>厂区外地下水污染监控井宜选取取水层与监测目的层一致的、距厂区较近的工业、农业用井，在无工业、农业用井可用时，宜在厂区外就近设置监控井。</w:t>
      </w:r>
    </w:p>
    <w:p w:rsidR="00644456" w:rsidRDefault="008031C4">
      <w:pPr>
        <w:snapToGrid w:val="0"/>
        <w:spacing w:line="360" w:lineRule="auto"/>
        <w:ind w:firstLineChars="200" w:firstLine="482"/>
        <w:rPr>
          <w:rFonts w:cs="Times New Roman"/>
          <w:b/>
          <w:bCs/>
          <w:color w:val="000000" w:themeColor="text1"/>
          <w:kern w:val="0"/>
          <w:sz w:val="24"/>
          <w:szCs w:val="20"/>
          <w:shd w:val="clear" w:color="auto" w:fill="FFFFFF"/>
        </w:rPr>
      </w:pPr>
      <w:r>
        <w:rPr>
          <w:rFonts w:cs="Times New Roman" w:hint="eastAsia"/>
          <w:b/>
          <w:bCs/>
          <w:color w:val="000000" w:themeColor="text1"/>
          <w:kern w:val="0"/>
          <w:sz w:val="24"/>
          <w:szCs w:val="20"/>
          <w:shd w:val="clear" w:color="auto" w:fill="FFFFFF"/>
        </w:rPr>
        <w:t>（</w:t>
      </w:r>
      <w:r>
        <w:rPr>
          <w:rFonts w:cs="Times New Roman"/>
          <w:b/>
          <w:bCs/>
          <w:color w:val="000000" w:themeColor="text1"/>
          <w:kern w:val="0"/>
          <w:sz w:val="24"/>
          <w:szCs w:val="20"/>
          <w:shd w:val="clear" w:color="auto" w:fill="FFFFFF"/>
        </w:rPr>
        <w:t>2</w:t>
      </w:r>
      <w:r>
        <w:rPr>
          <w:rFonts w:cs="Times New Roman"/>
          <w:b/>
          <w:bCs/>
          <w:color w:val="000000" w:themeColor="text1"/>
          <w:kern w:val="0"/>
          <w:sz w:val="24"/>
          <w:szCs w:val="20"/>
          <w:shd w:val="clear" w:color="auto" w:fill="FFFFFF"/>
        </w:rPr>
        <w:t>）地下水污染监控方案</w:t>
      </w:r>
    </w:p>
    <w:p w:rsidR="00644456" w:rsidRDefault="008031C4">
      <w:pPr>
        <w:widowControl/>
        <w:snapToGrid w:val="0"/>
        <w:spacing w:line="360" w:lineRule="auto"/>
        <w:ind w:firstLine="482"/>
        <w:rPr>
          <w:rFonts w:cs="Times New Roman"/>
          <w:color w:val="000000" w:themeColor="text1"/>
          <w:kern w:val="0"/>
          <w:sz w:val="24"/>
        </w:rPr>
      </w:pPr>
      <w:r>
        <w:rPr>
          <w:rFonts w:cs="Times New Roman"/>
          <w:color w:val="000000" w:themeColor="text1"/>
          <w:kern w:val="0"/>
          <w:sz w:val="24"/>
        </w:rPr>
        <w:t>建立厂区地下水环境监控体系，包括建立地下水监控制度和环境管理体系、制定监测计划、配备必要的检测仪器和设备，以便及时发现问题，及时采取措施。</w:t>
      </w:r>
    </w:p>
    <w:p w:rsidR="00644456" w:rsidRDefault="008031C4">
      <w:pPr>
        <w:widowControl/>
        <w:snapToGrid w:val="0"/>
        <w:spacing w:line="360" w:lineRule="auto"/>
        <w:ind w:firstLine="482"/>
        <w:rPr>
          <w:rFonts w:cs="Times New Roman"/>
          <w:color w:val="000000" w:themeColor="text1"/>
          <w:kern w:val="0"/>
          <w:sz w:val="24"/>
        </w:rPr>
      </w:pPr>
      <w:r>
        <w:rPr>
          <w:rFonts w:cs="Times New Roman"/>
          <w:color w:val="000000" w:themeColor="text1"/>
          <w:kern w:val="0"/>
          <w:sz w:val="24"/>
        </w:rPr>
        <w:t>根据《环境影响评价技术导则</w:t>
      </w:r>
      <w:r>
        <w:rPr>
          <w:rFonts w:cs="Times New Roman"/>
          <w:color w:val="000000" w:themeColor="text1"/>
          <w:kern w:val="0"/>
          <w:sz w:val="24"/>
        </w:rPr>
        <w:t>—</w:t>
      </w:r>
      <w:r>
        <w:rPr>
          <w:rFonts w:cs="Times New Roman"/>
          <w:color w:val="000000" w:themeColor="text1"/>
          <w:kern w:val="0"/>
          <w:sz w:val="24"/>
        </w:rPr>
        <w:t>地下水环境》（</w:t>
      </w:r>
      <w:r>
        <w:rPr>
          <w:rFonts w:cs="Times New Roman"/>
          <w:color w:val="000000" w:themeColor="text1"/>
          <w:kern w:val="0"/>
          <w:sz w:val="24"/>
        </w:rPr>
        <w:t>HJ610-2016</w:t>
      </w:r>
      <w:r>
        <w:rPr>
          <w:rFonts w:cs="Times New Roman"/>
          <w:color w:val="000000" w:themeColor="text1"/>
          <w:kern w:val="0"/>
          <w:sz w:val="24"/>
        </w:rPr>
        <w:t>）中对地下水环境监测与管理的要求及《排污单位自行监测技术指南》（</w:t>
      </w:r>
      <w:r>
        <w:rPr>
          <w:rFonts w:cs="Times New Roman"/>
          <w:color w:val="000000" w:themeColor="text1"/>
          <w:kern w:val="0"/>
          <w:sz w:val="24"/>
        </w:rPr>
        <w:t>HJ819-2017</w:t>
      </w:r>
      <w:r>
        <w:rPr>
          <w:rFonts w:cs="Times New Roman"/>
          <w:color w:val="000000" w:themeColor="text1"/>
          <w:kern w:val="0"/>
          <w:sz w:val="24"/>
        </w:rPr>
        <w:t>）对地下水环境监测频率的要求，以及《工业企业土壤和地下水自行监测技术指南（试行）》（</w:t>
      </w:r>
      <w:r>
        <w:rPr>
          <w:rFonts w:cs="Times New Roman"/>
          <w:color w:val="000000" w:themeColor="text1"/>
          <w:kern w:val="0"/>
          <w:sz w:val="24"/>
        </w:rPr>
        <w:t>HJ1209-2021</w:t>
      </w:r>
      <w:r>
        <w:rPr>
          <w:rFonts w:cs="Times New Roman"/>
          <w:color w:val="000000" w:themeColor="text1"/>
          <w:kern w:val="0"/>
          <w:sz w:val="24"/>
        </w:rPr>
        <w:t>）</w:t>
      </w:r>
      <w:r>
        <w:rPr>
          <w:rFonts w:cs="Times New Roman"/>
          <w:color w:val="000000" w:themeColor="text1"/>
          <w:kern w:val="0"/>
          <w:sz w:val="24"/>
        </w:rPr>
        <w:lastRenderedPageBreak/>
        <w:t>对地下水监测的要求，结合本项目产污特征，</w:t>
      </w:r>
      <w:r>
        <w:rPr>
          <w:rFonts w:cs="Times New Roman" w:hint="eastAsia"/>
          <w:color w:val="000000" w:themeColor="text1"/>
          <w:kern w:val="0"/>
          <w:sz w:val="24"/>
        </w:rPr>
        <w:t>本项目在厂区上、下游设置的</w:t>
      </w:r>
      <w:r>
        <w:rPr>
          <w:rFonts w:cs="Times New Roman" w:hint="eastAsia"/>
          <w:color w:val="000000" w:themeColor="text1"/>
          <w:kern w:val="0"/>
          <w:sz w:val="24"/>
        </w:rPr>
        <w:t>3</w:t>
      </w:r>
      <w:r>
        <w:rPr>
          <w:rFonts w:cs="Times New Roman" w:hint="eastAsia"/>
          <w:color w:val="000000" w:themeColor="text1"/>
          <w:kern w:val="0"/>
          <w:sz w:val="24"/>
        </w:rPr>
        <w:t>个地下水监测井</w:t>
      </w:r>
      <w:r>
        <w:rPr>
          <w:rFonts w:cs="Times New Roman"/>
          <w:color w:val="000000" w:themeColor="text1"/>
          <w:kern w:val="0"/>
          <w:sz w:val="24"/>
        </w:rPr>
        <w:t>对</w:t>
      </w:r>
      <w:r>
        <w:rPr>
          <w:rFonts w:cs="Times New Roman" w:hint="eastAsia"/>
          <w:color w:val="000000" w:themeColor="text1"/>
          <w:kern w:val="0"/>
          <w:sz w:val="24"/>
        </w:rPr>
        <w:t>厂区附近</w:t>
      </w:r>
      <w:r>
        <w:rPr>
          <w:rFonts w:cs="Times New Roman"/>
          <w:color w:val="000000" w:themeColor="text1"/>
          <w:kern w:val="0"/>
          <w:sz w:val="24"/>
        </w:rPr>
        <w:t>地下水水质进行动态监测。</w:t>
      </w:r>
    </w:p>
    <w:p w:rsidR="00644456" w:rsidRDefault="008031C4">
      <w:pPr>
        <w:autoSpaceDE w:val="0"/>
        <w:autoSpaceDN w:val="0"/>
        <w:adjustRightInd w:val="0"/>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5.7</w:t>
      </w:r>
      <w:r>
        <w:rPr>
          <w:rFonts w:cs="Times New Roman" w:hint="eastAsia"/>
          <w:b/>
          <w:color w:val="000000" w:themeColor="text1"/>
          <w:sz w:val="24"/>
          <w:szCs w:val="20"/>
        </w:rPr>
        <w:noBreakHyphen/>
        <w:t>13</w:t>
      </w:r>
      <w:r>
        <w:rPr>
          <w:rFonts w:cs="Times New Roman" w:hint="eastAsia"/>
          <w:b/>
          <w:color w:val="000000" w:themeColor="text1"/>
          <w:sz w:val="24"/>
          <w:szCs w:val="20"/>
        </w:rPr>
        <w:t>地下水污染监控布点</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6"/>
        <w:gridCol w:w="1001"/>
        <w:gridCol w:w="999"/>
        <w:gridCol w:w="1856"/>
        <w:gridCol w:w="1144"/>
        <w:gridCol w:w="1428"/>
        <w:gridCol w:w="999"/>
        <w:gridCol w:w="1088"/>
      </w:tblGrid>
      <w:tr w:rsidR="00644456">
        <w:trPr>
          <w:jc w:val="center"/>
        </w:trPr>
        <w:tc>
          <w:tcPr>
            <w:tcW w:w="312" w:type="pct"/>
            <w:vAlign w:val="center"/>
          </w:tcPr>
          <w:p w:rsidR="00644456" w:rsidRDefault="008031C4">
            <w:pPr>
              <w:adjustRightInd w:val="0"/>
              <w:jc w:val="center"/>
              <w:rPr>
                <w:rFonts w:cs="Times New Roman"/>
                <w:color w:val="000000" w:themeColor="text1"/>
                <w:szCs w:val="21"/>
              </w:rPr>
            </w:pPr>
            <w:r>
              <w:rPr>
                <w:rFonts w:cs="Times New Roman"/>
                <w:color w:val="000000" w:themeColor="text1"/>
                <w:szCs w:val="21"/>
              </w:rPr>
              <w:t>监测</w:t>
            </w:r>
          </w:p>
          <w:p w:rsidR="00644456" w:rsidRDefault="008031C4">
            <w:pPr>
              <w:adjustRightInd w:val="0"/>
              <w:jc w:val="center"/>
              <w:rPr>
                <w:rFonts w:cs="Times New Roman"/>
                <w:color w:val="000000" w:themeColor="text1"/>
                <w:szCs w:val="21"/>
              </w:rPr>
            </w:pPr>
            <w:r>
              <w:rPr>
                <w:rFonts w:cs="Times New Roman"/>
                <w:color w:val="000000" w:themeColor="text1"/>
                <w:szCs w:val="21"/>
              </w:rPr>
              <w:t>点位</w:t>
            </w:r>
          </w:p>
        </w:tc>
        <w:tc>
          <w:tcPr>
            <w:tcW w:w="551" w:type="pct"/>
            <w:vAlign w:val="center"/>
          </w:tcPr>
          <w:p w:rsidR="00644456" w:rsidRDefault="008031C4">
            <w:pPr>
              <w:adjustRightInd w:val="0"/>
              <w:jc w:val="center"/>
              <w:rPr>
                <w:rFonts w:cs="Times New Roman"/>
                <w:color w:val="000000" w:themeColor="text1"/>
                <w:szCs w:val="21"/>
              </w:rPr>
            </w:pPr>
            <w:r>
              <w:rPr>
                <w:rFonts w:cs="Times New Roman"/>
                <w:color w:val="000000" w:themeColor="text1"/>
                <w:szCs w:val="21"/>
              </w:rPr>
              <w:t>位置</w:t>
            </w:r>
          </w:p>
        </w:tc>
        <w:tc>
          <w:tcPr>
            <w:tcW w:w="550" w:type="pct"/>
            <w:vAlign w:val="center"/>
          </w:tcPr>
          <w:p w:rsidR="00644456" w:rsidRDefault="008031C4">
            <w:pPr>
              <w:adjustRightInd w:val="0"/>
              <w:jc w:val="center"/>
              <w:rPr>
                <w:rFonts w:cs="Times New Roman"/>
                <w:color w:val="000000" w:themeColor="text1"/>
                <w:szCs w:val="21"/>
              </w:rPr>
            </w:pPr>
            <w:r>
              <w:rPr>
                <w:rFonts w:cs="Times New Roman"/>
                <w:color w:val="000000" w:themeColor="text1"/>
                <w:szCs w:val="21"/>
              </w:rPr>
              <w:t>功能</w:t>
            </w:r>
          </w:p>
        </w:tc>
        <w:tc>
          <w:tcPr>
            <w:tcW w:w="1022" w:type="pct"/>
            <w:vAlign w:val="center"/>
          </w:tcPr>
          <w:p w:rsidR="00644456" w:rsidRDefault="008031C4">
            <w:pPr>
              <w:adjustRightInd w:val="0"/>
              <w:jc w:val="center"/>
              <w:rPr>
                <w:rFonts w:cs="Times New Roman"/>
                <w:color w:val="000000" w:themeColor="text1"/>
                <w:szCs w:val="21"/>
              </w:rPr>
            </w:pPr>
            <w:r>
              <w:rPr>
                <w:rFonts w:cs="Times New Roman" w:hint="eastAsia"/>
                <w:color w:val="000000" w:themeColor="text1"/>
                <w:szCs w:val="21"/>
              </w:rPr>
              <w:t>经纬度</w:t>
            </w:r>
          </w:p>
        </w:tc>
        <w:tc>
          <w:tcPr>
            <w:tcW w:w="630" w:type="pct"/>
            <w:vAlign w:val="center"/>
          </w:tcPr>
          <w:p w:rsidR="00644456" w:rsidRDefault="008031C4">
            <w:pPr>
              <w:adjustRightInd w:val="0"/>
              <w:jc w:val="center"/>
              <w:rPr>
                <w:rFonts w:cs="Times New Roman"/>
                <w:color w:val="000000" w:themeColor="text1"/>
                <w:szCs w:val="21"/>
              </w:rPr>
            </w:pPr>
            <w:r>
              <w:rPr>
                <w:rFonts w:cs="Times New Roman" w:hint="eastAsia"/>
                <w:color w:val="000000" w:themeColor="text1"/>
                <w:szCs w:val="21"/>
              </w:rPr>
              <w:t>埋深（</w:t>
            </w:r>
            <w:r>
              <w:rPr>
                <w:rFonts w:cs="Times New Roman" w:hint="eastAsia"/>
                <w:color w:val="000000" w:themeColor="text1"/>
                <w:szCs w:val="21"/>
              </w:rPr>
              <w:t>m</w:t>
            </w:r>
            <w:r>
              <w:rPr>
                <w:rFonts w:cs="Times New Roman" w:hint="eastAsia"/>
                <w:color w:val="000000" w:themeColor="text1"/>
                <w:szCs w:val="21"/>
              </w:rPr>
              <w:t>）</w:t>
            </w:r>
          </w:p>
        </w:tc>
        <w:tc>
          <w:tcPr>
            <w:tcW w:w="786" w:type="pct"/>
            <w:vAlign w:val="center"/>
          </w:tcPr>
          <w:p w:rsidR="00644456" w:rsidRDefault="008031C4">
            <w:pPr>
              <w:adjustRightInd w:val="0"/>
              <w:jc w:val="center"/>
              <w:rPr>
                <w:rFonts w:cs="Times New Roman"/>
                <w:color w:val="000000" w:themeColor="text1"/>
                <w:szCs w:val="21"/>
              </w:rPr>
            </w:pPr>
            <w:r>
              <w:rPr>
                <w:rFonts w:cs="Times New Roman"/>
                <w:color w:val="000000" w:themeColor="text1"/>
                <w:szCs w:val="21"/>
              </w:rPr>
              <w:t>监测因子</w:t>
            </w:r>
          </w:p>
        </w:tc>
        <w:tc>
          <w:tcPr>
            <w:tcW w:w="550" w:type="pct"/>
            <w:vAlign w:val="center"/>
          </w:tcPr>
          <w:p w:rsidR="00644456" w:rsidRDefault="008031C4">
            <w:pPr>
              <w:adjustRightInd w:val="0"/>
              <w:jc w:val="center"/>
              <w:rPr>
                <w:rFonts w:cs="Times New Roman"/>
                <w:color w:val="000000" w:themeColor="text1"/>
                <w:szCs w:val="21"/>
              </w:rPr>
            </w:pPr>
            <w:r>
              <w:rPr>
                <w:rFonts w:cs="Times New Roman"/>
                <w:color w:val="000000" w:themeColor="text1"/>
                <w:szCs w:val="21"/>
              </w:rPr>
              <w:t>监测频次</w:t>
            </w:r>
          </w:p>
        </w:tc>
        <w:tc>
          <w:tcPr>
            <w:tcW w:w="599" w:type="pct"/>
            <w:vAlign w:val="center"/>
          </w:tcPr>
          <w:p w:rsidR="00644456" w:rsidRDefault="008031C4">
            <w:pPr>
              <w:adjustRightInd w:val="0"/>
              <w:jc w:val="center"/>
              <w:rPr>
                <w:rFonts w:cs="Times New Roman"/>
                <w:color w:val="000000" w:themeColor="text1"/>
                <w:szCs w:val="21"/>
              </w:rPr>
            </w:pPr>
            <w:r>
              <w:rPr>
                <w:rFonts w:cs="Times New Roman" w:hint="eastAsia"/>
                <w:color w:val="000000" w:themeColor="text1"/>
                <w:szCs w:val="21"/>
              </w:rPr>
              <w:t>监测层位</w:t>
            </w:r>
          </w:p>
        </w:tc>
      </w:tr>
      <w:tr w:rsidR="00644456">
        <w:trPr>
          <w:trHeight w:val="508"/>
          <w:jc w:val="center"/>
        </w:trPr>
        <w:tc>
          <w:tcPr>
            <w:tcW w:w="312" w:type="pct"/>
            <w:vAlign w:val="center"/>
          </w:tcPr>
          <w:p w:rsidR="00644456" w:rsidRDefault="008031C4">
            <w:pPr>
              <w:adjustRightInd w:val="0"/>
              <w:snapToGrid w:val="0"/>
              <w:jc w:val="center"/>
              <w:rPr>
                <w:rFonts w:cs="Times New Roman"/>
                <w:bCs/>
                <w:color w:val="000000" w:themeColor="text1"/>
                <w:kern w:val="0"/>
                <w:szCs w:val="21"/>
              </w:rPr>
            </w:pPr>
            <w:r>
              <w:rPr>
                <w:rFonts w:cs="Times New Roman"/>
                <w:bCs/>
                <w:color w:val="000000" w:themeColor="text1"/>
                <w:kern w:val="0"/>
                <w:szCs w:val="21"/>
              </w:rPr>
              <w:t>1#</w:t>
            </w:r>
          </w:p>
        </w:tc>
        <w:tc>
          <w:tcPr>
            <w:tcW w:w="551" w:type="pct"/>
            <w:vAlign w:val="center"/>
          </w:tcPr>
          <w:p w:rsidR="00644456" w:rsidRDefault="008031C4">
            <w:pPr>
              <w:adjustRightInd w:val="0"/>
              <w:snapToGrid w:val="0"/>
              <w:jc w:val="center"/>
              <w:rPr>
                <w:rFonts w:cs="Times New Roman"/>
                <w:bCs/>
                <w:color w:val="000000" w:themeColor="text1"/>
                <w:kern w:val="0"/>
                <w:szCs w:val="21"/>
              </w:rPr>
            </w:pPr>
            <w:r>
              <w:rPr>
                <w:rFonts w:cs="Times New Roman" w:hint="eastAsia"/>
                <w:bCs/>
                <w:color w:val="000000" w:themeColor="text1"/>
                <w:kern w:val="0"/>
                <w:szCs w:val="21"/>
              </w:rPr>
              <w:t>厂区上游</w:t>
            </w:r>
          </w:p>
        </w:tc>
        <w:tc>
          <w:tcPr>
            <w:tcW w:w="550" w:type="pct"/>
            <w:vAlign w:val="center"/>
          </w:tcPr>
          <w:p w:rsidR="00644456" w:rsidRDefault="008031C4">
            <w:pPr>
              <w:adjustRightInd w:val="0"/>
              <w:jc w:val="center"/>
              <w:rPr>
                <w:rFonts w:cs="Times New Roman"/>
                <w:color w:val="000000" w:themeColor="text1"/>
                <w:szCs w:val="21"/>
              </w:rPr>
            </w:pPr>
            <w:r>
              <w:rPr>
                <w:rFonts w:cs="Times New Roman" w:hint="eastAsia"/>
                <w:color w:val="000000" w:themeColor="text1"/>
                <w:szCs w:val="21"/>
              </w:rPr>
              <w:t>背景值</w:t>
            </w:r>
            <w:r>
              <w:rPr>
                <w:rFonts w:cs="Times New Roman"/>
                <w:color w:val="000000" w:themeColor="text1"/>
                <w:szCs w:val="21"/>
              </w:rPr>
              <w:t>监测点</w:t>
            </w:r>
          </w:p>
        </w:tc>
        <w:tc>
          <w:tcPr>
            <w:tcW w:w="1022" w:type="pct"/>
            <w:vAlign w:val="center"/>
          </w:tcPr>
          <w:p w:rsidR="00644456" w:rsidRDefault="008031C4">
            <w:pPr>
              <w:adjustRightInd w:val="0"/>
              <w:jc w:val="center"/>
              <w:rPr>
                <w:rFonts w:cs="Times New Roman"/>
                <w:color w:val="000000" w:themeColor="text1"/>
                <w:spacing w:val="-6"/>
                <w:szCs w:val="21"/>
              </w:rPr>
            </w:pPr>
            <w:r>
              <w:rPr>
                <w:rFonts w:cs="Times New Roman" w:hint="eastAsia"/>
                <w:color w:val="000000" w:themeColor="text1"/>
                <w:spacing w:val="-6"/>
                <w:szCs w:val="21"/>
              </w:rPr>
              <w:t>E</w:t>
            </w:r>
            <w:r>
              <w:rPr>
                <w:rFonts w:cs="Times New Roman" w:hint="eastAsia"/>
                <w:color w:val="000000" w:themeColor="text1"/>
                <w:spacing w:val="-6"/>
                <w:szCs w:val="21"/>
              </w:rPr>
              <w:t>：</w:t>
            </w:r>
            <w:r>
              <w:rPr>
                <w:rFonts w:cs="Times New Roman" w:hint="eastAsia"/>
                <w:color w:val="000000" w:themeColor="text1"/>
                <w:spacing w:val="-6"/>
                <w:szCs w:val="21"/>
              </w:rPr>
              <w:t>84</w:t>
            </w:r>
            <w:r>
              <w:rPr>
                <w:rFonts w:cs="Times New Roman" w:hint="eastAsia"/>
                <w:color w:val="000000" w:themeColor="text1"/>
                <w:spacing w:val="-6"/>
                <w:szCs w:val="21"/>
              </w:rPr>
              <w:t>°</w:t>
            </w:r>
            <w:r>
              <w:rPr>
                <w:rFonts w:cs="Times New Roman" w:hint="eastAsia"/>
                <w:color w:val="000000" w:themeColor="text1"/>
                <w:spacing w:val="-6"/>
                <w:szCs w:val="21"/>
              </w:rPr>
              <w:t>45</w:t>
            </w:r>
            <w:r>
              <w:rPr>
                <w:rFonts w:cs="Times New Roman" w:hint="eastAsia"/>
                <w:color w:val="000000" w:themeColor="text1"/>
                <w:spacing w:val="-6"/>
                <w:szCs w:val="21"/>
              </w:rPr>
              <w:t>′</w:t>
            </w:r>
            <w:r>
              <w:rPr>
                <w:rFonts w:cs="Times New Roman" w:hint="eastAsia"/>
                <w:color w:val="000000" w:themeColor="text1"/>
                <w:spacing w:val="-6"/>
                <w:szCs w:val="21"/>
              </w:rPr>
              <w:t>00.77</w:t>
            </w:r>
            <w:r>
              <w:rPr>
                <w:rFonts w:cs="Times New Roman" w:hint="eastAsia"/>
                <w:color w:val="000000" w:themeColor="text1"/>
                <w:spacing w:val="-6"/>
                <w:szCs w:val="21"/>
              </w:rPr>
              <w:t>″</w:t>
            </w:r>
          </w:p>
          <w:p w:rsidR="00644456" w:rsidRDefault="008031C4">
            <w:pPr>
              <w:adjustRightInd w:val="0"/>
              <w:jc w:val="center"/>
              <w:rPr>
                <w:rFonts w:cs="Times New Roman"/>
                <w:color w:val="000000" w:themeColor="text1"/>
                <w:spacing w:val="-6"/>
                <w:szCs w:val="21"/>
              </w:rPr>
            </w:pPr>
            <w:r>
              <w:rPr>
                <w:rFonts w:cs="Times New Roman" w:hint="eastAsia"/>
                <w:color w:val="000000" w:themeColor="text1"/>
                <w:spacing w:val="-6"/>
                <w:szCs w:val="21"/>
              </w:rPr>
              <w:t>N</w:t>
            </w:r>
            <w:r>
              <w:rPr>
                <w:rFonts w:cs="Times New Roman" w:hint="eastAsia"/>
                <w:color w:val="000000" w:themeColor="text1"/>
                <w:spacing w:val="-6"/>
                <w:szCs w:val="21"/>
              </w:rPr>
              <w:t>：</w:t>
            </w:r>
            <w:r>
              <w:rPr>
                <w:rFonts w:cs="Times New Roman" w:hint="eastAsia"/>
                <w:color w:val="000000" w:themeColor="text1"/>
                <w:spacing w:val="-6"/>
                <w:szCs w:val="21"/>
              </w:rPr>
              <w:t>44</w:t>
            </w:r>
            <w:r>
              <w:rPr>
                <w:rFonts w:cs="Times New Roman" w:hint="eastAsia"/>
                <w:color w:val="000000" w:themeColor="text1"/>
                <w:spacing w:val="-6"/>
                <w:szCs w:val="21"/>
              </w:rPr>
              <w:t>°</w:t>
            </w:r>
            <w:r>
              <w:rPr>
                <w:rFonts w:cs="Times New Roman" w:hint="eastAsia"/>
                <w:color w:val="000000" w:themeColor="text1"/>
                <w:spacing w:val="-6"/>
                <w:szCs w:val="21"/>
              </w:rPr>
              <w:t>24</w:t>
            </w:r>
            <w:r>
              <w:rPr>
                <w:rFonts w:cs="Times New Roman" w:hint="eastAsia"/>
                <w:color w:val="000000" w:themeColor="text1"/>
                <w:spacing w:val="-6"/>
                <w:szCs w:val="21"/>
              </w:rPr>
              <w:t>′</w:t>
            </w:r>
            <w:r>
              <w:rPr>
                <w:rFonts w:cs="Times New Roman" w:hint="eastAsia"/>
                <w:color w:val="000000" w:themeColor="text1"/>
                <w:spacing w:val="-6"/>
                <w:szCs w:val="21"/>
              </w:rPr>
              <w:t>53.37</w:t>
            </w:r>
            <w:r>
              <w:rPr>
                <w:rFonts w:cs="Times New Roman" w:hint="eastAsia"/>
                <w:color w:val="000000" w:themeColor="text1"/>
                <w:spacing w:val="-6"/>
                <w:szCs w:val="21"/>
              </w:rPr>
              <w:t>″</w:t>
            </w:r>
          </w:p>
        </w:tc>
        <w:tc>
          <w:tcPr>
            <w:tcW w:w="630" w:type="pct"/>
            <w:vAlign w:val="center"/>
          </w:tcPr>
          <w:p w:rsidR="00644456" w:rsidRDefault="008031C4">
            <w:pPr>
              <w:adjustRightInd w:val="0"/>
              <w:jc w:val="center"/>
              <w:rPr>
                <w:color w:val="000000" w:themeColor="text1"/>
                <w:szCs w:val="21"/>
              </w:rPr>
            </w:pPr>
            <w:r>
              <w:rPr>
                <w:rFonts w:cs="Times New Roman"/>
                <w:color w:val="000000" w:themeColor="text1"/>
                <w:kern w:val="0"/>
                <w:szCs w:val="21"/>
                <w:u w:val="single"/>
                <w:lang w:bidi="ar"/>
              </w:rPr>
              <w:t>210</w:t>
            </w:r>
          </w:p>
        </w:tc>
        <w:tc>
          <w:tcPr>
            <w:tcW w:w="786" w:type="pct"/>
            <w:vMerge w:val="restart"/>
            <w:vAlign w:val="center"/>
          </w:tcPr>
          <w:p w:rsidR="00644456" w:rsidRDefault="008031C4">
            <w:pPr>
              <w:adjustRightInd w:val="0"/>
              <w:jc w:val="center"/>
              <w:rPr>
                <w:rFonts w:cs="Times New Roman"/>
                <w:color w:val="000000" w:themeColor="text1"/>
                <w:szCs w:val="21"/>
              </w:rPr>
            </w:pPr>
            <w:r>
              <w:rPr>
                <w:rFonts w:hint="eastAsia"/>
                <w:color w:val="000000" w:themeColor="text1"/>
                <w:szCs w:val="21"/>
              </w:rPr>
              <w:t>pH</w:t>
            </w:r>
            <w:r>
              <w:rPr>
                <w:rFonts w:hint="eastAsia"/>
                <w:color w:val="000000" w:themeColor="text1"/>
                <w:szCs w:val="21"/>
              </w:rPr>
              <w:t>、</w:t>
            </w:r>
            <w:r>
              <w:rPr>
                <w:rFonts w:hint="eastAsia"/>
                <w:color w:val="000000" w:themeColor="text1"/>
                <w:szCs w:val="21"/>
              </w:rPr>
              <w:t>CODMn</w:t>
            </w:r>
            <w:r>
              <w:rPr>
                <w:rFonts w:hint="eastAsia"/>
                <w:color w:val="000000" w:themeColor="text1"/>
                <w:szCs w:val="21"/>
              </w:rPr>
              <w:t>、氨氮、总磷、石油类</w:t>
            </w:r>
          </w:p>
        </w:tc>
        <w:tc>
          <w:tcPr>
            <w:tcW w:w="550" w:type="pct"/>
            <w:vMerge w:val="restart"/>
            <w:vAlign w:val="center"/>
          </w:tcPr>
          <w:p w:rsidR="00644456" w:rsidRDefault="008031C4">
            <w:pPr>
              <w:adjustRightInd w:val="0"/>
              <w:jc w:val="center"/>
              <w:rPr>
                <w:rFonts w:cs="Times New Roman"/>
                <w:color w:val="000000" w:themeColor="text1"/>
                <w:szCs w:val="21"/>
              </w:rPr>
            </w:pPr>
            <w:r>
              <w:rPr>
                <w:rFonts w:cs="Times New Roman" w:hint="eastAsia"/>
                <w:color w:val="000000" w:themeColor="text1"/>
                <w:szCs w:val="21"/>
              </w:rPr>
              <w:t>每季一次</w:t>
            </w:r>
          </w:p>
        </w:tc>
        <w:tc>
          <w:tcPr>
            <w:tcW w:w="599" w:type="pct"/>
            <w:vMerge w:val="restart"/>
            <w:vAlign w:val="center"/>
          </w:tcPr>
          <w:p w:rsidR="00644456" w:rsidRDefault="008031C4">
            <w:pPr>
              <w:adjustRightInd w:val="0"/>
              <w:jc w:val="center"/>
              <w:rPr>
                <w:rFonts w:cs="Times New Roman"/>
                <w:color w:val="000000" w:themeColor="text1"/>
                <w:szCs w:val="21"/>
              </w:rPr>
            </w:pPr>
            <w:r>
              <w:rPr>
                <w:rFonts w:cs="Times New Roman"/>
                <w:color w:val="000000" w:themeColor="text1"/>
                <w:szCs w:val="21"/>
              </w:rPr>
              <w:t>碎屑岩类裂隙水含水层</w:t>
            </w:r>
          </w:p>
        </w:tc>
      </w:tr>
      <w:tr w:rsidR="00644456">
        <w:trPr>
          <w:trHeight w:val="508"/>
          <w:jc w:val="center"/>
        </w:trPr>
        <w:tc>
          <w:tcPr>
            <w:tcW w:w="312" w:type="pct"/>
            <w:vAlign w:val="center"/>
          </w:tcPr>
          <w:p w:rsidR="00644456" w:rsidRDefault="008031C4">
            <w:pPr>
              <w:adjustRightInd w:val="0"/>
              <w:snapToGrid w:val="0"/>
              <w:jc w:val="center"/>
              <w:rPr>
                <w:rFonts w:cs="Times New Roman"/>
                <w:bCs/>
                <w:color w:val="000000" w:themeColor="text1"/>
                <w:kern w:val="0"/>
                <w:szCs w:val="21"/>
              </w:rPr>
            </w:pPr>
            <w:r>
              <w:rPr>
                <w:rFonts w:cs="Times New Roman" w:hint="eastAsia"/>
                <w:bCs/>
                <w:color w:val="000000" w:themeColor="text1"/>
                <w:kern w:val="0"/>
                <w:szCs w:val="21"/>
              </w:rPr>
              <w:t>2#</w:t>
            </w:r>
          </w:p>
        </w:tc>
        <w:tc>
          <w:tcPr>
            <w:tcW w:w="551" w:type="pct"/>
            <w:vAlign w:val="center"/>
          </w:tcPr>
          <w:p w:rsidR="00644456" w:rsidRDefault="008031C4">
            <w:pPr>
              <w:adjustRightInd w:val="0"/>
              <w:snapToGrid w:val="0"/>
              <w:jc w:val="center"/>
              <w:rPr>
                <w:rFonts w:cs="Times New Roman"/>
                <w:bCs/>
                <w:color w:val="000000" w:themeColor="text1"/>
                <w:kern w:val="0"/>
                <w:szCs w:val="21"/>
              </w:rPr>
            </w:pPr>
            <w:r>
              <w:rPr>
                <w:rFonts w:cs="Times New Roman" w:hint="eastAsia"/>
                <w:bCs/>
                <w:color w:val="000000" w:themeColor="text1"/>
                <w:kern w:val="0"/>
                <w:szCs w:val="21"/>
              </w:rPr>
              <w:t>厂区内部下游方向</w:t>
            </w:r>
          </w:p>
        </w:tc>
        <w:tc>
          <w:tcPr>
            <w:tcW w:w="550" w:type="pct"/>
            <w:vAlign w:val="center"/>
          </w:tcPr>
          <w:p w:rsidR="00644456" w:rsidRDefault="008031C4">
            <w:pPr>
              <w:adjustRightInd w:val="0"/>
              <w:jc w:val="center"/>
              <w:rPr>
                <w:rFonts w:cs="Times New Roman"/>
                <w:color w:val="000000" w:themeColor="text1"/>
                <w:szCs w:val="21"/>
              </w:rPr>
            </w:pPr>
            <w:r>
              <w:rPr>
                <w:rFonts w:cs="Times New Roman" w:hint="eastAsia"/>
                <w:color w:val="000000" w:themeColor="text1"/>
                <w:szCs w:val="21"/>
              </w:rPr>
              <w:t>污染跟踪监测点</w:t>
            </w:r>
          </w:p>
        </w:tc>
        <w:tc>
          <w:tcPr>
            <w:tcW w:w="1022" w:type="pct"/>
            <w:vAlign w:val="center"/>
          </w:tcPr>
          <w:p w:rsidR="00644456" w:rsidRDefault="008031C4">
            <w:pPr>
              <w:adjustRightInd w:val="0"/>
              <w:jc w:val="center"/>
              <w:rPr>
                <w:rFonts w:cs="Times New Roman"/>
                <w:color w:val="000000" w:themeColor="text1"/>
                <w:spacing w:val="-6"/>
                <w:szCs w:val="21"/>
              </w:rPr>
            </w:pPr>
            <w:r>
              <w:rPr>
                <w:rFonts w:cs="Times New Roman" w:hint="eastAsia"/>
                <w:color w:val="000000" w:themeColor="text1"/>
                <w:spacing w:val="-6"/>
                <w:szCs w:val="21"/>
              </w:rPr>
              <w:t>E</w:t>
            </w:r>
            <w:r>
              <w:rPr>
                <w:rFonts w:cs="Times New Roman" w:hint="eastAsia"/>
                <w:color w:val="000000" w:themeColor="text1"/>
                <w:spacing w:val="-6"/>
                <w:szCs w:val="21"/>
              </w:rPr>
              <w:t>：</w:t>
            </w:r>
            <w:r>
              <w:rPr>
                <w:rFonts w:cs="Times New Roman" w:hint="eastAsia"/>
                <w:color w:val="000000" w:themeColor="text1"/>
                <w:spacing w:val="-6"/>
                <w:szCs w:val="21"/>
              </w:rPr>
              <w:t>84</w:t>
            </w:r>
            <w:r>
              <w:rPr>
                <w:rFonts w:cs="Times New Roman" w:hint="eastAsia"/>
                <w:color w:val="000000" w:themeColor="text1"/>
                <w:spacing w:val="-6"/>
                <w:szCs w:val="21"/>
              </w:rPr>
              <w:t>°</w:t>
            </w:r>
            <w:r>
              <w:rPr>
                <w:rFonts w:cs="Times New Roman" w:hint="eastAsia"/>
                <w:color w:val="000000" w:themeColor="text1"/>
                <w:spacing w:val="-6"/>
                <w:szCs w:val="21"/>
              </w:rPr>
              <w:t>45</w:t>
            </w:r>
            <w:r>
              <w:rPr>
                <w:rFonts w:cs="Times New Roman" w:hint="eastAsia"/>
                <w:color w:val="000000" w:themeColor="text1"/>
                <w:spacing w:val="-6"/>
                <w:szCs w:val="21"/>
              </w:rPr>
              <w:t>′</w:t>
            </w:r>
            <w:r>
              <w:rPr>
                <w:rFonts w:cs="Times New Roman" w:hint="eastAsia"/>
                <w:color w:val="000000" w:themeColor="text1"/>
                <w:spacing w:val="-6"/>
                <w:szCs w:val="21"/>
              </w:rPr>
              <w:t>10.54</w:t>
            </w:r>
            <w:r>
              <w:rPr>
                <w:rFonts w:cs="Times New Roman" w:hint="eastAsia"/>
                <w:color w:val="000000" w:themeColor="text1"/>
                <w:spacing w:val="-6"/>
                <w:szCs w:val="21"/>
              </w:rPr>
              <w:t>″</w:t>
            </w:r>
          </w:p>
          <w:p w:rsidR="00644456" w:rsidRDefault="008031C4">
            <w:pPr>
              <w:adjustRightInd w:val="0"/>
              <w:jc w:val="center"/>
              <w:rPr>
                <w:rFonts w:cs="Times New Roman"/>
                <w:color w:val="000000" w:themeColor="text1"/>
                <w:spacing w:val="-6"/>
                <w:szCs w:val="21"/>
              </w:rPr>
            </w:pPr>
            <w:r>
              <w:rPr>
                <w:rFonts w:cs="Times New Roman" w:hint="eastAsia"/>
                <w:color w:val="000000" w:themeColor="text1"/>
                <w:spacing w:val="-6"/>
                <w:szCs w:val="21"/>
              </w:rPr>
              <w:t>N</w:t>
            </w:r>
            <w:r>
              <w:rPr>
                <w:rFonts w:cs="Times New Roman" w:hint="eastAsia"/>
                <w:color w:val="000000" w:themeColor="text1"/>
                <w:spacing w:val="-6"/>
                <w:szCs w:val="21"/>
              </w:rPr>
              <w:t>：</w:t>
            </w:r>
            <w:r>
              <w:rPr>
                <w:rFonts w:cs="Times New Roman" w:hint="eastAsia"/>
                <w:color w:val="000000" w:themeColor="text1"/>
                <w:spacing w:val="-6"/>
                <w:szCs w:val="21"/>
              </w:rPr>
              <w:t>44</w:t>
            </w:r>
            <w:r>
              <w:rPr>
                <w:rFonts w:cs="Times New Roman" w:hint="eastAsia"/>
                <w:color w:val="000000" w:themeColor="text1"/>
                <w:spacing w:val="-6"/>
                <w:szCs w:val="21"/>
              </w:rPr>
              <w:t>°</w:t>
            </w:r>
            <w:r>
              <w:rPr>
                <w:rFonts w:cs="Times New Roman" w:hint="eastAsia"/>
                <w:color w:val="000000" w:themeColor="text1"/>
                <w:spacing w:val="-6"/>
                <w:szCs w:val="21"/>
              </w:rPr>
              <w:t>25</w:t>
            </w:r>
            <w:r>
              <w:rPr>
                <w:rFonts w:cs="Times New Roman" w:hint="eastAsia"/>
                <w:color w:val="000000" w:themeColor="text1"/>
                <w:spacing w:val="-6"/>
                <w:szCs w:val="21"/>
              </w:rPr>
              <w:t>′</w:t>
            </w:r>
            <w:r>
              <w:rPr>
                <w:rFonts w:cs="Times New Roman" w:hint="eastAsia"/>
                <w:color w:val="000000" w:themeColor="text1"/>
                <w:spacing w:val="-6"/>
                <w:szCs w:val="21"/>
              </w:rPr>
              <w:t>17.26</w:t>
            </w:r>
            <w:r>
              <w:rPr>
                <w:rFonts w:cs="Times New Roman" w:hint="eastAsia"/>
                <w:color w:val="000000" w:themeColor="text1"/>
                <w:spacing w:val="-6"/>
                <w:szCs w:val="21"/>
              </w:rPr>
              <w:t>″</w:t>
            </w:r>
          </w:p>
        </w:tc>
        <w:tc>
          <w:tcPr>
            <w:tcW w:w="630" w:type="pct"/>
            <w:vAlign w:val="center"/>
          </w:tcPr>
          <w:p w:rsidR="00644456" w:rsidRDefault="008031C4">
            <w:pPr>
              <w:adjustRightInd w:val="0"/>
              <w:jc w:val="center"/>
              <w:rPr>
                <w:rFonts w:cs="Times New Roman"/>
                <w:color w:val="000000" w:themeColor="text1"/>
                <w:szCs w:val="21"/>
              </w:rPr>
            </w:pPr>
            <w:r>
              <w:rPr>
                <w:rFonts w:cs="Times New Roman"/>
                <w:color w:val="000000" w:themeColor="text1"/>
                <w:kern w:val="0"/>
                <w:szCs w:val="21"/>
                <w:u w:val="single"/>
                <w:lang w:bidi="ar"/>
              </w:rPr>
              <w:t>224</w:t>
            </w:r>
          </w:p>
        </w:tc>
        <w:tc>
          <w:tcPr>
            <w:tcW w:w="786" w:type="pct"/>
            <w:vMerge/>
            <w:vAlign w:val="center"/>
          </w:tcPr>
          <w:p w:rsidR="00644456" w:rsidRDefault="00644456">
            <w:pPr>
              <w:adjustRightInd w:val="0"/>
              <w:jc w:val="center"/>
              <w:rPr>
                <w:rFonts w:cs="Times New Roman"/>
                <w:color w:val="000000" w:themeColor="text1"/>
                <w:szCs w:val="21"/>
              </w:rPr>
            </w:pPr>
          </w:p>
        </w:tc>
        <w:tc>
          <w:tcPr>
            <w:tcW w:w="550" w:type="pct"/>
            <w:vMerge/>
            <w:vAlign w:val="center"/>
          </w:tcPr>
          <w:p w:rsidR="00644456" w:rsidRDefault="00644456">
            <w:pPr>
              <w:adjustRightInd w:val="0"/>
              <w:jc w:val="center"/>
              <w:rPr>
                <w:rFonts w:cs="Times New Roman"/>
                <w:color w:val="000000" w:themeColor="text1"/>
                <w:szCs w:val="21"/>
              </w:rPr>
            </w:pPr>
          </w:p>
        </w:tc>
        <w:tc>
          <w:tcPr>
            <w:tcW w:w="599" w:type="pct"/>
            <w:vMerge/>
            <w:vAlign w:val="center"/>
          </w:tcPr>
          <w:p w:rsidR="00644456" w:rsidRDefault="00644456">
            <w:pPr>
              <w:adjustRightInd w:val="0"/>
              <w:jc w:val="center"/>
              <w:rPr>
                <w:rFonts w:cs="Times New Roman"/>
                <w:color w:val="000000" w:themeColor="text1"/>
                <w:szCs w:val="21"/>
              </w:rPr>
            </w:pPr>
          </w:p>
        </w:tc>
      </w:tr>
      <w:tr w:rsidR="00644456">
        <w:trPr>
          <w:jc w:val="center"/>
        </w:trPr>
        <w:tc>
          <w:tcPr>
            <w:tcW w:w="312" w:type="pct"/>
            <w:vAlign w:val="center"/>
          </w:tcPr>
          <w:p w:rsidR="00644456" w:rsidRDefault="008031C4">
            <w:pPr>
              <w:adjustRightInd w:val="0"/>
              <w:snapToGrid w:val="0"/>
              <w:jc w:val="center"/>
              <w:rPr>
                <w:rFonts w:cs="Times New Roman"/>
                <w:bCs/>
                <w:color w:val="000000" w:themeColor="text1"/>
                <w:kern w:val="0"/>
                <w:szCs w:val="21"/>
              </w:rPr>
            </w:pPr>
            <w:r>
              <w:rPr>
                <w:rFonts w:cs="Times New Roman" w:hint="eastAsia"/>
                <w:bCs/>
                <w:color w:val="000000" w:themeColor="text1"/>
                <w:kern w:val="0"/>
                <w:szCs w:val="21"/>
              </w:rPr>
              <w:t>3</w:t>
            </w:r>
            <w:r>
              <w:rPr>
                <w:rFonts w:cs="Times New Roman"/>
                <w:bCs/>
                <w:color w:val="000000" w:themeColor="text1"/>
                <w:kern w:val="0"/>
                <w:szCs w:val="21"/>
              </w:rPr>
              <w:t>#</w:t>
            </w:r>
          </w:p>
        </w:tc>
        <w:tc>
          <w:tcPr>
            <w:tcW w:w="551" w:type="pct"/>
            <w:vAlign w:val="center"/>
          </w:tcPr>
          <w:p w:rsidR="00644456" w:rsidRDefault="008031C4">
            <w:pPr>
              <w:adjustRightInd w:val="0"/>
              <w:snapToGrid w:val="0"/>
              <w:jc w:val="center"/>
              <w:rPr>
                <w:rFonts w:ascii="Times" w:hAnsi="宋体" w:cs="Times New Roman"/>
                <w:color w:val="000000" w:themeColor="text1"/>
                <w:szCs w:val="21"/>
              </w:rPr>
            </w:pPr>
            <w:r>
              <w:rPr>
                <w:rFonts w:ascii="Times" w:hAnsi="宋体" w:cs="Times New Roman" w:hint="eastAsia"/>
                <w:color w:val="000000" w:themeColor="text1"/>
                <w:szCs w:val="21"/>
              </w:rPr>
              <w:t>厂区下游</w:t>
            </w:r>
          </w:p>
        </w:tc>
        <w:tc>
          <w:tcPr>
            <w:tcW w:w="550" w:type="pct"/>
            <w:vAlign w:val="center"/>
          </w:tcPr>
          <w:p w:rsidR="00644456" w:rsidRDefault="008031C4">
            <w:pPr>
              <w:adjustRightInd w:val="0"/>
              <w:jc w:val="center"/>
              <w:rPr>
                <w:rFonts w:cs="Times New Roman"/>
                <w:color w:val="000000" w:themeColor="text1"/>
                <w:szCs w:val="21"/>
              </w:rPr>
            </w:pPr>
            <w:r>
              <w:rPr>
                <w:rFonts w:cs="Times New Roman" w:hint="eastAsia"/>
                <w:color w:val="000000" w:themeColor="text1"/>
                <w:szCs w:val="21"/>
              </w:rPr>
              <w:t>污染扩散监测点</w:t>
            </w:r>
          </w:p>
        </w:tc>
        <w:tc>
          <w:tcPr>
            <w:tcW w:w="1022" w:type="pct"/>
            <w:vAlign w:val="center"/>
          </w:tcPr>
          <w:p w:rsidR="00644456" w:rsidRDefault="008031C4">
            <w:pPr>
              <w:adjustRightInd w:val="0"/>
              <w:jc w:val="center"/>
              <w:rPr>
                <w:rFonts w:cs="Times New Roman"/>
                <w:color w:val="000000" w:themeColor="text1"/>
                <w:spacing w:val="-6"/>
                <w:szCs w:val="21"/>
              </w:rPr>
            </w:pPr>
            <w:r>
              <w:rPr>
                <w:rFonts w:cs="Times New Roman" w:hint="eastAsia"/>
                <w:color w:val="000000" w:themeColor="text1"/>
                <w:spacing w:val="-6"/>
                <w:szCs w:val="21"/>
              </w:rPr>
              <w:t>E</w:t>
            </w:r>
            <w:r>
              <w:rPr>
                <w:rFonts w:cs="Times New Roman" w:hint="eastAsia"/>
                <w:color w:val="000000" w:themeColor="text1"/>
                <w:spacing w:val="-6"/>
                <w:szCs w:val="21"/>
              </w:rPr>
              <w:t>：</w:t>
            </w:r>
            <w:r>
              <w:rPr>
                <w:rFonts w:cs="Times New Roman" w:hint="eastAsia"/>
                <w:color w:val="000000" w:themeColor="text1"/>
                <w:spacing w:val="-6"/>
                <w:szCs w:val="21"/>
              </w:rPr>
              <w:t>84</w:t>
            </w:r>
            <w:r>
              <w:rPr>
                <w:rFonts w:cs="Times New Roman" w:hint="eastAsia"/>
                <w:color w:val="000000" w:themeColor="text1"/>
                <w:spacing w:val="-6"/>
                <w:szCs w:val="21"/>
              </w:rPr>
              <w:t>°</w:t>
            </w:r>
            <w:r>
              <w:rPr>
                <w:rFonts w:cs="Times New Roman" w:hint="eastAsia"/>
                <w:color w:val="000000" w:themeColor="text1"/>
                <w:spacing w:val="-6"/>
                <w:szCs w:val="21"/>
              </w:rPr>
              <w:t>44</w:t>
            </w:r>
            <w:r>
              <w:rPr>
                <w:rFonts w:cs="Times New Roman" w:hint="eastAsia"/>
                <w:color w:val="000000" w:themeColor="text1"/>
                <w:spacing w:val="-6"/>
                <w:szCs w:val="21"/>
              </w:rPr>
              <w:t>′</w:t>
            </w:r>
            <w:r>
              <w:rPr>
                <w:rFonts w:cs="Times New Roman" w:hint="eastAsia"/>
                <w:color w:val="000000" w:themeColor="text1"/>
                <w:spacing w:val="-6"/>
                <w:szCs w:val="21"/>
              </w:rPr>
              <w:t>40.03</w:t>
            </w:r>
            <w:r>
              <w:rPr>
                <w:rFonts w:cs="Times New Roman" w:hint="eastAsia"/>
                <w:color w:val="000000" w:themeColor="text1"/>
                <w:spacing w:val="-6"/>
                <w:szCs w:val="21"/>
              </w:rPr>
              <w:t>″</w:t>
            </w:r>
          </w:p>
          <w:p w:rsidR="00644456" w:rsidRDefault="008031C4">
            <w:pPr>
              <w:adjustRightInd w:val="0"/>
              <w:jc w:val="center"/>
              <w:rPr>
                <w:rFonts w:cs="Times New Roman"/>
                <w:color w:val="000000" w:themeColor="text1"/>
                <w:spacing w:val="-6"/>
                <w:szCs w:val="21"/>
              </w:rPr>
            </w:pPr>
            <w:r>
              <w:rPr>
                <w:rFonts w:cs="Times New Roman" w:hint="eastAsia"/>
                <w:color w:val="000000" w:themeColor="text1"/>
                <w:spacing w:val="-6"/>
                <w:szCs w:val="21"/>
              </w:rPr>
              <w:t>N</w:t>
            </w:r>
            <w:r>
              <w:rPr>
                <w:rFonts w:cs="Times New Roman" w:hint="eastAsia"/>
                <w:color w:val="000000" w:themeColor="text1"/>
                <w:spacing w:val="-6"/>
                <w:szCs w:val="21"/>
              </w:rPr>
              <w:t>：</w:t>
            </w:r>
            <w:r>
              <w:rPr>
                <w:rFonts w:cs="Times New Roman" w:hint="eastAsia"/>
                <w:color w:val="000000" w:themeColor="text1"/>
                <w:spacing w:val="-6"/>
                <w:szCs w:val="21"/>
              </w:rPr>
              <w:t>44</w:t>
            </w:r>
            <w:r>
              <w:rPr>
                <w:rFonts w:cs="Times New Roman" w:hint="eastAsia"/>
                <w:color w:val="000000" w:themeColor="text1"/>
                <w:spacing w:val="-6"/>
                <w:szCs w:val="21"/>
              </w:rPr>
              <w:t>°</w:t>
            </w:r>
            <w:r>
              <w:rPr>
                <w:rFonts w:cs="Times New Roman" w:hint="eastAsia"/>
                <w:color w:val="000000" w:themeColor="text1"/>
                <w:spacing w:val="-6"/>
                <w:szCs w:val="21"/>
              </w:rPr>
              <w:t>25</w:t>
            </w:r>
            <w:r>
              <w:rPr>
                <w:rFonts w:cs="Times New Roman" w:hint="eastAsia"/>
                <w:color w:val="000000" w:themeColor="text1"/>
                <w:spacing w:val="-6"/>
                <w:szCs w:val="21"/>
              </w:rPr>
              <w:t>′</w:t>
            </w:r>
            <w:r>
              <w:rPr>
                <w:rFonts w:cs="Times New Roman" w:hint="eastAsia"/>
                <w:color w:val="000000" w:themeColor="text1"/>
                <w:spacing w:val="-6"/>
                <w:szCs w:val="21"/>
              </w:rPr>
              <w:t>23.09</w:t>
            </w:r>
            <w:r>
              <w:rPr>
                <w:rFonts w:cs="Times New Roman" w:hint="eastAsia"/>
                <w:color w:val="000000" w:themeColor="text1"/>
                <w:spacing w:val="-6"/>
                <w:szCs w:val="21"/>
              </w:rPr>
              <w:t>″</w:t>
            </w:r>
          </w:p>
        </w:tc>
        <w:tc>
          <w:tcPr>
            <w:tcW w:w="630" w:type="pct"/>
            <w:vAlign w:val="center"/>
          </w:tcPr>
          <w:p w:rsidR="00644456" w:rsidRDefault="008031C4">
            <w:pPr>
              <w:adjustRightInd w:val="0"/>
              <w:jc w:val="center"/>
              <w:rPr>
                <w:rFonts w:cs="Times New Roman"/>
                <w:color w:val="000000" w:themeColor="text1"/>
                <w:szCs w:val="21"/>
              </w:rPr>
            </w:pPr>
            <w:r>
              <w:rPr>
                <w:rFonts w:cs="Times New Roman"/>
                <w:color w:val="000000" w:themeColor="text1"/>
                <w:szCs w:val="21"/>
              </w:rPr>
              <w:t>250</w:t>
            </w:r>
          </w:p>
        </w:tc>
        <w:tc>
          <w:tcPr>
            <w:tcW w:w="786" w:type="pct"/>
            <w:vMerge/>
            <w:vAlign w:val="center"/>
          </w:tcPr>
          <w:p w:rsidR="00644456" w:rsidRDefault="00644456">
            <w:pPr>
              <w:adjustRightInd w:val="0"/>
              <w:jc w:val="center"/>
              <w:rPr>
                <w:rFonts w:cs="Times New Roman"/>
                <w:color w:val="000000" w:themeColor="text1"/>
                <w:szCs w:val="21"/>
              </w:rPr>
            </w:pPr>
          </w:p>
        </w:tc>
        <w:tc>
          <w:tcPr>
            <w:tcW w:w="550" w:type="pct"/>
            <w:vMerge/>
            <w:vAlign w:val="center"/>
          </w:tcPr>
          <w:p w:rsidR="00644456" w:rsidRDefault="00644456">
            <w:pPr>
              <w:adjustRightInd w:val="0"/>
              <w:jc w:val="center"/>
              <w:rPr>
                <w:rFonts w:cs="Times New Roman"/>
                <w:color w:val="000000" w:themeColor="text1"/>
                <w:szCs w:val="21"/>
              </w:rPr>
            </w:pPr>
          </w:p>
        </w:tc>
        <w:tc>
          <w:tcPr>
            <w:tcW w:w="599" w:type="pct"/>
            <w:vMerge/>
            <w:vAlign w:val="center"/>
          </w:tcPr>
          <w:p w:rsidR="00644456" w:rsidRDefault="00644456">
            <w:pPr>
              <w:adjustRightInd w:val="0"/>
              <w:jc w:val="center"/>
              <w:rPr>
                <w:rFonts w:cs="Times New Roman"/>
                <w:color w:val="000000" w:themeColor="text1"/>
                <w:szCs w:val="21"/>
              </w:rPr>
            </w:pPr>
          </w:p>
        </w:tc>
      </w:tr>
    </w:tbl>
    <w:p w:rsidR="00644456" w:rsidRDefault="008031C4">
      <w:pPr>
        <w:autoSpaceDE w:val="0"/>
        <w:autoSpaceDN w:val="0"/>
        <w:adjustRightInd w:val="0"/>
        <w:snapToGrid w:val="0"/>
        <w:spacing w:line="360" w:lineRule="auto"/>
        <w:ind w:firstLineChars="200" w:firstLine="482"/>
        <w:rPr>
          <w:rFonts w:cs="Times New Roman"/>
          <w:b/>
          <w:snapToGrid w:val="0"/>
          <w:color w:val="000000" w:themeColor="text1"/>
          <w:sz w:val="24"/>
          <w:szCs w:val="20"/>
        </w:rPr>
      </w:pPr>
      <w:r>
        <w:rPr>
          <w:rFonts w:cs="Times New Roman" w:hint="eastAsia"/>
          <w:b/>
          <w:snapToGrid w:val="0"/>
          <w:color w:val="000000" w:themeColor="text1"/>
          <w:sz w:val="24"/>
          <w:szCs w:val="20"/>
        </w:rPr>
        <w:t>（</w:t>
      </w:r>
      <w:r>
        <w:rPr>
          <w:rFonts w:cs="Times New Roman"/>
          <w:b/>
          <w:snapToGrid w:val="0"/>
          <w:color w:val="000000" w:themeColor="text1"/>
          <w:sz w:val="24"/>
          <w:szCs w:val="20"/>
        </w:rPr>
        <w:t>3</w:t>
      </w:r>
      <w:r>
        <w:rPr>
          <w:rFonts w:cs="Times New Roman" w:hint="eastAsia"/>
          <w:b/>
          <w:snapToGrid w:val="0"/>
          <w:color w:val="000000" w:themeColor="text1"/>
          <w:sz w:val="24"/>
          <w:szCs w:val="20"/>
        </w:rPr>
        <w:t>）</w:t>
      </w:r>
      <w:r>
        <w:rPr>
          <w:rFonts w:cs="Times New Roman"/>
          <w:b/>
          <w:snapToGrid w:val="0"/>
          <w:color w:val="000000" w:themeColor="text1"/>
          <w:sz w:val="24"/>
          <w:szCs w:val="20"/>
        </w:rPr>
        <w:t>监测井的基本要求</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t>1</w:t>
      </w:r>
      <w:r>
        <w:rPr>
          <w:rFonts w:cs="Times New Roman"/>
          <w:snapToGrid w:val="0"/>
          <w:color w:val="000000" w:themeColor="text1"/>
          <w:sz w:val="24"/>
          <w:szCs w:val="20"/>
        </w:rPr>
        <w:t>、监测井井管应由坚固、耐腐蚀、对地下水水质</w:t>
      </w:r>
      <w:r>
        <w:rPr>
          <w:rFonts w:cs="Times New Roman" w:hint="eastAsia"/>
          <w:snapToGrid w:val="0"/>
          <w:color w:val="000000" w:themeColor="text1"/>
          <w:sz w:val="24"/>
          <w:szCs w:val="20"/>
        </w:rPr>
        <w:t>无</w:t>
      </w:r>
      <w:r>
        <w:rPr>
          <w:rFonts w:cs="Times New Roman"/>
          <w:snapToGrid w:val="0"/>
          <w:color w:val="000000" w:themeColor="text1"/>
          <w:sz w:val="24"/>
          <w:szCs w:val="20"/>
        </w:rPr>
        <w:t>污染的材料制成。</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t>2</w:t>
      </w:r>
      <w:r>
        <w:rPr>
          <w:rFonts w:cs="Times New Roman"/>
          <w:snapToGrid w:val="0"/>
          <w:color w:val="000000" w:themeColor="text1"/>
          <w:sz w:val="24"/>
          <w:szCs w:val="20"/>
        </w:rPr>
        <w:t>、监测井顶角斜度每百米井深不得超过</w:t>
      </w:r>
      <w:r>
        <w:rPr>
          <w:rFonts w:cs="Times New Roman"/>
          <w:snapToGrid w:val="0"/>
          <w:color w:val="000000" w:themeColor="text1"/>
          <w:sz w:val="24"/>
          <w:szCs w:val="20"/>
        </w:rPr>
        <w:t>2°</w:t>
      </w:r>
      <w:r>
        <w:rPr>
          <w:rFonts w:cs="Times New Roman"/>
          <w:snapToGrid w:val="0"/>
          <w:color w:val="000000" w:themeColor="text1"/>
          <w:sz w:val="24"/>
          <w:szCs w:val="20"/>
        </w:rPr>
        <w:t>。</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t>3</w:t>
      </w:r>
      <w:r>
        <w:rPr>
          <w:rFonts w:cs="Times New Roman"/>
          <w:snapToGrid w:val="0"/>
          <w:color w:val="000000" w:themeColor="text1"/>
          <w:sz w:val="24"/>
          <w:szCs w:val="20"/>
        </w:rPr>
        <w:t>、监测井井管内径不宜小于</w:t>
      </w:r>
      <w:r>
        <w:rPr>
          <w:rFonts w:cs="Times New Roman"/>
          <w:snapToGrid w:val="0"/>
          <w:color w:val="000000" w:themeColor="text1"/>
          <w:sz w:val="24"/>
          <w:szCs w:val="20"/>
        </w:rPr>
        <w:t>0.1m</w:t>
      </w:r>
      <w:r>
        <w:rPr>
          <w:rFonts w:cs="Times New Roman"/>
          <w:snapToGrid w:val="0"/>
          <w:color w:val="000000" w:themeColor="text1"/>
          <w:sz w:val="24"/>
          <w:szCs w:val="20"/>
        </w:rPr>
        <w:t>。</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t>4</w:t>
      </w:r>
      <w:r>
        <w:rPr>
          <w:rFonts w:cs="Times New Roman"/>
          <w:snapToGrid w:val="0"/>
          <w:color w:val="000000" w:themeColor="text1"/>
          <w:sz w:val="24"/>
          <w:szCs w:val="20"/>
        </w:rPr>
        <w:t>、滤水段透水性良好，向井内注入灌水段</w:t>
      </w:r>
      <w:r>
        <w:rPr>
          <w:rFonts w:cs="Times New Roman"/>
          <w:snapToGrid w:val="0"/>
          <w:color w:val="000000" w:themeColor="text1"/>
          <w:sz w:val="24"/>
          <w:szCs w:val="20"/>
        </w:rPr>
        <w:t>1m</w:t>
      </w:r>
      <w:r>
        <w:rPr>
          <w:rFonts w:cs="Times New Roman"/>
          <w:snapToGrid w:val="0"/>
          <w:color w:val="000000" w:themeColor="text1"/>
          <w:sz w:val="24"/>
          <w:szCs w:val="20"/>
        </w:rPr>
        <w:t>井管容积的水量，水位复原时间不超过</w:t>
      </w:r>
      <w:r>
        <w:rPr>
          <w:rFonts w:cs="Times New Roman"/>
          <w:snapToGrid w:val="0"/>
          <w:color w:val="000000" w:themeColor="text1"/>
          <w:sz w:val="24"/>
          <w:szCs w:val="20"/>
        </w:rPr>
        <w:t>10min</w:t>
      </w:r>
      <w:r>
        <w:rPr>
          <w:rFonts w:cs="Times New Roman"/>
          <w:snapToGrid w:val="0"/>
          <w:color w:val="000000" w:themeColor="text1"/>
          <w:sz w:val="24"/>
          <w:szCs w:val="20"/>
        </w:rPr>
        <w:t>，滤水材料应对地下水水质无污染。</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t>5</w:t>
      </w:r>
      <w:r>
        <w:rPr>
          <w:rFonts w:cs="Times New Roman"/>
          <w:snapToGrid w:val="0"/>
          <w:color w:val="000000" w:themeColor="text1"/>
          <w:sz w:val="24"/>
          <w:szCs w:val="20"/>
        </w:rPr>
        <w:t>、监测井目的层与其他含水层之间止水良好，承压监测井应分层止水。潜水监测井不得穿过潜水含水层下的隔水层底板。</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t>6</w:t>
      </w:r>
      <w:r>
        <w:rPr>
          <w:rFonts w:cs="Times New Roman"/>
          <w:snapToGrid w:val="0"/>
          <w:color w:val="000000" w:themeColor="text1"/>
          <w:sz w:val="24"/>
          <w:szCs w:val="20"/>
        </w:rPr>
        <w:t>、终孔直径不宜小于</w:t>
      </w:r>
      <w:r>
        <w:rPr>
          <w:rFonts w:cs="Times New Roman"/>
          <w:snapToGrid w:val="0"/>
          <w:color w:val="000000" w:themeColor="text1"/>
          <w:sz w:val="24"/>
          <w:szCs w:val="20"/>
        </w:rPr>
        <w:t>0.25m</w:t>
      </w:r>
      <w:r>
        <w:rPr>
          <w:rFonts w:cs="Times New Roman"/>
          <w:snapToGrid w:val="0"/>
          <w:color w:val="000000" w:themeColor="text1"/>
          <w:sz w:val="24"/>
          <w:szCs w:val="20"/>
        </w:rPr>
        <w:t>，设计动水位以下的含水层段应安装滤水管，反滤层厚度不小于</w:t>
      </w:r>
      <w:r>
        <w:rPr>
          <w:rFonts w:cs="Times New Roman"/>
          <w:snapToGrid w:val="0"/>
          <w:color w:val="000000" w:themeColor="text1"/>
          <w:sz w:val="24"/>
          <w:szCs w:val="20"/>
        </w:rPr>
        <w:t>0.05m</w:t>
      </w:r>
      <w:r>
        <w:rPr>
          <w:rFonts w:cs="Times New Roman"/>
          <w:snapToGrid w:val="0"/>
          <w:color w:val="000000" w:themeColor="text1"/>
          <w:sz w:val="24"/>
          <w:szCs w:val="20"/>
        </w:rPr>
        <w:t>。</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t>7</w:t>
      </w:r>
      <w:r>
        <w:rPr>
          <w:rFonts w:cs="Times New Roman"/>
          <w:snapToGrid w:val="0"/>
          <w:color w:val="000000" w:themeColor="text1"/>
          <w:sz w:val="24"/>
          <w:szCs w:val="20"/>
        </w:rPr>
        <w:t>、监测井应设明显标识牌，井</w:t>
      </w:r>
      <w:r>
        <w:rPr>
          <w:rFonts w:cs="Times New Roman" w:hint="eastAsia"/>
          <w:snapToGrid w:val="0"/>
          <w:color w:val="000000" w:themeColor="text1"/>
          <w:sz w:val="24"/>
          <w:szCs w:val="20"/>
        </w:rPr>
        <w:t>（</w:t>
      </w:r>
      <w:r>
        <w:rPr>
          <w:rFonts w:cs="Times New Roman"/>
          <w:snapToGrid w:val="0"/>
          <w:color w:val="000000" w:themeColor="text1"/>
          <w:sz w:val="24"/>
          <w:szCs w:val="20"/>
        </w:rPr>
        <w:t>孔</w:t>
      </w:r>
      <w:r>
        <w:rPr>
          <w:rFonts w:cs="Times New Roman" w:hint="eastAsia"/>
          <w:snapToGrid w:val="0"/>
          <w:color w:val="000000" w:themeColor="text1"/>
          <w:sz w:val="24"/>
          <w:szCs w:val="20"/>
        </w:rPr>
        <w:t>）</w:t>
      </w:r>
      <w:r>
        <w:rPr>
          <w:rFonts w:cs="Times New Roman"/>
          <w:snapToGrid w:val="0"/>
          <w:color w:val="000000" w:themeColor="text1"/>
          <w:sz w:val="24"/>
          <w:szCs w:val="20"/>
        </w:rPr>
        <w:t>口应高出地面</w:t>
      </w:r>
      <w:r>
        <w:rPr>
          <w:rFonts w:cs="Times New Roman"/>
          <w:snapToGrid w:val="0"/>
          <w:color w:val="000000" w:themeColor="text1"/>
          <w:sz w:val="24"/>
          <w:szCs w:val="20"/>
        </w:rPr>
        <w:t>0.5</w:t>
      </w:r>
      <w:r>
        <w:rPr>
          <w:rFonts w:cs="Times New Roman" w:hint="eastAsia"/>
          <w:snapToGrid w:val="0"/>
          <w:color w:val="000000" w:themeColor="text1"/>
          <w:sz w:val="24"/>
          <w:szCs w:val="20"/>
        </w:rPr>
        <w:t>～</w:t>
      </w:r>
      <w:r>
        <w:rPr>
          <w:rFonts w:cs="Times New Roman"/>
          <w:snapToGrid w:val="0"/>
          <w:color w:val="000000" w:themeColor="text1"/>
          <w:sz w:val="24"/>
          <w:szCs w:val="20"/>
        </w:rPr>
        <w:t>1.0m</w:t>
      </w:r>
      <w:r>
        <w:rPr>
          <w:rFonts w:cs="Times New Roman"/>
          <w:snapToGrid w:val="0"/>
          <w:color w:val="000000" w:themeColor="text1"/>
          <w:sz w:val="24"/>
          <w:szCs w:val="20"/>
        </w:rPr>
        <w:t>，井</w:t>
      </w:r>
      <w:r>
        <w:rPr>
          <w:rFonts w:cs="Times New Roman" w:hint="eastAsia"/>
          <w:snapToGrid w:val="0"/>
          <w:color w:val="000000" w:themeColor="text1"/>
          <w:sz w:val="24"/>
          <w:szCs w:val="20"/>
        </w:rPr>
        <w:t>（</w:t>
      </w:r>
      <w:r>
        <w:rPr>
          <w:rFonts w:cs="Times New Roman"/>
          <w:snapToGrid w:val="0"/>
          <w:color w:val="000000" w:themeColor="text1"/>
          <w:sz w:val="24"/>
          <w:szCs w:val="20"/>
        </w:rPr>
        <w:t>孔</w:t>
      </w:r>
      <w:r>
        <w:rPr>
          <w:rFonts w:cs="Times New Roman" w:hint="eastAsia"/>
          <w:snapToGrid w:val="0"/>
          <w:color w:val="000000" w:themeColor="text1"/>
          <w:sz w:val="24"/>
          <w:szCs w:val="20"/>
        </w:rPr>
        <w:t>）</w:t>
      </w:r>
      <w:r>
        <w:rPr>
          <w:rFonts w:cs="Times New Roman"/>
          <w:snapToGrid w:val="0"/>
          <w:color w:val="000000" w:themeColor="text1"/>
          <w:sz w:val="24"/>
          <w:szCs w:val="20"/>
        </w:rPr>
        <w:t>口安装盖</w:t>
      </w:r>
      <w:r>
        <w:rPr>
          <w:rFonts w:cs="Times New Roman" w:hint="eastAsia"/>
          <w:snapToGrid w:val="0"/>
          <w:color w:val="000000" w:themeColor="text1"/>
          <w:sz w:val="24"/>
          <w:szCs w:val="20"/>
        </w:rPr>
        <w:t>（</w:t>
      </w:r>
      <w:r>
        <w:rPr>
          <w:rFonts w:cs="Times New Roman"/>
          <w:snapToGrid w:val="0"/>
          <w:color w:val="000000" w:themeColor="text1"/>
          <w:sz w:val="24"/>
          <w:szCs w:val="20"/>
        </w:rPr>
        <w:t>保护帽</w:t>
      </w:r>
      <w:r>
        <w:rPr>
          <w:rFonts w:cs="Times New Roman" w:hint="eastAsia"/>
          <w:snapToGrid w:val="0"/>
          <w:color w:val="000000" w:themeColor="text1"/>
          <w:sz w:val="24"/>
          <w:szCs w:val="20"/>
        </w:rPr>
        <w:t>）</w:t>
      </w:r>
      <w:r>
        <w:rPr>
          <w:rFonts w:cs="Times New Roman"/>
          <w:snapToGrid w:val="0"/>
          <w:color w:val="000000" w:themeColor="text1"/>
          <w:sz w:val="24"/>
          <w:szCs w:val="20"/>
        </w:rPr>
        <w:t>孔口地面应采取防渗措施，井周围应设置防护栏。</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t>8</w:t>
      </w:r>
      <w:r>
        <w:rPr>
          <w:rFonts w:cs="Times New Roman"/>
          <w:snapToGrid w:val="0"/>
          <w:color w:val="000000" w:themeColor="text1"/>
          <w:sz w:val="24"/>
          <w:szCs w:val="20"/>
        </w:rPr>
        <w:t>、监测井应有较完整的地层岩性和</w:t>
      </w:r>
      <w:r>
        <w:rPr>
          <w:rFonts w:cs="Times New Roman" w:hint="eastAsia"/>
          <w:snapToGrid w:val="0"/>
          <w:color w:val="000000" w:themeColor="text1"/>
          <w:sz w:val="24"/>
          <w:szCs w:val="20"/>
        </w:rPr>
        <w:t>井身结构</w:t>
      </w:r>
      <w:r>
        <w:rPr>
          <w:rFonts w:cs="Times New Roman"/>
          <w:snapToGrid w:val="0"/>
          <w:color w:val="000000" w:themeColor="text1"/>
          <w:sz w:val="24"/>
          <w:szCs w:val="20"/>
        </w:rPr>
        <w:t>资料，能满足进行常年连续各项检测工作的要求。</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t>9</w:t>
      </w:r>
      <w:r>
        <w:rPr>
          <w:rFonts w:cs="Times New Roman"/>
          <w:snapToGrid w:val="0"/>
          <w:color w:val="000000" w:themeColor="text1"/>
          <w:sz w:val="24"/>
          <w:szCs w:val="20"/>
        </w:rPr>
        <w:t>、监测井资料以及后续检测数据应进行建档保存。</w:t>
      </w:r>
    </w:p>
    <w:p w:rsidR="00644456" w:rsidRDefault="008031C4">
      <w:pPr>
        <w:autoSpaceDE w:val="0"/>
        <w:autoSpaceDN w:val="0"/>
        <w:adjustRightInd w:val="0"/>
        <w:snapToGrid w:val="0"/>
        <w:spacing w:line="360" w:lineRule="auto"/>
        <w:ind w:firstLineChars="200" w:firstLine="482"/>
        <w:rPr>
          <w:rFonts w:cs="Times New Roman"/>
          <w:b/>
          <w:snapToGrid w:val="0"/>
          <w:color w:val="000000" w:themeColor="text1"/>
          <w:sz w:val="24"/>
          <w:szCs w:val="20"/>
        </w:rPr>
      </w:pPr>
      <w:r>
        <w:rPr>
          <w:rFonts w:cs="Times New Roman" w:hint="eastAsia"/>
          <w:b/>
          <w:snapToGrid w:val="0"/>
          <w:color w:val="000000" w:themeColor="text1"/>
          <w:sz w:val="24"/>
          <w:szCs w:val="20"/>
        </w:rPr>
        <w:t>（</w:t>
      </w:r>
      <w:r>
        <w:rPr>
          <w:rFonts w:cs="Times New Roman"/>
          <w:b/>
          <w:snapToGrid w:val="0"/>
          <w:color w:val="000000" w:themeColor="text1"/>
          <w:sz w:val="24"/>
          <w:szCs w:val="20"/>
        </w:rPr>
        <w:t>4</w:t>
      </w:r>
      <w:r>
        <w:rPr>
          <w:rFonts w:cs="Times New Roman" w:hint="eastAsia"/>
          <w:b/>
          <w:snapToGrid w:val="0"/>
          <w:color w:val="000000" w:themeColor="text1"/>
          <w:sz w:val="24"/>
          <w:szCs w:val="20"/>
        </w:rPr>
        <w:t>）监测数据管理</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hint="eastAsia"/>
          <w:snapToGrid w:val="0"/>
          <w:color w:val="000000" w:themeColor="text1"/>
          <w:sz w:val="24"/>
          <w:szCs w:val="20"/>
        </w:rPr>
        <w:t>建设单位相关部门应指派专人或委托相关部门编制跟踪监测报告，报告应包括以下内容：</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t>1.</w:t>
      </w:r>
      <w:r>
        <w:rPr>
          <w:rFonts w:cs="Times New Roman" w:hint="eastAsia"/>
          <w:snapToGrid w:val="0"/>
          <w:color w:val="000000" w:themeColor="text1"/>
          <w:sz w:val="24"/>
          <w:szCs w:val="20"/>
        </w:rPr>
        <w:t>地下水跟踪监测点的监测数据结果，项目生产过程中各设备及装置设备废水的排放量、污染物种类及污染物浓度等；</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t>2.</w:t>
      </w:r>
      <w:r>
        <w:rPr>
          <w:rFonts w:cs="Times New Roman" w:hint="eastAsia"/>
          <w:snapToGrid w:val="0"/>
          <w:color w:val="000000" w:themeColor="text1"/>
          <w:sz w:val="24"/>
          <w:szCs w:val="20"/>
        </w:rPr>
        <w:t>建设项目生产设备、管线、废水处理设施等运行状况、跑冒滴漏记录、维护记录。</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hint="eastAsia"/>
          <w:snapToGrid w:val="0"/>
          <w:color w:val="000000" w:themeColor="text1"/>
          <w:sz w:val="24"/>
          <w:szCs w:val="20"/>
        </w:rPr>
        <w:t>建设单位应按相关规定对监测结果及时建立档案，并按照国家环保部门相关规定定</w:t>
      </w:r>
      <w:r>
        <w:rPr>
          <w:rFonts w:cs="Times New Roman" w:hint="eastAsia"/>
          <w:snapToGrid w:val="0"/>
          <w:color w:val="000000" w:themeColor="text1"/>
          <w:sz w:val="24"/>
          <w:szCs w:val="20"/>
        </w:rPr>
        <w:lastRenderedPageBreak/>
        <w:t>期向相关部门汇报并备案。如发现异常或发生事故，加密监测频次，并根据污染物特征增加监测项目，并分析污染原因，确定泄漏污染源，及时采取应急措施。</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hint="eastAsia"/>
          <w:snapToGrid w:val="0"/>
          <w:color w:val="000000" w:themeColor="text1"/>
          <w:sz w:val="24"/>
          <w:szCs w:val="20"/>
        </w:rPr>
        <w:t>建设单位应建立完善的质量管理体系，</w:t>
      </w:r>
      <w:r>
        <w:rPr>
          <w:rFonts w:cs="Times New Roman"/>
          <w:snapToGrid w:val="0"/>
          <w:color w:val="000000" w:themeColor="text1"/>
          <w:sz w:val="24"/>
          <w:szCs w:val="20"/>
        </w:rPr>
        <w:t>实现</w:t>
      </w:r>
      <w:r>
        <w:rPr>
          <w:rFonts w:cs="Times New Roman"/>
          <w:snapToGrid w:val="0"/>
          <w:color w:val="000000" w:themeColor="text1"/>
          <w:sz w:val="24"/>
          <w:szCs w:val="20"/>
        </w:rPr>
        <w:t>“</w:t>
      </w:r>
      <w:r>
        <w:rPr>
          <w:rFonts w:cs="Times New Roman"/>
          <w:snapToGrid w:val="0"/>
          <w:color w:val="000000" w:themeColor="text1"/>
          <w:sz w:val="24"/>
          <w:szCs w:val="20"/>
        </w:rPr>
        <w:t>质量、安全、环境</w:t>
      </w:r>
      <w:r>
        <w:rPr>
          <w:rFonts w:cs="Times New Roman"/>
          <w:snapToGrid w:val="0"/>
          <w:color w:val="000000" w:themeColor="text1"/>
          <w:sz w:val="24"/>
          <w:szCs w:val="20"/>
        </w:rPr>
        <w:t>”</w:t>
      </w:r>
      <w:r>
        <w:rPr>
          <w:rFonts w:cs="Times New Roman"/>
          <w:snapToGrid w:val="0"/>
          <w:color w:val="000000" w:themeColor="text1"/>
          <w:sz w:val="24"/>
          <w:szCs w:val="20"/>
        </w:rPr>
        <w:t>三位一</w:t>
      </w:r>
      <w:r>
        <w:rPr>
          <w:rFonts w:cs="Times New Roman" w:hint="eastAsia"/>
          <w:snapToGrid w:val="0"/>
          <w:color w:val="000000" w:themeColor="text1"/>
          <w:sz w:val="24"/>
          <w:szCs w:val="20"/>
        </w:rPr>
        <w:t>体的全面质量管理目标。设立地下水动态监测小组，负责对地下水环境监测和管理，或者委托专业的资质机构完成。建立有关规章制度和岗位责任制。制定风险预警方案，设立应急设施减少环境污染影响。</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5.7.5.15</w:t>
      </w:r>
      <w:r>
        <w:rPr>
          <w:rFonts w:cs="Times New Roman"/>
          <w:snapToGrid w:val="0"/>
          <w:color w:val="000000" w:themeColor="text1"/>
          <w:kern w:val="0"/>
          <w:szCs w:val="24"/>
        </w:rPr>
        <w:t>地下水环境影响应急响应</w:t>
      </w:r>
    </w:p>
    <w:p w:rsidR="00644456" w:rsidRDefault="008031C4">
      <w:pPr>
        <w:autoSpaceDE w:val="0"/>
        <w:autoSpaceDN w:val="0"/>
        <w:adjustRightInd w:val="0"/>
        <w:snapToGrid w:val="0"/>
        <w:spacing w:line="360" w:lineRule="auto"/>
        <w:ind w:firstLineChars="200" w:firstLine="482"/>
        <w:rPr>
          <w:rFonts w:cs="Times New Roman"/>
          <w:snapToGrid w:val="0"/>
          <w:color w:val="000000" w:themeColor="text1"/>
          <w:sz w:val="24"/>
          <w:szCs w:val="20"/>
        </w:rPr>
      </w:pPr>
      <w:r>
        <w:rPr>
          <w:rFonts w:cs="Times New Roman" w:hint="eastAsia"/>
          <w:b/>
          <w:snapToGrid w:val="0"/>
          <w:color w:val="000000" w:themeColor="text1"/>
          <w:sz w:val="24"/>
          <w:szCs w:val="20"/>
        </w:rPr>
        <w:t>（</w:t>
      </w:r>
      <w:r>
        <w:rPr>
          <w:rFonts w:cs="Times New Roman" w:hint="eastAsia"/>
          <w:b/>
          <w:snapToGrid w:val="0"/>
          <w:color w:val="000000" w:themeColor="text1"/>
          <w:sz w:val="24"/>
          <w:szCs w:val="20"/>
        </w:rPr>
        <w:t>1</w:t>
      </w:r>
      <w:r>
        <w:rPr>
          <w:rFonts w:cs="Times New Roman" w:hint="eastAsia"/>
          <w:b/>
          <w:snapToGrid w:val="0"/>
          <w:color w:val="000000" w:themeColor="text1"/>
          <w:sz w:val="24"/>
          <w:szCs w:val="20"/>
        </w:rPr>
        <w:t>）</w:t>
      </w:r>
      <w:r>
        <w:rPr>
          <w:rFonts w:cs="Times New Roman"/>
          <w:b/>
          <w:snapToGrid w:val="0"/>
          <w:color w:val="000000" w:themeColor="text1"/>
          <w:sz w:val="24"/>
          <w:szCs w:val="20"/>
        </w:rPr>
        <w:t>地下水污染应急预案、应急处置及管理</w:t>
      </w:r>
    </w:p>
    <w:p w:rsidR="00644456" w:rsidRDefault="008031C4">
      <w:pPr>
        <w:autoSpaceDE w:val="0"/>
        <w:autoSpaceDN w:val="0"/>
        <w:adjustRightInd w:val="0"/>
        <w:snapToGrid w:val="0"/>
        <w:spacing w:line="360" w:lineRule="auto"/>
        <w:ind w:firstLineChars="200" w:firstLine="482"/>
        <w:rPr>
          <w:rFonts w:cs="Times New Roman"/>
          <w:snapToGrid w:val="0"/>
          <w:color w:val="000000" w:themeColor="text1"/>
          <w:sz w:val="24"/>
          <w:szCs w:val="20"/>
        </w:rPr>
      </w:pPr>
      <w:r>
        <w:rPr>
          <w:rFonts w:cs="Times New Roman"/>
          <w:b/>
          <w:snapToGrid w:val="0"/>
          <w:color w:val="000000" w:themeColor="text1"/>
          <w:sz w:val="24"/>
          <w:szCs w:val="20"/>
        </w:rPr>
        <w:t>应急预案：</w:t>
      </w:r>
      <w:r>
        <w:rPr>
          <w:rFonts w:cs="Times New Roman"/>
          <w:snapToGrid w:val="0"/>
          <w:color w:val="000000" w:themeColor="text1"/>
          <w:sz w:val="24"/>
          <w:szCs w:val="20"/>
        </w:rPr>
        <w:t>根据《环境影响评价评价技术导则</w:t>
      </w:r>
      <w:r>
        <w:rPr>
          <w:rFonts w:cs="Times New Roman"/>
          <w:snapToGrid w:val="0"/>
          <w:color w:val="000000" w:themeColor="text1"/>
          <w:sz w:val="24"/>
          <w:szCs w:val="20"/>
        </w:rPr>
        <w:t>--</w:t>
      </w:r>
      <w:r>
        <w:rPr>
          <w:rFonts w:cs="Times New Roman"/>
          <w:snapToGrid w:val="0"/>
          <w:color w:val="000000" w:themeColor="text1"/>
          <w:sz w:val="24"/>
          <w:szCs w:val="20"/>
        </w:rPr>
        <w:t>地下水环境》（</w:t>
      </w:r>
      <w:r>
        <w:rPr>
          <w:rFonts w:cs="Times New Roman"/>
          <w:snapToGrid w:val="0"/>
          <w:color w:val="000000" w:themeColor="text1"/>
          <w:sz w:val="24"/>
          <w:szCs w:val="20"/>
        </w:rPr>
        <w:t>HJ610-2016</w:t>
      </w:r>
      <w:r>
        <w:rPr>
          <w:rFonts w:cs="Times New Roman"/>
          <w:snapToGrid w:val="0"/>
          <w:color w:val="000000" w:themeColor="text1"/>
          <w:sz w:val="24"/>
          <w:szCs w:val="20"/>
        </w:rPr>
        <w:t>）要求，在防渗措施上，根据污染因子和环评结果需制定相应的应急响应机制。在长期水质监测点的完善情况下，还需进行以下三点的应急完善：</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fldChar w:fldCharType="begin"/>
      </w:r>
      <w:r>
        <w:rPr>
          <w:rFonts w:cs="Times New Roman"/>
          <w:snapToGrid w:val="0"/>
          <w:color w:val="000000" w:themeColor="text1"/>
          <w:sz w:val="24"/>
          <w:szCs w:val="20"/>
        </w:rPr>
        <w:instrText>= 1 \* GB3</w:instrText>
      </w:r>
      <w:r>
        <w:rPr>
          <w:rFonts w:cs="Times New Roman"/>
          <w:snapToGrid w:val="0"/>
          <w:color w:val="000000" w:themeColor="text1"/>
          <w:sz w:val="24"/>
          <w:szCs w:val="20"/>
        </w:rPr>
        <w:fldChar w:fldCharType="separate"/>
      </w:r>
      <w:r>
        <w:rPr>
          <w:rFonts w:cs="Times New Roman" w:hint="eastAsia"/>
          <w:snapToGrid w:val="0"/>
          <w:color w:val="000000" w:themeColor="text1"/>
          <w:sz w:val="24"/>
          <w:szCs w:val="20"/>
        </w:rPr>
        <w:t>①</w:t>
      </w:r>
      <w:r>
        <w:rPr>
          <w:rFonts w:cs="Times New Roman"/>
          <w:snapToGrid w:val="0"/>
          <w:color w:val="000000" w:themeColor="text1"/>
          <w:sz w:val="24"/>
          <w:szCs w:val="20"/>
        </w:rPr>
        <w:fldChar w:fldCharType="end"/>
      </w:r>
      <w:r>
        <w:rPr>
          <w:rFonts w:cs="Times New Roman"/>
          <w:snapToGrid w:val="0"/>
          <w:color w:val="000000" w:themeColor="text1"/>
          <w:sz w:val="24"/>
          <w:szCs w:val="20"/>
        </w:rPr>
        <w:t>本项目</w:t>
      </w:r>
      <w:r>
        <w:rPr>
          <w:rFonts w:cs="Times New Roman" w:hint="eastAsia"/>
          <w:snapToGrid w:val="0"/>
          <w:color w:val="000000" w:themeColor="text1"/>
          <w:sz w:val="24"/>
          <w:szCs w:val="20"/>
        </w:rPr>
        <w:t>各生产区域均做了防腐防渗处理</w:t>
      </w:r>
      <w:r>
        <w:rPr>
          <w:rFonts w:cs="Times New Roman"/>
          <w:snapToGrid w:val="0"/>
          <w:color w:val="000000" w:themeColor="text1"/>
          <w:sz w:val="24"/>
          <w:szCs w:val="20"/>
        </w:rPr>
        <w:t>。</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fldChar w:fldCharType="begin"/>
      </w:r>
      <w:r>
        <w:rPr>
          <w:rFonts w:cs="Times New Roman"/>
          <w:snapToGrid w:val="0"/>
          <w:color w:val="000000" w:themeColor="text1"/>
          <w:sz w:val="24"/>
          <w:szCs w:val="20"/>
        </w:rPr>
        <w:instrText>= 2 \* GB3</w:instrText>
      </w:r>
      <w:r>
        <w:rPr>
          <w:rFonts w:cs="Times New Roman"/>
          <w:snapToGrid w:val="0"/>
          <w:color w:val="000000" w:themeColor="text1"/>
          <w:sz w:val="24"/>
          <w:szCs w:val="20"/>
        </w:rPr>
        <w:fldChar w:fldCharType="separate"/>
      </w:r>
      <w:r>
        <w:rPr>
          <w:rFonts w:cs="Times New Roman" w:hint="eastAsia"/>
          <w:snapToGrid w:val="0"/>
          <w:color w:val="000000" w:themeColor="text1"/>
          <w:sz w:val="24"/>
          <w:szCs w:val="20"/>
        </w:rPr>
        <w:t>②</w:t>
      </w:r>
      <w:r>
        <w:rPr>
          <w:rFonts w:cs="Times New Roman"/>
          <w:snapToGrid w:val="0"/>
          <w:color w:val="000000" w:themeColor="text1"/>
          <w:sz w:val="24"/>
          <w:szCs w:val="20"/>
        </w:rPr>
        <w:fldChar w:fldCharType="end"/>
      </w:r>
      <w:r>
        <w:rPr>
          <w:rFonts w:cs="Times New Roman" w:hint="eastAsia"/>
          <w:snapToGrid w:val="0"/>
          <w:color w:val="000000" w:themeColor="text1"/>
          <w:sz w:val="24"/>
          <w:szCs w:val="20"/>
        </w:rPr>
        <w:t>本项目运行过程中及时对设备设施进行检修、保养，以防泄漏情况发生</w:t>
      </w:r>
      <w:r>
        <w:rPr>
          <w:rFonts w:cs="Times New Roman"/>
          <w:snapToGrid w:val="0"/>
          <w:color w:val="000000" w:themeColor="text1"/>
          <w:sz w:val="24"/>
          <w:szCs w:val="20"/>
        </w:rPr>
        <w:t>。</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fldChar w:fldCharType="begin"/>
      </w:r>
      <w:r>
        <w:rPr>
          <w:rFonts w:cs="Times New Roman"/>
          <w:snapToGrid w:val="0"/>
          <w:color w:val="000000" w:themeColor="text1"/>
          <w:sz w:val="24"/>
          <w:szCs w:val="20"/>
        </w:rPr>
        <w:instrText>= 3 \* GB3</w:instrText>
      </w:r>
      <w:r>
        <w:rPr>
          <w:rFonts w:cs="Times New Roman"/>
          <w:snapToGrid w:val="0"/>
          <w:color w:val="000000" w:themeColor="text1"/>
          <w:sz w:val="24"/>
          <w:szCs w:val="20"/>
        </w:rPr>
        <w:fldChar w:fldCharType="separate"/>
      </w:r>
      <w:r>
        <w:rPr>
          <w:rFonts w:cs="Times New Roman" w:hint="eastAsia"/>
          <w:snapToGrid w:val="0"/>
          <w:color w:val="000000" w:themeColor="text1"/>
          <w:sz w:val="24"/>
          <w:szCs w:val="20"/>
        </w:rPr>
        <w:t>③</w:t>
      </w:r>
      <w:r>
        <w:rPr>
          <w:rFonts w:cs="Times New Roman"/>
          <w:snapToGrid w:val="0"/>
          <w:color w:val="000000" w:themeColor="text1"/>
          <w:sz w:val="24"/>
          <w:szCs w:val="20"/>
        </w:rPr>
        <w:fldChar w:fldCharType="end"/>
      </w:r>
      <w:r>
        <w:rPr>
          <w:rFonts w:cs="Times New Roman"/>
          <w:snapToGrid w:val="0"/>
          <w:color w:val="000000" w:themeColor="text1"/>
          <w:sz w:val="24"/>
          <w:szCs w:val="20"/>
        </w:rPr>
        <w:t>项目运行过程中，严格按照环评要求对下游水质监测井进行监测，一旦发现水质异常，立刻采取有效措施（如水动力隔离技术）阻止污染羽的扩散迁移，将地下水控制在局部范围，避免对厂区下游地下水造成污染。</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t>环评要求企业制定专门的地下水污染事故应急措施并与其他应急预案相协调。应急预案编制组应由应急指挥、环境评估、环境生态恢复、生产过程控制、安全、组织管理、医疗急救、监测等方面的专业人员及专家组成，制定明确的预案编制任务、职责分工和工作计划等。</w:t>
      </w:r>
    </w:p>
    <w:p w:rsidR="00644456" w:rsidRDefault="008031C4">
      <w:pPr>
        <w:autoSpaceDE w:val="0"/>
        <w:autoSpaceDN w:val="0"/>
        <w:adjustRightInd w:val="0"/>
        <w:snapToGrid w:val="0"/>
        <w:spacing w:line="360" w:lineRule="auto"/>
        <w:ind w:firstLineChars="200" w:firstLine="482"/>
        <w:rPr>
          <w:rFonts w:cs="Times New Roman"/>
          <w:snapToGrid w:val="0"/>
          <w:color w:val="000000" w:themeColor="text1"/>
          <w:sz w:val="24"/>
          <w:szCs w:val="20"/>
        </w:rPr>
      </w:pPr>
      <w:r>
        <w:rPr>
          <w:rFonts w:cs="Times New Roman"/>
          <w:b/>
          <w:snapToGrid w:val="0"/>
          <w:color w:val="000000" w:themeColor="text1"/>
          <w:sz w:val="24"/>
          <w:szCs w:val="20"/>
        </w:rPr>
        <w:t>应急处置：</w:t>
      </w:r>
      <w:r>
        <w:rPr>
          <w:rFonts w:cs="Times New Roman"/>
          <w:snapToGrid w:val="0"/>
          <w:color w:val="000000" w:themeColor="text1"/>
          <w:sz w:val="24"/>
          <w:szCs w:val="20"/>
        </w:rPr>
        <w:t>当发生地下水异常情况时，按照制定的地下水应急预案采取应急措施。组织专业队伍对事故现场进行调查、监测，查找环境事故发生地点，分析事故原因，将紧急事件局部化，采取包括切断生产装置或设施、设置围堤等拦堵设施、疏散等，防止事故扩散、蔓延及连锁反应，缩小地下水污染事故对人、环境和财产的影响。</w:t>
      </w:r>
    </w:p>
    <w:p w:rsidR="00644456" w:rsidRDefault="008031C4">
      <w:pPr>
        <w:autoSpaceDE w:val="0"/>
        <w:autoSpaceDN w:val="0"/>
        <w:adjustRightInd w:val="0"/>
        <w:snapToGrid w:val="0"/>
        <w:spacing w:line="360" w:lineRule="auto"/>
        <w:ind w:firstLineChars="200" w:firstLine="482"/>
        <w:rPr>
          <w:rFonts w:cs="Times New Roman"/>
          <w:snapToGrid w:val="0"/>
          <w:color w:val="000000" w:themeColor="text1"/>
          <w:sz w:val="24"/>
          <w:szCs w:val="20"/>
        </w:rPr>
      </w:pPr>
      <w:r>
        <w:rPr>
          <w:rFonts w:cs="Times New Roman"/>
          <w:b/>
          <w:snapToGrid w:val="0"/>
          <w:color w:val="000000" w:themeColor="text1"/>
          <w:sz w:val="24"/>
          <w:szCs w:val="20"/>
        </w:rPr>
        <w:t>管理措施：</w:t>
      </w:r>
      <w:r>
        <w:rPr>
          <w:rFonts w:cs="Times New Roman"/>
          <w:snapToGrid w:val="0"/>
          <w:color w:val="000000" w:themeColor="text1"/>
          <w:sz w:val="24"/>
          <w:szCs w:val="20"/>
        </w:rPr>
        <w:t>加强企业生产、操作、储存、处置等场所的管理，建立一套从企业领导到企业班组层层负责的管理体系。重点污染防治区所在生产车间，每一操作组对其负责的区域建立台账，记录当班的生产状况是否正常。对于机泵、阀门、法兰、管道连接交叉等有可能产生泄漏处，设置巡视监控点，纳入正常生产管理程序中。</w:t>
      </w:r>
    </w:p>
    <w:p w:rsidR="00644456" w:rsidRDefault="008031C4">
      <w:pPr>
        <w:autoSpaceDE w:val="0"/>
        <w:autoSpaceDN w:val="0"/>
        <w:adjustRightInd w:val="0"/>
        <w:snapToGrid w:val="0"/>
        <w:spacing w:line="360" w:lineRule="auto"/>
        <w:ind w:firstLineChars="200" w:firstLine="482"/>
        <w:rPr>
          <w:rFonts w:cs="Times New Roman"/>
          <w:b/>
          <w:snapToGrid w:val="0"/>
          <w:color w:val="000000" w:themeColor="text1"/>
          <w:sz w:val="24"/>
          <w:szCs w:val="20"/>
        </w:rPr>
      </w:pPr>
      <w:r>
        <w:rPr>
          <w:rFonts w:cs="Times New Roman" w:hint="eastAsia"/>
          <w:b/>
          <w:snapToGrid w:val="0"/>
          <w:color w:val="000000" w:themeColor="text1"/>
          <w:sz w:val="24"/>
          <w:szCs w:val="20"/>
        </w:rPr>
        <w:t>（</w:t>
      </w:r>
      <w:r>
        <w:rPr>
          <w:rFonts w:cs="Times New Roman" w:hint="eastAsia"/>
          <w:b/>
          <w:snapToGrid w:val="0"/>
          <w:color w:val="000000" w:themeColor="text1"/>
          <w:sz w:val="24"/>
          <w:szCs w:val="20"/>
        </w:rPr>
        <w:t>2</w:t>
      </w:r>
      <w:r>
        <w:rPr>
          <w:rFonts w:cs="Times New Roman" w:hint="eastAsia"/>
          <w:b/>
          <w:snapToGrid w:val="0"/>
          <w:color w:val="000000" w:themeColor="text1"/>
          <w:sz w:val="24"/>
          <w:szCs w:val="20"/>
        </w:rPr>
        <w:t>）</w:t>
      </w:r>
      <w:r>
        <w:rPr>
          <w:rFonts w:cs="Times New Roman"/>
          <w:b/>
          <w:snapToGrid w:val="0"/>
          <w:color w:val="000000" w:themeColor="text1"/>
          <w:sz w:val="24"/>
          <w:szCs w:val="20"/>
        </w:rPr>
        <w:t>地下水污染风险快速评估及决策</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t>地下水污染风险快速评估方法与决策包括连续的</w:t>
      </w:r>
      <w:r>
        <w:rPr>
          <w:rFonts w:cs="Times New Roman"/>
          <w:snapToGrid w:val="0"/>
          <w:color w:val="000000" w:themeColor="text1"/>
          <w:sz w:val="24"/>
          <w:szCs w:val="20"/>
        </w:rPr>
        <w:t>3</w:t>
      </w:r>
      <w:r>
        <w:rPr>
          <w:rFonts w:cs="Times New Roman"/>
          <w:snapToGrid w:val="0"/>
          <w:color w:val="000000" w:themeColor="text1"/>
          <w:sz w:val="24"/>
          <w:szCs w:val="20"/>
        </w:rPr>
        <w:t>个阶段：</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lastRenderedPageBreak/>
        <w:t>第</w:t>
      </w:r>
      <w:r>
        <w:rPr>
          <w:rFonts w:cs="Times New Roman"/>
          <w:snapToGrid w:val="0"/>
          <w:color w:val="000000" w:themeColor="text1"/>
          <w:sz w:val="24"/>
          <w:szCs w:val="20"/>
        </w:rPr>
        <w:t>1</w:t>
      </w:r>
      <w:r>
        <w:rPr>
          <w:rFonts w:cs="Times New Roman"/>
          <w:snapToGrid w:val="0"/>
          <w:color w:val="000000" w:themeColor="text1"/>
          <w:sz w:val="24"/>
          <w:szCs w:val="20"/>
        </w:rPr>
        <w:t>阶段为非正常状况与场地调查：主要任务为搜集非正常状况与污染物信息及场地水文地质资料等一些基本信息；</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t>第</w:t>
      </w:r>
      <w:r>
        <w:rPr>
          <w:rFonts w:cs="Times New Roman"/>
          <w:snapToGrid w:val="0"/>
          <w:color w:val="000000" w:themeColor="text1"/>
          <w:sz w:val="24"/>
          <w:szCs w:val="20"/>
        </w:rPr>
        <w:t>2</w:t>
      </w:r>
      <w:r>
        <w:rPr>
          <w:rFonts w:cs="Times New Roman"/>
          <w:snapToGrid w:val="0"/>
          <w:color w:val="000000" w:themeColor="text1"/>
          <w:sz w:val="24"/>
          <w:szCs w:val="20"/>
        </w:rPr>
        <w:t>阶段为计算和评价：采用简单的数学模型判断非正常状况对地下水影响的紧迫程度，以及对下游敏感点的影响，以快速获取所需要的信息；</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t>第</w:t>
      </w:r>
      <w:r>
        <w:rPr>
          <w:rFonts w:cs="Times New Roman"/>
          <w:snapToGrid w:val="0"/>
          <w:color w:val="000000" w:themeColor="text1"/>
          <w:sz w:val="24"/>
          <w:szCs w:val="20"/>
        </w:rPr>
        <w:t>3</w:t>
      </w:r>
      <w:r>
        <w:rPr>
          <w:rFonts w:cs="Times New Roman"/>
          <w:snapToGrid w:val="0"/>
          <w:color w:val="000000" w:themeColor="text1"/>
          <w:sz w:val="24"/>
          <w:szCs w:val="20"/>
        </w:rPr>
        <w:t>阶段为分析与决策：综合分析前两阶段的结果制定场地应急控制措施。</w:t>
      </w:r>
    </w:p>
    <w:tbl>
      <w:tblPr>
        <w:tblW w:w="0" w:type="auto"/>
        <w:jc w:val="center"/>
        <w:tblLayout w:type="fixed"/>
        <w:tblLook w:val="04A0" w:firstRow="1" w:lastRow="0" w:firstColumn="1" w:lastColumn="0" w:noHBand="0" w:noVBand="1"/>
      </w:tblPr>
      <w:tblGrid>
        <w:gridCol w:w="7904"/>
      </w:tblGrid>
      <w:tr w:rsidR="00644456">
        <w:trPr>
          <w:jc w:val="center"/>
        </w:trPr>
        <w:tc>
          <w:tcPr>
            <w:tcW w:w="7904" w:type="dxa"/>
          </w:tcPr>
          <w:p w:rsidR="00644456" w:rsidRDefault="008031C4">
            <w:pPr>
              <w:spacing w:line="360" w:lineRule="auto"/>
              <w:jc w:val="center"/>
              <w:rPr>
                <w:rFonts w:cs="Times New Roman"/>
                <w:color w:val="000000" w:themeColor="text1"/>
                <w:sz w:val="24"/>
                <w:szCs w:val="20"/>
              </w:rPr>
            </w:pPr>
            <w:r>
              <w:rPr>
                <w:rFonts w:cs="Times New Roman"/>
                <w:noProof/>
                <w:color w:val="000000" w:themeColor="text1"/>
                <w:sz w:val="24"/>
                <w:szCs w:val="28"/>
              </w:rPr>
              <w:drawing>
                <wp:inline distT="0" distB="0" distL="0" distR="0" wp14:anchorId="3A3D6F8E" wp14:editId="61ED7207">
                  <wp:extent cx="4258310" cy="4944110"/>
                  <wp:effectExtent l="0" t="0" r="8890" b="8890"/>
                  <wp:docPr id="2145836256"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36256" name="图片 502"/>
                          <pic:cNvPicPr>
                            <a:picLocks noChangeAspect="1" noChangeArrowheads="1"/>
                          </pic:cNvPicPr>
                        </pic:nvPicPr>
                        <pic:blipFill>
                          <a:blip r:embed="rId96"/>
                          <a:srcRect/>
                          <a:stretch>
                            <a:fillRect/>
                          </a:stretch>
                        </pic:blipFill>
                        <pic:spPr>
                          <a:xfrm>
                            <a:off x="0" y="0"/>
                            <a:ext cx="4258310" cy="4944110"/>
                          </a:xfrm>
                          <a:prstGeom prst="rect">
                            <a:avLst/>
                          </a:prstGeom>
                          <a:noFill/>
                          <a:ln w="9525">
                            <a:noFill/>
                            <a:miter lim="800000"/>
                            <a:headEnd/>
                            <a:tailEnd/>
                          </a:ln>
                        </pic:spPr>
                      </pic:pic>
                    </a:graphicData>
                  </a:graphic>
                </wp:inline>
              </w:drawing>
            </w:r>
          </w:p>
        </w:tc>
      </w:tr>
      <w:tr w:rsidR="00644456">
        <w:trPr>
          <w:trHeight w:val="301"/>
          <w:jc w:val="center"/>
        </w:trPr>
        <w:tc>
          <w:tcPr>
            <w:tcW w:w="7904" w:type="dxa"/>
          </w:tcPr>
          <w:p w:rsidR="00644456" w:rsidRDefault="008031C4">
            <w:pPr>
              <w:widowControl/>
              <w:spacing w:line="360" w:lineRule="auto"/>
              <w:ind w:firstLineChars="200" w:firstLine="482"/>
              <w:jc w:val="center"/>
              <w:rPr>
                <w:rFonts w:cs="Times New Roman"/>
                <w:b/>
                <w:color w:val="000000" w:themeColor="text1"/>
                <w:kern w:val="0"/>
                <w:sz w:val="24"/>
                <w:szCs w:val="28"/>
              </w:rPr>
            </w:pPr>
            <w:r>
              <w:rPr>
                <w:rFonts w:cs="Times New Roman" w:hint="eastAsia"/>
                <w:b/>
                <w:color w:val="000000" w:themeColor="text1"/>
                <w:sz w:val="24"/>
                <w:szCs w:val="20"/>
              </w:rPr>
              <w:t>图</w:t>
            </w:r>
            <w:r>
              <w:rPr>
                <w:rFonts w:cs="Times New Roman" w:hint="eastAsia"/>
                <w:b/>
                <w:color w:val="000000" w:themeColor="text1"/>
                <w:sz w:val="24"/>
                <w:szCs w:val="20"/>
              </w:rPr>
              <w:t>5.7-10</w:t>
            </w:r>
            <w:r>
              <w:rPr>
                <w:rFonts w:cs="Times New Roman" w:hint="eastAsia"/>
                <w:b/>
                <w:color w:val="000000" w:themeColor="text1"/>
                <w:sz w:val="24"/>
                <w:szCs w:val="20"/>
              </w:rPr>
              <w:t>地下水污染风险快速评估与决策过程</w:t>
            </w:r>
          </w:p>
        </w:tc>
      </w:tr>
    </w:tbl>
    <w:p w:rsidR="00644456" w:rsidRDefault="008031C4">
      <w:pPr>
        <w:autoSpaceDE w:val="0"/>
        <w:autoSpaceDN w:val="0"/>
        <w:adjustRightInd w:val="0"/>
        <w:snapToGrid w:val="0"/>
        <w:spacing w:line="360" w:lineRule="auto"/>
        <w:ind w:firstLineChars="200" w:firstLine="482"/>
        <w:rPr>
          <w:rFonts w:cs="Times New Roman"/>
          <w:b/>
          <w:snapToGrid w:val="0"/>
          <w:color w:val="000000" w:themeColor="text1"/>
          <w:sz w:val="24"/>
          <w:szCs w:val="20"/>
        </w:rPr>
      </w:pPr>
      <w:r>
        <w:rPr>
          <w:rFonts w:cs="Times New Roman" w:hint="eastAsia"/>
          <w:b/>
          <w:snapToGrid w:val="0"/>
          <w:color w:val="000000" w:themeColor="text1"/>
          <w:sz w:val="24"/>
          <w:szCs w:val="20"/>
        </w:rPr>
        <w:t>（</w:t>
      </w:r>
      <w:r>
        <w:rPr>
          <w:rFonts w:cs="Times New Roman" w:hint="eastAsia"/>
          <w:b/>
          <w:snapToGrid w:val="0"/>
          <w:color w:val="000000" w:themeColor="text1"/>
          <w:sz w:val="24"/>
          <w:szCs w:val="20"/>
        </w:rPr>
        <w:t>3</w:t>
      </w:r>
      <w:r>
        <w:rPr>
          <w:rFonts w:cs="Times New Roman" w:hint="eastAsia"/>
          <w:b/>
          <w:snapToGrid w:val="0"/>
          <w:color w:val="000000" w:themeColor="text1"/>
          <w:sz w:val="24"/>
          <w:szCs w:val="20"/>
        </w:rPr>
        <w:t>）</w:t>
      </w:r>
      <w:r>
        <w:rPr>
          <w:rFonts w:cs="Times New Roman"/>
          <w:b/>
          <w:snapToGrid w:val="0"/>
          <w:color w:val="000000" w:themeColor="text1"/>
          <w:sz w:val="24"/>
          <w:szCs w:val="20"/>
        </w:rPr>
        <w:t>非正常状况应急措施</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t>无论预防工作如何周密，风险事故总是难以根本杜绝，制定风险事故应急预案的目的是要迅速而有效地将事故损失减至最小，本项目应急预案建议如下：</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fldChar w:fldCharType="begin"/>
      </w:r>
      <w:r>
        <w:rPr>
          <w:rFonts w:cs="Times New Roman"/>
          <w:snapToGrid w:val="0"/>
          <w:color w:val="000000" w:themeColor="text1"/>
          <w:sz w:val="24"/>
          <w:szCs w:val="20"/>
        </w:rPr>
        <w:instrText xml:space="preserve"> = 1 \* GB3 </w:instrText>
      </w:r>
      <w:r>
        <w:rPr>
          <w:rFonts w:cs="Times New Roman"/>
          <w:snapToGrid w:val="0"/>
          <w:color w:val="000000" w:themeColor="text1"/>
          <w:sz w:val="24"/>
          <w:szCs w:val="20"/>
        </w:rPr>
        <w:fldChar w:fldCharType="separate"/>
      </w:r>
      <w:r>
        <w:rPr>
          <w:rFonts w:cs="Times New Roman" w:hint="eastAsia"/>
          <w:snapToGrid w:val="0"/>
          <w:color w:val="000000" w:themeColor="text1"/>
          <w:sz w:val="24"/>
          <w:szCs w:val="20"/>
        </w:rPr>
        <w:t>①</w:t>
      </w:r>
      <w:r>
        <w:rPr>
          <w:rFonts w:cs="Times New Roman"/>
          <w:snapToGrid w:val="0"/>
          <w:color w:val="000000" w:themeColor="text1"/>
          <w:sz w:val="24"/>
          <w:szCs w:val="20"/>
        </w:rPr>
        <w:fldChar w:fldCharType="end"/>
      </w:r>
      <w:r>
        <w:rPr>
          <w:rFonts w:cs="Times New Roman"/>
          <w:snapToGrid w:val="0"/>
          <w:color w:val="000000" w:themeColor="text1"/>
          <w:sz w:val="24"/>
          <w:szCs w:val="20"/>
        </w:rPr>
        <w:t>事故发生后，迅速成立由当地</w:t>
      </w:r>
      <w:r>
        <w:rPr>
          <w:rFonts w:cs="Times New Roman" w:hint="eastAsia"/>
          <w:snapToGrid w:val="0"/>
          <w:color w:val="000000" w:themeColor="text1"/>
          <w:sz w:val="24"/>
          <w:szCs w:val="20"/>
        </w:rPr>
        <w:t>生态环境部门</w:t>
      </w:r>
      <w:r>
        <w:rPr>
          <w:rFonts w:cs="Times New Roman"/>
          <w:snapToGrid w:val="0"/>
          <w:color w:val="000000" w:themeColor="text1"/>
          <w:sz w:val="24"/>
          <w:szCs w:val="20"/>
        </w:rPr>
        <w:t>牵头，公安、交通、消防、安全等部门参与的协调领导小组，启动应急预案，组织有关技术人员赴现场</w:t>
      </w:r>
      <w:r>
        <w:rPr>
          <w:rFonts w:cs="Times New Roman" w:hint="eastAsia"/>
          <w:snapToGrid w:val="0"/>
          <w:color w:val="000000" w:themeColor="text1"/>
          <w:sz w:val="24"/>
          <w:szCs w:val="20"/>
        </w:rPr>
        <w:t>勘察</w:t>
      </w:r>
      <w:r>
        <w:rPr>
          <w:rFonts w:cs="Times New Roman"/>
          <w:snapToGrid w:val="0"/>
          <w:color w:val="000000" w:themeColor="text1"/>
          <w:sz w:val="24"/>
          <w:szCs w:val="20"/>
        </w:rPr>
        <w:t>、分析情况、开展监测，制定解决消除污染方案。</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fldChar w:fldCharType="begin"/>
      </w:r>
      <w:r>
        <w:rPr>
          <w:rFonts w:cs="Times New Roman"/>
          <w:snapToGrid w:val="0"/>
          <w:color w:val="000000" w:themeColor="text1"/>
          <w:sz w:val="24"/>
          <w:szCs w:val="20"/>
        </w:rPr>
        <w:instrText xml:space="preserve"> = 2 \* GB3 </w:instrText>
      </w:r>
      <w:r>
        <w:rPr>
          <w:rFonts w:cs="Times New Roman"/>
          <w:snapToGrid w:val="0"/>
          <w:color w:val="000000" w:themeColor="text1"/>
          <w:sz w:val="24"/>
          <w:szCs w:val="20"/>
        </w:rPr>
        <w:fldChar w:fldCharType="separate"/>
      </w:r>
      <w:r>
        <w:rPr>
          <w:rFonts w:cs="Times New Roman" w:hint="eastAsia"/>
          <w:snapToGrid w:val="0"/>
          <w:color w:val="000000" w:themeColor="text1"/>
          <w:sz w:val="24"/>
          <w:szCs w:val="20"/>
        </w:rPr>
        <w:t>②</w:t>
      </w:r>
      <w:r>
        <w:rPr>
          <w:rFonts w:cs="Times New Roman"/>
          <w:snapToGrid w:val="0"/>
          <w:color w:val="000000" w:themeColor="text1"/>
          <w:sz w:val="24"/>
          <w:szCs w:val="20"/>
        </w:rPr>
        <w:fldChar w:fldCharType="end"/>
      </w:r>
      <w:r>
        <w:rPr>
          <w:rFonts w:cs="Times New Roman"/>
          <w:snapToGrid w:val="0"/>
          <w:color w:val="000000" w:themeColor="text1"/>
          <w:sz w:val="24"/>
          <w:szCs w:val="20"/>
        </w:rPr>
        <w:t>制定应急监测方案，确定对所受污染地段的上下游至地表水、沿岸饮用水源进行</w:t>
      </w:r>
      <w:r>
        <w:rPr>
          <w:rFonts w:cs="Times New Roman"/>
          <w:snapToGrid w:val="0"/>
          <w:color w:val="000000" w:themeColor="text1"/>
          <w:sz w:val="24"/>
          <w:szCs w:val="20"/>
        </w:rPr>
        <w:lastRenderedPageBreak/>
        <w:t>加密监测，密切关注污染动向，及时向协调领导小组通报监测结果，作为应急处理决策的直接支持。</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fldChar w:fldCharType="begin"/>
      </w:r>
      <w:r>
        <w:rPr>
          <w:rFonts w:cs="Times New Roman"/>
          <w:snapToGrid w:val="0"/>
          <w:color w:val="000000" w:themeColor="text1"/>
          <w:sz w:val="24"/>
          <w:szCs w:val="20"/>
        </w:rPr>
        <w:instrText xml:space="preserve"> = 3 \* GB3 </w:instrText>
      </w:r>
      <w:r>
        <w:rPr>
          <w:rFonts w:cs="Times New Roman"/>
          <w:snapToGrid w:val="0"/>
          <w:color w:val="000000" w:themeColor="text1"/>
          <w:sz w:val="24"/>
          <w:szCs w:val="20"/>
        </w:rPr>
        <w:fldChar w:fldCharType="separate"/>
      </w:r>
      <w:r>
        <w:rPr>
          <w:rFonts w:cs="Times New Roman" w:hint="eastAsia"/>
          <w:snapToGrid w:val="0"/>
          <w:color w:val="000000" w:themeColor="text1"/>
          <w:sz w:val="24"/>
          <w:szCs w:val="20"/>
        </w:rPr>
        <w:t>③</w:t>
      </w:r>
      <w:r>
        <w:rPr>
          <w:rFonts w:cs="Times New Roman"/>
          <w:snapToGrid w:val="0"/>
          <w:color w:val="000000" w:themeColor="text1"/>
          <w:sz w:val="24"/>
          <w:szCs w:val="20"/>
        </w:rPr>
        <w:fldChar w:fldCharType="end"/>
      </w:r>
      <w:r>
        <w:rPr>
          <w:rFonts w:cs="Times New Roman"/>
          <w:snapToGrid w:val="0"/>
          <w:color w:val="000000" w:themeColor="text1"/>
          <w:sz w:val="24"/>
          <w:szCs w:val="20"/>
        </w:rPr>
        <w:t>应尽快对污染区域人为隔断，尽量阻断其扩散范围。通过围堵、导控相结合，避免污染范围的扩大。</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fldChar w:fldCharType="begin"/>
      </w:r>
      <w:r>
        <w:rPr>
          <w:rFonts w:cs="Times New Roman"/>
          <w:snapToGrid w:val="0"/>
          <w:color w:val="000000" w:themeColor="text1"/>
          <w:sz w:val="24"/>
          <w:szCs w:val="20"/>
        </w:rPr>
        <w:instrText xml:space="preserve"> = 4 \* GB3 </w:instrText>
      </w:r>
      <w:r>
        <w:rPr>
          <w:rFonts w:cs="Times New Roman"/>
          <w:snapToGrid w:val="0"/>
          <w:color w:val="000000" w:themeColor="text1"/>
          <w:sz w:val="24"/>
          <w:szCs w:val="20"/>
        </w:rPr>
        <w:fldChar w:fldCharType="separate"/>
      </w:r>
      <w:r>
        <w:rPr>
          <w:rFonts w:cs="Times New Roman" w:hint="eastAsia"/>
          <w:snapToGrid w:val="0"/>
          <w:color w:val="000000" w:themeColor="text1"/>
          <w:sz w:val="24"/>
          <w:szCs w:val="20"/>
        </w:rPr>
        <w:t>④</w:t>
      </w:r>
      <w:r>
        <w:rPr>
          <w:rFonts w:cs="Times New Roman"/>
          <w:snapToGrid w:val="0"/>
          <w:color w:val="000000" w:themeColor="text1"/>
          <w:sz w:val="24"/>
          <w:szCs w:val="20"/>
        </w:rPr>
        <w:fldChar w:fldCharType="end"/>
      </w:r>
      <w:r>
        <w:rPr>
          <w:rFonts w:cs="Times New Roman"/>
          <w:snapToGrid w:val="0"/>
          <w:color w:val="000000" w:themeColor="text1"/>
          <w:sz w:val="24"/>
          <w:szCs w:val="20"/>
        </w:rPr>
        <w:t>持续对本项目下伏含水层地下水水质进行跟踪监测，一旦发现地下水受到污染，应及时采取必要的水动力阻隔措施。本项目最大风险事故为</w:t>
      </w:r>
      <w:r>
        <w:rPr>
          <w:rFonts w:cs="Times New Roman" w:hint="eastAsia"/>
          <w:snapToGrid w:val="0"/>
          <w:color w:val="000000" w:themeColor="text1"/>
          <w:sz w:val="24"/>
          <w:szCs w:val="20"/>
        </w:rPr>
        <w:t>污水处理站池体泄漏</w:t>
      </w:r>
      <w:r>
        <w:rPr>
          <w:rFonts w:cs="Times New Roman"/>
          <w:snapToGrid w:val="0"/>
          <w:color w:val="000000" w:themeColor="text1"/>
          <w:sz w:val="24"/>
          <w:szCs w:val="20"/>
        </w:rPr>
        <w:t>等。遇到风险事故应立即启动应急预案，污废水的渗漏事故发生后应立即将各池体内污染物进行转移，并及时修复破损区域，并在场地下游监测井</w:t>
      </w:r>
      <w:r>
        <w:rPr>
          <w:rFonts w:cs="Times New Roman" w:hint="eastAsia"/>
          <w:snapToGrid w:val="0"/>
          <w:color w:val="000000" w:themeColor="text1"/>
          <w:sz w:val="24"/>
          <w:szCs w:val="20"/>
        </w:rPr>
        <w:t>3#</w:t>
      </w:r>
      <w:r>
        <w:rPr>
          <w:rFonts w:cs="Times New Roman"/>
          <w:snapToGrid w:val="0"/>
          <w:color w:val="000000" w:themeColor="text1"/>
          <w:sz w:val="24"/>
          <w:szCs w:val="20"/>
        </w:rPr>
        <w:t>（优先）、</w:t>
      </w:r>
      <w:r>
        <w:rPr>
          <w:rFonts w:cs="Times New Roman" w:hint="eastAsia"/>
          <w:snapToGrid w:val="0"/>
          <w:color w:val="000000" w:themeColor="text1"/>
          <w:sz w:val="24"/>
          <w:szCs w:val="20"/>
        </w:rPr>
        <w:t>2#</w:t>
      </w:r>
      <w:r>
        <w:rPr>
          <w:rFonts w:cs="Times New Roman"/>
          <w:snapToGrid w:val="0"/>
          <w:color w:val="000000" w:themeColor="text1"/>
          <w:sz w:val="24"/>
          <w:szCs w:val="20"/>
        </w:rPr>
        <w:t>（其次）进行抽水，将废液或污水抽出处置，减小污染物的迁移扩散，后期可采取转移被污染的包气带，防止地下水被继续污染。</w:t>
      </w:r>
    </w:p>
    <w:p w:rsidR="00644456" w:rsidRDefault="008031C4">
      <w:pPr>
        <w:autoSpaceDE w:val="0"/>
        <w:autoSpaceDN w:val="0"/>
        <w:adjustRightInd w:val="0"/>
        <w:snapToGrid w:val="0"/>
        <w:spacing w:line="360" w:lineRule="auto"/>
        <w:ind w:firstLineChars="200" w:firstLine="480"/>
        <w:rPr>
          <w:rFonts w:cs="Times New Roman"/>
          <w:snapToGrid w:val="0"/>
          <w:color w:val="000000" w:themeColor="text1"/>
          <w:sz w:val="24"/>
          <w:szCs w:val="20"/>
        </w:rPr>
      </w:pPr>
      <w:r>
        <w:rPr>
          <w:rFonts w:cs="Times New Roman"/>
          <w:snapToGrid w:val="0"/>
          <w:color w:val="000000" w:themeColor="text1"/>
          <w:sz w:val="24"/>
          <w:szCs w:val="20"/>
        </w:rPr>
        <w:fldChar w:fldCharType="begin"/>
      </w:r>
      <w:r>
        <w:rPr>
          <w:rFonts w:cs="Times New Roman"/>
          <w:snapToGrid w:val="0"/>
          <w:color w:val="000000" w:themeColor="text1"/>
          <w:sz w:val="24"/>
          <w:szCs w:val="20"/>
        </w:rPr>
        <w:instrText xml:space="preserve"> = 5 \* GB3 </w:instrText>
      </w:r>
      <w:r>
        <w:rPr>
          <w:rFonts w:cs="Times New Roman"/>
          <w:snapToGrid w:val="0"/>
          <w:color w:val="000000" w:themeColor="text1"/>
          <w:sz w:val="24"/>
          <w:szCs w:val="20"/>
        </w:rPr>
        <w:fldChar w:fldCharType="separate"/>
      </w:r>
      <w:r>
        <w:rPr>
          <w:rFonts w:cs="Times New Roman" w:hint="eastAsia"/>
          <w:snapToGrid w:val="0"/>
          <w:color w:val="000000" w:themeColor="text1"/>
          <w:sz w:val="24"/>
          <w:szCs w:val="20"/>
        </w:rPr>
        <w:t>⑤</w:t>
      </w:r>
      <w:r>
        <w:rPr>
          <w:rFonts w:cs="Times New Roman"/>
          <w:snapToGrid w:val="0"/>
          <w:color w:val="000000" w:themeColor="text1"/>
          <w:sz w:val="24"/>
          <w:szCs w:val="20"/>
        </w:rPr>
        <w:fldChar w:fldCharType="end"/>
      </w:r>
      <w:r>
        <w:rPr>
          <w:rFonts w:cs="Times New Roman"/>
          <w:snapToGrid w:val="0"/>
          <w:color w:val="000000" w:themeColor="text1"/>
          <w:sz w:val="24"/>
          <w:szCs w:val="20"/>
        </w:rPr>
        <w:t>根据生产废水处理系统事故时的废水容量及生产线事故停滞时工艺液体的贮存及转运所需容积复核应急水池、事故应急池容量。</w:t>
      </w:r>
    </w:p>
    <w:p w:rsidR="00644456" w:rsidRDefault="008031C4">
      <w:pPr>
        <w:pStyle w:val="affffffff"/>
        <w:ind w:firstLine="480"/>
        <w:rPr>
          <w:color w:val="000000" w:themeColor="text1"/>
        </w:rPr>
      </w:pPr>
      <w:r>
        <w:rPr>
          <w:color w:val="000000" w:themeColor="text1"/>
        </w:rPr>
        <w:t>综上，本项目在落实分区防渗、地下水跟踪监测及地下水事故应急减缓措施。一旦出现地下水污染事故或监测数据超标的情况，立刻采取相应措施。本项目对地下水系统造成的影响可控。</w:t>
      </w:r>
    </w:p>
    <w:p w:rsidR="00644456" w:rsidRDefault="008031C4">
      <w:pPr>
        <w:pStyle w:val="3"/>
        <w:numPr>
          <w:ilvl w:val="2"/>
          <w:numId w:val="0"/>
        </w:numPr>
        <w:ind w:firstLineChars="200" w:firstLine="482"/>
      </w:pPr>
      <w:r>
        <w:rPr>
          <w:rFonts w:hint="eastAsia"/>
        </w:rPr>
        <w:t>5.7.6</w:t>
      </w:r>
      <w:r>
        <w:rPr>
          <w:rFonts w:hint="eastAsia"/>
        </w:rPr>
        <w:t>要求与建议</w:t>
      </w:r>
    </w:p>
    <w:p w:rsidR="00644456" w:rsidRDefault="008031C4">
      <w:pPr>
        <w:pStyle w:val="-"/>
        <w:snapToGrid w:val="0"/>
        <w:ind w:firstLine="480"/>
        <w:rPr>
          <w:rFonts w:cs="Times New Roman"/>
          <w:color w:val="000000" w:themeColor="text1"/>
        </w:rPr>
      </w:pPr>
      <w:r>
        <w:rPr>
          <w:rFonts w:cs="Times New Roman"/>
          <w:color w:val="000000" w:themeColor="text1"/>
        </w:rPr>
        <w:t>项目建设过程中必须做好各污染环节的环保措施，建立地下水污染监测体系，逐步健全地下水污染应急管理预案，严防项目建设对地下水环境造成污染。</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hint="eastAsia"/>
          <w:color w:val="000000" w:themeColor="text1"/>
        </w:rPr>
        <w:t>）</w:t>
      </w:r>
      <w:r>
        <w:rPr>
          <w:rFonts w:cs="Times New Roman"/>
          <w:color w:val="000000" w:themeColor="text1"/>
        </w:rPr>
        <w:t>地下水污染具有不易发现和一旦污染很难治理的特点，因此，防止地下水污染应遵循源头控制、防止渗漏、污染监测及事故应急处理的主动及被动防渗相结合的原则。</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2</w:t>
      </w:r>
      <w:r>
        <w:rPr>
          <w:rFonts w:cs="Times New Roman" w:hint="eastAsia"/>
          <w:color w:val="000000" w:themeColor="text1"/>
        </w:rPr>
        <w:t>）</w:t>
      </w:r>
      <w:r>
        <w:rPr>
          <w:rFonts w:cs="Times New Roman"/>
          <w:color w:val="000000" w:themeColor="text1"/>
        </w:rPr>
        <w:t>加强防渗设计、施工与管理，杜绝风险事故发生。</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3</w:t>
      </w:r>
      <w:r>
        <w:rPr>
          <w:rFonts w:cs="Times New Roman" w:hint="eastAsia"/>
          <w:color w:val="000000" w:themeColor="text1"/>
        </w:rPr>
        <w:t>）</w:t>
      </w:r>
      <w:r>
        <w:rPr>
          <w:rFonts w:cs="Times New Roman"/>
          <w:color w:val="000000" w:themeColor="text1"/>
        </w:rPr>
        <w:t>完善和健全环境管理体系，更好地做到安全生产、风险防范、污染预防及持续改进各项环境保护、安全生产工作。</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4</w:t>
      </w:r>
      <w:r>
        <w:rPr>
          <w:rFonts w:cs="Times New Roman" w:hint="eastAsia"/>
          <w:color w:val="000000" w:themeColor="text1"/>
        </w:rPr>
        <w:t>）</w:t>
      </w:r>
      <w:r>
        <w:rPr>
          <w:rFonts w:cs="Times New Roman"/>
          <w:color w:val="000000" w:themeColor="text1"/>
        </w:rPr>
        <w:t>一旦发生地下水污染事故，应立即启动应急预案，查明并切断污染源，探明地下水污染深度、范围和污染程度，抽取被污染的地下水体进行集中收集处理；当地下水中的特征污染物浓度满足相关标准后，逐步停止抽水，并进行土壤修复治理工作。</w:t>
      </w:r>
    </w:p>
    <w:p w:rsidR="00644456" w:rsidRDefault="00644456">
      <w:pPr>
        <w:snapToGrid w:val="0"/>
        <w:spacing w:line="360" w:lineRule="auto"/>
        <w:rPr>
          <w:color w:val="000000" w:themeColor="text1"/>
        </w:rPr>
        <w:sectPr w:rsidR="00644456">
          <w:headerReference w:type="default" r:id="rId97"/>
          <w:footerReference w:type="default" r:id="rId98"/>
          <w:pgSz w:w="11905" w:h="16838"/>
          <w:pgMar w:top="1440" w:right="1440" w:bottom="1440" w:left="1440" w:header="850" w:footer="992" w:gutter="0"/>
          <w:cols w:space="0"/>
        </w:sectPr>
      </w:pPr>
    </w:p>
    <w:p w:rsidR="00644456" w:rsidRDefault="008031C4">
      <w:pPr>
        <w:pStyle w:val="1"/>
        <w:numPr>
          <w:ilvl w:val="0"/>
          <w:numId w:val="0"/>
        </w:numPr>
      </w:pPr>
      <w:bookmarkStart w:id="392" w:name="_Toc155789386"/>
      <w:bookmarkStart w:id="393" w:name="_Toc177216894"/>
      <w:r>
        <w:rPr>
          <w:rFonts w:hint="eastAsia"/>
        </w:rPr>
        <w:lastRenderedPageBreak/>
        <w:t>第</w:t>
      </w:r>
      <w:r>
        <w:rPr>
          <w:rFonts w:hint="eastAsia"/>
        </w:rPr>
        <w:t xml:space="preserve"> 6 </w:t>
      </w:r>
      <w:r>
        <w:rPr>
          <w:rFonts w:hint="eastAsia"/>
        </w:rPr>
        <w:t>章</w:t>
      </w:r>
      <w:r>
        <w:rPr>
          <w:rFonts w:hint="eastAsia"/>
        </w:rPr>
        <w:t xml:space="preserve"> </w:t>
      </w:r>
      <w:r>
        <w:t>环境保护措施及其可行性论证</w:t>
      </w:r>
      <w:bookmarkEnd w:id="380"/>
      <w:bookmarkEnd w:id="381"/>
      <w:bookmarkEnd w:id="382"/>
      <w:bookmarkEnd w:id="383"/>
      <w:bookmarkEnd w:id="384"/>
      <w:bookmarkEnd w:id="385"/>
      <w:bookmarkEnd w:id="392"/>
      <w:bookmarkEnd w:id="393"/>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394" w:name="_Toc152756361"/>
      <w:bookmarkStart w:id="395" w:name="_Toc6062"/>
      <w:bookmarkStart w:id="396" w:name="_Toc215691607"/>
      <w:bookmarkStart w:id="397" w:name="_Toc168"/>
      <w:bookmarkStart w:id="398" w:name="_Toc187996849"/>
      <w:bookmarkStart w:id="399" w:name="_Toc330540662"/>
      <w:bookmarkStart w:id="400" w:name="_Toc17857"/>
      <w:bookmarkStart w:id="401" w:name="_Toc155789387"/>
      <w:bookmarkStart w:id="402" w:name="_Toc177216895"/>
      <w:r>
        <w:rPr>
          <w:rFonts w:cs="Times New Roman" w:hint="eastAsia"/>
          <w:color w:val="000000" w:themeColor="text1"/>
        </w:rPr>
        <w:t>6.1</w:t>
      </w:r>
      <w:r>
        <w:rPr>
          <w:rFonts w:cs="Times New Roman"/>
          <w:color w:val="000000" w:themeColor="text1"/>
        </w:rPr>
        <w:t>施工期</w:t>
      </w:r>
      <w:bookmarkEnd w:id="394"/>
      <w:bookmarkEnd w:id="395"/>
      <w:bookmarkEnd w:id="396"/>
      <w:bookmarkEnd w:id="397"/>
      <w:bookmarkEnd w:id="398"/>
      <w:bookmarkEnd w:id="399"/>
      <w:r>
        <w:rPr>
          <w:rFonts w:cs="Times New Roman"/>
          <w:color w:val="000000" w:themeColor="text1"/>
        </w:rPr>
        <w:t>保护措施及其可行性论证</w:t>
      </w:r>
      <w:bookmarkEnd w:id="400"/>
      <w:bookmarkEnd w:id="401"/>
      <w:bookmarkEnd w:id="402"/>
    </w:p>
    <w:p w:rsidR="00644456" w:rsidRDefault="008031C4">
      <w:pPr>
        <w:pStyle w:val="3"/>
        <w:numPr>
          <w:ilvl w:val="2"/>
          <w:numId w:val="0"/>
        </w:numPr>
        <w:ind w:firstLineChars="200" w:firstLine="482"/>
      </w:pPr>
      <w:r>
        <w:rPr>
          <w:rFonts w:hint="eastAsia"/>
        </w:rPr>
        <w:t>6.1.1</w:t>
      </w:r>
      <w:r>
        <w:rPr>
          <w:rFonts w:hint="eastAsia"/>
        </w:rPr>
        <w:t>施工期废水</w:t>
      </w:r>
    </w:p>
    <w:p w:rsidR="00644456" w:rsidRDefault="008031C4">
      <w:pPr>
        <w:pStyle w:val="-"/>
        <w:ind w:firstLine="480"/>
        <w:rPr>
          <w:rFonts w:cs="Times New Roman"/>
          <w:color w:val="000000" w:themeColor="text1"/>
        </w:rPr>
      </w:pPr>
      <w:r>
        <w:rPr>
          <w:rFonts w:cs="Times New Roman" w:hint="eastAsia"/>
          <w:color w:val="000000" w:themeColor="text1"/>
        </w:rPr>
        <w:t>施工期产生的废水包括施工人员生活污水和施工过程产生的废水。</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hint="eastAsia"/>
          <w:color w:val="000000" w:themeColor="text1"/>
        </w:rPr>
        <w:t>）生活污水</w:t>
      </w:r>
    </w:p>
    <w:p w:rsidR="00644456" w:rsidRDefault="008031C4">
      <w:pPr>
        <w:pStyle w:val="-"/>
        <w:ind w:firstLine="480"/>
        <w:rPr>
          <w:rFonts w:cs="Times New Roman"/>
          <w:color w:val="000000" w:themeColor="text1"/>
        </w:rPr>
      </w:pPr>
      <w:r>
        <w:rPr>
          <w:rFonts w:cs="Times New Roman" w:hint="eastAsia"/>
          <w:color w:val="000000" w:themeColor="text1"/>
        </w:rPr>
        <w:t>施工期产生少量生活污水，项目施工期生活污水依托园区现有污水处理设施处理。</w:t>
      </w:r>
    </w:p>
    <w:p w:rsidR="00644456" w:rsidRDefault="008031C4">
      <w:pPr>
        <w:pStyle w:val="-"/>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2</w:t>
      </w:r>
      <w:r>
        <w:rPr>
          <w:rFonts w:cs="Times New Roman" w:hint="eastAsia"/>
          <w:color w:val="000000" w:themeColor="text1"/>
        </w:rPr>
        <w:t>）施工废水</w:t>
      </w:r>
    </w:p>
    <w:p w:rsidR="00644456" w:rsidRDefault="008031C4">
      <w:pPr>
        <w:pStyle w:val="-"/>
        <w:ind w:firstLine="480"/>
        <w:rPr>
          <w:rFonts w:cs="Times New Roman"/>
          <w:color w:val="000000" w:themeColor="text1"/>
        </w:rPr>
      </w:pPr>
      <w:r>
        <w:rPr>
          <w:rFonts w:cs="Times New Roman" w:hint="eastAsia"/>
          <w:color w:val="000000" w:themeColor="text1"/>
        </w:rPr>
        <w:t>施工废水主要来自施工场地和运输道路洒水、施工设备和车辆冲洗、建（构）筑物浆砌养护等过程，废水量不大，属于无机废水，除含有大量泥沙和少量油污外，不含任何其他的有毒有害物质，其中主要污染因子为</w:t>
      </w:r>
      <w:r>
        <w:rPr>
          <w:rFonts w:cs="Times New Roman" w:hint="eastAsia"/>
          <w:color w:val="000000" w:themeColor="text1"/>
        </w:rPr>
        <w:t>SS</w:t>
      </w:r>
      <w:r>
        <w:rPr>
          <w:rFonts w:cs="Times New Roman" w:hint="eastAsia"/>
          <w:color w:val="000000" w:themeColor="text1"/>
        </w:rPr>
        <w:t>、石油类等，一般经过物料吸收、蒸发等过程后基本无废水外排或少量外排，对周围水环境产生的影响较小。该部分废水在施工场地内设置沉淀池，使建筑污水经沉淀后，用于冲洗车辆、喷洒路面和厂区内抑尘，对地表水影响较小。</w:t>
      </w:r>
    </w:p>
    <w:p w:rsidR="00644456" w:rsidRDefault="008031C4">
      <w:pPr>
        <w:pStyle w:val="-"/>
        <w:ind w:firstLine="480"/>
        <w:rPr>
          <w:rFonts w:cs="Times New Roman"/>
          <w:color w:val="000000" w:themeColor="text1"/>
        </w:rPr>
      </w:pPr>
      <w:r>
        <w:rPr>
          <w:rFonts w:cs="Times New Roman" w:hint="eastAsia"/>
          <w:color w:val="000000" w:themeColor="text1"/>
        </w:rPr>
        <w:t>为避免本项目施工期间污水对地下水环境造成影响，评价建议施工期间的废水储池及废水输送管线必须采取严格有效的防渗处理，排污管线应在底部压实</w:t>
      </w:r>
      <w:r>
        <w:rPr>
          <w:rFonts w:cs="Times New Roman" w:hint="eastAsia"/>
          <w:color w:val="000000" w:themeColor="text1"/>
        </w:rPr>
        <w:t>30cm</w:t>
      </w:r>
      <w:r>
        <w:rPr>
          <w:rFonts w:cs="Times New Roman" w:hint="eastAsia"/>
          <w:color w:val="000000" w:themeColor="text1"/>
        </w:rPr>
        <w:t>的粘土层，上面再覆以水泥混凝土并涂防渗材料。沉淀池等池体结构厚度应不小于</w:t>
      </w:r>
      <w:r>
        <w:rPr>
          <w:rFonts w:cs="Times New Roman" w:hint="eastAsia"/>
          <w:color w:val="000000" w:themeColor="text1"/>
        </w:rPr>
        <w:t>250mm</w:t>
      </w:r>
      <w:r>
        <w:rPr>
          <w:rFonts w:cs="Times New Roman" w:hint="eastAsia"/>
          <w:color w:val="000000" w:themeColor="text1"/>
        </w:rPr>
        <w:t>，水池的内表面应涂刷水泥基渗透结晶型或喷涂防水材料。加强施工过程中的管理，减少废水的跑、冒、滴、漏，制定严格的环境管理制度并严格执行</w:t>
      </w:r>
      <w:r>
        <w:rPr>
          <w:rFonts w:cs="Times New Roman"/>
          <w:color w:val="000000" w:themeColor="text1"/>
        </w:rPr>
        <w:t>。</w:t>
      </w:r>
    </w:p>
    <w:p w:rsidR="00644456" w:rsidRDefault="008031C4">
      <w:pPr>
        <w:pStyle w:val="3"/>
        <w:numPr>
          <w:ilvl w:val="2"/>
          <w:numId w:val="0"/>
        </w:numPr>
        <w:ind w:firstLineChars="200" w:firstLine="482"/>
      </w:pPr>
      <w:r>
        <w:rPr>
          <w:rFonts w:hint="eastAsia"/>
        </w:rPr>
        <w:t>6.1.2</w:t>
      </w:r>
      <w:r>
        <w:rPr>
          <w:rFonts w:hint="eastAsia"/>
        </w:rPr>
        <w:t>施工期废气</w:t>
      </w:r>
    </w:p>
    <w:p w:rsidR="00644456" w:rsidRDefault="008031C4">
      <w:pPr>
        <w:pStyle w:val="-"/>
        <w:ind w:firstLine="482"/>
        <w:rPr>
          <w:rFonts w:cs="Times New Roman"/>
          <w:b/>
          <w:bCs/>
          <w:color w:val="000000" w:themeColor="text1"/>
        </w:rPr>
      </w:pPr>
      <w:r>
        <w:rPr>
          <w:rFonts w:cs="Times New Roman"/>
          <w:b/>
          <w:bCs/>
          <w:color w:val="000000" w:themeColor="text1"/>
        </w:rPr>
        <w:t>1</w:t>
      </w:r>
      <w:r>
        <w:rPr>
          <w:rFonts w:cs="Times New Roman"/>
          <w:b/>
          <w:bCs/>
          <w:color w:val="000000" w:themeColor="text1"/>
        </w:rPr>
        <w:t>、扬尘治理措施</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1</w:t>
      </w:r>
      <w:r>
        <w:rPr>
          <w:rFonts w:cs="Times New Roman"/>
          <w:color w:val="000000" w:themeColor="text1"/>
        </w:rPr>
        <w:t>）要求施工单位文明施工，定期对地面洒水（在干燥天气适当加大洒水的频率和洒水量），并对散落在路面的渣土及时清除，清理时做到先洒水后清扫，避免产生扬尘对环境造成影响。</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2</w:t>
      </w:r>
      <w:r>
        <w:rPr>
          <w:rFonts w:cs="Times New Roman"/>
          <w:color w:val="000000" w:themeColor="text1"/>
        </w:rPr>
        <w:t>）由于道路产生的扬尘量与车辆的行驶速度有关，速度越快，扬尘量越大。因此，在施工场地对施工车辆必须实施限速行驶，同时施工现场主要运输道路尽量采用硬化路面并进行洒水抑尘；在施工场地出口放置防尘垫，对运输车辆现场设置洗车场，用水清洗车体和轮胎；自卸车、垃圾运输车等运输车辆不允许超载，并选择对周围环境影响较小的运输路线，定时对运输路线进行清扫，运输车辆出场时必须封闭，避免在运输过程中的抛洒现象。</w:t>
      </w:r>
    </w:p>
    <w:p w:rsidR="00644456" w:rsidRDefault="008031C4">
      <w:pPr>
        <w:pStyle w:val="-"/>
        <w:ind w:firstLine="480"/>
        <w:rPr>
          <w:rFonts w:cs="Times New Roman"/>
          <w:color w:val="000000" w:themeColor="text1"/>
        </w:rPr>
      </w:pPr>
      <w:r>
        <w:rPr>
          <w:rFonts w:cs="Times New Roman" w:hint="eastAsia"/>
          <w:color w:val="000000" w:themeColor="text1"/>
        </w:rPr>
        <w:lastRenderedPageBreak/>
        <w:t>采取</w:t>
      </w:r>
      <w:r>
        <w:rPr>
          <w:rFonts w:cs="Times New Roman"/>
          <w:color w:val="000000" w:themeColor="text1"/>
        </w:rPr>
        <w:t>扬尘治理措施，其浓度可得到有效控制，排放浓度可控制在</w:t>
      </w:r>
      <w:r>
        <w:rPr>
          <w:rFonts w:cs="Times New Roman"/>
          <w:color w:val="000000" w:themeColor="text1"/>
        </w:rPr>
        <w:t>1.0mg/m</w:t>
      </w:r>
      <w:r>
        <w:rPr>
          <w:rFonts w:cs="Times New Roman"/>
          <w:color w:val="000000" w:themeColor="text1"/>
          <w:vertAlign w:val="superscript"/>
        </w:rPr>
        <w:t>3</w:t>
      </w:r>
      <w:r>
        <w:rPr>
          <w:rFonts w:cs="Times New Roman"/>
          <w:color w:val="000000" w:themeColor="text1"/>
        </w:rPr>
        <w:t>，能够实现达标排放，扬尘治理措施可行。</w:t>
      </w:r>
    </w:p>
    <w:p w:rsidR="00644456" w:rsidRDefault="008031C4">
      <w:pPr>
        <w:pStyle w:val="-"/>
        <w:ind w:firstLine="482"/>
        <w:rPr>
          <w:rFonts w:cs="Times New Roman"/>
          <w:b/>
          <w:bCs/>
          <w:color w:val="000000" w:themeColor="text1"/>
        </w:rPr>
      </w:pPr>
      <w:r>
        <w:rPr>
          <w:rFonts w:cs="Times New Roman"/>
          <w:b/>
          <w:bCs/>
          <w:color w:val="000000" w:themeColor="text1"/>
        </w:rPr>
        <w:t>2</w:t>
      </w:r>
      <w:r>
        <w:rPr>
          <w:rFonts w:cs="Times New Roman"/>
          <w:b/>
          <w:bCs/>
          <w:color w:val="000000" w:themeColor="text1"/>
        </w:rPr>
        <w:t>、施工机械及运输车辆汽车尾气</w:t>
      </w:r>
    </w:p>
    <w:p w:rsidR="00644456" w:rsidRDefault="008031C4">
      <w:pPr>
        <w:pStyle w:val="-"/>
        <w:ind w:firstLine="480"/>
        <w:rPr>
          <w:rFonts w:cs="Times New Roman"/>
          <w:color w:val="000000" w:themeColor="text1"/>
        </w:rPr>
      </w:pPr>
      <w:r>
        <w:rPr>
          <w:rFonts w:cs="Times New Roman"/>
          <w:color w:val="000000" w:themeColor="text1"/>
        </w:rPr>
        <w:t>施工期间，使用机动车运送原材料、设备和建筑机械设备的运转，均会排放一定量的</w:t>
      </w:r>
      <w:r>
        <w:rPr>
          <w:rFonts w:cs="Times New Roman"/>
          <w:color w:val="000000" w:themeColor="text1"/>
        </w:rPr>
        <w:t>CO</w:t>
      </w:r>
      <w:r>
        <w:rPr>
          <w:rFonts w:cs="Times New Roman"/>
          <w:color w:val="000000" w:themeColor="text1"/>
        </w:rPr>
        <w:t>、</w:t>
      </w:r>
      <w:r>
        <w:rPr>
          <w:rFonts w:cs="Times New Roman"/>
          <w:color w:val="000000" w:themeColor="text1"/>
        </w:rPr>
        <w:t>NOx</w:t>
      </w:r>
      <w:r>
        <w:rPr>
          <w:rFonts w:cs="Times New Roman"/>
          <w:color w:val="000000" w:themeColor="text1"/>
        </w:rPr>
        <w:t>以及未完全燃烧的</w:t>
      </w:r>
      <w:r>
        <w:rPr>
          <w:rFonts w:cs="Times New Roman"/>
          <w:color w:val="000000" w:themeColor="text1"/>
        </w:rPr>
        <w:t>THC</w:t>
      </w:r>
      <w:r>
        <w:rPr>
          <w:rFonts w:cs="Times New Roman"/>
          <w:color w:val="000000" w:themeColor="text1"/>
        </w:rPr>
        <w:t>等，其特点是排放量小，且属间断性无组织排放。加之施工场地开阔，扩散条件良好，施工期机械废气及运输车辆汽车尾气可实现达标排放。环评要求施工单位选择尾气排放达标的施工机械和运输车辆，安排专人注意加强施工机械维护，确保机械设备正常运行。</w:t>
      </w:r>
    </w:p>
    <w:p w:rsidR="00644456" w:rsidRDefault="008031C4">
      <w:pPr>
        <w:pStyle w:val="-"/>
        <w:ind w:firstLine="480"/>
        <w:rPr>
          <w:rFonts w:cs="Times New Roman"/>
          <w:color w:val="000000" w:themeColor="text1"/>
        </w:rPr>
      </w:pPr>
      <w:r>
        <w:rPr>
          <w:rFonts w:cs="Times New Roman"/>
          <w:color w:val="000000" w:themeColor="text1"/>
        </w:rPr>
        <w:t>采取治理措施，其浓度可得到有效控制，能够实现达标排放，治理措施可行。</w:t>
      </w:r>
    </w:p>
    <w:p w:rsidR="00644456" w:rsidRDefault="008031C4">
      <w:pPr>
        <w:pStyle w:val="3"/>
        <w:numPr>
          <w:ilvl w:val="2"/>
          <w:numId w:val="0"/>
        </w:numPr>
        <w:ind w:firstLineChars="200" w:firstLine="482"/>
      </w:pPr>
      <w:r>
        <w:rPr>
          <w:rFonts w:hint="eastAsia"/>
        </w:rPr>
        <w:t>6.1.3</w:t>
      </w:r>
      <w:r>
        <w:rPr>
          <w:rFonts w:hint="eastAsia"/>
        </w:rPr>
        <w:t>施工期噪声</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1</w:t>
      </w:r>
      <w:r>
        <w:rPr>
          <w:rFonts w:cs="Times New Roman"/>
          <w:color w:val="000000" w:themeColor="text1"/>
        </w:rPr>
        <w:t>）合理布置施工总平面图，将高噪声的作业点布置在施工场地中央。</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2</w:t>
      </w:r>
      <w:r>
        <w:rPr>
          <w:rFonts w:cs="Times New Roman"/>
          <w:color w:val="000000" w:themeColor="text1"/>
        </w:rPr>
        <w:t>）合理安排施工时间，禁止在夜间施工。</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3</w:t>
      </w:r>
      <w:r>
        <w:rPr>
          <w:rFonts w:cs="Times New Roman"/>
          <w:color w:val="000000" w:themeColor="text1"/>
        </w:rPr>
        <w:t>）装修、安装阶段的噪声主要来自电钻、手工钻、电锤、无齿锯等设备。装修、安装阶段使用的电钻、手工钻及电锤、无齿锯选用低噪声设备，及时加注机油，增强润滑作用；使用电锤开洞、凿眼时，严禁用铁锤敲打管道及金属工件。</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4</w:t>
      </w:r>
      <w:r>
        <w:rPr>
          <w:rFonts w:cs="Times New Roman"/>
          <w:color w:val="000000" w:themeColor="text1"/>
        </w:rPr>
        <w:t>）文明施工。建立健全控制人为噪声管理制度；运输材料和设备时，轻拿轻放，严禁野蛮装卸。</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5</w:t>
      </w:r>
      <w:r>
        <w:rPr>
          <w:rFonts w:cs="Times New Roman"/>
          <w:color w:val="000000" w:themeColor="text1"/>
        </w:rPr>
        <w:t>）一切动力机械设备都应适时维修，特别对因松动部件的</w:t>
      </w:r>
      <w:r>
        <w:rPr>
          <w:rFonts w:cs="Times New Roman" w:hint="eastAsia"/>
          <w:color w:val="000000" w:themeColor="text1"/>
        </w:rPr>
        <w:t>振动</w:t>
      </w:r>
      <w:r>
        <w:rPr>
          <w:rFonts w:cs="Times New Roman"/>
          <w:color w:val="000000" w:themeColor="text1"/>
        </w:rPr>
        <w:t>或降低噪声部件的损坏而产生强噪声的设备，更应经常检查维护。</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6</w:t>
      </w:r>
      <w:r>
        <w:rPr>
          <w:rFonts w:cs="Times New Roman"/>
          <w:color w:val="000000" w:themeColor="text1"/>
        </w:rPr>
        <w:t>）加强施工场地车辆的管理，尽量减少鸣喇叭次数及汽车启动频率。</w:t>
      </w:r>
    </w:p>
    <w:p w:rsidR="00644456" w:rsidRDefault="008031C4">
      <w:pPr>
        <w:pStyle w:val="-"/>
        <w:ind w:firstLine="480"/>
        <w:rPr>
          <w:rFonts w:cs="Times New Roman"/>
          <w:color w:val="000000" w:themeColor="text1"/>
        </w:rPr>
      </w:pPr>
      <w:r>
        <w:rPr>
          <w:rFonts w:cs="Times New Roman"/>
          <w:color w:val="000000" w:themeColor="text1"/>
        </w:rPr>
        <w:t>（</w:t>
      </w:r>
      <w:r>
        <w:rPr>
          <w:rFonts w:cs="Times New Roman"/>
          <w:color w:val="000000" w:themeColor="text1"/>
        </w:rPr>
        <w:t>7</w:t>
      </w:r>
      <w:r>
        <w:rPr>
          <w:rFonts w:cs="Times New Roman"/>
          <w:color w:val="000000" w:themeColor="text1"/>
        </w:rPr>
        <w:t>）建材、施工机械器具、建渣等的运输选择影响最小的路线，途经敏感点时减速慢行，严禁鸣笛。</w:t>
      </w:r>
    </w:p>
    <w:p w:rsidR="00644456" w:rsidRDefault="008031C4">
      <w:pPr>
        <w:pStyle w:val="-"/>
        <w:spacing w:line="353" w:lineRule="auto"/>
        <w:ind w:firstLine="480"/>
        <w:rPr>
          <w:rFonts w:cs="Times New Roman"/>
          <w:color w:val="000000" w:themeColor="text1"/>
        </w:rPr>
      </w:pPr>
      <w:r>
        <w:rPr>
          <w:rFonts w:cs="Times New Roman"/>
          <w:color w:val="000000" w:themeColor="text1"/>
        </w:rPr>
        <w:t>采取以上噪声治理措施后，本项目施工期场界噪声可满足《建筑施工场界环境噪声排放标准》（</w:t>
      </w:r>
      <w:r>
        <w:rPr>
          <w:rFonts w:cs="Times New Roman"/>
          <w:color w:val="000000" w:themeColor="text1"/>
        </w:rPr>
        <w:t>GB12523-2011</w:t>
      </w:r>
      <w:r>
        <w:rPr>
          <w:rFonts w:cs="Times New Roman"/>
          <w:color w:val="000000" w:themeColor="text1"/>
        </w:rPr>
        <w:t>）要求，施工期噪声治理措施可行。</w:t>
      </w:r>
    </w:p>
    <w:p w:rsidR="00644456" w:rsidRDefault="008031C4">
      <w:pPr>
        <w:pStyle w:val="3"/>
        <w:numPr>
          <w:ilvl w:val="2"/>
          <w:numId w:val="0"/>
        </w:numPr>
        <w:ind w:firstLineChars="200" w:firstLine="482"/>
      </w:pPr>
      <w:r>
        <w:rPr>
          <w:rFonts w:hint="eastAsia"/>
        </w:rPr>
        <w:t>6.1.4</w:t>
      </w:r>
      <w:r>
        <w:rPr>
          <w:rFonts w:hint="eastAsia"/>
        </w:rPr>
        <w:t>施工期固废</w:t>
      </w:r>
    </w:p>
    <w:p w:rsidR="00644456" w:rsidRDefault="008031C4">
      <w:pPr>
        <w:pStyle w:val="-"/>
        <w:spacing w:line="353" w:lineRule="auto"/>
        <w:ind w:firstLine="480"/>
        <w:rPr>
          <w:rFonts w:cs="Times New Roman"/>
          <w:color w:val="000000" w:themeColor="text1"/>
        </w:rPr>
      </w:pPr>
      <w:r>
        <w:rPr>
          <w:rFonts w:cs="Times New Roman" w:hint="eastAsia"/>
          <w:color w:val="000000" w:themeColor="text1"/>
        </w:rPr>
        <w:t>施工期固体废物主要来源于施工过程中产生的土石方、建筑垃圾和施工人员的生活垃圾。评价结合施工特点，提出以下防治措施：</w:t>
      </w:r>
    </w:p>
    <w:p w:rsidR="00644456" w:rsidRDefault="008031C4">
      <w:pPr>
        <w:pStyle w:val="-"/>
        <w:spacing w:line="353" w:lineRule="auto"/>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hint="eastAsia"/>
          <w:color w:val="000000" w:themeColor="text1"/>
        </w:rPr>
        <w:t>）对施工建筑垃圾进行分类收集，对于废钢筋等可回收部分回收外售，剩余的废砖、土等建筑垃圾优先回填；</w:t>
      </w:r>
    </w:p>
    <w:p w:rsidR="00644456" w:rsidRDefault="008031C4">
      <w:pPr>
        <w:pStyle w:val="-"/>
        <w:spacing w:line="353" w:lineRule="auto"/>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2</w:t>
      </w:r>
      <w:r>
        <w:rPr>
          <w:rFonts w:cs="Times New Roman" w:hint="eastAsia"/>
          <w:color w:val="000000" w:themeColor="text1"/>
        </w:rPr>
        <w:t>）对于场地内的表层土壤，要求在场地内临时贮存，最终作为场地绿化用途利</w:t>
      </w:r>
      <w:r>
        <w:rPr>
          <w:rFonts w:cs="Times New Roman" w:hint="eastAsia"/>
          <w:color w:val="000000" w:themeColor="text1"/>
        </w:rPr>
        <w:lastRenderedPageBreak/>
        <w:t>用，表土临时贮存场地周边设围挡、表层设土工布防尘、防流失；</w:t>
      </w:r>
    </w:p>
    <w:p w:rsidR="00644456" w:rsidRDefault="008031C4">
      <w:pPr>
        <w:pStyle w:val="-"/>
        <w:spacing w:line="353" w:lineRule="auto"/>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3</w:t>
      </w:r>
      <w:r>
        <w:rPr>
          <w:rFonts w:cs="Times New Roman" w:hint="eastAsia"/>
          <w:color w:val="000000" w:themeColor="text1"/>
        </w:rPr>
        <w:t>）施工现场应设临时垃圾桶，收集定期按当地环卫部门要求统一处置。</w:t>
      </w:r>
    </w:p>
    <w:p w:rsidR="00644456" w:rsidRDefault="008031C4">
      <w:pPr>
        <w:pStyle w:val="-"/>
        <w:spacing w:line="353" w:lineRule="auto"/>
        <w:ind w:firstLine="480"/>
        <w:rPr>
          <w:rFonts w:cs="Times New Roman"/>
          <w:color w:val="000000" w:themeColor="text1"/>
        </w:rPr>
      </w:pPr>
      <w:r>
        <w:rPr>
          <w:rFonts w:cs="Times New Roman" w:hint="eastAsia"/>
          <w:color w:val="000000" w:themeColor="text1"/>
        </w:rPr>
        <w:t>采取上述措施后，可避免施工期固废对环境产生二次污染</w:t>
      </w:r>
      <w:r>
        <w:rPr>
          <w:rFonts w:cs="Times New Roman"/>
          <w:color w:val="000000" w:themeColor="text1"/>
        </w:rPr>
        <w:t>。</w:t>
      </w:r>
    </w:p>
    <w:p w:rsidR="00644456" w:rsidRDefault="008031C4">
      <w:pPr>
        <w:pStyle w:val="-"/>
        <w:spacing w:line="353" w:lineRule="auto"/>
        <w:ind w:firstLine="480"/>
        <w:rPr>
          <w:rFonts w:cs="Times New Roman"/>
          <w:color w:val="000000" w:themeColor="text1"/>
        </w:rPr>
      </w:pPr>
      <w:r>
        <w:rPr>
          <w:rFonts w:cs="Times New Roman"/>
          <w:color w:val="000000" w:themeColor="text1"/>
        </w:rPr>
        <w:t>采取上述固废污染防治措施后，本项目施工期固废可得到合理处置，不会对周围环境造成影响。</w:t>
      </w:r>
    </w:p>
    <w:p w:rsidR="00644456" w:rsidRDefault="008031C4">
      <w:pPr>
        <w:pStyle w:val="3"/>
        <w:numPr>
          <w:ilvl w:val="2"/>
          <w:numId w:val="0"/>
        </w:numPr>
        <w:ind w:firstLineChars="200" w:firstLine="482"/>
      </w:pPr>
      <w:r>
        <w:rPr>
          <w:rFonts w:hint="eastAsia"/>
        </w:rPr>
        <w:t>6.1.5</w:t>
      </w:r>
      <w:r>
        <w:rPr>
          <w:rFonts w:hint="eastAsia"/>
        </w:rPr>
        <w:t>施工期生态</w:t>
      </w:r>
    </w:p>
    <w:p w:rsidR="00644456" w:rsidRDefault="008031C4">
      <w:pPr>
        <w:pStyle w:val="-"/>
        <w:spacing w:line="353" w:lineRule="auto"/>
        <w:ind w:firstLine="480"/>
        <w:rPr>
          <w:rFonts w:cs="Times New Roman"/>
          <w:color w:val="000000" w:themeColor="text1"/>
        </w:rPr>
      </w:pPr>
      <w:r>
        <w:rPr>
          <w:rFonts w:cs="Times New Roman" w:hint="eastAsia"/>
          <w:color w:val="000000" w:themeColor="text1"/>
        </w:rPr>
        <w:t>根据施工活动对项目区生态环境的影响方面，为有效控制施工活动的不良影响，维护区域生态环境，在施工期间应保证下列措施的实施：</w:t>
      </w:r>
    </w:p>
    <w:p w:rsidR="00644456" w:rsidRDefault="008031C4">
      <w:pPr>
        <w:pStyle w:val="-"/>
        <w:spacing w:line="353" w:lineRule="auto"/>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hint="eastAsia"/>
          <w:color w:val="000000" w:themeColor="text1"/>
        </w:rPr>
        <w:t>）施工进场道路修建要严格施工机械活动范围，控制在永久占地范围内，强化生态环境保护意识，严格控制施工作业区，施工场界周围设围墙，不得随意扩大范围，以减少对附近植被和道路破坏，施工期间应规范施工行为，避免大风天和雨天施工，减少土壤侵蚀源的暴露时间。</w:t>
      </w:r>
    </w:p>
    <w:p w:rsidR="00644456" w:rsidRDefault="008031C4">
      <w:pPr>
        <w:pStyle w:val="-"/>
        <w:spacing w:line="353" w:lineRule="auto"/>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2</w:t>
      </w:r>
      <w:r>
        <w:rPr>
          <w:rFonts w:cs="Times New Roman" w:hint="eastAsia"/>
          <w:color w:val="000000" w:themeColor="text1"/>
        </w:rPr>
        <w:t>）本环评要求施工方在开挖土石方时，对项目区适宜植被生长的表层土壤进行保护性堆存，堆放时注意表层土和深层土层分开放置，在回填时尽量填入深层土层或不利于植物生长的粘土，将表土层全部用于绿化用土，减少余方量。</w:t>
      </w:r>
    </w:p>
    <w:p w:rsidR="00644456" w:rsidRDefault="008031C4">
      <w:pPr>
        <w:pStyle w:val="-"/>
        <w:spacing w:line="353" w:lineRule="auto"/>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3</w:t>
      </w:r>
      <w:r>
        <w:rPr>
          <w:rFonts w:cs="Times New Roman" w:hint="eastAsia"/>
          <w:color w:val="000000" w:themeColor="text1"/>
        </w:rPr>
        <w:t>）工程挖方应尽可能用于场地回填、绿化及道路建设，无永久弃土产生。</w:t>
      </w:r>
    </w:p>
    <w:p w:rsidR="00644456" w:rsidRDefault="008031C4">
      <w:pPr>
        <w:pStyle w:val="-"/>
        <w:spacing w:line="353" w:lineRule="auto"/>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4</w:t>
      </w:r>
      <w:r>
        <w:rPr>
          <w:rFonts w:cs="Times New Roman" w:hint="eastAsia"/>
          <w:color w:val="000000" w:themeColor="text1"/>
        </w:rPr>
        <w:t>）在道路路边设置“保护生态环境、保护野生动植物”等警示牌，并从管理上对工作人员加强宣传教育，切实增强生态环境的意识。</w:t>
      </w:r>
    </w:p>
    <w:p w:rsidR="00644456" w:rsidRDefault="008031C4">
      <w:pPr>
        <w:pStyle w:val="-"/>
        <w:spacing w:line="353" w:lineRule="auto"/>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5</w:t>
      </w:r>
      <w:r>
        <w:rPr>
          <w:rFonts w:cs="Times New Roman" w:hint="eastAsia"/>
          <w:color w:val="000000" w:themeColor="text1"/>
        </w:rPr>
        <w:t>）划定施工作业范围和路线，严格控制和管理运输车辆及重型机械施工作业范围，采用拉设彩条方式限定运输车辆行驶范围。</w:t>
      </w:r>
    </w:p>
    <w:p w:rsidR="00644456" w:rsidRDefault="008031C4">
      <w:pPr>
        <w:pStyle w:val="-"/>
        <w:spacing w:line="353" w:lineRule="auto"/>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6</w:t>
      </w:r>
      <w:r>
        <w:rPr>
          <w:rFonts w:cs="Times New Roman" w:hint="eastAsia"/>
          <w:color w:val="000000" w:themeColor="text1"/>
        </w:rPr>
        <w:t>）施工方按本环评要求加强施工管理、合理安排施工进度，避免发生水土流失。随着施工期结束，建设场地被水泥、建筑及人工绿化植被覆盖，改变了项目区植被稀疏，分布凌乱，裸露土壤较多的现状，有利于消除水土流失的不利影响。</w:t>
      </w:r>
    </w:p>
    <w:p w:rsidR="00644456" w:rsidRDefault="008031C4">
      <w:pPr>
        <w:pStyle w:val="-"/>
        <w:spacing w:line="353" w:lineRule="auto"/>
        <w:ind w:firstLine="480"/>
        <w:rPr>
          <w:rFonts w:cs="Times New Roman"/>
          <w:color w:val="000000" w:themeColor="text1"/>
        </w:rPr>
      </w:pPr>
      <w:r>
        <w:rPr>
          <w:rFonts w:cs="Times New Roman" w:hint="eastAsia"/>
          <w:color w:val="000000" w:themeColor="text1"/>
        </w:rPr>
        <w:t>项目施工期对环境产生的上述影响，均为可逆的、短期的，项目建成后，影响自行消除。建设单位和施工单位在施工过程中只要切实落实对施工产生的土石方、固废以及由此产生的扬尘的管理和控制措施，施工期的水土流失影响将得到有效控制</w:t>
      </w:r>
      <w:r>
        <w:rPr>
          <w:rFonts w:cs="Times New Roman"/>
          <w:color w:val="000000" w:themeColor="text1"/>
        </w:rPr>
        <w:t>。</w:t>
      </w:r>
    </w:p>
    <w:p w:rsidR="00644456" w:rsidRDefault="008031C4">
      <w:pPr>
        <w:pStyle w:val="-"/>
        <w:spacing w:line="353" w:lineRule="auto"/>
        <w:ind w:firstLine="482"/>
        <w:rPr>
          <w:rFonts w:cs="Times New Roman"/>
          <w:b/>
          <w:bCs/>
          <w:color w:val="000000" w:themeColor="text1"/>
        </w:rPr>
      </w:pPr>
      <w:r>
        <w:rPr>
          <w:rFonts w:cs="Times New Roman"/>
          <w:b/>
          <w:bCs/>
          <w:color w:val="000000" w:themeColor="text1"/>
        </w:rPr>
        <w:t>综上所述，采取以上生态保护措施后，施工期不会对项目所在区域</w:t>
      </w:r>
      <w:r>
        <w:rPr>
          <w:rFonts w:cs="Times New Roman" w:hint="eastAsia"/>
          <w:b/>
          <w:bCs/>
          <w:color w:val="000000" w:themeColor="text1"/>
        </w:rPr>
        <w:t>的</w:t>
      </w:r>
      <w:r>
        <w:rPr>
          <w:rFonts w:cs="Times New Roman"/>
          <w:b/>
          <w:bCs/>
          <w:color w:val="000000" w:themeColor="text1"/>
        </w:rPr>
        <w:t>生态环境造成明显影响，生态保护措施可行；施工期环保措施技术、经济可行。</w:t>
      </w:r>
    </w:p>
    <w:p w:rsidR="00644456" w:rsidRDefault="008031C4">
      <w:pPr>
        <w:pStyle w:val="20"/>
        <w:numPr>
          <w:ilvl w:val="1"/>
          <w:numId w:val="0"/>
        </w:numPr>
        <w:adjustRightInd w:val="0"/>
        <w:snapToGrid w:val="0"/>
        <w:spacing w:beforeLines="0" w:before="0" w:afterLines="0" w:after="0"/>
        <w:ind w:firstLine="561"/>
        <w:rPr>
          <w:rFonts w:cs="Times New Roman"/>
          <w:color w:val="000000" w:themeColor="text1"/>
        </w:rPr>
      </w:pPr>
      <w:bookmarkStart w:id="403" w:name="_Toc25499"/>
      <w:bookmarkStart w:id="404" w:name="_Toc215691608"/>
      <w:bookmarkStart w:id="405" w:name="_Toc14099"/>
      <w:bookmarkStart w:id="406" w:name="_Toc187996850"/>
      <w:bookmarkStart w:id="407" w:name="_Toc330540663"/>
      <w:bookmarkStart w:id="408" w:name="_Toc152756362"/>
      <w:bookmarkStart w:id="409" w:name="_Toc177216896"/>
      <w:bookmarkStart w:id="410" w:name="_Toc155789388"/>
      <w:bookmarkStart w:id="411" w:name="_Toc23477"/>
      <w:r>
        <w:rPr>
          <w:rFonts w:cs="Times New Roman" w:hint="eastAsia"/>
          <w:color w:val="000000" w:themeColor="text1"/>
        </w:rPr>
        <w:lastRenderedPageBreak/>
        <w:t>6.2</w:t>
      </w:r>
      <w:r>
        <w:rPr>
          <w:rFonts w:cs="Times New Roman"/>
          <w:color w:val="000000" w:themeColor="text1"/>
        </w:rPr>
        <w:t>营运期</w:t>
      </w:r>
      <w:bookmarkEnd w:id="403"/>
      <w:bookmarkEnd w:id="404"/>
      <w:bookmarkEnd w:id="405"/>
      <w:bookmarkEnd w:id="406"/>
      <w:bookmarkEnd w:id="407"/>
      <w:bookmarkEnd w:id="408"/>
      <w:r>
        <w:rPr>
          <w:rFonts w:cs="Times New Roman"/>
          <w:color w:val="000000" w:themeColor="text1"/>
        </w:rPr>
        <w:t>环境保护措施及其可行性论证</w:t>
      </w:r>
      <w:bookmarkEnd w:id="409"/>
      <w:bookmarkEnd w:id="410"/>
      <w:bookmarkEnd w:id="411"/>
    </w:p>
    <w:p w:rsidR="00644456" w:rsidRDefault="008031C4">
      <w:pPr>
        <w:pStyle w:val="3"/>
        <w:numPr>
          <w:ilvl w:val="2"/>
          <w:numId w:val="0"/>
        </w:numPr>
        <w:ind w:firstLineChars="200" w:firstLine="482"/>
      </w:pPr>
      <w:r>
        <w:rPr>
          <w:rFonts w:hint="eastAsia"/>
        </w:rPr>
        <w:t>6.2.1</w:t>
      </w:r>
      <w:r>
        <w:rPr>
          <w:rFonts w:hint="eastAsia"/>
        </w:rPr>
        <w:t>大气污染物防治及治理措施及论证</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6.2.1.1</w:t>
      </w:r>
      <w:r>
        <w:rPr>
          <w:rFonts w:cs="Times New Roman" w:hint="eastAsia"/>
          <w:snapToGrid w:val="0"/>
          <w:color w:val="000000" w:themeColor="text1"/>
          <w:kern w:val="0"/>
          <w:szCs w:val="24"/>
        </w:rPr>
        <w:t>生产工艺废气防治措施及可行性</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1</w:t>
      </w:r>
      <w:r>
        <w:rPr>
          <w:rFonts w:cs="Times New Roman" w:hint="eastAsia"/>
          <w:bCs/>
          <w:snapToGrid w:val="0"/>
          <w:color w:val="000000" w:themeColor="text1"/>
          <w:kern w:val="0"/>
          <w:sz w:val="24"/>
          <w:szCs w:val="24"/>
        </w:rPr>
        <w:t>）工艺可行性</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本项目蒸馏工段、精制工段均会产生不凝气，其主要污染物为非甲烷总烃及少量的硫化氢，针对上述污染物项目采取负压排气管道将产生的废气统一收集，采用“碱液喷淋</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干式过滤</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高温氧化”工艺进行净化处理。</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①碱液喷淋：本项目物料在蒸馏过程中产生的废气其主要成分为非甲烷总烃，同时含有少量的硫化氢。针对废气中的硫化氢，拟采取碱液喷淋洗涤塔进行预处理。本项目拟采用</w:t>
      </w:r>
      <w:r>
        <w:rPr>
          <w:rFonts w:cs="Times New Roman" w:hint="eastAsia"/>
          <w:bCs/>
          <w:snapToGrid w:val="0"/>
          <w:color w:val="000000" w:themeColor="text1"/>
          <w:kern w:val="0"/>
          <w:sz w:val="24"/>
          <w:szCs w:val="24"/>
        </w:rPr>
        <w:t>1%</w:t>
      </w:r>
      <w:r>
        <w:rPr>
          <w:rFonts w:cs="Times New Roman" w:hint="eastAsia"/>
          <w:bCs/>
          <w:snapToGrid w:val="0"/>
          <w:color w:val="000000" w:themeColor="text1"/>
          <w:kern w:val="0"/>
          <w:sz w:val="24"/>
          <w:szCs w:val="24"/>
        </w:rPr>
        <w:t>的碱液作为吸收剂，废气从洗涤塔底部进入，在通过填料层的过程中与循环喷淋液充分接触，气体中的硫化氢被吸收剂吸收后被转变为无机盐类进入溶液洗涤循环装置并定期更换，处理后的气体从塔顶排出进入气雾分离器分离水分后进入下一处理工序，因硫化氢属于酸性废气，易与碱液发生反应。</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②干式过滤器：为了防止废气中可能携带的少量油雾颗粒进入高温热氧化炉系统，对其产生不利影响，提高废气处理设施的安全性。项目拟采用干式过滤器对废气进行过滤净化，其原理是通过材料纤维改变颗粒的惯性力方向从而将其从废气中分离出来，材料逐渐加密的多重纤维经增加撞击率，提高过滤效率。本项目拟选用三级空气过滤器，其主要包括不锈钢金属丝网过滤器、无纺布初效过滤器和</w:t>
      </w:r>
      <w:r>
        <w:rPr>
          <w:rFonts w:cs="Times New Roman" w:hint="eastAsia"/>
          <w:bCs/>
          <w:snapToGrid w:val="0"/>
          <w:color w:val="000000" w:themeColor="text1"/>
          <w:kern w:val="0"/>
          <w:sz w:val="24"/>
          <w:szCs w:val="24"/>
        </w:rPr>
        <w:t>F6</w:t>
      </w:r>
      <w:r>
        <w:rPr>
          <w:rFonts w:cs="Times New Roman" w:hint="eastAsia"/>
          <w:bCs/>
          <w:snapToGrid w:val="0"/>
          <w:color w:val="000000" w:themeColor="text1"/>
          <w:kern w:val="0"/>
          <w:sz w:val="24"/>
          <w:szCs w:val="24"/>
        </w:rPr>
        <w:t>中效过滤器，废气经过三级过滤后，可有效地防止废气中少量油雾颗粒进入到高温氧化系统，亦可去除废气中携带的少量的水分，干式过滤材料饱和后可经过拍打、抖落重复使用多次。</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③高温热氧化炉（</w:t>
      </w:r>
      <w:r>
        <w:rPr>
          <w:rFonts w:cs="Times New Roman" w:hint="eastAsia"/>
          <w:bCs/>
          <w:snapToGrid w:val="0"/>
          <w:color w:val="000000" w:themeColor="text1"/>
          <w:kern w:val="0"/>
          <w:sz w:val="24"/>
          <w:szCs w:val="24"/>
        </w:rPr>
        <w:t>TO</w:t>
      </w:r>
      <w:r>
        <w:rPr>
          <w:rFonts w:cs="Times New Roman" w:hint="eastAsia"/>
          <w:bCs/>
          <w:snapToGrid w:val="0"/>
          <w:color w:val="000000" w:themeColor="text1"/>
          <w:kern w:val="0"/>
          <w:sz w:val="24"/>
          <w:szCs w:val="24"/>
        </w:rPr>
        <w:t>）：根据《挥发性有机物治理实用手册》（第二版，</w:t>
      </w:r>
      <w:r>
        <w:rPr>
          <w:rFonts w:cs="Times New Roman" w:hint="eastAsia"/>
          <w:bCs/>
          <w:snapToGrid w:val="0"/>
          <w:color w:val="000000" w:themeColor="text1"/>
          <w:kern w:val="0"/>
          <w:sz w:val="24"/>
          <w:szCs w:val="24"/>
        </w:rPr>
        <w:t>2021</w:t>
      </w:r>
      <w:r>
        <w:rPr>
          <w:rFonts w:cs="Times New Roman" w:hint="eastAsia"/>
          <w:bCs/>
          <w:snapToGrid w:val="0"/>
          <w:color w:val="000000" w:themeColor="text1"/>
          <w:kern w:val="0"/>
          <w:sz w:val="24"/>
          <w:szCs w:val="24"/>
        </w:rPr>
        <w:t>年），对于有机废气，常见的控制技术包括吸附技术、燃烧技术、冷凝技术等。根据使用手册中各控制技术的优缺点比较见表</w:t>
      </w:r>
      <w:r>
        <w:rPr>
          <w:rFonts w:cs="Times New Roman" w:hint="eastAsia"/>
          <w:bCs/>
          <w:snapToGrid w:val="0"/>
          <w:color w:val="000000" w:themeColor="text1"/>
          <w:kern w:val="0"/>
          <w:sz w:val="24"/>
          <w:szCs w:val="24"/>
        </w:rPr>
        <w:t>6.2.1</w:t>
      </w:r>
      <w:r>
        <w:rPr>
          <w:rFonts w:cs="Times New Roman" w:hint="eastAsia"/>
          <w:bCs/>
          <w:snapToGrid w:val="0"/>
          <w:color w:val="000000" w:themeColor="text1"/>
          <w:kern w:val="0"/>
          <w:sz w:val="24"/>
          <w:szCs w:val="24"/>
        </w:rPr>
        <w:t>。</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本项目有机废气产生量小，且不具备回收利用价值，废气中含有少量的硫化氢，在经过碱液喷淋后基本可以全部去除，在对比各控制技术的优缺点的同时，结合建设单位的经济承受能力的基础上，最终选用燃烧技术（</w:t>
      </w:r>
      <w:r>
        <w:rPr>
          <w:rFonts w:cs="Times New Roman" w:hint="eastAsia"/>
          <w:bCs/>
          <w:snapToGrid w:val="0"/>
          <w:color w:val="000000" w:themeColor="text1"/>
          <w:kern w:val="0"/>
          <w:sz w:val="24"/>
          <w:szCs w:val="24"/>
        </w:rPr>
        <w:t>TO</w:t>
      </w:r>
      <w:r>
        <w:rPr>
          <w:rFonts w:cs="Times New Roman" w:hint="eastAsia"/>
          <w:bCs/>
          <w:snapToGrid w:val="0"/>
          <w:color w:val="000000" w:themeColor="text1"/>
          <w:kern w:val="0"/>
          <w:sz w:val="24"/>
          <w:szCs w:val="24"/>
        </w:rPr>
        <w:t>炉）用于本项目有机废气的处理。</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根据《排污许可证申请与核发技术规范废弃资源加工工业》（</w:t>
      </w:r>
      <w:r>
        <w:rPr>
          <w:rFonts w:cs="Times New Roman" w:hint="eastAsia"/>
          <w:bCs/>
          <w:snapToGrid w:val="0"/>
          <w:color w:val="000000" w:themeColor="text1"/>
          <w:kern w:val="0"/>
          <w:sz w:val="24"/>
          <w:szCs w:val="24"/>
        </w:rPr>
        <w:t>HJ1034-2019</w:t>
      </w:r>
      <w:r>
        <w:rPr>
          <w:rFonts w:cs="Times New Roman" w:hint="eastAsia"/>
          <w:bCs/>
          <w:snapToGrid w:val="0"/>
          <w:color w:val="000000" w:themeColor="text1"/>
          <w:kern w:val="0"/>
          <w:sz w:val="24"/>
          <w:szCs w:val="24"/>
        </w:rPr>
        <w:t>）附录</w:t>
      </w:r>
      <w:r>
        <w:rPr>
          <w:rFonts w:cs="Times New Roman" w:hint="eastAsia"/>
          <w:bCs/>
          <w:snapToGrid w:val="0"/>
          <w:color w:val="000000" w:themeColor="text1"/>
          <w:kern w:val="0"/>
          <w:sz w:val="24"/>
          <w:szCs w:val="24"/>
        </w:rPr>
        <w:t>A</w:t>
      </w:r>
      <w:r>
        <w:rPr>
          <w:rFonts w:cs="Times New Roman" w:hint="eastAsia"/>
          <w:bCs/>
          <w:snapToGrid w:val="0"/>
          <w:color w:val="000000" w:themeColor="text1"/>
          <w:kern w:val="0"/>
          <w:sz w:val="24"/>
          <w:szCs w:val="24"/>
        </w:rPr>
        <w:t>中推荐的废气治理的可行技术，本项目选用的“碱液喷淋</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干式过滤</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高温氧化”技术属于推荐可行技术。</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2</w:t>
      </w:r>
      <w:r>
        <w:rPr>
          <w:rFonts w:cs="Times New Roman" w:hint="eastAsia"/>
          <w:bCs/>
          <w:snapToGrid w:val="0"/>
          <w:color w:val="000000" w:themeColor="text1"/>
          <w:kern w:val="0"/>
          <w:sz w:val="24"/>
          <w:szCs w:val="24"/>
        </w:rPr>
        <w:t>）达标可靠性</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lastRenderedPageBreak/>
        <w:t>本次环评期间，收集了《太仓市元通废油处理有限公司扩建处置利用废矿物油</w:t>
      </w:r>
      <w:r>
        <w:rPr>
          <w:rFonts w:cs="Times New Roman" w:hint="eastAsia"/>
          <w:bCs/>
          <w:snapToGrid w:val="0"/>
          <w:color w:val="000000" w:themeColor="text1"/>
          <w:kern w:val="0"/>
          <w:sz w:val="24"/>
          <w:szCs w:val="24"/>
        </w:rPr>
        <w:t>25000</w:t>
      </w:r>
      <w:r>
        <w:rPr>
          <w:rFonts w:cs="Times New Roman" w:hint="eastAsia"/>
          <w:bCs/>
          <w:snapToGrid w:val="0"/>
          <w:color w:val="000000" w:themeColor="text1"/>
          <w:kern w:val="0"/>
          <w:sz w:val="24"/>
          <w:szCs w:val="24"/>
        </w:rPr>
        <w:t>吨</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年技改项目》相关的资料，该项目已建成</w:t>
      </w:r>
      <w:r>
        <w:rPr>
          <w:rFonts w:cs="Times New Roman" w:hint="eastAsia"/>
          <w:bCs/>
          <w:snapToGrid w:val="0"/>
          <w:color w:val="000000" w:themeColor="text1"/>
          <w:kern w:val="0"/>
          <w:sz w:val="24"/>
          <w:szCs w:val="24"/>
        </w:rPr>
        <w:t>1.5</w:t>
      </w:r>
      <w:r>
        <w:rPr>
          <w:rFonts w:cs="Times New Roman" w:hint="eastAsia"/>
          <w:bCs/>
          <w:snapToGrid w:val="0"/>
          <w:color w:val="000000" w:themeColor="text1"/>
          <w:kern w:val="0"/>
          <w:sz w:val="24"/>
          <w:szCs w:val="24"/>
        </w:rPr>
        <w:t>万</w:t>
      </w:r>
      <w:r>
        <w:rPr>
          <w:rFonts w:cs="Times New Roman" w:hint="eastAsia"/>
          <w:bCs/>
          <w:snapToGrid w:val="0"/>
          <w:color w:val="000000" w:themeColor="text1"/>
          <w:kern w:val="0"/>
          <w:sz w:val="24"/>
          <w:szCs w:val="24"/>
        </w:rPr>
        <w:t>t/a</w:t>
      </w:r>
      <w:r>
        <w:rPr>
          <w:rFonts w:cs="Times New Roman" w:hint="eastAsia"/>
          <w:bCs/>
          <w:snapToGrid w:val="0"/>
          <w:color w:val="000000" w:themeColor="text1"/>
          <w:kern w:val="0"/>
          <w:sz w:val="24"/>
          <w:szCs w:val="24"/>
        </w:rPr>
        <w:t>废矿物油收集处理生产线，其回收的原料（</w:t>
      </w:r>
      <w:r>
        <w:rPr>
          <w:rFonts w:cs="Times New Roman" w:hint="eastAsia"/>
          <w:bCs/>
          <w:snapToGrid w:val="0"/>
          <w:color w:val="000000" w:themeColor="text1"/>
          <w:kern w:val="0"/>
          <w:sz w:val="24"/>
          <w:szCs w:val="24"/>
        </w:rPr>
        <w:t>HW08</w:t>
      </w:r>
      <w:r>
        <w:rPr>
          <w:rFonts w:cs="Times New Roman" w:hint="eastAsia"/>
          <w:bCs/>
          <w:snapToGrid w:val="0"/>
          <w:color w:val="000000" w:themeColor="text1"/>
          <w:kern w:val="0"/>
          <w:sz w:val="24"/>
          <w:szCs w:val="24"/>
        </w:rPr>
        <w:t>废矿物油及含油废液中小类别代码）与本项目雷同，采用的生产工艺与本项目相同，废气治理措施与本项目相同，</w:t>
      </w:r>
      <w:r>
        <w:rPr>
          <w:rFonts w:cs="Times New Roman" w:hint="eastAsia"/>
          <w:bCs/>
          <w:snapToGrid w:val="0"/>
          <w:color w:val="000000" w:themeColor="text1"/>
          <w:kern w:val="0"/>
          <w:sz w:val="24"/>
          <w:szCs w:val="24"/>
        </w:rPr>
        <w:t>2021</w:t>
      </w:r>
      <w:r>
        <w:rPr>
          <w:rFonts w:cs="Times New Roman" w:hint="eastAsia"/>
          <w:bCs/>
          <w:snapToGrid w:val="0"/>
          <w:color w:val="000000" w:themeColor="text1"/>
          <w:kern w:val="0"/>
          <w:sz w:val="24"/>
          <w:szCs w:val="24"/>
        </w:rPr>
        <w:t>年</w:t>
      </w:r>
      <w:r>
        <w:rPr>
          <w:rFonts w:cs="Times New Roman" w:hint="eastAsia"/>
          <w:bCs/>
          <w:snapToGrid w:val="0"/>
          <w:color w:val="000000" w:themeColor="text1"/>
          <w:kern w:val="0"/>
          <w:sz w:val="24"/>
          <w:szCs w:val="24"/>
        </w:rPr>
        <w:t>9</w:t>
      </w:r>
      <w:r>
        <w:rPr>
          <w:rFonts w:cs="Times New Roman" w:hint="eastAsia"/>
          <w:bCs/>
          <w:snapToGrid w:val="0"/>
          <w:color w:val="000000" w:themeColor="text1"/>
          <w:kern w:val="0"/>
          <w:sz w:val="24"/>
          <w:szCs w:val="24"/>
        </w:rPr>
        <w:t>月该项目进行了验收监测，根据监测数据，生产工艺废气经过“碱液喷淋</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干式过滤</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高温氧化”处理后，硫化氢的排放浓度为</w:t>
      </w:r>
      <w:r>
        <w:rPr>
          <w:rFonts w:cs="Times New Roman" w:hint="eastAsia"/>
          <w:bCs/>
          <w:snapToGrid w:val="0"/>
          <w:color w:val="000000" w:themeColor="text1"/>
          <w:kern w:val="0"/>
          <w:sz w:val="24"/>
          <w:szCs w:val="24"/>
        </w:rPr>
        <w:t>0.01mg/m</w:t>
      </w:r>
      <w:r w:rsidRPr="007B7F59">
        <w:rPr>
          <w:rFonts w:cs="Times New Roman" w:hint="eastAsia"/>
          <w:bCs/>
          <w:snapToGrid w:val="0"/>
          <w:color w:val="000000" w:themeColor="text1"/>
          <w:kern w:val="0"/>
          <w:sz w:val="24"/>
          <w:szCs w:val="24"/>
          <w:vertAlign w:val="superscript"/>
        </w:rPr>
        <w:t>3</w:t>
      </w:r>
      <w:r>
        <w:rPr>
          <w:rFonts w:cs="Times New Roman" w:hint="eastAsia"/>
          <w:bCs/>
          <w:snapToGrid w:val="0"/>
          <w:color w:val="000000" w:themeColor="text1"/>
          <w:kern w:val="0"/>
          <w:sz w:val="24"/>
          <w:szCs w:val="24"/>
        </w:rPr>
        <w:t>，非甲烷总烃排放浓度为</w:t>
      </w:r>
      <w:r>
        <w:rPr>
          <w:rFonts w:cs="Times New Roman" w:hint="eastAsia"/>
          <w:bCs/>
          <w:snapToGrid w:val="0"/>
          <w:color w:val="000000" w:themeColor="text1"/>
          <w:kern w:val="0"/>
          <w:sz w:val="24"/>
          <w:szCs w:val="24"/>
        </w:rPr>
        <w:t>1.46mg/m</w:t>
      </w:r>
      <w:r w:rsidRPr="007B7F59">
        <w:rPr>
          <w:rFonts w:cs="Times New Roman" w:hint="eastAsia"/>
          <w:bCs/>
          <w:snapToGrid w:val="0"/>
          <w:color w:val="000000" w:themeColor="text1"/>
          <w:kern w:val="0"/>
          <w:sz w:val="24"/>
          <w:szCs w:val="24"/>
          <w:vertAlign w:val="superscript"/>
        </w:rPr>
        <w:t>3</w:t>
      </w:r>
      <w:r>
        <w:rPr>
          <w:rFonts w:cs="Times New Roman" w:hint="eastAsia"/>
          <w:bCs/>
          <w:snapToGrid w:val="0"/>
          <w:color w:val="000000" w:themeColor="text1"/>
          <w:kern w:val="0"/>
          <w:sz w:val="24"/>
          <w:szCs w:val="24"/>
        </w:rPr>
        <w:t>，可实现达标排放。</w:t>
      </w:r>
    </w:p>
    <w:p w:rsidR="00644456" w:rsidRPr="007B7F59" w:rsidRDefault="008031C4">
      <w:pPr>
        <w:spacing w:line="360" w:lineRule="auto"/>
        <w:ind w:firstLineChars="200" w:firstLine="480"/>
        <w:rPr>
          <w:rFonts w:cs="Times New Roman"/>
          <w:bCs/>
          <w:snapToGrid w:val="0"/>
          <w:color w:val="FF0000"/>
          <w:kern w:val="0"/>
          <w:sz w:val="24"/>
          <w:szCs w:val="24"/>
        </w:rPr>
      </w:pPr>
      <w:r w:rsidRPr="007B7F59">
        <w:rPr>
          <w:rFonts w:cs="Times New Roman" w:hint="eastAsia"/>
          <w:bCs/>
          <w:snapToGrid w:val="0"/>
          <w:color w:val="FF0000"/>
          <w:kern w:val="0"/>
          <w:sz w:val="24"/>
          <w:szCs w:val="24"/>
        </w:rPr>
        <w:t>同时根据本项目工程分析可知，本项目产生的有组织废气经过“碱液喷淋</w:t>
      </w:r>
      <w:r w:rsidRPr="007B7F59">
        <w:rPr>
          <w:rFonts w:cs="Times New Roman" w:hint="eastAsia"/>
          <w:bCs/>
          <w:snapToGrid w:val="0"/>
          <w:color w:val="FF0000"/>
          <w:kern w:val="0"/>
          <w:sz w:val="24"/>
          <w:szCs w:val="24"/>
        </w:rPr>
        <w:t>+</w:t>
      </w:r>
      <w:r w:rsidRPr="007B7F59">
        <w:rPr>
          <w:rFonts w:cs="Times New Roman" w:hint="eastAsia"/>
          <w:bCs/>
          <w:snapToGrid w:val="0"/>
          <w:color w:val="FF0000"/>
          <w:kern w:val="0"/>
          <w:sz w:val="24"/>
          <w:szCs w:val="24"/>
        </w:rPr>
        <w:t>干式过滤</w:t>
      </w:r>
      <w:r w:rsidRPr="007B7F59">
        <w:rPr>
          <w:rFonts w:cs="Times New Roman" w:hint="eastAsia"/>
          <w:bCs/>
          <w:snapToGrid w:val="0"/>
          <w:color w:val="FF0000"/>
          <w:kern w:val="0"/>
          <w:sz w:val="24"/>
          <w:szCs w:val="24"/>
        </w:rPr>
        <w:t>+</w:t>
      </w:r>
      <w:r w:rsidRPr="007B7F59">
        <w:rPr>
          <w:rFonts w:cs="Times New Roman" w:hint="eastAsia"/>
          <w:bCs/>
          <w:snapToGrid w:val="0"/>
          <w:color w:val="FF0000"/>
          <w:kern w:val="0"/>
          <w:sz w:val="24"/>
          <w:szCs w:val="24"/>
        </w:rPr>
        <w:t>高温氧化”处理后，硫化氢的排放浓度</w:t>
      </w:r>
      <w:r w:rsidRPr="007B7F59">
        <w:rPr>
          <w:rFonts w:cs="Times New Roman" w:hint="eastAsia"/>
          <w:bCs/>
          <w:snapToGrid w:val="0"/>
          <w:color w:val="FF0000"/>
          <w:kern w:val="0"/>
          <w:sz w:val="24"/>
          <w:szCs w:val="24"/>
        </w:rPr>
        <w:t>0.06mg/m</w:t>
      </w:r>
      <w:r w:rsidRPr="007B7F59">
        <w:rPr>
          <w:rFonts w:cs="Times New Roman" w:hint="eastAsia"/>
          <w:bCs/>
          <w:snapToGrid w:val="0"/>
          <w:color w:val="FF0000"/>
          <w:kern w:val="0"/>
          <w:sz w:val="24"/>
          <w:szCs w:val="24"/>
          <w:vertAlign w:val="superscript"/>
        </w:rPr>
        <w:t>3</w:t>
      </w:r>
      <w:r w:rsidRPr="007B7F59">
        <w:rPr>
          <w:rFonts w:cs="Times New Roman" w:hint="eastAsia"/>
          <w:bCs/>
          <w:snapToGrid w:val="0"/>
          <w:color w:val="FF0000"/>
          <w:kern w:val="0"/>
          <w:sz w:val="24"/>
          <w:szCs w:val="24"/>
        </w:rPr>
        <w:t>，排放速率为</w:t>
      </w:r>
      <w:r w:rsidRPr="007B7F59">
        <w:rPr>
          <w:rFonts w:cs="Times New Roman" w:hint="eastAsia"/>
          <w:bCs/>
          <w:snapToGrid w:val="0"/>
          <w:color w:val="FF0000"/>
          <w:kern w:val="0"/>
          <w:sz w:val="24"/>
          <w:szCs w:val="24"/>
        </w:rPr>
        <w:t>0.0006kg/h</w:t>
      </w:r>
      <w:r w:rsidRPr="007B7F59">
        <w:rPr>
          <w:rFonts w:cs="Times New Roman" w:hint="eastAsia"/>
          <w:bCs/>
          <w:snapToGrid w:val="0"/>
          <w:color w:val="FF0000"/>
          <w:kern w:val="0"/>
          <w:sz w:val="24"/>
          <w:szCs w:val="24"/>
        </w:rPr>
        <w:t>，非甲烷总烃排放浓度为</w:t>
      </w:r>
      <w:r w:rsidRPr="007B7F59">
        <w:rPr>
          <w:rFonts w:cs="Times New Roman" w:hint="eastAsia"/>
          <w:bCs/>
          <w:snapToGrid w:val="0"/>
          <w:color w:val="FF0000"/>
          <w:kern w:val="0"/>
          <w:sz w:val="24"/>
          <w:szCs w:val="24"/>
        </w:rPr>
        <w:t>34.375mg/m</w:t>
      </w:r>
      <w:r w:rsidRPr="007B7F59">
        <w:rPr>
          <w:rFonts w:cs="Times New Roman" w:hint="eastAsia"/>
          <w:bCs/>
          <w:snapToGrid w:val="0"/>
          <w:color w:val="FF0000"/>
          <w:kern w:val="0"/>
          <w:sz w:val="24"/>
          <w:szCs w:val="24"/>
          <w:vertAlign w:val="superscript"/>
        </w:rPr>
        <w:t>3</w:t>
      </w:r>
      <w:r w:rsidRPr="007B7F59">
        <w:rPr>
          <w:rFonts w:cs="Times New Roman" w:hint="eastAsia"/>
          <w:bCs/>
          <w:snapToGrid w:val="0"/>
          <w:color w:val="FF0000"/>
          <w:kern w:val="0"/>
          <w:sz w:val="24"/>
          <w:szCs w:val="24"/>
        </w:rPr>
        <w:t>，废气排放浓度满足《大气污染物综合排放标准》（</w:t>
      </w:r>
      <w:r w:rsidRPr="007B7F59">
        <w:rPr>
          <w:rFonts w:cs="Times New Roman" w:hint="eastAsia"/>
          <w:bCs/>
          <w:snapToGrid w:val="0"/>
          <w:color w:val="FF0000"/>
          <w:kern w:val="0"/>
          <w:sz w:val="24"/>
          <w:szCs w:val="24"/>
        </w:rPr>
        <w:t>GB16297-1996</w:t>
      </w:r>
      <w:r w:rsidRPr="007B7F59">
        <w:rPr>
          <w:rFonts w:cs="Times New Roman" w:hint="eastAsia"/>
          <w:bCs/>
          <w:snapToGrid w:val="0"/>
          <w:color w:val="FF0000"/>
          <w:kern w:val="0"/>
          <w:sz w:val="24"/>
          <w:szCs w:val="24"/>
        </w:rPr>
        <w:t>）中表</w:t>
      </w:r>
      <w:r w:rsidRPr="007B7F59">
        <w:rPr>
          <w:rFonts w:cs="Times New Roman" w:hint="eastAsia"/>
          <w:bCs/>
          <w:snapToGrid w:val="0"/>
          <w:color w:val="FF0000"/>
          <w:kern w:val="0"/>
          <w:sz w:val="24"/>
          <w:szCs w:val="24"/>
        </w:rPr>
        <w:t>2</w:t>
      </w:r>
      <w:r w:rsidRPr="007B7F59">
        <w:rPr>
          <w:rFonts w:cs="Times New Roman" w:hint="eastAsia"/>
          <w:bCs/>
          <w:snapToGrid w:val="0"/>
          <w:color w:val="FF0000"/>
          <w:kern w:val="0"/>
          <w:sz w:val="24"/>
          <w:szCs w:val="24"/>
        </w:rPr>
        <w:t>（非甲烷总烃</w:t>
      </w:r>
      <w:r w:rsidRPr="007B7F59">
        <w:rPr>
          <w:rFonts w:cs="Times New Roman" w:hint="eastAsia"/>
          <w:bCs/>
          <w:snapToGrid w:val="0"/>
          <w:color w:val="FF0000"/>
          <w:kern w:val="0"/>
          <w:sz w:val="24"/>
          <w:szCs w:val="24"/>
        </w:rPr>
        <w:t>120mg/m</w:t>
      </w:r>
      <w:r w:rsidRPr="007B7F59">
        <w:rPr>
          <w:rFonts w:cs="Times New Roman" w:hint="eastAsia"/>
          <w:bCs/>
          <w:snapToGrid w:val="0"/>
          <w:color w:val="FF0000"/>
          <w:kern w:val="0"/>
          <w:sz w:val="24"/>
          <w:szCs w:val="24"/>
          <w:vertAlign w:val="superscript"/>
        </w:rPr>
        <w:t>3</w:t>
      </w:r>
      <w:r w:rsidRPr="007B7F59">
        <w:rPr>
          <w:rFonts w:cs="Times New Roman" w:hint="eastAsia"/>
          <w:bCs/>
          <w:snapToGrid w:val="0"/>
          <w:color w:val="FF0000"/>
          <w:kern w:val="0"/>
          <w:sz w:val="24"/>
          <w:szCs w:val="24"/>
        </w:rPr>
        <w:t>）及《恶臭污染物排放标准》（</w:t>
      </w:r>
      <w:r w:rsidRPr="007B7F59">
        <w:rPr>
          <w:rFonts w:cs="Times New Roman" w:hint="eastAsia"/>
          <w:bCs/>
          <w:snapToGrid w:val="0"/>
          <w:color w:val="FF0000"/>
          <w:kern w:val="0"/>
          <w:sz w:val="24"/>
          <w:szCs w:val="24"/>
        </w:rPr>
        <w:t>GB14554-1993</w:t>
      </w:r>
      <w:r w:rsidRPr="007B7F59">
        <w:rPr>
          <w:rFonts w:cs="Times New Roman" w:hint="eastAsia"/>
          <w:bCs/>
          <w:snapToGrid w:val="0"/>
          <w:color w:val="FF0000"/>
          <w:kern w:val="0"/>
          <w:sz w:val="24"/>
          <w:szCs w:val="24"/>
        </w:rPr>
        <w:t>）表</w:t>
      </w:r>
      <w:r w:rsidRPr="007B7F59">
        <w:rPr>
          <w:rFonts w:cs="Times New Roman" w:hint="eastAsia"/>
          <w:bCs/>
          <w:snapToGrid w:val="0"/>
          <w:color w:val="FF0000"/>
          <w:kern w:val="0"/>
          <w:sz w:val="24"/>
          <w:szCs w:val="24"/>
        </w:rPr>
        <w:t>2</w:t>
      </w:r>
      <w:r w:rsidRPr="007B7F59">
        <w:rPr>
          <w:rFonts w:cs="Times New Roman" w:hint="eastAsia"/>
          <w:bCs/>
          <w:snapToGrid w:val="0"/>
          <w:color w:val="FF0000"/>
          <w:kern w:val="0"/>
          <w:sz w:val="24"/>
          <w:szCs w:val="24"/>
        </w:rPr>
        <w:t>（硫化氢排放速率</w:t>
      </w:r>
      <w:r w:rsidRPr="007B7F59">
        <w:rPr>
          <w:rFonts w:cs="Times New Roman" w:hint="eastAsia"/>
          <w:bCs/>
          <w:snapToGrid w:val="0"/>
          <w:color w:val="FF0000"/>
          <w:kern w:val="0"/>
          <w:sz w:val="24"/>
          <w:szCs w:val="24"/>
        </w:rPr>
        <w:t>0.58kg/h</w:t>
      </w:r>
      <w:r w:rsidRPr="007B7F59">
        <w:rPr>
          <w:rFonts w:cs="Times New Roman" w:hint="eastAsia"/>
          <w:bCs/>
          <w:snapToGrid w:val="0"/>
          <w:color w:val="FF0000"/>
          <w:kern w:val="0"/>
          <w:sz w:val="24"/>
          <w:szCs w:val="24"/>
        </w:rPr>
        <w:t>）要求。</w:t>
      </w:r>
    </w:p>
    <w:p w:rsidR="00644456" w:rsidRPr="007B7F59" w:rsidRDefault="008031C4">
      <w:pPr>
        <w:spacing w:line="360" w:lineRule="auto"/>
        <w:ind w:firstLineChars="200" w:firstLine="480"/>
        <w:rPr>
          <w:rFonts w:cs="Times New Roman"/>
          <w:bCs/>
          <w:snapToGrid w:val="0"/>
          <w:color w:val="FF0000"/>
          <w:kern w:val="0"/>
          <w:sz w:val="24"/>
          <w:szCs w:val="24"/>
        </w:rPr>
      </w:pPr>
      <w:r w:rsidRPr="007B7F59">
        <w:rPr>
          <w:rFonts w:cs="Times New Roman" w:hint="eastAsia"/>
          <w:bCs/>
          <w:snapToGrid w:val="0"/>
          <w:color w:val="FF0000"/>
          <w:kern w:val="0"/>
          <w:sz w:val="24"/>
          <w:szCs w:val="24"/>
        </w:rPr>
        <w:t>参照《排污许可证申请与核发技术规范锅炉》（</w:t>
      </w:r>
      <w:r w:rsidRPr="007B7F59">
        <w:rPr>
          <w:rFonts w:cs="Times New Roman" w:hint="eastAsia"/>
          <w:bCs/>
          <w:snapToGrid w:val="0"/>
          <w:color w:val="FF0000"/>
          <w:kern w:val="0"/>
          <w:sz w:val="24"/>
          <w:szCs w:val="24"/>
        </w:rPr>
        <w:t>HJ953-2018</w:t>
      </w:r>
      <w:r w:rsidRPr="007B7F59">
        <w:rPr>
          <w:rFonts w:cs="Times New Roman" w:hint="eastAsia"/>
          <w:bCs/>
          <w:snapToGrid w:val="0"/>
          <w:color w:val="FF0000"/>
          <w:kern w:val="0"/>
          <w:sz w:val="24"/>
          <w:szCs w:val="24"/>
        </w:rPr>
        <w:t>）中关于锅炉烟气污染防治的相关要求，导热油锅炉设置低氮燃烧装置</w:t>
      </w:r>
      <w:r w:rsidRPr="007B7F59">
        <w:rPr>
          <w:rFonts w:cs="Times New Roman" w:hint="eastAsia"/>
          <w:bCs/>
          <w:snapToGrid w:val="0"/>
          <w:color w:val="FF0000"/>
          <w:kern w:val="0"/>
          <w:sz w:val="24"/>
          <w:szCs w:val="24"/>
        </w:rPr>
        <w:t>+8m</w:t>
      </w:r>
      <w:r w:rsidRPr="007B7F59">
        <w:rPr>
          <w:rFonts w:cs="Times New Roman" w:hint="eastAsia"/>
          <w:bCs/>
          <w:snapToGrid w:val="0"/>
          <w:color w:val="FF0000"/>
          <w:kern w:val="0"/>
          <w:sz w:val="24"/>
          <w:szCs w:val="24"/>
        </w:rPr>
        <w:t>排气筒满足《锅炉大气污染物排放标准》（</w:t>
      </w:r>
      <w:r w:rsidRPr="007B7F59">
        <w:rPr>
          <w:rFonts w:cs="Times New Roman" w:hint="eastAsia"/>
          <w:bCs/>
          <w:snapToGrid w:val="0"/>
          <w:color w:val="FF0000"/>
          <w:kern w:val="0"/>
          <w:sz w:val="24"/>
          <w:szCs w:val="24"/>
        </w:rPr>
        <w:t>GB13271-2014</w:t>
      </w:r>
      <w:r w:rsidRPr="007B7F59">
        <w:rPr>
          <w:rFonts w:cs="Times New Roman" w:hint="eastAsia"/>
          <w:bCs/>
          <w:snapToGrid w:val="0"/>
          <w:color w:val="FF0000"/>
          <w:kern w:val="0"/>
          <w:sz w:val="24"/>
          <w:szCs w:val="24"/>
        </w:rPr>
        <w:t>）。</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6.2.1.2</w:t>
      </w:r>
      <w:r>
        <w:rPr>
          <w:rFonts w:cs="Times New Roman" w:hint="eastAsia"/>
          <w:snapToGrid w:val="0"/>
          <w:color w:val="000000" w:themeColor="text1"/>
          <w:kern w:val="0"/>
          <w:szCs w:val="24"/>
        </w:rPr>
        <w:t>无组织废气大气防治措施及可行性</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本项目无有组织废气产生主要为罐区静置废气及工作废气、设备动静密封点的无组织排放。根据本项目的原料及产品（润滑油基础油、再生尾油及燃料油）的闪点、沸点及密度的分析对比，本项目的原料的性质与蜡油相近，产品性质则与渣油的相近，其相对来说在常温常压在挥发性较小。但为进一步减少针对这部分无组织排放废气，本项目采取的措施如下：</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①废矿物油、产品油储罐均采用密闭的常压固定顶罐贮存，定期对储罐进行维护，定期检查呼吸阀等配件。</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②废矿物油运输过程采用管道密闭运输，对设备管件进行密封；</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③在蒸馏等工段产生的废气采用集中收集措施，减少无组织排放量；</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④加强员工的培训及管理，可有效地减少人为造成的污染；</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⑤项目选用的生产工艺较为成熟，自动化程度高，生产中停产检修的次数少，可实现装置连续运转。</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对照《排污许可证申请与核发技术规范废弃资源加工工业》（</w:t>
      </w:r>
      <w:r>
        <w:rPr>
          <w:rFonts w:cs="Times New Roman" w:hint="eastAsia"/>
          <w:bCs/>
          <w:snapToGrid w:val="0"/>
          <w:color w:val="000000" w:themeColor="text1"/>
          <w:kern w:val="0"/>
          <w:sz w:val="24"/>
          <w:szCs w:val="24"/>
        </w:rPr>
        <w:t>HJ1034-2019</w:t>
      </w:r>
      <w:r>
        <w:rPr>
          <w:rFonts w:cs="Times New Roman" w:hint="eastAsia"/>
          <w:bCs/>
          <w:snapToGrid w:val="0"/>
          <w:color w:val="000000" w:themeColor="text1"/>
          <w:kern w:val="0"/>
          <w:sz w:val="24"/>
          <w:szCs w:val="24"/>
        </w:rPr>
        <w:t>）中表</w:t>
      </w:r>
      <w:r>
        <w:rPr>
          <w:rFonts w:cs="Times New Roman" w:hint="eastAsia"/>
          <w:bCs/>
          <w:snapToGrid w:val="0"/>
          <w:color w:val="000000" w:themeColor="text1"/>
          <w:kern w:val="0"/>
          <w:sz w:val="24"/>
          <w:szCs w:val="24"/>
        </w:rPr>
        <w:t>31</w:t>
      </w:r>
      <w:r>
        <w:rPr>
          <w:rFonts w:cs="Times New Roman" w:hint="eastAsia"/>
          <w:bCs/>
          <w:snapToGrid w:val="0"/>
          <w:color w:val="000000" w:themeColor="text1"/>
          <w:kern w:val="0"/>
          <w:sz w:val="24"/>
          <w:szCs w:val="24"/>
        </w:rPr>
        <w:t>“废矿物油加工工业排污单位生产无组织排放控制要求表”中对无组织控制要求，及《挥发性有机物（</w:t>
      </w:r>
      <w:r>
        <w:rPr>
          <w:rFonts w:cs="Times New Roman" w:hint="eastAsia"/>
          <w:bCs/>
          <w:snapToGrid w:val="0"/>
          <w:color w:val="000000" w:themeColor="text1"/>
          <w:kern w:val="0"/>
          <w:sz w:val="24"/>
          <w:szCs w:val="24"/>
        </w:rPr>
        <w:t>VOCs</w:t>
      </w:r>
      <w:r>
        <w:rPr>
          <w:rFonts w:cs="Times New Roman" w:hint="eastAsia"/>
          <w:bCs/>
          <w:snapToGrid w:val="0"/>
          <w:color w:val="000000" w:themeColor="text1"/>
          <w:kern w:val="0"/>
          <w:sz w:val="24"/>
          <w:szCs w:val="24"/>
        </w:rPr>
        <w:t>）污染防治技术政策》及《挥发性有机物无组织排放控制标准》</w:t>
      </w:r>
      <w:r>
        <w:rPr>
          <w:rFonts w:cs="Times New Roman" w:hint="eastAsia"/>
          <w:bCs/>
          <w:snapToGrid w:val="0"/>
          <w:color w:val="000000" w:themeColor="text1"/>
          <w:kern w:val="0"/>
          <w:sz w:val="24"/>
          <w:szCs w:val="24"/>
        </w:rPr>
        <w:lastRenderedPageBreak/>
        <w:t>中推荐的无组织废气治理措施，本项目无组织措施可行。</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采取以上措施后，根据预测，此部分无组织废气厂界浓度值可满足《大气污染物综合排放标准》（</w:t>
      </w:r>
      <w:r>
        <w:rPr>
          <w:rFonts w:cs="Times New Roman" w:hint="eastAsia"/>
          <w:bCs/>
          <w:snapToGrid w:val="0"/>
          <w:color w:val="000000" w:themeColor="text1"/>
          <w:kern w:val="0"/>
          <w:sz w:val="24"/>
          <w:szCs w:val="24"/>
        </w:rPr>
        <w:t>GB16297-1996</w:t>
      </w:r>
      <w:r>
        <w:rPr>
          <w:rFonts w:cs="Times New Roman" w:hint="eastAsia"/>
          <w:bCs/>
          <w:snapToGrid w:val="0"/>
          <w:color w:val="000000" w:themeColor="text1"/>
          <w:kern w:val="0"/>
          <w:sz w:val="24"/>
          <w:szCs w:val="24"/>
        </w:rPr>
        <w:t>）中表</w:t>
      </w:r>
      <w:r>
        <w:rPr>
          <w:rFonts w:cs="Times New Roman" w:hint="eastAsia"/>
          <w:bCs/>
          <w:snapToGrid w:val="0"/>
          <w:color w:val="000000" w:themeColor="text1"/>
          <w:kern w:val="0"/>
          <w:sz w:val="24"/>
          <w:szCs w:val="24"/>
        </w:rPr>
        <w:t>2</w:t>
      </w:r>
      <w:r>
        <w:rPr>
          <w:rFonts w:cs="Times New Roman" w:hint="eastAsia"/>
          <w:bCs/>
          <w:snapToGrid w:val="0"/>
          <w:color w:val="000000" w:themeColor="text1"/>
          <w:kern w:val="0"/>
          <w:sz w:val="24"/>
          <w:szCs w:val="24"/>
        </w:rPr>
        <w:t>要求，可实现达标排放。</w:t>
      </w:r>
    </w:p>
    <w:p w:rsidR="00644456" w:rsidRDefault="008031C4">
      <w:pPr>
        <w:pStyle w:val="3"/>
        <w:numPr>
          <w:ilvl w:val="2"/>
          <w:numId w:val="0"/>
        </w:numPr>
        <w:ind w:firstLineChars="200" w:firstLine="482"/>
      </w:pPr>
      <w:bookmarkStart w:id="412" w:name="_Toc310851317"/>
      <w:bookmarkStart w:id="413" w:name="_Toc298771621"/>
      <w:bookmarkStart w:id="414" w:name="_Toc249156205"/>
      <w:bookmarkStart w:id="415" w:name="_Toc259776374"/>
      <w:r>
        <w:rPr>
          <w:rFonts w:hint="eastAsia"/>
        </w:rPr>
        <w:t>6.2.2</w:t>
      </w:r>
      <w:r>
        <w:rPr>
          <w:rFonts w:hint="eastAsia"/>
        </w:rPr>
        <w:t>废水治理措施及论证</w:t>
      </w:r>
      <w:bookmarkEnd w:id="412"/>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6.2.2.1</w:t>
      </w:r>
      <w:r>
        <w:rPr>
          <w:rFonts w:cs="Times New Roman" w:hint="eastAsia"/>
          <w:snapToGrid w:val="0"/>
          <w:color w:val="000000" w:themeColor="text1"/>
          <w:kern w:val="0"/>
          <w:szCs w:val="24"/>
        </w:rPr>
        <w:t>废水处理措施及可行性</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1</w:t>
      </w:r>
      <w:r>
        <w:rPr>
          <w:rFonts w:cs="Times New Roman" w:hint="eastAsia"/>
          <w:bCs/>
          <w:snapToGrid w:val="0"/>
          <w:color w:val="000000" w:themeColor="text1"/>
          <w:kern w:val="0"/>
          <w:sz w:val="24"/>
          <w:szCs w:val="24"/>
        </w:rPr>
        <w:t>）工艺可行性</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生产废水产生总量为</w:t>
      </w:r>
      <w:r>
        <w:rPr>
          <w:rFonts w:cs="Times New Roman" w:hint="eastAsia"/>
          <w:bCs/>
          <w:snapToGrid w:val="0"/>
          <w:color w:val="000000" w:themeColor="text1"/>
          <w:kern w:val="0"/>
          <w:sz w:val="24"/>
          <w:szCs w:val="24"/>
        </w:rPr>
        <w:t>3097.23t/a</w:t>
      </w:r>
      <w:r>
        <w:rPr>
          <w:rFonts w:cs="Times New Roman" w:hint="eastAsia"/>
          <w:bCs/>
          <w:snapToGrid w:val="0"/>
          <w:color w:val="000000" w:themeColor="text1"/>
          <w:kern w:val="0"/>
          <w:sz w:val="24"/>
          <w:szCs w:val="24"/>
        </w:rPr>
        <w:t>，经收集后全部进入厂区自建的污水处理站进行统一处理，处理后满足《污水综合排放标准》（</w:t>
      </w:r>
      <w:r>
        <w:rPr>
          <w:rFonts w:cs="Times New Roman" w:hint="eastAsia"/>
          <w:bCs/>
          <w:snapToGrid w:val="0"/>
          <w:color w:val="000000" w:themeColor="text1"/>
          <w:kern w:val="0"/>
          <w:sz w:val="24"/>
          <w:szCs w:val="24"/>
        </w:rPr>
        <w:t>GB8978-1996</w:t>
      </w:r>
      <w:r>
        <w:rPr>
          <w:rFonts w:cs="Times New Roman" w:hint="eastAsia"/>
          <w:bCs/>
          <w:snapToGrid w:val="0"/>
          <w:color w:val="000000" w:themeColor="text1"/>
          <w:kern w:val="0"/>
          <w:sz w:val="24"/>
          <w:szCs w:val="24"/>
        </w:rPr>
        <w:t>）三级标准及污水处理厂的接管标准后，最终与生活废水一同通过市政管网最终废水进入生态钢城污水处理厂处理。</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本项目生产废水主要来自蒸馏工段产生的冷凝水、地面及设备的冲洗废水、冷却循环系统产生的外排水废水、废气处理设施喷淋装置产生的外排水、罐底产生的含油污水，其主要污染物为</w:t>
      </w:r>
      <w:r>
        <w:rPr>
          <w:rFonts w:cs="Times New Roman" w:hint="eastAsia"/>
          <w:bCs/>
          <w:snapToGrid w:val="0"/>
          <w:color w:val="000000" w:themeColor="text1"/>
          <w:kern w:val="0"/>
          <w:sz w:val="24"/>
          <w:szCs w:val="24"/>
        </w:rPr>
        <w:t>pH</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COD</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NH3-N</w:t>
      </w:r>
      <w:r>
        <w:rPr>
          <w:rFonts w:cs="Times New Roman" w:hint="eastAsia"/>
          <w:bCs/>
          <w:snapToGrid w:val="0"/>
          <w:color w:val="000000" w:themeColor="text1"/>
          <w:kern w:val="0"/>
          <w:sz w:val="24"/>
          <w:szCs w:val="24"/>
        </w:rPr>
        <w:t>、总氮、石油类、</w:t>
      </w:r>
      <w:r>
        <w:rPr>
          <w:rFonts w:cs="Times New Roman" w:hint="eastAsia"/>
          <w:bCs/>
          <w:snapToGrid w:val="0"/>
          <w:color w:val="000000" w:themeColor="text1"/>
          <w:kern w:val="0"/>
          <w:sz w:val="24"/>
          <w:szCs w:val="24"/>
        </w:rPr>
        <w:t>BOD5</w:t>
      </w:r>
      <w:r>
        <w:rPr>
          <w:rFonts w:cs="Times New Roman" w:hint="eastAsia"/>
          <w:bCs/>
          <w:snapToGrid w:val="0"/>
          <w:color w:val="000000" w:themeColor="text1"/>
          <w:kern w:val="0"/>
          <w:sz w:val="24"/>
          <w:szCs w:val="24"/>
        </w:rPr>
        <w:t>、硫化物等。</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根据分析可知，本项目废水中</w:t>
      </w:r>
      <w:r>
        <w:rPr>
          <w:rFonts w:cs="Times New Roman" w:hint="eastAsia"/>
          <w:bCs/>
          <w:snapToGrid w:val="0"/>
          <w:color w:val="000000" w:themeColor="text1"/>
          <w:kern w:val="0"/>
          <w:sz w:val="24"/>
          <w:szCs w:val="24"/>
        </w:rPr>
        <w:t>COD</w:t>
      </w:r>
      <w:r>
        <w:rPr>
          <w:rFonts w:cs="Times New Roman" w:hint="eastAsia"/>
          <w:bCs/>
          <w:snapToGrid w:val="0"/>
          <w:color w:val="000000" w:themeColor="text1"/>
          <w:kern w:val="0"/>
          <w:sz w:val="24"/>
          <w:szCs w:val="24"/>
        </w:rPr>
        <w:t>及</w:t>
      </w:r>
      <w:r>
        <w:rPr>
          <w:rFonts w:cs="Times New Roman" w:hint="eastAsia"/>
          <w:bCs/>
          <w:snapToGrid w:val="0"/>
          <w:color w:val="000000" w:themeColor="text1"/>
          <w:kern w:val="0"/>
          <w:sz w:val="24"/>
          <w:szCs w:val="24"/>
        </w:rPr>
        <w:t>BOD5</w:t>
      </w:r>
      <w:r>
        <w:rPr>
          <w:rFonts w:cs="Times New Roman" w:hint="eastAsia"/>
          <w:bCs/>
          <w:snapToGrid w:val="0"/>
          <w:color w:val="000000" w:themeColor="text1"/>
          <w:kern w:val="0"/>
          <w:sz w:val="24"/>
          <w:szCs w:val="24"/>
        </w:rPr>
        <w:t>含量很高，可生化比为</w:t>
      </w:r>
      <w:r>
        <w:rPr>
          <w:rFonts w:cs="Times New Roman" w:hint="eastAsia"/>
          <w:bCs/>
          <w:snapToGrid w:val="0"/>
          <w:color w:val="000000" w:themeColor="text1"/>
          <w:kern w:val="0"/>
          <w:sz w:val="24"/>
          <w:szCs w:val="24"/>
        </w:rPr>
        <w:t>0.1</w:t>
      </w:r>
      <w:r>
        <w:rPr>
          <w:rFonts w:cs="Times New Roman" w:hint="eastAsia"/>
          <w:bCs/>
          <w:snapToGrid w:val="0"/>
          <w:color w:val="000000" w:themeColor="text1"/>
          <w:kern w:val="0"/>
          <w:sz w:val="24"/>
          <w:szCs w:val="24"/>
        </w:rPr>
        <w:t>，可生化性差，且废水中含油量高，针对本项目废水特点，项目拟采用“预处理</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生化处理</w:t>
      </w:r>
      <w:r>
        <w:rPr>
          <w:rFonts w:cs="Times New Roman" w:hint="eastAsia"/>
          <w:bCs/>
          <w:snapToGrid w:val="0"/>
          <w:color w:val="000000" w:themeColor="text1"/>
          <w:kern w:val="0"/>
          <w:sz w:val="24"/>
          <w:szCs w:val="24"/>
        </w:rPr>
        <w:t>A2O</w:t>
      </w:r>
      <w:r>
        <w:rPr>
          <w:rFonts w:cs="Times New Roman" w:hint="eastAsia"/>
          <w:bCs/>
          <w:snapToGrid w:val="0"/>
          <w:color w:val="000000" w:themeColor="text1"/>
          <w:kern w:val="0"/>
          <w:sz w:val="24"/>
          <w:szCs w:val="24"/>
        </w:rPr>
        <w:t>（厌氧</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缺氧</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好氧法）”相结合的污水处理工艺。</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预处理</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电解气浮装置：废水经收集后进入调节池（缓冲池），再进入电解气浮装置。电解气浮机直接将含有电解质的污水作为电解介质通入直流电进行电解，同时发生电解氧化、电解混凝和电解气浮三种效应，大量的微小气泡将废水中的细小颗粒粘附，并上升至水面，通过减速机带动刮渣板，把浮渣刮入浮渣槽。电解气浮不仅能够将废水中的细微悬浮颗粒和乳化油与气泡黏附而浮出，还有氧化、脱色和杀菌作用，而且对水中一些金属离子和某些溶解有机物也有同样净化效果，具有去除污染物范围广、泥渣量少、工艺简单、设备小等优点，是传统气浮机理想的替代产品。参考《含油污水气浮除油技术进展》、《电凝聚气浮技术处理采油废水的研究》等相关文献，电解气浮装置可作为含油污水的预处理装置，在预处理过程中对含油废水中的油类物质去除率可达到</w:t>
      </w:r>
      <w:r>
        <w:rPr>
          <w:rFonts w:cs="Times New Roman" w:hint="eastAsia"/>
          <w:bCs/>
          <w:snapToGrid w:val="0"/>
          <w:color w:val="000000" w:themeColor="text1"/>
          <w:kern w:val="0"/>
          <w:sz w:val="24"/>
          <w:szCs w:val="24"/>
        </w:rPr>
        <w:t>90%</w:t>
      </w:r>
      <w:r>
        <w:rPr>
          <w:rFonts w:cs="Times New Roman" w:hint="eastAsia"/>
          <w:bCs/>
          <w:snapToGrid w:val="0"/>
          <w:color w:val="000000" w:themeColor="text1"/>
          <w:kern w:val="0"/>
          <w:sz w:val="24"/>
          <w:szCs w:val="24"/>
        </w:rPr>
        <w:t>左右，可有效地去除废水中的石油类。</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水解酸化处理：因项目废水可生产化性差，项目废水经过预处理后首先进入水解酸化池（厌氧池），提高废水的可生化性。水解处理其工作原理是将厌氧过程控制在水解酸化阶段，利用水解产酸菌将大分子有机物水解转化为小分子有机物，降低污染程度和污染物的复杂程度，提高后续好氧处理效率。为提高水解池的处理效率，在水解酸化槽中增设生物填料，增大兼性菌与污水接触反应的面积，提高水解酸化处理效果；厌氧池</w:t>
      </w:r>
      <w:r>
        <w:rPr>
          <w:rFonts w:cs="Times New Roman" w:hint="eastAsia"/>
          <w:bCs/>
          <w:snapToGrid w:val="0"/>
          <w:color w:val="000000" w:themeColor="text1"/>
          <w:kern w:val="0"/>
          <w:sz w:val="24"/>
          <w:szCs w:val="24"/>
        </w:rPr>
        <w:lastRenderedPageBreak/>
        <w:t>出水进入缺氧池，通过缺氧</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硝化液回流实现反硝化，有效去除氨氮及总氮。</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好氧处理：本项目废水经过水解酸化处理后，可生化性显著提高，废水再次进入好氧池进行处理。项目采用接触氧化工艺，内部悬挂高密度组合填料以便微生物挂膜，可有效提高微生物种类及数量，提高系统的处理能力，高效降解污染物去除氨氮，处理完成后的污水进入二沉池沉降。</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根据《排污许可证申请与核发技术规范废弃资源加工工业（</w:t>
      </w:r>
      <w:r>
        <w:rPr>
          <w:rFonts w:cs="Times New Roman" w:hint="eastAsia"/>
          <w:bCs/>
          <w:snapToGrid w:val="0"/>
          <w:color w:val="000000" w:themeColor="text1"/>
          <w:kern w:val="0"/>
          <w:sz w:val="24"/>
          <w:szCs w:val="24"/>
        </w:rPr>
        <w:t>HJ1034-2019</w:t>
      </w:r>
      <w:r>
        <w:rPr>
          <w:rFonts w:cs="Times New Roman" w:hint="eastAsia"/>
          <w:bCs/>
          <w:snapToGrid w:val="0"/>
          <w:color w:val="000000" w:themeColor="text1"/>
          <w:kern w:val="0"/>
          <w:sz w:val="24"/>
          <w:szCs w:val="24"/>
        </w:rPr>
        <w:t>）》附表</w:t>
      </w:r>
      <w:r>
        <w:rPr>
          <w:rFonts w:cs="Times New Roman" w:hint="eastAsia"/>
          <w:bCs/>
          <w:snapToGrid w:val="0"/>
          <w:color w:val="000000" w:themeColor="text1"/>
          <w:kern w:val="0"/>
          <w:sz w:val="24"/>
          <w:szCs w:val="24"/>
        </w:rPr>
        <w:t>A.2</w:t>
      </w:r>
      <w:r>
        <w:rPr>
          <w:rFonts w:cs="Times New Roman" w:hint="eastAsia"/>
          <w:bCs/>
          <w:snapToGrid w:val="0"/>
          <w:color w:val="000000" w:themeColor="text1"/>
          <w:kern w:val="0"/>
          <w:sz w:val="24"/>
          <w:szCs w:val="24"/>
        </w:rPr>
        <w:t>废弃资源加工工业排污单位废水污染防治可行技术参考表中推荐的可行技术，本项目选用的工艺技术是可行的。</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1</w:t>
      </w:r>
      <w:r>
        <w:rPr>
          <w:rFonts w:cs="Times New Roman" w:hint="eastAsia"/>
          <w:bCs/>
          <w:snapToGrid w:val="0"/>
          <w:color w:val="000000" w:themeColor="text1"/>
          <w:kern w:val="0"/>
          <w:sz w:val="24"/>
          <w:szCs w:val="24"/>
        </w:rPr>
        <w:t>）达标排放可靠性</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本次环评期间，收集了《安徽嘉瑞环保科技有限公司废矿物油综合利用项目》相关资料，该项目主体生产工艺统与本项目类同，已建成规模为</w:t>
      </w:r>
      <w:r>
        <w:rPr>
          <w:rFonts w:cs="Times New Roman" w:hint="eastAsia"/>
          <w:bCs/>
          <w:snapToGrid w:val="0"/>
          <w:color w:val="000000" w:themeColor="text1"/>
          <w:kern w:val="0"/>
          <w:sz w:val="24"/>
          <w:szCs w:val="24"/>
        </w:rPr>
        <w:t>4</w:t>
      </w:r>
      <w:r>
        <w:rPr>
          <w:rFonts w:cs="Times New Roman" w:hint="eastAsia"/>
          <w:bCs/>
          <w:snapToGrid w:val="0"/>
          <w:color w:val="000000" w:themeColor="text1"/>
          <w:kern w:val="0"/>
          <w:sz w:val="24"/>
          <w:szCs w:val="24"/>
        </w:rPr>
        <w:t>万</w:t>
      </w:r>
      <w:r>
        <w:rPr>
          <w:rFonts w:cs="Times New Roman" w:hint="eastAsia"/>
          <w:bCs/>
          <w:snapToGrid w:val="0"/>
          <w:color w:val="000000" w:themeColor="text1"/>
          <w:kern w:val="0"/>
          <w:sz w:val="24"/>
          <w:szCs w:val="24"/>
        </w:rPr>
        <w:t>t/a</w:t>
      </w:r>
      <w:r>
        <w:rPr>
          <w:rFonts w:cs="Times New Roman" w:hint="eastAsia"/>
          <w:bCs/>
          <w:snapToGrid w:val="0"/>
          <w:color w:val="000000" w:themeColor="text1"/>
          <w:kern w:val="0"/>
          <w:sz w:val="24"/>
          <w:szCs w:val="24"/>
        </w:rPr>
        <w:t>，废水产生环节及废水处理工艺与本项目相同。根据该项目竣工环境保护验收监测报告（监测时间</w:t>
      </w:r>
      <w:r>
        <w:rPr>
          <w:rFonts w:cs="Times New Roman" w:hint="eastAsia"/>
          <w:bCs/>
          <w:snapToGrid w:val="0"/>
          <w:color w:val="000000" w:themeColor="text1"/>
          <w:kern w:val="0"/>
          <w:sz w:val="24"/>
          <w:szCs w:val="24"/>
        </w:rPr>
        <w:t>2021.1.8-1.9</w:t>
      </w:r>
      <w:r>
        <w:rPr>
          <w:rFonts w:cs="Times New Roman" w:hint="eastAsia"/>
          <w:bCs/>
          <w:snapToGrid w:val="0"/>
          <w:color w:val="000000" w:themeColor="text1"/>
          <w:kern w:val="0"/>
          <w:sz w:val="24"/>
          <w:szCs w:val="24"/>
        </w:rPr>
        <w:t>），经过处理后废水中的</w:t>
      </w:r>
      <w:r>
        <w:rPr>
          <w:rFonts w:cs="Times New Roman" w:hint="eastAsia"/>
          <w:bCs/>
          <w:snapToGrid w:val="0"/>
          <w:color w:val="000000" w:themeColor="text1"/>
          <w:kern w:val="0"/>
          <w:sz w:val="24"/>
          <w:szCs w:val="24"/>
        </w:rPr>
        <w:t>pH</w:t>
      </w:r>
      <w:r>
        <w:rPr>
          <w:rFonts w:cs="Times New Roman" w:hint="eastAsia"/>
          <w:bCs/>
          <w:snapToGrid w:val="0"/>
          <w:color w:val="000000" w:themeColor="text1"/>
          <w:kern w:val="0"/>
          <w:sz w:val="24"/>
          <w:szCs w:val="24"/>
        </w:rPr>
        <w:t>在</w:t>
      </w:r>
      <w:r>
        <w:rPr>
          <w:rFonts w:cs="Times New Roman" w:hint="eastAsia"/>
          <w:bCs/>
          <w:snapToGrid w:val="0"/>
          <w:color w:val="000000" w:themeColor="text1"/>
          <w:kern w:val="0"/>
          <w:sz w:val="24"/>
          <w:szCs w:val="24"/>
        </w:rPr>
        <w:t>7.7~7.9</w:t>
      </w:r>
      <w:r>
        <w:rPr>
          <w:rFonts w:cs="Times New Roman" w:hint="eastAsia"/>
          <w:bCs/>
          <w:snapToGrid w:val="0"/>
          <w:color w:val="000000" w:themeColor="text1"/>
          <w:kern w:val="0"/>
          <w:sz w:val="24"/>
          <w:szCs w:val="24"/>
        </w:rPr>
        <w:t>之间，</w:t>
      </w:r>
      <w:r>
        <w:rPr>
          <w:rFonts w:cs="Times New Roman" w:hint="eastAsia"/>
          <w:bCs/>
          <w:snapToGrid w:val="0"/>
          <w:color w:val="000000" w:themeColor="text1"/>
          <w:kern w:val="0"/>
          <w:sz w:val="24"/>
          <w:szCs w:val="24"/>
        </w:rPr>
        <w:t>COD</w:t>
      </w:r>
      <w:r>
        <w:rPr>
          <w:rFonts w:cs="Times New Roman" w:hint="eastAsia"/>
          <w:bCs/>
          <w:snapToGrid w:val="0"/>
          <w:color w:val="000000" w:themeColor="text1"/>
          <w:kern w:val="0"/>
          <w:sz w:val="24"/>
          <w:szCs w:val="24"/>
        </w:rPr>
        <w:t>浓度为</w:t>
      </w:r>
      <w:r>
        <w:rPr>
          <w:rFonts w:cs="Times New Roman" w:hint="eastAsia"/>
          <w:bCs/>
          <w:snapToGrid w:val="0"/>
          <w:color w:val="000000" w:themeColor="text1"/>
          <w:kern w:val="0"/>
          <w:sz w:val="24"/>
          <w:szCs w:val="24"/>
        </w:rPr>
        <w:t>62.1mg/L</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BOD5</w:t>
      </w:r>
      <w:r>
        <w:rPr>
          <w:rFonts w:cs="Times New Roman" w:hint="eastAsia"/>
          <w:bCs/>
          <w:snapToGrid w:val="0"/>
          <w:color w:val="000000" w:themeColor="text1"/>
          <w:kern w:val="0"/>
          <w:sz w:val="24"/>
          <w:szCs w:val="24"/>
        </w:rPr>
        <w:t>浓度为</w:t>
      </w:r>
      <w:r>
        <w:rPr>
          <w:rFonts w:cs="Times New Roman" w:hint="eastAsia"/>
          <w:bCs/>
          <w:snapToGrid w:val="0"/>
          <w:color w:val="000000" w:themeColor="text1"/>
          <w:kern w:val="0"/>
          <w:sz w:val="24"/>
          <w:szCs w:val="24"/>
        </w:rPr>
        <w:t>7.5mg/L</w:t>
      </w:r>
      <w:r>
        <w:rPr>
          <w:rFonts w:cs="Times New Roman" w:hint="eastAsia"/>
          <w:bCs/>
          <w:snapToGrid w:val="0"/>
          <w:color w:val="000000" w:themeColor="text1"/>
          <w:kern w:val="0"/>
          <w:sz w:val="24"/>
          <w:szCs w:val="24"/>
        </w:rPr>
        <w:t>，氨氮浓度为</w:t>
      </w:r>
      <w:r>
        <w:rPr>
          <w:rFonts w:cs="Times New Roman" w:hint="eastAsia"/>
          <w:bCs/>
          <w:snapToGrid w:val="0"/>
          <w:color w:val="000000" w:themeColor="text1"/>
          <w:kern w:val="0"/>
          <w:sz w:val="24"/>
          <w:szCs w:val="24"/>
        </w:rPr>
        <w:t>14.9mg/L</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SS</w:t>
      </w:r>
      <w:r>
        <w:rPr>
          <w:rFonts w:cs="Times New Roman" w:hint="eastAsia"/>
          <w:bCs/>
          <w:snapToGrid w:val="0"/>
          <w:color w:val="000000" w:themeColor="text1"/>
          <w:kern w:val="0"/>
          <w:sz w:val="24"/>
          <w:szCs w:val="24"/>
        </w:rPr>
        <w:t>浓度为</w:t>
      </w:r>
      <w:r>
        <w:rPr>
          <w:rFonts w:cs="Times New Roman" w:hint="eastAsia"/>
          <w:bCs/>
          <w:snapToGrid w:val="0"/>
          <w:color w:val="000000" w:themeColor="text1"/>
          <w:kern w:val="0"/>
          <w:sz w:val="24"/>
          <w:szCs w:val="24"/>
        </w:rPr>
        <w:t>4Lmg/L</w:t>
      </w:r>
      <w:r>
        <w:rPr>
          <w:rFonts w:cs="Times New Roman" w:hint="eastAsia"/>
          <w:bCs/>
          <w:snapToGrid w:val="0"/>
          <w:color w:val="000000" w:themeColor="text1"/>
          <w:kern w:val="0"/>
          <w:sz w:val="24"/>
          <w:szCs w:val="24"/>
        </w:rPr>
        <w:t>，石油类</w:t>
      </w:r>
      <w:r>
        <w:rPr>
          <w:rFonts w:cs="Times New Roman" w:hint="eastAsia"/>
          <w:bCs/>
          <w:snapToGrid w:val="0"/>
          <w:color w:val="000000" w:themeColor="text1"/>
          <w:kern w:val="0"/>
          <w:sz w:val="24"/>
          <w:szCs w:val="24"/>
        </w:rPr>
        <w:t>0.59mg/L</w:t>
      </w:r>
      <w:r>
        <w:rPr>
          <w:rFonts w:cs="Times New Roman" w:hint="eastAsia"/>
          <w:bCs/>
          <w:snapToGrid w:val="0"/>
          <w:color w:val="000000" w:themeColor="text1"/>
          <w:kern w:val="0"/>
          <w:sz w:val="24"/>
          <w:szCs w:val="24"/>
        </w:rPr>
        <w:t>，硫化物</w:t>
      </w:r>
      <w:r>
        <w:rPr>
          <w:rFonts w:cs="Times New Roman" w:hint="eastAsia"/>
          <w:bCs/>
          <w:snapToGrid w:val="0"/>
          <w:color w:val="000000" w:themeColor="text1"/>
          <w:kern w:val="0"/>
          <w:sz w:val="24"/>
          <w:szCs w:val="24"/>
        </w:rPr>
        <w:t>0.022mg/L</w:t>
      </w:r>
      <w:r>
        <w:rPr>
          <w:rFonts w:cs="Times New Roman" w:hint="eastAsia"/>
          <w:bCs/>
          <w:snapToGrid w:val="0"/>
          <w:color w:val="000000" w:themeColor="text1"/>
          <w:kern w:val="0"/>
          <w:sz w:val="24"/>
          <w:szCs w:val="24"/>
        </w:rPr>
        <w:t>，各指标值远低于《污水综合排放标准》（</w:t>
      </w:r>
      <w:r>
        <w:rPr>
          <w:rFonts w:cs="Times New Roman" w:hint="eastAsia"/>
          <w:bCs/>
          <w:snapToGrid w:val="0"/>
          <w:color w:val="000000" w:themeColor="text1"/>
          <w:kern w:val="0"/>
          <w:sz w:val="24"/>
          <w:szCs w:val="24"/>
        </w:rPr>
        <w:t>GB8978-1996</w:t>
      </w:r>
      <w:r>
        <w:rPr>
          <w:rFonts w:cs="Times New Roman" w:hint="eastAsia"/>
          <w:bCs/>
          <w:snapToGrid w:val="0"/>
          <w:color w:val="000000" w:themeColor="text1"/>
          <w:kern w:val="0"/>
          <w:sz w:val="24"/>
          <w:szCs w:val="24"/>
        </w:rPr>
        <w:t>）三级标准。</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同时根据本项目工程分析可知，本项目废水采取该工艺处理后，废水中的</w:t>
      </w:r>
      <w:r>
        <w:rPr>
          <w:rFonts w:cs="Times New Roman" w:hint="eastAsia"/>
          <w:bCs/>
          <w:snapToGrid w:val="0"/>
          <w:color w:val="000000" w:themeColor="text1"/>
          <w:kern w:val="0"/>
          <w:sz w:val="24"/>
          <w:szCs w:val="24"/>
        </w:rPr>
        <w:t>pH</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COD</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NH3-N</w:t>
      </w:r>
      <w:r>
        <w:rPr>
          <w:rFonts w:cs="Times New Roman" w:hint="eastAsia"/>
          <w:bCs/>
          <w:snapToGrid w:val="0"/>
          <w:color w:val="000000" w:themeColor="text1"/>
          <w:kern w:val="0"/>
          <w:sz w:val="24"/>
          <w:szCs w:val="24"/>
        </w:rPr>
        <w:t>、总氮、石油类、</w:t>
      </w:r>
      <w:r>
        <w:rPr>
          <w:rFonts w:cs="Times New Roman" w:hint="eastAsia"/>
          <w:bCs/>
          <w:snapToGrid w:val="0"/>
          <w:color w:val="000000" w:themeColor="text1"/>
          <w:kern w:val="0"/>
          <w:sz w:val="24"/>
          <w:szCs w:val="24"/>
        </w:rPr>
        <w:t>BOD5</w:t>
      </w:r>
      <w:r>
        <w:rPr>
          <w:rFonts w:cs="Times New Roman" w:hint="eastAsia"/>
          <w:bCs/>
          <w:snapToGrid w:val="0"/>
          <w:color w:val="000000" w:themeColor="text1"/>
          <w:kern w:val="0"/>
          <w:sz w:val="24"/>
          <w:szCs w:val="24"/>
        </w:rPr>
        <w:t>、硫化物各指标均为满足《污水综合排放标准》（</w:t>
      </w:r>
      <w:r>
        <w:rPr>
          <w:rFonts w:cs="Times New Roman" w:hint="eastAsia"/>
          <w:bCs/>
          <w:snapToGrid w:val="0"/>
          <w:color w:val="000000" w:themeColor="text1"/>
          <w:kern w:val="0"/>
          <w:sz w:val="24"/>
          <w:szCs w:val="24"/>
        </w:rPr>
        <w:t>GB8978-1996</w:t>
      </w:r>
      <w:r>
        <w:rPr>
          <w:rFonts w:cs="Times New Roman" w:hint="eastAsia"/>
          <w:bCs/>
          <w:snapToGrid w:val="0"/>
          <w:color w:val="000000" w:themeColor="text1"/>
          <w:kern w:val="0"/>
          <w:sz w:val="24"/>
          <w:szCs w:val="24"/>
        </w:rPr>
        <w:t>）三级标准，亦可满足废水进入生态钢城污水处理厂处理纳管水质要求，综上本项目废水可实现达标排放。</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6.2.2.2</w:t>
      </w:r>
      <w:r>
        <w:rPr>
          <w:rFonts w:cs="Times New Roman" w:hint="eastAsia"/>
          <w:snapToGrid w:val="0"/>
          <w:color w:val="000000" w:themeColor="text1"/>
          <w:kern w:val="0"/>
          <w:szCs w:val="24"/>
        </w:rPr>
        <w:t>依托可行性分析</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生态钢城污水处理厂位于山钢产业园内（</w:t>
      </w:r>
      <w:r>
        <w:rPr>
          <w:rFonts w:cs="Times New Roman" w:hint="eastAsia"/>
          <w:bCs/>
          <w:snapToGrid w:val="0"/>
          <w:color w:val="000000" w:themeColor="text1"/>
          <w:kern w:val="0"/>
          <w:sz w:val="24"/>
          <w:szCs w:val="24"/>
        </w:rPr>
        <w:t>A</w:t>
      </w:r>
      <w:r>
        <w:rPr>
          <w:rFonts w:cs="Times New Roman" w:hint="eastAsia"/>
          <w:bCs/>
          <w:snapToGrid w:val="0"/>
          <w:color w:val="000000" w:themeColor="text1"/>
          <w:kern w:val="0"/>
          <w:sz w:val="24"/>
          <w:szCs w:val="24"/>
        </w:rPr>
        <w:t>号道路南侧），厂址坐标为：东经</w:t>
      </w:r>
      <w:r>
        <w:rPr>
          <w:rFonts w:cs="Times New Roman" w:hint="eastAsia"/>
          <w:bCs/>
          <w:snapToGrid w:val="0"/>
          <w:color w:val="000000" w:themeColor="text1"/>
          <w:kern w:val="0"/>
          <w:sz w:val="24"/>
          <w:szCs w:val="24"/>
        </w:rPr>
        <w:t>76</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11</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47.75</w:t>
      </w:r>
      <w:r>
        <w:rPr>
          <w:rFonts w:cs="Times New Roman" w:hint="eastAsia"/>
          <w:bCs/>
          <w:snapToGrid w:val="0"/>
          <w:color w:val="000000" w:themeColor="text1"/>
          <w:kern w:val="0"/>
          <w:sz w:val="24"/>
          <w:szCs w:val="24"/>
        </w:rPr>
        <w:t>″，北纬</w:t>
      </w:r>
      <w:r>
        <w:rPr>
          <w:rFonts w:cs="Times New Roman" w:hint="eastAsia"/>
          <w:bCs/>
          <w:snapToGrid w:val="0"/>
          <w:color w:val="000000" w:themeColor="text1"/>
          <w:kern w:val="0"/>
          <w:sz w:val="24"/>
          <w:szCs w:val="24"/>
        </w:rPr>
        <w:t>39</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3</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52.50</w:t>
      </w:r>
      <w:r>
        <w:rPr>
          <w:rFonts w:cs="Times New Roman" w:hint="eastAsia"/>
          <w:bCs/>
          <w:snapToGrid w:val="0"/>
          <w:color w:val="000000" w:themeColor="text1"/>
          <w:kern w:val="0"/>
          <w:sz w:val="24"/>
          <w:szCs w:val="24"/>
        </w:rPr>
        <w:t>″，污水处理厂占地</w:t>
      </w:r>
      <w:r>
        <w:rPr>
          <w:rFonts w:cs="Times New Roman" w:hint="eastAsia"/>
          <w:bCs/>
          <w:snapToGrid w:val="0"/>
          <w:color w:val="000000" w:themeColor="text1"/>
          <w:kern w:val="0"/>
          <w:sz w:val="24"/>
          <w:szCs w:val="24"/>
        </w:rPr>
        <w:t>8000m</w:t>
      </w:r>
      <w:r w:rsidRPr="007B7F59">
        <w:rPr>
          <w:rFonts w:cs="Times New Roman" w:hint="eastAsia"/>
          <w:bCs/>
          <w:snapToGrid w:val="0"/>
          <w:color w:val="000000" w:themeColor="text1"/>
          <w:kern w:val="0"/>
          <w:sz w:val="24"/>
          <w:szCs w:val="24"/>
          <w:vertAlign w:val="superscript"/>
        </w:rPr>
        <w:t>2</w:t>
      </w:r>
      <w:r>
        <w:rPr>
          <w:rFonts w:cs="Times New Roman" w:hint="eastAsia"/>
          <w:bCs/>
          <w:snapToGrid w:val="0"/>
          <w:color w:val="000000" w:themeColor="text1"/>
          <w:kern w:val="0"/>
          <w:sz w:val="24"/>
          <w:szCs w:val="24"/>
        </w:rPr>
        <w:t>，处理规模为</w:t>
      </w:r>
      <w:r>
        <w:rPr>
          <w:rFonts w:cs="Times New Roman" w:hint="eastAsia"/>
          <w:bCs/>
          <w:snapToGrid w:val="0"/>
          <w:color w:val="000000" w:themeColor="text1"/>
          <w:kern w:val="0"/>
          <w:sz w:val="24"/>
          <w:szCs w:val="24"/>
        </w:rPr>
        <w:t>2500m</w:t>
      </w:r>
      <w:r w:rsidRPr="007B7F59">
        <w:rPr>
          <w:rFonts w:cs="Times New Roman" w:hint="eastAsia"/>
          <w:bCs/>
          <w:snapToGrid w:val="0"/>
          <w:color w:val="000000" w:themeColor="text1"/>
          <w:kern w:val="0"/>
          <w:sz w:val="24"/>
          <w:szCs w:val="24"/>
          <w:vertAlign w:val="superscript"/>
        </w:rPr>
        <w:t>3</w:t>
      </w:r>
      <w:r>
        <w:rPr>
          <w:rFonts w:cs="Times New Roman" w:hint="eastAsia"/>
          <w:bCs/>
          <w:snapToGrid w:val="0"/>
          <w:color w:val="000000" w:themeColor="text1"/>
          <w:kern w:val="0"/>
          <w:sz w:val="24"/>
          <w:szCs w:val="24"/>
        </w:rPr>
        <w:t>/d</w:t>
      </w:r>
      <w:r>
        <w:rPr>
          <w:rFonts w:cs="Times New Roman" w:hint="eastAsia"/>
          <w:bCs/>
          <w:snapToGrid w:val="0"/>
          <w:color w:val="000000" w:themeColor="text1"/>
          <w:kern w:val="0"/>
          <w:sz w:val="24"/>
          <w:szCs w:val="24"/>
        </w:rPr>
        <w:t>，设计出水水质满足《城镇污水处理厂污染物排放标准》（</w:t>
      </w:r>
      <w:r>
        <w:rPr>
          <w:rFonts w:cs="Times New Roman" w:hint="eastAsia"/>
          <w:bCs/>
          <w:snapToGrid w:val="0"/>
          <w:color w:val="000000" w:themeColor="text1"/>
          <w:kern w:val="0"/>
          <w:sz w:val="24"/>
          <w:szCs w:val="24"/>
        </w:rPr>
        <w:t>GB18918-2002</w:t>
      </w:r>
      <w:r>
        <w:rPr>
          <w:rFonts w:cs="Times New Roman" w:hint="eastAsia"/>
          <w:bCs/>
          <w:snapToGrid w:val="0"/>
          <w:color w:val="000000" w:themeColor="text1"/>
          <w:kern w:val="0"/>
          <w:sz w:val="24"/>
          <w:szCs w:val="24"/>
        </w:rPr>
        <w:t>）的一级</w:t>
      </w:r>
      <w:r>
        <w:rPr>
          <w:rFonts w:cs="Times New Roman" w:hint="eastAsia"/>
          <w:bCs/>
          <w:snapToGrid w:val="0"/>
          <w:color w:val="000000" w:themeColor="text1"/>
          <w:kern w:val="0"/>
          <w:sz w:val="24"/>
          <w:szCs w:val="24"/>
        </w:rPr>
        <w:t>A</w:t>
      </w:r>
      <w:r>
        <w:rPr>
          <w:rFonts w:cs="Times New Roman" w:hint="eastAsia"/>
          <w:bCs/>
          <w:snapToGrid w:val="0"/>
          <w:color w:val="000000" w:themeColor="text1"/>
          <w:kern w:val="0"/>
          <w:sz w:val="24"/>
          <w:szCs w:val="24"/>
        </w:rPr>
        <w:t>标准后用于园区绿化。</w:t>
      </w:r>
    </w:p>
    <w:p w:rsidR="00644456" w:rsidRDefault="008031C4">
      <w:pPr>
        <w:spacing w:line="360" w:lineRule="auto"/>
        <w:ind w:firstLineChars="200" w:firstLine="482"/>
        <w:rPr>
          <w:rFonts w:cs="Times New Roman"/>
          <w:b/>
          <w:snapToGrid w:val="0"/>
          <w:color w:val="000000" w:themeColor="text1"/>
          <w:kern w:val="0"/>
          <w:sz w:val="24"/>
          <w:szCs w:val="24"/>
        </w:rPr>
      </w:pPr>
      <w:r>
        <w:rPr>
          <w:rFonts w:cs="Times New Roman" w:hint="eastAsia"/>
          <w:b/>
          <w:snapToGrid w:val="0"/>
          <w:color w:val="000000" w:themeColor="text1"/>
          <w:kern w:val="0"/>
          <w:sz w:val="24"/>
          <w:szCs w:val="24"/>
        </w:rPr>
        <w:t>该项目于</w:t>
      </w:r>
      <w:r>
        <w:rPr>
          <w:rFonts w:cs="Times New Roman" w:hint="eastAsia"/>
          <w:b/>
          <w:snapToGrid w:val="0"/>
          <w:color w:val="000000" w:themeColor="text1"/>
          <w:kern w:val="0"/>
          <w:sz w:val="24"/>
          <w:szCs w:val="24"/>
        </w:rPr>
        <w:t>2019</w:t>
      </w:r>
      <w:r>
        <w:rPr>
          <w:rFonts w:cs="Times New Roman" w:hint="eastAsia"/>
          <w:b/>
          <w:snapToGrid w:val="0"/>
          <w:color w:val="000000" w:themeColor="text1"/>
          <w:kern w:val="0"/>
          <w:sz w:val="24"/>
          <w:szCs w:val="24"/>
        </w:rPr>
        <w:t>年</w:t>
      </w:r>
      <w:r>
        <w:rPr>
          <w:rFonts w:cs="Times New Roman" w:hint="eastAsia"/>
          <w:b/>
          <w:snapToGrid w:val="0"/>
          <w:color w:val="000000" w:themeColor="text1"/>
          <w:kern w:val="0"/>
          <w:sz w:val="24"/>
          <w:szCs w:val="24"/>
        </w:rPr>
        <w:t>8</w:t>
      </w:r>
      <w:r>
        <w:rPr>
          <w:rFonts w:cs="Times New Roman" w:hint="eastAsia"/>
          <w:b/>
          <w:snapToGrid w:val="0"/>
          <w:color w:val="000000" w:themeColor="text1"/>
          <w:kern w:val="0"/>
          <w:sz w:val="24"/>
          <w:szCs w:val="24"/>
        </w:rPr>
        <w:t>月取得新疆维吾尔自治区生态环境厅出具的《关于南疆齐鲁工业园齐鲁生态钢城污水处理厂及附属配套工程建设项目环境影响报告书的批复》（新环审</w:t>
      </w:r>
      <w:r>
        <w:rPr>
          <w:rFonts w:cs="Times New Roman" w:hint="eastAsia"/>
          <w:b/>
          <w:snapToGrid w:val="0"/>
          <w:color w:val="000000" w:themeColor="text1"/>
          <w:kern w:val="0"/>
          <w:sz w:val="24"/>
          <w:szCs w:val="24"/>
        </w:rPr>
        <w:t>[2019]149</w:t>
      </w:r>
      <w:r>
        <w:rPr>
          <w:rFonts w:cs="Times New Roman" w:hint="eastAsia"/>
          <w:b/>
          <w:snapToGrid w:val="0"/>
          <w:color w:val="000000" w:themeColor="text1"/>
          <w:kern w:val="0"/>
          <w:sz w:val="24"/>
          <w:szCs w:val="24"/>
        </w:rPr>
        <w:t>号）。但由于该区投运企业较少，排水管线建设不完善等原因，建成至今未运行。</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现由于园区规划的调整，园区拟将引进化工和电镀等类型企业，因此疏勒南疆齐鲁工业园区管理委员会拟对生态钢城污水处理厂进行提标改造，确保提标改造后的生态钢</w:t>
      </w:r>
      <w:r>
        <w:rPr>
          <w:rFonts w:cs="Times New Roman" w:hint="eastAsia"/>
          <w:bCs/>
          <w:snapToGrid w:val="0"/>
          <w:color w:val="000000" w:themeColor="text1"/>
          <w:kern w:val="0"/>
          <w:sz w:val="24"/>
          <w:szCs w:val="24"/>
        </w:rPr>
        <w:lastRenderedPageBreak/>
        <w:t>城污水处理厂能够处理园区的工业和生活污水。</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生态钢城污水处理厂收水范围包括三大块，一是疏勒高新技术产业开发区—齐鲁生态钢城产业园生活污水，二是电镀污水处理厂排放尾水，三是化工园区废水；因此本项目废水属于生态钢城污水处理厂收水范围。</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本项目排入生态钢城污水处理厂的水质满足生态钢城污水处理厂设计进水水质要求，本项目废水排入生态钢城污水处理厂不会对其造成冲击性影响。</w:t>
      </w:r>
    </w:p>
    <w:p w:rsidR="00644456" w:rsidRDefault="008031C4">
      <w:pPr>
        <w:spacing w:line="360" w:lineRule="auto"/>
        <w:ind w:firstLineChars="200" w:firstLine="482"/>
        <w:rPr>
          <w:rFonts w:cs="Times New Roman"/>
          <w:b/>
          <w:snapToGrid w:val="0"/>
          <w:color w:val="000000" w:themeColor="text1"/>
          <w:kern w:val="0"/>
          <w:sz w:val="24"/>
          <w:szCs w:val="24"/>
        </w:rPr>
      </w:pPr>
      <w:r>
        <w:rPr>
          <w:rFonts w:cs="Times New Roman" w:hint="eastAsia"/>
          <w:b/>
          <w:snapToGrid w:val="0"/>
          <w:color w:val="000000" w:themeColor="text1"/>
          <w:kern w:val="0"/>
          <w:sz w:val="24"/>
          <w:szCs w:val="24"/>
        </w:rPr>
        <w:t>同时本次评价要求建设单位在生态钢城污水处理厂提标改造完成投产之前，本项目不得进行投产使用。</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综上所述，本项目依托生态钢城污水处理厂进行下一步处理是可行的。</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6.2.2.3</w:t>
      </w:r>
      <w:r>
        <w:rPr>
          <w:rFonts w:cs="Times New Roman" w:hint="eastAsia"/>
          <w:snapToGrid w:val="0"/>
          <w:color w:val="000000" w:themeColor="text1"/>
          <w:kern w:val="0"/>
          <w:szCs w:val="24"/>
        </w:rPr>
        <w:t>小结</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综上分析，</w:t>
      </w:r>
      <w:r w:rsidR="007B7F59" w:rsidRPr="007B7F59">
        <w:rPr>
          <w:rFonts w:cs="Times New Roman" w:hint="eastAsia"/>
          <w:bCs/>
          <w:snapToGrid w:val="0"/>
          <w:color w:val="000000" w:themeColor="text1"/>
          <w:kern w:val="0"/>
          <w:sz w:val="24"/>
          <w:szCs w:val="24"/>
        </w:rPr>
        <w:t>本项目废水经过厂区自建的污水处理设施处理后依托生态钢城污水处理厂处置，本项目废水应满足《污水综合排放标准》（</w:t>
      </w:r>
      <w:r w:rsidR="007B7F59" w:rsidRPr="007B7F59">
        <w:rPr>
          <w:rFonts w:cs="Times New Roman" w:hint="eastAsia"/>
          <w:bCs/>
          <w:snapToGrid w:val="0"/>
          <w:color w:val="000000" w:themeColor="text1"/>
          <w:kern w:val="0"/>
          <w:sz w:val="24"/>
          <w:szCs w:val="24"/>
        </w:rPr>
        <w:t>GB8978-1996</w:t>
      </w:r>
      <w:r w:rsidR="007B7F59" w:rsidRPr="007B7F59">
        <w:rPr>
          <w:rFonts w:cs="Times New Roman" w:hint="eastAsia"/>
          <w:bCs/>
          <w:snapToGrid w:val="0"/>
          <w:color w:val="000000" w:themeColor="text1"/>
          <w:kern w:val="0"/>
          <w:sz w:val="24"/>
          <w:szCs w:val="24"/>
        </w:rPr>
        <w:t>）表</w:t>
      </w:r>
      <w:r w:rsidR="007B7F59" w:rsidRPr="007B7F59">
        <w:rPr>
          <w:rFonts w:cs="Times New Roman" w:hint="eastAsia"/>
          <w:bCs/>
          <w:snapToGrid w:val="0"/>
          <w:color w:val="000000" w:themeColor="text1"/>
          <w:kern w:val="0"/>
          <w:sz w:val="24"/>
          <w:szCs w:val="24"/>
        </w:rPr>
        <w:t>4</w:t>
      </w:r>
      <w:r w:rsidR="007B7F59" w:rsidRPr="007B7F59">
        <w:rPr>
          <w:rFonts w:cs="Times New Roman" w:hint="eastAsia"/>
          <w:bCs/>
          <w:snapToGrid w:val="0"/>
          <w:color w:val="000000" w:themeColor="text1"/>
          <w:kern w:val="0"/>
          <w:sz w:val="24"/>
          <w:szCs w:val="24"/>
        </w:rPr>
        <w:t>的三级标准，同时应满足生态钢城污水处理厂的进水水质要求，污水处理厂出水满足《城镇污水处理厂污染物排放标准》（</w:t>
      </w:r>
      <w:r w:rsidR="007B7F59" w:rsidRPr="007B7F59">
        <w:rPr>
          <w:rFonts w:cs="Times New Roman" w:hint="eastAsia"/>
          <w:bCs/>
          <w:snapToGrid w:val="0"/>
          <w:color w:val="000000" w:themeColor="text1"/>
          <w:kern w:val="0"/>
          <w:sz w:val="24"/>
          <w:szCs w:val="24"/>
        </w:rPr>
        <w:t>GB18918-2002</w:t>
      </w:r>
      <w:r w:rsidR="007B7F59" w:rsidRPr="007B7F59">
        <w:rPr>
          <w:rFonts w:cs="Times New Roman" w:hint="eastAsia"/>
          <w:bCs/>
          <w:snapToGrid w:val="0"/>
          <w:color w:val="000000" w:themeColor="text1"/>
          <w:kern w:val="0"/>
          <w:sz w:val="24"/>
          <w:szCs w:val="24"/>
        </w:rPr>
        <w:t>）的一级</w:t>
      </w:r>
      <w:r w:rsidR="007B7F59" w:rsidRPr="007B7F59">
        <w:rPr>
          <w:rFonts w:cs="Times New Roman" w:hint="eastAsia"/>
          <w:bCs/>
          <w:snapToGrid w:val="0"/>
          <w:color w:val="000000" w:themeColor="text1"/>
          <w:kern w:val="0"/>
          <w:sz w:val="24"/>
          <w:szCs w:val="24"/>
        </w:rPr>
        <w:t>A</w:t>
      </w:r>
      <w:r w:rsidR="007B7F59" w:rsidRPr="007B7F59">
        <w:rPr>
          <w:rFonts w:cs="Times New Roman" w:hint="eastAsia"/>
          <w:bCs/>
          <w:snapToGrid w:val="0"/>
          <w:color w:val="000000" w:themeColor="text1"/>
          <w:kern w:val="0"/>
          <w:sz w:val="24"/>
          <w:szCs w:val="24"/>
        </w:rPr>
        <w:t>标准值</w:t>
      </w:r>
      <w:r>
        <w:rPr>
          <w:rFonts w:cs="Times New Roman" w:hint="eastAsia"/>
          <w:bCs/>
          <w:snapToGrid w:val="0"/>
          <w:color w:val="000000" w:themeColor="text1"/>
          <w:kern w:val="0"/>
          <w:sz w:val="24"/>
          <w:szCs w:val="24"/>
        </w:rPr>
        <w:t>。项目拟采用的废水治理工艺可行。</w:t>
      </w:r>
    </w:p>
    <w:p w:rsidR="00644456" w:rsidRDefault="008031C4">
      <w:pPr>
        <w:pStyle w:val="3"/>
        <w:numPr>
          <w:ilvl w:val="2"/>
          <w:numId w:val="0"/>
        </w:numPr>
        <w:ind w:firstLineChars="200" w:firstLine="482"/>
      </w:pPr>
      <w:r>
        <w:rPr>
          <w:rFonts w:hint="eastAsia"/>
        </w:rPr>
        <w:t>6.2.3</w:t>
      </w:r>
      <w:r>
        <w:rPr>
          <w:rFonts w:hint="eastAsia"/>
        </w:rPr>
        <w:t>土壤和地下水污染防治</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为防止项目运行产生的生产溶液及废水下渗污染地下水，本环评要求项目各拟建构筑物应采取分区防渗措施，分为重点防渗区、一般防渗区及简单防渗区。</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重点防渗区：包括污水处理站、危废暂存间、罐区以及生产区域采取防渗混凝土</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水泥砂浆</w:t>
      </w:r>
      <w:r>
        <w:rPr>
          <w:rFonts w:cs="Times New Roman" w:hint="eastAsia"/>
          <w:bCs/>
          <w:snapToGrid w:val="0"/>
          <w:color w:val="000000" w:themeColor="text1"/>
          <w:kern w:val="0"/>
          <w:sz w:val="24"/>
          <w:szCs w:val="24"/>
        </w:rPr>
        <w:t>+2mm</w:t>
      </w:r>
      <w:r>
        <w:rPr>
          <w:rFonts w:cs="Times New Roman" w:hint="eastAsia"/>
          <w:bCs/>
          <w:snapToGrid w:val="0"/>
          <w:color w:val="000000" w:themeColor="text1"/>
          <w:kern w:val="0"/>
          <w:sz w:val="24"/>
          <w:szCs w:val="24"/>
        </w:rPr>
        <w:t>的环氧树脂漆或其他人工防渗材料，确保等效黏土防护层</w:t>
      </w:r>
      <w:r>
        <w:rPr>
          <w:rFonts w:cs="Times New Roman" w:hint="eastAsia"/>
          <w:bCs/>
          <w:snapToGrid w:val="0"/>
          <w:color w:val="000000" w:themeColor="text1"/>
          <w:kern w:val="0"/>
          <w:sz w:val="24"/>
          <w:szCs w:val="24"/>
        </w:rPr>
        <w:t>Mb</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6.0m</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1.0</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10</w:t>
      </w:r>
      <w:r>
        <w:rPr>
          <w:rFonts w:cs="Times New Roman" w:hint="eastAsia"/>
          <w:bCs/>
          <w:snapToGrid w:val="0"/>
          <w:color w:val="000000" w:themeColor="text1"/>
          <w:kern w:val="0"/>
          <w:sz w:val="24"/>
          <w:szCs w:val="24"/>
          <w:vertAlign w:val="superscript"/>
        </w:rPr>
        <w:t>-10</w:t>
      </w:r>
      <w:r>
        <w:rPr>
          <w:rFonts w:cs="Times New Roman" w:hint="eastAsia"/>
          <w:bCs/>
          <w:snapToGrid w:val="0"/>
          <w:color w:val="000000" w:themeColor="text1"/>
          <w:kern w:val="0"/>
          <w:sz w:val="24"/>
          <w:szCs w:val="24"/>
        </w:rPr>
        <w:t>cm/s</w:t>
      </w:r>
      <w:r>
        <w:rPr>
          <w:rFonts w:cs="Times New Roman" w:hint="eastAsia"/>
          <w:bCs/>
          <w:snapToGrid w:val="0"/>
          <w:color w:val="000000" w:themeColor="text1"/>
          <w:kern w:val="0"/>
          <w:sz w:val="24"/>
          <w:szCs w:val="24"/>
        </w:rPr>
        <w:t>。危废暂存间采取防渗混凝土</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水泥砂浆</w:t>
      </w:r>
      <w:r>
        <w:rPr>
          <w:rFonts w:cs="Times New Roman" w:hint="eastAsia"/>
          <w:bCs/>
          <w:snapToGrid w:val="0"/>
          <w:color w:val="000000" w:themeColor="text1"/>
          <w:kern w:val="0"/>
          <w:sz w:val="24"/>
          <w:szCs w:val="24"/>
        </w:rPr>
        <w:t>+2mm</w:t>
      </w:r>
      <w:r>
        <w:rPr>
          <w:rFonts w:cs="Times New Roman" w:hint="eastAsia"/>
          <w:bCs/>
          <w:snapToGrid w:val="0"/>
          <w:color w:val="000000" w:themeColor="text1"/>
          <w:kern w:val="0"/>
          <w:sz w:val="24"/>
          <w:szCs w:val="24"/>
        </w:rPr>
        <w:t>环氧树脂漆或其他人工防渗材料，并设置专门收集桶收集，将危险废物容器置于专门收集桶之上，确保等效黏土防护层</w:t>
      </w:r>
      <w:r>
        <w:rPr>
          <w:rFonts w:cs="Times New Roman" w:hint="eastAsia"/>
          <w:bCs/>
          <w:snapToGrid w:val="0"/>
          <w:color w:val="000000" w:themeColor="text1"/>
          <w:kern w:val="0"/>
          <w:sz w:val="24"/>
          <w:szCs w:val="24"/>
        </w:rPr>
        <w:t>Mb</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6.0m</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1.0</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10</w:t>
      </w:r>
      <w:r>
        <w:rPr>
          <w:rFonts w:cs="Times New Roman" w:hint="eastAsia"/>
          <w:bCs/>
          <w:snapToGrid w:val="0"/>
          <w:color w:val="000000" w:themeColor="text1"/>
          <w:kern w:val="0"/>
          <w:sz w:val="24"/>
          <w:szCs w:val="24"/>
          <w:vertAlign w:val="superscript"/>
        </w:rPr>
        <w:t>-10</w:t>
      </w:r>
      <w:r>
        <w:rPr>
          <w:rFonts w:cs="Times New Roman" w:hint="eastAsia"/>
          <w:bCs/>
          <w:snapToGrid w:val="0"/>
          <w:color w:val="000000" w:themeColor="text1"/>
          <w:kern w:val="0"/>
          <w:sz w:val="24"/>
          <w:szCs w:val="24"/>
        </w:rPr>
        <w:t>cm/s</w:t>
      </w:r>
      <w:r>
        <w:rPr>
          <w:rFonts w:cs="Times New Roman" w:hint="eastAsia"/>
          <w:bCs/>
          <w:snapToGrid w:val="0"/>
          <w:color w:val="000000" w:themeColor="text1"/>
          <w:kern w:val="0"/>
          <w:sz w:val="24"/>
          <w:szCs w:val="24"/>
        </w:rPr>
        <w:t>。</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一般防渗区：包括一般固废暂存间等以及预处理池，采取防渗混凝土</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水泥砂浆，确保防渗技术达到等效黏土防渗层</w:t>
      </w:r>
      <w:r>
        <w:rPr>
          <w:rFonts w:cs="Times New Roman" w:hint="eastAsia"/>
          <w:bCs/>
          <w:snapToGrid w:val="0"/>
          <w:color w:val="000000" w:themeColor="text1"/>
          <w:kern w:val="0"/>
          <w:sz w:val="24"/>
          <w:szCs w:val="24"/>
        </w:rPr>
        <w:t>Mb</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1.5m</w:t>
      </w:r>
      <w:r>
        <w:rPr>
          <w:rFonts w:cs="Times New Roman" w:hint="eastAsia"/>
          <w:bCs/>
          <w:snapToGrid w:val="0"/>
          <w:color w:val="000000" w:themeColor="text1"/>
          <w:kern w:val="0"/>
          <w:sz w:val="24"/>
          <w:szCs w:val="24"/>
        </w:rPr>
        <w:t>，渗透系数</w:t>
      </w:r>
      <w:r>
        <w:rPr>
          <w:rFonts w:cs="Times New Roman" w:hint="eastAsia"/>
          <w:bCs/>
          <w:snapToGrid w:val="0"/>
          <w:color w:val="000000" w:themeColor="text1"/>
          <w:kern w:val="0"/>
          <w:sz w:val="24"/>
          <w:szCs w:val="24"/>
        </w:rPr>
        <w:t>K</w:t>
      </w:r>
      <w:r>
        <w:rPr>
          <w:rFonts w:cs="Times New Roman" w:hint="eastAsia"/>
          <w:bCs/>
          <w:snapToGrid w:val="0"/>
          <w:color w:val="000000" w:themeColor="text1"/>
          <w:kern w:val="0"/>
          <w:sz w:val="24"/>
          <w:szCs w:val="24"/>
        </w:rPr>
        <w:t>≤</w:t>
      </w:r>
      <w:r>
        <w:rPr>
          <w:rFonts w:cs="Times New Roman" w:hint="eastAsia"/>
          <w:bCs/>
          <w:snapToGrid w:val="0"/>
          <w:color w:val="000000" w:themeColor="text1"/>
          <w:kern w:val="0"/>
          <w:sz w:val="24"/>
          <w:szCs w:val="24"/>
        </w:rPr>
        <w:t>10</w:t>
      </w:r>
      <w:r>
        <w:rPr>
          <w:rFonts w:cs="Times New Roman" w:hint="eastAsia"/>
          <w:bCs/>
          <w:snapToGrid w:val="0"/>
          <w:color w:val="000000" w:themeColor="text1"/>
          <w:kern w:val="0"/>
          <w:sz w:val="24"/>
          <w:szCs w:val="24"/>
          <w:vertAlign w:val="superscript"/>
        </w:rPr>
        <w:t>-7</w:t>
      </w:r>
      <w:r>
        <w:rPr>
          <w:rFonts w:cs="Times New Roman" w:hint="eastAsia"/>
          <w:bCs/>
          <w:snapToGrid w:val="0"/>
          <w:color w:val="000000" w:themeColor="text1"/>
          <w:kern w:val="0"/>
          <w:sz w:val="24"/>
          <w:szCs w:val="24"/>
        </w:rPr>
        <w:t>cm/s</w:t>
      </w:r>
      <w:r>
        <w:rPr>
          <w:rFonts w:cs="Times New Roman" w:hint="eastAsia"/>
          <w:bCs/>
          <w:snapToGrid w:val="0"/>
          <w:color w:val="000000" w:themeColor="text1"/>
          <w:kern w:val="0"/>
          <w:sz w:val="24"/>
          <w:szCs w:val="24"/>
        </w:rPr>
        <w:t>。</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简单防渗区：包括办公、综合楼，采用一般地面硬化处理。</w:t>
      </w:r>
    </w:p>
    <w:p w:rsidR="00644456" w:rsidRDefault="008031C4">
      <w:pPr>
        <w:spacing w:line="360" w:lineRule="auto"/>
        <w:ind w:firstLineChars="200" w:firstLine="480"/>
        <w:rPr>
          <w:rFonts w:cs="Times New Roman"/>
          <w:bCs/>
          <w:snapToGrid w:val="0"/>
          <w:color w:val="000000" w:themeColor="text1"/>
          <w:kern w:val="0"/>
          <w:sz w:val="24"/>
          <w:szCs w:val="24"/>
        </w:rPr>
      </w:pPr>
      <w:r>
        <w:rPr>
          <w:rFonts w:cs="Times New Roman" w:hint="eastAsia"/>
          <w:bCs/>
          <w:snapToGrid w:val="0"/>
          <w:color w:val="000000" w:themeColor="text1"/>
          <w:kern w:val="0"/>
          <w:sz w:val="24"/>
          <w:szCs w:val="24"/>
        </w:rPr>
        <w:t>综上，在采取了上述地下水防渗措施的基础上，本项目的建设不改变项目所在区域地下水环境功能，对地下水水环境影响较小。</w:t>
      </w:r>
    </w:p>
    <w:p w:rsidR="00644456" w:rsidRDefault="008031C4">
      <w:pPr>
        <w:pStyle w:val="3"/>
        <w:numPr>
          <w:ilvl w:val="2"/>
          <w:numId w:val="0"/>
        </w:numPr>
        <w:ind w:firstLineChars="200" w:firstLine="482"/>
      </w:pPr>
      <w:bookmarkStart w:id="416" w:name="_Toc259776375"/>
      <w:bookmarkStart w:id="417" w:name="_Toc298771622"/>
      <w:bookmarkStart w:id="418" w:name="_Toc249156207"/>
      <w:bookmarkEnd w:id="413"/>
      <w:bookmarkEnd w:id="414"/>
      <w:bookmarkEnd w:id="415"/>
      <w:r>
        <w:rPr>
          <w:rFonts w:hint="eastAsia"/>
        </w:rPr>
        <w:t>6.2.4</w:t>
      </w:r>
      <w:r>
        <w:rPr>
          <w:rFonts w:hint="eastAsia"/>
        </w:rPr>
        <w:t>噪声治理措施及论证</w:t>
      </w:r>
      <w:bookmarkEnd w:id="416"/>
      <w:bookmarkEnd w:id="417"/>
      <w:bookmarkEnd w:id="418"/>
    </w:p>
    <w:p w:rsidR="00644456" w:rsidRDefault="008031C4">
      <w:pPr>
        <w:spacing w:line="360" w:lineRule="auto"/>
        <w:ind w:firstLineChars="200" w:firstLine="480"/>
        <w:rPr>
          <w:rFonts w:cs="Times New Roman"/>
          <w:bCs/>
          <w:color w:val="000000" w:themeColor="text1"/>
          <w:sz w:val="24"/>
          <w:szCs w:val="24"/>
        </w:rPr>
      </w:pPr>
      <w:bookmarkStart w:id="419" w:name="_Toc259776376"/>
      <w:bookmarkStart w:id="420" w:name="_Toc249156206"/>
      <w:bookmarkStart w:id="421" w:name="_Toc298771623"/>
      <w:r>
        <w:rPr>
          <w:rFonts w:cs="Times New Roman"/>
          <w:bCs/>
          <w:snapToGrid w:val="0"/>
          <w:color w:val="000000" w:themeColor="text1"/>
          <w:kern w:val="0"/>
          <w:sz w:val="24"/>
          <w:szCs w:val="24"/>
        </w:rPr>
        <w:t>项目噪声主要来源于</w:t>
      </w:r>
      <w:r>
        <w:rPr>
          <w:rFonts w:cs="Times New Roman" w:hint="eastAsia"/>
          <w:bCs/>
          <w:snapToGrid w:val="0"/>
          <w:color w:val="000000" w:themeColor="text1"/>
          <w:kern w:val="0"/>
          <w:sz w:val="24"/>
          <w:szCs w:val="24"/>
        </w:rPr>
        <w:t>泵</w:t>
      </w:r>
      <w:r>
        <w:rPr>
          <w:rFonts w:cs="Times New Roman"/>
          <w:bCs/>
          <w:snapToGrid w:val="0"/>
          <w:color w:val="000000" w:themeColor="text1"/>
          <w:kern w:val="0"/>
          <w:sz w:val="24"/>
          <w:szCs w:val="24"/>
        </w:rPr>
        <w:t>、风机等所产生的机械噪声和空气动力性噪声等，根据类比</w:t>
      </w:r>
      <w:r>
        <w:rPr>
          <w:rFonts w:cs="Times New Roman"/>
          <w:bCs/>
          <w:snapToGrid w:val="0"/>
          <w:color w:val="000000" w:themeColor="text1"/>
          <w:kern w:val="0"/>
          <w:sz w:val="24"/>
          <w:szCs w:val="24"/>
        </w:rPr>
        <w:lastRenderedPageBreak/>
        <w:t>资料，其噪声强度在</w:t>
      </w:r>
      <w:r>
        <w:rPr>
          <w:rFonts w:cs="Times New Roman" w:hint="eastAsia"/>
          <w:bCs/>
          <w:snapToGrid w:val="0"/>
          <w:color w:val="000000" w:themeColor="text1"/>
          <w:kern w:val="0"/>
          <w:sz w:val="24"/>
          <w:szCs w:val="24"/>
        </w:rPr>
        <w:t>90</w:t>
      </w:r>
      <w:r>
        <w:rPr>
          <w:rFonts w:cs="Times New Roman"/>
          <w:bCs/>
          <w:snapToGrid w:val="0"/>
          <w:color w:val="000000" w:themeColor="text1"/>
          <w:kern w:val="0"/>
          <w:sz w:val="24"/>
          <w:szCs w:val="24"/>
        </w:rPr>
        <w:t>～</w:t>
      </w:r>
      <w:r>
        <w:rPr>
          <w:rFonts w:cs="Times New Roman" w:hint="eastAsia"/>
          <w:bCs/>
          <w:snapToGrid w:val="0"/>
          <w:color w:val="000000" w:themeColor="text1"/>
          <w:kern w:val="0"/>
          <w:sz w:val="24"/>
          <w:szCs w:val="24"/>
        </w:rPr>
        <w:t>100</w:t>
      </w:r>
      <w:r>
        <w:rPr>
          <w:rFonts w:cs="Times New Roman"/>
          <w:bCs/>
          <w:snapToGrid w:val="0"/>
          <w:color w:val="000000" w:themeColor="text1"/>
          <w:kern w:val="0"/>
          <w:sz w:val="24"/>
          <w:szCs w:val="24"/>
        </w:rPr>
        <w:t>dB</w:t>
      </w:r>
      <w:r>
        <w:rPr>
          <w:rFonts w:cs="Times New Roman"/>
          <w:bCs/>
          <w:snapToGrid w:val="0"/>
          <w:color w:val="000000" w:themeColor="text1"/>
          <w:kern w:val="0"/>
          <w:sz w:val="24"/>
          <w:szCs w:val="24"/>
        </w:rPr>
        <w:t>（</w:t>
      </w:r>
      <w:r>
        <w:rPr>
          <w:rFonts w:cs="Times New Roman"/>
          <w:bCs/>
          <w:snapToGrid w:val="0"/>
          <w:color w:val="000000" w:themeColor="text1"/>
          <w:kern w:val="0"/>
          <w:sz w:val="24"/>
          <w:szCs w:val="24"/>
        </w:rPr>
        <w:t>A</w:t>
      </w:r>
      <w:r>
        <w:rPr>
          <w:rFonts w:cs="Times New Roman"/>
          <w:bCs/>
          <w:snapToGrid w:val="0"/>
          <w:color w:val="000000" w:themeColor="text1"/>
          <w:kern w:val="0"/>
          <w:sz w:val="24"/>
          <w:szCs w:val="24"/>
        </w:rPr>
        <w:t>）的范围内。</w:t>
      </w:r>
    </w:p>
    <w:p w:rsidR="00644456" w:rsidRDefault="008031C4">
      <w:pPr>
        <w:spacing w:line="360" w:lineRule="auto"/>
        <w:ind w:firstLineChars="200" w:firstLine="480"/>
        <w:rPr>
          <w:rFonts w:cs="Times New Roman"/>
          <w:snapToGrid w:val="0"/>
          <w:color w:val="000000" w:themeColor="text1"/>
          <w:kern w:val="0"/>
          <w:sz w:val="24"/>
        </w:rPr>
      </w:pPr>
      <w:r>
        <w:rPr>
          <w:rFonts w:cs="Times New Roman"/>
          <w:snapToGrid w:val="0"/>
          <w:color w:val="000000" w:themeColor="text1"/>
          <w:kern w:val="0"/>
          <w:sz w:val="24"/>
        </w:rPr>
        <w:t>采用的降噪措施有：</w:t>
      </w:r>
    </w:p>
    <w:p w:rsidR="00644456" w:rsidRPr="007B7F59" w:rsidRDefault="008031C4">
      <w:pPr>
        <w:spacing w:line="360" w:lineRule="auto"/>
        <w:ind w:firstLineChars="200" w:firstLine="480"/>
        <w:rPr>
          <w:rFonts w:cs="Times New Roman"/>
          <w:snapToGrid w:val="0"/>
          <w:color w:val="FF0000"/>
          <w:kern w:val="0"/>
          <w:sz w:val="24"/>
        </w:rPr>
      </w:pPr>
      <w:r w:rsidRPr="007B7F59">
        <w:rPr>
          <w:rFonts w:cs="Times New Roman"/>
          <w:snapToGrid w:val="0"/>
          <w:color w:val="FF0000"/>
          <w:kern w:val="0"/>
          <w:sz w:val="24"/>
        </w:rPr>
        <w:t>（</w:t>
      </w:r>
      <w:r w:rsidRPr="007B7F59">
        <w:rPr>
          <w:rFonts w:cs="Times New Roman"/>
          <w:snapToGrid w:val="0"/>
          <w:color w:val="FF0000"/>
          <w:kern w:val="0"/>
          <w:sz w:val="24"/>
        </w:rPr>
        <w:t>1</w:t>
      </w:r>
      <w:r w:rsidRPr="007B7F59">
        <w:rPr>
          <w:rFonts w:cs="Times New Roman"/>
          <w:snapToGrid w:val="0"/>
          <w:color w:val="FF0000"/>
          <w:kern w:val="0"/>
          <w:sz w:val="24"/>
        </w:rPr>
        <w:t>）优化设备选型、合理布置声源；</w:t>
      </w:r>
    </w:p>
    <w:p w:rsidR="00644456" w:rsidRPr="007B7F59" w:rsidRDefault="008031C4">
      <w:pPr>
        <w:spacing w:line="360" w:lineRule="auto"/>
        <w:ind w:firstLineChars="200" w:firstLine="480"/>
        <w:rPr>
          <w:rFonts w:cs="Times New Roman"/>
          <w:snapToGrid w:val="0"/>
          <w:color w:val="FF0000"/>
          <w:kern w:val="0"/>
          <w:sz w:val="24"/>
        </w:rPr>
      </w:pPr>
      <w:r w:rsidRPr="007B7F59">
        <w:rPr>
          <w:rFonts w:cs="Times New Roman"/>
          <w:snapToGrid w:val="0"/>
          <w:color w:val="FF0000"/>
          <w:kern w:val="0"/>
          <w:sz w:val="24"/>
        </w:rPr>
        <w:t>（</w:t>
      </w:r>
      <w:r w:rsidRPr="007B7F59">
        <w:rPr>
          <w:rFonts w:cs="Times New Roman"/>
          <w:snapToGrid w:val="0"/>
          <w:color w:val="FF0000"/>
          <w:kern w:val="0"/>
          <w:sz w:val="24"/>
        </w:rPr>
        <w:t>2</w:t>
      </w:r>
      <w:r w:rsidRPr="007B7F59">
        <w:rPr>
          <w:rFonts w:cs="Times New Roman"/>
          <w:snapToGrid w:val="0"/>
          <w:color w:val="FF0000"/>
          <w:kern w:val="0"/>
          <w:sz w:val="24"/>
        </w:rPr>
        <w:t>）主要噪声设备空压机</w:t>
      </w:r>
      <w:r w:rsidR="007B7F59" w:rsidRPr="007B7F59">
        <w:rPr>
          <w:rFonts w:cs="Times New Roman" w:hint="eastAsia"/>
          <w:snapToGrid w:val="0"/>
          <w:color w:val="FF0000"/>
          <w:kern w:val="0"/>
          <w:sz w:val="24"/>
        </w:rPr>
        <w:t>、风机、水泵</w:t>
      </w:r>
      <w:r w:rsidRPr="007B7F59">
        <w:rPr>
          <w:rFonts w:cs="Times New Roman"/>
          <w:snapToGrid w:val="0"/>
          <w:color w:val="FF0000"/>
          <w:kern w:val="0"/>
          <w:sz w:val="24"/>
        </w:rPr>
        <w:t>等均设立于生产车间内并设置独立机房，设备进行基础减振；机房进行隔声降噪处理，其隔声量可达</w:t>
      </w:r>
      <w:r w:rsidRPr="007B7F59">
        <w:rPr>
          <w:rFonts w:cs="Times New Roman"/>
          <w:snapToGrid w:val="0"/>
          <w:color w:val="FF0000"/>
          <w:kern w:val="0"/>
          <w:sz w:val="24"/>
        </w:rPr>
        <w:t>15dB</w:t>
      </w:r>
      <w:r w:rsidRPr="007B7F59">
        <w:rPr>
          <w:rFonts w:cs="Times New Roman"/>
          <w:snapToGrid w:val="0"/>
          <w:color w:val="FF0000"/>
          <w:kern w:val="0"/>
          <w:sz w:val="24"/>
        </w:rPr>
        <w:t>（</w:t>
      </w:r>
      <w:r w:rsidRPr="007B7F59">
        <w:rPr>
          <w:rFonts w:cs="Times New Roman"/>
          <w:snapToGrid w:val="0"/>
          <w:color w:val="FF0000"/>
          <w:kern w:val="0"/>
          <w:sz w:val="24"/>
        </w:rPr>
        <w:t>A</w:t>
      </w:r>
      <w:r w:rsidRPr="007B7F59">
        <w:rPr>
          <w:rFonts w:cs="Times New Roman"/>
          <w:snapToGrid w:val="0"/>
          <w:color w:val="FF0000"/>
          <w:kern w:val="0"/>
          <w:sz w:val="24"/>
        </w:rPr>
        <w:t>）。</w:t>
      </w:r>
    </w:p>
    <w:p w:rsidR="00644456" w:rsidRDefault="008031C4">
      <w:pPr>
        <w:spacing w:line="360" w:lineRule="auto"/>
        <w:ind w:firstLineChars="200" w:firstLine="480"/>
        <w:rPr>
          <w:rFonts w:cs="Times New Roman"/>
          <w:snapToGrid w:val="0"/>
          <w:color w:val="000000" w:themeColor="text1"/>
          <w:kern w:val="0"/>
          <w:sz w:val="24"/>
        </w:rPr>
      </w:pPr>
      <w:r>
        <w:rPr>
          <w:rFonts w:cs="Times New Roman"/>
          <w:snapToGrid w:val="0"/>
          <w:color w:val="000000" w:themeColor="text1"/>
          <w:kern w:val="0"/>
          <w:sz w:val="24"/>
        </w:rPr>
        <w:t>（</w:t>
      </w:r>
      <w:r>
        <w:rPr>
          <w:rFonts w:cs="Times New Roman"/>
          <w:snapToGrid w:val="0"/>
          <w:color w:val="000000" w:themeColor="text1"/>
          <w:kern w:val="0"/>
          <w:sz w:val="24"/>
        </w:rPr>
        <w:t>3</w:t>
      </w:r>
      <w:r>
        <w:rPr>
          <w:rFonts w:cs="Times New Roman"/>
          <w:snapToGrid w:val="0"/>
          <w:color w:val="000000" w:themeColor="text1"/>
          <w:kern w:val="0"/>
          <w:sz w:val="24"/>
        </w:rPr>
        <w:t>）</w:t>
      </w:r>
      <w:r>
        <w:rPr>
          <w:rFonts w:cs="Times New Roman" w:hint="eastAsia"/>
          <w:snapToGrid w:val="0"/>
          <w:color w:val="000000" w:themeColor="text1"/>
          <w:kern w:val="0"/>
          <w:sz w:val="24"/>
        </w:rPr>
        <w:t>高噪声设备</w:t>
      </w:r>
      <w:r>
        <w:rPr>
          <w:rFonts w:cs="Times New Roman"/>
          <w:snapToGrid w:val="0"/>
          <w:color w:val="000000" w:themeColor="text1"/>
          <w:kern w:val="0"/>
          <w:sz w:val="24"/>
        </w:rPr>
        <w:t>基础设橡胶隔振垫，以减振降噪；水泵吸水管和出水管上均加设可曲绕橡胶接头以减振。</w:t>
      </w:r>
    </w:p>
    <w:p w:rsidR="00644456" w:rsidRDefault="008031C4">
      <w:pPr>
        <w:spacing w:line="360" w:lineRule="auto"/>
        <w:ind w:firstLineChars="200" w:firstLine="480"/>
        <w:rPr>
          <w:rFonts w:cs="Times New Roman"/>
          <w:snapToGrid w:val="0"/>
          <w:color w:val="000000" w:themeColor="text1"/>
          <w:kern w:val="0"/>
          <w:sz w:val="24"/>
        </w:rPr>
      </w:pPr>
      <w:r>
        <w:rPr>
          <w:rFonts w:cs="Times New Roman"/>
          <w:snapToGrid w:val="0"/>
          <w:color w:val="000000" w:themeColor="text1"/>
          <w:kern w:val="0"/>
          <w:sz w:val="24"/>
        </w:rPr>
        <w:t>（</w:t>
      </w:r>
      <w:r>
        <w:rPr>
          <w:rFonts w:cs="Times New Roman"/>
          <w:snapToGrid w:val="0"/>
          <w:color w:val="000000" w:themeColor="text1"/>
          <w:kern w:val="0"/>
          <w:sz w:val="24"/>
        </w:rPr>
        <w:t>4</w:t>
      </w:r>
      <w:r>
        <w:rPr>
          <w:rFonts w:cs="Times New Roman"/>
          <w:snapToGrid w:val="0"/>
          <w:color w:val="000000" w:themeColor="text1"/>
          <w:kern w:val="0"/>
          <w:sz w:val="24"/>
        </w:rPr>
        <w:t>）对风机采取主排风管；管道进出口加柔性软接以及减振等降噪措施。</w:t>
      </w:r>
    </w:p>
    <w:p w:rsidR="00644456" w:rsidRDefault="008031C4">
      <w:pPr>
        <w:spacing w:line="360" w:lineRule="auto"/>
        <w:ind w:firstLineChars="200" w:firstLine="480"/>
        <w:rPr>
          <w:rFonts w:cs="Times New Roman"/>
          <w:snapToGrid w:val="0"/>
          <w:color w:val="000000" w:themeColor="text1"/>
          <w:kern w:val="0"/>
          <w:sz w:val="24"/>
        </w:rPr>
      </w:pPr>
      <w:r>
        <w:rPr>
          <w:rFonts w:cs="Times New Roman"/>
          <w:snapToGrid w:val="0"/>
          <w:color w:val="000000" w:themeColor="text1"/>
          <w:kern w:val="0"/>
          <w:sz w:val="24"/>
        </w:rPr>
        <w:t>经上述消声、减振、隔声处理后，设备声源可降至</w:t>
      </w:r>
      <w:r>
        <w:rPr>
          <w:rFonts w:cs="Times New Roman"/>
          <w:snapToGrid w:val="0"/>
          <w:color w:val="000000" w:themeColor="text1"/>
          <w:kern w:val="0"/>
          <w:sz w:val="24"/>
        </w:rPr>
        <w:t>70dB</w:t>
      </w:r>
      <w:r>
        <w:rPr>
          <w:rFonts w:cs="Times New Roman"/>
          <w:snapToGrid w:val="0"/>
          <w:color w:val="000000" w:themeColor="text1"/>
          <w:kern w:val="0"/>
          <w:sz w:val="24"/>
        </w:rPr>
        <w:t>（</w:t>
      </w:r>
      <w:r>
        <w:rPr>
          <w:rFonts w:cs="Times New Roman"/>
          <w:snapToGrid w:val="0"/>
          <w:color w:val="000000" w:themeColor="text1"/>
          <w:kern w:val="0"/>
          <w:sz w:val="24"/>
        </w:rPr>
        <w:t>A</w:t>
      </w:r>
      <w:r>
        <w:rPr>
          <w:rFonts w:cs="Times New Roman"/>
          <w:snapToGrid w:val="0"/>
          <w:color w:val="000000" w:themeColor="text1"/>
          <w:kern w:val="0"/>
          <w:sz w:val="24"/>
        </w:rPr>
        <w:t>）以下，达到《工业企业噪声控制设计规范》要求，再经距离衰减后，在厂界处达到《工业企业厂界环境噪声排放标准》（</w:t>
      </w:r>
      <w:r>
        <w:rPr>
          <w:rFonts w:cs="Times New Roman"/>
          <w:snapToGrid w:val="0"/>
          <w:color w:val="000000" w:themeColor="text1"/>
          <w:kern w:val="0"/>
          <w:sz w:val="24"/>
        </w:rPr>
        <w:t>GB12348-2008</w:t>
      </w:r>
      <w:r>
        <w:rPr>
          <w:rFonts w:cs="Times New Roman"/>
          <w:snapToGrid w:val="0"/>
          <w:color w:val="000000" w:themeColor="text1"/>
          <w:kern w:val="0"/>
          <w:sz w:val="24"/>
        </w:rPr>
        <w:t>）</w:t>
      </w:r>
      <w:r>
        <w:rPr>
          <w:rFonts w:cs="Times New Roman"/>
          <w:snapToGrid w:val="0"/>
          <w:color w:val="000000" w:themeColor="text1"/>
          <w:kern w:val="0"/>
          <w:sz w:val="24"/>
        </w:rPr>
        <w:t>3</w:t>
      </w:r>
      <w:r>
        <w:rPr>
          <w:rFonts w:cs="Times New Roman"/>
          <w:snapToGrid w:val="0"/>
          <w:color w:val="000000" w:themeColor="text1"/>
          <w:kern w:val="0"/>
          <w:sz w:val="24"/>
        </w:rPr>
        <w:t>类标准要求，故本项目采取的噪声控制措施技术经济合理可行。</w:t>
      </w:r>
    </w:p>
    <w:p w:rsidR="00644456" w:rsidRDefault="008031C4">
      <w:pPr>
        <w:pStyle w:val="3"/>
        <w:numPr>
          <w:ilvl w:val="2"/>
          <w:numId w:val="0"/>
        </w:numPr>
        <w:ind w:firstLineChars="200" w:firstLine="482"/>
      </w:pPr>
      <w:r>
        <w:rPr>
          <w:rFonts w:hint="eastAsia"/>
        </w:rPr>
        <w:t>6.2.5</w:t>
      </w:r>
      <w:r>
        <w:rPr>
          <w:rFonts w:hint="eastAsia"/>
        </w:rPr>
        <w:t>固体废物治理措施及论证</w:t>
      </w:r>
      <w:bookmarkEnd w:id="419"/>
      <w:bookmarkEnd w:id="420"/>
      <w:bookmarkEnd w:id="421"/>
    </w:p>
    <w:p w:rsidR="00644456" w:rsidRDefault="008031C4">
      <w:pPr>
        <w:spacing w:line="360" w:lineRule="auto"/>
        <w:ind w:firstLineChars="200" w:firstLine="480"/>
        <w:rPr>
          <w:rFonts w:cs="Times New Roman"/>
          <w:snapToGrid w:val="0"/>
          <w:color w:val="000000" w:themeColor="text1"/>
          <w:kern w:val="0"/>
          <w:sz w:val="24"/>
        </w:rPr>
      </w:pPr>
      <w:r>
        <w:rPr>
          <w:rFonts w:cs="Times New Roman" w:hint="eastAsia"/>
          <w:snapToGrid w:val="0"/>
          <w:color w:val="000000" w:themeColor="text1"/>
          <w:kern w:val="0"/>
          <w:sz w:val="24"/>
        </w:rPr>
        <w:t>本项目产生的固废主要为三相过滤设施产生的含油废渣，原料油储罐产生的沉淀渣，废导热油，污水处理设施产生的污泥及员工生活垃圾等。生活垃圾由环卫部门清运；含油废渣，原料油储罐产生的沉淀渣，废导热油等需委托有相应危废处理资质的单位处置。</w:t>
      </w:r>
    </w:p>
    <w:p w:rsidR="00644456" w:rsidRDefault="008031C4">
      <w:pPr>
        <w:spacing w:line="360" w:lineRule="auto"/>
        <w:ind w:firstLineChars="200" w:firstLine="480"/>
        <w:rPr>
          <w:rFonts w:cs="Times New Roman"/>
          <w:snapToGrid w:val="0"/>
          <w:color w:val="000000" w:themeColor="text1"/>
          <w:kern w:val="0"/>
          <w:sz w:val="24"/>
        </w:rPr>
      </w:pPr>
      <w:r>
        <w:rPr>
          <w:rFonts w:cs="Times New Roman" w:hint="eastAsia"/>
          <w:snapToGrid w:val="0"/>
          <w:color w:val="000000" w:themeColor="text1"/>
          <w:kern w:val="0"/>
          <w:sz w:val="24"/>
        </w:rPr>
        <w:t>另外，企业需严格按照《危险废物储存污染控制标准》（</w:t>
      </w:r>
      <w:r>
        <w:rPr>
          <w:rFonts w:cs="Times New Roman" w:hint="eastAsia"/>
          <w:snapToGrid w:val="0"/>
          <w:color w:val="000000" w:themeColor="text1"/>
          <w:kern w:val="0"/>
          <w:sz w:val="24"/>
        </w:rPr>
        <w:t>GB18597-20</w:t>
      </w:r>
      <w:r w:rsidR="007B7F59">
        <w:rPr>
          <w:rFonts w:cs="Times New Roman"/>
          <w:snapToGrid w:val="0"/>
          <w:color w:val="000000" w:themeColor="text1"/>
          <w:kern w:val="0"/>
          <w:sz w:val="24"/>
        </w:rPr>
        <w:t>23</w:t>
      </w:r>
      <w:r>
        <w:rPr>
          <w:rFonts w:cs="Times New Roman" w:hint="eastAsia"/>
          <w:snapToGrid w:val="0"/>
          <w:color w:val="000000" w:themeColor="text1"/>
          <w:kern w:val="0"/>
          <w:sz w:val="24"/>
        </w:rPr>
        <w:t>）建造专用的危险废物暂存场所，将危险废物分类收集，并做好相应的记录，同时对暂存间应建设基础防渗设施、防风、防雨、防晒并配备照明设施等，并与厂区内其他生产单元、办公生活区严格区分、单独隔离。危险废物外运采用专门密闭车辆，防止散落和抛洒。对危险废物的转移处理须严格按照国家环境保护部第</w:t>
      </w:r>
      <w:r>
        <w:rPr>
          <w:rFonts w:cs="Times New Roman" w:hint="eastAsia"/>
          <w:snapToGrid w:val="0"/>
          <w:color w:val="000000" w:themeColor="text1"/>
          <w:kern w:val="0"/>
          <w:sz w:val="24"/>
        </w:rPr>
        <w:t>5</w:t>
      </w:r>
      <w:r>
        <w:rPr>
          <w:rFonts w:cs="Times New Roman" w:hint="eastAsia"/>
          <w:snapToGrid w:val="0"/>
          <w:color w:val="000000" w:themeColor="text1"/>
          <w:kern w:val="0"/>
          <w:sz w:val="24"/>
        </w:rPr>
        <w:t>号令《危险废物转移联单管理办法》执行。</w:t>
      </w:r>
    </w:p>
    <w:p w:rsidR="00644456" w:rsidRDefault="008031C4">
      <w:pPr>
        <w:spacing w:line="360" w:lineRule="auto"/>
        <w:ind w:firstLineChars="200" w:firstLine="480"/>
        <w:rPr>
          <w:rFonts w:cs="Times New Roman"/>
          <w:snapToGrid w:val="0"/>
          <w:color w:val="000000" w:themeColor="text1"/>
          <w:kern w:val="0"/>
          <w:sz w:val="24"/>
        </w:rPr>
      </w:pPr>
      <w:r>
        <w:rPr>
          <w:rFonts w:cs="Times New Roman" w:hint="eastAsia"/>
          <w:snapToGrid w:val="0"/>
          <w:color w:val="000000" w:themeColor="text1"/>
          <w:kern w:val="0"/>
          <w:sz w:val="24"/>
        </w:rPr>
        <w:t>本项目各类固废均可以得到妥善处置，固体废物不会对环境产生明显影响。</w:t>
      </w:r>
    </w:p>
    <w:p w:rsidR="00644456" w:rsidRDefault="008031C4">
      <w:pPr>
        <w:pStyle w:val="3"/>
        <w:numPr>
          <w:ilvl w:val="2"/>
          <w:numId w:val="0"/>
        </w:numPr>
        <w:ind w:firstLineChars="200" w:firstLine="482"/>
      </w:pPr>
      <w:bookmarkStart w:id="422" w:name="_Toc259776378"/>
      <w:bookmarkStart w:id="423" w:name="_Toc298771626"/>
      <w:bookmarkStart w:id="424" w:name="_Toc249156209"/>
      <w:r>
        <w:rPr>
          <w:rFonts w:hint="eastAsia"/>
        </w:rPr>
        <w:t>6.2.6</w:t>
      </w:r>
      <w:r>
        <w:rPr>
          <w:rFonts w:hint="eastAsia"/>
        </w:rPr>
        <w:t>风险防范措施</w:t>
      </w:r>
      <w:bookmarkEnd w:id="422"/>
      <w:bookmarkEnd w:id="423"/>
      <w:bookmarkEnd w:id="424"/>
    </w:p>
    <w:p w:rsidR="00644456" w:rsidRDefault="008031C4">
      <w:pPr>
        <w:widowControl/>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6.2</w:t>
      </w:r>
      <w:r>
        <w:rPr>
          <w:rFonts w:cs="Times New Roman" w:hint="eastAsia"/>
          <w:b/>
          <w:color w:val="000000" w:themeColor="text1"/>
          <w:sz w:val="24"/>
          <w:szCs w:val="20"/>
        </w:rPr>
        <w:noBreakHyphen/>
        <w:t>1</w:t>
      </w:r>
      <w:r>
        <w:rPr>
          <w:rFonts w:cs="Times New Roman" w:hint="eastAsia"/>
          <w:b/>
          <w:color w:val="000000" w:themeColor="text1"/>
          <w:sz w:val="24"/>
          <w:szCs w:val="20"/>
        </w:rPr>
        <w:t>环境风险管理措施一览表</w:t>
      </w:r>
    </w:p>
    <w:tbl>
      <w:tblPr>
        <w:tblW w:w="4869"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53"/>
        <w:gridCol w:w="7536"/>
      </w:tblGrid>
      <w:tr w:rsidR="007B7F59" w:rsidTr="007B7F59">
        <w:trPr>
          <w:trHeight w:val="90"/>
          <w:jc w:val="center"/>
        </w:trPr>
        <w:tc>
          <w:tcPr>
            <w:tcW w:w="713" w:type="pct"/>
            <w:shd w:val="clear" w:color="auto" w:fill="auto"/>
            <w:vAlign w:val="center"/>
          </w:tcPr>
          <w:p w:rsidR="007B7F59" w:rsidRDefault="007B7F59">
            <w:pPr>
              <w:adjustRightInd w:val="0"/>
              <w:snapToGrid w:val="0"/>
              <w:jc w:val="center"/>
              <w:rPr>
                <w:rFonts w:cs="Times New Roman"/>
                <w:b/>
                <w:bCs/>
                <w:color w:val="000000" w:themeColor="text1"/>
              </w:rPr>
            </w:pPr>
            <w:bookmarkStart w:id="425" w:name="_Toc515296170"/>
            <w:bookmarkStart w:id="426" w:name="_Toc511229050"/>
            <w:r>
              <w:rPr>
                <w:rFonts w:cs="Times New Roman"/>
                <w:b/>
                <w:bCs/>
                <w:color w:val="000000" w:themeColor="text1"/>
              </w:rPr>
              <w:t>分类</w:t>
            </w:r>
          </w:p>
        </w:tc>
        <w:tc>
          <w:tcPr>
            <w:tcW w:w="4287" w:type="pct"/>
            <w:shd w:val="clear" w:color="auto" w:fill="auto"/>
            <w:vAlign w:val="center"/>
          </w:tcPr>
          <w:p w:rsidR="007B7F59" w:rsidRDefault="007B7F59">
            <w:pPr>
              <w:adjustRightInd w:val="0"/>
              <w:snapToGrid w:val="0"/>
              <w:jc w:val="center"/>
              <w:rPr>
                <w:rFonts w:cs="Times New Roman"/>
                <w:b/>
                <w:bCs/>
                <w:color w:val="000000" w:themeColor="text1"/>
              </w:rPr>
            </w:pPr>
            <w:r>
              <w:rPr>
                <w:rFonts w:cs="Times New Roman"/>
                <w:b/>
                <w:bCs/>
                <w:color w:val="000000" w:themeColor="text1"/>
              </w:rPr>
              <w:t>风险防范措施</w:t>
            </w:r>
          </w:p>
        </w:tc>
      </w:tr>
      <w:tr w:rsidR="007B7F59" w:rsidTr="007B7F59">
        <w:trPr>
          <w:jc w:val="center"/>
        </w:trPr>
        <w:tc>
          <w:tcPr>
            <w:tcW w:w="713" w:type="pct"/>
            <w:shd w:val="clear" w:color="auto" w:fill="auto"/>
            <w:vAlign w:val="center"/>
          </w:tcPr>
          <w:p w:rsidR="007B7F59" w:rsidRDefault="007B7F59">
            <w:pPr>
              <w:adjustRightInd w:val="0"/>
              <w:snapToGrid w:val="0"/>
              <w:jc w:val="center"/>
              <w:rPr>
                <w:rFonts w:cs="Times New Roman"/>
                <w:color w:val="000000" w:themeColor="text1"/>
              </w:rPr>
            </w:pPr>
            <w:r>
              <w:rPr>
                <w:rFonts w:cs="Times New Roman"/>
                <w:color w:val="000000" w:themeColor="text1"/>
              </w:rPr>
              <w:t>总体布置</w:t>
            </w:r>
          </w:p>
        </w:tc>
        <w:tc>
          <w:tcPr>
            <w:tcW w:w="4287" w:type="pct"/>
            <w:shd w:val="clear" w:color="auto" w:fill="auto"/>
            <w:vAlign w:val="center"/>
          </w:tcPr>
          <w:p w:rsidR="007B7F59" w:rsidRDefault="007B7F59">
            <w:pPr>
              <w:adjustRightInd w:val="0"/>
              <w:snapToGrid w:val="0"/>
              <w:jc w:val="center"/>
              <w:rPr>
                <w:rFonts w:cs="Times New Roman"/>
                <w:color w:val="000000" w:themeColor="text1"/>
              </w:rPr>
            </w:pPr>
            <w:r>
              <w:rPr>
                <w:rFonts w:cs="Times New Roman"/>
                <w:color w:val="000000" w:themeColor="text1"/>
              </w:rPr>
              <w:t>合理布置总图，综合考虑风向、安全防护、消防等因素</w:t>
            </w:r>
          </w:p>
        </w:tc>
      </w:tr>
      <w:tr w:rsidR="007B7F59" w:rsidTr="007B7F59">
        <w:trPr>
          <w:jc w:val="center"/>
        </w:trPr>
        <w:tc>
          <w:tcPr>
            <w:tcW w:w="713" w:type="pct"/>
            <w:shd w:val="clear" w:color="auto" w:fill="auto"/>
            <w:vAlign w:val="center"/>
          </w:tcPr>
          <w:p w:rsidR="007B7F59" w:rsidRDefault="007B7F59">
            <w:pPr>
              <w:adjustRightInd w:val="0"/>
              <w:snapToGrid w:val="0"/>
              <w:jc w:val="center"/>
              <w:rPr>
                <w:rFonts w:cs="Times New Roman"/>
                <w:color w:val="000000" w:themeColor="text1"/>
              </w:rPr>
            </w:pPr>
            <w:r>
              <w:rPr>
                <w:rFonts w:cs="Times New Roman"/>
                <w:color w:val="000000" w:themeColor="text1"/>
              </w:rPr>
              <w:t>建筑结构</w:t>
            </w:r>
          </w:p>
        </w:tc>
        <w:tc>
          <w:tcPr>
            <w:tcW w:w="4287" w:type="pct"/>
            <w:shd w:val="clear" w:color="auto" w:fill="auto"/>
            <w:vAlign w:val="center"/>
          </w:tcPr>
          <w:p w:rsidR="007B7F59" w:rsidRDefault="007B7F59">
            <w:pPr>
              <w:adjustRightInd w:val="0"/>
              <w:snapToGrid w:val="0"/>
              <w:jc w:val="center"/>
              <w:rPr>
                <w:rFonts w:cs="Times New Roman"/>
                <w:color w:val="000000" w:themeColor="text1"/>
              </w:rPr>
            </w:pPr>
            <w:r>
              <w:rPr>
                <w:rFonts w:cs="Times New Roman"/>
                <w:color w:val="000000" w:themeColor="text1"/>
              </w:rPr>
              <w:t>厂房按不同的防火等级和生产特性进行设计，局部设置机械通风设施，加强通风排气。</w:t>
            </w:r>
          </w:p>
        </w:tc>
      </w:tr>
      <w:tr w:rsidR="007B7F59" w:rsidTr="007B7F59">
        <w:trPr>
          <w:jc w:val="center"/>
        </w:trPr>
        <w:tc>
          <w:tcPr>
            <w:tcW w:w="713" w:type="pct"/>
            <w:shd w:val="clear" w:color="auto" w:fill="auto"/>
            <w:vAlign w:val="center"/>
          </w:tcPr>
          <w:p w:rsidR="007B7F59" w:rsidRDefault="007B7F59">
            <w:pPr>
              <w:adjustRightInd w:val="0"/>
              <w:snapToGrid w:val="0"/>
              <w:jc w:val="center"/>
              <w:rPr>
                <w:rFonts w:cs="Times New Roman"/>
                <w:color w:val="000000" w:themeColor="text1"/>
              </w:rPr>
            </w:pPr>
            <w:r>
              <w:rPr>
                <w:rFonts w:cs="Times New Roman"/>
                <w:color w:val="000000" w:themeColor="text1"/>
              </w:rPr>
              <w:t>防火防爆风险防范措施</w:t>
            </w:r>
          </w:p>
        </w:tc>
        <w:tc>
          <w:tcPr>
            <w:tcW w:w="4287" w:type="pct"/>
            <w:shd w:val="clear" w:color="auto" w:fill="auto"/>
            <w:vAlign w:val="center"/>
          </w:tcPr>
          <w:p w:rsidR="007B7F59" w:rsidRDefault="007B7F59">
            <w:pPr>
              <w:adjustRightInd w:val="0"/>
              <w:snapToGrid w:val="0"/>
              <w:jc w:val="center"/>
              <w:rPr>
                <w:rFonts w:cs="Times New Roman"/>
                <w:color w:val="000000" w:themeColor="text1"/>
              </w:rPr>
            </w:pPr>
            <w:r>
              <w:rPr>
                <w:rFonts w:cs="Times New Roman"/>
                <w:color w:val="000000" w:themeColor="text1"/>
              </w:rPr>
              <w:t>严格按照</w:t>
            </w:r>
            <w:r>
              <w:rPr>
                <w:rFonts w:cs="Times New Roman"/>
                <w:color w:val="000000" w:themeColor="text1"/>
              </w:rPr>
              <w:t>“</w:t>
            </w:r>
            <w:r>
              <w:rPr>
                <w:rFonts w:cs="Times New Roman"/>
                <w:color w:val="000000" w:themeColor="text1"/>
              </w:rPr>
              <w:t>安全生产操作规程</w:t>
            </w:r>
            <w:r>
              <w:rPr>
                <w:rFonts w:cs="Times New Roman"/>
                <w:color w:val="000000" w:themeColor="text1"/>
              </w:rPr>
              <w:t>”</w:t>
            </w:r>
            <w:r>
              <w:rPr>
                <w:rFonts w:cs="Times New Roman"/>
                <w:color w:val="000000" w:themeColor="text1"/>
              </w:rPr>
              <w:t>要求，加强工艺控制与设备的维护维修管理；严禁人员无故逗留，控制防范因爆炸事故引起的次生环境风险；</w:t>
            </w:r>
          </w:p>
        </w:tc>
      </w:tr>
      <w:tr w:rsidR="007B7F59" w:rsidTr="007B7F59">
        <w:trPr>
          <w:jc w:val="center"/>
        </w:trPr>
        <w:tc>
          <w:tcPr>
            <w:tcW w:w="713" w:type="pct"/>
            <w:shd w:val="clear" w:color="auto" w:fill="auto"/>
            <w:vAlign w:val="center"/>
          </w:tcPr>
          <w:p w:rsidR="007B7F59" w:rsidRDefault="007B7F59">
            <w:pPr>
              <w:adjustRightInd w:val="0"/>
              <w:snapToGrid w:val="0"/>
              <w:jc w:val="center"/>
              <w:rPr>
                <w:rFonts w:cs="Times New Roman"/>
                <w:color w:val="000000" w:themeColor="text1"/>
              </w:rPr>
            </w:pPr>
            <w:r>
              <w:rPr>
                <w:rFonts w:cs="Times New Roman"/>
                <w:color w:val="000000" w:themeColor="text1"/>
              </w:rPr>
              <w:t>事故废水泄漏</w:t>
            </w:r>
          </w:p>
        </w:tc>
        <w:tc>
          <w:tcPr>
            <w:tcW w:w="4287" w:type="pct"/>
            <w:shd w:val="clear" w:color="auto" w:fill="auto"/>
            <w:vAlign w:val="center"/>
          </w:tcPr>
          <w:p w:rsidR="007B7F59" w:rsidRPr="007B7F59" w:rsidRDefault="007B7F59">
            <w:pPr>
              <w:numPr>
                <w:ilvl w:val="0"/>
                <w:numId w:val="9"/>
              </w:numPr>
              <w:adjustRightInd w:val="0"/>
              <w:snapToGrid w:val="0"/>
              <w:jc w:val="center"/>
              <w:rPr>
                <w:rFonts w:cs="Times New Roman"/>
                <w:color w:val="FF0000"/>
                <w:szCs w:val="21"/>
              </w:rPr>
            </w:pPr>
            <w:r w:rsidRPr="007B7F59">
              <w:rPr>
                <w:rFonts w:cs="Times New Roman"/>
                <w:color w:val="FF0000"/>
                <w:szCs w:val="21"/>
              </w:rPr>
              <w:t>雨污分流，废水经处理后</w:t>
            </w:r>
            <w:r w:rsidRPr="007B7F59">
              <w:rPr>
                <w:rFonts w:cs="Times New Roman" w:hint="eastAsia"/>
                <w:color w:val="FF0000"/>
                <w:szCs w:val="21"/>
              </w:rPr>
              <w:t>部分</w:t>
            </w:r>
            <w:r w:rsidRPr="007B7F59">
              <w:rPr>
                <w:rFonts w:cs="Times New Roman"/>
                <w:color w:val="FF0000"/>
                <w:szCs w:val="21"/>
              </w:rPr>
              <w:t>回用，</w:t>
            </w:r>
            <w:r w:rsidRPr="007B7F59">
              <w:rPr>
                <w:rFonts w:cs="Times New Roman" w:hint="eastAsia"/>
                <w:color w:val="FF0000"/>
                <w:szCs w:val="21"/>
              </w:rPr>
              <w:t>其余</w:t>
            </w:r>
            <w:r w:rsidRPr="007B7F59">
              <w:rPr>
                <w:rFonts w:cs="Times New Roman"/>
                <w:color w:val="FF0000"/>
                <w:szCs w:val="21"/>
              </w:rPr>
              <w:t>外排。</w:t>
            </w:r>
          </w:p>
          <w:p w:rsidR="007B7F59" w:rsidRDefault="007B7F59">
            <w:pPr>
              <w:numPr>
                <w:ilvl w:val="0"/>
                <w:numId w:val="9"/>
              </w:numPr>
              <w:adjustRightInd w:val="0"/>
              <w:snapToGrid w:val="0"/>
              <w:jc w:val="center"/>
              <w:rPr>
                <w:rFonts w:cs="Times New Roman"/>
                <w:color w:val="000000" w:themeColor="text1"/>
              </w:rPr>
            </w:pPr>
            <w:r w:rsidRPr="007B7F59">
              <w:rPr>
                <w:rFonts w:cs="Times New Roman"/>
                <w:color w:val="FF0000"/>
                <w:szCs w:val="21"/>
              </w:rPr>
              <w:t>设置有</w:t>
            </w:r>
            <w:r w:rsidRPr="007B7F59">
              <w:rPr>
                <w:rFonts w:cs="Times New Roman"/>
                <w:color w:val="FF0000"/>
                <w:szCs w:val="21"/>
              </w:rPr>
              <w:t>1</w:t>
            </w:r>
            <w:r w:rsidRPr="007B7F59">
              <w:rPr>
                <w:rFonts w:cs="Times New Roman"/>
                <w:color w:val="FF0000"/>
                <w:szCs w:val="21"/>
              </w:rPr>
              <w:t>个</w:t>
            </w:r>
            <w:r w:rsidR="00AC71A6">
              <w:rPr>
                <w:rFonts w:cs="Times New Roman"/>
                <w:color w:val="FF0000"/>
                <w:szCs w:val="21"/>
              </w:rPr>
              <w:t>7</w:t>
            </w:r>
            <w:r w:rsidRPr="007B7F59">
              <w:rPr>
                <w:rFonts w:cs="Times New Roman"/>
                <w:color w:val="FF0000"/>
                <w:szCs w:val="21"/>
              </w:rPr>
              <w:t>00m</w:t>
            </w:r>
            <w:r w:rsidRPr="007B7F59">
              <w:rPr>
                <w:rFonts w:cs="Times New Roman"/>
                <w:color w:val="FF0000"/>
                <w:szCs w:val="21"/>
                <w:vertAlign w:val="superscript"/>
              </w:rPr>
              <w:t>3</w:t>
            </w:r>
            <w:r w:rsidRPr="007B7F59">
              <w:rPr>
                <w:rFonts w:cs="Times New Roman"/>
                <w:color w:val="FF0000"/>
                <w:szCs w:val="21"/>
              </w:rPr>
              <w:t>事故废水收集池，</w:t>
            </w:r>
            <w:r w:rsidRPr="007B7F59">
              <w:rPr>
                <w:rFonts w:cs="Times New Roman" w:hint="eastAsia"/>
                <w:color w:val="FF0000"/>
                <w:szCs w:val="21"/>
              </w:rPr>
              <w:t>并且新建</w:t>
            </w:r>
            <w:r w:rsidRPr="007B7F59">
              <w:rPr>
                <w:rFonts w:cs="Times New Roman" w:hint="eastAsia"/>
                <w:color w:val="FF0000"/>
                <w:szCs w:val="21"/>
              </w:rPr>
              <w:t>3</w:t>
            </w:r>
            <w:r w:rsidRPr="007B7F59">
              <w:rPr>
                <w:rFonts w:cs="Times New Roman"/>
                <w:color w:val="FF0000"/>
                <w:szCs w:val="21"/>
              </w:rPr>
              <w:t>00 m</w:t>
            </w:r>
            <w:r w:rsidRPr="007B7F59">
              <w:rPr>
                <w:rFonts w:cs="Times New Roman"/>
                <w:color w:val="FF0000"/>
                <w:szCs w:val="21"/>
                <w:vertAlign w:val="superscript"/>
              </w:rPr>
              <w:t>3</w:t>
            </w:r>
            <w:r w:rsidRPr="007B7F59">
              <w:rPr>
                <w:rFonts w:cs="Times New Roman" w:hint="eastAsia"/>
                <w:color w:val="FF0000"/>
                <w:szCs w:val="21"/>
              </w:rPr>
              <w:t>初期雨水池，</w:t>
            </w:r>
            <w:r w:rsidRPr="007B7F59">
              <w:rPr>
                <w:rFonts w:cs="Times New Roman"/>
                <w:color w:val="FF0000"/>
                <w:szCs w:val="21"/>
              </w:rPr>
              <w:t>初期雨水及</w:t>
            </w:r>
            <w:r w:rsidRPr="007B7F59">
              <w:rPr>
                <w:rFonts w:cs="Times New Roman"/>
                <w:color w:val="FF0000"/>
                <w:szCs w:val="21"/>
              </w:rPr>
              <w:lastRenderedPageBreak/>
              <w:t>事故废水的收集，废水总排口前设置事故废水封堵设施。</w:t>
            </w:r>
          </w:p>
        </w:tc>
      </w:tr>
      <w:tr w:rsidR="007B7F59" w:rsidTr="007B7F59">
        <w:trPr>
          <w:jc w:val="center"/>
        </w:trPr>
        <w:tc>
          <w:tcPr>
            <w:tcW w:w="713" w:type="pct"/>
            <w:shd w:val="clear" w:color="auto" w:fill="auto"/>
            <w:vAlign w:val="center"/>
          </w:tcPr>
          <w:p w:rsidR="007B7F59" w:rsidRDefault="007B7F59">
            <w:pPr>
              <w:adjustRightInd w:val="0"/>
              <w:snapToGrid w:val="0"/>
              <w:jc w:val="center"/>
              <w:rPr>
                <w:rFonts w:cs="Times New Roman"/>
                <w:color w:val="000000" w:themeColor="text1"/>
              </w:rPr>
            </w:pPr>
            <w:r>
              <w:rPr>
                <w:rFonts w:cs="Times New Roman"/>
                <w:color w:val="000000" w:themeColor="text1"/>
              </w:rPr>
              <w:lastRenderedPageBreak/>
              <w:t>大气环境风险事故防范措施</w:t>
            </w:r>
          </w:p>
        </w:tc>
        <w:tc>
          <w:tcPr>
            <w:tcW w:w="4287" w:type="pct"/>
            <w:shd w:val="clear" w:color="auto" w:fill="auto"/>
            <w:vAlign w:val="center"/>
          </w:tcPr>
          <w:p w:rsidR="007B7F59" w:rsidRDefault="007B7F59">
            <w:pPr>
              <w:adjustRightInd w:val="0"/>
              <w:snapToGrid w:val="0"/>
              <w:jc w:val="center"/>
              <w:rPr>
                <w:rFonts w:cs="Times New Roman"/>
                <w:color w:val="000000" w:themeColor="text1"/>
              </w:rPr>
            </w:pPr>
            <w:r>
              <w:rPr>
                <w:rFonts w:cs="Times New Roman"/>
                <w:color w:val="000000" w:themeColor="text1"/>
              </w:rPr>
              <w:t>废气处理系统设施设置为双电源，安装</w:t>
            </w:r>
            <w:r>
              <w:rPr>
                <w:rFonts w:cs="Times New Roman"/>
                <w:color w:val="000000" w:themeColor="text1"/>
              </w:rPr>
              <w:t>DCS</w:t>
            </w:r>
            <w:r>
              <w:rPr>
                <w:rFonts w:cs="Times New Roman"/>
                <w:color w:val="000000" w:themeColor="text1"/>
              </w:rPr>
              <w:t>控制系统，出现事故排放时，应立即检查原因，排除安全隐患，若短时间内不能排除故障，应停产检修。</w:t>
            </w:r>
          </w:p>
        </w:tc>
      </w:tr>
      <w:tr w:rsidR="007B7F59" w:rsidTr="007B7F59">
        <w:trPr>
          <w:jc w:val="center"/>
        </w:trPr>
        <w:tc>
          <w:tcPr>
            <w:tcW w:w="713" w:type="pct"/>
            <w:shd w:val="clear" w:color="auto" w:fill="auto"/>
            <w:vAlign w:val="center"/>
          </w:tcPr>
          <w:p w:rsidR="007B7F59" w:rsidRDefault="007B7F59">
            <w:pPr>
              <w:adjustRightInd w:val="0"/>
              <w:snapToGrid w:val="0"/>
              <w:jc w:val="center"/>
              <w:rPr>
                <w:rFonts w:cs="Times New Roman"/>
                <w:color w:val="000000" w:themeColor="text1"/>
              </w:rPr>
            </w:pPr>
            <w:r>
              <w:rPr>
                <w:rFonts w:cs="Times New Roman"/>
                <w:color w:val="000000" w:themeColor="text1"/>
              </w:rPr>
              <w:t>环境影响监控措施</w:t>
            </w:r>
          </w:p>
        </w:tc>
        <w:tc>
          <w:tcPr>
            <w:tcW w:w="4287" w:type="pct"/>
            <w:shd w:val="clear" w:color="auto" w:fill="auto"/>
            <w:vAlign w:val="center"/>
          </w:tcPr>
          <w:p w:rsidR="007B7F59" w:rsidRDefault="007B7F59">
            <w:pPr>
              <w:adjustRightInd w:val="0"/>
              <w:snapToGrid w:val="0"/>
              <w:jc w:val="center"/>
              <w:rPr>
                <w:rFonts w:cs="Times New Roman"/>
                <w:color w:val="000000" w:themeColor="text1"/>
              </w:rPr>
            </w:pPr>
            <w:r>
              <w:rPr>
                <w:rFonts w:cs="Times New Roman"/>
                <w:color w:val="000000" w:themeColor="text1"/>
              </w:rPr>
              <w:t>分别在上风向厂界处和下风向厂界处设置监控点。</w:t>
            </w:r>
          </w:p>
        </w:tc>
      </w:tr>
      <w:tr w:rsidR="007B7F59" w:rsidTr="007B7F59">
        <w:trPr>
          <w:jc w:val="center"/>
        </w:trPr>
        <w:tc>
          <w:tcPr>
            <w:tcW w:w="713" w:type="pct"/>
            <w:shd w:val="clear" w:color="auto" w:fill="auto"/>
            <w:vAlign w:val="center"/>
          </w:tcPr>
          <w:p w:rsidR="007B7F59" w:rsidRDefault="007B7F59">
            <w:pPr>
              <w:adjustRightInd w:val="0"/>
              <w:snapToGrid w:val="0"/>
              <w:jc w:val="center"/>
              <w:rPr>
                <w:rFonts w:cs="Times New Roman"/>
                <w:color w:val="000000" w:themeColor="text1"/>
              </w:rPr>
            </w:pPr>
            <w:r>
              <w:rPr>
                <w:rFonts w:cs="Times New Roman"/>
                <w:color w:val="000000" w:themeColor="text1"/>
              </w:rPr>
              <w:t>强化管理及安全生产措施</w:t>
            </w:r>
          </w:p>
        </w:tc>
        <w:tc>
          <w:tcPr>
            <w:tcW w:w="4287" w:type="pct"/>
            <w:shd w:val="clear" w:color="auto" w:fill="auto"/>
            <w:vAlign w:val="center"/>
          </w:tcPr>
          <w:p w:rsidR="007B7F59" w:rsidRDefault="007B7F59">
            <w:pPr>
              <w:adjustRightInd w:val="0"/>
              <w:snapToGrid w:val="0"/>
              <w:jc w:val="center"/>
              <w:rPr>
                <w:rFonts w:cs="Times New Roman"/>
                <w:color w:val="000000" w:themeColor="text1"/>
              </w:rPr>
            </w:pPr>
            <w:r>
              <w:rPr>
                <w:rFonts w:cs="Times New Roman"/>
                <w:color w:val="000000" w:themeColor="text1"/>
              </w:rPr>
              <w:t>强化安全生产管理、安全生产及环境保护意识教育；建立健全环保及安全管理部门，该部门应加强监督检查；经常检查安全消防设施的完好性；强化个人劳动防护。</w:t>
            </w:r>
          </w:p>
        </w:tc>
      </w:tr>
      <w:tr w:rsidR="007B7F59" w:rsidTr="007B7F59">
        <w:trPr>
          <w:jc w:val="center"/>
        </w:trPr>
        <w:tc>
          <w:tcPr>
            <w:tcW w:w="713" w:type="pct"/>
            <w:shd w:val="clear" w:color="auto" w:fill="auto"/>
            <w:vAlign w:val="center"/>
          </w:tcPr>
          <w:p w:rsidR="007B7F59" w:rsidRDefault="007B7F59">
            <w:pPr>
              <w:adjustRightInd w:val="0"/>
              <w:snapToGrid w:val="0"/>
              <w:jc w:val="center"/>
              <w:rPr>
                <w:rFonts w:cs="Times New Roman"/>
                <w:color w:val="000000" w:themeColor="text1"/>
              </w:rPr>
            </w:pPr>
            <w:r>
              <w:rPr>
                <w:rFonts w:cs="Times New Roman"/>
                <w:color w:val="000000" w:themeColor="text1"/>
              </w:rPr>
              <w:t>物料储存环境风险防范</w:t>
            </w:r>
          </w:p>
        </w:tc>
        <w:tc>
          <w:tcPr>
            <w:tcW w:w="4287" w:type="pct"/>
            <w:shd w:val="clear" w:color="auto" w:fill="auto"/>
            <w:vAlign w:val="center"/>
          </w:tcPr>
          <w:p w:rsidR="007B7F59" w:rsidRDefault="007B7F59">
            <w:pPr>
              <w:adjustRightInd w:val="0"/>
              <w:snapToGrid w:val="0"/>
              <w:jc w:val="center"/>
              <w:rPr>
                <w:rFonts w:cs="Times New Roman"/>
                <w:color w:val="000000" w:themeColor="text1"/>
              </w:rPr>
            </w:pPr>
            <w:r>
              <w:rPr>
                <w:rFonts w:cs="Times New Roman"/>
                <w:color w:val="000000" w:themeColor="text1"/>
              </w:rPr>
              <w:t>危险废物须与一般物料分开贮存，化学品库地面、门槛或围堰必须进行防腐、防渗处理；保持阴凉、干燥、通风良好，远离火种、热源，库温不宜超过</w:t>
            </w:r>
            <w:r>
              <w:rPr>
                <w:rFonts w:cs="Times New Roman"/>
                <w:color w:val="000000" w:themeColor="text1"/>
              </w:rPr>
              <w:t>25℃</w:t>
            </w:r>
            <w:r>
              <w:rPr>
                <w:rFonts w:cs="Times New Roman"/>
                <w:color w:val="000000" w:themeColor="text1"/>
              </w:rPr>
              <w:t>，附近应备有用于少量泄漏时吸附或吸收的材料；贮存期内应定期检查。</w:t>
            </w:r>
          </w:p>
        </w:tc>
      </w:tr>
      <w:tr w:rsidR="007B7F59" w:rsidTr="007B7F59">
        <w:trPr>
          <w:jc w:val="center"/>
        </w:trPr>
        <w:tc>
          <w:tcPr>
            <w:tcW w:w="713" w:type="pct"/>
            <w:shd w:val="clear" w:color="auto" w:fill="auto"/>
            <w:vAlign w:val="center"/>
          </w:tcPr>
          <w:p w:rsidR="007B7F59" w:rsidRDefault="007B7F59">
            <w:pPr>
              <w:adjustRightInd w:val="0"/>
              <w:snapToGrid w:val="0"/>
              <w:jc w:val="center"/>
              <w:rPr>
                <w:rFonts w:cs="Times New Roman"/>
                <w:color w:val="000000" w:themeColor="text1"/>
              </w:rPr>
            </w:pPr>
            <w:r>
              <w:rPr>
                <w:rFonts w:cs="Times New Roman"/>
                <w:color w:val="000000" w:themeColor="text1"/>
              </w:rPr>
              <w:t>地下水环境风险防范措施</w:t>
            </w:r>
          </w:p>
        </w:tc>
        <w:tc>
          <w:tcPr>
            <w:tcW w:w="4287" w:type="pct"/>
            <w:shd w:val="clear" w:color="auto" w:fill="auto"/>
            <w:vAlign w:val="center"/>
          </w:tcPr>
          <w:p w:rsidR="007B7F59" w:rsidRDefault="007B7F59">
            <w:pPr>
              <w:adjustRightInd w:val="0"/>
              <w:snapToGrid w:val="0"/>
              <w:jc w:val="center"/>
              <w:rPr>
                <w:rFonts w:cs="Times New Roman"/>
                <w:color w:val="000000" w:themeColor="text1"/>
                <w:szCs w:val="21"/>
              </w:rPr>
            </w:pPr>
            <w:r>
              <w:rPr>
                <w:rFonts w:cs="Times New Roman"/>
                <w:color w:val="000000" w:themeColor="text1"/>
                <w:szCs w:val="21"/>
              </w:rPr>
              <w:t>（</w:t>
            </w:r>
            <w:r>
              <w:rPr>
                <w:rFonts w:cs="Times New Roman"/>
                <w:color w:val="000000" w:themeColor="text1"/>
                <w:szCs w:val="21"/>
              </w:rPr>
              <w:t>1</w:t>
            </w:r>
            <w:r>
              <w:rPr>
                <w:rFonts w:cs="Times New Roman"/>
                <w:color w:val="000000" w:themeColor="text1"/>
                <w:szCs w:val="21"/>
              </w:rPr>
              <w:t>）源头控制措施</w:t>
            </w:r>
          </w:p>
          <w:p w:rsidR="007B7F59" w:rsidRDefault="007B7F59">
            <w:pPr>
              <w:adjustRightInd w:val="0"/>
              <w:snapToGrid w:val="0"/>
              <w:jc w:val="center"/>
              <w:rPr>
                <w:rFonts w:cs="Times New Roman"/>
                <w:color w:val="000000" w:themeColor="text1"/>
                <w:szCs w:val="21"/>
              </w:rPr>
            </w:pPr>
            <w:r>
              <w:rPr>
                <w:rFonts w:cs="Times New Roman"/>
                <w:color w:val="000000" w:themeColor="text1"/>
                <w:szCs w:val="21"/>
              </w:rPr>
              <w:t>本项目污染源头控制主要包括实施清洁生产及各类废物及污水的循环利用，减少污染物、废污水的产生量及排放量。</w:t>
            </w:r>
          </w:p>
          <w:p w:rsidR="007B7F59" w:rsidRDefault="007B7F59">
            <w:pPr>
              <w:adjustRightInd w:val="0"/>
              <w:snapToGrid w:val="0"/>
              <w:jc w:val="center"/>
              <w:rPr>
                <w:rFonts w:cs="Times New Roman"/>
                <w:color w:val="000000" w:themeColor="text1"/>
                <w:szCs w:val="21"/>
              </w:rPr>
            </w:pPr>
            <w:r>
              <w:rPr>
                <w:rFonts w:cs="Times New Roman"/>
                <w:color w:val="000000" w:themeColor="text1"/>
                <w:szCs w:val="21"/>
              </w:rPr>
              <w:t>（</w:t>
            </w:r>
            <w:r>
              <w:rPr>
                <w:rFonts w:cs="Times New Roman"/>
                <w:color w:val="000000" w:themeColor="text1"/>
                <w:szCs w:val="21"/>
              </w:rPr>
              <w:t>2</w:t>
            </w:r>
            <w:r>
              <w:rPr>
                <w:rFonts w:cs="Times New Roman"/>
                <w:color w:val="000000" w:themeColor="text1"/>
                <w:szCs w:val="21"/>
              </w:rPr>
              <w:t>）分区防渗措施</w:t>
            </w:r>
          </w:p>
          <w:p w:rsidR="007B7F59" w:rsidRDefault="007B7F59">
            <w:pPr>
              <w:adjustRightInd w:val="0"/>
              <w:snapToGrid w:val="0"/>
              <w:jc w:val="center"/>
              <w:rPr>
                <w:rFonts w:cs="Times New Roman"/>
                <w:color w:val="000000" w:themeColor="text1"/>
                <w:szCs w:val="21"/>
              </w:rPr>
            </w:pPr>
            <w:r>
              <w:rPr>
                <w:rFonts w:cs="Times New Roman"/>
                <w:color w:val="000000" w:themeColor="text1"/>
                <w:szCs w:val="21"/>
              </w:rPr>
              <w:t>为防止项目运行期生产废水下渗污染地下水，根据满足《危险废物贮存污染控制标准》（</w:t>
            </w:r>
            <w:r>
              <w:rPr>
                <w:rFonts w:cs="Times New Roman"/>
                <w:color w:val="000000" w:themeColor="text1"/>
                <w:szCs w:val="21"/>
              </w:rPr>
              <w:t>GB18597-2023</w:t>
            </w:r>
            <w:r>
              <w:rPr>
                <w:rFonts w:cs="Times New Roman"/>
                <w:color w:val="000000" w:themeColor="text1"/>
                <w:szCs w:val="21"/>
              </w:rPr>
              <w:t>）、《一般工业固体废物贮存和填埋污染控制标准》（</w:t>
            </w:r>
            <w:r>
              <w:rPr>
                <w:rFonts w:cs="Times New Roman"/>
                <w:color w:val="000000" w:themeColor="text1"/>
                <w:szCs w:val="21"/>
              </w:rPr>
              <w:t>GB18599-2020</w:t>
            </w:r>
            <w:r>
              <w:rPr>
                <w:rFonts w:cs="Times New Roman"/>
                <w:color w:val="000000" w:themeColor="text1"/>
                <w:szCs w:val="21"/>
              </w:rPr>
              <w:t>）及《环境影响评价技术导则</w:t>
            </w:r>
            <w:r>
              <w:rPr>
                <w:rFonts w:cs="Times New Roman"/>
                <w:color w:val="000000" w:themeColor="text1"/>
                <w:szCs w:val="21"/>
              </w:rPr>
              <w:t>-</w:t>
            </w:r>
            <w:r>
              <w:rPr>
                <w:rFonts w:cs="Times New Roman"/>
                <w:color w:val="000000" w:themeColor="text1"/>
                <w:szCs w:val="21"/>
              </w:rPr>
              <w:t>地下水环境》（</w:t>
            </w:r>
            <w:r>
              <w:rPr>
                <w:rFonts w:cs="Times New Roman"/>
                <w:color w:val="000000" w:themeColor="text1"/>
                <w:szCs w:val="21"/>
              </w:rPr>
              <w:t>HJ610-2016</w:t>
            </w:r>
            <w:r>
              <w:rPr>
                <w:rFonts w:cs="Times New Roman"/>
                <w:color w:val="000000" w:themeColor="text1"/>
                <w:szCs w:val="21"/>
              </w:rPr>
              <w:t>）的相关要求。</w:t>
            </w:r>
          </w:p>
        </w:tc>
      </w:tr>
      <w:tr w:rsidR="007B7F59" w:rsidTr="007B7F59">
        <w:trPr>
          <w:jc w:val="center"/>
        </w:trPr>
        <w:tc>
          <w:tcPr>
            <w:tcW w:w="5000" w:type="pct"/>
            <w:gridSpan w:val="2"/>
            <w:shd w:val="clear" w:color="auto" w:fill="auto"/>
            <w:vAlign w:val="center"/>
          </w:tcPr>
          <w:p w:rsidR="007B7F59" w:rsidRDefault="007B7F59">
            <w:pPr>
              <w:adjustRightInd w:val="0"/>
              <w:snapToGrid w:val="0"/>
              <w:jc w:val="center"/>
              <w:rPr>
                <w:rFonts w:cs="Times New Roman"/>
                <w:b/>
                <w:bCs/>
                <w:color w:val="000000" w:themeColor="text1"/>
              </w:rPr>
            </w:pPr>
            <w:r>
              <w:rPr>
                <w:rFonts w:cs="Times New Roman"/>
                <w:b/>
                <w:bCs/>
                <w:color w:val="000000" w:themeColor="text1"/>
              </w:rPr>
              <w:t>合计</w:t>
            </w:r>
          </w:p>
        </w:tc>
      </w:tr>
    </w:tbl>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427" w:name="_Toc177216897"/>
      <w:bookmarkStart w:id="428" w:name="_Toc155789389"/>
      <w:r>
        <w:rPr>
          <w:rFonts w:cs="Times New Roman" w:hint="eastAsia"/>
          <w:color w:val="000000" w:themeColor="text1"/>
        </w:rPr>
        <w:t>6.3</w:t>
      </w:r>
      <w:r>
        <w:rPr>
          <w:rFonts w:cs="Times New Roman"/>
          <w:color w:val="000000" w:themeColor="text1"/>
        </w:rPr>
        <w:t>排污口建设</w:t>
      </w:r>
      <w:bookmarkEnd w:id="425"/>
      <w:bookmarkEnd w:id="426"/>
      <w:bookmarkEnd w:id="427"/>
      <w:bookmarkEnd w:id="428"/>
    </w:p>
    <w:p w:rsidR="00644456" w:rsidRDefault="008031C4">
      <w:pPr>
        <w:tabs>
          <w:tab w:val="left" w:pos="0"/>
        </w:tabs>
        <w:autoSpaceDE w:val="0"/>
        <w:autoSpaceDN w:val="0"/>
        <w:adjustRightInd w:val="0"/>
        <w:snapToGrid w:val="0"/>
        <w:spacing w:line="360" w:lineRule="auto"/>
        <w:ind w:right="113" w:firstLine="482"/>
        <w:rPr>
          <w:rFonts w:cs="Times New Roman"/>
          <w:color w:val="000000" w:themeColor="text1"/>
          <w:kern w:val="0"/>
          <w:sz w:val="24"/>
        </w:rPr>
      </w:pPr>
      <w:r>
        <w:rPr>
          <w:rFonts w:cs="Times New Roman"/>
          <w:color w:val="000000" w:themeColor="text1"/>
          <w:kern w:val="0"/>
          <w:sz w:val="24"/>
        </w:rPr>
        <w:t>（</w:t>
      </w:r>
      <w:r>
        <w:rPr>
          <w:rFonts w:cs="Times New Roman"/>
          <w:color w:val="000000" w:themeColor="text1"/>
          <w:kern w:val="0"/>
          <w:sz w:val="24"/>
        </w:rPr>
        <w:t>1</w:t>
      </w:r>
      <w:r>
        <w:rPr>
          <w:rFonts w:cs="Times New Roman"/>
          <w:color w:val="000000" w:themeColor="text1"/>
          <w:kern w:val="0"/>
          <w:sz w:val="24"/>
        </w:rPr>
        <w:t>）按国家有关规定规范化建设各类污染物排放口，并按照《环境保护图形标志</w:t>
      </w:r>
      <w:r>
        <w:rPr>
          <w:rFonts w:cs="Times New Roman"/>
          <w:color w:val="000000" w:themeColor="text1"/>
          <w:kern w:val="0"/>
          <w:sz w:val="24"/>
        </w:rPr>
        <w:t>-</w:t>
      </w:r>
      <w:r>
        <w:rPr>
          <w:rFonts w:cs="Times New Roman"/>
          <w:color w:val="000000" w:themeColor="text1"/>
          <w:kern w:val="0"/>
          <w:sz w:val="24"/>
        </w:rPr>
        <w:t>排放口（源）》（</w:t>
      </w:r>
      <w:r>
        <w:rPr>
          <w:rFonts w:cs="Times New Roman"/>
          <w:color w:val="000000" w:themeColor="text1"/>
          <w:kern w:val="0"/>
          <w:sz w:val="24"/>
        </w:rPr>
        <w:t>GB15562.1-1995</w:t>
      </w:r>
      <w:r>
        <w:rPr>
          <w:rFonts w:cs="Times New Roman"/>
          <w:color w:val="000000" w:themeColor="text1"/>
          <w:kern w:val="0"/>
          <w:sz w:val="24"/>
        </w:rPr>
        <w:t>）、《环境保护图形标志</w:t>
      </w:r>
      <w:r>
        <w:rPr>
          <w:rFonts w:cs="Times New Roman"/>
          <w:color w:val="000000" w:themeColor="text1"/>
          <w:kern w:val="0"/>
          <w:sz w:val="24"/>
        </w:rPr>
        <w:t>-</w:t>
      </w:r>
      <w:r>
        <w:rPr>
          <w:rFonts w:cs="Times New Roman"/>
          <w:color w:val="000000" w:themeColor="text1"/>
          <w:kern w:val="0"/>
          <w:sz w:val="24"/>
        </w:rPr>
        <w:t>固体废物贮存（处置）场》（</w:t>
      </w:r>
      <w:r>
        <w:rPr>
          <w:rFonts w:cs="Times New Roman"/>
          <w:color w:val="000000" w:themeColor="text1"/>
          <w:kern w:val="0"/>
          <w:sz w:val="24"/>
        </w:rPr>
        <w:t>GB15562.2-1995</w:t>
      </w:r>
      <w:r>
        <w:rPr>
          <w:rFonts w:cs="Times New Roman"/>
          <w:color w:val="000000" w:themeColor="text1"/>
          <w:kern w:val="0"/>
          <w:sz w:val="24"/>
        </w:rPr>
        <w:t>）设置醒目标志</w:t>
      </w:r>
      <w:r>
        <w:rPr>
          <w:rFonts w:cs="Times New Roman" w:hint="eastAsia"/>
          <w:color w:val="000000" w:themeColor="text1"/>
          <w:kern w:val="0"/>
          <w:sz w:val="24"/>
        </w:rPr>
        <w:t>，危废暂存间的危险废物识别标志应符合《危险废物识别标志设置技术规范》（</w:t>
      </w:r>
      <w:r>
        <w:rPr>
          <w:rFonts w:cs="Times New Roman" w:hint="eastAsia"/>
          <w:color w:val="000000" w:themeColor="text1"/>
          <w:kern w:val="0"/>
          <w:sz w:val="24"/>
        </w:rPr>
        <w:t>HJ1276-2022</w:t>
      </w:r>
      <w:r>
        <w:rPr>
          <w:rFonts w:cs="Times New Roman" w:hint="eastAsia"/>
          <w:color w:val="000000" w:themeColor="text1"/>
          <w:kern w:val="0"/>
          <w:sz w:val="24"/>
        </w:rPr>
        <w:t>）等的要求</w:t>
      </w:r>
      <w:r>
        <w:rPr>
          <w:rFonts w:cs="Times New Roman"/>
          <w:color w:val="000000" w:themeColor="text1"/>
          <w:kern w:val="0"/>
          <w:sz w:val="24"/>
        </w:rPr>
        <w:t>。</w:t>
      </w:r>
    </w:p>
    <w:p w:rsidR="00644456" w:rsidRDefault="008031C4">
      <w:pPr>
        <w:tabs>
          <w:tab w:val="left" w:pos="0"/>
        </w:tabs>
        <w:autoSpaceDE w:val="0"/>
        <w:autoSpaceDN w:val="0"/>
        <w:adjustRightInd w:val="0"/>
        <w:snapToGrid w:val="0"/>
        <w:spacing w:line="360" w:lineRule="auto"/>
        <w:ind w:right="113" w:firstLine="482"/>
        <w:rPr>
          <w:rFonts w:cs="Times New Roman"/>
          <w:color w:val="000000" w:themeColor="text1"/>
          <w:kern w:val="0"/>
          <w:sz w:val="24"/>
        </w:rPr>
      </w:pPr>
      <w:r>
        <w:rPr>
          <w:rFonts w:cs="Times New Roman"/>
          <w:color w:val="000000" w:themeColor="text1"/>
          <w:kern w:val="0"/>
          <w:sz w:val="24"/>
        </w:rPr>
        <w:t>（</w:t>
      </w:r>
      <w:r>
        <w:rPr>
          <w:rFonts w:cs="Times New Roman"/>
          <w:color w:val="000000" w:themeColor="text1"/>
          <w:kern w:val="0"/>
          <w:sz w:val="24"/>
        </w:rPr>
        <w:t>2</w:t>
      </w:r>
      <w:r>
        <w:rPr>
          <w:rFonts w:cs="Times New Roman"/>
          <w:color w:val="000000" w:themeColor="text1"/>
          <w:kern w:val="0"/>
          <w:sz w:val="24"/>
        </w:rPr>
        <w:t>）各排气筒必须设置便于采样、监测的采样孔及采样平台，采样口及采样平台的设置应符合《固定污染源烟气（</w:t>
      </w:r>
      <w:r>
        <w:rPr>
          <w:rFonts w:cs="Times New Roman"/>
          <w:color w:val="000000" w:themeColor="text1"/>
          <w:kern w:val="0"/>
          <w:sz w:val="24"/>
        </w:rPr>
        <w:t>SO</w:t>
      </w:r>
      <w:r>
        <w:rPr>
          <w:rFonts w:cs="Times New Roman"/>
          <w:color w:val="000000" w:themeColor="text1"/>
          <w:kern w:val="0"/>
          <w:sz w:val="24"/>
          <w:vertAlign w:val="subscript"/>
        </w:rPr>
        <w:t>2</w:t>
      </w:r>
      <w:r>
        <w:rPr>
          <w:rFonts w:cs="Times New Roman"/>
          <w:color w:val="000000" w:themeColor="text1"/>
          <w:kern w:val="0"/>
          <w:sz w:val="24"/>
        </w:rPr>
        <w:t>、</w:t>
      </w:r>
      <w:r>
        <w:rPr>
          <w:rFonts w:cs="Times New Roman"/>
          <w:color w:val="000000" w:themeColor="text1"/>
          <w:kern w:val="0"/>
          <w:sz w:val="24"/>
        </w:rPr>
        <w:t>NOx</w:t>
      </w:r>
      <w:r>
        <w:rPr>
          <w:rFonts w:cs="Times New Roman"/>
          <w:color w:val="000000" w:themeColor="text1"/>
          <w:kern w:val="0"/>
          <w:sz w:val="24"/>
        </w:rPr>
        <w:t>、颗粒物）排放连续监测技术规范》（</w:t>
      </w:r>
      <w:r>
        <w:rPr>
          <w:rFonts w:cs="Times New Roman"/>
          <w:color w:val="000000" w:themeColor="text1"/>
          <w:kern w:val="0"/>
          <w:sz w:val="24"/>
        </w:rPr>
        <w:t>HJ75-2017</w:t>
      </w:r>
      <w:r>
        <w:rPr>
          <w:rFonts w:cs="Times New Roman"/>
          <w:color w:val="000000" w:themeColor="text1"/>
          <w:kern w:val="0"/>
          <w:sz w:val="24"/>
        </w:rPr>
        <w:t>）的要求。</w:t>
      </w:r>
    </w:p>
    <w:p w:rsidR="00644456" w:rsidRDefault="008031C4">
      <w:pPr>
        <w:tabs>
          <w:tab w:val="left" w:pos="0"/>
        </w:tabs>
        <w:autoSpaceDE w:val="0"/>
        <w:autoSpaceDN w:val="0"/>
        <w:adjustRightInd w:val="0"/>
        <w:snapToGrid w:val="0"/>
        <w:spacing w:line="360" w:lineRule="auto"/>
        <w:ind w:right="113" w:firstLine="482"/>
        <w:rPr>
          <w:rFonts w:cs="Times New Roman"/>
          <w:color w:val="000000" w:themeColor="text1"/>
          <w:kern w:val="0"/>
          <w:sz w:val="24"/>
        </w:rPr>
      </w:pPr>
      <w:bookmarkStart w:id="429" w:name="_Toc298771627"/>
      <w:bookmarkStart w:id="430" w:name="_Toc249156210"/>
      <w:bookmarkStart w:id="431" w:name="_Toc259776379"/>
      <w:r>
        <w:rPr>
          <w:rFonts w:cs="Times New Roman"/>
          <w:color w:val="000000" w:themeColor="text1"/>
          <w:kern w:val="0"/>
          <w:sz w:val="24"/>
        </w:rPr>
        <w:t>（</w:t>
      </w:r>
      <w:r>
        <w:rPr>
          <w:rFonts w:cs="Times New Roman"/>
          <w:color w:val="000000" w:themeColor="text1"/>
          <w:kern w:val="0"/>
          <w:sz w:val="24"/>
        </w:rPr>
        <w:t>3</w:t>
      </w:r>
      <w:r>
        <w:rPr>
          <w:rFonts w:cs="Times New Roman"/>
          <w:color w:val="000000" w:themeColor="text1"/>
          <w:kern w:val="0"/>
          <w:sz w:val="24"/>
        </w:rPr>
        <w:t>）按照有关法律和</w:t>
      </w:r>
      <w:r>
        <w:rPr>
          <w:rFonts w:cs="Times New Roman" w:hint="eastAsia"/>
          <w:color w:val="000000" w:themeColor="text1"/>
          <w:kern w:val="0"/>
          <w:sz w:val="24"/>
        </w:rPr>
        <w:t>《排污许可证申请与核发技术规范纺织印染工业》（</w:t>
      </w:r>
      <w:r>
        <w:rPr>
          <w:rFonts w:cs="Times New Roman" w:hint="eastAsia"/>
          <w:color w:val="000000" w:themeColor="text1"/>
          <w:kern w:val="0"/>
          <w:sz w:val="24"/>
        </w:rPr>
        <w:t>HJ861-2017</w:t>
      </w:r>
      <w:r>
        <w:rPr>
          <w:rFonts w:cs="Times New Roman" w:hint="eastAsia"/>
          <w:color w:val="000000" w:themeColor="text1"/>
          <w:kern w:val="0"/>
          <w:sz w:val="24"/>
        </w:rPr>
        <w:t>）</w:t>
      </w:r>
      <w:r>
        <w:rPr>
          <w:rFonts w:cs="Times New Roman"/>
          <w:color w:val="000000" w:themeColor="text1"/>
          <w:kern w:val="0"/>
          <w:sz w:val="24"/>
        </w:rPr>
        <w:t>、《排污单位自行监测技术指南总则》的规定，安装污染物排放自动监控设备，并与环境保护主管部门联网。</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432" w:name="_Toc155789390"/>
      <w:bookmarkStart w:id="433" w:name="_Toc177216898"/>
      <w:bookmarkEnd w:id="429"/>
      <w:bookmarkEnd w:id="430"/>
      <w:bookmarkEnd w:id="431"/>
      <w:r>
        <w:rPr>
          <w:rFonts w:cs="Times New Roman" w:hint="eastAsia"/>
          <w:color w:val="000000" w:themeColor="text1"/>
        </w:rPr>
        <w:t>6.4</w:t>
      </w:r>
      <w:r>
        <w:rPr>
          <w:rFonts w:cs="Times New Roman" w:hint="eastAsia"/>
          <w:color w:val="000000" w:themeColor="text1"/>
        </w:rPr>
        <w:t>环保投资估算</w:t>
      </w:r>
      <w:bookmarkEnd w:id="432"/>
      <w:bookmarkEnd w:id="433"/>
    </w:p>
    <w:p w:rsidR="00644456" w:rsidRDefault="008031C4">
      <w:pPr>
        <w:adjustRightInd w:val="0"/>
        <w:snapToGrid w:val="0"/>
        <w:spacing w:line="360" w:lineRule="auto"/>
        <w:ind w:firstLineChars="200" w:firstLine="480"/>
        <w:rPr>
          <w:rFonts w:cs="Times New Roman"/>
          <w:snapToGrid w:val="0"/>
          <w:color w:val="000000" w:themeColor="text1"/>
          <w:kern w:val="0"/>
          <w:sz w:val="24"/>
        </w:rPr>
      </w:pPr>
      <w:r>
        <w:rPr>
          <w:rFonts w:cs="Times New Roman"/>
          <w:snapToGrid w:val="0"/>
          <w:color w:val="000000" w:themeColor="text1"/>
          <w:kern w:val="0"/>
          <w:sz w:val="24"/>
        </w:rPr>
        <w:t>通过上述分析，项目在不同时段控制</w:t>
      </w:r>
      <w:r>
        <w:rPr>
          <w:rFonts w:cs="Times New Roman"/>
          <w:snapToGrid w:val="0"/>
          <w:color w:val="000000" w:themeColor="text1"/>
          <w:kern w:val="0"/>
          <w:sz w:val="24"/>
        </w:rPr>
        <w:t>“</w:t>
      </w:r>
      <w:r>
        <w:rPr>
          <w:rFonts w:cs="Times New Roman"/>
          <w:snapToGrid w:val="0"/>
          <w:color w:val="000000" w:themeColor="text1"/>
          <w:kern w:val="0"/>
          <w:sz w:val="24"/>
        </w:rPr>
        <w:t>三废</w:t>
      </w:r>
      <w:r>
        <w:rPr>
          <w:rFonts w:cs="Times New Roman"/>
          <w:snapToGrid w:val="0"/>
          <w:color w:val="000000" w:themeColor="text1"/>
          <w:kern w:val="0"/>
          <w:sz w:val="24"/>
        </w:rPr>
        <w:t>”</w:t>
      </w:r>
      <w:r>
        <w:rPr>
          <w:rFonts w:cs="Times New Roman"/>
          <w:snapToGrid w:val="0"/>
          <w:color w:val="000000" w:themeColor="text1"/>
          <w:kern w:val="0"/>
          <w:sz w:val="24"/>
        </w:rPr>
        <w:t>和噪声污染源的环保措施，处理效果及投资费用见下表，预估项目环保总投资为</w:t>
      </w:r>
      <w:r>
        <w:rPr>
          <w:rFonts w:cs="Times New Roman"/>
          <w:snapToGrid w:val="0"/>
          <w:color w:val="000000" w:themeColor="text1"/>
          <w:kern w:val="0"/>
          <w:sz w:val="24"/>
        </w:rPr>
        <w:t>570</w:t>
      </w:r>
      <w:r>
        <w:rPr>
          <w:rFonts w:cs="Times New Roman"/>
          <w:snapToGrid w:val="0"/>
          <w:color w:val="000000" w:themeColor="text1"/>
          <w:kern w:val="0"/>
          <w:sz w:val="24"/>
        </w:rPr>
        <w:t>万元，占项目总投资</w:t>
      </w:r>
      <w:r>
        <w:rPr>
          <w:rFonts w:cs="Times New Roman"/>
          <w:bCs/>
          <w:color w:val="000000" w:themeColor="text1"/>
          <w:sz w:val="24"/>
        </w:rPr>
        <w:t>7000</w:t>
      </w:r>
      <w:r>
        <w:rPr>
          <w:rFonts w:cs="Times New Roman"/>
          <w:bCs/>
          <w:color w:val="000000" w:themeColor="text1"/>
          <w:sz w:val="24"/>
        </w:rPr>
        <w:t>万元</w:t>
      </w:r>
      <w:r>
        <w:rPr>
          <w:rFonts w:cs="Times New Roman"/>
          <w:snapToGrid w:val="0"/>
          <w:color w:val="000000" w:themeColor="text1"/>
          <w:kern w:val="0"/>
          <w:sz w:val="24"/>
        </w:rPr>
        <w:t>的</w:t>
      </w:r>
      <w:r>
        <w:rPr>
          <w:rFonts w:cs="Times New Roman"/>
          <w:snapToGrid w:val="0"/>
          <w:color w:val="000000" w:themeColor="text1"/>
          <w:kern w:val="0"/>
          <w:sz w:val="24"/>
        </w:rPr>
        <w:t>8.1%</w:t>
      </w:r>
      <w:r>
        <w:rPr>
          <w:rFonts w:cs="Times New Roman"/>
          <w:snapToGrid w:val="0"/>
          <w:color w:val="000000" w:themeColor="text1"/>
          <w:kern w:val="0"/>
          <w:sz w:val="24"/>
        </w:rPr>
        <w:t>。</w:t>
      </w:r>
    </w:p>
    <w:p w:rsidR="00644456" w:rsidRDefault="008031C4">
      <w:pPr>
        <w:widowControl/>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6.4</w:t>
      </w:r>
      <w:r>
        <w:rPr>
          <w:rFonts w:cs="Times New Roman" w:hint="eastAsia"/>
          <w:b/>
          <w:color w:val="000000" w:themeColor="text1"/>
          <w:sz w:val="24"/>
          <w:szCs w:val="20"/>
        </w:rPr>
        <w:noBreakHyphen/>
      </w:r>
      <w:r>
        <w:rPr>
          <w:rFonts w:cs="Times New Roman" w:hint="eastAsia"/>
          <w:b/>
          <w:color w:val="000000" w:themeColor="text1"/>
          <w:sz w:val="24"/>
          <w:szCs w:val="20"/>
        </w:rPr>
        <w:fldChar w:fldCharType="begin"/>
      </w:r>
      <w:r>
        <w:rPr>
          <w:rFonts w:cs="Times New Roman" w:hint="eastAsia"/>
          <w:b/>
          <w:color w:val="000000" w:themeColor="text1"/>
          <w:sz w:val="24"/>
          <w:szCs w:val="20"/>
        </w:rPr>
        <w:instrText xml:space="preserve"> SEQ </w:instrText>
      </w:r>
      <w:r>
        <w:rPr>
          <w:rFonts w:cs="Times New Roman" w:hint="eastAsia"/>
          <w:b/>
          <w:color w:val="000000" w:themeColor="text1"/>
          <w:sz w:val="24"/>
          <w:szCs w:val="20"/>
        </w:rPr>
        <w:instrText>表</w:instrText>
      </w:r>
      <w:r>
        <w:rPr>
          <w:rFonts w:cs="Times New Roman" w:hint="eastAsia"/>
          <w:b/>
          <w:color w:val="000000" w:themeColor="text1"/>
          <w:sz w:val="24"/>
          <w:szCs w:val="20"/>
        </w:rPr>
        <w:instrText xml:space="preserve"> \* ARABIC \s 1 </w:instrText>
      </w:r>
      <w:r>
        <w:rPr>
          <w:rFonts w:cs="Times New Roman" w:hint="eastAsia"/>
          <w:b/>
          <w:color w:val="000000" w:themeColor="text1"/>
          <w:sz w:val="24"/>
          <w:szCs w:val="20"/>
        </w:rPr>
        <w:fldChar w:fldCharType="separate"/>
      </w:r>
      <w:r>
        <w:rPr>
          <w:rFonts w:cs="Times New Roman" w:hint="eastAsia"/>
          <w:b/>
          <w:color w:val="000000" w:themeColor="text1"/>
          <w:sz w:val="24"/>
          <w:szCs w:val="20"/>
        </w:rPr>
        <w:t>1</w:t>
      </w:r>
      <w:r>
        <w:rPr>
          <w:rFonts w:cs="Times New Roman" w:hint="eastAsia"/>
          <w:b/>
          <w:color w:val="000000" w:themeColor="text1"/>
          <w:sz w:val="24"/>
          <w:szCs w:val="20"/>
        </w:rPr>
        <w:fldChar w:fldCharType="end"/>
      </w:r>
      <w:r>
        <w:rPr>
          <w:rFonts w:cs="Times New Roman" w:hint="eastAsia"/>
          <w:b/>
          <w:color w:val="000000" w:themeColor="text1"/>
          <w:sz w:val="24"/>
          <w:szCs w:val="20"/>
        </w:rPr>
        <w:t>环保措施及投资估算一览表</w:t>
      </w:r>
    </w:p>
    <w:tbl>
      <w:tblPr>
        <w:tblW w:w="5000" w:type="pct"/>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29"/>
        <w:gridCol w:w="1065"/>
        <w:gridCol w:w="1215"/>
        <w:gridCol w:w="4574"/>
        <w:gridCol w:w="798"/>
        <w:gridCol w:w="944"/>
      </w:tblGrid>
      <w:tr w:rsidR="00644456">
        <w:trPr>
          <w:jc w:val="center"/>
        </w:trPr>
        <w:tc>
          <w:tcPr>
            <w:tcW w:w="1501" w:type="pct"/>
            <w:gridSpan w:val="3"/>
            <w:tcBorders>
              <w:tl2br w:val="nil"/>
              <w:tr2bl w:val="nil"/>
            </w:tcBorders>
            <w:shd w:val="clear" w:color="auto" w:fill="auto"/>
            <w:vAlign w:val="center"/>
          </w:tcPr>
          <w:p w:rsidR="00644456" w:rsidRDefault="008031C4">
            <w:pPr>
              <w:adjustRightInd w:val="0"/>
              <w:snapToGrid w:val="0"/>
              <w:jc w:val="center"/>
              <w:rPr>
                <w:rFonts w:cs="Times New Roman"/>
                <w:b/>
                <w:bCs/>
                <w:snapToGrid w:val="0"/>
                <w:color w:val="000000" w:themeColor="text1"/>
                <w:kern w:val="0"/>
                <w:szCs w:val="21"/>
              </w:rPr>
            </w:pPr>
            <w:bookmarkStart w:id="434" w:name="_Hlk160541054"/>
            <w:r>
              <w:rPr>
                <w:rFonts w:cs="Times New Roman"/>
                <w:b/>
                <w:bCs/>
                <w:snapToGrid w:val="0"/>
                <w:color w:val="000000" w:themeColor="text1"/>
                <w:kern w:val="0"/>
                <w:szCs w:val="21"/>
              </w:rPr>
              <w:t>污染源类别及排放源</w:t>
            </w:r>
          </w:p>
        </w:tc>
        <w:tc>
          <w:tcPr>
            <w:tcW w:w="2534" w:type="pct"/>
            <w:tcBorders>
              <w:tl2br w:val="nil"/>
              <w:tr2bl w:val="nil"/>
            </w:tcBorders>
            <w:shd w:val="clear" w:color="auto" w:fill="auto"/>
            <w:vAlign w:val="center"/>
          </w:tcPr>
          <w:p w:rsidR="00644456" w:rsidRDefault="008031C4">
            <w:pPr>
              <w:adjustRightInd w:val="0"/>
              <w:snapToGrid w:val="0"/>
              <w:jc w:val="center"/>
              <w:rPr>
                <w:rFonts w:cs="Times New Roman"/>
                <w:b/>
                <w:bCs/>
                <w:snapToGrid w:val="0"/>
                <w:color w:val="000000" w:themeColor="text1"/>
                <w:kern w:val="0"/>
                <w:szCs w:val="21"/>
              </w:rPr>
            </w:pPr>
            <w:r>
              <w:rPr>
                <w:rFonts w:cs="Times New Roman"/>
                <w:b/>
                <w:bCs/>
                <w:snapToGrid w:val="0"/>
                <w:color w:val="000000" w:themeColor="text1"/>
                <w:kern w:val="0"/>
                <w:szCs w:val="21"/>
              </w:rPr>
              <w:t>治理措施</w:t>
            </w:r>
          </w:p>
        </w:tc>
        <w:tc>
          <w:tcPr>
            <w:tcW w:w="442" w:type="pct"/>
            <w:tcBorders>
              <w:tl2br w:val="nil"/>
              <w:tr2bl w:val="nil"/>
            </w:tcBorders>
            <w:shd w:val="clear" w:color="auto" w:fill="auto"/>
            <w:vAlign w:val="center"/>
          </w:tcPr>
          <w:p w:rsidR="00644456" w:rsidRDefault="008031C4">
            <w:pPr>
              <w:adjustRightInd w:val="0"/>
              <w:snapToGrid w:val="0"/>
              <w:jc w:val="center"/>
              <w:rPr>
                <w:rFonts w:cs="Times New Roman"/>
                <w:b/>
                <w:bCs/>
                <w:snapToGrid w:val="0"/>
                <w:color w:val="000000" w:themeColor="text1"/>
                <w:kern w:val="0"/>
                <w:szCs w:val="21"/>
              </w:rPr>
            </w:pPr>
            <w:r>
              <w:rPr>
                <w:rFonts w:cs="Times New Roman" w:hint="eastAsia"/>
                <w:b/>
                <w:bCs/>
                <w:snapToGrid w:val="0"/>
                <w:color w:val="000000" w:themeColor="text1"/>
                <w:kern w:val="0"/>
                <w:szCs w:val="21"/>
              </w:rPr>
              <w:t>备注</w:t>
            </w:r>
          </w:p>
        </w:tc>
        <w:tc>
          <w:tcPr>
            <w:tcW w:w="523" w:type="pct"/>
            <w:tcBorders>
              <w:tl2br w:val="nil"/>
              <w:tr2bl w:val="nil"/>
            </w:tcBorders>
            <w:shd w:val="clear" w:color="auto" w:fill="auto"/>
            <w:vAlign w:val="center"/>
          </w:tcPr>
          <w:p w:rsidR="00644456" w:rsidRDefault="008031C4">
            <w:pPr>
              <w:adjustRightInd w:val="0"/>
              <w:snapToGrid w:val="0"/>
              <w:jc w:val="center"/>
              <w:rPr>
                <w:rFonts w:cs="Times New Roman"/>
                <w:b/>
                <w:bCs/>
                <w:snapToGrid w:val="0"/>
                <w:color w:val="000000" w:themeColor="text1"/>
                <w:kern w:val="0"/>
                <w:szCs w:val="21"/>
              </w:rPr>
            </w:pPr>
            <w:r>
              <w:rPr>
                <w:rFonts w:cs="Times New Roman"/>
                <w:b/>
                <w:bCs/>
                <w:snapToGrid w:val="0"/>
                <w:color w:val="000000" w:themeColor="text1"/>
                <w:kern w:val="0"/>
                <w:szCs w:val="21"/>
              </w:rPr>
              <w:t>估算投资（万元）</w:t>
            </w:r>
          </w:p>
        </w:tc>
      </w:tr>
      <w:tr w:rsidR="00644456">
        <w:trPr>
          <w:jc w:val="center"/>
        </w:trPr>
        <w:tc>
          <w:tcPr>
            <w:tcW w:w="238" w:type="pct"/>
            <w:vMerge w:val="restar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施工</w:t>
            </w:r>
            <w:r>
              <w:rPr>
                <w:rFonts w:cs="Times New Roman"/>
                <w:snapToGrid w:val="0"/>
                <w:color w:val="000000" w:themeColor="text1"/>
                <w:kern w:val="0"/>
                <w:szCs w:val="21"/>
              </w:rPr>
              <w:lastRenderedPageBreak/>
              <w:t>期</w:t>
            </w:r>
          </w:p>
        </w:tc>
        <w:tc>
          <w:tcPr>
            <w:tcW w:w="590"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lastRenderedPageBreak/>
              <w:t>废气治理</w:t>
            </w:r>
          </w:p>
        </w:tc>
        <w:tc>
          <w:tcPr>
            <w:tcW w:w="673"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施工粉尘</w:t>
            </w:r>
          </w:p>
        </w:tc>
        <w:tc>
          <w:tcPr>
            <w:tcW w:w="2534"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定时喷洒水措施</w:t>
            </w:r>
          </w:p>
        </w:tc>
        <w:tc>
          <w:tcPr>
            <w:tcW w:w="442"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w:t>
            </w:r>
          </w:p>
        </w:tc>
        <w:tc>
          <w:tcPr>
            <w:tcW w:w="523" w:type="pct"/>
            <w:vMerge w:val="restar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计入工程</w:t>
            </w:r>
            <w:r>
              <w:rPr>
                <w:rFonts w:cs="Times New Roman"/>
                <w:snapToGrid w:val="0"/>
                <w:color w:val="000000" w:themeColor="text1"/>
                <w:kern w:val="0"/>
                <w:szCs w:val="21"/>
              </w:rPr>
              <w:lastRenderedPageBreak/>
              <w:t>费用</w:t>
            </w:r>
          </w:p>
        </w:tc>
      </w:tr>
      <w:tr w:rsidR="00644456">
        <w:trPr>
          <w:jc w:val="center"/>
        </w:trPr>
        <w:tc>
          <w:tcPr>
            <w:tcW w:w="238" w:type="pct"/>
            <w:vMerge/>
            <w:tcBorders>
              <w:tl2br w:val="nil"/>
              <w:tr2bl w:val="nil"/>
            </w:tcBorders>
            <w:shd w:val="clear" w:color="auto" w:fill="auto"/>
            <w:vAlign w:val="center"/>
          </w:tcPr>
          <w:p w:rsidR="00644456" w:rsidRDefault="00644456">
            <w:pPr>
              <w:adjustRightInd w:val="0"/>
              <w:snapToGrid w:val="0"/>
              <w:jc w:val="center"/>
              <w:rPr>
                <w:rFonts w:cs="Times New Roman"/>
                <w:snapToGrid w:val="0"/>
                <w:color w:val="000000" w:themeColor="text1"/>
                <w:kern w:val="0"/>
                <w:szCs w:val="21"/>
              </w:rPr>
            </w:pPr>
          </w:p>
        </w:tc>
        <w:tc>
          <w:tcPr>
            <w:tcW w:w="590"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废水治理</w:t>
            </w:r>
          </w:p>
        </w:tc>
        <w:tc>
          <w:tcPr>
            <w:tcW w:w="673"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生活污水</w:t>
            </w:r>
          </w:p>
        </w:tc>
        <w:tc>
          <w:tcPr>
            <w:tcW w:w="2534"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经预处理池处理后，由园区管网进入</w:t>
            </w:r>
            <w:r>
              <w:rPr>
                <w:rFonts w:cs="Times New Roman" w:hint="eastAsia"/>
                <w:snapToGrid w:val="0"/>
                <w:color w:val="000000" w:themeColor="text1"/>
                <w:kern w:val="0"/>
                <w:szCs w:val="21"/>
              </w:rPr>
              <w:t>生态钢城污水处理厂</w:t>
            </w:r>
            <w:r>
              <w:rPr>
                <w:rFonts w:cs="Times New Roman"/>
                <w:snapToGrid w:val="0"/>
                <w:color w:val="000000" w:themeColor="text1"/>
                <w:kern w:val="0"/>
                <w:szCs w:val="21"/>
              </w:rPr>
              <w:t>处理后达到《城镇污水处理厂污染物排放标准》（</w:t>
            </w:r>
            <w:r>
              <w:rPr>
                <w:rFonts w:cs="Times New Roman"/>
                <w:snapToGrid w:val="0"/>
                <w:color w:val="000000" w:themeColor="text1"/>
                <w:kern w:val="0"/>
                <w:szCs w:val="21"/>
              </w:rPr>
              <w:t>GB18918-2002</w:t>
            </w:r>
            <w:r>
              <w:rPr>
                <w:rFonts w:cs="Times New Roman"/>
                <w:snapToGrid w:val="0"/>
                <w:color w:val="000000" w:themeColor="text1"/>
                <w:kern w:val="0"/>
                <w:szCs w:val="21"/>
              </w:rPr>
              <w:t>）中的一级</w:t>
            </w:r>
            <w:r>
              <w:rPr>
                <w:rFonts w:cs="Times New Roman"/>
                <w:snapToGrid w:val="0"/>
                <w:color w:val="000000" w:themeColor="text1"/>
                <w:kern w:val="0"/>
                <w:szCs w:val="21"/>
              </w:rPr>
              <w:t>A</w:t>
            </w:r>
            <w:r>
              <w:rPr>
                <w:rFonts w:cs="Times New Roman"/>
                <w:snapToGrid w:val="0"/>
                <w:color w:val="000000" w:themeColor="text1"/>
                <w:kern w:val="0"/>
                <w:szCs w:val="21"/>
              </w:rPr>
              <w:t>标，</w:t>
            </w:r>
          </w:p>
        </w:tc>
        <w:tc>
          <w:tcPr>
            <w:tcW w:w="442"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w:t>
            </w:r>
          </w:p>
        </w:tc>
        <w:tc>
          <w:tcPr>
            <w:tcW w:w="523" w:type="pct"/>
            <w:vMerge/>
            <w:tcBorders>
              <w:tl2br w:val="nil"/>
              <w:tr2bl w:val="nil"/>
            </w:tcBorders>
            <w:shd w:val="clear" w:color="auto" w:fill="auto"/>
            <w:vAlign w:val="center"/>
          </w:tcPr>
          <w:p w:rsidR="00644456" w:rsidRDefault="00644456">
            <w:pPr>
              <w:adjustRightInd w:val="0"/>
              <w:snapToGrid w:val="0"/>
              <w:jc w:val="center"/>
              <w:rPr>
                <w:rFonts w:cs="Times New Roman"/>
                <w:snapToGrid w:val="0"/>
                <w:color w:val="000000" w:themeColor="text1"/>
                <w:kern w:val="0"/>
                <w:szCs w:val="21"/>
              </w:rPr>
            </w:pPr>
          </w:p>
        </w:tc>
      </w:tr>
      <w:tr w:rsidR="00644456">
        <w:trPr>
          <w:jc w:val="center"/>
        </w:trPr>
        <w:tc>
          <w:tcPr>
            <w:tcW w:w="238" w:type="pct"/>
            <w:vMerge/>
            <w:tcBorders>
              <w:tl2br w:val="nil"/>
              <w:tr2bl w:val="nil"/>
            </w:tcBorders>
            <w:shd w:val="clear" w:color="auto" w:fill="auto"/>
            <w:vAlign w:val="center"/>
          </w:tcPr>
          <w:p w:rsidR="00644456" w:rsidRDefault="00644456">
            <w:pPr>
              <w:adjustRightInd w:val="0"/>
              <w:snapToGrid w:val="0"/>
              <w:jc w:val="center"/>
              <w:rPr>
                <w:rFonts w:cs="Times New Roman"/>
                <w:snapToGrid w:val="0"/>
                <w:color w:val="000000" w:themeColor="text1"/>
                <w:kern w:val="0"/>
                <w:szCs w:val="21"/>
              </w:rPr>
            </w:pPr>
          </w:p>
        </w:tc>
        <w:tc>
          <w:tcPr>
            <w:tcW w:w="590"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噪声治理</w:t>
            </w:r>
          </w:p>
        </w:tc>
        <w:tc>
          <w:tcPr>
            <w:tcW w:w="673"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施工噪声</w:t>
            </w:r>
          </w:p>
        </w:tc>
        <w:tc>
          <w:tcPr>
            <w:tcW w:w="2534"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施工期主要噪声源在施工开挖、砂石料粉碎、混凝土浇筑等施工活动中的施工机械运行、汽车运输等，产生的噪声实施相应的劳动卫生防护措施</w:t>
            </w:r>
          </w:p>
        </w:tc>
        <w:tc>
          <w:tcPr>
            <w:tcW w:w="442"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w:t>
            </w:r>
          </w:p>
        </w:tc>
        <w:tc>
          <w:tcPr>
            <w:tcW w:w="523" w:type="pct"/>
            <w:vMerge/>
            <w:tcBorders>
              <w:tl2br w:val="nil"/>
              <w:tr2bl w:val="nil"/>
            </w:tcBorders>
            <w:shd w:val="clear" w:color="auto" w:fill="auto"/>
            <w:vAlign w:val="center"/>
          </w:tcPr>
          <w:p w:rsidR="00644456" w:rsidRDefault="00644456">
            <w:pPr>
              <w:adjustRightInd w:val="0"/>
              <w:snapToGrid w:val="0"/>
              <w:jc w:val="center"/>
              <w:rPr>
                <w:rFonts w:cs="Times New Roman"/>
                <w:snapToGrid w:val="0"/>
                <w:color w:val="000000" w:themeColor="text1"/>
                <w:kern w:val="0"/>
                <w:szCs w:val="21"/>
              </w:rPr>
            </w:pPr>
          </w:p>
        </w:tc>
      </w:tr>
      <w:tr w:rsidR="00644456">
        <w:trPr>
          <w:jc w:val="center"/>
        </w:trPr>
        <w:tc>
          <w:tcPr>
            <w:tcW w:w="238" w:type="pct"/>
            <w:vMerge/>
            <w:tcBorders>
              <w:tl2br w:val="nil"/>
              <w:tr2bl w:val="nil"/>
            </w:tcBorders>
            <w:shd w:val="clear" w:color="auto" w:fill="auto"/>
            <w:vAlign w:val="center"/>
          </w:tcPr>
          <w:p w:rsidR="00644456" w:rsidRDefault="00644456">
            <w:pPr>
              <w:adjustRightInd w:val="0"/>
              <w:snapToGrid w:val="0"/>
              <w:jc w:val="center"/>
              <w:rPr>
                <w:rFonts w:cs="Times New Roman"/>
                <w:snapToGrid w:val="0"/>
                <w:color w:val="000000" w:themeColor="text1"/>
                <w:kern w:val="0"/>
                <w:szCs w:val="21"/>
              </w:rPr>
            </w:pPr>
          </w:p>
        </w:tc>
        <w:tc>
          <w:tcPr>
            <w:tcW w:w="590"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固废治理</w:t>
            </w:r>
          </w:p>
        </w:tc>
        <w:tc>
          <w:tcPr>
            <w:tcW w:w="673"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建筑废弃渣</w:t>
            </w:r>
          </w:p>
        </w:tc>
        <w:tc>
          <w:tcPr>
            <w:tcW w:w="2534"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及时清运，加强管理</w:t>
            </w:r>
          </w:p>
        </w:tc>
        <w:tc>
          <w:tcPr>
            <w:tcW w:w="442"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w:t>
            </w:r>
          </w:p>
        </w:tc>
        <w:tc>
          <w:tcPr>
            <w:tcW w:w="523" w:type="pct"/>
            <w:vMerge/>
            <w:tcBorders>
              <w:tl2br w:val="nil"/>
              <w:tr2bl w:val="nil"/>
            </w:tcBorders>
            <w:shd w:val="clear" w:color="auto" w:fill="auto"/>
            <w:vAlign w:val="center"/>
          </w:tcPr>
          <w:p w:rsidR="00644456" w:rsidRDefault="00644456">
            <w:pPr>
              <w:adjustRightInd w:val="0"/>
              <w:snapToGrid w:val="0"/>
              <w:jc w:val="center"/>
              <w:rPr>
                <w:rFonts w:cs="Times New Roman"/>
                <w:snapToGrid w:val="0"/>
                <w:color w:val="000000" w:themeColor="text1"/>
                <w:kern w:val="0"/>
                <w:szCs w:val="21"/>
              </w:rPr>
            </w:pPr>
          </w:p>
        </w:tc>
      </w:tr>
      <w:tr w:rsidR="00644456">
        <w:trPr>
          <w:jc w:val="center"/>
        </w:trPr>
        <w:tc>
          <w:tcPr>
            <w:tcW w:w="238" w:type="pct"/>
            <w:vMerge w:val="restar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废气</w:t>
            </w:r>
          </w:p>
        </w:tc>
        <w:tc>
          <w:tcPr>
            <w:tcW w:w="1263" w:type="pct"/>
            <w:gridSpan w:val="2"/>
            <w:tcBorders>
              <w:tl2br w:val="nil"/>
              <w:tr2bl w:val="nil"/>
            </w:tcBorders>
            <w:shd w:val="clear" w:color="auto" w:fill="auto"/>
            <w:vAlign w:val="center"/>
          </w:tcPr>
          <w:p w:rsidR="00644456" w:rsidRDefault="008031C4">
            <w:pPr>
              <w:adjustRightInd w:val="0"/>
              <w:snapToGrid w:val="0"/>
              <w:spacing w:line="260" w:lineRule="exact"/>
              <w:jc w:val="center"/>
              <w:rPr>
                <w:bCs/>
                <w:color w:val="000000" w:themeColor="text1"/>
                <w:szCs w:val="21"/>
              </w:rPr>
            </w:pPr>
            <w:r>
              <w:rPr>
                <w:rFonts w:hint="eastAsia"/>
                <w:bCs/>
                <w:color w:val="000000" w:themeColor="text1"/>
                <w:szCs w:val="21"/>
              </w:rPr>
              <w:t>工艺不凝气</w:t>
            </w:r>
          </w:p>
        </w:tc>
        <w:tc>
          <w:tcPr>
            <w:tcW w:w="2534" w:type="pct"/>
            <w:tcBorders>
              <w:tl2br w:val="nil"/>
              <w:tr2bl w:val="nil"/>
            </w:tcBorders>
            <w:shd w:val="clear" w:color="auto" w:fill="auto"/>
            <w:vAlign w:val="center"/>
          </w:tcPr>
          <w:p w:rsidR="00644456" w:rsidRDefault="008031C4">
            <w:pPr>
              <w:pStyle w:val="afffffff4"/>
              <w:jc w:val="left"/>
              <w:rPr>
                <w:rFonts w:cs="Times New Roman"/>
                <w:snapToGrid/>
                <w:color w:val="000000" w:themeColor="text1"/>
                <w:kern w:val="2"/>
              </w:rPr>
            </w:pPr>
            <w:r>
              <w:rPr>
                <w:rFonts w:cs="Times New Roman" w:hint="eastAsia"/>
                <w:snapToGrid/>
                <w:color w:val="000000" w:themeColor="text1"/>
                <w:kern w:val="2"/>
              </w:rPr>
              <w:t>设置负压收集系统，对蒸馏、精馏及溶剂回收过程产生的不凝气进行收集，收集后的废气采用“碱液喷淋</w:t>
            </w:r>
            <w:r>
              <w:rPr>
                <w:rFonts w:cs="Times New Roman" w:hint="eastAsia"/>
                <w:snapToGrid/>
                <w:color w:val="000000" w:themeColor="text1"/>
                <w:kern w:val="2"/>
              </w:rPr>
              <w:t>+</w:t>
            </w:r>
            <w:r>
              <w:rPr>
                <w:rFonts w:cs="Times New Roman" w:hint="eastAsia"/>
                <w:snapToGrid/>
                <w:color w:val="000000" w:themeColor="text1"/>
                <w:kern w:val="2"/>
              </w:rPr>
              <w:t>干式过滤</w:t>
            </w:r>
            <w:r>
              <w:rPr>
                <w:rFonts w:cs="Times New Roman" w:hint="eastAsia"/>
                <w:snapToGrid/>
                <w:color w:val="000000" w:themeColor="text1"/>
                <w:kern w:val="2"/>
              </w:rPr>
              <w:t>+</w:t>
            </w:r>
            <w:r>
              <w:rPr>
                <w:rFonts w:cs="Times New Roman" w:hint="eastAsia"/>
                <w:snapToGrid/>
                <w:color w:val="000000" w:themeColor="text1"/>
                <w:kern w:val="2"/>
              </w:rPr>
              <w:t>高温氧化”进行净化处理，净化后的废气通过</w:t>
            </w:r>
            <w:r>
              <w:rPr>
                <w:rFonts w:cs="Times New Roman" w:hint="eastAsia"/>
                <w:snapToGrid/>
                <w:color w:val="000000" w:themeColor="text1"/>
                <w:kern w:val="2"/>
              </w:rPr>
              <w:t>15m</w:t>
            </w:r>
            <w:r>
              <w:rPr>
                <w:rFonts w:cs="Times New Roman" w:hint="eastAsia"/>
                <w:snapToGrid/>
                <w:color w:val="000000" w:themeColor="text1"/>
                <w:kern w:val="2"/>
              </w:rPr>
              <w:t>高的排气筒排放，风机风量</w:t>
            </w:r>
            <w:r>
              <w:rPr>
                <w:rFonts w:cs="Times New Roman" w:hint="eastAsia"/>
                <w:snapToGrid/>
                <w:color w:val="000000" w:themeColor="text1"/>
                <w:kern w:val="2"/>
              </w:rPr>
              <w:t>1</w:t>
            </w:r>
            <w:r>
              <w:rPr>
                <w:rFonts w:cs="Times New Roman"/>
                <w:snapToGrid/>
                <w:color w:val="000000" w:themeColor="text1"/>
                <w:kern w:val="2"/>
              </w:rPr>
              <w:t>2000Nm3/h</w:t>
            </w:r>
            <w:r>
              <w:rPr>
                <w:rFonts w:cs="Times New Roman" w:hint="eastAsia"/>
                <w:snapToGrid/>
                <w:color w:val="000000" w:themeColor="text1"/>
                <w:kern w:val="2"/>
              </w:rPr>
              <w:t>。</w:t>
            </w:r>
          </w:p>
        </w:tc>
        <w:tc>
          <w:tcPr>
            <w:tcW w:w="442" w:type="pct"/>
            <w:tcBorders>
              <w:tl2br w:val="nil"/>
              <w:tr2bl w:val="nil"/>
            </w:tcBorders>
            <w:shd w:val="clear" w:color="auto" w:fill="auto"/>
            <w:vAlign w:val="center"/>
          </w:tcPr>
          <w:p w:rsidR="00644456" w:rsidRDefault="008031C4">
            <w:pPr>
              <w:pStyle w:val="afffffff4"/>
              <w:rPr>
                <w:rFonts w:cs="Times New Roman"/>
                <w:color w:val="000000" w:themeColor="text1"/>
                <w:szCs w:val="21"/>
              </w:rPr>
            </w:pPr>
            <w:r>
              <w:rPr>
                <w:rFonts w:cs="Times New Roman" w:hint="eastAsia"/>
                <w:color w:val="000000" w:themeColor="text1"/>
                <w:szCs w:val="21"/>
              </w:rPr>
              <w:t>新建</w:t>
            </w:r>
          </w:p>
        </w:tc>
        <w:tc>
          <w:tcPr>
            <w:tcW w:w="523" w:type="pct"/>
            <w:tcBorders>
              <w:tl2br w:val="nil"/>
              <w:tr2bl w:val="nil"/>
            </w:tcBorders>
            <w:shd w:val="clear" w:color="auto" w:fill="auto"/>
            <w:vAlign w:val="center"/>
          </w:tcPr>
          <w:p w:rsidR="00644456" w:rsidRDefault="008031C4">
            <w:pPr>
              <w:adjustRightInd w:val="0"/>
              <w:snapToGrid w:val="0"/>
              <w:jc w:val="center"/>
              <w:rPr>
                <w:rFonts w:cs="Times New Roman"/>
                <w:color w:val="000000" w:themeColor="text1"/>
              </w:rPr>
            </w:pPr>
            <w:r>
              <w:rPr>
                <w:rFonts w:cs="Times New Roman"/>
                <w:color w:val="000000" w:themeColor="text1"/>
                <w:kern w:val="0"/>
                <w:szCs w:val="21"/>
              </w:rPr>
              <w:t>50</w:t>
            </w:r>
          </w:p>
        </w:tc>
      </w:tr>
      <w:tr w:rsidR="00644456">
        <w:trPr>
          <w:jc w:val="center"/>
        </w:trPr>
        <w:tc>
          <w:tcPr>
            <w:tcW w:w="238" w:type="pct"/>
            <w:vMerge/>
            <w:tcBorders>
              <w:tl2br w:val="nil"/>
              <w:tr2bl w:val="nil"/>
            </w:tcBorders>
            <w:shd w:val="clear" w:color="auto" w:fill="auto"/>
            <w:vAlign w:val="center"/>
          </w:tcPr>
          <w:p w:rsidR="00644456" w:rsidRDefault="00644456">
            <w:pPr>
              <w:adjustRightInd w:val="0"/>
              <w:snapToGrid w:val="0"/>
              <w:jc w:val="center"/>
              <w:rPr>
                <w:rFonts w:cs="Times New Roman"/>
                <w:snapToGrid w:val="0"/>
                <w:color w:val="000000" w:themeColor="text1"/>
                <w:kern w:val="0"/>
                <w:szCs w:val="21"/>
              </w:rPr>
            </w:pPr>
          </w:p>
        </w:tc>
        <w:tc>
          <w:tcPr>
            <w:tcW w:w="1263" w:type="pct"/>
            <w:gridSpan w:val="2"/>
            <w:tcBorders>
              <w:tl2br w:val="nil"/>
              <w:tr2bl w:val="nil"/>
            </w:tcBorders>
            <w:shd w:val="clear" w:color="auto" w:fill="auto"/>
            <w:vAlign w:val="center"/>
          </w:tcPr>
          <w:p w:rsidR="00644456" w:rsidRDefault="008031C4">
            <w:pPr>
              <w:adjustRightInd w:val="0"/>
              <w:snapToGrid w:val="0"/>
              <w:spacing w:line="260" w:lineRule="exact"/>
              <w:jc w:val="center"/>
              <w:rPr>
                <w:bCs/>
                <w:color w:val="000000" w:themeColor="text1"/>
                <w:szCs w:val="21"/>
              </w:rPr>
            </w:pPr>
            <w:r>
              <w:rPr>
                <w:rFonts w:hint="eastAsia"/>
                <w:bCs/>
                <w:color w:val="000000" w:themeColor="text1"/>
                <w:szCs w:val="21"/>
              </w:rPr>
              <w:t>导热油锅炉天然气燃烧废气</w:t>
            </w:r>
          </w:p>
        </w:tc>
        <w:tc>
          <w:tcPr>
            <w:tcW w:w="2534" w:type="pct"/>
            <w:tcBorders>
              <w:tl2br w:val="nil"/>
              <w:tr2bl w:val="nil"/>
            </w:tcBorders>
            <w:shd w:val="clear" w:color="auto" w:fill="auto"/>
            <w:vAlign w:val="center"/>
          </w:tcPr>
          <w:p w:rsidR="00644456" w:rsidRDefault="008031C4">
            <w:pPr>
              <w:pStyle w:val="afffffff4"/>
              <w:jc w:val="left"/>
              <w:rPr>
                <w:rFonts w:cs="Times New Roman"/>
                <w:snapToGrid/>
                <w:color w:val="000000" w:themeColor="text1"/>
                <w:kern w:val="2"/>
              </w:rPr>
            </w:pPr>
            <w:r>
              <w:rPr>
                <w:rFonts w:cs="Times New Roman" w:hint="eastAsia"/>
                <w:snapToGrid/>
                <w:color w:val="000000" w:themeColor="text1"/>
                <w:kern w:val="2"/>
              </w:rPr>
              <w:t>低氮燃烧：</w:t>
            </w:r>
            <w:r>
              <w:rPr>
                <w:rFonts w:cs="Times New Roman"/>
                <w:snapToGrid/>
                <w:color w:val="000000" w:themeColor="text1"/>
                <w:kern w:val="2"/>
              </w:rPr>
              <w:t>1</w:t>
            </w:r>
            <w:r>
              <w:rPr>
                <w:rFonts w:cs="Times New Roman" w:hint="eastAsia"/>
                <w:snapToGrid/>
                <w:color w:val="000000" w:themeColor="text1"/>
                <w:kern w:val="2"/>
              </w:rPr>
              <w:t>套，设置</w:t>
            </w:r>
            <w:r>
              <w:rPr>
                <w:rFonts w:cs="Times New Roman" w:hint="eastAsia"/>
                <w:snapToGrid/>
                <w:color w:val="000000" w:themeColor="text1"/>
                <w:kern w:val="2"/>
              </w:rPr>
              <w:t>1</w:t>
            </w:r>
            <w:r>
              <w:rPr>
                <w:rFonts w:cs="Times New Roman" w:hint="eastAsia"/>
                <w:snapToGrid/>
                <w:color w:val="000000" w:themeColor="text1"/>
                <w:kern w:val="2"/>
              </w:rPr>
              <w:t>根</w:t>
            </w:r>
            <w:r w:rsidR="00E159BB">
              <w:rPr>
                <w:rFonts w:cs="Times New Roman"/>
                <w:snapToGrid/>
                <w:color w:val="000000" w:themeColor="text1"/>
                <w:kern w:val="2"/>
              </w:rPr>
              <w:t>8</w:t>
            </w:r>
            <w:r>
              <w:rPr>
                <w:rFonts w:cs="Times New Roman" w:hint="eastAsia"/>
                <w:snapToGrid/>
                <w:color w:val="000000" w:themeColor="text1"/>
                <w:kern w:val="2"/>
              </w:rPr>
              <w:t>高排气筒（</w:t>
            </w:r>
            <w:r>
              <w:rPr>
                <w:rFonts w:cs="Times New Roman" w:hint="eastAsia"/>
                <w:snapToGrid/>
                <w:color w:val="000000" w:themeColor="text1"/>
                <w:kern w:val="2"/>
              </w:rPr>
              <w:t>DA00</w:t>
            </w:r>
            <w:r>
              <w:rPr>
                <w:rFonts w:cs="Times New Roman"/>
                <w:snapToGrid/>
                <w:color w:val="000000" w:themeColor="text1"/>
                <w:kern w:val="2"/>
              </w:rPr>
              <w:t>2</w:t>
            </w:r>
            <w:r>
              <w:rPr>
                <w:rFonts w:cs="Times New Roman" w:hint="eastAsia"/>
                <w:snapToGrid/>
                <w:color w:val="000000" w:themeColor="text1"/>
                <w:kern w:val="2"/>
              </w:rPr>
              <w:t>）。</w:t>
            </w:r>
          </w:p>
        </w:tc>
        <w:tc>
          <w:tcPr>
            <w:tcW w:w="442" w:type="pct"/>
            <w:tcBorders>
              <w:tl2br w:val="nil"/>
              <w:tr2bl w:val="nil"/>
            </w:tcBorders>
            <w:shd w:val="clear" w:color="auto" w:fill="auto"/>
            <w:vAlign w:val="center"/>
          </w:tcPr>
          <w:p w:rsidR="00644456" w:rsidRDefault="008031C4">
            <w:pPr>
              <w:pStyle w:val="afffffff4"/>
              <w:rPr>
                <w:rFonts w:cs="Times New Roman"/>
                <w:color w:val="000000" w:themeColor="text1"/>
                <w:szCs w:val="21"/>
              </w:rPr>
            </w:pPr>
            <w:r>
              <w:rPr>
                <w:rFonts w:cs="Times New Roman" w:hint="eastAsia"/>
                <w:color w:val="000000" w:themeColor="text1"/>
                <w:szCs w:val="21"/>
              </w:rPr>
              <w:t>新建</w:t>
            </w:r>
          </w:p>
        </w:tc>
        <w:tc>
          <w:tcPr>
            <w:tcW w:w="523" w:type="pct"/>
            <w:tcBorders>
              <w:tl2br w:val="nil"/>
              <w:tr2bl w:val="nil"/>
            </w:tcBorders>
            <w:shd w:val="clear" w:color="auto" w:fill="auto"/>
            <w:vAlign w:val="center"/>
          </w:tcPr>
          <w:p w:rsidR="00644456" w:rsidRDefault="008031C4">
            <w:pPr>
              <w:adjustRightInd w:val="0"/>
              <w:snapToGrid w:val="0"/>
              <w:jc w:val="center"/>
              <w:rPr>
                <w:rFonts w:cs="Times New Roman"/>
                <w:color w:val="000000" w:themeColor="text1"/>
                <w:kern w:val="0"/>
                <w:szCs w:val="21"/>
              </w:rPr>
            </w:pPr>
            <w:r>
              <w:rPr>
                <w:rFonts w:cs="Times New Roman"/>
                <w:color w:val="000000" w:themeColor="text1"/>
                <w:kern w:val="0"/>
                <w:szCs w:val="21"/>
              </w:rPr>
              <w:t>25</w:t>
            </w:r>
          </w:p>
        </w:tc>
      </w:tr>
      <w:tr w:rsidR="00644456">
        <w:trPr>
          <w:jc w:val="center"/>
        </w:trPr>
        <w:tc>
          <w:tcPr>
            <w:tcW w:w="238" w:type="pct"/>
            <w:vMerge/>
            <w:tcBorders>
              <w:tl2br w:val="nil"/>
              <w:tr2bl w:val="nil"/>
            </w:tcBorders>
            <w:shd w:val="clear" w:color="auto" w:fill="auto"/>
            <w:vAlign w:val="center"/>
          </w:tcPr>
          <w:p w:rsidR="00644456" w:rsidRDefault="00644456">
            <w:pPr>
              <w:adjustRightInd w:val="0"/>
              <w:snapToGrid w:val="0"/>
              <w:jc w:val="center"/>
              <w:rPr>
                <w:rFonts w:cs="Times New Roman"/>
                <w:snapToGrid w:val="0"/>
                <w:color w:val="000000" w:themeColor="text1"/>
                <w:kern w:val="0"/>
                <w:szCs w:val="21"/>
              </w:rPr>
            </w:pPr>
          </w:p>
        </w:tc>
        <w:tc>
          <w:tcPr>
            <w:tcW w:w="1263" w:type="pct"/>
            <w:gridSpan w:val="2"/>
            <w:tcBorders>
              <w:tl2br w:val="nil"/>
              <w:tr2bl w:val="nil"/>
            </w:tcBorders>
            <w:shd w:val="clear" w:color="auto" w:fill="auto"/>
            <w:vAlign w:val="center"/>
          </w:tcPr>
          <w:p w:rsidR="00644456" w:rsidRDefault="008031C4">
            <w:pPr>
              <w:adjustRightInd w:val="0"/>
              <w:snapToGrid w:val="0"/>
              <w:spacing w:line="260" w:lineRule="exact"/>
              <w:jc w:val="center"/>
              <w:rPr>
                <w:bCs/>
                <w:color w:val="000000" w:themeColor="text1"/>
                <w:szCs w:val="21"/>
              </w:rPr>
            </w:pPr>
            <w:r>
              <w:rPr>
                <w:rFonts w:hint="eastAsia"/>
                <w:bCs/>
                <w:color w:val="000000" w:themeColor="text1"/>
                <w:szCs w:val="21"/>
              </w:rPr>
              <w:t>罐区、装卸、装置废气</w:t>
            </w:r>
          </w:p>
        </w:tc>
        <w:tc>
          <w:tcPr>
            <w:tcW w:w="2534" w:type="pct"/>
            <w:tcBorders>
              <w:tl2br w:val="nil"/>
              <w:tr2bl w:val="nil"/>
            </w:tcBorders>
            <w:shd w:val="clear" w:color="auto" w:fill="auto"/>
            <w:vAlign w:val="center"/>
          </w:tcPr>
          <w:p w:rsidR="00644456" w:rsidRDefault="008031C4">
            <w:pPr>
              <w:pStyle w:val="afffffff4"/>
              <w:jc w:val="left"/>
              <w:rPr>
                <w:rFonts w:cs="Times New Roman"/>
                <w:snapToGrid/>
                <w:color w:val="000000" w:themeColor="text1"/>
                <w:kern w:val="2"/>
              </w:rPr>
            </w:pPr>
            <w:r>
              <w:rPr>
                <w:rFonts w:cs="Times New Roman" w:hint="eastAsia"/>
                <w:snapToGrid/>
                <w:color w:val="000000" w:themeColor="text1"/>
                <w:kern w:val="2"/>
              </w:rPr>
              <w:t>罐区、装卸、装置废气：大气稀释扩散，罐体密封、密闭装卸、设备密封等措施</w:t>
            </w:r>
          </w:p>
        </w:tc>
        <w:tc>
          <w:tcPr>
            <w:tcW w:w="442" w:type="pct"/>
            <w:tcBorders>
              <w:tl2br w:val="nil"/>
              <w:tr2bl w:val="nil"/>
            </w:tcBorders>
            <w:shd w:val="clear" w:color="auto" w:fill="auto"/>
            <w:vAlign w:val="center"/>
          </w:tcPr>
          <w:p w:rsidR="00644456" w:rsidRDefault="008031C4">
            <w:pPr>
              <w:pStyle w:val="afffffff4"/>
              <w:rPr>
                <w:rFonts w:cs="Times New Roman"/>
                <w:color w:val="000000" w:themeColor="text1"/>
                <w:szCs w:val="21"/>
              </w:rPr>
            </w:pPr>
            <w:r>
              <w:rPr>
                <w:rFonts w:cs="Times New Roman" w:hint="eastAsia"/>
                <w:color w:val="000000" w:themeColor="text1"/>
                <w:szCs w:val="21"/>
              </w:rPr>
              <w:t>新建</w:t>
            </w:r>
          </w:p>
        </w:tc>
        <w:tc>
          <w:tcPr>
            <w:tcW w:w="523" w:type="pct"/>
            <w:tcBorders>
              <w:tl2br w:val="nil"/>
              <w:tr2bl w:val="nil"/>
            </w:tcBorders>
            <w:shd w:val="clear" w:color="auto" w:fill="auto"/>
            <w:vAlign w:val="center"/>
          </w:tcPr>
          <w:p w:rsidR="00644456" w:rsidRDefault="008031C4">
            <w:pPr>
              <w:adjustRightInd w:val="0"/>
              <w:snapToGrid w:val="0"/>
              <w:jc w:val="center"/>
              <w:rPr>
                <w:rFonts w:cs="Times New Roman"/>
                <w:color w:val="000000" w:themeColor="text1"/>
                <w:kern w:val="0"/>
                <w:szCs w:val="21"/>
              </w:rPr>
            </w:pPr>
            <w:r>
              <w:rPr>
                <w:rFonts w:cs="Times New Roman"/>
                <w:color w:val="000000" w:themeColor="text1"/>
                <w:kern w:val="0"/>
                <w:szCs w:val="21"/>
              </w:rPr>
              <w:t>20</w:t>
            </w:r>
          </w:p>
        </w:tc>
      </w:tr>
      <w:tr w:rsidR="00644456">
        <w:trPr>
          <w:jc w:val="center"/>
        </w:trPr>
        <w:tc>
          <w:tcPr>
            <w:tcW w:w="238" w:type="pct"/>
            <w:vMerge w:val="restar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废水</w:t>
            </w:r>
          </w:p>
        </w:tc>
        <w:tc>
          <w:tcPr>
            <w:tcW w:w="1263" w:type="pct"/>
            <w:gridSpan w:val="2"/>
            <w:tcBorders>
              <w:tl2br w:val="nil"/>
              <w:tr2bl w:val="nil"/>
            </w:tcBorders>
            <w:shd w:val="clear" w:color="auto" w:fill="auto"/>
            <w:vAlign w:val="center"/>
          </w:tcPr>
          <w:p w:rsidR="00644456" w:rsidRDefault="008031C4">
            <w:pPr>
              <w:adjustRightInd w:val="0"/>
              <w:snapToGrid w:val="0"/>
              <w:spacing w:line="260" w:lineRule="exact"/>
              <w:jc w:val="center"/>
              <w:rPr>
                <w:bCs/>
                <w:color w:val="000000" w:themeColor="text1"/>
                <w:szCs w:val="21"/>
              </w:rPr>
            </w:pPr>
            <w:r>
              <w:rPr>
                <w:bCs/>
                <w:color w:val="000000" w:themeColor="text1"/>
                <w:szCs w:val="21"/>
              </w:rPr>
              <w:t>生产废水</w:t>
            </w:r>
          </w:p>
        </w:tc>
        <w:tc>
          <w:tcPr>
            <w:tcW w:w="2534" w:type="pct"/>
            <w:tcBorders>
              <w:tl2br w:val="nil"/>
              <w:tr2bl w:val="nil"/>
            </w:tcBorders>
            <w:shd w:val="clear" w:color="auto" w:fill="auto"/>
            <w:vAlign w:val="center"/>
          </w:tcPr>
          <w:p w:rsidR="00644456" w:rsidRDefault="008031C4">
            <w:pPr>
              <w:pStyle w:val="afffffff4"/>
              <w:jc w:val="left"/>
              <w:rPr>
                <w:rFonts w:cs="Times New Roman"/>
                <w:snapToGrid/>
                <w:color w:val="000000" w:themeColor="text1"/>
                <w:kern w:val="2"/>
              </w:rPr>
            </w:pPr>
            <w:r>
              <w:rPr>
                <w:rFonts w:cs="Times New Roman" w:hint="eastAsia"/>
                <w:snapToGrid/>
                <w:color w:val="000000" w:themeColor="text1"/>
                <w:kern w:val="2"/>
              </w:rPr>
              <w:t>污水处理站：</w:t>
            </w:r>
            <w:r>
              <w:rPr>
                <w:rFonts w:cs="Times New Roman"/>
                <w:snapToGrid/>
                <w:color w:val="000000" w:themeColor="text1"/>
                <w:kern w:val="2"/>
              </w:rPr>
              <w:t>1</w:t>
            </w:r>
            <w:r>
              <w:rPr>
                <w:rFonts w:cs="Times New Roman"/>
                <w:snapToGrid/>
                <w:color w:val="000000" w:themeColor="text1"/>
                <w:kern w:val="2"/>
              </w:rPr>
              <w:t>座，</w:t>
            </w:r>
            <w:r>
              <w:rPr>
                <w:rFonts w:cs="Times New Roman" w:hint="eastAsia"/>
                <w:snapToGrid/>
                <w:color w:val="000000" w:themeColor="text1"/>
                <w:kern w:val="2"/>
              </w:rPr>
              <w:t>采用“预处理（电解气浮）</w:t>
            </w:r>
            <w:r>
              <w:rPr>
                <w:rFonts w:cs="Times New Roman" w:hint="eastAsia"/>
                <w:snapToGrid/>
                <w:color w:val="000000" w:themeColor="text1"/>
                <w:kern w:val="2"/>
              </w:rPr>
              <w:t>+</w:t>
            </w:r>
            <w:r>
              <w:rPr>
                <w:rFonts w:cs="Times New Roman" w:hint="eastAsia"/>
                <w:snapToGrid/>
                <w:color w:val="000000" w:themeColor="text1"/>
                <w:kern w:val="2"/>
              </w:rPr>
              <w:t>生化处理</w:t>
            </w:r>
            <w:r>
              <w:rPr>
                <w:rFonts w:cs="Times New Roman" w:hint="eastAsia"/>
                <w:snapToGrid/>
                <w:color w:val="000000" w:themeColor="text1"/>
                <w:kern w:val="2"/>
              </w:rPr>
              <w:t>A2O</w:t>
            </w:r>
            <w:r>
              <w:rPr>
                <w:rFonts w:cs="Times New Roman" w:hint="eastAsia"/>
                <w:snapToGrid/>
                <w:color w:val="000000" w:themeColor="text1"/>
                <w:kern w:val="2"/>
              </w:rPr>
              <w:t>”生产废水经自建污水处理站处理后排入市政管网最终进入生态钢城污水处理厂处理；</w:t>
            </w:r>
            <w:r>
              <w:rPr>
                <w:rFonts w:cs="Times New Roman" w:hint="eastAsia"/>
                <w:snapToGrid/>
                <w:color w:val="000000" w:themeColor="text1"/>
                <w:kern w:val="2"/>
              </w:rPr>
              <w:t>2</w:t>
            </w:r>
            <w:r>
              <w:rPr>
                <w:rFonts w:cs="Times New Roman"/>
                <w:snapToGrid/>
                <w:color w:val="000000" w:themeColor="text1"/>
                <w:kern w:val="2"/>
              </w:rPr>
              <w:t>00m</w:t>
            </w:r>
            <w:r w:rsidRPr="00E159BB">
              <w:rPr>
                <w:rFonts w:cs="Times New Roman"/>
                <w:snapToGrid/>
                <w:color w:val="000000" w:themeColor="text1"/>
                <w:kern w:val="2"/>
                <w:vertAlign w:val="superscript"/>
              </w:rPr>
              <w:t>3</w:t>
            </w:r>
            <w:r>
              <w:rPr>
                <w:rFonts w:cs="Times New Roman"/>
                <w:snapToGrid/>
                <w:color w:val="000000" w:themeColor="text1"/>
                <w:kern w:val="2"/>
              </w:rPr>
              <w:t>/d</w:t>
            </w:r>
            <w:r>
              <w:rPr>
                <w:rFonts w:cs="Times New Roman" w:hint="eastAsia"/>
                <w:snapToGrid/>
                <w:color w:val="000000" w:themeColor="text1"/>
                <w:kern w:val="2"/>
              </w:rPr>
              <w:t>。</w:t>
            </w:r>
          </w:p>
        </w:tc>
        <w:tc>
          <w:tcPr>
            <w:tcW w:w="442" w:type="pct"/>
            <w:tcBorders>
              <w:tl2br w:val="nil"/>
              <w:tr2bl w:val="nil"/>
            </w:tcBorders>
            <w:shd w:val="clear" w:color="auto" w:fill="auto"/>
            <w:vAlign w:val="center"/>
          </w:tcPr>
          <w:p w:rsidR="00644456" w:rsidRDefault="008031C4">
            <w:pPr>
              <w:pStyle w:val="afffffff4"/>
              <w:rPr>
                <w:rFonts w:cs="Times New Roman"/>
                <w:color w:val="000000" w:themeColor="text1"/>
                <w:szCs w:val="21"/>
              </w:rPr>
            </w:pPr>
            <w:r>
              <w:rPr>
                <w:rFonts w:cs="Times New Roman" w:hint="eastAsia"/>
                <w:color w:val="000000" w:themeColor="text1"/>
                <w:szCs w:val="21"/>
              </w:rPr>
              <w:t>新建</w:t>
            </w:r>
          </w:p>
        </w:tc>
        <w:tc>
          <w:tcPr>
            <w:tcW w:w="523" w:type="pct"/>
            <w:vMerge w:val="restart"/>
            <w:tcBorders>
              <w:tl2br w:val="nil"/>
              <w:tr2bl w:val="nil"/>
            </w:tcBorders>
            <w:shd w:val="clear" w:color="auto" w:fill="auto"/>
            <w:vAlign w:val="center"/>
          </w:tcPr>
          <w:p w:rsidR="00644456" w:rsidRDefault="008031C4">
            <w:pPr>
              <w:pStyle w:val="32"/>
              <w:adjustRightInd w:val="0"/>
              <w:snapToGrid w:val="0"/>
              <w:spacing w:after="0"/>
              <w:ind w:firstLine="422"/>
              <w:jc w:val="center"/>
              <w:rPr>
                <w:rFonts w:cs="Times New Roman"/>
                <w:snapToGrid w:val="0"/>
                <w:color w:val="000000" w:themeColor="text1"/>
                <w:kern w:val="0"/>
                <w:sz w:val="21"/>
                <w:szCs w:val="21"/>
              </w:rPr>
            </w:pPr>
            <w:r>
              <w:rPr>
                <w:rFonts w:cs="Times New Roman"/>
                <w:snapToGrid w:val="0"/>
                <w:color w:val="000000" w:themeColor="text1"/>
                <w:kern w:val="0"/>
                <w:sz w:val="21"/>
                <w:szCs w:val="21"/>
              </w:rPr>
              <w:t>75</w:t>
            </w:r>
          </w:p>
        </w:tc>
      </w:tr>
      <w:tr w:rsidR="00644456">
        <w:trPr>
          <w:jc w:val="center"/>
        </w:trPr>
        <w:tc>
          <w:tcPr>
            <w:tcW w:w="238" w:type="pct"/>
            <w:vMerge/>
            <w:tcBorders>
              <w:tl2br w:val="nil"/>
              <w:tr2bl w:val="nil"/>
            </w:tcBorders>
            <w:shd w:val="clear" w:color="auto" w:fill="auto"/>
            <w:vAlign w:val="center"/>
          </w:tcPr>
          <w:p w:rsidR="00644456" w:rsidRDefault="00644456">
            <w:pPr>
              <w:adjustRightInd w:val="0"/>
              <w:snapToGrid w:val="0"/>
              <w:jc w:val="center"/>
              <w:rPr>
                <w:rFonts w:cs="Times New Roman"/>
                <w:snapToGrid w:val="0"/>
                <w:color w:val="000000" w:themeColor="text1"/>
                <w:kern w:val="0"/>
                <w:szCs w:val="21"/>
              </w:rPr>
            </w:pPr>
          </w:p>
        </w:tc>
        <w:tc>
          <w:tcPr>
            <w:tcW w:w="1263" w:type="pct"/>
            <w:gridSpan w:val="2"/>
            <w:tcBorders>
              <w:tl2br w:val="nil"/>
              <w:tr2bl w:val="nil"/>
            </w:tcBorders>
            <w:shd w:val="clear" w:color="auto" w:fill="auto"/>
            <w:vAlign w:val="center"/>
          </w:tcPr>
          <w:p w:rsidR="00644456" w:rsidRDefault="008031C4">
            <w:pPr>
              <w:adjustRightInd w:val="0"/>
              <w:snapToGrid w:val="0"/>
              <w:spacing w:line="260" w:lineRule="exact"/>
              <w:jc w:val="center"/>
              <w:rPr>
                <w:bCs/>
                <w:color w:val="000000" w:themeColor="text1"/>
                <w:szCs w:val="21"/>
              </w:rPr>
            </w:pPr>
            <w:r>
              <w:rPr>
                <w:bCs/>
                <w:color w:val="000000" w:themeColor="text1"/>
                <w:szCs w:val="21"/>
              </w:rPr>
              <w:t>生活污水</w:t>
            </w:r>
          </w:p>
        </w:tc>
        <w:tc>
          <w:tcPr>
            <w:tcW w:w="2534" w:type="pct"/>
            <w:tcBorders>
              <w:tl2br w:val="nil"/>
              <w:tr2bl w:val="nil"/>
            </w:tcBorders>
            <w:shd w:val="clear" w:color="auto" w:fill="auto"/>
            <w:vAlign w:val="center"/>
          </w:tcPr>
          <w:p w:rsidR="00644456" w:rsidRDefault="008031C4">
            <w:pPr>
              <w:pStyle w:val="afffffff4"/>
              <w:jc w:val="left"/>
              <w:rPr>
                <w:rFonts w:cs="Times New Roman"/>
                <w:snapToGrid/>
                <w:color w:val="000000" w:themeColor="text1"/>
                <w:kern w:val="2"/>
              </w:rPr>
            </w:pPr>
            <w:r>
              <w:rPr>
                <w:rFonts w:cs="Times New Roman" w:hint="eastAsia"/>
                <w:snapToGrid/>
                <w:color w:val="000000" w:themeColor="text1"/>
                <w:kern w:val="2"/>
              </w:rPr>
              <w:t>新建预处理池（</w:t>
            </w:r>
            <w:r>
              <w:rPr>
                <w:rFonts w:cs="Times New Roman"/>
                <w:snapToGrid/>
                <w:color w:val="000000" w:themeColor="text1"/>
                <w:kern w:val="2"/>
              </w:rPr>
              <w:t>10m</w:t>
            </w:r>
            <w:r w:rsidRPr="00E159BB">
              <w:rPr>
                <w:rFonts w:cs="Times New Roman"/>
                <w:snapToGrid/>
                <w:color w:val="000000" w:themeColor="text1"/>
                <w:kern w:val="2"/>
                <w:vertAlign w:val="superscript"/>
              </w:rPr>
              <w:t>3</w:t>
            </w:r>
            <w:r>
              <w:rPr>
                <w:rFonts w:cs="Times New Roman" w:hint="eastAsia"/>
                <w:snapToGrid/>
                <w:color w:val="000000" w:themeColor="text1"/>
                <w:kern w:val="2"/>
              </w:rPr>
              <w:t>）</w:t>
            </w:r>
            <w:r>
              <w:rPr>
                <w:rFonts w:cs="Times New Roman"/>
                <w:snapToGrid/>
                <w:color w:val="000000" w:themeColor="text1"/>
                <w:kern w:val="2"/>
              </w:rPr>
              <w:t>，</w:t>
            </w:r>
            <w:r>
              <w:rPr>
                <w:rFonts w:cs="Times New Roman" w:hint="eastAsia"/>
                <w:snapToGrid/>
                <w:color w:val="000000" w:themeColor="text1"/>
                <w:kern w:val="2"/>
              </w:rPr>
              <w:t>生活污水经预处理池处理进入生态钢城污水处理厂处理。</w:t>
            </w:r>
          </w:p>
        </w:tc>
        <w:tc>
          <w:tcPr>
            <w:tcW w:w="442" w:type="pct"/>
            <w:tcBorders>
              <w:tl2br w:val="nil"/>
              <w:tr2bl w:val="nil"/>
            </w:tcBorders>
            <w:shd w:val="clear" w:color="auto" w:fill="auto"/>
            <w:vAlign w:val="center"/>
          </w:tcPr>
          <w:p w:rsidR="00644456" w:rsidRDefault="008031C4">
            <w:pPr>
              <w:widowControl/>
              <w:adjustRightInd w:val="0"/>
              <w:snapToGrid w:val="0"/>
              <w:jc w:val="center"/>
              <w:textAlignment w:val="center"/>
              <w:rPr>
                <w:rFonts w:cs="Times New Roman"/>
                <w:color w:val="000000" w:themeColor="text1"/>
                <w:kern w:val="0"/>
                <w:szCs w:val="21"/>
              </w:rPr>
            </w:pPr>
            <w:r>
              <w:rPr>
                <w:rFonts w:cs="Times New Roman" w:hint="eastAsia"/>
                <w:color w:val="000000" w:themeColor="text1"/>
                <w:szCs w:val="21"/>
              </w:rPr>
              <w:t>新建</w:t>
            </w:r>
          </w:p>
        </w:tc>
        <w:tc>
          <w:tcPr>
            <w:tcW w:w="523" w:type="pct"/>
            <w:vMerge/>
            <w:tcBorders>
              <w:tl2br w:val="nil"/>
              <w:tr2bl w:val="nil"/>
            </w:tcBorders>
            <w:shd w:val="clear" w:color="auto" w:fill="auto"/>
            <w:vAlign w:val="center"/>
          </w:tcPr>
          <w:p w:rsidR="00644456" w:rsidRDefault="00644456">
            <w:pPr>
              <w:pStyle w:val="32"/>
              <w:adjustRightInd w:val="0"/>
              <w:snapToGrid w:val="0"/>
              <w:spacing w:after="0"/>
              <w:ind w:firstLine="422"/>
              <w:jc w:val="center"/>
              <w:rPr>
                <w:rFonts w:cs="Times New Roman"/>
                <w:snapToGrid w:val="0"/>
                <w:color w:val="000000" w:themeColor="text1"/>
                <w:kern w:val="0"/>
                <w:sz w:val="21"/>
                <w:szCs w:val="21"/>
              </w:rPr>
            </w:pPr>
          </w:p>
        </w:tc>
      </w:tr>
      <w:tr w:rsidR="00644456">
        <w:trPr>
          <w:jc w:val="center"/>
        </w:trPr>
        <w:tc>
          <w:tcPr>
            <w:tcW w:w="238"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噪声</w:t>
            </w:r>
          </w:p>
        </w:tc>
        <w:tc>
          <w:tcPr>
            <w:tcW w:w="1263" w:type="pct"/>
            <w:gridSpan w:val="2"/>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设备噪声</w:t>
            </w:r>
          </w:p>
        </w:tc>
        <w:tc>
          <w:tcPr>
            <w:tcW w:w="2534" w:type="pct"/>
            <w:tcBorders>
              <w:tl2br w:val="nil"/>
              <w:tr2bl w:val="nil"/>
            </w:tcBorders>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bCs/>
                <w:color w:val="000000" w:themeColor="text1"/>
                <w:kern w:val="0"/>
                <w:szCs w:val="21"/>
              </w:rPr>
              <w:t>采用低噪声设备，定期检修维持设备处于良好的运转状态、对各种风机等产生</w:t>
            </w:r>
            <w:r>
              <w:rPr>
                <w:rFonts w:cs="Times New Roman" w:hint="eastAsia"/>
                <w:bCs/>
                <w:color w:val="000000" w:themeColor="text1"/>
                <w:kern w:val="0"/>
                <w:szCs w:val="21"/>
              </w:rPr>
              <w:t>气流</w:t>
            </w:r>
            <w:r>
              <w:rPr>
                <w:rFonts w:cs="Times New Roman"/>
                <w:bCs/>
                <w:color w:val="000000" w:themeColor="text1"/>
                <w:kern w:val="0"/>
                <w:szCs w:val="21"/>
              </w:rPr>
              <w:t>的噪声设备，在其气体进出口部位安装消声器；对泵类、空压机等因震动而产生噪声的设备，安装橡胶减震垫，弹簧减震器等隔震机座，为一些噪声大的设备建设单独的隔声机房</w:t>
            </w:r>
          </w:p>
        </w:tc>
        <w:tc>
          <w:tcPr>
            <w:tcW w:w="442"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hint="eastAsia"/>
                <w:color w:val="000000" w:themeColor="text1"/>
                <w:szCs w:val="21"/>
              </w:rPr>
              <w:t>新建</w:t>
            </w:r>
          </w:p>
        </w:tc>
        <w:tc>
          <w:tcPr>
            <w:tcW w:w="523"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130</w:t>
            </w:r>
          </w:p>
        </w:tc>
      </w:tr>
      <w:tr w:rsidR="00644456">
        <w:trPr>
          <w:trHeight w:val="947"/>
          <w:jc w:val="center"/>
        </w:trPr>
        <w:tc>
          <w:tcPr>
            <w:tcW w:w="238"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固废</w:t>
            </w:r>
          </w:p>
        </w:tc>
        <w:tc>
          <w:tcPr>
            <w:tcW w:w="1263" w:type="pct"/>
            <w:gridSpan w:val="2"/>
            <w:tcBorders>
              <w:tl2br w:val="nil"/>
              <w:tr2bl w:val="nil"/>
            </w:tcBorders>
            <w:shd w:val="clear" w:color="auto" w:fill="auto"/>
            <w:vAlign w:val="center"/>
          </w:tcPr>
          <w:p w:rsidR="00644456" w:rsidRDefault="008031C4">
            <w:pPr>
              <w:autoSpaceDE w:val="0"/>
              <w:autoSpaceDN w:val="0"/>
              <w:adjustRightInd w:val="0"/>
              <w:snapToGrid w:val="0"/>
              <w:spacing w:line="260" w:lineRule="exact"/>
              <w:jc w:val="center"/>
              <w:rPr>
                <w:rFonts w:cs="Times New Roman"/>
                <w:color w:val="000000" w:themeColor="text1"/>
                <w:szCs w:val="21"/>
              </w:rPr>
            </w:pPr>
            <w:r>
              <w:rPr>
                <w:color w:val="000000" w:themeColor="text1"/>
                <w:szCs w:val="21"/>
                <w:lang w:val="zh-CN"/>
              </w:rPr>
              <w:t>固废治理</w:t>
            </w:r>
          </w:p>
        </w:tc>
        <w:tc>
          <w:tcPr>
            <w:tcW w:w="2534" w:type="pct"/>
            <w:tcBorders>
              <w:tl2br w:val="nil"/>
              <w:tr2bl w:val="nil"/>
            </w:tcBorders>
            <w:shd w:val="clear" w:color="auto" w:fill="auto"/>
            <w:vAlign w:val="center"/>
          </w:tcPr>
          <w:p w:rsidR="00644456" w:rsidRDefault="008031C4">
            <w:pPr>
              <w:pStyle w:val="afffffff4"/>
              <w:jc w:val="left"/>
              <w:rPr>
                <w:rFonts w:cs="Times New Roman"/>
                <w:snapToGrid/>
                <w:color w:val="000000" w:themeColor="text1"/>
                <w:kern w:val="2"/>
              </w:rPr>
            </w:pPr>
            <w:r>
              <w:rPr>
                <w:rFonts w:cs="Times New Roman" w:hint="eastAsia"/>
                <w:snapToGrid/>
                <w:color w:val="000000" w:themeColor="text1"/>
                <w:kern w:val="2"/>
              </w:rPr>
              <w:t>本项目产生的固废主要为水生活垃圾、预处理池污泥、含油废渣、污水处理设施浮渣、浮油和污泥</w:t>
            </w:r>
          </w:p>
          <w:p w:rsidR="00644456" w:rsidRDefault="008031C4">
            <w:pPr>
              <w:adjustRightInd w:val="0"/>
              <w:spacing w:line="260" w:lineRule="exact"/>
              <w:rPr>
                <w:rFonts w:cs="Times New Roman"/>
                <w:color w:val="000000" w:themeColor="text1"/>
                <w:szCs w:val="21"/>
              </w:rPr>
            </w:pPr>
            <w:r>
              <w:rPr>
                <w:rFonts w:cs="Times New Roman" w:hint="eastAsia"/>
                <w:color w:val="000000" w:themeColor="text1"/>
              </w:rPr>
              <w:t>废导热油、蒸馏残渣、废干式过滤器、其他危险废物等。生活垃圾由环卫部门清运；危废需委托有相应危废处理资质的单位处置；生活污水预处理池污泥定期环卫清掏清运。</w:t>
            </w:r>
          </w:p>
        </w:tc>
        <w:tc>
          <w:tcPr>
            <w:tcW w:w="442"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hint="eastAsia"/>
                <w:snapToGrid w:val="0"/>
                <w:color w:val="000000" w:themeColor="text1"/>
                <w:kern w:val="0"/>
                <w:szCs w:val="21"/>
              </w:rPr>
              <w:t>新建</w:t>
            </w:r>
          </w:p>
        </w:tc>
        <w:tc>
          <w:tcPr>
            <w:tcW w:w="523"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color w:val="000000" w:themeColor="text1"/>
                <w:kern w:val="0"/>
                <w:szCs w:val="21"/>
              </w:rPr>
              <w:t>50</w:t>
            </w:r>
          </w:p>
        </w:tc>
      </w:tr>
      <w:tr w:rsidR="00644456">
        <w:trPr>
          <w:jc w:val="center"/>
        </w:trPr>
        <w:tc>
          <w:tcPr>
            <w:tcW w:w="238" w:type="pct"/>
            <w:vMerge w:val="restar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color w:val="000000" w:themeColor="text1"/>
                <w:szCs w:val="21"/>
              </w:rPr>
              <w:t>风险防范措施</w:t>
            </w:r>
          </w:p>
        </w:tc>
        <w:tc>
          <w:tcPr>
            <w:tcW w:w="3797" w:type="pct"/>
            <w:gridSpan w:val="3"/>
            <w:tcBorders>
              <w:tl2br w:val="nil"/>
              <w:tr2bl w:val="nil"/>
            </w:tcBorders>
            <w:shd w:val="clear" w:color="auto" w:fill="auto"/>
            <w:vAlign w:val="center"/>
          </w:tcPr>
          <w:p w:rsidR="00644456" w:rsidRDefault="008031C4">
            <w:pPr>
              <w:adjustRightInd w:val="0"/>
              <w:snapToGrid w:val="0"/>
              <w:rPr>
                <w:rFonts w:cs="Times New Roman"/>
                <w:color w:val="000000" w:themeColor="text1"/>
              </w:rPr>
            </w:pPr>
            <w:r>
              <w:rPr>
                <w:rFonts w:cs="Times New Roman" w:hint="eastAsia"/>
                <w:color w:val="000000" w:themeColor="text1"/>
                <w:szCs w:val="21"/>
              </w:rPr>
              <w:t>编制备案应急预案，新建</w:t>
            </w:r>
            <w:r>
              <w:rPr>
                <w:rFonts w:cs="Times New Roman" w:hint="eastAsia"/>
                <w:color w:val="000000" w:themeColor="text1"/>
                <w:szCs w:val="21"/>
              </w:rPr>
              <w:t>1</w:t>
            </w:r>
            <w:r>
              <w:rPr>
                <w:rFonts w:cs="Times New Roman" w:hint="eastAsia"/>
                <w:color w:val="000000" w:themeColor="text1"/>
                <w:szCs w:val="21"/>
              </w:rPr>
              <w:t>座容积为</w:t>
            </w:r>
            <w:r>
              <w:rPr>
                <w:rFonts w:cs="Times New Roman" w:hint="eastAsia"/>
                <w:color w:val="000000" w:themeColor="text1"/>
                <w:szCs w:val="21"/>
              </w:rPr>
              <w:t>700m</w:t>
            </w:r>
            <w:r>
              <w:rPr>
                <w:rFonts w:cs="Times New Roman" w:hint="eastAsia"/>
                <w:color w:val="000000" w:themeColor="text1"/>
                <w:szCs w:val="21"/>
              </w:rPr>
              <w:t>³的事故水池，接纳事故状态下排放的废油、洗消废水，新建</w:t>
            </w:r>
            <w:r>
              <w:rPr>
                <w:rFonts w:cs="Times New Roman" w:hint="eastAsia"/>
                <w:color w:val="000000" w:themeColor="text1"/>
                <w:szCs w:val="21"/>
              </w:rPr>
              <w:t>1</w:t>
            </w:r>
            <w:r>
              <w:rPr>
                <w:rFonts w:cs="Times New Roman" w:hint="eastAsia"/>
                <w:color w:val="000000" w:themeColor="text1"/>
                <w:szCs w:val="21"/>
              </w:rPr>
              <w:t>座容积为</w:t>
            </w:r>
            <w:r>
              <w:rPr>
                <w:rFonts w:cs="Times New Roman" w:hint="eastAsia"/>
                <w:color w:val="000000" w:themeColor="text1"/>
                <w:szCs w:val="21"/>
              </w:rPr>
              <w:t>535m</w:t>
            </w:r>
            <w:r>
              <w:rPr>
                <w:rFonts w:cs="Times New Roman" w:hint="eastAsia"/>
                <w:color w:val="000000" w:themeColor="text1"/>
                <w:szCs w:val="21"/>
              </w:rPr>
              <w:t>³的消防水罐并配套消防泵、消防水管等，新建</w:t>
            </w:r>
            <w:r>
              <w:rPr>
                <w:rFonts w:cs="Times New Roman" w:hint="eastAsia"/>
                <w:color w:val="000000" w:themeColor="text1"/>
                <w:szCs w:val="21"/>
              </w:rPr>
              <w:t>300m</w:t>
            </w:r>
            <w:r>
              <w:rPr>
                <w:rFonts w:cs="Times New Roman" w:hint="eastAsia"/>
                <w:color w:val="000000" w:themeColor="text1"/>
                <w:szCs w:val="21"/>
                <w:vertAlign w:val="superscript"/>
              </w:rPr>
              <w:t>3</w:t>
            </w:r>
            <w:r>
              <w:rPr>
                <w:rFonts w:cs="Times New Roman" w:hint="eastAsia"/>
                <w:color w:val="000000" w:themeColor="text1"/>
                <w:szCs w:val="21"/>
              </w:rPr>
              <w:t>的初期雨水池，接纳初期雨水，装卸车区、原料油罐组、成品油罐组、润滑油生产装置区等四周设置导流沟，原料油罐组、成品油罐组设置</w:t>
            </w:r>
            <w:r>
              <w:rPr>
                <w:rFonts w:cs="Times New Roman" w:hint="eastAsia"/>
                <w:color w:val="000000" w:themeColor="text1"/>
                <w:szCs w:val="21"/>
              </w:rPr>
              <w:t>1.2m</w:t>
            </w:r>
            <w:r>
              <w:rPr>
                <w:rFonts w:cs="Times New Roman" w:hint="eastAsia"/>
                <w:color w:val="000000" w:themeColor="text1"/>
                <w:szCs w:val="21"/>
              </w:rPr>
              <w:t>围堰，防止附着的废油类物质滴落漫流，</w:t>
            </w:r>
          </w:p>
        </w:tc>
        <w:tc>
          <w:tcPr>
            <w:tcW w:w="442" w:type="pct"/>
            <w:tcBorders>
              <w:tl2br w:val="nil"/>
              <w:tr2bl w:val="nil"/>
            </w:tcBorders>
            <w:shd w:val="clear" w:color="auto" w:fill="auto"/>
            <w:vAlign w:val="center"/>
          </w:tcPr>
          <w:p w:rsidR="00644456" w:rsidRDefault="008031C4">
            <w:pPr>
              <w:widowControl/>
              <w:adjustRightInd w:val="0"/>
              <w:snapToGrid w:val="0"/>
              <w:jc w:val="center"/>
              <w:textAlignment w:val="center"/>
              <w:rPr>
                <w:rFonts w:cs="Times New Roman"/>
                <w:color w:val="000000" w:themeColor="text1"/>
              </w:rPr>
            </w:pPr>
            <w:r>
              <w:rPr>
                <w:rFonts w:cs="Times New Roman" w:hint="eastAsia"/>
                <w:color w:val="000000" w:themeColor="text1"/>
                <w:spacing w:val="-4"/>
                <w:kern w:val="0"/>
                <w:szCs w:val="21"/>
              </w:rPr>
              <w:t>新建</w:t>
            </w:r>
          </w:p>
        </w:tc>
        <w:tc>
          <w:tcPr>
            <w:tcW w:w="523"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color w:val="000000" w:themeColor="text1"/>
                <w:kern w:val="0"/>
                <w:szCs w:val="21"/>
              </w:rPr>
              <w:t>130</w:t>
            </w:r>
          </w:p>
        </w:tc>
      </w:tr>
      <w:tr w:rsidR="00644456">
        <w:trPr>
          <w:trHeight w:val="90"/>
          <w:jc w:val="center"/>
        </w:trPr>
        <w:tc>
          <w:tcPr>
            <w:tcW w:w="238" w:type="pct"/>
            <w:vMerge/>
            <w:tcBorders>
              <w:tl2br w:val="nil"/>
              <w:tr2bl w:val="nil"/>
            </w:tcBorders>
            <w:shd w:val="clear" w:color="auto" w:fill="auto"/>
            <w:vAlign w:val="center"/>
          </w:tcPr>
          <w:p w:rsidR="00644456" w:rsidRDefault="00644456">
            <w:pPr>
              <w:adjustRightInd w:val="0"/>
              <w:snapToGrid w:val="0"/>
              <w:jc w:val="center"/>
              <w:rPr>
                <w:rFonts w:cs="Times New Roman"/>
                <w:snapToGrid w:val="0"/>
                <w:color w:val="000000" w:themeColor="text1"/>
                <w:kern w:val="0"/>
                <w:szCs w:val="21"/>
              </w:rPr>
            </w:pPr>
          </w:p>
        </w:tc>
        <w:tc>
          <w:tcPr>
            <w:tcW w:w="3797" w:type="pct"/>
            <w:gridSpan w:val="3"/>
            <w:tcBorders>
              <w:tl2br w:val="nil"/>
              <w:tr2bl w:val="nil"/>
            </w:tcBorders>
            <w:shd w:val="clear" w:color="auto" w:fill="auto"/>
            <w:vAlign w:val="center"/>
          </w:tcPr>
          <w:p w:rsidR="00644456" w:rsidRDefault="008031C4">
            <w:pPr>
              <w:pStyle w:val="afffffff4"/>
              <w:rPr>
                <w:rFonts w:cs="Times New Roman"/>
                <w:color w:val="000000" w:themeColor="text1"/>
              </w:rPr>
            </w:pPr>
            <w:r>
              <w:rPr>
                <w:rFonts w:cs="Times New Roman"/>
                <w:color w:val="000000" w:themeColor="text1"/>
              </w:rPr>
              <w:t>应急预案及管理措施建设；加强车间的安全管理，制定严格的岗位责任制度，安全操作注意事项等制度</w:t>
            </w:r>
          </w:p>
        </w:tc>
        <w:tc>
          <w:tcPr>
            <w:tcW w:w="442" w:type="pct"/>
            <w:tcBorders>
              <w:tl2br w:val="nil"/>
              <w:tr2bl w:val="nil"/>
            </w:tcBorders>
            <w:shd w:val="clear" w:color="auto" w:fill="auto"/>
            <w:vAlign w:val="center"/>
          </w:tcPr>
          <w:p w:rsidR="00644456" w:rsidRDefault="008031C4">
            <w:pPr>
              <w:pStyle w:val="afffffff4"/>
              <w:rPr>
                <w:rFonts w:cs="Times New Roman"/>
                <w:color w:val="000000" w:themeColor="text1"/>
              </w:rPr>
            </w:pPr>
            <w:r>
              <w:rPr>
                <w:rFonts w:cs="Times New Roman" w:hint="eastAsia"/>
                <w:color w:val="000000" w:themeColor="text1"/>
              </w:rPr>
              <w:t>新建</w:t>
            </w:r>
          </w:p>
        </w:tc>
        <w:tc>
          <w:tcPr>
            <w:tcW w:w="523"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color w:val="000000" w:themeColor="text1"/>
                <w:kern w:val="0"/>
                <w:szCs w:val="21"/>
              </w:rPr>
              <w:t>65</w:t>
            </w:r>
          </w:p>
        </w:tc>
      </w:tr>
      <w:tr w:rsidR="00644456">
        <w:trPr>
          <w:jc w:val="center"/>
        </w:trPr>
        <w:tc>
          <w:tcPr>
            <w:tcW w:w="238"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地下水</w:t>
            </w:r>
          </w:p>
        </w:tc>
        <w:tc>
          <w:tcPr>
            <w:tcW w:w="1263" w:type="pct"/>
            <w:gridSpan w:val="2"/>
            <w:tcBorders>
              <w:tl2br w:val="nil"/>
              <w:tr2bl w:val="nil"/>
            </w:tcBorders>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厂区地下水防范措施</w:t>
            </w:r>
          </w:p>
        </w:tc>
        <w:tc>
          <w:tcPr>
            <w:tcW w:w="2534"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厂区分区防渗系统、截流沟渠建设；地下水监测井，水位、水质动态监测；预留环境风险地下水监测治理费用等。</w:t>
            </w:r>
          </w:p>
        </w:tc>
        <w:tc>
          <w:tcPr>
            <w:tcW w:w="442"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hint="eastAsia"/>
                <w:color w:val="000000" w:themeColor="text1"/>
                <w:kern w:val="0"/>
                <w:szCs w:val="21"/>
              </w:rPr>
              <w:t>新建</w:t>
            </w:r>
          </w:p>
        </w:tc>
        <w:tc>
          <w:tcPr>
            <w:tcW w:w="523"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2</w:t>
            </w:r>
            <w:r>
              <w:rPr>
                <w:rFonts w:cs="Times New Roman" w:hint="eastAsia"/>
                <w:snapToGrid w:val="0"/>
                <w:color w:val="000000" w:themeColor="text1"/>
                <w:kern w:val="0"/>
                <w:szCs w:val="21"/>
              </w:rPr>
              <w:t>5</w:t>
            </w:r>
          </w:p>
        </w:tc>
      </w:tr>
      <w:tr w:rsidR="00644456">
        <w:trPr>
          <w:jc w:val="center"/>
        </w:trPr>
        <w:tc>
          <w:tcPr>
            <w:tcW w:w="238"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snapToGrid w:val="0"/>
                <w:color w:val="000000" w:themeColor="text1"/>
                <w:kern w:val="0"/>
                <w:szCs w:val="21"/>
              </w:rPr>
              <w:t>风险</w:t>
            </w:r>
          </w:p>
        </w:tc>
        <w:tc>
          <w:tcPr>
            <w:tcW w:w="1263" w:type="pct"/>
            <w:gridSpan w:val="2"/>
            <w:tcBorders>
              <w:tl2br w:val="nil"/>
              <w:tr2bl w:val="nil"/>
            </w:tcBorders>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厂区环境风险防范措施</w:t>
            </w:r>
          </w:p>
        </w:tc>
        <w:tc>
          <w:tcPr>
            <w:tcW w:w="2534" w:type="pct"/>
            <w:tcBorders>
              <w:tl2br w:val="nil"/>
              <w:tr2bl w:val="nil"/>
            </w:tcBorders>
            <w:shd w:val="clear" w:color="auto" w:fill="auto"/>
            <w:vAlign w:val="center"/>
          </w:tcPr>
          <w:p w:rsidR="00644456" w:rsidRDefault="008031C4">
            <w:pPr>
              <w:adjustRightInd w:val="0"/>
              <w:snapToGrid w:val="0"/>
              <w:jc w:val="center"/>
              <w:rPr>
                <w:rFonts w:cs="Times New Roman"/>
                <w:color w:val="000000" w:themeColor="text1"/>
                <w:szCs w:val="21"/>
              </w:rPr>
            </w:pPr>
            <w:r>
              <w:rPr>
                <w:rFonts w:cs="Times New Roman"/>
                <w:color w:val="000000" w:themeColor="text1"/>
                <w:szCs w:val="21"/>
              </w:rPr>
              <w:t>见风险措施一览表</w:t>
            </w:r>
          </w:p>
        </w:tc>
        <w:tc>
          <w:tcPr>
            <w:tcW w:w="442"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color w:val="000000" w:themeColor="text1"/>
                <w:kern w:val="0"/>
                <w:szCs w:val="21"/>
              </w:rPr>
              <w:t>/</w:t>
            </w:r>
          </w:p>
        </w:tc>
        <w:tc>
          <w:tcPr>
            <w:tcW w:w="523" w:type="pct"/>
            <w:tcBorders>
              <w:tl2br w:val="nil"/>
              <w:tr2bl w:val="nil"/>
            </w:tcBorders>
            <w:shd w:val="clear" w:color="auto" w:fill="auto"/>
            <w:vAlign w:val="center"/>
          </w:tcPr>
          <w:p w:rsidR="00644456" w:rsidRDefault="008031C4">
            <w:pPr>
              <w:adjustRightInd w:val="0"/>
              <w:snapToGrid w:val="0"/>
              <w:jc w:val="center"/>
              <w:rPr>
                <w:rFonts w:cs="Times New Roman"/>
                <w:snapToGrid w:val="0"/>
                <w:color w:val="000000" w:themeColor="text1"/>
                <w:kern w:val="0"/>
                <w:szCs w:val="21"/>
              </w:rPr>
            </w:pPr>
            <w:r>
              <w:rPr>
                <w:rFonts w:cs="Times New Roman"/>
                <w:color w:val="000000" w:themeColor="text1"/>
                <w:kern w:val="0"/>
                <w:szCs w:val="21"/>
              </w:rPr>
              <w:t>/</w:t>
            </w:r>
          </w:p>
        </w:tc>
      </w:tr>
      <w:tr w:rsidR="00644456">
        <w:trPr>
          <w:jc w:val="center"/>
        </w:trPr>
        <w:tc>
          <w:tcPr>
            <w:tcW w:w="4477" w:type="pct"/>
            <w:gridSpan w:val="5"/>
            <w:tcBorders>
              <w:tl2br w:val="nil"/>
              <w:tr2bl w:val="nil"/>
            </w:tcBorders>
            <w:shd w:val="clear" w:color="auto" w:fill="auto"/>
            <w:vAlign w:val="center"/>
          </w:tcPr>
          <w:p w:rsidR="00644456" w:rsidRDefault="008031C4">
            <w:pPr>
              <w:adjustRightInd w:val="0"/>
              <w:snapToGrid w:val="0"/>
              <w:jc w:val="center"/>
              <w:rPr>
                <w:rFonts w:cs="Times New Roman"/>
                <w:b/>
                <w:bCs/>
                <w:snapToGrid w:val="0"/>
                <w:color w:val="000000" w:themeColor="text1"/>
                <w:kern w:val="0"/>
                <w:szCs w:val="21"/>
              </w:rPr>
            </w:pPr>
            <w:r>
              <w:rPr>
                <w:rFonts w:cs="Times New Roman"/>
                <w:b/>
                <w:bCs/>
                <w:snapToGrid w:val="0"/>
                <w:color w:val="000000" w:themeColor="text1"/>
                <w:kern w:val="0"/>
                <w:szCs w:val="21"/>
              </w:rPr>
              <w:t>合计</w:t>
            </w:r>
          </w:p>
        </w:tc>
        <w:tc>
          <w:tcPr>
            <w:tcW w:w="523" w:type="pct"/>
            <w:tcBorders>
              <w:tl2br w:val="nil"/>
              <w:tr2bl w:val="nil"/>
            </w:tcBorders>
            <w:shd w:val="clear" w:color="auto" w:fill="auto"/>
            <w:vAlign w:val="center"/>
          </w:tcPr>
          <w:p w:rsidR="00644456" w:rsidRDefault="008031C4">
            <w:pPr>
              <w:adjustRightInd w:val="0"/>
              <w:snapToGrid w:val="0"/>
              <w:jc w:val="center"/>
              <w:rPr>
                <w:rFonts w:cs="Times New Roman"/>
                <w:b/>
                <w:bCs/>
                <w:snapToGrid w:val="0"/>
                <w:color w:val="000000" w:themeColor="text1"/>
                <w:kern w:val="0"/>
                <w:szCs w:val="21"/>
              </w:rPr>
            </w:pPr>
            <w:r>
              <w:rPr>
                <w:rFonts w:cs="Times New Roman"/>
                <w:b/>
                <w:bCs/>
                <w:snapToGrid w:val="0"/>
                <w:color w:val="000000" w:themeColor="text1"/>
                <w:kern w:val="0"/>
                <w:szCs w:val="21"/>
              </w:rPr>
              <w:t>570</w:t>
            </w:r>
          </w:p>
        </w:tc>
      </w:tr>
      <w:bookmarkEnd w:id="434"/>
    </w:tbl>
    <w:p w:rsidR="00644456" w:rsidRDefault="00644456">
      <w:pPr>
        <w:pStyle w:val="-"/>
        <w:ind w:firstLine="480"/>
        <w:rPr>
          <w:rFonts w:cs="Times New Roman"/>
          <w:color w:val="000000" w:themeColor="text1"/>
        </w:rPr>
        <w:sectPr w:rsidR="00644456">
          <w:pgSz w:w="11905" w:h="16838"/>
          <w:pgMar w:top="1440" w:right="1440" w:bottom="1440" w:left="1440" w:header="850" w:footer="992" w:gutter="0"/>
          <w:cols w:space="0"/>
        </w:sectPr>
      </w:pPr>
    </w:p>
    <w:p w:rsidR="00644456" w:rsidRDefault="008031C4">
      <w:pPr>
        <w:pStyle w:val="1"/>
        <w:numPr>
          <w:ilvl w:val="0"/>
          <w:numId w:val="0"/>
        </w:numPr>
      </w:pPr>
      <w:bookmarkStart w:id="435" w:name="_Toc12840"/>
      <w:bookmarkStart w:id="436" w:name="_Toc177216899"/>
      <w:bookmarkStart w:id="437" w:name="_Toc155789391"/>
      <w:bookmarkStart w:id="438" w:name="_Toc9922"/>
      <w:bookmarkStart w:id="439" w:name="_Toc1295"/>
      <w:r>
        <w:rPr>
          <w:rFonts w:hint="eastAsia"/>
        </w:rPr>
        <w:lastRenderedPageBreak/>
        <w:t>第</w:t>
      </w:r>
      <w:r>
        <w:rPr>
          <w:rFonts w:hint="eastAsia"/>
        </w:rPr>
        <w:t xml:space="preserve"> 7 </w:t>
      </w:r>
      <w:r>
        <w:rPr>
          <w:rFonts w:hint="eastAsia"/>
        </w:rPr>
        <w:t>章</w:t>
      </w:r>
      <w:r>
        <w:rPr>
          <w:rFonts w:hint="eastAsia"/>
        </w:rPr>
        <w:t xml:space="preserve"> </w:t>
      </w:r>
      <w:r>
        <w:t>环境风险评价</w:t>
      </w:r>
      <w:bookmarkEnd w:id="386"/>
      <w:bookmarkEnd w:id="387"/>
      <w:bookmarkEnd w:id="435"/>
      <w:bookmarkEnd w:id="436"/>
      <w:bookmarkEnd w:id="437"/>
      <w:bookmarkEnd w:id="438"/>
      <w:bookmarkEnd w:id="439"/>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440" w:name="_Toc8965863"/>
      <w:bookmarkStart w:id="441" w:name="_Toc155789392"/>
      <w:bookmarkStart w:id="442" w:name="_Toc19459"/>
      <w:bookmarkStart w:id="443" w:name="_Toc177216900"/>
      <w:bookmarkStart w:id="444" w:name="_Toc13042"/>
      <w:bookmarkStart w:id="445" w:name="_Toc14713"/>
      <w:bookmarkEnd w:id="440"/>
      <w:r>
        <w:rPr>
          <w:rFonts w:cs="Times New Roman" w:hint="eastAsia"/>
          <w:color w:val="000000" w:themeColor="text1"/>
        </w:rPr>
        <w:t>7.1</w:t>
      </w:r>
      <w:r>
        <w:rPr>
          <w:rFonts w:cs="Times New Roman"/>
          <w:color w:val="000000" w:themeColor="text1"/>
        </w:rPr>
        <w:t>概述</w:t>
      </w:r>
      <w:bookmarkEnd w:id="441"/>
      <w:bookmarkEnd w:id="442"/>
      <w:bookmarkEnd w:id="443"/>
      <w:bookmarkEnd w:id="444"/>
      <w:bookmarkEnd w:id="445"/>
    </w:p>
    <w:p w:rsidR="00644456" w:rsidRDefault="008031C4">
      <w:pPr>
        <w:pStyle w:val="-"/>
        <w:snapToGrid w:val="0"/>
        <w:ind w:firstLine="480"/>
        <w:rPr>
          <w:rFonts w:cs="Times New Roman"/>
          <w:color w:val="000000" w:themeColor="text1"/>
        </w:rPr>
      </w:pPr>
      <w:r>
        <w:rPr>
          <w:rFonts w:cs="Times New Roman"/>
          <w:color w:val="000000" w:themeColor="text1"/>
        </w:rPr>
        <w:t>环境风险是指突发性事故造成的重大环境污染的事件，其特点是危害大、影响范围广、发生概率具有很大的不确定性。环境风险评价的目的是分析和预测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rsidR="00644456" w:rsidRDefault="008031C4">
      <w:pPr>
        <w:pStyle w:val="-"/>
        <w:snapToGrid w:val="0"/>
        <w:ind w:firstLine="480"/>
        <w:rPr>
          <w:rFonts w:cs="Times New Roman"/>
          <w:color w:val="000000" w:themeColor="text1"/>
        </w:rPr>
      </w:pPr>
      <w:r>
        <w:rPr>
          <w:rFonts w:cs="Times New Roman"/>
          <w:color w:val="000000" w:themeColor="text1"/>
        </w:rPr>
        <w:t>本次评价遵照国家环保总局环发</w:t>
      </w:r>
      <w:r>
        <w:rPr>
          <w:rFonts w:cs="Times New Roman" w:hint="eastAsia"/>
          <w:color w:val="000000" w:themeColor="text1"/>
        </w:rPr>
        <w:t>〔</w:t>
      </w:r>
      <w:r>
        <w:rPr>
          <w:rFonts w:cs="Times New Roman"/>
          <w:color w:val="000000" w:themeColor="text1"/>
        </w:rPr>
        <w:t>2005</w:t>
      </w:r>
      <w:r>
        <w:rPr>
          <w:rFonts w:cs="Times New Roman" w:hint="eastAsia"/>
          <w:color w:val="000000" w:themeColor="text1"/>
        </w:rPr>
        <w:t>〕</w:t>
      </w:r>
      <w:r>
        <w:rPr>
          <w:rFonts w:cs="Times New Roman"/>
          <w:color w:val="000000" w:themeColor="text1"/>
        </w:rPr>
        <w:t>152</w:t>
      </w:r>
      <w:r>
        <w:rPr>
          <w:rFonts w:cs="Times New Roman"/>
          <w:color w:val="000000" w:themeColor="text1"/>
        </w:rPr>
        <w:t>号文《关于防范环境风险加强环境影响评价管理的通知》精神，以《建设项目环境风险评价技术导则》（</w:t>
      </w:r>
      <w:r>
        <w:rPr>
          <w:rFonts w:cs="Times New Roman"/>
          <w:color w:val="000000" w:themeColor="text1"/>
        </w:rPr>
        <w:t>HJ169</w:t>
      </w:r>
      <w:r>
        <w:rPr>
          <w:rFonts w:cs="Times New Roman"/>
          <w:color w:val="000000" w:themeColor="text1"/>
        </w:rPr>
        <w:t>－</w:t>
      </w:r>
      <w:r>
        <w:rPr>
          <w:rFonts w:cs="Times New Roman"/>
          <w:color w:val="000000" w:themeColor="text1"/>
        </w:rPr>
        <w:t>2018</w:t>
      </w:r>
      <w:r>
        <w:rPr>
          <w:rFonts w:cs="Times New Roman"/>
          <w:color w:val="000000" w:themeColor="text1"/>
        </w:rPr>
        <w:t>）为指导，结合《关于进一步加强环境影响评价管理防范环境风险的通知》（环发</w:t>
      </w:r>
      <w:r>
        <w:rPr>
          <w:rFonts w:cs="Times New Roman" w:hint="eastAsia"/>
          <w:color w:val="000000" w:themeColor="text1"/>
        </w:rPr>
        <w:t>〔</w:t>
      </w:r>
      <w:r>
        <w:rPr>
          <w:rFonts w:cs="Times New Roman"/>
          <w:color w:val="000000" w:themeColor="text1"/>
        </w:rPr>
        <w:t>2012</w:t>
      </w:r>
      <w:r>
        <w:rPr>
          <w:rFonts w:cs="Times New Roman" w:hint="eastAsia"/>
          <w:color w:val="000000" w:themeColor="text1"/>
        </w:rPr>
        <w:t>〕</w:t>
      </w:r>
      <w:r>
        <w:rPr>
          <w:rFonts w:cs="Times New Roman"/>
          <w:color w:val="000000" w:themeColor="text1"/>
        </w:rPr>
        <w:t>77</w:t>
      </w:r>
      <w:r>
        <w:rPr>
          <w:rFonts w:cs="Times New Roman"/>
          <w:color w:val="000000" w:themeColor="text1"/>
        </w:rPr>
        <w:t>号），通过对拟建项目进行风险识别和分析，并进行风险预测和评价，提出减缓风险的风险防范措施和应急要求，为环境管理提供资料和依据，达到降低危险、减少危害的目的。</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446" w:name="_Toc8965864"/>
      <w:bookmarkStart w:id="447" w:name="_Toc2356"/>
      <w:bookmarkStart w:id="448" w:name="_Toc155789393"/>
      <w:bookmarkStart w:id="449" w:name="_Toc177216901"/>
      <w:bookmarkStart w:id="450" w:name="_Toc28929"/>
      <w:bookmarkStart w:id="451" w:name="_Toc22029"/>
      <w:bookmarkEnd w:id="446"/>
      <w:r>
        <w:rPr>
          <w:rFonts w:cs="Times New Roman" w:hint="eastAsia"/>
          <w:color w:val="000000" w:themeColor="text1"/>
        </w:rPr>
        <w:t>7.2</w:t>
      </w:r>
      <w:r>
        <w:rPr>
          <w:rFonts w:cs="Times New Roman"/>
          <w:color w:val="000000" w:themeColor="text1"/>
        </w:rPr>
        <w:t>评价原则</w:t>
      </w:r>
      <w:bookmarkEnd w:id="447"/>
      <w:bookmarkEnd w:id="448"/>
      <w:bookmarkEnd w:id="449"/>
      <w:bookmarkEnd w:id="450"/>
      <w:bookmarkEnd w:id="451"/>
    </w:p>
    <w:p w:rsidR="00644456" w:rsidRDefault="008031C4">
      <w:pPr>
        <w:pStyle w:val="-"/>
        <w:snapToGrid w:val="0"/>
        <w:ind w:firstLine="480"/>
        <w:rPr>
          <w:rFonts w:cs="Times New Roman"/>
          <w:color w:val="000000" w:themeColor="text1"/>
        </w:rPr>
      </w:pPr>
      <w:r>
        <w:rPr>
          <w:rFonts w:cs="Times New Roman"/>
          <w:color w:val="000000" w:themeColor="text1"/>
        </w:rPr>
        <w:t>按照《建设项目环境风险评价技术导则》（</w:t>
      </w:r>
      <w:r>
        <w:rPr>
          <w:rFonts w:cs="Times New Roman"/>
          <w:color w:val="000000" w:themeColor="text1"/>
        </w:rPr>
        <w:t>HJ169-2018</w:t>
      </w:r>
      <w:r>
        <w:rPr>
          <w:rFonts w:cs="Times New Roman"/>
          <w:color w:val="000000" w:themeColor="text1"/>
        </w:rPr>
        <w:t>）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452" w:name="_Toc8965865"/>
      <w:bookmarkStart w:id="453" w:name="_Toc1278"/>
      <w:bookmarkStart w:id="454" w:name="_Toc177216902"/>
      <w:bookmarkStart w:id="455" w:name="_Toc155789394"/>
      <w:bookmarkStart w:id="456" w:name="_Toc15112"/>
      <w:bookmarkStart w:id="457" w:name="_Toc900"/>
      <w:bookmarkEnd w:id="452"/>
      <w:r>
        <w:rPr>
          <w:rFonts w:cs="Times New Roman" w:hint="eastAsia"/>
          <w:color w:val="000000" w:themeColor="text1"/>
        </w:rPr>
        <w:t>7.3</w:t>
      </w:r>
      <w:r>
        <w:rPr>
          <w:rFonts w:cs="Times New Roman"/>
          <w:color w:val="000000" w:themeColor="text1"/>
        </w:rPr>
        <w:t>评价工作程序</w:t>
      </w:r>
      <w:bookmarkEnd w:id="453"/>
      <w:bookmarkEnd w:id="454"/>
      <w:bookmarkEnd w:id="455"/>
      <w:bookmarkEnd w:id="456"/>
      <w:bookmarkEnd w:id="457"/>
    </w:p>
    <w:p w:rsidR="00644456" w:rsidRDefault="008031C4">
      <w:pPr>
        <w:pStyle w:val="-"/>
        <w:snapToGrid w:val="0"/>
        <w:ind w:firstLine="480"/>
        <w:rPr>
          <w:rFonts w:cs="Times New Roman"/>
          <w:color w:val="000000" w:themeColor="text1"/>
        </w:rPr>
      </w:pPr>
      <w:r>
        <w:rPr>
          <w:rFonts w:cs="Times New Roman"/>
          <w:color w:val="000000" w:themeColor="text1"/>
        </w:rPr>
        <w:t>评价工作程序见下图。</w:t>
      </w:r>
    </w:p>
    <w:p w:rsidR="00644456" w:rsidRDefault="008031C4">
      <w:pPr>
        <w:jc w:val="center"/>
        <w:rPr>
          <w:rFonts w:cs="Times New Roman"/>
          <w:color w:val="000000" w:themeColor="text1"/>
        </w:rPr>
      </w:pPr>
      <w:r>
        <w:rPr>
          <w:rFonts w:cs="Times New Roman"/>
          <w:noProof/>
          <w:color w:val="000000" w:themeColor="text1"/>
        </w:rPr>
        <w:lastRenderedPageBreak/>
        <w:drawing>
          <wp:inline distT="0" distB="0" distL="0" distR="0" wp14:anchorId="6D3C4F68" wp14:editId="3DBF32F5">
            <wp:extent cx="3903345" cy="4675505"/>
            <wp:effectExtent l="0" t="0" r="1905" b="1079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9" cstate="print"/>
                    <a:stretch>
                      <a:fillRect/>
                    </a:stretch>
                  </pic:blipFill>
                  <pic:spPr>
                    <a:xfrm>
                      <a:off x="0" y="0"/>
                      <a:ext cx="3903345" cy="4675505"/>
                    </a:xfrm>
                    <a:prstGeom prst="rect">
                      <a:avLst/>
                    </a:prstGeom>
                  </pic:spPr>
                </pic:pic>
              </a:graphicData>
            </a:graphic>
          </wp:inline>
        </w:drawing>
      </w:r>
    </w:p>
    <w:p w:rsidR="00644456" w:rsidRDefault="008031C4">
      <w:pPr>
        <w:widowControl/>
        <w:jc w:val="center"/>
        <w:rPr>
          <w:rFonts w:cs="Times New Roman"/>
          <w:b/>
          <w:color w:val="000000" w:themeColor="text1"/>
          <w:sz w:val="24"/>
          <w:szCs w:val="20"/>
        </w:rPr>
      </w:pPr>
      <w:bookmarkStart w:id="458" w:name="_Ref57121821"/>
      <w:bookmarkStart w:id="459" w:name="_Ref57121817"/>
      <w:r>
        <w:rPr>
          <w:rFonts w:cs="Times New Roman" w:hint="eastAsia"/>
          <w:b/>
          <w:color w:val="000000" w:themeColor="text1"/>
          <w:sz w:val="24"/>
          <w:szCs w:val="20"/>
        </w:rPr>
        <w:t>图</w:t>
      </w:r>
      <w:r>
        <w:rPr>
          <w:rFonts w:cs="Times New Roman" w:hint="eastAsia"/>
          <w:b/>
          <w:color w:val="000000" w:themeColor="text1"/>
          <w:sz w:val="24"/>
          <w:szCs w:val="20"/>
        </w:rPr>
        <w:t>7.3</w:t>
      </w:r>
      <w:r>
        <w:rPr>
          <w:rFonts w:cs="Times New Roman" w:hint="eastAsia"/>
          <w:b/>
          <w:color w:val="000000" w:themeColor="text1"/>
          <w:sz w:val="24"/>
          <w:szCs w:val="20"/>
        </w:rPr>
        <w:noBreakHyphen/>
      </w:r>
      <w:r>
        <w:rPr>
          <w:rFonts w:cs="Times New Roman" w:hint="eastAsia"/>
          <w:b/>
          <w:color w:val="000000" w:themeColor="text1"/>
          <w:sz w:val="24"/>
          <w:szCs w:val="20"/>
        </w:rPr>
        <w:fldChar w:fldCharType="begin"/>
      </w:r>
      <w:r>
        <w:rPr>
          <w:rFonts w:cs="Times New Roman" w:hint="eastAsia"/>
          <w:b/>
          <w:color w:val="000000" w:themeColor="text1"/>
          <w:sz w:val="24"/>
          <w:szCs w:val="20"/>
        </w:rPr>
        <w:instrText xml:space="preserve"> SEQ </w:instrText>
      </w:r>
      <w:r>
        <w:rPr>
          <w:rFonts w:cs="Times New Roman" w:hint="eastAsia"/>
          <w:b/>
          <w:color w:val="000000" w:themeColor="text1"/>
          <w:sz w:val="24"/>
          <w:szCs w:val="20"/>
        </w:rPr>
        <w:instrText>图</w:instrText>
      </w:r>
      <w:r>
        <w:rPr>
          <w:rFonts w:cs="Times New Roman" w:hint="eastAsia"/>
          <w:b/>
          <w:color w:val="000000" w:themeColor="text1"/>
          <w:sz w:val="24"/>
          <w:szCs w:val="20"/>
        </w:rPr>
        <w:instrText xml:space="preserve"> \* ARABIC \s 1 </w:instrText>
      </w:r>
      <w:r>
        <w:rPr>
          <w:rFonts w:cs="Times New Roman" w:hint="eastAsia"/>
          <w:b/>
          <w:color w:val="000000" w:themeColor="text1"/>
          <w:sz w:val="24"/>
          <w:szCs w:val="20"/>
        </w:rPr>
        <w:fldChar w:fldCharType="separate"/>
      </w:r>
      <w:r>
        <w:rPr>
          <w:rFonts w:cs="Times New Roman" w:hint="eastAsia"/>
          <w:b/>
          <w:color w:val="000000" w:themeColor="text1"/>
          <w:sz w:val="24"/>
          <w:szCs w:val="20"/>
        </w:rPr>
        <w:t>1</w:t>
      </w:r>
      <w:r>
        <w:rPr>
          <w:rFonts w:cs="Times New Roman" w:hint="eastAsia"/>
          <w:b/>
          <w:color w:val="000000" w:themeColor="text1"/>
          <w:sz w:val="24"/>
          <w:szCs w:val="20"/>
        </w:rPr>
        <w:fldChar w:fldCharType="end"/>
      </w:r>
      <w:bookmarkEnd w:id="458"/>
      <w:r>
        <w:rPr>
          <w:rFonts w:cs="Times New Roman" w:hint="eastAsia"/>
          <w:b/>
          <w:color w:val="000000" w:themeColor="text1"/>
          <w:sz w:val="24"/>
          <w:szCs w:val="20"/>
        </w:rPr>
        <w:t>评价工作程序</w:t>
      </w:r>
      <w:bookmarkEnd w:id="459"/>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460" w:name="_Toc8965866"/>
      <w:bookmarkStart w:id="461" w:name="_Toc19121"/>
      <w:bookmarkStart w:id="462" w:name="_Toc31771"/>
      <w:bookmarkStart w:id="463" w:name="_Toc8629"/>
      <w:bookmarkStart w:id="464" w:name="_Toc177216903"/>
      <w:bookmarkStart w:id="465" w:name="_Toc155789395"/>
      <w:bookmarkEnd w:id="460"/>
      <w:r>
        <w:rPr>
          <w:rFonts w:cs="Times New Roman" w:hint="eastAsia"/>
          <w:color w:val="000000" w:themeColor="text1"/>
        </w:rPr>
        <w:t>7.4</w:t>
      </w:r>
      <w:r>
        <w:rPr>
          <w:rFonts w:cs="Times New Roman"/>
          <w:color w:val="000000" w:themeColor="text1"/>
        </w:rPr>
        <w:t>风险调查</w:t>
      </w:r>
      <w:bookmarkEnd w:id="461"/>
      <w:bookmarkEnd w:id="462"/>
      <w:bookmarkEnd w:id="463"/>
      <w:bookmarkEnd w:id="464"/>
      <w:bookmarkEnd w:id="465"/>
    </w:p>
    <w:p w:rsidR="00644456" w:rsidRDefault="008031C4">
      <w:pPr>
        <w:pStyle w:val="3"/>
        <w:numPr>
          <w:ilvl w:val="2"/>
          <w:numId w:val="0"/>
        </w:numPr>
        <w:ind w:firstLineChars="200" w:firstLine="482"/>
      </w:pPr>
      <w:r>
        <w:rPr>
          <w:rFonts w:hint="eastAsia"/>
        </w:rPr>
        <w:t>7.4.1</w:t>
      </w:r>
      <w:r>
        <w:rPr>
          <w:rFonts w:hint="eastAsia"/>
        </w:rPr>
        <w:t>项目风险潜势</w:t>
      </w:r>
    </w:p>
    <w:p w:rsidR="00644456" w:rsidRDefault="008031C4">
      <w:pPr>
        <w:tabs>
          <w:tab w:val="left" w:pos="3150"/>
        </w:tabs>
        <w:spacing w:line="360" w:lineRule="auto"/>
        <w:ind w:firstLineChars="200" w:firstLine="480"/>
        <w:rPr>
          <w:color w:val="000000" w:themeColor="text1"/>
          <w:kern w:val="0"/>
          <w:sz w:val="24"/>
          <w:szCs w:val="24"/>
        </w:rPr>
      </w:pPr>
      <w:r>
        <w:rPr>
          <w:rFonts w:hint="eastAsia"/>
          <w:color w:val="000000" w:themeColor="text1"/>
          <w:kern w:val="0"/>
          <w:sz w:val="24"/>
          <w:szCs w:val="24"/>
        </w:rPr>
        <w:t>根据项目涉及的物质和工艺系统的危险性及其所在地的环境敏感程度，结合事故情形下环境影响途径，对建设项目潜在环境危害程度进行概化分析，建设项目环境风险潜势划分表见下表：</w:t>
      </w:r>
    </w:p>
    <w:p w:rsidR="00644456" w:rsidRDefault="008031C4">
      <w:pPr>
        <w:widowControl/>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7.4-1</w:t>
      </w:r>
      <w:r>
        <w:rPr>
          <w:rFonts w:cs="Times New Roman" w:hint="eastAsia"/>
          <w:b/>
          <w:color w:val="000000" w:themeColor="text1"/>
          <w:sz w:val="24"/>
          <w:szCs w:val="20"/>
        </w:rPr>
        <w:t>建设项目环境风险潜势划分表</w:t>
      </w:r>
    </w:p>
    <w:tbl>
      <w:tblPr>
        <w:tblStyle w:val="afff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090"/>
        <w:gridCol w:w="1516"/>
        <w:gridCol w:w="1803"/>
        <w:gridCol w:w="1803"/>
        <w:gridCol w:w="1803"/>
      </w:tblGrid>
      <w:tr w:rsidR="00644456">
        <w:tc>
          <w:tcPr>
            <w:tcW w:w="2090" w:type="dxa"/>
            <w:vMerge w:val="restart"/>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环境敏感程度（</w:t>
            </w:r>
            <w:r>
              <w:rPr>
                <w:rFonts w:cs="Times New Roman" w:hint="eastAsia"/>
                <w:color w:val="000000" w:themeColor="text1"/>
                <w:kern w:val="0"/>
                <w:szCs w:val="21"/>
              </w:rPr>
              <w:t>E</w:t>
            </w:r>
            <w:r>
              <w:rPr>
                <w:rFonts w:cs="Times New Roman" w:hint="eastAsia"/>
                <w:color w:val="000000" w:themeColor="text1"/>
                <w:kern w:val="0"/>
                <w:szCs w:val="21"/>
              </w:rPr>
              <w:t>）</w:t>
            </w:r>
          </w:p>
        </w:tc>
        <w:tc>
          <w:tcPr>
            <w:tcW w:w="6925" w:type="dxa"/>
            <w:gridSpan w:val="4"/>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危险物质及工艺系统危险性（</w:t>
            </w:r>
            <w:r>
              <w:rPr>
                <w:rFonts w:cs="Times New Roman" w:hint="eastAsia"/>
                <w:color w:val="000000" w:themeColor="text1"/>
                <w:kern w:val="0"/>
                <w:szCs w:val="21"/>
              </w:rPr>
              <w:t>P</w:t>
            </w:r>
            <w:r>
              <w:rPr>
                <w:rFonts w:cs="Times New Roman" w:hint="eastAsia"/>
                <w:color w:val="000000" w:themeColor="text1"/>
                <w:kern w:val="0"/>
                <w:szCs w:val="21"/>
              </w:rPr>
              <w:t>）</w:t>
            </w:r>
          </w:p>
        </w:tc>
      </w:tr>
      <w:tr w:rsidR="00644456">
        <w:tc>
          <w:tcPr>
            <w:tcW w:w="2090" w:type="dxa"/>
            <w:vMerge/>
            <w:vAlign w:val="center"/>
          </w:tcPr>
          <w:p w:rsidR="00644456" w:rsidRDefault="00644456">
            <w:pPr>
              <w:adjustRightInd w:val="0"/>
              <w:jc w:val="center"/>
              <w:textAlignment w:val="baseline"/>
              <w:rPr>
                <w:rFonts w:cs="Times New Roman"/>
                <w:color w:val="000000" w:themeColor="text1"/>
                <w:kern w:val="0"/>
                <w:szCs w:val="21"/>
              </w:rPr>
            </w:pPr>
          </w:p>
        </w:tc>
        <w:tc>
          <w:tcPr>
            <w:tcW w:w="1516"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极高危害（</w:t>
            </w:r>
            <w:r>
              <w:rPr>
                <w:rFonts w:cs="Times New Roman" w:hint="eastAsia"/>
                <w:color w:val="000000" w:themeColor="text1"/>
                <w:kern w:val="0"/>
                <w:szCs w:val="21"/>
              </w:rPr>
              <w:t>P1</w:t>
            </w:r>
            <w:r>
              <w:rPr>
                <w:rFonts w:cs="Times New Roman" w:hint="eastAsia"/>
                <w:color w:val="000000" w:themeColor="text1"/>
                <w:kern w:val="0"/>
                <w:szCs w:val="21"/>
              </w:rPr>
              <w:t>）</w:t>
            </w: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高度危害（</w:t>
            </w:r>
            <w:r>
              <w:rPr>
                <w:rFonts w:cs="Times New Roman" w:hint="eastAsia"/>
                <w:color w:val="000000" w:themeColor="text1"/>
                <w:kern w:val="0"/>
                <w:szCs w:val="21"/>
              </w:rPr>
              <w:t>P2</w:t>
            </w:r>
            <w:r>
              <w:rPr>
                <w:rFonts w:cs="Times New Roman" w:hint="eastAsia"/>
                <w:color w:val="000000" w:themeColor="text1"/>
                <w:kern w:val="0"/>
                <w:szCs w:val="21"/>
              </w:rPr>
              <w:t>）</w:t>
            </w: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中度危害（</w:t>
            </w:r>
            <w:r>
              <w:rPr>
                <w:rFonts w:cs="Times New Roman" w:hint="eastAsia"/>
                <w:color w:val="000000" w:themeColor="text1"/>
                <w:kern w:val="0"/>
                <w:szCs w:val="21"/>
              </w:rPr>
              <w:t>P3</w:t>
            </w:r>
            <w:r>
              <w:rPr>
                <w:rFonts w:cs="Times New Roman" w:hint="eastAsia"/>
                <w:color w:val="000000" w:themeColor="text1"/>
                <w:kern w:val="0"/>
                <w:szCs w:val="21"/>
              </w:rPr>
              <w:t>）</w:t>
            </w: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低度危害（</w:t>
            </w:r>
            <w:r>
              <w:rPr>
                <w:rFonts w:cs="Times New Roman" w:hint="eastAsia"/>
                <w:color w:val="000000" w:themeColor="text1"/>
                <w:kern w:val="0"/>
                <w:szCs w:val="21"/>
              </w:rPr>
              <w:t>P4</w:t>
            </w:r>
            <w:r>
              <w:rPr>
                <w:rFonts w:cs="Times New Roman" w:hint="eastAsia"/>
                <w:color w:val="000000" w:themeColor="text1"/>
                <w:kern w:val="0"/>
                <w:szCs w:val="21"/>
              </w:rPr>
              <w:t>）</w:t>
            </w:r>
          </w:p>
        </w:tc>
      </w:tr>
      <w:tr w:rsidR="00644456">
        <w:tc>
          <w:tcPr>
            <w:tcW w:w="2090"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环境高度敏感区（</w:t>
            </w:r>
            <w:r>
              <w:rPr>
                <w:rFonts w:cs="Times New Roman" w:hint="eastAsia"/>
                <w:color w:val="000000" w:themeColor="text1"/>
                <w:kern w:val="0"/>
                <w:szCs w:val="21"/>
              </w:rPr>
              <w:t>E1</w:t>
            </w:r>
            <w:r>
              <w:rPr>
                <w:rFonts w:cs="Times New Roman" w:hint="eastAsia"/>
                <w:color w:val="000000" w:themeColor="text1"/>
                <w:kern w:val="0"/>
                <w:szCs w:val="21"/>
              </w:rPr>
              <w:t>）</w:t>
            </w:r>
          </w:p>
        </w:tc>
        <w:tc>
          <w:tcPr>
            <w:tcW w:w="1516"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Ⅳ</w:t>
            </w:r>
            <w:r>
              <w:rPr>
                <w:rFonts w:cs="Times New Roman" w:hint="eastAsia"/>
                <w:color w:val="000000" w:themeColor="text1"/>
                <w:kern w:val="0"/>
                <w:szCs w:val="21"/>
              </w:rPr>
              <w:t>+</w:t>
            </w: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Ⅳ</w:t>
            </w: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Ⅲ</w:t>
            </w: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Ⅲ</w:t>
            </w:r>
          </w:p>
        </w:tc>
      </w:tr>
      <w:tr w:rsidR="00644456">
        <w:tc>
          <w:tcPr>
            <w:tcW w:w="2090"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环境高度敏感区（</w:t>
            </w:r>
            <w:r>
              <w:rPr>
                <w:rFonts w:cs="Times New Roman" w:hint="eastAsia"/>
                <w:color w:val="000000" w:themeColor="text1"/>
                <w:kern w:val="0"/>
                <w:szCs w:val="21"/>
              </w:rPr>
              <w:t>E2</w:t>
            </w:r>
            <w:r>
              <w:rPr>
                <w:rFonts w:cs="Times New Roman" w:hint="eastAsia"/>
                <w:color w:val="000000" w:themeColor="text1"/>
                <w:kern w:val="0"/>
                <w:szCs w:val="21"/>
              </w:rPr>
              <w:t>）</w:t>
            </w:r>
          </w:p>
        </w:tc>
        <w:tc>
          <w:tcPr>
            <w:tcW w:w="1516"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Ⅳ</w:t>
            </w: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Ⅲ</w:t>
            </w: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Ⅲ</w:t>
            </w: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Ⅱ</w:t>
            </w:r>
          </w:p>
        </w:tc>
      </w:tr>
      <w:tr w:rsidR="00644456">
        <w:tc>
          <w:tcPr>
            <w:tcW w:w="2090"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环境高度敏感区（</w:t>
            </w:r>
            <w:r>
              <w:rPr>
                <w:rFonts w:cs="Times New Roman" w:hint="eastAsia"/>
                <w:color w:val="000000" w:themeColor="text1"/>
                <w:kern w:val="0"/>
                <w:szCs w:val="21"/>
              </w:rPr>
              <w:t>E3</w:t>
            </w:r>
            <w:r>
              <w:rPr>
                <w:rFonts w:cs="Times New Roman" w:hint="eastAsia"/>
                <w:color w:val="000000" w:themeColor="text1"/>
                <w:kern w:val="0"/>
                <w:szCs w:val="21"/>
              </w:rPr>
              <w:t>）</w:t>
            </w:r>
          </w:p>
        </w:tc>
        <w:tc>
          <w:tcPr>
            <w:tcW w:w="1516"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Ⅲ</w:t>
            </w: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Ⅲ</w:t>
            </w: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Ⅱ</w:t>
            </w: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Ⅰ</w:t>
            </w:r>
          </w:p>
        </w:tc>
      </w:tr>
      <w:tr w:rsidR="00644456">
        <w:tc>
          <w:tcPr>
            <w:tcW w:w="9015" w:type="dxa"/>
            <w:gridSpan w:val="5"/>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注：Ⅳ</w:t>
            </w:r>
            <w:r>
              <w:rPr>
                <w:rFonts w:cs="Times New Roman" w:hint="eastAsia"/>
                <w:color w:val="000000" w:themeColor="text1"/>
                <w:kern w:val="0"/>
                <w:szCs w:val="21"/>
              </w:rPr>
              <w:t>+</w:t>
            </w:r>
            <w:r>
              <w:rPr>
                <w:rFonts w:cs="Times New Roman" w:hint="eastAsia"/>
                <w:color w:val="000000" w:themeColor="text1"/>
                <w:kern w:val="0"/>
                <w:szCs w:val="21"/>
              </w:rPr>
              <w:t>为极高环境风险</w:t>
            </w:r>
          </w:p>
        </w:tc>
      </w:tr>
    </w:tbl>
    <w:p w:rsidR="00644456" w:rsidRDefault="008031C4">
      <w:pPr>
        <w:pStyle w:val="afffff4"/>
        <w:snapToGrid w:val="0"/>
        <w:spacing w:line="360" w:lineRule="auto"/>
        <w:ind w:firstLineChars="200" w:firstLine="480"/>
        <w:jc w:val="left"/>
        <w:rPr>
          <w:b w:val="0"/>
          <w:color w:val="000000" w:themeColor="text1"/>
          <w:kern w:val="0"/>
          <w:szCs w:val="24"/>
        </w:rPr>
      </w:pPr>
      <w:r>
        <w:rPr>
          <w:rFonts w:hint="eastAsia"/>
          <w:b w:val="0"/>
          <w:color w:val="000000" w:themeColor="text1"/>
          <w:kern w:val="0"/>
          <w:szCs w:val="24"/>
        </w:rPr>
        <w:t>（</w:t>
      </w:r>
      <w:r>
        <w:rPr>
          <w:rFonts w:hint="eastAsia"/>
          <w:b w:val="0"/>
          <w:color w:val="000000" w:themeColor="text1"/>
          <w:kern w:val="0"/>
          <w:szCs w:val="24"/>
        </w:rPr>
        <w:t>1</w:t>
      </w:r>
      <w:r>
        <w:rPr>
          <w:rFonts w:hint="eastAsia"/>
          <w:b w:val="0"/>
          <w:color w:val="000000" w:themeColor="text1"/>
          <w:kern w:val="0"/>
          <w:szCs w:val="24"/>
        </w:rPr>
        <w:t>）</w:t>
      </w:r>
      <w:r>
        <w:rPr>
          <w:rFonts w:hint="eastAsia"/>
          <w:b w:val="0"/>
          <w:color w:val="000000" w:themeColor="text1"/>
          <w:kern w:val="0"/>
          <w:szCs w:val="24"/>
        </w:rPr>
        <w:t>P</w:t>
      </w:r>
      <w:r>
        <w:rPr>
          <w:rFonts w:hint="eastAsia"/>
          <w:b w:val="0"/>
          <w:color w:val="000000" w:themeColor="text1"/>
          <w:kern w:val="0"/>
          <w:szCs w:val="24"/>
        </w:rPr>
        <w:t>的分级确定</w:t>
      </w:r>
    </w:p>
    <w:p w:rsidR="00644456" w:rsidRDefault="008031C4">
      <w:pPr>
        <w:pStyle w:val="afffff4"/>
        <w:snapToGrid w:val="0"/>
        <w:spacing w:line="360" w:lineRule="auto"/>
        <w:ind w:firstLineChars="200" w:firstLine="480"/>
        <w:jc w:val="left"/>
        <w:rPr>
          <w:b w:val="0"/>
          <w:color w:val="000000" w:themeColor="text1"/>
          <w:kern w:val="0"/>
          <w:szCs w:val="24"/>
        </w:rPr>
      </w:pPr>
      <w:r>
        <w:rPr>
          <w:rFonts w:hint="eastAsia"/>
          <w:b w:val="0"/>
          <w:color w:val="000000" w:themeColor="text1"/>
          <w:kern w:val="0"/>
          <w:szCs w:val="24"/>
        </w:rPr>
        <w:t>计算所涉及的每种污染物危险物质在厂界内的最大存在总量与其在《建设项目环境</w:t>
      </w:r>
      <w:r>
        <w:rPr>
          <w:rFonts w:hint="eastAsia"/>
          <w:b w:val="0"/>
          <w:color w:val="000000" w:themeColor="text1"/>
          <w:kern w:val="0"/>
          <w:szCs w:val="24"/>
        </w:rPr>
        <w:lastRenderedPageBreak/>
        <w:t>风险评价技术导则》（</w:t>
      </w:r>
      <w:r>
        <w:rPr>
          <w:rFonts w:hint="eastAsia"/>
          <w:b w:val="0"/>
          <w:color w:val="000000" w:themeColor="text1"/>
          <w:kern w:val="0"/>
          <w:szCs w:val="24"/>
        </w:rPr>
        <w:t>HJ139-2018</w:t>
      </w:r>
      <w:r>
        <w:rPr>
          <w:rFonts w:hint="eastAsia"/>
          <w:b w:val="0"/>
          <w:color w:val="000000" w:themeColor="text1"/>
          <w:kern w:val="0"/>
          <w:szCs w:val="24"/>
        </w:rPr>
        <w:t>）附录</w:t>
      </w:r>
      <w:r>
        <w:rPr>
          <w:rFonts w:hint="eastAsia"/>
          <w:b w:val="0"/>
          <w:color w:val="000000" w:themeColor="text1"/>
          <w:kern w:val="0"/>
          <w:szCs w:val="24"/>
        </w:rPr>
        <w:t>B</w:t>
      </w:r>
      <w:r>
        <w:rPr>
          <w:rFonts w:hint="eastAsia"/>
          <w:b w:val="0"/>
          <w:color w:val="000000" w:themeColor="text1"/>
          <w:kern w:val="0"/>
          <w:szCs w:val="24"/>
        </w:rPr>
        <w:t>中对应临界量的比值</w:t>
      </w:r>
      <w:r>
        <w:rPr>
          <w:rFonts w:hint="eastAsia"/>
          <w:b w:val="0"/>
          <w:color w:val="000000" w:themeColor="text1"/>
          <w:kern w:val="0"/>
          <w:szCs w:val="24"/>
        </w:rPr>
        <w:t>Q</w:t>
      </w:r>
      <w:r>
        <w:rPr>
          <w:rFonts w:hint="eastAsia"/>
          <w:b w:val="0"/>
          <w:color w:val="000000" w:themeColor="text1"/>
          <w:kern w:val="0"/>
          <w:szCs w:val="24"/>
        </w:rPr>
        <w:t>。当只涉及一种危险物质时，计算该物质的总量与其临界量比值，即为</w:t>
      </w:r>
      <w:r>
        <w:rPr>
          <w:rFonts w:hint="eastAsia"/>
          <w:b w:val="0"/>
          <w:color w:val="000000" w:themeColor="text1"/>
          <w:kern w:val="0"/>
          <w:szCs w:val="24"/>
        </w:rPr>
        <w:t>Q</w:t>
      </w:r>
      <w:r>
        <w:rPr>
          <w:rFonts w:hint="eastAsia"/>
          <w:b w:val="0"/>
          <w:color w:val="000000" w:themeColor="text1"/>
          <w:kern w:val="0"/>
          <w:szCs w:val="24"/>
        </w:rPr>
        <w:t>；当存在多种危险物质时，则按下式计算总量与其临界量比值（</w:t>
      </w:r>
      <w:r>
        <w:rPr>
          <w:rFonts w:hint="eastAsia"/>
          <w:b w:val="0"/>
          <w:color w:val="000000" w:themeColor="text1"/>
          <w:kern w:val="0"/>
          <w:szCs w:val="24"/>
        </w:rPr>
        <w:t>Q</w:t>
      </w:r>
      <w:r>
        <w:rPr>
          <w:rFonts w:hint="eastAsia"/>
          <w:b w:val="0"/>
          <w:color w:val="000000" w:themeColor="text1"/>
          <w:kern w:val="0"/>
          <w:szCs w:val="24"/>
        </w:rPr>
        <w:t>）：</w:t>
      </w:r>
    </w:p>
    <w:p w:rsidR="00644456" w:rsidRDefault="008031C4">
      <w:pPr>
        <w:pStyle w:val="afffff4"/>
        <w:snapToGrid w:val="0"/>
        <w:spacing w:line="360" w:lineRule="auto"/>
        <w:ind w:firstLineChars="200" w:firstLine="482"/>
        <w:jc w:val="left"/>
        <w:rPr>
          <w:b w:val="0"/>
          <w:color w:val="000000" w:themeColor="text1"/>
          <w:kern w:val="0"/>
          <w:szCs w:val="24"/>
        </w:rPr>
      </w:pPr>
      <w:r>
        <w:rPr>
          <w:noProof/>
        </w:rPr>
        <w:drawing>
          <wp:inline distT="0" distB="0" distL="0" distR="0" wp14:anchorId="6B12A350" wp14:editId="45102AC0">
            <wp:extent cx="2247265" cy="304165"/>
            <wp:effectExtent l="0" t="0" r="635" b="63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100"/>
                    <a:stretch>
                      <a:fillRect/>
                    </a:stretch>
                  </pic:blipFill>
                  <pic:spPr>
                    <a:xfrm>
                      <a:off x="0" y="0"/>
                      <a:ext cx="2247619" cy="304762"/>
                    </a:xfrm>
                    <a:prstGeom prst="rect">
                      <a:avLst/>
                    </a:prstGeom>
                  </pic:spPr>
                </pic:pic>
              </a:graphicData>
            </a:graphic>
          </wp:inline>
        </w:drawing>
      </w:r>
    </w:p>
    <w:p w:rsidR="00644456" w:rsidRDefault="008031C4">
      <w:pPr>
        <w:pStyle w:val="afffff4"/>
        <w:snapToGrid w:val="0"/>
        <w:spacing w:line="360" w:lineRule="auto"/>
        <w:ind w:firstLineChars="200" w:firstLine="480"/>
        <w:jc w:val="left"/>
        <w:rPr>
          <w:b w:val="0"/>
          <w:color w:val="000000" w:themeColor="text1"/>
          <w:kern w:val="0"/>
          <w:szCs w:val="24"/>
        </w:rPr>
      </w:pPr>
      <w:r>
        <w:rPr>
          <w:rFonts w:hint="eastAsia"/>
          <w:b w:val="0"/>
          <w:color w:val="000000" w:themeColor="text1"/>
          <w:kern w:val="0"/>
          <w:szCs w:val="24"/>
        </w:rPr>
        <w:t>式中：</w:t>
      </w:r>
      <w:r>
        <w:rPr>
          <w:rFonts w:hint="eastAsia"/>
          <w:b w:val="0"/>
          <w:color w:val="000000" w:themeColor="text1"/>
          <w:kern w:val="0"/>
          <w:szCs w:val="24"/>
        </w:rPr>
        <w:t>q1</w:t>
      </w:r>
      <w:r>
        <w:rPr>
          <w:rFonts w:hint="eastAsia"/>
          <w:b w:val="0"/>
          <w:color w:val="000000" w:themeColor="text1"/>
          <w:kern w:val="0"/>
          <w:szCs w:val="24"/>
        </w:rPr>
        <w:t>，</w:t>
      </w:r>
      <w:r>
        <w:rPr>
          <w:rFonts w:hint="eastAsia"/>
          <w:b w:val="0"/>
          <w:color w:val="000000" w:themeColor="text1"/>
          <w:kern w:val="0"/>
          <w:szCs w:val="24"/>
        </w:rPr>
        <w:t>q2</w:t>
      </w:r>
      <w:r>
        <w:rPr>
          <w:rFonts w:hint="eastAsia"/>
          <w:b w:val="0"/>
          <w:color w:val="000000" w:themeColor="text1"/>
          <w:kern w:val="0"/>
          <w:szCs w:val="24"/>
        </w:rPr>
        <w:t>，…，</w:t>
      </w:r>
      <w:r>
        <w:rPr>
          <w:rFonts w:hint="eastAsia"/>
          <w:b w:val="0"/>
          <w:color w:val="000000" w:themeColor="text1"/>
          <w:kern w:val="0"/>
          <w:szCs w:val="24"/>
        </w:rPr>
        <w:t>qn</w:t>
      </w:r>
      <w:r>
        <w:rPr>
          <w:rFonts w:hint="eastAsia"/>
          <w:b w:val="0"/>
          <w:color w:val="000000" w:themeColor="text1"/>
          <w:kern w:val="0"/>
          <w:szCs w:val="24"/>
        </w:rPr>
        <w:t>—每种危险物质的最大存在总量，</w:t>
      </w:r>
      <w:r>
        <w:rPr>
          <w:rFonts w:hint="eastAsia"/>
          <w:b w:val="0"/>
          <w:color w:val="000000" w:themeColor="text1"/>
          <w:kern w:val="0"/>
          <w:szCs w:val="24"/>
        </w:rPr>
        <w:t>t</w:t>
      </w:r>
      <w:r>
        <w:rPr>
          <w:rFonts w:hint="eastAsia"/>
          <w:b w:val="0"/>
          <w:color w:val="000000" w:themeColor="text1"/>
          <w:kern w:val="0"/>
          <w:szCs w:val="24"/>
        </w:rPr>
        <w:t>；</w:t>
      </w:r>
    </w:p>
    <w:p w:rsidR="00644456" w:rsidRDefault="008031C4">
      <w:pPr>
        <w:pStyle w:val="afffff4"/>
        <w:snapToGrid w:val="0"/>
        <w:spacing w:line="360" w:lineRule="auto"/>
        <w:ind w:firstLineChars="200" w:firstLine="480"/>
        <w:jc w:val="left"/>
        <w:rPr>
          <w:b w:val="0"/>
          <w:color w:val="000000" w:themeColor="text1"/>
          <w:kern w:val="0"/>
          <w:szCs w:val="24"/>
        </w:rPr>
      </w:pPr>
      <w:r>
        <w:rPr>
          <w:rFonts w:hint="eastAsia"/>
          <w:b w:val="0"/>
          <w:color w:val="000000" w:themeColor="text1"/>
          <w:kern w:val="0"/>
          <w:szCs w:val="24"/>
        </w:rPr>
        <w:t>Q1</w:t>
      </w:r>
      <w:r>
        <w:rPr>
          <w:rFonts w:hint="eastAsia"/>
          <w:b w:val="0"/>
          <w:color w:val="000000" w:themeColor="text1"/>
          <w:kern w:val="0"/>
          <w:szCs w:val="24"/>
        </w:rPr>
        <w:t>，</w:t>
      </w:r>
      <w:r>
        <w:rPr>
          <w:rFonts w:hint="eastAsia"/>
          <w:b w:val="0"/>
          <w:color w:val="000000" w:themeColor="text1"/>
          <w:kern w:val="0"/>
          <w:szCs w:val="24"/>
        </w:rPr>
        <w:t>Q2</w:t>
      </w:r>
      <w:r>
        <w:rPr>
          <w:rFonts w:hint="eastAsia"/>
          <w:b w:val="0"/>
          <w:color w:val="000000" w:themeColor="text1"/>
          <w:kern w:val="0"/>
          <w:szCs w:val="24"/>
        </w:rPr>
        <w:t>，…，</w:t>
      </w:r>
      <w:r>
        <w:rPr>
          <w:rFonts w:hint="eastAsia"/>
          <w:b w:val="0"/>
          <w:color w:val="000000" w:themeColor="text1"/>
          <w:kern w:val="0"/>
          <w:szCs w:val="24"/>
        </w:rPr>
        <w:t>Qn</w:t>
      </w:r>
      <w:r>
        <w:rPr>
          <w:rFonts w:hint="eastAsia"/>
          <w:b w:val="0"/>
          <w:color w:val="000000" w:themeColor="text1"/>
          <w:kern w:val="0"/>
          <w:szCs w:val="24"/>
        </w:rPr>
        <w:t>—每种危险物质的临界量，</w:t>
      </w:r>
      <w:r>
        <w:rPr>
          <w:rFonts w:hint="eastAsia"/>
          <w:b w:val="0"/>
          <w:color w:val="000000" w:themeColor="text1"/>
          <w:kern w:val="0"/>
          <w:szCs w:val="24"/>
        </w:rPr>
        <w:t>t</w:t>
      </w:r>
      <w:r>
        <w:rPr>
          <w:rFonts w:hint="eastAsia"/>
          <w:b w:val="0"/>
          <w:color w:val="000000" w:themeColor="text1"/>
          <w:kern w:val="0"/>
          <w:szCs w:val="24"/>
        </w:rPr>
        <w:t>。</w:t>
      </w:r>
    </w:p>
    <w:p w:rsidR="00644456" w:rsidRDefault="008031C4">
      <w:pPr>
        <w:pStyle w:val="afffff4"/>
        <w:snapToGrid w:val="0"/>
        <w:spacing w:line="360" w:lineRule="auto"/>
        <w:ind w:firstLineChars="200" w:firstLine="480"/>
        <w:jc w:val="left"/>
        <w:rPr>
          <w:b w:val="0"/>
          <w:color w:val="000000" w:themeColor="text1"/>
          <w:kern w:val="0"/>
          <w:szCs w:val="24"/>
        </w:rPr>
      </w:pPr>
      <w:r>
        <w:rPr>
          <w:rFonts w:hint="eastAsia"/>
          <w:b w:val="0"/>
          <w:color w:val="000000" w:themeColor="text1"/>
          <w:kern w:val="0"/>
          <w:szCs w:val="24"/>
        </w:rPr>
        <w:t>当</w:t>
      </w:r>
      <w:r>
        <w:rPr>
          <w:rFonts w:hint="eastAsia"/>
          <w:b w:val="0"/>
          <w:color w:val="000000" w:themeColor="text1"/>
          <w:kern w:val="0"/>
          <w:szCs w:val="24"/>
        </w:rPr>
        <w:t>Q</w:t>
      </w:r>
      <w:r>
        <w:rPr>
          <w:rFonts w:hint="eastAsia"/>
          <w:b w:val="0"/>
          <w:color w:val="000000" w:themeColor="text1"/>
          <w:kern w:val="0"/>
          <w:szCs w:val="24"/>
        </w:rPr>
        <w:t>＜</w:t>
      </w:r>
      <w:r>
        <w:rPr>
          <w:rFonts w:hint="eastAsia"/>
          <w:b w:val="0"/>
          <w:color w:val="000000" w:themeColor="text1"/>
          <w:kern w:val="0"/>
          <w:szCs w:val="24"/>
        </w:rPr>
        <w:t>1</w:t>
      </w:r>
      <w:r>
        <w:rPr>
          <w:rFonts w:hint="eastAsia"/>
          <w:b w:val="0"/>
          <w:color w:val="000000" w:themeColor="text1"/>
          <w:kern w:val="0"/>
          <w:szCs w:val="24"/>
        </w:rPr>
        <w:t>时，该项目环境风险潜势为</w:t>
      </w:r>
      <w:r>
        <w:rPr>
          <w:rFonts w:hint="eastAsia"/>
          <w:b w:val="0"/>
          <w:color w:val="000000" w:themeColor="text1"/>
          <w:kern w:val="0"/>
          <w:szCs w:val="24"/>
        </w:rPr>
        <w:t>1</w:t>
      </w:r>
      <w:r>
        <w:rPr>
          <w:rFonts w:hint="eastAsia"/>
          <w:b w:val="0"/>
          <w:color w:val="000000" w:themeColor="text1"/>
          <w:kern w:val="0"/>
          <w:szCs w:val="24"/>
        </w:rPr>
        <w:t>。</w:t>
      </w:r>
    </w:p>
    <w:p w:rsidR="00644456" w:rsidRDefault="008031C4">
      <w:pPr>
        <w:pStyle w:val="afffff4"/>
        <w:snapToGrid w:val="0"/>
        <w:spacing w:line="360" w:lineRule="auto"/>
        <w:ind w:firstLineChars="200" w:firstLine="480"/>
        <w:jc w:val="left"/>
        <w:rPr>
          <w:b w:val="0"/>
          <w:color w:val="000000" w:themeColor="text1"/>
          <w:kern w:val="0"/>
          <w:szCs w:val="24"/>
        </w:rPr>
      </w:pPr>
      <w:r>
        <w:rPr>
          <w:rFonts w:hint="eastAsia"/>
          <w:b w:val="0"/>
          <w:color w:val="000000" w:themeColor="text1"/>
          <w:kern w:val="0"/>
          <w:szCs w:val="24"/>
        </w:rPr>
        <w:t>当</w:t>
      </w:r>
      <w:r>
        <w:rPr>
          <w:rFonts w:hint="eastAsia"/>
          <w:b w:val="0"/>
          <w:color w:val="000000" w:themeColor="text1"/>
          <w:kern w:val="0"/>
          <w:szCs w:val="24"/>
        </w:rPr>
        <w:t>Q</w:t>
      </w:r>
      <w:r>
        <w:rPr>
          <w:rFonts w:hint="eastAsia"/>
          <w:b w:val="0"/>
          <w:color w:val="000000" w:themeColor="text1"/>
          <w:kern w:val="0"/>
          <w:szCs w:val="24"/>
        </w:rPr>
        <w:t>＞</w:t>
      </w:r>
      <w:r>
        <w:rPr>
          <w:rFonts w:hint="eastAsia"/>
          <w:b w:val="0"/>
          <w:color w:val="000000" w:themeColor="text1"/>
          <w:kern w:val="0"/>
          <w:szCs w:val="24"/>
        </w:rPr>
        <w:t>1</w:t>
      </w:r>
      <w:r>
        <w:rPr>
          <w:rFonts w:hint="eastAsia"/>
          <w:b w:val="0"/>
          <w:color w:val="000000" w:themeColor="text1"/>
          <w:kern w:val="0"/>
          <w:szCs w:val="24"/>
        </w:rPr>
        <w:t>时，将</w:t>
      </w:r>
      <w:r>
        <w:rPr>
          <w:rFonts w:hint="eastAsia"/>
          <w:b w:val="0"/>
          <w:color w:val="000000" w:themeColor="text1"/>
          <w:kern w:val="0"/>
          <w:szCs w:val="24"/>
        </w:rPr>
        <w:t>Q</w:t>
      </w:r>
      <w:r>
        <w:rPr>
          <w:rFonts w:hint="eastAsia"/>
          <w:b w:val="0"/>
          <w:color w:val="000000" w:themeColor="text1"/>
          <w:kern w:val="0"/>
          <w:szCs w:val="24"/>
        </w:rPr>
        <w:t>值划分为：</w:t>
      </w:r>
    </w:p>
    <w:p w:rsidR="00644456" w:rsidRDefault="008031C4">
      <w:pPr>
        <w:pStyle w:val="afffff4"/>
        <w:snapToGrid w:val="0"/>
        <w:spacing w:line="360" w:lineRule="auto"/>
        <w:ind w:firstLineChars="200" w:firstLine="480"/>
        <w:jc w:val="left"/>
        <w:rPr>
          <w:b w:val="0"/>
          <w:color w:val="000000" w:themeColor="text1"/>
          <w:kern w:val="0"/>
          <w:szCs w:val="24"/>
        </w:rPr>
      </w:pPr>
      <w:r>
        <w:rPr>
          <w:rFonts w:hint="eastAsia"/>
          <w:b w:val="0"/>
          <w:color w:val="000000" w:themeColor="text1"/>
          <w:kern w:val="0"/>
          <w:szCs w:val="24"/>
        </w:rPr>
        <w:t>（</w:t>
      </w:r>
      <w:r>
        <w:rPr>
          <w:rFonts w:hint="eastAsia"/>
          <w:b w:val="0"/>
          <w:color w:val="000000" w:themeColor="text1"/>
          <w:kern w:val="0"/>
          <w:szCs w:val="24"/>
        </w:rPr>
        <w:t>1</w:t>
      </w:r>
      <w:r>
        <w:rPr>
          <w:rFonts w:hint="eastAsia"/>
          <w:b w:val="0"/>
          <w:color w:val="000000" w:themeColor="text1"/>
          <w:kern w:val="0"/>
          <w:szCs w:val="24"/>
        </w:rPr>
        <w:t>）</w:t>
      </w:r>
      <w:r>
        <w:rPr>
          <w:rFonts w:hint="eastAsia"/>
          <w:b w:val="0"/>
          <w:color w:val="000000" w:themeColor="text1"/>
          <w:kern w:val="0"/>
          <w:szCs w:val="24"/>
        </w:rPr>
        <w:t>1</w:t>
      </w:r>
      <w:r>
        <w:rPr>
          <w:rFonts w:hint="eastAsia"/>
          <w:b w:val="0"/>
          <w:color w:val="000000" w:themeColor="text1"/>
          <w:kern w:val="0"/>
          <w:szCs w:val="24"/>
        </w:rPr>
        <w:t>≤</w:t>
      </w:r>
      <w:r>
        <w:rPr>
          <w:rFonts w:hint="eastAsia"/>
          <w:b w:val="0"/>
          <w:color w:val="000000" w:themeColor="text1"/>
          <w:kern w:val="0"/>
          <w:szCs w:val="24"/>
        </w:rPr>
        <w:t>Q</w:t>
      </w:r>
      <w:r>
        <w:rPr>
          <w:rFonts w:hint="eastAsia"/>
          <w:b w:val="0"/>
          <w:color w:val="000000" w:themeColor="text1"/>
          <w:kern w:val="0"/>
          <w:szCs w:val="24"/>
        </w:rPr>
        <w:t>＜</w:t>
      </w:r>
      <w:r>
        <w:rPr>
          <w:rFonts w:hint="eastAsia"/>
          <w:b w:val="0"/>
          <w:color w:val="000000" w:themeColor="text1"/>
          <w:kern w:val="0"/>
          <w:szCs w:val="24"/>
        </w:rPr>
        <w:t>10</w:t>
      </w:r>
      <w:r>
        <w:rPr>
          <w:rFonts w:hint="eastAsia"/>
          <w:b w:val="0"/>
          <w:color w:val="000000" w:themeColor="text1"/>
          <w:kern w:val="0"/>
          <w:szCs w:val="24"/>
        </w:rPr>
        <w:t>；（</w:t>
      </w:r>
      <w:r>
        <w:rPr>
          <w:rFonts w:hint="eastAsia"/>
          <w:b w:val="0"/>
          <w:color w:val="000000" w:themeColor="text1"/>
          <w:kern w:val="0"/>
          <w:szCs w:val="24"/>
        </w:rPr>
        <w:t>2</w:t>
      </w:r>
      <w:r>
        <w:rPr>
          <w:rFonts w:hint="eastAsia"/>
          <w:b w:val="0"/>
          <w:color w:val="000000" w:themeColor="text1"/>
          <w:kern w:val="0"/>
          <w:szCs w:val="24"/>
        </w:rPr>
        <w:t>）</w:t>
      </w:r>
      <w:r>
        <w:rPr>
          <w:rFonts w:hint="eastAsia"/>
          <w:b w:val="0"/>
          <w:color w:val="000000" w:themeColor="text1"/>
          <w:kern w:val="0"/>
          <w:szCs w:val="24"/>
        </w:rPr>
        <w:t>10</w:t>
      </w:r>
      <w:r>
        <w:rPr>
          <w:rFonts w:hint="eastAsia"/>
          <w:b w:val="0"/>
          <w:color w:val="000000" w:themeColor="text1"/>
          <w:kern w:val="0"/>
          <w:szCs w:val="24"/>
        </w:rPr>
        <w:t>≤</w:t>
      </w:r>
      <w:r>
        <w:rPr>
          <w:rFonts w:hint="eastAsia"/>
          <w:b w:val="0"/>
          <w:color w:val="000000" w:themeColor="text1"/>
          <w:kern w:val="0"/>
          <w:szCs w:val="24"/>
        </w:rPr>
        <w:t>Q</w:t>
      </w:r>
      <w:r>
        <w:rPr>
          <w:rFonts w:hint="eastAsia"/>
          <w:b w:val="0"/>
          <w:color w:val="000000" w:themeColor="text1"/>
          <w:kern w:val="0"/>
          <w:szCs w:val="24"/>
        </w:rPr>
        <w:t>＜</w:t>
      </w:r>
      <w:r>
        <w:rPr>
          <w:rFonts w:hint="eastAsia"/>
          <w:b w:val="0"/>
          <w:color w:val="000000" w:themeColor="text1"/>
          <w:kern w:val="0"/>
          <w:szCs w:val="24"/>
        </w:rPr>
        <w:t>100</w:t>
      </w:r>
      <w:r>
        <w:rPr>
          <w:rFonts w:hint="eastAsia"/>
          <w:b w:val="0"/>
          <w:color w:val="000000" w:themeColor="text1"/>
          <w:kern w:val="0"/>
          <w:szCs w:val="24"/>
        </w:rPr>
        <w:t>；（</w:t>
      </w:r>
      <w:r>
        <w:rPr>
          <w:rFonts w:hint="eastAsia"/>
          <w:b w:val="0"/>
          <w:color w:val="000000" w:themeColor="text1"/>
          <w:kern w:val="0"/>
          <w:szCs w:val="24"/>
        </w:rPr>
        <w:t>3</w:t>
      </w:r>
      <w:r>
        <w:rPr>
          <w:rFonts w:hint="eastAsia"/>
          <w:b w:val="0"/>
          <w:color w:val="000000" w:themeColor="text1"/>
          <w:kern w:val="0"/>
          <w:szCs w:val="24"/>
        </w:rPr>
        <w:t>）</w:t>
      </w:r>
      <w:r>
        <w:rPr>
          <w:rFonts w:hint="eastAsia"/>
          <w:b w:val="0"/>
          <w:color w:val="000000" w:themeColor="text1"/>
          <w:kern w:val="0"/>
          <w:szCs w:val="24"/>
        </w:rPr>
        <w:t>Q</w:t>
      </w:r>
      <w:r>
        <w:rPr>
          <w:rFonts w:hint="eastAsia"/>
          <w:b w:val="0"/>
          <w:color w:val="000000" w:themeColor="text1"/>
          <w:kern w:val="0"/>
          <w:szCs w:val="24"/>
        </w:rPr>
        <w:t>≥</w:t>
      </w:r>
      <w:r>
        <w:rPr>
          <w:rFonts w:hint="eastAsia"/>
          <w:b w:val="0"/>
          <w:color w:val="000000" w:themeColor="text1"/>
          <w:kern w:val="0"/>
          <w:szCs w:val="24"/>
        </w:rPr>
        <w:t>100</w:t>
      </w:r>
      <w:r>
        <w:rPr>
          <w:rFonts w:hint="eastAsia"/>
          <w:b w:val="0"/>
          <w:color w:val="000000" w:themeColor="text1"/>
          <w:kern w:val="0"/>
          <w:szCs w:val="24"/>
        </w:rPr>
        <w:t>。</w:t>
      </w:r>
    </w:p>
    <w:p w:rsidR="00644456" w:rsidRDefault="008031C4">
      <w:pPr>
        <w:widowControl/>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7.4</w:t>
      </w:r>
      <w:r>
        <w:rPr>
          <w:rFonts w:cs="Times New Roman" w:hint="eastAsia"/>
          <w:b/>
          <w:color w:val="000000" w:themeColor="text1"/>
          <w:sz w:val="24"/>
          <w:szCs w:val="20"/>
        </w:rPr>
        <w:noBreakHyphen/>
        <w:t>2</w:t>
      </w:r>
      <w:r>
        <w:rPr>
          <w:rFonts w:cs="Times New Roman" w:hint="eastAsia"/>
          <w:b/>
          <w:color w:val="000000" w:themeColor="text1"/>
          <w:sz w:val="24"/>
          <w:szCs w:val="20"/>
        </w:rPr>
        <w:t>建设项目</w:t>
      </w:r>
      <w:r>
        <w:rPr>
          <w:rFonts w:cs="Times New Roman" w:hint="eastAsia"/>
          <w:b/>
          <w:color w:val="000000" w:themeColor="text1"/>
          <w:sz w:val="24"/>
          <w:szCs w:val="20"/>
        </w:rPr>
        <w:t>Q</w:t>
      </w:r>
      <w:r>
        <w:rPr>
          <w:rFonts w:cs="Times New Roman" w:hint="eastAsia"/>
          <w:b/>
          <w:color w:val="000000" w:themeColor="text1"/>
          <w:sz w:val="24"/>
          <w:szCs w:val="20"/>
        </w:rPr>
        <w:t>值确定表</w:t>
      </w:r>
    </w:p>
    <w:tbl>
      <w:tblPr>
        <w:tblW w:w="0" w:type="auto"/>
        <w:jc w:val="center"/>
        <w:tblBorders>
          <w:top w:val="single" w:sz="12"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7"/>
        <w:gridCol w:w="2123"/>
        <w:gridCol w:w="1898"/>
        <w:gridCol w:w="1711"/>
        <w:gridCol w:w="1593"/>
      </w:tblGrid>
      <w:tr w:rsidR="007B7F59" w:rsidRPr="006214B2" w:rsidTr="007B7F59">
        <w:trPr>
          <w:jc w:val="center"/>
        </w:trPr>
        <w:tc>
          <w:tcPr>
            <w:tcW w:w="997" w:type="dxa"/>
            <w:vAlign w:val="center"/>
          </w:tcPr>
          <w:p w:rsidR="007B7F59" w:rsidRPr="006214B2" w:rsidRDefault="007B7F59" w:rsidP="007B7F59">
            <w:pPr>
              <w:jc w:val="center"/>
              <w:rPr>
                <w:rFonts w:cs="Times New Roman"/>
                <w:bCs/>
                <w:color w:val="FF0000"/>
                <w:szCs w:val="21"/>
              </w:rPr>
            </w:pPr>
            <w:r w:rsidRPr="006214B2">
              <w:rPr>
                <w:rFonts w:cs="Times New Roman"/>
                <w:bCs/>
                <w:color w:val="FF0000"/>
                <w:szCs w:val="21"/>
              </w:rPr>
              <w:t>危险单元</w:t>
            </w:r>
          </w:p>
        </w:tc>
        <w:tc>
          <w:tcPr>
            <w:tcW w:w="2123" w:type="dxa"/>
            <w:vAlign w:val="center"/>
          </w:tcPr>
          <w:p w:rsidR="007B7F59" w:rsidRPr="006214B2" w:rsidRDefault="007B7F59" w:rsidP="007B7F59">
            <w:pPr>
              <w:jc w:val="center"/>
              <w:rPr>
                <w:rFonts w:cs="Times New Roman"/>
                <w:bCs/>
                <w:color w:val="FF0000"/>
                <w:szCs w:val="21"/>
              </w:rPr>
            </w:pPr>
            <w:r w:rsidRPr="006214B2">
              <w:rPr>
                <w:rFonts w:cs="Times New Roman"/>
                <w:bCs/>
                <w:color w:val="FF0000"/>
                <w:szCs w:val="21"/>
              </w:rPr>
              <w:t>危险物质</w:t>
            </w:r>
          </w:p>
        </w:tc>
        <w:tc>
          <w:tcPr>
            <w:tcW w:w="1898" w:type="dxa"/>
            <w:vAlign w:val="center"/>
          </w:tcPr>
          <w:p w:rsidR="007B7F59" w:rsidRPr="006214B2" w:rsidRDefault="007B7F59" w:rsidP="007B7F59">
            <w:pPr>
              <w:jc w:val="center"/>
              <w:rPr>
                <w:rFonts w:cs="Times New Roman"/>
                <w:bCs/>
                <w:color w:val="FF0000"/>
                <w:szCs w:val="21"/>
              </w:rPr>
            </w:pPr>
            <w:r w:rsidRPr="006214B2">
              <w:rPr>
                <w:rFonts w:cs="Times New Roman"/>
                <w:bCs/>
                <w:color w:val="FF0000"/>
                <w:szCs w:val="21"/>
              </w:rPr>
              <w:t>最大</w:t>
            </w:r>
            <w:r w:rsidRPr="006214B2">
              <w:rPr>
                <w:rFonts w:cs="Times New Roman" w:hint="eastAsia"/>
                <w:bCs/>
                <w:color w:val="FF0000"/>
                <w:szCs w:val="21"/>
              </w:rPr>
              <w:t>存在</w:t>
            </w:r>
            <w:r w:rsidRPr="006214B2">
              <w:rPr>
                <w:rFonts w:cs="Times New Roman"/>
                <w:bCs/>
                <w:color w:val="FF0000"/>
                <w:szCs w:val="21"/>
              </w:rPr>
              <w:t>量</w:t>
            </w:r>
            <w:r w:rsidRPr="006214B2">
              <w:rPr>
                <w:rFonts w:cs="Times New Roman"/>
                <w:bCs/>
                <w:color w:val="FF0000"/>
                <w:szCs w:val="21"/>
              </w:rPr>
              <w:t>/t</w:t>
            </w:r>
          </w:p>
        </w:tc>
        <w:tc>
          <w:tcPr>
            <w:tcW w:w="1711" w:type="dxa"/>
            <w:vAlign w:val="center"/>
          </w:tcPr>
          <w:p w:rsidR="007B7F59" w:rsidRPr="006214B2" w:rsidRDefault="007B7F59" w:rsidP="007B7F59">
            <w:pPr>
              <w:jc w:val="center"/>
              <w:rPr>
                <w:rFonts w:cs="Times New Roman"/>
                <w:bCs/>
                <w:color w:val="FF0000"/>
                <w:szCs w:val="21"/>
              </w:rPr>
            </w:pPr>
            <w:r w:rsidRPr="006214B2">
              <w:rPr>
                <w:rFonts w:cs="Times New Roman"/>
                <w:bCs/>
                <w:color w:val="FF0000"/>
                <w:szCs w:val="21"/>
              </w:rPr>
              <w:t>临界量</w:t>
            </w:r>
            <w:r w:rsidRPr="006214B2">
              <w:rPr>
                <w:rFonts w:cs="Times New Roman"/>
                <w:bCs/>
                <w:color w:val="FF0000"/>
                <w:szCs w:val="21"/>
              </w:rPr>
              <w:t>/t</w:t>
            </w:r>
          </w:p>
        </w:tc>
        <w:tc>
          <w:tcPr>
            <w:tcW w:w="1593" w:type="dxa"/>
            <w:vAlign w:val="center"/>
          </w:tcPr>
          <w:p w:rsidR="007B7F59" w:rsidRPr="006214B2" w:rsidRDefault="007B7F59" w:rsidP="007B7F59">
            <w:pPr>
              <w:jc w:val="center"/>
              <w:rPr>
                <w:rFonts w:cs="Times New Roman"/>
                <w:bCs/>
                <w:color w:val="FF0000"/>
                <w:szCs w:val="21"/>
              </w:rPr>
            </w:pPr>
            <w:r w:rsidRPr="006214B2">
              <w:rPr>
                <w:rFonts w:cs="Times New Roman"/>
                <w:bCs/>
                <w:color w:val="FF0000"/>
                <w:szCs w:val="21"/>
              </w:rPr>
              <w:t>Q</w:t>
            </w:r>
            <w:r w:rsidRPr="006214B2">
              <w:rPr>
                <w:rFonts w:cs="Times New Roman"/>
                <w:bCs/>
                <w:color w:val="FF0000"/>
                <w:szCs w:val="21"/>
              </w:rPr>
              <w:t>值</w:t>
            </w:r>
          </w:p>
        </w:tc>
      </w:tr>
      <w:tr w:rsidR="007B7F59" w:rsidRPr="006214B2" w:rsidTr="007B7F59">
        <w:trPr>
          <w:jc w:val="center"/>
        </w:trPr>
        <w:tc>
          <w:tcPr>
            <w:tcW w:w="997" w:type="dxa"/>
            <w:vMerge w:val="restart"/>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厂区</w:t>
            </w:r>
          </w:p>
        </w:tc>
        <w:tc>
          <w:tcPr>
            <w:tcW w:w="2123"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废矿物油（原料储罐）</w:t>
            </w:r>
          </w:p>
        </w:tc>
        <w:tc>
          <w:tcPr>
            <w:tcW w:w="1898"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1262.25</w:t>
            </w:r>
          </w:p>
        </w:tc>
        <w:tc>
          <w:tcPr>
            <w:tcW w:w="1711"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2500</w:t>
            </w:r>
          </w:p>
        </w:tc>
        <w:tc>
          <w:tcPr>
            <w:tcW w:w="1593"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0.5049</w:t>
            </w:r>
          </w:p>
        </w:tc>
      </w:tr>
      <w:tr w:rsidR="007B7F59" w:rsidRPr="006214B2" w:rsidTr="007B7F59">
        <w:trPr>
          <w:jc w:val="center"/>
        </w:trPr>
        <w:tc>
          <w:tcPr>
            <w:tcW w:w="997" w:type="dxa"/>
            <w:vMerge/>
            <w:vAlign w:val="center"/>
          </w:tcPr>
          <w:p w:rsidR="007B7F59" w:rsidRPr="006214B2" w:rsidRDefault="007B7F59" w:rsidP="007B7F59">
            <w:pPr>
              <w:jc w:val="center"/>
              <w:rPr>
                <w:rFonts w:cs="Times New Roman"/>
                <w:bCs/>
                <w:color w:val="FF0000"/>
                <w:szCs w:val="21"/>
              </w:rPr>
            </w:pPr>
          </w:p>
        </w:tc>
        <w:tc>
          <w:tcPr>
            <w:tcW w:w="2123"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矿物油（基础油罐）</w:t>
            </w:r>
          </w:p>
        </w:tc>
        <w:tc>
          <w:tcPr>
            <w:tcW w:w="1898"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79.2</w:t>
            </w:r>
          </w:p>
        </w:tc>
        <w:tc>
          <w:tcPr>
            <w:tcW w:w="1711"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2500</w:t>
            </w:r>
          </w:p>
        </w:tc>
        <w:tc>
          <w:tcPr>
            <w:tcW w:w="1593"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0.03168</w:t>
            </w:r>
          </w:p>
        </w:tc>
      </w:tr>
      <w:tr w:rsidR="007B7F59" w:rsidRPr="006214B2" w:rsidTr="007B7F59">
        <w:trPr>
          <w:trHeight w:val="90"/>
          <w:jc w:val="center"/>
        </w:trPr>
        <w:tc>
          <w:tcPr>
            <w:tcW w:w="997" w:type="dxa"/>
            <w:vMerge/>
            <w:vAlign w:val="center"/>
          </w:tcPr>
          <w:p w:rsidR="007B7F59" w:rsidRPr="006214B2" w:rsidRDefault="007B7F59" w:rsidP="007B7F59">
            <w:pPr>
              <w:jc w:val="center"/>
              <w:rPr>
                <w:rFonts w:cs="Times New Roman"/>
                <w:bCs/>
                <w:color w:val="FF0000"/>
                <w:szCs w:val="21"/>
              </w:rPr>
            </w:pPr>
          </w:p>
        </w:tc>
        <w:tc>
          <w:tcPr>
            <w:tcW w:w="2123"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矿物油（再生尾油罐）</w:t>
            </w:r>
          </w:p>
        </w:tc>
        <w:tc>
          <w:tcPr>
            <w:tcW w:w="1898"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504.9</w:t>
            </w:r>
          </w:p>
        </w:tc>
        <w:tc>
          <w:tcPr>
            <w:tcW w:w="1711"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2500</w:t>
            </w:r>
          </w:p>
        </w:tc>
        <w:tc>
          <w:tcPr>
            <w:tcW w:w="1593"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0.20196</w:t>
            </w:r>
          </w:p>
        </w:tc>
      </w:tr>
      <w:tr w:rsidR="007B7F59" w:rsidRPr="006214B2" w:rsidTr="007B7F59">
        <w:trPr>
          <w:jc w:val="center"/>
        </w:trPr>
        <w:tc>
          <w:tcPr>
            <w:tcW w:w="997" w:type="dxa"/>
            <w:vMerge/>
            <w:vAlign w:val="center"/>
          </w:tcPr>
          <w:p w:rsidR="007B7F59" w:rsidRPr="006214B2" w:rsidRDefault="007B7F59" w:rsidP="007B7F59">
            <w:pPr>
              <w:jc w:val="center"/>
              <w:rPr>
                <w:rFonts w:cs="Times New Roman"/>
                <w:bCs/>
                <w:color w:val="FF0000"/>
                <w:szCs w:val="21"/>
              </w:rPr>
            </w:pPr>
          </w:p>
        </w:tc>
        <w:tc>
          <w:tcPr>
            <w:tcW w:w="2123"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矿物油（燃料油罐）</w:t>
            </w:r>
          </w:p>
        </w:tc>
        <w:tc>
          <w:tcPr>
            <w:tcW w:w="1898"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242.45</w:t>
            </w:r>
          </w:p>
        </w:tc>
        <w:tc>
          <w:tcPr>
            <w:tcW w:w="1711"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2500</w:t>
            </w:r>
          </w:p>
        </w:tc>
        <w:tc>
          <w:tcPr>
            <w:tcW w:w="1593"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0.09698</w:t>
            </w:r>
          </w:p>
        </w:tc>
      </w:tr>
      <w:tr w:rsidR="007B7F59" w:rsidRPr="006214B2" w:rsidTr="007B7F59">
        <w:trPr>
          <w:jc w:val="center"/>
        </w:trPr>
        <w:tc>
          <w:tcPr>
            <w:tcW w:w="997" w:type="dxa"/>
            <w:vMerge/>
            <w:vAlign w:val="center"/>
          </w:tcPr>
          <w:p w:rsidR="007B7F59" w:rsidRPr="006214B2" w:rsidRDefault="007B7F59" w:rsidP="007B7F59">
            <w:pPr>
              <w:jc w:val="center"/>
              <w:rPr>
                <w:rFonts w:cs="Times New Roman"/>
                <w:bCs/>
                <w:color w:val="FF0000"/>
                <w:szCs w:val="21"/>
              </w:rPr>
            </w:pPr>
          </w:p>
        </w:tc>
        <w:tc>
          <w:tcPr>
            <w:tcW w:w="2123"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天然气</w:t>
            </w:r>
          </w:p>
        </w:tc>
        <w:tc>
          <w:tcPr>
            <w:tcW w:w="1898"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0.01099</w:t>
            </w:r>
          </w:p>
        </w:tc>
        <w:tc>
          <w:tcPr>
            <w:tcW w:w="1711"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10</w:t>
            </w:r>
          </w:p>
        </w:tc>
        <w:tc>
          <w:tcPr>
            <w:tcW w:w="1593"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0.001099</w:t>
            </w:r>
          </w:p>
        </w:tc>
      </w:tr>
      <w:tr w:rsidR="007B7F59" w:rsidRPr="006214B2" w:rsidTr="007B7F59">
        <w:trPr>
          <w:jc w:val="center"/>
        </w:trPr>
        <w:tc>
          <w:tcPr>
            <w:tcW w:w="997" w:type="dxa"/>
            <w:vMerge/>
            <w:vAlign w:val="center"/>
          </w:tcPr>
          <w:p w:rsidR="007B7F59" w:rsidRPr="006214B2" w:rsidRDefault="007B7F59" w:rsidP="007B7F59">
            <w:pPr>
              <w:jc w:val="center"/>
              <w:rPr>
                <w:rFonts w:cs="Times New Roman"/>
                <w:bCs/>
                <w:color w:val="FF0000"/>
                <w:szCs w:val="21"/>
              </w:rPr>
            </w:pPr>
          </w:p>
        </w:tc>
        <w:tc>
          <w:tcPr>
            <w:tcW w:w="2123"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废导热油</w:t>
            </w:r>
          </w:p>
        </w:tc>
        <w:tc>
          <w:tcPr>
            <w:tcW w:w="1898"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0.7</w:t>
            </w:r>
          </w:p>
        </w:tc>
        <w:tc>
          <w:tcPr>
            <w:tcW w:w="1711"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2500</w:t>
            </w:r>
          </w:p>
        </w:tc>
        <w:tc>
          <w:tcPr>
            <w:tcW w:w="1593"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0.00028</w:t>
            </w:r>
          </w:p>
        </w:tc>
      </w:tr>
      <w:tr w:rsidR="007B7F59" w:rsidRPr="006214B2" w:rsidTr="007B7F59">
        <w:trPr>
          <w:jc w:val="center"/>
        </w:trPr>
        <w:tc>
          <w:tcPr>
            <w:tcW w:w="997" w:type="dxa"/>
            <w:vMerge/>
            <w:vAlign w:val="center"/>
          </w:tcPr>
          <w:p w:rsidR="007B7F59" w:rsidRPr="006214B2" w:rsidRDefault="007B7F59" w:rsidP="007B7F59">
            <w:pPr>
              <w:jc w:val="center"/>
              <w:rPr>
                <w:rFonts w:cs="Times New Roman"/>
                <w:bCs/>
                <w:color w:val="FF0000"/>
                <w:szCs w:val="21"/>
              </w:rPr>
            </w:pPr>
          </w:p>
        </w:tc>
        <w:tc>
          <w:tcPr>
            <w:tcW w:w="2123"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导热油（在线量）</w:t>
            </w:r>
          </w:p>
        </w:tc>
        <w:tc>
          <w:tcPr>
            <w:tcW w:w="1898"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1</w:t>
            </w:r>
          </w:p>
        </w:tc>
        <w:tc>
          <w:tcPr>
            <w:tcW w:w="1711"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2</w:t>
            </w:r>
            <w:r w:rsidRPr="006214B2">
              <w:rPr>
                <w:rFonts w:cs="Times New Roman"/>
                <w:bCs/>
                <w:color w:val="FF0000"/>
                <w:szCs w:val="21"/>
              </w:rPr>
              <w:t>500</w:t>
            </w:r>
          </w:p>
        </w:tc>
        <w:tc>
          <w:tcPr>
            <w:tcW w:w="1593"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0</w:t>
            </w:r>
            <w:r w:rsidRPr="006214B2">
              <w:rPr>
                <w:rFonts w:cs="Times New Roman"/>
                <w:bCs/>
                <w:color w:val="FF0000"/>
                <w:szCs w:val="21"/>
              </w:rPr>
              <w:t>.0004</w:t>
            </w:r>
          </w:p>
        </w:tc>
      </w:tr>
      <w:tr w:rsidR="007B7F59" w:rsidRPr="006214B2" w:rsidTr="007B7F59">
        <w:trPr>
          <w:jc w:val="center"/>
        </w:trPr>
        <w:tc>
          <w:tcPr>
            <w:tcW w:w="3120" w:type="dxa"/>
            <w:gridSpan w:val="2"/>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合计</w:t>
            </w:r>
          </w:p>
        </w:tc>
        <w:tc>
          <w:tcPr>
            <w:tcW w:w="1898"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w:t>
            </w:r>
          </w:p>
        </w:tc>
        <w:tc>
          <w:tcPr>
            <w:tcW w:w="1711"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w:t>
            </w:r>
          </w:p>
        </w:tc>
        <w:tc>
          <w:tcPr>
            <w:tcW w:w="1593" w:type="dxa"/>
            <w:vAlign w:val="center"/>
          </w:tcPr>
          <w:p w:rsidR="007B7F59" w:rsidRPr="006214B2" w:rsidRDefault="007B7F59" w:rsidP="007B7F59">
            <w:pPr>
              <w:jc w:val="center"/>
              <w:rPr>
                <w:rFonts w:cs="Times New Roman"/>
                <w:bCs/>
                <w:color w:val="FF0000"/>
                <w:szCs w:val="21"/>
              </w:rPr>
            </w:pPr>
            <w:r w:rsidRPr="006214B2">
              <w:rPr>
                <w:rFonts w:cs="Times New Roman" w:hint="eastAsia"/>
                <w:bCs/>
                <w:color w:val="FF0000"/>
                <w:szCs w:val="21"/>
              </w:rPr>
              <w:t>0.83</w:t>
            </w:r>
            <w:r w:rsidRPr="006214B2">
              <w:rPr>
                <w:rFonts w:cs="Times New Roman"/>
                <w:bCs/>
                <w:color w:val="FF0000"/>
                <w:szCs w:val="21"/>
              </w:rPr>
              <w:t>72</w:t>
            </w:r>
            <w:r w:rsidRPr="006214B2">
              <w:rPr>
                <w:rFonts w:cs="Times New Roman" w:hint="eastAsia"/>
                <w:bCs/>
                <w:color w:val="FF0000"/>
                <w:szCs w:val="21"/>
              </w:rPr>
              <w:t>99</w:t>
            </w:r>
          </w:p>
        </w:tc>
      </w:tr>
    </w:tbl>
    <w:p w:rsidR="00644456" w:rsidRDefault="008031C4">
      <w:pPr>
        <w:tabs>
          <w:tab w:val="left" w:pos="3150"/>
        </w:tabs>
        <w:spacing w:line="360" w:lineRule="auto"/>
        <w:ind w:firstLineChars="200" w:firstLine="480"/>
        <w:rPr>
          <w:color w:val="000000" w:themeColor="text1"/>
          <w:kern w:val="0"/>
          <w:sz w:val="24"/>
          <w:szCs w:val="24"/>
        </w:rPr>
      </w:pPr>
      <w:r>
        <w:rPr>
          <w:rFonts w:hint="eastAsia"/>
          <w:color w:val="000000" w:themeColor="text1"/>
          <w:kern w:val="0"/>
          <w:sz w:val="24"/>
          <w:szCs w:val="24"/>
        </w:rPr>
        <w:t>因此，本项目</w:t>
      </w:r>
      <w:r>
        <w:rPr>
          <w:rFonts w:hint="eastAsia"/>
          <w:color w:val="000000" w:themeColor="text1"/>
          <w:kern w:val="0"/>
          <w:sz w:val="24"/>
          <w:szCs w:val="24"/>
        </w:rPr>
        <w:t>Q=</w:t>
      </w:r>
      <w:r w:rsidR="007B7F59" w:rsidRPr="007B7F59">
        <w:rPr>
          <w:color w:val="000000" w:themeColor="text1"/>
          <w:kern w:val="0"/>
          <w:sz w:val="24"/>
          <w:szCs w:val="24"/>
        </w:rPr>
        <w:t>0.837299</w:t>
      </w:r>
      <w:r>
        <w:rPr>
          <w:rFonts w:hint="eastAsia"/>
          <w:color w:val="000000" w:themeColor="text1"/>
          <w:kern w:val="0"/>
          <w:sz w:val="24"/>
          <w:szCs w:val="24"/>
        </w:rPr>
        <w:t>。根据《建设项目环境风险评价技术导则》（</w:t>
      </w:r>
      <w:r>
        <w:rPr>
          <w:rFonts w:hint="eastAsia"/>
          <w:color w:val="000000" w:themeColor="text1"/>
          <w:kern w:val="0"/>
          <w:sz w:val="24"/>
          <w:szCs w:val="24"/>
        </w:rPr>
        <w:t>HJ/T69-2018</w:t>
      </w:r>
      <w:r>
        <w:rPr>
          <w:rFonts w:hint="eastAsia"/>
          <w:color w:val="000000" w:themeColor="text1"/>
          <w:kern w:val="0"/>
          <w:sz w:val="24"/>
          <w:szCs w:val="24"/>
        </w:rPr>
        <w:t>）有关规定，</w:t>
      </w:r>
      <w:r>
        <w:rPr>
          <w:rFonts w:hint="eastAsia"/>
          <w:color w:val="000000" w:themeColor="text1"/>
          <w:kern w:val="0"/>
          <w:sz w:val="24"/>
          <w:szCs w:val="24"/>
        </w:rPr>
        <w:t>Q&lt;1</w:t>
      </w:r>
      <w:r>
        <w:rPr>
          <w:rFonts w:hint="eastAsia"/>
          <w:color w:val="000000" w:themeColor="text1"/>
          <w:kern w:val="0"/>
          <w:sz w:val="24"/>
          <w:szCs w:val="24"/>
        </w:rPr>
        <w:t>，判断本项目风险潜势为</w:t>
      </w:r>
      <w:r>
        <w:rPr>
          <w:rFonts w:hint="eastAsia"/>
          <w:color w:val="000000" w:themeColor="text1"/>
          <w:kern w:val="0"/>
          <w:sz w:val="24"/>
          <w:szCs w:val="24"/>
        </w:rPr>
        <w:t>I</w:t>
      </w:r>
      <w:r>
        <w:rPr>
          <w:rFonts w:hint="eastAsia"/>
          <w:color w:val="000000" w:themeColor="text1"/>
          <w:kern w:val="0"/>
          <w:sz w:val="24"/>
          <w:szCs w:val="24"/>
        </w:rPr>
        <w:t>。</w:t>
      </w:r>
    </w:p>
    <w:p w:rsidR="00644456" w:rsidRDefault="008031C4">
      <w:pPr>
        <w:pStyle w:val="3"/>
        <w:numPr>
          <w:ilvl w:val="2"/>
          <w:numId w:val="0"/>
        </w:numPr>
        <w:ind w:firstLineChars="200" w:firstLine="482"/>
      </w:pPr>
      <w:r>
        <w:rPr>
          <w:rFonts w:hint="eastAsia"/>
        </w:rPr>
        <w:t>7.4.2</w:t>
      </w:r>
      <w:r>
        <w:rPr>
          <w:rFonts w:hint="eastAsia"/>
        </w:rPr>
        <w:t>评价工作等级确定</w:t>
      </w:r>
    </w:p>
    <w:p w:rsidR="00644456" w:rsidRDefault="008031C4">
      <w:pPr>
        <w:pStyle w:val="-"/>
        <w:snapToGrid w:val="0"/>
        <w:ind w:firstLine="480"/>
        <w:rPr>
          <w:rFonts w:cs="Times New Roman"/>
          <w:color w:val="000000" w:themeColor="text1"/>
        </w:rPr>
      </w:pPr>
      <w:r>
        <w:rPr>
          <w:rFonts w:cs="Times New Roman" w:hint="eastAsia"/>
          <w:color w:val="000000" w:themeColor="text1"/>
        </w:rPr>
        <w:t>按照《建设项目环境风险评价技术导则》（</w:t>
      </w:r>
      <w:r>
        <w:rPr>
          <w:rFonts w:cs="Times New Roman" w:hint="eastAsia"/>
          <w:color w:val="000000" w:themeColor="text1"/>
        </w:rPr>
        <w:t>HJ169-2018</w:t>
      </w:r>
      <w:r>
        <w:rPr>
          <w:rFonts w:cs="Times New Roman" w:hint="eastAsia"/>
          <w:color w:val="000000" w:themeColor="text1"/>
        </w:rPr>
        <w:t>）及本项目环境风险潜势分析，本项目风险评价工作级别见下表。</w:t>
      </w:r>
    </w:p>
    <w:p w:rsidR="00644456" w:rsidRDefault="008031C4">
      <w:pPr>
        <w:widowControl/>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7.4-3</w:t>
      </w:r>
      <w:r>
        <w:rPr>
          <w:rFonts w:cs="Times New Roman" w:hint="eastAsia"/>
          <w:b/>
          <w:color w:val="000000" w:themeColor="text1"/>
          <w:sz w:val="24"/>
          <w:szCs w:val="20"/>
        </w:rPr>
        <w:t>风险评价工作级别表</w:t>
      </w:r>
    </w:p>
    <w:tbl>
      <w:tblPr>
        <w:tblStyle w:val="afff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803"/>
        <w:gridCol w:w="1803"/>
        <w:gridCol w:w="1803"/>
        <w:gridCol w:w="1803"/>
        <w:gridCol w:w="1803"/>
      </w:tblGrid>
      <w:tr w:rsidR="00644456">
        <w:tc>
          <w:tcPr>
            <w:tcW w:w="1803" w:type="dxa"/>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环境风险潜势</w:t>
            </w:r>
          </w:p>
        </w:tc>
        <w:tc>
          <w:tcPr>
            <w:tcW w:w="1803" w:type="dxa"/>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IV</w:t>
            </w:r>
            <w:r>
              <w:rPr>
                <w:rFonts w:cs="Times New Roman" w:hint="eastAsia"/>
                <w:color w:val="000000" w:themeColor="text1"/>
                <w:kern w:val="0"/>
                <w:szCs w:val="21"/>
              </w:rPr>
              <w:t>、</w:t>
            </w:r>
            <w:r>
              <w:rPr>
                <w:rFonts w:cs="Times New Roman" w:hint="eastAsia"/>
                <w:color w:val="000000" w:themeColor="text1"/>
                <w:kern w:val="0"/>
                <w:szCs w:val="21"/>
              </w:rPr>
              <w:t>IV+</w:t>
            </w:r>
          </w:p>
        </w:tc>
        <w:tc>
          <w:tcPr>
            <w:tcW w:w="1803" w:type="dxa"/>
          </w:tcPr>
          <w:p w:rsidR="00644456" w:rsidRDefault="008031C4">
            <w:pPr>
              <w:adjustRightInd w:val="0"/>
              <w:jc w:val="center"/>
              <w:textAlignment w:val="baseline"/>
              <w:rPr>
                <w:rFonts w:cs="Times New Roman"/>
                <w:color w:val="000000" w:themeColor="text1"/>
                <w:kern w:val="0"/>
                <w:szCs w:val="21"/>
              </w:rPr>
            </w:pPr>
            <w:r>
              <w:rPr>
                <w:rFonts w:cs="Times New Roman"/>
                <w:color w:val="000000" w:themeColor="text1"/>
                <w:kern w:val="0"/>
                <w:szCs w:val="21"/>
              </w:rPr>
              <w:t>III</w:t>
            </w:r>
          </w:p>
        </w:tc>
        <w:tc>
          <w:tcPr>
            <w:tcW w:w="1803" w:type="dxa"/>
          </w:tcPr>
          <w:p w:rsidR="00644456" w:rsidRDefault="008031C4">
            <w:pPr>
              <w:adjustRightInd w:val="0"/>
              <w:jc w:val="center"/>
              <w:textAlignment w:val="baseline"/>
              <w:rPr>
                <w:rFonts w:cs="Times New Roman"/>
                <w:color w:val="000000" w:themeColor="text1"/>
                <w:kern w:val="0"/>
                <w:szCs w:val="21"/>
              </w:rPr>
            </w:pPr>
            <w:r>
              <w:rPr>
                <w:rFonts w:cs="Times New Roman"/>
                <w:color w:val="000000" w:themeColor="text1"/>
                <w:kern w:val="0"/>
                <w:szCs w:val="21"/>
              </w:rPr>
              <w:t>II</w:t>
            </w:r>
          </w:p>
        </w:tc>
        <w:tc>
          <w:tcPr>
            <w:tcW w:w="1803" w:type="dxa"/>
          </w:tcPr>
          <w:p w:rsidR="00644456" w:rsidRDefault="008031C4">
            <w:pPr>
              <w:adjustRightInd w:val="0"/>
              <w:jc w:val="center"/>
              <w:textAlignment w:val="baseline"/>
              <w:rPr>
                <w:rFonts w:cs="Times New Roman"/>
                <w:color w:val="000000" w:themeColor="text1"/>
                <w:kern w:val="0"/>
                <w:szCs w:val="21"/>
              </w:rPr>
            </w:pPr>
            <w:r>
              <w:rPr>
                <w:rFonts w:cs="Times New Roman"/>
                <w:color w:val="000000" w:themeColor="text1"/>
                <w:kern w:val="0"/>
                <w:szCs w:val="21"/>
              </w:rPr>
              <w:t>I</w:t>
            </w:r>
          </w:p>
        </w:tc>
      </w:tr>
      <w:tr w:rsidR="00644456">
        <w:tc>
          <w:tcPr>
            <w:tcW w:w="1803" w:type="dxa"/>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评价工作等级</w:t>
            </w:r>
          </w:p>
        </w:tc>
        <w:tc>
          <w:tcPr>
            <w:tcW w:w="1803" w:type="dxa"/>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一</w:t>
            </w:r>
          </w:p>
        </w:tc>
        <w:tc>
          <w:tcPr>
            <w:tcW w:w="1803" w:type="dxa"/>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二</w:t>
            </w:r>
          </w:p>
        </w:tc>
        <w:tc>
          <w:tcPr>
            <w:tcW w:w="1803" w:type="dxa"/>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三</w:t>
            </w:r>
          </w:p>
        </w:tc>
        <w:tc>
          <w:tcPr>
            <w:tcW w:w="1803" w:type="dxa"/>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简单分析</w:t>
            </w:r>
          </w:p>
        </w:tc>
      </w:tr>
    </w:tbl>
    <w:p w:rsidR="00644456" w:rsidRDefault="008031C4">
      <w:pPr>
        <w:pStyle w:val="-"/>
        <w:snapToGrid w:val="0"/>
        <w:ind w:firstLine="480"/>
        <w:rPr>
          <w:rFonts w:cs="Times New Roman"/>
          <w:color w:val="000000" w:themeColor="text1"/>
        </w:rPr>
      </w:pPr>
      <w:r>
        <w:rPr>
          <w:rFonts w:cs="Times New Roman" w:hint="eastAsia"/>
          <w:color w:val="000000" w:themeColor="text1"/>
        </w:rPr>
        <w:t>根据上表，确定本项目风险评价等级为简单分析。</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466" w:name="_Toc177216904"/>
      <w:r>
        <w:rPr>
          <w:rFonts w:cs="Times New Roman" w:hint="eastAsia"/>
          <w:color w:val="000000" w:themeColor="text1"/>
        </w:rPr>
        <w:t>7.5</w:t>
      </w:r>
      <w:r>
        <w:rPr>
          <w:rFonts w:cs="Times New Roman" w:hint="eastAsia"/>
          <w:color w:val="000000" w:themeColor="text1"/>
        </w:rPr>
        <w:t>环境风险影响分析内容</w:t>
      </w:r>
      <w:bookmarkEnd w:id="466"/>
    </w:p>
    <w:p w:rsidR="00644456" w:rsidRDefault="008031C4">
      <w:pPr>
        <w:pStyle w:val="-"/>
        <w:snapToGrid w:val="0"/>
        <w:ind w:firstLine="480"/>
        <w:rPr>
          <w:rFonts w:cs="Times New Roman"/>
          <w:color w:val="000000" w:themeColor="text1"/>
        </w:rPr>
      </w:pPr>
      <w:r>
        <w:rPr>
          <w:rFonts w:cs="Times New Roman" w:hint="eastAsia"/>
          <w:color w:val="000000" w:themeColor="text1"/>
        </w:rPr>
        <w:t>参照《建设项目环境风险评价技术导则》（</w:t>
      </w:r>
      <w:r>
        <w:rPr>
          <w:rFonts w:cs="Times New Roman" w:hint="eastAsia"/>
          <w:color w:val="000000" w:themeColor="text1"/>
        </w:rPr>
        <w:t>HJ169-2018</w:t>
      </w:r>
      <w:r>
        <w:rPr>
          <w:rFonts w:cs="Times New Roman" w:hint="eastAsia"/>
          <w:color w:val="000000" w:themeColor="text1"/>
        </w:rPr>
        <w:t>）附录</w:t>
      </w:r>
      <w:r>
        <w:rPr>
          <w:rFonts w:cs="Times New Roman" w:hint="eastAsia"/>
          <w:color w:val="000000" w:themeColor="text1"/>
        </w:rPr>
        <w:t>A</w:t>
      </w:r>
      <w:r>
        <w:rPr>
          <w:rFonts w:cs="Times New Roman" w:hint="eastAsia"/>
          <w:color w:val="000000" w:themeColor="text1"/>
        </w:rPr>
        <w:t>，本项目环境风险影响分析见下表。</w:t>
      </w:r>
    </w:p>
    <w:p w:rsidR="00644456" w:rsidRDefault="008031C4">
      <w:pPr>
        <w:widowControl/>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7.5-1</w:t>
      </w:r>
      <w:r>
        <w:rPr>
          <w:rFonts w:cs="Times New Roman" w:hint="eastAsia"/>
          <w:b/>
          <w:color w:val="000000" w:themeColor="text1"/>
          <w:sz w:val="24"/>
          <w:szCs w:val="20"/>
        </w:rPr>
        <w:t>环境风险简要分析内容表</w:t>
      </w:r>
    </w:p>
    <w:tbl>
      <w:tblPr>
        <w:tblStyle w:val="afff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803"/>
        <w:gridCol w:w="1803"/>
        <w:gridCol w:w="1803"/>
        <w:gridCol w:w="1803"/>
        <w:gridCol w:w="1803"/>
      </w:tblGrid>
      <w:tr w:rsidR="00644456">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建设项目名称</w:t>
            </w:r>
          </w:p>
        </w:tc>
        <w:tc>
          <w:tcPr>
            <w:tcW w:w="7212" w:type="dxa"/>
            <w:gridSpan w:val="4"/>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喀什正启节能环保科技有限公司废矿物油再生与利用项目</w:t>
            </w:r>
          </w:p>
        </w:tc>
      </w:tr>
      <w:tr w:rsidR="00644456">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建设地点</w:t>
            </w: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新疆维吾尔自治区</w:t>
            </w: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喀什地区</w:t>
            </w: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疏勒县</w:t>
            </w: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高新技术开发区</w:t>
            </w:r>
          </w:p>
        </w:tc>
      </w:tr>
      <w:tr w:rsidR="00644456">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地理坐标</w:t>
            </w: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经度</w:t>
            </w:r>
          </w:p>
        </w:tc>
        <w:tc>
          <w:tcPr>
            <w:tcW w:w="1803" w:type="dxa"/>
            <w:vAlign w:val="center"/>
          </w:tcPr>
          <w:p w:rsidR="00644456" w:rsidRDefault="00644456">
            <w:pPr>
              <w:adjustRightInd w:val="0"/>
              <w:jc w:val="center"/>
              <w:textAlignment w:val="baseline"/>
              <w:rPr>
                <w:rFonts w:cs="Times New Roman"/>
                <w:color w:val="000000" w:themeColor="text1"/>
                <w:kern w:val="0"/>
                <w:szCs w:val="21"/>
              </w:rPr>
            </w:pP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纬度</w:t>
            </w:r>
          </w:p>
        </w:tc>
        <w:tc>
          <w:tcPr>
            <w:tcW w:w="1803" w:type="dxa"/>
            <w:vAlign w:val="center"/>
          </w:tcPr>
          <w:p w:rsidR="00644456" w:rsidRDefault="00644456">
            <w:pPr>
              <w:adjustRightInd w:val="0"/>
              <w:jc w:val="center"/>
              <w:textAlignment w:val="baseline"/>
              <w:rPr>
                <w:rFonts w:cs="Times New Roman"/>
                <w:color w:val="000000" w:themeColor="text1"/>
                <w:kern w:val="0"/>
                <w:szCs w:val="21"/>
              </w:rPr>
            </w:pPr>
          </w:p>
        </w:tc>
      </w:tr>
      <w:tr w:rsidR="00644456">
        <w:tc>
          <w:tcPr>
            <w:tcW w:w="1803" w:type="dxa"/>
            <w:vMerge w:val="restart"/>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lastRenderedPageBreak/>
              <w:t>主要危害物质</w:t>
            </w: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物质</w:t>
            </w: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贮存位置</w:t>
            </w: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贮存方式</w:t>
            </w: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最大贮存量</w:t>
            </w:r>
          </w:p>
        </w:tc>
      </w:tr>
      <w:tr w:rsidR="00644456">
        <w:tc>
          <w:tcPr>
            <w:tcW w:w="1803" w:type="dxa"/>
            <w:vMerge/>
            <w:vAlign w:val="center"/>
          </w:tcPr>
          <w:p w:rsidR="00644456" w:rsidRDefault="00644456">
            <w:pPr>
              <w:adjustRightInd w:val="0"/>
              <w:jc w:val="center"/>
              <w:textAlignment w:val="baseline"/>
              <w:rPr>
                <w:rFonts w:cs="Times New Roman"/>
                <w:color w:val="000000" w:themeColor="text1"/>
                <w:kern w:val="0"/>
                <w:szCs w:val="21"/>
              </w:rPr>
            </w:pP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w:t>
            </w: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w:t>
            </w: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w:t>
            </w:r>
          </w:p>
        </w:tc>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w:t>
            </w:r>
          </w:p>
        </w:tc>
      </w:tr>
      <w:tr w:rsidR="00644456">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环境影响途径及危害后果（大气、地表水、地下水等）</w:t>
            </w:r>
          </w:p>
        </w:tc>
        <w:tc>
          <w:tcPr>
            <w:tcW w:w="7212" w:type="dxa"/>
            <w:gridSpan w:val="4"/>
            <w:vAlign w:val="center"/>
          </w:tcPr>
          <w:p w:rsidR="00644456" w:rsidRPr="007B7F59" w:rsidRDefault="008031C4">
            <w:pPr>
              <w:adjustRightInd w:val="0"/>
              <w:jc w:val="left"/>
              <w:textAlignment w:val="baseline"/>
              <w:rPr>
                <w:rFonts w:cs="Times New Roman"/>
                <w:color w:val="FF0000"/>
                <w:kern w:val="0"/>
                <w:szCs w:val="21"/>
              </w:rPr>
            </w:pPr>
            <w:r w:rsidRPr="007B7F59">
              <w:rPr>
                <w:rFonts w:cs="Times New Roman" w:hint="eastAsia"/>
                <w:color w:val="FF0000"/>
                <w:kern w:val="0"/>
                <w:szCs w:val="21"/>
              </w:rPr>
              <w:t>大气：废气处理事故污染物事故排放，天然气等易燃物质燃烧爆炸二次污染</w:t>
            </w:r>
          </w:p>
          <w:p w:rsidR="00644456" w:rsidRPr="007B7F59" w:rsidRDefault="008031C4">
            <w:pPr>
              <w:adjustRightInd w:val="0"/>
              <w:jc w:val="left"/>
              <w:textAlignment w:val="baseline"/>
              <w:rPr>
                <w:rFonts w:cs="Times New Roman"/>
                <w:color w:val="FF0000"/>
                <w:kern w:val="0"/>
                <w:szCs w:val="21"/>
              </w:rPr>
            </w:pPr>
            <w:r w:rsidRPr="007B7F59">
              <w:rPr>
                <w:rFonts w:cs="Times New Roman" w:hint="eastAsia"/>
                <w:color w:val="FF0000"/>
                <w:kern w:val="0"/>
                <w:szCs w:val="21"/>
              </w:rPr>
              <w:t>地表水：项目危险物质</w:t>
            </w:r>
            <w:r w:rsidR="007B7F59" w:rsidRPr="007B7F59">
              <w:rPr>
                <w:rFonts w:cs="Times New Roman" w:hint="eastAsia"/>
                <w:color w:val="FF0000"/>
                <w:kern w:val="0"/>
                <w:szCs w:val="21"/>
              </w:rPr>
              <w:t>泄漏和废水事故排放</w:t>
            </w:r>
            <w:r w:rsidRPr="007B7F59">
              <w:rPr>
                <w:rFonts w:cs="Times New Roman" w:hint="eastAsia"/>
                <w:color w:val="FF0000"/>
                <w:kern w:val="0"/>
                <w:szCs w:val="21"/>
              </w:rPr>
              <w:t>后，若未及时得到控制，通过雨水管线进入周边水体，会造成周边地表水体的污染。</w:t>
            </w:r>
          </w:p>
          <w:p w:rsidR="00644456" w:rsidRDefault="008031C4">
            <w:pPr>
              <w:adjustRightInd w:val="0"/>
              <w:jc w:val="left"/>
              <w:textAlignment w:val="baseline"/>
              <w:rPr>
                <w:rFonts w:cs="Times New Roman"/>
                <w:color w:val="000000" w:themeColor="text1"/>
                <w:kern w:val="0"/>
                <w:szCs w:val="21"/>
              </w:rPr>
            </w:pPr>
            <w:r w:rsidRPr="007B7F59">
              <w:rPr>
                <w:rFonts w:cs="Times New Roman" w:hint="eastAsia"/>
                <w:color w:val="FF0000"/>
                <w:kern w:val="0"/>
                <w:szCs w:val="21"/>
              </w:rPr>
              <w:t>土壤、地下水：项目危险物质泄漏后进入土壤，或通过土壤渗透进入地下水，造成环境污染。</w:t>
            </w:r>
          </w:p>
        </w:tc>
      </w:tr>
      <w:tr w:rsidR="00644456">
        <w:tc>
          <w:tcPr>
            <w:tcW w:w="1803" w:type="dxa"/>
            <w:vAlign w:val="center"/>
          </w:tcPr>
          <w:p w:rsidR="00644456" w:rsidRDefault="008031C4">
            <w:pPr>
              <w:adjustRightInd w:val="0"/>
              <w:jc w:val="center"/>
              <w:textAlignment w:val="baseline"/>
              <w:rPr>
                <w:rFonts w:cs="Times New Roman"/>
                <w:color w:val="000000" w:themeColor="text1"/>
                <w:kern w:val="0"/>
                <w:szCs w:val="21"/>
              </w:rPr>
            </w:pPr>
            <w:r>
              <w:rPr>
                <w:rFonts w:cs="Times New Roman" w:hint="eastAsia"/>
                <w:color w:val="000000" w:themeColor="text1"/>
                <w:kern w:val="0"/>
                <w:szCs w:val="21"/>
              </w:rPr>
              <w:t>风险防范措施要求</w:t>
            </w:r>
          </w:p>
        </w:tc>
        <w:tc>
          <w:tcPr>
            <w:tcW w:w="7212" w:type="dxa"/>
            <w:gridSpan w:val="4"/>
            <w:vAlign w:val="center"/>
          </w:tcPr>
          <w:p w:rsidR="00644456" w:rsidRDefault="008031C4">
            <w:pPr>
              <w:adjustRightInd w:val="0"/>
              <w:jc w:val="left"/>
              <w:textAlignment w:val="baseline"/>
              <w:rPr>
                <w:rFonts w:cs="Times New Roman"/>
                <w:color w:val="000000" w:themeColor="text1"/>
                <w:kern w:val="0"/>
                <w:szCs w:val="21"/>
              </w:rPr>
            </w:pPr>
            <w:r>
              <w:rPr>
                <w:rFonts w:cs="Times New Roman" w:hint="eastAsia"/>
                <w:color w:val="000000" w:themeColor="text1"/>
                <w:kern w:val="0"/>
                <w:szCs w:val="21"/>
              </w:rPr>
              <w:t>1</w:t>
            </w:r>
            <w:r>
              <w:rPr>
                <w:rFonts w:cs="Times New Roman" w:hint="eastAsia"/>
                <w:color w:val="000000" w:themeColor="text1"/>
                <w:kern w:val="0"/>
                <w:szCs w:val="21"/>
              </w:rPr>
              <w:t>、建设单位应加强对暂存间的管理，同时在搬运时要轻装轻卸，防止包装及容器破损造成泄漏问题。</w:t>
            </w:r>
          </w:p>
          <w:p w:rsidR="00644456" w:rsidRDefault="008031C4">
            <w:pPr>
              <w:adjustRightInd w:val="0"/>
              <w:jc w:val="left"/>
              <w:textAlignment w:val="baseline"/>
              <w:rPr>
                <w:rFonts w:cs="Times New Roman"/>
                <w:color w:val="000000" w:themeColor="text1"/>
                <w:kern w:val="0"/>
                <w:szCs w:val="21"/>
              </w:rPr>
            </w:pPr>
            <w:r>
              <w:rPr>
                <w:rFonts w:cs="Times New Roman" w:hint="eastAsia"/>
                <w:color w:val="000000" w:themeColor="text1"/>
                <w:kern w:val="0"/>
                <w:szCs w:val="21"/>
              </w:rPr>
              <w:t>2</w:t>
            </w:r>
            <w:r>
              <w:rPr>
                <w:rFonts w:cs="Times New Roman" w:hint="eastAsia"/>
                <w:color w:val="000000" w:themeColor="text1"/>
                <w:kern w:val="0"/>
                <w:szCs w:val="21"/>
              </w:rPr>
              <w:t>、泄漏事故的防止是生产和储运过程中最重要的环节，发生泄漏事故可能引起火灾和爆炸等一系列重大事故，认真管理、操作人员的负责是减少泄漏事故的关键。</w:t>
            </w:r>
          </w:p>
          <w:p w:rsidR="00644456" w:rsidRDefault="008031C4">
            <w:pPr>
              <w:adjustRightInd w:val="0"/>
              <w:jc w:val="left"/>
              <w:textAlignment w:val="baseline"/>
              <w:rPr>
                <w:rFonts w:cs="Times New Roman"/>
                <w:color w:val="000000" w:themeColor="text1"/>
                <w:kern w:val="0"/>
                <w:szCs w:val="21"/>
              </w:rPr>
            </w:pPr>
            <w:r>
              <w:rPr>
                <w:rFonts w:cs="Times New Roman" w:hint="eastAsia"/>
                <w:color w:val="000000" w:themeColor="text1"/>
                <w:kern w:val="0"/>
                <w:szCs w:val="21"/>
              </w:rPr>
              <w:t>3</w:t>
            </w:r>
            <w:r>
              <w:rPr>
                <w:rFonts w:cs="Times New Roman" w:hint="eastAsia"/>
                <w:color w:val="000000" w:themeColor="text1"/>
                <w:kern w:val="0"/>
                <w:szCs w:val="21"/>
              </w:rPr>
              <w:t>、加强危险化学品运输车辆的管理，严格遵守危险品运输管理规定，避免运输过程事故的发生，厂区内配备相应应急物资，以应对突发事故情况。</w:t>
            </w:r>
            <w:r>
              <w:rPr>
                <w:rFonts w:cs="Times New Roman" w:hint="eastAsia"/>
                <w:color w:val="000000" w:themeColor="text1"/>
                <w:kern w:val="0"/>
                <w:szCs w:val="21"/>
              </w:rPr>
              <w:t>4</w:t>
            </w:r>
            <w:r>
              <w:rPr>
                <w:rFonts w:cs="Times New Roman" w:hint="eastAsia"/>
                <w:color w:val="000000" w:themeColor="text1"/>
                <w:kern w:val="0"/>
                <w:szCs w:val="21"/>
              </w:rPr>
              <w:t>、加强危险化学品储存和使用的管理，危险化学品应设置明显的危险品标识，并公示其危害和应急处理措施</w:t>
            </w:r>
          </w:p>
          <w:p w:rsidR="00644456" w:rsidRDefault="008031C4">
            <w:pPr>
              <w:adjustRightInd w:val="0"/>
              <w:jc w:val="left"/>
              <w:textAlignment w:val="baseline"/>
              <w:rPr>
                <w:rFonts w:cs="Times New Roman"/>
                <w:color w:val="000000" w:themeColor="text1"/>
                <w:kern w:val="0"/>
                <w:szCs w:val="21"/>
              </w:rPr>
            </w:pPr>
            <w:r>
              <w:rPr>
                <w:rFonts w:cs="Times New Roman" w:hint="eastAsia"/>
                <w:color w:val="000000" w:themeColor="text1"/>
                <w:kern w:val="0"/>
                <w:szCs w:val="21"/>
              </w:rPr>
              <w:t>5</w:t>
            </w:r>
            <w:r>
              <w:rPr>
                <w:rFonts w:cs="Times New Roman" w:hint="eastAsia"/>
                <w:color w:val="000000" w:themeColor="text1"/>
                <w:kern w:val="0"/>
                <w:szCs w:val="21"/>
              </w:rPr>
              <w:t>、有毒、有害、易燃物质的保管和使用部门，应建立严格的管理和规章制度，装卸、使用时，全过程应有人在现场监督，一旦发生事故，立即采取防范措施。</w:t>
            </w:r>
          </w:p>
          <w:p w:rsidR="00644456" w:rsidRDefault="008031C4">
            <w:pPr>
              <w:adjustRightInd w:val="0"/>
              <w:jc w:val="left"/>
              <w:textAlignment w:val="baseline"/>
              <w:rPr>
                <w:rFonts w:cs="Times New Roman"/>
                <w:color w:val="000000" w:themeColor="text1"/>
                <w:kern w:val="0"/>
                <w:szCs w:val="21"/>
              </w:rPr>
            </w:pPr>
            <w:r>
              <w:rPr>
                <w:rFonts w:cs="Times New Roman" w:hint="eastAsia"/>
                <w:color w:val="000000" w:themeColor="text1"/>
                <w:kern w:val="0"/>
                <w:szCs w:val="21"/>
              </w:rPr>
              <w:t>6</w:t>
            </w:r>
            <w:r>
              <w:rPr>
                <w:rFonts w:cs="Times New Roman" w:hint="eastAsia"/>
                <w:color w:val="000000" w:themeColor="text1"/>
                <w:kern w:val="0"/>
                <w:szCs w:val="21"/>
              </w:rPr>
              <w:t>、经常检查运行设备运行状态，做好对废气、废水环保设施的日常维护运行管理，定期检查更换老化部件。对阀门、连接口等定期操作检查及时发现隐患，是预防事故发生的重要措施。为实现装置安全，还应在可能泄漏有害物质的场所采用敞开式布置，使之通风良好，防止有害气体积聚。</w:t>
            </w:r>
          </w:p>
          <w:p w:rsidR="00644456" w:rsidRDefault="008031C4">
            <w:pPr>
              <w:adjustRightInd w:val="0"/>
              <w:jc w:val="left"/>
              <w:textAlignment w:val="baseline"/>
              <w:rPr>
                <w:rFonts w:cs="Times New Roman"/>
                <w:color w:val="000000" w:themeColor="text1"/>
                <w:kern w:val="0"/>
                <w:szCs w:val="21"/>
              </w:rPr>
            </w:pPr>
            <w:r>
              <w:rPr>
                <w:rFonts w:cs="Times New Roman" w:hint="eastAsia"/>
                <w:color w:val="000000" w:themeColor="text1"/>
                <w:kern w:val="0"/>
                <w:szCs w:val="21"/>
              </w:rPr>
              <w:t>7</w:t>
            </w:r>
            <w:r>
              <w:rPr>
                <w:rFonts w:cs="Times New Roman" w:hint="eastAsia"/>
                <w:color w:val="000000" w:themeColor="text1"/>
                <w:kern w:val="0"/>
                <w:szCs w:val="21"/>
              </w:rPr>
              <w:t>、企业应及时修订完善环境突发事件应急预案，并建立相关风险防范制度，包括风险预防制度、风险控制制度、风险转移制度等。</w:t>
            </w:r>
          </w:p>
        </w:tc>
      </w:tr>
    </w:tbl>
    <w:p w:rsidR="00644456" w:rsidRDefault="008031C4">
      <w:pPr>
        <w:pStyle w:val="-"/>
        <w:snapToGrid w:val="0"/>
        <w:ind w:firstLine="480"/>
        <w:rPr>
          <w:rFonts w:cs="Times New Roman"/>
          <w:color w:val="000000" w:themeColor="text1"/>
        </w:rPr>
      </w:pPr>
      <w:r>
        <w:rPr>
          <w:rFonts w:cs="Times New Roman" w:hint="eastAsia"/>
          <w:color w:val="000000" w:themeColor="text1"/>
        </w:rPr>
        <w:t>综上，本项目风险潜势为</w:t>
      </w:r>
      <w:r>
        <w:rPr>
          <w:rFonts w:cs="Times New Roman" w:hint="eastAsia"/>
          <w:color w:val="000000" w:themeColor="text1"/>
        </w:rPr>
        <w:t>I</w:t>
      </w:r>
      <w:r>
        <w:rPr>
          <w:rFonts w:cs="Times New Roman" w:hint="eastAsia"/>
          <w:color w:val="000000" w:themeColor="text1"/>
        </w:rPr>
        <w:t>，环境风险影响较小。</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467" w:name="_Toc177216905"/>
      <w:r>
        <w:rPr>
          <w:rFonts w:cs="Times New Roman" w:hint="eastAsia"/>
          <w:color w:val="000000" w:themeColor="text1"/>
        </w:rPr>
        <w:t>7.6</w:t>
      </w:r>
      <w:r>
        <w:rPr>
          <w:rFonts w:cs="Times New Roman" w:hint="eastAsia"/>
          <w:color w:val="000000" w:themeColor="text1"/>
        </w:rPr>
        <w:t>环境风险敏感目标</w:t>
      </w:r>
      <w:bookmarkEnd w:id="467"/>
    </w:p>
    <w:p w:rsidR="00644456" w:rsidRPr="007B7F59" w:rsidRDefault="008031C4">
      <w:pPr>
        <w:pStyle w:val="-"/>
        <w:snapToGrid w:val="0"/>
        <w:ind w:firstLine="480"/>
        <w:rPr>
          <w:rFonts w:cs="Times New Roman"/>
          <w:color w:val="FF0000"/>
        </w:rPr>
      </w:pPr>
      <w:r w:rsidRPr="007B7F59">
        <w:rPr>
          <w:rFonts w:cs="Times New Roman" w:hint="eastAsia"/>
          <w:color w:val="FF0000"/>
        </w:rPr>
        <w:t>本项目主要风险事故为燃爆引发的引发伴生</w:t>
      </w:r>
      <w:r w:rsidRPr="007B7F59">
        <w:rPr>
          <w:rFonts w:cs="Times New Roman" w:hint="eastAsia"/>
          <w:color w:val="FF0000"/>
        </w:rPr>
        <w:t>/</w:t>
      </w:r>
      <w:r w:rsidRPr="007B7F59">
        <w:rPr>
          <w:rFonts w:cs="Times New Roman" w:hint="eastAsia"/>
          <w:color w:val="FF0000"/>
        </w:rPr>
        <w:t>次生污染物排放对周边人群的影响</w:t>
      </w:r>
      <w:r w:rsidR="007B7F59" w:rsidRPr="007B7F59">
        <w:rPr>
          <w:rFonts w:cs="Times New Roman" w:hint="eastAsia"/>
          <w:color w:val="FF0000"/>
        </w:rPr>
        <w:t>和风险物质泄漏对地表水体、土壤、地下水的环境风险</w:t>
      </w:r>
      <w:r w:rsidRPr="007B7F59">
        <w:rPr>
          <w:rFonts w:cs="Times New Roman" w:hint="eastAsia"/>
          <w:color w:val="FF0000"/>
        </w:rPr>
        <w:t>，因此确定本项目的环境敏感目标，见下表。</w:t>
      </w:r>
    </w:p>
    <w:p w:rsidR="00644456" w:rsidRDefault="008031C4">
      <w:pPr>
        <w:widowControl/>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7.6-1</w:t>
      </w:r>
      <w:r>
        <w:rPr>
          <w:rFonts w:cs="Times New Roman" w:hint="eastAsia"/>
          <w:b/>
          <w:color w:val="000000" w:themeColor="text1"/>
          <w:sz w:val="24"/>
          <w:szCs w:val="20"/>
        </w:rPr>
        <w:t>环境风险评价敏感目标分布情况表</w:t>
      </w:r>
    </w:p>
    <w:tbl>
      <w:tblPr>
        <w:tblW w:w="9009"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09"/>
        <w:gridCol w:w="909"/>
        <w:gridCol w:w="1726"/>
        <w:gridCol w:w="1276"/>
        <w:gridCol w:w="768"/>
        <w:gridCol w:w="2492"/>
        <w:gridCol w:w="929"/>
      </w:tblGrid>
      <w:tr w:rsidR="007B7F59" w:rsidTr="007B7F59">
        <w:trPr>
          <w:trHeight w:val="300"/>
          <w:jc w:val="center"/>
        </w:trPr>
        <w:tc>
          <w:tcPr>
            <w:tcW w:w="909" w:type="dxa"/>
            <w:vAlign w:val="center"/>
          </w:tcPr>
          <w:p w:rsidR="007B7F59" w:rsidRDefault="007B7F59" w:rsidP="007B7F59">
            <w:pPr>
              <w:spacing w:line="300" w:lineRule="exact"/>
              <w:jc w:val="center"/>
              <w:rPr>
                <w:color w:val="000000" w:themeColor="text1"/>
                <w:szCs w:val="21"/>
              </w:rPr>
            </w:pPr>
            <w:r>
              <w:rPr>
                <w:rFonts w:hint="eastAsia"/>
                <w:color w:val="000000" w:themeColor="text1"/>
                <w:szCs w:val="21"/>
              </w:rPr>
              <w:t>序号</w:t>
            </w:r>
          </w:p>
        </w:tc>
        <w:tc>
          <w:tcPr>
            <w:tcW w:w="909" w:type="dxa"/>
            <w:vAlign w:val="center"/>
          </w:tcPr>
          <w:p w:rsidR="007B7F59" w:rsidRDefault="007B7F59" w:rsidP="007B7F59">
            <w:pPr>
              <w:spacing w:line="300" w:lineRule="exact"/>
              <w:jc w:val="center"/>
              <w:rPr>
                <w:color w:val="000000" w:themeColor="text1"/>
                <w:szCs w:val="21"/>
              </w:rPr>
            </w:pPr>
            <w:r>
              <w:rPr>
                <w:rFonts w:hint="eastAsia"/>
                <w:color w:val="000000" w:themeColor="text1"/>
                <w:szCs w:val="21"/>
              </w:rPr>
              <w:t>方位</w:t>
            </w:r>
          </w:p>
        </w:tc>
        <w:tc>
          <w:tcPr>
            <w:tcW w:w="1726" w:type="dxa"/>
            <w:vAlign w:val="center"/>
          </w:tcPr>
          <w:p w:rsidR="007B7F59" w:rsidRDefault="007B7F59" w:rsidP="007B7F59">
            <w:pPr>
              <w:spacing w:line="300" w:lineRule="exact"/>
              <w:jc w:val="center"/>
              <w:rPr>
                <w:color w:val="000000" w:themeColor="text1"/>
                <w:szCs w:val="21"/>
              </w:rPr>
            </w:pPr>
            <w:r>
              <w:rPr>
                <w:rFonts w:hint="eastAsia"/>
                <w:color w:val="000000" w:themeColor="text1"/>
                <w:szCs w:val="21"/>
              </w:rPr>
              <w:t>与项目红线距离</w:t>
            </w:r>
          </w:p>
        </w:tc>
        <w:tc>
          <w:tcPr>
            <w:tcW w:w="1276" w:type="dxa"/>
            <w:vAlign w:val="center"/>
          </w:tcPr>
          <w:p w:rsidR="007B7F59" w:rsidRDefault="007B7F59" w:rsidP="007B7F59">
            <w:pPr>
              <w:spacing w:line="300" w:lineRule="exact"/>
              <w:jc w:val="center"/>
              <w:rPr>
                <w:color w:val="000000" w:themeColor="text1"/>
                <w:szCs w:val="21"/>
              </w:rPr>
            </w:pPr>
            <w:r>
              <w:rPr>
                <w:rFonts w:hint="eastAsia"/>
                <w:color w:val="000000" w:themeColor="text1"/>
                <w:szCs w:val="21"/>
              </w:rPr>
              <w:t>名称</w:t>
            </w:r>
          </w:p>
        </w:tc>
        <w:tc>
          <w:tcPr>
            <w:tcW w:w="768" w:type="dxa"/>
            <w:vAlign w:val="center"/>
          </w:tcPr>
          <w:p w:rsidR="007B7F59" w:rsidRDefault="007B7F59" w:rsidP="007B7F59">
            <w:pPr>
              <w:spacing w:line="300" w:lineRule="exact"/>
              <w:jc w:val="center"/>
              <w:rPr>
                <w:color w:val="000000" w:themeColor="text1"/>
                <w:szCs w:val="21"/>
              </w:rPr>
            </w:pPr>
            <w:r>
              <w:rPr>
                <w:rFonts w:hint="eastAsia"/>
                <w:color w:val="000000" w:themeColor="text1"/>
                <w:szCs w:val="21"/>
              </w:rPr>
              <w:t>数量</w:t>
            </w:r>
          </w:p>
        </w:tc>
        <w:tc>
          <w:tcPr>
            <w:tcW w:w="2492" w:type="dxa"/>
            <w:vAlign w:val="center"/>
          </w:tcPr>
          <w:p w:rsidR="007B7F59" w:rsidRDefault="007B7F59" w:rsidP="007B7F59">
            <w:pPr>
              <w:spacing w:line="300" w:lineRule="exact"/>
              <w:jc w:val="center"/>
              <w:rPr>
                <w:color w:val="000000" w:themeColor="text1"/>
                <w:szCs w:val="21"/>
              </w:rPr>
            </w:pPr>
            <w:r>
              <w:rPr>
                <w:rFonts w:hint="eastAsia"/>
                <w:color w:val="000000" w:themeColor="text1"/>
                <w:szCs w:val="21"/>
              </w:rPr>
              <w:t>相对项目区高差（</w:t>
            </w:r>
            <w:r>
              <w:rPr>
                <w:rFonts w:hint="eastAsia"/>
                <w:color w:val="000000" w:themeColor="text1"/>
                <w:szCs w:val="21"/>
              </w:rPr>
              <w:t>m</w:t>
            </w:r>
            <w:r>
              <w:rPr>
                <w:rFonts w:hint="eastAsia"/>
                <w:color w:val="000000" w:themeColor="text1"/>
                <w:szCs w:val="21"/>
              </w:rPr>
              <w:t>）</w:t>
            </w:r>
          </w:p>
        </w:tc>
        <w:tc>
          <w:tcPr>
            <w:tcW w:w="929" w:type="dxa"/>
            <w:vAlign w:val="center"/>
          </w:tcPr>
          <w:p w:rsidR="007B7F59" w:rsidRDefault="007B7F59" w:rsidP="007B7F59">
            <w:pPr>
              <w:spacing w:line="300" w:lineRule="exact"/>
              <w:jc w:val="center"/>
              <w:rPr>
                <w:color w:val="000000" w:themeColor="text1"/>
                <w:szCs w:val="21"/>
              </w:rPr>
            </w:pPr>
            <w:r>
              <w:rPr>
                <w:rFonts w:hint="eastAsia"/>
                <w:color w:val="000000" w:themeColor="text1"/>
                <w:szCs w:val="21"/>
              </w:rPr>
              <w:t>备注</w:t>
            </w:r>
          </w:p>
        </w:tc>
      </w:tr>
      <w:tr w:rsidR="007B7F59" w:rsidTr="007B7F59">
        <w:trPr>
          <w:trHeight w:val="300"/>
          <w:jc w:val="center"/>
        </w:trPr>
        <w:tc>
          <w:tcPr>
            <w:tcW w:w="909" w:type="dxa"/>
            <w:vAlign w:val="center"/>
          </w:tcPr>
          <w:p w:rsidR="007B7F59" w:rsidRDefault="007B7F59" w:rsidP="007B7F59">
            <w:pPr>
              <w:spacing w:line="300" w:lineRule="exact"/>
              <w:jc w:val="center"/>
              <w:rPr>
                <w:color w:val="000000" w:themeColor="text1"/>
                <w:szCs w:val="21"/>
              </w:rPr>
            </w:pPr>
            <w:r>
              <w:rPr>
                <w:rFonts w:hint="eastAsia"/>
                <w:color w:val="000000" w:themeColor="text1"/>
                <w:szCs w:val="21"/>
              </w:rPr>
              <w:t>1</w:t>
            </w:r>
          </w:p>
        </w:tc>
        <w:tc>
          <w:tcPr>
            <w:tcW w:w="909" w:type="dxa"/>
            <w:vAlign w:val="center"/>
          </w:tcPr>
          <w:p w:rsidR="007B7F59" w:rsidRDefault="007B7F59" w:rsidP="007B7F59">
            <w:pPr>
              <w:spacing w:line="300" w:lineRule="exact"/>
              <w:jc w:val="center"/>
              <w:rPr>
                <w:color w:val="000000" w:themeColor="text1"/>
                <w:szCs w:val="21"/>
              </w:rPr>
            </w:pPr>
            <w:r>
              <w:rPr>
                <w:rFonts w:hint="eastAsia"/>
                <w:color w:val="000000" w:themeColor="text1"/>
                <w:szCs w:val="21"/>
              </w:rPr>
              <w:t>东北面</w:t>
            </w:r>
          </w:p>
        </w:tc>
        <w:tc>
          <w:tcPr>
            <w:tcW w:w="1726" w:type="dxa"/>
            <w:vAlign w:val="center"/>
          </w:tcPr>
          <w:p w:rsidR="007B7F59" w:rsidRDefault="007B7F59" w:rsidP="007B7F59">
            <w:pPr>
              <w:spacing w:line="300" w:lineRule="exact"/>
              <w:jc w:val="center"/>
              <w:rPr>
                <w:color w:val="000000" w:themeColor="text1"/>
                <w:szCs w:val="21"/>
              </w:rPr>
            </w:pPr>
            <w:r>
              <w:rPr>
                <w:rFonts w:hint="eastAsia"/>
                <w:color w:val="000000" w:themeColor="text1"/>
                <w:szCs w:val="21"/>
              </w:rPr>
              <w:t>2</w:t>
            </w:r>
            <w:r>
              <w:rPr>
                <w:color w:val="000000" w:themeColor="text1"/>
                <w:szCs w:val="21"/>
              </w:rPr>
              <w:t>150</w:t>
            </w:r>
            <w:r>
              <w:rPr>
                <w:rFonts w:hint="eastAsia"/>
                <w:color w:val="000000" w:themeColor="text1"/>
                <w:szCs w:val="21"/>
              </w:rPr>
              <w:t xml:space="preserve"> m</w:t>
            </w:r>
          </w:p>
        </w:tc>
        <w:tc>
          <w:tcPr>
            <w:tcW w:w="1276" w:type="dxa"/>
            <w:vAlign w:val="center"/>
          </w:tcPr>
          <w:p w:rsidR="007B7F59" w:rsidRDefault="007B7F59" w:rsidP="007B7F59">
            <w:pPr>
              <w:spacing w:line="300" w:lineRule="exact"/>
              <w:jc w:val="center"/>
              <w:rPr>
                <w:color w:val="000000" w:themeColor="text1"/>
                <w:szCs w:val="21"/>
              </w:rPr>
            </w:pPr>
            <w:r>
              <w:rPr>
                <w:rFonts w:hint="eastAsia"/>
                <w:color w:val="000000" w:themeColor="text1"/>
                <w:szCs w:val="21"/>
              </w:rPr>
              <w:t>居住区</w:t>
            </w:r>
          </w:p>
        </w:tc>
        <w:tc>
          <w:tcPr>
            <w:tcW w:w="768" w:type="dxa"/>
            <w:vAlign w:val="center"/>
          </w:tcPr>
          <w:p w:rsidR="007B7F59" w:rsidRDefault="007B7F59" w:rsidP="007B7F59">
            <w:pPr>
              <w:spacing w:line="300" w:lineRule="exact"/>
              <w:jc w:val="center"/>
              <w:rPr>
                <w:color w:val="000000" w:themeColor="text1"/>
                <w:szCs w:val="21"/>
              </w:rPr>
            </w:pPr>
            <w:r>
              <w:rPr>
                <w:rFonts w:hint="eastAsia"/>
                <w:color w:val="000000" w:themeColor="text1"/>
                <w:szCs w:val="21"/>
              </w:rPr>
              <w:t>1</w:t>
            </w:r>
          </w:p>
        </w:tc>
        <w:tc>
          <w:tcPr>
            <w:tcW w:w="2492" w:type="dxa"/>
            <w:vAlign w:val="center"/>
          </w:tcPr>
          <w:p w:rsidR="007B7F59" w:rsidRDefault="007B7F59" w:rsidP="007B7F59">
            <w:pPr>
              <w:spacing w:line="300" w:lineRule="exact"/>
              <w:jc w:val="center"/>
              <w:rPr>
                <w:color w:val="000000" w:themeColor="text1"/>
                <w:szCs w:val="21"/>
              </w:rPr>
            </w:pPr>
            <w:r>
              <w:rPr>
                <w:rFonts w:hint="eastAsia"/>
                <w:color w:val="000000" w:themeColor="text1"/>
                <w:szCs w:val="21"/>
              </w:rPr>
              <w:t>+5</w:t>
            </w:r>
          </w:p>
        </w:tc>
        <w:tc>
          <w:tcPr>
            <w:tcW w:w="929" w:type="dxa"/>
            <w:vAlign w:val="center"/>
          </w:tcPr>
          <w:p w:rsidR="007B7F59" w:rsidRDefault="007B7F59" w:rsidP="007B7F59">
            <w:pPr>
              <w:spacing w:line="300" w:lineRule="exact"/>
              <w:jc w:val="center"/>
              <w:rPr>
                <w:color w:val="000000" w:themeColor="text1"/>
                <w:szCs w:val="21"/>
              </w:rPr>
            </w:pPr>
            <w:r>
              <w:rPr>
                <w:rFonts w:hint="eastAsia"/>
                <w:color w:val="000000" w:themeColor="text1"/>
                <w:szCs w:val="21"/>
              </w:rPr>
              <w:t>600</w:t>
            </w:r>
            <w:r>
              <w:rPr>
                <w:rFonts w:hint="eastAsia"/>
                <w:color w:val="000000" w:themeColor="text1"/>
                <w:szCs w:val="21"/>
              </w:rPr>
              <w:t>人</w:t>
            </w:r>
          </w:p>
        </w:tc>
      </w:tr>
      <w:tr w:rsidR="007B7F59" w:rsidTr="007B7F59">
        <w:trPr>
          <w:trHeight w:val="300"/>
          <w:jc w:val="center"/>
        </w:trPr>
        <w:tc>
          <w:tcPr>
            <w:tcW w:w="909" w:type="dxa"/>
            <w:vAlign w:val="center"/>
          </w:tcPr>
          <w:p w:rsidR="007B7F59" w:rsidRDefault="007B7F59" w:rsidP="007B7F59">
            <w:pPr>
              <w:spacing w:line="300" w:lineRule="exact"/>
              <w:jc w:val="center"/>
              <w:rPr>
                <w:color w:val="000000" w:themeColor="text1"/>
                <w:szCs w:val="21"/>
              </w:rPr>
            </w:pPr>
            <w:r>
              <w:rPr>
                <w:rFonts w:hint="eastAsia"/>
                <w:color w:val="000000" w:themeColor="text1"/>
                <w:szCs w:val="21"/>
              </w:rPr>
              <w:t>2</w:t>
            </w:r>
          </w:p>
        </w:tc>
        <w:tc>
          <w:tcPr>
            <w:tcW w:w="909" w:type="dxa"/>
            <w:vAlign w:val="center"/>
          </w:tcPr>
          <w:p w:rsidR="007B7F59" w:rsidRDefault="007B7F59" w:rsidP="007B7F59">
            <w:pPr>
              <w:spacing w:line="300" w:lineRule="exact"/>
              <w:jc w:val="center"/>
              <w:rPr>
                <w:color w:val="000000" w:themeColor="text1"/>
                <w:szCs w:val="21"/>
              </w:rPr>
            </w:pPr>
            <w:r>
              <w:rPr>
                <w:rFonts w:hint="eastAsia"/>
                <w:color w:val="000000" w:themeColor="text1"/>
                <w:szCs w:val="21"/>
              </w:rPr>
              <w:t>侧向、</w:t>
            </w:r>
          </w:p>
          <w:p w:rsidR="007B7F59" w:rsidRDefault="007B7F59" w:rsidP="007B7F59">
            <w:pPr>
              <w:spacing w:line="300" w:lineRule="exact"/>
              <w:jc w:val="center"/>
              <w:rPr>
                <w:color w:val="000000" w:themeColor="text1"/>
                <w:szCs w:val="21"/>
              </w:rPr>
            </w:pPr>
            <w:r>
              <w:rPr>
                <w:rFonts w:hint="eastAsia"/>
                <w:color w:val="000000" w:themeColor="text1"/>
                <w:szCs w:val="21"/>
              </w:rPr>
              <w:t>下游</w:t>
            </w:r>
          </w:p>
        </w:tc>
        <w:tc>
          <w:tcPr>
            <w:tcW w:w="1726" w:type="dxa"/>
            <w:vAlign w:val="center"/>
          </w:tcPr>
          <w:p w:rsidR="007B7F59" w:rsidRDefault="007B7F59" w:rsidP="007B7F59">
            <w:pPr>
              <w:spacing w:line="300" w:lineRule="exact"/>
              <w:jc w:val="center"/>
              <w:rPr>
                <w:color w:val="000000" w:themeColor="text1"/>
                <w:szCs w:val="21"/>
              </w:rPr>
            </w:pPr>
            <w:r>
              <w:rPr>
                <w:rFonts w:hint="eastAsia"/>
                <w:color w:val="000000" w:themeColor="text1"/>
                <w:szCs w:val="21"/>
              </w:rPr>
              <w:t>0</w:t>
            </w:r>
            <w:r>
              <w:rPr>
                <w:rFonts w:hint="eastAsia"/>
                <w:color w:val="000000" w:themeColor="text1"/>
                <w:szCs w:val="21"/>
              </w:rPr>
              <w:t>～</w:t>
            </w:r>
            <w:r>
              <w:rPr>
                <w:color w:val="000000" w:themeColor="text1"/>
                <w:szCs w:val="21"/>
              </w:rPr>
              <w:t>2272</w:t>
            </w:r>
            <w:r>
              <w:rPr>
                <w:rFonts w:hint="eastAsia"/>
                <w:color w:val="000000" w:themeColor="text1"/>
                <w:szCs w:val="21"/>
              </w:rPr>
              <w:t>m</w:t>
            </w:r>
          </w:p>
        </w:tc>
        <w:tc>
          <w:tcPr>
            <w:tcW w:w="1276" w:type="dxa"/>
            <w:vAlign w:val="center"/>
          </w:tcPr>
          <w:p w:rsidR="007B7F59" w:rsidRDefault="007B7F59" w:rsidP="007B7F59">
            <w:pPr>
              <w:spacing w:line="300" w:lineRule="exact"/>
              <w:jc w:val="center"/>
              <w:rPr>
                <w:color w:val="000000" w:themeColor="text1"/>
                <w:szCs w:val="21"/>
              </w:rPr>
            </w:pPr>
            <w:r>
              <w:rPr>
                <w:rFonts w:hint="eastAsia"/>
                <w:color w:val="000000" w:themeColor="text1"/>
                <w:szCs w:val="21"/>
              </w:rPr>
              <w:t>第四纪松散岩类孔隙水</w:t>
            </w:r>
          </w:p>
        </w:tc>
        <w:tc>
          <w:tcPr>
            <w:tcW w:w="768" w:type="dxa"/>
            <w:vAlign w:val="center"/>
          </w:tcPr>
          <w:p w:rsidR="007B7F59" w:rsidRDefault="007B7F59" w:rsidP="007B7F59">
            <w:pPr>
              <w:spacing w:line="300" w:lineRule="exact"/>
              <w:jc w:val="center"/>
              <w:rPr>
                <w:color w:val="000000" w:themeColor="text1"/>
                <w:szCs w:val="21"/>
              </w:rPr>
            </w:pPr>
            <w:r>
              <w:rPr>
                <w:rFonts w:hint="eastAsia"/>
                <w:color w:val="000000" w:themeColor="text1"/>
                <w:szCs w:val="21"/>
              </w:rPr>
              <w:t>/</w:t>
            </w:r>
          </w:p>
        </w:tc>
        <w:tc>
          <w:tcPr>
            <w:tcW w:w="2492" w:type="dxa"/>
            <w:vAlign w:val="center"/>
          </w:tcPr>
          <w:p w:rsidR="007B7F59" w:rsidRDefault="007B7F59" w:rsidP="007B7F59">
            <w:pPr>
              <w:spacing w:line="300" w:lineRule="exact"/>
              <w:jc w:val="center"/>
              <w:rPr>
                <w:color w:val="000000" w:themeColor="text1"/>
                <w:szCs w:val="21"/>
              </w:rPr>
            </w:pPr>
            <w:r>
              <w:rPr>
                <w:rFonts w:hint="eastAsia"/>
                <w:color w:val="000000" w:themeColor="text1"/>
                <w:szCs w:val="21"/>
              </w:rPr>
              <w:t>/</w:t>
            </w:r>
          </w:p>
        </w:tc>
        <w:tc>
          <w:tcPr>
            <w:tcW w:w="929" w:type="dxa"/>
            <w:vAlign w:val="center"/>
          </w:tcPr>
          <w:p w:rsidR="007B7F59" w:rsidRDefault="007B7F59" w:rsidP="007B7F59">
            <w:pPr>
              <w:spacing w:line="300" w:lineRule="exact"/>
              <w:jc w:val="center"/>
              <w:rPr>
                <w:color w:val="000000" w:themeColor="text1"/>
                <w:szCs w:val="21"/>
              </w:rPr>
            </w:pPr>
            <w:r>
              <w:rPr>
                <w:rFonts w:hint="eastAsia"/>
                <w:color w:val="000000" w:themeColor="text1"/>
                <w:szCs w:val="21"/>
              </w:rPr>
              <w:t>地下水</w:t>
            </w:r>
          </w:p>
        </w:tc>
      </w:tr>
    </w:tbl>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468" w:name="_Toc177216906"/>
      <w:r>
        <w:rPr>
          <w:rFonts w:cs="Times New Roman" w:hint="eastAsia"/>
          <w:color w:val="000000" w:themeColor="text1"/>
        </w:rPr>
        <w:t>7.7</w:t>
      </w:r>
      <w:r>
        <w:rPr>
          <w:rFonts w:cs="Times New Roman" w:hint="eastAsia"/>
          <w:color w:val="000000" w:themeColor="text1"/>
        </w:rPr>
        <w:t>环境风险识别及影响途径</w:t>
      </w:r>
      <w:bookmarkEnd w:id="468"/>
    </w:p>
    <w:p w:rsidR="00644456" w:rsidRDefault="008031C4">
      <w:pPr>
        <w:pStyle w:val="-"/>
        <w:snapToGrid w:val="0"/>
        <w:ind w:firstLine="480"/>
        <w:rPr>
          <w:rFonts w:cs="Times New Roman"/>
          <w:color w:val="000000" w:themeColor="text1"/>
        </w:rPr>
      </w:pPr>
      <w:r>
        <w:rPr>
          <w:rFonts w:cs="Times New Roman" w:hint="eastAsia"/>
          <w:color w:val="000000" w:themeColor="text1"/>
        </w:rPr>
        <w:t>本项目发生可能性较大的事故有：火灾爆炸事故、废气事故排放、危废、矿物油等泄漏。</w:t>
      </w:r>
    </w:p>
    <w:p w:rsidR="00644456" w:rsidRDefault="008031C4">
      <w:pPr>
        <w:pStyle w:val="-"/>
        <w:snapToGrid w:val="0"/>
        <w:ind w:firstLine="480"/>
        <w:rPr>
          <w:rFonts w:cs="Times New Roman"/>
          <w:color w:val="000000" w:themeColor="text1"/>
        </w:rPr>
      </w:pPr>
      <w:r>
        <w:rPr>
          <w:rFonts w:cs="Times New Roman" w:hint="eastAsia"/>
          <w:color w:val="000000" w:themeColor="text1"/>
        </w:rPr>
        <w:t>1</w:t>
      </w:r>
      <w:r>
        <w:rPr>
          <w:rFonts w:cs="Times New Roman" w:hint="eastAsia"/>
          <w:color w:val="000000" w:themeColor="text1"/>
        </w:rPr>
        <w:t>、火灾爆炸次生事故</w:t>
      </w:r>
    </w:p>
    <w:p w:rsidR="00644456" w:rsidRDefault="008031C4">
      <w:pPr>
        <w:pStyle w:val="-"/>
        <w:snapToGrid w:val="0"/>
        <w:ind w:firstLine="480"/>
        <w:rPr>
          <w:rFonts w:cs="Times New Roman"/>
          <w:color w:val="000000" w:themeColor="text1"/>
        </w:rPr>
      </w:pPr>
      <w:r>
        <w:rPr>
          <w:rFonts w:cs="Times New Roman" w:hint="eastAsia"/>
          <w:color w:val="000000" w:themeColor="text1"/>
        </w:rPr>
        <w:t>本项目原料及产品属于易燃物质，这些易燃易爆物质及其伴生、次生产物（包括液体及其蒸气）接触或侵入人体后，会发生生物化学变化，破坏生理机能，引起功能障碍</w:t>
      </w:r>
      <w:r>
        <w:rPr>
          <w:rFonts w:cs="Times New Roman" w:hint="eastAsia"/>
          <w:color w:val="000000" w:themeColor="text1"/>
        </w:rPr>
        <w:lastRenderedPageBreak/>
        <w:t>和疾病，甚至导致死亡。在罐区发生火灾爆炸时，容器内可燃液体泄出后而引起火灾，同时容器中大量液体或气体向外环境溢出或散发出。其可能产生的次生污染为火灾消防废水、消防土及燃烧废气。在罐区发生火灾爆炸时，有可能引燃周围易燃物质，产生的伴生事故为其他易燃物质的火灾爆炸，产生的伴生污染为燃烧产物，参考物质化学组分，燃烧产物主要为一氧化碳、二氧化碳和水蒸气。当建设项目的罐区中一个储罐发生火灾、爆炸事故，可能引发邻近储罐发生火灾、爆炸连锁事故。</w:t>
      </w:r>
    </w:p>
    <w:p w:rsidR="00644456" w:rsidRDefault="008031C4">
      <w:pPr>
        <w:pStyle w:val="-"/>
        <w:snapToGrid w:val="0"/>
        <w:ind w:firstLine="480"/>
        <w:rPr>
          <w:rFonts w:cs="Times New Roman"/>
          <w:color w:val="000000" w:themeColor="text1"/>
        </w:rPr>
      </w:pPr>
      <w:r>
        <w:rPr>
          <w:rFonts w:cs="Times New Roman" w:hint="eastAsia"/>
          <w:color w:val="000000" w:themeColor="text1"/>
        </w:rPr>
        <w:t>2</w:t>
      </w:r>
      <w:r>
        <w:rPr>
          <w:rFonts w:cs="Times New Roman" w:hint="eastAsia"/>
          <w:color w:val="000000" w:themeColor="text1"/>
        </w:rPr>
        <w:t>、废气事故排放</w:t>
      </w:r>
    </w:p>
    <w:p w:rsidR="00644456" w:rsidRDefault="008031C4">
      <w:pPr>
        <w:pStyle w:val="-"/>
        <w:snapToGrid w:val="0"/>
        <w:ind w:firstLine="480"/>
        <w:rPr>
          <w:rFonts w:cs="Times New Roman"/>
          <w:color w:val="000000" w:themeColor="text1"/>
        </w:rPr>
      </w:pPr>
      <w:r>
        <w:rPr>
          <w:rFonts w:cs="Times New Roman" w:hint="eastAsia"/>
          <w:color w:val="000000" w:themeColor="text1"/>
        </w:rPr>
        <w:t>当项目废气处理设施正常运行时，各废气污染物能够达标排放，对周围大气环境不会产生明显影响。如果废气处理设施出现故障，发生事故排放，未经处理的废气直接排入大气之中，将会对周边大气环境造成污染影响。</w:t>
      </w:r>
    </w:p>
    <w:p w:rsidR="00644456" w:rsidRDefault="008031C4">
      <w:pPr>
        <w:pStyle w:val="-"/>
        <w:snapToGrid w:val="0"/>
        <w:ind w:firstLine="480"/>
        <w:rPr>
          <w:rFonts w:cs="Times New Roman"/>
          <w:color w:val="000000" w:themeColor="text1"/>
        </w:rPr>
      </w:pPr>
      <w:r>
        <w:rPr>
          <w:rFonts w:cs="Times New Roman" w:hint="eastAsia"/>
          <w:color w:val="000000" w:themeColor="text1"/>
        </w:rPr>
        <w:t>储罐发生泄漏时卸料的油品会被截留在围堰内，在泄漏及泄漏油品的处理时间内，泄漏的油品发生质量蒸发，蒸发产生的废气中主要为非甲总烃为主，会导致区域的环境空气中的挥发性气体的含量增加，影响区域的环境空气质量。</w:t>
      </w:r>
    </w:p>
    <w:p w:rsidR="00644456" w:rsidRDefault="008031C4">
      <w:pPr>
        <w:pStyle w:val="-"/>
        <w:snapToGrid w:val="0"/>
        <w:ind w:firstLine="480"/>
        <w:rPr>
          <w:rFonts w:cs="Times New Roman"/>
          <w:color w:val="000000" w:themeColor="text1"/>
        </w:rPr>
      </w:pPr>
      <w:r>
        <w:rPr>
          <w:rFonts w:cs="Times New Roman" w:hint="eastAsia"/>
          <w:color w:val="000000" w:themeColor="text1"/>
        </w:rPr>
        <w:t>3</w:t>
      </w:r>
      <w:r>
        <w:rPr>
          <w:rFonts w:cs="Times New Roman" w:hint="eastAsia"/>
          <w:color w:val="000000" w:themeColor="text1"/>
        </w:rPr>
        <w:t>、废水泄漏</w:t>
      </w:r>
    </w:p>
    <w:p w:rsidR="00644456" w:rsidRPr="007B7F59" w:rsidRDefault="008031C4">
      <w:pPr>
        <w:pStyle w:val="-"/>
        <w:snapToGrid w:val="0"/>
        <w:ind w:firstLine="480"/>
        <w:rPr>
          <w:rFonts w:cs="Times New Roman"/>
          <w:color w:val="FF0000"/>
        </w:rPr>
      </w:pPr>
      <w:r w:rsidRPr="007B7F59">
        <w:rPr>
          <w:rFonts w:cs="Times New Roman" w:hint="eastAsia"/>
          <w:color w:val="FF0000"/>
        </w:rPr>
        <w:t>项目厂区污水处理站存在水池开裂或防渗层失效导致污水渗漏或泄漏的风险。当项目污水处理池防渗系统失效，废水中的石油类将会进入地下水，对地下水造成不同范围的污染。</w:t>
      </w:r>
    </w:p>
    <w:p w:rsidR="00644456" w:rsidRPr="007B7F59" w:rsidRDefault="007B7F59">
      <w:pPr>
        <w:pStyle w:val="-"/>
        <w:snapToGrid w:val="0"/>
        <w:ind w:firstLine="480"/>
        <w:rPr>
          <w:rFonts w:cs="Times New Roman"/>
          <w:color w:val="FF0000"/>
        </w:rPr>
      </w:pPr>
      <w:r w:rsidRPr="007B7F59">
        <w:rPr>
          <w:rFonts w:cs="Times New Roman" w:hint="eastAsia"/>
          <w:color w:val="FF0000"/>
        </w:rPr>
        <w:t>当本项目污水处理站及罐体发生泄漏时，因罐体区域全部设置围堰，并且污水处理站设置事故水池，可将泄漏的油品和废水进行收集，不排入地表水体。因此，本项目不考虑风险事故</w:t>
      </w:r>
      <w:r>
        <w:rPr>
          <w:rFonts w:cs="Times New Roman" w:hint="eastAsia"/>
          <w:color w:val="FF0000"/>
        </w:rPr>
        <w:t>泄漏</w:t>
      </w:r>
      <w:r w:rsidRPr="007B7F59">
        <w:rPr>
          <w:rFonts w:cs="Times New Roman" w:hint="eastAsia"/>
          <w:color w:val="FF0000"/>
        </w:rPr>
        <w:t>危险物质对地表水体产生的影响。</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469" w:name="_Toc177216907"/>
      <w:r>
        <w:rPr>
          <w:rFonts w:cs="Times New Roman" w:hint="eastAsia"/>
          <w:color w:val="000000" w:themeColor="text1"/>
        </w:rPr>
        <w:t>7.8</w:t>
      </w:r>
      <w:r>
        <w:rPr>
          <w:rFonts w:cs="Times New Roman" w:hint="eastAsia"/>
          <w:color w:val="000000" w:themeColor="text1"/>
        </w:rPr>
        <w:t>环境风险防范措施</w:t>
      </w:r>
      <w:bookmarkEnd w:id="469"/>
    </w:p>
    <w:p w:rsidR="00644456" w:rsidRDefault="008031C4">
      <w:pPr>
        <w:pStyle w:val="3"/>
        <w:numPr>
          <w:ilvl w:val="2"/>
          <w:numId w:val="0"/>
        </w:numPr>
        <w:ind w:firstLineChars="200" w:firstLine="482"/>
      </w:pPr>
      <w:r>
        <w:rPr>
          <w:rFonts w:hint="eastAsia"/>
        </w:rPr>
        <w:t>7.8.1</w:t>
      </w:r>
      <w:r>
        <w:rPr>
          <w:rFonts w:hint="eastAsia"/>
        </w:rPr>
        <w:t>环境风险防范措施要求</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7.8.1.1</w:t>
      </w:r>
      <w:r>
        <w:rPr>
          <w:rFonts w:cs="Times New Roman" w:hint="eastAsia"/>
          <w:snapToGrid w:val="0"/>
          <w:color w:val="000000" w:themeColor="text1"/>
          <w:kern w:val="0"/>
          <w:szCs w:val="24"/>
        </w:rPr>
        <w:t>建立环境安全保障体系</w:t>
      </w:r>
    </w:p>
    <w:p w:rsidR="00644456" w:rsidRDefault="008031C4">
      <w:pPr>
        <w:pStyle w:val="-"/>
        <w:snapToGrid w:val="0"/>
        <w:ind w:firstLine="480"/>
        <w:rPr>
          <w:rFonts w:cs="Times New Roman"/>
          <w:color w:val="000000" w:themeColor="text1"/>
        </w:rPr>
      </w:pPr>
      <w:r>
        <w:rPr>
          <w:rFonts w:cs="Times New Roman" w:hint="eastAsia"/>
          <w:color w:val="000000" w:themeColor="text1"/>
        </w:rPr>
        <w:t>装置区、储运区、生产区域设置毒有害物质的自动报警和控制系统，装置配备事故初级应急监测设施（如天然气、硫化氢等有毒气体检测仪）和人员，配备事故初级救护器材和物质，以便在发生泄漏事故时工人可进入高浓度区域中进行紧急救护及紧急控制操作。厂区内设中控室负责对全厂重点区域的视频监控，并可同步监控储罐液位。</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7.8.1.2</w:t>
      </w:r>
      <w:r>
        <w:rPr>
          <w:rFonts w:cs="Times New Roman" w:hint="eastAsia"/>
          <w:snapToGrid w:val="0"/>
          <w:color w:val="000000" w:themeColor="text1"/>
          <w:kern w:val="0"/>
          <w:szCs w:val="24"/>
        </w:rPr>
        <w:t>防止事故污染物向环境转移措施</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color w:val="000000" w:themeColor="text1"/>
        </w:rPr>
        <w:t>1</w:t>
      </w:r>
      <w:r>
        <w:rPr>
          <w:rFonts w:cs="Times New Roman" w:hint="eastAsia"/>
          <w:color w:val="000000" w:themeColor="text1"/>
        </w:rPr>
        <w:t>）设置消防喷淋、泡沫和水幕，事故产生的一氧化碳、二氧化碳及二氧化硫等通过消防水吸收或被消防泡沫覆盖，减少对大气环境的污染。</w:t>
      </w:r>
    </w:p>
    <w:p w:rsidR="00644456" w:rsidRDefault="008031C4">
      <w:pPr>
        <w:pStyle w:val="-"/>
        <w:snapToGrid w:val="0"/>
        <w:ind w:firstLine="480"/>
        <w:rPr>
          <w:rFonts w:cs="Times New Roman"/>
          <w:color w:val="000000" w:themeColor="text1"/>
        </w:rPr>
      </w:pPr>
      <w:r>
        <w:rPr>
          <w:rFonts w:cs="Times New Roman" w:hint="eastAsia"/>
          <w:color w:val="000000" w:themeColor="text1"/>
        </w:rPr>
        <w:lastRenderedPageBreak/>
        <w:t>（</w:t>
      </w:r>
      <w:r>
        <w:rPr>
          <w:rFonts w:cs="Times New Roman"/>
          <w:color w:val="000000" w:themeColor="text1"/>
        </w:rPr>
        <w:t>2</w:t>
      </w:r>
      <w:r>
        <w:rPr>
          <w:rFonts w:cs="Times New Roman" w:hint="eastAsia"/>
          <w:color w:val="000000" w:themeColor="text1"/>
        </w:rPr>
        <w:t>）对于泄漏的气态或易挥发液态有毒物料，应尽快切断泄漏源，防止进入下水道、排洪沟等限制性空间；对于小量的泄漏可用砂土或其他不燃材料吸附，也可用大量水冲洗；对于泄漏量大的，应构筑围堤或挖坑收容，也可用泡沫覆盖，降低蒸气灾害，用防爆泵转移至槽车或专用收集器内，回收或运至废物处理场所处置。对某些可通过物理、化学反应中和或吸收的气体发生泄漏，可喷相关雾状液进行中和或吸收。</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7.8.1.3</w:t>
      </w:r>
      <w:r>
        <w:rPr>
          <w:rFonts w:cs="Times New Roman" w:hint="eastAsia"/>
          <w:snapToGrid w:val="0"/>
          <w:color w:val="000000" w:themeColor="text1"/>
          <w:kern w:val="0"/>
          <w:szCs w:val="24"/>
        </w:rPr>
        <w:t>防止事故污染物向土壤、地下水环境转移措施</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color w:val="000000" w:themeColor="text1"/>
        </w:rPr>
        <w:t>1</w:t>
      </w:r>
      <w:r>
        <w:rPr>
          <w:rFonts w:cs="Times New Roman" w:hint="eastAsia"/>
          <w:color w:val="000000" w:themeColor="text1"/>
        </w:rPr>
        <w:t>）按照各生产、贮运装置及污染处理设施（包括生产设备、管廊或管线，贮存与运输设施，事故应急设施等）通过各种途径可能进入地下水环境的各种有毒有害原辅材料、中间物料、产品的泄漏（含跑、冒、滴、漏）量及其他各类污染物的性质、产生和排放量，在厂区内分区设置完善的防渗措施，具体见地下水措施部分内容。</w:t>
      </w:r>
    </w:p>
    <w:p w:rsidR="00644456" w:rsidRPr="007B7F59" w:rsidRDefault="008031C4">
      <w:pPr>
        <w:pStyle w:val="-"/>
        <w:snapToGrid w:val="0"/>
        <w:ind w:firstLine="480"/>
        <w:rPr>
          <w:rFonts w:cs="Times New Roman"/>
          <w:color w:val="FF0000"/>
        </w:rPr>
      </w:pPr>
      <w:r w:rsidRPr="007B7F59">
        <w:rPr>
          <w:rFonts w:cs="Times New Roman" w:hint="eastAsia"/>
          <w:color w:val="FF0000"/>
        </w:rPr>
        <w:t>（</w:t>
      </w:r>
      <w:r w:rsidRPr="007B7F59">
        <w:rPr>
          <w:rFonts w:cs="Times New Roman" w:hint="eastAsia"/>
          <w:color w:val="FF0000"/>
        </w:rPr>
        <w:t>2</w:t>
      </w:r>
      <w:r w:rsidRPr="007B7F59">
        <w:rPr>
          <w:rFonts w:cs="Times New Roman" w:hint="eastAsia"/>
          <w:color w:val="FF0000"/>
        </w:rPr>
        <w:t>）事故</w:t>
      </w:r>
      <w:r w:rsidR="007B7F59" w:rsidRPr="007B7F59">
        <w:rPr>
          <w:rFonts w:cs="Times New Roman" w:hint="eastAsia"/>
          <w:color w:val="FF0000"/>
        </w:rPr>
        <w:t>泄漏</w:t>
      </w:r>
      <w:r w:rsidRPr="007B7F59">
        <w:rPr>
          <w:rFonts w:cs="Times New Roman" w:hint="eastAsia"/>
          <w:color w:val="FF0000"/>
        </w:rPr>
        <w:t>液体应尽快收集，如</w:t>
      </w:r>
      <w:r w:rsidR="007B7F59" w:rsidRPr="007B7F59">
        <w:rPr>
          <w:rFonts w:cs="Times New Roman" w:hint="eastAsia"/>
          <w:color w:val="FF0000"/>
        </w:rPr>
        <w:t>泄漏</w:t>
      </w:r>
      <w:r w:rsidRPr="007B7F59">
        <w:rPr>
          <w:rFonts w:cs="Times New Roman" w:hint="eastAsia"/>
          <w:color w:val="FF0000"/>
        </w:rPr>
        <w:t>液体进入未硬化地表，应将可能受污染的包气带土壤收集处理，避免持续污染。</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7.8.1.4</w:t>
      </w:r>
      <w:r>
        <w:rPr>
          <w:rFonts w:cs="Times New Roman" w:hint="eastAsia"/>
          <w:snapToGrid w:val="0"/>
          <w:color w:val="000000" w:themeColor="text1"/>
          <w:kern w:val="0"/>
          <w:szCs w:val="24"/>
        </w:rPr>
        <w:t>防止事故污染物向水体环境转移措施</w:t>
      </w:r>
    </w:p>
    <w:p w:rsidR="00644456" w:rsidRDefault="008031C4">
      <w:pPr>
        <w:pStyle w:val="-"/>
        <w:snapToGrid w:val="0"/>
        <w:ind w:firstLine="480"/>
        <w:rPr>
          <w:rFonts w:cs="Times New Roman"/>
          <w:color w:val="000000" w:themeColor="text1"/>
        </w:rPr>
      </w:pPr>
      <w:r>
        <w:rPr>
          <w:rFonts w:cs="Times New Roman" w:hint="eastAsia"/>
          <w:color w:val="000000" w:themeColor="text1"/>
        </w:rPr>
        <w:t>本项目以“预防为主、防控结合”的指导思想，建立安全、及时、有效的污染综合预防与控制体系，确保事故状态下的废水全部处于受控状态，事故废水得到有效处理后达标排放，防止对周围地表水和地下水造成污染。拟建项目预防与控制体系划分为三级，分别为：</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hint="eastAsia"/>
          <w:color w:val="000000" w:themeColor="text1"/>
        </w:rPr>
        <w:t>）一级防控体系</w:t>
      </w:r>
    </w:p>
    <w:p w:rsidR="00644456" w:rsidRDefault="008031C4">
      <w:pPr>
        <w:pStyle w:val="-"/>
        <w:snapToGrid w:val="0"/>
        <w:ind w:firstLine="482"/>
        <w:rPr>
          <w:rFonts w:cs="Times New Roman"/>
          <w:b/>
          <w:bCs/>
          <w:color w:val="000000" w:themeColor="text1"/>
        </w:rPr>
      </w:pPr>
      <w:r>
        <w:rPr>
          <w:rFonts w:cs="Times New Roman" w:hint="eastAsia"/>
          <w:b/>
          <w:bCs/>
          <w:color w:val="000000" w:themeColor="text1"/>
        </w:rPr>
        <w:t>装卸车区、原料油罐组、成品油罐组、润滑油生产装置区等四周设置导流沟，原料油罐组、成品油罐组设置</w:t>
      </w:r>
      <w:r>
        <w:rPr>
          <w:rFonts w:cs="Times New Roman" w:hint="eastAsia"/>
          <w:b/>
          <w:bCs/>
          <w:color w:val="000000" w:themeColor="text1"/>
        </w:rPr>
        <w:t>1.2m</w:t>
      </w:r>
      <w:r>
        <w:rPr>
          <w:rFonts w:cs="Times New Roman" w:hint="eastAsia"/>
          <w:b/>
          <w:bCs/>
          <w:color w:val="000000" w:themeColor="text1"/>
        </w:rPr>
        <w:t>围堰，防止附着的废油类物质滴落漫流；危废暂存库符合《危险废物贮存污染控制标准》（</w:t>
      </w:r>
      <w:r>
        <w:rPr>
          <w:rFonts w:cs="Times New Roman" w:hint="eastAsia"/>
          <w:b/>
          <w:bCs/>
          <w:color w:val="000000" w:themeColor="text1"/>
        </w:rPr>
        <w:t>GB18597</w:t>
      </w:r>
      <w:r>
        <w:rPr>
          <w:rFonts w:cs="Times New Roman" w:hint="eastAsia"/>
          <w:b/>
          <w:bCs/>
          <w:color w:val="000000" w:themeColor="text1"/>
        </w:rPr>
        <w:t>—</w:t>
      </w:r>
      <w:r>
        <w:rPr>
          <w:rFonts w:cs="Times New Roman" w:hint="eastAsia"/>
          <w:b/>
          <w:bCs/>
          <w:color w:val="000000" w:themeColor="text1"/>
        </w:rPr>
        <w:t>2023</w:t>
      </w:r>
      <w:r>
        <w:rPr>
          <w:rFonts w:cs="Times New Roman" w:hint="eastAsia"/>
          <w:b/>
          <w:bCs/>
          <w:color w:val="000000" w:themeColor="text1"/>
        </w:rPr>
        <w:t>）等规定，确保事故状态下的泄漏物料处于受控状态。</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2</w:t>
      </w:r>
      <w:r>
        <w:rPr>
          <w:rFonts w:cs="Times New Roman" w:hint="eastAsia"/>
          <w:color w:val="000000" w:themeColor="text1"/>
        </w:rPr>
        <w:t>）二级防控体系</w:t>
      </w:r>
    </w:p>
    <w:p w:rsidR="00644456" w:rsidRDefault="008031C4">
      <w:pPr>
        <w:pStyle w:val="-"/>
        <w:snapToGrid w:val="0"/>
        <w:ind w:firstLine="480"/>
        <w:rPr>
          <w:rFonts w:cs="Times New Roman"/>
          <w:color w:val="000000" w:themeColor="text1"/>
        </w:rPr>
      </w:pPr>
      <w:r>
        <w:rPr>
          <w:rFonts w:cs="Times New Roman" w:hint="eastAsia"/>
          <w:color w:val="000000" w:themeColor="text1"/>
        </w:rPr>
        <w:t>当无法利用装置控制物料和污水时，将事故废水排入事故水池内。</w:t>
      </w:r>
    </w:p>
    <w:p w:rsidR="00644456" w:rsidRDefault="008031C4">
      <w:pPr>
        <w:pStyle w:val="-"/>
        <w:snapToGrid w:val="0"/>
        <w:ind w:firstLine="480"/>
        <w:rPr>
          <w:rFonts w:cs="Times New Roman"/>
          <w:color w:val="000000" w:themeColor="text1"/>
        </w:rPr>
      </w:pPr>
      <w:r>
        <w:rPr>
          <w:rFonts w:cs="Times New Roman" w:hint="eastAsia"/>
          <w:color w:val="000000" w:themeColor="text1"/>
        </w:rPr>
        <w:t>当发生较大事故，需要对装置区火灾产生的消防废水和泄漏物料进行收集。</w:t>
      </w:r>
    </w:p>
    <w:p w:rsidR="00644456" w:rsidRDefault="008031C4">
      <w:pPr>
        <w:pStyle w:val="-"/>
        <w:snapToGrid w:val="0"/>
        <w:ind w:firstLine="480"/>
        <w:rPr>
          <w:rFonts w:cs="Times New Roman"/>
          <w:color w:val="000000" w:themeColor="text1"/>
        </w:rPr>
      </w:pPr>
      <w:r>
        <w:rPr>
          <w:rFonts w:cs="Times New Roman" w:hint="eastAsia"/>
          <w:color w:val="000000" w:themeColor="text1"/>
        </w:rPr>
        <w:t>在盐装卸车区、原料油罐组、成品油罐组、润滑油生产装置区等四周设截水沟，收集系统与事故池相连。</w:t>
      </w:r>
    </w:p>
    <w:p w:rsidR="00644456" w:rsidRDefault="008031C4">
      <w:pPr>
        <w:pStyle w:val="-"/>
        <w:snapToGrid w:val="0"/>
        <w:ind w:firstLine="480"/>
        <w:rPr>
          <w:rFonts w:cs="Times New Roman"/>
          <w:color w:val="000000" w:themeColor="text1"/>
        </w:rPr>
      </w:pPr>
      <w:r>
        <w:rPr>
          <w:rFonts w:cs="Times New Roman" w:hint="eastAsia"/>
          <w:color w:val="000000" w:themeColor="text1"/>
        </w:rPr>
        <w:t>根据《化工建设项目环境保护设计规范》（</w:t>
      </w:r>
      <w:r>
        <w:rPr>
          <w:rFonts w:cs="Times New Roman" w:hint="eastAsia"/>
          <w:color w:val="000000" w:themeColor="text1"/>
        </w:rPr>
        <w:t>GB50483-2019</w:t>
      </w:r>
      <w:r>
        <w:rPr>
          <w:rFonts w:cs="Times New Roman" w:hint="eastAsia"/>
          <w:color w:val="000000" w:themeColor="text1"/>
        </w:rPr>
        <w:t>）及《石化企业水体环境风险防控技术要求》（</w:t>
      </w:r>
      <w:r>
        <w:rPr>
          <w:rFonts w:cs="Times New Roman" w:hint="eastAsia"/>
          <w:color w:val="000000" w:themeColor="text1"/>
        </w:rPr>
        <w:t>Q/SH0729-2018</w:t>
      </w:r>
      <w:r>
        <w:rPr>
          <w:rFonts w:cs="Times New Roman" w:hint="eastAsia"/>
          <w:color w:val="000000" w:themeColor="text1"/>
        </w:rPr>
        <w:t>）中应急事故池的有效容量计算公式，应急事故池容积计算公式如下：</w:t>
      </w:r>
    </w:p>
    <w:p w:rsidR="00644456" w:rsidRDefault="008031C4">
      <w:pPr>
        <w:pStyle w:val="-"/>
        <w:snapToGrid w:val="0"/>
        <w:ind w:firstLine="480"/>
        <w:rPr>
          <w:rFonts w:cs="Times New Roman"/>
          <w:color w:val="000000" w:themeColor="text1"/>
        </w:rPr>
      </w:pPr>
      <w:r>
        <w:rPr>
          <w:rFonts w:cs="Times New Roman" w:hint="eastAsia"/>
          <w:color w:val="000000" w:themeColor="text1"/>
        </w:rPr>
        <w:lastRenderedPageBreak/>
        <w:t>V</w:t>
      </w:r>
      <w:r>
        <w:rPr>
          <w:rFonts w:cs="Times New Roman" w:hint="eastAsia"/>
          <w:color w:val="000000" w:themeColor="text1"/>
        </w:rPr>
        <w:t>总</w:t>
      </w:r>
      <w:r>
        <w:rPr>
          <w:rFonts w:cs="Times New Roman" w:hint="eastAsia"/>
          <w:color w:val="000000" w:themeColor="text1"/>
        </w:rPr>
        <w:t>=(V1+V2-V3)max+V4+V5</w:t>
      </w:r>
    </w:p>
    <w:p w:rsidR="00644456" w:rsidRDefault="008031C4">
      <w:pPr>
        <w:pStyle w:val="-"/>
        <w:snapToGrid w:val="0"/>
        <w:ind w:firstLine="480"/>
        <w:rPr>
          <w:rFonts w:cs="Times New Roman"/>
          <w:color w:val="000000" w:themeColor="text1"/>
        </w:rPr>
      </w:pPr>
      <w:r>
        <w:rPr>
          <w:rFonts w:cs="Times New Roman" w:hint="eastAsia"/>
          <w:color w:val="000000" w:themeColor="text1"/>
        </w:rPr>
        <w:t>V1--</w:t>
      </w:r>
      <w:r>
        <w:rPr>
          <w:rFonts w:cs="Times New Roman" w:hint="eastAsia"/>
          <w:color w:val="000000" w:themeColor="text1"/>
        </w:rPr>
        <w:t>收集系统范围内发生事故的一个罐组或一套装置的物料量；</w:t>
      </w:r>
    </w:p>
    <w:p w:rsidR="00644456" w:rsidRDefault="008031C4">
      <w:pPr>
        <w:pStyle w:val="-"/>
        <w:snapToGrid w:val="0"/>
        <w:ind w:firstLine="480"/>
        <w:rPr>
          <w:rFonts w:cs="Times New Roman"/>
          <w:color w:val="000000" w:themeColor="text1"/>
        </w:rPr>
      </w:pPr>
      <w:r>
        <w:rPr>
          <w:rFonts w:cs="Times New Roman" w:hint="eastAsia"/>
          <w:color w:val="000000" w:themeColor="text1"/>
        </w:rPr>
        <w:t>注：储存相同物料的罐组按一个最大储罐计，装载物料量按存留最大物料量的一台反应器或中间储罐计；</w:t>
      </w:r>
    </w:p>
    <w:p w:rsidR="00644456" w:rsidRDefault="008031C4">
      <w:pPr>
        <w:pStyle w:val="-"/>
        <w:snapToGrid w:val="0"/>
        <w:ind w:firstLine="480"/>
        <w:rPr>
          <w:rFonts w:cs="Times New Roman"/>
          <w:color w:val="000000" w:themeColor="text1"/>
        </w:rPr>
      </w:pPr>
      <w:r>
        <w:rPr>
          <w:rFonts w:cs="Times New Roman" w:hint="eastAsia"/>
          <w:color w:val="000000" w:themeColor="text1"/>
        </w:rPr>
        <w:t>本项目主要考虑原料储罐区及产品储罐区，按照相同物料的罐组按一个储罐计，结合本项目的情况，考虑废矿物油罐组，罐体容积</w:t>
      </w:r>
      <w:r>
        <w:rPr>
          <w:rFonts w:cs="Times New Roman" w:hint="eastAsia"/>
          <w:color w:val="000000" w:themeColor="text1"/>
        </w:rPr>
        <w:t>2500m</w:t>
      </w:r>
      <w:r w:rsidRPr="007B7F59">
        <w:rPr>
          <w:rFonts w:cs="Times New Roman" w:hint="eastAsia"/>
          <w:color w:val="000000" w:themeColor="text1"/>
          <w:vertAlign w:val="superscript"/>
        </w:rPr>
        <w:t>3</w:t>
      </w:r>
      <w:r>
        <w:rPr>
          <w:rFonts w:cs="Times New Roman" w:hint="eastAsia"/>
          <w:color w:val="000000" w:themeColor="text1"/>
        </w:rPr>
        <w:t>，取其中的最大安全储量</w:t>
      </w:r>
      <w:r>
        <w:rPr>
          <w:rFonts w:cs="Times New Roman" w:hint="eastAsia"/>
          <w:color w:val="000000" w:themeColor="text1"/>
        </w:rPr>
        <w:t>90%</w:t>
      </w:r>
      <w:r>
        <w:rPr>
          <w:rFonts w:cs="Times New Roman" w:hint="eastAsia"/>
          <w:color w:val="000000" w:themeColor="text1"/>
        </w:rPr>
        <w:t>全部</w:t>
      </w:r>
      <w:r w:rsidR="007B7F59">
        <w:rPr>
          <w:rFonts w:cs="Times New Roman" w:hint="eastAsia"/>
          <w:color w:val="000000" w:themeColor="text1"/>
        </w:rPr>
        <w:t>泄漏</w:t>
      </w:r>
      <w:r>
        <w:rPr>
          <w:rFonts w:cs="Times New Roman" w:hint="eastAsia"/>
          <w:color w:val="000000" w:themeColor="text1"/>
        </w:rPr>
        <w:t>，即</w:t>
      </w:r>
      <w:r>
        <w:rPr>
          <w:rFonts w:cs="Times New Roman" w:hint="eastAsia"/>
          <w:color w:val="000000" w:themeColor="text1"/>
        </w:rPr>
        <w:t>2250m</w:t>
      </w:r>
      <w:r w:rsidRPr="007B7F59">
        <w:rPr>
          <w:rFonts w:cs="Times New Roman" w:hint="eastAsia"/>
          <w:color w:val="000000" w:themeColor="text1"/>
          <w:vertAlign w:val="superscript"/>
        </w:rPr>
        <w:t>3</w:t>
      </w:r>
      <w:r>
        <w:rPr>
          <w:rFonts w:cs="Times New Roman" w:hint="eastAsia"/>
          <w:color w:val="000000" w:themeColor="text1"/>
        </w:rPr>
        <w:t>；</w:t>
      </w:r>
    </w:p>
    <w:p w:rsidR="00644456" w:rsidRDefault="008031C4">
      <w:pPr>
        <w:pStyle w:val="-"/>
        <w:snapToGrid w:val="0"/>
        <w:ind w:firstLine="480"/>
        <w:rPr>
          <w:rFonts w:cs="Times New Roman"/>
          <w:color w:val="000000" w:themeColor="text1"/>
        </w:rPr>
      </w:pPr>
      <w:r>
        <w:rPr>
          <w:rFonts w:cs="Times New Roman" w:hint="eastAsia"/>
          <w:color w:val="000000" w:themeColor="text1"/>
        </w:rPr>
        <w:t>V2--</w:t>
      </w:r>
      <w:r>
        <w:rPr>
          <w:rFonts w:cs="Times New Roman" w:hint="eastAsia"/>
          <w:color w:val="000000" w:themeColor="text1"/>
        </w:rPr>
        <w:t>发生事故的储罐或装置的消防水量，</w:t>
      </w:r>
      <w:r>
        <w:rPr>
          <w:rFonts w:cs="Times New Roman" w:hint="eastAsia"/>
          <w:color w:val="000000" w:themeColor="text1"/>
        </w:rPr>
        <w:t>m</w:t>
      </w:r>
      <w:r w:rsidRPr="007B7F59">
        <w:rPr>
          <w:rFonts w:cs="Times New Roman" w:hint="eastAsia"/>
          <w:color w:val="000000" w:themeColor="text1"/>
          <w:vertAlign w:val="superscript"/>
        </w:rPr>
        <w:t>3</w:t>
      </w:r>
      <w:r>
        <w:rPr>
          <w:rFonts w:cs="Times New Roman" w:hint="eastAsia"/>
          <w:color w:val="000000" w:themeColor="text1"/>
        </w:rPr>
        <w:t>；</w:t>
      </w:r>
    </w:p>
    <w:p w:rsidR="00644456" w:rsidRDefault="008031C4">
      <w:pPr>
        <w:pStyle w:val="-"/>
        <w:snapToGrid w:val="0"/>
        <w:ind w:firstLine="480"/>
        <w:rPr>
          <w:rFonts w:cs="Times New Roman"/>
          <w:color w:val="000000" w:themeColor="text1"/>
        </w:rPr>
      </w:pPr>
      <w:r>
        <w:rPr>
          <w:rFonts w:cs="Times New Roman" w:hint="eastAsia"/>
          <w:color w:val="000000" w:themeColor="text1"/>
        </w:rPr>
        <w:t>消防水量按照以下公式计算：</w:t>
      </w:r>
    </w:p>
    <w:p w:rsidR="00644456" w:rsidRDefault="008031C4">
      <w:pPr>
        <w:pStyle w:val="-"/>
        <w:snapToGrid w:val="0"/>
        <w:ind w:firstLine="480"/>
        <w:rPr>
          <w:rFonts w:cs="Times New Roman"/>
          <w:color w:val="000000" w:themeColor="text1"/>
        </w:rPr>
      </w:pPr>
      <w:r>
        <w:rPr>
          <w:rFonts w:cs="Times New Roman" w:hint="eastAsia"/>
          <w:color w:val="000000" w:themeColor="text1"/>
        </w:rPr>
        <w:object w:dxaOrig="1467" w:dyaOrig="408" w14:anchorId="636B611C">
          <v:shape id="_x0000_i1039" type="#_x0000_t75" style="width:73.5pt;height:20.25pt" o:ole="">
            <v:imagedata r:id="rId101" o:title=""/>
          </v:shape>
          <o:OLEObject Type="Embed" ProgID="Equation.3" ShapeID="_x0000_i1039" DrawAspect="Content" ObjectID="_1791290110" r:id="rId102"/>
        </w:object>
      </w:r>
    </w:p>
    <w:p w:rsidR="00644456" w:rsidRDefault="008031C4">
      <w:pPr>
        <w:pStyle w:val="-"/>
        <w:snapToGrid w:val="0"/>
        <w:ind w:firstLine="480"/>
        <w:rPr>
          <w:rFonts w:cs="Times New Roman"/>
          <w:color w:val="000000" w:themeColor="text1"/>
        </w:rPr>
      </w:pPr>
      <w:r>
        <w:rPr>
          <w:rFonts w:cs="Times New Roman" w:hint="eastAsia"/>
          <w:color w:val="000000" w:themeColor="text1"/>
        </w:rPr>
        <w:t>Q</w:t>
      </w:r>
      <w:r>
        <w:rPr>
          <w:rFonts w:cs="Times New Roman" w:hint="eastAsia"/>
          <w:color w:val="000000" w:themeColor="text1"/>
        </w:rPr>
        <w:t>消—发生事故的储罐或装置的同时使用的消防设施给水流量，</w:t>
      </w:r>
      <w:r>
        <w:rPr>
          <w:rFonts w:cs="Times New Roman" w:hint="eastAsia"/>
          <w:color w:val="000000" w:themeColor="text1"/>
        </w:rPr>
        <w:t>m</w:t>
      </w:r>
      <w:r w:rsidRPr="007B7F59">
        <w:rPr>
          <w:rFonts w:cs="Times New Roman" w:hint="eastAsia"/>
          <w:color w:val="000000" w:themeColor="text1"/>
          <w:vertAlign w:val="superscript"/>
        </w:rPr>
        <w:t>3</w:t>
      </w:r>
      <w:r>
        <w:rPr>
          <w:rFonts w:cs="Times New Roman" w:hint="eastAsia"/>
          <w:color w:val="000000" w:themeColor="text1"/>
        </w:rPr>
        <w:t>/h</w:t>
      </w:r>
      <w:r>
        <w:rPr>
          <w:rFonts w:cs="Times New Roman" w:hint="eastAsia"/>
          <w:color w:val="000000" w:themeColor="text1"/>
        </w:rPr>
        <w:t>；</w:t>
      </w:r>
    </w:p>
    <w:p w:rsidR="00644456" w:rsidRDefault="008031C4">
      <w:pPr>
        <w:pStyle w:val="-"/>
        <w:snapToGrid w:val="0"/>
        <w:ind w:firstLine="480"/>
        <w:rPr>
          <w:rFonts w:cs="Times New Roman"/>
          <w:color w:val="000000" w:themeColor="text1"/>
        </w:rPr>
      </w:pPr>
      <w:r>
        <w:rPr>
          <w:rFonts w:cs="Times New Roman" w:hint="eastAsia"/>
          <w:color w:val="000000" w:themeColor="text1"/>
        </w:rPr>
        <w:t>t</w:t>
      </w:r>
      <w:r>
        <w:rPr>
          <w:rFonts w:cs="Times New Roman" w:hint="eastAsia"/>
          <w:color w:val="000000" w:themeColor="text1"/>
        </w:rPr>
        <w:t>消—消防设施对应的设计消防历时，</w:t>
      </w:r>
      <w:r>
        <w:rPr>
          <w:rFonts w:cs="Times New Roman" w:hint="eastAsia"/>
          <w:color w:val="000000" w:themeColor="text1"/>
        </w:rPr>
        <w:t>h</w:t>
      </w:r>
      <w:r>
        <w:rPr>
          <w:rFonts w:cs="Times New Roman" w:hint="eastAsia"/>
          <w:color w:val="000000" w:themeColor="text1"/>
        </w:rPr>
        <w:t>；</w:t>
      </w:r>
    </w:p>
    <w:p w:rsidR="00644456" w:rsidRDefault="008031C4">
      <w:pPr>
        <w:pStyle w:val="-"/>
        <w:snapToGrid w:val="0"/>
        <w:ind w:firstLine="480"/>
        <w:rPr>
          <w:rFonts w:cs="Times New Roman"/>
          <w:color w:val="000000" w:themeColor="text1"/>
        </w:rPr>
      </w:pPr>
      <w:r>
        <w:rPr>
          <w:rFonts w:cs="Times New Roman" w:hint="eastAsia"/>
          <w:color w:val="000000" w:themeColor="text1"/>
        </w:rPr>
        <w:t>根据《石油化工企业设计防火规范》（</w:t>
      </w:r>
      <w:r>
        <w:rPr>
          <w:rFonts w:cs="Times New Roman" w:hint="eastAsia"/>
          <w:color w:val="000000" w:themeColor="text1"/>
        </w:rPr>
        <w:t>GB50160-2008</w:t>
      </w:r>
      <w:r>
        <w:rPr>
          <w:rFonts w:cs="Times New Roman" w:hint="eastAsia"/>
          <w:color w:val="000000" w:themeColor="text1"/>
        </w:rPr>
        <w:t>）本项目消防给水量流量以</w:t>
      </w:r>
      <w:r>
        <w:rPr>
          <w:rFonts w:cs="Times New Roman" w:hint="eastAsia"/>
          <w:color w:val="000000" w:themeColor="text1"/>
        </w:rPr>
        <w:t>50L/s</w:t>
      </w:r>
      <w:r>
        <w:rPr>
          <w:rFonts w:cs="Times New Roman" w:hint="eastAsia"/>
          <w:color w:val="000000" w:themeColor="text1"/>
        </w:rPr>
        <w:t>计，时间为</w:t>
      </w:r>
      <w:r>
        <w:rPr>
          <w:rFonts w:cs="Times New Roman" w:hint="eastAsia"/>
          <w:color w:val="000000" w:themeColor="text1"/>
        </w:rPr>
        <w:t>3h</w:t>
      </w:r>
      <w:r>
        <w:rPr>
          <w:rFonts w:cs="Times New Roman" w:hint="eastAsia"/>
          <w:color w:val="000000" w:themeColor="text1"/>
        </w:rPr>
        <w:t>，经计算得消防尾水量为</w:t>
      </w:r>
      <w:r>
        <w:rPr>
          <w:rFonts w:cs="Times New Roman" w:hint="eastAsia"/>
          <w:color w:val="000000" w:themeColor="text1"/>
        </w:rPr>
        <w:t>540m</w:t>
      </w:r>
      <w:r w:rsidRPr="007B7F59">
        <w:rPr>
          <w:rFonts w:cs="Times New Roman" w:hint="eastAsia"/>
          <w:color w:val="000000" w:themeColor="text1"/>
          <w:vertAlign w:val="superscript"/>
        </w:rPr>
        <w:t>3</w:t>
      </w:r>
      <w:r>
        <w:rPr>
          <w:rFonts w:cs="Times New Roman" w:hint="eastAsia"/>
          <w:color w:val="000000" w:themeColor="text1"/>
        </w:rPr>
        <w:t>/</w:t>
      </w:r>
      <w:r>
        <w:rPr>
          <w:rFonts w:cs="Times New Roman" w:hint="eastAsia"/>
          <w:color w:val="000000" w:themeColor="text1"/>
        </w:rPr>
        <w:t>次；</w:t>
      </w:r>
    </w:p>
    <w:p w:rsidR="00644456" w:rsidRDefault="008031C4">
      <w:pPr>
        <w:pStyle w:val="-"/>
        <w:snapToGrid w:val="0"/>
        <w:ind w:firstLine="480"/>
        <w:rPr>
          <w:rFonts w:cs="Times New Roman"/>
          <w:color w:val="000000" w:themeColor="text1"/>
        </w:rPr>
      </w:pPr>
      <w:r>
        <w:rPr>
          <w:rFonts w:cs="Times New Roman" w:hint="eastAsia"/>
          <w:color w:val="000000" w:themeColor="text1"/>
        </w:rPr>
        <w:t>V3</w:t>
      </w:r>
      <w:r>
        <w:rPr>
          <w:rFonts w:cs="Times New Roman" w:hint="eastAsia"/>
          <w:color w:val="000000" w:themeColor="text1"/>
        </w:rPr>
        <w:t>—发生事故时可以储存、转运到其他设施的事故排水量；</w:t>
      </w:r>
    </w:p>
    <w:p w:rsidR="00644456" w:rsidRDefault="008031C4">
      <w:pPr>
        <w:pStyle w:val="-"/>
        <w:snapToGrid w:val="0"/>
        <w:ind w:firstLine="480"/>
        <w:rPr>
          <w:rFonts w:cs="Times New Roman"/>
          <w:color w:val="000000" w:themeColor="text1"/>
        </w:rPr>
      </w:pPr>
      <w:r>
        <w:rPr>
          <w:rFonts w:cs="Times New Roman" w:hint="eastAsia"/>
          <w:color w:val="000000" w:themeColor="text1"/>
        </w:rPr>
        <w:t>本项目主要考虑原料储罐区，罐区周围设置了高度为</w:t>
      </w:r>
      <w:r>
        <w:rPr>
          <w:rFonts w:cs="Times New Roman" w:hint="eastAsia"/>
          <w:color w:val="000000" w:themeColor="text1"/>
        </w:rPr>
        <w:t>1.5m</w:t>
      </w:r>
      <w:r>
        <w:rPr>
          <w:rFonts w:cs="Times New Roman" w:hint="eastAsia"/>
          <w:color w:val="000000" w:themeColor="text1"/>
        </w:rPr>
        <w:t>围堰，占地面积为</w:t>
      </w:r>
      <w:r>
        <w:rPr>
          <w:rFonts w:cs="Times New Roman" w:hint="eastAsia"/>
          <w:color w:val="000000" w:themeColor="text1"/>
        </w:rPr>
        <w:t>1740m</w:t>
      </w:r>
      <w:r w:rsidRPr="007B7F59">
        <w:rPr>
          <w:rFonts w:cs="Times New Roman" w:hint="eastAsia"/>
          <w:color w:val="000000" w:themeColor="text1"/>
          <w:vertAlign w:val="superscript"/>
        </w:rPr>
        <w:t>2</w:t>
      </w:r>
      <w:r>
        <w:rPr>
          <w:rFonts w:cs="Times New Roman" w:hint="eastAsia"/>
          <w:color w:val="000000" w:themeColor="text1"/>
        </w:rPr>
        <w:t>，罐区围堰内的有效收集能力为</w:t>
      </w:r>
      <w:r>
        <w:rPr>
          <w:rFonts w:cs="Times New Roman" w:hint="eastAsia"/>
          <w:color w:val="000000" w:themeColor="text1"/>
        </w:rPr>
        <w:t>2610m</w:t>
      </w:r>
      <w:r w:rsidRPr="007B7F59">
        <w:rPr>
          <w:rFonts w:cs="Times New Roman" w:hint="eastAsia"/>
          <w:color w:val="000000" w:themeColor="text1"/>
          <w:vertAlign w:val="superscript"/>
        </w:rPr>
        <w:t>3</w:t>
      </w:r>
      <w:r>
        <w:rPr>
          <w:rFonts w:cs="Times New Roman" w:hint="eastAsia"/>
          <w:color w:val="000000" w:themeColor="text1"/>
        </w:rPr>
        <w:t>。</w:t>
      </w:r>
    </w:p>
    <w:p w:rsidR="00644456" w:rsidRDefault="008031C4">
      <w:pPr>
        <w:pStyle w:val="-"/>
        <w:snapToGrid w:val="0"/>
        <w:ind w:firstLine="480"/>
        <w:rPr>
          <w:rFonts w:cs="Times New Roman"/>
          <w:color w:val="000000" w:themeColor="text1"/>
        </w:rPr>
      </w:pPr>
      <w:r>
        <w:rPr>
          <w:rFonts w:cs="Times New Roman" w:hint="eastAsia"/>
          <w:color w:val="000000" w:themeColor="text1"/>
        </w:rPr>
        <w:t>V4--</w:t>
      </w:r>
      <w:r>
        <w:rPr>
          <w:rFonts w:cs="Times New Roman" w:hint="eastAsia"/>
          <w:color w:val="000000" w:themeColor="text1"/>
        </w:rPr>
        <w:t>发生事故时仍必须进入该收集系统的生产废水量，</w:t>
      </w:r>
      <w:r>
        <w:rPr>
          <w:rFonts w:cs="Times New Roman" w:hint="eastAsia"/>
          <w:color w:val="000000" w:themeColor="text1"/>
        </w:rPr>
        <w:t>m</w:t>
      </w:r>
      <w:r w:rsidRPr="007B7F59">
        <w:rPr>
          <w:rFonts w:cs="Times New Roman" w:hint="eastAsia"/>
          <w:color w:val="000000" w:themeColor="text1"/>
          <w:vertAlign w:val="superscript"/>
        </w:rPr>
        <w:t>3</w:t>
      </w:r>
      <w:r>
        <w:rPr>
          <w:rFonts w:cs="Times New Roman" w:hint="eastAsia"/>
          <w:color w:val="000000" w:themeColor="text1"/>
        </w:rPr>
        <w:t>；按</w:t>
      </w:r>
      <w:r>
        <w:rPr>
          <w:rFonts w:cs="Times New Roman" w:hint="eastAsia"/>
          <w:color w:val="000000" w:themeColor="text1"/>
        </w:rPr>
        <w:t>0m</w:t>
      </w:r>
      <w:r w:rsidRPr="007B7F59">
        <w:rPr>
          <w:rFonts w:cs="Times New Roman" w:hint="eastAsia"/>
          <w:color w:val="000000" w:themeColor="text1"/>
          <w:vertAlign w:val="superscript"/>
        </w:rPr>
        <w:t>3</w:t>
      </w:r>
      <w:r>
        <w:rPr>
          <w:rFonts w:cs="Times New Roman" w:hint="eastAsia"/>
          <w:color w:val="000000" w:themeColor="text1"/>
        </w:rPr>
        <w:t>；</w:t>
      </w:r>
    </w:p>
    <w:p w:rsidR="00644456" w:rsidRDefault="008031C4">
      <w:pPr>
        <w:pStyle w:val="-"/>
        <w:snapToGrid w:val="0"/>
        <w:ind w:firstLine="480"/>
        <w:rPr>
          <w:rFonts w:cs="Times New Roman"/>
          <w:color w:val="000000" w:themeColor="text1"/>
        </w:rPr>
      </w:pPr>
      <w:r>
        <w:rPr>
          <w:rFonts w:cs="Times New Roman" w:hint="eastAsia"/>
          <w:color w:val="000000" w:themeColor="text1"/>
        </w:rPr>
        <w:t>V5--</w:t>
      </w:r>
      <w:r>
        <w:rPr>
          <w:rFonts w:cs="Times New Roman" w:hint="eastAsia"/>
          <w:color w:val="000000" w:themeColor="text1"/>
        </w:rPr>
        <w:t>发生事故时可能进入该收集系统的降雨量，</w:t>
      </w:r>
      <w:r>
        <w:rPr>
          <w:rFonts w:cs="Times New Roman" w:hint="eastAsia"/>
          <w:color w:val="000000" w:themeColor="text1"/>
        </w:rPr>
        <w:t>m</w:t>
      </w:r>
      <w:r w:rsidRPr="007B7F59">
        <w:rPr>
          <w:rFonts w:cs="Times New Roman" w:hint="eastAsia"/>
          <w:color w:val="000000" w:themeColor="text1"/>
          <w:vertAlign w:val="superscript"/>
        </w:rPr>
        <w:t>3</w:t>
      </w:r>
      <w:r>
        <w:rPr>
          <w:rFonts w:cs="Times New Roman" w:hint="eastAsia"/>
          <w:color w:val="000000" w:themeColor="text1"/>
        </w:rPr>
        <w:t>；当地年均降水量为</w:t>
      </w:r>
      <w:r>
        <w:rPr>
          <w:rFonts w:cs="Times New Roman" w:hint="eastAsia"/>
          <w:color w:val="000000" w:themeColor="text1"/>
        </w:rPr>
        <w:t>61.5mm</w:t>
      </w:r>
      <w:r>
        <w:rPr>
          <w:rFonts w:cs="Times New Roman" w:hint="eastAsia"/>
          <w:color w:val="000000" w:themeColor="text1"/>
        </w:rPr>
        <w:t>，年均降水天数以</w:t>
      </w:r>
      <w:r>
        <w:rPr>
          <w:rFonts w:cs="Times New Roman" w:hint="eastAsia"/>
          <w:color w:val="000000" w:themeColor="text1"/>
        </w:rPr>
        <w:t>35</w:t>
      </w:r>
      <w:r>
        <w:rPr>
          <w:rFonts w:cs="Times New Roman" w:hint="eastAsia"/>
          <w:color w:val="000000" w:themeColor="text1"/>
        </w:rPr>
        <w:t>天计，降雨历时按</w:t>
      </w:r>
      <w:r>
        <w:rPr>
          <w:rFonts w:cs="Times New Roman" w:hint="eastAsia"/>
          <w:color w:val="000000" w:themeColor="text1"/>
        </w:rPr>
        <w:t>15</w:t>
      </w:r>
      <w:r>
        <w:rPr>
          <w:rFonts w:cs="Times New Roman" w:hint="eastAsia"/>
          <w:color w:val="000000" w:themeColor="text1"/>
        </w:rPr>
        <w:t>分钟计，暴雨径流系数为</w:t>
      </w:r>
      <w:r>
        <w:rPr>
          <w:rFonts w:cs="Times New Roman" w:hint="eastAsia"/>
          <w:color w:val="000000" w:themeColor="text1"/>
        </w:rPr>
        <w:t>0.9</w:t>
      </w:r>
      <w:r>
        <w:rPr>
          <w:rFonts w:cs="Times New Roman" w:hint="eastAsia"/>
          <w:color w:val="000000" w:themeColor="text1"/>
        </w:rPr>
        <w:t>，则降雨强度</w:t>
      </w:r>
      <w:r>
        <w:rPr>
          <w:rFonts w:cs="Times New Roman" w:hint="eastAsia"/>
          <w:color w:val="000000" w:themeColor="text1"/>
        </w:rPr>
        <w:t>q=61.5/35</w:t>
      </w:r>
      <w:r>
        <w:rPr>
          <w:rFonts w:cs="Times New Roman" w:hint="eastAsia"/>
          <w:color w:val="000000" w:themeColor="text1"/>
        </w:rPr>
        <w:t>×</w:t>
      </w:r>
      <w:r>
        <w:rPr>
          <w:rFonts w:cs="Times New Roman" w:hint="eastAsia"/>
          <w:color w:val="000000" w:themeColor="text1"/>
        </w:rPr>
        <w:t>0.9=1.58mm</w:t>
      </w:r>
      <w:r>
        <w:rPr>
          <w:rFonts w:cs="Times New Roman" w:hint="eastAsia"/>
          <w:color w:val="000000" w:themeColor="text1"/>
        </w:rPr>
        <w:t>，汇水面积为</w:t>
      </w:r>
      <w:r>
        <w:rPr>
          <w:rFonts w:cs="Times New Roman" w:hint="eastAsia"/>
          <w:color w:val="000000" w:themeColor="text1"/>
        </w:rPr>
        <w:t>30524.0m</w:t>
      </w:r>
      <w:r w:rsidRPr="007B7F59">
        <w:rPr>
          <w:rFonts w:cs="Times New Roman" w:hint="eastAsia"/>
          <w:color w:val="000000" w:themeColor="text1"/>
          <w:vertAlign w:val="superscript"/>
        </w:rPr>
        <w:t>2</w:t>
      </w:r>
      <w:r>
        <w:rPr>
          <w:rFonts w:cs="Times New Roman" w:hint="eastAsia"/>
          <w:color w:val="000000" w:themeColor="text1"/>
        </w:rPr>
        <w:t>，则</w:t>
      </w:r>
      <w:r>
        <w:rPr>
          <w:rFonts w:cs="Times New Roman" w:hint="eastAsia"/>
          <w:color w:val="000000" w:themeColor="text1"/>
        </w:rPr>
        <w:t>V5=10qF=10</w:t>
      </w:r>
      <w:r>
        <w:rPr>
          <w:rFonts w:cs="Times New Roman" w:hint="eastAsia"/>
          <w:color w:val="000000" w:themeColor="text1"/>
        </w:rPr>
        <w:t>×</w:t>
      </w:r>
      <w:r>
        <w:rPr>
          <w:rFonts w:cs="Times New Roman" w:hint="eastAsia"/>
          <w:color w:val="000000" w:themeColor="text1"/>
        </w:rPr>
        <w:t>1.58</w:t>
      </w:r>
      <w:r>
        <w:rPr>
          <w:rFonts w:cs="Times New Roman" w:hint="eastAsia"/>
          <w:color w:val="000000" w:themeColor="text1"/>
        </w:rPr>
        <w:t>×</w:t>
      </w:r>
      <w:r>
        <w:rPr>
          <w:rFonts w:cs="Times New Roman" w:hint="eastAsia"/>
          <w:color w:val="000000" w:themeColor="text1"/>
        </w:rPr>
        <w:t>10</w:t>
      </w:r>
      <w:r w:rsidRPr="007B7F59">
        <w:rPr>
          <w:rFonts w:cs="Times New Roman" w:hint="eastAsia"/>
          <w:color w:val="000000" w:themeColor="text1"/>
          <w:vertAlign w:val="superscript"/>
        </w:rPr>
        <w:t>-3</w:t>
      </w:r>
      <w:r>
        <w:rPr>
          <w:rFonts w:cs="Times New Roman" w:hint="eastAsia"/>
          <w:color w:val="000000" w:themeColor="text1"/>
        </w:rPr>
        <w:t>×</w:t>
      </w:r>
      <w:r>
        <w:rPr>
          <w:rFonts w:cs="Times New Roman" w:hint="eastAsia"/>
          <w:color w:val="000000" w:themeColor="text1"/>
        </w:rPr>
        <w:t>30524.0=482.3m</w:t>
      </w:r>
      <w:r w:rsidRPr="007B7F59">
        <w:rPr>
          <w:rFonts w:cs="Times New Roman" w:hint="eastAsia"/>
          <w:color w:val="000000" w:themeColor="text1"/>
          <w:vertAlign w:val="superscript"/>
        </w:rPr>
        <w:t>3</w:t>
      </w:r>
      <w:r>
        <w:rPr>
          <w:rFonts w:cs="Times New Roman" w:hint="eastAsia"/>
          <w:color w:val="000000" w:themeColor="text1"/>
        </w:rPr>
        <w:t>，按</w:t>
      </w:r>
      <w:r>
        <w:rPr>
          <w:rFonts w:cs="Times New Roman" w:hint="eastAsia"/>
          <w:color w:val="000000" w:themeColor="text1"/>
        </w:rPr>
        <w:t>483m</w:t>
      </w:r>
      <w:r w:rsidRPr="007B7F59">
        <w:rPr>
          <w:rFonts w:cs="Times New Roman" w:hint="eastAsia"/>
          <w:color w:val="000000" w:themeColor="text1"/>
          <w:vertAlign w:val="superscript"/>
        </w:rPr>
        <w:t>3</w:t>
      </w:r>
      <w:r>
        <w:rPr>
          <w:rFonts w:cs="Times New Roman" w:hint="eastAsia"/>
          <w:color w:val="000000" w:themeColor="text1"/>
        </w:rPr>
        <w:t>计。</w:t>
      </w:r>
    </w:p>
    <w:p w:rsidR="00644456" w:rsidRPr="00AC71A6" w:rsidRDefault="008031C4">
      <w:pPr>
        <w:pStyle w:val="-"/>
        <w:snapToGrid w:val="0"/>
        <w:ind w:firstLine="482"/>
        <w:rPr>
          <w:rFonts w:cs="Times New Roman"/>
          <w:b/>
          <w:bCs/>
          <w:color w:val="FF0000"/>
        </w:rPr>
      </w:pPr>
      <w:r w:rsidRPr="00AC71A6">
        <w:rPr>
          <w:rFonts w:cs="Times New Roman" w:hint="eastAsia"/>
          <w:b/>
          <w:bCs/>
          <w:color w:val="FF0000"/>
        </w:rPr>
        <w:t>根据设计，本项目的事故池的有效容积为</w:t>
      </w:r>
      <w:r w:rsidRPr="00AC71A6">
        <w:rPr>
          <w:rFonts w:cs="Times New Roman" w:hint="eastAsia"/>
          <w:b/>
          <w:bCs/>
          <w:color w:val="FF0000"/>
        </w:rPr>
        <w:t>663m</w:t>
      </w:r>
      <w:r w:rsidRPr="00AC71A6">
        <w:rPr>
          <w:rFonts w:cs="Times New Roman" w:hint="eastAsia"/>
          <w:b/>
          <w:bCs/>
          <w:color w:val="FF0000"/>
          <w:vertAlign w:val="superscript"/>
        </w:rPr>
        <w:t>3</w:t>
      </w:r>
      <w:r w:rsidRPr="00AC71A6">
        <w:rPr>
          <w:rFonts w:cs="Times New Roman" w:hint="eastAsia"/>
          <w:b/>
          <w:bCs/>
          <w:color w:val="FF0000"/>
        </w:rPr>
        <w:t>，本次建议项目配置</w:t>
      </w:r>
      <w:r w:rsidRPr="00AC71A6">
        <w:rPr>
          <w:rFonts w:cs="Times New Roman" w:hint="eastAsia"/>
          <w:b/>
          <w:bCs/>
          <w:color w:val="FF0000"/>
        </w:rPr>
        <w:t>700m</w:t>
      </w:r>
      <w:r w:rsidRPr="00AC71A6">
        <w:rPr>
          <w:rFonts w:cs="Times New Roman" w:hint="eastAsia"/>
          <w:b/>
          <w:bCs/>
          <w:color w:val="FF0000"/>
          <w:vertAlign w:val="superscript"/>
        </w:rPr>
        <w:t>3</w:t>
      </w:r>
      <w:r w:rsidRPr="00AC71A6">
        <w:rPr>
          <w:rFonts w:cs="Times New Roman" w:hint="eastAsia"/>
          <w:b/>
          <w:bCs/>
          <w:color w:val="FF0000"/>
        </w:rPr>
        <w:t>的事故池，位于生产区的南侧，设置厂区雨水总排口设切断装置，事故时将总排口切断可将事故废水控制在厂界内，做到事故状况下的废水全部收集不外排。</w:t>
      </w:r>
    </w:p>
    <w:p w:rsidR="00644456" w:rsidRDefault="008031C4">
      <w:pPr>
        <w:pStyle w:val="-"/>
        <w:snapToGrid w:val="0"/>
        <w:ind w:firstLine="480"/>
        <w:rPr>
          <w:rFonts w:cs="Times New Roman"/>
          <w:color w:val="000000" w:themeColor="text1"/>
        </w:rPr>
      </w:pPr>
      <w:r>
        <w:rPr>
          <w:rFonts w:cs="Times New Roman" w:hint="eastAsia"/>
          <w:color w:val="000000" w:themeColor="text1"/>
        </w:rPr>
        <w:t>装卸车区、原料油罐组、成品油罐组、润滑油生产装置区等周边设有截水沟，事故发生后，可确保污染物可全部通过废水收集系统进入事故池，不会出现泄漏的物料漫流的情况。</w:t>
      </w:r>
    </w:p>
    <w:p w:rsidR="00644456" w:rsidRDefault="008031C4">
      <w:pPr>
        <w:pStyle w:val="-"/>
        <w:snapToGrid w:val="0"/>
        <w:ind w:firstLine="480"/>
        <w:rPr>
          <w:rFonts w:cs="Times New Roman"/>
          <w:color w:val="000000" w:themeColor="text1"/>
        </w:rPr>
      </w:pPr>
      <w:r>
        <w:rPr>
          <w:rFonts w:cs="Times New Roman" w:hint="eastAsia"/>
          <w:color w:val="000000" w:themeColor="text1"/>
        </w:rPr>
        <w:t>在发生事故的情况下，配备的相关设施有能力将事故废水全部转移到事故水池中，不会发生消防废水外溢或泄漏到环境中。</w:t>
      </w:r>
    </w:p>
    <w:p w:rsidR="00644456" w:rsidRDefault="008031C4">
      <w:pPr>
        <w:pStyle w:val="-"/>
        <w:snapToGrid w:val="0"/>
        <w:ind w:firstLine="480"/>
        <w:rPr>
          <w:rFonts w:cs="Times New Roman"/>
          <w:color w:val="000000" w:themeColor="text1"/>
        </w:rPr>
      </w:pPr>
      <w:r>
        <w:rPr>
          <w:rFonts w:cs="Times New Roman" w:hint="eastAsia"/>
          <w:color w:val="000000" w:themeColor="text1"/>
        </w:rPr>
        <w:lastRenderedPageBreak/>
        <w:t>事故状态下产生的废水、废液应收集到事故水池中，同时应准备必要的设施确保事故状态下能及时封堵厂区内外流地沟，切断排放口与外部环境之间的联系，防止污染介质外流扩散造成区域土壤、地下水的大面积环境污染。事故废水经污水处理设施处理后全部回用。</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3</w:t>
      </w:r>
      <w:r>
        <w:rPr>
          <w:rFonts w:cs="Times New Roman" w:hint="eastAsia"/>
          <w:color w:val="000000" w:themeColor="text1"/>
        </w:rPr>
        <w:t>）三级防控体系</w:t>
      </w:r>
    </w:p>
    <w:p w:rsidR="00644456" w:rsidRDefault="008031C4">
      <w:pPr>
        <w:pStyle w:val="-"/>
        <w:snapToGrid w:val="0"/>
        <w:ind w:firstLine="480"/>
        <w:rPr>
          <w:rFonts w:cs="Times New Roman"/>
          <w:color w:val="000000" w:themeColor="text1"/>
        </w:rPr>
      </w:pPr>
      <w:r>
        <w:rPr>
          <w:rFonts w:cs="Times New Roman" w:hint="eastAsia"/>
          <w:color w:val="000000" w:themeColor="text1"/>
        </w:rPr>
        <w:t>本项目不单独设置雨排口，在厂区污水总排放口处设置切断阀门，一旦围堰及事故水池不能容纳事故水，将关闭污水总排放口的切断阀门，确保事故水控制在厂区不外排。</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4</w:t>
      </w:r>
      <w:r>
        <w:rPr>
          <w:rFonts w:cs="Times New Roman" w:hint="eastAsia"/>
          <w:color w:val="000000" w:themeColor="text1"/>
        </w:rPr>
        <w:t>）事故废水收集处理过程说明</w:t>
      </w:r>
    </w:p>
    <w:p w:rsidR="00644456" w:rsidRDefault="008031C4">
      <w:pPr>
        <w:pStyle w:val="-"/>
        <w:snapToGrid w:val="0"/>
        <w:ind w:firstLine="480"/>
        <w:rPr>
          <w:rFonts w:cs="Times New Roman"/>
          <w:color w:val="000000" w:themeColor="text1"/>
        </w:rPr>
      </w:pPr>
      <w:r>
        <w:rPr>
          <w:rFonts w:cs="Times New Roman" w:hint="eastAsia"/>
          <w:color w:val="000000" w:themeColor="text1"/>
        </w:rPr>
        <w:t>①当装置区、贮存区发生泄漏、火灾、爆炸事故时，首先切断厂区污水总排口，事故废水、消防水经过废水收集系统进入事故水池，事故时的雨污水收集至事故水池。</w:t>
      </w:r>
    </w:p>
    <w:p w:rsidR="00644456" w:rsidRDefault="008031C4">
      <w:pPr>
        <w:pStyle w:val="-"/>
        <w:snapToGrid w:val="0"/>
        <w:ind w:firstLine="480"/>
        <w:rPr>
          <w:rFonts w:cs="Times New Roman"/>
          <w:color w:val="000000" w:themeColor="text1"/>
        </w:rPr>
      </w:pPr>
      <w:r>
        <w:rPr>
          <w:rFonts w:cs="Times New Roman" w:hint="eastAsia"/>
          <w:color w:val="000000" w:themeColor="text1"/>
        </w:rPr>
        <w:t>②事故处理结束后，首先对事故水池中的废水进行检测，确定废水水质情况，处理后回用。</w:t>
      </w:r>
    </w:p>
    <w:p w:rsidR="00644456" w:rsidRDefault="008031C4">
      <w:pPr>
        <w:pStyle w:val="-"/>
        <w:snapToGrid w:val="0"/>
        <w:ind w:firstLine="480"/>
        <w:rPr>
          <w:rFonts w:cs="Times New Roman"/>
          <w:color w:val="000000" w:themeColor="text1"/>
        </w:rPr>
      </w:pPr>
      <w:r>
        <w:rPr>
          <w:rFonts w:cs="Times New Roman" w:hint="eastAsia"/>
          <w:color w:val="000000" w:themeColor="text1"/>
        </w:rPr>
        <w:t>事故废水进入外环境的控制、封堵示意图见图</w:t>
      </w:r>
      <w:r>
        <w:rPr>
          <w:rFonts w:cs="Times New Roman" w:hint="eastAsia"/>
          <w:color w:val="000000" w:themeColor="text1"/>
        </w:rPr>
        <w:t>5.7.7-1</w:t>
      </w:r>
      <w:r>
        <w:rPr>
          <w:rFonts w:cs="Times New Roman" w:hint="eastAsia"/>
          <w:color w:val="000000" w:themeColor="text1"/>
        </w:rPr>
        <w:t>。</w:t>
      </w:r>
    </w:p>
    <w:p w:rsidR="00644456" w:rsidRDefault="008031C4">
      <w:pPr>
        <w:pStyle w:val="-"/>
        <w:snapToGrid w:val="0"/>
        <w:ind w:firstLine="480"/>
      </w:pPr>
      <w:r>
        <w:rPr>
          <w:noProof/>
        </w:rPr>
        <w:drawing>
          <wp:inline distT="0" distB="0" distL="114300" distR="114300" wp14:anchorId="1844D6CD" wp14:editId="23F14227">
            <wp:extent cx="5487035" cy="2898775"/>
            <wp:effectExtent l="0" t="0" r="18415" b="15875"/>
            <wp:docPr id="6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6"/>
                    <pic:cNvPicPr>
                      <a:picLocks noChangeAspect="1"/>
                    </pic:cNvPicPr>
                  </pic:nvPicPr>
                  <pic:blipFill>
                    <a:blip r:embed="rId103"/>
                    <a:stretch>
                      <a:fillRect/>
                    </a:stretch>
                  </pic:blipFill>
                  <pic:spPr>
                    <a:xfrm>
                      <a:off x="0" y="0"/>
                      <a:ext cx="5487035" cy="2898775"/>
                    </a:xfrm>
                    <a:prstGeom prst="rect">
                      <a:avLst/>
                    </a:prstGeom>
                    <a:noFill/>
                    <a:ln>
                      <a:noFill/>
                    </a:ln>
                  </pic:spPr>
                </pic:pic>
              </a:graphicData>
            </a:graphic>
          </wp:inline>
        </w:drawing>
      </w:r>
    </w:p>
    <w:p w:rsidR="00644456" w:rsidRDefault="00644456">
      <w:pPr>
        <w:pStyle w:val="-"/>
        <w:snapToGrid w:val="0"/>
        <w:ind w:firstLine="480"/>
      </w:pPr>
    </w:p>
    <w:p w:rsidR="00644456" w:rsidRDefault="008031C4">
      <w:pPr>
        <w:widowControl/>
        <w:jc w:val="center"/>
        <w:rPr>
          <w:rFonts w:cs="Times New Roman"/>
          <w:b/>
          <w:color w:val="000000" w:themeColor="text1"/>
          <w:sz w:val="24"/>
          <w:szCs w:val="20"/>
        </w:rPr>
      </w:pPr>
      <w:r>
        <w:rPr>
          <w:rFonts w:cs="Times New Roman" w:hint="eastAsia"/>
          <w:b/>
          <w:color w:val="000000" w:themeColor="text1"/>
          <w:sz w:val="24"/>
          <w:szCs w:val="20"/>
        </w:rPr>
        <w:t>图</w:t>
      </w:r>
      <w:r>
        <w:rPr>
          <w:rFonts w:cs="Times New Roman" w:hint="eastAsia"/>
          <w:b/>
          <w:color w:val="000000" w:themeColor="text1"/>
          <w:sz w:val="24"/>
          <w:szCs w:val="20"/>
        </w:rPr>
        <w:t>7.8-1</w:t>
      </w:r>
      <w:r>
        <w:rPr>
          <w:rFonts w:cs="Times New Roman" w:hint="eastAsia"/>
          <w:b/>
          <w:color w:val="000000" w:themeColor="text1"/>
          <w:sz w:val="24"/>
          <w:szCs w:val="20"/>
        </w:rPr>
        <w:t>事故废水进入外环境的控制、封堵示意图</w:t>
      </w:r>
    </w:p>
    <w:p w:rsidR="00644456" w:rsidRDefault="008031C4">
      <w:pPr>
        <w:pStyle w:val="3"/>
        <w:numPr>
          <w:ilvl w:val="2"/>
          <w:numId w:val="0"/>
        </w:numPr>
        <w:ind w:firstLineChars="200" w:firstLine="482"/>
      </w:pPr>
      <w:r>
        <w:rPr>
          <w:rFonts w:hint="eastAsia"/>
        </w:rPr>
        <w:t>7.8.2</w:t>
      </w:r>
      <w:r>
        <w:rPr>
          <w:rFonts w:hint="eastAsia"/>
        </w:rPr>
        <w:t>环境风险管理及防范措施</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7.8.2.1</w:t>
      </w:r>
      <w:r>
        <w:rPr>
          <w:rFonts w:cs="Times New Roman" w:hint="eastAsia"/>
          <w:snapToGrid w:val="0"/>
          <w:color w:val="000000" w:themeColor="text1"/>
          <w:kern w:val="0"/>
          <w:szCs w:val="24"/>
        </w:rPr>
        <w:t>总体布局防范措施</w:t>
      </w:r>
    </w:p>
    <w:p w:rsidR="00644456" w:rsidRDefault="008031C4">
      <w:pPr>
        <w:pStyle w:val="-"/>
        <w:snapToGrid w:val="0"/>
        <w:ind w:firstLine="480"/>
        <w:rPr>
          <w:rFonts w:cs="Times New Roman"/>
          <w:color w:val="000000" w:themeColor="text1"/>
        </w:rPr>
      </w:pPr>
      <w:r>
        <w:rPr>
          <w:rFonts w:cs="Times New Roman" w:hint="eastAsia"/>
          <w:color w:val="000000" w:themeColor="text1"/>
        </w:rPr>
        <w:t>总图布置严格执行国家有关部门现行的设计规范、规定及标准。各生产装置之间严格按防火防爆间距布置，在设计、建设和运行过程中，科学规划、合理布置，采取必要的分隔及相应的防火、防爆等安全防护措施，厂房及建筑物按规定等级设计。</w:t>
      </w:r>
    </w:p>
    <w:p w:rsidR="00644456" w:rsidRDefault="008031C4">
      <w:pPr>
        <w:pStyle w:val="-"/>
        <w:snapToGrid w:val="0"/>
        <w:ind w:firstLine="480"/>
        <w:rPr>
          <w:rFonts w:cs="Times New Roman"/>
          <w:color w:val="000000" w:themeColor="text1"/>
        </w:rPr>
      </w:pPr>
      <w:r>
        <w:rPr>
          <w:rFonts w:cs="Times New Roman" w:hint="eastAsia"/>
          <w:color w:val="000000" w:themeColor="text1"/>
        </w:rPr>
        <w:lastRenderedPageBreak/>
        <w:t>合理划分管理区、工艺生产区、辅助生产区及储运设施区，各区按其危害程度采取相应的安全防范措施进行管理。合理组织人流和货流，结合交通、消防的需要，生产装置区周围设置环形消防道，以满足工艺流程、厂内外运输、检修及生产管理的要求。</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7.8.2.2</w:t>
      </w:r>
      <w:r>
        <w:rPr>
          <w:rFonts w:cs="Times New Roman" w:hint="eastAsia"/>
          <w:snapToGrid w:val="0"/>
          <w:color w:val="000000" w:themeColor="text1"/>
          <w:kern w:val="0"/>
          <w:szCs w:val="24"/>
        </w:rPr>
        <w:t>生产装置区及储运风险防范措施</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color w:val="000000" w:themeColor="text1"/>
        </w:rPr>
        <w:t>1</w:t>
      </w:r>
      <w:r>
        <w:rPr>
          <w:rFonts w:cs="Times New Roman" w:hint="eastAsia"/>
          <w:color w:val="000000" w:themeColor="text1"/>
        </w:rPr>
        <w:t>）在建构筑物的单体设计中，严格按照要求的耐火等级、防爆等级，在结构形式上，材料选用上满足防火、防爆要求。各装置均设置应急事故照明和消防设备等。</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color w:val="000000" w:themeColor="text1"/>
        </w:rPr>
        <w:t>2</w:t>
      </w:r>
      <w:r>
        <w:rPr>
          <w:rFonts w:cs="Times New Roman" w:hint="eastAsia"/>
          <w:color w:val="000000" w:themeColor="text1"/>
        </w:rPr>
        <w:t>）加强巡查管理，及时发现泄漏情况便于及时处理。</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color w:val="000000" w:themeColor="text1"/>
        </w:rPr>
        <w:t>3</w:t>
      </w:r>
      <w:r>
        <w:rPr>
          <w:rFonts w:cs="Times New Roman" w:hint="eastAsia"/>
          <w:color w:val="000000" w:themeColor="text1"/>
        </w:rPr>
        <w:t>）在生产车间内配备必要的消防器材及消防工具，如手提式干粉灭火器、泡沫灭火器、二氧化碳灭火器、推车式泡沫灭火器、消防沙等，对这些器材应配备专人保管，定期检查，以备事故时急用。</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color w:val="000000" w:themeColor="text1"/>
        </w:rPr>
        <w:t>4</w:t>
      </w:r>
      <w:r>
        <w:rPr>
          <w:rFonts w:cs="Times New Roman" w:hint="eastAsia"/>
          <w:color w:val="000000" w:themeColor="text1"/>
        </w:rPr>
        <w:t>）生产现场设置事故照明、安全疏散指示标志；转动设备外露转动部分设防护罩加以保护。</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color w:val="000000" w:themeColor="text1"/>
        </w:rPr>
        <w:t>5</w:t>
      </w:r>
      <w:r>
        <w:rPr>
          <w:rFonts w:cs="Times New Roman" w:hint="eastAsia"/>
          <w:color w:val="000000" w:themeColor="text1"/>
        </w:rPr>
        <w:t>）对运转设备机泵、阀门、管道材质的选型选用先进、可靠的产品。同时应加强生产过程中设备与管道系统的管理与维修，使生产系统处于密闭化，严禁跑、冒、滴、漏现象的发生。</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color w:val="000000" w:themeColor="text1"/>
        </w:rPr>
        <w:t>6</w:t>
      </w:r>
      <w:r>
        <w:rPr>
          <w:rFonts w:cs="Times New Roman" w:hint="eastAsia"/>
          <w:color w:val="000000" w:themeColor="text1"/>
        </w:rPr>
        <w:t>）消防器材按安全规定放置。消防器材设置在明显和便于取用的地点，周围不准堆放物品及杂物。消防器材有专人管理、负责、检查、修理、保养、更换和添置，保证完好存放。</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7</w:t>
      </w:r>
      <w:r>
        <w:rPr>
          <w:rFonts w:cs="Times New Roman" w:hint="eastAsia"/>
          <w:color w:val="000000" w:themeColor="text1"/>
        </w:rPr>
        <w:t>）操作人员不得穿戴易产生静电的工作服，不得使用易产生火花的工具。</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7.8.2.3</w:t>
      </w:r>
      <w:r>
        <w:rPr>
          <w:rFonts w:cs="Times New Roman" w:hint="eastAsia"/>
          <w:snapToGrid w:val="0"/>
          <w:color w:val="000000" w:themeColor="text1"/>
          <w:kern w:val="0"/>
          <w:szCs w:val="24"/>
        </w:rPr>
        <w:t>运输风险防范与管理措施</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hint="eastAsia"/>
          <w:color w:val="000000" w:themeColor="text1"/>
        </w:rPr>
        <w:t>）危险废物、危险化学品运输应由持有危险废物经营许可证、危化品运输资质的单位按照其许可证的经营范围组织实施，承担危险废物运输的单位应获得交通运输部门颁发的危险货物运输资质。</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2</w:t>
      </w:r>
      <w:r>
        <w:rPr>
          <w:rFonts w:cs="Times New Roman" w:hint="eastAsia"/>
          <w:color w:val="000000" w:themeColor="text1"/>
        </w:rPr>
        <w:t>）危险废物、危险化学品公路运输应按照《道路危险货物运输管理规定》（</w:t>
      </w:r>
      <w:r>
        <w:rPr>
          <w:rFonts w:cs="Times New Roman" w:hint="eastAsia"/>
          <w:color w:val="000000" w:themeColor="text1"/>
        </w:rPr>
        <w:t>2019</w:t>
      </w:r>
      <w:r>
        <w:rPr>
          <w:rFonts w:cs="Times New Roman" w:hint="eastAsia"/>
          <w:color w:val="000000" w:themeColor="text1"/>
        </w:rPr>
        <w:t>年修订）、</w:t>
      </w:r>
      <w:r>
        <w:rPr>
          <w:rFonts w:cs="Times New Roman" w:hint="eastAsia"/>
          <w:color w:val="000000" w:themeColor="text1"/>
        </w:rPr>
        <w:t>JT617</w:t>
      </w:r>
      <w:r>
        <w:rPr>
          <w:rFonts w:cs="Times New Roman" w:hint="eastAsia"/>
          <w:color w:val="000000" w:themeColor="text1"/>
        </w:rPr>
        <w:t>以及</w:t>
      </w:r>
      <w:r>
        <w:rPr>
          <w:rFonts w:cs="Times New Roman" w:hint="eastAsia"/>
          <w:color w:val="000000" w:themeColor="text1"/>
        </w:rPr>
        <w:t>JT618</w:t>
      </w:r>
      <w:r>
        <w:rPr>
          <w:rFonts w:cs="Times New Roman" w:hint="eastAsia"/>
          <w:color w:val="000000" w:themeColor="text1"/>
        </w:rPr>
        <w:t>执行。</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3</w:t>
      </w:r>
      <w:r>
        <w:rPr>
          <w:rFonts w:cs="Times New Roman" w:hint="eastAsia"/>
          <w:color w:val="000000" w:themeColor="text1"/>
        </w:rPr>
        <w:t>）危险化学品的运输应执行《危险化学品安全管理条例》有关运输的规定。</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4</w:t>
      </w:r>
      <w:r>
        <w:rPr>
          <w:rFonts w:cs="Times New Roman" w:hint="eastAsia"/>
          <w:color w:val="000000" w:themeColor="text1"/>
        </w:rPr>
        <w:t>）运输单位承运危险废物、危险化学品时，应在包装上按照</w:t>
      </w:r>
      <w:r>
        <w:rPr>
          <w:rFonts w:cs="Times New Roman" w:hint="eastAsia"/>
          <w:color w:val="000000" w:themeColor="text1"/>
        </w:rPr>
        <w:t>GB18597</w:t>
      </w:r>
      <w:r>
        <w:rPr>
          <w:rFonts w:cs="Times New Roman" w:hint="eastAsia"/>
          <w:color w:val="000000" w:themeColor="text1"/>
        </w:rPr>
        <w:t>附录</w:t>
      </w:r>
      <w:r>
        <w:rPr>
          <w:rFonts w:cs="Times New Roman" w:hint="eastAsia"/>
          <w:color w:val="000000" w:themeColor="text1"/>
        </w:rPr>
        <w:t>A</w:t>
      </w:r>
      <w:r>
        <w:rPr>
          <w:rFonts w:cs="Times New Roman" w:hint="eastAsia"/>
          <w:color w:val="000000" w:themeColor="text1"/>
        </w:rPr>
        <w:t>设置标志。</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5</w:t>
      </w:r>
      <w:r>
        <w:rPr>
          <w:rFonts w:cs="Times New Roman" w:hint="eastAsia"/>
          <w:color w:val="000000" w:themeColor="text1"/>
        </w:rPr>
        <w:t>）危险废物、危险化学品公路运输时，运输车辆应按</w:t>
      </w:r>
      <w:r>
        <w:rPr>
          <w:rFonts w:cs="Times New Roman" w:hint="eastAsia"/>
          <w:color w:val="000000" w:themeColor="text1"/>
        </w:rPr>
        <w:t>GB13392</w:t>
      </w:r>
      <w:r>
        <w:rPr>
          <w:rFonts w:cs="Times New Roman" w:hint="eastAsia"/>
          <w:color w:val="000000" w:themeColor="text1"/>
        </w:rPr>
        <w:t>设置车辆标志。</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lastRenderedPageBreak/>
        <w:t>7.8.2.4</w:t>
      </w:r>
      <w:r>
        <w:rPr>
          <w:rFonts w:cs="Times New Roman" w:hint="eastAsia"/>
          <w:snapToGrid w:val="0"/>
          <w:color w:val="000000" w:themeColor="text1"/>
          <w:kern w:val="0"/>
          <w:szCs w:val="24"/>
        </w:rPr>
        <w:t>消防、防毒、防渗</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hint="eastAsia"/>
          <w:color w:val="000000" w:themeColor="text1"/>
        </w:rPr>
        <w:t>）按规范设置消防系统，车间内配备相应灭火器具。</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2</w:t>
      </w:r>
      <w:r>
        <w:rPr>
          <w:rFonts w:cs="Times New Roman" w:hint="eastAsia"/>
          <w:color w:val="000000" w:themeColor="text1"/>
        </w:rPr>
        <w:t>）消防冷却水系统：根据《石油化工企业设计防火规范》（</w:t>
      </w:r>
      <w:r>
        <w:rPr>
          <w:rFonts w:cs="Times New Roman" w:hint="eastAsia"/>
          <w:color w:val="000000" w:themeColor="text1"/>
        </w:rPr>
        <w:t>GB50160-2008</w:t>
      </w:r>
      <w:r>
        <w:rPr>
          <w:rFonts w:cs="Times New Roman" w:hint="eastAsia"/>
          <w:color w:val="000000" w:themeColor="text1"/>
        </w:rPr>
        <w:t>），消防用水量按本项目中最大罐区计算，设计消防水量</w:t>
      </w:r>
      <w:r>
        <w:rPr>
          <w:rFonts w:cs="Times New Roman" w:hint="eastAsia"/>
          <w:color w:val="000000" w:themeColor="text1"/>
        </w:rPr>
        <w:t>40L/s</w:t>
      </w:r>
      <w:r>
        <w:rPr>
          <w:rFonts w:cs="Times New Roman" w:hint="eastAsia"/>
          <w:color w:val="000000" w:themeColor="text1"/>
        </w:rPr>
        <w:t>，火灾延续供水时间</w:t>
      </w:r>
      <w:r>
        <w:rPr>
          <w:rFonts w:cs="Times New Roman" w:hint="eastAsia"/>
          <w:color w:val="000000" w:themeColor="text1"/>
        </w:rPr>
        <w:t>3h</w:t>
      </w:r>
      <w:r>
        <w:rPr>
          <w:rFonts w:cs="Times New Roman" w:hint="eastAsia"/>
          <w:color w:val="000000" w:themeColor="text1"/>
        </w:rPr>
        <w:t>，一次最大消防用水量</w:t>
      </w:r>
      <w:r>
        <w:rPr>
          <w:rFonts w:cs="Times New Roman" w:hint="eastAsia"/>
          <w:color w:val="000000" w:themeColor="text1"/>
        </w:rPr>
        <w:t>432m</w:t>
      </w:r>
      <w:r>
        <w:rPr>
          <w:rFonts w:cs="Times New Roman" w:hint="eastAsia"/>
          <w:color w:val="000000" w:themeColor="text1"/>
        </w:rPr>
        <w:t>³，不考虑消防时同时补水。消防主要灭火对象为储罐区及其附属设施。</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3</w:t>
      </w:r>
      <w:r>
        <w:rPr>
          <w:rFonts w:cs="Times New Roman" w:hint="eastAsia"/>
          <w:color w:val="000000" w:themeColor="text1"/>
        </w:rPr>
        <w:t>）消防泡沫系统：根据《石油化工企业设计防火规范》（</w:t>
      </w:r>
      <w:r>
        <w:rPr>
          <w:rFonts w:cs="Times New Roman" w:hint="eastAsia"/>
          <w:color w:val="000000" w:themeColor="text1"/>
        </w:rPr>
        <w:t>GB50160-2008</w:t>
      </w:r>
      <w:r>
        <w:rPr>
          <w:rFonts w:cs="Times New Roman" w:hint="eastAsia"/>
          <w:color w:val="000000" w:themeColor="text1"/>
        </w:rPr>
        <w:t>）要求，罐区设半固定泡沫灭火系统。泡沫混合液供给强度</w:t>
      </w:r>
      <w:r>
        <w:rPr>
          <w:rFonts w:cs="Times New Roman" w:hint="eastAsia"/>
          <w:color w:val="000000" w:themeColor="text1"/>
        </w:rPr>
        <w:t>5.0L/min.m</w:t>
      </w:r>
      <w:r>
        <w:rPr>
          <w:rFonts w:cs="Times New Roman" w:hint="eastAsia"/>
          <w:color w:val="000000" w:themeColor="text1"/>
        </w:rPr>
        <w:t>，供给流量</w:t>
      </w:r>
      <w:r>
        <w:rPr>
          <w:rFonts w:cs="Times New Roman" w:hint="eastAsia"/>
          <w:color w:val="000000" w:themeColor="text1"/>
        </w:rPr>
        <w:t>12.4L/s</w:t>
      </w:r>
      <w:r>
        <w:rPr>
          <w:rFonts w:cs="Times New Roman" w:hint="eastAsia"/>
          <w:color w:val="000000" w:themeColor="text1"/>
        </w:rPr>
        <w:t>，连续供给时间</w:t>
      </w:r>
      <w:r>
        <w:rPr>
          <w:rFonts w:cs="Times New Roman" w:hint="eastAsia"/>
          <w:color w:val="000000" w:themeColor="text1"/>
        </w:rPr>
        <w:t>30min</w:t>
      </w:r>
      <w:r>
        <w:rPr>
          <w:rFonts w:cs="Times New Roman" w:hint="eastAsia"/>
          <w:color w:val="000000" w:themeColor="text1"/>
        </w:rPr>
        <w:t>。</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4</w:t>
      </w:r>
      <w:r>
        <w:rPr>
          <w:rFonts w:cs="Times New Roman" w:hint="eastAsia"/>
          <w:color w:val="000000" w:themeColor="text1"/>
        </w:rPr>
        <w:t>）在罐区周围环状消防冷却水管道上设消火栓，并在消火栓旁设消防器材箱，箱内配备</w:t>
      </w:r>
      <w:r>
        <w:rPr>
          <w:rFonts w:cs="Times New Roman" w:hint="eastAsia"/>
          <w:color w:val="000000" w:themeColor="text1"/>
        </w:rPr>
        <w:t>3</w:t>
      </w:r>
      <w:r>
        <w:rPr>
          <w:rFonts w:cs="Times New Roman" w:hint="eastAsia"/>
          <w:color w:val="000000" w:themeColor="text1"/>
        </w:rPr>
        <w:t>盘衬胶水带（有快速接口的），消火栓配</w:t>
      </w:r>
      <w:r>
        <w:rPr>
          <w:rFonts w:cs="Times New Roman" w:hint="eastAsia"/>
          <w:color w:val="000000" w:themeColor="text1"/>
        </w:rPr>
        <w:t>2</w:t>
      </w:r>
      <w:r>
        <w:rPr>
          <w:rFonts w:cs="Times New Roman" w:hint="eastAsia"/>
          <w:color w:val="000000" w:themeColor="text1"/>
        </w:rPr>
        <w:t>支直径水枪。在罐区内设</w:t>
      </w:r>
      <w:r>
        <w:rPr>
          <w:rFonts w:cs="Times New Roman" w:hint="eastAsia"/>
          <w:color w:val="000000" w:themeColor="text1"/>
        </w:rPr>
        <w:t>MF8</w:t>
      </w:r>
      <w:r>
        <w:rPr>
          <w:rFonts w:cs="Times New Roman" w:hint="eastAsia"/>
          <w:color w:val="000000" w:themeColor="text1"/>
        </w:rPr>
        <w:t>手提式干粉灭火器，配置灭火砂、灭火毯。装卸区也按规范配置一定数量的干粉灭火器。生产区域主要依靠移动消火栓系统进行消防，管网沿消防道路环状布置，每</w:t>
      </w:r>
      <w:r>
        <w:rPr>
          <w:rFonts w:cs="Times New Roman" w:hint="eastAsia"/>
          <w:color w:val="000000" w:themeColor="text1"/>
        </w:rPr>
        <w:t>60m</w:t>
      </w:r>
      <w:r>
        <w:rPr>
          <w:rFonts w:cs="Times New Roman" w:hint="eastAsia"/>
          <w:color w:val="000000" w:themeColor="text1"/>
        </w:rPr>
        <w:t>设一地上消火栓一个，栓旁设消防箱，配置同罐区，并设</w:t>
      </w:r>
      <w:r>
        <w:rPr>
          <w:rFonts w:cs="Times New Roman" w:hint="eastAsia"/>
          <w:color w:val="000000" w:themeColor="text1"/>
        </w:rPr>
        <w:t>2</w:t>
      </w:r>
      <w:r>
        <w:rPr>
          <w:rFonts w:cs="Times New Roman" w:hint="eastAsia"/>
          <w:color w:val="000000" w:themeColor="text1"/>
        </w:rPr>
        <w:t>台移动水炮。</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5</w:t>
      </w:r>
      <w:r>
        <w:rPr>
          <w:rFonts w:cs="Times New Roman" w:hint="eastAsia"/>
          <w:color w:val="000000" w:themeColor="text1"/>
        </w:rPr>
        <w:t>）消防泵组必须定期运行，保证常年处于完好状态。每天定期将消防水池与消防冷却水管道之间的连通阀打开，以保证消防水池处于充水状态。</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6</w:t>
      </w:r>
      <w:r>
        <w:rPr>
          <w:rFonts w:cs="Times New Roman" w:hint="eastAsia"/>
          <w:color w:val="000000" w:themeColor="text1"/>
        </w:rPr>
        <w:t>）加强设备的维护与管理，严禁跑、冒、滴、漏现象的发生，公司配置消防炮、灭火器、防火服、自给式呼吸器、防毒面具、防护眼镜、防护手套、防护鞋、防护服等、急救药箱等消防急救设施。</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7</w:t>
      </w:r>
      <w:r>
        <w:rPr>
          <w:rFonts w:cs="Times New Roman" w:hint="eastAsia"/>
          <w:color w:val="000000" w:themeColor="text1"/>
        </w:rPr>
        <w:t>）人员配备有毒有害易燃气体检测仪，发现泄漏问题及时解决，定期开展设备与管线组件泄漏检测与修复工作。在厂区周边或罐区设置有毒有害易燃气体监控报警系统，及时监控和防范有毒有害气体泄漏。对接触有毒岗位的作业人员定期进行体检，建立职工健康档案卡，加强对职业病的防治工作。</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8</w:t>
      </w:r>
      <w:r>
        <w:rPr>
          <w:rFonts w:cs="Times New Roman" w:hint="eastAsia"/>
          <w:color w:val="000000" w:themeColor="text1"/>
        </w:rPr>
        <w:t>）按规范对电气设备设置过载、过电流、短路等电气保护装置，并采取漏电保护措施。</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9</w:t>
      </w:r>
      <w:r>
        <w:rPr>
          <w:rFonts w:cs="Times New Roman" w:hint="eastAsia"/>
          <w:color w:val="000000" w:themeColor="text1"/>
        </w:rPr>
        <w:t>）严格分区防渗措施，项目生产车间、危废暂存间、一般固废暂存间储罐区、危化品仓库、含油污水处理站、事故水池、初期雨水池、储存区（储罐区）、循环水池、地磅等均应严格按照《危险废物贮存污染控制标准》（</w:t>
      </w:r>
      <w:r>
        <w:rPr>
          <w:rFonts w:cs="Times New Roman" w:hint="eastAsia"/>
          <w:color w:val="000000" w:themeColor="text1"/>
        </w:rPr>
        <w:t>GB18597-2023</w:t>
      </w:r>
      <w:r>
        <w:rPr>
          <w:rFonts w:cs="Times New Roman" w:hint="eastAsia"/>
          <w:color w:val="000000" w:themeColor="text1"/>
        </w:rPr>
        <w:t>）的要求做好防腐、防渗措施，基地压实后，采用至少</w:t>
      </w:r>
      <w:r>
        <w:rPr>
          <w:rFonts w:cs="Times New Roman" w:hint="eastAsia"/>
          <w:color w:val="000000" w:themeColor="text1"/>
        </w:rPr>
        <w:t>1m</w:t>
      </w:r>
      <w:r>
        <w:rPr>
          <w:rFonts w:cs="Times New Roman" w:hint="eastAsia"/>
          <w:color w:val="000000" w:themeColor="text1"/>
        </w:rPr>
        <w:t>厚粘土层（渗透系数≤</w:t>
      </w:r>
      <w:r>
        <w:rPr>
          <w:rFonts w:cs="Times New Roman" w:hint="eastAsia"/>
          <w:color w:val="000000" w:themeColor="text1"/>
        </w:rPr>
        <w:t>10-7cm/s</w:t>
      </w:r>
      <w:r>
        <w:rPr>
          <w:rFonts w:cs="Times New Roman" w:hint="eastAsia"/>
          <w:color w:val="000000" w:themeColor="text1"/>
        </w:rPr>
        <w:t>），或至少</w:t>
      </w:r>
      <w:r>
        <w:rPr>
          <w:rFonts w:cs="Times New Roman" w:hint="eastAsia"/>
          <w:color w:val="000000" w:themeColor="text1"/>
        </w:rPr>
        <w:t>2mm</w:t>
      </w:r>
      <w:r>
        <w:rPr>
          <w:rFonts w:cs="Times New Roman" w:hint="eastAsia"/>
          <w:color w:val="000000" w:themeColor="text1"/>
        </w:rPr>
        <w:t>厚高密度聚乙烯膜等人工材料（渗透系数≤</w:t>
      </w:r>
      <w:r>
        <w:rPr>
          <w:rFonts w:cs="Times New Roman" w:hint="eastAsia"/>
          <w:color w:val="000000" w:themeColor="text1"/>
        </w:rPr>
        <w:t>10-10cm/s</w:t>
      </w:r>
      <w:r>
        <w:rPr>
          <w:rFonts w:cs="Times New Roman" w:hint="eastAsia"/>
          <w:color w:val="000000" w:themeColor="text1"/>
        </w:rPr>
        <w:t>），以确保不发生地下水污</w:t>
      </w:r>
      <w:r>
        <w:rPr>
          <w:rFonts w:cs="Times New Roman" w:hint="eastAsia"/>
          <w:color w:val="000000" w:themeColor="text1"/>
        </w:rPr>
        <w:lastRenderedPageBreak/>
        <w:t>染事故。在罐区四周建设满足最大罐体泄漏的独立围堰。</w:t>
      </w:r>
    </w:p>
    <w:p w:rsidR="00644456" w:rsidRDefault="008031C4">
      <w:pPr>
        <w:pStyle w:val="-"/>
        <w:snapToGrid w:val="0"/>
        <w:ind w:firstLine="480"/>
        <w:rPr>
          <w:rFonts w:cs="Times New Roman"/>
          <w:color w:val="000000" w:themeColor="text1"/>
        </w:rPr>
      </w:pPr>
      <w:r>
        <w:rPr>
          <w:rFonts w:cs="Times New Roman" w:hint="eastAsia"/>
          <w:color w:val="000000" w:themeColor="text1"/>
        </w:rPr>
        <w:t>围堰和危废暂存间墙裙防渗等级与地面相同。罐区及装置区、危废库房、污水处理站等各处均设置有标识牌。</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10</w:t>
      </w:r>
      <w:r>
        <w:rPr>
          <w:rFonts w:cs="Times New Roman" w:hint="eastAsia"/>
          <w:color w:val="000000" w:themeColor="text1"/>
        </w:rPr>
        <w:t>）新建一座危废暂存间，建筑面积为</w:t>
      </w:r>
      <w:r>
        <w:rPr>
          <w:rFonts w:cs="Times New Roman" w:hint="eastAsia"/>
          <w:color w:val="000000" w:themeColor="text1"/>
        </w:rPr>
        <w:t>929m</w:t>
      </w:r>
      <w:r>
        <w:rPr>
          <w:rFonts w:cs="Times New Roman" w:hint="eastAsia"/>
          <w:color w:val="000000" w:themeColor="text1"/>
        </w:rPr>
        <w:t>²，收集生产过程中产生的危险固废，并及时送有资质单位进行处置。危废暂存间专人管理，设置观察口，双人双锁，设置视频监控系统。</w:t>
      </w:r>
    </w:p>
    <w:p w:rsidR="00644456" w:rsidRDefault="008031C4">
      <w:pPr>
        <w:pStyle w:val="-"/>
        <w:snapToGrid w:val="0"/>
        <w:ind w:firstLine="480"/>
        <w:rPr>
          <w:rFonts w:cs="Times New Roman"/>
          <w:color w:val="000000" w:themeColor="text1"/>
        </w:rPr>
      </w:pPr>
      <w:bookmarkStart w:id="470" w:name="_Hlk177205023"/>
      <w:r>
        <w:rPr>
          <w:rFonts w:cs="Times New Roman" w:hint="eastAsia"/>
          <w:color w:val="000000" w:themeColor="text1"/>
        </w:rPr>
        <w:t>（</w:t>
      </w:r>
      <w:r>
        <w:rPr>
          <w:rFonts w:cs="Times New Roman" w:hint="eastAsia"/>
          <w:color w:val="000000" w:themeColor="text1"/>
        </w:rPr>
        <w:t>11</w:t>
      </w:r>
      <w:r>
        <w:rPr>
          <w:rFonts w:cs="Times New Roman" w:hint="eastAsia"/>
          <w:color w:val="000000" w:themeColor="text1"/>
        </w:rPr>
        <w:t>）新建</w:t>
      </w:r>
      <w:r>
        <w:rPr>
          <w:rFonts w:cs="Times New Roman" w:hint="eastAsia"/>
          <w:color w:val="000000" w:themeColor="text1"/>
        </w:rPr>
        <w:t>1</w:t>
      </w:r>
      <w:r>
        <w:rPr>
          <w:rFonts w:cs="Times New Roman" w:hint="eastAsia"/>
          <w:color w:val="000000" w:themeColor="text1"/>
        </w:rPr>
        <w:t>座容积为</w:t>
      </w:r>
      <w:r>
        <w:rPr>
          <w:rFonts w:cs="Times New Roman" w:hint="eastAsia"/>
          <w:color w:val="000000" w:themeColor="text1"/>
        </w:rPr>
        <w:t>700m</w:t>
      </w:r>
      <w:r>
        <w:rPr>
          <w:rFonts w:cs="Times New Roman" w:hint="eastAsia"/>
          <w:color w:val="000000" w:themeColor="text1"/>
        </w:rPr>
        <w:t>³的事故水池，接纳事故状态下排放的废油、洗消废水，新建</w:t>
      </w:r>
      <w:r>
        <w:rPr>
          <w:rFonts w:cs="Times New Roman" w:hint="eastAsia"/>
          <w:color w:val="000000" w:themeColor="text1"/>
        </w:rPr>
        <w:t>1</w:t>
      </w:r>
      <w:r>
        <w:rPr>
          <w:rFonts w:cs="Times New Roman" w:hint="eastAsia"/>
          <w:color w:val="000000" w:themeColor="text1"/>
        </w:rPr>
        <w:t>座容积为</w:t>
      </w:r>
      <w:r>
        <w:rPr>
          <w:rFonts w:cs="Times New Roman" w:hint="eastAsia"/>
          <w:color w:val="000000" w:themeColor="text1"/>
        </w:rPr>
        <w:t>535m</w:t>
      </w:r>
      <w:r>
        <w:rPr>
          <w:rFonts w:cs="Times New Roman" w:hint="eastAsia"/>
          <w:color w:val="000000" w:themeColor="text1"/>
        </w:rPr>
        <w:t>³的消防水罐并配套消防泵、消防水管等，新建</w:t>
      </w:r>
      <w:r>
        <w:rPr>
          <w:rFonts w:cs="Times New Roman" w:hint="eastAsia"/>
          <w:color w:val="000000" w:themeColor="text1"/>
        </w:rPr>
        <w:t>300m3</w:t>
      </w:r>
      <w:r>
        <w:rPr>
          <w:rFonts w:cs="Times New Roman" w:hint="eastAsia"/>
          <w:color w:val="000000" w:themeColor="text1"/>
        </w:rPr>
        <w:t>的初期雨水池，接纳初期雨水，初期雨水进入生产废水处理系统处理后回用生产。</w:t>
      </w:r>
    </w:p>
    <w:bookmarkEnd w:id="470"/>
    <w:p w:rsidR="00644456" w:rsidRDefault="008031C4">
      <w:pPr>
        <w:pStyle w:val="3"/>
        <w:numPr>
          <w:ilvl w:val="2"/>
          <w:numId w:val="0"/>
        </w:numPr>
        <w:ind w:firstLineChars="200" w:firstLine="482"/>
      </w:pPr>
      <w:r>
        <w:rPr>
          <w:rFonts w:hint="eastAsia"/>
        </w:rPr>
        <w:t>7.8.3</w:t>
      </w:r>
      <w:r>
        <w:rPr>
          <w:rFonts w:hint="eastAsia"/>
        </w:rPr>
        <w:t>风险事故处理措施</w:t>
      </w:r>
    </w:p>
    <w:p w:rsidR="00644456" w:rsidRDefault="008031C4">
      <w:pPr>
        <w:pStyle w:val="-"/>
        <w:snapToGrid w:val="0"/>
        <w:ind w:firstLine="480"/>
        <w:rPr>
          <w:rFonts w:cs="Times New Roman"/>
          <w:color w:val="000000" w:themeColor="text1"/>
        </w:rPr>
      </w:pPr>
      <w:r>
        <w:rPr>
          <w:rFonts w:cs="Times New Roman" w:hint="eastAsia"/>
          <w:color w:val="000000" w:themeColor="text1"/>
        </w:rPr>
        <w:t>为了有效地处理风险事故，应有切实可行的处置措施。项目风险事故应急措施包括设备器材、事故现场指挥、救护、通讯等系统的建立、现场应急措施方案、事故危害监测队伍、现场撤离和善后措施方案等。</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hint="eastAsia"/>
          <w:color w:val="000000" w:themeColor="text1"/>
        </w:rPr>
        <w:t>）设立报警、通讯系统以及事故处置领导体系；</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2</w:t>
      </w:r>
      <w:r>
        <w:rPr>
          <w:rFonts w:cs="Times New Roman" w:hint="eastAsia"/>
          <w:color w:val="000000" w:themeColor="text1"/>
        </w:rPr>
        <w:t>）制定有效处理事故的应急行动方案，并得到有关部门的认可，能与有关部门有效配合；</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3</w:t>
      </w:r>
      <w:r>
        <w:rPr>
          <w:rFonts w:cs="Times New Roman" w:hint="eastAsia"/>
          <w:color w:val="000000" w:themeColor="text1"/>
        </w:rPr>
        <w:t>）明确职责，并落实到单位和有关人员；</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4</w:t>
      </w:r>
      <w:r>
        <w:rPr>
          <w:rFonts w:cs="Times New Roman" w:hint="eastAsia"/>
          <w:color w:val="000000" w:themeColor="text1"/>
        </w:rPr>
        <w:t>）制定控制和减少事故影响范围、程度以及补救行动的实施计划；</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5</w:t>
      </w:r>
      <w:r>
        <w:rPr>
          <w:rFonts w:cs="Times New Roman" w:hint="eastAsia"/>
          <w:color w:val="000000" w:themeColor="text1"/>
        </w:rPr>
        <w:t>）对事故现场管理以及事故处置全过程的监督，应由富有事故处置经验的人员或有关部门工作人员承担；</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6</w:t>
      </w:r>
      <w:r>
        <w:rPr>
          <w:rFonts w:cs="Times New Roman" w:hint="eastAsia"/>
          <w:color w:val="000000" w:themeColor="text1"/>
        </w:rPr>
        <w:t>）为提高事故处置队伍的协同救援水平和实战能力，检验救援体系的应急综合运作状态，提高其实战水平，应进行应急救援演练；</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7</w:t>
      </w:r>
      <w:r>
        <w:rPr>
          <w:rFonts w:cs="Times New Roman" w:hint="eastAsia"/>
          <w:color w:val="000000" w:themeColor="text1"/>
        </w:rPr>
        <w:t>）所有操作人员均应持证上岗，除熟练掌握正常生产状况下本岗位和相关岗位的操作程序和要求外，还应熟练掌握非正常生产、事故状态下本岗位和相关岗位的操作程序和要求；</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8</w:t>
      </w:r>
      <w:r>
        <w:rPr>
          <w:rFonts w:cs="Times New Roman" w:hint="eastAsia"/>
          <w:color w:val="000000" w:themeColor="text1"/>
        </w:rPr>
        <w:t>）开、停车和检修时，需要排空的设备和管道应严格按照设计要求操作；</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9</w:t>
      </w:r>
      <w:r>
        <w:rPr>
          <w:rFonts w:cs="Times New Roman" w:hint="eastAsia"/>
          <w:color w:val="000000" w:themeColor="text1"/>
        </w:rPr>
        <w:t>）对运行中的设备和管道进行认真检查，发现问题及时处理；</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10</w:t>
      </w:r>
      <w:r>
        <w:rPr>
          <w:rFonts w:cs="Times New Roman" w:hint="eastAsia"/>
          <w:color w:val="000000" w:themeColor="text1"/>
        </w:rPr>
        <w:t>）所有工作人员应熟悉本工段泄漏、爆炸等事故发生后，主要危害和应采取的正确处置措施，按照有关规定及时处理，防止事故扩大；</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11</w:t>
      </w:r>
      <w:r>
        <w:rPr>
          <w:rFonts w:cs="Times New Roman" w:hint="eastAsia"/>
          <w:color w:val="000000" w:themeColor="text1"/>
        </w:rPr>
        <w:t>）各生产岗位配置相应急救设施，保证通信系统通畅，爆炸等事故发生时，应</w:t>
      </w:r>
      <w:r>
        <w:rPr>
          <w:rFonts w:cs="Times New Roman" w:hint="eastAsia"/>
          <w:color w:val="000000" w:themeColor="text1"/>
        </w:rPr>
        <w:lastRenderedPageBreak/>
        <w:t>及时将情况反映到相应部门，以便迅速采取措施，避免事故进一步扩大。</w:t>
      </w:r>
    </w:p>
    <w:p w:rsidR="00644456" w:rsidRDefault="008031C4">
      <w:pPr>
        <w:pStyle w:val="3"/>
        <w:numPr>
          <w:ilvl w:val="2"/>
          <w:numId w:val="0"/>
        </w:numPr>
        <w:ind w:firstLineChars="200" w:firstLine="482"/>
      </w:pPr>
      <w:r>
        <w:rPr>
          <w:rFonts w:hint="eastAsia"/>
        </w:rPr>
        <w:t>7.8.4</w:t>
      </w:r>
      <w:r>
        <w:rPr>
          <w:rFonts w:hint="eastAsia"/>
        </w:rPr>
        <w:t>事故应急措施</w:t>
      </w:r>
    </w:p>
    <w:p w:rsidR="00644456" w:rsidRDefault="008031C4">
      <w:pPr>
        <w:pStyle w:val="-"/>
        <w:snapToGrid w:val="0"/>
        <w:ind w:firstLine="480"/>
        <w:rPr>
          <w:rFonts w:cs="Times New Roman"/>
          <w:color w:val="000000" w:themeColor="text1"/>
        </w:rPr>
      </w:pPr>
      <w:r>
        <w:rPr>
          <w:rFonts w:cs="Times New Roman" w:hint="eastAsia"/>
          <w:color w:val="000000" w:themeColor="text1"/>
        </w:rPr>
        <w:t>1</w:t>
      </w:r>
      <w:r>
        <w:rPr>
          <w:rFonts w:cs="Times New Roman" w:hint="eastAsia"/>
          <w:color w:val="000000" w:themeColor="text1"/>
        </w:rPr>
        <w:t>、油类物质泄漏</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hint="eastAsia"/>
          <w:color w:val="000000" w:themeColor="text1"/>
        </w:rPr>
        <w:t>）加强各类相关设备管道的维护，定期更换、检修。根据各类化学品的物化特性，采取相应的防腐措施延缓设备管道的蚀漏。设备管道定期除锈、刷防腐漆。</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2</w:t>
      </w:r>
      <w:r>
        <w:rPr>
          <w:rFonts w:cs="Times New Roman" w:hint="eastAsia"/>
          <w:color w:val="000000" w:themeColor="text1"/>
        </w:rPr>
        <w:t>）配备好堵漏材料，及时采取措施。有情况及时上报车间及调度室，并保护好现场。</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3</w:t>
      </w:r>
      <w:r>
        <w:rPr>
          <w:rFonts w:cs="Times New Roman" w:hint="eastAsia"/>
          <w:color w:val="000000" w:themeColor="text1"/>
        </w:rPr>
        <w:t>）若泄漏不很严重，用堵漏材料及时处理，防止泄漏加剧。若泄漏严重，上报机动科、生产科，申请停产检修。</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4</w:t>
      </w:r>
      <w:r>
        <w:rPr>
          <w:rFonts w:cs="Times New Roman" w:hint="eastAsia"/>
          <w:color w:val="000000" w:themeColor="text1"/>
        </w:rPr>
        <w:t>）泄漏的化学品能回收的尽量回收，不能回收的妥善处理，降低对环境影响的程度。</w:t>
      </w:r>
    </w:p>
    <w:p w:rsidR="00644456" w:rsidRDefault="008031C4">
      <w:pPr>
        <w:pStyle w:val="-"/>
        <w:snapToGrid w:val="0"/>
        <w:ind w:firstLine="480"/>
        <w:rPr>
          <w:rFonts w:cs="Times New Roman"/>
          <w:color w:val="000000" w:themeColor="text1"/>
        </w:rPr>
      </w:pPr>
      <w:r>
        <w:rPr>
          <w:rFonts w:cs="Times New Roman" w:hint="eastAsia"/>
          <w:color w:val="000000" w:themeColor="text1"/>
        </w:rPr>
        <w:t>2</w:t>
      </w:r>
      <w:r>
        <w:rPr>
          <w:rFonts w:cs="Times New Roman" w:hint="eastAsia"/>
          <w:color w:val="000000" w:themeColor="text1"/>
        </w:rPr>
        <w:t>、天然气泄漏应急处置方案</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hint="eastAsia"/>
          <w:color w:val="000000" w:themeColor="text1"/>
        </w:rPr>
        <w:t>）认真执行巡检制度，鼓风机、加热炉运转中若发生异常，应迅速、准确判断并及时采取应对措施，防止事故扩大。</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2</w:t>
      </w:r>
      <w:r>
        <w:rPr>
          <w:rFonts w:cs="Times New Roman" w:hint="eastAsia"/>
          <w:color w:val="000000" w:themeColor="text1"/>
        </w:rPr>
        <w:t>）加强加热炉天然气设备、管道维护，杜绝跑、冒、滴、漏。</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3</w:t>
      </w:r>
      <w:r>
        <w:rPr>
          <w:rFonts w:cs="Times New Roman" w:hint="eastAsia"/>
          <w:color w:val="000000" w:themeColor="text1"/>
        </w:rPr>
        <w:t>）备好各类堵漏材料，保证及时处理。</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4</w:t>
      </w:r>
      <w:r>
        <w:rPr>
          <w:rFonts w:cs="Times New Roman" w:hint="eastAsia"/>
          <w:color w:val="000000" w:themeColor="text1"/>
        </w:rPr>
        <w:t>）有关场所应配置便携式和固定式报警仪</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5</w:t>
      </w:r>
      <w:r>
        <w:rPr>
          <w:rFonts w:cs="Times New Roman" w:hint="eastAsia"/>
          <w:color w:val="000000" w:themeColor="text1"/>
        </w:rPr>
        <w:t>）岗位一旦发生天然气泄漏，在岗操作人员，首先要戴上便携式报警仪，查找泄漏点。如果浓度超过规定值时，必须立即撤出现场，戴好空气呼吸器后再进入现场。</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6</w:t>
      </w:r>
      <w:r>
        <w:rPr>
          <w:rFonts w:cs="Times New Roman" w:hint="eastAsia"/>
          <w:color w:val="000000" w:themeColor="text1"/>
        </w:rPr>
        <w:t>）在确定泄漏点后，按安全操作规程，立即关闭相应的阀门，防止天然气大量泄漏。</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7</w:t>
      </w:r>
      <w:r>
        <w:rPr>
          <w:rFonts w:cs="Times New Roman" w:hint="eastAsia"/>
          <w:color w:val="000000" w:themeColor="text1"/>
        </w:rPr>
        <w:t>）岗位操作人员必须有高度的责任感，熟练迅速地处理泄漏事件，防止泄漏扩大，造成火灾，爆炸和人身伤害。</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8</w:t>
      </w:r>
      <w:r>
        <w:rPr>
          <w:rFonts w:cs="Times New Roman" w:hint="eastAsia"/>
          <w:color w:val="000000" w:themeColor="text1"/>
        </w:rPr>
        <w:t>）在处理天然气泄漏过程中，要注意个人保护，在有风的情况下，尽量站在上风头，如有头昏、恶心时要立刻退出现场，到空气新鲜的地方休息。严重者立即送医院治疗。</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9</w:t>
      </w:r>
      <w:r>
        <w:rPr>
          <w:rFonts w:cs="Times New Roman" w:hint="eastAsia"/>
          <w:color w:val="000000" w:themeColor="text1"/>
        </w:rPr>
        <w:t>）发生燃气泄漏时，做好戒严工作，严禁明火。</w:t>
      </w:r>
    </w:p>
    <w:p w:rsidR="00644456" w:rsidRDefault="008031C4">
      <w:pPr>
        <w:pStyle w:val="-"/>
        <w:snapToGrid w:val="0"/>
        <w:ind w:firstLine="480"/>
        <w:rPr>
          <w:rFonts w:cs="Times New Roman"/>
          <w:color w:val="000000" w:themeColor="text1"/>
        </w:rPr>
      </w:pPr>
      <w:r>
        <w:rPr>
          <w:rFonts w:cs="Times New Roman" w:hint="eastAsia"/>
          <w:color w:val="000000" w:themeColor="text1"/>
        </w:rPr>
        <w:t>3</w:t>
      </w:r>
      <w:r>
        <w:rPr>
          <w:rFonts w:cs="Times New Roman" w:hint="eastAsia"/>
          <w:color w:val="000000" w:themeColor="text1"/>
        </w:rPr>
        <w:t>、天然气、油类物质泄漏发生火灾、爆炸应急处置方案</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hint="eastAsia"/>
          <w:color w:val="000000" w:themeColor="text1"/>
        </w:rPr>
        <w:t>）严禁负压、正压天然气设备管道的跑冒滴漏。</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2</w:t>
      </w:r>
      <w:r>
        <w:rPr>
          <w:rFonts w:cs="Times New Roman" w:hint="eastAsia"/>
          <w:color w:val="000000" w:themeColor="text1"/>
        </w:rPr>
        <w:t>）天然气区域电器、照明设备必须防火防爆，设备绝缘值符合要求。保管好防</w:t>
      </w:r>
      <w:r>
        <w:rPr>
          <w:rFonts w:cs="Times New Roman" w:hint="eastAsia"/>
          <w:color w:val="000000" w:themeColor="text1"/>
        </w:rPr>
        <w:lastRenderedPageBreak/>
        <w:t>火用具，不断增强消防意识，熟练掌握各种灭火方法。</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3</w:t>
      </w:r>
      <w:r>
        <w:rPr>
          <w:rFonts w:cs="Times New Roman" w:hint="eastAsia"/>
          <w:color w:val="000000" w:themeColor="text1"/>
        </w:rPr>
        <w:t>）做好外来人员的管理，要有专人陪同，按规定做好出入登记。</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4</w:t>
      </w:r>
      <w:r>
        <w:rPr>
          <w:rFonts w:cs="Times New Roman" w:hint="eastAsia"/>
          <w:color w:val="000000" w:themeColor="text1"/>
        </w:rPr>
        <w:t>）天然气管道着火，立即停鼓风机，同时通知调度室及总调，杜绝蔓延。</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5</w:t>
      </w:r>
      <w:r>
        <w:rPr>
          <w:rFonts w:cs="Times New Roman" w:hint="eastAsia"/>
          <w:color w:val="000000" w:themeColor="text1"/>
        </w:rPr>
        <w:t>）发生天然气火灾时，岗位人员应迅速赶到，采取措施防止事故扩大化。</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6</w:t>
      </w:r>
      <w:r>
        <w:rPr>
          <w:rFonts w:cs="Times New Roman" w:hint="eastAsia"/>
          <w:color w:val="000000" w:themeColor="text1"/>
        </w:rPr>
        <w:t>）若发生较大的火灾事故和爆炸事故，及时报告应急救援指挥部，并做出妥善处理。事故发生后，对造成的污染要妥善处理，写出事故处理报告，提出纠正和预防措施。</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7</w:t>
      </w:r>
      <w:r>
        <w:rPr>
          <w:rFonts w:cs="Times New Roman" w:hint="eastAsia"/>
          <w:color w:val="000000" w:themeColor="text1"/>
        </w:rPr>
        <w:t>）认真巡检，加强加热炉天然气设备、管道维护，杜绝跑、冒、淌、漏。</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471" w:name="_Toc8965867"/>
      <w:bookmarkStart w:id="472" w:name="_Toc155789400"/>
      <w:bookmarkStart w:id="473" w:name="_Toc177216908"/>
      <w:bookmarkStart w:id="474" w:name="_Toc16354771"/>
      <w:bookmarkStart w:id="475" w:name="_Toc40975669"/>
      <w:bookmarkStart w:id="476" w:name="_Toc518757795"/>
      <w:bookmarkStart w:id="477" w:name="_Toc48297847"/>
      <w:bookmarkStart w:id="478" w:name="_Toc19467698"/>
      <w:bookmarkStart w:id="479" w:name="_Toc12064"/>
      <w:bookmarkEnd w:id="471"/>
      <w:r>
        <w:rPr>
          <w:rFonts w:cs="Times New Roman" w:hint="eastAsia"/>
          <w:color w:val="000000" w:themeColor="text1"/>
        </w:rPr>
        <w:t>7.9</w:t>
      </w:r>
      <w:r>
        <w:rPr>
          <w:rFonts w:hint="eastAsia"/>
          <w:color w:val="000000" w:themeColor="text1"/>
        </w:rPr>
        <w:t>风险事故应急预案</w:t>
      </w:r>
      <w:bookmarkEnd w:id="472"/>
      <w:bookmarkEnd w:id="473"/>
    </w:p>
    <w:p w:rsidR="00644456" w:rsidRDefault="008031C4">
      <w:pPr>
        <w:pStyle w:val="-"/>
        <w:snapToGrid w:val="0"/>
        <w:ind w:firstLine="480"/>
        <w:rPr>
          <w:rFonts w:cs="Times New Roman"/>
          <w:color w:val="000000" w:themeColor="text1"/>
        </w:rPr>
      </w:pPr>
      <w:r>
        <w:rPr>
          <w:rFonts w:cs="Times New Roman" w:hint="eastAsia"/>
          <w:color w:val="000000" w:themeColor="text1"/>
        </w:rPr>
        <w:t>根据《企业事业单位突发环境事件应急预案备案管理办法（试行）》，建设单位应建立突发环境事件应急预案，编制完成后应当在建设项目投入生产或者使用前，按照该办法第十五条要求向所在地县级环境保护主管部门备案，并定期有针对性地开展演习。应急预案内容主要包括组织机构和职责、预防预警机制、应急响应、保障措施等内容，具体内容如下：</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hint="eastAsia"/>
          <w:color w:val="000000" w:themeColor="text1"/>
        </w:rPr>
        <w:t>）事故应急组织机构</w:t>
      </w:r>
    </w:p>
    <w:p w:rsidR="00644456" w:rsidRDefault="008031C4">
      <w:pPr>
        <w:pStyle w:val="-"/>
        <w:snapToGrid w:val="0"/>
        <w:ind w:firstLine="480"/>
        <w:rPr>
          <w:rFonts w:cs="Times New Roman"/>
          <w:color w:val="000000" w:themeColor="text1"/>
        </w:rPr>
      </w:pPr>
      <w:r>
        <w:rPr>
          <w:rFonts w:cs="Times New Roman" w:hint="eastAsia"/>
          <w:color w:val="000000" w:themeColor="text1"/>
        </w:rPr>
        <w:fldChar w:fldCharType="begin"/>
      </w:r>
      <w:r>
        <w:rPr>
          <w:rFonts w:cs="Times New Roman" w:hint="eastAsia"/>
          <w:color w:val="000000" w:themeColor="text1"/>
        </w:rPr>
        <w:instrText xml:space="preserve"> = 1 \* GB3 </w:instrText>
      </w:r>
      <w:r>
        <w:rPr>
          <w:rFonts w:cs="Times New Roman" w:hint="eastAsia"/>
          <w:color w:val="000000" w:themeColor="text1"/>
        </w:rPr>
        <w:fldChar w:fldCharType="separate"/>
      </w:r>
      <w:r>
        <w:rPr>
          <w:rFonts w:cs="Times New Roman" w:hint="eastAsia"/>
          <w:color w:val="000000" w:themeColor="text1"/>
        </w:rPr>
        <w:t>①</w:t>
      </w:r>
      <w:r>
        <w:rPr>
          <w:rFonts w:cs="Times New Roman" w:hint="eastAsia"/>
          <w:color w:val="000000" w:themeColor="text1"/>
        </w:rPr>
        <w:fldChar w:fldCharType="end"/>
      </w:r>
      <w:r>
        <w:rPr>
          <w:rFonts w:cs="Times New Roman" w:hint="eastAsia"/>
          <w:color w:val="000000" w:themeColor="text1"/>
        </w:rPr>
        <w:t>成立应急救援指挥中心、事故应急救援抢救中心。公司总负责人任应急救援指挥中心、事故应急救援抢救中心主任，有关领导均为成员、环保科是厂区管理环保事宜的职能部门，配有专职管理干部，厂区也有兼职环保员，基本形成了“三级”环境风险管理体系。</w:t>
      </w:r>
    </w:p>
    <w:p w:rsidR="00644456" w:rsidRDefault="008031C4">
      <w:pPr>
        <w:pStyle w:val="-"/>
        <w:snapToGrid w:val="0"/>
        <w:ind w:firstLine="480"/>
        <w:rPr>
          <w:rFonts w:cs="Times New Roman"/>
          <w:color w:val="000000" w:themeColor="text1"/>
        </w:rPr>
      </w:pPr>
      <w:r>
        <w:rPr>
          <w:rFonts w:cs="Times New Roman" w:hint="eastAsia"/>
          <w:color w:val="000000" w:themeColor="text1"/>
        </w:rPr>
        <w:fldChar w:fldCharType="begin"/>
      </w:r>
      <w:r>
        <w:rPr>
          <w:rFonts w:cs="Times New Roman" w:hint="eastAsia"/>
          <w:color w:val="000000" w:themeColor="text1"/>
        </w:rPr>
        <w:instrText xml:space="preserve"> = 2 \* GB3 </w:instrText>
      </w:r>
      <w:r>
        <w:rPr>
          <w:rFonts w:cs="Times New Roman" w:hint="eastAsia"/>
          <w:color w:val="000000" w:themeColor="text1"/>
        </w:rPr>
        <w:fldChar w:fldCharType="separate"/>
      </w:r>
      <w:r>
        <w:rPr>
          <w:rFonts w:cs="Times New Roman" w:hint="eastAsia"/>
          <w:color w:val="000000" w:themeColor="text1"/>
        </w:rPr>
        <w:t>②</w:t>
      </w:r>
      <w:r>
        <w:rPr>
          <w:rFonts w:cs="Times New Roman" w:hint="eastAsia"/>
          <w:color w:val="000000" w:themeColor="text1"/>
        </w:rPr>
        <w:fldChar w:fldCharType="end"/>
      </w:r>
      <w:r>
        <w:rPr>
          <w:rFonts w:cs="Times New Roman" w:hint="eastAsia"/>
          <w:color w:val="000000" w:themeColor="text1"/>
        </w:rPr>
        <w:t>成立技术支援中心。各科室的技术人员为成员，提供必要的事故应急技术保障，并且调动救援装置。</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2</w:t>
      </w:r>
      <w:r>
        <w:rPr>
          <w:rFonts w:cs="Times New Roman" w:hint="eastAsia"/>
          <w:color w:val="000000" w:themeColor="text1"/>
        </w:rPr>
        <w:t>）事故应急演练</w:t>
      </w:r>
    </w:p>
    <w:p w:rsidR="00644456" w:rsidRDefault="008031C4">
      <w:pPr>
        <w:pStyle w:val="-"/>
        <w:snapToGrid w:val="0"/>
        <w:ind w:firstLine="480"/>
        <w:rPr>
          <w:rFonts w:cs="Times New Roman"/>
          <w:color w:val="000000" w:themeColor="text1"/>
        </w:rPr>
      </w:pPr>
      <w:r>
        <w:rPr>
          <w:rFonts w:cs="Times New Roman" w:hint="eastAsia"/>
          <w:color w:val="000000" w:themeColor="text1"/>
        </w:rPr>
        <w:t>事故应急救援预案编制后，应测试应急预案和实施程序的有效性，了解各个应急组织机构的响应和协调能力，检测应急设备装置的应用效果，确保应急组织人员熟知他们的职责和任务。实施定期的应急救援模拟训练，事故应急救援预案模拟训练后，应进行讲评和总结，及时发现事故应急救援预案中的问题，并从中找到改进的措施，不断改进和完善事故应急预案，从而提高各个应急组织机构的应急事故的处理能力。</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3</w:t>
      </w:r>
      <w:r>
        <w:rPr>
          <w:rFonts w:cs="Times New Roman" w:hint="eastAsia"/>
          <w:color w:val="000000" w:themeColor="text1"/>
        </w:rPr>
        <w:t>）事故应急程序</w:t>
      </w:r>
    </w:p>
    <w:p w:rsidR="00644456" w:rsidRDefault="008031C4">
      <w:pPr>
        <w:pStyle w:val="-"/>
        <w:snapToGrid w:val="0"/>
        <w:ind w:firstLine="480"/>
        <w:rPr>
          <w:rFonts w:cs="Times New Roman"/>
          <w:color w:val="000000" w:themeColor="text1"/>
        </w:rPr>
      </w:pPr>
      <w:r>
        <w:rPr>
          <w:rFonts w:cs="Times New Roman" w:hint="eastAsia"/>
          <w:color w:val="000000" w:themeColor="text1"/>
        </w:rPr>
        <w:t>当发生重大事故时，首先以自救为主。根据对事故进行的应急分级，选择需要的应急预案，启动应急组织机构的职能，依据应急预案进行营救，在进行自救的同时，向上</w:t>
      </w:r>
      <w:r>
        <w:rPr>
          <w:rFonts w:cs="Times New Roman" w:hint="eastAsia"/>
          <w:color w:val="000000" w:themeColor="text1"/>
        </w:rPr>
        <w:lastRenderedPageBreak/>
        <w:t>一级救援指挥中心及政府报告。具体应急救援程序依据国家应急救援体系建设方案执行。</w:t>
      </w:r>
    </w:p>
    <w:p w:rsidR="00644456" w:rsidRDefault="008031C4">
      <w:pPr>
        <w:pStyle w:val="-"/>
        <w:snapToGrid w:val="0"/>
        <w:ind w:firstLine="480"/>
        <w:rPr>
          <w:rFonts w:cs="Times New Roman"/>
          <w:color w:val="000000" w:themeColor="text1"/>
        </w:rPr>
      </w:pPr>
      <w:r>
        <w:rPr>
          <w:rFonts w:cs="Times New Roman" w:hint="eastAsia"/>
          <w:color w:val="000000" w:themeColor="text1"/>
        </w:rPr>
        <w:fldChar w:fldCharType="begin"/>
      </w:r>
      <w:r>
        <w:rPr>
          <w:rFonts w:cs="Times New Roman" w:hint="eastAsia"/>
          <w:color w:val="000000" w:themeColor="text1"/>
        </w:rPr>
        <w:instrText>= 1 \* GB3</w:instrText>
      </w:r>
      <w:r>
        <w:rPr>
          <w:rFonts w:cs="Times New Roman" w:hint="eastAsia"/>
          <w:color w:val="000000" w:themeColor="text1"/>
        </w:rPr>
        <w:fldChar w:fldCharType="separate"/>
      </w:r>
      <w:r>
        <w:rPr>
          <w:rFonts w:cs="Times New Roman" w:hint="eastAsia"/>
          <w:color w:val="000000" w:themeColor="text1"/>
        </w:rPr>
        <w:t>①</w:t>
      </w:r>
      <w:r>
        <w:rPr>
          <w:rFonts w:cs="Times New Roman" w:hint="eastAsia"/>
          <w:color w:val="000000" w:themeColor="text1"/>
        </w:rPr>
        <w:fldChar w:fldCharType="end"/>
      </w:r>
      <w:r>
        <w:rPr>
          <w:rFonts w:cs="Times New Roman" w:hint="eastAsia"/>
          <w:color w:val="000000" w:themeColor="text1"/>
        </w:rPr>
        <w:t>最早发现者应立即向公司办公室报警，并采取一切妥当的办法果断切断事故源；</w:t>
      </w:r>
    </w:p>
    <w:p w:rsidR="00644456" w:rsidRDefault="008031C4">
      <w:pPr>
        <w:pStyle w:val="-"/>
        <w:snapToGrid w:val="0"/>
        <w:ind w:firstLine="480"/>
        <w:rPr>
          <w:rFonts w:cs="Times New Roman"/>
          <w:color w:val="000000" w:themeColor="text1"/>
        </w:rPr>
      </w:pPr>
      <w:r>
        <w:rPr>
          <w:rFonts w:cs="Times New Roman" w:hint="eastAsia"/>
          <w:color w:val="000000" w:themeColor="text1"/>
        </w:rPr>
        <w:fldChar w:fldCharType="begin"/>
      </w:r>
      <w:r>
        <w:rPr>
          <w:rFonts w:cs="Times New Roman" w:hint="eastAsia"/>
          <w:color w:val="000000" w:themeColor="text1"/>
        </w:rPr>
        <w:instrText>= 2 \* GB3</w:instrText>
      </w:r>
      <w:r>
        <w:rPr>
          <w:rFonts w:cs="Times New Roman" w:hint="eastAsia"/>
          <w:color w:val="000000" w:themeColor="text1"/>
        </w:rPr>
        <w:fldChar w:fldCharType="separate"/>
      </w:r>
      <w:r>
        <w:rPr>
          <w:rFonts w:cs="Times New Roman" w:hint="eastAsia"/>
          <w:color w:val="000000" w:themeColor="text1"/>
        </w:rPr>
        <w:t>②</w:t>
      </w:r>
      <w:r>
        <w:rPr>
          <w:rFonts w:cs="Times New Roman" w:hint="eastAsia"/>
          <w:color w:val="000000" w:themeColor="text1"/>
        </w:rPr>
        <w:fldChar w:fldCharType="end"/>
      </w:r>
      <w:r>
        <w:rPr>
          <w:rFonts w:cs="Times New Roman" w:hint="eastAsia"/>
          <w:color w:val="000000" w:themeColor="text1"/>
        </w:rPr>
        <w:t>公司办公室接到报警后，应迅速通知有关部门，下达应急救援预案处置指令，同时发出警报；</w:t>
      </w:r>
    </w:p>
    <w:p w:rsidR="00644456" w:rsidRDefault="008031C4">
      <w:pPr>
        <w:pStyle w:val="-"/>
        <w:snapToGrid w:val="0"/>
        <w:ind w:firstLine="480"/>
        <w:rPr>
          <w:rFonts w:cs="Times New Roman"/>
          <w:color w:val="000000" w:themeColor="text1"/>
        </w:rPr>
      </w:pPr>
      <w:r>
        <w:rPr>
          <w:rFonts w:cs="Times New Roman" w:hint="eastAsia"/>
          <w:color w:val="000000" w:themeColor="text1"/>
        </w:rPr>
        <w:fldChar w:fldCharType="begin"/>
      </w:r>
      <w:r>
        <w:rPr>
          <w:rFonts w:cs="Times New Roman" w:hint="eastAsia"/>
          <w:color w:val="000000" w:themeColor="text1"/>
        </w:rPr>
        <w:instrText>= 3 \* GB3</w:instrText>
      </w:r>
      <w:r>
        <w:rPr>
          <w:rFonts w:cs="Times New Roman" w:hint="eastAsia"/>
          <w:color w:val="000000" w:themeColor="text1"/>
        </w:rPr>
        <w:fldChar w:fldCharType="separate"/>
      </w:r>
      <w:r>
        <w:rPr>
          <w:rFonts w:cs="Times New Roman" w:hint="eastAsia"/>
          <w:color w:val="000000" w:themeColor="text1"/>
        </w:rPr>
        <w:t>③</w:t>
      </w:r>
      <w:r>
        <w:rPr>
          <w:rFonts w:cs="Times New Roman" w:hint="eastAsia"/>
          <w:color w:val="000000" w:themeColor="text1"/>
        </w:rPr>
        <w:fldChar w:fldCharType="end"/>
      </w:r>
      <w:r>
        <w:rPr>
          <w:rFonts w:cs="Times New Roman" w:hint="eastAsia"/>
          <w:color w:val="000000" w:themeColor="text1"/>
        </w:rPr>
        <w:t>应急领导小组组长和各专业救援队伍应迅速赶往事故现场；</w:t>
      </w:r>
    </w:p>
    <w:p w:rsidR="00644456" w:rsidRDefault="008031C4">
      <w:pPr>
        <w:pStyle w:val="-"/>
        <w:snapToGrid w:val="0"/>
        <w:ind w:firstLine="480"/>
        <w:rPr>
          <w:rFonts w:cs="Times New Roman"/>
          <w:color w:val="000000" w:themeColor="text1"/>
        </w:rPr>
      </w:pPr>
      <w:r>
        <w:rPr>
          <w:rFonts w:cs="Times New Roman" w:hint="eastAsia"/>
          <w:color w:val="000000" w:themeColor="text1"/>
        </w:rPr>
        <w:fldChar w:fldCharType="begin"/>
      </w:r>
      <w:r>
        <w:rPr>
          <w:rFonts w:cs="Times New Roman" w:hint="eastAsia"/>
          <w:color w:val="000000" w:themeColor="text1"/>
        </w:rPr>
        <w:instrText>= 4 \* GB3</w:instrText>
      </w:r>
      <w:r>
        <w:rPr>
          <w:rFonts w:cs="Times New Roman" w:hint="eastAsia"/>
          <w:color w:val="000000" w:themeColor="text1"/>
        </w:rPr>
        <w:fldChar w:fldCharType="separate"/>
      </w:r>
      <w:r>
        <w:rPr>
          <w:rFonts w:cs="Times New Roman" w:hint="eastAsia"/>
          <w:color w:val="000000" w:themeColor="text1"/>
        </w:rPr>
        <w:t>④</w:t>
      </w:r>
      <w:r>
        <w:rPr>
          <w:rFonts w:cs="Times New Roman" w:hint="eastAsia"/>
          <w:color w:val="000000" w:themeColor="text1"/>
        </w:rPr>
        <w:fldChar w:fldCharType="end"/>
      </w:r>
      <w:r>
        <w:rPr>
          <w:rFonts w:cs="Times New Roman" w:hint="eastAsia"/>
          <w:color w:val="000000" w:themeColor="text1"/>
        </w:rPr>
        <w:t>发生事故的所在场所，应迅速查明事故发生源点，泄漏部位和原因，凡能阻止泄漏，而消除事故的，则以自救为主。如泄漏部位自己不能控制的，应向指挥部报告；</w:t>
      </w:r>
    </w:p>
    <w:p w:rsidR="00644456" w:rsidRDefault="008031C4">
      <w:pPr>
        <w:pStyle w:val="-"/>
        <w:snapToGrid w:val="0"/>
        <w:ind w:firstLine="480"/>
        <w:rPr>
          <w:rFonts w:cs="Times New Roman"/>
          <w:color w:val="000000" w:themeColor="text1"/>
        </w:rPr>
      </w:pPr>
      <w:r>
        <w:rPr>
          <w:rFonts w:cs="Times New Roman" w:hint="eastAsia"/>
          <w:color w:val="000000" w:themeColor="text1"/>
        </w:rPr>
        <w:fldChar w:fldCharType="begin"/>
      </w:r>
      <w:r>
        <w:rPr>
          <w:rFonts w:cs="Times New Roman" w:hint="eastAsia"/>
          <w:color w:val="000000" w:themeColor="text1"/>
        </w:rPr>
        <w:instrText>= 5 \* GB3</w:instrText>
      </w:r>
      <w:r>
        <w:rPr>
          <w:rFonts w:cs="Times New Roman" w:hint="eastAsia"/>
          <w:color w:val="000000" w:themeColor="text1"/>
        </w:rPr>
        <w:fldChar w:fldCharType="separate"/>
      </w:r>
      <w:r>
        <w:rPr>
          <w:rFonts w:cs="Times New Roman" w:hint="eastAsia"/>
          <w:color w:val="000000" w:themeColor="text1"/>
        </w:rPr>
        <w:t>⑤</w:t>
      </w:r>
      <w:r>
        <w:rPr>
          <w:rFonts w:cs="Times New Roman" w:hint="eastAsia"/>
          <w:color w:val="000000" w:themeColor="text1"/>
        </w:rPr>
        <w:fldChar w:fldCharType="end"/>
      </w:r>
      <w:r>
        <w:rPr>
          <w:rFonts w:cs="Times New Roman" w:hint="eastAsia"/>
          <w:color w:val="000000" w:themeColor="text1"/>
        </w:rPr>
        <w:t>救援抢险队到达事故现场后，首先查明现场有无人员受伤，以最快速度使伤者脱离现场，严重者尽快送医院抢救；</w:t>
      </w:r>
    </w:p>
    <w:p w:rsidR="00644456" w:rsidRDefault="008031C4">
      <w:pPr>
        <w:pStyle w:val="-"/>
        <w:snapToGrid w:val="0"/>
        <w:ind w:firstLine="480"/>
        <w:rPr>
          <w:rFonts w:cs="Times New Roman"/>
          <w:color w:val="000000" w:themeColor="text1"/>
        </w:rPr>
      </w:pPr>
      <w:r>
        <w:rPr>
          <w:rFonts w:cs="Times New Roman" w:hint="eastAsia"/>
          <w:color w:val="000000" w:themeColor="text1"/>
        </w:rPr>
        <w:fldChar w:fldCharType="begin"/>
      </w:r>
      <w:r>
        <w:rPr>
          <w:rFonts w:cs="Times New Roman" w:hint="eastAsia"/>
          <w:color w:val="000000" w:themeColor="text1"/>
        </w:rPr>
        <w:instrText>= 6 \* GB3</w:instrText>
      </w:r>
      <w:r>
        <w:rPr>
          <w:rFonts w:cs="Times New Roman" w:hint="eastAsia"/>
          <w:color w:val="000000" w:themeColor="text1"/>
        </w:rPr>
        <w:fldChar w:fldCharType="separate"/>
      </w:r>
      <w:r>
        <w:rPr>
          <w:rFonts w:cs="Times New Roman" w:hint="eastAsia"/>
          <w:color w:val="000000" w:themeColor="text1"/>
        </w:rPr>
        <w:t>⑥</w:t>
      </w:r>
      <w:r>
        <w:rPr>
          <w:rFonts w:cs="Times New Roman" w:hint="eastAsia"/>
          <w:color w:val="000000" w:themeColor="text1"/>
        </w:rPr>
        <w:fldChar w:fldCharType="end"/>
      </w:r>
      <w:r>
        <w:rPr>
          <w:rFonts w:cs="Times New Roman" w:hint="eastAsia"/>
          <w:color w:val="000000" w:themeColor="text1"/>
        </w:rPr>
        <w:t>对于不同等级（一级、二级、三级）应急预案，启动事故应急救援预案，向有关部门报告，必要时联系社会救援。</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4</w:t>
      </w:r>
      <w:r>
        <w:rPr>
          <w:rFonts w:cs="Times New Roman" w:hint="eastAsia"/>
          <w:color w:val="000000" w:themeColor="text1"/>
        </w:rPr>
        <w:t>）事故应急救援保障</w:t>
      </w:r>
    </w:p>
    <w:p w:rsidR="00644456" w:rsidRDefault="008031C4">
      <w:pPr>
        <w:pStyle w:val="-"/>
        <w:snapToGrid w:val="0"/>
        <w:ind w:firstLine="480"/>
        <w:rPr>
          <w:rFonts w:cs="Times New Roman"/>
          <w:color w:val="000000" w:themeColor="text1"/>
        </w:rPr>
      </w:pPr>
      <w:r>
        <w:rPr>
          <w:rFonts w:cs="Times New Roman" w:hint="eastAsia"/>
          <w:color w:val="000000" w:themeColor="text1"/>
        </w:rPr>
        <w:t>为能在事故发生后，迅速准确地有条不紊地处理事故，尽可能减少事故造成的损失，平时必须做好应急救援的准备工作，落实岗位责任制和各项制度。具体措施为：</w:t>
      </w:r>
    </w:p>
    <w:p w:rsidR="00644456" w:rsidRDefault="008031C4">
      <w:pPr>
        <w:pStyle w:val="-"/>
        <w:snapToGrid w:val="0"/>
        <w:ind w:firstLine="480"/>
        <w:rPr>
          <w:rFonts w:cs="Times New Roman"/>
          <w:color w:val="000000" w:themeColor="text1"/>
        </w:rPr>
      </w:pPr>
      <w:r>
        <w:rPr>
          <w:rFonts w:cs="Times New Roman" w:hint="eastAsia"/>
          <w:color w:val="000000" w:themeColor="text1"/>
        </w:rPr>
        <w:fldChar w:fldCharType="begin"/>
      </w:r>
      <w:r>
        <w:rPr>
          <w:rFonts w:cs="Times New Roman" w:hint="eastAsia"/>
          <w:color w:val="000000" w:themeColor="text1"/>
        </w:rPr>
        <w:instrText>= 1 \* GB3</w:instrText>
      </w:r>
      <w:r>
        <w:rPr>
          <w:rFonts w:cs="Times New Roman" w:hint="eastAsia"/>
          <w:color w:val="000000" w:themeColor="text1"/>
        </w:rPr>
        <w:fldChar w:fldCharType="separate"/>
      </w:r>
      <w:r>
        <w:rPr>
          <w:rFonts w:cs="Times New Roman" w:hint="eastAsia"/>
          <w:color w:val="000000" w:themeColor="text1"/>
        </w:rPr>
        <w:t>①</w:t>
      </w:r>
      <w:r>
        <w:rPr>
          <w:rFonts w:cs="Times New Roman" w:hint="eastAsia"/>
          <w:color w:val="000000" w:themeColor="text1"/>
        </w:rPr>
        <w:fldChar w:fldCharType="end"/>
      </w:r>
      <w:r>
        <w:rPr>
          <w:rFonts w:cs="Times New Roman" w:hint="eastAsia"/>
          <w:color w:val="000000" w:themeColor="text1"/>
        </w:rPr>
        <w:t>落实应急救援组织和人员。每年初，进行一次组织调度与培训，确保救援组织落实；</w:t>
      </w:r>
    </w:p>
    <w:p w:rsidR="00644456" w:rsidRDefault="008031C4">
      <w:pPr>
        <w:pStyle w:val="-"/>
        <w:snapToGrid w:val="0"/>
        <w:ind w:firstLine="480"/>
        <w:rPr>
          <w:rFonts w:cs="Times New Roman"/>
          <w:color w:val="000000" w:themeColor="text1"/>
        </w:rPr>
      </w:pPr>
      <w:r>
        <w:rPr>
          <w:rFonts w:cs="Times New Roman" w:hint="eastAsia"/>
          <w:color w:val="000000" w:themeColor="text1"/>
        </w:rPr>
        <w:fldChar w:fldCharType="begin"/>
      </w:r>
      <w:r>
        <w:rPr>
          <w:rFonts w:cs="Times New Roman" w:hint="eastAsia"/>
          <w:color w:val="000000" w:themeColor="text1"/>
        </w:rPr>
        <w:instrText>= 2 \* GB3</w:instrText>
      </w:r>
      <w:r>
        <w:rPr>
          <w:rFonts w:cs="Times New Roman" w:hint="eastAsia"/>
          <w:color w:val="000000" w:themeColor="text1"/>
        </w:rPr>
        <w:fldChar w:fldCharType="separate"/>
      </w:r>
      <w:r>
        <w:rPr>
          <w:rFonts w:cs="Times New Roman" w:hint="eastAsia"/>
          <w:color w:val="000000" w:themeColor="text1"/>
        </w:rPr>
        <w:t>②</w:t>
      </w:r>
      <w:r>
        <w:rPr>
          <w:rFonts w:cs="Times New Roman" w:hint="eastAsia"/>
          <w:color w:val="000000" w:themeColor="text1"/>
        </w:rPr>
        <w:fldChar w:fldCharType="end"/>
      </w:r>
      <w:r>
        <w:rPr>
          <w:rFonts w:cs="Times New Roman" w:hint="eastAsia"/>
          <w:color w:val="000000" w:themeColor="text1"/>
        </w:rPr>
        <w:t>按照任务分工，做好物资器材准备，如：必要的指挥通讯，报警，洗消，消防，防护用品，检修等器材及交通工具，上述各种器材应指定专人保管，并定期检查保养，使其处于良好状况；</w:t>
      </w:r>
    </w:p>
    <w:p w:rsidR="00644456" w:rsidRDefault="008031C4">
      <w:pPr>
        <w:pStyle w:val="-"/>
        <w:snapToGrid w:val="0"/>
        <w:ind w:firstLine="480"/>
        <w:rPr>
          <w:rFonts w:cs="Times New Roman"/>
          <w:color w:val="000000" w:themeColor="text1"/>
        </w:rPr>
      </w:pPr>
      <w:r>
        <w:rPr>
          <w:rFonts w:cs="Times New Roman" w:hint="eastAsia"/>
          <w:color w:val="000000" w:themeColor="text1"/>
        </w:rPr>
        <w:fldChar w:fldCharType="begin"/>
      </w:r>
      <w:r>
        <w:rPr>
          <w:rFonts w:cs="Times New Roman" w:hint="eastAsia"/>
          <w:color w:val="000000" w:themeColor="text1"/>
        </w:rPr>
        <w:instrText>= 3 \* GB3</w:instrText>
      </w:r>
      <w:r>
        <w:rPr>
          <w:rFonts w:cs="Times New Roman" w:hint="eastAsia"/>
          <w:color w:val="000000" w:themeColor="text1"/>
        </w:rPr>
        <w:fldChar w:fldCharType="separate"/>
      </w:r>
      <w:r>
        <w:rPr>
          <w:rFonts w:cs="Times New Roman" w:hint="eastAsia"/>
          <w:color w:val="000000" w:themeColor="text1"/>
        </w:rPr>
        <w:t>③</w:t>
      </w:r>
      <w:r>
        <w:rPr>
          <w:rFonts w:cs="Times New Roman" w:hint="eastAsia"/>
          <w:color w:val="000000" w:themeColor="text1"/>
        </w:rPr>
        <w:fldChar w:fldCharType="end"/>
      </w:r>
      <w:r>
        <w:rPr>
          <w:rFonts w:cs="Times New Roman" w:hint="eastAsia"/>
          <w:color w:val="000000" w:themeColor="text1"/>
        </w:rPr>
        <w:t>定期组织救援训练和学习，每年演练两次，提高指挥水平和救援能力；</w:t>
      </w:r>
    </w:p>
    <w:p w:rsidR="00644456" w:rsidRDefault="008031C4">
      <w:pPr>
        <w:pStyle w:val="-"/>
        <w:snapToGrid w:val="0"/>
        <w:ind w:firstLine="480"/>
        <w:rPr>
          <w:rFonts w:cs="Times New Roman"/>
          <w:color w:val="000000" w:themeColor="text1"/>
        </w:rPr>
      </w:pPr>
      <w:r>
        <w:rPr>
          <w:rFonts w:cs="Times New Roman" w:hint="eastAsia"/>
          <w:color w:val="000000" w:themeColor="text1"/>
        </w:rPr>
        <w:fldChar w:fldCharType="begin"/>
      </w:r>
      <w:r>
        <w:rPr>
          <w:rFonts w:cs="Times New Roman" w:hint="eastAsia"/>
          <w:color w:val="000000" w:themeColor="text1"/>
        </w:rPr>
        <w:instrText>= 4 \* GB3</w:instrText>
      </w:r>
      <w:r>
        <w:rPr>
          <w:rFonts w:cs="Times New Roman" w:hint="eastAsia"/>
          <w:color w:val="000000" w:themeColor="text1"/>
        </w:rPr>
        <w:fldChar w:fldCharType="separate"/>
      </w:r>
      <w:r>
        <w:rPr>
          <w:rFonts w:cs="Times New Roman" w:hint="eastAsia"/>
          <w:color w:val="000000" w:themeColor="text1"/>
        </w:rPr>
        <w:t>④</w:t>
      </w:r>
      <w:r>
        <w:rPr>
          <w:rFonts w:cs="Times New Roman" w:hint="eastAsia"/>
          <w:color w:val="000000" w:themeColor="text1"/>
        </w:rPr>
        <w:fldChar w:fldCharType="end"/>
      </w:r>
      <w:r>
        <w:rPr>
          <w:rFonts w:cs="Times New Roman" w:hint="eastAsia"/>
          <w:color w:val="000000" w:themeColor="text1"/>
        </w:rPr>
        <w:t>对本厂员工进行经常性的应急救援常识教育；</w:t>
      </w:r>
    </w:p>
    <w:p w:rsidR="00644456" w:rsidRDefault="008031C4">
      <w:pPr>
        <w:pStyle w:val="-"/>
        <w:snapToGrid w:val="0"/>
        <w:ind w:firstLine="480"/>
        <w:rPr>
          <w:rFonts w:cs="Times New Roman"/>
          <w:color w:val="000000" w:themeColor="text1"/>
        </w:rPr>
      </w:pPr>
      <w:r>
        <w:rPr>
          <w:rFonts w:cs="Times New Roman" w:hint="eastAsia"/>
          <w:color w:val="000000" w:themeColor="text1"/>
        </w:rPr>
        <w:fldChar w:fldCharType="begin"/>
      </w:r>
      <w:r>
        <w:rPr>
          <w:rFonts w:cs="Times New Roman" w:hint="eastAsia"/>
          <w:color w:val="000000" w:themeColor="text1"/>
        </w:rPr>
        <w:instrText>= 5 \* GB3</w:instrText>
      </w:r>
      <w:r>
        <w:rPr>
          <w:rFonts w:cs="Times New Roman" w:hint="eastAsia"/>
          <w:color w:val="000000" w:themeColor="text1"/>
        </w:rPr>
        <w:fldChar w:fldCharType="separate"/>
      </w:r>
      <w:r>
        <w:rPr>
          <w:rFonts w:cs="Times New Roman" w:hint="eastAsia"/>
          <w:color w:val="000000" w:themeColor="text1"/>
        </w:rPr>
        <w:t>⑤</w:t>
      </w:r>
      <w:r>
        <w:rPr>
          <w:rFonts w:cs="Times New Roman" w:hint="eastAsia"/>
          <w:color w:val="000000" w:themeColor="text1"/>
        </w:rPr>
        <w:fldChar w:fldCharType="end"/>
      </w:r>
      <w:r>
        <w:rPr>
          <w:rFonts w:cs="Times New Roman" w:hint="eastAsia"/>
          <w:color w:val="000000" w:themeColor="text1"/>
        </w:rPr>
        <w:t>建立完善的各项制度。值班制度，建立昼夜值班制度；检查制度，每月定期检查应急救援工作落实情况及器具保管情况。</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5</w:t>
      </w:r>
      <w:r>
        <w:rPr>
          <w:rFonts w:cs="Times New Roman" w:hint="eastAsia"/>
          <w:color w:val="000000" w:themeColor="text1"/>
        </w:rPr>
        <w:t>）事故善后处理</w:t>
      </w:r>
    </w:p>
    <w:p w:rsidR="00644456" w:rsidRDefault="008031C4">
      <w:pPr>
        <w:pStyle w:val="-"/>
        <w:snapToGrid w:val="0"/>
        <w:ind w:firstLine="480"/>
        <w:rPr>
          <w:rFonts w:cs="Times New Roman"/>
          <w:color w:val="000000" w:themeColor="text1"/>
        </w:rPr>
      </w:pPr>
      <w:r>
        <w:rPr>
          <w:rFonts w:cs="Times New Roman" w:hint="eastAsia"/>
          <w:color w:val="000000" w:themeColor="text1"/>
        </w:rPr>
        <w:fldChar w:fldCharType="begin"/>
      </w:r>
      <w:r>
        <w:rPr>
          <w:rFonts w:cs="Times New Roman" w:hint="eastAsia"/>
          <w:color w:val="000000" w:themeColor="text1"/>
        </w:rPr>
        <w:instrText>= 1 \* GB3</w:instrText>
      </w:r>
      <w:r>
        <w:rPr>
          <w:rFonts w:cs="Times New Roman" w:hint="eastAsia"/>
          <w:color w:val="000000" w:themeColor="text1"/>
        </w:rPr>
        <w:fldChar w:fldCharType="separate"/>
      </w:r>
      <w:r>
        <w:rPr>
          <w:rFonts w:cs="Times New Roman" w:hint="eastAsia"/>
          <w:color w:val="000000" w:themeColor="text1"/>
        </w:rPr>
        <w:t>①</w:t>
      </w:r>
      <w:r>
        <w:rPr>
          <w:rFonts w:cs="Times New Roman" w:hint="eastAsia"/>
          <w:color w:val="000000" w:themeColor="text1"/>
        </w:rPr>
        <w:fldChar w:fldCharType="end"/>
      </w:r>
      <w:r>
        <w:rPr>
          <w:rFonts w:cs="Times New Roman" w:hint="eastAsia"/>
          <w:color w:val="000000" w:themeColor="text1"/>
        </w:rPr>
        <w:t>突发事件结束后，由有关部门迅速成立事故调查小组，进行调查处理；</w:t>
      </w:r>
    </w:p>
    <w:p w:rsidR="00644456" w:rsidRDefault="008031C4">
      <w:pPr>
        <w:pStyle w:val="-"/>
        <w:snapToGrid w:val="0"/>
        <w:ind w:firstLine="480"/>
        <w:rPr>
          <w:rFonts w:cs="Times New Roman"/>
          <w:color w:val="000000" w:themeColor="text1"/>
        </w:rPr>
      </w:pPr>
      <w:r>
        <w:rPr>
          <w:rFonts w:cs="Times New Roman" w:hint="eastAsia"/>
          <w:color w:val="000000" w:themeColor="text1"/>
        </w:rPr>
        <w:fldChar w:fldCharType="begin"/>
      </w:r>
      <w:r>
        <w:rPr>
          <w:rFonts w:cs="Times New Roman" w:hint="eastAsia"/>
          <w:color w:val="000000" w:themeColor="text1"/>
        </w:rPr>
        <w:instrText>= 2 \* GB3</w:instrText>
      </w:r>
      <w:r>
        <w:rPr>
          <w:rFonts w:cs="Times New Roman" w:hint="eastAsia"/>
          <w:color w:val="000000" w:themeColor="text1"/>
        </w:rPr>
        <w:fldChar w:fldCharType="separate"/>
      </w:r>
      <w:r>
        <w:rPr>
          <w:rFonts w:cs="Times New Roman" w:hint="eastAsia"/>
          <w:color w:val="000000" w:themeColor="text1"/>
        </w:rPr>
        <w:t>②</w:t>
      </w:r>
      <w:r>
        <w:rPr>
          <w:rFonts w:cs="Times New Roman" w:hint="eastAsia"/>
          <w:color w:val="000000" w:themeColor="text1"/>
        </w:rPr>
        <w:fldChar w:fldCharType="end"/>
      </w:r>
      <w:r>
        <w:rPr>
          <w:rFonts w:cs="Times New Roman" w:hint="eastAsia"/>
          <w:color w:val="000000" w:themeColor="text1"/>
        </w:rPr>
        <w:t>组织恢复生产，做好恢复生产的各项措施；</w:t>
      </w:r>
    </w:p>
    <w:p w:rsidR="00644456" w:rsidRDefault="008031C4">
      <w:pPr>
        <w:pStyle w:val="-"/>
        <w:snapToGrid w:val="0"/>
        <w:ind w:firstLine="480"/>
        <w:rPr>
          <w:rFonts w:cs="Times New Roman"/>
          <w:color w:val="000000" w:themeColor="text1"/>
        </w:rPr>
      </w:pPr>
      <w:r>
        <w:rPr>
          <w:rFonts w:cs="Times New Roman" w:hint="eastAsia"/>
          <w:color w:val="000000" w:themeColor="text1"/>
        </w:rPr>
        <w:fldChar w:fldCharType="begin"/>
      </w:r>
      <w:r>
        <w:rPr>
          <w:rFonts w:cs="Times New Roman" w:hint="eastAsia"/>
          <w:color w:val="000000" w:themeColor="text1"/>
        </w:rPr>
        <w:instrText>= 3 \* GB3</w:instrText>
      </w:r>
      <w:r>
        <w:rPr>
          <w:rFonts w:cs="Times New Roman" w:hint="eastAsia"/>
          <w:color w:val="000000" w:themeColor="text1"/>
        </w:rPr>
        <w:fldChar w:fldCharType="separate"/>
      </w:r>
      <w:r>
        <w:rPr>
          <w:rFonts w:cs="Times New Roman" w:hint="eastAsia"/>
          <w:color w:val="000000" w:themeColor="text1"/>
        </w:rPr>
        <w:t>③</w:t>
      </w:r>
      <w:r>
        <w:rPr>
          <w:rFonts w:cs="Times New Roman" w:hint="eastAsia"/>
          <w:color w:val="000000" w:themeColor="text1"/>
        </w:rPr>
        <w:fldChar w:fldCharType="end"/>
      </w:r>
      <w:r>
        <w:rPr>
          <w:rFonts w:cs="Times New Roman" w:hint="eastAsia"/>
          <w:color w:val="000000" w:themeColor="text1"/>
        </w:rPr>
        <w:t>突发事件结束后，根据突发事件的影响范围由企业办公室或指定人员统一对外发布信息。</w:t>
      </w:r>
    </w:p>
    <w:p w:rsidR="00644456" w:rsidRDefault="008031C4">
      <w:pPr>
        <w:pStyle w:val="-"/>
        <w:snapToGrid w:val="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6</w:t>
      </w:r>
      <w:r>
        <w:rPr>
          <w:rFonts w:cs="Times New Roman" w:hint="eastAsia"/>
          <w:color w:val="000000" w:themeColor="text1"/>
        </w:rPr>
        <w:t>）应急处置方案</w:t>
      </w:r>
    </w:p>
    <w:p w:rsidR="00644456" w:rsidRDefault="008031C4">
      <w:pPr>
        <w:pStyle w:val="-"/>
        <w:snapToGrid w:val="0"/>
        <w:ind w:firstLine="480"/>
        <w:rPr>
          <w:rFonts w:cs="Times New Roman"/>
          <w:color w:val="000000" w:themeColor="text1"/>
        </w:rPr>
      </w:pPr>
      <w:r>
        <w:rPr>
          <w:rFonts w:cs="Times New Roman" w:hint="eastAsia"/>
          <w:color w:val="000000" w:themeColor="text1"/>
        </w:rPr>
        <w:t>在事故发生后，应迅速组织本厂的应急救援队，救援队在做好自身防护的基础上，</w:t>
      </w:r>
      <w:r>
        <w:rPr>
          <w:rFonts w:cs="Times New Roman" w:hint="eastAsia"/>
          <w:color w:val="000000" w:themeColor="text1"/>
        </w:rPr>
        <w:lastRenderedPageBreak/>
        <w:t>快速实施救援，控制事故发展，做好撤离、疏散、危险物的清除工作；不应消极等待外界的援助。</w:t>
      </w:r>
    </w:p>
    <w:p w:rsidR="00644456" w:rsidRDefault="008031C4">
      <w:pPr>
        <w:pStyle w:val="-"/>
        <w:snapToGrid w:val="0"/>
        <w:ind w:firstLine="480"/>
        <w:rPr>
          <w:rFonts w:cs="Times New Roman"/>
          <w:color w:val="000000" w:themeColor="text1"/>
        </w:rPr>
      </w:pPr>
      <w:r>
        <w:rPr>
          <w:rFonts w:cs="Times New Roman" w:hint="eastAsia"/>
          <w:color w:val="000000" w:themeColor="text1"/>
        </w:rPr>
        <w:t>每个人都应按应急计划接受基本培训，使其在发生事故时采取正确的行动。</w:t>
      </w:r>
    </w:p>
    <w:p w:rsidR="00644456" w:rsidRDefault="008031C4">
      <w:pPr>
        <w:pStyle w:val="-"/>
        <w:snapToGrid w:val="0"/>
        <w:ind w:firstLine="480"/>
        <w:rPr>
          <w:rFonts w:cs="Times New Roman"/>
          <w:color w:val="000000" w:themeColor="text1"/>
        </w:rPr>
      </w:pPr>
      <w:r>
        <w:rPr>
          <w:rFonts w:cs="Times New Roman" w:hint="eastAsia"/>
          <w:color w:val="000000" w:themeColor="text1"/>
        </w:rPr>
        <w:t>火灾的处理控制措施</w:t>
      </w:r>
    </w:p>
    <w:p w:rsidR="00644456" w:rsidRDefault="008031C4">
      <w:pPr>
        <w:pStyle w:val="-"/>
        <w:snapToGrid w:val="0"/>
        <w:ind w:firstLine="480"/>
        <w:rPr>
          <w:rFonts w:cs="Times New Roman"/>
          <w:color w:val="000000" w:themeColor="text1"/>
        </w:rPr>
      </w:pPr>
      <w:r>
        <w:rPr>
          <w:rFonts w:cs="Times New Roman" w:hint="eastAsia"/>
          <w:color w:val="000000" w:themeColor="text1"/>
        </w:rPr>
        <w:t>火灾的处理控制原则：小火：用干粉、</w:t>
      </w:r>
      <w:r>
        <w:rPr>
          <w:rFonts w:cs="Times New Roman" w:hint="eastAsia"/>
          <w:color w:val="000000" w:themeColor="text1"/>
        </w:rPr>
        <w:t>CO2</w:t>
      </w:r>
      <w:r>
        <w:rPr>
          <w:rFonts w:cs="Times New Roman" w:hint="eastAsia"/>
          <w:color w:val="000000" w:themeColor="text1"/>
        </w:rPr>
        <w:t>、水幕或抗醇泡沫灭火。大火：用水幕、雾状水或抗醇泡沫灭火。不得使用直流水扑救。</w:t>
      </w:r>
    </w:p>
    <w:p w:rsidR="00644456" w:rsidRDefault="008031C4">
      <w:pPr>
        <w:pStyle w:val="-"/>
        <w:snapToGrid w:val="0"/>
        <w:ind w:firstLine="480"/>
        <w:rPr>
          <w:rFonts w:cs="Times New Roman"/>
          <w:color w:val="000000" w:themeColor="text1"/>
        </w:rPr>
      </w:pPr>
      <w:r>
        <w:rPr>
          <w:rFonts w:cs="Times New Roman" w:hint="eastAsia"/>
          <w:color w:val="000000" w:themeColor="text1"/>
        </w:rPr>
        <w:t>为防止火灾危及相邻设施，可采取以下保护措施：</w:t>
      </w:r>
    </w:p>
    <w:p w:rsidR="00644456" w:rsidRDefault="008031C4">
      <w:pPr>
        <w:pStyle w:val="-"/>
        <w:snapToGrid w:val="0"/>
        <w:ind w:firstLine="480"/>
        <w:rPr>
          <w:rFonts w:cs="Times New Roman"/>
          <w:color w:val="000000" w:themeColor="text1"/>
        </w:rPr>
      </w:pPr>
      <w:r>
        <w:rPr>
          <w:rFonts w:cs="Times New Roman" w:hint="eastAsia"/>
          <w:color w:val="000000" w:themeColor="text1"/>
        </w:rPr>
        <w:t>①对周围设施及时采取冷却保护措施；</w:t>
      </w:r>
    </w:p>
    <w:p w:rsidR="00644456" w:rsidRDefault="008031C4">
      <w:pPr>
        <w:pStyle w:val="-"/>
        <w:snapToGrid w:val="0"/>
        <w:ind w:firstLine="480"/>
        <w:rPr>
          <w:rFonts w:cs="Times New Roman"/>
          <w:color w:val="000000" w:themeColor="text1"/>
        </w:rPr>
      </w:pPr>
      <w:r>
        <w:rPr>
          <w:rFonts w:cs="Times New Roman" w:hint="eastAsia"/>
          <w:color w:val="000000" w:themeColor="text1"/>
        </w:rPr>
        <w:t>②迅速疏散受火势威胁的物资；</w:t>
      </w:r>
    </w:p>
    <w:p w:rsidR="00644456" w:rsidRDefault="008031C4">
      <w:pPr>
        <w:pStyle w:val="-"/>
        <w:snapToGrid w:val="0"/>
        <w:ind w:firstLine="480"/>
        <w:rPr>
          <w:rFonts w:cs="Times New Roman"/>
          <w:color w:val="000000" w:themeColor="text1"/>
        </w:rPr>
      </w:pPr>
      <w:r>
        <w:rPr>
          <w:rFonts w:cs="Times New Roman" w:hint="eastAsia"/>
          <w:color w:val="000000" w:themeColor="text1"/>
        </w:rPr>
        <w:t>③遇到爆炸性火灾时，迅速判断和查明再次发生爆炸的可能性和危险性，紧紧抓住爆炸后和再次发生爆炸之前的有利时机，采取一切可能的措施，全力制止再次爆炸的发生。切忌用沙土盖压，以免增强爆炸性废物爆炸时的威力；</w:t>
      </w:r>
    </w:p>
    <w:p w:rsidR="00644456" w:rsidRDefault="008031C4">
      <w:pPr>
        <w:pStyle w:val="-"/>
        <w:snapToGrid w:val="0"/>
        <w:ind w:firstLine="480"/>
        <w:rPr>
          <w:rFonts w:cs="Times New Roman"/>
          <w:color w:val="000000" w:themeColor="text1"/>
        </w:rPr>
      </w:pPr>
      <w:r>
        <w:rPr>
          <w:rFonts w:cs="Times New Roman" w:hint="eastAsia"/>
          <w:color w:val="000000" w:themeColor="text1"/>
        </w:rPr>
        <w:t>④灭火人员应尽量利用现场现成的掩蔽体或尽量采用卧姿等低姿射水，尽可能地采取自我保护措施。消防车辆不要停靠离爆炸性废物太近的水源；</w:t>
      </w:r>
    </w:p>
    <w:p w:rsidR="00644456" w:rsidRDefault="008031C4">
      <w:pPr>
        <w:pStyle w:val="-"/>
        <w:snapToGrid w:val="0"/>
        <w:ind w:firstLine="480"/>
        <w:rPr>
          <w:rFonts w:cs="Times New Roman"/>
          <w:color w:val="000000" w:themeColor="text1"/>
        </w:rPr>
      </w:pPr>
      <w:r>
        <w:rPr>
          <w:rFonts w:cs="Times New Roman" w:hint="eastAsia"/>
          <w:color w:val="000000" w:themeColor="text1"/>
        </w:rPr>
        <w:t>⑤灭火人员发现有发生再次爆炸的危险时，应立即向现场指挥报告，现场指挥应迅速作出准确判断，确有发生再次爆炸征兆或危险时，应立即下达撤退命令。灭火人员看到或听到撤退信号后，应迅速撤至安全地带，来不及撤退时，应就地卧倒。</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480" w:name="_Toc177216909"/>
      <w:bookmarkStart w:id="481" w:name="_Toc155789401"/>
      <w:r>
        <w:rPr>
          <w:rFonts w:cs="Times New Roman" w:hint="eastAsia"/>
          <w:color w:val="000000" w:themeColor="text1"/>
        </w:rPr>
        <w:t>7.10</w:t>
      </w:r>
      <w:r>
        <w:rPr>
          <w:rFonts w:cs="Times New Roman"/>
          <w:color w:val="000000" w:themeColor="text1"/>
        </w:rPr>
        <w:t>环境风险评价结论</w:t>
      </w:r>
      <w:bookmarkEnd w:id="474"/>
      <w:bookmarkEnd w:id="475"/>
      <w:bookmarkEnd w:id="480"/>
      <w:bookmarkEnd w:id="481"/>
    </w:p>
    <w:bookmarkEnd w:id="476"/>
    <w:bookmarkEnd w:id="477"/>
    <w:bookmarkEnd w:id="478"/>
    <w:bookmarkEnd w:id="479"/>
    <w:p w:rsidR="00644456" w:rsidRDefault="008031C4">
      <w:pPr>
        <w:pStyle w:val="-"/>
        <w:snapToGrid w:val="0"/>
        <w:ind w:firstLine="480"/>
        <w:rPr>
          <w:rFonts w:cs="Times New Roman"/>
          <w:color w:val="000000" w:themeColor="text1"/>
        </w:rPr>
      </w:pPr>
      <w:r>
        <w:rPr>
          <w:rFonts w:cs="Times New Roman" w:hint="eastAsia"/>
          <w:color w:val="000000" w:themeColor="text1"/>
        </w:rPr>
        <w:t>综上所述，建设项目存在一定潜在事故风险，要加强风险管理，在项目生产、管理过程中认真落实各种风险防范措施，通过相应的技术手段降低风险发生概率，并在风险事故发生后，及时采取风险防范措施及应急预案，可以使风险事故对环境的危害得到有效控制，将事故风险控制在可以接受的范围内，故该项目事故风险水平是可以接受的</w:t>
      </w:r>
      <w:r>
        <w:rPr>
          <w:rFonts w:cs="Times New Roman"/>
          <w:color w:val="000000" w:themeColor="text1"/>
        </w:rPr>
        <w:t>。</w:t>
      </w:r>
    </w:p>
    <w:p w:rsidR="00644456" w:rsidRDefault="00644456">
      <w:pPr>
        <w:pStyle w:val="-"/>
        <w:ind w:firstLine="480"/>
        <w:rPr>
          <w:rFonts w:cs="Times New Roman"/>
          <w:color w:val="000000" w:themeColor="text1"/>
        </w:rPr>
      </w:pPr>
      <w:bookmarkStart w:id="482" w:name="_Toc21514"/>
      <w:bookmarkStart w:id="483" w:name="_Toc48297858"/>
      <w:bookmarkStart w:id="484" w:name="_Toc18575"/>
      <w:bookmarkStart w:id="485" w:name="_Toc375206217"/>
      <w:bookmarkStart w:id="486" w:name="_Toc24724"/>
      <w:bookmarkStart w:id="487" w:name="_Toc48297854"/>
    </w:p>
    <w:p w:rsidR="00644456" w:rsidRDefault="00644456">
      <w:pPr>
        <w:pStyle w:val="-"/>
        <w:ind w:firstLine="480"/>
        <w:rPr>
          <w:rFonts w:cs="Times New Roman"/>
          <w:color w:val="000000" w:themeColor="text1"/>
        </w:rPr>
        <w:sectPr w:rsidR="00644456">
          <w:pgSz w:w="11905" w:h="16838"/>
          <w:pgMar w:top="1440" w:right="1440" w:bottom="1440" w:left="1440" w:header="850" w:footer="992" w:gutter="0"/>
          <w:cols w:space="0"/>
        </w:sectPr>
      </w:pPr>
    </w:p>
    <w:p w:rsidR="00644456" w:rsidRDefault="008031C4">
      <w:pPr>
        <w:pStyle w:val="1"/>
        <w:numPr>
          <w:ilvl w:val="0"/>
          <w:numId w:val="0"/>
        </w:numPr>
      </w:pPr>
      <w:bookmarkStart w:id="488" w:name="_Toc155789402"/>
      <w:bookmarkStart w:id="489" w:name="_Toc177216910"/>
      <w:r>
        <w:rPr>
          <w:rFonts w:hint="eastAsia"/>
        </w:rPr>
        <w:lastRenderedPageBreak/>
        <w:t>第</w:t>
      </w:r>
      <w:r>
        <w:rPr>
          <w:rFonts w:hint="eastAsia"/>
        </w:rPr>
        <w:t xml:space="preserve"> 8 </w:t>
      </w:r>
      <w:r>
        <w:rPr>
          <w:rFonts w:hint="eastAsia"/>
        </w:rPr>
        <w:t>章</w:t>
      </w:r>
      <w:r>
        <w:rPr>
          <w:rFonts w:hint="eastAsia"/>
        </w:rPr>
        <w:t xml:space="preserve"> </w:t>
      </w:r>
      <w:r>
        <w:t>环境经济损益分析</w:t>
      </w:r>
      <w:bookmarkEnd w:id="482"/>
      <w:bookmarkEnd w:id="483"/>
      <w:bookmarkEnd w:id="484"/>
      <w:bookmarkEnd w:id="488"/>
      <w:bookmarkEnd w:id="489"/>
    </w:p>
    <w:p w:rsidR="00644456" w:rsidRDefault="008031C4">
      <w:pPr>
        <w:pStyle w:val="-"/>
        <w:snapToGrid w:val="0"/>
        <w:ind w:firstLine="480"/>
        <w:rPr>
          <w:rFonts w:cs="Times New Roman"/>
          <w:color w:val="000000" w:themeColor="text1"/>
        </w:rPr>
      </w:pPr>
      <w:r>
        <w:rPr>
          <w:rFonts w:cs="Times New Roman"/>
          <w:color w:val="000000" w:themeColor="text1"/>
        </w:rPr>
        <w:t>环境经济损益分析旨在衡量拟建项目投入环保资金和取得的环保效果之间的得失，以评判项目的环境经济可行性，这里按</w:t>
      </w:r>
      <w:r>
        <w:rPr>
          <w:rFonts w:cs="Times New Roman"/>
          <w:color w:val="000000" w:themeColor="text1"/>
        </w:rPr>
        <w:t>“</w:t>
      </w:r>
      <w:r>
        <w:rPr>
          <w:rFonts w:cs="Times New Roman"/>
          <w:color w:val="000000" w:themeColor="text1"/>
        </w:rPr>
        <w:t>简要分析法</w:t>
      </w:r>
      <w:r>
        <w:rPr>
          <w:rFonts w:cs="Times New Roman"/>
          <w:color w:val="000000" w:themeColor="text1"/>
        </w:rPr>
        <w:t>”</w:t>
      </w:r>
      <w:r>
        <w:rPr>
          <w:rFonts w:cs="Times New Roman"/>
          <w:color w:val="000000" w:themeColor="text1"/>
        </w:rPr>
        <w:t>对拟建项目可能受到的经济、社会和环境效益进行综合分析。</w:t>
      </w:r>
    </w:p>
    <w:p w:rsidR="00644456" w:rsidRDefault="008031C4">
      <w:pPr>
        <w:pStyle w:val="20"/>
        <w:numPr>
          <w:ilvl w:val="1"/>
          <w:numId w:val="0"/>
        </w:numPr>
        <w:snapToGrid w:val="0"/>
        <w:spacing w:beforeLines="0" w:before="0" w:afterLines="0" w:after="0"/>
        <w:ind w:firstLine="600"/>
        <w:rPr>
          <w:rFonts w:cs="Times New Roman"/>
          <w:color w:val="000000" w:themeColor="text1"/>
          <w:sz w:val="30"/>
        </w:rPr>
      </w:pPr>
      <w:bookmarkStart w:id="490" w:name="_Toc28044"/>
      <w:bookmarkStart w:id="491" w:name="_Toc155789403"/>
      <w:bookmarkStart w:id="492" w:name="_Toc22148"/>
      <w:bookmarkStart w:id="493" w:name="_Toc177216911"/>
      <w:r>
        <w:rPr>
          <w:rFonts w:cs="Times New Roman" w:hint="eastAsia"/>
          <w:color w:val="000000" w:themeColor="text1"/>
          <w:sz w:val="30"/>
        </w:rPr>
        <w:t>8.1</w:t>
      </w:r>
      <w:r>
        <w:rPr>
          <w:rFonts w:cs="Times New Roman"/>
          <w:color w:val="000000" w:themeColor="text1"/>
          <w:sz w:val="30"/>
        </w:rPr>
        <w:t>环保投资分析</w:t>
      </w:r>
      <w:bookmarkEnd w:id="490"/>
      <w:bookmarkEnd w:id="491"/>
      <w:bookmarkEnd w:id="492"/>
      <w:bookmarkEnd w:id="493"/>
    </w:p>
    <w:p w:rsidR="00644456" w:rsidRDefault="008031C4">
      <w:pPr>
        <w:snapToGrid w:val="0"/>
        <w:spacing w:line="360" w:lineRule="auto"/>
        <w:ind w:firstLineChars="200" w:firstLine="480"/>
        <w:rPr>
          <w:rFonts w:cs="Times New Roman"/>
          <w:bCs/>
          <w:color w:val="000000" w:themeColor="text1"/>
          <w:sz w:val="24"/>
        </w:rPr>
      </w:pPr>
      <w:bookmarkStart w:id="494" w:name="_Toc493837180"/>
      <w:bookmarkStart w:id="495" w:name="_Toc482285127"/>
      <w:bookmarkStart w:id="496" w:name="_Toc478827367"/>
      <w:bookmarkStart w:id="497" w:name="_Toc500061250"/>
      <w:bookmarkStart w:id="498" w:name="_Toc478827031"/>
      <w:r>
        <w:rPr>
          <w:rFonts w:cs="Times New Roman"/>
          <w:bCs/>
          <w:color w:val="000000" w:themeColor="text1"/>
          <w:sz w:val="24"/>
        </w:rPr>
        <w:t>本项目总投资</w:t>
      </w:r>
      <w:r>
        <w:rPr>
          <w:rFonts w:cs="Times New Roman"/>
          <w:bCs/>
          <w:color w:val="000000" w:themeColor="text1"/>
          <w:sz w:val="24"/>
        </w:rPr>
        <w:t>7000</w:t>
      </w:r>
      <w:r>
        <w:rPr>
          <w:rFonts w:cs="Times New Roman"/>
          <w:bCs/>
          <w:color w:val="000000" w:themeColor="text1"/>
          <w:sz w:val="24"/>
        </w:rPr>
        <w:t>万元，环保投资</w:t>
      </w:r>
      <w:r w:rsidR="00AC71A6">
        <w:rPr>
          <w:rFonts w:cs="Times New Roman"/>
          <w:bCs/>
          <w:color w:val="000000" w:themeColor="text1"/>
          <w:sz w:val="24"/>
        </w:rPr>
        <w:t>570</w:t>
      </w:r>
      <w:r>
        <w:rPr>
          <w:rFonts w:cs="Times New Roman"/>
          <w:bCs/>
          <w:color w:val="000000" w:themeColor="text1"/>
          <w:sz w:val="24"/>
        </w:rPr>
        <w:t>万元，占工程总投资的</w:t>
      </w:r>
      <w:r>
        <w:rPr>
          <w:rFonts w:cs="Times New Roman"/>
          <w:bCs/>
          <w:color w:val="000000" w:themeColor="text1"/>
          <w:sz w:val="24"/>
        </w:rPr>
        <w:t>8.1%</w:t>
      </w:r>
      <w:r>
        <w:rPr>
          <w:rFonts w:cs="Times New Roman"/>
          <w:bCs/>
          <w:color w:val="000000" w:themeColor="text1"/>
          <w:sz w:val="24"/>
        </w:rPr>
        <w:t>，环保治理措施有针对性，且抓住了本项目环保投资的重点。从本项目环保设施的比例看，环保投资有重点，污染治理效果和环境效益明显，符合以较少的环保投资取得较大的环境效益的原则。</w:t>
      </w:r>
    </w:p>
    <w:p w:rsidR="00644456" w:rsidRDefault="008031C4">
      <w:pPr>
        <w:pStyle w:val="20"/>
        <w:numPr>
          <w:ilvl w:val="1"/>
          <w:numId w:val="0"/>
        </w:numPr>
        <w:snapToGrid w:val="0"/>
        <w:spacing w:beforeLines="0" w:before="0" w:afterLines="0" w:after="0"/>
        <w:ind w:firstLine="600"/>
        <w:rPr>
          <w:rFonts w:cs="Times New Roman"/>
          <w:color w:val="000000" w:themeColor="text1"/>
          <w:sz w:val="30"/>
        </w:rPr>
      </w:pPr>
      <w:bookmarkStart w:id="499" w:name="_Toc155789404"/>
      <w:bookmarkStart w:id="500" w:name="_Toc23839"/>
      <w:bookmarkStart w:id="501" w:name="_Toc177216912"/>
      <w:bookmarkStart w:id="502" w:name="_Toc29925"/>
      <w:r>
        <w:rPr>
          <w:rFonts w:cs="Times New Roman" w:hint="eastAsia"/>
          <w:color w:val="000000" w:themeColor="text1"/>
          <w:sz w:val="30"/>
        </w:rPr>
        <w:t>8.2</w:t>
      </w:r>
      <w:r>
        <w:rPr>
          <w:rFonts w:cs="Times New Roman"/>
          <w:color w:val="000000" w:themeColor="text1"/>
          <w:sz w:val="30"/>
        </w:rPr>
        <w:t>环境</w:t>
      </w:r>
      <w:bookmarkEnd w:id="494"/>
      <w:bookmarkEnd w:id="495"/>
      <w:bookmarkEnd w:id="496"/>
      <w:bookmarkEnd w:id="497"/>
      <w:bookmarkEnd w:id="498"/>
      <w:r>
        <w:rPr>
          <w:rFonts w:cs="Times New Roman"/>
          <w:color w:val="000000" w:themeColor="text1"/>
          <w:sz w:val="30"/>
        </w:rPr>
        <w:t>效益分析</w:t>
      </w:r>
      <w:bookmarkEnd w:id="499"/>
      <w:bookmarkEnd w:id="500"/>
      <w:bookmarkEnd w:id="501"/>
      <w:bookmarkEnd w:id="502"/>
    </w:p>
    <w:p w:rsidR="00644456" w:rsidRDefault="008031C4">
      <w:pPr>
        <w:autoSpaceDE w:val="0"/>
        <w:autoSpaceDN w:val="0"/>
        <w:snapToGrid w:val="0"/>
        <w:spacing w:line="360" w:lineRule="auto"/>
        <w:ind w:firstLineChars="200" w:firstLine="480"/>
        <w:rPr>
          <w:rFonts w:hAnsi="宋体"/>
          <w:color w:val="000000" w:themeColor="text1"/>
          <w:sz w:val="24"/>
          <w:szCs w:val="24"/>
        </w:rPr>
      </w:pPr>
      <w:bookmarkStart w:id="503" w:name="_Toc408221414"/>
      <w:bookmarkStart w:id="504" w:name="_Toc500061251"/>
      <w:bookmarkStart w:id="505" w:name="_Toc493837181"/>
      <w:bookmarkStart w:id="506" w:name="_Toc478827032"/>
      <w:bookmarkStart w:id="507" w:name="_Toc482285128"/>
      <w:bookmarkStart w:id="508" w:name="_Toc478827368"/>
      <w:r>
        <w:rPr>
          <w:rFonts w:hAnsi="宋体" w:hint="eastAsia"/>
          <w:color w:val="000000" w:themeColor="text1"/>
          <w:sz w:val="24"/>
          <w:szCs w:val="24"/>
        </w:rPr>
        <w:t>环保工程的建设不仅可以给企业带来直接的经济效益，从环境保护来讲，更重要的是将对保护水环境、大气环境、声环境等起到很大的作用，为当地人民的生活环境和身体健康提供有利的保障。</w:t>
      </w:r>
    </w:p>
    <w:p w:rsidR="00644456" w:rsidRDefault="008031C4">
      <w:pPr>
        <w:autoSpaceDE w:val="0"/>
        <w:autoSpaceDN w:val="0"/>
        <w:snapToGrid w:val="0"/>
        <w:spacing w:line="360" w:lineRule="auto"/>
        <w:ind w:firstLineChars="200" w:firstLine="480"/>
        <w:rPr>
          <w:rFonts w:hAnsi="宋体"/>
          <w:color w:val="000000" w:themeColor="text1"/>
          <w:sz w:val="24"/>
          <w:szCs w:val="24"/>
        </w:rPr>
      </w:pPr>
      <w:r>
        <w:rPr>
          <w:rFonts w:hAnsi="宋体" w:hint="eastAsia"/>
          <w:color w:val="000000" w:themeColor="text1"/>
          <w:sz w:val="24"/>
          <w:szCs w:val="24"/>
        </w:rPr>
        <w:t>1</w:t>
      </w:r>
      <w:r>
        <w:rPr>
          <w:rFonts w:hAnsi="宋体" w:hint="eastAsia"/>
          <w:color w:val="000000" w:themeColor="text1"/>
          <w:sz w:val="24"/>
          <w:szCs w:val="24"/>
        </w:rPr>
        <w:t>、企业实施雨污分流，确保废水纳管排放，防止了对周边水体的污染，保证了群众的身体健康和经济收益。</w:t>
      </w:r>
    </w:p>
    <w:p w:rsidR="00644456" w:rsidRDefault="008031C4">
      <w:pPr>
        <w:autoSpaceDE w:val="0"/>
        <w:autoSpaceDN w:val="0"/>
        <w:snapToGrid w:val="0"/>
        <w:spacing w:line="360" w:lineRule="auto"/>
        <w:ind w:firstLineChars="200" w:firstLine="480"/>
        <w:rPr>
          <w:rFonts w:hAnsi="宋体"/>
          <w:color w:val="000000" w:themeColor="text1"/>
          <w:sz w:val="24"/>
          <w:szCs w:val="24"/>
        </w:rPr>
      </w:pPr>
      <w:r>
        <w:rPr>
          <w:rFonts w:hAnsi="宋体" w:hint="eastAsia"/>
          <w:color w:val="000000" w:themeColor="text1"/>
          <w:sz w:val="24"/>
          <w:szCs w:val="24"/>
        </w:rPr>
        <w:t>2</w:t>
      </w:r>
      <w:r>
        <w:rPr>
          <w:rFonts w:hAnsi="宋体" w:hint="eastAsia"/>
          <w:color w:val="000000" w:themeColor="text1"/>
          <w:sz w:val="24"/>
          <w:szCs w:val="24"/>
        </w:rPr>
        <w:t>、通过废气治理使外排废气达到相应排放标准，减轻了对周围环境空气质量的影响，有效减缓了对区域内人体健康和生态环境的影响。</w:t>
      </w:r>
    </w:p>
    <w:p w:rsidR="00644456" w:rsidRDefault="008031C4">
      <w:pPr>
        <w:autoSpaceDE w:val="0"/>
        <w:autoSpaceDN w:val="0"/>
        <w:snapToGrid w:val="0"/>
        <w:spacing w:line="360" w:lineRule="auto"/>
        <w:ind w:firstLineChars="200" w:firstLine="480"/>
        <w:rPr>
          <w:rFonts w:hAnsi="宋体"/>
          <w:color w:val="000000" w:themeColor="text1"/>
          <w:sz w:val="24"/>
          <w:szCs w:val="24"/>
        </w:rPr>
      </w:pPr>
      <w:r>
        <w:rPr>
          <w:rFonts w:hAnsi="宋体" w:hint="eastAsia"/>
          <w:color w:val="000000" w:themeColor="text1"/>
          <w:sz w:val="24"/>
          <w:szCs w:val="24"/>
        </w:rPr>
        <w:t>3</w:t>
      </w:r>
      <w:r>
        <w:rPr>
          <w:rFonts w:hAnsi="宋体" w:hint="eastAsia"/>
          <w:color w:val="000000" w:themeColor="text1"/>
          <w:sz w:val="24"/>
          <w:szCs w:val="24"/>
        </w:rPr>
        <w:t>、固体废物的综合利用或合理处置，不仅有效消除了对周围水体、大气和土壤等环境的污染，而且可以变废为宝，增加经济收益。</w:t>
      </w:r>
    </w:p>
    <w:p w:rsidR="00644456" w:rsidRDefault="008031C4">
      <w:pPr>
        <w:autoSpaceDE w:val="0"/>
        <w:autoSpaceDN w:val="0"/>
        <w:snapToGrid w:val="0"/>
        <w:spacing w:line="360" w:lineRule="auto"/>
        <w:ind w:firstLineChars="200" w:firstLine="480"/>
        <w:rPr>
          <w:rFonts w:hAnsi="宋体"/>
          <w:color w:val="000000" w:themeColor="text1"/>
          <w:sz w:val="24"/>
          <w:szCs w:val="24"/>
        </w:rPr>
      </w:pPr>
      <w:r>
        <w:rPr>
          <w:rFonts w:hAnsi="宋体" w:hint="eastAsia"/>
          <w:color w:val="000000" w:themeColor="text1"/>
          <w:sz w:val="24"/>
          <w:szCs w:val="24"/>
        </w:rPr>
        <w:t>综合各种因素，本项目的建设能对当地经济建设、生产发展起到一定的推动作用，要求企业在生产过程中认真落实本环评中提出的环保措施，特别是推行清洁生产，使污染物的排放降到最低水平，其社会、经济、环境效益均是比较理想的。</w:t>
      </w:r>
    </w:p>
    <w:p w:rsidR="00644456" w:rsidRDefault="008031C4">
      <w:pPr>
        <w:pStyle w:val="20"/>
        <w:numPr>
          <w:ilvl w:val="1"/>
          <w:numId w:val="0"/>
        </w:numPr>
        <w:snapToGrid w:val="0"/>
        <w:spacing w:beforeLines="0" w:before="0" w:afterLines="0" w:after="0"/>
        <w:ind w:firstLine="600"/>
        <w:rPr>
          <w:rFonts w:cs="Times New Roman"/>
          <w:color w:val="000000" w:themeColor="text1"/>
          <w:sz w:val="30"/>
        </w:rPr>
      </w:pPr>
      <w:bookmarkStart w:id="509" w:name="_Toc177216913"/>
      <w:bookmarkStart w:id="510" w:name="_Toc155789405"/>
      <w:bookmarkStart w:id="511" w:name="_Toc32422"/>
      <w:bookmarkStart w:id="512" w:name="_Toc21875"/>
      <w:bookmarkEnd w:id="503"/>
      <w:r>
        <w:rPr>
          <w:rFonts w:cs="Times New Roman" w:hint="eastAsia"/>
          <w:color w:val="000000" w:themeColor="text1"/>
          <w:sz w:val="30"/>
        </w:rPr>
        <w:t>8.3</w:t>
      </w:r>
      <w:r>
        <w:rPr>
          <w:rFonts w:cs="Times New Roman"/>
          <w:color w:val="000000" w:themeColor="text1"/>
          <w:sz w:val="30"/>
        </w:rPr>
        <w:t>经济效益分析</w:t>
      </w:r>
      <w:bookmarkEnd w:id="504"/>
      <w:bookmarkEnd w:id="505"/>
      <w:bookmarkEnd w:id="506"/>
      <w:bookmarkEnd w:id="507"/>
      <w:bookmarkEnd w:id="508"/>
      <w:bookmarkEnd w:id="509"/>
      <w:bookmarkEnd w:id="510"/>
      <w:bookmarkEnd w:id="511"/>
      <w:bookmarkEnd w:id="512"/>
    </w:p>
    <w:p w:rsidR="00644456" w:rsidRDefault="008031C4">
      <w:pPr>
        <w:adjustRightInd w:val="0"/>
        <w:snapToGrid w:val="0"/>
        <w:spacing w:line="360" w:lineRule="auto"/>
        <w:ind w:firstLineChars="200" w:firstLine="480"/>
        <w:jc w:val="left"/>
        <w:rPr>
          <w:rFonts w:cs="Times New Roman"/>
          <w:bCs/>
          <w:color w:val="000000" w:themeColor="text1"/>
          <w:sz w:val="24"/>
        </w:rPr>
      </w:pPr>
      <w:bookmarkStart w:id="513" w:name="_Toc500061252"/>
      <w:bookmarkStart w:id="514" w:name="_Toc482285129"/>
      <w:bookmarkStart w:id="515" w:name="_Toc493837182"/>
      <w:bookmarkStart w:id="516" w:name="_Toc478827369"/>
      <w:bookmarkStart w:id="517" w:name="_Toc478827033"/>
      <w:r>
        <w:rPr>
          <w:rFonts w:cs="Times New Roman"/>
          <w:bCs/>
          <w:color w:val="000000" w:themeColor="text1"/>
          <w:sz w:val="24"/>
        </w:rPr>
        <w:t>本项目环境保护措施的经济效益大致可分为：</w:t>
      </w:r>
    </w:p>
    <w:p w:rsidR="00644456" w:rsidRDefault="008031C4">
      <w:pPr>
        <w:adjustRightInd w:val="0"/>
        <w:snapToGrid w:val="0"/>
        <w:spacing w:line="360" w:lineRule="auto"/>
        <w:ind w:firstLineChars="200" w:firstLine="480"/>
        <w:jc w:val="left"/>
        <w:rPr>
          <w:rFonts w:cs="Times New Roman"/>
          <w:bCs/>
          <w:color w:val="000000" w:themeColor="text1"/>
          <w:sz w:val="24"/>
        </w:rPr>
      </w:pPr>
      <w:r>
        <w:rPr>
          <w:rFonts w:cs="Times New Roman" w:hint="eastAsia"/>
          <w:bCs/>
          <w:color w:val="000000" w:themeColor="text1"/>
          <w:sz w:val="24"/>
        </w:rPr>
        <w:t>项目实施后在达到预期投入产出效果的情况下，项目的年利润约</w:t>
      </w:r>
      <w:r>
        <w:rPr>
          <w:rFonts w:cs="Times New Roman" w:hint="eastAsia"/>
          <w:bCs/>
          <w:color w:val="000000" w:themeColor="text1"/>
          <w:sz w:val="24"/>
        </w:rPr>
        <w:t>1500</w:t>
      </w:r>
      <w:r>
        <w:rPr>
          <w:rFonts w:cs="Times New Roman" w:hint="eastAsia"/>
          <w:bCs/>
          <w:color w:val="000000" w:themeColor="text1"/>
          <w:sz w:val="24"/>
        </w:rPr>
        <w:t>万元，投资回收期约</w:t>
      </w:r>
      <w:r>
        <w:rPr>
          <w:rFonts w:cs="Times New Roman" w:hint="eastAsia"/>
          <w:bCs/>
          <w:color w:val="000000" w:themeColor="text1"/>
          <w:sz w:val="24"/>
        </w:rPr>
        <w:t>3</w:t>
      </w:r>
      <w:r>
        <w:rPr>
          <w:rFonts w:cs="Times New Roman" w:hint="eastAsia"/>
          <w:bCs/>
          <w:color w:val="000000" w:themeColor="text1"/>
          <w:sz w:val="24"/>
        </w:rPr>
        <w:t>年。从盈亏平衡分析来看，本项目具有较强的抗风险能力，同时也为地方财政收入做出一定的贡献。因此，本项目投资建设在财务上可行，有较好的经济效益</w:t>
      </w:r>
      <w:r>
        <w:rPr>
          <w:rFonts w:cs="Times New Roman"/>
          <w:bCs/>
          <w:color w:val="000000" w:themeColor="text1"/>
          <w:sz w:val="24"/>
        </w:rPr>
        <w:t>。</w:t>
      </w:r>
    </w:p>
    <w:p w:rsidR="00644456" w:rsidRDefault="008031C4">
      <w:pPr>
        <w:adjustRightInd w:val="0"/>
        <w:snapToGrid w:val="0"/>
        <w:spacing w:line="360" w:lineRule="auto"/>
        <w:ind w:firstLineChars="200" w:firstLine="480"/>
        <w:jc w:val="left"/>
        <w:rPr>
          <w:rFonts w:cs="Times New Roman"/>
          <w:bCs/>
          <w:color w:val="000000" w:themeColor="text1"/>
          <w:sz w:val="24"/>
        </w:rPr>
      </w:pPr>
      <w:r>
        <w:rPr>
          <w:rFonts w:cs="Times New Roman" w:hint="eastAsia"/>
          <w:bCs/>
          <w:color w:val="000000" w:themeColor="text1"/>
          <w:sz w:val="24"/>
        </w:rPr>
        <w:t>项目的建设和运营将带来增加的税收收入，如增值税、所得税等。通过税收收入的增加，疏勒县的财政收入将得到提升，为地方政府提供更多的财力支持，用于公共服务</w:t>
      </w:r>
      <w:r>
        <w:rPr>
          <w:rFonts w:cs="Times New Roman" w:hint="eastAsia"/>
          <w:bCs/>
          <w:color w:val="000000" w:themeColor="text1"/>
          <w:sz w:val="24"/>
        </w:rPr>
        <w:lastRenderedPageBreak/>
        <w:t>和基础设施建设等方面。</w:t>
      </w:r>
    </w:p>
    <w:p w:rsidR="00644456" w:rsidRDefault="008031C4">
      <w:pPr>
        <w:adjustRightInd w:val="0"/>
        <w:snapToGrid w:val="0"/>
        <w:spacing w:line="360" w:lineRule="auto"/>
        <w:ind w:firstLineChars="200" w:firstLine="480"/>
        <w:jc w:val="left"/>
        <w:rPr>
          <w:rFonts w:cs="Times New Roman"/>
          <w:bCs/>
          <w:color w:val="000000" w:themeColor="text1"/>
          <w:sz w:val="24"/>
        </w:rPr>
      </w:pPr>
      <w:r>
        <w:rPr>
          <w:rFonts w:cs="Times New Roman" w:hint="eastAsia"/>
          <w:bCs/>
          <w:color w:val="000000" w:themeColor="text1"/>
          <w:sz w:val="24"/>
        </w:rPr>
        <w:t>项目的建设和运营将创造大量的就业机会，项目建成后能够增加</w:t>
      </w:r>
      <w:r>
        <w:rPr>
          <w:rFonts w:cs="Times New Roman" w:hint="eastAsia"/>
          <w:bCs/>
          <w:color w:val="000000" w:themeColor="text1"/>
          <w:sz w:val="24"/>
        </w:rPr>
        <w:t>60</w:t>
      </w:r>
      <w:r>
        <w:rPr>
          <w:rFonts w:cs="Times New Roman" w:hint="eastAsia"/>
          <w:bCs/>
          <w:color w:val="000000" w:themeColor="text1"/>
          <w:sz w:val="24"/>
        </w:rPr>
        <w:t>人的就业。为当地居民提供稳定和有尊严的就业机会。这将有助于减少失业率，改善人民生活，促进社会稳定和可持续发展。</w:t>
      </w:r>
    </w:p>
    <w:p w:rsidR="00644456" w:rsidRDefault="008031C4">
      <w:pPr>
        <w:pStyle w:val="20"/>
        <w:numPr>
          <w:ilvl w:val="1"/>
          <w:numId w:val="0"/>
        </w:numPr>
        <w:snapToGrid w:val="0"/>
        <w:spacing w:beforeLines="0" w:before="0" w:afterLines="0" w:after="0"/>
        <w:ind w:firstLine="600"/>
        <w:rPr>
          <w:rFonts w:cs="Times New Roman"/>
          <w:color w:val="000000" w:themeColor="text1"/>
          <w:sz w:val="30"/>
        </w:rPr>
      </w:pPr>
      <w:bookmarkStart w:id="518" w:name="_Toc12581"/>
      <w:bookmarkStart w:id="519" w:name="_Toc4735"/>
      <w:bookmarkStart w:id="520" w:name="_Toc177216914"/>
      <w:bookmarkStart w:id="521" w:name="_Toc155789406"/>
      <w:r>
        <w:rPr>
          <w:rFonts w:cs="Times New Roman" w:hint="eastAsia"/>
          <w:color w:val="000000" w:themeColor="text1"/>
          <w:sz w:val="30"/>
        </w:rPr>
        <w:t>8.4</w:t>
      </w:r>
      <w:r>
        <w:rPr>
          <w:rFonts w:cs="Times New Roman"/>
          <w:color w:val="000000" w:themeColor="text1"/>
          <w:sz w:val="30"/>
        </w:rPr>
        <w:t>社会效益分析</w:t>
      </w:r>
      <w:bookmarkEnd w:id="513"/>
      <w:bookmarkEnd w:id="514"/>
      <w:bookmarkEnd w:id="515"/>
      <w:bookmarkEnd w:id="516"/>
      <w:bookmarkEnd w:id="517"/>
      <w:bookmarkEnd w:id="518"/>
      <w:bookmarkEnd w:id="519"/>
      <w:bookmarkEnd w:id="520"/>
      <w:bookmarkEnd w:id="521"/>
    </w:p>
    <w:p w:rsidR="00644456" w:rsidRDefault="008031C4">
      <w:pPr>
        <w:snapToGrid w:val="0"/>
        <w:spacing w:line="360" w:lineRule="auto"/>
        <w:ind w:firstLineChars="200" w:firstLine="480"/>
        <w:jc w:val="left"/>
        <w:rPr>
          <w:rFonts w:cs="Times New Roman"/>
          <w:bCs/>
          <w:color w:val="000000" w:themeColor="text1"/>
          <w:sz w:val="24"/>
        </w:rPr>
      </w:pPr>
      <w:bookmarkStart w:id="522" w:name="_Toc493837183"/>
      <w:bookmarkStart w:id="523" w:name="_Toc500061253"/>
      <w:bookmarkStart w:id="524" w:name="_Toc478827370"/>
      <w:bookmarkStart w:id="525" w:name="_Toc478827034"/>
      <w:bookmarkStart w:id="526" w:name="_Toc482285130"/>
      <w:r>
        <w:rPr>
          <w:rFonts w:cs="Times New Roman" w:hint="eastAsia"/>
          <w:bCs/>
          <w:color w:val="000000" w:themeColor="text1"/>
          <w:sz w:val="24"/>
        </w:rPr>
        <w:t>喀什正启节能环保科技有限公司废矿物油再生与利用项目在生产加工、销售等环节对不同利益相关者产生影响。针对不同目标群体的诉求，项目应提供就业机会和技能培训，促进员工发展。同时，项目还需承担社会责任，关注环境保护和社区发展。为减轻负面社会影响，项目应加强环境管理，提高员工福利，与当地居民密切合作，实现共赢发展</w:t>
      </w:r>
      <w:r>
        <w:rPr>
          <w:rFonts w:cs="Times New Roman"/>
          <w:bCs/>
          <w:color w:val="000000" w:themeColor="text1"/>
          <w:sz w:val="24"/>
        </w:rPr>
        <w:t>。</w:t>
      </w:r>
    </w:p>
    <w:p w:rsidR="00644456" w:rsidRDefault="008031C4">
      <w:pPr>
        <w:pStyle w:val="20"/>
        <w:numPr>
          <w:ilvl w:val="1"/>
          <w:numId w:val="0"/>
        </w:numPr>
        <w:snapToGrid w:val="0"/>
        <w:spacing w:beforeLines="0" w:before="0" w:afterLines="0" w:after="0"/>
        <w:ind w:firstLine="600"/>
        <w:rPr>
          <w:rFonts w:cs="Times New Roman"/>
          <w:color w:val="000000" w:themeColor="text1"/>
          <w:sz w:val="30"/>
        </w:rPr>
      </w:pPr>
      <w:bookmarkStart w:id="527" w:name="_Toc177216915"/>
      <w:bookmarkStart w:id="528" w:name="_Toc478827371"/>
      <w:bookmarkStart w:id="529" w:name="_Toc482285131"/>
      <w:bookmarkStart w:id="530" w:name="_Toc21017"/>
      <w:bookmarkStart w:id="531" w:name="_Toc155789407"/>
      <w:bookmarkStart w:id="532" w:name="_Toc21675"/>
      <w:bookmarkStart w:id="533" w:name="_Toc500061254"/>
      <w:bookmarkStart w:id="534" w:name="_Toc478827035"/>
      <w:bookmarkStart w:id="535" w:name="_Toc493837184"/>
      <w:bookmarkEnd w:id="522"/>
      <w:bookmarkEnd w:id="523"/>
      <w:bookmarkEnd w:id="524"/>
      <w:bookmarkEnd w:id="525"/>
      <w:bookmarkEnd w:id="526"/>
      <w:r>
        <w:rPr>
          <w:rFonts w:cs="Times New Roman" w:hint="eastAsia"/>
          <w:color w:val="000000" w:themeColor="text1"/>
          <w:sz w:val="30"/>
        </w:rPr>
        <w:t>8.5</w:t>
      </w:r>
      <w:r>
        <w:rPr>
          <w:rFonts w:cs="Times New Roman"/>
          <w:color w:val="000000" w:themeColor="text1"/>
          <w:sz w:val="30"/>
        </w:rPr>
        <w:t>小结</w:t>
      </w:r>
      <w:bookmarkEnd w:id="527"/>
      <w:bookmarkEnd w:id="528"/>
      <w:bookmarkEnd w:id="529"/>
      <w:bookmarkEnd w:id="530"/>
      <w:bookmarkEnd w:id="531"/>
      <w:bookmarkEnd w:id="532"/>
      <w:bookmarkEnd w:id="533"/>
      <w:bookmarkEnd w:id="534"/>
      <w:bookmarkEnd w:id="535"/>
    </w:p>
    <w:p w:rsidR="00644456" w:rsidRDefault="008031C4">
      <w:pPr>
        <w:snapToGrid w:val="0"/>
        <w:spacing w:line="360" w:lineRule="auto"/>
        <w:ind w:firstLine="482"/>
        <w:textAlignment w:val="center"/>
        <w:rPr>
          <w:rFonts w:cs="Times New Roman"/>
          <w:color w:val="000000" w:themeColor="text1"/>
        </w:rPr>
      </w:pPr>
      <w:r>
        <w:rPr>
          <w:rFonts w:cs="Times New Roman" w:hint="eastAsia"/>
          <w:color w:val="000000" w:themeColor="text1"/>
          <w:kern w:val="0"/>
          <w:sz w:val="24"/>
        </w:rPr>
        <w:t>喀什正启节能环保科技有限公司废矿物油再生与利用项目环保总投资为</w:t>
      </w:r>
      <w:r w:rsidR="00AC71A6">
        <w:rPr>
          <w:rFonts w:cs="Times New Roman"/>
          <w:color w:val="000000" w:themeColor="text1"/>
          <w:kern w:val="0"/>
          <w:sz w:val="24"/>
        </w:rPr>
        <w:t>570</w:t>
      </w:r>
      <w:r>
        <w:rPr>
          <w:rFonts w:cs="Times New Roman" w:hint="eastAsia"/>
          <w:color w:val="000000" w:themeColor="text1"/>
          <w:kern w:val="0"/>
          <w:sz w:val="24"/>
        </w:rPr>
        <w:t>万元，占项目总投资</w:t>
      </w:r>
      <w:r w:rsidR="00AC71A6">
        <w:rPr>
          <w:rFonts w:cs="Times New Roman"/>
          <w:color w:val="000000" w:themeColor="text1"/>
          <w:kern w:val="0"/>
          <w:sz w:val="24"/>
        </w:rPr>
        <w:t>7000</w:t>
      </w:r>
      <w:r>
        <w:rPr>
          <w:rFonts w:cs="Times New Roman" w:hint="eastAsia"/>
          <w:color w:val="000000" w:themeColor="text1"/>
          <w:kern w:val="0"/>
          <w:sz w:val="24"/>
        </w:rPr>
        <w:t>万元的</w:t>
      </w:r>
      <w:r w:rsidR="00AC71A6">
        <w:rPr>
          <w:rFonts w:cs="Times New Roman"/>
          <w:color w:val="000000" w:themeColor="text1"/>
          <w:kern w:val="0"/>
          <w:sz w:val="24"/>
        </w:rPr>
        <w:t>8.1</w:t>
      </w:r>
      <w:r>
        <w:rPr>
          <w:rFonts w:cs="Times New Roman" w:hint="eastAsia"/>
          <w:color w:val="000000" w:themeColor="text1"/>
          <w:kern w:val="0"/>
          <w:sz w:val="24"/>
        </w:rPr>
        <w:t>%</w:t>
      </w:r>
      <w:r>
        <w:rPr>
          <w:rFonts w:cs="Times New Roman"/>
          <w:color w:val="000000" w:themeColor="text1"/>
          <w:kern w:val="0"/>
          <w:sz w:val="24"/>
        </w:rPr>
        <w:t>。主要用于</w:t>
      </w:r>
      <w:r>
        <w:rPr>
          <w:rFonts w:cs="Times New Roman"/>
          <w:color w:val="000000" w:themeColor="text1"/>
          <w:kern w:val="0"/>
          <w:sz w:val="24"/>
        </w:rPr>
        <w:t>“</w:t>
      </w:r>
      <w:r>
        <w:rPr>
          <w:rFonts w:cs="Times New Roman"/>
          <w:color w:val="000000" w:themeColor="text1"/>
          <w:kern w:val="0"/>
          <w:sz w:val="24"/>
        </w:rPr>
        <w:t>三废</w:t>
      </w:r>
      <w:r>
        <w:rPr>
          <w:rFonts w:cs="Times New Roman"/>
          <w:color w:val="000000" w:themeColor="text1"/>
          <w:kern w:val="0"/>
          <w:sz w:val="24"/>
        </w:rPr>
        <w:t>”</w:t>
      </w:r>
      <w:r>
        <w:rPr>
          <w:rFonts w:cs="Times New Roman"/>
          <w:color w:val="000000" w:themeColor="text1"/>
          <w:kern w:val="0"/>
          <w:sz w:val="24"/>
        </w:rPr>
        <w:t>治理、</w:t>
      </w:r>
      <w:r>
        <w:rPr>
          <w:rFonts w:cs="Times New Roman"/>
          <w:color w:val="000000" w:themeColor="text1"/>
          <w:sz w:val="24"/>
        </w:rPr>
        <w:t>地下水防护措施、</w:t>
      </w:r>
      <w:r>
        <w:rPr>
          <w:rFonts w:cs="Times New Roman"/>
          <w:color w:val="000000" w:themeColor="text1"/>
          <w:kern w:val="0"/>
          <w:sz w:val="24"/>
        </w:rPr>
        <w:t>环境风险防范以及噪声的控制。环境影响经济损益分析结果表明：公司采取的环保措施能够取得很好的治理效果，能很好地保护周围环境，做到了以较少的环保投资取得较大的环境效益，其社会、环境、经济效益较为显著。</w:t>
      </w:r>
      <w:bookmarkStart w:id="536" w:name="_Toc7497"/>
      <w:bookmarkStart w:id="537" w:name="_Toc21605"/>
    </w:p>
    <w:p w:rsidR="00644456" w:rsidRDefault="00644456">
      <w:pPr>
        <w:rPr>
          <w:rFonts w:cs="Times New Roman"/>
          <w:color w:val="000000" w:themeColor="text1"/>
        </w:rPr>
        <w:sectPr w:rsidR="00644456">
          <w:pgSz w:w="11905" w:h="16838"/>
          <w:pgMar w:top="1440" w:right="1440" w:bottom="1440" w:left="1440" w:header="850" w:footer="992" w:gutter="0"/>
          <w:cols w:space="0"/>
        </w:sectPr>
      </w:pPr>
    </w:p>
    <w:p w:rsidR="00644456" w:rsidRDefault="00644456">
      <w:pPr>
        <w:rPr>
          <w:rFonts w:cs="Times New Roman"/>
          <w:color w:val="000000" w:themeColor="text1"/>
        </w:rPr>
      </w:pPr>
    </w:p>
    <w:p w:rsidR="00644456" w:rsidRDefault="008031C4">
      <w:pPr>
        <w:pStyle w:val="1"/>
        <w:numPr>
          <w:ilvl w:val="0"/>
          <w:numId w:val="0"/>
        </w:numPr>
      </w:pPr>
      <w:bookmarkStart w:id="538" w:name="_Toc177216916"/>
      <w:bookmarkStart w:id="539" w:name="_Toc155789408"/>
      <w:r>
        <w:rPr>
          <w:rFonts w:hint="eastAsia"/>
        </w:rPr>
        <w:t>第</w:t>
      </w:r>
      <w:r>
        <w:rPr>
          <w:rFonts w:hint="eastAsia"/>
        </w:rPr>
        <w:t xml:space="preserve"> 9 </w:t>
      </w:r>
      <w:r>
        <w:rPr>
          <w:rFonts w:hint="eastAsia"/>
        </w:rPr>
        <w:t>章</w:t>
      </w:r>
      <w:r>
        <w:rPr>
          <w:rFonts w:hint="eastAsia"/>
        </w:rPr>
        <w:t xml:space="preserve"> </w:t>
      </w:r>
      <w:r>
        <w:t>环境管理与</w:t>
      </w:r>
      <w:bookmarkEnd w:id="485"/>
      <w:r>
        <w:t>环境监测计划</w:t>
      </w:r>
      <w:bookmarkEnd w:id="486"/>
      <w:bookmarkEnd w:id="487"/>
      <w:bookmarkEnd w:id="536"/>
      <w:bookmarkEnd w:id="537"/>
      <w:bookmarkEnd w:id="538"/>
      <w:bookmarkEnd w:id="539"/>
    </w:p>
    <w:p w:rsidR="00644456" w:rsidRDefault="008031C4">
      <w:pPr>
        <w:pStyle w:val="-"/>
        <w:snapToGrid w:val="0"/>
        <w:ind w:firstLine="480"/>
        <w:rPr>
          <w:rFonts w:cs="Times New Roman"/>
          <w:color w:val="000000" w:themeColor="text1"/>
        </w:rPr>
      </w:pPr>
      <w:r>
        <w:rPr>
          <w:rFonts w:cs="Times New Roman"/>
          <w:color w:val="000000" w:themeColor="text1"/>
        </w:rPr>
        <w:t>加强环境管理和环境监测是执行有关环境保护法规的重要手段，也是实现建设项目社会效益、经济效益、环境效益协调发展的必要保障。通过环境管理和环境监测，可以监控本项目对区域地表水、环境空气、声环境和生态环境的影响，为本区域的环境管理、污染防治和生态保护提供依据。针对本项目所在地的敏感性，项目施工期及营运期必须加强环境管理和环境监测工作。施工期监控环境影响，并据此按保护要求对可能存在的不足之处采取必要的补充措施，以保证施工活动正常进行，减轻对生态环境与人文景观的影响。在营运期间监控项目区环境质量的变化动态，并作为环境保护工作的依据。</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540" w:name="_Toc4369"/>
      <w:bookmarkStart w:id="541" w:name="_Toc177216917"/>
      <w:bookmarkStart w:id="542" w:name="_Toc155789409"/>
      <w:bookmarkStart w:id="543" w:name="_Toc64081515"/>
      <w:bookmarkStart w:id="544" w:name="_Toc180817097"/>
      <w:bookmarkStart w:id="545" w:name="_Toc27494"/>
      <w:bookmarkStart w:id="546" w:name="_Toc180824238"/>
      <w:r>
        <w:rPr>
          <w:rFonts w:cs="Times New Roman" w:hint="eastAsia"/>
          <w:color w:val="000000" w:themeColor="text1"/>
        </w:rPr>
        <w:t>9.1</w:t>
      </w:r>
      <w:r>
        <w:rPr>
          <w:rFonts w:cs="Times New Roman"/>
          <w:color w:val="000000" w:themeColor="text1"/>
        </w:rPr>
        <w:t>环境管理</w:t>
      </w:r>
      <w:bookmarkEnd w:id="540"/>
      <w:bookmarkEnd w:id="541"/>
      <w:bookmarkEnd w:id="542"/>
      <w:bookmarkEnd w:id="543"/>
      <w:bookmarkEnd w:id="544"/>
      <w:bookmarkEnd w:id="545"/>
      <w:bookmarkEnd w:id="546"/>
    </w:p>
    <w:p w:rsidR="00644456" w:rsidRDefault="008031C4">
      <w:pPr>
        <w:pStyle w:val="3"/>
        <w:numPr>
          <w:ilvl w:val="2"/>
          <w:numId w:val="0"/>
        </w:numPr>
        <w:ind w:firstLineChars="200" w:firstLine="482"/>
      </w:pPr>
      <w:r>
        <w:rPr>
          <w:rFonts w:hint="eastAsia"/>
        </w:rPr>
        <w:t>9.1.1</w:t>
      </w:r>
      <w:r>
        <w:rPr>
          <w:rFonts w:hint="eastAsia"/>
        </w:rPr>
        <w:t>环境管理基本原则</w:t>
      </w:r>
    </w:p>
    <w:p w:rsidR="00644456" w:rsidRDefault="008031C4">
      <w:pPr>
        <w:pStyle w:val="afffff2"/>
        <w:spacing w:after="0"/>
        <w:ind w:firstLine="480"/>
        <w:rPr>
          <w:rFonts w:cs="Times New Roman"/>
          <w:color w:val="000000" w:themeColor="text1"/>
        </w:rPr>
      </w:pPr>
      <w:r>
        <w:rPr>
          <w:rFonts w:cs="Times New Roman" w:hint="eastAsia"/>
          <w:color w:val="000000" w:themeColor="text1"/>
        </w:rPr>
        <w:t>项目建成后，应当遵守环境保护相关法律法规以及环境管理体系，针对项目建设的特点，遵循以下基本原则：</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1</w:t>
      </w:r>
      <w:r>
        <w:rPr>
          <w:rFonts w:cs="Times New Roman" w:hint="eastAsia"/>
          <w:color w:val="000000" w:themeColor="text1"/>
        </w:rPr>
        <w:t>）正确处理企业发展与环境保护的关系，既要保护环境，又要促进经济发展，把环境效益和经济效益统一起来；</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2</w:t>
      </w:r>
      <w:r>
        <w:rPr>
          <w:rFonts w:cs="Times New Roman" w:hint="eastAsia"/>
          <w:color w:val="000000" w:themeColor="text1"/>
        </w:rPr>
        <w:t>）环境管理要贯穿到建设项目的各项工作中，环境管理指标要纳入公司管理计划指标中，同时下达，同时进行考核；</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3</w:t>
      </w:r>
      <w:r>
        <w:rPr>
          <w:rFonts w:cs="Times New Roman" w:hint="eastAsia"/>
          <w:color w:val="000000" w:themeColor="text1"/>
        </w:rPr>
        <w:t>）控制污染，以预防为主，管治结合，综合治理，以取得最佳的环境效益。</w:t>
      </w:r>
    </w:p>
    <w:p w:rsidR="00644456" w:rsidRDefault="008031C4">
      <w:pPr>
        <w:pStyle w:val="3"/>
        <w:numPr>
          <w:ilvl w:val="2"/>
          <w:numId w:val="0"/>
        </w:numPr>
        <w:ind w:firstLineChars="200" w:firstLine="482"/>
      </w:pPr>
      <w:r>
        <w:rPr>
          <w:rFonts w:hint="eastAsia"/>
        </w:rPr>
        <w:t>9.1.2</w:t>
      </w:r>
      <w:r>
        <w:rPr>
          <w:rFonts w:hint="eastAsia"/>
        </w:rPr>
        <w:t>建立环境管理体系</w:t>
      </w:r>
    </w:p>
    <w:p w:rsidR="00644456" w:rsidRDefault="008031C4">
      <w:pPr>
        <w:pStyle w:val="afffff2"/>
        <w:spacing w:after="0"/>
        <w:ind w:firstLine="480"/>
        <w:rPr>
          <w:rFonts w:cs="Times New Roman"/>
          <w:color w:val="000000" w:themeColor="text1"/>
        </w:rPr>
      </w:pPr>
      <w:r>
        <w:rPr>
          <w:rFonts w:cs="Times New Roman" w:hint="eastAsia"/>
          <w:color w:val="000000" w:themeColor="text1"/>
        </w:rPr>
        <w:t>按照国家有关规定和实际工作的需要，本项目设置专职的安全环保部门，在公司总经理的领导下负责工程施工期和运营期的安全生产、环境保护管理工作，环保人员的设置及工作制度与生产岗位相同。安全环保部门主要职责是：</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1</w:t>
      </w:r>
      <w:r>
        <w:rPr>
          <w:rFonts w:cs="Times New Roman" w:hint="eastAsia"/>
          <w:color w:val="000000" w:themeColor="text1"/>
        </w:rPr>
        <w:t>）建设期负责落实本项目污染治理设施，在设计实施计划的同时应考虑环保设施的自身建设特点，如建设周期、工程整体性等基本要求，进行统筹安排，严格执行“三同时”。</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2</w:t>
      </w:r>
      <w:r>
        <w:rPr>
          <w:rFonts w:cs="Times New Roman" w:hint="eastAsia"/>
          <w:color w:val="000000" w:themeColor="text1"/>
        </w:rPr>
        <w:t>）建立健全的环保工作规章制度，积极认真执行国家、新疆维吾尔自治区有关环保法规、政策、制度、条例，如“三同时”，环保设施竣工验收，排污申报与许可证，污染物达标排放与问题控制等制度。</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3</w:t>
      </w:r>
      <w:r>
        <w:rPr>
          <w:rFonts w:cs="Times New Roman" w:hint="eastAsia"/>
          <w:color w:val="000000" w:themeColor="text1"/>
        </w:rPr>
        <w:t>）本项目运营期负责对本厂的环境保护工作进行监督与管理，负责公司与地方各级生态环境主管部门的协调工作。</w:t>
      </w:r>
    </w:p>
    <w:p w:rsidR="00644456" w:rsidRDefault="008031C4">
      <w:pPr>
        <w:pStyle w:val="afffff2"/>
        <w:spacing w:after="0"/>
        <w:ind w:firstLine="480"/>
        <w:rPr>
          <w:rFonts w:cs="Times New Roman"/>
          <w:color w:val="000000" w:themeColor="text1"/>
        </w:rPr>
      </w:pPr>
      <w:r>
        <w:rPr>
          <w:rFonts w:cs="Times New Roman" w:hint="eastAsia"/>
          <w:color w:val="000000" w:themeColor="text1"/>
        </w:rPr>
        <w:lastRenderedPageBreak/>
        <w:t>（</w:t>
      </w:r>
      <w:r>
        <w:rPr>
          <w:rFonts w:cs="Times New Roman"/>
          <w:color w:val="000000" w:themeColor="text1"/>
        </w:rPr>
        <w:t>4</w:t>
      </w:r>
      <w:r>
        <w:rPr>
          <w:rFonts w:cs="Times New Roman" w:hint="eastAsia"/>
          <w:color w:val="000000" w:themeColor="text1"/>
        </w:rPr>
        <w:t>）根据本环境影响报告书提出的环境监测计划，编制项目年度环境监测计划并组织实施，协助有资质的监测单位对本厂的污染物排放进行日常监测，发现问题及时解决。</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5</w:t>
      </w:r>
      <w:r>
        <w:rPr>
          <w:rFonts w:cs="Times New Roman" w:hint="eastAsia"/>
          <w:color w:val="000000" w:themeColor="text1"/>
        </w:rPr>
        <w:t>）保证污染治理设施的完好率、运行效率和主体设施相适应，做到运行、维护检修与主体设施同步进行。</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6</w:t>
      </w:r>
      <w:r>
        <w:rPr>
          <w:rFonts w:cs="Times New Roman" w:hint="eastAsia"/>
          <w:color w:val="000000" w:themeColor="text1"/>
        </w:rPr>
        <w:t>）对职工进行经常性的环保教育与技术培训，明确环保责任制及奖惩制度，根据确定的环保目标及管理要求对企业各部门、各车间及岗位进行环保执法监督和考核。</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7</w:t>
      </w:r>
      <w:r>
        <w:rPr>
          <w:rFonts w:cs="Times New Roman" w:hint="eastAsia"/>
          <w:color w:val="000000" w:themeColor="text1"/>
        </w:rPr>
        <w:t>）负责组织突发事故的应急处理及善后事宜，如发生事故应及时报告上级环保部门。</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8</w:t>
      </w:r>
      <w:r>
        <w:rPr>
          <w:rFonts w:cs="Times New Roman" w:hint="eastAsia"/>
          <w:color w:val="000000" w:themeColor="text1"/>
        </w:rPr>
        <w:t>）为了落实各项污染防治措施，加强环境保护工作管理，应当根据实际特点，制定各种类型的环保制度，并以文件形式规定，形成一套厂级环境管理制度体系，如：环保设施运行操作规程；污染防治对策控制工艺参数；绿化工作年度计划；厂内环境保护工作管理及奖罚办法等。</w:t>
      </w:r>
    </w:p>
    <w:p w:rsidR="00644456" w:rsidRDefault="008031C4">
      <w:pPr>
        <w:pStyle w:val="3"/>
        <w:numPr>
          <w:ilvl w:val="2"/>
          <w:numId w:val="0"/>
        </w:numPr>
        <w:ind w:firstLineChars="200" w:firstLine="482"/>
      </w:pPr>
      <w:r>
        <w:rPr>
          <w:rFonts w:hint="eastAsia"/>
        </w:rPr>
        <w:t>9.1.3</w:t>
      </w:r>
      <w:r>
        <w:rPr>
          <w:rFonts w:hint="eastAsia"/>
        </w:rPr>
        <w:t>环境管理规章制度</w:t>
      </w:r>
    </w:p>
    <w:p w:rsidR="00644456" w:rsidRDefault="008031C4">
      <w:pPr>
        <w:pStyle w:val="afffff2"/>
        <w:spacing w:after="0"/>
        <w:ind w:firstLine="480"/>
        <w:rPr>
          <w:rFonts w:cs="Times New Roman"/>
          <w:color w:val="000000" w:themeColor="text1"/>
        </w:rPr>
      </w:pPr>
      <w:r>
        <w:rPr>
          <w:rFonts w:cs="Times New Roman" w:hint="eastAsia"/>
          <w:color w:val="000000" w:themeColor="text1"/>
        </w:rPr>
        <w:t>建立和完善环境管理制度，是公司环境管理体系的重要组成部分，需建立的环境管理制度主要有：</w:t>
      </w:r>
    </w:p>
    <w:p w:rsidR="00644456" w:rsidRDefault="008031C4">
      <w:pPr>
        <w:pStyle w:val="afffff2"/>
        <w:spacing w:after="0"/>
        <w:ind w:firstLine="480"/>
        <w:rPr>
          <w:rFonts w:cs="Times New Roman"/>
          <w:color w:val="000000" w:themeColor="text1"/>
        </w:rPr>
      </w:pPr>
      <w:r>
        <w:rPr>
          <w:rFonts w:cs="Times New Roman"/>
          <w:color w:val="000000" w:themeColor="text1"/>
        </w:rPr>
        <w:t>1</w:t>
      </w:r>
      <w:r>
        <w:rPr>
          <w:rFonts w:cs="Times New Roman" w:hint="eastAsia"/>
          <w:color w:val="000000" w:themeColor="text1"/>
        </w:rPr>
        <w:t>、环保设施运行监督和管理制度：项目建成后，必须确保污染处理设施长期、稳定、有效地运行，不得擅自拆除或者闲置污染处理设施，不得故意不正常使用污染处理设施。污染处理设施的管理必须与生产经营活动一起纳入企事业单位日常管理工作的范畴，落实责任人、操作人员、维修人员、运行经费、设备的备品备件、化学药品和其他原辅材料。同时要建立岗位责任制、制定操作规程、建立管理台账。</w:t>
      </w:r>
    </w:p>
    <w:p w:rsidR="00644456" w:rsidRDefault="008031C4">
      <w:pPr>
        <w:pStyle w:val="afffff2"/>
        <w:spacing w:after="0"/>
        <w:ind w:firstLine="480"/>
        <w:rPr>
          <w:rFonts w:cs="Times New Roman"/>
          <w:color w:val="000000" w:themeColor="text1"/>
        </w:rPr>
      </w:pPr>
      <w:r>
        <w:rPr>
          <w:rFonts w:cs="Times New Roman"/>
          <w:color w:val="000000" w:themeColor="text1"/>
        </w:rPr>
        <w:t>2</w:t>
      </w:r>
      <w:r>
        <w:rPr>
          <w:rFonts w:cs="Times New Roman" w:hint="eastAsia"/>
          <w:color w:val="000000" w:themeColor="text1"/>
        </w:rPr>
        <w:t>、报告制度：凡实施排污许可证制度的排污单位，执行月报制度。月报内容主要为污染治理设施的运行情况、污染物排放情况以及污染事故或污染纠纷等。企业排污发生重大变化、污染治理设施改变或企业改、扩建等都必须向当地环保部门申报，改、扩建项目必须按《建设项目环境保护管理条例》等文件的要求，报请有审批权限的环保部门审批。</w:t>
      </w:r>
    </w:p>
    <w:p w:rsidR="00644456" w:rsidRDefault="008031C4">
      <w:pPr>
        <w:pStyle w:val="afffff2"/>
        <w:spacing w:after="0"/>
        <w:ind w:firstLine="480"/>
        <w:rPr>
          <w:rFonts w:cs="Times New Roman"/>
          <w:color w:val="000000" w:themeColor="text1"/>
        </w:rPr>
      </w:pPr>
      <w:r>
        <w:rPr>
          <w:rFonts w:cs="Times New Roman"/>
          <w:color w:val="000000" w:themeColor="text1"/>
        </w:rPr>
        <w:t>3</w:t>
      </w:r>
      <w:r>
        <w:rPr>
          <w:rFonts w:cs="Times New Roman" w:hint="eastAsia"/>
          <w:color w:val="000000" w:themeColor="text1"/>
        </w:rPr>
        <w:t>、环保奖惩制度：各级管理人员都应树立保护环境的意识，企业也应设立环境保护奖惩条例。对于爱护环保设施、节能降耗、改善环境人员实行奖励；对于环保观念淡薄，不按环保要求管理、造成环境设施损坏、环境污染及资源和能源浪费人员一律予以重罚。</w:t>
      </w:r>
    </w:p>
    <w:p w:rsidR="00644456" w:rsidRDefault="008031C4">
      <w:pPr>
        <w:pStyle w:val="afffff2"/>
        <w:spacing w:after="0"/>
        <w:ind w:firstLine="480"/>
        <w:rPr>
          <w:rFonts w:cs="Times New Roman"/>
          <w:color w:val="000000" w:themeColor="text1"/>
        </w:rPr>
      </w:pPr>
      <w:r>
        <w:rPr>
          <w:rFonts w:cs="Times New Roman"/>
          <w:color w:val="000000" w:themeColor="text1"/>
        </w:rPr>
        <w:lastRenderedPageBreak/>
        <w:t>4</w:t>
      </w:r>
      <w:r>
        <w:rPr>
          <w:rFonts w:cs="Times New Roman" w:hint="eastAsia"/>
          <w:color w:val="000000" w:themeColor="text1"/>
        </w:rPr>
        <w:t>、环境管理岗位责任制。</w:t>
      </w:r>
    </w:p>
    <w:p w:rsidR="00644456" w:rsidRDefault="008031C4">
      <w:pPr>
        <w:pStyle w:val="afffff2"/>
        <w:spacing w:after="0"/>
        <w:ind w:firstLine="480"/>
        <w:rPr>
          <w:rFonts w:cs="Times New Roman"/>
          <w:color w:val="000000" w:themeColor="text1"/>
        </w:rPr>
      </w:pPr>
      <w:r>
        <w:rPr>
          <w:rFonts w:cs="Times New Roman"/>
          <w:color w:val="000000" w:themeColor="text1"/>
        </w:rPr>
        <w:t>5</w:t>
      </w:r>
      <w:r>
        <w:rPr>
          <w:rFonts w:cs="Times New Roman" w:hint="eastAsia"/>
          <w:color w:val="000000" w:themeColor="text1"/>
        </w:rPr>
        <w:t>、生产环境管理制度、环境污染物排放和监测制度。</w:t>
      </w:r>
    </w:p>
    <w:p w:rsidR="00644456" w:rsidRDefault="008031C4">
      <w:pPr>
        <w:pStyle w:val="afffff2"/>
        <w:spacing w:after="0"/>
        <w:ind w:firstLine="480"/>
        <w:rPr>
          <w:rFonts w:cs="Times New Roman"/>
          <w:color w:val="000000" w:themeColor="text1"/>
        </w:rPr>
      </w:pPr>
      <w:r>
        <w:rPr>
          <w:rFonts w:cs="Times New Roman"/>
          <w:color w:val="000000" w:themeColor="text1"/>
        </w:rPr>
        <w:t>6</w:t>
      </w:r>
      <w:r>
        <w:rPr>
          <w:rFonts w:cs="Times New Roman" w:hint="eastAsia"/>
          <w:color w:val="000000" w:themeColor="text1"/>
        </w:rPr>
        <w:t>、原材料的管理和使用、节约制度。</w:t>
      </w:r>
    </w:p>
    <w:p w:rsidR="00644456" w:rsidRDefault="008031C4">
      <w:pPr>
        <w:pStyle w:val="afffff2"/>
        <w:spacing w:after="0"/>
        <w:ind w:firstLine="480"/>
        <w:rPr>
          <w:rFonts w:cs="Times New Roman"/>
          <w:color w:val="000000" w:themeColor="text1"/>
        </w:rPr>
      </w:pPr>
      <w:r>
        <w:rPr>
          <w:rFonts w:cs="Times New Roman"/>
          <w:color w:val="000000" w:themeColor="text1"/>
        </w:rPr>
        <w:t>7</w:t>
      </w:r>
      <w:r>
        <w:rPr>
          <w:rFonts w:cs="Times New Roman" w:hint="eastAsia"/>
          <w:color w:val="000000" w:themeColor="text1"/>
        </w:rPr>
        <w:t>、环境污染事故应急处理制度。</w:t>
      </w:r>
    </w:p>
    <w:p w:rsidR="00644456" w:rsidRDefault="008031C4">
      <w:pPr>
        <w:pStyle w:val="afffff2"/>
        <w:spacing w:after="0"/>
        <w:ind w:firstLine="480"/>
        <w:rPr>
          <w:rFonts w:cs="Times New Roman"/>
          <w:color w:val="000000" w:themeColor="text1"/>
        </w:rPr>
      </w:pPr>
      <w:r>
        <w:rPr>
          <w:rFonts w:cs="Times New Roman"/>
          <w:color w:val="000000" w:themeColor="text1"/>
        </w:rPr>
        <w:t>8</w:t>
      </w:r>
      <w:r>
        <w:rPr>
          <w:rFonts w:cs="Times New Roman" w:hint="eastAsia"/>
          <w:color w:val="000000" w:themeColor="text1"/>
        </w:rPr>
        <w:t>、厂区绿化和管理制度。</w:t>
      </w:r>
    </w:p>
    <w:p w:rsidR="00644456" w:rsidRDefault="008031C4">
      <w:pPr>
        <w:pStyle w:val="3"/>
        <w:numPr>
          <w:ilvl w:val="2"/>
          <w:numId w:val="0"/>
        </w:numPr>
        <w:ind w:firstLineChars="200" w:firstLine="482"/>
      </w:pPr>
      <w:r>
        <w:rPr>
          <w:rFonts w:hint="eastAsia"/>
        </w:rPr>
        <w:t>9.1.4</w:t>
      </w:r>
      <w:r>
        <w:rPr>
          <w:rFonts w:hint="eastAsia"/>
        </w:rPr>
        <w:t>环境管理机构</w:t>
      </w:r>
    </w:p>
    <w:p w:rsidR="00644456" w:rsidRDefault="008031C4">
      <w:pPr>
        <w:pStyle w:val="afffff2"/>
        <w:spacing w:after="0"/>
        <w:ind w:firstLine="480"/>
        <w:rPr>
          <w:rFonts w:cs="Times New Roman"/>
          <w:color w:val="000000" w:themeColor="text1"/>
        </w:rPr>
      </w:pPr>
      <w:r>
        <w:rPr>
          <w:rFonts w:cs="Times New Roman" w:hint="eastAsia"/>
          <w:color w:val="000000" w:themeColor="text1"/>
        </w:rPr>
        <w:t>本项目的环境保护管理必须按照《中华人民共和国环境保护法》的相关规定，设立环境管理机构，配备专业环保管理人员</w:t>
      </w:r>
      <w:r>
        <w:rPr>
          <w:rFonts w:cs="Times New Roman"/>
          <w:color w:val="000000" w:themeColor="text1"/>
        </w:rPr>
        <w:t>1</w:t>
      </w:r>
      <w:r>
        <w:rPr>
          <w:rFonts w:cs="Times New Roman" w:hint="eastAsia"/>
          <w:color w:val="000000" w:themeColor="text1"/>
        </w:rPr>
        <w:t>名负责环境监督管理工作，同时加强对管理人员的环保培训。环境管理机构工作职能包括：</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1</w:t>
      </w:r>
      <w:r>
        <w:rPr>
          <w:rFonts w:cs="Times New Roman" w:hint="eastAsia"/>
          <w:color w:val="000000" w:themeColor="text1"/>
        </w:rPr>
        <w:t>）制定环境保护目标责任制；</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2</w:t>
      </w:r>
      <w:r>
        <w:rPr>
          <w:rFonts w:cs="Times New Roman" w:hint="eastAsia"/>
          <w:color w:val="000000" w:themeColor="text1"/>
        </w:rPr>
        <w:t>）定期检查各污染治理设施，以便发现问题时及时解决，确保治理设施正常运行；</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3</w:t>
      </w:r>
      <w:r>
        <w:rPr>
          <w:rFonts w:cs="Times New Roman" w:hint="eastAsia"/>
          <w:color w:val="000000" w:themeColor="text1"/>
        </w:rPr>
        <w:t>）定期举行环保会议，总结和安排工作；</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4</w:t>
      </w:r>
      <w:r>
        <w:rPr>
          <w:rFonts w:cs="Times New Roman" w:hint="eastAsia"/>
          <w:color w:val="000000" w:themeColor="text1"/>
        </w:rPr>
        <w:t>）定期向全厂及公司领导通报环保工作；</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5</w:t>
      </w:r>
      <w:r>
        <w:rPr>
          <w:rFonts w:cs="Times New Roman" w:hint="eastAsia"/>
          <w:color w:val="000000" w:themeColor="text1"/>
        </w:rPr>
        <w:t>）定期与当地政府及外单位环保部门协调工作；</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6</w:t>
      </w:r>
      <w:r>
        <w:rPr>
          <w:rFonts w:cs="Times New Roman" w:hint="eastAsia"/>
          <w:color w:val="000000" w:themeColor="text1"/>
        </w:rPr>
        <w:t>）进行环保知识宣传，普及工作，增强职工的环保意识。</w:t>
      </w:r>
    </w:p>
    <w:p w:rsidR="00644456" w:rsidRDefault="008031C4">
      <w:pPr>
        <w:pStyle w:val="afffff2"/>
        <w:spacing w:after="0"/>
        <w:ind w:firstLine="480"/>
        <w:rPr>
          <w:rFonts w:cs="Times New Roman"/>
          <w:color w:val="000000" w:themeColor="text1"/>
        </w:rPr>
      </w:pPr>
      <w:r>
        <w:rPr>
          <w:rFonts w:cs="Times New Roman" w:hint="eastAsia"/>
          <w:color w:val="000000" w:themeColor="text1"/>
        </w:rPr>
        <w:t>同时应加强以下几方面的工作：</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1</w:t>
      </w:r>
      <w:r>
        <w:rPr>
          <w:rFonts w:cs="Times New Roman" w:hint="eastAsia"/>
          <w:color w:val="000000" w:themeColor="text1"/>
        </w:rPr>
        <w:t>）加强对固废处理的追踪，并记录在案；</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2</w:t>
      </w:r>
      <w:r>
        <w:rPr>
          <w:rFonts w:cs="Times New Roman" w:hint="eastAsia"/>
          <w:color w:val="000000" w:themeColor="text1"/>
        </w:rPr>
        <w:t>）建立污染事故响应体系，制定应急预案；</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3</w:t>
      </w:r>
      <w:r>
        <w:rPr>
          <w:rFonts w:cs="Times New Roman" w:hint="eastAsia"/>
          <w:color w:val="000000" w:themeColor="text1"/>
        </w:rPr>
        <w:t>）设立公众环境意见反馈体系；</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4</w:t>
      </w:r>
      <w:r>
        <w:rPr>
          <w:rFonts w:cs="Times New Roman" w:hint="eastAsia"/>
          <w:color w:val="000000" w:themeColor="text1"/>
        </w:rPr>
        <w:t>）建立清洁生产审计管理体系。</w:t>
      </w:r>
    </w:p>
    <w:p w:rsidR="00644456" w:rsidRDefault="008031C4">
      <w:pPr>
        <w:pStyle w:val="3"/>
        <w:numPr>
          <w:ilvl w:val="2"/>
          <w:numId w:val="0"/>
        </w:numPr>
        <w:ind w:firstLineChars="200" w:firstLine="482"/>
      </w:pPr>
      <w:r>
        <w:rPr>
          <w:rFonts w:hint="eastAsia"/>
        </w:rPr>
        <w:t>9.1.5</w:t>
      </w:r>
      <w:r>
        <w:rPr>
          <w:rFonts w:hint="eastAsia"/>
        </w:rPr>
        <w:t>施工期环境管理</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1</w:t>
      </w:r>
      <w:r>
        <w:rPr>
          <w:rFonts w:cs="Times New Roman" w:hint="eastAsia"/>
          <w:color w:val="000000" w:themeColor="text1"/>
        </w:rPr>
        <w:t>）设计阶段：设计部门应该将环境影响报告书提出的环保措施列入设计之中。建设单位应该把污染治理所需资金、材料和设备等纳入工程预算，上报环保部门初步审查。</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2</w:t>
      </w:r>
      <w:r>
        <w:rPr>
          <w:rFonts w:cs="Times New Roman" w:hint="eastAsia"/>
          <w:color w:val="000000" w:themeColor="text1"/>
        </w:rPr>
        <w:t>）招投标阶段：建设单位应将运行期环保实施计划列入招标内容，选择有环境工程设计资质的设计单位参与招标。在投标中应有污染治理方案和环境保护内容，并把经专家评审后的中标者的环保实施计划申报环保部门，经环保部门的审批后方可开工。</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3</w:t>
      </w:r>
      <w:r>
        <w:rPr>
          <w:rFonts w:cs="Times New Roman" w:hint="eastAsia"/>
          <w:color w:val="000000" w:themeColor="text1"/>
        </w:rPr>
        <w:t>）建设单位在施工后，应派专职人员负责与环保部门、设计单位和施工单位协调工作，对环保实施计划进行监督、检查和管理，环保实施计划应有专业记录，并报送</w:t>
      </w:r>
      <w:r>
        <w:rPr>
          <w:rFonts w:cs="Times New Roman" w:hint="eastAsia"/>
          <w:color w:val="000000" w:themeColor="text1"/>
        </w:rPr>
        <w:lastRenderedPageBreak/>
        <w:t>环保部门备案。</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4</w:t>
      </w:r>
      <w:r>
        <w:rPr>
          <w:rFonts w:cs="Times New Roman" w:hint="eastAsia"/>
          <w:color w:val="000000" w:themeColor="text1"/>
        </w:rPr>
        <w:t>）根据报告书提出的环保措施和生态环境部门审批要求，建设单位应该严格执行“三同时”制度，健全各项环保设施，绿化美化厂区环境。</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5</w:t>
      </w:r>
      <w:r>
        <w:rPr>
          <w:rFonts w:cs="Times New Roman" w:hint="eastAsia"/>
          <w:color w:val="000000" w:themeColor="text1"/>
        </w:rPr>
        <w:t>）施工期环境监测：建设单位对施工噪声源强和施工厂界噪声进行监测，监测数据报环保部门以便检查和监督。</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6</w:t>
      </w:r>
      <w:r>
        <w:rPr>
          <w:rFonts w:cs="Times New Roman" w:hint="eastAsia"/>
          <w:color w:val="000000" w:themeColor="text1"/>
        </w:rPr>
        <w:t>）公司负责环保组织对环保设施中土建和安装工程进行验收。</w:t>
      </w:r>
    </w:p>
    <w:p w:rsidR="00644456" w:rsidRDefault="008031C4">
      <w:pPr>
        <w:pStyle w:val="3"/>
        <w:numPr>
          <w:ilvl w:val="2"/>
          <w:numId w:val="0"/>
        </w:numPr>
        <w:ind w:firstLineChars="200" w:firstLine="482"/>
      </w:pPr>
      <w:r>
        <w:rPr>
          <w:rFonts w:hint="eastAsia"/>
        </w:rPr>
        <w:t>9.1.6</w:t>
      </w:r>
      <w:r>
        <w:rPr>
          <w:rFonts w:hint="eastAsia"/>
        </w:rPr>
        <w:t>运营期的环境管理</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1</w:t>
      </w:r>
      <w:r>
        <w:rPr>
          <w:rFonts w:cs="Times New Roman" w:hint="eastAsia"/>
          <w:color w:val="000000" w:themeColor="text1"/>
        </w:rPr>
        <w:t>）认真贯彻执行国家有关环境保护法律、法规及相关文件，接受环境保护主管部门的监督和检查，定期上报各项环保管理工作的执行情况。</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2</w:t>
      </w:r>
      <w:r>
        <w:rPr>
          <w:rFonts w:cs="Times New Roman" w:hint="eastAsia"/>
          <w:color w:val="000000" w:themeColor="text1"/>
        </w:rPr>
        <w:t>）公司必须把环境保护工作纳入计划，建立环境保护责任制度，采取有效措施，防止生产过程中或其他活动中产生的污染危害及对生态环境的破坏。</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3</w:t>
      </w:r>
      <w:r>
        <w:rPr>
          <w:rFonts w:cs="Times New Roman" w:hint="eastAsia"/>
          <w:color w:val="000000" w:themeColor="text1"/>
        </w:rPr>
        <w:t>）组织制定公司内部各部门的环保管理规章制度，明确职责，并监督执行。</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4</w:t>
      </w:r>
      <w:r>
        <w:rPr>
          <w:rFonts w:cs="Times New Roman" w:hint="eastAsia"/>
          <w:color w:val="000000" w:themeColor="text1"/>
        </w:rPr>
        <w:t>）建立环保监测室，认真做好污染源及处理设施的监测、控制工作，及时解决运行中的环保问题，做好应急事故处理，参与环境污染事故调查和处理工作。</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5</w:t>
      </w:r>
      <w:r>
        <w:rPr>
          <w:rFonts w:cs="Times New Roman" w:hint="eastAsia"/>
          <w:color w:val="000000" w:themeColor="text1"/>
        </w:rPr>
        <w:t>）做好公司环保设施运行记录的档案管理工作，定期检查环境管理计划实施情况。</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6</w:t>
      </w:r>
      <w:r>
        <w:rPr>
          <w:rFonts w:cs="Times New Roman" w:hint="eastAsia"/>
          <w:color w:val="000000" w:themeColor="text1"/>
        </w:rPr>
        <w:t>）检查公司内部环境治理设备的运转情况，日常维护及保养情况，保证其正常运行。</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7</w:t>
      </w:r>
      <w:r>
        <w:rPr>
          <w:rFonts w:cs="Times New Roman" w:hint="eastAsia"/>
          <w:color w:val="000000" w:themeColor="text1"/>
        </w:rPr>
        <w:t>）开展公司环保技术人员培训，提高环保人员技术水平，提出环境监测计划。</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8</w:t>
      </w:r>
      <w:r>
        <w:rPr>
          <w:rFonts w:cs="Times New Roman" w:hint="eastAsia"/>
          <w:color w:val="000000" w:themeColor="text1"/>
        </w:rPr>
        <w:t>）对项目所在区域的生态环境进行保护。</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color w:val="000000" w:themeColor="text1"/>
        </w:rPr>
        <w:t>9</w:t>
      </w:r>
      <w:r>
        <w:rPr>
          <w:rFonts w:cs="Times New Roman" w:hint="eastAsia"/>
          <w:color w:val="000000" w:themeColor="text1"/>
        </w:rPr>
        <w:t>）做好污染物台账管理。</w:t>
      </w:r>
    </w:p>
    <w:p w:rsidR="00644456" w:rsidRDefault="008031C4">
      <w:pPr>
        <w:pStyle w:val="3"/>
        <w:numPr>
          <w:ilvl w:val="2"/>
          <w:numId w:val="0"/>
        </w:numPr>
        <w:ind w:firstLineChars="200" w:firstLine="482"/>
      </w:pPr>
      <w:r>
        <w:rPr>
          <w:rFonts w:hint="eastAsia"/>
        </w:rPr>
        <w:t>9.1.7</w:t>
      </w:r>
      <w:r>
        <w:rPr>
          <w:rFonts w:hint="eastAsia"/>
        </w:rPr>
        <w:t>环境管理信息公开</w:t>
      </w:r>
    </w:p>
    <w:p w:rsidR="00644456" w:rsidRDefault="008031C4">
      <w:pPr>
        <w:pStyle w:val="afffff2"/>
        <w:spacing w:after="0"/>
        <w:ind w:firstLine="480"/>
        <w:rPr>
          <w:rFonts w:cs="Times New Roman"/>
          <w:color w:val="000000" w:themeColor="text1"/>
        </w:rPr>
      </w:pPr>
      <w:r>
        <w:rPr>
          <w:rFonts w:cs="Times New Roman" w:hint="eastAsia"/>
          <w:color w:val="000000" w:themeColor="text1"/>
        </w:rPr>
        <w:t>根据《企业事业单位环境信息公开办法》，企业事业单位应当按照强制公开和自愿公开相结合的原则，及时、如实地公开其环境信息，企业事业单位应当建立健全本单位环境信息公开制度，指定机构负责本单位环境信息公开日常工作。</w:t>
      </w:r>
    </w:p>
    <w:p w:rsidR="00644456" w:rsidRDefault="008031C4">
      <w:pPr>
        <w:pStyle w:val="afffff2"/>
        <w:spacing w:after="0"/>
        <w:ind w:firstLine="480"/>
        <w:rPr>
          <w:rFonts w:cs="Times New Roman"/>
          <w:color w:val="000000" w:themeColor="text1"/>
        </w:rPr>
      </w:pPr>
      <w:r>
        <w:rPr>
          <w:rFonts w:cs="Times New Roman" w:hint="eastAsia"/>
          <w:color w:val="000000" w:themeColor="text1"/>
        </w:rPr>
        <w:t>环境管理信息公开内容应包括以下内容：</w:t>
      </w:r>
    </w:p>
    <w:p w:rsidR="00644456" w:rsidRDefault="008031C4">
      <w:pPr>
        <w:pStyle w:val="afffff2"/>
        <w:spacing w:after="0"/>
        <w:ind w:firstLine="480"/>
        <w:rPr>
          <w:rFonts w:cs="Times New Roman"/>
          <w:color w:val="000000" w:themeColor="text1"/>
        </w:rPr>
      </w:pPr>
      <w:r>
        <w:rPr>
          <w:rFonts w:cs="Times New Roman" w:hint="eastAsia"/>
          <w:color w:val="000000" w:themeColor="text1"/>
        </w:rPr>
        <w:t>（一）基础信息，包括单位名称、组织机构代码、法定代表人、生产地址、联系方式，以及生产经营和管理服务的主要内容、产品及规模；</w:t>
      </w:r>
    </w:p>
    <w:p w:rsidR="00644456" w:rsidRDefault="008031C4">
      <w:pPr>
        <w:pStyle w:val="afffff2"/>
        <w:spacing w:after="0"/>
        <w:ind w:firstLine="480"/>
        <w:rPr>
          <w:rFonts w:cs="Times New Roman"/>
          <w:color w:val="000000" w:themeColor="text1"/>
        </w:rPr>
      </w:pPr>
      <w:r>
        <w:rPr>
          <w:rFonts w:cs="Times New Roman" w:hint="eastAsia"/>
          <w:color w:val="000000" w:themeColor="text1"/>
        </w:rPr>
        <w:t>（二）排污信息，包括主要污染物及特征污染物的名称、排放方式、排放口数量和分布情况、排放浓度和总量、超标情况，以及执行的污染物排放标准、核定的排放总量</w:t>
      </w:r>
      <w:r>
        <w:rPr>
          <w:rFonts w:cs="Times New Roman" w:hint="eastAsia"/>
          <w:color w:val="000000" w:themeColor="text1"/>
        </w:rPr>
        <w:lastRenderedPageBreak/>
        <w:t>；</w:t>
      </w:r>
    </w:p>
    <w:p w:rsidR="00644456" w:rsidRDefault="008031C4">
      <w:pPr>
        <w:pStyle w:val="afffff2"/>
        <w:spacing w:after="0"/>
        <w:ind w:firstLine="480"/>
        <w:rPr>
          <w:rFonts w:cs="Times New Roman"/>
          <w:color w:val="000000" w:themeColor="text1"/>
        </w:rPr>
      </w:pPr>
      <w:r>
        <w:rPr>
          <w:rFonts w:cs="Times New Roman" w:hint="eastAsia"/>
          <w:color w:val="000000" w:themeColor="text1"/>
        </w:rPr>
        <w:t>（三）防治污染设施的建设和运行情况；</w:t>
      </w:r>
    </w:p>
    <w:p w:rsidR="00644456" w:rsidRDefault="008031C4">
      <w:pPr>
        <w:pStyle w:val="afffff2"/>
        <w:spacing w:after="0"/>
        <w:ind w:firstLine="480"/>
        <w:rPr>
          <w:rFonts w:cs="Times New Roman"/>
          <w:color w:val="000000" w:themeColor="text1"/>
        </w:rPr>
      </w:pPr>
      <w:r>
        <w:rPr>
          <w:rFonts w:cs="Times New Roman" w:hint="eastAsia"/>
          <w:color w:val="000000" w:themeColor="text1"/>
        </w:rPr>
        <w:t>（四）建设项目环境影响评价及其他环境保护行政许可情况；</w:t>
      </w:r>
    </w:p>
    <w:p w:rsidR="00644456" w:rsidRDefault="008031C4">
      <w:pPr>
        <w:pStyle w:val="afffff2"/>
        <w:spacing w:after="0"/>
        <w:ind w:firstLine="480"/>
        <w:rPr>
          <w:rFonts w:cs="Times New Roman"/>
          <w:color w:val="000000" w:themeColor="text1"/>
        </w:rPr>
      </w:pPr>
      <w:r>
        <w:rPr>
          <w:rFonts w:cs="Times New Roman" w:hint="eastAsia"/>
          <w:color w:val="000000" w:themeColor="text1"/>
        </w:rPr>
        <w:t>（五）突发环境事件应急预案；</w:t>
      </w:r>
    </w:p>
    <w:p w:rsidR="00644456" w:rsidRDefault="008031C4">
      <w:pPr>
        <w:pStyle w:val="afffff2"/>
        <w:spacing w:after="0"/>
        <w:ind w:firstLine="480"/>
        <w:rPr>
          <w:rFonts w:cs="Times New Roman"/>
          <w:color w:val="000000" w:themeColor="text1"/>
        </w:rPr>
      </w:pPr>
      <w:r>
        <w:rPr>
          <w:rFonts w:cs="Times New Roman" w:hint="eastAsia"/>
          <w:color w:val="000000" w:themeColor="text1"/>
        </w:rPr>
        <w:t>（六）其他应当公开的环境信息。</w:t>
      </w:r>
    </w:p>
    <w:p w:rsidR="00644456" w:rsidRDefault="008031C4">
      <w:pPr>
        <w:pStyle w:val="afffff2"/>
        <w:spacing w:after="0"/>
        <w:ind w:firstLine="480"/>
        <w:rPr>
          <w:rFonts w:cs="Times New Roman"/>
          <w:color w:val="000000" w:themeColor="text1"/>
        </w:rPr>
      </w:pPr>
      <w:r>
        <w:rPr>
          <w:rFonts w:cs="Times New Roman" w:hint="eastAsia"/>
          <w:color w:val="000000" w:themeColor="text1"/>
        </w:rPr>
        <w:t>列入国家重点监控企业名单的重点排污单位还应当公开其环境自行监测方案。</w:t>
      </w:r>
    </w:p>
    <w:p w:rsidR="00644456" w:rsidRDefault="008031C4">
      <w:pPr>
        <w:pStyle w:val="afffff2"/>
        <w:spacing w:after="0"/>
        <w:ind w:firstLine="480"/>
        <w:rPr>
          <w:rFonts w:cs="Times New Roman"/>
          <w:color w:val="000000" w:themeColor="text1"/>
        </w:rPr>
      </w:pPr>
      <w:r>
        <w:rPr>
          <w:rFonts w:cs="Times New Roman" w:hint="eastAsia"/>
          <w:color w:val="000000" w:themeColor="text1"/>
        </w:rPr>
        <w:t>排污单位应当通过其网站、企业事业单位环境信息公开平台或者当地报刊等便于公众知晓的方式公开环境信息，同时可以采取以下一种或者几种方式予以公开：</w:t>
      </w:r>
    </w:p>
    <w:p w:rsidR="00644456" w:rsidRDefault="008031C4">
      <w:pPr>
        <w:pStyle w:val="afffff2"/>
        <w:spacing w:after="0"/>
        <w:ind w:firstLine="480"/>
        <w:rPr>
          <w:rFonts w:cs="Times New Roman"/>
          <w:color w:val="000000" w:themeColor="text1"/>
        </w:rPr>
      </w:pPr>
      <w:r>
        <w:rPr>
          <w:rFonts w:cs="Times New Roman" w:hint="eastAsia"/>
          <w:color w:val="000000" w:themeColor="text1"/>
        </w:rPr>
        <w:t>（一）公告或者公开发行的信息专刊；</w:t>
      </w:r>
    </w:p>
    <w:p w:rsidR="00644456" w:rsidRDefault="008031C4">
      <w:pPr>
        <w:pStyle w:val="afffff2"/>
        <w:spacing w:after="0"/>
        <w:ind w:firstLine="480"/>
        <w:rPr>
          <w:rFonts w:cs="Times New Roman"/>
          <w:color w:val="000000" w:themeColor="text1"/>
        </w:rPr>
      </w:pPr>
      <w:r>
        <w:rPr>
          <w:rFonts w:cs="Times New Roman" w:hint="eastAsia"/>
          <w:color w:val="000000" w:themeColor="text1"/>
        </w:rPr>
        <w:t>（二）广播、电视等新闻媒体；</w:t>
      </w:r>
    </w:p>
    <w:p w:rsidR="00644456" w:rsidRDefault="008031C4">
      <w:pPr>
        <w:pStyle w:val="afffff2"/>
        <w:spacing w:after="0"/>
        <w:ind w:firstLine="480"/>
        <w:rPr>
          <w:rFonts w:cs="Times New Roman"/>
          <w:color w:val="000000" w:themeColor="text1"/>
        </w:rPr>
      </w:pPr>
      <w:r>
        <w:rPr>
          <w:rFonts w:cs="Times New Roman" w:hint="eastAsia"/>
          <w:color w:val="000000" w:themeColor="text1"/>
        </w:rPr>
        <w:t>（三）信息公开服务、监督热线电话；</w:t>
      </w:r>
    </w:p>
    <w:p w:rsidR="00644456" w:rsidRDefault="008031C4">
      <w:pPr>
        <w:pStyle w:val="afffff2"/>
        <w:spacing w:after="0"/>
        <w:ind w:firstLine="480"/>
        <w:rPr>
          <w:rFonts w:cs="Times New Roman"/>
          <w:color w:val="000000" w:themeColor="text1"/>
        </w:rPr>
      </w:pPr>
      <w:r>
        <w:rPr>
          <w:rFonts w:cs="Times New Roman" w:hint="eastAsia"/>
          <w:color w:val="000000" w:themeColor="text1"/>
        </w:rPr>
        <w:t>（四）本单位的资料索取点、信息公开栏、信息亭、电子屏幕、电子触摸屏等场所或者设施；</w:t>
      </w:r>
    </w:p>
    <w:p w:rsidR="00644456" w:rsidRDefault="008031C4">
      <w:pPr>
        <w:pStyle w:val="afffff2"/>
        <w:spacing w:after="0"/>
        <w:ind w:firstLine="480"/>
        <w:rPr>
          <w:rFonts w:cs="Times New Roman"/>
          <w:color w:val="000000" w:themeColor="text1"/>
        </w:rPr>
      </w:pPr>
      <w:r>
        <w:rPr>
          <w:rFonts w:cs="Times New Roman" w:hint="eastAsia"/>
          <w:color w:val="000000" w:themeColor="text1"/>
        </w:rPr>
        <w:t>（五）其他便于公众及时、准确获得信息的方式。</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547" w:name="_Toc155789410"/>
      <w:bookmarkStart w:id="548" w:name="_Toc177216918"/>
      <w:bookmarkStart w:id="549" w:name="_Toc2747"/>
      <w:bookmarkStart w:id="550" w:name="_Toc48297866"/>
      <w:bookmarkStart w:id="551" w:name="_Toc9069"/>
      <w:bookmarkStart w:id="552" w:name="_Toc12652"/>
      <w:r>
        <w:rPr>
          <w:rFonts w:cs="Times New Roman" w:hint="eastAsia"/>
          <w:color w:val="000000" w:themeColor="text1"/>
        </w:rPr>
        <w:t>9.2</w:t>
      </w:r>
      <w:r>
        <w:rPr>
          <w:rFonts w:cs="Times New Roman"/>
          <w:color w:val="000000" w:themeColor="text1"/>
        </w:rPr>
        <w:t>自行监测计划</w:t>
      </w:r>
      <w:bookmarkEnd w:id="547"/>
      <w:bookmarkEnd w:id="548"/>
    </w:p>
    <w:p w:rsidR="00644456" w:rsidRDefault="008031C4">
      <w:pPr>
        <w:pStyle w:val="3"/>
        <w:numPr>
          <w:ilvl w:val="2"/>
          <w:numId w:val="0"/>
        </w:numPr>
        <w:ind w:firstLineChars="200" w:firstLine="482"/>
      </w:pPr>
      <w:r>
        <w:rPr>
          <w:rFonts w:hint="eastAsia"/>
        </w:rPr>
        <w:t>9.2.1</w:t>
      </w:r>
      <w:r>
        <w:rPr>
          <w:rFonts w:hint="eastAsia"/>
        </w:rPr>
        <w:t>污染源监测计划</w:t>
      </w:r>
    </w:p>
    <w:p w:rsidR="00644456" w:rsidRDefault="008031C4">
      <w:pPr>
        <w:pStyle w:val="afffff2"/>
        <w:spacing w:after="0"/>
        <w:ind w:firstLine="480"/>
        <w:rPr>
          <w:rFonts w:cs="Times New Roman"/>
          <w:color w:val="000000" w:themeColor="text1"/>
        </w:rPr>
      </w:pPr>
      <w:r>
        <w:rPr>
          <w:rFonts w:cs="Times New Roman" w:hint="eastAsia"/>
          <w:color w:val="000000" w:themeColor="text1"/>
        </w:rPr>
        <w:t>本项目监测计划参考《排污许可证申请与核发技术规范废弃资源加工工业》（</w:t>
      </w:r>
      <w:r>
        <w:rPr>
          <w:rFonts w:cs="Times New Roman" w:hint="eastAsia"/>
          <w:color w:val="000000" w:themeColor="text1"/>
        </w:rPr>
        <w:t>HJ1034-2019</w:t>
      </w:r>
      <w:r>
        <w:rPr>
          <w:rFonts w:cs="Times New Roman" w:hint="eastAsia"/>
          <w:color w:val="000000" w:themeColor="text1"/>
        </w:rPr>
        <w:t>）自行监测要求开展</w:t>
      </w:r>
      <w:r>
        <w:rPr>
          <w:rFonts w:cs="Times New Roman" w:hint="eastAsia"/>
          <w:color w:val="000000" w:themeColor="text1"/>
        </w:rPr>
        <w:t>.</w:t>
      </w:r>
    </w:p>
    <w:p w:rsidR="00644456" w:rsidRDefault="008031C4">
      <w:pPr>
        <w:snapToGrid w:val="0"/>
        <w:ind w:firstLine="480"/>
        <w:jc w:val="center"/>
        <w:rPr>
          <w:rFonts w:cs="Times New Roman"/>
          <w:b/>
          <w:color w:val="000000" w:themeColor="text1"/>
          <w:sz w:val="24"/>
          <w:szCs w:val="20"/>
        </w:rPr>
      </w:pPr>
      <w:r>
        <w:rPr>
          <w:rFonts w:cs="Times New Roman"/>
          <w:b/>
          <w:color w:val="000000" w:themeColor="text1"/>
          <w:sz w:val="24"/>
          <w:szCs w:val="20"/>
        </w:rPr>
        <w:t>表</w:t>
      </w:r>
      <w:r>
        <w:rPr>
          <w:rFonts w:cs="Times New Roman" w:hint="eastAsia"/>
          <w:b/>
          <w:color w:val="000000" w:themeColor="text1"/>
          <w:sz w:val="24"/>
          <w:szCs w:val="20"/>
        </w:rPr>
        <w:t>9.2</w:t>
      </w:r>
      <w:r>
        <w:rPr>
          <w:rFonts w:cs="Times New Roman"/>
          <w:b/>
          <w:color w:val="000000" w:themeColor="text1"/>
          <w:sz w:val="24"/>
          <w:szCs w:val="20"/>
        </w:rPr>
        <w:noBreakHyphen/>
      </w:r>
      <w:r>
        <w:rPr>
          <w:rFonts w:cs="Times New Roman"/>
          <w:b/>
          <w:color w:val="000000" w:themeColor="text1"/>
          <w:sz w:val="24"/>
          <w:szCs w:val="20"/>
        </w:rPr>
        <w:fldChar w:fldCharType="begin"/>
      </w:r>
      <w:r>
        <w:rPr>
          <w:rFonts w:cs="Times New Roman"/>
          <w:b/>
          <w:color w:val="000000" w:themeColor="text1"/>
          <w:sz w:val="24"/>
          <w:szCs w:val="20"/>
        </w:rPr>
        <w:instrText xml:space="preserve"> SEQ </w:instrText>
      </w:r>
      <w:r>
        <w:rPr>
          <w:rFonts w:cs="Times New Roman"/>
          <w:b/>
          <w:color w:val="000000" w:themeColor="text1"/>
          <w:sz w:val="24"/>
          <w:szCs w:val="20"/>
        </w:rPr>
        <w:instrText>表</w:instrText>
      </w:r>
      <w:r>
        <w:rPr>
          <w:rFonts w:cs="Times New Roman"/>
          <w:b/>
          <w:color w:val="000000" w:themeColor="text1"/>
          <w:sz w:val="24"/>
          <w:szCs w:val="20"/>
        </w:rPr>
        <w:instrText xml:space="preserve"> \* ARABIC \s 1 </w:instrText>
      </w:r>
      <w:r>
        <w:rPr>
          <w:rFonts w:cs="Times New Roman"/>
          <w:b/>
          <w:color w:val="000000" w:themeColor="text1"/>
          <w:sz w:val="24"/>
          <w:szCs w:val="20"/>
        </w:rPr>
        <w:fldChar w:fldCharType="separate"/>
      </w:r>
      <w:r>
        <w:rPr>
          <w:rFonts w:cs="Times New Roman"/>
          <w:b/>
          <w:color w:val="000000" w:themeColor="text1"/>
          <w:sz w:val="24"/>
          <w:szCs w:val="20"/>
        </w:rPr>
        <w:t>1</w:t>
      </w:r>
      <w:r>
        <w:rPr>
          <w:rFonts w:cs="Times New Roman"/>
          <w:b/>
          <w:color w:val="000000" w:themeColor="text1"/>
          <w:sz w:val="24"/>
          <w:szCs w:val="20"/>
        </w:rPr>
        <w:fldChar w:fldCharType="end"/>
      </w:r>
      <w:r>
        <w:rPr>
          <w:rFonts w:cs="Times New Roman"/>
          <w:b/>
          <w:color w:val="000000" w:themeColor="text1"/>
          <w:sz w:val="24"/>
          <w:szCs w:val="20"/>
        </w:rPr>
        <w:t>废气、废水、噪声、土壤污染源监测计划表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5"/>
        <w:gridCol w:w="2531"/>
        <w:gridCol w:w="2910"/>
        <w:gridCol w:w="1513"/>
        <w:gridCol w:w="700"/>
        <w:gridCol w:w="926"/>
      </w:tblGrid>
      <w:tr w:rsidR="00644456">
        <w:trPr>
          <w:jc w:val="center"/>
        </w:trPr>
        <w:tc>
          <w:tcPr>
            <w:tcW w:w="1649" w:type="pct"/>
            <w:gridSpan w:val="2"/>
            <w:tcBorders>
              <w:tl2br w:val="nil"/>
              <w:tr2bl w:val="nil"/>
            </w:tcBorders>
            <w:vAlign w:val="center"/>
          </w:tcPr>
          <w:p w:rsidR="00644456" w:rsidRDefault="008031C4">
            <w:pPr>
              <w:pStyle w:val="afffffff4"/>
              <w:rPr>
                <w:color w:val="000000" w:themeColor="text1"/>
                <w:szCs w:val="21"/>
                <w:u w:val="single"/>
              </w:rPr>
            </w:pPr>
            <w:r>
              <w:rPr>
                <w:rFonts w:hint="eastAsia"/>
                <w:color w:val="000000" w:themeColor="text1"/>
                <w:szCs w:val="21"/>
                <w:u w:val="single"/>
              </w:rPr>
              <w:t>监测点位</w:t>
            </w:r>
          </w:p>
        </w:tc>
        <w:tc>
          <w:tcPr>
            <w:tcW w:w="1612" w:type="pct"/>
            <w:tcBorders>
              <w:tl2br w:val="nil"/>
              <w:tr2bl w:val="nil"/>
            </w:tcBorders>
            <w:vAlign w:val="center"/>
          </w:tcPr>
          <w:p w:rsidR="00644456" w:rsidRDefault="008031C4">
            <w:pPr>
              <w:pStyle w:val="afffffff4"/>
              <w:rPr>
                <w:color w:val="000000" w:themeColor="text1"/>
                <w:szCs w:val="21"/>
                <w:u w:val="single"/>
              </w:rPr>
            </w:pPr>
            <w:r>
              <w:rPr>
                <w:rFonts w:hint="eastAsia"/>
                <w:color w:val="000000" w:themeColor="text1"/>
                <w:szCs w:val="21"/>
                <w:u w:val="single"/>
              </w:rPr>
              <w:t>监测内容</w:t>
            </w:r>
          </w:p>
        </w:tc>
        <w:tc>
          <w:tcPr>
            <w:tcW w:w="838" w:type="pct"/>
            <w:tcBorders>
              <w:tl2br w:val="nil"/>
              <w:tr2bl w:val="nil"/>
            </w:tcBorders>
            <w:vAlign w:val="center"/>
          </w:tcPr>
          <w:p w:rsidR="00644456" w:rsidRDefault="008031C4">
            <w:pPr>
              <w:pStyle w:val="afffffff4"/>
              <w:rPr>
                <w:color w:val="000000" w:themeColor="text1"/>
                <w:szCs w:val="21"/>
                <w:u w:val="single"/>
              </w:rPr>
            </w:pPr>
            <w:r>
              <w:rPr>
                <w:rFonts w:hint="eastAsia"/>
                <w:color w:val="000000" w:themeColor="text1"/>
                <w:szCs w:val="21"/>
                <w:u w:val="single"/>
              </w:rPr>
              <w:t>监测频率</w:t>
            </w:r>
          </w:p>
        </w:tc>
        <w:tc>
          <w:tcPr>
            <w:tcW w:w="388" w:type="pct"/>
            <w:tcBorders>
              <w:tl2br w:val="nil"/>
              <w:tr2bl w:val="nil"/>
            </w:tcBorders>
            <w:vAlign w:val="center"/>
          </w:tcPr>
          <w:p w:rsidR="00644456" w:rsidRDefault="008031C4">
            <w:pPr>
              <w:pStyle w:val="afffffff4"/>
              <w:rPr>
                <w:rFonts w:cs="Times New Roman"/>
                <w:b/>
                <w:bCs/>
                <w:color w:val="000000" w:themeColor="text1"/>
                <w:szCs w:val="21"/>
              </w:rPr>
            </w:pPr>
            <w:r>
              <w:rPr>
                <w:rFonts w:cs="Times New Roman"/>
                <w:b/>
                <w:bCs/>
                <w:color w:val="000000" w:themeColor="text1"/>
                <w:szCs w:val="21"/>
              </w:rPr>
              <w:t>备注</w:t>
            </w:r>
          </w:p>
        </w:tc>
        <w:tc>
          <w:tcPr>
            <w:tcW w:w="513" w:type="pct"/>
            <w:tcBorders>
              <w:tl2br w:val="nil"/>
              <w:tr2bl w:val="nil"/>
            </w:tcBorders>
            <w:vAlign w:val="center"/>
          </w:tcPr>
          <w:p w:rsidR="00644456" w:rsidRDefault="008031C4">
            <w:pPr>
              <w:pStyle w:val="afffffff4"/>
              <w:rPr>
                <w:rFonts w:cs="Times New Roman"/>
                <w:b/>
                <w:bCs/>
                <w:color w:val="000000" w:themeColor="text1"/>
                <w:szCs w:val="21"/>
              </w:rPr>
            </w:pPr>
            <w:r>
              <w:rPr>
                <w:rFonts w:cs="Times New Roman"/>
                <w:b/>
                <w:bCs/>
                <w:color w:val="000000" w:themeColor="text1"/>
                <w:szCs w:val="21"/>
              </w:rPr>
              <w:t>采样分析方法</w:t>
            </w:r>
          </w:p>
        </w:tc>
      </w:tr>
      <w:tr w:rsidR="00AC71A6">
        <w:trPr>
          <w:jc w:val="center"/>
        </w:trPr>
        <w:tc>
          <w:tcPr>
            <w:tcW w:w="247" w:type="pct"/>
            <w:vMerge w:val="restart"/>
            <w:tcBorders>
              <w:tl2br w:val="nil"/>
              <w:tr2bl w:val="nil"/>
            </w:tcBorders>
            <w:vAlign w:val="center"/>
          </w:tcPr>
          <w:p w:rsidR="00AC71A6" w:rsidRDefault="00AC71A6">
            <w:pPr>
              <w:pStyle w:val="afffffff4"/>
              <w:rPr>
                <w:color w:val="000000" w:themeColor="text1"/>
                <w:szCs w:val="21"/>
                <w:u w:val="single"/>
              </w:rPr>
            </w:pPr>
            <w:r>
              <w:rPr>
                <w:rFonts w:hint="eastAsia"/>
                <w:color w:val="000000" w:themeColor="text1"/>
                <w:szCs w:val="21"/>
                <w:u w:val="single"/>
              </w:rPr>
              <w:t>废气</w:t>
            </w:r>
          </w:p>
        </w:tc>
        <w:tc>
          <w:tcPr>
            <w:tcW w:w="1402" w:type="pct"/>
            <w:tcBorders>
              <w:tl2br w:val="nil"/>
              <w:tr2bl w:val="nil"/>
            </w:tcBorders>
            <w:vAlign w:val="center"/>
          </w:tcPr>
          <w:p w:rsidR="00AC71A6" w:rsidRDefault="00AC71A6">
            <w:pPr>
              <w:jc w:val="center"/>
              <w:rPr>
                <w:color w:val="000000" w:themeColor="text1"/>
              </w:rPr>
            </w:pPr>
            <w:r>
              <w:rPr>
                <w:rFonts w:cs="Times New Roman" w:hint="eastAsia"/>
                <w:color w:val="000000" w:themeColor="text1"/>
                <w:szCs w:val="21"/>
              </w:rPr>
              <w:t>工艺不凝气（</w:t>
            </w:r>
            <w:r>
              <w:rPr>
                <w:rFonts w:cs="Times New Roman"/>
                <w:color w:val="000000" w:themeColor="text1"/>
                <w:szCs w:val="21"/>
              </w:rPr>
              <w:t>DA001</w:t>
            </w:r>
            <w:r>
              <w:rPr>
                <w:rFonts w:cs="Times New Roman" w:hint="eastAsia"/>
                <w:color w:val="000000" w:themeColor="text1"/>
                <w:szCs w:val="21"/>
              </w:rPr>
              <w:t>）</w:t>
            </w:r>
          </w:p>
        </w:tc>
        <w:tc>
          <w:tcPr>
            <w:tcW w:w="1612" w:type="pct"/>
            <w:tcBorders>
              <w:tl2br w:val="nil"/>
              <w:tr2bl w:val="nil"/>
            </w:tcBorders>
            <w:vAlign w:val="center"/>
          </w:tcPr>
          <w:p w:rsidR="00AC71A6" w:rsidRDefault="00AC71A6">
            <w:pPr>
              <w:pStyle w:val="afffffff4"/>
              <w:rPr>
                <w:color w:val="000000" w:themeColor="text1"/>
                <w:szCs w:val="21"/>
                <w:u w:val="single"/>
              </w:rPr>
            </w:pPr>
            <w:r>
              <w:rPr>
                <w:rFonts w:hint="eastAsia"/>
                <w:color w:val="000000" w:themeColor="text1"/>
                <w:szCs w:val="21"/>
                <w:u w:val="single"/>
              </w:rPr>
              <w:t>非甲烷总烃、硫化氢</w:t>
            </w:r>
          </w:p>
        </w:tc>
        <w:tc>
          <w:tcPr>
            <w:tcW w:w="838" w:type="pct"/>
            <w:tcBorders>
              <w:tl2br w:val="nil"/>
              <w:tr2bl w:val="nil"/>
            </w:tcBorders>
            <w:vAlign w:val="center"/>
          </w:tcPr>
          <w:p w:rsidR="00AC71A6" w:rsidRDefault="00AC71A6">
            <w:pPr>
              <w:pStyle w:val="afffffff4"/>
              <w:rPr>
                <w:color w:val="000000" w:themeColor="text1"/>
                <w:szCs w:val="21"/>
                <w:u w:val="single"/>
              </w:rPr>
            </w:pPr>
            <w:r>
              <w:rPr>
                <w:rFonts w:hint="eastAsia"/>
                <w:color w:val="000000" w:themeColor="text1"/>
                <w:szCs w:val="21"/>
                <w:u w:val="single"/>
              </w:rPr>
              <w:t>1</w:t>
            </w:r>
            <w:r>
              <w:rPr>
                <w:rFonts w:hint="eastAsia"/>
                <w:color w:val="000000" w:themeColor="text1"/>
                <w:szCs w:val="21"/>
                <w:u w:val="single"/>
              </w:rPr>
              <w:t>次</w:t>
            </w:r>
            <w:r>
              <w:rPr>
                <w:rFonts w:hint="eastAsia"/>
                <w:color w:val="000000" w:themeColor="text1"/>
                <w:szCs w:val="21"/>
                <w:u w:val="single"/>
              </w:rPr>
              <w:t>/</w:t>
            </w:r>
            <w:r>
              <w:rPr>
                <w:rFonts w:hint="eastAsia"/>
                <w:color w:val="000000" w:themeColor="text1"/>
                <w:szCs w:val="21"/>
                <w:u w:val="single"/>
              </w:rPr>
              <w:t>季度</w:t>
            </w:r>
          </w:p>
        </w:tc>
        <w:tc>
          <w:tcPr>
            <w:tcW w:w="388" w:type="pct"/>
            <w:vMerge w:val="restart"/>
            <w:tcBorders>
              <w:tl2br w:val="nil"/>
              <w:tr2bl w:val="nil"/>
            </w:tcBorders>
            <w:vAlign w:val="center"/>
          </w:tcPr>
          <w:p w:rsidR="00AC71A6" w:rsidRDefault="00AC71A6">
            <w:pPr>
              <w:pStyle w:val="afffffff4"/>
              <w:rPr>
                <w:rFonts w:cs="Times New Roman"/>
                <w:color w:val="000000" w:themeColor="text1"/>
                <w:szCs w:val="21"/>
              </w:rPr>
            </w:pPr>
            <w:r>
              <w:rPr>
                <w:rFonts w:cs="Times New Roman"/>
                <w:color w:val="000000" w:themeColor="text1"/>
                <w:szCs w:val="21"/>
              </w:rPr>
              <w:t>若遇特殊情况可以根据需要适当增加频次</w:t>
            </w:r>
          </w:p>
        </w:tc>
        <w:tc>
          <w:tcPr>
            <w:tcW w:w="513" w:type="pct"/>
            <w:vMerge w:val="restart"/>
            <w:tcBorders>
              <w:tl2br w:val="nil"/>
              <w:tr2bl w:val="nil"/>
            </w:tcBorders>
            <w:vAlign w:val="center"/>
          </w:tcPr>
          <w:p w:rsidR="00AC71A6" w:rsidRDefault="00AC71A6">
            <w:pPr>
              <w:pStyle w:val="afffffff4"/>
              <w:rPr>
                <w:rFonts w:cs="Times New Roman"/>
                <w:color w:val="000000" w:themeColor="text1"/>
                <w:szCs w:val="21"/>
              </w:rPr>
            </w:pPr>
            <w:r>
              <w:rPr>
                <w:rFonts w:cs="Times New Roman"/>
                <w:color w:val="000000" w:themeColor="text1"/>
                <w:szCs w:val="21"/>
              </w:rPr>
              <w:t>按照</w:t>
            </w:r>
            <w:r w:rsidRPr="00AC71A6">
              <w:rPr>
                <w:rFonts w:cs="Times New Roman" w:hint="eastAsia"/>
                <w:color w:val="000000" w:themeColor="text1"/>
                <w:szCs w:val="21"/>
              </w:rPr>
              <w:t>生态环境部门</w:t>
            </w:r>
            <w:r>
              <w:rPr>
                <w:rFonts w:cs="Times New Roman"/>
                <w:color w:val="000000" w:themeColor="text1"/>
                <w:szCs w:val="21"/>
              </w:rPr>
              <w:t>有关规定和标准执行</w:t>
            </w:r>
          </w:p>
        </w:tc>
      </w:tr>
      <w:tr w:rsidR="00AC71A6">
        <w:trPr>
          <w:jc w:val="center"/>
        </w:trPr>
        <w:tc>
          <w:tcPr>
            <w:tcW w:w="247" w:type="pct"/>
            <w:vMerge/>
            <w:tcBorders>
              <w:tl2br w:val="nil"/>
              <w:tr2bl w:val="nil"/>
            </w:tcBorders>
            <w:vAlign w:val="center"/>
          </w:tcPr>
          <w:p w:rsidR="00AC71A6" w:rsidRDefault="00AC71A6">
            <w:pPr>
              <w:pStyle w:val="afffffff4"/>
              <w:rPr>
                <w:color w:val="000000" w:themeColor="text1"/>
                <w:szCs w:val="21"/>
                <w:u w:val="single"/>
              </w:rPr>
            </w:pPr>
          </w:p>
        </w:tc>
        <w:tc>
          <w:tcPr>
            <w:tcW w:w="1402" w:type="pct"/>
            <w:tcBorders>
              <w:tl2br w:val="nil"/>
              <w:tr2bl w:val="nil"/>
            </w:tcBorders>
            <w:vAlign w:val="center"/>
          </w:tcPr>
          <w:p w:rsidR="00AC71A6" w:rsidRDefault="00AC71A6">
            <w:pPr>
              <w:jc w:val="center"/>
              <w:rPr>
                <w:color w:val="000000" w:themeColor="text1"/>
              </w:rPr>
            </w:pPr>
            <w:r>
              <w:rPr>
                <w:rFonts w:cs="Times New Roman" w:hint="eastAsia"/>
                <w:color w:val="000000" w:themeColor="text1"/>
                <w:szCs w:val="21"/>
              </w:rPr>
              <w:t>导热油锅炉废气</w:t>
            </w:r>
            <w:r>
              <w:rPr>
                <w:rFonts w:hint="eastAsia"/>
                <w:color w:val="000000" w:themeColor="text1"/>
              </w:rPr>
              <w:t>（</w:t>
            </w:r>
            <w:r>
              <w:rPr>
                <w:rFonts w:hint="eastAsia"/>
                <w:color w:val="000000" w:themeColor="text1"/>
              </w:rPr>
              <w:t>D</w:t>
            </w:r>
            <w:r>
              <w:rPr>
                <w:color w:val="000000" w:themeColor="text1"/>
              </w:rPr>
              <w:t>A002</w:t>
            </w:r>
            <w:r>
              <w:rPr>
                <w:rFonts w:hint="eastAsia"/>
                <w:color w:val="000000" w:themeColor="text1"/>
              </w:rPr>
              <w:t>）</w:t>
            </w:r>
          </w:p>
        </w:tc>
        <w:tc>
          <w:tcPr>
            <w:tcW w:w="1612" w:type="pct"/>
            <w:tcBorders>
              <w:tl2br w:val="nil"/>
              <w:tr2bl w:val="nil"/>
            </w:tcBorders>
            <w:vAlign w:val="center"/>
          </w:tcPr>
          <w:p w:rsidR="00AC71A6" w:rsidRDefault="00AC71A6">
            <w:pPr>
              <w:pStyle w:val="afffffff4"/>
              <w:rPr>
                <w:color w:val="000000" w:themeColor="text1"/>
                <w:szCs w:val="21"/>
                <w:u w:val="single"/>
              </w:rPr>
            </w:pPr>
            <w:r>
              <w:rPr>
                <w:rFonts w:hint="eastAsia"/>
                <w:color w:val="000000" w:themeColor="text1"/>
                <w:szCs w:val="21"/>
                <w:u w:val="single"/>
              </w:rPr>
              <w:t>颗粒物、二氧化硫、氮氧化物</w:t>
            </w:r>
          </w:p>
        </w:tc>
        <w:tc>
          <w:tcPr>
            <w:tcW w:w="838" w:type="pct"/>
            <w:tcBorders>
              <w:tl2br w:val="nil"/>
              <w:tr2bl w:val="nil"/>
            </w:tcBorders>
            <w:vAlign w:val="center"/>
          </w:tcPr>
          <w:p w:rsidR="00AC71A6" w:rsidRDefault="00AC71A6">
            <w:pPr>
              <w:pStyle w:val="afffffff4"/>
              <w:rPr>
                <w:color w:val="000000" w:themeColor="text1"/>
                <w:szCs w:val="21"/>
                <w:u w:val="single"/>
              </w:rPr>
            </w:pPr>
            <w:r>
              <w:rPr>
                <w:rFonts w:hint="eastAsia"/>
                <w:color w:val="000000" w:themeColor="text1"/>
                <w:szCs w:val="21"/>
                <w:u w:val="single"/>
              </w:rPr>
              <w:t>1</w:t>
            </w:r>
            <w:r>
              <w:rPr>
                <w:rFonts w:hint="eastAsia"/>
                <w:color w:val="000000" w:themeColor="text1"/>
                <w:szCs w:val="21"/>
                <w:u w:val="single"/>
              </w:rPr>
              <w:t>次</w:t>
            </w:r>
            <w:r>
              <w:rPr>
                <w:rFonts w:hint="eastAsia"/>
                <w:color w:val="000000" w:themeColor="text1"/>
                <w:szCs w:val="21"/>
                <w:u w:val="single"/>
              </w:rPr>
              <w:t>/</w:t>
            </w:r>
            <w:r>
              <w:rPr>
                <w:rFonts w:hint="eastAsia"/>
                <w:color w:val="000000" w:themeColor="text1"/>
                <w:szCs w:val="21"/>
                <w:u w:val="single"/>
              </w:rPr>
              <w:t>季度</w:t>
            </w:r>
          </w:p>
        </w:tc>
        <w:tc>
          <w:tcPr>
            <w:tcW w:w="388" w:type="pct"/>
            <w:vMerge/>
            <w:tcBorders>
              <w:tl2br w:val="nil"/>
              <w:tr2bl w:val="nil"/>
            </w:tcBorders>
            <w:vAlign w:val="center"/>
          </w:tcPr>
          <w:p w:rsidR="00AC71A6" w:rsidRDefault="00AC71A6">
            <w:pPr>
              <w:pStyle w:val="afffffff4"/>
              <w:rPr>
                <w:rFonts w:cs="Times New Roman"/>
                <w:color w:val="000000" w:themeColor="text1"/>
                <w:szCs w:val="21"/>
              </w:rPr>
            </w:pPr>
          </w:p>
        </w:tc>
        <w:tc>
          <w:tcPr>
            <w:tcW w:w="513" w:type="pct"/>
            <w:vMerge/>
            <w:tcBorders>
              <w:tl2br w:val="nil"/>
              <w:tr2bl w:val="nil"/>
            </w:tcBorders>
            <w:vAlign w:val="center"/>
          </w:tcPr>
          <w:p w:rsidR="00AC71A6" w:rsidRDefault="00AC71A6">
            <w:pPr>
              <w:pStyle w:val="afffffff4"/>
              <w:rPr>
                <w:rFonts w:cs="Times New Roman"/>
                <w:color w:val="000000" w:themeColor="text1"/>
                <w:szCs w:val="21"/>
              </w:rPr>
            </w:pPr>
          </w:p>
        </w:tc>
      </w:tr>
      <w:tr w:rsidR="00AC71A6">
        <w:trPr>
          <w:trHeight w:val="90"/>
          <w:jc w:val="center"/>
        </w:trPr>
        <w:tc>
          <w:tcPr>
            <w:tcW w:w="247" w:type="pct"/>
            <w:vMerge/>
            <w:tcBorders>
              <w:tl2br w:val="nil"/>
              <w:tr2bl w:val="nil"/>
            </w:tcBorders>
            <w:vAlign w:val="center"/>
          </w:tcPr>
          <w:p w:rsidR="00AC71A6" w:rsidRDefault="00AC71A6">
            <w:pPr>
              <w:pStyle w:val="afffffff4"/>
              <w:rPr>
                <w:color w:val="000000" w:themeColor="text1"/>
                <w:szCs w:val="21"/>
                <w:u w:val="single"/>
              </w:rPr>
            </w:pPr>
          </w:p>
        </w:tc>
        <w:tc>
          <w:tcPr>
            <w:tcW w:w="1402" w:type="pct"/>
            <w:tcBorders>
              <w:tl2br w:val="nil"/>
              <w:tr2bl w:val="nil"/>
            </w:tcBorders>
            <w:vAlign w:val="center"/>
          </w:tcPr>
          <w:p w:rsidR="00AC71A6" w:rsidRDefault="00AC71A6">
            <w:pPr>
              <w:pStyle w:val="afffffff4"/>
              <w:rPr>
                <w:color w:val="000000" w:themeColor="text1"/>
                <w:szCs w:val="21"/>
                <w:u w:val="single"/>
              </w:rPr>
            </w:pPr>
            <w:r>
              <w:rPr>
                <w:rFonts w:hint="eastAsia"/>
                <w:color w:val="000000" w:themeColor="text1"/>
                <w:szCs w:val="21"/>
                <w:u w:val="single"/>
              </w:rPr>
              <w:t>厂界</w:t>
            </w:r>
          </w:p>
        </w:tc>
        <w:tc>
          <w:tcPr>
            <w:tcW w:w="1612" w:type="pct"/>
            <w:tcBorders>
              <w:tl2br w:val="nil"/>
              <w:tr2bl w:val="nil"/>
            </w:tcBorders>
            <w:vAlign w:val="center"/>
          </w:tcPr>
          <w:p w:rsidR="00AC71A6" w:rsidRDefault="00AC71A6">
            <w:pPr>
              <w:pStyle w:val="afffffff4"/>
              <w:rPr>
                <w:color w:val="000000" w:themeColor="text1"/>
                <w:szCs w:val="21"/>
                <w:u w:val="single"/>
              </w:rPr>
            </w:pPr>
            <w:r>
              <w:rPr>
                <w:rFonts w:hint="eastAsia"/>
                <w:color w:val="000000" w:themeColor="text1"/>
                <w:szCs w:val="21"/>
                <w:u w:val="single"/>
              </w:rPr>
              <w:t>非甲烷总烃</w:t>
            </w:r>
          </w:p>
          <w:p w:rsidR="00AC71A6" w:rsidRDefault="00AC71A6">
            <w:pPr>
              <w:pStyle w:val="afffffff4"/>
              <w:rPr>
                <w:color w:val="000000" w:themeColor="text1"/>
                <w:szCs w:val="21"/>
                <w:u w:val="single"/>
              </w:rPr>
            </w:pPr>
            <w:r>
              <w:rPr>
                <w:rFonts w:hint="eastAsia"/>
                <w:color w:val="000000" w:themeColor="text1"/>
                <w:szCs w:val="21"/>
                <w:u w:val="single"/>
              </w:rPr>
              <w:t>氨、硫化氢、臭气浓度</w:t>
            </w:r>
          </w:p>
        </w:tc>
        <w:tc>
          <w:tcPr>
            <w:tcW w:w="838" w:type="pct"/>
            <w:tcBorders>
              <w:tl2br w:val="nil"/>
              <w:tr2bl w:val="nil"/>
            </w:tcBorders>
            <w:vAlign w:val="center"/>
          </w:tcPr>
          <w:p w:rsidR="00AC71A6" w:rsidRDefault="00AC71A6">
            <w:pPr>
              <w:pStyle w:val="afffffff4"/>
              <w:rPr>
                <w:color w:val="000000" w:themeColor="text1"/>
                <w:szCs w:val="21"/>
                <w:u w:val="single"/>
              </w:rPr>
            </w:pPr>
            <w:r>
              <w:rPr>
                <w:rFonts w:hint="eastAsia"/>
                <w:color w:val="000000" w:themeColor="text1"/>
                <w:szCs w:val="21"/>
                <w:u w:val="single"/>
              </w:rPr>
              <w:t>1</w:t>
            </w:r>
            <w:r>
              <w:rPr>
                <w:rFonts w:hint="eastAsia"/>
                <w:color w:val="000000" w:themeColor="text1"/>
                <w:szCs w:val="21"/>
                <w:u w:val="single"/>
              </w:rPr>
              <w:t>次</w:t>
            </w:r>
            <w:r>
              <w:rPr>
                <w:rFonts w:hint="eastAsia"/>
                <w:color w:val="000000" w:themeColor="text1"/>
                <w:szCs w:val="21"/>
                <w:u w:val="single"/>
              </w:rPr>
              <w:t>/</w:t>
            </w:r>
            <w:r>
              <w:rPr>
                <w:rFonts w:hint="eastAsia"/>
                <w:color w:val="000000" w:themeColor="text1"/>
                <w:szCs w:val="21"/>
                <w:u w:val="single"/>
              </w:rPr>
              <w:t>半年</w:t>
            </w:r>
          </w:p>
        </w:tc>
        <w:tc>
          <w:tcPr>
            <w:tcW w:w="388" w:type="pct"/>
            <w:vMerge/>
            <w:tcBorders>
              <w:tl2br w:val="nil"/>
              <w:tr2bl w:val="nil"/>
            </w:tcBorders>
            <w:vAlign w:val="center"/>
          </w:tcPr>
          <w:p w:rsidR="00AC71A6" w:rsidRDefault="00AC71A6">
            <w:pPr>
              <w:pStyle w:val="afffffff4"/>
              <w:rPr>
                <w:rFonts w:cs="Times New Roman"/>
                <w:color w:val="000000" w:themeColor="text1"/>
                <w:szCs w:val="21"/>
              </w:rPr>
            </w:pPr>
          </w:p>
        </w:tc>
        <w:tc>
          <w:tcPr>
            <w:tcW w:w="513" w:type="pct"/>
            <w:vMerge/>
            <w:tcBorders>
              <w:tl2br w:val="nil"/>
              <w:tr2bl w:val="nil"/>
            </w:tcBorders>
            <w:vAlign w:val="center"/>
          </w:tcPr>
          <w:p w:rsidR="00AC71A6" w:rsidRDefault="00AC71A6">
            <w:pPr>
              <w:pStyle w:val="afffffff4"/>
              <w:rPr>
                <w:rFonts w:cs="Times New Roman"/>
                <w:color w:val="000000" w:themeColor="text1"/>
                <w:szCs w:val="21"/>
              </w:rPr>
            </w:pPr>
          </w:p>
        </w:tc>
      </w:tr>
      <w:tr w:rsidR="00AC71A6">
        <w:trPr>
          <w:trHeight w:val="816"/>
          <w:jc w:val="center"/>
        </w:trPr>
        <w:tc>
          <w:tcPr>
            <w:tcW w:w="247" w:type="pct"/>
            <w:tcBorders>
              <w:tl2br w:val="nil"/>
              <w:tr2bl w:val="nil"/>
            </w:tcBorders>
            <w:vAlign w:val="center"/>
          </w:tcPr>
          <w:p w:rsidR="00AC71A6" w:rsidRDefault="00AC71A6">
            <w:pPr>
              <w:pStyle w:val="afffffff4"/>
              <w:rPr>
                <w:color w:val="000000" w:themeColor="text1"/>
                <w:szCs w:val="21"/>
                <w:u w:val="single"/>
              </w:rPr>
            </w:pPr>
            <w:r>
              <w:rPr>
                <w:rFonts w:hint="eastAsia"/>
                <w:color w:val="000000" w:themeColor="text1"/>
                <w:szCs w:val="21"/>
                <w:u w:val="single"/>
              </w:rPr>
              <w:t>废水</w:t>
            </w:r>
          </w:p>
        </w:tc>
        <w:tc>
          <w:tcPr>
            <w:tcW w:w="1402" w:type="pct"/>
            <w:tcBorders>
              <w:tl2br w:val="nil"/>
              <w:tr2bl w:val="nil"/>
            </w:tcBorders>
            <w:vAlign w:val="center"/>
          </w:tcPr>
          <w:p w:rsidR="00AC71A6" w:rsidRDefault="00AC71A6">
            <w:pPr>
              <w:pStyle w:val="afffffff4"/>
              <w:rPr>
                <w:color w:val="000000" w:themeColor="text1"/>
                <w:szCs w:val="21"/>
                <w:u w:val="single"/>
              </w:rPr>
            </w:pPr>
            <w:r>
              <w:rPr>
                <w:rFonts w:hint="eastAsia"/>
                <w:color w:val="000000" w:themeColor="text1"/>
                <w:szCs w:val="21"/>
                <w:u w:val="single"/>
              </w:rPr>
              <w:t>废水总排口</w:t>
            </w:r>
          </w:p>
        </w:tc>
        <w:tc>
          <w:tcPr>
            <w:tcW w:w="1612" w:type="pct"/>
            <w:tcBorders>
              <w:tl2br w:val="nil"/>
              <w:tr2bl w:val="nil"/>
            </w:tcBorders>
          </w:tcPr>
          <w:p w:rsidR="00AC71A6" w:rsidRDefault="00AC71A6">
            <w:pPr>
              <w:pStyle w:val="afffffff4"/>
              <w:rPr>
                <w:color w:val="000000" w:themeColor="text1"/>
              </w:rPr>
            </w:pPr>
            <w:r>
              <w:rPr>
                <w:rFonts w:hint="eastAsia"/>
                <w:color w:val="000000" w:themeColor="text1"/>
              </w:rPr>
              <w:t>pH</w:t>
            </w:r>
            <w:r>
              <w:rPr>
                <w:rFonts w:hint="eastAsia"/>
                <w:color w:val="000000" w:themeColor="text1"/>
              </w:rPr>
              <w:t>、化学需氧量、五日生化需氧量、悬浮物、硫化物、石油类、氨氮、总磷</w:t>
            </w:r>
          </w:p>
        </w:tc>
        <w:tc>
          <w:tcPr>
            <w:tcW w:w="838" w:type="pct"/>
            <w:tcBorders>
              <w:tl2br w:val="nil"/>
              <w:tr2bl w:val="nil"/>
            </w:tcBorders>
            <w:vAlign w:val="center"/>
          </w:tcPr>
          <w:p w:rsidR="00AC71A6" w:rsidRDefault="00AC71A6">
            <w:pPr>
              <w:pStyle w:val="afffffff4"/>
              <w:rPr>
                <w:color w:val="000000" w:themeColor="text1"/>
                <w:szCs w:val="21"/>
                <w:u w:val="single"/>
              </w:rPr>
            </w:pPr>
            <w:r>
              <w:rPr>
                <w:rFonts w:hint="eastAsia"/>
                <w:color w:val="000000" w:themeColor="text1"/>
                <w:szCs w:val="21"/>
                <w:u w:val="single"/>
              </w:rPr>
              <w:t>1</w:t>
            </w:r>
            <w:r>
              <w:rPr>
                <w:rFonts w:hint="eastAsia"/>
                <w:color w:val="000000" w:themeColor="text1"/>
                <w:szCs w:val="21"/>
                <w:u w:val="single"/>
              </w:rPr>
              <w:t>次</w:t>
            </w:r>
            <w:r>
              <w:rPr>
                <w:rFonts w:hint="eastAsia"/>
                <w:color w:val="000000" w:themeColor="text1"/>
                <w:szCs w:val="21"/>
                <w:u w:val="single"/>
              </w:rPr>
              <w:t>/</w:t>
            </w:r>
            <w:r>
              <w:rPr>
                <w:rFonts w:hint="eastAsia"/>
                <w:color w:val="000000" w:themeColor="text1"/>
                <w:szCs w:val="21"/>
                <w:u w:val="single"/>
              </w:rPr>
              <w:t>半年</w:t>
            </w:r>
          </w:p>
        </w:tc>
        <w:tc>
          <w:tcPr>
            <w:tcW w:w="388" w:type="pct"/>
            <w:vMerge/>
            <w:tcBorders>
              <w:tl2br w:val="nil"/>
              <w:tr2bl w:val="nil"/>
            </w:tcBorders>
            <w:vAlign w:val="center"/>
          </w:tcPr>
          <w:p w:rsidR="00AC71A6" w:rsidRDefault="00AC71A6">
            <w:pPr>
              <w:pStyle w:val="afffffff4"/>
              <w:rPr>
                <w:rFonts w:cs="Times New Roman"/>
                <w:color w:val="000000" w:themeColor="text1"/>
                <w:szCs w:val="21"/>
              </w:rPr>
            </w:pPr>
          </w:p>
        </w:tc>
        <w:tc>
          <w:tcPr>
            <w:tcW w:w="513" w:type="pct"/>
            <w:vMerge/>
            <w:tcBorders>
              <w:tl2br w:val="nil"/>
              <w:tr2bl w:val="nil"/>
            </w:tcBorders>
            <w:vAlign w:val="center"/>
          </w:tcPr>
          <w:p w:rsidR="00AC71A6" w:rsidRDefault="00AC71A6">
            <w:pPr>
              <w:pStyle w:val="afffffff4"/>
              <w:rPr>
                <w:rFonts w:cs="Times New Roman"/>
                <w:color w:val="000000" w:themeColor="text1"/>
                <w:szCs w:val="21"/>
              </w:rPr>
            </w:pPr>
          </w:p>
        </w:tc>
      </w:tr>
      <w:tr w:rsidR="00AC71A6">
        <w:trPr>
          <w:jc w:val="center"/>
        </w:trPr>
        <w:tc>
          <w:tcPr>
            <w:tcW w:w="247" w:type="pct"/>
            <w:tcBorders>
              <w:tl2br w:val="nil"/>
              <w:tr2bl w:val="nil"/>
            </w:tcBorders>
            <w:vAlign w:val="center"/>
          </w:tcPr>
          <w:p w:rsidR="00AC71A6" w:rsidRDefault="00AC71A6">
            <w:pPr>
              <w:pStyle w:val="afffffff4"/>
              <w:rPr>
                <w:color w:val="000000" w:themeColor="text1"/>
                <w:szCs w:val="21"/>
                <w:u w:val="single"/>
              </w:rPr>
            </w:pPr>
            <w:r>
              <w:rPr>
                <w:rFonts w:hint="eastAsia"/>
                <w:color w:val="000000" w:themeColor="text1"/>
                <w:szCs w:val="21"/>
                <w:u w:val="single"/>
              </w:rPr>
              <w:t>噪声</w:t>
            </w:r>
          </w:p>
        </w:tc>
        <w:tc>
          <w:tcPr>
            <w:tcW w:w="1402" w:type="pct"/>
            <w:tcBorders>
              <w:tl2br w:val="nil"/>
              <w:tr2bl w:val="nil"/>
            </w:tcBorders>
            <w:vAlign w:val="center"/>
          </w:tcPr>
          <w:p w:rsidR="00AC71A6" w:rsidRDefault="00AC71A6">
            <w:pPr>
              <w:pStyle w:val="afffffff4"/>
              <w:rPr>
                <w:color w:val="000000" w:themeColor="text1"/>
                <w:szCs w:val="21"/>
                <w:u w:val="single"/>
              </w:rPr>
            </w:pPr>
            <w:r>
              <w:rPr>
                <w:rFonts w:hint="eastAsia"/>
                <w:color w:val="000000" w:themeColor="text1"/>
                <w:szCs w:val="21"/>
                <w:u w:val="single"/>
              </w:rPr>
              <w:t>四个厂界</w:t>
            </w:r>
          </w:p>
        </w:tc>
        <w:tc>
          <w:tcPr>
            <w:tcW w:w="1612" w:type="pct"/>
            <w:tcBorders>
              <w:tl2br w:val="nil"/>
              <w:tr2bl w:val="nil"/>
            </w:tcBorders>
            <w:vAlign w:val="center"/>
          </w:tcPr>
          <w:p w:rsidR="00AC71A6" w:rsidRDefault="00AC71A6">
            <w:pPr>
              <w:pStyle w:val="afffffff4"/>
              <w:rPr>
                <w:color w:val="000000" w:themeColor="text1"/>
                <w:szCs w:val="21"/>
                <w:u w:val="single"/>
              </w:rPr>
            </w:pPr>
            <w:r>
              <w:rPr>
                <w:rFonts w:hint="eastAsia"/>
                <w:color w:val="000000" w:themeColor="text1"/>
                <w:szCs w:val="21"/>
                <w:u w:val="single"/>
              </w:rPr>
              <w:t>等效连续</w:t>
            </w:r>
            <w:r>
              <w:rPr>
                <w:rFonts w:hint="eastAsia"/>
                <w:color w:val="000000" w:themeColor="text1"/>
                <w:szCs w:val="21"/>
                <w:u w:val="single"/>
              </w:rPr>
              <w:t>A</w:t>
            </w:r>
            <w:r>
              <w:rPr>
                <w:rFonts w:hint="eastAsia"/>
                <w:color w:val="000000" w:themeColor="text1"/>
                <w:szCs w:val="21"/>
                <w:u w:val="single"/>
              </w:rPr>
              <w:t>声级</w:t>
            </w:r>
          </w:p>
        </w:tc>
        <w:tc>
          <w:tcPr>
            <w:tcW w:w="838" w:type="pct"/>
            <w:tcBorders>
              <w:tl2br w:val="nil"/>
              <w:tr2bl w:val="nil"/>
            </w:tcBorders>
            <w:vAlign w:val="center"/>
          </w:tcPr>
          <w:p w:rsidR="00AC71A6" w:rsidRDefault="00AC71A6">
            <w:pPr>
              <w:pStyle w:val="afffffff4"/>
              <w:rPr>
                <w:color w:val="000000" w:themeColor="text1"/>
                <w:szCs w:val="21"/>
                <w:u w:val="single"/>
              </w:rPr>
            </w:pPr>
            <w:r>
              <w:rPr>
                <w:rFonts w:hint="eastAsia"/>
                <w:color w:val="000000" w:themeColor="text1"/>
                <w:szCs w:val="21"/>
                <w:u w:val="single"/>
              </w:rPr>
              <w:t>每季度</w:t>
            </w:r>
            <w:r>
              <w:rPr>
                <w:rFonts w:hint="eastAsia"/>
                <w:color w:val="000000" w:themeColor="text1"/>
                <w:szCs w:val="21"/>
                <w:u w:val="single"/>
              </w:rPr>
              <w:t>1</w:t>
            </w:r>
            <w:r>
              <w:rPr>
                <w:rFonts w:hint="eastAsia"/>
                <w:color w:val="000000" w:themeColor="text1"/>
                <w:szCs w:val="21"/>
                <w:u w:val="single"/>
              </w:rPr>
              <w:t>次</w:t>
            </w:r>
          </w:p>
        </w:tc>
        <w:tc>
          <w:tcPr>
            <w:tcW w:w="388" w:type="pct"/>
            <w:vMerge/>
            <w:tcBorders>
              <w:tl2br w:val="nil"/>
              <w:tr2bl w:val="nil"/>
            </w:tcBorders>
            <w:vAlign w:val="center"/>
          </w:tcPr>
          <w:p w:rsidR="00AC71A6" w:rsidRDefault="00AC71A6">
            <w:pPr>
              <w:pStyle w:val="afffffff4"/>
              <w:rPr>
                <w:rFonts w:cs="Times New Roman"/>
                <w:color w:val="000000" w:themeColor="text1"/>
                <w:szCs w:val="21"/>
              </w:rPr>
            </w:pPr>
          </w:p>
        </w:tc>
        <w:tc>
          <w:tcPr>
            <w:tcW w:w="513" w:type="pct"/>
            <w:vMerge/>
            <w:tcBorders>
              <w:tl2br w:val="nil"/>
              <w:tr2bl w:val="nil"/>
            </w:tcBorders>
            <w:vAlign w:val="center"/>
          </w:tcPr>
          <w:p w:rsidR="00AC71A6" w:rsidRDefault="00AC71A6">
            <w:pPr>
              <w:pStyle w:val="afffffff4"/>
              <w:rPr>
                <w:rFonts w:cs="Times New Roman"/>
                <w:color w:val="000000" w:themeColor="text1"/>
                <w:szCs w:val="21"/>
              </w:rPr>
            </w:pPr>
          </w:p>
        </w:tc>
      </w:tr>
      <w:tr w:rsidR="00AC71A6">
        <w:trPr>
          <w:jc w:val="center"/>
        </w:trPr>
        <w:tc>
          <w:tcPr>
            <w:tcW w:w="247" w:type="pct"/>
            <w:vMerge w:val="restart"/>
            <w:tcBorders>
              <w:tl2br w:val="nil"/>
              <w:tr2bl w:val="nil"/>
            </w:tcBorders>
            <w:vAlign w:val="center"/>
          </w:tcPr>
          <w:p w:rsidR="00AC71A6" w:rsidRPr="00AC71A6" w:rsidRDefault="00AC71A6">
            <w:pPr>
              <w:pStyle w:val="afffffff4"/>
              <w:rPr>
                <w:color w:val="FF0000"/>
                <w:szCs w:val="21"/>
                <w:u w:val="single"/>
              </w:rPr>
            </w:pPr>
            <w:r w:rsidRPr="00AC71A6">
              <w:rPr>
                <w:rFonts w:hint="eastAsia"/>
                <w:color w:val="FF0000"/>
                <w:szCs w:val="21"/>
                <w:u w:val="single"/>
              </w:rPr>
              <w:t>土壤</w:t>
            </w:r>
          </w:p>
        </w:tc>
        <w:tc>
          <w:tcPr>
            <w:tcW w:w="1402" w:type="pct"/>
            <w:tcBorders>
              <w:tl2br w:val="nil"/>
              <w:tr2bl w:val="nil"/>
            </w:tcBorders>
            <w:vAlign w:val="center"/>
          </w:tcPr>
          <w:p w:rsidR="00AC71A6" w:rsidRPr="00AC71A6" w:rsidRDefault="00AC71A6">
            <w:pPr>
              <w:pStyle w:val="afffffff4"/>
              <w:rPr>
                <w:color w:val="FF0000"/>
                <w:szCs w:val="21"/>
                <w:u w:val="single"/>
              </w:rPr>
            </w:pPr>
            <w:r w:rsidRPr="00AC71A6">
              <w:rPr>
                <w:rFonts w:hint="eastAsia"/>
                <w:color w:val="FF0000"/>
                <w:szCs w:val="21"/>
                <w:u w:val="single"/>
              </w:rPr>
              <w:t>污水处理站</w:t>
            </w:r>
          </w:p>
        </w:tc>
        <w:tc>
          <w:tcPr>
            <w:tcW w:w="1612" w:type="pct"/>
            <w:vMerge w:val="restart"/>
            <w:tcBorders>
              <w:tl2br w:val="nil"/>
              <w:tr2bl w:val="nil"/>
            </w:tcBorders>
            <w:vAlign w:val="center"/>
          </w:tcPr>
          <w:p w:rsidR="00AC71A6" w:rsidRDefault="00AC71A6">
            <w:pPr>
              <w:pStyle w:val="afffffff4"/>
              <w:rPr>
                <w:color w:val="000000" w:themeColor="text1"/>
                <w:szCs w:val="21"/>
                <w:u w:val="single"/>
              </w:rPr>
            </w:pPr>
            <w:r w:rsidRPr="00AC71A6">
              <w:rPr>
                <w:rFonts w:hint="eastAsia"/>
                <w:color w:val="000000" w:themeColor="text1"/>
                <w:szCs w:val="21"/>
                <w:u w:val="single"/>
              </w:rPr>
              <w:t>石油烃（</w:t>
            </w:r>
            <w:r w:rsidRPr="00AC71A6">
              <w:rPr>
                <w:rFonts w:hint="eastAsia"/>
                <w:color w:val="000000" w:themeColor="text1"/>
                <w:szCs w:val="21"/>
                <w:u w:val="single"/>
              </w:rPr>
              <w:t>C10-C40</w:t>
            </w:r>
            <w:r w:rsidRPr="00AC71A6">
              <w:rPr>
                <w:rFonts w:hint="eastAsia"/>
                <w:color w:val="000000" w:themeColor="text1"/>
                <w:szCs w:val="21"/>
                <w:u w:val="single"/>
              </w:rPr>
              <w:t>）、铁、锌、锰、钒、钴。</w:t>
            </w:r>
          </w:p>
        </w:tc>
        <w:tc>
          <w:tcPr>
            <w:tcW w:w="838" w:type="pct"/>
            <w:vMerge w:val="restart"/>
            <w:tcBorders>
              <w:tl2br w:val="nil"/>
              <w:tr2bl w:val="nil"/>
            </w:tcBorders>
            <w:vAlign w:val="center"/>
          </w:tcPr>
          <w:p w:rsidR="00AC71A6" w:rsidRDefault="00AC71A6">
            <w:pPr>
              <w:pStyle w:val="afffffff4"/>
              <w:rPr>
                <w:color w:val="000000" w:themeColor="text1"/>
                <w:szCs w:val="21"/>
                <w:u w:val="single"/>
              </w:rPr>
            </w:pPr>
            <w:r>
              <w:rPr>
                <w:rFonts w:hint="eastAsia"/>
                <w:color w:val="000000" w:themeColor="text1"/>
                <w:szCs w:val="21"/>
                <w:u w:val="single"/>
              </w:rPr>
              <w:t>1</w:t>
            </w:r>
            <w:r>
              <w:rPr>
                <w:rFonts w:hint="eastAsia"/>
                <w:color w:val="000000" w:themeColor="text1"/>
                <w:szCs w:val="21"/>
                <w:u w:val="single"/>
              </w:rPr>
              <w:t>次</w:t>
            </w:r>
            <w:r>
              <w:rPr>
                <w:rFonts w:hint="eastAsia"/>
                <w:color w:val="000000" w:themeColor="text1"/>
                <w:szCs w:val="21"/>
                <w:u w:val="single"/>
              </w:rPr>
              <w:t>/3</w:t>
            </w:r>
            <w:r>
              <w:rPr>
                <w:rFonts w:hint="eastAsia"/>
                <w:color w:val="000000" w:themeColor="text1"/>
                <w:szCs w:val="21"/>
                <w:u w:val="single"/>
              </w:rPr>
              <w:t>年</w:t>
            </w:r>
          </w:p>
        </w:tc>
        <w:tc>
          <w:tcPr>
            <w:tcW w:w="388" w:type="pct"/>
            <w:vMerge/>
            <w:tcBorders>
              <w:tl2br w:val="nil"/>
              <w:tr2bl w:val="nil"/>
            </w:tcBorders>
            <w:vAlign w:val="center"/>
          </w:tcPr>
          <w:p w:rsidR="00AC71A6" w:rsidRDefault="00AC71A6">
            <w:pPr>
              <w:pStyle w:val="afffffff4"/>
              <w:rPr>
                <w:rFonts w:cs="Times New Roman"/>
                <w:color w:val="000000" w:themeColor="text1"/>
                <w:szCs w:val="21"/>
              </w:rPr>
            </w:pPr>
          </w:p>
        </w:tc>
        <w:tc>
          <w:tcPr>
            <w:tcW w:w="513" w:type="pct"/>
            <w:vMerge/>
            <w:tcBorders>
              <w:tl2br w:val="nil"/>
              <w:tr2bl w:val="nil"/>
            </w:tcBorders>
            <w:vAlign w:val="center"/>
          </w:tcPr>
          <w:p w:rsidR="00AC71A6" w:rsidRDefault="00AC71A6">
            <w:pPr>
              <w:pStyle w:val="afffffff4"/>
              <w:rPr>
                <w:rFonts w:cs="Times New Roman"/>
                <w:color w:val="000000" w:themeColor="text1"/>
                <w:szCs w:val="21"/>
              </w:rPr>
            </w:pPr>
          </w:p>
        </w:tc>
      </w:tr>
      <w:tr w:rsidR="00AC71A6" w:rsidTr="00AC71A6">
        <w:trPr>
          <w:jc w:val="center"/>
        </w:trPr>
        <w:tc>
          <w:tcPr>
            <w:tcW w:w="247" w:type="pct"/>
            <w:vMerge/>
            <w:tcBorders>
              <w:tl2br w:val="nil"/>
              <w:tr2bl w:val="nil"/>
            </w:tcBorders>
            <w:vAlign w:val="center"/>
          </w:tcPr>
          <w:p w:rsidR="00AC71A6" w:rsidRPr="00AC71A6" w:rsidRDefault="00AC71A6" w:rsidP="00AC71A6">
            <w:pPr>
              <w:pStyle w:val="afffffff4"/>
              <w:rPr>
                <w:color w:val="FF0000"/>
              </w:rPr>
            </w:pPr>
          </w:p>
        </w:tc>
        <w:tc>
          <w:tcPr>
            <w:tcW w:w="1402" w:type="pct"/>
            <w:tcBorders>
              <w:tl2br w:val="nil"/>
              <w:tr2bl w:val="nil"/>
            </w:tcBorders>
            <w:vAlign w:val="center"/>
          </w:tcPr>
          <w:p w:rsidR="00AC71A6" w:rsidRPr="00AC71A6" w:rsidRDefault="00AC71A6" w:rsidP="00AC71A6">
            <w:pPr>
              <w:pStyle w:val="afffffff4"/>
              <w:rPr>
                <w:color w:val="FF0000"/>
                <w:szCs w:val="21"/>
                <w:u w:val="single"/>
              </w:rPr>
            </w:pPr>
            <w:r w:rsidRPr="00AC71A6">
              <w:rPr>
                <w:rFonts w:hint="eastAsia"/>
                <w:color w:val="FF0000"/>
                <w:szCs w:val="21"/>
                <w:u w:val="single"/>
              </w:rPr>
              <w:t>生产区域</w:t>
            </w:r>
          </w:p>
        </w:tc>
        <w:tc>
          <w:tcPr>
            <w:tcW w:w="1612" w:type="pct"/>
            <w:vMerge/>
            <w:tcBorders>
              <w:tl2br w:val="nil"/>
              <w:tr2bl w:val="nil"/>
            </w:tcBorders>
            <w:vAlign w:val="center"/>
          </w:tcPr>
          <w:p w:rsidR="00AC71A6" w:rsidRPr="00AC71A6" w:rsidRDefault="00AC71A6" w:rsidP="00AC71A6">
            <w:pPr>
              <w:pStyle w:val="afffffff4"/>
              <w:rPr>
                <w:color w:val="000000" w:themeColor="text1"/>
                <w:szCs w:val="21"/>
                <w:u w:val="single"/>
              </w:rPr>
            </w:pPr>
          </w:p>
        </w:tc>
        <w:tc>
          <w:tcPr>
            <w:tcW w:w="838" w:type="pct"/>
            <w:vMerge/>
            <w:tcBorders>
              <w:tl2br w:val="nil"/>
              <w:tr2bl w:val="nil"/>
            </w:tcBorders>
            <w:vAlign w:val="center"/>
          </w:tcPr>
          <w:p w:rsidR="00AC71A6" w:rsidRDefault="00AC71A6" w:rsidP="00AC71A6">
            <w:pPr>
              <w:pStyle w:val="afffffff4"/>
              <w:rPr>
                <w:color w:val="000000" w:themeColor="text1"/>
                <w:szCs w:val="21"/>
                <w:u w:val="single"/>
              </w:rPr>
            </w:pPr>
          </w:p>
        </w:tc>
        <w:tc>
          <w:tcPr>
            <w:tcW w:w="388" w:type="pct"/>
            <w:vMerge/>
            <w:tcBorders>
              <w:tl2br w:val="nil"/>
              <w:tr2bl w:val="nil"/>
            </w:tcBorders>
            <w:vAlign w:val="center"/>
          </w:tcPr>
          <w:p w:rsidR="00AC71A6" w:rsidRDefault="00AC71A6" w:rsidP="00AC71A6">
            <w:pPr>
              <w:pStyle w:val="afffffff4"/>
              <w:rPr>
                <w:rFonts w:cs="Times New Roman"/>
                <w:color w:val="000000" w:themeColor="text1"/>
                <w:szCs w:val="21"/>
              </w:rPr>
            </w:pPr>
          </w:p>
        </w:tc>
        <w:tc>
          <w:tcPr>
            <w:tcW w:w="513" w:type="pct"/>
            <w:vMerge/>
            <w:tcBorders>
              <w:tl2br w:val="nil"/>
              <w:tr2bl w:val="nil"/>
            </w:tcBorders>
            <w:vAlign w:val="center"/>
          </w:tcPr>
          <w:p w:rsidR="00AC71A6" w:rsidRDefault="00AC71A6" w:rsidP="00AC71A6">
            <w:pPr>
              <w:pStyle w:val="afffffff4"/>
              <w:rPr>
                <w:rFonts w:cs="Times New Roman"/>
                <w:color w:val="000000" w:themeColor="text1"/>
                <w:szCs w:val="21"/>
              </w:rPr>
            </w:pPr>
          </w:p>
        </w:tc>
      </w:tr>
      <w:tr w:rsidR="00AC71A6">
        <w:trPr>
          <w:jc w:val="center"/>
        </w:trPr>
        <w:tc>
          <w:tcPr>
            <w:tcW w:w="247" w:type="pct"/>
            <w:vMerge/>
            <w:tcBorders>
              <w:tl2br w:val="nil"/>
              <w:tr2bl w:val="nil"/>
            </w:tcBorders>
            <w:vAlign w:val="center"/>
          </w:tcPr>
          <w:p w:rsidR="00AC71A6" w:rsidRPr="00AC71A6" w:rsidRDefault="00AC71A6">
            <w:pPr>
              <w:pStyle w:val="afffffff4"/>
              <w:rPr>
                <w:color w:val="FF0000"/>
              </w:rPr>
            </w:pPr>
          </w:p>
        </w:tc>
        <w:tc>
          <w:tcPr>
            <w:tcW w:w="1402" w:type="pct"/>
            <w:tcBorders>
              <w:tl2br w:val="nil"/>
              <w:tr2bl w:val="nil"/>
            </w:tcBorders>
            <w:vAlign w:val="center"/>
          </w:tcPr>
          <w:p w:rsidR="00AC71A6" w:rsidRPr="00AC71A6" w:rsidRDefault="00AC71A6">
            <w:pPr>
              <w:pStyle w:val="afffffff4"/>
              <w:rPr>
                <w:color w:val="FF0000"/>
                <w:szCs w:val="21"/>
                <w:u w:val="single"/>
              </w:rPr>
            </w:pPr>
            <w:r w:rsidRPr="00AC71A6">
              <w:rPr>
                <w:rFonts w:hint="eastAsia"/>
                <w:color w:val="FF0000"/>
                <w:szCs w:val="21"/>
                <w:u w:val="single"/>
              </w:rPr>
              <w:t>储罐区</w:t>
            </w:r>
          </w:p>
        </w:tc>
        <w:tc>
          <w:tcPr>
            <w:tcW w:w="1612" w:type="pct"/>
            <w:vMerge/>
            <w:tcBorders>
              <w:tl2br w:val="nil"/>
              <w:tr2bl w:val="nil"/>
            </w:tcBorders>
            <w:vAlign w:val="center"/>
          </w:tcPr>
          <w:p w:rsidR="00AC71A6" w:rsidRPr="00AC71A6" w:rsidRDefault="00AC71A6">
            <w:pPr>
              <w:pStyle w:val="afffffff4"/>
              <w:rPr>
                <w:color w:val="000000" w:themeColor="text1"/>
                <w:szCs w:val="21"/>
                <w:u w:val="single"/>
              </w:rPr>
            </w:pPr>
          </w:p>
        </w:tc>
        <w:tc>
          <w:tcPr>
            <w:tcW w:w="838" w:type="pct"/>
            <w:vMerge/>
            <w:tcBorders>
              <w:tl2br w:val="nil"/>
              <w:tr2bl w:val="nil"/>
            </w:tcBorders>
            <w:vAlign w:val="center"/>
          </w:tcPr>
          <w:p w:rsidR="00AC71A6" w:rsidRDefault="00AC71A6">
            <w:pPr>
              <w:pStyle w:val="afffffff4"/>
              <w:rPr>
                <w:color w:val="000000" w:themeColor="text1"/>
                <w:szCs w:val="21"/>
                <w:u w:val="single"/>
              </w:rPr>
            </w:pPr>
          </w:p>
        </w:tc>
        <w:tc>
          <w:tcPr>
            <w:tcW w:w="388" w:type="pct"/>
            <w:vMerge/>
            <w:tcBorders>
              <w:tl2br w:val="nil"/>
              <w:tr2bl w:val="nil"/>
            </w:tcBorders>
            <w:vAlign w:val="center"/>
          </w:tcPr>
          <w:p w:rsidR="00AC71A6" w:rsidRDefault="00AC71A6">
            <w:pPr>
              <w:pStyle w:val="afffffff4"/>
              <w:rPr>
                <w:rFonts w:cs="Times New Roman"/>
                <w:color w:val="000000" w:themeColor="text1"/>
                <w:szCs w:val="21"/>
              </w:rPr>
            </w:pPr>
          </w:p>
        </w:tc>
        <w:tc>
          <w:tcPr>
            <w:tcW w:w="513" w:type="pct"/>
            <w:vMerge/>
            <w:tcBorders>
              <w:tl2br w:val="nil"/>
              <w:tr2bl w:val="nil"/>
            </w:tcBorders>
            <w:vAlign w:val="center"/>
          </w:tcPr>
          <w:p w:rsidR="00AC71A6" w:rsidRDefault="00AC71A6">
            <w:pPr>
              <w:pStyle w:val="afffffff4"/>
              <w:rPr>
                <w:rFonts w:cs="Times New Roman"/>
                <w:color w:val="000000" w:themeColor="text1"/>
                <w:szCs w:val="21"/>
              </w:rPr>
            </w:pPr>
          </w:p>
        </w:tc>
      </w:tr>
    </w:tbl>
    <w:p w:rsidR="00644456" w:rsidRDefault="008031C4">
      <w:pPr>
        <w:widowControl/>
        <w:snapToGrid w:val="0"/>
        <w:spacing w:line="360" w:lineRule="auto"/>
        <w:ind w:firstLine="482"/>
        <w:rPr>
          <w:rFonts w:cs="Times New Roman"/>
          <w:color w:val="000000" w:themeColor="text1"/>
          <w:kern w:val="0"/>
          <w:sz w:val="24"/>
        </w:rPr>
      </w:pPr>
      <w:r>
        <w:rPr>
          <w:rFonts w:cs="Times New Roman"/>
          <w:color w:val="000000" w:themeColor="text1"/>
          <w:kern w:val="0"/>
          <w:sz w:val="24"/>
        </w:rPr>
        <w:t>根据《环境影响评价技术导则</w:t>
      </w:r>
      <w:r>
        <w:rPr>
          <w:rFonts w:cs="Times New Roman"/>
          <w:color w:val="000000" w:themeColor="text1"/>
          <w:kern w:val="0"/>
          <w:sz w:val="24"/>
        </w:rPr>
        <w:t>—</w:t>
      </w:r>
      <w:r>
        <w:rPr>
          <w:rFonts w:cs="Times New Roman"/>
          <w:color w:val="000000" w:themeColor="text1"/>
          <w:kern w:val="0"/>
          <w:sz w:val="24"/>
        </w:rPr>
        <w:t>地下水环境》（</w:t>
      </w:r>
      <w:r>
        <w:rPr>
          <w:rFonts w:cs="Times New Roman"/>
          <w:color w:val="000000" w:themeColor="text1"/>
          <w:kern w:val="0"/>
          <w:sz w:val="24"/>
        </w:rPr>
        <w:t>HJ610-2016</w:t>
      </w:r>
      <w:r>
        <w:rPr>
          <w:rFonts w:cs="Times New Roman"/>
          <w:color w:val="000000" w:themeColor="text1"/>
          <w:kern w:val="0"/>
          <w:sz w:val="24"/>
        </w:rPr>
        <w:t>）中对地下水环境监测与管理的要求及《排污单位自行监测技术指南》（</w:t>
      </w:r>
      <w:r>
        <w:rPr>
          <w:rFonts w:cs="Times New Roman"/>
          <w:color w:val="000000" w:themeColor="text1"/>
          <w:kern w:val="0"/>
          <w:sz w:val="24"/>
        </w:rPr>
        <w:t>HJ819-2017</w:t>
      </w:r>
      <w:r>
        <w:rPr>
          <w:rFonts w:cs="Times New Roman"/>
          <w:color w:val="000000" w:themeColor="text1"/>
          <w:kern w:val="0"/>
          <w:sz w:val="24"/>
        </w:rPr>
        <w:t>）对地下水环境监测频率的要求，以及</w:t>
      </w:r>
      <w:r>
        <w:rPr>
          <w:rFonts w:cs="Times New Roman" w:hint="eastAsia"/>
          <w:color w:val="000000" w:themeColor="text1"/>
          <w:kern w:val="0"/>
          <w:sz w:val="24"/>
        </w:rPr>
        <w:t>《排污许可证申请与核发技术规范废弃资源加工工业》（</w:t>
      </w:r>
      <w:r>
        <w:rPr>
          <w:rFonts w:cs="Times New Roman" w:hint="eastAsia"/>
          <w:color w:val="000000" w:themeColor="text1"/>
          <w:kern w:val="0"/>
          <w:sz w:val="24"/>
        </w:rPr>
        <w:t>HJ1034-2019</w:t>
      </w:r>
      <w:r>
        <w:rPr>
          <w:rFonts w:cs="Times New Roman" w:hint="eastAsia"/>
          <w:color w:val="000000" w:themeColor="text1"/>
          <w:kern w:val="0"/>
          <w:sz w:val="24"/>
        </w:rPr>
        <w:t>）</w:t>
      </w:r>
      <w:r>
        <w:rPr>
          <w:rFonts w:cs="Times New Roman"/>
          <w:color w:val="000000" w:themeColor="text1"/>
          <w:kern w:val="0"/>
          <w:sz w:val="24"/>
        </w:rPr>
        <w:lastRenderedPageBreak/>
        <w:t>对地下水监测的要求，结合本项目产污特征，环评要求本项目运行过程中布设</w:t>
      </w:r>
      <w:r>
        <w:rPr>
          <w:rFonts w:cs="Times New Roman"/>
          <w:color w:val="000000" w:themeColor="text1"/>
          <w:kern w:val="0"/>
          <w:sz w:val="24"/>
        </w:rPr>
        <w:t>3</w:t>
      </w:r>
      <w:r>
        <w:rPr>
          <w:rFonts w:cs="Times New Roman"/>
          <w:color w:val="000000" w:themeColor="text1"/>
          <w:kern w:val="0"/>
          <w:sz w:val="24"/>
        </w:rPr>
        <w:t>个地下水水质监测点对评价区地下水水质进行动态监测。新增监测井要求采用孔径不小于</w:t>
      </w:r>
      <w:r>
        <w:rPr>
          <w:rFonts w:cs="Times New Roman"/>
          <w:color w:val="000000" w:themeColor="text1"/>
          <w:kern w:val="0"/>
          <w:sz w:val="24"/>
        </w:rPr>
        <w:t>130mm</w:t>
      </w:r>
      <w:r>
        <w:rPr>
          <w:rFonts w:cs="Times New Roman"/>
          <w:color w:val="000000" w:themeColor="text1"/>
          <w:kern w:val="0"/>
          <w:sz w:val="24"/>
        </w:rPr>
        <w:t>；采用</w:t>
      </w:r>
      <w:r>
        <w:rPr>
          <w:rFonts w:cs="Times New Roman"/>
          <w:color w:val="000000" w:themeColor="text1"/>
          <w:kern w:val="0"/>
          <w:sz w:val="24"/>
        </w:rPr>
        <w:t>PVC</w:t>
      </w:r>
      <w:r>
        <w:rPr>
          <w:rFonts w:cs="Times New Roman"/>
          <w:color w:val="000000" w:themeColor="text1"/>
          <w:kern w:val="0"/>
          <w:sz w:val="24"/>
        </w:rPr>
        <w:t>管护壁填砾成井；</w:t>
      </w:r>
      <w:r>
        <w:rPr>
          <w:rFonts w:cs="Times New Roman"/>
          <w:color w:val="000000" w:themeColor="text1"/>
          <w:kern w:val="0"/>
          <w:sz w:val="24"/>
        </w:rPr>
        <w:t>0</w:t>
      </w:r>
      <w:r>
        <w:rPr>
          <w:rFonts w:cs="Times New Roman"/>
          <w:color w:val="000000" w:themeColor="text1"/>
          <w:kern w:val="0"/>
          <w:sz w:val="24"/>
        </w:rPr>
        <w:t>～</w:t>
      </w:r>
      <w:r>
        <w:rPr>
          <w:rFonts w:cs="Times New Roman"/>
          <w:color w:val="000000" w:themeColor="text1"/>
          <w:kern w:val="0"/>
          <w:sz w:val="24"/>
        </w:rPr>
        <w:t>9m</w:t>
      </w:r>
      <w:r>
        <w:rPr>
          <w:rFonts w:cs="Times New Roman"/>
          <w:color w:val="000000" w:themeColor="text1"/>
          <w:kern w:val="0"/>
          <w:sz w:val="24"/>
        </w:rPr>
        <w:t>为实管，无需设置滤孔，</w:t>
      </w:r>
      <w:r>
        <w:rPr>
          <w:rFonts w:cs="Times New Roman"/>
          <w:color w:val="000000" w:themeColor="text1"/>
          <w:kern w:val="0"/>
          <w:sz w:val="24"/>
        </w:rPr>
        <w:t>9m</w:t>
      </w:r>
      <w:r>
        <w:rPr>
          <w:rFonts w:cs="Times New Roman"/>
          <w:color w:val="000000" w:themeColor="text1"/>
          <w:kern w:val="0"/>
          <w:sz w:val="24"/>
        </w:rPr>
        <w:t>至孔底布置滤孔，滤孔孔径</w:t>
      </w:r>
      <w:r>
        <w:rPr>
          <w:rFonts w:cs="Times New Roman"/>
          <w:color w:val="000000" w:themeColor="text1"/>
          <w:kern w:val="0"/>
          <w:sz w:val="24"/>
        </w:rPr>
        <w:t>1cm</w:t>
      </w:r>
      <w:r>
        <w:rPr>
          <w:rFonts w:cs="Times New Roman"/>
          <w:color w:val="000000" w:themeColor="text1"/>
          <w:kern w:val="0"/>
          <w:sz w:val="24"/>
        </w:rPr>
        <w:t>，间隔为</w:t>
      </w:r>
      <w:r>
        <w:rPr>
          <w:rFonts w:cs="Times New Roman"/>
          <w:color w:val="000000" w:themeColor="text1"/>
          <w:kern w:val="0"/>
          <w:sz w:val="24"/>
        </w:rPr>
        <w:t>10cm</w:t>
      </w:r>
      <w:r>
        <w:rPr>
          <w:rFonts w:cs="Times New Roman"/>
          <w:color w:val="000000" w:themeColor="text1"/>
          <w:kern w:val="0"/>
          <w:sz w:val="24"/>
        </w:rPr>
        <w:t>，管壁上布置</w:t>
      </w:r>
      <w:r>
        <w:rPr>
          <w:rFonts w:cs="Times New Roman"/>
          <w:color w:val="000000" w:themeColor="text1"/>
          <w:kern w:val="0"/>
          <w:sz w:val="24"/>
        </w:rPr>
        <w:t>6</w:t>
      </w:r>
      <w:r>
        <w:rPr>
          <w:rFonts w:cs="Times New Roman"/>
          <w:color w:val="000000" w:themeColor="text1"/>
          <w:kern w:val="0"/>
          <w:sz w:val="24"/>
        </w:rPr>
        <w:t>列。</w:t>
      </w:r>
    </w:p>
    <w:p w:rsidR="00644456" w:rsidRDefault="008031C4">
      <w:pPr>
        <w:widowControl/>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9.2</w:t>
      </w:r>
      <w:r>
        <w:rPr>
          <w:rFonts w:cs="Times New Roman" w:hint="eastAsia"/>
          <w:b/>
          <w:color w:val="000000" w:themeColor="text1"/>
          <w:sz w:val="24"/>
          <w:szCs w:val="20"/>
        </w:rPr>
        <w:noBreakHyphen/>
      </w:r>
      <w:r>
        <w:rPr>
          <w:rFonts w:cs="Times New Roman" w:hint="eastAsia"/>
          <w:b/>
          <w:color w:val="000000" w:themeColor="text1"/>
          <w:sz w:val="24"/>
          <w:szCs w:val="20"/>
        </w:rPr>
        <w:fldChar w:fldCharType="begin"/>
      </w:r>
      <w:r>
        <w:rPr>
          <w:rFonts w:cs="Times New Roman" w:hint="eastAsia"/>
          <w:b/>
          <w:color w:val="000000" w:themeColor="text1"/>
          <w:sz w:val="24"/>
          <w:szCs w:val="20"/>
        </w:rPr>
        <w:instrText xml:space="preserve"> SEQ </w:instrText>
      </w:r>
      <w:r>
        <w:rPr>
          <w:rFonts w:cs="Times New Roman" w:hint="eastAsia"/>
          <w:b/>
          <w:color w:val="000000" w:themeColor="text1"/>
          <w:sz w:val="24"/>
          <w:szCs w:val="20"/>
        </w:rPr>
        <w:instrText>表</w:instrText>
      </w:r>
      <w:r>
        <w:rPr>
          <w:rFonts w:cs="Times New Roman" w:hint="eastAsia"/>
          <w:b/>
          <w:color w:val="000000" w:themeColor="text1"/>
          <w:sz w:val="24"/>
          <w:szCs w:val="20"/>
        </w:rPr>
        <w:instrText xml:space="preserve"> \* ARABIC \s 1 </w:instrText>
      </w:r>
      <w:r>
        <w:rPr>
          <w:rFonts w:cs="Times New Roman" w:hint="eastAsia"/>
          <w:b/>
          <w:color w:val="000000" w:themeColor="text1"/>
          <w:sz w:val="24"/>
          <w:szCs w:val="20"/>
        </w:rPr>
        <w:fldChar w:fldCharType="separate"/>
      </w:r>
      <w:r>
        <w:rPr>
          <w:rFonts w:cs="Times New Roman" w:hint="eastAsia"/>
          <w:b/>
          <w:color w:val="000000" w:themeColor="text1"/>
          <w:sz w:val="24"/>
          <w:szCs w:val="20"/>
        </w:rPr>
        <w:t>2</w:t>
      </w:r>
      <w:r>
        <w:rPr>
          <w:rFonts w:cs="Times New Roman" w:hint="eastAsia"/>
          <w:b/>
          <w:color w:val="000000" w:themeColor="text1"/>
          <w:sz w:val="24"/>
          <w:szCs w:val="20"/>
        </w:rPr>
        <w:fldChar w:fldCharType="end"/>
      </w:r>
      <w:r>
        <w:rPr>
          <w:rFonts w:cs="Times New Roman" w:hint="eastAsia"/>
          <w:b/>
          <w:color w:val="000000" w:themeColor="text1"/>
          <w:sz w:val="24"/>
          <w:szCs w:val="20"/>
        </w:rPr>
        <w:t>地下水污染源监控布点</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5"/>
        <w:gridCol w:w="2013"/>
        <w:gridCol w:w="2046"/>
        <w:gridCol w:w="2299"/>
        <w:gridCol w:w="1142"/>
        <w:gridCol w:w="946"/>
      </w:tblGrid>
      <w:tr w:rsidR="00644456">
        <w:trPr>
          <w:jc w:val="center"/>
        </w:trPr>
        <w:tc>
          <w:tcPr>
            <w:tcW w:w="349" w:type="pct"/>
            <w:vAlign w:val="center"/>
          </w:tcPr>
          <w:p w:rsidR="00644456" w:rsidRDefault="008031C4">
            <w:pPr>
              <w:pStyle w:val="afffffff4"/>
              <w:rPr>
                <w:color w:val="000000" w:themeColor="text1"/>
                <w:szCs w:val="21"/>
                <w:u w:val="single"/>
              </w:rPr>
            </w:pPr>
            <w:r>
              <w:rPr>
                <w:rFonts w:hint="eastAsia"/>
                <w:color w:val="000000" w:themeColor="text1"/>
                <w:szCs w:val="21"/>
                <w:u w:val="single"/>
              </w:rPr>
              <w:t>监测</w:t>
            </w:r>
          </w:p>
          <w:p w:rsidR="00644456" w:rsidRDefault="008031C4">
            <w:pPr>
              <w:pStyle w:val="afffffff4"/>
              <w:rPr>
                <w:color w:val="000000" w:themeColor="text1"/>
                <w:szCs w:val="21"/>
                <w:u w:val="single"/>
              </w:rPr>
            </w:pPr>
            <w:r>
              <w:rPr>
                <w:rFonts w:hint="eastAsia"/>
                <w:color w:val="000000" w:themeColor="text1"/>
                <w:szCs w:val="21"/>
                <w:u w:val="single"/>
              </w:rPr>
              <w:t>点位</w:t>
            </w:r>
          </w:p>
        </w:tc>
        <w:tc>
          <w:tcPr>
            <w:tcW w:w="1108" w:type="pct"/>
            <w:vAlign w:val="center"/>
          </w:tcPr>
          <w:p w:rsidR="00644456" w:rsidRDefault="008031C4">
            <w:pPr>
              <w:pStyle w:val="afffffff4"/>
              <w:rPr>
                <w:color w:val="000000" w:themeColor="text1"/>
                <w:szCs w:val="21"/>
                <w:u w:val="single"/>
              </w:rPr>
            </w:pPr>
            <w:r>
              <w:rPr>
                <w:rFonts w:hint="eastAsia"/>
                <w:color w:val="000000" w:themeColor="text1"/>
                <w:szCs w:val="21"/>
                <w:u w:val="single"/>
              </w:rPr>
              <w:t>位置</w:t>
            </w:r>
          </w:p>
        </w:tc>
        <w:tc>
          <w:tcPr>
            <w:tcW w:w="1126" w:type="pct"/>
            <w:vAlign w:val="center"/>
          </w:tcPr>
          <w:p w:rsidR="00644456" w:rsidRDefault="008031C4">
            <w:pPr>
              <w:pStyle w:val="afffffff4"/>
              <w:rPr>
                <w:color w:val="000000" w:themeColor="text1"/>
                <w:szCs w:val="21"/>
                <w:u w:val="single"/>
              </w:rPr>
            </w:pPr>
            <w:r>
              <w:rPr>
                <w:rFonts w:hint="eastAsia"/>
                <w:color w:val="000000" w:themeColor="text1"/>
                <w:szCs w:val="21"/>
                <w:u w:val="single"/>
              </w:rPr>
              <w:t>功能</w:t>
            </w:r>
          </w:p>
        </w:tc>
        <w:tc>
          <w:tcPr>
            <w:tcW w:w="1266" w:type="pct"/>
            <w:vAlign w:val="center"/>
          </w:tcPr>
          <w:p w:rsidR="00644456" w:rsidRDefault="008031C4">
            <w:pPr>
              <w:pStyle w:val="afffffff4"/>
              <w:rPr>
                <w:color w:val="000000" w:themeColor="text1"/>
                <w:szCs w:val="21"/>
                <w:u w:val="single"/>
              </w:rPr>
            </w:pPr>
            <w:r>
              <w:rPr>
                <w:rFonts w:hint="eastAsia"/>
                <w:color w:val="000000" w:themeColor="text1"/>
                <w:szCs w:val="21"/>
                <w:u w:val="single"/>
              </w:rPr>
              <w:t>监测因子</w:t>
            </w:r>
          </w:p>
        </w:tc>
        <w:tc>
          <w:tcPr>
            <w:tcW w:w="629" w:type="pct"/>
            <w:vAlign w:val="center"/>
          </w:tcPr>
          <w:p w:rsidR="00644456" w:rsidRDefault="008031C4">
            <w:pPr>
              <w:pStyle w:val="afffffff4"/>
              <w:rPr>
                <w:color w:val="000000" w:themeColor="text1"/>
                <w:szCs w:val="21"/>
                <w:u w:val="single"/>
              </w:rPr>
            </w:pPr>
            <w:r>
              <w:rPr>
                <w:rFonts w:hint="eastAsia"/>
                <w:color w:val="000000" w:themeColor="text1"/>
                <w:szCs w:val="21"/>
                <w:u w:val="single"/>
              </w:rPr>
              <w:t>监测频次</w:t>
            </w:r>
          </w:p>
        </w:tc>
        <w:tc>
          <w:tcPr>
            <w:tcW w:w="521" w:type="pct"/>
            <w:vAlign w:val="center"/>
          </w:tcPr>
          <w:p w:rsidR="00644456" w:rsidRDefault="008031C4">
            <w:pPr>
              <w:pStyle w:val="afffffff4"/>
              <w:rPr>
                <w:color w:val="000000" w:themeColor="text1"/>
                <w:szCs w:val="21"/>
                <w:u w:val="single"/>
              </w:rPr>
            </w:pPr>
            <w:r>
              <w:rPr>
                <w:rFonts w:hint="eastAsia"/>
                <w:color w:val="000000" w:themeColor="text1"/>
                <w:szCs w:val="21"/>
                <w:u w:val="single"/>
              </w:rPr>
              <w:t>监测层位</w:t>
            </w:r>
          </w:p>
        </w:tc>
      </w:tr>
      <w:tr w:rsidR="00644456">
        <w:trPr>
          <w:trHeight w:val="508"/>
          <w:jc w:val="center"/>
        </w:trPr>
        <w:tc>
          <w:tcPr>
            <w:tcW w:w="349" w:type="pct"/>
            <w:vAlign w:val="center"/>
          </w:tcPr>
          <w:p w:rsidR="00644456" w:rsidRDefault="008031C4">
            <w:pPr>
              <w:pStyle w:val="afffffff4"/>
              <w:rPr>
                <w:color w:val="000000" w:themeColor="text1"/>
                <w:szCs w:val="21"/>
                <w:u w:val="single"/>
              </w:rPr>
            </w:pPr>
            <w:r>
              <w:rPr>
                <w:color w:val="000000" w:themeColor="text1"/>
                <w:szCs w:val="21"/>
                <w:u w:val="single"/>
              </w:rPr>
              <w:t>1#</w:t>
            </w:r>
          </w:p>
        </w:tc>
        <w:tc>
          <w:tcPr>
            <w:tcW w:w="1108" w:type="pct"/>
            <w:vAlign w:val="center"/>
          </w:tcPr>
          <w:p w:rsidR="00AC71A6" w:rsidRPr="00AC71A6" w:rsidRDefault="008031C4" w:rsidP="00AC71A6">
            <w:pPr>
              <w:pStyle w:val="afffffff4"/>
              <w:rPr>
                <w:color w:val="FF0000"/>
                <w:szCs w:val="21"/>
                <w:u w:val="single"/>
              </w:rPr>
            </w:pPr>
            <w:r w:rsidRPr="00AC71A6">
              <w:rPr>
                <w:rFonts w:hint="eastAsia"/>
                <w:color w:val="FF0000"/>
                <w:szCs w:val="21"/>
                <w:u w:val="single"/>
              </w:rPr>
              <w:t>厂区上游</w:t>
            </w:r>
          </w:p>
          <w:p w:rsidR="00AC71A6" w:rsidRPr="00AC71A6" w:rsidRDefault="00AC71A6" w:rsidP="00AC71A6">
            <w:pPr>
              <w:pStyle w:val="afffffff4"/>
              <w:rPr>
                <w:color w:val="FF0000"/>
                <w:szCs w:val="21"/>
                <w:u w:val="single"/>
              </w:rPr>
            </w:pPr>
            <w:r w:rsidRPr="00AC71A6">
              <w:rPr>
                <w:rFonts w:hint="eastAsia"/>
                <w:color w:val="FF0000"/>
                <w:szCs w:val="21"/>
                <w:u w:val="single"/>
              </w:rPr>
              <w:t>E</w:t>
            </w:r>
            <w:r w:rsidRPr="00AC71A6">
              <w:rPr>
                <w:rFonts w:hint="eastAsia"/>
                <w:color w:val="FF0000"/>
                <w:szCs w:val="21"/>
                <w:u w:val="single"/>
              </w:rPr>
              <w:t>：</w:t>
            </w:r>
            <w:r w:rsidRPr="00AC71A6">
              <w:rPr>
                <w:rFonts w:hint="eastAsia"/>
                <w:color w:val="FF0000"/>
                <w:szCs w:val="21"/>
                <w:u w:val="single"/>
              </w:rPr>
              <w:t>76</w:t>
            </w:r>
            <w:r w:rsidRPr="00AC71A6">
              <w:rPr>
                <w:rFonts w:hint="eastAsia"/>
                <w:color w:val="FF0000"/>
                <w:szCs w:val="21"/>
                <w:u w:val="single"/>
              </w:rPr>
              <w:t>°</w:t>
            </w:r>
            <w:r w:rsidRPr="00AC71A6">
              <w:rPr>
                <w:rFonts w:hint="eastAsia"/>
                <w:color w:val="FF0000"/>
                <w:szCs w:val="21"/>
                <w:u w:val="single"/>
              </w:rPr>
              <w:t>09</w:t>
            </w:r>
            <w:r w:rsidRPr="00AC71A6">
              <w:rPr>
                <w:rFonts w:hint="eastAsia"/>
                <w:color w:val="FF0000"/>
                <w:szCs w:val="21"/>
                <w:u w:val="single"/>
              </w:rPr>
              <w:t>′</w:t>
            </w:r>
            <w:r w:rsidRPr="00AC71A6">
              <w:rPr>
                <w:rFonts w:hint="eastAsia"/>
                <w:color w:val="FF0000"/>
                <w:szCs w:val="21"/>
                <w:u w:val="single"/>
              </w:rPr>
              <w:t>27.73</w:t>
            </w:r>
            <w:r w:rsidRPr="00AC71A6">
              <w:rPr>
                <w:rFonts w:hint="eastAsia"/>
                <w:color w:val="FF0000"/>
                <w:szCs w:val="21"/>
                <w:u w:val="single"/>
              </w:rPr>
              <w:t>″</w:t>
            </w:r>
          </w:p>
          <w:p w:rsidR="00644456" w:rsidRPr="00AC71A6" w:rsidRDefault="00AC71A6" w:rsidP="00AC71A6">
            <w:pPr>
              <w:pStyle w:val="afffffff4"/>
              <w:rPr>
                <w:color w:val="FF0000"/>
                <w:szCs w:val="21"/>
                <w:u w:val="single"/>
              </w:rPr>
            </w:pPr>
            <w:r w:rsidRPr="00AC71A6">
              <w:rPr>
                <w:rFonts w:hint="eastAsia"/>
                <w:color w:val="FF0000"/>
                <w:szCs w:val="21"/>
                <w:u w:val="single"/>
              </w:rPr>
              <w:t>N</w:t>
            </w:r>
            <w:r w:rsidRPr="00AC71A6">
              <w:rPr>
                <w:rFonts w:hint="eastAsia"/>
                <w:color w:val="FF0000"/>
                <w:szCs w:val="21"/>
                <w:u w:val="single"/>
              </w:rPr>
              <w:t>：</w:t>
            </w:r>
            <w:r w:rsidRPr="00AC71A6">
              <w:rPr>
                <w:rFonts w:hint="eastAsia"/>
                <w:color w:val="FF0000"/>
                <w:szCs w:val="21"/>
                <w:u w:val="single"/>
              </w:rPr>
              <w:t>39</w:t>
            </w:r>
            <w:r w:rsidRPr="00AC71A6">
              <w:rPr>
                <w:rFonts w:hint="eastAsia"/>
                <w:color w:val="FF0000"/>
                <w:szCs w:val="21"/>
                <w:u w:val="single"/>
              </w:rPr>
              <w:t>°</w:t>
            </w:r>
            <w:r w:rsidRPr="00AC71A6">
              <w:rPr>
                <w:rFonts w:hint="eastAsia"/>
                <w:color w:val="FF0000"/>
                <w:szCs w:val="21"/>
                <w:u w:val="single"/>
              </w:rPr>
              <w:t>03</w:t>
            </w:r>
            <w:r w:rsidRPr="00AC71A6">
              <w:rPr>
                <w:rFonts w:hint="eastAsia"/>
                <w:color w:val="FF0000"/>
                <w:szCs w:val="21"/>
                <w:u w:val="single"/>
              </w:rPr>
              <w:t>′</w:t>
            </w:r>
            <w:r w:rsidRPr="00AC71A6">
              <w:rPr>
                <w:rFonts w:hint="eastAsia"/>
                <w:color w:val="FF0000"/>
                <w:szCs w:val="21"/>
                <w:u w:val="single"/>
              </w:rPr>
              <w:t>59.42</w:t>
            </w:r>
            <w:r w:rsidRPr="00AC71A6">
              <w:rPr>
                <w:rFonts w:hint="eastAsia"/>
                <w:color w:val="FF0000"/>
                <w:szCs w:val="21"/>
                <w:u w:val="single"/>
              </w:rPr>
              <w:t>″</w:t>
            </w:r>
          </w:p>
        </w:tc>
        <w:tc>
          <w:tcPr>
            <w:tcW w:w="1126" w:type="pct"/>
            <w:vAlign w:val="center"/>
          </w:tcPr>
          <w:p w:rsidR="00644456" w:rsidRPr="00AC71A6" w:rsidRDefault="008031C4">
            <w:pPr>
              <w:pStyle w:val="afffffff4"/>
              <w:rPr>
                <w:color w:val="FF0000"/>
                <w:szCs w:val="21"/>
                <w:u w:val="single"/>
              </w:rPr>
            </w:pPr>
            <w:r w:rsidRPr="00AC71A6">
              <w:rPr>
                <w:rFonts w:hint="eastAsia"/>
                <w:color w:val="FF0000"/>
                <w:szCs w:val="21"/>
                <w:u w:val="single"/>
              </w:rPr>
              <w:t>背景值监测点</w:t>
            </w:r>
          </w:p>
        </w:tc>
        <w:tc>
          <w:tcPr>
            <w:tcW w:w="1266" w:type="pct"/>
            <w:vMerge w:val="restart"/>
            <w:vAlign w:val="center"/>
          </w:tcPr>
          <w:p w:rsidR="00644456" w:rsidRDefault="008031C4">
            <w:pPr>
              <w:pStyle w:val="afffffff4"/>
              <w:rPr>
                <w:color w:val="000000" w:themeColor="text1"/>
                <w:szCs w:val="21"/>
                <w:u w:val="single"/>
              </w:rPr>
            </w:pPr>
            <w:r>
              <w:rPr>
                <w:rFonts w:hint="eastAsia"/>
                <w:color w:val="000000" w:themeColor="text1"/>
                <w:szCs w:val="21"/>
                <w:u w:val="single"/>
              </w:rPr>
              <w:t>pH</w:t>
            </w:r>
            <w:r>
              <w:rPr>
                <w:rFonts w:hint="eastAsia"/>
                <w:color w:val="000000" w:themeColor="text1"/>
                <w:szCs w:val="21"/>
                <w:u w:val="single"/>
              </w:rPr>
              <w:t>、总硬度、氨氮、六价铬、氯化物、氟化物、挥发酚、耗氧量、亚硝酸盐氮、硫酸盐、硝酸盐氮、氰化物、铅、镉、汞、砷、铁、锰、铜、锌、镍、总铬、溶解性总固体、钾、钠、钙、镁、碳酸根、碳酸氢、石油烃</w:t>
            </w:r>
          </w:p>
        </w:tc>
        <w:tc>
          <w:tcPr>
            <w:tcW w:w="629" w:type="pct"/>
            <w:vMerge w:val="restart"/>
            <w:vAlign w:val="center"/>
          </w:tcPr>
          <w:p w:rsidR="00644456" w:rsidRDefault="008031C4">
            <w:pPr>
              <w:pStyle w:val="afffffff4"/>
              <w:rPr>
                <w:color w:val="000000" w:themeColor="text1"/>
                <w:szCs w:val="21"/>
                <w:u w:val="single"/>
              </w:rPr>
            </w:pPr>
            <w:r>
              <w:rPr>
                <w:color w:val="000000" w:themeColor="text1"/>
                <w:szCs w:val="21"/>
                <w:u w:val="single"/>
              </w:rPr>
              <w:t>1</w:t>
            </w:r>
            <w:r>
              <w:rPr>
                <w:rFonts w:hint="eastAsia"/>
                <w:color w:val="000000" w:themeColor="text1"/>
                <w:szCs w:val="21"/>
                <w:u w:val="single"/>
              </w:rPr>
              <w:t>次</w:t>
            </w:r>
            <w:r>
              <w:rPr>
                <w:color w:val="000000" w:themeColor="text1"/>
                <w:szCs w:val="21"/>
                <w:u w:val="single"/>
              </w:rPr>
              <w:t>/</w:t>
            </w:r>
            <w:r>
              <w:rPr>
                <w:rFonts w:hint="eastAsia"/>
                <w:color w:val="000000" w:themeColor="text1"/>
                <w:szCs w:val="21"/>
                <w:u w:val="single"/>
              </w:rPr>
              <w:t>半年</w:t>
            </w:r>
          </w:p>
        </w:tc>
        <w:tc>
          <w:tcPr>
            <w:tcW w:w="521" w:type="pct"/>
            <w:vMerge w:val="restart"/>
            <w:vAlign w:val="center"/>
          </w:tcPr>
          <w:p w:rsidR="00644456" w:rsidRDefault="00AC71A6">
            <w:pPr>
              <w:pStyle w:val="afffffff4"/>
              <w:rPr>
                <w:color w:val="000000" w:themeColor="text1"/>
                <w:szCs w:val="21"/>
                <w:u w:val="single"/>
              </w:rPr>
            </w:pPr>
            <w:r>
              <w:rPr>
                <w:rFonts w:hint="eastAsia"/>
                <w:color w:val="000000" w:themeColor="text1"/>
                <w:szCs w:val="21"/>
                <w:u w:val="single"/>
              </w:rPr>
              <w:t>潜水层</w:t>
            </w:r>
          </w:p>
        </w:tc>
      </w:tr>
      <w:tr w:rsidR="00644456">
        <w:trPr>
          <w:trHeight w:val="508"/>
          <w:jc w:val="center"/>
        </w:trPr>
        <w:tc>
          <w:tcPr>
            <w:tcW w:w="349" w:type="pct"/>
            <w:vAlign w:val="center"/>
          </w:tcPr>
          <w:p w:rsidR="00644456" w:rsidRDefault="008031C4">
            <w:pPr>
              <w:pStyle w:val="afffffff4"/>
              <w:rPr>
                <w:color w:val="000000" w:themeColor="text1"/>
                <w:szCs w:val="21"/>
                <w:u w:val="single"/>
              </w:rPr>
            </w:pPr>
            <w:r>
              <w:rPr>
                <w:color w:val="000000" w:themeColor="text1"/>
                <w:szCs w:val="21"/>
                <w:u w:val="single"/>
              </w:rPr>
              <w:t>2#</w:t>
            </w:r>
          </w:p>
        </w:tc>
        <w:tc>
          <w:tcPr>
            <w:tcW w:w="1108" w:type="pct"/>
            <w:vAlign w:val="center"/>
          </w:tcPr>
          <w:p w:rsidR="00644456" w:rsidRPr="00AC71A6" w:rsidRDefault="008031C4">
            <w:pPr>
              <w:pStyle w:val="afffffff4"/>
              <w:rPr>
                <w:color w:val="FF0000"/>
                <w:szCs w:val="21"/>
                <w:u w:val="single"/>
              </w:rPr>
            </w:pPr>
            <w:r w:rsidRPr="00AC71A6">
              <w:rPr>
                <w:rFonts w:hint="eastAsia"/>
                <w:color w:val="FF0000"/>
                <w:szCs w:val="21"/>
                <w:u w:val="single"/>
              </w:rPr>
              <w:t>污水处理站旁</w:t>
            </w:r>
          </w:p>
          <w:p w:rsidR="00AC71A6" w:rsidRPr="00AC71A6" w:rsidRDefault="00AC71A6" w:rsidP="00AC71A6">
            <w:pPr>
              <w:snapToGrid w:val="0"/>
              <w:jc w:val="center"/>
              <w:rPr>
                <w:rFonts w:cs="Times New Roman"/>
                <w:color w:val="FF0000"/>
                <w:kern w:val="0"/>
                <w:szCs w:val="21"/>
              </w:rPr>
            </w:pPr>
            <w:r w:rsidRPr="00AC71A6">
              <w:rPr>
                <w:rFonts w:cs="Times New Roman" w:hint="eastAsia"/>
                <w:color w:val="FF0000"/>
                <w:kern w:val="0"/>
                <w:szCs w:val="21"/>
              </w:rPr>
              <w:t>E</w:t>
            </w:r>
            <w:r w:rsidRPr="00AC71A6">
              <w:rPr>
                <w:rFonts w:cs="Times New Roman" w:hint="eastAsia"/>
                <w:color w:val="FF0000"/>
                <w:kern w:val="0"/>
                <w:szCs w:val="21"/>
              </w:rPr>
              <w:t>：</w:t>
            </w:r>
            <w:r w:rsidRPr="00AC71A6">
              <w:rPr>
                <w:rFonts w:cs="Times New Roman" w:hint="eastAsia"/>
                <w:color w:val="FF0000"/>
                <w:kern w:val="0"/>
                <w:szCs w:val="21"/>
              </w:rPr>
              <w:t>76</w:t>
            </w:r>
            <w:r w:rsidRPr="00AC71A6">
              <w:rPr>
                <w:rFonts w:cs="Times New Roman" w:hint="eastAsia"/>
                <w:color w:val="FF0000"/>
                <w:kern w:val="0"/>
                <w:szCs w:val="21"/>
              </w:rPr>
              <w:t>°</w:t>
            </w:r>
            <w:r w:rsidRPr="00AC71A6">
              <w:rPr>
                <w:rFonts w:cs="Times New Roman" w:hint="eastAsia"/>
                <w:color w:val="FF0000"/>
                <w:kern w:val="0"/>
                <w:szCs w:val="21"/>
              </w:rPr>
              <w:t>09</w:t>
            </w:r>
            <w:r w:rsidRPr="00AC71A6">
              <w:rPr>
                <w:rFonts w:cs="Times New Roman" w:hint="eastAsia"/>
                <w:color w:val="FF0000"/>
                <w:kern w:val="0"/>
                <w:szCs w:val="21"/>
              </w:rPr>
              <w:t>′</w:t>
            </w:r>
            <w:r w:rsidRPr="00AC71A6">
              <w:rPr>
                <w:rFonts w:cs="Times New Roman" w:hint="eastAsia"/>
                <w:color w:val="FF0000"/>
                <w:kern w:val="0"/>
                <w:szCs w:val="21"/>
              </w:rPr>
              <w:t>4</w:t>
            </w:r>
            <w:r w:rsidRPr="00AC71A6">
              <w:rPr>
                <w:rFonts w:cs="Times New Roman"/>
                <w:color w:val="FF0000"/>
                <w:kern w:val="0"/>
                <w:szCs w:val="21"/>
              </w:rPr>
              <w:t>6</w:t>
            </w:r>
            <w:r w:rsidRPr="00AC71A6">
              <w:rPr>
                <w:rFonts w:cs="Times New Roman" w:hint="eastAsia"/>
                <w:color w:val="FF0000"/>
                <w:kern w:val="0"/>
                <w:szCs w:val="21"/>
              </w:rPr>
              <w:t>.</w:t>
            </w:r>
            <w:r w:rsidRPr="00AC71A6">
              <w:rPr>
                <w:rFonts w:cs="Times New Roman"/>
                <w:color w:val="FF0000"/>
                <w:kern w:val="0"/>
                <w:szCs w:val="21"/>
              </w:rPr>
              <w:t>75</w:t>
            </w:r>
            <w:r w:rsidRPr="00AC71A6">
              <w:rPr>
                <w:rFonts w:cs="Times New Roman" w:hint="eastAsia"/>
                <w:color w:val="FF0000"/>
                <w:kern w:val="0"/>
                <w:szCs w:val="21"/>
              </w:rPr>
              <w:t>″</w:t>
            </w:r>
          </w:p>
          <w:p w:rsidR="00AC71A6" w:rsidRPr="00AC71A6" w:rsidRDefault="00AC71A6" w:rsidP="00AC71A6">
            <w:pPr>
              <w:pStyle w:val="afffffff4"/>
              <w:rPr>
                <w:color w:val="FF0000"/>
                <w:szCs w:val="21"/>
                <w:u w:val="single"/>
              </w:rPr>
            </w:pPr>
            <w:r w:rsidRPr="00AC71A6">
              <w:rPr>
                <w:rFonts w:cs="Times New Roman" w:hint="eastAsia"/>
                <w:color w:val="FF0000"/>
                <w:szCs w:val="21"/>
              </w:rPr>
              <w:t>N</w:t>
            </w:r>
            <w:r w:rsidRPr="00AC71A6">
              <w:rPr>
                <w:rFonts w:cs="Times New Roman" w:hint="eastAsia"/>
                <w:color w:val="FF0000"/>
                <w:szCs w:val="21"/>
              </w:rPr>
              <w:t>：</w:t>
            </w:r>
            <w:r w:rsidRPr="00AC71A6">
              <w:rPr>
                <w:rFonts w:cs="Times New Roman" w:hint="eastAsia"/>
                <w:color w:val="FF0000"/>
                <w:szCs w:val="21"/>
              </w:rPr>
              <w:t>39</w:t>
            </w:r>
            <w:r w:rsidRPr="00AC71A6">
              <w:rPr>
                <w:rFonts w:cs="Times New Roman" w:hint="eastAsia"/>
                <w:color w:val="FF0000"/>
                <w:szCs w:val="21"/>
              </w:rPr>
              <w:t>°</w:t>
            </w:r>
            <w:r w:rsidRPr="00AC71A6">
              <w:rPr>
                <w:rFonts w:cs="Times New Roman" w:hint="eastAsia"/>
                <w:color w:val="FF0000"/>
                <w:szCs w:val="21"/>
              </w:rPr>
              <w:t>03</w:t>
            </w:r>
            <w:r w:rsidRPr="00AC71A6">
              <w:rPr>
                <w:rFonts w:cs="Times New Roman" w:hint="eastAsia"/>
                <w:color w:val="FF0000"/>
                <w:szCs w:val="21"/>
              </w:rPr>
              <w:t>′</w:t>
            </w:r>
            <w:r w:rsidRPr="00AC71A6">
              <w:rPr>
                <w:rFonts w:cs="Times New Roman"/>
                <w:color w:val="FF0000"/>
                <w:szCs w:val="21"/>
              </w:rPr>
              <w:t>47</w:t>
            </w:r>
            <w:r w:rsidRPr="00AC71A6">
              <w:rPr>
                <w:rFonts w:cs="Times New Roman" w:hint="eastAsia"/>
                <w:color w:val="FF0000"/>
                <w:szCs w:val="21"/>
              </w:rPr>
              <w:t>.</w:t>
            </w:r>
            <w:r w:rsidRPr="00AC71A6">
              <w:rPr>
                <w:rFonts w:cs="Times New Roman"/>
                <w:color w:val="FF0000"/>
                <w:szCs w:val="21"/>
              </w:rPr>
              <w:t>12</w:t>
            </w:r>
            <w:r w:rsidRPr="00AC71A6">
              <w:rPr>
                <w:rFonts w:cs="Times New Roman" w:hint="eastAsia"/>
                <w:color w:val="FF0000"/>
                <w:szCs w:val="21"/>
              </w:rPr>
              <w:t>″</w:t>
            </w:r>
          </w:p>
        </w:tc>
        <w:tc>
          <w:tcPr>
            <w:tcW w:w="1126" w:type="pct"/>
            <w:vAlign w:val="center"/>
          </w:tcPr>
          <w:p w:rsidR="00644456" w:rsidRPr="00AC71A6" w:rsidRDefault="008031C4">
            <w:pPr>
              <w:pStyle w:val="afffffff4"/>
              <w:rPr>
                <w:color w:val="FF0000"/>
                <w:szCs w:val="21"/>
                <w:u w:val="single"/>
              </w:rPr>
            </w:pPr>
            <w:r w:rsidRPr="00AC71A6">
              <w:rPr>
                <w:rFonts w:hint="eastAsia"/>
                <w:color w:val="FF0000"/>
                <w:szCs w:val="21"/>
                <w:u w:val="single"/>
              </w:rPr>
              <w:t>污染跟踪监测点</w:t>
            </w:r>
          </w:p>
        </w:tc>
        <w:tc>
          <w:tcPr>
            <w:tcW w:w="1266" w:type="pct"/>
            <w:vMerge/>
            <w:vAlign w:val="center"/>
          </w:tcPr>
          <w:p w:rsidR="00644456" w:rsidRDefault="00644456">
            <w:pPr>
              <w:widowControl/>
              <w:jc w:val="left"/>
              <w:rPr>
                <w:color w:val="000000" w:themeColor="text1"/>
                <w:szCs w:val="21"/>
              </w:rPr>
            </w:pPr>
          </w:p>
        </w:tc>
        <w:tc>
          <w:tcPr>
            <w:tcW w:w="629" w:type="pct"/>
            <w:vMerge/>
            <w:vAlign w:val="center"/>
          </w:tcPr>
          <w:p w:rsidR="00644456" w:rsidRDefault="00644456">
            <w:pPr>
              <w:widowControl/>
              <w:jc w:val="left"/>
              <w:rPr>
                <w:color w:val="000000" w:themeColor="text1"/>
                <w:szCs w:val="21"/>
              </w:rPr>
            </w:pPr>
          </w:p>
        </w:tc>
        <w:tc>
          <w:tcPr>
            <w:tcW w:w="521" w:type="pct"/>
            <w:vMerge/>
            <w:vAlign w:val="center"/>
          </w:tcPr>
          <w:p w:rsidR="00644456" w:rsidRDefault="00644456">
            <w:pPr>
              <w:widowControl/>
              <w:jc w:val="left"/>
              <w:rPr>
                <w:color w:val="000000" w:themeColor="text1"/>
                <w:szCs w:val="21"/>
              </w:rPr>
            </w:pPr>
          </w:p>
        </w:tc>
      </w:tr>
      <w:tr w:rsidR="00644456">
        <w:trPr>
          <w:jc w:val="center"/>
        </w:trPr>
        <w:tc>
          <w:tcPr>
            <w:tcW w:w="349" w:type="pct"/>
            <w:vAlign w:val="center"/>
          </w:tcPr>
          <w:p w:rsidR="00644456" w:rsidRDefault="008031C4">
            <w:pPr>
              <w:pStyle w:val="afffffff4"/>
              <w:rPr>
                <w:color w:val="000000" w:themeColor="text1"/>
                <w:szCs w:val="21"/>
                <w:u w:val="single"/>
              </w:rPr>
            </w:pPr>
            <w:r>
              <w:rPr>
                <w:color w:val="000000" w:themeColor="text1"/>
                <w:szCs w:val="21"/>
                <w:u w:val="single"/>
              </w:rPr>
              <w:t>3#</w:t>
            </w:r>
          </w:p>
        </w:tc>
        <w:tc>
          <w:tcPr>
            <w:tcW w:w="1108" w:type="pct"/>
            <w:vAlign w:val="center"/>
          </w:tcPr>
          <w:p w:rsidR="00644456" w:rsidRPr="00AC71A6" w:rsidRDefault="008031C4">
            <w:pPr>
              <w:pStyle w:val="afffffff4"/>
              <w:rPr>
                <w:color w:val="FF0000"/>
                <w:szCs w:val="21"/>
                <w:u w:val="single"/>
              </w:rPr>
            </w:pPr>
            <w:r w:rsidRPr="00AC71A6">
              <w:rPr>
                <w:rFonts w:hint="eastAsia"/>
                <w:color w:val="FF0000"/>
                <w:szCs w:val="21"/>
                <w:u w:val="single"/>
              </w:rPr>
              <w:t>厂区下游</w:t>
            </w:r>
          </w:p>
          <w:p w:rsidR="00AC71A6" w:rsidRPr="00AC71A6" w:rsidRDefault="00AC71A6" w:rsidP="00AC71A6">
            <w:pPr>
              <w:snapToGrid w:val="0"/>
              <w:jc w:val="center"/>
              <w:rPr>
                <w:rFonts w:cs="Times New Roman"/>
                <w:color w:val="FF0000"/>
                <w:kern w:val="0"/>
                <w:szCs w:val="21"/>
              </w:rPr>
            </w:pPr>
            <w:r w:rsidRPr="00AC71A6">
              <w:rPr>
                <w:rFonts w:cs="Times New Roman" w:hint="eastAsia"/>
                <w:color w:val="FF0000"/>
                <w:kern w:val="0"/>
                <w:szCs w:val="21"/>
              </w:rPr>
              <w:t>E</w:t>
            </w:r>
            <w:r w:rsidRPr="00AC71A6">
              <w:rPr>
                <w:rFonts w:cs="Times New Roman" w:hint="eastAsia"/>
                <w:color w:val="FF0000"/>
                <w:kern w:val="0"/>
                <w:szCs w:val="21"/>
              </w:rPr>
              <w:t>：</w:t>
            </w:r>
            <w:r w:rsidRPr="00AC71A6">
              <w:rPr>
                <w:rFonts w:cs="Times New Roman" w:hint="eastAsia"/>
                <w:color w:val="FF0000"/>
                <w:kern w:val="0"/>
                <w:szCs w:val="21"/>
              </w:rPr>
              <w:t>76</w:t>
            </w:r>
            <w:r w:rsidRPr="00AC71A6">
              <w:rPr>
                <w:rFonts w:cs="Times New Roman" w:hint="eastAsia"/>
                <w:color w:val="FF0000"/>
                <w:kern w:val="0"/>
                <w:szCs w:val="21"/>
              </w:rPr>
              <w:t>°</w:t>
            </w:r>
            <w:r w:rsidRPr="00AC71A6">
              <w:rPr>
                <w:rFonts w:cs="Times New Roman" w:hint="eastAsia"/>
                <w:color w:val="FF0000"/>
                <w:kern w:val="0"/>
                <w:szCs w:val="21"/>
              </w:rPr>
              <w:t>09</w:t>
            </w:r>
            <w:r w:rsidRPr="00AC71A6">
              <w:rPr>
                <w:rFonts w:cs="Times New Roman" w:hint="eastAsia"/>
                <w:color w:val="FF0000"/>
                <w:kern w:val="0"/>
                <w:szCs w:val="21"/>
              </w:rPr>
              <w:t>′</w:t>
            </w:r>
            <w:r w:rsidRPr="00AC71A6">
              <w:rPr>
                <w:rFonts w:cs="Times New Roman" w:hint="eastAsia"/>
                <w:color w:val="FF0000"/>
                <w:kern w:val="0"/>
                <w:szCs w:val="21"/>
              </w:rPr>
              <w:t>26.12</w:t>
            </w:r>
            <w:r w:rsidRPr="00AC71A6">
              <w:rPr>
                <w:rFonts w:cs="Times New Roman" w:hint="eastAsia"/>
                <w:color w:val="FF0000"/>
                <w:kern w:val="0"/>
                <w:szCs w:val="21"/>
              </w:rPr>
              <w:t>″</w:t>
            </w:r>
          </w:p>
          <w:p w:rsidR="00AC71A6" w:rsidRPr="00AC71A6" w:rsidRDefault="00AC71A6" w:rsidP="00AC71A6">
            <w:pPr>
              <w:pStyle w:val="afffffff4"/>
              <w:rPr>
                <w:color w:val="FF0000"/>
                <w:szCs w:val="21"/>
                <w:u w:val="single"/>
              </w:rPr>
            </w:pPr>
            <w:r w:rsidRPr="00AC71A6">
              <w:rPr>
                <w:rFonts w:cs="Times New Roman" w:hint="eastAsia"/>
                <w:color w:val="FF0000"/>
                <w:szCs w:val="21"/>
              </w:rPr>
              <w:t>N</w:t>
            </w:r>
            <w:r w:rsidRPr="00AC71A6">
              <w:rPr>
                <w:rFonts w:cs="Times New Roman" w:hint="eastAsia"/>
                <w:color w:val="FF0000"/>
                <w:szCs w:val="21"/>
              </w:rPr>
              <w:t>：</w:t>
            </w:r>
            <w:r w:rsidRPr="00AC71A6">
              <w:rPr>
                <w:rFonts w:cs="Times New Roman" w:hint="eastAsia"/>
                <w:color w:val="FF0000"/>
                <w:szCs w:val="21"/>
              </w:rPr>
              <w:t>39</w:t>
            </w:r>
            <w:r w:rsidRPr="00AC71A6">
              <w:rPr>
                <w:rFonts w:cs="Times New Roman" w:hint="eastAsia"/>
                <w:color w:val="FF0000"/>
                <w:szCs w:val="21"/>
              </w:rPr>
              <w:t>°</w:t>
            </w:r>
            <w:r w:rsidRPr="00AC71A6">
              <w:rPr>
                <w:rFonts w:cs="Times New Roman" w:hint="eastAsia"/>
                <w:color w:val="FF0000"/>
                <w:szCs w:val="21"/>
              </w:rPr>
              <w:t>03</w:t>
            </w:r>
            <w:r w:rsidRPr="00AC71A6">
              <w:rPr>
                <w:rFonts w:cs="Times New Roman" w:hint="eastAsia"/>
                <w:color w:val="FF0000"/>
                <w:szCs w:val="21"/>
              </w:rPr>
              <w:t>′</w:t>
            </w:r>
            <w:r w:rsidRPr="00AC71A6">
              <w:rPr>
                <w:rFonts w:cs="Times New Roman" w:hint="eastAsia"/>
                <w:color w:val="FF0000"/>
                <w:szCs w:val="21"/>
              </w:rPr>
              <w:t>10.63</w:t>
            </w:r>
          </w:p>
        </w:tc>
        <w:tc>
          <w:tcPr>
            <w:tcW w:w="1126" w:type="pct"/>
            <w:vAlign w:val="center"/>
          </w:tcPr>
          <w:p w:rsidR="00644456" w:rsidRPr="00AC71A6" w:rsidRDefault="008031C4">
            <w:pPr>
              <w:pStyle w:val="afffffff4"/>
              <w:rPr>
                <w:color w:val="FF0000"/>
                <w:szCs w:val="21"/>
                <w:u w:val="single"/>
              </w:rPr>
            </w:pPr>
            <w:r w:rsidRPr="00AC71A6">
              <w:rPr>
                <w:rFonts w:hint="eastAsia"/>
                <w:color w:val="FF0000"/>
                <w:szCs w:val="21"/>
                <w:u w:val="single"/>
              </w:rPr>
              <w:t>污染扩散监测点</w:t>
            </w:r>
          </w:p>
        </w:tc>
        <w:tc>
          <w:tcPr>
            <w:tcW w:w="1266" w:type="pct"/>
            <w:vMerge/>
            <w:vAlign w:val="center"/>
          </w:tcPr>
          <w:p w:rsidR="00644456" w:rsidRDefault="00644456">
            <w:pPr>
              <w:widowControl/>
              <w:jc w:val="left"/>
              <w:rPr>
                <w:color w:val="000000" w:themeColor="text1"/>
                <w:szCs w:val="21"/>
              </w:rPr>
            </w:pPr>
          </w:p>
        </w:tc>
        <w:tc>
          <w:tcPr>
            <w:tcW w:w="629" w:type="pct"/>
            <w:vMerge/>
            <w:vAlign w:val="center"/>
          </w:tcPr>
          <w:p w:rsidR="00644456" w:rsidRDefault="00644456">
            <w:pPr>
              <w:widowControl/>
              <w:jc w:val="left"/>
              <w:rPr>
                <w:color w:val="000000" w:themeColor="text1"/>
                <w:szCs w:val="21"/>
              </w:rPr>
            </w:pPr>
          </w:p>
        </w:tc>
        <w:tc>
          <w:tcPr>
            <w:tcW w:w="521" w:type="pct"/>
            <w:vMerge/>
            <w:vAlign w:val="center"/>
          </w:tcPr>
          <w:p w:rsidR="00644456" w:rsidRDefault="00644456">
            <w:pPr>
              <w:widowControl/>
              <w:jc w:val="left"/>
              <w:rPr>
                <w:color w:val="000000" w:themeColor="text1"/>
                <w:szCs w:val="21"/>
              </w:rPr>
            </w:pPr>
          </w:p>
        </w:tc>
      </w:tr>
    </w:tbl>
    <w:p w:rsidR="00644456" w:rsidRDefault="008031C4">
      <w:pPr>
        <w:pStyle w:val="3"/>
        <w:numPr>
          <w:ilvl w:val="2"/>
          <w:numId w:val="0"/>
        </w:numPr>
        <w:ind w:firstLineChars="200" w:firstLine="482"/>
      </w:pPr>
      <w:r>
        <w:rPr>
          <w:rFonts w:hint="eastAsia"/>
        </w:rPr>
        <w:t>9.2.2</w:t>
      </w:r>
      <w:r>
        <w:rPr>
          <w:rFonts w:hint="eastAsia"/>
        </w:rPr>
        <w:t>采样和测定方法</w:t>
      </w:r>
    </w:p>
    <w:p w:rsidR="00644456" w:rsidRDefault="008031C4">
      <w:pPr>
        <w:pStyle w:val="afffff2"/>
        <w:spacing w:after="0"/>
        <w:ind w:firstLine="482"/>
        <w:rPr>
          <w:rFonts w:cs="Times New Roman"/>
          <w:b/>
          <w:bCs/>
          <w:color w:val="000000" w:themeColor="text1"/>
        </w:rPr>
      </w:pPr>
      <w:r>
        <w:rPr>
          <w:rFonts w:cs="Times New Roman"/>
          <w:b/>
          <w:bCs/>
          <w:color w:val="000000" w:themeColor="text1"/>
        </w:rPr>
        <w:t>1</w:t>
      </w:r>
      <w:r>
        <w:rPr>
          <w:rFonts w:cs="Times New Roman"/>
          <w:b/>
          <w:bCs/>
          <w:color w:val="000000" w:themeColor="text1"/>
        </w:rPr>
        <w:t>、自动监测</w:t>
      </w:r>
    </w:p>
    <w:p w:rsidR="00644456" w:rsidRDefault="00AC71A6">
      <w:pPr>
        <w:pStyle w:val="afffff2"/>
        <w:spacing w:after="0"/>
        <w:ind w:firstLine="480"/>
        <w:rPr>
          <w:rFonts w:cs="Times New Roman"/>
          <w:color w:val="000000" w:themeColor="text1"/>
        </w:rPr>
      </w:pPr>
      <w:r>
        <w:rPr>
          <w:rFonts w:cs="Times New Roman" w:hint="eastAsia"/>
          <w:color w:val="000000" w:themeColor="text1"/>
        </w:rPr>
        <w:t>本项目无自动监测</w:t>
      </w:r>
      <w:r w:rsidR="008031C4">
        <w:rPr>
          <w:rFonts w:cs="Times New Roman"/>
          <w:color w:val="000000" w:themeColor="text1"/>
        </w:rPr>
        <w:t>。</w:t>
      </w:r>
    </w:p>
    <w:p w:rsidR="00644456" w:rsidRDefault="008031C4">
      <w:pPr>
        <w:pStyle w:val="afffff2"/>
        <w:spacing w:after="0"/>
        <w:ind w:firstLine="482"/>
        <w:rPr>
          <w:rFonts w:cs="Times New Roman"/>
          <w:b/>
          <w:bCs/>
          <w:color w:val="000000" w:themeColor="text1"/>
        </w:rPr>
      </w:pPr>
      <w:r>
        <w:rPr>
          <w:rFonts w:cs="Times New Roman"/>
          <w:b/>
          <w:bCs/>
          <w:color w:val="000000" w:themeColor="text1"/>
        </w:rPr>
        <w:t>2</w:t>
      </w:r>
      <w:r>
        <w:rPr>
          <w:rFonts w:cs="Times New Roman"/>
          <w:b/>
          <w:bCs/>
          <w:color w:val="000000" w:themeColor="text1"/>
        </w:rPr>
        <w:t>、手工采样</w:t>
      </w:r>
    </w:p>
    <w:p w:rsidR="00644456" w:rsidRDefault="008031C4">
      <w:pPr>
        <w:pStyle w:val="afffff2"/>
        <w:spacing w:after="0"/>
        <w:ind w:firstLine="480"/>
        <w:rPr>
          <w:rFonts w:cs="Times New Roman"/>
          <w:color w:val="000000" w:themeColor="text1"/>
        </w:rPr>
      </w:pPr>
      <w:r>
        <w:rPr>
          <w:rFonts w:cs="Times New Roman"/>
          <w:color w:val="000000" w:themeColor="text1"/>
        </w:rPr>
        <w:t>有组织废气手工采样方法的选择参照</w:t>
      </w:r>
      <w:r>
        <w:rPr>
          <w:rFonts w:cs="Times New Roman"/>
          <w:color w:val="000000" w:themeColor="text1"/>
        </w:rPr>
        <w:t>GB/T16157</w:t>
      </w:r>
      <w:r>
        <w:rPr>
          <w:rFonts w:cs="Times New Roman"/>
          <w:color w:val="000000" w:themeColor="text1"/>
        </w:rPr>
        <w:t>、</w:t>
      </w:r>
      <w:r>
        <w:rPr>
          <w:rFonts w:cs="Times New Roman"/>
          <w:color w:val="000000" w:themeColor="text1"/>
        </w:rPr>
        <w:t>HJ/T397</w:t>
      </w:r>
      <w:r>
        <w:rPr>
          <w:rFonts w:cs="Times New Roman"/>
          <w:color w:val="000000" w:themeColor="text1"/>
        </w:rPr>
        <w:t>、</w:t>
      </w:r>
      <w:r>
        <w:rPr>
          <w:rFonts w:cs="Times New Roman"/>
          <w:color w:val="000000" w:themeColor="text1"/>
        </w:rPr>
        <w:t>HJ732</w:t>
      </w:r>
      <w:r>
        <w:rPr>
          <w:rFonts w:cs="Times New Roman"/>
          <w:color w:val="000000" w:themeColor="text1"/>
        </w:rPr>
        <w:t>执行。无组织排放采样方法参照</w:t>
      </w:r>
      <w:r>
        <w:rPr>
          <w:rFonts w:cs="Times New Roman"/>
          <w:color w:val="000000" w:themeColor="text1"/>
        </w:rPr>
        <w:t>HJ/T55</w:t>
      </w:r>
      <w:r>
        <w:rPr>
          <w:rFonts w:cs="Times New Roman"/>
          <w:color w:val="000000" w:themeColor="text1"/>
        </w:rPr>
        <w:t>执行。</w:t>
      </w:r>
    </w:p>
    <w:p w:rsidR="00644456" w:rsidRDefault="008031C4">
      <w:pPr>
        <w:pStyle w:val="afffff2"/>
        <w:spacing w:after="0"/>
        <w:ind w:firstLine="480"/>
        <w:rPr>
          <w:rFonts w:cs="Times New Roman"/>
          <w:color w:val="000000" w:themeColor="text1"/>
        </w:rPr>
      </w:pPr>
      <w:r>
        <w:rPr>
          <w:rFonts w:cs="Times New Roman"/>
          <w:color w:val="000000" w:themeColor="text1"/>
        </w:rPr>
        <w:t>废水手工采样方法的选择参照</w:t>
      </w:r>
      <w:r>
        <w:rPr>
          <w:rFonts w:cs="Times New Roman"/>
          <w:color w:val="000000" w:themeColor="text1"/>
        </w:rPr>
        <w:t>HJ493</w:t>
      </w:r>
      <w:r>
        <w:rPr>
          <w:rFonts w:cs="Times New Roman"/>
          <w:color w:val="000000" w:themeColor="text1"/>
        </w:rPr>
        <w:t>、</w:t>
      </w:r>
      <w:r>
        <w:rPr>
          <w:rFonts w:cs="Times New Roman"/>
          <w:color w:val="000000" w:themeColor="text1"/>
        </w:rPr>
        <w:t>HJ494</w:t>
      </w:r>
      <w:r>
        <w:rPr>
          <w:rFonts w:cs="Times New Roman"/>
          <w:color w:val="000000" w:themeColor="text1"/>
        </w:rPr>
        <w:t>、</w:t>
      </w:r>
      <w:r>
        <w:rPr>
          <w:rFonts w:cs="Times New Roman"/>
          <w:color w:val="000000" w:themeColor="text1"/>
        </w:rPr>
        <w:t>HJ495</w:t>
      </w:r>
      <w:r>
        <w:rPr>
          <w:rFonts w:cs="Times New Roman"/>
          <w:color w:val="000000" w:themeColor="text1"/>
        </w:rPr>
        <w:t>和</w:t>
      </w:r>
      <w:r>
        <w:rPr>
          <w:rFonts w:cs="Times New Roman"/>
          <w:color w:val="000000" w:themeColor="text1"/>
        </w:rPr>
        <w:t>HJ/T91</w:t>
      </w:r>
      <w:r>
        <w:rPr>
          <w:rFonts w:cs="Times New Roman"/>
          <w:color w:val="000000" w:themeColor="text1"/>
        </w:rPr>
        <w:t>执行，噪声和土壤采样方法参照国家相关标准执行。</w:t>
      </w:r>
    </w:p>
    <w:p w:rsidR="00644456" w:rsidRDefault="008031C4">
      <w:pPr>
        <w:pStyle w:val="afffff2"/>
        <w:spacing w:after="0"/>
        <w:ind w:firstLine="482"/>
        <w:rPr>
          <w:rFonts w:cs="Times New Roman"/>
          <w:b/>
          <w:bCs/>
          <w:color w:val="000000" w:themeColor="text1"/>
        </w:rPr>
      </w:pPr>
      <w:r>
        <w:rPr>
          <w:rFonts w:cs="Times New Roman"/>
          <w:b/>
          <w:bCs/>
          <w:color w:val="000000" w:themeColor="text1"/>
        </w:rPr>
        <w:t>3</w:t>
      </w:r>
      <w:r>
        <w:rPr>
          <w:rFonts w:cs="Times New Roman"/>
          <w:b/>
          <w:bCs/>
          <w:color w:val="000000" w:themeColor="text1"/>
        </w:rPr>
        <w:t>、测定方法</w:t>
      </w:r>
    </w:p>
    <w:p w:rsidR="00644456" w:rsidRDefault="008031C4">
      <w:pPr>
        <w:pStyle w:val="afffff2"/>
        <w:spacing w:after="0"/>
        <w:ind w:firstLine="480"/>
        <w:rPr>
          <w:rFonts w:cs="Times New Roman"/>
          <w:color w:val="000000" w:themeColor="text1"/>
        </w:rPr>
      </w:pPr>
      <w:r>
        <w:rPr>
          <w:rFonts w:cs="Times New Roman"/>
          <w:color w:val="000000" w:themeColor="text1"/>
        </w:rPr>
        <w:t>废水、废气、噪声、土壤污染物的监测按照相应排放标准中规定的污染物浓度测定方法标准执行，国家或地方法律法规等另有规定的，从其规定。</w:t>
      </w:r>
    </w:p>
    <w:p w:rsidR="00644456" w:rsidRDefault="008031C4">
      <w:pPr>
        <w:pStyle w:val="3"/>
        <w:numPr>
          <w:ilvl w:val="2"/>
          <w:numId w:val="0"/>
        </w:numPr>
        <w:ind w:firstLineChars="200" w:firstLine="482"/>
      </w:pPr>
      <w:r>
        <w:rPr>
          <w:rFonts w:hint="eastAsia"/>
        </w:rPr>
        <w:t>9.2.3</w:t>
      </w:r>
      <w:r>
        <w:rPr>
          <w:rFonts w:hint="eastAsia"/>
        </w:rPr>
        <w:t>环境管理台账与排污许可证执行报告编制要求</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9.2.3.1</w:t>
      </w:r>
      <w:r>
        <w:rPr>
          <w:rFonts w:cs="Times New Roman"/>
          <w:snapToGrid w:val="0"/>
          <w:color w:val="000000" w:themeColor="text1"/>
          <w:kern w:val="0"/>
          <w:szCs w:val="24"/>
        </w:rPr>
        <w:t>环境管理台账记录要求</w:t>
      </w:r>
    </w:p>
    <w:p w:rsidR="00644456" w:rsidRDefault="008031C4">
      <w:pPr>
        <w:pStyle w:val="afffff2"/>
        <w:wordWrap w:val="0"/>
        <w:spacing w:after="0"/>
        <w:ind w:firstLine="480"/>
        <w:rPr>
          <w:rFonts w:cs="Times New Roman"/>
          <w:color w:val="000000" w:themeColor="text1"/>
        </w:rPr>
      </w:pPr>
      <w:r>
        <w:rPr>
          <w:rFonts w:cs="Times New Roman"/>
          <w:color w:val="000000" w:themeColor="text1"/>
        </w:rPr>
        <w:t>排污单位应建立环境管理台账制度，设置专职人员开展台账记录、整理、维护和管理</w:t>
      </w:r>
      <w:bookmarkStart w:id="553" w:name="_bookmark22"/>
      <w:bookmarkEnd w:id="553"/>
      <w:r>
        <w:rPr>
          <w:rFonts w:cs="Times New Roman"/>
          <w:color w:val="000000" w:themeColor="text1"/>
        </w:rPr>
        <w:t>工作，并对台账记录结果的真实性、准确性、完整性负责。为便于携带、储存、导出及证明排污许可证执行情况，台账应按照电子化储存和纸质储存两种形式同步管理，保存期限不得少于三年。排污单位环境管理台账应真实记录生产运行、污染治理设施运行、自行监测和其他环境管理信息。其中记录频次和内容须满足排污许可证环境管理要求</w:t>
      </w:r>
      <w:r>
        <w:rPr>
          <w:rFonts w:cs="Times New Roman"/>
          <w:color w:val="000000" w:themeColor="text1"/>
        </w:rPr>
        <w:lastRenderedPageBreak/>
        <w:t>。</w:t>
      </w:r>
    </w:p>
    <w:p w:rsidR="00644456" w:rsidRDefault="008031C4">
      <w:pPr>
        <w:pStyle w:val="4"/>
        <w:numPr>
          <w:ilvl w:val="3"/>
          <w:numId w:val="0"/>
        </w:numPr>
        <w:ind w:firstLineChars="200" w:firstLine="482"/>
        <w:rPr>
          <w:rFonts w:cs="Times New Roman"/>
          <w:snapToGrid w:val="0"/>
          <w:color w:val="000000" w:themeColor="text1"/>
          <w:kern w:val="0"/>
          <w:szCs w:val="24"/>
        </w:rPr>
      </w:pPr>
      <w:r>
        <w:rPr>
          <w:rFonts w:cs="Times New Roman" w:hint="eastAsia"/>
          <w:snapToGrid w:val="0"/>
          <w:color w:val="000000" w:themeColor="text1"/>
          <w:kern w:val="0"/>
          <w:szCs w:val="24"/>
        </w:rPr>
        <w:t>9.2.3.2</w:t>
      </w:r>
      <w:r>
        <w:rPr>
          <w:rFonts w:cs="Times New Roman"/>
          <w:snapToGrid w:val="0"/>
          <w:color w:val="000000" w:themeColor="text1"/>
          <w:kern w:val="0"/>
          <w:szCs w:val="24"/>
        </w:rPr>
        <w:t>记录内容与频次</w:t>
      </w:r>
    </w:p>
    <w:p w:rsidR="00644456" w:rsidRDefault="008031C4">
      <w:pPr>
        <w:pStyle w:val="afffff2"/>
        <w:spacing w:after="0"/>
        <w:ind w:firstLine="482"/>
        <w:rPr>
          <w:rFonts w:cs="Times New Roman"/>
          <w:b/>
          <w:bCs/>
          <w:color w:val="000000" w:themeColor="text1"/>
        </w:rPr>
      </w:pPr>
      <w:r>
        <w:rPr>
          <w:rFonts w:cs="Times New Roman"/>
          <w:b/>
          <w:bCs/>
          <w:color w:val="000000" w:themeColor="text1"/>
        </w:rPr>
        <w:t>1</w:t>
      </w:r>
      <w:r>
        <w:rPr>
          <w:rFonts w:cs="Times New Roman"/>
          <w:b/>
          <w:bCs/>
          <w:color w:val="000000" w:themeColor="text1"/>
        </w:rPr>
        <w:t>）主要生产设施运行管理信息</w:t>
      </w:r>
    </w:p>
    <w:p w:rsidR="00644456" w:rsidRDefault="008031C4">
      <w:pPr>
        <w:pStyle w:val="afffff2"/>
        <w:spacing w:after="0"/>
        <w:ind w:firstLine="480"/>
        <w:rPr>
          <w:rFonts w:cs="Times New Roman"/>
          <w:color w:val="000000" w:themeColor="text1"/>
        </w:rPr>
      </w:pPr>
      <w:r>
        <w:rPr>
          <w:rFonts w:cs="Times New Roman"/>
          <w:color w:val="000000" w:themeColor="text1"/>
        </w:rPr>
        <w:t>排污单位应定期记录生产运行状况并留档，应按批次至少记录以下内容：生产设施、运行状态、投料量、产品产量等。</w:t>
      </w:r>
    </w:p>
    <w:p w:rsidR="00644456" w:rsidRDefault="008031C4">
      <w:pPr>
        <w:pStyle w:val="afffff2"/>
        <w:spacing w:after="0"/>
        <w:ind w:firstLine="482"/>
        <w:rPr>
          <w:rFonts w:cs="Times New Roman"/>
          <w:b/>
          <w:bCs/>
          <w:color w:val="000000" w:themeColor="text1"/>
        </w:rPr>
      </w:pPr>
      <w:r>
        <w:rPr>
          <w:rFonts w:cs="Times New Roman"/>
          <w:b/>
          <w:bCs/>
          <w:color w:val="000000" w:themeColor="text1"/>
        </w:rPr>
        <w:t>2</w:t>
      </w:r>
      <w:r>
        <w:rPr>
          <w:rFonts w:cs="Times New Roman"/>
          <w:b/>
          <w:bCs/>
          <w:color w:val="000000" w:themeColor="text1"/>
        </w:rPr>
        <w:t>）原辅材料信息</w:t>
      </w:r>
    </w:p>
    <w:p w:rsidR="00644456" w:rsidRDefault="008031C4">
      <w:pPr>
        <w:pStyle w:val="afffff2"/>
        <w:spacing w:after="0"/>
        <w:ind w:firstLine="480"/>
        <w:rPr>
          <w:rFonts w:cs="Times New Roman"/>
          <w:color w:val="000000" w:themeColor="text1"/>
        </w:rPr>
      </w:pPr>
      <w:r>
        <w:rPr>
          <w:rFonts w:cs="Times New Roman"/>
          <w:color w:val="000000" w:themeColor="text1"/>
        </w:rPr>
        <w:t>排污单位应记录原辅材料采购量、库存量、出库量、纯度、是否有毒有害等信息。记录内容参见下表。</w:t>
      </w:r>
    </w:p>
    <w:p w:rsidR="00644456" w:rsidRDefault="008031C4">
      <w:pPr>
        <w:pStyle w:val="afffff2"/>
        <w:spacing w:after="0"/>
        <w:ind w:firstLine="482"/>
        <w:rPr>
          <w:rFonts w:cs="Times New Roman"/>
          <w:b/>
          <w:bCs/>
          <w:color w:val="000000" w:themeColor="text1"/>
        </w:rPr>
      </w:pPr>
      <w:r>
        <w:rPr>
          <w:rFonts w:cs="Times New Roman"/>
          <w:b/>
          <w:bCs/>
          <w:color w:val="000000" w:themeColor="text1"/>
        </w:rPr>
        <w:t>3</w:t>
      </w:r>
      <w:r>
        <w:rPr>
          <w:rFonts w:cs="Times New Roman"/>
          <w:b/>
          <w:bCs/>
          <w:color w:val="000000" w:themeColor="text1"/>
        </w:rPr>
        <w:t>）污染治理设施运行管理信息</w:t>
      </w:r>
    </w:p>
    <w:p w:rsidR="00644456" w:rsidRDefault="008031C4">
      <w:pPr>
        <w:pStyle w:val="afffff2"/>
        <w:spacing w:after="0"/>
        <w:ind w:firstLine="480"/>
        <w:rPr>
          <w:rFonts w:cs="Times New Roman"/>
          <w:color w:val="000000" w:themeColor="text1"/>
        </w:rPr>
      </w:pPr>
      <w:r>
        <w:rPr>
          <w:rFonts w:cs="Times New Roman"/>
          <w:color w:val="000000" w:themeColor="text1"/>
        </w:rPr>
        <w:t>废气处理设施记录设施运行参数（包括运行工况等）、污染物排放情况、停运时段、药剂投加时间及投加量等。</w:t>
      </w:r>
    </w:p>
    <w:p w:rsidR="00644456" w:rsidRDefault="008031C4">
      <w:pPr>
        <w:pStyle w:val="afffff2"/>
        <w:spacing w:after="0"/>
        <w:ind w:firstLine="482"/>
        <w:rPr>
          <w:rFonts w:cs="Times New Roman"/>
          <w:b/>
          <w:bCs/>
          <w:color w:val="000000" w:themeColor="text1"/>
        </w:rPr>
      </w:pPr>
      <w:r>
        <w:rPr>
          <w:rFonts w:cs="Times New Roman"/>
          <w:b/>
          <w:bCs/>
          <w:color w:val="000000" w:themeColor="text1"/>
        </w:rPr>
        <w:t>4</w:t>
      </w:r>
      <w:r>
        <w:rPr>
          <w:rFonts w:cs="Times New Roman"/>
          <w:b/>
          <w:bCs/>
          <w:color w:val="000000" w:themeColor="text1"/>
        </w:rPr>
        <w:t>）非正常工况记录信息</w:t>
      </w:r>
    </w:p>
    <w:p w:rsidR="00644456" w:rsidRDefault="008031C4">
      <w:pPr>
        <w:pStyle w:val="afffff2"/>
        <w:spacing w:after="0"/>
        <w:ind w:firstLine="480"/>
        <w:rPr>
          <w:rFonts w:cs="Times New Roman"/>
          <w:color w:val="000000" w:themeColor="text1"/>
        </w:rPr>
      </w:pPr>
      <w:r>
        <w:rPr>
          <w:rFonts w:cs="Times New Roman"/>
          <w:color w:val="000000" w:themeColor="text1"/>
        </w:rPr>
        <w:t>应记录锅炉</w:t>
      </w:r>
      <w:r>
        <w:rPr>
          <w:rFonts w:cs="Times New Roman" w:hint="eastAsia"/>
          <w:color w:val="000000" w:themeColor="text1"/>
        </w:rPr>
        <w:t>启</w:t>
      </w:r>
      <w:r>
        <w:rPr>
          <w:rFonts w:cs="Times New Roman"/>
          <w:color w:val="000000" w:themeColor="text1"/>
        </w:rPr>
        <w:t>停时段设施名称、编号、非正常起始时刻、非正常恢复时刻、污染物排放量、排放浓度、</w:t>
      </w:r>
      <w:r>
        <w:rPr>
          <w:rFonts w:cs="Times New Roman" w:hint="eastAsia"/>
          <w:color w:val="000000" w:themeColor="text1"/>
        </w:rPr>
        <w:t>事故</w:t>
      </w:r>
      <w:r>
        <w:rPr>
          <w:rFonts w:cs="Times New Roman"/>
          <w:color w:val="000000" w:themeColor="text1"/>
        </w:rPr>
        <w:t>原因、是否报告等。</w:t>
      </w:r>
    </w:p>
    <w:p w:rsidR="00644456" w:rsidRDefault="008031C4">
      <w:pPr>
        <w:pStyle w:val="afffff2"/>
        <w:spacing w:after="0"/>
        <w:ind w:firstLine="482"/>
        <w:rPr>
          <w:rFonts w:cs="Times New Roman"/>
          <w:b/>
          <w:bCs/>
          <w:color w:val="000000" w:themeColor="text1"/>
        </w:rPr>
      </w:pPr>
      <w:r>
        <w:rPr>
          <w:rFonts w:cs="Times New Roman"/>
          <w:b/>
          <w:bCs/>
          <w:color w:val="000000" w:themeColor="text1"/>
        </w:rPr>
        <w:t>5</w:t>
      </w:r>
      <w:r>
        <w:rPr>
          <w:rFonts w:cs="Times New Roman"/>
          <w:b/>
          <w:bCs/>
          <w:color w:val="000000" w:themeColor="text1"/>
        </w:rPr>
        <w:t>）监测记录信息</w:t>
      </w:r>
    </w:p>
    <w:p w:rsidR="00644456" w:rsidRDefault="008031C4">
      <w:pPr>
        <w:pStyle w:val="afffff2"/>
        <w:spacing w:after="0"/>
        <w:ind w:firstLine="480"/>
        <w:rPr>
          <w:rFonts w:cs="Times New Roman"/>
          <w:color w:val="000000" w:themeColor="text1"/>
        </w:rPr>
      </w:pPr>
      <w:r>
        <w:rPr>
          <w:rFonts w:cs="Times New Roman"/>
          <w:color w:val="000000" w:themeColor="text1"/>
        </w:rPr>
        <w:t>排污单位应建立污染治理设施运行管理监测记录，记录、台账的形式和质量控制参照</w:t>
      </w:r>
      <w:r>
        <w:rPr>
          <w:rFonts w:cs="Times New Roman"/>
          <w:color w:val="000000" w:themeColor="text1"/>
        </w:rPr>
        <w:t>HJ/T373</w:t>
      </w:r>
      <w:r>
        <w:rPr>
          <w:rFonts w:cs="Times New Roman"/>
          <w:color w:val="000000" w:themeColor="text1"/>
        </w:rPr>
        <w:t>、</w:t>
      </w:r>
      <w:r>
        <w:rPr>
          <w:rFonts w:cs="Times New Roman"/>
          <w:color w:val="000000" w:themeColor="text1"/>
        </w:rPr>
        <w:t>HJ819</w:t>
      </w:r>
      <w:r>
        <w:rPr>
          <w:rFonts w:cs="Times New Roman"/>
          <w:color w:val="000000" w:themeColor="text1"/>
        </w:rPr>
        <w:t>等相关要求执行。</w:t>
      </w:r>
    </w:p>
    <w:p w:rsidR="00644456" w:rsidRDefault="008031C4">
      <w:pPr>
        <w:pStyle w:val="afffff2"/>
        <w:spacing w:after="0"/>
        <w:ind w:firstLine="482"/>
        <w:rPr>
          <w:rFonts w:cs="Times New Roman"/>
          <w:b/>
          <w:bCs/>
          <w:color w:val="000000" w:themeColor="text1"/>
        </w:rPr>
      </w:pPr>
      <w:r>
        <w:rPr>
          <w:rFonts w:cs="Times New Roman"/>
          <w:b/>
          <w:bCs/>
          <w:color w:val="000000" w:themeColor="text1"/>
        </w:rPr>
        <w:t>6</w:t>
      </w:r>
      <w:r>
        <w:rPr>
          <w:rFonts w:cs="Times New Roman"/>
          <w:b/>
          <w:bCs/>
          <w:color w:val="000000" w:themeColor="text1"/>
        </w:rPr>
        <w:t>）其他环境管理信息</w:t>
      </w:r>
    </w:p>
    <w:p w:rsidR="00644456" w:rsidRDefault="008031C4">
      <w:pPr>
        <w:pStyle w:val="afffff2"/>
        <w:spacing w:after="0"/>
        <w:ind w:firstLine="480"/>
        <w:rPr>
          <w:rFonts w:cs="Times New Roman"/>
          <w:color w:val="000000" w:themeColor="text1"/>
        </w:rPr>
      </w:pPr>
      <w:r>
        <w:rPr>
          <w:rFonts w:cs="Times New Roman"/>
          <w:color w:val="000000" w:themeColor="text1"/>
        </w:rPr>
        <w:t>排污单位应记录重污染天气应对期间等特殊时段管理要求、执行情况（包括特殊时段生产设施和污染治理设施运行管理信息）等。重污染天气应对期间等特殊时段的台账记录要求</w:t>
      </w:r>
      <w:bookmarkStart w:id="554" w:name="_bookmark23"/>
      <w:bookmarkEnd w:id="554"/>
      <w:r>
        <w:rPr>
          <w:rFonts w:cs="Times New Roman"/>
          <w:color w:val="000000" w:themeColor="text1"/>
        </w:rPr>
        <w:t>与正常生产记录频次要求一致，每天进行</w:t>
      </w:r>
      <w:r>
        <w:rPr>
          <w:rFonts w:cs="Times New Roman"/>
          <w:color w:val="000000" w:themeColor="text1"/>
        </w:rPr>
        <w:t>1</w:t>
      </w:r>
      <w:r>
        <w:rPr>
          <w:rFonts w:cs="Times New Roman"/>
          <w:color w:val="000000" w:themeColor="text1"/>
        </w:rPr>
        <w:t>次记录，地方环境保护主管部门有特殊要求的，从其规定。</w:t>
      </w:r>
    </w:p>
    <w:p w:rsidR="00644456" w:rsidRDefault="008031C4">
      <w:pPr>
        <w:pStyle w:val="afffff2"/>
        <w:spacing w:after="0"/>
        <w:ind w:firstLine="480"/>
        <w:rPr>
          <w:rFonts w:cs="Times New Roman"/>
          <w:color w:val="000000" w:themeColor="text1"/>
        </w:rPr>
      </w:pPr>
      <w:r>
        <w:rPr>
          <w:rFonts w:cs="Times New Roman"/>
          <w:color w:val="000000" w:themeColor="text1"/>
        </w:rPr>
        <w:t>还应根据环境管理要求和排污单位自行监测记录内容需求，进行增补记录。</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555" w:name="_bookmark24"/>
      <w:bookmarkStart w:id="556" w:name="_Toc155789412"/>
      <w:bookmarkStart w:id="557" w:name="_Toc177216919"/>
      <w:bookmarkEnd w:id="555"/>
      <w:r>
        <w:rPr>
          <w:rFonts w:cs="Times New Roman" w:hint="eastAsia"/>
          <w:color w:val="000000" w:themeColor="text1"/>
        </w:rPr>
        <w:t>9.3</w:t>
      </w:r>
      <w:r>
        <w:rPr>
          <w:rFonts w:cs="Times New Roman"/>
          <w:color w:val="000000" w:themeColor="text1"/>
        </w:rPr>
        <w:t>管理人员培训</w:t>
      </w:r>
      <w:bookmarkEnd w:id="556"/>
      <w:bookmarkEnd w:id="557"/>
    </w:p>
    <w:p w:rsidR="00644456" w:rsidRDefault="008031C4">
      <w:pPr>
        <w:pStyle w:val="afffff2"/>
        <w:spacing w:after="0"/>
        <w:ind w:firstLine="480"/>
        <w:rPr>
          <w:rFonts w:cs="Times New Roman"/>
          <w:color w:val="000000" w:themeColor="text1"/>
        </w:rPr>
      </w:pPr>
      <w:r>
        <w:rPr>
          <w:rFonts w:cs="Times New Roman"/>
          <w:color w:val="000000" w:themeColor="text1"/>
        </w:rPr>
        <w:t>上岗职工必须进行职业道德、环境保护、劳动卫生、安全生产等法规教育，以增强操作人员和管理人员的职业精神和业务水平外，本评价建议：项目投入运行后设置专门部门负责厂区环保措施的实施、环境监测及污染治理等有关方面的工作。负责企业对社会的环境承诺，协调与当地环保部门的工作。</w:t>
      </w:r>
    </w:p>
    <w:p w:rsidR="00644456" w:rsidRDefault="008031C4">
      <w:pPr>
        <w:pStyle w:val="afffff2"/>
        <w:spacing w:after="0"/>
        <w:ind w:firstLine="480"/>
        <w:rPr>
          <w:rFonts w:cs="Times New Roman"/>
          <w:color w:val="000000" w:themeColor="text1"/>
        </w:rPr>
      </w:pPr>
      <w:r>
        <w:rPr>
          <w:rFonts w:cs="Times New Roman"/>
          <w:color w:val="000000" w:themeColor="text1"/>
        </w:rPr>
        <w:t>1</w:t>
      </w:r>
      <w:r>
        <w:rPr>
          <w:rFonts w:cs="Times New Roman"/>
          <w:color w:val="000000" w:themeColor="text1"/>
        </w:rPr>
        <w:t>）组织并监督检查企业的基本建设、技术改造贯彻</w:t>
      </w:r>
      <w:r>
        <w:rPr>
          <w:rFonts w:cs="Times New Roman"/>
          <w:color w:val="000000" w:themeColor="text1"/>
        </w:rPr>
        <w:t>“</w:t>
      </w:r>
      <w:r>
        <w:rPr>
          <w:rFonts w:cs="Times New Roman"/>
          <w:color w:val="000000" w:themeColor="text1"/>
        </w:rPr>
        <w:t>三同时</w:t>
      </w:r>
      <w:r>
        <w:rPr>
          <w:rFonts w:cs="Times New Roman"/>
          <w:color w:val="000000" w:themeColor="text1"/>
        </w:rPr>
        <w:t>”</w:t>
      </w:r>
      <w:r>
        <w:rPr>
          <w:rFonts w:cs="Times New Roman"/>
          <w:color w:val="000000" w:themeColor="text1"/>
        </w:rPr>
        <w:t>制度的情况，参与其方案的审定与竣工验收工作；</w:t>
      </w:r>
    </w:p>
    <w:p w:rsidR="00644456" w:rsidRDefault="008031C4">
      <w:pPr>
        <w:pStyle w:val="afffff2"/>
        <w:spacing w:after="0"/>
        <w:ind w:firstLine="480"/>
        <w:rPr>
          <w:rFonts w:cs="Times New Roman"/>
          <w:color w:val="000000" w:themeColor="text1"/>
        </w:rPr>
      </w:pPr>
      <w:r>
        <w:rPr>
          <w:rFonts w:cs="Times New Roman"/>
          <w:color w:val="000000" w:themeColor="text1"/>
        </w:rPr>
        <w:lastRenderedPageBreak/>
        <w:t>2</w:t>
      </w:r>
      <w:r>
        <w:rPr>
          <w:rFonts w:cs="Times New Roman"/>
          <w:color w:val="000000" w:themeColor="text1"/>
        </w:rPr>
        <w:t>）监督检查整个厂区的环保设施运行和污染排放情况；</w:t>
      </w:r>
    </w:p>
    <w:p w:rsidR="00644456" w:rsidRDefault="008031C4">
      <w:pPr>
        <w:pStyle w:val="afffff2"/>
        <w:spacing w:after="0"/>
        <w:ind w:firstLine="480"/>
        <w:rPr>
          <w:rFonts w:cs="Times New Roman"/>
          <w:color w:val="000000" w:themeColor="text1"/>
        </w:rPr>
      </w:pPr>
      <w:r>
        <w:rPr>
          <w:rFonts w:cs="Times New Roman"/>
          <w:color w:val="000000" w:themeColor="text1"/>
        </w:rPr>
        <w:t>3</w:t>
      </w:r>
      <w:r>
        <w:rPr>
          <w:rFonts w:cs="Times New Roman"/>
          <w:color w:val="000000" w:themeColor="text1"/>
        </w:rPr>
        <w:t>）组织环境监测，检查本项目区域环境质量状况和发展变化；</w:t>
      </w:r>
    </w:p>
    <w:p w:rsidR="00644456" w:rsidRDefault="008031C4">
      <w:pPr>
        <w:pStyle w:val="afffff2"/>
        <w:spacing w:after="0"/>
        <w:ind w:firstLine="480"/>
        <w:rPr>
          <w:rFonts w:cs="Times New Roman"/>
          <w:color w:val="000000" w:themeColor="text1"/>
        </w:rPr>
      </w:pPr>
      <w:r>
        <w:rPr>
          <w:rFonts w:cs="Times New Roman"/>
          <w:color w:val="000000" w:themeColor="text1"/>
        </w:rPr>
        <w:t>4</w:t>
      </w:r>
      <w:r>
        <w:rPr>
          <w:rFonts w:cs="Times New Roman"/>
          <w:color w:val="000000" w:themeColor="text1"/>
        </w:rPr>
        <w:t>）组织污染源调查及环境污染事故的调查和处理；</w:t>
      </w:r>
    </w:p>
    <w:p w:rsidR="00644456" w:rsidRDefault="008031C4">
      <w:pPr>
        <w:pStyle w:val="afffff2"/>
        <w:spacing w:after="0"/>
        <w:ind w:firstLine="480"/>
        <w:rPr>
          <w:rFonts w:cs="Times New Roman"/>
          <w:color w:val="000000" w:themeColor="text1"/>
        </w:rPr>
      </w:pPr>
      <w:r>
        <w:rPr>
          <w:rFonts w:cs="Times New Roman"/>
          <w:color w:val="000000" w:themeColor="text1"/>
        </w:rPr>
        <w:t>5</w:t>
      </w:r>
      <w:r>
        <w:rPr>
          <w:rFonts w:cs="Times New Roman"/>
          <w:color w:val="000000" w:themeColor="text1"/>
        </w:rPr>
        <w:t>）负责本企业环保设施的维修、检测，使环保设施正常运转。</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558" w:name="_Toc177216920"/>
      <w:r>
        <w:rPr>
          <w:rFonts w:cs="Times New Roman" w:hint="eastAsia"/>
          <w:color w:val="000000" w:themeColor="text1"/>
        </w:rPr>
        <w:t>9.4</w:t>
      </w:r>
      <w:r>
        <w:rPr>
          <w:rFonts w:cs="Times New Roman" w:hint="eastAsia"/>
          <w:color w:val="000000" w:themeColor="text1"/>
        </w:rPr>
        <w:t>排污许可与总量控制</w:t>
      </w:r>
      <w:bookmarkEnd w:id="558"/>
    </w:p>
    <w:p w:rsidR="00644456" w:rsidRDefault="008031C4">
      <w:pPr>
        <w:pStyle w:val="afffff2"/>
        <w:spacing w:after="0"/>
        <w:ind w:firstLine="480"/>
        <w:rPr>
          <w:rFonts w:cs="Times New Roman"/>
          <w:color w:val="000000" w:themeColor="text1"/>
        </w:rPr>
      </w:pPr>
      <w:r>
        <w:rPr>
          <w:rFonts w:cs="Times New Roman" w:hint="eastAsia"/>
          <w:color w:val="000000" w:themeColor="text1"/>
        </w:rPr>
        <w:t>建设单位根据申办排污许可证的流程，在排污许可证管理信息平台申报系统填报</w:t>
      </w:r>
    </w:p>
    <w:p w:rsidR="00644456" w:rsidRDefault="008031C4">
      <w:pPr>
        <w:pStyle w:val="afffff2"/>
        <w:spacing w:after="0"/>
        <w:ind w:firstLine="480"/>
        <w:rPr>
          <w:rFonts w:cs="Times New Roman"/>
          <w:color w:val="000000" w:themeColor="text1"/>
        </w:rPr>
      </w:pPr>
      <w:r>
        <w:rPr>
          <w:rFonts w:cs="Times New Roman" w:hint="eastAsia"/>
          <w:color w:val="000000" w:themeColor="text1"/>
        </w:rPr>
        <w:t>排污许可证申请表中的相应信息。主要包括排污单位基本信息，主要产品及产能，主要原辅料及燃料，生产排污环节、污染物及污染治理设施等。</w:t>
      </w:r>
    </w:p>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hint="eastAsia"/>
          <w:color w:val="000000" w:themeColor="text1"/>
        </w:rPr>
        <w:t>）排污许可限值</w:t>
      </w:r>
    </w:p>
    <w:p w:rsidR="00644456" w:rsidRDefault="008031C4">
      <w:pPr>
        <w:pStyle w:val="afffff2"/>
        <w:spacing w:after="0"/>
        <w:ind w:firstLine="480"/>
        <w:rPr>
          <w:rFonts w:cs="Times New Roman"/>
          <w:color w:val="000000" w:themeColor="text1"/>
        </w:rPr>
      </w:pPr>
      <w:r>
        <w:rPr>
          <w:rFonts w:cs="Times New Roman" w:hint="eastAsia"/>
          <w:color w:val="000000" w:themeColor="text1"/>
        </w:rPr>
        <w:t>根据《排污许可证申请与核发技术规范总则》（</w:t>
      </w:r>
      <w:r>
        <w:rPr>
          <w:rFonts w:cs="Times New Roman" w:hint="eastAsia"/>
          <w:color w:val="000000" w:themeColor="text1"/>
        </w:rPr>
        <w:t>HJ942-2018</w:t>
      </w:r>
      <w:r>
        <w:rPr>
          <w:rFonts w:cs="Times New Roman" w:hint="eastAsia"/>
          <w:color w:val="000000" w:themeColor="text1"/>
        </w:rPr>
        <w:t>），本项目排污许可限值建议见表</w:t>
      </w:r>
      <w:r>
        <w:rPr>
          <w:rFonts w:cs="Times New Roman" w:hint="eastAsia"/>
          <w:color w:val="000000" w:themeColor="text1"/>
        </w:rPr>
        <w:t>9.4-1</w:t>
      </w:r>
      <w:r>
        <w:rPr>
          <w:rFonts w:cs="Times New Roman" w:hint="eastAsia"/>
          <w:color w:val="000000" w:themeColor="text1"/>
        </w:rPr>
        <w:t>。</w:t>
      </w:r>
    </w:p>
    <w:p w:rsidR="00644456" w:rsidRDefault="008031C4">
      <w:pPr>
        <w:widowControl/>
        <w:jc w:val="center"/>
        <w:rPr>
          <w:rFonts w:cs="Times New Roman"/>
          <w:b/>
          <w:color w:val="000000" w:themeColor="text1"/>
          <w:sz w:val="24"/>
          <w:szCs w:val="20"/>
        </w:rPr>
      </w:pPr>
      <w:r>
        <w:rPr>
          <w:rFonts w:cs="Times New Roman" w:hint="eastAsia"/>
          <w:b/>
          <w:color w:val="000000" w:themeColor="text1"/>
          <w:sz w:val="24"/>
          <w:szCs w:val="20"/>
        </w:rPr>
        <w:t>表</w:t>
      </w:r>
      <w:r>
        <w:rPr>
          <w:rFonts w:cs="Times New Roman" w:hint="eastAsia"/>
          <w:b/>
          <w:color w:val="000000" w:themeColor="text1"/>
          <w:sz w:val="24"/>
          <w:szCs w:val="20"/>
        </w:rPr>
        <w:t>9.4-1</w:t>
      </w:r>
      <w:r>
        <w:rPr>
          <w:rFonts w:cs="Times New Roman" w:hint="eastAsia"/>
          <w:b/>
          <w:color w:val="000000" w:themeColor="text1"/>
          <w:sz w:val="24"/>
          <w:szCs w:val="20"/>
        </w:rPr>
        <w:t>排污许可限值建议一览表</w:t>
      </w:r>
    </w:p>
    <w:tbl>
      <w:tblPr>
        <w:tblStyle w:val="afff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803"/>
        <w:gridCol w:w="2308"/>
        <w:gridCol w:w="1413"/>
        <w:gridCol w:w="1688"/>
        <w:gridCol w:w="1803"/>
      </w:tblGrid>
      <w:tr w:rsidR="00644456">
        <w:tc>
          <w:tcPr>
            <w:tcW w:w="1803" w:type="dxa"/>
            <w:vAlign w:val="center"/>
          </w:tcPr>
          <w:p w:rsidR="00644456" w:rsidRDefault="008031C4">
            <w:pPr>
              <w:jc w:val="center"/>
            </w:pPr>
            <w:r>
              <w:rPr>
                <w:rFonts w:hint="eastAsia"/>
              </w:rPr>
              <w:t>排放源</w:t>
            </w:r>
          </w:p>
        </w:tc>
        <w:tc>
          <w:tcPr>
            <w:tcW w:w="2308" w:type="dxa"/>
            <w:vAlign w:val="center"/>
          </w:tcPr>
          <w:p w:rsidR="00644456" w:rsidRDefault="008031C4">
            <w:pPr>
              <w:jc w:val="center"/>
            </w:pPr>
            <w:r>
              <w:rPr>
                <w:rFonts w:hint="eastAsia"/>
              </w:rPr>
              <w:t>污染因子</w:t>
            </w:r>
          </w:p>
        </w:tc>
        <w:tc>
          <w:tcPr>
            <w:tcW w:w="1413" w:type="dxa"/>
            <w:vAlign w:val="center"/>
          </w:tcPr>
          <w:p w:rsidR="00644456" w:rsidRDefault="008031C4">
            <w:pPr>
              <w:jc w:val="center"/>
            </w:pPr>
            <w:r>
              <w:rPr>
                <w:rFonts w:hint="eastAsia"/>
              </w:rPr>
              <w:t>许可浓度（</w:t>
            </w:r>
            <w:r>
              <w:rPr>
                <w:rFonts w:hint="eastAsia"/>
              </w:rPr>
              <w:t>Nmg/m</w:t>
            </w:r>
            <w:r>
              <w:rPr>
                <w:rFonts w:hint="eastAsia"/>
              </w:rPr>
              <w:t>³）</w:t>
            </w:r>
          </w:p>
        </w:tc>
        <w:tc>
          <w:tcPr>
            <w:tcW w:w="1688" w:type="dxa"/>
            <w:vAlign w:val="center"/>
          </w:tcPr>
          <w:p w:rsidR="00644456" w:rsidRDefault="008031C4">
            <w:pPr>
              <w:jc w:val="center"/>
            </w:pPr>
            <w:r>
              <w:rPr>
                <w:rFonts w:hint="eastAsia"/>
              </w:rPr>
              <w:t>建议许可量（</w:t>
            </w:r>
            <w:r>
              <w:rPr>
                <w:rFonts w:hint="eastAsia"/>
              </w:rPr>
              <w:t>t/a</w:t>
            </w:r>
            <w:r>
              <w:rPr>
                <w:rFonts w:hint="eastAsia"/>
              </w:rPr>
              <w:t>）</w:t>
            </w:r>
          </w:p>
        </w:tc>
        <w:tc>
          <w:tcPr>
            <w:tcW w:w="1803" w:type="dxa"/>
            <w:vAlign w:val="center"/>
          </w:tcPr>
          <w:p w:rsidR="00644456" w:rsidRDefault="008031C4">
            <w:pPr>
              <w:jc w:val="center"/>
            </w:pPr>
            <w:r>
              <w:rPr>
                <w:rFonts w:hint="eastAsia"/>
              </w:rPr>
              <w:t>备注</w:t>
            </w:r>
          </w:p>
        </w:tc>
      </w:tr>
      <w:tr w:rsidR="00AC71A6">
        <w:tc>
          <w:tcPr>
            <w:tcW w:w="1803" w:type="dxa"/>
            <w:vMerge w:val="restart"/>
            <w:vAlign w:val="center"/>
          </w:tcPr>
          <w:p w:rsidR="00AC71A6" w:rsidRDefault="00AC71A6" w:rsidP="00AC71A6">
            <w:pPr>
              <w:jc w:val="center"/>
            </w:pPr>
            <w:r>
              <w:rPr>
                <w:rFonts w:hint="eastAsia"/>
              </w:rPr>
              <w:t>有组织</w:t>
            </w:r>
          </w:p>
        </w:tc>
        <w:tc>
          <w:tcPr>
            <w:tcW w:w="2308" w:type="dxa"/>
            <w:vAlign w:val="center"/>
          </w:tcPr>
          <w:p w:rsidR="00AC71A6" w:rsidRDefault="00AC71A6" w:rsidP="00AC71A6">
            <w:pPr>
              <w:adjustRightInd w:val="0"/>
              <w:snapToGrid w:val="0"/>
              <w:jc w:val="center"/>
              <w:rPr>
                <w:color w:val="000000" w:themeColor="text1"/>
                <w:szCs w:val="21"/>
              </w:rPr>
            </w:pPr>
            <w:r>
              <w:rPr>
                <w:rFonts w:hint="eastAsia"/>
                <w:color w:val="000000" w:themeColor="text1"/>
                <w:szCs w:val="21"/>
              </w:rPr>
              <w:t>V</w:t>
            </w:r>
            <w:r>
              <w:rPr>
                <w:color w:val="000000" w:themeColor="text1"/>
                <w:szCs w:val="21"/>
              </w:rPr>
              <w:t>OCs</w:t>
            </w:r>
            <w:r>
              <w:rPr>
                <w:rFonts w:hint="eastAsia"/>
                <w:color w:val="000000" w:themeColor="text1"/>
                <w:szCs w:val="21"/>
              </w:rPr>
              <w:t>（非甲烷总烃）</w:t>
            </w:r>
          </w:p>
        </w:tc>
        <w:tc>
          <w:tcPr>
            <w:tcW w:w="1413" w:type="dxa"/>
            <w:vAlign w:val="center"/>
          </w:tcPr>
          <w:p w:rsidR="00AC71A6" w:rsidRDefault="00AC71A6" w:rsidP="00AC71A6">
            <w:pPr>
              <w:jc w:val="center"/>
            </w:pPr>
            <w:r>
              <w:rPr>
                <w:rFonts w:hint="eastAsia"/>
              </w:rPr>
              <w:t>/</w:t>
            </w:r>
          </w:p>
        </w:tc>
        <w:tc>
          <w:tcPr>
            <w:tcW w:w="1688" w:type="dxa"/>
            <w:vAlign w:val="center"/>
          </w:tcPr>
          <w:p w:rsidR="00AC71A6" w:rsidRDefault="00AC71A6" w:rsidP="00AC71A6">
            <w:pPr>
              <w:adjustRightInd w:val="0"/>
              <w:snapToGrid w:val="0"/>
              <w:jc w:val="center"/>
              <w:rPr>
                <w:color w:val="000000" w:themeColor="text1"/>
                <w:szCs w:val="21"/>
              </w:rPr>
            </w:pPr>
            <w:r>
              <w:rPr>
                <w:rFonts w:cs="Times New Roman"/>
                <w:szCs w:val="21"/>
                <w:lang w:bidi="ar"/>
              </w:rPr>
              <w:t>2.475</w:t>
            </w:r>
          </w:p>
        </w:tc>
        <w:tc>
          <w:tcPr>
            <w:tcW w:w="1803" w:type="dxa"/>
            <w:vMerge w:val="restart"/>
            <w:vAlign w:val="center"/>
          </w:tcPr>
          <w:p w:rsidR="00AC71A6" w:rsidRDefault="00AC71A6" w:rsidP="00AC71A6">
            <w:pPr>
              <w:jc w:val="center"/>
            </w:pPr>
            <w:r>
              <w:rPr>
                <w:rFonts w:hint="eastAsia"/>
              </w:rPr>
              <w:t>全阶段</w:t>
            </w:r>
          </w:p>
        </w:tc>
      </w:tr>
      <w:tr w:rsidR="00AC71A6">
        <w:tc>
          <w:tcPr>
            <w:tcW w:w="1803" w:type="dxa"/>
            <w:vMerge/>
            <w:vAlign w:val="center"/>
          </w:tcPr>
          <w:p w:rsidR="00AC71A6" w:rsidRDefault="00AC71A6" w:rsidP="00AC71A6">
            <w:pPr>
              <w:jc w:val="center"/>
            </w:pPr>
          </w:p>
        </w:tc>
        <w:tc>
          <w:tcPr>
            <w:tcW w:w="2308" w:type="dxa"/>
            <w:vAlign w:val="center"/>
          </w:tcPr>
          <w:p w:rsidR="00AC71A6" w:rsidRDefault="00AC71A6" w:rsidP="00AC71A6">
            <w:pPr>
              <w:adjustRightInd w:val="0"/>
              <w:snapToGrid w:val="0"/>
              <w:jc w:val="center"/>
              <w:rPr>
                <w:color w:val="000000" w:themeColor="text1"/>
                <w:szCs w:val="21"/>
              </w:rPr>
            </w:pPr>
            <w:r>
              <w:rPr>
                <w:rFonts w:cs="Times New Roman"/>
                <w:szCs w:val="21"/>
                <w:lang w:bidi="ar"/>
              </w:rPr>
              <w:t>硫化氢</w:t>
            </w:r>
          </w:p>
        </w:tc>
        <w:tc>
          <w:tcPr>
            <w:tcW w:w="1413" w:type="dxa"/>
            <w:vAlign w:val="center"/>
          </w:tcPr>
          <w:p w:rsidR="00AC71A6" w:rsidRDefault="00AC71A6" w:rsidP="00AC71A6">
            <w:pPr>
              <w:jc w:val="center"/>
            </w:pPr>
            <w:r>
              <w:rPr>
                <w:rFonts w:hint="eastAsia"/>
              </w:rPr>
              <w:t>/</w:t>
            </w:r>
          </w:p>
        </w:tc>
        <w:tc>
          <w:tcPr>
            <w:tcW w:w="1688" w:type="dxa"/>
            <w:vAlign w:val="center"/>
          </w:tcPr>
          <w:p w:rsidR="00AC71A6" w:rsidRDefault="00AC71A6" w:rsidP="00AC71A6">
            <w:pPr>
              <w:adjustRightInd w:val="0"/>
              <w:snapToGrid w:val="0"/>
              <w:jc w:val="center"/>
              <w:rPr>
                <w:color w:val="000000" w:themeColor="text1"/>
                <w:szCs w:val="21"/>
              </w:rPr>
            </w:pPr>
            <w:r>
              <w:rPr>
                <w:rFonts w:cs="Times New Roman"/>
                <w:szCs w:val="21"/>
                <w:lang w:bidi="ar"/>
              </w:rPr>
              <w:t>0.004</w:t>
            </w:r>
          </w:p>
        </w:tc>
        <w:tc>
          <w:tcPr>
            <w:tcW w:w="1803" w:type="dxa"/>
            <w:vMerge/>
            <w:vAlign w:val="center"/>
          </w:tcPr>
          <w:p w:rsidR="00AC71A6" w:rsidRDefault="00AC71A6" w:rsidP="00AC71A6">
            <w:pPr>
              <w:jc w:val="center"/>
            </w:pPr>
          </w:p>
        </w:tc>
      </w:tr>
      <w:tr w:rsidR="00AC71A6">
        <w:tc>
          <w:tcPr>
            <w:tcW w:w="1803" w:type="dxa"/>
            <w:vMerge/>
            <w:vAlign w:val="center"/>
          </w:tcPr>
          <w:p w:rsidR="00AC71A6" w:rsidRDefault="00AC71A6" w:rsidP="00AC71A6">
            <w:pPr>
              <w:jc w:val="center"/>
            </w:pPr>
          </w:p>
        </w:tc>
        <w:tc>
          <w:tcPr>
            <w:tcW w:w="2308" w:type="dxa"/>
            <w:vAlign w:val="center"/>
          </w:tcPr>
          <w:p w:rsidR="00AC71A6" w:rsidRDefault="00AC71A6" w:rsidP="00AC71A6">
            <w:pPr>
              <w:adjustRightInd w:val="0"/>
              <w:snapToGrid w:val="0"/>
              <w:jc w:val="center"/>
              <w:rPr>
                <w:color w:val="000000" w:themeColor="text1"/>
                <w:szCs w:val="21"/>
                <w:lang w:val="de-DE"/>
              </w:rPr>
            </w:pPr>
            <w:r>
              <w:rPr>
                <w:rFonts w:cs="Times New Roman"/>
                <w:kern w:val="0"/>
                <w:szCs w:val="21"/>
                <w:lang w:bidi="ar"/>
              </w:rPr>
              <w:t>颗粒物</w:t>
            </w:r>
          </w:p>
        </w:tc>
        <w:tc>
          <w:tcPr>
            <w:tcW w:w="1413" w:type="dxa"/>
            <w:vAlign w:val="center"/>
          </w:tcPr>
          <w:p w:rsidR="00AC71A6" w:rsidRDefault="00AC71A6" w:rsidP="00AC71A6">
            <w:pPr>
              <w:jc w:val="center"/>
            </w:pPr>
            <w:r>
              <w:rPr>
                <w:rFonts w:hint="eastAsia"/>
              </w:rPr>
              <w:t>/</w:t>
            </w:r>
          </w:p>
        </w:tc>
        <w:tc>
          <w:tcPr>
            <w:tcW w:w="1688" w:type="dxa"/>
            <w:vAlign w:val="center"/>
          </w:tcPr>
          <w:p w:rsidR="00AC71A6" w:rsidRDefault="00AC71A6" w:rsidP="00AC71A6">
            <w:pPr>
              <w:adjustRightInd w:val="0"/>
              <w:snapToGrid w:val="0"/>
              <w:jc w:val="center"/>
              <w:rPr>
                <w:color w:val="000000" w:themeColor="text1"/>
                <w:szCs w:val="21"/>
              </w:rPr>
            </w:pPr>
            <w:r>
              <w:rPr>
                <w:rFonts w:cs="Times New Roman" w:hint="eastAsia"/>
                <w:bCs/>
                <w:szCs w:val="21"/>
              </w:rPr>
              <w:t>0</w:t>
            </w:r>
            <w:r>
              <w:rPr>
                <w:rFonts w:cs="Times New Roman"/>
                <w:bCs/>
                <w:szCs w:val="21"/>
              </w:rPr>
              <w:t>.001</w:t>
            </w:r>
          </w:p>
        </w:tc>
        <w:tc>
          <w:tcPr>
            <w:tcW w:w="1803" w:type="dxa"/>
            <w:vMerge/>
            <w:vAlign w:val="center"/>
          </w:tcPr>
          <w:p w:rsidR="00AC71A6" w:rsidRDefault="00AC71A6" w:rsidP="00AC71A6">
            <w:pPr>
              <w:jc w:val="center"/>
            </w:pPr>
          </w:p>
        </w:tc>
      </w:tr>
      <w:tr w:rsidR="00AC71A6">
        <w:tc>
          <w:tcPr>
            <w:tcW w:w="1803" w:type="dxa"/>
            <w:vMerge/>
            <w:vAlign w:val="center"/>
          </w:tcPr>
          <w:p w:rsidR="00AC71A6" w:rsidRDefault="00AC71A6" w:rsidP="00AC71A6">
            <w:pPr>
              <w:jc w:val="center"/>
            </w:pPr>
          </w:p>
        </w:tc>
        <w:tc>
          <w:tcPr>
            <w:tcW w:w="2308" w:type="dxa"/>
            <w:vAlign w:val="center"/>
          </w:tcPr>
          <w:p w:rsidR="00AC71A6" w:rsidRDefault="00AC71A6" w:rsidP="00AC71A6">
            <w:pPr>
              <w:adjustRightInd w:val="0"/>
              <w:snapToGrid w:val="0"/>
              <w:jc w:val="center"/>
              <w:rPr>
                <w:rFonts w:ascii="宋体" w:hAnsi="宋体"/>
                <w:color w:val="000000" w:themeColor="text1"/>
                <w:szCs w:val="21"/>
              </w:rPr>
            </w:pPr>
            <w:r>
              <w:rPr>
                <w:rFonts w:cs="Times New Roman"/>
                <w:kern w:val="0"/>
                <w:szCs w:val="21"/>
                <w:lang w:bidi="ar"/>
              </w:rPr>
              <w:t>SO</w:t>
            </w:r>
            <w:r>
              <w:rPr>
                <w:rFonts w:cs="Times New Roman"/>
                <w:kern w:val="0"/>
                <w:szCs w:val="21"/>
                <w:vertAlign w:val="subscript"/>
                <w:lang w:bidi="ar"/>
              </w:rPr>
              <w:t>2</w:t>
            </w:r>
          </w:p>
        </w:tc>
        <w:tc>
          <w:tcPr>
            <w:tcW w:w="1413" w:type="dxa"/>
            <w:vAlign w:val="center"/>
          </w:tcPr>
          <w:p w:rsidR="00AC71A6" w:rsidRDefault="00AC71A6" w:rsidP="00AC71A6">
            <w:pPr>
              <w:jc w:val="center"/>
            </w:pPr>
          </w:p>
        </w:tc>
        <w:tc>
          <w:tcPr>
            <w:tcW w:w="1688" w:type="dxa"/>
            <w:vAlign w:val="center"/>
          </w:tcPr>
          <w:p w:rsidR="00AC71A6" w:rsidRDefault="00AC71A6" w:rsidP="00AC71A6">
            <w:pPr>
              <w:adjustRightInd w:val="0"/>
              <w:snapToGrid w:val="0"/>
              <w:jc w:val="center"/>
              <w:rPr>
                <w:color w:val="000000" w:themeColor="text1"/>
                <w:szCs w:val="21"/>
              </w:rPr>
            </w:pPr>
            <w:r>
              <w:rPr>
                <w:rFonts w:cs="Times New Roman" w:hint="eastAsia"/>
                <w:bCs/>
                <w:szCs w:val="21"/>
              </w:rPr>
              <w:t>0</w:t>
            </w:r>
            <w:r>
              <w:rPr>
                <w:rFonts w:cs="Times New Roman"/>
                <w:bCs/>
                <w:szCs w:val="21"/>
              </w:rPr>
              <w:t>.021</w:t>
            </w:r>
          </w:p>
        </w:tc>
        <w:tc>
          <w:tcPr>
            <w:tcW w:w="1803" w:type="dxa"/>
            <w:vMerge/>
            <w:vAlign w:val="center"/>
          </w:tcPr>
          <w:p w:rsidR="00AC71A6" w:rsidRDefault="00AC71A6" w:rsidP="00AC71A6">
            <w:pPr>
              <w:jc w:val="center"/>
            </w:pPr>
          </w:p>
        </w:tc>
      </w:tr>
      <w:tr w:rsidR="00AC71A6">
        <w:tc>
          <w:tcPr>
            <w:tcW w:w="1803" w:type="dxa"/>
            <w:vMerge/>
            <w:vAlign w:val="center"/>
          </w:tcPr>
          <w:p w:rsidR="00AC71A6" w:rsidRDefault="00AC71A6" w:rsidP="00AC71A6">
            <w:pPr>
              <w:jc w:val="center"/>
            </w:pPr>
          </w:p>
        </w:tc>
        <w:tc>
          <w:tcPr>
            <w:tcW w:w="2308" w:type="dxa"/>
            <w:vAlign w:val="center"/>
          </w:tcPr>
          <w:p w:rsidR="00AC71A6" w:rsidRDefault="00AC71A6" w:rsidP="00AC71A6">
            <w:pPr>
              <w:adjustRightInd w:val="0"/>
              <w:snapToGrid w:val="0"/>
              <w:jc w:val="center"/>
              <w:rPr>
                <w:rFonts w:ascii="宋体" w:hAnsi="宋体"/>
                <w:color w:val="000000" w:themeColor="text1"/>
                <w:szCs w:val="21"/>
              </w:rPr>
            </w:pPr>
            <w:r>
              <w:rPr>
                <w:rFonts w:cs="Times New Roman" w:hint="eastAsia"/>
                <w:szCs w:val="21"/>
                <w:lang w:bidi="ar"/>
              </w:rPr>
              <w:t>NOx</w:t>
            </w:r>
          </w:p>
        </w:tc>
        <w:tc>
          <w:tcPr>
            <w:tcW w:w="1413" w:type="dxa"/>
            <w:vAlign w:val="center"/>
          </w:tcPr>
          <w:p w:rsidR="00AC71A6" w:rsidRDefault="00AC71A6" w:rsidP="00AC71A6">
            <w:pPr>
              <w:jc w:val="center"/>
            </w:pPr>
          </w:p>
        </w:tc>
        <w:tc>
          <w:tcPr>
            <w:tcW w:w="1688" w:type="dxa"/>
            <w:vAlign w:val="center"/>
          </w:tcPr>
          <w:p w:rsidR="00AC71A6" w:rsidRDefault="00AC71A6" w:rsidP="00AC71A6">
            <w:pPr>
              <w:adjustRightInd w:val="0"/>
              <w:snapToGrid w:val="0"/>
              <w:jc w:val="center"/>
              <w:rPr>
                <w:color w:val="000000" w:themeColor="text1"/>
                <w:szCs w:val="21"/>
              </w:rPr>
            </w:pPr>
            <w:r>
              <w:rPr>
                <w:rFonts w:cs="Times New Roman" w:hint="eastAsia"/>
                <w:bCs/>
                <w:szCs w:val="21"/>
              </w:rPr>
              <w:t>0</w:t>
            </w:r>
            <w:r>
              <w:rPr>
                <w:rFonts w:cs="Times New Roman"/>
                <w:bCs/>
                <w:szCs w:val="21"/>
              </w:rPr>
              <w:t>.809</w:t>
            </w:r>
          </w:p>
        </w:tc>
        <w:tc>
          <w:tcPr>
            <w:tcW w:w="1803" w:type="dxa"/>
            <w:vMerge/>
            <w:vAlign w:val="center"/>
          </w:tcPr>
          <w:p w:rsidR="00AC71A6" w:rsidRDefault="00AC71A6" w:rsidP="00AC71A6">
            <w:pPr>
              <w:jc w:val="center"/>
            </w:pPr>
          </w:p>
        </w:tc>
      </w:tr>
      <w:tr w:rsidR="00AC71A6">
        <w:tc>
          <w:tcPr>
            <w:tcW w:w="1803" w:type="dxa"/>
            <w:vMerge w:val="restart"/>
            <w:vAlign w:val="center"/>
          </w:tcPr>
          <w:p w:rsidR="00AC71A6" w:rsidRDefault="00AC71A6" w:rsidP="00AC71A6">
            <w:pPr>
              <w:jc w:val="center"/>
            </w:pPr>
            <w:r>
              <w:rPr>
                <w:rFonts w:hint="eastAsia"/>
              </w:rPr>
              <w:t>无组织</w:t>
            </w:r>
          </w:p>
        </w:tc>
        <w:tc>
          <w:tcPr>
            <w:tcW w:w="2308" w:type="dxa"/>
            <w:vAlign w:val="center"/>
          </w:tcPr>
          <w:p w:rsidR="00AC71A6" w:rsidRDefault="00AC71A6" w:rsidP="00AC71A6">
            <w:pPr>
              <w:adjustRightInd w:val="0"/>
              <w:snapToGrid w:val="0"/>
              <w:jc w:val="center"/>
              <w:rPr>
                <w:color w:val="000000" w:themeColor="text1"/>
                <w:szCs w:val="21"/>
              </w:rPr>
            </w:pPr>
            <w:r>
              <w:rPr>
                <w:rFonts w:hint="eastAsia"/>
                <w:color w:val="000000" w:themeColor="text1"/>
                <w:szCs w:val="21"/>
              </w:rPr>
              <w:t>V</w:t>
            </w:r>
            <w:r>
              <w:rPr>
                <w:color w:val="000000" w:themeColor="text1"/>
                <w:szCs w:val="21"/>
              </w:rPr>
              <w:t>OCs</w:t>
            </w:r>
            <w:r>
              <w:rPr>
                <w:rFonts w:hint="eastAsia"/>
                <w:color w:val="000000" w:themeColor="text1"/>
                <w:szCs w:val="21"/>
              </w:rPr>
              <w:t>（非甲烷总烃）</w:t>
            </w:r>
          </w:p>
        </w:tc>
        <w:tc>
          <w:tcPr>
            <w:tcW w:w="1413" w:type="dxa"/>
            <w:vAlign w:val="center"/>
          </w:tcPr>
          <w:p w:rsidR="00AC71A6" w:rsidRDefault="00AC71A6" w:rsidP="00AC71A6">
            <w:pPr>
              <w:jc w:val="center"/>
            </w:pPr>
            <w:r>
              <w:rPr>
                <w:rFonts w:hint="eastAsia"/>
              </w:rPr>
              <w:t>/</w:t>
            </w:r>
          </w:p>
        </w:tc>
        <w:tc>
          <w:tcPr>
            <w:tcW w:w="1688" w:type="dxa"/>
            <w:vAlign w:val="center"/>
          </w:tcPr>
          <w:p w:rsidR="00AC71A6" w:rsidRDefault="00AC71A6" w:rsidP="00AC71A6">
            <w:pPr>
              <w:spacing w:line="240" w:lineRule="exact"/>
              <w:ind w:leftChars="-50" w:left="-105" w:rightChars="-50" w:right="-105"/>
              <w:jc w:val="center"/>
              <w:rPr>
                <w:color w:val="000000" w:themeColor="text1"/>
                <w:szCs w:val="21"/>
              </w:rPr>
            </w:pPr>
            <w:r>
              <w:rPr>
                <w:color w:val="000000" w:themeColor="text1"/>
                <w:szCs w:val="21"/>
              </w:rPr>
              <w:t>3.8538</w:t>
            </w:r>
          </w:p>
        </w:tc>
        <w:tc>
          <w:tcPr>
            <w:tcW w:w="1803" w:type="dxa"/>
            <w:vMerge/>
            <w:vAlign w:val="center"/>
          </w:tcPr>
          <w:p w:rsidR="00AC71A6" w:rsidRDefault="00AC71A6" w:rsidP="00AC71A6">
            <w:pPr>
              <w:jc w:val="center"/>
            </w:pPr>
          </w:p>
        </w:tc>
      </w:tr>
      <w:tr w:rsidR="00AC71A6">
        <w:tc>
          <w:tcPr>
            <w:tcW w:w="1803" w:type="dxa"/>
            <w:vMerge/>
            <w:vAlign w:val="center"/>
          </w:tcPr>
          <w:p w:rsidR="00AC71A6" w:rsidRDefault="00AC71A6" w:rsidP="00AC71A6">
            <w:pPr>
              <w:jc w:val="center"/>
            </w:pPr>
          </w:p>
        </w:tc>
        <w:tc>
          <w:tcPr>
            <w:tcW w:w="2308" w:type="dxa"/>
            <w:vAlign w:val="center"/>
          </w:tcPr>
          <w:p w:rsidR="00AC71A6" w:rsidRDefault="00AC71A6" w:rsidP="00AC71A6">
            <w:pPr>
              <w:adjustRightInd w:val="0"/>
              <w:snapToGrid w:val="0"/>
              <w:jc w:val="center"/>
              <w:rPr>
                <w:color w:val="000000" w:themeColor="text1"/>
                <w:szCs w:val="21"/>
                <w:lang w:val="de-DE"/>
              </w:rPr>
            </w:pPr>
            <w:r>
              <w:rPr>
                <w:rFonts w:cs="Times New Roman" w:hint="eastAsia"/>
                <w:szCs w:val="21"/>
                <w:lang w:eastAsia="en-US" w:bidi="ar"/>
              </w:rPr>
              <w:t>氨</w:t>
            </w:r>
          </w:p>
        </w:tc>
        <w:tc>
          <w:tcPr>
            <w:tcW w:w="1413" w:type="dxa"/>
            <w:vAlign w:val="center"/>
          </w:tcPr>
          <w:p w:rsidR="00AC71A6" w:rsidRDefault="00AC71A6" w:rsidP="00AC71A6">
            <w:pPr>
              <w:jc w:val="center"/>
            </w:pPr>
          </w:p>
        </w:tc>
        <w:tc>
          <w:tcPr>
            <w:tcW w:w="1688" w:type="dxa"/>
            <w:vAlign w:val="center"/>
          </w:tcPr>
          <w:p w:rsidR="00AC71A6" w:rsidRDefault="00AC71A6" w:rsidP="00AC71A6">
            <w:pPr>
              <w:adjustRightInd w:val="0"/>
              <w:snapToGrid w:val="0"/>
              <w:jc w:val="center"/>
              <w:rPr>
                <w:color w:val="000000" w:themeColor="text1"/>
                <w:szCs w:val="21"/>
              </w:rPr>
            </w:pPr>
            <w:r>
              <w:rPr>
                <w:rFonts w:cs="Times New Roman"/>
                <w:szCs w:val="21"/>
                <w:lang w:bidi="ar"/>
              </w:rPr>
              <w:t>0.027</w:t>
            </w:r>
          </w:p>
        </w:tc>
        <w:tc>
          <w:tcPr>
            <w:tcW w:w="1803" w:type="dxa"/>
            <w:vMerge/>
            <w:vAlign w:val="center"/>
          </w:tcPr>
          <w:p w:rsidR="00AC71A6" w:rsidRDefault="00AC71A6" w:rsidP="00AC71A6">
            <w:pPr>
              <w:jc w:val="center"/>
            </w:pPr>
          </w:p>
        </w:tc>
      </w:tr>
      <w:tr w:rsidR="00AC71A6">
        <w:tc>
          <w:tcPr>
            <w:tcW w:w="1803" w:type="dxa"/>
            <w:vMerge/>
            <w:vAlign w:val="center"/>
          </w:tcPr>
          <w:p w:rsidR="00AC71A6" w:rsidRDefault="00AC71A6" w:rsidP="00AC71A6">
            <w:pPr>
              <w:jc w:val="center"/>
            </w:pPr>
          </w:p>
        </w:tc>
        <w:tc>
          <w:tcPr>
            <w:tcW w:w="2308" w:type="dxa"/>
            <w:vAlign w:val="center"/>
          </w:tcPr>
          <w:p w:rsidR="00AC71A6" w:rsidRDefault="00AC71A6" w:rsidP="00AC71A6">
            <w:pPr>
              <w:adjustRightInd w:val="0"/>
              <w:snapToGrid w:val="0"/>
              <w:jc w:val="center"/>
              <w:rPr>
                <w:color w:val="000000" w:themeColor="text1"/>
                <w:szCs w:val="21"/>
                <w:lang w:val="de-DE"/>
              </w:rPr>
            </w:pPr>
            <w:r>
              <w:rPr>
                <w:rFonts w:cs="Times New Roman" w:hint="eastAsia"/>
                <w:szCs w:val="21"/>
                <w:lang w:eastAsia="en-US" w:bidi="ar"/>
              </w:rPr>
              <w:t>硫化氢</w:t>
            </w:r>
          </w:p>
        </w:tc>
        <w:tc>
          <w:tcPr>
            <w:tcW w:w="1413" w:type="dxa"/>
            <w:vAlign w:val="center"/>
          </w:tcPr>
          <w:p w:rsidR="00AC71A6" w:rsidRDefault="00AC71A6" w:rsidP="00AC71A6">
            <w:pPr>
              <w:jc w:val="center"/>
            </w:pPr>
          </w:p>
        </w:tc>
        <w:tc>
          <w:tcPr>
            <w:tcW w:w="1688" w:type="dxa"/>
            <w:vAlign w:val="center"/>
          </w:tcPr>
          <w:p w:rsidR="00AC71A6" w:rsidRDefault="00AC71A6" w:rsidP="00AC71A6">
            <w:pPr>
              <w:adjustRightInd w:val="0"/>
              <w:snapToGrid w:val="0"/>
              <w:jc w:val="center"/>
              <w:rPr>
                <w:color w:val="000000" w:themeColor="text1"/>
                <w:szCs w:val="21"/>
              </w:rPr>
            </w:pPr>
            <w:r>
              <w:rPr>
                <w:rFonts w:cs="Times New Roman"/>
                <w:szCs w:val="21"/>
                <w:lang w:bidi="ar"/>
              </w:rPr>
              <w:t>0.0001</w:t>
            </w:r>
          </w:p>
        </w:tc>
        <w:tc>
          <w:tcPr>
            <w:tcW w:w="1803" w:type="dxa"/>
            <w:vMerge/>
            <w:vAlign w:val="center"/>
          </w:tcPr>
          <w:p w:rsidR="00AC71A6" w:rsidRDefault="00AC71A6" w:rsidP="00AC71A6">
            <w:pPr>
              <w:jc w:val="center"/>
            </w:pPr>
          </w:p>
        </w:tc>
      </w:tr>
    </w:tbl>
    <w:p w:rsidR="00644456" w:rsidRDefault="008031C4">
      <w:pPr>
        <w:pStyle w:val="afffff2"/>
        <w:spacing w:after="0"/>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2</w:t>
      </w:r>
      <w:r>
        <w:rPr>
          <w:rFonts w:cs="Times New Roman" w:hint="eastAsia"/>
          <w:color w:val="000000" w:themeColor="text1"/>
        </w:rPr>
        <w:t>）总量控制</w:t>
      </w:r>
    </w:p>
    <w:p w:rsidR="00644456" w:rsidRDefault="008031C4">
      <w:pPr>
        <w:pStyle w:val="afffff2"/>
        <w:spacing w:after="0"/>
        <w:ind w:firstLine="480"/>
        <w:rPr>
          <w:rFonts w:cs="Times New Roman"/>
          <w:color w:val="000000" w:themeColor="text1"/>
        </w:rPr>
      </w:pPr>
      <w:r>
        <w:rPr>
          <w:rFonts w:cs="Times New Roman" w:hint="eastAsia"/>
          <w:color w:val="000000" w:themeColor="text1"/>
        </w:rPr>
        <w:t>本项目总量控制污染物排放量为：</w:t>
      </w:r>
      <w:r>
        <w:rPr>
          <w:rFonts w:cs="Times New Roman" w:hint="eastAsia"/>
          <w:color w:val="000000" w:themeColor="text1"/>
        </w:rPr>
        <w:t>VOCs</w:t>
      </w:r>
      <w:r>
        <w:rPr>
          <w:rFonts w:cs="Times New Roman" w:hint="eastAsia"/>
          <w:color w:val="000000" w:themeColor="text1"/>
        </w:rPr>
        <w:t>（非甲烷总烃）、氮氧化物</w:t>
      </w:r>
      <w:r w:rsidR="00AC71A6">
        <w:rPr>
          <w:rFonts w:cs="Times New Roman" w:hint="eastAsia"/>
          <w:color w:val="000000" w:themeColor="text1"/>
        </w:rPr>
        <w:t>、二氧化硫</w:t>
      </w:r>
      <w:r>
        <w:rPr>
          <w:rFonts w:cs="Times New Roman" w:hint="eastAsia"/>
          <w:color w:val="000000" w:themeColor="text1"/>
        </w:rPr>
        <w:t>。</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559" w:name="_Toc177216921"/>
      <w:r>
        <w:rPr>
          <w:rFonts w:cs="Times New Roman" w:hint="eastAsia"/>
          <w:color w:val="000000" w:themeColor="text1"/>
        </w:rPr>
        <w:t>9.5</w:t>
      </w:r>
      <w:r>
        <w:rPr>
          <w:rFonts w:cs="Times New Roman" w:hint="eastAsia"/>
          <w:color w:val="000000" w:themeColor="text1"/>
        </w:rPr>
        <w:t>项目建成后“三同时”竣工验收清单</w:t>
      </w:r>
      <w:bookmarkEnd w:id="559"/>
    </w:p>
    <w:p w:rsidR="00644456" w:rsidRDefault="008031C4">
      <w:pPr>
        <w:pStyle w:val="afffff2"/>
        <w:spacing w:after="0"/>
        <w:ind w:firstLine="480"/>
        <w:rPr>
          <w:rFonts w:cs="Times New Roman"/>
          <w:color w:val="000000" w:themeColor="text1"/>
        </w:rPr>
        <w:sectPr w:rsidR="00644456">
          <w:headerReference w:type="default" r:id="rId104"/>
          <w:pgSz w:w="11905" w:h="16838"/>
          <w:pgMar w:top="1440" w:right="1440" w:bottom="1440" w:left="1440" w:header="850" w:footer="992" w:gutter="0"/>
          <w:cols w:space="0"/>
        </w:sectPr>
      </w:pPr>
      <w:r>
        <w:rPr>
          <w:rFonts w:cs="Times New Roman" w:hint="eastAsia"/>
          <w:color w:val="000000" w:themeColor="text1"/>
        </w:rPr>
        <w:t>根据《建设项目竣工环境保护验收暂行办法》（国环规环评</w:t>
      </w:r>
      <w:r>
        <w:rPr>
          <w:rFonts w:cs="Times New Roman" w:hint="eastAsia"/>
          <w:color w:val="000000" w:themeColor="text1"/>
        </w:rPr>
        <w:t>[2017]4</w:t>
      </w:r>
      <w:r>
        <w:rPr>
          <w:rFonts w:cs="Times New Roman" w:hint="eastAsia"/>
          <w:color w:val="000000" w:themeColor="text1"/>
        </w:rPr>
        <w:t>号）的要求，项目建成后，应全面检查工厂周围环境改变及环保设施“三同时”情况。项目试运行一段时间，达到生产正常、稳定后（一般不超过三个月），由建设单位成立验收组自行进行验收。本项目环境保护三同时验收内容见下表。</w:t>
      </w:r>
    </w:p>
    <w:p w:rsidR="00644456" w:rsidRDefault="008031C4">
      <w:pPr>
        <w:widowControl/>
        <w:jc w:val="center"/>
        <w:rPr>
          <w:rFonts w:cs="Times New Roman"/>
          <w:b/>
          <w:color w:val="000000" w:themeColor="text1"/>
          <w:sz w:val="24"/>
          <w:szCs w:val="20"/>
        </w:rPr>
      </w:pPr>
      <w:r>
        <w:rPr>
          <w:rFonts w:cs="Times New Roman" w:hint="eastAsia"/>
          <w:b/>
          <w:color w:val="000000" w:themeColor="text1"/>
          <w:sz w:val="24"/>
          <w:szCs w:val="20"/>
        </w:rPr>
        <w:lastRenderedPageBreak/>
        <w:t>表</w:t>
      </w:r>
      <w:r>
        <w:rPr>
          <w:rFonts w:cs="Times New Roman" w:hint="eastAsia"/>
          <w:b/>
          <w:color w:val="000000" w:themeColor="text1"/>
          <w:sz w:val="24"/>
          <w:szCs w:val="20"/>
        </w:rPr>
        <w:t>9.5-1</w:t>
      </w:r>
      <w:r>
        <w:rPr>
          <w:rFonts w:cs="Times New Roman" w:hint="eastAsia"/>
          <w:b/>
          <w:color w:val="000000" w:themeColor="text1"/>
          <w:sz w:val="24"/>
          <w:szCs w:val="20"/>
        </w:rPr>
        <w:t>环境保护三同时验收一览表</w:t>
      </w:r>
    </w:p>
    <w:tbl>
      <w:tblPr>
        <w:tblW w:w="14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11"/>
        <w:gridCol w:w="2309"/>
        <w:gridCol w:w="3495"/>
        <w:gridCol w:w="1078"/>
        <w:gridCol w:w="2563"/>
        <w:gridCol w:w="3884"/>
      </w:tblGrid>
      <w:tr w:rsidR="00644456">
        <w:trPr>
          <w:jc w:val="center"/>
        </w:trPr>
        <w:tc>
          <w:tcPr>
            <w:tcW w:w="711" w:type="dxa"/>
            <w:vAlign w:val="center"/>
          </w:tcPr>
          <w:p w:rsidR="00644456" w:rsidRDefault="008031C4">
            <w:pPr>
              <w:adjustRightInd w:val="0"/>
              <w:snapToGrid w:val="0"/>
              <w:jc w:val="center"/>
              <w:rPr>
                <w:b/>
                <w:bCs/>
                <w:color w:val="000000" w:themeColor="text1"/>
                <w:szCs w:val="21"/>
              </w:rPr>
            </w:pPr>
            <w:bookmarkStart w:id="560" w:name="_Toc155789413"/>
            <w:r>
              <w:rPr>
                <w:b/>
                <w:bCs/>
                <w:color w:val="000000" w:themeColor="text1"/>
                <w:szCs w:val="21"/>
              </w:rPr>
              <w:t>类型</w:t>
            </w:r>
          </w:p>
        </w:tc>
        <w:tc>
          <w:tcPr>
            <w:tcW w:w="2309" w:type="dxa"/>
            <w:vAlign w:val="center"/>
          </w:tcPr>
          <w:p w:rsidR="00644456" w:rsidRDefault="008031C4">
            <w:pPr>
              <w:adjustRightInd w:val="0"/>
              <w:snapToGrid w:val="0"/>
              <w:jc w:val="center"/>
              <w:rPr>
                <w:b/>
                <w:bCs/>
                <w:color w:val="000000" w:themeColor="text1"/>
                <w:szCs w:val="21"/>
              </w:rPr>
            </w:pPr>
            <w:r>
              <w:rPr>
                <w:b/>
                <w:bCs/>
                <w:color w:val="000000" w:themeColor="text1"/>
                <w:szCs w:val="21"/>
              </w:rPr>
              <w:t>排放源</w:t>
            </w:r>
          </w:p>
        </w:tc>
        <w:tc>
          <w:tcPr>
            <w:tcW w:w="3495" w:type="dxa"/>
            <w:vAlign w:val="center"/>
          </w:tcPr>
          <w:p w:rsidR="00644456" w:rsidRDefault="008031C4">
            <w:pPr>
              <w:adjustRightInd w:val="0"/>
              <w:snapToGrid w:val="0"/>
              <w:jc w:val="center"/>
              <w:rPr>
                <w:b/>
                <w:bCs/>
                <w:color w:val="000000" w:themeColor="text1"/>
                <w:szCs w:val="21"/>
              </w:rPr>
            </w:pPr>
            <w:r>
              <w:rPr>
                <w:b/>
                <w:bCs/>
                <w:color w:val="000000" w:themeColor="text1"/>
                <w:szCs w:val="21"/>
              </w:rPr>
              <w:t>拟采取的污染防治措施</w:t>
            </w:r>
          </w:p>
        </w:tc>
        <w:tc>
          <w:tcPr>
            <w:tcW w:w="1078" w:type="dxa"/>
            <w:vAlign w:val="center"/>
          </w:tcPr>
          <w:p w:rsidR="00644456" w:rsidRDefault="008031C4">
            <w:pPr>
              <w:adjustRightInd w:val="0"/>
              <w:snapToGrid w:val="0"/>
              <w:jc w:val="center"/>
              <w:rPr>
                <w:b/>
                <w:bCs/>
                <w:color w:val="000000" w:themeColor="text1"/>
                <w:szCs w:val="21"/>
              </w:rPr>
            </w:pPr>
            <w:r>
              <w:rPr>
                <w:b/>
                <w:bCs/>
                <w:color w:val="000000" w:themeColor="text1"/>
                <w:szCs w:val="21"/>
              </w:rPr>
              <w:t>数量</w:t>
            </w:r>
          </w:p>
        </w:tc>
        <w:tc>
          <w:tcPr>
            <w:tcW w:w="2563" w:type="dxa"/>
            <w:vAlign w:val="center"/>
          </w:tcPr>
          <w:p w:rsidR="00644456" w:rsidRDefault="008031C4">
            <w:pPr>
              <w:adjustRightInd w:val="0"/>
              <w:snapToGrid w:val="0"/>
              <w:jc w:val="center"/>
              <w:rPr>
                <w:b/>
                <w:bCs/>
                <w:color w:val="000000" w:themeColor="text1"/>
                <w:szCs w:val="21"/>
              </w:rPr>
            </w:pPr>
            <w:r>
              <w:rPr>
                <w:b/>
                <w:bCs/>
                <w:color w:val="000000" w:themeColor="text1"/>
                <w:szCs w:val="21"/>
              </w:rPr>
              <w:t>污染物种类</w:t>
            </w:r>
          </w:p>
        </w:tc>
        <w:tc>
          <w:tcPr>
            <w:tcW w:w="3884" w:type="dxa"/>
            <w:vAlign w:val="center"/>
          </w:tcPr>
          <w:p w:rsidR="00644456" w:rsidRDefault="008031C4">
            <w:pPr>
              <w:adjustRightInd w:val="0"/>
              <w:snapToGrid w:val="0"/>
              <w:jc w:val="center"/>
              <w:rPr>
                <w:b/>
                <w:bCs/>
                <w:color w:val="000000" w:themeColor="text1"/>
                <w:szCs w:val="21"/>
              </w:rPr>
            </w:pPr>
            <w:r>
              <w:rPr>
                <w:b/>
                <w:bCs/>
                <w:color w:val="000000" w:themeColor="text1"/>
                <w:szCs w:val="21"/>
              </w:rPr>
              <w:t>执行标准及环境管理要求</w:t>
            </w:r>
          </w:p>
        </w:tc>
      </w:tr>
      <w:tr w:rsidR="00644456">
        <w:trPr>
          <w:jc w:val="center"/>
        </w:trPr>
        <w:tc>
          <w:tcPr>
            <w:tcW w:w="711" w:type="dxa"/>
            <w:vMerge w:val="restart"/>
            <w:vAlign w:val="center"/>
          </w:tcPr>
          <w:p w:rsidR="00644456" w:rsidRDefault="008031C4">
            <w:pPr>
              <w:adjustRightInd w:val="0"/>
              <w:snapToGrid w:val="0"/>
              <w:jc w:val="center"/>
              <w:rPr>
                <w:color w:val="000000" w:themeColor="text1"/>
                <w:szCs w:val="21"/>
              </w:rPr>
            </w:pPr>
            <w:r>
              <w:rPr>
                <w:color w:val="000000" w:themeColor="text1"/>
                <w:szCs w:val="21"/>
              </w:rPr>
              <w:t>大气污染物</w:t>
            </w:r>
          </w:p>
        </w:tc>
        <w:tc>
          <w:tcPr>
            <w:tcW w:w="2309" w:type="dxa"/>
            <w:vAlign w:val="center"/>
          </w:tcPr>
          <w:p w:rsidR="00644456" w:rsidRDefault="008031C4">
            <w:pPr>
              <w:adjustRightInd w:val="0"/>
              <w:snapToGrid w:val="0"/>
              <w:jc w:val="center"/>
              <w:rPr>
                <w:bCs/>
                <w:color w:val="000000" w:themeColor="text1"/>
                <w:szCs w:val="21"/>
              </w:rPr>
            </w:pPr>
            <w:r>
              <w:rPr>
                <w:bCs/>
                <w:color w:val="000000" w:themeColor="text1"/>
                <w:szCs w:val="21"/>
              </w:rPr>
              <w:t>蒸馏、精馏及溶剂回收过程产生的工艺不凝气</w:t>
            </w:r>
          </w:p>
        </w:tc>
        <w:tc>
          <w:tcPr>
            <w:tcW w:w="3495" w:type="dxa"/>
            <w:vAlign w:val="center"/>
          </w:tcPr>
          <w:p w:rsidR="00644456" w:rsidRDefault="008031C4">
            <w:pPr>
              <w:adjustRightInd w:val="0"/>
              <w:snapToGrid w:val="0"/>
              <w:jc w:val="center"/>
              <w:rPr>
                <w:bCs/>
                <w:color w:val="000000" w:themeColor="text1"/>
                <w:szCs w:val="21"/>
              </w:rPr>
            </w:pPr>
            <w:r>
              <w:rPr>
                <w:bCs/>
                <w:color w:val="000000" w:themeColor="text1"/>
                <w:szCs w:val="21"/>
              </w:rPr>
              <w:t>碱液喷淋</w:t>
            </w:r>
            <w:r>
              <w:rPr>
                <w:bCs/>
                <w:color w:val="000000" w:themeColor="text1"/>
                <w:szCs w:val="21"/>
              </w:rPr>
              <w:t>+</w:t>
            </w:r>
            <w:r>
              <w:rPr>
                <w:bCs/>
                <w:color w:val="000000" w:themeColor="text1"/>
                <w:szCs w:val="21"/>
              </w:rPr>
              <w:t>干式过滤</w:t>
            </w:r>
            <w:r>
              <w:rPr>
                <w:bCs/>
                <w:color w:val="000000" w:themeColor="text1"/>
                <w:szCs w:val="21"/>
              </w:rPr>
              <w:t>+</w:t>
            </w:r>
            <w:r>
              <w:rPr>
                <w:bCs/>
                <w:color w:val="000000" w:themeColor="text1"/>
                <w:szCs w:val="21"/>
              </w:rPr>
              <w:t>高温氧化</w:t>
            </w:r>
            <w:r>
              <w:rPr>
                <w:rFonts w:hint="eastAsia"/>
                <w:bCs/>
                <w:color w:val="000000" w:themeColor="text1"/>
                <w:szCs w:val="21"/>
              </w:rPr>
              <w:t>+</w:t>
            </w:r>
            <w:r>
              <w:rPr>
                <w:bCs/>
                <w:color w:val="000000" w:themeColor="text1"/>
                <w:szCs w:val="21"/>
              </w:rPr>
              <w:t>15m</w:t>
            </w:r>
            <w:r>
              <w:rPr>
                <w:rFonts w:hint="eastAsia"/>
                <w:bCs/>
                <w:color w:val="000000" w:themeColor="text1"/>
                <w:szCs w:val="21"/>
              </w:rPr>
              <w:t>排气筒</w:t>
            </w:r>
          </w:p>
        </w:tc>
        <w:tc>
          <w:tcPr>
            <w:tcW w:w="1078" w:type="dxa"/>
            <w:vAlign w:val="center"/>
          </w:tcPr>
          <w:p w:rsidR="00644456" w:rsidRDefault="008031C4">
            <w:pPr>
              <w:adjustRightInd w:val="0"/>
              <w:snapToGrid w:val="0"/>
              <w:jc w:val="center"/>
              <w:rPr>
                <w:color w:val="000000" w:themeColor="text1"/>
                <w:szCs w:val="21"/>
              </w:rPr>
            </w:pPr>
            <w:r>
              <w:rPr>
                <w:color w:val="000000" w:themeColor="text1"/>
                <w:szCs w:val="21"/>
              </w:rPr>
              <w:t>1</w:t>
            </w:r>
            <w:r>
              <w:rPr>
                <w:color w:val="000000" w:themeColor="text1"/>
                <w:szCs w:val="21"/>
              </w:rPr>
              <w:t>套</w:t>
            </w:r>
          </w:p>
        </w:tc>
        <w:tc>
          <w:tcPr>
            <w:tcW w:w="2563" w:type="dxa"/>
            <w:vAlign w:val="center"/>
          </w:tcPr>
          <w:p w:rsidR="00644456" w:rsidRDefault="008031C4">
            <w:pPr>
              <w:adjustRightInd w:val="0"/>
              <w:snapToGrid w:val="0"/>
              <w:jc w:val="center"/>
              <w:rPr>
                <w:color w:val="000000" w:themeColor="text1"/>
                <w:szCs w:val="21"/>
              </w:rPr>
            </w:pPr>
            <w:r>
              <w:rPr>
                <w:bCs/>
                <w:color w:val="000000" w:themeColor="text1"/>
                <w:szCs w:val="21"/>
              </w:rPr>
              <w:t>非甲烷总烃、硫化氢</w:t>
            </w:r>
          </w:p>
        </w:tc>
        <w:tc>
          <w:tcPr>
            <w:tcW w:w="3884" w:type="dxa"/>
            <w:vMerge w:val="restart"/>
            <w:vAlign w:val="center"/>
          </w:tcPr>
          <w:p w:rsidR="00644456" w:rsidRDefault="008031C4">
            <w:pPr>
              <w:adjustRightInd w:val="0"/>
              <w:snapToGrid w:val="0"/>
              <w:jc w:val="center"/>
              <w:rPr>
                <w:color w:val="000000" w:themeColor="text1"/>
                <w:szCs w:val="21"/>
              </w:rPr>
            </w:pPr>
            <w:r>
              <w:rPr>
                <w:color w:val="000000" w:themeColor="text1"/>
                <w:szCs w:val="21"/>
              </w:rPr>
              <w:t>满足《大气污染物综合排放标准》（</w:t>
            </w:r>
            <w:r>
              <w:rPr>
                <w:color w:val="000000" w:themeColor="text1"/>
                <w:szCs w:val="21"/>
              </w:rPr>
              <w:t>GB16297-1996</w:t>
            </w:r>
            <w:r>
              <w:rPr>
                <w:color w:val="000000" w:themeColor="text1"/>
                <w:szCs w:val="21"/>
              </w:rPr>
              <w:t>）表</w:t>
            </w:r>
            <w:r>
              <w:rPr>
                <w:color w:val="000000" w:themeColor="text1"/>
                <w:szCs w:val="21"/>
              </w:rPr>
              <w:t>2</w:t>
            </w:r>
            <w:r>
              <w:rPr>
                <w:color w:val="000000" w:themeColor="text1"/>
                <w:szCs w:val="21"/>
              </w:rPr>
              <w:t>中限值</w:t>
            </w:r>
            <w:r>
              <w:rPr>
                <w:rFonts w:hint="eastAsia"/>
                <w:color w:val="000000" w:themeColor="text1"/>
                <w:szCs w:val="21"/>
              </w:rPr>
              <w:t>、</w:t>
            </w:r>
            <w:r>
              <w:rPr>
                <w:color w:val="000000" w:themeColor="text1"/>
                <w:szCs w:val="21"/>
              </w:rPr>
              <w:t>《恶臭污染物排放标准》（</w:t>
            </w:r>
            <w:r>
              <w:rPr>
                <w:color w:val="000000" w:themeColor="text1"/>
                <w:szCs w:val="21"/>
              </w:rPr>
              <w:t>GB14554-1993</w:t>
            </w:r>
            <w:r>
              <w:rPr>
                <w:color w:val="000000" w:themeColor="text1"/>
                <w:szCs w:val="21"/>
              </w:rPr>
              <w:t>）表</w:t>
            </w:r>
            <w:r>
              <w:rPr>
                <w:color w:val="000000" w:themeColor="text1"/>
                <w:szCs w:val="21"/>
              </w:rPr>
              <w:t>2</w:t>
            </w:r>
            <w:r>
              <w:rPr>
                <w:color w:val="000000" w:themeColor="text1"/>
                <w:szCs w:val="21"/>
              </w:rPr>
              <w:t>限值</w:t>
            </w:r>
            <w:r>
              <w:rPr>
                <w:rFonts w:hint="eastAsia"/>
                <w:color w:val="000000" w:themeColor="text1"/>
                <w:szCs w:val="21"/>
              </w:rPr>
              <w:t>、《锅炉大气污染物排放标准》（</w:t>
            </w:r>
            <w:r>
              <w:rPr>
                <w:rFonts w:hint="eastAsia"/>
                <w:color w:val="000000" w:themeColor="text1"/>
                <w:szCs w:val="21"/>
              </w:rPr>
              <w:t>GB13271-2014</w:t>
            </w:r>
            <w:r>
              <w:rPr>
                <w:rFonts w:hint="eastAsia"/>
                <w:color w:val="000000" w:themeColor="text1"/>
                <w:szCs w:val="21"/>
              </w:rPr>
              <w:t>）</w:t>
            </w:r>
          </w:p>
        </w:tc>
      </w:tr>
      <w:tr w:rsidR="00644456">
        <w:trPr>
          <w:jc w:val="center"/>
        </w:trPr>
        <w:tc>
          <w:tcPr>
            <w:tcW w:w="711" w:type="dxa"/>
            <w:vMerge/>
            <w:vAlign w:val="center"/>
          </w:tcPr>
          <w:p w:rsidR="00644456" w:rsidRDefault="00644456">
            <w:pPr>
              <w:adjustRightInd w:val="0"/>
              <w:snapToGrid w:val="0"/>
              <w:jc w:val="center"/>
              <w:rPr>
                <w:color w:val="000000" w:themeColor="text1"/>
                <w:szCs w:val="21"/>
              </w:rPr>
            </w:pPr>
          </w:p>
        </w:tc>
        <w:tc>
          <w:tcPr>
            <w:tcW w:w="2309" w:type="dxa"/>
            <w:vAlign w:val="center"/>
          </w:tcPr>
          <w:p w:rsidR="00644456" w:rsidRDefault="008031C4">
            <w:pPr>
              <w:adjustRightInd w:val="0"/>
              <w:snapToGrid w:val="0"/>
              <w:jc w:val="center"/>
              <w:rPr>
                <w:bCs/>
                <w:color w:val="000000" w:themeColor="text1"/>
                <w:szCs w:val="21"/>
              </w:rPr>
            </w:pPr>
            <w:r>
              <w:rPr>
                <w:rFonts w:hint="eastAsia"/>
                <w:bCs/>
                <w:color w:val="000000" w:themeColor="text1"/>
                <w:szCs w:val="21"/>
              </w:rPr>
              <w:t>导热油锅炉废气</w:t>
            </w:r>
          </w:p>
        </w:tc>
        <w:tc>
          <w:tcPr>
            <w:tcW w:w="3495" w:type="dxa"/>
            <w:vAlign w:val="center"/>
          </w:tcPr>
          <w:p w:rsidR="00644456" w:rsidRDefault="008031C4">
            <w:pPr>
              <w:adjustRightInd w:val="0"/>
              <w:snapToGrid w:val="0"/>
              <w:jc w:val="center"/>
              <w:rPr>
                <w:bCs/>
                <w:color w:val="000000" w:themeColor="text1"/>
                <w:szCs w:val="21"/>
              </w:rPr>
            </w:pPr>
            <w:r>
              <w:rPr>
                <w:rFonts w:hint="eastAsia"/>
                <w:bCs/>
                <w:color w:val="000000" w:themeColor="text1"/>
                <w:szCs w:val="21"/>
              </w:rPr>
              <w:t>低氮燃烧</w:t>
            </w:r>
            <w:r>
              <w:rPr>
                <w:rFonts w:hint="eastAsia"/>
                <w:bCs/>
                <w:color w:val="000000" w:themeColor="text1"/>
                <w:szCs w:val="21"/>
              </w:rPr>
              <w:t>+</w:t>
            </w:r>
            <w:r>
              <w:rPr>
                <w:bCs/>
                <w:color w:val="000000" w:themeColor="text1"/>
                <w:szCs w:val="21"/>
              </w:rPr>
              <w:t>8m</w:t>
            </w:r>
            <w:r>
              <w:rPr>
                <w:rFonts w:hint="eastAsia"/>
                <w:bCs/>
                <w:color w:val="000000" w:themeColor="text1"/>
                <w:szCs w:val="21"/>
              </w:rPr>
              <w:t>排气筒</w:t>
            </w:r>
          </w:p>
        </w:tc>
        <w:tc>
          <w:tcPr>
            <w:tcW w:w="1078" w:type="dxa"/>
            <w:vAlign w:val="center"/>
          </w:tcPr>
          <w:p w:rsidR="00644456" w:rsidRDefault="008031C4">
            <w:pPr>
              <w:adjustRightInd w:val="0"/>
              <w:snapToGrid w:val="0"/>
              <w:jc w:val="center"/>
              <w:rPr>
                <w:color w:val="000000" w:themeColor="text1"/>
                <w:szCs w:val="21"/>
              </w:rPr>
            </w:pPr>
            <w:r>
              <w:rPr>
                <w:color w:val="000000" w:themeColor="text1"/>
                <w:szCs w:val="21"/>
              </w:rPr>
              <w:t>1</w:t>
            </w:r>
            <w:r>
              <w:rPr>
                <w:color w:val="000000" w:themeColor="text1"/>
                <w:szCs w:val="21"/>
              </w:rPr>
              <w:t>套</w:t>
            </w:r>
          </w:p>
        </w:tc>
        <w:tc>
          <w:tcPr>
            <w:tcW w:w="2563" w:type="dxa"/>
            <w:vAlign w:val="center"/>
          </w:tcPr>
          <w:p w:rsidR="00644456" w:rsidRDefault="008031C4">
            <w:pPr>
              <w:adjustRightInd w:val="0"/>
              <w:snapToGrid w:val="0"/>
              <w:jc w:val="center"/>
              <w:rPr>
                <w:bCs/>
                <w:color w:val="000000" w:themeColor="text1"/>
                <w:szCs w:val="21"/>
              </w:rPr>
            </w:pPr>
            <w:r>
              <w:rPr>
                <w:rFonts w:hint="eastAsia"/>
                <w:bCs/>
                <w:color w:val="000000" w:themeColor="text1"/>
                <w:szCs w:val="21"/>
              </w:rPr>
              <w:t>氮氧化物、二氧化硫、颗粒物</w:t>
            </w:r>
          </w:p>
        </w:tc>
        <w:tc>
          <w:tcPr>
            <w:tcW w:w="3884" w:type="dxa"/>
            <w:vMerge/>
            <w:vAlign w:val="center"/>
          </w:tcPr>
          <w:p w:rsidR="00644456" w:rsidRDefault="00644456">
            <w:pPr>
              <w:adjustRightInd w:val="0"/>
              <w:snapToGrid w:val="0"/>
              <w:jc w:val="center"/>
              <w:rPr>
                <w:color w:val="000000" w:themeColor="text1"/>
                <w:szCs w:val="21"/>
              </w:rPr>
            </w:pPr>
          </w:p>
        </w:tc>
      </w:tr>
      <w:tr w:rsidR="00644456">
        <w:trPr>
          <w:jc w:val="center"/>
        </w:trPr>
        <w:tc>
          <w:tcPr>
            <w:tcW w:w="711" w:type="dxa"/>
            <w:vMerge/>
            <w:vAlign w:val="center"/>
          </w:tcPr>
          <w:p w:rsidR="00644456" w:rsidRDefault="00644456">
            <w:pPr>
              <w:widowControl/>
              <w:adjustRightInd w:val="0"/>
              <w:snapToGrid w:val="0"/>
              <w:jc w:val="center"/>
              <w:rPr>
                <w:color w:val="000000" w:themeColor="text1"/>
                <w:szCs w:val="21"/>
              </w:rPr>
            </w:pPr>
          </w:p>
        </w:tc>
        <w:tc>
          <w:tcPr>
            <w:tcW w:w="2309" w:type="dxa"/>
            <w:vAlign w:val="center"/>
          </w:tcPr>
          <w:p w:rsidR="00644456" w:rsidRDefault="008031C4">
            <w:pPr>
              <w:adjustRightInd w:val="0"/>
              <w:snapToGrid w:val="0"/>
              <w:jc w:val="center"/>
              <w:rPr>
                <w:color w:val="000000" w:themeColor="text1"/>
              </w:rPr>
            </w:pPr>
            <w:r>
              <w:rPr>
                <w:color w:val="000000" w:themeColor="text1"/>
              </w:rPr>
              <w:t>储罐</w:t>
            </w:r>
            <w:r>
              <w:rPr>
                <w:color w:val="000000" w:themeColor="text1"/>
              </w:rPr>
              <w:t>+</w:t>
            </w:r>
            <w:r>
              <w:rPr>
                <w:color w:val="000000" w:themeColor="text1"/>
              </w:rPr>
              <w:t>设备密封点</w:t>
            </w:r>
            <w:r>
              <w:rPr>
                <w:color w:val="000000" w:themeColor="text1"/>
              </w:rPr>
              <w:t>+</w:t>
            </w:r>
            <w:r>
              <w:rPr>
                <w:color w:val="000000" w:themeColor="text1"/>
              </w:rPr>
              <w:t>装卸</w:t>
            </w:r>
          </w:p>
        </w:tc>
        <w:tc>
          <w:tcPr>
            <w:tcW w:w="3495" w:type="dxa"/>
            <w:vAlign w:val="center"/>
          </w:tcPr>
          <w:p w:rsidR="00644456" w:rsidRDefault="008031C4">
            <w:pPr>
              <w:widowControl/>
              <w:adjustRightInd w:val="0"/>
              <w:snapToGrid w:val="0"/>
              <w:jc w:val="center"/>
              <w:textAlignment w:val="center"/>
              <w:rPr>
                <w:color w:val="000000" w:themeColor="text1"/>
                <w:szCs w:val="21"/>
              </w:rPr>
            </w:pPr>
            <w:r>
              <w:rPr>
                <w:color w:val="000000" w:themeColor="text1"/>
                <w:szCs w:val="21"/>
              </w:rPr>
              <w:t>罐体密封</w:t>
            </w:r>
            <w:r>
              <w:rPr>
                <w:color w:val="000000" w:themeColor="text1"/>
                <w:szCs w:val="21"/>
              </w:rPr>
              <w:t>+</w:t>
            </w:r>
            <w:r>
              <w:rPr>
                <w:color w:val="000000" w:themeColor="text1"/>
                <w:szCs w:val="21"/>
              </w:rPr>
              <w:t>设备密封</w:t>
            </w:r>
            <w:r>
              <w:rPr>
                <w:color w:val="000000" w:themeColor="text1"/>
                <w:szCs w:val="21"/>
              </w:rPr>
              <w:t>+</w:t>
            </w:r>
            <w:r>
              <w:rPr>
                <w:color w:val="000000" w:themeColor="text1"/>
                <w:szCs w:val="21"/>
              </w:rPr>
              <w:t>密闭装卸料</w:t>
            </w:r>
          </w:p>
        </w:tc>
        <w:tc>
          <w:tcPr>
            <w:tcW w:w="1078" w:type="dxa"/>
            <w:vAlign w:val="center"/>
          </w:tcPr>
          <w:p w:rsidR="00644456" w:rsidRDefault="008031C4">
            <w:pPr>
              <w:adjustRightInd w:val="0"/>
              <w:snapToGrid w:val="0"/>
              <w:jc w:val="center"/>
              <w:rPr>
                <w:color w:val="000000" w:themeColor="text1"/>
                <w:szCs w:val="21"/>
              </w:rPr>
            </w:pPr>
            <w:r>
              <w:rPr>
                <w:color w:val="000000" w:themeColor="text1"/>
                <w:szCs w:val="21"/>
              </w:rPr>
              <w:t>/</w:t>
            </w:r>
          </w:p>
        </w:tc>
        <w:tc>
          <w:tcPr>
            <w:tcW w:w="2563" w:type="dxa"/>
            <w:vAlign w:val="center"/>
          </w:tcPr>
          <w:p w:rsidR="00644456" w:rsidRDefault="008031C4">
            <w:pPr>
              <w:adjustRightInd w:val="0"/>
              <w:snapToGrid w:val="0"/>
              <w:jc w:val="center"/>
              <w:rPr>
                <w:color w:val="000000" w:themeColor="text1"/>
                <w:szCs w:val="21"/>
              </w:rPr>
            </w:pPr>
            <w:r>
              <w:rPr>
                <w:bCs/>
                <w:color w:val="000000" w:themeColor="text1"/>
                <w:szCs w:val="21"/>
              </w:rPr>
              <w:t>非甲烷总烃</w:t>
            </w:r>
          </w:p>
        </w:tc>
        <w:tc>
          <w:tcPr>
            <w:tcW w:w="3884" w:type="dxa"/>
            <w:vMerge/>
            <w:vAlign w:val="center"/>
          </w:tcPr>
          <w:p w:rsidR="00644456" w:rsidRDefault="00644456">
            <w:pPr>
              <w:widowControl/>
              <w:adjustRightInd w:val="0"/>
              <w:snapToGrid w:val="0"/>
              <w:jc w:val="center"/>
              <w:rPr>
                <w:color w:val="000000" w:themeColor="text1"/>
                <w:szCs w:val="21"/>
              </w:rPr>
            </w:pPr>
          </w:p>
        </w:tc>
      </w:tr>
      <w:tr w:rsidR="00644456">
        <w:trPr>
          <w:jc w:val="center"/>
        </w:trPr>
        <w:tc>
          <w:tcPr>
            <w:tcW w:w="711" w:type="dxa"/>
            <w:vMerge/>
            <w:vAlign w:val="center"/>
          </w:tcPr>
          <w:p w:rsidR="00644456" w:rsidRDefault="00644456">
            <w:pPr>
              <w:widowControl/>
              <w:adjustRightInd w:val="0"/>
              <w:snapToGrid w:val="0"/>
              <w:jc w:val="center"/>
              <w:rPr>
                <w:color w:val="000000" w:themeColor="text1"/>
                <w:szCs w:val="21"/>
              </w:rPr>
            </w:pPr>
          </w:p>
        </w:tc>
        <w:tc>
          <w:tcPr>
            <w:tcW w:w="2309" w:type="dxa"/>
            <w:vAlign w:val="center"/>
          </w:tcPr>
          <w:p w:rsidR="00644456" w:rsidRDefault="008031C4">
            <w:pPr>
              <w:adjustRightInd w:val="0"/>
              <w:snapToGrid w:val="0"/>
              <w:jc w:val="center"/>
              <w:rPr>
                <w:color w:val="000000" w:themeColor="text1"/>
              </w:rPr>
            </w:pPr>
            <w:r>
              <w:rPr>
                <w:color w:val="000000" w:themeColor="text1"/>
              </w:rPr>
              <w:t>污水处理设施</w:t>
            </w:r>
          </w:p>
        </w:tc>
        <w:tc>
          <w:tcPr>
            <w:tcW w:w="3495" w:type="dxa"/>
            <w:vAlign w:val="center"/>
          </w:tcPr>
          <w:p w:rsidR="00644456" w:rsidRDefault="008031C4">
            <w:pPr>
              <w:adjustRightInd w:val="0"/>
              <w:snapToGrid w:val="0"/>
              <w:jc w:val="center"/>
              <w:rPr>
                <w:color w:val="000000" w:themeColor="text1"/>
              </w:rPr>
            </w:pPr>
            <w:r>
              <w:rPr>
                <w:color w:val="000000" w:themeColor="text1"/>
              </w:rPr>
              <w:t>加盖，实现密闭</w:t>
            </w:r>
          </w:p>
        </w:tc>
        <w:tc>
          <w:tcPr>
            <w:tcW w:w="1078" w:type="dxa"/>
            <w:vAlign w:val="center"/>
          </w:tcPr>
          <w:p w:rsidR="00644456" w:rsidRDefault="008031C4">
            <w:pPr>
              <w:adjustRightInd w:val="0"/>
              <w:snapToGrid w:val="0"/>
              <w:jc w:val="center"/>
              <w:rPr>
                <w:color w:val="000000" w:themeColor="text1"/>
                <w:szCs w:val="21"/>
              </w:rPr>
            </w:pPr>
            <w:r>
              <w:rPr>
                <w:color w:val="000000" w:themeColor="text1"/>
                <w:szCs w:val="21"/>
              </w:rPr>
              <w:t>/</w:t>
            </w:r>
          </w:p>
        </w:tc>
        <w:tc>
          <w:tcPr>
            <w:tcW w:w="2563" w:type="dxa"/>
            <w:vAlign w:val="center"/>
          </w:tcPr>
          <w:p w:rsidR="00644456" w:rsidRDefault="008031C4">
            <w:pPr>
              <w:adjustRightInd w:val="0"/>
              <w:snapToGrid w:val="0"/>
              <w:jc w:val="center"/>
              <w:rPr>
                <w:color w:val="000000" w:themeColor="text1"/>
                <w:szCs w:val="21"/>
              </w:rPr>
            </w:pPr>
            <w:r>
              <w:rPr>
                <w:color w:val="000000" w:themeColor="text1"/>
                <w:szCs w:val="21"/>
              </w:rPr>
              <w:t>氨、硫化氢</w:t>
            </w:r>
          </w:p>
        </w:tc>
        <w:tc>
          <w:tcPr>
            <w:tcW w:w="3884" w:type="dxa"/>
            <w:vAlign w:val="center"/>
          </w:tcPr>
          <w:p w:rsidR="00644456" w:rsidRDefault="008031C4">
            <w:pPr>
              <w:widowControl/>
              <w:adjustRightInd w:val="0"/>
              <w:snapToGrid w:val="0"/>
              <w:jc w:val="center"/>
              <w:rPr>
                <w:color w:val="000000" w:themeColor="text1"/>
                <w:szCs w:val="21"/>
              </w:rPr>
            </w:pPr>
            <w:r>
              <w:rPr>
                <w:color w:val="000000" w:themeColor="text1"/>
                <w:szCs w:val="21"/>
              </w:rPr>
              <w:t>满足《恶臭污染物排放标准》（</w:t>
            </w:r>
            <w:r>
              <w:rPr>
                <w:color w:val="000000" w:themeColor="text1"/>
                <w:szCs w:val="21"/>
              </w:rPr>
              <w:t>GB14554-1993</w:t>
            </w:r>
            <w:r>
              <w:rPr>
                <w:color w:val="000000" w:themeColor="text1"/>
                <w:szCs w:val="21"/>
              </w:rPr>
              <w:t>）表</w:t>
            </w:r>
            <w:r>
              <w:rPr>
                <w:color w:val="000000" w:themeColor="text1"/>
                <w:szCs w:val="21"/>
              </w:rPr>
              <w:t>1</w:t>
            </w:r>
            <w:r>
              <w:rPr>
                <w:color w:val="000000" w:themeColor="text1"/>
                <w:szCs w:val="21"/>
              </w:rPr>
              <w:t>二级新改扩建标准</w:t>
            </w:r>
          </w:p>
        </w:tc>
      </w:tr>
      <w:tr w:rsidR="00644456">
        <w:trPr>
          <w:jc w:val="center"/>
        </w:trPr>
        <w:tc>
          <w:tcPr>
            <w:tcW w:w="711" w:type="dxa"/>
            <w:vMerge w:val="restart"/>
            <w:vAlign w:val="center"/>
          </w:tcPr>
          <w:p w:rsidR="00644456" w:rsidRDefault="008031C4">
            <w:pPr>
              <w:adjustRightInd w:val="0"/>
              <w:snapToGrid w:val="0"/>
              <w:jc w:val="center"/>
              <w:rPr>
                <w:color w:val="000000" w:themeColor="text1"/>
                <w:szCs w:val="21"/>
              </w:rPr>
            </w:pPr>
            <w:r>
              <w:rPr>
                <w:color w:val="000000" w:themeColor="text1"/>
                <w:szCs w:val="21"/>
              </w:rPr>
              <w:t>水污染物</w:t>
            </w:r>
          </w:p>
        </w:tc>
        <w:tc>
          <w:tcPr>
            <w:tcW w:w="2309" w:type="dxa"/>
            <w:vAlign w:val="center"/>
          </w:tcPr>
          <w:p w:rsidR="00644456" w:rsidRDefault="008031C4">
            <w:pPr>
              <w:adjustRightInd w:val="0"/>
              <w:snapToGrid w:val="0"/>
              <w:jc w:val="center"/>
              <w:rPr>
                <w:color w:val="000000" w:themeColor="text1"/>
                <w:szCs w:val="21"/>
              </w:rPr>
            </w:pPr>
            <w:r>
              <w:rPr>
                <w:bCs/>
                <w:color w:val="000000" w:themeColor="text1"/>
                <w:szCs w:val="21"/>
              </w:rPr>
              <w:t>生产废水</w:t>
            </w:r>
          </w:p>
        </w:tc>
        <w:tc>
          <w:tcPr>
            <w:tcW w:w="3495" w:type="dxa"/>
            <w:vAlign w:val="center"/>
          </w:tcPr>
          <w:p w:rsidR="00644456" w:rsidRDefault="008031C4">
            <w:pPr>
              <w:pStyle w:val="3"/>
              <w:numPr>
                <w:ilvl w:val="0"/>
                <w:numId w:val="0"/>
              </w:numPr>
              <w:spacing w:line="240" w:lineRule="auto"/>
              <w:jc w:val="center"/>
              <w:rPr>
                <w:b w:val="0"/>
                <w:color w:val="000000" w:themeColor="text1"/>
                <w:kern w:val="0"/>
                <w:sz w:val="21"/>
                <w:szCs w:val="21"/>
              </w:rPr>
            </w:pPr>
            <w:r>
              <w:rPr>
                <w:b w:val="0"/>
                <w:color w:val="000000" w:themeColor="text1"/>
                <w:sz w:val="21"/>
                <w:szCs w:val="21"/>
              </w:rPr>
              <w:t>预处理（电解气浮）</w:t>
            </w:r>
            <w:r>
              <w:rPr>
                <w:b w:val="0"/>
                <w:color w:val="000000" w:themeColor="text1"/>
                <w:sz w:val="21"/>
                <w:szCs w:val="21"/>
              </w:rPr>
              <w:t>+</w:t>
            </w:r>
            <w:r>
              <w:rPr>
                <w:b w:val="0"/>
                <w:color w:val="000000" w:themeColor="text1"/>
                <w:sz w:val="21"/>
                <w:szCs w:val="21"/>
              </w:rPr>
              <w:t>生化处理</w:t>
            </w:r>
            <w:r>
              <w:rPr>
                <w:b w:val="0"/>
                <w:color w:val="000000" w:themeColor="text1"/>
                <w:sz w:val="21"/>
                <w:szCs w:val="21"/>
              </w:rPr>
              <w:t>A</w:t>
            </w:r>
            <w:r>
              <w:rPr>
                <w:b w:val="0"/>
                <w:color w:val="000000" w:themeColor="text1"/>
                <w:sz w:val="21"/>
                <w:szCs w:val="21"/>
                <w:vertAlign w:val="superscript"/>
              </w:rPr>
              <w:t>2</w:t>
            </w:r>
            <w:r>
              <w:rPr>
                <w:b w:val="0"/>
                <w:color w:val="000000" w:themeColor="text1"/>
                <w:sz w:val="21"/>
                <w:szCs w:val="21"/>
              </w:rPr>
              <w:t>O</w:t>
            </w:r>
          </w:p>
        </w:tc>
        <w:tc>
          <w:tcPr>
            <w:tcW w:w="1078" w:type="dxa"/>
            <w:vAlign w:val="center"/>
          </w:tcPr>
          <w:p w:rsidR="00644456" w:rsidRDefault="008031C4">
            <w:pPr>
              <w:adjustRightInd w:val="0"/>
              <w:snapToGrid w:val="0"/>
              <w:jc w:val="center"/>
              <w:rPr>
                <w:color w:val="000000" w:themeColor="text1"/>
                <w:szCs w:val="21"/>
              </w:rPr>
            </w:pPr>
            <w:r>
              <w:rPr>
                <w:color w:val="000000" w:themeColor="text1"/>
                <w:szCs w:val="21"/>
              </w:rPr>
              <w:t>1</w:t>
            </w:r>
            <w:r>
              <w:rPr>
                <w:color w:val="000000" w:themeColor="text1"/>
                <w:szCs w:val="21"/>
              </w:rPr>
              <w:t>套</w:t>
            </w:r>
          </w:p>
        </w:tc>
        <w:tc>
          <w:tcPr>
            <w:tcW w:w="2563" w:type="dxa"/>
            <w:vAlign w:val="center"/>
          </w:tcPr>
          <w:p w:rsidR="00644456" w:rsidRDefault="008031C4">
            <w:pPr>
              <w:adjustRightInd w:val="0"/>
              <w:snapToGrid w:val="0"/>
              <w:jc w:val="center"/>
              <w:rPr>
                <w:color w:val="000000" w:themeColor="text1"/>
                <w:szCs w:val="21"/>
              </w:rPr>
            </w:pPr>
            <w:r>
              <w:rPr>
                <w:color w:val="000000" w:themeColor="text1"/>
                <w:szCs w:val="21"/>
              </w:rPr>
              <w:t>pH</w:t>
            </w:r>
            <w:r>
              <w:rPr>
                <w:color w:val="000000" w:themeColor="text1"/>
                <w:szCs w:val="21"/>
              </w:rPr>
              <w:t>、化学需氧量、五日生化需氧量、悬浮物、硫化物、石油类、氨氮、总氮</w:t>
            </w:r>
          </w:p>
        </w:tc>
        <w:tc>
          <w:tcPr>
            <w:tcW w:w="3884" w:type="dxa"/>
            <w:vMerge w:val="restart"/>
            <w:vAlign w:val="center"/>
          </w:tcPr>
          <w:p w:rsidR="00644456" w:rsidRDefault="008031C4">
            <w:pPr>
              <w:adjustRightInd w:val="0"/>
              <w:snapToGrid w:val="0"/>
              <w:jc w:val="center"/>
              <w:rPr>
                <w:color w:val="000000" w:themeColor="text1"/>
                <w:szCs w:val="21"/>
              </w:rPr>
            </w:pPr>
            <w:r>
              <w:rPr>
                <w:color w:val="000000" w:themeColor="text1"/>
                <w:szCs w:val="21"/>
              </w:rPr>
              <w:t>满足</w:t>
            </w:r>
            <w:r>
              <w:rPr>
                <w:bCs/>
                <w:color w:val="000000" w:themeColor="text1"/>
                <w:szCs w:val="21"/>
              </w:rPr>
              <w:t>《污水综合排放标准》（</w:t>
            </w:r>
            <w:r>
              <w:rPr>
                <w:bCs/>
                <w:color w:val="000000" w:themeColor="text1"/>
                <w:szCs w:val="21"/>
              </w:rPr>
              <w:t>GB8978-1996</w:t>
            </w:r>
            <w:r>
              <w:rPr>
                <w:bCs/>
                <w:color w:val="000000" w:themeColor="text1"/>
                <w:szCs w:val="21"/>
              </w:rPr>
              <w:t>）三级标准及</w:t>
            </w:r>
            <w:r>
              <w:rPr>
                <w:rFonts w:hint="eastAsia"/>
                <w:bCs/>
                <w:color w:val="000000" w:themeColor="text1"/>
                <w:szCs w:val="21"/>
              </w:rPr>
              <w:t>生态钢城污水处理厂</w:t>
            </w:r>
            <w:r>
              <w:rPr>
                <w:bCs/>
                <w:color w:val="000000" w:themeColor="text1"/>
                <w:szCs w:val="21"/>
              </w:rPr>
              <w:t>纳管标准</w:t>
            </w:r>
          </w:p>
        </w:tc>
      </w:tr>
      <w:tr w:rsidR="00644456">
        <w:trPr>
          <w:jc w:val="center"/>
        </w:trPr>
        <w:tc>
          <w:tcPr>
            <w:tcW w:w="711" w:type="dxa"/>
            <w:vMerge/>
            <w:vAlign w:val="center"/>
          </w:tcPr>
          <w:p w:rsidR="00644456" w:rsidRDefault="00644456">
            <w:pPr>
              <w:adjustRightInd w:val="0"/>
              <w:snapToGrid w:val="0"/>
              <w:jc w:val="center"/>
              <w:rPr>
                <w:color w:val="000000" w:themeColor="text1"/>
                <w:szCs w:val="21"/>
              </w:rPr>
            </w:pPr>
          </w:p>
        </w:tc>
        <w:tc>
          <w:tcPr>
            <w:tcW w:w="2309" w:type="dxa"/>
            <w:vAlign w:val="center"/>
          </w:tcPr>
          <w:p w:rsidR="00644456" w:rsidRDefault="008031C4">
            <w:pPr>
              <w:adjustRightInd w:val="0"/>
              <w:snapToGrid w:val="0"/>
              <w:jc w:val="center"/>
              <w:rPr>
                <w:bCs/>
                <w:color w:val="000000" w:themeColor="text1"/>
                <w:szCs w:val="21"/>
              </w:rPr>
            </w:pPr>
            <w:r>
              <w:rPr>
                <w:bCs/>
                <w:color w:val="000000" w:themeColor="text1"/>
                <w:szCs w:val="21"/>
              </w:rPr>
              <w:t>生活污水</w:t>
            </w:r>
          </w:p>
        </w:tc>
        <w:tc>
          <w:tcPr>
            <w:tcW w:w="3495" w:type="dxa"/>
            <w:vAlign w:val="center"/>
          </w:tcPr>
          <w:p w:rsidR="00644456" w:rsidRDefault="008031C4">
            <w:pPr>
              <w:adjustRightInd w:val="0"/>
              <w:snapToGrid w:val="0"/>
              <w:jc w:val="center"/>
              <w:rPr>
                <w:color w:val="000000" w:themeColor="text1"/>
                <w:szCs w:val="21"/>
              </w:rPr>
            </w:pPr>
            <w:r>
              <w:rPr>
                <w:color w:val="000000" w:themeColor="text1"/>
                <w:szCs w:val="21"/>
              </w:rPr>
              <w:t>化粪池</w:t>
            </w:r>
          </w:p>
        </w:tc>
        <w:tc>
          <w:tcPr>
            <w:tcW w:w="1078" w:type="dxa"/>
            <w:vAlign w:val="center"/>
          </w:tcPr>
          <w:p w:rsidR="00644456" w:rsidRDefault="008031C4">
            <w:pPr>
              <w:adjustRightInd w:val="0"/>
              <w:snapToGrid w:val="0"/>
              <w:jc w:val="center"/>
              <w:rPr>
                <w:color w:val="000000" w:themeColor="text1"/>
                <w:szCs w:val="21"/>
              </w:rPr>
            </w:pPr>
            <w:r>
              <w:rPr>
                <w:color w:val="000000" w:themeColor="text1"/>
                <w:szCs w:val="21"/>
              </w:rPr>
              <w:t>1</w:t>
            </w:r>
            <w:r>
              <w:rPr>
                <w:color w:val="000000" w:themeColor="text1"/>
                <w:szCs w:val="21"/>
              </w:rPr>
              <w:t>套</w:t>
            </w:r>
          </w:p>
        </w:tc>
        <w:tc>
          <w:tcPr>
            <w:tcW w:w="2563" w:type="dxa"/>
            <w:vAlign w:val="center"/>
          </w:tcPr>
          <w:p w:rsidR="00644456" w:rsidRDefault="008031C4">
            <w:pPr>
              <w:adjustRightInd w:val="0"/>
              <w:snapToGrid w:val="0"/>
              <w:jc w:val="center"/>
              <w:rPr>
                <w:color w:val="000000" w:themeColor="text1"/>
                <w:szCs w:val="21"/>
              </w:rPr>
            </w:pPr>
            <w:r>
              <w:rPr>
                <w:color w:val="000000" w:themeColor="text1"/>
                <w:szCs w:val="21"/>
              </w:rPr>
              <w:t>pH</w:t>
            </w:r>
            <w:r>
              <w:rPr>
                <w:color w:val="000000" w:themeColor="text1"/>
                <w:szCs w:val="21"/>
              </w:rPr>
              <w:t>、化学需氧量、五日生化需氧量、悬浮物、氨氮</w:t>
            </w:r>
          </w:p>
        </w:tc>
        <w:tc>
          <w:tcPr>
            <w:tcW w:w="3884" w:type="dxa"/>
            <w:vMerge/>
            <w:vAlign w:val="center"/>
          </w:tcPr>
          <w:p w:rsidR="00644456" w:rsidRDefault="00644456">
            <w:pPr>
              <w:adjustRightInd w:val="0"/>
              <w:snapToGrid w:val="0"/>
              <w:jc w:val="center"/>
              <w:rPr>
                <w:color w:val="000000" w:themeColor="text1"/>
                <w:szCs w:val="21"/>
              </w:rPr>
            </w:pPr>
          </w:p>
        </w:tc>
      </w:tr>
      <w:tr w:rsidR="00644456">
        <w:trPr>
          <w:jc w:val="center"/>
        </w:trPr>
        <w:tc>
          <w:tcPr>
            <w:tcW w:w="711" w:type="dxa"/>
            <w:vMerge w:val="restart"/>
            <w:vAlign w:val="center"/>
          </w:tcPr>
          <w:p w:rsidR="00644456" w:rsidRDefault="008031C4">
            <w:pPr>
              <w:adjustRightInd w:val="0"/>
              <w:snapToGrid w:val="0"/>
              <w:jc w:val="center"/>
              <w:rPr>
                <w:color w:val="000000" w:themeColor="text1"/>
                <w:szCs w:val="21"/>
              </w:rPr>
            </w:pPr>
            <w:r>
              <w:rPr>
                <w:color w:val="000000" w:themeColor="text1"/>
                <w:szCs w:val="21"/>
              </w:rPr>
              <w:t>固体废物</w:t>
            </w:r>
          </w:p>
        </w:tc>
        <w:tc>
          <w:tcPr>
            <w:tcW w:w="2309" w:type="dxa"/>
            <w:vAlign w:val="center"/>
          </w:tcPr>
          <w:p w:rsidR="00644456" w:rsidRDefault="008031C4">
            <w:pPr>
              <w:adjustRightInd w:val="0"/>
              <w:snapToGrid w:val="0"/>
              <w:jc w:val="center"/>
              <w:rPr>
                <w:b/>
                <w:bCs/>
                <w:color w:val="000000" w:themeColor="text1"/>
                <w:szCs w:val="21"/>
              </w:rPr>
            </w:pPr>
            <w:r>
              <w:rPr>
                <w:rFonts w:hint="eastAsia"/>
                <w:color w:val="000000" w:themeColor="text1"/>
                <w:szCs w:val="21"/>
              </w:rPr>
              <w:t>危废</w:t>
            </w:r>
          </w:p>
        </w:tc>
        <w:tc>
          <w:tcPr>
            <w:tcW w:w="7136" w:type="dxa"/>
            <w:gridSpan w:val="3"/>
            <w:vAlign w:val="center"/>
          </w:tcPr>
          <w:p w:rsidR="00644456" w:rsidRPr="00AC71A6" w:rsidRDefault="008031C4">
            <w:pPr>
              <w:adjustRightInd w:val="0"/>
              <w:snapToGrid w:val="0"/>
              <w:jc w:val="left"/>
              <w:rPr>
                <w:bCs/>
                <w:color w:val="FF0000"/>
                <w:szCs w:val="21"/>
              </w:rPr>
            </w:pPr>
            <w:r w:rsidRPr="00AC71A6">
              <w:rPr>
                <w:rFonts w:hint="eastAsia"/>
                <w:color w:val="FF0000"/>
                <w:szCs w:val="21"/>
              </w:rPr>
              <w:t>新建危废暂存间，</w:t>
            </w:r>
            <w:r w:rsidR="00AC71A6" w:rsidRPr="00AC71A6">
              <w:rPr>
                <w:snapToGrid w:val="0"/>
                <w:color w:val="FF0000"/>
                <w:szCs w:val="21"/>
              </w:rPr>
              <w:t>1440m</w:t>
            </w:r>
            <w:r w:rsidR="00AC71A6" w:rsidRPr="00AC71A6">
              <w:rPr>
                <w:snapToGrid w:val="0"/>
                <w:color w:val="FF0000"/>
                <w:szCs w:val="21"/>
                <w:vertAlign w:val="superscript"/>
              </w:rPr>
              <w:t>2</w:t>
            </w:r>
            <w:r w:rsidRPr="00AC71A6">
              <w:rPr>
                <w:rFonts w:hint="eastAsia"/>
                <w:color w:val="FF0000"/>
                <w:szCs w:val="21"/>
              </w:rPr>
              <w:t>，危废交由资质单位处置</w:t>
            </w:r>
          </w:p>
        </w:tc>
        <w:tc>
          <w:tcPr>
            <w:tcW w:w="3884" w:type="dxa"/>
            <w:vAlign w:val="center"/>
          </w:tcPr>
          <w:p w:rsidR="00644456" w:rsidRDefault="008031C4">
            <w:pPr>
              <w:adjustRightInd w:val="0"/>
              <w:snapToGrid w:val="0"/>
              <w:jc w:val="center"/>
              <w:rPr>
                <w:color w:val="000000" w:themeColor="text1"/>
              </w:rPr>
            </w:pPr>
            <w:r>
              <w:rPr>
                <w:color w:val="000000" w:themeColor="text1"/>
              </w:rPr>
              <w:t>按照</w:t>
            </w:r>
            <w:r>
              <w:rPr>
                <w:rFonts w:hint="eastAsia"/>
                <w:color w:val="000000" w:themeColor="text1"/>
              </w:rPr>
              <w:t>《危险废物贮存污染控制标准》（</w:t>
            </w:r>
            <w:r>
              <w:rPr>
                <w:rFonts w:hint="eastAsia"/>
                <w:color w:val="000000" w:themeColor="text1"/>
              </w:rPr>
              <w:t>GB18597-2023</w:t>
            </w:r>
            <w:r>
              <w:rPr>
                <w:rFonts w:hint="eastAsia"/>
                <w:color w:val="000000" w:themeColor="text1"/>
              </w:rPr>
              <w:t>）</w:t>
            </w:r>
            <w:r>
              <w:rPr>
                <w:color w:val="000000" w:themeColor="text1"/>
              </w:rPr>
              <w:t>要求进行防渗</w:t>
            </w:r>
          </w:p>
        </w:tc>
      </w:tr>
      <w:tr w:rsidR="00644456">
        <w:trPr>
          <w:jc w:val="center"/>
        </w:trPr>
        <w:tc>
          <w:tcPr>
            <w:tcW w:w="711" w:type="dxa"/>
            <w:vMerge/>
            <w:vAlign w:val="center"/>
          </w:tcPr>
          <w:p w:rsidR="00644456" w:rsidRDefault="00644456">
            <w:pPr>
              <w:adjustRightInd w:val="0"/>
              <w:snapToGrid w:val="0"/>
              <w:jc w:val="center"/>
              <w:rPr>
                <w:color w:val="000000" w:themeColor="text1"/>
                <w:szCs w:val="21"/>
              </w:rPr>
            </w:pPr>
          </w:p>
        </w:tc>
        <w:tc>
          <w:tcPr>
            <w:tcW w:w="2309" w:type="dxa"/>
            <w:vAlign w:val="center"/>
          </w:tcPr>
          <w:p w:rsidR="00644456" w:rsidRDefault="008031C4">
            <w:pPr>
              <w:adjustRightInd w:val="0"/>
              <w:snapToGrid w:val="0"/>
              <w:jc w:val="center"/>
              <w:rPr>
                <w:color w:val="000000" w:themeColor="text1"/>
                <w:szCs w:val="21"/>
              </w:rPr>
            </w:pPr>
            <w:r>
              <w:rPr>
                <w:color w:val="000000" w:themeColor="text1"/>
                <w:szCs w:val="21"/>
              </w:rPr>
              <w:t>生活垃圾</w:t>
            </w:r>
          </w:p>
        </w:tc>
        <w:tc>
          <w:tcPr>
            <w:tcW w:w="7136" w:type="dxa"/>
            <w:gridSpan w:val="3"/>
            <w:vAlign w:val="center"/>
          </w:tcPr>
          <w:p w:rsidR="00644456" w:rsidRPr="00AC71A6" w:rsidRDefault="008031C4">
            <w:pPr>
              <w:adjustRightInd w:val="0"/>
              <w:snapToGrid w:val="0"/>
              <w:jc w:val="left"/>
              <w:rPr>
                <w:color w:val="FF0000"/>
                <w:szCs w:val="21"/>
              </w:rPr>
            </w:pPr>
            <w:r w:rsidRPr="00AC71A6">
              <w:rPr>
                <w:color w:val="FF0000"/>
                <w:szCs w:val="21"/>
              </w:rPr>
              <w:t>生活垃圾在</w:t>
            </w:r>
            <w:r w:rsidR="00AC71A6" w:rsidRPr="00AC71A6">
              <w:rPr>
                <w:rFonts w:hint="eastAsia"/>
                <w:color w:val="FF0000"/>
                <w:szCs w:val="21"/>
              </w:rPr>
              <w:t>分类收集</w:t>
            </w:r>
            <w:r w:rsidRPr="00AC71A6">
              <w:rPr>
                <w:color w:val="FF0000"/>
                <w:szCs w:val="21"/>
              </w:rPr>
              <w:t>后，由环卫</w:t>
            </w:r>
            <w:r w:rsidRPr="00AC71A6">
              <w:rPr>
                <w:rFonts w:hint="eastAsia"/>
                <w:color w:val="FF0000"/>
                <w:szCs w:val="21"/>
              </w:rPr>
              <w:t>部门</w:t>
            </w:r>
            <w:r w:rsidRPr="00AC71A6">
              <w:rPr>
                <w:color w:val="FF0000"/>
                <w:szCs w:val="21"/>
              </w:rPr>
              <w:t>统一清运</w:t>
            </w:r>
          </w:p>
        </w:tc>
        <w:tc>
          <w:tcPr>
            <w:tcW w:w="3884" w:type="dxa"/>
            <w:vAlign w:val="center"/>
          </w:tcPr>
          <w:p w:rsidR="00644456" w:rsidRDefault="008031C4">
            <w:pPr>
              <w:adjustRightInd w:val="0"/>
              <w:snapToGrid w:val="0"/>
              <w:jc w:val="center"/>
              <w:rPr>
                <w:color w:val="000000" w:themeColor="text1"/>
              </w:rPr>
            </w:pPr>
            <w:r>
              <w:rPr>
                <w:color w:val="000000" w:themeColor="text1"/>
              </w:rPr>
              <w:t>/</w:t>
            </w:r>
          </w:p>
        </w:tc>
      </w:tr>
      <w:tr w:rsidR="00644456">
        <w:trPr>
          <w:jc w:val="center"/>
        </w:trPr>
        <w:tc>
          <w:tcPr>
            <w:tcW w:w="711" w:type="dxa"/>
            <w:vAlign w:val="center"/>
          </w:tcPr>
          <w:p w:rsidR="00644456" w:rsidRDefault="008031C4">
            <w:pPr>
              <w:adjustRightInd w:val="0"/>
              <w:snapToGrid w:val="0"/>
              <w:jc w:val="center"/>
              <w:rPr>
                <w:color w:val="000000" w:themeColor="text1"/>
                <w:szCs w:val="21"/>
              </w:rPr>
            </w:pPr>
            <w:r>
              <w:rPr>
                <w:color w:val="000000" w:themeColor="text1"/>
                <w:szCs w:val="21"/>
              </w:rPr>
              <w:t>噪声</w:t>
            </w:r>
          </w:p>
        </w:tc>
        <w:tc>
          <w:tcPr>
            <w:tcW w:w="2309" w:type="dxa"/>
            <w:vAlign w:val="center"/>
          </w:tcPr>
          <w:p w:rsidR="00644456" w:rsidRDefault="008031C4">
            <w:pPr>
              <w:adjustRightInd w:val="0"/>
              <w:snapToGrid w:val="0"/>
              <w:jc w:val="center"/>
              <w:rPr>
                <w:color w:val="000000" w:themeColor="text1"/>
                <w:szCs w:val="21"/>
              </w:rPr>
            </w:pPr>
            <w:r>
              <w:rPr>
                <w:color w:val="000000" w:themeColor="text1"/>
                <w:szCs w:val="21"/>
              </w:rPr>
              <w:t>生产区</w:t>
            </w:r>
          </w:p>
        </w:tc>
        <w:tc>
          <w:tcPr>
            <w:tcW w:w="7136" w:type="dxa"/>
            <w:gridSpan w:val="3"/>
            <w:vAlign w:val="center"/>
          </w:tcPr>
          <w:p w:rsidR="00644456" w:rsidRPr="00AC71A6" w:rsidRDefault="008031C4">
            <w:pPr>
              <w:adjustRightInd w:val="0"/>
              <w:snapToGrid w:val="0"/>
              <w:jc w:val="left"/>
              <w:rPr>
                <w:color w:val="FF0000"/>
                <w:szCs w:val="21"/>
              </w:rPr>
            </w:pPr>
            <w:r w:rsidRPr="00AC71A6">
              <w:rPr>
                <w:color w:val="FF0000"/>
                <w:szCs w:val="21"/>
              </w:rPr>
              <w:t>选用低噪声设备</w:t>
            </w:r>
            <w:r w:rsidR="00AC71A6" w:rsidRPr="00AC71A6">
              <w:rPr>
                <w:rFonts w:hint="eastAsia"/>
                <w:color w:val="FF0000"/>
                <w:szCs w:val="21"/>
              </w:rPr>
              <w:t>、</w:t>
            </w:r>
            <w:r w:rsidRPr="00AC71A6">
              <w:rPr>
                <w:color w:val="FF0000"/>
                <w:szCs w:val="21"/>
              </w:rPr>
              <w:t>基础</w:t>
            </w:r>
            <w:r w:rsidRPr="00AC71A6">
              <w:rPr>
                <w:rFonts w:hint="eastAsia"/>
                <w:color w:val="FF0000"/>
                <w:szCs w:val="21"/>
              </w:rPr>
              <w:t>减振</w:t>
            </w:r>
            <w:r w:rsidR="00AC71A6" w:rsidRPr="00AC71A6">
              <w:rPr>
                <w:rFonts w:hint="eastAsia"/>
                <w:color w:val="FF0000"/>
                <w:szCs w:val="21"/>
              </w:rPr>
              <w:t>、消声、厂房隔声、距离衰减</w:t>
            </w:r>
            <w:r w:rsidRPr="00AC71A6">
              <w:rPr>
                <w:color w:val="FF0000"/>
                <w:szCs w:val="21"/>
              </w:rPr>
              <w:t>等</w:t>
            </w:r>
          </w:p>
        </w:tc>
        <w:tc>
          <w:tcPr>
            <w:tcW w:w="3884" w:type="dxa"/>
            <w:vAlign w:val="center"/>
          </w:tcPr>
          <w:p w:rsidR="00644456" w:rsidRDefault="008031C4">
            <w:pPr>
              <w:adjustRightInd w:val="0"/>
              <w:snapToGrid w:val="0"/>
              <w:jc w:val="center"/>
              <w:rPr>
                <w:color w:val="000000" w:themeColor="text1"/>
                <w:szCs w:val="21"/>
              </w:rPr>
            </w:pPr>
            <w:r>
              <w:rPr>
                <w:color w:val="000000" w:themeColor="text1"/>
                <w:szCs w:val="21"/>
              </w:rPr>
              <w:t>满足《工业企业厂界环境噪声排放标准》</w:t>
            </w:r>
            <w:r>
              <w:rPr>
                <w:color w:val="000000" w:themeColor="text1"/>
                <w:szCs w:val="21"/>
              </w:rPr>
              <w:t>3</w:t>
            </w:r>
            <w:r>
              <w:rPr>
                <w:color w:val="000000" w:themeColor="text1"/>
                <w:szCs w:val="21"/>
              </w:rPr>
              <w:t>类标准</w:t>
            </w:r>
          </w:p>
        </w:tc>
      </w:tr>
      <w:tr w:rsidR="00644456">
        <w:trPr>
          <w:jc w:val="center"/>
        </w:trPr>
        <w:tc>
          <w:tcPr>
            <w:tcW w:w="3020" w:type="dxa"/>
            <w:gridSpan w:val="2"/>
            <w:vAlign w:val="center"/>
          </w:tcPr>
          <w:p w:rsidR="00644456" w:rsidRDefault="008031C4">
            <w:pPr>
              <w:adjustRightInd w:val="0"/>
              <w:snapToGrid w:val="0"/>
              <w:jc w:val="center"/>
              <w:rPr>
                <w:color w:val="000000" w:themeColor="text1"/>
                <w:szCs w:val="21"/>
              </w:rPr>
            </w:pPr>
            <w:r>
              <w:rPr>
                <w:color w:val="000000" w:themeColor="text1"/>
                <w:szCs w:val="21"/>
              </w:rPr>
              <w:t>生态</w:t>
            </w:r>
          </w:p>
        </w:tc>
        <w:tc>
          <w:tcPr>
            <w:tcW w:w="7136" w:type="dxa"/>
            <w:gridSpan w:val="3"/>
            <w:vAlign w:val="center"/>
          </w:tcPr>
          <w:p w:rsidR="00644456" w:rsidRPr="00AC71A6" w:rsidRDefault="008031C4">
            <w:pPr>
              <w:adjustRightInd w:val="0"/>
              <w:snapToGrid w:val="0"/>
              <w:jc w:val="left"/>
              <w:rPr>
                <w:color w:val="FF0000"/>
                <w:szCs w:val="21"/>
              </w:rPr>
            </w:pPr>
            <w:r w:rsidRPr="00AC71A6">
              <w:rPr>
                <w:color w:val="FF0000"/>
                <w:szCs w:val="21"/>
              </w:rPr>
              <w:t>厂区绿化</w:t>
            </w:r>
          </w:p>
        </w:tc>
        <w:tc>
          <w:tcPr>
            <w:tcW w:w="3884" w:type="dxa"/>
            <w:vAlign w:val="center"/>
          </w:tcPr>
          <w:p w:rsidR="00644456" w:rsidRDefault="008031C4">
            <w:pPr>
              <w:adjustRightInd w:val="0"/>
              <w:snapToGrid w:val="0"/>
              <w:jc w:val="center"/>
              <w:rPr>
                <w:color w:val="000000" w:themeColor="text1"/>
                <w:szCs w:val="21"/>
              </w:rPr>
            </w:pPr>
            <w:r>
              <w:rPr>
                <w:color w:val="000000" w:themeColor="text1"/>
                <w:szCs w:val="21"/>
              </w:rPr>
              <w:t>/</w:t>
            </w:r>
          </w:p>
        </w:tc>
      </w:tr>
      <w:tr w:rsidR="00644456">
        <w:trPr>
          <w:jc w:val="center"/>
        </w:trPr>
        <w:tc>
          <w:tcPr>
            <w:tcW w:w="3020" w:type="dxa"/>
            <w:gridSpan w:val="2"/>
            <w:vAlign w:val="center"/>
          </w:tcPr>
          <w:p w:rsidR="00644456" w:rsidRDefault="008031C4">
            <w:pPr>
              <w:adjustRightInd w:val="0"/>
              <w:snapToGrid w:val="0"/>
              <w:jc w:val="center"/>
              <w:rPr>
                <w:color w:val="000000" w:themeColor="text1"/>
                <w:szCs w:val="21"/>
              </w:rPr>
            </w:pPr>
            <w:r>
              <w:rPr>
                <w:color w:val="000000" w:themeColor="text1"/>
                <w:szCs w:val="21"/>
              </w:rPr>
              <w:t>风险</w:t>
            </w:r>
          </w:p>
        </w:tc>
        <w:tc>
          <w:tcPr>
            <w:tcW w:w="7136" w:type="dxa"/>
            <w:gridSpan w:val="3"/>
            <w:vAlign w:val="center"/>
          </w:tcPr>
          <w:p w:rsidR="00644456" w:rsidRPr="00AC71A6" w:rsidRDefault="008031C4">
            <w:pPr>
              <w:numPr>
                <w:ilvl w:val="0"/>
                <w:numId w:val="10"/>
              </w:numPr>
              <w:adjustRightInd w:val="0"/>
              <w:snapToGrid w:val="0"/>
              <w:jc w:val="left"/>
              <w:rPr>
                <w:color w:val="FF0000"/>
                <w:szCs w:val="21"/>
              </w:rPr>
            </w:pPr>
            <w:r w:rsidRPr="00AC71A6">
              <w:rPr>
                <w:color w:val="FF0000"/>
                <w:szCs w:val="21"/>
              </w:rPr>
              <w:t>储罐区设置围堰，围堰高度</w:t>
            </w:r>
            <w:r w:rsidRPr="00AC71A6">
              <w:rPr>
                <w:color w:val="FF0000"/>
                <w:szCs w:val="21"/>
              </w:rPr>
              <w:t>1.5m</w:t>
            </w:r>
            <w:r w:rsidRPr="00AC71A6">
              <w:rPr>
                <w:color w:val="FF0000"/>
                <w:szCs w:val="21"/>
              </w:rPr>
              <w:t>；</w:t>
            </w:r>
          </w:p>
          <w:p w:rsidR="00644456" w:rsidRPr="00AC71A6" w:rsidRDefault="008031C4">
            <w:pPr>
              <w:numPr>
                <w:ilvl w:val="0"/>
                <w:numId w:val="10"/>
              </w:numPr>
              <w:adjustRightInd w:val="0"/>
              <w:snapToGrid w:val="0"/>
              <w:jc w:val="left"/>
              <w:rPr>
                <w:color w:val="FF0000"/>
                <w:szCs w:val="21"/>
              </w:rPr>
            </w:pPr>
            <w:r w:rsidRPr="00AC71A6">
              <w:rPr>
                <w:color w:val="FF0000"/>
                <w:szCs w:val="21"/>
              </w:rPr>
              <w:t>建设</w:t>
            </w:r>
            <w:r w:rsidRPr="00AC71A6">
              <w:rPr>
                <w:color w:val="FF0000"/>
                <w:szCs w:val="21"/>
              </w:rPr>
              <w:t>1</w:t>
            </w:r>
            <w:r w:rsidRPr="00AC71A6">
              <w:rPr>
                <w:color w:val="FF0000"/>
                <w:szCs w:val="21"/>
              </w:rPr>
              <w:t>座</w:t>
            </w:r>
            <w:r w:rsidR="00AC71A6" w:rsidRPr="00AC71A6">
              <w:rPr>
                <w:color w:val="FF0000"/>
                <w:szCs w:val="21"/>
              </w:rPr>
              <w:t>7</w:t>
            </w:r>
            <w:r w:rsidRPr="00AC71A6">
              <w:rPr>
                <w:color w:val="FF0000"/>
                <w:szCs w:val="21"/>
              </w:rPr>
              <w:t>00m</w:t>
            </w:r>
            <w:r w:rsidRPr="00AC71A6">
              <w:rPr>
                <w:color w:val="FF0000"/>
                <w:szCs w:val="21"/>
                <w:vertAlign w:val="superscript"/>
              </w:rPr>
              <w:t>3</w:t>
            </w:r>
            <w:r w:rsidRPr="00AC71A6">
              <w:rPr>
                <w:color w:val="FF0000"/>
                <w:szCs w:val="21"/>
              </w:rPr>
              <w:t>的事故池；</w:t>
            </w:r>
          </w:p>
          <w:p w:rsidR="00644456" w:rsidRPr="00AC71A6" w:rsidRDefault="008031C4">
            <w:pPr>
              <w:numPr>
                <w:ilvl w:val="0"/>
                <w:numId w:val="10"/>
              </w:numPr>
              <w:adjustRightInd w:val="0"/>
              <w:snapToGrid w:val="0"/>
              <w:jc w:val="left"/>
              <w:rPr>
                <w:color w:val="FF0000"/>
                <w:szCs w:val="21"/>
              </w:rPr>
            </w:pPr>
            <w:r w:rsidRPr="00AC71A6">
              <w:rPr>
                <w:color w:val="FF0000"/>
                <w:szCs w:val="21"/>
              </w:rPr>
              <w:t>厂区进行分区防渗；</w:t>
            </w:r>
          </w:p>
          <w:p w:rsidR="00AC71A6" w:rsidRPr="00AC71A6" w:rsidRDefault="00AC71A6" w:rsidP="00AC71A6">
            <w:pPr>
              <w:numPr>
                <w:ilvl w:val="0"/>
                <w:numId w:val="10"/>
              </w:numPr>
              <w:adjustRightInd w:val="0"/>
              <w:snapToGrid w:val="0"/>
              <w:jc w:val="left"/>
              <w:rPr>
                <w:color w:val="FF0000"/>
              </w:rPr>
            </w:pPr>
            <w:r w:rsidRPr="00AC71A6">
              <w:rPr>
                <w:rFonts w:hint="eastAsia"/>
                <w:color w:val="FF0000"/>
              </w:rPr>
              <w:t>建设</w:t>
            </w:r>
            <w:r w:rsidRPr="00AC71A6">
              <w:rPr>
                <w:rFonts w:hint="eastAsia"/>
                <w:color w:val="FF0000"/>
              </w:rPr>
              <w:t>1</w:t>
            </w:r>
            <w:r w:rsidRPr="00AC71A6">
              <w:rPr>
                <w:rFonts w:hint="eastAsia"/>
                <w:color w:val="FF0000"/>
              </w:rPr>
              <w:t>座</w:t>
            </w:r>
            <w:r w:rsidRPr="00AC71A6">
              <w:rPr>
                <w:rFonts w:hint="eastAsia"/>
                <w:color w:val="FF0000"/>
              </w:rPr>
              <w:t>3</w:t>
            </w:r>
            <w:r w:rsidRPr="00AC71A6">
              <w:rPr>
                <w:color w:val="FF0000"/>
              </w:rPr>
              <w:t>00</w:t>
            </w:r>
            <w:r w:rsidRPr="00AC71A6">
              <w:rPr>
                <w:color w:val="FF0000"/>
                <w:szCs w:val="21"/>
              </w:rPr>
              <w:t xml:space="preserve"> m</w:t>
            </w:r>
            <w:r w:rsidRPr="00AC71A6">
              <w:rPr>
                <w:color w:val="FF0000"/>
                <w:szCs w:val="21"/>
                <w:vertAlign w:val="superscript"/>
              </w:rPr>
              <w:t>3</w:t>
            </w:r>
            <w:r w:rsidRPr="00AC71A6">
              <w:rPr>
                <w:color w:val="FF0000"/>
                <w:szCs w:val="21"/>
              </w:rPr>
              <w:t>的事故池</w:t>
            </w:r>
            <w:r w:rsidRPr="00AC71A6">
              <w:rPr>
                <w:rFonts w:hint="eastAsia"/>
                <w:color w:val="FF0000"/>
                <w:szCs w:val="21"/>
              </w:rPr>
              <w:t>初期雨水；</w:t>
            </w:r>
          </w:p>
          <w:p w:rsidR="00644456" w:rsidRDefault="008031C4">
            <w:pPr>
              <w:numPr>
                <w:ilvl w:val="0"/>
                <w:numId w:val="10"/>
              </w:numPr>
              <w:adjustRightInd w:val="0"/>
              <w:snapToGrid w:val="0"/>
              <w:jc w:val="left"/>
              <w:rPr>
                <w:color w:val="FF0000"/>
                <w:szCs w:val="21"/>
              </w:rPr>
            </w:pPr>
            <w:r w:rsidRPr="00AC71A6">
              <w:rPr>
                <w:color w:val="FF0000"/>
                <w:szCs w:val="21"/>
              </w:rPr>
              <w:t>编制突发环境事件应急预案。</w:t>
            </w:r>
          </w:p>
          <w:p w:rsidR="00AC71A6" w:rsidRDefault="00AC71A6" w:rsidP="00AC71A6">
            <w:pPr>
              <w:pStyle w:val="afffffff4"/>
              <w:jc w:val="left"/>
              <w:rPr>
                <w:rFonts w:cs="Times New Roman"/>
                <w:snapToGrid/>
                <w:color w:val="000000" w:themeColor="text1"/>
                <w:kern w:val="2"/>
              </w:rPr>
            </w:pPr>
            <w:r>
              <w:rPr>
                <w:rFonts w:cs="Times New Roman" w:hint="eastAsia"/>
                <w:snapToGrid/>
                <w:color w:val="000000" w:themeColor="text1"/>
                <w:kern w:val="2"/>
              </w:rPr>
              <w:t>6</w:t>
            </w:r>
            <w:r>
              <w:rPr>
                <w:rFonts w:cs="Times New Roman" w:hint="eastAsia"/>
                <w:snapToGrid/>
                <w:color w:val="000000" w:themeColor="text1"/>
                <w:kern w:val="2"/>
              </w:rPr>
              <w:t>、重点防渗区：包括污水处理站、危废暂存间、罐区以及生产区域采取防渗混凝土</w:t>
            </w:r>
            <w:r>
              <w:rPr>
                <w:rFonts w:cs="Times New Roman" w:hint="eastAsia"/>
                <w:snapToGrid/>
                <w:color w:val="000000" w:themeColor="text1"/>
                <w:kern w:val="2"/>
              </w:rPr>
              <w:t>+</w:t>
            </w:r>
            <w:r>
              <w:rPr>
                <w:rFonts w:cs="Times New Roman" w:hint="eastAsia"/>
                <w:snapToGrid/>
                <w:color w:val="000000" w:themeColor="text1"/>
                <w:kern w:val="2"/>
              </w:rPr>
              <w:t>水泥砂浆</w:t>
            </w:r>
            <w:r>
              <w:rPr>
                <w:rFonts w:cs="Times New Roman" w:hint="eastAsia"/>
                <w:snapToGrid/>
                <w:color w:val="000000" w:themeColor="text1"/>
                <w:kern w:val="2"/>
              </w:rPr>
              <w:t>+2mm</w:t>
            </w:r>
            <w:r>
              <w:rPr>
                <w:rFonts w:cs="Times New Roman" w:hint="eastAsia"/>
                <w:snapToGrid/>
                <w:color w:val="000000" w:themeColor="text1"/>
                <w:kern w:val="2"/>
              </w:rPr>
              <w:t>的环氧树脂漆或其他人工防渗材料，确保等效黏土防护层</w:t>
            </w:r>
            <w:r>
              <w:rPr>
                <w:rFonts w:cs="Times New Roman" w:hint="eastAsia"/>
                <w:snapToGrid/>
                <w:color w:val="000000" w:themeColor="text1"/>
                <w:kern w:val="2"/>
              </w:rPr>
              <w:t>Mb</w:t>
            </w:r>
            <w:r>
              <w:rPr>
                <w:rFonts w:cs="Times New Roman" w:hint="eastAsia"/>
                <w:snapToGrid/>
                <w:color w:val="000000" w:themeColor="text1"/>
                <w:kern w:val="2"/>
              </w:rPr>
              <w:t>≥</w:t>
            </w:r>
            <w:r>
              <w:rPr>
                <w:rFonts w:cs="Times New Roman" w:hint="eastAsia"/>
                <w:snapToGrid/>
                <w:color w:val="000000" w:themeColor="text1"/>
                <w:kern w:val="2"/>
              </w:rPr>
              <w:t>6.0m</w:t>
            </w:r>
            <w:r>
              <w:rPr>
                <w:rFonts w:cs="Times New Roman" w:hint="eastAsia"/>
                <w:snapToGrid/>
                <w:color w:val="000000" w:themeColor="text1"/>
                <w:kern w:val="2"/>
              </w:rPr>
              <w:t>，≤</w:t>
            </w:r>
            <w:r>
              <w:rPr>
                <w:rFonts w:cs="Times New Roman" w:hint="eastAsia"/>
                <w:snapToGrid/>
                <w:color w:val="000000" w:themeColor="text1"/>
                <w:kern w:val="2"/>
              </w:rPr>
              <w:t>1.0</w:t>
            </w:r>
            <w:r>
              <w:rPr>
                <w:rFonts w:cs="Times New Roman" w:hint="eastAsia"/>
                <w:snapToGrid/>
                <w:color w:val="000000" w:themeColor="text1"/>
                <w:kern w:val="2"/>
              </w:rPr>
              <w:t>×</w:t>
            </w:r>
            <w:r>
              <w:rPr>
                <w:rFonts w:cs="Times New Roman" w:hint="eastAsia"/>
                <w:snapToGrid/>
                <w:color w:val="000000" w:themeColor="text1"/>
                <w:kern w:val="2"/>
              </w:rPr>
              <w:t>10</w:t>
            </w:r>
            <w:r w:rsidRPr="00AC71A6">
              <w:rPr>
                <w:rFonts w:cs="Times New Roman" w:hint="eastAsia"/>
                <w:snapToGrid/>
                <w:color w:val="000000" w:themeColor="text1"/>
                <w:kern w:val="2"/>
                <w:vertAlign w:val="superscript"/>
              </w:rPr>
              <w:t>-10</w:t>
            </w:r>
            <w:r>
              <w:rPr>
                <w:rFonts w:cs="Times New Roman" w:hint="eastAsia"/>
                <w:snapToGrid/>
                <w:color w:val="000000" w:themeColor="text1"/>
                <w:kern w:val="2"/>
              </w:rPr>
              <w:t>cm/s</w:t>
            </w:r>
            <w:r>
              <w:rPr>
                <w:rFonts w:cs="Times New Roman" w:hint="eastAsia"/>
                <w:snapToGrid/>
                <w:color w:val="000000" w:themeColor="text1"/>
                <w:kern w:val="2"/>
              </w:rPr>
              <w:t>。危废暂存间采取防渗混凝土</w:t>
            </w:r>
            <w:r>
              <w:rPr>
                <w:rFonts w:cs="Times New Roman" w:hint="eastAsia"/>
                <w:snapToGrid/>
                <w:color w:val="000000" w:themeColor="text1"/>
                <w:kern w:val="2"/>
              </w:rPr>
              <w:t>+</w:t>
            </w:r>
            <w:r>
              <w:rPr>
                <w:rFonts w:cs="Times New Roman" w:hint="eastAsia"/>
                <w:snapToGrid/>
                <w:color w:val="000000" w:themeColor="text1"/>
                <w:kern w:val="2"/>
              </w:rPr>
              <w:t>水泥砂浆</w:t>
            </w:r>
            <w:r>
              <w:rPr>
                <w:rFonts w:cs="Times New Roman" w:hint="eastAsia"/>
                <w:snapToGrid/>
                <w:color w:val="000000" w:themeColor="text1"/>
                <w:kern w:val="2"/>
              </w:rPr>
              <w:t>+2mm</w:t>
            </w:r>
            <w:r>
              <w:rPr>
                <w:rFonts w:cs="Times New Roman" w:hint="eastAsia"/>
                <w:snapToGrid/>
                <w:color w:val="000000" w:themeColor="text1"/>
                <w:kern w:val="2"/>
              </w:rPr>
              <w:t>环氧树脂漆或其他人工防渗材料，并设置专门收集桶收集，将危险废物容器置于专门收集桶之上，确保等效黏土防护层</w:t>
            </w:r>
            <w:r>
              <w:rPr>
                <w:rFonts w:cs="Times New Roman" w:hint="eastAsia"/>
                <w:snapToGrid/>
                <w:color w:val="000000" w:themeColor="text1"/>
                <w:kern w:val="2"/>
              </w:rPr>
              <w:t>Mb</w:t>
            </w:r>
            <w:r>
              <w:rPr>
                <w:rFonts w:cs="Times New Roman" w:hint="eastAsia"/>
                <w:snapToGrid/>
                <w:color w:val="000000" w:themeColor="text1"/>
                <w:kern w:val="2"/>
              </w:rPr>
              <w:t>≥</w:t>
            </w:r>
            <w:r>
              <w:rPr>
                <w:rFonts w:cs="Times New Roman" w:hint="eastAsia"/>
                <w:snapToGrid/>
                <w:color w:val="000000" w:themeColor="text1"/>
                <w:kern w:val="2"/>
              </w:rPr>
              <w:t>6.0m</w:t>
            </w:r>
            <w:r>
              <w:rPr>
                <w:rFonts w:cs="Times New Roman" w:hint="eastAsia"/>
                <w:snapToGrid/>
                <w:color w:val="000000" w:themeColor="text1"/>
                <w:kern w:val="2"/>
              </w:rPr>
              <w:t>，≤</w:t>
            </w:r>
            <w:r>
              <w:rPr>
                <w:rFonts w:cs="Times New Roman" w:hint="eastAsia"/>
                <w:snapToGrid/>
                <w:color w:val="000000" w:themeColor="text1"/>
                <w:kern w:val="2"/>
              </w:rPr>
              <w:t>1.0</w:t>
            </w:r>
            <w:r>
              <w:rPr>
                <w:rFonts w:cs="Times New Roman" w:hint="eastAsia"/>
                <w:snapToGrid/>
                <w:color w:val="000000" w:themeColor="text1"/>
                <w:kern w:val="2"/>
              </w:rPr>
              <w:t>×</w:t>
            </w:r>
            <w:r>
              <w:rPr>
                <w:rFonts w:cs="Times New Roman" w:hint="eastAsia"/>
                <w:snapToGrid/>
                <w:color w:val="000000" w:themeColor="text1"/>
                <w:kern w:val="2"/>
              </w:rPr>
              <w:t>10</w:t>
            </w:r>
            <w:r w:rsidRPr="00AC71A6">
              <w:rPr>
                <w:rFonts w:cs="Times New Roman" w:hint="eastAsia"/>
                <w:snapToGrid/>
                <w:color w:val="000000" w:themeColor="text1"/>
                <w:kern w:val="2"/>
                <w:vertAlign w:val="superscript"/>
              </w:rPr>
              <w:t>-10</w:t>
            </w:r>
            <w:r>
              <w:rPr>
                <w:rFonts w:cs="Times New Roman" w:hint="eastAsia"/>
                <w:snapToGrid/>
                <w:color w:val="000000" w:themeColor="text1"/>
                <w:kern w:val="2"/>
              </w:rPr>
              <w:t>cm/s</w:t>
            </w:r>
            <w:r>
              <w:rPr>
                <w:rFonts w:cs="Times New Roman" w:hint="eastAsia"/>
                <w:snapToGrid/>
                <w:color w:val="000000" w:themeColor="text1"/>
                <w:kern w:val="2"/>
              </w:rPr>
              <w:t>。</w:t>
            </w:r>
          </w:p>
          <w:p w:rsidR="00AC71A6" w:rsidRPr="00AC71A6" w:rsidRDefault="00AC71A6" w:rsidP="00AC71A6">
            <w:pPr>
              <w:pStyle w:val="afffffff4"/>
              <w:jc w:val="left"/>
              <w:rPr>
                <w:rFonts w:cs="Times New Roman"/>
                <w:snapToGrid/>
                <w:color w:val="000000" w:themeColor="text1"/>
                <w:kern w:val="2"/>
              </w:rPr>
            </w:pPr>
            <w:r>
              <w:rPr>
                <w:rFonts w:cs="Times New Roman" w:hint="eastAsia"/>
                <w:snapToGrid/>
                <w:color w:val="000000" w:themeColor="text1"/>
                <w:kern w:val="2"/>
              </w:rPr>
              <w:t>一般防渗区：包括一般固废暂存间等以及预处理池，采取防渗混凝土</w:t>
            </w:r>
            <w:r>
              <w:rPr>
                <w:rFonts w:cs="Times New Roman" w:hint="eastAsia"/>
                <w:snapToGrid/>
                <w:color w:val="000000" w:themeColor="text1"/>
                <w:kern w:val="2"/>
              </w:rPr>
              <w:t>+</w:t>
            </w:r>
            <w:r>
              <w:rPr>
                <w:rFonts w:cs="Times New Roman" w:hint="eastAsia"/>
                <w:snapToGrid/>
                <w:color w:val="000000" w:themeColor="text1"/>
                <w:kern w:val="2"/>
              </w:rPr>
              <w:t>水泥砂浆，确保防渗技术达到等效黏土防渗层</w:t>
            </w:r>
            <w:r>
              <w:rPr>
                <w:rFonts w:cs="Times New Roman" w:hint="eastAsia"/>
                <w:snapToGrid/>
                <w:color w:val="000000" w:themeColor="text1"/>
                <w:kern w:val="2"/>
              </w:rPr>
              <w:t>Mb</w:t>
            </w:r>
            <w:r>
              <w:rPr>
                <w:rFonts w:cs="Times New Roman" w:hint="eastAsia"/>
                <w:snapToGrid/>
                <w:color w:val="000000" w:themeColor="text1"/>
                <w:kern w:val="2"/>
              </w:rPr>
              <w:t>≥</w:t>
            </w:r>
            <w:r>
              <w:rPr>
                <w:rFonts w:cs="Times New Roman" w:hint="eastAsia"/>
                <w:snapToGrid/>
                <w:color w:val="000000" w:themeColor="text1"/>
                <w:kern w:val="2"/>
              </w:rPr>
              <w:t>1.5m</w:t>
            </w:r>
            <w:r>
              <w:rPr>
                <w:rFonts w:cs="Times New Roman" w:hint="eastAsia"/>
                <w:snapToGrid/>
                <w:color w:val="000000" w:themeColor="text1"/>
                <w:kern w:val="2"/>
              </w:rPr>
              <w:t>，渗透系数</w:t>
            </w:r>
            <w:r>
              <w:rPr>
                <w:rFonts w:cs="Times New Roman" w:hint="eastAsia"/>
                <w:snapToGrid/>
                <w:color w:val="000000" w:themeColor="text1"/>
                <w:kern w:val="2"/>
              </w:rPr>
              <w:t>K</w:t>
            </w:r>
            <w:r>
              <w:rPr>
                <w:rFonts w:cs="Times New Roman" w:hint="eastAsia"/>
                <w:snapToGrid/>
                <w:color w:val="000000" w:themeColor="text1"/>
                <w:kern w:val="2"/>
              </w:rPr>
              <w:t>≤</w:t>
            </w:r>
            <w:r>
              <w:rPr>
                <w:rFonts w:cs="Times New Roman" w:hint="eastAsia"/>
                <w:snapToGrid/>
                <w:color w:val="000000" w:themeColor="text1"/>
                <w:kern w:val="2"/>
              </w:rPr>
              <w:t>10</w:t>
            </w:r>
            <w:r w:rsidRPr="00AC71A6">
              <w:rPr>
                <w:rFonts w:cs="Times New Roman" w:hint="eastAsia"/>
                <w:snapToGrid/>
                <w:color w:val="000000" w:themeColor="text1"/>
                <w:kern w:val="2"/>
                <w:vertAlign w:val="superscript"/>
              </w:rPr>
              <w:t>-7</w:t>
            </w:r>
            <w:r>
              <w:rPr>
                <w:rFonts w:cs="Times New Roman" w:hint="eastAsia"/>
                <w:snapToGrid/>
                <w:color w:val="000000" w:themeColor="text1"/>
                <w:kern w:val="2"/>
              </w:rPr>
              <w:t>cm/s</w:t>
            </w:r>
            <w:r>
              <w:rPr>
                <w:rFonts w:cs="Times New Roman" w:hint="eastAsia"/>
                <w:snapToGrid/>
                <w:color w:val="000000" w:themeColor="text1"/>
                <w:kern w:val="2"/>
              </w:rPr>
              <w:t>。</w:t>
            </w:r>
            <w:r>
              <w:rPr>
                <w:rFonts w:cs="Times New Roman" w:hint="eastAsia"/>
                <w:snapToGrid/>
                <w:color w:val="000000" w:themeColor="text1"/>
                <w:kern w:val="2"/>
              </w:rPr>
              <w:lastRenderedPageBreak/>
              <w:t>简单防渗区：包括办公、综合楼，采用一般地面硬化处理。</w:t>
            </w:r>
          </w:p>
        </w:tc>
        <w:tc>
          <w:tcPr>
            <w:tcW w:w="3884" w:type="dxa"/>
            <w:vAlign w:val="center"/>
          </w:tcPr>
          <w:p w:rsidR="00644456" w:rsidRDefault="008031C4">
            <w:pPr>
              <w:adjustRightInd w:val="0"/>
              <w:snapToGrid w:val="0"/>
              <w:jc w:val="center"/>
              <w:rPr>
                <w:color w:val="000000" w:themeColor="text1"/>
                <w:szCs w:val="21"/>
              </w:rPr>
            </w:pPr>
            <w:r>
              <w:rPr>
                <w:color w:val="000000" w:themeColor="text1"/>
                <w:szCs w:val="21"/>
              </w:rPr>
              <w:lastRenderedPageBreak/>
              <w:t>满足风险事故应急要求</w:t>
            </w:r>
          </w:p>
        </w:tc>
      </w:tr>
      <w:tr w:rsidR="00644456">
        <w:trPr>
          <w:jc w:val="center"/>
        </w:trPr>
        <w:tc>
          <w:tcPr>
            <w:tcW w:w="3020" w:type="dxa"/>
            <w:gridSpan w:val="2"/>
            <w:vAlign w:val="center"/>
          </w:tcPr>
          <w:p w:rsidR="00644456" w:rsidRDefault="008031C4">
            <w:pPr>
              <w:adjustRightInd w:val="0"/>
              <w:snapToGrid w:val="0"/>
              <w:jc w:val="center"/>
              <w:rPr>
                <w:color w:val="000000" w:themeColor="text1"/>
                <w:szCs w:val="21"/>
              </w:rPr>
            </w:pPr>
            <w:r>
              <w:rPr>
                <w:color w:val="000000" w:themeColor="text1"/>
                <w:szCs w:val="21"/>
              </w:rPr>
              <w:t>其他</w:t>
            </w:r>
          </w:p>
        </w:tc>
        <w:tc>
          <w:tcPr>
            <w:tcW w:w="7136" w:type="dxa"/>
            <w:gridSpan w:val="3"/>
            <w:vAlign w:val="center"/>
          </w:tcPr>
          <w:p w:rsidR="00644456" w:rsidRDefault="008031C4">
            <w:pPr>
              <w:widowControl/>
              <w:numPr>
                <w:ilvl w:val="0"/>
                <w:numId w:val="11"/>
              </w:numPr>
              <w:adjustRightInd w:val="0"/>
              <w:snapToGrid w:val="0"/>
              <w:jc w:val="left"/>
              <w:rPr>
                <w:color w:val="000000" w:themeColor="text1"/>
                <w:szCs w:val="21"/>
              </w:rPr>
            </w:pPr>
            <w:r>
              <w:rPr>
                <w:color w:val="000000" w:themeColor="text1"/>
                <w:szCs w:val="21"/>
              </w:rPr>
              <w:t>健全公司管理机构和管理制度；</w:t>
            </w:r>
          </w:p>
          <w:p w:rsidR="00644456" w:rsidRDefault="008031C4">
            <w:pPr>
              <w:widowControl/>
              <w:numPr>
                <w:ilvl w:val="0"/>
                <w:numId w:val="11"/>
              </w:numPr>
              <w:adjustRightInd w:val="0"/>
              <w:snapToGrid w:val="0"/>
              <w:jc w:val="left"/>
              <w:rPr>
                <w:b/>
                <w:color w:val="000000" w:themeColor="text1"/>
                <w:szCs w:val="21"/>
              </w:rPr>
            </w:pPr>
            <w:r>
              <w:rPr>
                <w:color w:val="000000" w:themeColor="text1"/>
                <w:szCs w:val="21"/>
              </w:rPr>
              <w:t>定期委托有资质的环境监测单位进行污染物监测；</w:t>
            </w:r>
          </w:p>
          <w:p w:rsidR="00644456" w:rsidRDefault="008031C4">
            <w:pPr>
              <w:widowControl/>
              <w:numPr>
                <w:ilvl w:val="0"/>
                <w:numId w:val="11"/>
              </w:numPr>
              <w:adjustRightInd w:val="0"/>
              <w:snapToGrid w:val="0"/>
              <w:jc w:val="left"/>
              <w:rPr>
                <w:b/>
                <w:color w:val="000000" w:themeColor="text1"/>
                <w:szCs w:val="21"/>
              </w:rPr>
            </w:pPr>
            <w:r>
              <w:rPr>
                <w:color w:val="000000" w:themeColor="text1"/>
                <w:szCs w:val="21"/>
              </w:rPr>
              <w:t>设置</w:t>
            </w:r>
            <w:r>
              <w:rPr>
                <w:color w:val="000000" w:themeColor="text1"/>
                <w:szCs w:val="21"/>
              </w:rPr>
              <w:t>3</w:t>
            </w:r>
            <w:r>
              <w:rPr>
                <w:rFonts w:hint="eastAsia"/>
                <w:color w:val="000000" w:themeColor="text1"/>
                <w:szCs w:val="21"/>
              </w:rPr>
              <w:t>口</w:t>
            </w:r>
            <w:r>
              <w:rPr>
                <w:color w:val="000000" w:themeColor="text1"/>
                <w:szCs w:val="21"/>
              </w:rPr>
              <w:t>地下水监控井；</w:t>
            </w:r>
          </w:p>
          <w:p w:rsidR="00644456" w:rsidRDefault="008031C4">
            <w:pPr>
              <w:widowControl/>
              <w:numPr>
                <w:ilvl w:val="0"/>
                <w:numId w:val="11"/>
              </w:numPr>
              <w:adjustRightInd w:val="0"/>
              <w:snapToGrid w:val="0"/>
              <w:jc w:val="left"/>
              <w:rPr>
                <w:b/>
                <w:color w:val="000000" w:themeColor="text1"/>
                <w:szCs w:val="21"/>
              </w:rPr>
            </w:pPr>
            <w:r>
              <w:rPr>
                <w:color w:val="000000" w:themeColor="text1"/>
                <w:szCs w:val="21"/>
              </w:rPr>
              <w:t>排污口规范化。</w:t>
            </w:r>
          </w:p>
        </w:tc>
        <w:tc>
          <w:tcPr>
            <w:tcW w:w="3884" w:type="dxa"/>
            <w:vAlign w:val="center"/>
          </w:tcPr>
          <w:p w:rsidR="00644456" w:rsidRDefault="008031C4">
            <w:pPr>
              <w:adjustRightInd w:val="0"/>
              <w:snapToGrid w:val="0"/>
              <w:jc w:val="center"/>
              <w:rPr>
                <w:color w:val="000000" w:themeColor="text1"/>
                <w:szCs w:val="21"/>
              </w:rPr>
            </w:pPr>
            <w:r>
              <w:rPr>
                <w:color w:val="000000" w:themeColor="text1"/>
                <w:szCs w:val="21"/>
              </w:rPr>
              <w:t>按环评规定实施</w:t>
            </w:r>
          </w:p>
        </w:tc>
      </w:tr>
    </w:tbl>
    <w:p w:rsidR="00644456" w:rsidRDefault="00644456">
      <w:pPr>
        <w:pStyle w:val="1"/>
        <w:sectPr w:rsidR="00644456">
          <w:pgSz w:w="16838" w:h="11905" w:orient="landscape"/>
          <w:pgMar w:top="1440" w:right="1440" w:bottom="1440" w:left="1440" w:header="851" w:footer="992" w:gutter="0"/>
          <w:cols w:space="0"/>
        </w:sectPr>
      </w:pPr>
    </w:p>
    <w:p w:rsidR="00644456" w:rsidRDefault="008031C4">
      <w:pPr>
        <w:pStyle w:val="1"/>
        <w:numPr>
          <w:ilvl w:val="0"/>
          <w:numId w:val="0"/>
        </w:numPr>
      </w:pPr>
      <w:bookmarkStart w:id="561" w:name="_Toc177216922"/>
      <w:r>
        <w:rPr>
          <w:rFonts w:hint="eastAsia"/>
        </w:rPr>
        <w:lastRenderedPageBreak/>
        <w:t>第</w:t>
      </w:r>
      <w:r>
        <w:rPr>
          <w:rFonts w:hint="eastAsia"/>
        </w:rPr>
        <w:t xml:space="preserve"> 10 </w:t>
      </w:r>
      <w:r>
        <w:rPr>
          <w:rFonts w:hint="eastAsia"/>
        </w:rPr>
        <w:t>章</w:t>
      </w:r>
      <w:r>
        <w:rPr>
          <w:rFonts w:hint="eastAsia"/>
        </w:rPr>
        <w:t xml:space="preserve"> </w:t>
      </w:r>
      <w:r>
        <w:t>评价结论与建议</w:t>
      </w:r>
      <w:bookmarkEnd w:id="549"/>
      <w:bookmarkEnd w:id="550"/>
      <w:bookmarkEnd w:id="551"/>
      <w:bookmarkEnd w:id="552"/>
      <w:bookmarkEnd w:id="560"/>
      <w:bookmarkEnd w:id="561"/>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562" w:name="_Toc177216923"/>
      <w:bookmarkStart w:id="563" w:name="_Toc155789414"/>
      <w:r>
        <w:rPr>
          <w:rFonts w:cs="Times New Roman" w:hint="eastAsia"/>
          <w:color w:val="000000" w:themeColor="text1"/>
        </w:rPr>
        <w:t>10.1</w:t>
      </w:r>
      <w:r>
        <w:rPr>
          <w:rFonts w:cs="Times New Roman"/>
          <w:color w:val="000000" w:themeColor="text1"/>
        </w:rPr>
        <w:t>环境影响评价结论</w:t>
      </w:r>
      <w:bookmarkEnd w:id="562"/>
      <w:bookmarkEnd w:id="563"/>
    </w:p>
    <w:p w:rsidR="00644456" w:rsidRDefault="008031C4">
      <w:pPr>
        <w:pStyle w:val="3"/>
        <w:numPr>
          <w:ilvl w:val="2"/>
          <w:numId w:val="0"/>
        </w:numPr>
        <w:ind w:firstLineChars="200" w:firstLine="482"/>
      </w:pPr>
      <w:r>
        <w:rPr>
          <w:rFonts w:hint="eastAsia"/>
        </w:rPr>
        <w:t>10.1.1</w:t>
      </w:r>
      <w:r>
        <w:rPr>
          <w:rFonts w:hint="eastAsia"/>
        </w:rPr>
        <w:t>项目的产业政策符合性</w:t>
      </w:r>
    </w:p>
    <w:p w:rsidR="00644456" w:rsidRDefault="008031C4">
      <w:pPr>
        <w:pStyle w:val="-"/>
        <w:adjustRightInd w:val="0"/>
        <w:snapToGrid w:val="0"/>
        <w:ind w:firstLine="480"/>
        <w:rPr>
          <w:rFonts w:cs="Times New Roman"/>
          <w:color w:val="000000" w:themeColor="text1"/>
          <w:szCs w:val="24"/>
        </w:rPr>
      </w:pPr>
      <w:r>
        <w:rPr>
          <w:rFonts w:cs="Times New Roman" w:hint="eastAsia"/>
          <w:color w:val="000000" w:themeColor="text1"/>
          <w:szCs w:val="24"/>
        </w:rPr>
        <w:t>本项目属于废矿油的再生利用工程，属于《产业结构调整指导目录（</w:t>
      </w:r>
      <w:r>
        <w:rPr>
          <w:rFonts w:cs="Times New Roman" w:hint="eastAsia"/>
          <w:color w:val="000000" w:themeColor="text1"/>
          <w:szCs w:val="24"/>
        </w:rPr>
        <w:t>2024</w:t>
      </w:r>
      <w:r>
        <w:rPr>
          <w:rFonts w:cs="Times New Roman" w:hint="eastAsia"/>
          <w:color w:val="000000" w:themeColor="text1"/>
          <w:szCs w:val="24"/>
        </w:rPr>
        <w:t>年本）》中鼓励类四十二、环境保护与资源节约综合利用、危险废弃物处置：危险废物（医疗废物）无害化处置和高效利用技术设备开发制造、利用处置中心建设和（或）运营”；本项目建成后主要为喀什市疏勒县及周边区域服务，符合《危险废物污染防治技术政策》中鼓励重点城市建设区域性的废矿物油回收设施，为所在区域的废矿物油产生者提供服务的要求。</w:t>
      </w:r>
    </w:p>
    <w:p w:rsidR="00644456" w:rsidRDefault="008031C4">
      <w:pPr>
        <w:pStyle w:val="-"/>
        <w:adjustRightInd w:val="0"/>
        <w:snapToGrid w:val="0"/>
        <w:ind w:firstLine="480"/>
        <w:rPr>
          <w:rFonts w:cs="Times New Roman"/>
          <w:color w:val="000000" w:themeColor="text1"/>
          <w:szCs w:val="24"/>
        </w:rPr>
      </w:pPr>
      <w:r>
        <w:rPr>
          <w:rFonts w:cs="Times New Roman" w:hint="eastAsia"/>
          <w:color w:val="000000" w:themeColor="text1"/>
          <w:szCs w:val="24"/>
        </w:rPr>
        <w:t>同时，项目经新疆维吾尔自治区投资项目备案证已于</w:t>
      </w:r>
      <w:r>
        <w:rPr>
          <w:rFonts w:cs="Times New Roman" w:hint="eastAsia"/>
          <w:color w:val="000000" w:themeColor="text1"/>
          <w:szCs w:val="24"/>
        </w:rPr>
        <w:t>2024</w:t>
      </w:r>
      <w:r>
        <w:rPr>
          <w:rFonts w:cs="Times New Roman" w:hint="eastAsia"/>
          <w:color w:val="000000" w:themeColor="text1"/>
          <w:szCs w:val="24"/>
        </w:rPr>
        <w:t>年</w:t>
      </w:r>
      <w:r>
        <w:rPr>
          <w:rFonts w:cs="Times New Roman" w:hint="eastAsia"/>
          <w:color w:val="000000" w:themeColor="text1"/>
          <w:szCs w:val="24"/>
        </w:rPr>
        <w:t>5</w:t>
      </w:r>
      <w:r>
        <w:rPr>
          <w:rFonts w:cs="Times New Roman" w:hint="eastAsia"/>
          <w:color w:val="000000" w:themeColor="text1"/>
          <w:szCs w:val="24"/>
        </w:rPr>
        <w:t>月</w:t>
      </w:r>
      <w:r>
        <w:rPr>
          <w:rFonts w:cs="Times New Roman" w:hint="eastAsia"/>
          <w:color w:val="000000" w:themeColor="text1"/>
          <w:szCs w:val="24"/>
        </w:rPr>
        <w:t>29</w:t>
      </w:r>
      <w:r>
        <w:rPr>
          <w:rFonts w:cs="Times New Roman" w:hint="eastAsia"/>
          <w:color w:val="000000" w:themeColor="text1"/>
          <w:szCs w:val="24"/>
        </w:rPr>
        <w:t>日予以备案（备案号：</w:t>
      </w:r>
      <w:r>
        <w:rPr>
          <w:rFonts w:cs="Times New Roman" w:hint="eastAsia"/>
          <w:color w:val="000000" w:themeColor="text1"/>
          <w:szCs w:val="24"/>
        </w:rPr>
        <w:t>2405291785653100000058</w:t>
      </w:r>
      <w:r>
        <w:rPr>
          <w:rFonts w:cs="Times New Roman" w:hint="eastAsia"/>
          <w:color w:val="000000" w:themeColor="text1"/>
          <w:szCs w:val="24"/>
        </w:rPr>
        <w:t>）（见附件</w:t>
      </w:r>
      <w:r>
        <w:rPr>
          <w:rFonts w:cs="Times New Roman" w:hint="eastAsia"/>
          <w:color w:val="000000" w:themeColor="text1"/>
          <w:szCs w:val="24"/>
        </w:rPr>
        <w:t>1</w:t>
      </w:r>
      <w:r>
        <w:rPr>
          <w:rFonts w:cs="Times New Roman" w:hint="eastAsia"/>
          <w:color w:val="000000" w:themeColor="text1"/>
          <w:szCs w:val="24"/>
        </w:rPr>
        <w:t>）。</w:t>
      </w:r>
    </w:p>
    <w:p w:rsidR="00644456" w:rsidRDefault="008031C4">
      <w:pPr>
        <w:pStyle w:val="-"/>
        <w:adjustRightInd w:val="0"/>
        <w:snapToGrid w:val="0"/>
        <w:ind w:firstLine="480"/>
        <w:rPr>
          <w:rFonts w:cs="Times New Roman"/>
          <w:b/>
          <w:color w:val="000000" w:themeColor="text1"/>
          <w:szCs w:val="24"/>
        </w:rPr>
      </w:pPr>
      <w:r>
        <w:rPr>
          <w:rFonts w:cs="Times New Roman" w:hint="eastAsia"/>
          <w:color w:val="000000" w:themeColor="text1"/>
          <w:szCs w:val="24"/>
        </w:rPr>
        <w:t>因此，本项目符合《产业结构调整指导目录（</w:t>
      </w:r>
      <w:r>
        <w:rPr>
          <w:rFonts w:cs="Times New Roman" w:hint="eastAsia"/>
          <w:color w:val="000000" w:themeColor="text1"/>
          <w:szCs w:val="24"/>
        </w:rPr>
        <w:t>2024</w:t>
      </w:r>
      <w:r>
        <w:rPr>
          <w:rFonts w:cs="Times New Roman" w:hint="eastAsia"/>
          <w:color w:val="000000" w:themeColor="text1"/>
          <w:szCs w:val="24"/>
        </w:rPr>
        <w:t>年本）》相关要求与国家现行产业政策</w:t>
      </w:r>
      <w:r>
        <w:rPr>
          <w:rFonts w:cs="Times New Roman" w:hint="eastAsia"/>
          <w:b/>
          <w:color w:val="000000" w:themeColor="text1"/>
          <w:szCs w:val="24"/>
        </w:rPr>
        <w:t>。</w:t>
      </w:r>
    </w:p>
    <w:p w:rsidR="00644456" w:rsidRDefault="008031C4">
      <w:pPr>
        <w:pStyle w:val="3"/>
        <w:numPr>
          <w:ilvl w:val="2"/>
          <w:numId w:val="0"/>
        </w:numPr>
        <w:ind w:firstLineChars="200" w:firstLine="482"/>
      </w:pPr>
      <w:r>
        <w:rPr>
          <w:rFonts w:hint="eastAsia"/>
        </w:rPr>
        <w:t>10.1.2</w:t>
      </w:r>
      <w:r>
        <w:rPr>
          <w:rFonts w:hint="eastAsia"/>
        </w:rPr>
        <w:t>选址合理性分析</w:t>
      </w:r>
    </w:p>
    <w:p w:rsidR="00644456" w:rsidRDefault="008031C4">
      <w:pPr>
        <w:pStyle w:val="affffffffc"/>
        <w:snapToGrid w:val="0"/>
        <w:rPr>
          <w:rFonts w:cs="Times New Roman"/>
          <w:color w:val="000000" w:themeColor="text1"/>
        </w:rPr>
      </w:pPr>
      <w:bookmarkStart w:id="564" w:name="_Toc21714"/>
      <w:bookmarkStart w:id="565" w:name="_Toc23137"/>
      <w:bookmarkStart w:id="566" w:name="_Toc32351"/>
      <w:r>
        <w:rPr>
          <w:rFonts w:cs="Times New Roman" w:hint="eastAsia"/>
          <w:color w:val="000000" w:themeColor="text1"/>
        </w:rPr>
        <w:t>项目评价范围内无需要特殊保护的敏感目标，无明显环境制约因素；项目拟采取技术经济可行的污染治理措施及风险防范措施，以降低对项目周边环境敏感目标、周边土壤的环境污染及环境风险水平，确保污染物达标排放，减轻项目对区域的环境影响；根据环境影响预测分析，项目实施后不会改变区域环境功能现状。结合前节分析，本项目选址符合区域用地规划、产业布局和生态环境准入条件相关要求。</w:t>
      </w:r>
    </w:p>
    <w:p w:rsidR="00644456" w:rsidRDefault="008031C4">
      <w:pPr>
        <w:pStyle w:val="affffffffc"/>
        <w:snapToGrid w:val="0"/>
        <w:rPr>
          <w:rFonts w:cs="Times New Roman"/>
          <w:color w:val="000000" w:themeColor="text1"/>
        </w:rPr>
      </w:pPr>
      <w:r>
        <w:rPr>
          <w:rFonts w:cs="Times New Roman" w:hint="eastAsia"/>
          <w:color w:val="000000" w:themeColor="text1"/>
        </w:rPr>
        <w:t>综上所述，本项目位于疏勒高新技术产业开发区，用地性质属于工业用地，项目与园区规划发展定位不相冲突，与周边企业相容，项目产生的污染物经治理后可达标排放，并且根据实地勘察，区域主要敏感点位于项目东北（常年主导风向侧风向），本项目对外界敏感点影响较小。</w:t>
      </w:r>
    </w:p>
    <w:p w:rsidR="00644456" w:rsidRDefault="008031C4">
      <w:pPr>
        <w:pStyle w:val="affffffffc"/>
        <w:snapToGrid w:val="0"/>
        <w:rPr>
          <w:rFonts w:cs="Times New Roman"/>
          <w:color w:val="000000" w:themeColor="text1"/>
        </w:rPr>
      </w:pPr>
      <w:r>
        <w:rPr>
          <w:rFonts w:cs="Times New Roman" w:hint="eastAsia"/>
          <w:color w:val="000000" w:themeColor="text1"/>
        </w:rPr>
        <w:t>因此，周边无明显的环境制约因素，项目选址合理</w:t>
      </w:r>
      <w:r>
        <w:rPr>
          <w:rFonts w:cs="Times New Roman"/>
          <w:color w:val="000000" w:themeColor="text1"/>
        </w:rPr>
        <w:t>。</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567" w:name="_Toc155789415"/>
      <w:bookmarkStart w:id="568" w:name="_Toc177216924"/>
      <w:r>
        <w:rPr>
          <w:rFonts w:cs="Times New Roman" w:hint="eastAsia"/>
          <w:color w:val="000000" w:themeColor="text1"/>
        </w:rPr>
        <w:t>10.2</w:t>
      </w:r>
      <w:r>
        <w:rPr>
          <w:rFonts w:cs="Times New Roman"/>
          <w:color w:val="000000" w:themeColor="text1"/>
        </w:rPr>
        <w:t>环境质量现状</w:t>
      </w:r>
      <w:bookmarkEnd w:id="564"/>
      <w:bookmarkEnd w:id="565"/>
      <w:bookmarkEnd w:id="566"/>
      <w:bookmarkEnd w:id="567"/>
      <w:bookmarkEnd w:id="568"/>
    </w:p>
    <w:p w:rsidR="00644456" w:rsidRDefault="008031C4">
      <w:pPr>
        <w:pStyle w:val="-"/>
        <w:adjustRightInd w:val="0"/>
        <w:snapToGrid w:val="0"/>
        <w:ind w:firstLine="480"/>
        <w:rPr>
          <w:rFonts w:cs="Times New Roman"/>
          <w:color w:val="000000" w:themeColor="text1"/>
        </w:rPr>
      </w:pPr>
      <w:r>
        <w:rPr>
          <w:rFonts w:cs="Times New Roman"/>
          <w:color w:val="000000" w:themeColor="text1"/>
        </w:rPr>
        <w:t>区域环境现状监测结果表明：</w:t>
      </w:r>
    </w:p>
    <w:p w:rsidR="00644456" w:rsidRDefault="008031C4">
      <w:pPr>
        <w:pStyle w:val="-1"/>
        <w:adjustRightInd w:val="0"/>
        <w:snapToGrid w:val="0"/>
        <w:ind w:firstLine="482"/>
        <w:rPr>
          <w:rFonts w:cs="Times New Roman"/>
          <w:color w:val="000000" w:themeColor="text1"/>
        </w:rPr>
      </w:pPr>
      <w:r>
        <w:rPr>
          <w:rFonts w:cs="Times New Roman"/>
          <w:b/>
          <w:color w:val="000000" w:themeColor="text1"/>
        </w:rPr>
        <w:t>（</w:t>
      </w:r>
      <w:r>
        <w:rPr>
          <w:rFonts w:cs="Times New Roman"/>
          <w:b/>
          <w:color w:val="000000" w:themeColor="text1"/>
        </w:rPr>
        <w:t>1</w:t>
      </w:r>
      <w:r>
        <w:rPr>
          <w:rFonts w:cs="Times New Roman"/>
          <w:b/>
          <w:color w:val="000000" w:themeColor="text1"/>
        </w:rPr>
        <w:t>）地下水：</w:t>
      </w:r>
      <w:r w:rsidR="00AC71A6" w:rsidRPr="00607680">
        <w:rPr>
          <w:rFonts w:cs="Times New Roman" w:hint="eastAsia"/>
          <w:color w:val="FF0000"/>
          <w:kern w:val="0"/>
        </w:rPr>
        <w:t>项目区域地下水</w:t>
      </w:r>
      <w:r w:rsidR="00AC71A6" w:rsidRPr="00607680">
        <w:rPr>
          <w:rFonts w:cs="Times New Roman" w:hint="eastAsia"/>
          <w:color w:val="FF0000"/>
          <w:kern w:val="0"/>
        </w:rPr>
        <w:t>DXS1#</w:t>
      </w:r>
      <w:r w:rsidR="00AC71A6" w:rsidRPr="00607680">
        <w:rPr>
          <w:rFonts w:cs="Times New Roman" w:hint="eastAsia"/>
          <w:color w:val="FF0000"/>
          <w:kern w:val="0"/>
        </w:rPr>
        <w:t>、</w:t>
      </w:r>
      <w:r w:rsidR="00AC71A6" w:rsidRPr="00607680">
        <w:rPr>
          <w:rFonts w:cs="Times New Roman" w:hint="eastAsia"/>
          <w:color w:val="FF0000"/>
          <w:kern w:val="0"/>
        </w:rPr>
        <w:t>DXS2#</w:t>
      </w:r>
      <w:r w:rsidR="00AC71A6" w:rsidRPr="00607680">
        <w:rPr>
          <w:rFonts w:cs="Times New Roman" w:hint="eastAsia"/>
          <w:color w:val="FF0000"/>
          <w:kern w:val="0"/>
        </w:rPr>
        <w:t>监测指标均满足《地下水环境质量标准》（</w:t>
      </w:r>
      <w:r w:rsidR="00AC71A6" w:rsidRPr="00607680">
        <w:rPr>
          <w:rFonts w:cs="Times New Roman" w:hint="eastAsia"/>
          <w:color w:val="FF0000"/>
          <w:kern w:val="0"/>
        </w:rPr>
        <w:t>GB/T14848-2017</w:t>
      </w:r>
      <w:r w:rsidR="00AC71A6" w:rsidRPr="00607680">
        <w:rPr>
          <w:rFonts w:cs="Times New Roman" w:hint="eastAsia"/>
          <w:color w:val="FF0000"/>
          <w:kern w:val="0"/>
        </w:rPr>
        <w:t>）</w:t>
      </w:r>
      <w:r w:rsidR="00AC71A6" w:rsidRPr="00607680">
        <w:rPr>
          <w:rFonts w:cs="Times New Roman" w:hint="eastAsia"/>
          <w:color w:val="FF0000"/>
          <w:kern w:val="0"/>
        </w:rPr>
        <w:t>III</w:t>
      </w:r>
      <w:r w:rsidR="00AC71A6" w:rsidRPr="00607680">
        <w:rPr>
          <w:rFonts w:cs="Times New Roman" w:hint="eastAsia"/>
          <w:color w:val="FF0000"/>
          <w:kern w:val="0"/>
        </w:rPr>
        <w:t>类水质标准要求，</w:t>
      </w:r>
      <w:r w:rsidR="00AC71A6" w:rsidRPr="00607680">
        <w:rPr>
          <w:rFonts w:cs="Times New Roman" w:hint="eastAsia"/>
          <w:color w:val="FF0000"/>
          <w:kern w:val="0"/>
        </w:rPr>
        <w:t>DXS3#</w:t>
      </w:r>
      <w:r w:rsidR="00AC71A6" w:rsidRPr="00607680">
        <w:rPr>
          <w:rFonts w:cs="Times New Roman" w:hint="eastAsia"/>
          <w:color w:val="FF0000"/>
          <w:kern w:val="0"/>
        </w:rPr>
        <w:t>、</w:t>
      </w:r>
      <w:r w:rsidR="00AC71A6" w:rsidRPr="00607680">
        <w:rPr>
          <w:rFonts w:cs="Times New Roman" w:hint="eastAsia"/>
          <w:color w:val="FF0000"/>
          <w:kern w:val="0"/>
        </w:rPr>
        <w:t>DXS4#</w:t>
      </w:r>
      <w:r w:rsidR="00AC71A6" w:rsidRPr="00607680">
        <w:rPr>
          <w:rFonts w:cs="Times New Roman" w:hint="eastAsia"/>
          <w:color w:val="FF0000"/>
          <w:kern w:val="0"/>
        </w:rPr>
        <w:t>、</w:t>
      </w:r>
      <w:r w:rsidR="00AC71A6" w:rsidRPr="00607680">
        <w:rPr>
          <w:rFonts w:cs="Times New Roman" w:hint="eastAsia"/>
          <w:color w:val="FF0000"/>
          <w:kern w:val="0"/>
        </w:rPr>
        <w:t>DXS5#</w:t>
      </w:r>
      <w:r w:rsidR="00AC71A6" w:rsidRPr="00607680">
        <w:rPr>
          <w:rFonts w:cs="Times New Roman" w:hint="eastAsia"/>
          <w:color w:val="FF0000"/>
          <w:kern w:val="0"/>
        </w:rPr>
        <w:t>监测指标中总硬度、氯离子、溶解性总固体、硫酸根离子、钠离子超标，其他各项监测指标均满足</w:t>
      </w:r>
      <w:r w:rsidR="00AC71A6" w:rsidRPr="00607680">
        <w:rPr>
          <w:rFonts w:cs="Times New Roman" w:hint="eastAsia"/>
          <w:color w:val="FF0000"/>
          <w:kern w:val="0"/>
        </w:rPr>
        <w:lastRenderedPageBreak/>
        <w:t>《地下水环境质量标准》（</w:t>
      </w:r>
      <w:r w:rsidR="00AC71A6" w:rsidRPr="00607680">
        <w:rPr>
          <w:rFonts w:cs="Times New Roman" w:hint="eastAsia"/>
          <w:color w:val="FF0000"/>
          <w:kern w:val="0"/>
        </w:rPr>
        <w:t>GB/T14848-2017</w:t>
      </w:r>
      <w:r w:rsidR="00AC71A6" w:rsidRPr="00607680">
        <w:rPr>
          <w:rFonts w:cs="Times New Roman" w:hint="eastAsia"/>
          <w:color w:val="FF0000"/>
          <w:kern w:val="0"/>
        </w:rPr>
        <w:t>）</w:t>
      </w:r>
      <w:r w:rsidR="00AC71A6" w:rsidRPr="00607680">
        <w:rPr>
          <w:rFonts w:cs="Times New Roman" w:hint="eastAsia"/>
          <w:color w:val="FF0000"/>
          <w:kern w:val="0"/>
        </w:rPr>
        <w:t>III</w:t>
      </w:r>
      <w:r w:rsidR="00AC71A6" w:rsidRPr="00607680">
        <w:rPr>
          <w:rFonts w:cs="Times New Roman" w:hint="eastAsia"/>
          <w:color w:val="FF0000"/>
          <w:kern w:val="0"/>
        </w:rPr>
        <w:t>类水质标准要求。根据《疏勒高新技术产业开发区“多规合一”总体规划</w:t>
      </w:r>
      <w:r w:rsidR="00AC71A6" w:rsidRPr="00607680">
        <w:rPr>
          <w:rFonts w:cs="Times New Roman" w:hint="eastAsia"/>
          <w:color w:val="FF0000"/>
          <w:kern w:val="0"/>
        </w:rPr>
        <w:t>(2021-2035</w:t>
      </w:r>
      <w:r w:rsidR="00AC71A6" w:rsidRPr="00607680">
        <w:rPr>
          <w:rFonts w:cs="Times New Roman" w:hint="eastAsia"/>
          <w:color w:val="FF0000"/>
          <w:kern w:val="0"/>
        </w:rPr>
        <w:t>年</w:t>
      </w:r>
      <w:r w:rsidR="00AC71A6" w:rsidRPr="00607680">
        <w:rPr>
          <w:rFonts w:cs="Times New Roman" w:hint="eastAsia"/>
          <w:color w:val="FF0000"/>
          <w:kern w:val="0"/>
        </w:rPr>
        <w:t>)</w:t>
      </w:r>
      <w:r w:rsidR="00AC71A6" w:rsidRPr="00607680">
        <w:rPr>
          <w:rFonts w:cs="Times New Roman" w:hint="eastAsia"/>
          <w:color w:val="FF0000"/>
          <w:kern w:val="0"/>
        </w:rPr>
        <w:t>环境影响报告书》地下水分析结论可知，超标原因主要是由于当地地质条件所致。</w:t>
      </w:r>
      <w:r>
        <w:rPr>
          <w:rFonts w:cs="Times New Roman"/>
          <w:color w:val="000000" w:themeColor="text1"/>
        </w:rPr>
        <w:t>。</w:t>
      </w:r>
    </w:p>
    <w:p w:rsidR="00AC71A6" w:rsidRDefault="008031C4" w:rsidP="00AC71A6">
      <w:pPr>
        <w:pStyle w:val="1fd"/>
        <w:ind w:firstLine="482"/>
        <w:rPr>
          <w:color w:val="000000" w:themeColor="text1"/>
        </w:rPr>
      </w:pPr>
      <w:r>
        <w:rPr>
          <w:b/>
          <w:color w:val="000000" w:themeColor="text1"/>
        </w:rPr>
        <w:t>（</w:t>
      </w:r>
      <w:r>
        <w:rPr>
          <w:b/>
          <w:color w:val="000000" w:themeColor="text1"/>
        </w:rPr>
        <w:t>2</w:t>
      </w:r>
      <w:r>
        <w:rPr>
          <w:b/>
          <w:color w:val="000000" w:themeColor="text1"/>
        </w:rPr>
        <w:t>）环境空气：</w:t>
      </w:r>
      <w:r w:rsidR="00AC71A6">
        <w:rPr>
          <w:rFonts w:hint="eastAsia"/>
          <w:color w:val="000000" w:themeColor="text1"/>
        </w:rPr>
        <w:t>项目所在区域</w:t>
      </w:r>
      <w:r w:rsidR="00AC71A6">
        <w:rPr>
          <w:rFonts w:hint="eastAsia"/>
          <w:color w:val="000000" w:themeColor="text1"/>
        </w:rPr>
        <w:t>PM</w:t>
      </w:r>
      <w:r w:rsidR="00AC71A6">
        <w:rPr>
          <w:rFonts w:hint="eastAsia"/>
          <w:color w:val="000000" w:themeColor="text1"/>
          <w:vertAlign w:val="subscript"/>
        </w:rPr>
        <w:t>10</w:t>
      </w:r>
      <w:r w:rsidR="00AC71A6">
        <w:rPr>
          <w:rFonts w:hint="eastAsia"/>
          <w:color w:val="000000" w:themeColor="text1"/>
        </w:rPr>
        <w:t>、</w:t>
      </w:r>
      <w:r w:rsidR="00AC71A6">
        <w:rPr>
          <w:rFonts w:hint="eastAsia"/>
          <w:color w:val="000000" w:themeColor="text1"/>
        </w:rPr>
        <w:t>PM</w:t>
      </w:r>
      <w:r w:rsidR="00AC71A6">
        <w:rPr>
          <w:rFonts w:hint="eastAsia"/>
          <w:color w:val="000000" w:themeColor="text1"/>
          <w:vertAlign w:val="subscript"/>
        </w:rPr>
        <w:t>2.5</w:t>
      </w:r>
      <w:r w:rsidR="00AC71A6">
        <w:rPr>
          <w:rFonts w:hint="eastAsia"/>
          <w:color w:val="000000" w:themeColor="text1"/>
        </w:rPr>
        <w:t>年平均浓度均超过《环境空气质量标准》（</w:t>
      </w:r>
      <w:r w:rsidR="00AC71A6">
        <w:rPr>
          <w:rFonts w:hint="eastAsia"/>
          <w:color w:val="000000" w:themeColor="text1"/>
        </w:rPr>
        <w:t>GB3095-2012</w:t>
      </w:r>
      <w:r w:rsidR="00AC71A6">
        <w:rPr>
          <w:rFonts w:hint="eastAsia"/>
          <w:color w:val="000000" w:themeColor="text1"/>
        </w:rPr>
        <w:t>）的二级标准要求；</w:t>
      </w:r>
      <w:r w:rsidR="00AC71A6">
        <w:rPr>
          <w:rFonts w:hint="eastAsia"/>
          <w:color w:val="000000" w:themeColor="text1"/>
        </w:rPr>
        <w:t>O</w:t>
      </w:r>
      <w:r w:rsidR="00AC71A6">
        <w:rPr>
          <w:rFonts w:hint="eastAsia"/>
          <w:color w:val="000000" w:themeColor="text1"/>
          <w:vertAlign w:val="subscript"/>
        </w:rPr>
        <w:t>3</w:t>
      </w:r>
      <w:r w:rsidR="00AC71A6">
        <w:rPr>
          <w:rFonts w:hint="eastAsia"/>
          <w:color w:val="000000" w:themeColor="text1"/>
        </w:rPr>
        <w:t>最大</w:t>
      </w:r>
      <w:r w:rsidR="00AC71A6">
        <w:rPr>
          <w:rFonts w:hint="eastAsia"/>
          <w:color w:val="000000" w:themeColor="text1"/>
        </w:rPr>
        <w:t>8</w:t>
      </w:r>
      <w:r w:rsidR="00AC71A6">
        <w:rPr>
          <w:rFonts w:hint="eastAsia"/>
          <w:color w:val="000000" w:themeColor="text1"/>
        </w:rPr>
        <w:t>小时平均浓度及</w:t>
      </w:r>
      <w:r w:rsidR="00AC71A6">
        <w:rPr>
          <w:rFonts w:hint="eastAsia"/>
          <w:color w:val="000000" w:themeColor="text1"/>
        </w:rPr>
        <w:t>NO</w:t>
      </w:r>
      <w:r w:rsidR="00AC71A6">
        <w:rPr>
          <w:rFonts w:hint="eastAsia"/>
          <w:color w:val="000000" w:themeColor="text1"/>
          <w:vertAlign w:val="subscript"/>
        </w:rPr>
        <w:t>2</w:t>
      </w:r>
      <w:r w:rsidR="00AC71A6">
        <w:rPr>
          <w:rFonts w:hint="eastAsia"/>
          <w:color w:val="000000" w:themeColor="text1"/>
        </w:rPr>
        <w:t>、</w:t>
      </w:r>
      <w:r w:rsidR="00AC71A6">
        <w:rPr>
          <w:rFonts w:hint="eastAsia"/>
          <w:color w:val="000000" w:themeColor="text1"/>
        </w:rPr>
        <w:t>CO</w:t>
      </w:r>
      <w:r w:rsidR="00AC71A6">
        <w:rPr>
          <w:rFonts w:hint="eastAsia"/>
          <w:color w:val="000000" w:themeColor="text1"/>
        </w:rPr>
        <w:t>、</w:t>
      </w:r>
      <w:r w:rsidR="00AC71A6">
        <w:rPr>
          <w:rFonts w:hint="eastAsia"/>
          <w:color w:val="000000" w:themeColor="text1"/>
        </w:rPr>
        <w:t>SO</w:t>
      </w:r>
      <w:r w:rsidR="00AC71A6">
        <w:rPr>
          <w:rFonts w:hint="eastAsia"/>
          <w:color w:val="000000" w:themeColor="text1"/>
          <w:vertAlign w:val="subscript"/>
        </w:rPr>
        <w:t>2</w:t>
      </w:r>
      <w:r w:rsidR="00AC71A6">
        <w:rPr>
          <w:rFonts w:hint="eastAsia"/>
          <w:color w:val="000000" w:themeColor="text1"/>
        </w:rPr>
        <w:t>的日、年均浓度均满足《环境空气质量标准》（</w:t>
      </w:r>
      <w:r w:rsidR="00AC71A6">
        <w:rPr>
          <w:rFonts w:hint="eastAsia"/>
          <w:color w:val="000000" w:themeColor="text1"/>
        </w:rPr>
        <w:t>GB3095-2012</w:t>
      </w:r>
      <w:r w:rsidR="00AC71A6">
        <w:rPr>
          <w:rFonts w:hint="eastAsia"/>
          <w:color w:val="000000" w:themeColor="text1"/>
        </w:rPr>
        <w:t>）的二级标准要求，本项目所在区域为非达标区域</w:t>
      </w:r>
      <w:r w:rsidR="00AC71A6">
        <w:rPr>
          <w:color w:val="000000" w:themeColor="text1"/>
        </w:rPr>
        <w:t>。</w:t>
      </w:r>
    </w:p>
    <w:p w:rsidR="00AC71A6" w:rsidRDefault="00AC71A6" w:rsidP="00AC71A6">
      <w:pPr>
        <w:pStyle w:val="1fd"/>
        <w:rPr>
          <w:color w:val="000000" w:themeColor="text1"/>
        </w:rPr>
      </w:pPr>
      <w:r>
        <w:rPr>
          <w:rFonts w:hint="eastAsia"/>
          <w:color w:val="000000" w:themeColor="text1"/>
        </w:rPr>
        <w:t>根据《关于在南疆四地州深度贫困地区实施〈环境影响评价技术导则大气环境（</w:t>
      </w:r>
      <w:r>
        <w:rPr>
          <w:rFonts w:hint="eastAsia"/>
          <w:color w:val="000000" w:themeColor="text1"/>
        </w:rPr>
        <w:t>HJ2.2-2018</w:t>
      </w:r>
      <w:r>
        <w:rPr>
          <w:rFonts w:hint="eastAsia"/>
          <w:color w:val="000000" w:themeColor="text1"/>
        </w:rPr>
        <w:t>）〉差别化政策有关事宜的复函》（环办环评函〔</w:t>
      </w:r>
      <w:r>
        <w:rPr>
          <w:rFonts w:hint="eastAsia"/>
          <w:color w:val="000000" w:themeColor="text1"/>
        </w:rPr>
        <w:t>2019</w:t>
      </w:r>
      <w:r>
        <w:rPr>
          <w:rFonts w:hint="eastAsia"/>
          <w:color w:val="000000" w:themeColor="text1"/>
        </w:rPr>
        <w:t>〕</w:t>
      </w:r>
      <w:r>
        <w:rPr>
          <w:rFonts w:hint="eastAsia"/>
          <w:color w:val="000000" w:themeColor="text1"/>
        </w:rPr>
        <w:t>590</w:t>
      </w:r>
      <w:r>
        <w:rPr>
          <w:rFonts w:hint="eastAsia"/>
          <w:color w:val="000000" w:themeColor="text1"/>
        </w:rPr>
        <w:t>号）要求，对喀什地区实行环境影响评价差别化政策，可不进行颗粒物区域削减。本项目实施后建设单位应不断强化大气污染防治措施。</w:t>
      </w:r>
    </w:p>
    <w:p w:rsidR="00644456" w:rsidRDefault="008031C4">
      <w:pPr>
        <w:pStyle w:val="-"/>
        <w:adjustRightInd w:val="0"/>
        <w:snapToGrid w:val="0"/>
        <w:ind w:firstLine="480"/>
        <w:rPr>
          <w:rFonts w:cs="Times New Roman"/>
          <w:color w:val="000000" w:themeColor="text1"/>
        </w:rPr>
      </w:pPr>
      <w:r>
        <w:rPr>
          <w:rFonts w:cs="Times New Roman"/>
          <w:color w:val="000000" w:themeColor="text1"/>
        </w:rPr>
        <w:t>根据特征因子监测结果：</w:t>
      </w:r>
      <w:r>
        <w:rPr>
          <w:rFonts w:cs="Times New Roman" w:hint="eastAsia"/>
          <w:color w:val="000000" w:themeColor="text1"/>
        </w:rPr>
        <w:t>非甲烷总烃满足《大气污染物综合排放标准详解》推荐值要求，</w:t>
      </w:r>
      <w:r>
        <w:rPr>
          <w:rFonts w:cs="Times New Roman"/>
          <w:color w:val="000000" w:themeColor="text1"/>
        </w:rPr>
        <w:t>TSP</w:t>
      </w:r>
      <w:r>
        <w:rPr>
          <w:rFonts w:cs="Times New Roman"/>
          <w:color w:val="000000" w:themeColor="text1"/>
        </w:rPr>
        <w:t>监测值均低于《环境空气质量标准》</w:t>
      </w:r>
      <w:r>
        <w:rPr>
          <w:rFonts w:cs="Times New Roman"/>
          <w:color w:val="000000" w:themeColor="text1"/>
        </w:rPr>
        <w:t>GB3095-2012</w:t>
      </w:r>
      <w:r>
        <w:rPr>
          <w:rFonts w:cs="Times New Roman"/>
          <w:color w:val="000000" w:themeColor="text1"/>
        </w:rPr>
        <w:t>标准要求，</w:t>
      </w:r>
      <w:r>
        <w:rPr>
          <w:rFonts w:cs="Times New Roman" w:hint="eastAsia"/>
          <w:color w:val="000000" w:themeColor="text1"/>
          <w:kern w:val="0"/>
        </w:rPr>
        <w:t>硫化氢、氨</w:t>
      </w:r>
      <w:r>
        <w:rPr>
          <w:rFonts w:cs="Times New Roman"/>
          <w:color w:val="000000" w:themeColor="text1"/>
          <w:kern w:val="0"/>
        </w:rPr>
        <w:t>能够满足《环境影响评价技术导则大气环境》（</w:t>
      </w:r>
      <w:r>
        <w:rPr>
          <w:rFonts w:cs="Times New Roman"/>
          <w:color w:val="000000" w:themeColor="text1"/>
          <w:kern w:val="0"/>
        </w:rPr>
        <w:t>HJ2.2-2018</w:t>
      </w:r>
      <w:r>
        <w:rPr>
          <w:rFonts w:cs="Times New Roman"/>
          <w:color w:val="000000" w:themeColor="text1"/>
          <w:kern w:val="0"/>
        </w:rPr>
        <w:t>）附录</w:t>
      </w:r>
      <w:r>
        <w:rPr>
          <w:rFonts w:cs="Times New Roman"/>
          <w:color w:val="000000" w:themeColor="text1"/>
          <w:kern w:val="0"/>
        </w:rPr>
        <w:t>D</w:t>
      </w:r>
      <w:r>
        <w:rPr>
          <w:rFonts w:cs="Times New Roman"/>
          <w:color w:val="000000" w:themeColor="text1"/>
          <w:kern w:val="0"/>
        </w:rPr>
        <w:t>中的相关标准要求。</w:t>
      </w:r>
      <w:r>
        <w:rPr>
          <w:rFonts w:cs="Times New Roman"/>
          <w:color w:val="000000" w:themeColor="text1"/>
        </w:rPr>
        <w:t>说明项目评价区域环境空气有一定环境容量。</w:t>
      </w:r>
    </w:p>
    <w:p w:rsidR="00644456" w:rsidRDefault="008031C4">
      <w:pPr>
        <w:pStyle w:val="-"/>
        <w:adjustRightInd w:val="0"/>
        <w:snapToGrid w:val="0"/>
        <w:ind w:firstLine="482"/>
        <w:rPr>
          <w:rFonts w:cs="Times New Roman"/>
          <w:color w:val="000000" w:themeColor="text1"/>
          <w:szCs w:val="24"/>
        </w:rPr>
      </w:pPr>
      <w:r>
        <w:rPr>
          <w:rFonts w:cs="Times New Roman"/>
          <w:b/>
          <w:color w:val="000000" w:themeColor="text1"/>
          <w:szCs w:val="24"/>
        </w:rPr>
        <w:t>（</w:t>
      </w:r>
      <w:r>
        <w:rPr>
          <w:rFonts w:cs="Times New Roman"/>
          <w:b/>
          <w:color w:val="000000" w:themeColor="text1"/>
          <w:szCs w:val="24"/>
        </w:rPr>
        <w:t>4</w:t>
      </w:r>
      <w:r>
        <w:rPr>
          <w:rFonts w:cs="Times New Roman"/>
          <w:b/>
          <w:color w:val="000000" w:themeColor="text1"/>
          <w:szCs w:val="24"/>
        </w:rPr>
        <w:t>）声环境：</w:t>
      </w:r>
      <w:r>
        <w:rPr>
          <w:rFonts w:cs="Times New Roman"/>
          <w:color w:val="000000" w:themeColor="text1"/>
          <w:szCs w:val="24"/>
        </w:rPr>
        <w:t>项目厂界各监测点噪声均达到《声环境质量标准》（</w:t>
      </w:r>
      <w:r>
        <w:rPr>
          <w:rFonts w:cs="Times New Roman"/>
          <w:color w:val="000000" w:themeColor="text1"/>
          <w:szCs w:val="24"/>
        </w:rPr>
        <w:t>GB3096-2008</w:t>
      </w:r>
      <w:r>
        <w:rPr>
          <w:rFonts w:cs="Times New Roman"/>
          <w:color w:val="000000" w:themeColor="text1"/>
          <w:szCs w:val="24"/>
        </w:rPr>
        <w:t>）中</w:t>
      </w:r>
      <w:r>
        <w:rPr>
          <w:rFonts w:cs="Times New Roman"/>
          <w:color w:val="000000" w:themeColor="text1"/>
          <w:szCs w:val="24"/>
        </w:rPr>
        <w:t>3</w:t>
      </w:r>
      <w:r>
        <w:rPr>
          <w:rFonts w:cs="Times New Roman"/>
          <w:color w:val="000000" w:themeColor="text1"/>
          <w:szCs w:val="24"/>
        </w:rPr>
        <w:t>类标准要求。</w:t>
      </w:r>
    </w:p>
    <w:p w:rsidR="00644456" w:rsidRDefault="008031C4">
      <w:pPr>
        <w:pStyle w:val="-1"/>
        <w:snapToGrid w:val="0"/>
        <w:ind w:firstLine="482"/>
        <w:rPr>
          <w:rFonts w:cs="Times New Roman"/>
          <w:color w:val="000000" w:themeColor="text1"/>
        </w:rPr>
      </w:pPr>
      <w:r>
        <w:rPr>
          <w:rFonts w:cs="Times New Roman"/>
          <w:b/>
          <w:color w:val="000000" w:themeColor="text1"/>
          <w:szCs w:val="24"/>
        </w:rPr>
        <w:t>（</w:t>
      </w:r>
      <w:r>
        <w:rPr>
          <w:rFonts w:cs="Times New Roman"/>
          <w:b/>
          <w:color w:val="000000" w:themeColor="text1"/>
          <w:szCs w:val="24"/>
        </w:rPr>
        <w:t>5</w:t>
      </w:r>
      <w:r>
        <w:rPr>
          <w:rFonts w:cs="Times New Roman"/>
          <w:b/>
          <w:color w:val="000000" w:themeColor="text1"/>
          <w:szCs w:val="24"/>
        </w:rPr>
        <w:t>）土壤环境：</w:t>
      </w:r>
      <w:r>
        <w:rPr>
          <w:rFonts w:cs="Times New Roman"/>
          <w:bCs/>
          <w:color w:val="000000" w:themeColor="text1"/>
          <w:szCs w:val="24"/>
        </w:rPr>
        <w:t>根据现状调查监测，</w:t>
      </w:r>
      <w:r>
        <w:rPr>
          <w:rFonts w:cs="Times New Roman"/>
          <w:color w:val="000000" w:themeColor="text1"/>
        </w:rPr>
        <w:t>监测点位因子满足《土壤环境质量建设用地土壤污染风险管控（试行）》（</w:t>
      </w:r>
      <w:r>
        <w:rPr>
          <w:rFonts w:cs="Times New Roman"/>
          <w:color w:val="000000" w:themeColor="text1"/>
        </w:rPr>
        <w:t>GB36600-2018</w:t>
      </w:r>
      <w:r>
        <w:rPr>
          <w:rFonts w:cs="Times New Roman"/>
          <w:color w:val="000000" w:themeColor="text1"/>
        </w:rPr>
        <w:t>）中筛选值标准。</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569" w:name="_Toc177216925"/>
      <w:bookmarkStart w:id="570" w:name="_Toc155789416"/>
      <w:r>
        <w:rPr>
          <w:rFonts w:cs="Times New Roman" w:hint="eastAsia"/>
          <w:color w:val="000000" w:themeColor="text1"/>
        </w:rPr>
        <w:t>10.3</w:t>
      </w:r>
      <w:r>
        <w:rPr>
          <w:rFonts w:cs="Times New Roman"/>
          <w:color w:val="000000" w:themeColor="text1"/>
        </w:rPr>
        <w:t>环保措施及达标排放</w:t>
      </w:r>
      <w:bookmarkEnd w:id="569"/>
      <w:bookmarkEnd w:id="570"/>
    </w:p>
    <w:p w:rsidR="00644456" w:rsidRDefault="008031C4">
      <w:pPr>
        <w:pStyle w:val="1fd"/>
        <w:rPr>
          <w:bCs/>
          <w:color w:val="000000" w:themeColor="text1"/>
        </w:rPr>
      </w:pPr>
      <w:bookmarkStart w:id="571" w:name="_Toc8895"/>
      <w:bookmarkStart w:id="572" w:name="_Toc9578"/>
      <w:r>
        <w:rPr>
          <w:rFonts w:hint="eastAsia"/>
          <w:bCs/>
          <w:color w:val="000000" w:themeColor="text1"/>
        </w:rPr>
        <w:t>本项目蒸馏、精制工段产生的工艺废气采用“碱液喷淋</w:t>
      </w:r>
      <w:r>
        <w:rPr>
          <w:rFonts w:hint="eastAsia"/>
          <w:bCs/>
          <w:color w:val="000000" w:themeColor="text1"/>
        </w:rPr>
        <w:t>+</w:t>
      </w:r>
      <w:r>
        <w:rPr>
          <w:rFonts w:hint="eastAsia"/>
          <w:bCs/>
          <w:color w:val="000000" w:themeColor="text1"/>
        </w:rPr>
        <w:t>干式过滤</w:t>
      </w:r>
      <w:r>
        <w:rPr>
          <w:rFonts w:hint="eastAsia"/>
          <w:bCs/>
          <w:color w:val="000000" w:themeColor="text1"/>
        </w:rPr>
        <w:t>+</w:t>
      </w:r>
      <w:r>
        <w:rPr>
          <w:rFonts w:hint="eastAsia"/>
          <w:bCs/>
          <w:color w:val="000000" w:themeColor="text1"/>
        </w:rPr>
        <w:t>高温氧化”净化工艺处理后，可保证废气的稳定达标排放；采用密闭的固定罐用于存放原料和产品，其存储过程中产生的无组织废气量很少，即可达标排放，本项目所选取的废气治理工艺属于《排污许可证申请与核发技术规范废弃资源加工工业》（</w:t>
      </w:r>
      <w:r>
        <w:rPr>
          <w:rFonts w:hint="eastAsia"/>
          <w:bCs/>
          <w:color w:val="000000" w:themeColor="text1"/>
        </w:rPr>
        <w:t>HJ1034-2019</w:t>
      </w:r>
      <w:r>
        <w:rPr>
          <w:rFonts w:hint="eastAsia"/>
          <w:bCs/>
          <w:color w:val="000000" w:themeColor="text1"/>
        </w:rPr>
        <w:t>）附录</w:t>
      </w:r>
      <w:r>
        <w:rPr>
          <w:rFonts w:hint="eastAsia"/>
          <w:bCs/>
          <w:color w:val="000000" w:themeColor="text1"/>
        </w:rPr>
        <w:t>A</w:t>
      </w:r>
      <w:r>
        <w:rPr>
          <w:rFonts w:hint="eastAsia"/>
          <w:bCs/>
          <w:color w:val="000000" w:themeColor="text1"/>
        </w:rPr>
        <w:t>中推荐的可行技术，在经济上亦可承受，因此本项目废气处理措施可行</w:t>
      </w:r>
      <w:r>
        <w:rPr>
          <w:bCs/>
          <w:color w:val="000000" w:themeColor="text1"/>
        </w:rPr>
        <w:t>。</w:t>
      </w:r>
    </w:p>
    <w:p w:rsidR="00644456" w:rsidRDefault="008031C4">
      <w:pPr>
        <w:pStyle w:val="1fd"/>
        <w:rPr>
          <w:bCs/>
          <w:color w:val="000000" w:themeColor="text1"/>
        </w:rPr>
      </w:pPr>
      <w:r>
        <w:rPr>
          <w:rFonts w:hint="eastAsia"/>
          <w:bCs/>
          <w:color w:val="000000" w:themeColor="text1"/>
        </w:rPr>
        <w:t>本项目在厂区西南侧设置危险废物暂存区（</w:t>
      </w:r>
      <w:r w:rsidR="00AC71A6">
        <w:rPr>
          <w:bCs/>
          <w:color w:val="000000" w:themeColor="text1"/>
        </w:rPr>
        <w:t>144</w:t>
      </w:r>
      <w:r>
        <w:rPr>
          <w:rFonts w:hint="eastAsia"/>
          <w:bCs/>
          <w:color w:val="000000" w:themeColor="text1"/>
        </w:rPr>
        <w:t>0m</w:t>
      </w:r>
      <w:r>
        <w:rPr>
          <w:rFonts w:hint="eastAsia"/>
          <w:bCs/>
          <w:color w:val="000000" w:themeColor="text1"/>
          <w:vertAlign w:val="superscript"/>
        </w:rPr>
        <w:t>2</w:t>
      </w:r>
      <w:r>
        <w:rPr>
          <w:rFonts w:hint="eastAsia"/>
          <w:bCs/>
          <w:color w:val="000000" w:themeColor="text1"/>
        </w:rPr>
        <w:t>），同时按照《危险废物贮存污染控制标准》（</w:t>
      </w:r>
      <w:r>
        <w:rPr>
          <w:rFonts w:hint="eastAsia"/>
          <w:bCs/>
          <w:color w:val="000000" w:themeColor="text1"/>
        </w:rPr>
        <w:t>GB18597</w:t>
      </w:r>
      <w:r>
        <w:rPr>
          <w:rFonts w:hint="eastAsia"/>
          <w:bCs/>
          <w:color w:val="000000" w:themeColor="text1"/>
        </w:rPr>
        <w:t>－</w:t>
      </w:r>
      <w:r>
        <w:rPr>
          <w:rFonts w:hint="eastAsia"/>
          <w:bCs/>
          <w:color w:val="000000" w:themeColor="text1"/>
        </w:rPr>
        <w:t>20</w:t>
      </w:r>
      <w:r w:rsidR="003B47A2">
        <w:rPr>
          <w:bCs/>
          <w:color w:val="000000" w:themeColor="text1"/>
        </w:rPr>
        <w:t>23</w:t>
      </w:r>
      <w:r>
        <w:rPr>
          <w:rFonts w:hint="eastAsia"/>
          <w:bCs/>
          <w:color w:val="000000" w:themeColor="text1"/>
        </w:rPr>
        <w:t>）中要求基础必须防渗，防渗层为至少</w:t>
      </w:r>
      <w:r>
        <w:rPr>
          <w:rFonts w:hint="eastAsia"/>
          <w:bCs/>
          <w:color w:val="000000" w:themeColor="text1"/>
        </w:rPr>
        <w:t>1</w:t>
      </w:r>
      <w:r>
        <w:rPr>
          <w:rFonts w:hint="eastAsia"/>
          <w:bCs/>
          <w:color w:val="000000" w:themeColor="text1"/>
        </w:rPr>
        <w:t>米厚粘土层（渗透系数≤</w:t>
      </w:r>
      <w:r>
        <w:rPr>
          <w:rFonts w:hint="eastAsia"/>
          <w:bCs/>
          <w:color w:val="000000" w:themeColor="text1"/>
        </w:rPr>
        <w:t>10</w:t>
      </w:r>
      <w:r>
        <w:rPr>
          <w:rFonts w:hint="eastAsia"/>
          <w:bCs/>
          <w:color w:val="000000" w:themeColor="text1"/>
          <w:vertAlign w:val="superscript"/>
        </w:rPr>
        <w:t>-7</w:t>
      </w:r>
      <w:r>
        <w:rPr>
          <w:rFonts w:hint="eastAsia"/>
          <w:bCs/>
          <w:color w:val="000000" w:themeColor="text1"/>
        </w:rPr>
        <w:t>厘米</w:t>
      </w:r>
      <w:r>
        <w:rPr>
          <w:rFonts w:hint="eastAsia"/>
          <w:bCs/>
          <w:color w:val="000000" w:themeColor="text1"/>
        </w:rPr>
        <w:t>/</w:t>
      </w:r>
      <w:r>
        <w:rPr>
          <w:rFonts w:hint="eastAsia"/>
          <w:bCs/>
          <w:color w:val="000000" w:themeColor="text1"/>
        </w:rPr>
        <w:t>秒），或</w:t>
      </w:r>
      <w:r>
        <w:rPr>
          <w:rFonts w:hint="eastAsia"/>
          <w:bCs/>
          <w:color w:val="000000" w:themeColor="text1"/>
        </w:rPr>
        <w:t>2</w:t>
      </w:r>
      <w:r>
        <w:rPr>
          <w:rFonts w:hint="eastAsia"/>
          <w:bCs/>
          <w:color w:val="000000" w:themeColor="text1"/>
        </w:rPr>
        <w:t>毫米厚高密度聚乙烯，或至少</w:t>
      </w:r>
      <w:r>
        <w:rPr>
          <w:rFonts w:hint="eastAsia"/>
          <w:bCs/>
          <w:color w:val="000000" w:themeColor="text1"/>
        </w:rPr>
        <w:t>2</w:t>
      </w:r>
      <w:r>
        <w:rPr>
          <w:rFonts w:hint="eastAsia"/>
          <w:bCs/>
          <w:color w:val="000000" w:themeColor="text1"/>
        </w:rPr>
        <w:t>毫米厚的其他人工材料，渗透系数≤</w:t>
      </w:r>
      <w:r>
        <w:rPr>
          <w:rFonts w:hint="eastAsia"/>
          <w:bCs/>
          <w:color w:val="000000" w:themeColor="text1"/>
        </w:rPr>
        <w:t>10</w:t>
      </w:r>
      <w:r>
        <w:rPr>
          <w:rFonts w:hint="eastAsia"/>
          <w:bCs/>
          <w:color w:val="000000" w:themeColor="text1"/>
          <w:vertAlign w:val="superscript"/>
        </w:rPr>
        <w:t>-10</w:t>
      </w:r>
      <w:r>
        <w:rPr>
          <w:rFonts w:hint="eastAsia"/>
          <w:bCs/>
          <w:color w:val="000000" w:themeColor="text1"/>
        </w:rPr>
        <w:t>厘米</w:t>
      </w:r>
      <w:r>
        <w:rPr>
          <w:rFonts w:hint="eastAsia"/>
          <w:bCs/>
          <w:color w:val="000000" w:themeColor="text1"/>
        </w:rPr>
        <w:t>/</w:t>
      </w:r>
      <w:r>
        <w:rPr>
          <w:rFonts w:hint="eastAsia"/>
          <w:bCs/>
          <w:color w:val="000000" w:themeColor="text1"/>
        </w:rPr>
        <w:t>秒，项目产生的各类危险废物可妥善分类分区贮存，可实现就近的转运处理，生活垃圾在厂区收集后可就近送至园区的生活垃圾填埋场处理处置，</w:t>
      </w:r>
      <w:r>
        <w:rPr>
          <w:rFonts w:hint="eastAsia"/>
          <w:bCs/>
          <w:color w:val="000000" w:themeColor="text1"/>
        </w:rPr>
        <w:lastRenderedPageBreak/>
        <w:t>项目生产及生活产生的固体废物可得到妥善处置，治理措施是可行的。</w:t>
      </w:r>
    </w:p>
    <w:p w:rsidR="00644456" w:rsidRDefault="008031C4">
      <w:pPr>
        <w:pStyle w:val="1fd"/>
        <w:rPr>
          <w:bCs/>
          <w:color w:val="000000" w:themeColor="text1"/>
        </w:rPr>
      </w:pPr>
      <w:r>
        <w:rPr>
          <w:rFonts w:hint="eastAsia"/>
          <w:bCs/>
          <w:color w:val="000000" w:themeColor="text1"/>
        </w:rPr>
        <w:t>本项目在设备选型期间，首选低噪声设备，在设备安装过程中，采用基础减振并进行厂区的绿化，上述噪声控制措施其技术是成熟可靠的，经济上也是合理的，实践证明可达到设计指标，实现达标排放，噪声防治措施是可行的。</w:t>
      </w:r>
    </w:p>
    <w:p w:rsidR="00644456" w:rsidRDefault="008031C4">
      <w:pPr>
        <w:autoSpaceDE w:val="0"/>
        <w:autoSpaceDN w:val="0"/>
        <w:snapToGrid w:val="0"/>
        <w:spacing w:line="360" w:lineRule="auto"/>
        <w:ind w:firstLineChars="200" w:firstLine="480"/>
        <w:rPr>
          <w:rFonts w:cs="Times New Roman"/>
          <w:color w:val="000000" w:themeColor="text1"/>
          <w:sz w:val="24"/>
        </w:rPr>
      </w:pPr>
      <w:r>
        <w:rPr>
          <w:rFonts w:cs="Times New Roman" w:hint="eastAsia"/>
          <w:color w:val="000000" w:themeColor="text1"/>
          <w:sz w:val="24"/>
        </w:rPr>
        <w:t>根据预测本项目实施后对周边环境敏感点影响较小，项目所在区域环境可承受，不会影响区域环境质量目标的实现。</w:t>
      </w:r>
    </w:p>
    <w:p w:rsidR="00644456" w:rsidRDefault="008031C4">
      <w:pPr>
        <w:autoSpaceDE w:val="0"/>
        <w:autoSpaceDN w:val="0"/>
        <w:snapToGrid w:val="0"/>
        <w:spacing w:line="360" w:lineRule="auto"/>
        <w:ind w:firstLineChars="200" w:firstLine="482"/>
        <w:rPr>
          <w:rFonts w:cs="Times New Roman"/>
          <w:b/>
          <w:bCs/>
          <w:color w:val="000000" w:themeColor="text1"/>
        </w:rPr>
      </w:pPr>
      <w:r>
        <w:rPr>
          <w:rFonts w:cs="Times New Roman" w:hint="eastAsia"/>
          <w:b/>
          <w:bCs/>
          <w:color w:val="000000" w:themeColor="text1"/>
          <w:sz w:val="24"/>
        </w:rPr>
        <w:t>综上所述，本项目位于疏勒高新技术产业开发区，用地性质属于工业用地，项目与园区规划发展定位不相冲突，与周边企业相容，项目产生的污染物经治理后可达标排放。因此，周边无明显的环境制约因素，项目选址合理</w:t>
      </w:r>
      <w:r>
        <w:rPr>
          <w:rFonts w:cs="Times New Roman"/>
          <w:b/>
          <w:bCs/>
          <w:color w:val="000000" w:themeColor="text1"/>
          <w:sz w:val="24"/>
        </w:rPr>
        <w:t>。</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573" w:name="_Toc177216926"/>
      <w:bookmarkStart w:id="574" w:name="_Toc155789417"/>
      <w:r>
        <w:rPr>
          <w:rFonts w:cs="Times New Roman" w:hint="eastAsia"/>
          <w:color w:val="000000" w:themeColor="text1"/>
        </w:rPr>
        <w:t>10.4</w:t>
      </w:r>
      <w:r>
        <w:rPr>
          <w:rFonts w:cs="Times New Roman"/>
          <w:color w:val="000000" w:themeColor="text1"/>
        </w:rPr>
        <w:t>项目对环境的影响</w:t>
      </w:r>
      <w:bookmarkEnd w:id="573"/>
      <w:bookmarkEnd w:id="574"/>
    </w:p>
    <w:p w:rsidR="00644456" w:rsidRDefault="008031C4">
      <w:pPr>
        <w:snapToGrid w:val="0"/>
        <w:spacing w:line="360" w:lineRule="auto"/>
        <w:ind w:firstLineChars="200" w:firstLine="482"/>
        <w:jc w:val="left"/>
        <w:rPr>
          <w:rFonts w:cs="Times New Roman"/>
          <w:b/>
          <w:snapToGrid w:val="0"/>
          <w:color w:val="000000" w:themeColor="text1"/>
          <w:kern w:val="0"/>
          <w:sz w:val="24"/>
        </w:rPr>
      </w:pPr>
      <w:r>
        <w:rPr>
          <w:rFonts w:cs="Times New Roman"/>
          <w:b/>
          <w:snapToGrid w:val="0"/>
          <w:color w:val="000000" w:themeColor="text1"/>
          <w:kern w:val="0"/>
          <w:sz w:val="24"/>
        </w:rPr>
        <w:t>（</w:t>
      </w:r>
      <w:r>
        <w:rPr>
          <w:rFonts w:cs="Times New Roman"/>
          <w:b/>
          <w:snapToGrid w:val="0"/>
          <w:color w:val="000000" w:themeColor="text1"/>
          <w:kern w:val="0"/>
          <w:sz w:val="24"/>
        </w:rPr>
        <w:t>1</w:t>
      </w:r>
      <w:r>
        <w:rPr>
          <w:rFonts w:cs="Times New Roman"/>
          <w:b/>
          <w:snapToGrid w:val="0"/>
          <w:color w:val="000000" w:themeColor="text1"/>
          <w:kern w:val="0"/>
          <w:sz w:val="24"/>
        </w:rPr>
        <w:t>）大气环境影响</w:t>
      </w:r>
    </w:p>
    <w:p w:rsidR="00644456" w:rsidRDefault="008031C4">
      <w:pPr>
        <w:adjustRightInd w:val="0"/>
        <w:snapToGrid w:val="0"/>
        <w:spacing w:line="360" w:lineRule="auto"/>
        <w:ind w:firstLineChars="200" w:firstLine="480"/>
        <w:rPr>
          <w:rFonts w:cs="Times New Roman"/>
          <w:color w:val="000000" w:themeColor="text1"/>
          <w:sz w:val="24"/>
          <w:szCs w:val="24"/>
        </w:rPr>
      </w:pPr>
      <w:bookmarkStart w:id="575" w:name="_Toc478827047"/>
      <w:bookmarkStart w:id="576" w:name="_Toc478827383"/>
      <w:r>
        <w:rPr>
          <w:rFonts w:cs="Times New Roman" w:hint="eastAsia"/>
          <w:color w:val="000000" w:themeColor="text1"/>
          <w:sz w:val="24"/>
          <w:szCs w:val="24"/>
        </w:rPr>
        <w:t>本项目排放的大气污染物经处理后均能达标排放，对外环境影响较小，不会改变项目所在区域的大气环境功能</w:t>
      </w:r>
      <w:r>
        <w:rPr>
          <w:rFonts w:cs="Times New Roman"/>
          <w:color w:val="000000" w:themeColor="text1"/>
          <w:sz w:val="24"/>
          <w:szCs w:val="24"/>
        </w:rPr>
        <w:t>。</w:t>
      </w:r>
    </w:p>
    <w:p w:rsidR="00644456" w:rsidRDefault="008031C4">
      <w:pPr>
        <w:snapToGrid w:val="0"/>
        <w:spacing w:line="360" w:lineRule="auto"/>
        <w:ind w:firstLineChars="200" w:firstLine="482"/>
        <w:jc w:val="left"/>
        <w:rPr>
          <w:rFonts w:cs="Times New Roman"/>
          <w:b/>
          <w:snapToGrid w:val="0"/>
          <w:color w:val="000000" w:themeColor="text1"/>
          <w:kern w:val="0"/>
          <w:sz w:val="24"/>
        </w:rPr>
      </w:pPr>
      <w:r>
        <w:rPr>
          <w:rFonts w:cs="Times New Roman"/>
          <w:b/>
          <w:snapToGrid w:val="0"/>
          <w:color w:val="000000" w:themeColor="text1"/>
          <w:kern w:val="0"/>
          <w:sz w:val="24"/>
        </w:rPr>
        <w:t>（</w:t>
      </w:r>
      <w:r>
        <w:rPr>
          <w:rFonts w:cs="Times New Roman"/>
          <w:b/>
          <w:snapToGrid w:val="0"/>
          <w:color w:val="000000" w:themeColor="text1"/>
          <w:kern w:val="0"/>
          <w:sz w:val="24"/>
        </w:rPr>
        <w:t>2</w:t>
      </w:r>
      <w:r>
        <w:rPr>
          <w:rFonts w:cs="Times New Roman"/>
          <w:b/>
          <w:snapToGrid w:val="0"/>
          <w:color w:val="000000" w:themeColor="text1"/>
          <w:kern w:val="0"/>
          <w:sz w:val="24"/>
        </w:rPr>
        <w:t>）地表水环境影响</w:t>
      </w:r>
      <w:bookmarkEnd w:id="575"/>
      <w:bookmarkEnd w:id="576"/>
    </w:p>
    <w:p w:rsidR="00644456" w:rsidRDefault="008031C4">
      <w:pPr>
        <w:pStyle w:val="1fd"/>
        <w:rPr>
          <w:bCs/>
          <w:color w:val="000000" w:themeColor="text1"/>
        </w:rPr>
      </w:pPr>
      <w:bookmarkStart w:id="577" w:name="_Toc478827384"/>
      <w:bookmarkStart w:id="578" w:name="_Toc478827048"/>
      <w:r>
        <w:rPr>
          <w:rFonts w:hint="eastAsia"/>
          <w:bCs/>
          <w:color w:val="000000" w:themeColor="text1"/>
        </w:rPr>
        <w:t>根据《环境影响评价技术导则地表水环境》（</w:t>
      </w:r>
      <w:r>
        <w:rPr>
          <w:rFonts w:hint="eastAsia"/>
          <w:bCs/>
          <w:color w:val="000000" w:themeColor="text1"/>
        </w:rPr>
        <w:t>HJ2.3-2018</w:t>
      </w:r>
      <w:r>
        <w:rPr>
          <w:rFonts w:hint="eastAsia"/>
          <w:bCs/>
          <w:color w:val="000000" w:themeColor="text1"/>
        </w:rPr>
        <w:t>）评价等级划分及本项目废水排放特点，本项目生产废水及生活污水通过市政管网进入生态钢城污水处理厂处理，不排放到外环境，地表水评价等级为三级</w:t>
      </w:r>
      <w:r>
        <w:rPr>
          <w:rFonts w:hint="eastAsia"/>
          <w:bCs/>
          <w:color w:val="000000" w:themeColor="text1"/>
        </w:rPr>
        <w:t>B</w:t>
      </w:r>
      <w:r>
        <w:rPr>
          <w:rFonts w:hint="eastAsia"/>
          <w:bCs/>
          <w:color w:val="000000" w:themeColor="text1"/>
        </w:rPr>
        <w:t>。</w:t>
      </w:r>
    </w:p>
    <w:p w:rsidR="00644456" w:rsidRDefault="008031C4">
      <w:pPr>
        <w:snapToGrid w:val="0"/>
        <w:spacing w:line="360" w:lineRule="auto"/>
        <w:ind w:firstLineChars="200" w:firstLine="482"/>
        <w:rPr>
          <w:rFonts w:cs="Times New Roman"/>
          <w:b/>
          <w:snapToGrid w:val="0"/>
          <w:color w:val="000000" w:themeColor="text1"/>
          <w:kern w:val="0"/>
          <w:sz w:val="24"/>
        </w:rPr>
      </w:pPr>
      <w:r>
        <w:rPr>
          <w:rFonts w:cs="Times New Roman"/>
          <w:b/>
          <w:snapToGrid w:val="0"/>
          <w:color w:val="000000" w:themeColor="text1"/>
          <w:kern w:val="0"/>
          <w:sz w:val="24"/>
        </w:rPr>
        <w:t>因此，</w:t>
      </w:r>
      <w:r>
        <w:rPr>
          <w:rFonts w:cs="Times New Roman"/>
          <w:b/>
          <w:color w:val="000000" w:themeColor="text1"/>
          <w:sz w:val="24"/>
        </w:rPr>
        <w:t>项目</w:t>
      </w:r>
      <w:r>
        <w:rPr>
          <w:rFonts w:cs="Times New Roman"/>
          <w:b/>
          <w:bCs/>
          <w:color w:val="000000" w:themeColor="text1"/>
          <w:sz w:val="24"/>
        </w:rPr>
        <w:t>不会改变区域水环境质量功能，区域地表水环境质量将基本维持现状。</w:t>
      </w:r>
    </w:p>
    <w:p w:rsidR="00644456" w:rsidRDefault="008031C4">
      <w:pPr>
        <w:snapToGrid w:val="0"/>
        <w:spacing w:line="360" w:lineRule="auto"/>
        <w:ind w:firstLineChars="200" w:firstLine="482"/>
        <w:jc w:val="left"/>
        <w:rPr>
          <w:rFonts w:cs="Times New Roman"/>
          <w:b/>
          <w:snapToGrid w:val="0"/>
          <w:color w:val="000000" w:themeColor="text1"/>
          <w:kern w:val="0"/>
          <w:sz w:val="24"/>
        </w:rPr>
      </w:pPr>
      <w:r>
        <w:rPr>
          <w:rFonts w:cs="Times New Roman"/>
          <w:b/>
          <w:snapToGrid w:val="0"/>
          <w:color w:val="000000" w:themeColor="text1"/>
          <w:kern w:val="0"/>
          <w:sz w:val="24"/>
        </w:rPr>
        <w:t>（</w:t>
      </w:r>
      <w:r>
        <w:rPr>
          <w:rFonts w:cs="Times New Roman"/>
          <w:b/>
          <w:snapToGrid w:val="0"/>
          <w:color w:val="000000" w:themeColor="text1"/>
          <w:kern w:val="0"/>
          <w:sz w:val="24"/>
        </w:rPr>
        <w:t>3</w:t>
      </w:r>
      <w:r>
        <w:rPr>
          <w:rFonts w:cs="Times New Roman"/>
          <w:b/>
          <w:snapToGrid w:val="0"/>
          <w:color w:val="000000" w:themeColor="text1"/>
          <w:kern w:val="0"/>
          <w:sz w:val="24"/>
        </w:rPr>
        <w:t>）地下水环境影响</w:t>
      </w:r>
      <w:bookmarkEnd w:id="577"/>
      <w:bookmarkEnd w:id="578"/>
    </w:p>
    <w:p w:rsidR="00644456" w:rsidRDefault="008031C4">
      <w:pPr>
        <w:snapToGrid w:val="0"/>
        <w:spacing w:line="360" w:lineRule="auto"/>
        <w:ind w:firstLineChars="200" w:firstLine="480"/>
        <w:jc w:val="left"/>
        <w:rPr>
          <w:rFonts w:cs="Times New Roman"/>
          <w:bCs/>
          <w:color w:val="000000" w:themeColor="text1"/>
          <w:sz w:val="24"/>
        </w:rPr>
      </w:pPr>
      <w:bookmarkStart w:id="579" w:name="_Toc478827049"/>
      <w:bookmarkStart w:id="580" w:name="_Toc478827385"/>
      <w:r>
        <w:rPr>
          <w:rFonts w:cs="Times New Roman"/>
          <w:bCs/>
          <w:color w:val="000000" w:themeColor="text1"/>
          <w:sz w:val="24"/>
        </w:rPr>
        <w:t>为防止物料、废物等跑、冒、滴、漏以及产生渗漏水污染地下水，由于防渗属于隐蔽工程，因此环评要求：在地面防渗施工过程应做好施工记录，或者请施工监理公司做监督，必要时可请环境主管验收部门对防渗设施提前检查。</w:t>
      </w:r>
    </w:p>
    <w:p w:rsidR="00644456" w:rsidRDefault="008031C4">
      <w:pPr>
        <w:snapToGrid w:val="0"/>
        <w:spacing w:line="360" w:lineRule="auto"/>
        <w:ind w:firstLineChars="200" w:firstLine="482"/>
        <w:jc w:val="left"/>
        <w:rPr>
          <w:rFonts w:cs="Times New Roman"/>
          <w:b/>
          <w:snapToGrid w:val="0"/>
          <w:color w:val="000000" w:themeColor="text1"/>
          <w:kern w:val="0"/>
          <w:sz w:val="24"/>
        </w:rPr>
      </w:pPr>
      <w:r>
        <w:rPr>
          <w:rFonts w:cs="Times New Roman"/>
          <w:b/>
          <w:snapToGrid w:val="0"/>
          <w:color w:val="000000" w:themeColor="text1"/>
          <w:kern w:val="0"/>
          <w:sz w:val="24"/>
        </w:rPr>
        <w:t>（</w:t>
      </w:r>
      <w:r>
        <w:rPr>
          <w:rFonts w:cs="Times New Roman"/>
          <w:b/>
          <w:snapToGrid w:val="0"/>
          <w:color w:val="000000" w:themeColor="text1"/>
          <w:kern w:val="0"/>
          <w:sz w:val="24"/>
        </w:rPr>
        <w:t>4</w:t>
      </w:r>
      <w:r>
        <w:rPr>
          <w:rFonts w:cs="Times New Roman"/>
          <w:b/>
          <w:snapToGrid w:val="0"/>
          <w:color w:val="000000" w:themeColor="text1"/>
          <w:kern w:val="0"/>
          <w:sz w:val="24"/>
        </w:rPr>
        <w:t>）声环境影响</w:t>
      </w:r>
      <w:bookmarkEnd w:id="579"/>
      <w:bookmarkEnd w:id="580"/>
    </w:p>
    <w:p w:rsidR="00644456" w:rsidRDefault="008031C4">
      <w:pPr>
        <w:tabs>
          <w:tab w:val="left" w:pos="0"/>
        </w:tabs>
        <w:snapToGrid w:val="0"/>
        <w:spacing w:line="360" w:lineRule="auto"/>
        <w:ind w:firstLineChars="200" w:firstLine="480"/>
        <w:rPr>
          <w:rFonts w:cs="Times New Roman"/>
          <w:bCs/>
          <w:color w:val="000000" w:themeColor="text1"/>
          <w:sz w:val="24"/>
        </w:rPr>
      </w:pPr>
      <w:r>
        <w:rPr>
          <w:rFonts w:cs="Times New Roman"/>
          <w:bCs/>
          <w:color w:val="000000" w:themeColor="text1"/>
          <w:sz w:val="24"/>
        </w:rPr>
        <w:t>根据预测，本项目噪声</w:t>
      </w:r>
      <w:r>
        <w:rPr>
          <w:rFonts w:cs="Times New Roman"/>
          <w:color w:val="000000" w:themeColor="text1"/>
          <w:sz w:val="24"/>
        </w:rPr>
        <w:t>各厂界昼间、夜间噪声分别小于</w:t>
      </w:r>
      <w:r>
        <w:rPr>
          <w:rFonts w:cs="Times New Roman"/>
          <w:color w:val="000000" w:themeColor="text1"/>
          <w:sz w:val="24"/>
        </w:rPr>
        <w:t>65dB</w:t>
      </w:r>
      <w:r>
        <w:rPr>
          <w:rFonts w:cs="Times New Roman"/>
          <w:color w:val="000000" w:themeColor="text1"/>
          <w:sz w:val="24"/>
        </w:rPr>
        <w:t>（</w:t>
      </w:r>
      <w:r>
        <w:rPr>
          <w:rFonts w:cs="Times New Roman"/>
          <w:color w:val="000000" w:themeColor="text1"/>
          <w:sz w:val="24"/>
        </w:rPr>
        <w:t>A</w:t>
      </w:r>
      <w:r>
        <w:rPr>
          <w:rFonts w:cs="Times New Roman"/>
          <w:color w:val="000000" w:themeColor="text1"/>
          <w:sz w:val="24"/>
        </w:rPr>
        <w:t>）、</w:t>
      </w:r>
      <w:r>
        <w:rPr>
          <w:rFonts w:cs="Times New Roman"/>
          <w:color w:val="000000" w:themeColor="text1"/>
          <w:sz w:val="24"/>
        </w:rPr>
        <w:t>55dB</w:t>
      </w:r>
      <w:r>
        <w:rPr>
          <w:rFonts w:cs="Times New Roman"/>
          <w:color w:val="000000" w:themeColor="text1"/>
          <w:sz w:val="24"/>
        </w:rPr>
        <w:t>（</w:t>
      </w:r>
      <w:r>
        <w:rPr>
          <w:rFonts w:cs="Times New Roman"/>
          <w:color w:val="000000" w:themeColor="text1"/>
          <w:sz w:val="24"/>
        </w:rPr>
        <w:t>A</w:t>
      </w:r>
      <w:r>
        <w:rPr>
          <w:rFonts w:cs="Times New Roman"/>
          <w:color w:val="000000" w:themeColor="text1"/>
          <w:sz w:val="24"/>
        </w:rPr>
        <w:t>），均满足《工业企业厂界环境噪声排放标准》（</w:t>
      </w:r>
      <w:r>
        <w:rPr>
          <w:rFonts w:cs="Times New Roman"/>
          <w:color w:val="000000" w:themeColor="text1"/>
          <w:sz w:val="24"/>
        </w:rPr>
        <w:t>GB12348-2008</w:t>
      </w:r>
      <w:r>
        <w:rPr>
          <w:rFonts w:cs="Times New Roman"/>
          <w:color w:val="000000" w:themeColor="text1"/>
          <w:sz w:val="24"/>
        </w:rPr>
        <w:t>）</w:t>
      </w:r>
      <w:r>
        <w:rPr>
          <w:rFonts w:cs="Times New Roman"/>
          <w:color w:val="000000" w:themeColor="text1"/>
          <w:sz w:val="24"/>
        </w:rPr>
        <w:t>3</w:t>
      </w:r>
      <w:r>
        <w:rPr>
          <w:rFonts w:cs="Times New Roman"/>
          <w:color w:val="000000" w:themeColor="text1"/>
          <w:sz w:val="24"/>
        </w:rPr>
        <w:t>类标准。</w:t>
      </w:r>
      <w:r>
        <w:rPr>
          <w:rFonts w:cs="Times New Roman"/>
          <w:bCs/>
          <w:color w:val="000000" w:themeColor="text1"/>
          <w:sz w:val="24"/>
        </w:rPr>
        <w:t>可见本项目设备产生的噪声对周围环境不会造成明显的影响。</w:t>
      </w:r>
    </w:p>
    <w:p w:rsidR="00644456" w:rsidRDefault="008031C4">
      <w:pPr>
        <w:snapToGrid w:val="0"/>
        <w:spacing w:line="360" w:lineRule="auto"/>
        <w:ind w:firstLineChars="200" w:firstLine="482"/>
        <w:jc w:val="left"/>
        <w:rPr>
          <w:rFonts w:cs="Times New Roman"/>
          <w:b/>
          <w:snapToGrid w:val="0"/>
          <w:color w:val="000000" w:themeColor="text1"/>
          <w:kern w:val="0"/>
          <w:sz w:val="24"/>
        </w:rPr>
      </w:pPr>
      <w:bookmarkStart w:id="581" w:name="_Toc478827050"/>
      <w:bookmarkStart w:id="582" w:name="_Toc478827386"/>
      <w:r>
        <w:rPr>
          <w:rFonts w:cs="Times New Roman"/>
          <w:b/>
          <w:snapToGrid w:val="0"/>
          <w:color w:val="000000" w:themeColor="text1"/>
          <w:kern w:val="0"/>
          <w:sz w:val="24"/>
        </w:rPr>
        <w:t>（</w:t>
      </w:r>
      <w:r>
        <w:rPr>
          <w:rFonts w:cs="Times New Roman"/>
          <w:b/>
          <w:snapToGrid w:val="0"/>
          <w:color w:val="000000" w:themeColor="text1"/>
          <w:kern w:val="0"/>
          <w:sz w:val="24"/>
        </w:rPr>
        <w:t>5</w:t>
      </w:r>
      <w:r>
        <w:rPr>
          <w:rFonts w:cs="Times New Roman"/>
          <w:b/>
          <w:snapToGrid w:val="0"/>
          <w:color w:val="000000" w:themeColor="text1"/>
          <w:kern w:val="0"/>
          <w:sz w:val="24"/>
        </w:rPr>
        <w:t>）固体废弃物影响</w:t>
      </w:r>
      <w:bookmarkEnd w:id="581"/>
      <w:bookmarkEnd w:id="582"/>
    </w:p>
    <w:p w:rsidR="00644456" w:rsidRDefault="008031C4">
      <w:pPr>
        <w:snapToGrid w:val="0"/>
        <w:spacing w:line="360" w:lineRule="auto"/>
        <w:ind w:firstLineChars="224" w:firstLine="540"/>
        <w:rPr>
          <w:rFonts w:cs="Times New Roman"/>
          <w:b/>
          <w:snapToGrid w:val="0"/>
          <w:color w:val="000000" w:themeColor="text1"/>
          <w:kern w:val="0"/>
          <w:sz w:val="24"/>
        </w:rPr>
      </w:pPr>
      <w:r>
        <w:rPr>
          <w:rFonts w:cs="Times New Roman" w:hint="eastAsia"/>
          <w:b/>
          <w:bCs/>
          <w:snapToGrid w:val="0"/>
          <w:color w:val="000000" w:themeColor="text1"/>
          <w:kern w:val="0"/>
          <w:sz w:val="24"/>
          <w:szCs w:val="24"/>
        </w:rPr>
        <w:t>本项目对产生的固体废物采取的处置措施安全有效，不会对周围环境产生二次污染。</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583" w:name="_Toc6998"/>
      <w:bookmarkStart w:id="584" w:name="_Toc20292"/>
      <w:bookmarkStart w:id="585" w:name="_Toc155789418"/>
      <w:bookmarkStart w:id="586" w:name="_Toc177216927"/>
      <w:bookmarkEnd w:id="571"/>
      <w:bookmarkEnd w:id="572"/>
      <w:r>
        <w:rPr>
          <w:rFonts w:cs="Times New Roman" w:hint="eastAsia"/>
          <w:color w:val="000000" w:themeColor="text1"/>
        </w:rPr>
        <w:lastRenderedPageBreak/>
        <w:t>10.5</w:t>
      </w:r>
      <w:r>
        <w:rPr>
          <w:rFonts w:cs="Times New Roman"/>
          <w:color w:val="000000" w:themeColor="text1"/>
        </w:rPr>
        <w:t>环境影响经济损益分析</w:t>
      </w:r>
      <w:bookmarkEnd w:id="583"/>
      <w:bookmarkEnd w:id="584"/>
      <w:bookmarkEnd w:id="585"/>
      <w:bookmarkEnd w:id="586"/>
    </w:p>
    <w:p w:rsidR="00644456" w:rsidRDefault="008031C4">
      <w:pPr>
        <w:pStyle w:val="-"/>
        <w:snapToGrid w:val="0"/>
        <w:ind w:firstLine="480"/>
        <w:rPr>
          <w:rFonts w:cs="Times New Roman"/>
          <w:color w:val="000000" w:themeColor="text1"/>
        </w:rPr>
      </w:pPr>
      <w:r>
        <w:rPr>
          <w:rFonts w:cs="Times New Roman"/>
          <w:color w:val="000000" w:themeColor="text1"/>
        </w:rPr>
        <w:t>分析可知，在落实本环评提出的各项污染防治措施的前提下，本项目的建设能够达到经济效益、社会效益和环境效益相统一的要求，既为地方经济发展做出贡献，又通过环保投资减少了污染物排放量，使污染物排放量在环境容量容许的范围内。项目建设满足可持续发展的要求，从环境经济角度而言，项目建设是可行的。</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587" w:name="_Toc177216928"/>
      <w:bookmarkStart w:id="588" w:name="_Toc1822"/>
      <w:bookmarkStart w:id="589" w:name="_Toc155789419"/>
      <w:bookmarkStart w:id="590" w:name="_Toc5790"/>
      <w:bookmarkStart w:id="591" w:name="_Toc5657"/>
      <w:r>
        <w:rPr>
          <w:rFonts w:cs="Times New Roman" w:hint="eastAsia"/>
          <w:color w:val="000000" w:themeColor="text1"/>
        </w:rPr>
        <w:t>10.6</w:t>
      </w:r>
      <w:r>
        <w:rPr>
          <w:rFonts w:cs="Times New Roman"/>
          <w:color w:val="000000" w:themeColor="text1"/>
        </w:rPr>
        <w:t>环境管理与监测计划</w:t>
      </w:r>
      <w:bookmarkEnd w:id="587"/>
      <w:bookmarkEnd w:id="588"/>
      <w:bookmarkEnd w:id="589"/>
      <w:bookmarkEnd w:id="590"/>
      <w:bookmarkEnd w:id="591"/>
    </w:p>
    <w:p w:rsidR="00644456" w:rsidRDefault="008031C4">
      <w:pPr>
        <w:pStyle w:val="-"/>
        <w:snapToGrid w:val="0"/>
        <w:ind w:firstLine="480"/>
        <w:rPr>
          <w:rFonts w:cs="Times New Roman"/>
          <w:color w:val="000000" w:themeColor="text1"/>
        </w:rPr>
      </w:pPr>
      <w:r>
        <w:rPr>
          <w:rFonts w:cs="Times New Roman"/>
          <w:color w:val="000000" w:themeColor="text1"/>
        </w:rPr>
        <w:t>本环评针对项目产生的各类污染物，提出了针对性的环境管理和监测计划。项目运营期应加强环境管理，落实本报告提出的各项环境监测计划，建立健全污染物管理档案。</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592" w:name="_Toc25820"/>
      <w:bookmarkStart w:id="593" w:name="_Toc177216929"/>
      <w:bookmarkStart w:id="594" w:name="_Toc155789420"/>
      <w:r>
        <w:rPr>
          <w:rFonts w:cs="Times New Roman" w:hint="eastAsia"/>
          <w:color w:val="000000" w:themeColor="text1"/>
        </w:rPr>
        <w:t>10.7</w:t>
      </w:r>
      <w:r>
        <w:rPr>
          <w:rFonts w:cs="Times New Roman"/>
          <w:color w:val="000000" w:themeColor="text1"/>
        </w:rPr>
        <w:t>环境风险结论</w:t>
      </w:r>
      <w:bookmarkEnd w:id="592"/>
      <w:bookmarkEnd w:id="593"/>
      <w:bookmarkEnd w:id="594"/>
    </w:p>
    <w:p w:rsidR="00644456" w:rsidRPr="003B47A2" w:rsidRDefault="008031C4">
      <w:pPr>
        <w:pStyle w:val="-"/>
        <w:snapToGrid w:val="0"/>
        <w:ind w:firstLine="480"/>
        <w:rPr>
          <w:rFonts w:cs="Times New Roman"/>
          <w:color w:val="FF0000"/>
        </w:rPr>
      </w:pPr>
      <w:r w:rsidRPr="003B47A2">
        <w:rPr>
          <w:rFonts w:cs="Times New Roman"/>
          <w:color w:val="FF0000"/>
        </w:rPr>
        <w:t>本项目</w:t>
      </w:r>
      <w:r w:rsidRPr="003B47A2">
        <w:rPr>
          <w:rFonts w:cs="Times New Roman"/>
          <w:bCs/>
          <w:color w:val="FF0000"/>
        </w:rPr>
        <w:t>风险物质主要有</w:t>
      </w:r>
      <w:r w:rsidRPr="003B47A2">
        <w:rPr>
          <w:rFonts w:cs="Times New Roman" w:hint="eastAsia"/>
          <w:bCs/>
          <w:color w:val="FF0000"/>
        </w:rPr>
        <w:t>原料废矿物</w:t>
      </w:r>
      <w:r w:rsidR="003B47A2" w:rsidRPr="003B47A2">
        <w:rPr>
          <w:rFonts w:cs="Times New Roman" w:hint="eastAsia"/>
          <w:bCs/>
          <w:color w:val="FF0000"/>
        </w:rPr>
        <w:t>油</w:t>
      </w:r>
      <w:r w:rsidRPr="003B47A2">
        <w:rPr>
          <w:rFonts w:cs="Times New Roman"/>
          <w:bCs/>
          <w:color w:val="FF0000"/>
        </w:rPr>
        <w:t>等。</w:t>
      </w:r>
      <w:r w:rsidR="003B47A2" w:rsidRPr="003B47A2">
        <w:rPr>
          <w:rFonts w:cs="Times New Roman" w:hint="eastAsia"/>
          <w:bCs/>
          <w:color w:val="FF0000"/>
        </w:rPr>
        <w:t>本项目主要风险事故为燃爆引发的引发伴生</w:t>
      </w:r>
      <w:r w:rsidR="003B47A2" w:rsidRPr="003B47A2">
        <w:rPr>
          <w:rFonts w:cs="Times New Roman" w:hint="eastAsia"/>
          <w:bCs/>
          <w:color w:val="FF0000"/>
        </w:rPr>
        <w:t>/</w:t>
      </w:r>
      <w:r w:rsidR="003B47A2" w:rsidRPr="003B47A2">
        <w:rPr>
          <w:rFonts w:cs="Times New Roman" w:hint="eastAsia"/>
          <w:bCs/>
          <w:color w:val="FF0000"/>
        </w:rPr>
        <w:t>次生污染物排放对周边人群的影响和风险物质泄漏对地表水体、土壤、地下水的环境风险</w:t>
      </w:r>
      <w:r w:rsidRPr="003B47A2">
        <w:rPr>
          <w:rFonts w:cs="Times New Roman"/>
          <w:bCs/>
          <w:color w:val="FF0000"/>
        </w:rPr>
        <w:t>。</w:t>
      </w:r>
      <w:r w:rsidRPr="003B47A2">
        <w:rPr>
          <w:rFonts w:cs="Times New Roman"/>
          <w:color w:val="FF0000"/>
        </w:rPr>
        <w:t>环评报告书认为通过严格的风险防范措施，可将风险隐患降至最低，达到可以接受的水平。在采取完善的事故风险防范措施，建立科学完整的应急计划，落实有效的应急救援措施后，本项目产生的环境风险可以得到有效控制。因此，项目从环境风险角度分析是可行的。</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595" w:name="_Toc25541"/>
      <w:bookmarkStart w:id="596" w:name="_Toc155789421"/>
      <w:bookmarkStart w:id="597" w:name="_Toc177216930"/>
      <w:r>
        <w:rPr>
          <w:rFonts w:cs="Times New Roman" w:hint="eastAsia"/>
          <w:color w:val="000000" w:themeColor="text1"/>
        </w:rPr>
        <w:t>10.8</w:t>
      </w:r>
      <w:r>
        <w:rPr>
          <w:rFonts w:cs="Times New Roman"/>
          <w:color w:val="000000" w:themeColor="text1"/>
        </w:rPr>
        <w:t>公众意见采纳情况</w:t>
      </w:r>
      <w:bookmarkEnd w:id="595"/>
      <w:bookmarkEnd w:id="596"/>
      <w:bookmarkEnd w:id="597"/>
    </w:p>
    <w:p w:rsidR="00644456" w:rsidRDefault="008031C4">
      <w:pPr>
        <w:snapToGrid w:val="0"/>
        <w:spacing w:line="360" w:lineRule="auto"/>
        <w:ind w:firstLine="482"/>
        <w:rPr>
          <w:rFonts w:cs="Times New Roman"/>
          <w:snapToGrid w:val="0"/>
          <w:color w:val="000000" w:themeColor="text1"/>
          <w:kern w:val="0"/>
          <w:sz w:val="24"/>
        </w:rPr>
      </w:pPr>
      <w:bookmarkStart w:id="598" w:name="_Toc24883"/>
      <w:bookmarkStart w:id="599" w:name="_Toc7774"/>
      <w:bookmarkStart w:id="600" w:name="_Toc4400"/>
      <w:r>
        <w:rPr>
          <w:rFonts w:cs="Times New Roman" w:hint="eastAsia"/>
          <w:snapToGrid w:val="0"/>
          <w:color w:val="000000" w:themeColor="text1"/>
          <w:kern w:val="0"/>
          <w:sz w:val="24"/>
        </w:rPr>
        <w:t>本次环评工作分别于</w:t>
      </w:r>
      <w:r>
        <w:rPr>
          <w:rFonts w:cs="Times New Roman" w:hint="eastAsia"/>
          <w:snapToGrid w:val="0"/>
          <w:color w:val="000000" w:themeColor="text1"/>
          <w:kern w:val="0"/>
          <w:sz w:val="24"/>
        </w:rPr>
        <w:t>2024</w:t>
      </w:r>
      <w:r>
        <w:rPr>
          <w:rFonts w:cs="Times New Roman" w:hint="eastAsia"/>
          <w:snapToGrid w:val="0"/>
          <w:color w:val="000000" w:themeColor="text1"/>
          <w:kern w:val="0"/>
          <w:sz w:val="24"/>
        </w:rPr>
        <w:t>年</w:t>
      </w:r>
      <w:r>
        <w:rPr>
          <w:rFonts w:cs="Times New Roman" w:hint="eastAsia"/>
          <w:snapToGrid w:val="0"/>
          <w:color w:val="000000" w:themeColor="text1"/>
          <w:kern w:val="0"/>
          <w:sz w:val="24"/>
        </w:rPr>
        <w:t>01</w:t>
      </w:r>
      <w:r>
        <w:rPr>
          <w:rFonts w:cs="Times New Roman" w:hint="eastAsia"/>
          <w:snapToGrid w:val="0"/>
          <w:color w:val="000000" w:themeColor="text1"/>
          <w:kern w:val="0"/>
          <w:sz w:val="24"/>
        </w:rPr>
        <w:t>月</w:t>
      </w:r>
      <w:r>
        <w:rPr>
          <w:rFonts w:cs="Times New Roman" w:hint="eastAsia"/>
          <w:snapToGrid w:val="0"/>
          <w:color w:val="000000" w:themeColor="text1"/>
          <w:kern w:val="0"/>
          <w:sz w:val="24"/>
        </w:rPr>
        <w:t>05</w:t>
      </w:r>
      <w:r>
        <w:rPr>
          <w:rFonts w:cs="Times New Roman" w:hint="eastAsia"/>
          <w:snapToGrid w:val="0"/>
          <w:color w:val="000000" w:themeColor="text1"/>
          <w:kern w:val="0"/>
          <w:sz w:val="24"/>
        </w:rPr>
        <w:t>日和</w:t>
      </w:r>
      <w:r>
        <w:rPr>
          <w:rFonts w:cs="Times New Roman" w:hint="eastAsia"/>
          <w:snapToGrid w:val="0"/>
          <w:color w:val="000000" w:themeColor="text1"/>
          <w:kern w:val="0"/>
          <w:sz w:val="24"/>
        </w:rPr>
        <w:t>2024</w:t>
      </w:r>
      <w:r>
        <w:rPr>
          <w:rFonts w:cs="Times New Roman" w:hint="eastAsia"/>
          <w:snapToGrid w:val="0"/>
          <w:color w:val="000000" w:themeColor="text1"/>
          <w:kern w:val="0"/>
          <w:sz w:val="24"/>
        </w:rPr>
        <w:t>年</w:t>
      </w:r>
      <w:r>
        <w:rPr>
          <w:rFonts w:cs="Times New Roman" w:hint="eastAsia"/>
          <w:snapToGrid w:val="0"/>
          <w:color w:val="000000" w:themeColor="text1"/>
          <w:kern w:val="0"/>
          <w:sz w:val="24"/>
        </w:rPr>
        <w:t>3</w:t>
      </w:r>
      <w:r>
        <w:rPr>
          <w:rFonts w:cs="Times New Roman" w:hint="eastAsia"/>
          <w:snapToGrid w:val="0"/>
          <w:color w:val="000000" w:themeColor="text1"/>
          <w:kern w:val="0"/>
          <w:sz w:val="24"/>
        </w:rPr>
        <w:t>月</w:t>
      </w:r>
      <w:r>
        <w:rPr>
          <w:rFonts w:cs="Times New Roman" w:hint="eastAsia"/>
          <w:snapToGrid w:val="0"/>
          <w:color w:val="000000" w:themeColor="text1"/>
          <w:kern w:val="0"/>
          <w:sz w:val="24"/>
        </w:rPr>
        <w:t>21</w:t>
      </w:r>
      <w:r>
        <w:rPr>
          <w:rFonts w:cs="Times New Roman" w:hint="eastAsia"/>
          <w:snapToGrid w:val="0"/>
          <w:color w:val="000000" w:themeColor="text1"/>
          <w:kern w:val="0"/>
          <w:sz w:val="24"/>
        </w:rPr>
        <w:t>日在新疆维吾尔自治区生态环境保护产业协会网站进行了</w:t>
      </w:r>
      <w:r>
        <w:rPr>
          <w:rFonts w:cs="Times New Roman"/>
          <w:snapToGrid w:val="0"/>
          <w:color w:val="000000" w:themeColor="text1"/>
          <w:kern w:val="0"/>
          <w:sz w:val="24"/>
        </w:rPr>
        <w:t>2</w:t>
      </w:r>
      <w:r>
        <w:rPr>
          <w:rFonts w:cs="Times New Roman" w:hint="eastAsia"/>
          <w:snapToGrid w:val="0"/>
          <w:color w:val="000000" w:themeColor="text1"/>
          <w:kern w:val="0"/>
          <w:sz w:val="24"/>
        </w:rPr>
        <w:t>次网上公示，</w:t>
      </w:r>
      <w:r>
        <w:rPr>
          <w:rFonts w:cs="Times New Roman" w:hint="eastAsia"/>
          <w:snapToGrid w:val="0"/>
          <w:color w:val="000000" w:themeColor="text1"/>
          <w:kern w:val="0"/>
          <w:sz w:val="24"/>
        </w:rPr>
        <w:t>2024</w:t>
      </w:r>
      <w:r>
        <w:rPr>
          <w:rFonts w:cs="Times New Roman" w:hint="eastAsia"/>
          <w:snapToGrid w:val="0"/>
          <w:color w:val="000000" w:themeColor="text1"/>
          <w:kern w:val="0"/>
          <w:sz w:val="24"/>
        </w:rPr>
        <w:t>年</w:t>
      </w:r>
      <w:r>
        <w:rPr>
          <w:rFonts w:cs="Times New Roman" w:hint="eastAsia"/>
          <w:snapToGrid w:val="0"/>
          <w:color w:val="000000" w:themeColor="text1"/>
          <w:kern w:val="0"/>
          <w:sz w:val="24"/>
        </w:rPr>
        <w:t>3</w:t>
      </w:r>
      <w:r>
        <w:rPr>
          <w:rFonts w:cs="Times New Roman" w:hint="eastAsia"/>
          <w:snapToGrid w:val="0"/>
          <w:color w:val="000000" w:themeColor="text1"/>
          <w:kern w:val="0"/>
          <w:sz w:val="24"/>
        </w:rPr>
        <w:t>月</w:t>
      </w:r>
      <w:r>
        <w:rPr>
          <w:rFonts w:cs="Times New Roman" w:hint="eastAsia"/>
          <w:snapToGrid w:val="0"/>
          <w:color w:val="000000" w:themeColor="text1"/>
          <w:kern w:val="0"/>
          <w:sz w:val="24"/>
        </w:rPr>
        <w:t>21</w:t>
      </w:r>
      <w:r>
        <w:rPr>
          <w:rFonts w:cs="Times New Roman" w:hint="eastAsia"/>
          <w:snapToGrid w:val="0"/>
          <w:color w:val="000000" w:themeColor="text1"/>
          <w:kern w:val="0"/>
          <w:sz w:val="24"/>
        </w:rPr>
        <w:t>日～</w:t>
      </w:r>
      <w:r>
        <w:rPr>
          <w:rFonts w:cs="Times New Roman" w:hint="eastAsia"/>
          <w:snapToGrid w:val="0"/>
          <w:color w:val="000000" w:themeColor="text1"/>
          <w:kern w:val="0"/>
          <w:sz w:val="24"/>
        </w:rPr>
        <w:t>2024</w:t>
      </w:r>
      <w:r>
        <w:rPr>
          <w:rFonts w:cs="Times New Roman" w:hint="eastAsia"/>
          <w:snapToGrid w:val="0"/>
          <w:color w:val="000000" w:themeColor="text1"/>
          <w:kern w:val="0"/>
          <w:sz w:val="24"/>
        </w:rPr>
        <w:t>年</w:t>
      </w:r>
      <w:r>
        <w:rPr>
          <w:rFonts w:cs="Times New Roman" w:hint="eastAsia"/>
          <w:snapToGrid w:val="0"/>
          <w:color w:val="000000" w:themeColor="text1"/>
          <w:kern w:val="0"/>
          <w:sz w:val="24"/>
        </w:rPr>
        <w:t>4</w:t>
      </w:r>
      <w:r>
        <w:rPr>
          <w:rFonts w:cs="Times New Roman" w:hint="eastAsia"/>
          <w:snapToGrid w:val="0"/>
          <w:color w:val="000000" w:themeColor="text1"/>
          <w:kern w:val="0"/>
          <w:sz w:val="24"/>
        </w:rPr>
        <w:t>月</w:t>
      </w:r>
      <w:r>
        <w:rPr>
          <w:rFonts w:cs="Times New Roman" w:hint="eastAsia"/>
          <w:snapToGrid w:val="0"/>
          <w:color w:val="000000" w:themeColor="text1"/>
          <w:kern w:val="0"/>
          <w:sz w:val="24"/>
        </w:rPr>
        <w:t>3</w:t>
      </w:r>
      <w:r>
        <w:rPr>
          <w:rFonts w:cs="Times New Roman" w:hint="eastAsia"/>
          <w:snapToGrid w:val="0"/>
          <w:color w:val="000000" w:themeColor="text1"/>
          <w:kern w:val="0"/>
          <w:sz w:val="24"/>
        </w:rPr>
        <w:t>日在新疆法制报进行了两次登报公示，在疏勒高新技术产业开发区公开栏进行了现场公示，均未收到相关投诉和建议</w:t>
      </w:r>
      <w:r>
        <w:rPr>
          <w:rFonts w:cs="Times New Roman"/>
          <w:snapToGrid w:val="0"/>
          <w:color w:val="000000" w:themeColor="text1"/>
          <w:kern w:val="0"/>
          <w:sz w:val="24"/>
        </w:rPr>
        <w:t>。</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601" w:name="_Toc155789422"/>
      <w:bookmarkStart w:id="602" w:name="_Toc177216931"/>
      <w:r>
        <w:rPr>
          <w:rFonts w:cs="Times New Roman" w:hint="eastAsia"/>
          <w:color w:val="000000" w:themeColor="text1"/>
        </w:rPr>
        <w:t>10.9</w:t>
      </w:r>
      <w:r>
        <w:rPr>
          <w:rFonts w:cs="Times New Roman"/>
          <w:color w:val="000000" w:themeColor="text1"/>
        </w:rPr>
        <w:t>结论</w:t>
      </w:r>
      <w:bookmarkEnd w:id="598"/>
      <w:bookmarkEnd w:id="599"/>
      <w:bookmarkEnd w:id="600"/>
      <w:bookmarkEnd w:id="601"/>
      <w:bookmarkEnd w:id="602"/>
    </w:p>
    <w:p w:rsidR="00644456" w:rsidRDefault="008031C4">
      <w:pPr>
        <w:pStyle w:val="-"/>
        <w:snapToGrid w:val="0"/>
        <w:ind w:firstLine="480"/>
        <w:rPr>
          <w:rFonts w:cs="Times New Roman"/>
          <w:b/>
          <w:color w:val="000000" w:themeColor="text1"/>
        </w:rPr>
      </w:pPr>
      <w:r>
        <w:rPr>
          <w:rFonts w:cs="Times New Roman"/>
          <w:color w:val="000000" w:themeColor="text1"/>
        </w:rPr>
        <w:t>本项目符合国家现行产业政策，拟采用的生产工艺及设备先进、成熟、可靠，符合清洁生产要求；项目采取的污染防治措施成熟可靠且技术经济可行，排放污染物能够达到国家规定的标准要求，对评价区域环境质量的影响不明显。项目环境风险影响处于可接受水平，风险防范措施及应急预案切实可行。只要严格落实环境影响报告书提出的环保对策及措施，严格执行</w:t>
      </w:r>
      <w:r>
        <w:rPr>
          <w:rFonts w:cs="Times New Roman"/>
          <w:color w:val="000000" w:themeColor="text1"/>
        </w:rPr>
        <w:t>“</w:t>
      </w:r>
      <w:r>
        <w:rPr>
          <w:rFonts w:cs="Times New Roman"/>
          <w:color w:val="000000" w:themeColor="text1"/>
        </w:rPr>
        <w:t>三同时</w:t>
      </w:r>
      <w:r>
        <w:rPr>
          <w:rFonts w:cs="Times New Roman"/>
          <w:color w:val="000000" w:themeColor="text1"/>
        </w:rPr>
        <w:t>”</w:t>
      </w:r>
      <w:r>
        <w:rPr>
          <w:rFonts w:cs="Times New Roman"/>
          <w:color w:val="000000" w:themeColor="text1"/>
        </w:rPr>
        <w:t>制度，确保项目污染物达标排放，认真落实环境风险的防范措施及应急预案，</w:t>
      </w:r>
      <w:r>
        <w:rPr>
          <w:rFonts w:cs="Times New Roman"/>
          <w:b/>
          <w:color w:val="000000" w:themeColor="text1"/>
        </w:rPr>
        <w:t>则</w:t>
      </w:r>
      <w:r>
        <w:rPr>
          <w:rFonts w:cs="Times New Roman" w:hint="eastAsia"/>
          <w:b/>
          <w:color w:val="000000" w:themeColor="text1"/>
        </w:rPr>
        <w:t>喀什正启节能环保科技有限公司废矿物油再生与利用项目</w:t>
      </w:r>
      <w:r>
        <w:rPr>
          <w:rFonts w:cs="Times New Roman"/>
          <w:b/>
          <w:color w:val="000000" w:themeColor="text1"/>
        </w:rPr>
        <w:t>在</w:t>
      </w:r>
      <w:r>
        <w:rPr>
          <w:rFonts w:cs="Times New Roman" w:hint="eastAsia"/>
          <w:b/>
          <w:color w:val="000000" w:themeColor="text1"/>
        </w:rPr>
        <w:t>疏勒高新技术产业开发区</w:t>
      </w:r>
      <w:r>
        <w:rPr>
          <w:rFonts w:cs="Times New Roman"/>
          <w:b/>
          <w:color w:val="000000" w:themeColor="text1"/>
        </w:rPr>
        <w:t>进行建设从环保角度可行。</w:t>
      </w:r>
    </w:p>
    <w:p w:rsidR="00644456" w:rsidRDefault="008031C4">
      <w:pPr>
        <w:pStyle w:val="20"/>
        <w:numPr>
          <w:ilvl w:val="1"/>
          <w:numId w:val="0"/>
        </w:numPr>
        <w:snapToGrid w:val="0"/>
        <w:spacing w:beforeLines="0" w:before="0" w:afterLines="0" w:after="0"/>
        <w:ind w:firstLine="560"/>
        <w:rPr>
          <w:rFonts w:cs="Times New Roman"/>
          <w:color w:val="000000" w:themeColor="text1"/>
        </w:rPr>
      </w:pPr>
      <w:bookmarkStart w:id="603" w:name="_Toc155789423"/>
      <w:bookmarkStart w:id="604" w:name="_Toc177216932"/>
      <w:bookmarkStart w:id="605" w:name="_Toc180817102"/>
      <w:bookmarkStart w:id="606" w:name="_Toc180824245"/>
      <w:bookmarkStart w:id="607" w:name="_Toc21957"/>
      <w:bookmarkStart w:id="608" w:name="_Toc30887"/>
      <w:bookmarkStart w:id="609" w:name="_Toc108520819"/>
      <w:bookmarkStart w:id="610" w:name="_Toc343245366"/>
      <w:bookmarkStart w:id="611" w:name="_Toc1770"/>
      <w:bookmarkStart w:id="612" w:name="_Toc283717794"/>
      <w:r>
        <w:rPr>
          <w:rFonts w:cs="Times New Roman" w:hint="eastAsia"/>
          <w:color w:val="000000" w:themeColor="text1"/>
        </w:rPr>
        <w:lastRenderedPageBreak/>
        <w:t>10.10</w:t>
      </w:r>
      <w:r>
        <w:rPr>
          <w:rFonts w:cs="Times New Roman"/>
          <w:color w:val="000000" w:themeColor="text1"/>
        </w:rPr>
        <w:t>要求及建议</w:t>
      </w:r>
      <w:bookmarkEnd w:id="603"/>
      <w:bookmarkEnd w:id="604"/>
      <w:bookmarkEnd w:id="605"/>
      <w:bookmarkEnd w:id="606"/>
      <w:bookmarkEnd w:id="607"/>
      <w:bookmarkEnd w:id="608"/>
      <w:bookmarkEnd w:id="609"/>
      <w:bookmarkEnd w:id="610"/>
      <w:bookmarkEnd w:id="611"/>
      <w:bookmarkEnd w:id="612"/>
    </w:p>
    <w:p w:rsidR="00644456" w:rsidRDefault="008031C4">
      <w:pPr>
        <w:autoSpaceDE w:val="0"/>
        <w:autoSpaceDN w:val="0"/>
        <w:snapToGrid w:val="0"/>
        <w:spacing w:line="360" w:lineRule="auto"/>
        <w:ind w:firstLine="482"/>
        <w:jc w:val="left"/>
        <w:rPr>
          <w:rFonts w:cs="Times New Roman"/>
          <w:snapToGrid w:val="0"/>
          <w:color w:val="000000" w:themeColor="text1"/>
          <w:kern w:val="0"/>
          <w:sz w:val="24"/>
        </w:rPr>
      </w:pPr>
      <w:r>
        <w:rPr>
          <w:rFonts w:cs="Times New Roman"/>
          <w:snapToGrid w:val="0"/>
          <w:color w:val="000000" w:themeColor="text1"/>
          <w:kern w:val="0"/>
          <w:sz w:val="24"/>
        </w:rPr>
        <w:t>（</w:t>
      </w:r>
      <w:r>
        <w:rPr>
          <w:rFonts w:cs="Times New Roman"/>
          <w:snapToGrid w:val="0"/>
          <w:color w:val="000000" w:themeColor="text1"/>
          <w:kern w:val="0"/>
          <w:sz w:val="24"/>
        </w:rPr>
        <w:t>1</w:t>
      </w:r>
      <w:r>
        <w:rPr>
          <w:rFonts w:cs="Times New Roman"/>
          <w:snapToGrid w:val="0"/>
          <w:color w:val="000000" w:themeColor="text1"/>
          <w:kern w:val="0"/>
          <w:sz w:val="24"/>
        </w:rPr>
        <w:t>）企业应加强环保设施的日常管理、维护，建立健全环保设施的运行管理制度、定期检查制度、设备维护和检修制度，确保环保设施高效运行，尽量减少和避免事故排放情况发生。</w:t>
      </w:r>
    </w:p>
    <w:p w:rsidR="00644456" w:rsidRDefault="008031C4">
      <w:pPr>
        <w:autoSpaceDE w:val="0"/>
        <w:autoSpaceDN w:val="0"/>
        <w:snapToGrid w:val="0"/>
        <w:spacing w:line="360" w:lineRule="auto"/>
        <w:ind w:firstLine="482"/>
        <w:jc w:val="left"/>
        <w:rPr>
          <w:rFonts w:cs="Times New Roman"/>
          <w:snapToGrid w:val="0"/>
          <w:color w:val="000000" w:themeColor="text1"/>
          <w:kern w:val="0"/>
          <w:sz w:val="24"/>
        </w:rPr>
      </w:pPr>
      <w:r>
        <w:rPr>
          <w:rFonts w:cs="Times New Roman"/>
          <w:snapToGrid w:val="0"/>
          <w:color w:val="000000" w:themeColor="text1"/>
          <w:kern w:val="0"/>
          <w:sz w:val="24"/>
        </w:rPr>
        <w:t>（</w:t>
      </w:r>
      <w:r>
        <w:rPr>
          <w:rFonts w:cs="Times New Roman"/>
          <w:snapToGrid w:val="0"/>
          <w:color w:val="000000" w:themeColor="text1"/>
          <w:kern w:val="0"/>
          <w:sz w:val="24"/>
        </w:rPr>
        <w:t>2</w:t>
      </w:r>
      <w:r>
        <w:rPr>
          <w:rFonts w:cs="Times New Roman"/>
          <w:snapToGrid w:val="0"/>
          <w:color w:val="000000" w:themeColor="text1"/>
          <w:kern w:val="0"/>
          <w:sz w:val="24"/>
        </w:rPr>
        <w:t>）认真贯彻执行国家和</w:t>
      </w:r>
      <w:r>
        <w:rPr>
          <w:rFonts w:cs="Times New Roman" w:hint="eastAsia"/>
          <w:snapToGrid w:val="0"/>
          <w:color w:val="000000" w:themeColor="text1"/>
          <w:kern w:val="0"/>
          <w:sz w:val="24"/>
        </w:rPr>
        <w:t>新疆维吾尔自治区</w:t>
      </w:r>
      <w:r>
        <w:rPr>
          <w:rFonts w:cs="Times New Roman"/>
          <w:snapToGrid w:val="0"/>
          <w:color w:val="000000" w:themeColor="text1"/>
          <w:kern w:val="0"/>
          <w:sz w:val="24"/>
        </w:rPr>
        <w:t>的各项环保法规和要求，根据生产的需要，充实环境保护机构的人员，落实环境管理规章制度，认真执行环境监测计划。</w:t>
      </w:r>
    </w:p>
    <w:p w:rsidR="00644456" w:rsidRDefault="008031C4">
      <w:pPr>
        <w:autoSpaceDE w:val="0"/>
        <w:autoSpaceDN w:val="0"/>
        <w:snapToGrid w:val="0"/>
        <w:spacing w:line="360" w:lineRule="auto"/>
        <w:ind w:firstLine="482"/>
        <w:jc w:val="left"/>
        <w:rPr>
          <w:rFonts w:cs="Times New Roman"/>
          <w:snapToGrid w:val="0"/>
          <w:color w:val="000000" w:themeColor="text1"/>
          <w:kern w:val="0"/>
          <w:sz w:val="24"/>
        </w:rPr>
      </w:pPr>
      <w:r>
        <w:rPr>
          <w:rFonts w:cs="Times New Roman"/>
          <w:snapToGrid w:val="0"/>
          <w:color w:val="000000" w:themeColor="text1"/>
          <w:kern w:val="0"/>
          <w:sz w:val="24"/>
        </w:rPr>
        <w:t>（</w:t>
      </w:r>
      <w:r>
        <w:rPr>
          <w:rFonts w:cs="Times New Roman"/>
          <w:snapToGrid w:val="0"/>
          <w:color w:val="000000" w:themeColor="text1"/>
          <w:kern w:val="0"/>
          <w:sz w:val="24"/>
        </w:rPr>
        <w:t>3</w:t>
      </w:r>
      <w:r>
        <w:rPr>
          <w:rFonts w:cs="Times New Roman"/>
          <w:snapToGrid w:val="0"/>
          <w:color w:val="000000" w:themeColor="text1"/>
          <w:kern w:val="0"/>
          <w:sz w:val="24"/>
        </w:rPr>
        <w:t>）公司应当继续搞好日常环境监督管理，使环保治理设施长期正常运行，防止各类污染物非正常排放，确保各项污染物达标排放。规范各排污口管理、按环保部门要求设置相应标准等。</w:t>
      </w:r>
    </w:p>
    <w:p w:rsidR="00644456" w:rsidRDefault="008031C4">
      <w:pPr>
        <w:snapToGrid w:val="0"/>
        <w:spacing w:line="360" w:lineRule="auto"/>
        <w:ind w:firstLine="482"/>
        <w:rPr>
          <w:rFonts w:cs="Times New Roman"/>
          <w:snapToGrid w:val="0"/>
          <w:color w:val="000000" w:themeColor="text1"/>
          <w:kern w:val="0"/>
          <w:sz w:val="24"/>
        </w:rPr>
      </w:pPr>
      <w:r>
        <w:rPr>
          <w:rFonts w:cs="Times New Roman"/>
          <w:snapToGrid w:val="0"/>
          <w:color w:val="000000" w:themeColor="text1"/>
          <w:kern w:val="0"/>
          <w:sz w:val="24"/>
        </w:rPr>
        <w:t>（</w:t>
      </w:r>
      <w:r>
        <w:rPr>
          <w:rFonts w:cs="Times New Roman"/>
          <w:snapToGrid w:val="0"/>
          <w:color w:val="000000" w:themeColor="text1"/>
          <w:kern w:val="0"/>
          <w:sz w:val="24"/>
        </w:rPr>
        <w:t>4</w:t>
      </w:r>
      <w:r>
        <w:rPr>
          <w:rFonts w:cs="Times New Roman"/>
          <w:snapToGrid w:val="0"/>
          <w:color w:val="000000" w:themeColor="text1"/>
          <w:kern w:val="0"/>
          <w:sz w:val="24"/>
        </w:rPr>
        <w:t>）注意风险防范措施，随时制定相应的应急预案，并制定相应的风险防范演练。</w:t>
      </w:r>
    </w:p>
    <w:p w:rsidR="00644456" w:rsidRDefault="008031C4">
      <w:pPr>
        <w:pStyle w:val="221"/>
        <w:snapToGrid w:val="0"/>
        <w:rPr>
          <w:color w:val="000000" w:themeColor="text1"/>
        </w:rPr>
      </w:pPr>
      <w:r>
        <w:rPr>
          <w:color w:val="000000" w:themeColor="text1"/>
        </w:rPr>
        <w:t>（</w:t>
      </w:r>
      <w:r>
        <w:rPr>
          <w:color w:val="000000" w:themeColor="text1"/>
        </w:rPr>
        <w:t>5</w:t>
      </w:r>
      <w:r>
        <w:rPr>
          <w:color w:val="000000" w:themeColor="text1"/>
        </w:rPr>
        <w:t>）项目必须严格执行</w:t>
      </w:r>
      <w:r>
        <w:rPr>
          <w:color w:val="000000" w:themeColor="text1"/>
        </w:rPr>
        <w:t>“</w:t>
      </w:r>
      <w:r>
        <w:rPr>
          <w:color w:val="000000" w:themeColor="text1"/>
        </w:rPr>
        <w:t>三同时</w:t>
      </w:r>
      <w:r>
        <w:rPr>
          <w:color w:val="000000" w:themeColor="text1"/>
        </w:rPr>
        <w:t>”</w:t>
      </w:r>
      <w:r>
        <w:rPr>
          <w:color w:val="000000" w:themeColor="text1"/>
        </w:rPr>
        <w:t>规定，有关环保设施必须与主体工程同时设计，同时施工，同时使用。</w:t>
      </w:r>
    </w:p>
    <w:sectPr w:rsidR="00644456">
      <w:pgSz w:w="11905" w:h="16838"/>
      <w:pgMar w:top="1440" w:right="1440" w:bottom="1440" w:left="1440" w:header="850" w:footer="992"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C20" w:rsidRDefault="00275C20">
      <w:r>
        <w:separator/>
      </w:r>
    </w:p>
  </w:endnote>
  <w:endnote w:type="continuationSeparator" w:id="0">
    <w:p w:rsidR="00275C20" w:rsidRDefault="00275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panose1 w:val="0201060903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charset w:val="00"/>
    <w:family w:val="roman"/>
    <w:pitch w:val="default"/>
    <w:sig w:usb0="00000000" w:usb1="00000000" w:usb2="00000000" w:usb3="00000000" w:csb0="00000001" w:csb1="00000000"/>
  </w:font>
  <w:font w:name="新宋体-18030">
    <w:altName w:val="宋体"/>
    <w:charset w:val="00"/>
    <w:family w:val="auto"/>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华文中宋">
    <w:panose1 w:val="02010600040101010101"/>
    <w:charset w:val="86"/>
    <w:family w:val="auto"/>
    <w:pitch w:val="variable"/>
    <w:sig w:usb0="00000287" w:usb1="080F0000" w:usb2="00000010" w:usb3="00000000" w:csb0="0004009F" w:csb1="00000000"/>
  </w:font>
  <w:font w:name="MingLiU">
    <w:altName w:val="細明體"/>
    <w:panose1 w:val="02020509000000000000"/>
    <w:charset w:val="88"/>
    <w:family w:val="modern"/>
    <w:pitch w:val="fixed"/>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_GB2312">
    <w:altName w:val="Times New Roman"/>
    <w:charset w:val="00"/>
    <w:family w:val="roman"/>
    <w:pitch w:val="default"/>
    <w:sig w:usb0="00000000" w:usb1="00000000" w:usb2="00000000"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CommercialPi BT">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_GB2312">
    <w:altName w:val="楷体"/>
    <w:charset w:val="86"/>
    <w:family w:val="modern"/>
    <w:pitch w:val="default"/>
    <w:sig w:usb0="00000001" w:usb1="080E0000" w:usb2="00000000" w:usb3="00000000" w:csb0="00040000" w:csb1="00000000"/>
  </w:font>
  <w:font w:name="華康中明體">
    <w:altName w:val="Microsoft JhengHei"/>
    <w:charset w:val="88"/>
    <w:family w:val="auto"/>
    <w:pitch w:val="default"/>
    <w:sig w:usb0="00000000" w:usb1="00000000" w:usb2="00000010" w:usb3="00000000" w:csb0="00100000" w:csb1="00000000"/>
  </w:font>
  <w:font w:name="PMingLiU">
    <w:altName w:val="新細明體"/>
    <w:panose1 w:val="02020500000000000000"/>
    <w:charset w:val="88"/>
    <w:family w:val="roman"/>
    <w:pitch w:val="variable"/>
    <w:sig w:usb0="A00002FF" w:usb1="28CFFCFA" w:usb2="00000016" w:usb3="00000000" w:csb0="00100001" w:csb1="00000000"/>
  </w:font>
  <w:font w:name="方正姚体">
    <w:panose1 w:val="02010601030101010101"/>
    <w:charset w:val="86"/>
    <w:family w:val="auto"/>
    <w:pitch w:val="variable"/>
    <w:sig w:usb0="00000003" w:usb1="080E0000" w:usb2="00000010" w:usb3="00000000" w:csb0="00040000" w:csb1="00000000"/>
  </w:font>
  <w:font w:name="MHei-Medium">
    <w:altName w:val="MingLiU-ExtB"/>
    <w:charset w:val="88"/>
    <w:family w:val="auto"/>
    <w:pitch w:val="default"/>
    <w:sig w:usb0="00000000" w:usb1="00000000" w:usb2="00000010" w:usb3="00000000" w:csb0="00100000" w:csb1="00000000"/>
  </w:font>
  <w:font w:name="”“Times New Roman”“">
    <w:altName w:val="宋体"/>
    <w:charset w:val="86"/>
    <w:family w:val="roman"/>
    <w:pitch w:val="default"/>
    <w:sig w:usb0="00000000" w:usb1="00000000" w:usb2="00000010" w:usb3="00000000" w:csb0="00040000" w:csb1="00000000"/>
  </w:font>
  <w:font w:name="仿宋体">
    <w:altName w:val="宋体"/>
    <w:charset w:val="86"/>
    <w:family w:val="roman"/>
    <w:pitch w:val="default"/>
    <w:sig w:usb0="00000000" w:usb1="00000000" w:usb2="00000010" w:usb3="00000000" w:csb0="00040000" w:csb1="00000000"/>
  </w:font>
  <w:font w:name="華康粗黑體">
    <w:altName w:val="Microsoft JhengHei"/>
    <w:charset w:val="88"/>
    <w:family w:val="modern"/>
    <w:pitch w:val="default"/>
    <w:sig w:usb0="00000000" w:usb1="00000000" w:usb2="00000010" w:usb3="00000000" w:csb0="00100000" w:csb1="00000000"/>
  </w:font>
  <w:font w:name="華康中楷體">
    <w:altName w:val="Microsoft JhengHei"/>
    <w:charset w:val="88"/>
    <w:family w:val="auto"/>
    <w:pitch w:val="default"/>
    <w:sig w:usb0="00000000" w:usb1="00000000" w:usb2="00000010" w:usb3="00000000" w:csb0="00100000" w:csb1="00000000"/>
  </w:font>
  <w:font w:name="DFKai-SB">
    <w:panose1 w:val="03000509000000000000"/>
    <w:charset w:val="88"/>
    <w:family w:val="script"/>
    <w:pitch w:val="fixed"/>
    <w:sig w:usb0="00000003" w:usb1="080E0000" w:usb2="00000016" w:usb3="00000000" w:csb0="00100001"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方正大标宋简体">
    <w:altName w:val="宋体"/>
    <w:charset w:val="86"/>
    <w:family w:val="auto"/>
    <w:pitch w:val="default"/>
    <w:sig w:usb0="00000000" w:usb1="00000000" w:usb2="00000010" w:usb3="00000000" w:csb0="00040000" w:csb1="00000000"/>
  </w:font>
  <w:font w:name="??">
    <w:altName w:val="Times New Roman"/>
    <w:charset w:val="00"/>
    <w:family w:val="swiss"/>
    <w:pitch w:val="default"/>
    <w:sig w:usb0="00000000" w:usb1="00000000" w:usb2="00000000" w:usb3="00000000" w:csb0="00040001" w:csb1="00000000"/>
  </w:font>
  <w:font w:name="微软雅黑...">
    <w:altName w:val="微软雅黑"/>
    <w:charset w:val="86"/>
    <w:family w:val="swiss"/>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Ti">
    <w:altName w:val="Times New Roman"/>
    <w:charset w:val="00"/>
    <w:family w:val="roman"/>
    <w:pitch w:val="default"/>
    <w:sig w:usb0="00000000" w:usb1="00000000" w:usb2="00000000" w:usb3="00000000" w:csb0="00000001" w:csb1="00000000"/>
  </w:font>
  <w:font w:name="华文行楷">
    <w:panose1 w:val="02010800040101010101"/>
    <w:charset w:val="86"/>
    <w:family w:val="auto"/>
    <w:pitch w:val="variable"/>
    <w:sig w:usb0="00000001" w:usb1="080F0000" w:usb2="00000010" w:usb3="00000000" w:csb0="00040000" w:csb1="00000000"/>
  </w:font>
  <w:font w:name="方正宋三简体">
    <w:altName w:val="微软雅黑"/>
    <w:charset w:val="86"/>
    <w:family w:val="script"/>
    <w:pitch w:val="default"/>
    <w:sig w:usb0="00000000" w:usb1="0000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经典叠圆体简">
    <w:altName w:val="宋体"/>
    <w:charset w:val="86"/>
    <w:family w:val="modern"/>
    <w:pitch w:val="default"/>
    <w:sig w:usb0="00000000" w:usb1="00000000" w:usb2="0000001E" w:usb3="00000000" w:csb0="20040000" w:csb1="00000000"/>
  </w:font>
  <w:font w:name="BankGothic Lt BT">
    <w:charset w:val="00"/>
    <w:family w:val="swiss"/>
    <w:pitch w:val="variable"/>
    <w:sig w:usb0="00000087" w:usb1="00000000" w:usb2="00000000" w:usb3="00000000" w:csb0="0000001B" w:csb1="00000000"/>
  </w:font>
  <w:font w:name="华文仿宋">
    <w:panose1 w:val="02010600040101010101"/>
    <w:charset w:val="86"/>
    <w:family w:val="auto"/>
    <w:pitch w:val="variable"/>
    <w:sig w:usb0="00000287" w:usb1="080F0000" w:usb2="00000010" w:usb3="00000000" w:csb0="0004009F" w:csb1="00000000"/>
  </w:font>
  <w:font w:name="汉鼎简书宋">
    <w:altName w:val="宋体"/>
    <w:charset w:val="86"/>
    <w:family w:val="modern"/>
    <w:pitch w:val="default"/>
    <w:sig w:usb0="00000000" w:usb1="00000000" w:usb2="00000010" w:usb3="00000000" w:csb0="00040000" w:csb1="00000000"/>
  </w:font>
  <w:font w:name="细宋体">
    <w:altName w:val="黑体"/>
    <w:charset w:val="86"/>
    <w:family w:val="modern"/>
    <w:pitch w:val="default"/>
    <w:sig w:usb0="00000000" w:usb1="00000000" w:usb2="00000010" w:usb3="00000000" w:csb0="00040000" w:csb1="00000000"/>
  </w:font>
  <w:font w:name="Osaka">
    <w:altName w:val="Times New Roman"/>
    <w:charset w:val="00"/>
    <w:family w:val="roman"/>
    <w:pitch w:val="default"/>
    <w:sig w:usb0="00000000" w:usb1="00000000" w:usb2="00000000" w:usb3="00000000" w:csb0="00040001" w:csb1="00000000"/>
  </w:font>
  <w:font w:name="Georgia">
    <w:panose1 w:val="02040502050405020303"/>
    <w:charset w:val="00"/>
    <w:family w:val="roman"/>
    <w:pitch w:val="variable"/>
    <w:sig w:usb0="00000287" w:usb1="00000000" w:usb2="00000000" w:usb3="00000000" w:csb0="0000009F" w:csb1="00000000"/>
  </w:font>
  <w:font w:name="CG Times (W1)">
    <w:altName w:val="Times New Roman"/>
    <w:charset w:val="01"/>
    <w:family w:val="roman"/>
    <w:pitch w:val="default"/>
    <w:sig w:usb0="00000000" w:usb1="00000000" w:usb2="00000000" w:usb3="00000000" w:csb0="00000001" w:csb1="00000000"/>
  </w:font>
  <w:font w:name="AdobeHeitiStd-Regular">
    <w:altName w:val="黑体"/>
    <w:charset w:val="86"/>
    <w:family w:val="auto"/>
    <w:pitch w:val="default"/>
    <w:sig w:usb0="00000000" w:usb1="00000000" w:usb2="00000010" w:usb3="00000000" w:csb0="00040000" w:csb1="00000000"/>
  </w:font>
  <w:font w:name="长城楷体">
    <w:altName w:val="黑体"/>
    <w:charset w:val="86"/>
    <w:family w:val="modern"/>
    <w:pitch w:val="default"/>
    <w:sig w:usb0="00000000" w:usb1="0000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Sim Sun">
    <w:altName w:val="黑体"/>
    <w:charset w:val="86"/>
    <w:family w:val="auto"/>
    <w:pitch w:val="default"/>
    <w:sig w:usb0="00000000" w:usb1="00000000" w:usb2="00000010" w:usb3="00000000" w:csb0="00040000" w:csb1="00000000"/>
  </w:font>
  <w:font w:name="五">
    <w:altName w:val="黑体"/>
    <w:charset w:val="86"/>
    <w:family w:val="auto"/>
    <w:pitch w:val="default"/>
    <w:sig w:usb0="00000000" w:usb1="0000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Century Schoolbook">
    <w:charset w:val="00"/>
    <w:family w:val="roman"/>
    <w:pitch w:val="variable"/>
    <w:sig w:usb0="00000287" w:usb1="00000000" w:usb2="00000000" w:usb3="00000000" w:csb0="0000009F" w:csb1="00000000"/>
  </w:font>
  <w:font w:name="TimesNewRomanPSMT">
    <w:altName w:val="MS Mincho"/>
    <w:charset w:val="80"/>
    <w:family w:val="auto"/>
    <w:pitch w:val="default"/>
    <w:sig w:usb0="00000000" w:usb1="00000000" w:usb2="00000000" w:usb3="00000000" w:csb0="00020000" w:csb1="00000000"/>
  </w:font>
  <w:font w:name="Segoe UI Symbol">
    <w:panose1 w:val="020B0502040204020203"/>
    <w:charset w:val="00"/>
    <w:family w:val="swiss"/>
    <w:pitch w:val="variable"/>
    <w:sig w:usb0="8000006F" w:usb1="1200FBEF" w:usb2="0064C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1A6" w:rsidRDefault="00AC71A6">
    <w:pPr>
      <w:pStyle w:val="affd"/>
      <w:rPr>
        <w:sz w:val="21"/>
        <w:szCs w:val="21"/>
      </w:rPr>
    </w:pPr>
    <w:r>
      <w:rPr>
        <w:noProof/>
        <w:sz w:val="21"/>
      </w:rPr>
      <mc:AlternateContent>
        <mc:Choice Requires="wps">
          <w:drawing>
            <wp:anchor distT="0" distB="0" distL="114300" distR="114300" simplePos="0" relativeHeight="251663360" behindDoc="0" locked="0" layoutInCell="1" allowOverlap="1" wp14:anchorId="7983972C" wp14:editId="484B7E5A">
              <wp:simplePos x="0" y="0"/>
              <wp:positionH relativeFrom="margin">
                <wp:align>center</wp:align>
              </wp:positionH>
              <wp:positionV relativeFrom="paragraph">
                <wp:posOffset>0</wp:posOffset>
              </wp:positionV>
              <wp:extent cx="1828800" cy="1828800"/>
              <wp:effectExtent l="0" t="0" r="0" b="0"/>
              <wp:wrapNone/>
              <wp:docPr id="332" name="文本框 3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C71A6" w:rsidRDefault="00AC71A6">
                          <w:pPr>
                            <w:pStyle w:val="affd"/>
                          </w:pPr>
                          <w:r>
                            <w:fldChar w:fldCharType="begin"/>
                          </w:r>
                          <w:r>
                            <w:instrText xml:space="preserve"> PAGE  \* MERGEFORMAT </w:instrText>
                          </w:r>
                          <w:r>
                            <w:fldChar w:fldCharType="separate"/>
                          </w:r>
                          <w:r w:rsidR="00CC5C74">
                            <w:rPr>
                              <w:noProof/>
                            </w:rP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983972C" id="_x0000_t202" coordsize="21600,21600" o:spt="202" path="m,l,21600r21600,l21600,xe">
              <v:stroke joinstyle="miter"/>
              <v:path gradientshapeok="t" o:connecttype="rect"/>
            </v:shapetype>
            <v:shape id="文本框 332" o:spid="_x0000_s1036"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QcYwIAAA4FAAAOAAAAZHJzL2Uyb0RvYy54bWysVE1uEzEU3iNxB8t7Omkqqi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h7gEHGMCAAAOBQAADgAAAAAAAAAAAAAAAAAuAgAAZHJzL2Uyb0RvYy54&#10;bWxQSwECLQAUAAYACAAAACEAcarRudcAAAAFAQAADwAAAAAAAAAAAAAAAAC9BAAAZHJzL2Rvd25y&#10;ZXYueG1sUEsFBgAAAAAEAAQA8wAAAMEFAAAAAA==&#10;" filled="f" stroked="f" strokeweight=".5pt">
              <v:textbox style="mso-fit-shape-to-text:t" inset="0,0,0,0">
                <w:txbxContent>
                  <w:p w:rsidR="00AC71A6" w:rsidRDefault="00AC71A6">
                    <w:pPr>
                      <w:pStyle w:val="affd"/>
                    </w:pPr>
                    <w:r>
                      <w:fldChar w:fldCharType="begin"/>
                    </w:r>
                    <w:r>
                      <w:instrText xml:space="preserve"> PAGE  \* MERGEFORMAT </w:instrText>
                    </w:r>
                    <w:r>
                      <w:fldChar w:fldCharType="separate"/>
                    </w:r>
                    <w:r w:rsidR="00CC5C74">
                      <w:rPr>
                        <w:noProof/>
                      </w:rPr>
                      <w:t>I</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1A6" w:rsidRDefault="00AC71A6">
    <w:pPr>
      <w:pStyle w:val="affd"/>
      <w:framePr w:wrap="around" w:vAnchor="text" w:hAnchor="margin" w:xAlign="center" w:y="1"/>
      <w:rPr>
        <w:rStyle w:val="affffb"/>
      </w:rPr>
    </w:pPr>
    <w:r>
      <w:fldChar w:fldCharType="begin"/>
    </w:r>
    <w:r>
      <w:rPr>
        <w:rStyle w:val="affffb"/>
      </w:rPr>
      <w:instrText xml:space="preserve">PAGE  </w:instrText>
    </w:r>
    <w:r>
      <w:fldChar w:fldCharType="end"/>
    </w:r>
  </w:p>
  <w:p w:rsidR="00AC71A6" w:rsidRDefault="00AC71A6">
    <w:pPr>
      <w:pStyle w:val="aff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1A6" w:rsidRDefault="00AC71A6">
    <w:pPr>
      <w:pStyle w:val="affd"/>
      <w:jc w:val="center"/>
      <w:rPr>
        <w:sz w:val="21"/>
        <w:szCs w:val="21"/>
      </w:rPr>
    </w:pPr>
    <w:r>
      <w:rPr>
        <w:noProof/>
        <w:sz w:val="21"/>
      </w:rPr>
      <mc:AlternateContent>
        <mc:Choice Requires="wps">
          <w:drawing>
            <wp:anchor distT="0" distB="0" distL="114300" distR="114300" simplePos="0" relativeHeight="251659264" behindDoc="0" locked="0" layoutInCell="1" allowOverlap="1" wp14:anchorId="133B16D8" wp14:editId="5CE80F45">
              <wp:simplePos x="0" y="0"/>
              <wp:positionH relativeFrom="margin">
                <wp:posOffset>2631440</wp:posOffset>
              </wp:positionH>
              <wp:positionV relativeFrom="paragraph">
                <wp:posOffset>6350</wp:posOffset>
              </wp:positionV>
              <wp:extent cx="971550" cy="314325"/>
              <wp:effectExtent l="0" t="0" r="0" b="9525"/>
              <wp:wrapNone/>
              <wp:docPr id="338" name="文本框 338"/>
              <wp:cNvGraphicFramePr/>
              <a:graphic xmlns:a="http://schemas.openxmlformats.org/drawingml/2006/main">
                <a:graphicData uri="http://schemas.microsoft.com/office/word/2010/wordprocessingShape">
                  <wps:wsp>
                    <wps:cNvSpPr txBox="1"/>
                    <wps:spPr>
                      <a:xfrm>
                        <a:off x="0" y="0"/>
                        <a:ext cx="97155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C71A6" w:rsidRDefault="00AC71A6">
                          <w:pPr>
                            <w:pStyle w:val="affd"/>
                          </w:pPr>
                          <w:r>
                            <w:fldChar w:fldCharType="begin"/>
                          </w:r>
                          <w:r>
                            <w:instrText xml:space="preserve"> PAGE  \* MERGEFORMAT </w:instrText>
                          </w:r>
                          <w:r>
                            <w:fldChar w:fldCharType="separate"/>
                          </w:r>
                          <w:r w:rsidR="00CC5C74">
                            <w:rPr>
                              <w:noProof/>
                            </w:rPr>
                            <w:t>24</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133B16D8" id="_x0000_t202" coordsize="21600,21600" o:spt="202" path="m,l,21600r21600,l21600,xe">
              <v:stroke joinstyle="miter"/>
              <v:path gradientshapeok="t" o:connecttype="rect"/>
            </v:shapetype>
            <v:shape id="文本框 338" o:spid="_x0000_s1037" type="#_x0000_t202" style="position:absolute;left:0;text-align:left;margin-left:207.2pt;margin-top:.5pt;width:76.5pt;height:24.7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" filled="f" stroked="f" strokeweight=".5pt">
              <v:textbox inset="0,0,0,0">
                <w:txbxContent>
                  <w:p w:rsidR="00AC71A6" w:rsidRDefault="00AC71A6">
                    <w:pPr>
                      <w:pStyle w:val="affd"/>
                    </w:pPr>
                    <w:r>
                      <w:fldChar w:fldCharType="begin"/>
                    </w:r>
                    <w:r>
                      <w:instrText xml:space="preserve"> PAGE  \* MERGEFORMAT </w:instrText>
                    </w:r>
                    <w:r>
                      <w:fldChar w:fldCharType="separate"/>
                    </w:r>
                    <w:r w:rsidR="00CC5C74">
                      <w:rPr>
                        <w:noProof/>
                      </w:rPr>
                      <w:t>24</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1A6" w:rsidRDefault="00AC71A6">
    <w:pPr>
      <w:pStyle w:val="affd"/>
      <w:ind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1A6" w:rsidRDefault="00AC71A6">
    <w:pPr>
      <w:spacing w:line="14" w:lineRule="auto"/>
      <w:ind w:firstLine="400"/>
      <w:rPr>
        <w:sz w:val="20"/>
        <w:szCs w:val="20"/>
      </w:rPr>
    </w:pPr>
    <w:r>
      <w:rPr>
        <w:noProof/>
        <w:sz w:val="20"/>
      </w:rPr>
      <mc:AlternateContent>
        <mc:Choice Requires="wps">
          <w:drawing>
            <wp:anchor distT="0" distB="0" distL="114300" distR="114300" simplePos="0" relativeHeight="251660288" behindDoc="0" locked="0" layoutInCell="1" allowOverlap="1" wp14:anchorId="4D9EA9C0" wp14:editId="5AE302DD">
              <wp:simplePos x="0" y="0"/>
              <wp:positionH relativeFrom="margin">
                <wp:align>center</wp:align>
              </wp:positionH>
              <wp:positionV relativeFrom="paragraph">
                <wp:posOffset>0</wp:posOffset>
              </wp:positionV>
              <wp:extent cx="1828800" cy="1828800"/>
              <wp:effectExtent l="0" t="0" r="0" b="0"/>
              <wp:wrapNone/>
              <wp:docPr id="339" name="文本框 3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C71A6" w:rsidRDefault="00AC71A6">
                          <w:pPr>
                            <w:pStyle w:val="affd"/>
                          </w:pPr>
                          <w:r>
                            <w:fldChar w:fldCharType="begin"/>
                          </w:r>
                          <w:r>
                            <w:instrText xml:space="preserve"> PAGE  \* MERGEFORMAT </w:instrText>
                          </w:r>
                          <w:r>
                            <w:fldChar w:fldCharType="separate"/>
                          </w:r>
                          <w:r w:rsidR="00CC5C74">
                            <w:rPr>
                              <w:noProof/>
                            </w:rPr>
                            <w:t>154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D9EA9C0" id="_x0000_t202" coordsize="21600,21600" o:spt="202" path="m,l,21600r21600,l21600,xe">
              <v:stroke joinstyle="miter"/>
              <v:path gradientshapeok="t" o:connecttype="rect"/>
            </v:shapetype>
            <v:shape id="文本框 339" o:spid="_x0000_s1038"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8OOav2YCAAAVBQAADgAAAAAAAAAAAAAAAAAuAgAAZHJzL2Uyb0Rv&#10;Yy54bWxQSwECLQAUAAYACAAAACEAcarRudcAAAAFAQAADwAAAAAAAAAAAAAAAADABAAAZHJzL2Rv&#10;d25yZXYueG1sUEsFBgAAAAAEAAQA8wAAAMQFAAAAAA==&#10;" filled="f" stroked="f" strokeweight=".5pt">
              <v:textbox style="mso-fit-shape-to-text:t" inset="0,0,0,0">
                <w:txbxContent>
                  <w:p w:rsidR="00AC71A6" w:rsidRDefault="00AC71A6">
                    <w:pPr>
                      <w:pStyle w:val="affd"/>
                    </w:pPr>
                    <w:r>
                      <w:fldChar w:fldCharType="begin"/>
                    </w:r>
                    <w:r>
                      <w:instrText xml:space="preserve"> PAGE  \* MERGEFORMAT </w:instrText>
                    </w:r>
                    <w:r>
                      <w:fldChar w:fldCharType="separate"/>
                    </w:r>
                    <w:r w:rsidR="00CC5C74">
                      <w:rPr>
                        <w:noProof/>
                      </w:rPr>
                      <w:t>154</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1A6" w:rsidRDefault="00AC71A6">
    <w:pPr>
      <w:pStyle w:val="affd"/>
      <w:ind w:firstLine="360"/>
    </w:pPr>
    <w:r>
      <w:rPr>
        <w:noProof/>
      </w:rPr>
      <mc:AlternateContent>
        <mc:Choice Requires="wps">
          <w:drawing>
            <wp:anchor distT="0" distB="0" distL="114300" distR="114300" simplePos="0" relativeHeight="251661312" behindDoc="0" locked="0" layoutInCell="1" allowOverlap="1" wp14:anchorId="51F1C980" wp14:editId="43CC1EF2">
              <wp:simplePos x="0" y="0"/>
              <wp:positionH relativeFrom="margin">
                <wp:align>center</wp:align>
              </wp:positionH>
              <wp:positionV relativeFrom="paragraph">
                <wp:posOffset>0</wp:posOffset>
              </wp:positionV>
              <wp:extent cx="1828800" cy="1828800"/>
              <wp:effectExtent l="0" t="0" r="0" b="0"/>
              <wp:wrapNone/>
              <wp:docPr id="340" name="文本框 3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C71A6" w:rsidRDefault="00AC71A6">
                          <w:pPr>
                            <w:pStyle w:val="affd"/>
                          </w:pPr>
                          <w:r>
                            <w:fldChar w:fldCharType="begin"/>
                          </w:r>
                          <w:r>
                            <w:instrText xml:space="preserve"> PAGE  \* MERGEFORMAT </w:instrText>
                          </w:r>
                          <w:r>
                            <w:fldChar w:fldCharType="separate"/>
                          </w:r>
                          <w:r w:rsidR="00CC5C74">
                            <w:rPr>
                              <w:noProof/>
                            </w:rPr>
                            <w:t>155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1F1C980" id="_x0000_t202" coordsize="21600,21600" o:spt="202" path="m,l,21600r21600,l21600,xe">
              <v:stroke joinstyle="miter"/>
              <v:path gradientshapeok="t" o:connecttype="rect"/>
            </v:shapetype>
            <v:shape id="文本框 340" o:spid="_x0000_s1039"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Lu/1eNnAgAAFQUAAA4AAAAAAAAAAAAAAAAALgIAAGRycy9lMm9E&#10;b2MueG1sUEsBAi0AFAAGAAgAAAAhAHGq0bnXAAAABQEAAA8AAAAAAAAAAAAAAAAAwQQAAGRycy9k&#10;b3ducmV2LnhtbFBLBQYAAAAABAAEAPMAAADFBQAAAAA=&#10;" filled="f" stroked="f" strokeweight=".5pt">
              <v:textbox style="mso-fit-shape-to-text:t" inset="0,0,0,0">
                <w:txbxContent>
                  <w:p w:rsidR="00AC71A6" w:rsidRDefault="00AC71A6">
                    <w:pPr>
                      <w:pStyle w:val="affd"/>
                    </w:pPr>
                    <w:r>
                      <w:fldChar w:fldCharType="begin"/>
                    </w:r>
                    <w:r>
                      <w:instrText xml:space="preserve"> PAGE  \* MERGEFORMAT </w:instrText>
                    </w:r>
                    <w:r>
                      <w:fldChar w:fldCharType="separate"/>
                    </w:r>
                    <w:r w:rsidR="00CC5C74">
                      <w:rPr>
                        <w:noProof/>
                      </w:rPr>
                      <w:t>155</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1A6" w:rsidRDefault="00AC71A6">
    <w:pPr>
      <w:spacing w:line="14" w:lineRule="auto"/>
      <w:ind w:firstLine="400"/>
      <w:rPr>
        <w:sz w:val="20"/>
        <w:szCs w:val="20"/>
      </w:rPr>
    </w:pPr>
    <w:r>
      <w:rPr>
        <w:noProof/>
        <w:sz w:val="20"/>
      </w:rPr>
      <mc:AlternateContent>
        <mc:Choice Requires="wps">
          <w:drawing>
            <wp:anchor distT="0" distB="0" distL="114300" distR="114300" simplePos="0" relativeHeight="251662336" behindDoc="0" locked="0" layoutInCell="1" allowOverlap="1" wp14:anchorId="08CC15E4" wp14:editId="1870757E">
              <wp:simplePos x="0" y="0"/>
              <wp:positionH relativeFrom="margin">
                <wp:align>center</wp:align>
              </wp:positionH>
              <wp:positionV relativeFrom="paragraph">
                <wp:posOffset>0</wp:posOffset>
              </wp:positionV>
              <wp:extent cx="1828800" cy="1828800"/>
              <wp:effectExtent l="0" t="0" r="0" b="0"/>
              <wp:wrapNone/>
              <wp:docPr id="341" name="文本框 3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C71A6" w:rsidRDefault="00AC71A6">
                          <w:pPr>
                            <w:pStyle w:val="affd"/>
                          </w:pPr>
                          <w:r>
                            <w:fldChar w:fldCharType="begin"/>
                          </w:r>
                          <w:r>
                            <w:instrText xml:space="preserve"> PAGE  \* MERGEFORMAT </w:instrText>
                          </w:r>
                          <w:r>
                            <w:fldChar w:fldCharType="separate"/>
                          </w:r>
                          <w:r w:rsidR="00CC5C74">
                            <w:rPr>
                              <w:noProof/>
                            </w:rPr>
                            <w:t>232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8CC15E4" id="_x0000_t202" coordsize="21600,21600" o:spt="202" path="m,l,21600r21600,l21600,xe">
              <v:stroke joinstyle="miter"/>
              <v:path gradientshapeok="t" o:connecttype="rect"/>
            </v:shapetype>
            <v:shape id="文本框 341" o:spid="_x0000_s1040"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m8JqrGYCAAAVBQAADgAAAAAAAAAAAAAAAAAuAgAAZHJzL2Uyb0Rv&#10;Yy54bWxQSwECLQAUAAYACAAAACEAcarRudcAAAAFAQAADwAAAAAAAAAAAAAAAADABAAAZHJzL2Rv&#10;d25yZXYueG1sUEsFBgAAAAAEAAQA8wAAAMQFAAAAAA==&#10;" filled="f" stroked="f" strokeweight=".5pt">
              <v:textbox style="mso-fit-shape-to-text:t" inset="0,0,0,0">
                <w:txbxContent>
                  <w:p w:rsidR="00AC71A6" w:rsidRDefault="00AC71A6">
                    <w:pPr>
                      <w:pStyle w:val="affd"/>
                    </w:pPr>
                    <w:r>
                      <w:fldChar w:fldCharType="begin"/>
                    </w:r>
                    <w:r>
                      <w:instrText xml:space="preserve"> PAGE  \* MERGEFORMAT </w:instrText>
                    </w:r>
                    <w:r>
                      <w:fldChar w:fldCharType="separate"/>
                    </w:r>
                    <w:r w:rsidR="00CC5C74">
                      <w:rPr>
                        <w:noProof/>
                      </w:rPr>
                      <w:t>232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C20" w:rsidRDefault="00275C20">
      <w:r>
        <w:separator/>
      </w:r>
    </w:p>
  </w:footnote>
  <w:footnote w:type="continuationSeparator" w:id="0">
    <w:p w:rsidR="00275C20" w:rsidRDefault="00275C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1A6" w:rsidRDefault="00AC71A6">
    <w:pPr>
      <w:pStyle w:val="afff0"/>
    </w:pPr>
    <w:r>
      <w:rPr>
        <w:rFonts w:hint="eastAsia"/>
        <w:b/>
        <w:sz w:val="21"/>
        <w:szCs w:val="21"/>
      </w:rPr>
      <w:t>喀什正启节能环保科技有限公司废矿物油再生与利用项目</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1A6" w:rsidRDefault="00AC71A6">
    <w:pPr>
      <w:pStyle w:val="afff0"/>
    </w:pPr>
    <w:r>
      <w:rPr>
        <w:rFonts w:hint="eastAsia"/>
        <w:b/>
        <w:sz w:val="21"/>
        <w:szCs w:val="21"/>
      </w:rPr>
      <w:t>喀什正启节能环保科技有限公司废矿物油再生与利用项目</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1A6" w:rsidRDefault="00AC71A6">
    <w:pPr>
      <w:pStyle w:val="afff0"/>
    </w:pPr>
    <w:r>
      <w:rPr>
        <w:rFonts w:hint="eastAsia"/>
        <w:b/>
        <w:sz w:val="21"/>
        <w:szCs w:val="21"/>
      </w:rPr>
      <w:t>喀什正启节能环保科技有限公司废矿物油再生与利用项目</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1A6" w:rsidRDefault="00AC71A6">
    <w:pPr>
      <w:pStyle w:val="afff0"/>
    </w:pPr>
    <w:r>
      <w:rPr>
        <w:rFonts w:hint="eastAsia"/>
        <w:b/>
        <w:sz w:val="21"/>
        <w:szCs w:val="21"/>
      </w:rPr>
      <w:t>喀什正启节能环保科技有限公司废矿物油再生与利用项目</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1A6" w:rsidRDefault="00AC71A6">
    <w:pPr>
      <w:pStyle w:val="afff0"/>
    </w:pPr>
    <w:r>
      <w:rPr>
        <w:rFonts w:hint="eastAsia"/>
        <w:b/>
        <w:sz w:val="21"/>
        <w:szCs w:val="21"/>
      </w:rPr>
      <w:t>喀什正启节能环保科技有限公司废矿物油再生与利用项目</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1A6" w:rsidRDefault="00AC71A6">
    <w:pPr>
      <w:pStyle w:val="afff0"/>
    </w:pPr>
    <w:r>
      <w:rPr>
        <w:rFonts w:hint="eastAsia"/>
        <w:b/>
        <w:sz w:val="21"/>
        <w:szCs w:val="21"/>
      </w:rPr>
      <w:t>喀什正启节能环保科技有限公司废矿物油再生与利用项目</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1A6" w:rsidRDefault="00AC71A6">
    <w:pPr>
      <w:pStyle w:val="afff0"/>
    </w:pPr>
    <w:r>
      <w:rPr>
        <w:rFonts w:hint="eastAsia"/>
        <w:b/>
        <w:sz w:val="21"/>
        <w:szCs w:val="21"/>
      </w:rPr>
      <w:t>喀什正启节能环保科技有限公司废矿物油再生与利用项目</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1A6" w:rsidRDefault="00AC71A6">
    <w:pPr>
      <w:pStyle w:val="afff0"/>
    </w:pPr>
    <w:r>
      <w:rPr>
        <w:rFonts w:hint="eastAsia"/>
        <w:b/>
        <w:sz w:val="21"/>
        <w:szCs w:val="21"/>
      </w:rPr>
      <w:t>喀什正启节能环保科技有限公司废矿物油再生与利用项目</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1A6" w:rsidRDefault="00AC71A6">
    <w:pPr>
      <w:pStyle w:val="afff0"/>
    </w:pPr>
    <w:r>
      <w:rPr>
        <w:rFonts w:hint="eastAsia"/>
        <w:b/>
        <w:sz w:val="21"/>
        <w:szCs w:val="21"/>
      </w:rPr>
      <w:t>喀什正启节能环保科技有限公司废矿物油再生与利用项目</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1A6" w:rsidRDefault="00AC71A6">
    <w:pPr>
      <w:pStyle w:val="afff0"/>
    </w:pPr>
    <w:r>
      <w:rPr>
        <w:rFonts w:hint="eastAsia"/>
        <w:b/>
        <w:sz w:val="21"/>
        <w:szCs w:val="21"/>
      </w:rPr>
      <w:t>喀什正启节能环保科技有限公司废矿物油再生与利用项目</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1A6" w:rsidRDefault="00AC71A6">
    <w:pPr>
      <w:pStyle w:val="afff0"/>
      <w:ind w:firstLine="36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1A6" w:rsidRDefault="00AC71A6">
    <w:pPr>
      <w:pStyle w:val="afff0"/>
    </w:pPr>
    <w:r>
      <w:rPr>
        <w:rFonts w:hint="eastAsia"/>
        <w:b/>
        <w:sz w:val="21"/>
        <w:szCs w:val="21"/>
      </w:rPr>
      <w:t>喀什正启节能环保科技有限公司废矿物油再生与利用项目</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14.25pt" o:bullet="t">
        <v:imagedata r:id="rId1" o:title=""/>
      </v:shape>
    </w:pict>
  </w:numPicBullet>
  <w:numPicBullet w:numPicBulletId="1">
    <w:pict>
      <v:shape id="_x0000_i1029" type="#_x0000_t75" style="width:11.25pt;height:13.5pt" o:bullet="t">
        <v:imagedata r:id="rId2" o:title=""/>
      </v:shape>
    </w:pict>
  </w:numPicBullet>
  <w:abstractNum w:abstractNumId="0" w15:restartNumberingAfterBreak="0">
    <w:nsid w:val="8B9A1C4A"/>
    <w:multiLevelType w:val="singleLevel"/>
    <w:tmpl w:val="8B9A1C4A"/>
    <w:lvl w:ilvl="0">
      <w:start w:val="1"/>
      <w:numFmt w:val="decimal"/>
      <w:suff w:val="nothing"/>
      <w:lvlText w:val="%1、"/>
      <w:lvlJc w:val="left"/>
    </w:lvl>
  </w:abstractNum>
  <w:abstractNum w:abstractNumId="1" w15:restartNumberingAfterBreak="0">
    <w:nsid w:val="C16D4D34"/>
    <w:multiLevelType w:val="singleLevel"/>
    <w:tmpl w:val="C16D4D34"/>
    <w:lvl w:ilvl="0">
      <w:start w:val="5"/>
      <w:numFmt w:val="decimal"/>
      <w:suff w:val="nothing"/>
      <w:lvlText w:val="%1）"/>
      <w:lvlJc w:val="left"/>
    </w:lvl>
  </w:abstractNum>
  <w:abstractNum w:abstractNumId="2" w15:restartNumberingAfterBreak="0">
    <w:nsid w:val="E2454CF2"/>
    <w:multiLevelType w:val="singleLevel"/>
    <w:tmpl w:val="E2454CF2"/>
    <w:lvl w:ilvl="0">
      <w:start w:val="1"/>
      <w:numFmt w:val="decimal"/>
      <w:suff w:val="nothing"/>
      <w:lvlText w:val="（%1）"/>
      <w:lvlJc w:val="left"/>
    </w:lvl>
  </w:abstractNum>
  <w:abstractNum w:abstractNumId="3" w15:restartNumberingAfterBreak="0">
    <w:nsid w:val="E8EB5E27"/>
    <w:multiLevelType w:val="singleLevel"/>
    <w:tmpl w:val="E8EB5E27"/>
    <w:lvl w:ilvl="0">
      <w:start w:val="1"/>
      <w:numFmt w:val="bullet"/>
      <w:pStyle w:val="2"/>
      <w:lvlText w:val=""/>
      <w:lvlJc w:val="left"/>
      <w:pPr>
        <w:tabs>
          <w:tab w:val="left" w:pos="780"/>
        </w:tabs>
        <w:ind w:left="780" w:hanging="360"/>
      </w:pPr>
      <w:rPr>
        <w:rFonts w:ascii="Wingdings" w:hAnsi="Wingdings" w:hint="default"/>
      </w:rPr>
    </w:lvl>
  </w:abstractNum>
  <w:abstractNum w:abstractNumId="4" w15:restartNumberingAfterBreak="0">
    <w:nsid w:val="F0641B31"/>
    <w:multiLevelType w:val="singleLevel"/>
    <w:tmpl w:val="F0641B31"/>
    <w:lvl w:ilvl="0">
      <w:start w:val="2"/>
      <w:numFmt w:val="decimal"/>
      <w:suff w:val="nothing"/>
      <w:lvlText w:val="（%1）"/>
      <w:lvlJc w:val="left"/>
    </w:lvl>
  </w:abstractNum>
  <w:abstractNum w:abstractNumId="5" w15:restartNumberingAfterBreak="0">
    <w:nsid w:val="012E688B"/>
    <w:multiLevelType w:val="multilevel"/>
    <w:tmpl w:val="012E688B"/>
    <w:lvl w:ilvl="0">
      <w:start w:val="1"/>
      <w:numFmt w:val="decimal"/>
      <w:pStyle w:val="1"/>
      <w:suff w:val="space"/>
      <w:lvlText w:val="第 %1 章 "/>
      <w:lvlJc w:val="left"/>
      <w:pPr>
        <w:ind w:left="3260" w:firstLine="0"/>
      </w:pPr>
      <w:rPr>
        <w:rFonts w:hint="eastAsia"/>
      </w:rPr>
    </w:lvl>
    <w:lvl w:ilvl="1">
      <w:start w:val="1"/>
      <w:numFmt w:val="decimal"/>
      <w:pStyle w:val="20"/>
      <w:isLgl/>
      <w:suff w:val="space"/>
      <w:lvlText w:val="%1.%2"/>
      <w:lvlJc w:val="left"/>
      <w:pPr>
        <w:ind w:left="0" w:firstLine="0"/>
      </w:pPr>
      <w:rPr>
        <w:rFonts w:hint="eastAsia"/>
      </w:rPr>
    </w:lvl>
    <w:lvl w:ilvl="2">
      <w:start w:val="1"/>
      <w:numFmt w:val="decimal"/>
      <w:pStyle w:val="3"/>
      <w:isLgl/>
      <w:suff w:val="space"/>
      <w:lvlText w:val="%1.%2.%3"/>
      <w:lvlJc w:val="left"/>
      <w:pPr>
        <w:ind w:left="1559" w:firstLine="0"/>
      </w:pPr>
      <w:rPr>
        <w:rFonts w:hint="eastAsia"/>
      </w:rPr>
    </w:lvl>
    <w:lvl w:ilvl="3">
      <w:start w:val="1"/>
      <w:numFmt w:val="decimal"/>
      <w:pStyle w:val="4"/>
      <w:isLgl/>
      <w:suff w:val="space"/>
      <w:lvlText w:val="%1.%2.%3.%4"/>
      <w:lvlJc w:val="left"/>
      <w:pPr>
        <w:ind w:left="850" w:firstLine="0"/>
      </w:pPr>
      <w:rPr>
        <w:rFonts w:hint="eastAsia"/>
      </w:rPr>
    </w:lvl>
    <w:lvl w:ilvl="4">
      <w:start w:val="1"/>
      <w:numFmt w:val="decimal"/>
      <w:pStyle w:val="5"/>
      <w:isLgl/>
      <w:suff w:val="space"/>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 w15:restartNumberingAfterBreak="0">
    <w:nsid w:val="31332E47"/>
    <w:multiLevelType w:val="singleLevel"/>
    <w:tmpl w:val="31332E47"/>
    <w:lvl w:ilvl="0">
      <w:start w:val="1"/>
      <w:numFmt w:val="decimal"/>
      <w:lvlText w:val="%1."/>
      <w:lvlJc w:val="left"/>
      <w:pPr>
        <w:tabs>
          <w:tab w:val="left" w:pos="312"/>
        </w:tabs>
      </w:pPr>
    </w:lvl>
  </w:abstractNum>
  <w:abstractNum w:abstractNumId="7" w15:restartNumberingAfterBreak="0">
    <w:nsid w:val="37D9065F"/>
    <w:multiLevelType w:val="singleLevel"/>
    <w:tmpl w:val="37D9065F"/>
    <w:lvl w:ilvl="0">
      <w:start w:val="1"/>
      <w:numFmt w:val="decimal"/>
      <w:suff w:val="nothing"/>
      <w:lvlText w:val="%1、"/>
      <w:lvlJc w:val="left"/>
    </w:lvl>
  </w:abstractNum>
  <w:abstractNum w:abstractNumId="8" w15:restartNumberingAfterBreak="0">
    <w:nsid w:val="464225A0"/>
    <w:multiLevelType w:val="multilevel"/>
    <w:tmpl w:val="464225A0"/>
    <w:lvl w:ilvl="0">
      <w:start w:val="1"/>
      <w:numFmt w:val="bullet"/>
      <w:lvlText w:val=""/>
      <w:lvlPicBulletId w:val="1"/>
      <w:lvlJc w:val="left"/>
      <w:pPr>
        <w:tabs>
          <w:tab w:val="left" w:pos="420"/>
        </w:tabs>
        <w:ind w:left="420" w:firstLine="0"/>
      </w:pPr>
      <w:rPr>
        <w:rFonts w:ascii="Symbol" w:hAnsi="Symbol" w:hint="default"/>
      </w:rPr>
    </w:lvl>
    <w:lvl w:ilvl="1">
      <w:start w:val="1"/>
      <w:numFmt w:val="bullet"/>
      <w:lvlText w:val=""/>
      <w:lvlJc w:val="left"/>
      <w:pPr>
        <w:tabs>
          <w:tab w:val="left" w:pos="840"/>
        </w:tabs>
        <w:ind w:left="840" w:firstLine="0"/>
      </w:pPr>
      <w:rPr>
        <w:rFonts w:ascii="Symbol" w:hAnsi="Symbol" w:hint="default"/>
      </w:rPr>
    </w:lvl>
    <w:lvl w:ilvl="2">
      <w:start w:val="1"/>
      <w:numFmt w:val="bullet"/>
      <w:lvlText w:val=""/>
      <w:lvlJc w:val="left"/>
      <w:pPr>
        <w:tabs>
          <w:tab w:val="left" w:pos="1260"/>
        </w:tabs>
        <w:ind w:left="1260" w:firstLine="0"/>
      </w:pPr>
      <w:rPr>
        <w:rFonts w:ascii="Symbol" w:hAnsi="Symbol" w:hint="default"/>
      </w:rPr>
    </w:lvl>
    <w:lvl w:ilvl="3">
      <w:start w:val="1"/>
      <w:numFmt w:val="bullet"/>
      <w:lvlText w:val=""/>
      <w:lvlJc w:val="left"/>
      <w:pPr>
        <w:tabs>
          <w:tab w:val="left" w:pos="1680"/>
        </w:tabs>
        <w:ind w:left="1680" w:firstLine="0"/>
      </w:pPr>
      <w:rPr>
        <w:rFonts w:ascii="Symbol" w:hAnsi="Symbol" w:hint="default"/>
      </w:rPr>
    </w:lvl>
    <w:lvl w:ilvl="4">
      <w:start w:val="1"/>
      <w:numFmt w:val="bullet"/>
      <w:lvlText w:val=""/>
      <w:lvlJc w:val="left"/>
      <w:pPr>
        <w:tabs>
          <w:tab w:val="left" w:pos="2100"/>
        </w:tabs>
        <w:ind w:left="2100" w:firstLine="0"/>
      </w:pPr>
      <w:rPr>
        <w:rFonts w:ascii="Symbol" w:hAnsi="Symbol" w:hint="default"/>
      </w:rPr>
    </w:lvl>
    <w:lvl w:ilvl="5">
      <w:start w:val="1"/>
      <w:numFmt w:val="bullet"/>
      <w:lvlText w:val=""/>
      <w:lvlJc w:val="left"/>
      <w:pPr>
        <w:tabs>
          <w:tab w:val="left" w:pos="2520"/>
        </w:tabs>
        <w:ind w:left="2520" w:firstLine="0"/>
      </w:pPr>
      <w:rPr>
        <w:rFonts w:ascii="Symbol" w:hAnsi="Symbol" w:hint="default"/>
      </w:rPr>
    </w:lvl>
    <w:lvl w:ilvl="6">
      <w:start w:val="1"/>
      <w:numFmt w:val="bullet"/>
      <w:lvlText w:val=""/>
      <w:lvlJc w:val="left"/>
      <w:pPr>
        <w:tabs>
          <w:tab w:val="left" w:pos="2940"/>
        </w:tabs>
        <w:ind w:left="2940" w:firstLine="0"/>
      </w:pPr>
      <w:rPr>
        <w:rFonts w:ascii="Symbol" w:hAnsi="Symbol" w:hint="default"/>
      </w:rPr>
    </w:lvl>
    <w:lvl w:ilvl="7">
      <w:start w:val="1"/>
      <w:numFmt w:val="bullet"/>
      <w:lvlText w:val=""/>
      <w:lvlJc w:val="left"/>
      <w:pPr>
        <w:tabs>
          <w:tab w:val="left" w:pos="3360"/>
        </w:tabs>
        <w:ind w:left="3360" w:firstLine="0"/>
      </w:pPr>
      <w:rPr>
        <w:rFonts w:ascii="Symbol" w:hAnsi="Symbol" w:hint="default"/>
      </w:rPr>
    </w:lvl>
    <w:lvl w:ilvl="8">
      <w:start w:val="1"/>
      <w:numFmt w:val="bullet"/>
      <w:lvlText w:val=""/>
      <w:lvlJc w:val="left"/>
      <w:pPr>
        <w:tabs>
          <w:tab w:val="left" w:pos="3780"/>
        </w:tabs>
        <w:ind w:left="3780" w:firstLine="0"/>
      </w:pPr>
      <w:rPr>
        <w:rFonts w:ascii="Symbol" w:hAnsi="Symbol" w:hint="default"/>
      </w:rPr>
    </w:lvl>
  </w:abstractNum>
  <w:abstractNum w:abstractNumId="9" w15:restartNumberingAfterBreak="0">
    <w:nsid w:val="603E07B3"/>
    <w:multiLevelType w:val="multilevel"/>
    <w:tmpl w:val="603E07B3"/>
    <w:lvl w:ilvl="0">
      <w:start w:val="1"/>
      <w:numFmt w:val="decimal"/>
      <w:pStyle w:val="-5"/>
      <w:lvlText w:val="表4-%1"/>
      <w:lvlJc w:val="left"/>
      <w:pPr>
        <w:tabs>
          <w:tab w:val="left" w:pos="851"/>
        </w:tabs>
        <w:ind w:left="0" w:firstLine="0"/>
      </w:pPr>
      <w:rPr>
        <w:rFonts w:hint="eastAsia"/>
        <w:sz w:val="21"/>
        <w:szCs w:val="21"/>
        <w:lang w:val="en-US"/>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10" w15:restartNumberingAfterBreak="0">
    <w:nsid w:val="77303389"/>
    <w:multiLevelType w:val="multilevel"/>
    <w:tmpl w:val="77303389"/>
    <w:lvl w:ilvl="0">
      <w:start w:val="1"/>
      <w:numFmt w:val="bullet"/>
      <w:lvlText w:val=""/>
      <w:lvlPicBulletId w:val="0"/>
      <w:lvlJc w:val="left"/>
      <w:pPr>
        <w:tabs>
          <w:tab w:val="left" w:pos="420"/>
        </w:tabs>
        <w:ind w:left="420" w:firstLine="0"/>
      </w:pPr>
      <w:rPr>
        <w:rFonts w:ascii="Symbol" w:hAnsi="Symbol" w:hint="default"/>
      </w:rPr>
    </w:lvl>
    <w:lvl w:ilvl="1">
      <w:start w:val="1"/>
      <w:numFmt w:val="bullet"/>
      <w:lvlText w:val=""/>
      <w:lvlJc w:val="left"/>
      <w:pPr>
        <w:tabs>
          <w:tab w:val="left" w:pos="840"/>
        </w:tabs>
        <w:ind w:left="840" w:firstLine="0"/>
      </w:pPr>
      <w:rPr>
        <w:rFonts w:ascii="Symbol" w:hAnsi="Symbol" w:hint="default"/>
      </w:rPr>
    </w:lvl>
    <w:lvl w:ilvl="2">
      <w:start w:val="1"/>
      <w:numFmt w:val="bullet"/>
      <w:lvlText w:val=""/>
      <w:lvlJc w:val="left"/>
      <w:pPr>
        <w:tabs>
          <w:tab w:val="left" w:pos="1260"/>
        </w:tabs>
        <w:ind w:left="1260" w:firstLine="0"/>
      </w:pPr>
      <w:rPr>
        <w:rFonts w:ascii="Symbol" w:hAnsi="Symbol" w:hint="default"/>
      </w:rPr>
    </w:lvl>
    <w:lvl w:ilvl="3">
      <w:start w:val="1"/>
      <w:numFmt w:val="bullet"/>
      <w:lvlText w:val=""/>
      <w:lvlJc w:val="left"/>
      <w:pPr>
        <w:tabs>
          <w:tab w:val="left" w:pos="1680"/>
        </w:tabs>
        <w:ind w:left="1680" w:firstLine="0"/>
      </w:pPr>
      <w:rPr>
        <w:rFonts w:ascii="Symbol" w:hAnsi="Symbol" w:hint="default"/>
      </w:rPr>
    </w:lvl>
    <w:lvl w:ilvl="4">
      <w:start w:val="1"/>
      <w:numFmt w:val="bullet"/>
      <w:lvlText w:val=""/>
      <w:lvlJc w:val="left"/>
      <w:pPr>
        <w:tabs>
          <w:tab w:val="left" w:pos="2100"/>
        </w:tabs>
        <w:ind w:left="2100" w:firstLine="0"/>
      </w:pPr>
      <w:rPr>
        <w:rFonts w:ascii="Symbol" w:hAnsi="Symbol" w:hint="default"/>
      </w:rPr>
    </w:lvl>
    <w:lvl w:ilvl="5">
      <w:start w:val="1"/>
      <w:numFmt w:val="bullet"/>
      <w:lvlText w:val=""/>
      <w:lvlJc w:val="left"/>
      <w:pPr>
        <w:tabs>
          <w:tab w:val="left" w:pos="2520"/>
        </w:tabs>
        <w:ind w:left="2520" w:firstLine="0"/>
      </w:pPr>
      <w:rPr>
        <w:rFonts w:ascii="Symbol" w:hAnsi="Symbol" w:hint="default"/>
      </w:rPr>
    </w:lvl>
    <w:lvl w:ilvl="6">
      <w:start w:val="1"/>
      <w:numFmt w:val="bullet"/>
      <w:lvlText w:val=""/>
      <w:lvlJc w:val="left"/>
      <w:pPr>
        <w:tabs>
          <w:tab w:val="left" w:pos="2940"/>
        </w:tabs>
        <w:ind w:left="2940" w:firstLine="0"/>
      </w:pPr>
      <w:rPr>
        <w:rFonts w:ascii="Symbol" w:hAnsi="Symbol" w:hint="default"/>
      </w:rPr>
    </w:lvl>
    <w:lvl w:ilvl="7">
      <w:start w:val="1"/>
      <w:numFmt w:val="bullet"/>
      <w:lvlText w:val=""/>
      <w:lvlJc w:val="left"/>
      <w:pPr>
        <w:tabs>
          <w:tab w:val="left" w:pos="3360"/>
        </w:tabs>
        <w:ind w:left="3360" w:firstLine="0"/>
      </w:pPr>
      <w:rPr>
        <w:rFonts w:ascii="Symbol" w:hAnsi="Symbol" w:hint="default"/>
      </w:rPr>
    </w:lvl>
    <w:lvl w:ilvl="8">
      <w:start w:val="1"/>
      <w:numFmt w:val="bullet"/>
      <w:lvlText w:val=""/>
      <w:lvlJc w:val="left"/>
      <w:pPr>
        <w:tabs>
          <w:tab w:val="left" w:pos="3780"/>
        </w:tabs>
        <w:ind w:left="3780" w:firstLine="0"/>
      </w:pPr>
      <w:rPr>
        <w:rFonts w:ascii="Symbol" w:hAnsi="Symbol" w:hint="default"/>
      </w:rPr>
    </w:lvl>
  </w:abstractNum>
  <w:num w:numId="1">
    <w:abstractNumId w:val="5"/>
  </w:num>
  <w:num w:numId="2">
    <w:abstractNumId w:val="3"/>
  </w:num>
  <w:num w:numId="3">
    <w:abstractNumId w:val="9"/>
  </w:num>
  <w:num w:numId="4">
    <w:abstractNumId w:val="2"/>
  </w:num>
  <w:num w:numId="5">
    <w:abstractNumId w:val="1"/>
  </w:num>
  <w:num w:numId="6">
    <w:abstractNumId w:val="4"/>
  </w:num>
  <w:num w:numId="7">
    <w:abstractNumId w:val="10"/>
  </w:num>
  <w:num w:numId="8">
    <w:abstractNumId w:val="8"/>
  </w:num>
  <w:num w:numId="9">
    <w:abstractNumId w:val="6"/>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HorizontalSpacing w:val="210"/>
  <w:drawingGridVerticalSpacing w:val="161"/>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Q1MDY4ZDBmMmNmM2YxZjkxMGQxMTUwZjRjYWJlYTIifQ=="/>
  </w:docVars>
  <w:rsids>
    <w:rsidRoot w:val="00172A27"/>
    <w:rsid w:val="00000BD2"/>
    <w:rsid w:val="000024B8"/>
    <w:rsid w:val="00002BE8"/>
    <w:rsid w:val="00002E6F"/>
    <w:rsid w:val="00005213"/>
    <w:rsid w:val="0000707A"/>
    <w:rsid w:val="00011ED4"/>
    <w:rsid w:val="00012323"/>
    <w:rsid w:val="00012C83"/>
    <w:rsid w:val="00012E79"/>
    <w:rsid w:val="000147EB"/>
    <w:rsid w:val="00016D4E"/>
    <w:rsid w:val="0001762D"/>
    <w:rsid w:val="00020251"/>
    <w:rsid w:val="000205EF"/>
    <w:rsid w:val="00020EEA"/>
    <w:rsid w:val="00024189"/>
    <w:rsid w:val="0002418A"/>
    <w:rsid w:val="000243ED"/>
    <w:rsid w:val="000252E8"/>
    <w:rsid w:val="0002681F"/>
    <w:rsid w:val="0003320C"/>
    <w:rsid w:val="000337F1"/>
    <w:rsid w:val="00034090"/>
    <w:rsid w:val="000369E1"/>
    <w:rsid w:val="00040D04"/>
    <w:rsid w:val="00040E90"/>
    <w:rsid w:val="00041611"/>
    <w:rsid w:val="00041B7A"/>
    <w:rsid w:val="00042528"/>
    <w:rsid w:val="000425B3"/>
    <w:rsid w:val="00043569"/>
    <w:rsid w:val="00044668"/>
    <w:rsid w:val="00044BA8"/>
    <w:rsid w:val="000461CC"/>
    <w:rsid w:val="00046D1D"/>
    <w:rsid w:val="00046E87"/>
    <w:rsid w:val="00050AF3"/>
    <w:rsid w:val="0005193C"/>
    <w:rsid w:val="000527FB"/>
    <w:rsid w:val="0005294C"/>
    <w:rsid w:val="000549D5"/>
    <w:rsid w:val="000555D8"/>
    <w:rsid w:val="00056491"/>
    <w:rsid w:val="00056E44"/>
    <w:rsid w:val="00057B84"/>
    <w:rsid w:val="00061193"/>
    <w:rsid w:val="00061329"/>
    <w:rsid w:val="0007132C"/>
    <w:rsid w:val="00071F21"/>
    <w:rsid w:val="00072374"/>
    <w:rsid w:val="00074DFA"/>
    <w:rsid w:val="00075412"/>
    <w:rsid w:val="00075A88"/>
    <w:rsid w:val="000762B1"/>
    <w:rsid w:val="00081351"/>
    <w:rsid w:val="00084373"/>
    <w:rsid w:val="0008502A"/>
    <w:rsid w:val="000870F0"/>
    <w:rsid w:val="0009037B"/>
    <w:rsid w:val="00090A70"/>
    <w:rsid w:val="0009235A"/>
    <w:rsid w:val="00092EA2"/>
    <w:rsid w:val="0009440F"/>
    <w:rsid w:val="00097736"/>
    <w:rsid w:val="00097D51"/>
    <w:rsid w:val="000A0A96"/>
    <w:rsid w:val="000A0B57"/>
    <w:rsid w:val="000A14C9"/>
    <w:rsid w:val="000A3967"/>
    <w:rsid w:val="000A63AC"/>
    <w:rsid w:val="000A7FC3"/>
    <w:rsid w:val="000B08E5"/>
    <w:rsid w:val="000B1282"/>
    <w:rsid w:val="000B1B74"/>
    <w:rsid w:val="000B237B"/>
    <w:rsid w:val="000B31D6"/>
    <w:rsid w:val="000B4CC2"/>
    <w:rsid w:val="000B5583"/>
    <w:rsid w:val="000B66A3"/>
    <w:rsid w:val="000B77F7"/>
    <w:rsid w:val="000C0E4B"/>
    <w:rsid w:val="000C274D"/>
    <w:rsid w:val="000C2A26"/>
    <w:rsid w:val="000C3DFA"/>
    <w:rsid w:val="000C5853"/>
    <w:rsid w:val="000C7ECF"/>
    <w:rsid w:val="000D0444"/>
    <w:rsid w:val="000D085E"/>
    <w:rsid w:val="000D2C05"/>
    <w:rsid w:val="000D4111"/>
    <w:rsid w:val="000E1C59"/>
    <w:rsid w:val="000E1D96"/>
    <w:rsid w:val="000E1E43"/>
    <w:rsid w:val="000E1E4E"/>
    <w:rsid w:val="000E37C0"/>
    <w:rsid w:val="000E39E0"/>
    <w:rsid w:val="000E6C72"/>
    <w:rsid w:val="000F29F1"/>
    <w:rsid w:val="000F36C8"/>
    <w:rsid w:val="000F3751"/>
    <w:rsid w:val="000F411F"/>
    <w:rsid w:val="000F4BB2"/>
    <w:rsid w:val="000F5E51"/>
    <w:rsid w:val="000F6076"/>
    <w:rsid w:val="000F6273"/>
    <w:rsid w:val="000F62CC"/>
    <w:rsid w:val="000F6C85"/>
    <w:rsid w:val="000F6E6D"/>
    <w:rsid w:val="000F7B55"/>
    <w:rsid w:val="0010241F"/>
    <w:rsid w:val="00103418"/>
    <w:rsid w:val="001048A7"/>
    <w:rsid w:val="001049D5"/>
    <w:rsid w:val="001073BA"/>
    <w:rsid w:val="00110423"/>
    <w:rsid w:val="00110E15"/>
    <w:rsid w:val="00111B84"/>
    <w:rsid w:val="00113247"/>
    <w:rsid w:val="001139D2"/>
    <w:rsid w:val="001139F2"/>
    <w:rsid w:val="00115A5A"/>
    <w:rsid w:val="001168C5"/>
    <w:rsid w:val="001176E8"/>
    <w:rsid w:val="0012071F"/>
    <w:rsid w:val="00120B11"/>
    <w:rsid w:val="00120D67"/>
    <w:rsid w:val="00122F65"/>
    <w:rsid w:val="001247B8"/>
    <w:rsid w:val="00125A36"/>
    <w:rsid w:val="00125D4A"/>
    <w:rsid w:val="0013049A"/>
    <w:rsid w:val="00131351"/>
    <w:rsid w:val="001314B7"/>
    <w:rsid w:val="0013150B"/>
    <w:rsid w:val="001337A9"/>
    <w:rsid w:val="001348FF"/>
    <w:rsid w:val="00136BED"/>
    <w:rsid w:val="001376DB"/>
    <w:rsid w:val="00137E10"/>
    <w:rsid w:val="001402B8"/>
    <w:rsid w:val="00140D1D"/>
    <w:rsid w:val="001412B7"/>
    <w:rsid w:val="001430F6"/>
    <w:rsid w:val="0014370A"/>
    <w:rsid w:val="00144B27"/>
    <w:rsid w:val="00145F67"/>
    <w:rsid w:val="00146F6D"/>
    <w:rsid w:val="001503AD"/>
    <w:rsid w:val="001516DE"/>
    <w:rsid w:val="00153159"/>
    <w:rsid w:val="001543E3"/>
    <w:rsid w:val="00154884"/>
    <w:rsid w:val="001549A8"/>
    <w:rsid w:val="00155BAC"/>
    <w:rsid w:val="00155F48"/>
    <w:rsid w:val="001563F3"/>
    <w:rsid w:val="001565D5"/>
    <w:rsid w:val="001573A3"/>
    <w:rsid w:val="001621ED"/>
    <w:rsid w:val="001631DA"/>
    <w:rsid w:val="00163262"/>
    <w:rsid w:val="001633A3"/>
    <w:rsid w:val="00163D79"/>
    <w:rsid w:val="00165685"/>
    <w:rsid w:val="0016784C"/>
    <w:rsid w:val="00167B59"/>
    <w:rsid w:val="00170EC2"/>
    <w:rsid w:val="0017147C"/>
    <w:rsid w:val="0017273E"/>
    <w:rsid w:val="0017277D"/>
    <w:rsid w:val="001727FD"/>
    <w:rsid w:val="00172A27"/>
    <w:rsid w:val="00172BCF"/>
    <w:rsid w:val="00172CB2"/>
    <w:rsid w:val="00172D93"/>
    <w:rsid w:val="00173F24"/>
    <w:rsid w:val="00177A8C"/>
    <w:rsid w:val="001805AF"/>
    <w:rsid w:val="00182C5F"/>
    <w:rsid w:val="00186A57"/>
    <w:rsid w:val="001876C8"/>
    <w:rsid w:val="00187BD1"/>
    <w:rsid w:val="001925C4"/>
    <w:rsid w:val="00192862"/>
    <w:rsid w:val="00195272"/>
    <w:rsid w:val="00195CE7"/>
    <w:rsid w:val="0019728F"/>
    <w:rsid w:val="00197579"/>
    <w:rsid w:val="00197ADA"/>
    <w:rsid w:val="001A0CF2"/>
    <w:rsid w:val="001A19B6"/>
    <w:rsid w:val="001A1A28"/>
    <w:rsid w:val="001A1B25"/>
    <w:rsid w:val="001A41CE"/>
    <w:rsid w:val="001A4F0A"/>
    <w:rsid w:val="001A5170"/>
    <w:rsid w:val="001A788B"/>
    <w:rsid w:val="001B0979"/>
    <w:rsid w:val="001B2372"/>
    <w:rsid w:val="001B23E0"/>
    <w:rsid w:val="001B250E"/>
    <w:rsid w:val="001B4B0A"/>
    <w:rsid w:val="001B79DB"/>
    <w:rsid w:val="001C0A64"/>
    <w:rsid w:val="001C2152"/>
    <w:rsid w:val="001C2F05"/>
    <w:rsid w:val="001C330C"/>
    <w:rsid w:val="001C4E0F"/>
    <w:rsid w:val="001C6163"/>
    <w:rsid w:val="001C7BCD"/>
    <w:rsid w:val="001D4339"/>
    <w:rsid w:val="001D56F6"/>
    <w:rsid w:val="001D597E"/>
    <w:rsid w:val="001D73AE"/>
    <w:rsid w:val="001D79EB"/>
    <w:rsid w:val="001D7FCA"/>
    <w:rsid w:val="001E187B"/>
    <w:rsid w:val="001E6FE1"/>
    <w:rsid w:val="001E74AB"/>
    <w:rsid w:val="001E782D"/>
    <w:rsid w:val="001F073B"/>
    <w:rsid w:val="001F0CA0"/>
    <w:rsid w:val="001F1BE5"/>
    <w:rsid w:val="001F1EA2"/>
    <w:rsid w:val="001F3828"/>
    <w:rsid w:val="001F4CFE"/>
    <w:rsid w:val="001F4D65"/>
    <w:rsid w:val="001F7A20"/>
    <w:rsid w:val="001F7AFA"/>
    <w:rsid w:val="00202D10"/>
    <w:rsid w:val="002035DF"/>
    <w:rsid w:val="00203D26"/>
    <w:rsid w:val="002048AC"/>
    <w:rsid w:val="0020499A"/>
    <w:rsid w:val="00205868"/>
    <w:rsid w:val="00205A5C"/>
    <w:rsid w:val="00206D06"/>
    <w:rsid w:val="002079ED"/>
    <w:rsid w:val="002100EA"/>
    <w:rsid w:val="0021037A"/>
    <w:rsid w:val="0021072D"/>
    <w:rsid w:val="002128DA"/>
    <w:rsid w:val="00212D66"/>
    <w:rsid w:val="00212E66"/>
    <w:rsid w:val="00212FAA"/>
    <w:rsid w:val="00213241"/>
    <w:rsid w:val="002166D4"/>
    <w:rsid w:val="00216708"/>
    <w:rsid w:val="00216AE3"/>
    <w:rsid w:val="00216DB8"/>
    <w:rsid w:val="00221590"/>
    <w:rsid w:val="0022216A"/>
    <w:rsid w:val="00224158"/>
    <w:rsid w:val="00227DCE"/>
    <w:rsid w:val="00234A90"/>
    <w:rsid w:val="002355E6"/>
    <w:rsid w:val="0024382C"/>
    <w:rsid w:val="00244353"/>
    <w:rsid w:val="00244C83"/>
    <w:rsid w:val="002452F4"/>
    <w:rsid w:val="00252988"/>
    <w:rsid w:val="00252A73"/>
    <w:rsid w:val="0025361A"/>
    <w:rsid w:val="00254EDD"/>
    <w:rsid w:val="002555B3"/>
    <w:rsid w:val="0025567D"/>
    <w:rsid w:val="00255D3C"/>
    <w:rsid w:val="002575DA"/>
    <w:rsid w:val="00257BBF"/>
    <w:rsid w:val="002610FA"/>
    <w:rsid w:val="0026264B"/>
    <w:rsid w:val="0026269D"/>
    <w:rsid w:val="00262D48"/>
    <w:rsid w:val="00263E67"/>
    <w:rsid w:val="00264D73"/>
    <w:rsid w:val="002656D5"/>
    <w:rsid w:val="002703B6"/>
    <w:rsid w:val="00270A8C"/>
    <w:rsid w:val="00271003"/>
    <w:rsid w:val="00271256"/>
    <w:rsid w:val="00273131"/>
    <w:rsid w:val="00274100"/>
    <w:rsid w:val="00275143"/>
    <w:rsid w:val="00275519"/>
    <w:rsid w:val="00275C20"/>
    <w:rsid w:val="002769C8"/>
    <w:rsid w:val="00280118"/>
    <w:rsid w:val="00280795"/>
    <w:rsid w:val="0028133B"/>
    <w:rsid w:val="00282002"/>
    <w:rsid w:val="002853D6"/>
    <w:rsid w:val="00285935"/>
    <w:rsid w:val="00286E3C"/>
    <w:rsid w:val="00290D98"/>
    <w:rsid w:val="0029184C"/>
    <w:rsid w:val="0029209C"/>
    <w:rsid w:val="00292A36"/>
    <w:rsid w:val="00293357"/>
    <w:rsid w:val="00294421"/>
    <w:rsid w:val="00295377"/>
    <w:rsid w:val="00296A5F"/>
    <w:rsid w:val="00297260"/>
    <w:rsid w:val="002A0E1C"/>
    <w:rsid w:val="002A17FD"/>
    <w:rsid w:val="002A4284"/>
    <w:rsid w:val="002A752A"/>
    <w:rsid w:val="002A7926"/>
    <w:rsid w:val="002A7B6D"/>
    <w:rsid w:val="002A7F59"/>
    <w:rsid w:val="002B09B4"/>
    <w:rsid w:val="002B0C68"/>
    <w:rsid w:val="002B2ADF"/>
    <w:rsid w:val="002B2CE9"/>
    <w:rsid w:val="002B3B49"/>
    <w:rsid w:val="002B3BB0"/>
    <w:rsid w:val="002B4C51"/>
    <w:rsid w:val="002B77A8"/>
    <w:rsid w:val="002C007E"/>
    <w:rsid w:val="002C32EF"/>
    <w:rsid w:val="002C3554"/>
    <w:rsid w:val="002C54AE"/>
    <w:rsid w:val="002C5B72"/>
    <w:rsid w:val="002C7CEC"/>
    <w:rsid w:val="002D0585"/>
    <w:rsid w:val="002D114E"/>
    <w:rsid w:val="002D2332"/>
    <w:rsid w:val="002D42F5"/>
    <w:rsid w:val="002E3967"/>
    <w:rsid w:val="002E679D"/>
    <w:rsid w:val="002E6C1A"/>
    <w:rsid w:val="002F1CEA"/>
    <w:rsid w:val="002F364A"/>
    <w:rsid w:val="002F46F9"/>
    <w:rsid w:val="002F4B7B"/>
    <w:rsid w:val="002F5789"/>
    <w:rsid w:val="002F6190"/>
    <w:rsid w:val="002F7574"/>
    <w:rsid w:val="002F7D3B"/>
    <w:rsid w:val="00300FB6"/>
    <w:rsid w:val="003010F9"/>
    <w:rsid w:val="003019EC"/>
    <w:rsid w:val="0030269C"/>
    <w:rsid w:val="003037D3"/>
    <w:rsid w:val="003046B5"/>
    <w:rsid w:val="00304E58"/>
    <w:rsid w:val="00305EBB"/>
    <w:rsid w:val="00305EEA"/>
    <w:rsid w:val="003101C9"/>
    <w:rsid w:val="00310771"/>
    <w:rsid w:val="003114D3"/>
    <w:rsid w:val="00314A45"/>
    <w:rsid w:val="003218C0"/>
    <w:rsid w:val="00322DD4"/>
    <w:rsid w:val="00326641"/>
    <w:rsid w:val="00332458"/>
    <w:rsid w:val="00332A32"/>
    <w:rsid w:val="003331A5"/>
    <w:rsid w:val="00333CD1"/>
    <w:rsid w:val="003350A7"/>
    <w:rsid w:val="00335F46"/>
    <w:rsid w:val="00335FDF"/>
    <w:rsid w:val="003362E2"/>
    <w:rsid w:val="003363D1"/>
    <w:rsid w:val="00337B1D"/>
    <w:rsid w:val="00337DAE"/>
    <w:rsid w:val="00340AE3"/>
    <w:rsid w:val="0034227A"/>
    <w:rsid w:val="00342E13"/>
    <w:rsid w:val="00342FD2"/>
    <w:rsid w:val="00343426"/>
    <w:rsid w:val="00344D92"/>
    <w:rsid w:val="00346603"/>
    <w:rsid w:val="003478F1"/>
    <w:rsid w:val="0035059F"/>
    <w:rsid w:val="00352BD1"/>
    <w:rsid w:val="00353763"/>
    <w:rsid w:val="00356FF0"/>
    <w:rsid w:val="00357BAA"/>
    <w:rsid w:val="0036152E"/>
    <w:rsid w:val="00364637"/>
    <w:rsid w:val="00364803"/>
    <w:rsid w:val="0036509A"/>
    <w:rsid w:val="0036538C"/>
    <w:rsid w:val="003703FD"/>
    <w:rsid w:val="00370AF0"/>
    <w:rsid w:val="00371DF9"/>
    <w:rsid w:val="00372333"/>
    <w:rsid w:val="0037515E"/>
    <w:rsid w:val="003752F2"/>
    <w:rsid w:val="0037666A"/>
    <w:rsid w:val="00377BB9"/>
    <w:rsid w:val="0038103A"/>
    <w:rsid w:val="00381961"/>
    <w:rsid w:val="00382A8D"/>
    <w:rsid w:val="00382FAC"/>
    <w:rsid w:val="00383145"/>
    <w:rsid w:val="0038474C"/>
    <w:rsid w:val="003862D1"/>
    <w:rsid w:val="003900A6"/>
    <w:rsid w:val="00390C9E"/>
    <w:rsid w:val="003915F8"/>
    <w:rsid w:val="00392FC6"/>
    <w:rsid w:val="003A1DAE"/>
    <w:rsid w:val="003A67C0"/>
    <w:rsid w:val="003A6C79"/>
    <w:rsid w:val="003B0C6C"/>
    <w:rsid w:val="003B1C69"/>
    <w:rsid w:val="003B2340"/>
    <w:rsid w:val="003B2409"/>
    <w:rsid w:val="003B30EE"/>
    <w:rsid w:val="003B3EF4"/>
    <w:rsid w:val="003B4549"/>
    <w:rsid w:val="003B47A2"/>
    <w:rsid w:val="003B5068"/>
    <w:rsid w:val="003B631A"/>
    <w:rsid w:val="003B70D9"/>
    <w:rsid w:val="003B71C1"/>
    <w:rsid w:val="003B7B09"/>
    <w:rsid w:val="003C1777"/>
    <w:rsid w:val="003C2224"/>
    <w:rsid w:val="003C2724"/>
    <w:rsid w:val="003C3F6F"/>
    <w:rsid w:val="003C46E8"/>
    <w:rsid w:val="003D1C3D"/>
    <w:rsid w:val="003D215E"/>
    <w:rsid w:val="003D2684"/>
    <w:rsid w:val="003D28B2"/>
    <w:rsid w:val="003D3B46"/>
    <w:rsid w:val="003D3C6E"/>
    <w:rsid w:val="003D5474"/>
    <w:rsid w:val="003D55AE"/>
    <w:rsid w:val="003D6486"/>
    <w:rsid w:val="003D756E"/>
    <w:rsid w:val="003D7E5A"/>
    <w:rsid w:val="003E0186"/>
    <w:rsid w:val="003E0716"/>
    <w:rsid w:val="003E19A5"/>
    <w:rsid w:val="003E2F70"/>
    <w:rsid w:val="003E31FE"/>
    <w:rsid w:val="003E43E0"/>
    <w:rsid w:val="003E54C8"/>
    <w:rsid w:val="003E676B"/>
    <w:rsid w:val="003E68C3"/>
    <w:rsid w:val="003E6B24"/>
    <w:rsid w:val="003E781B"/>
    <w:rsid w:val="003E7AF2"/>
    <w:rsid w:val="003E7B7E"/>
    <w:rsid w:val="003F157C"/>
    <w:rsid w:val="003F23F2"/>
    <w:rsid w:val="003F3FD3"/>
    <w:rsid w:val="003F6772"/>
    <w:rsid w:val="003F7308"/>
    <w:rsid w:val="004000AA"/>
    <w:rsid w:val="00401AD2"/>
    <w:rsid w:val="00402029"/>
    <w:rsid w:val="004021CE"/>
    <w:rsid w:val="00402A7C"/>
    <w:rsid w:val="00402FCC"/>
    <w:rsid w:val="00403B25"/>
    <w:rsid w:val="004052E6"/>
    <w:rsid w:val="00405437"/>
    <w:rsid w:val="004054EE"/>
    <w:rsid w:val="00405610"/>
    <w:rsid w:val="00406F73"/>
    <w:rsid w:val="004079A7"/>
    <w:rsid w:val="00410430"/>
    <w:rsid w:val="00411801"/>
    <w:rsid w:val="00412CA4"/>
    <w:rsid w:val="00412F3A"/>
    <w:rsid w:val="00415C6B"/>
    <w:rsid w:val="00417C5C"/>
    <w:rsid w:val="00417E59"/>
    <w:rsid w:val="00420B22"/>
    <w:rsid w:val="004219B3"/>
    <w:rsid w:val="00421D1B"/>
    <w:rsid w:val="00422AD6"/>
    <w:rsid w:val="00422F85"/>
    <w:rsid w:val="00423C08"/>
    <w:rsid w:val="0042408A"/>
    <w:rsid w:val="004242AB"/>
    <w:rsid w:val="0042500A"/>
    <w:rsid w:val="00431D21"/>
    <w:rsid w:val="0043391B"/>
    <w:rsid w:val="0043516F"/>
    <w:rsid w:val="004358B9"/>
    <w:rsid w:val="004424B9"/>
    <w:rsid w:val="004427BE"/>
    <w:rsid w:val="00446607"/>
    <w:rsid w:val="004468B6"/>
    <w:rsid w:val="004470FB"/>
    <w:rsid w:val="00450031"/>
    <w:rsid w:val="004501A5"/>
    <w:rsid w:val="0045035A"/>
    <w:rsid w:val="00450745"/>
    <w:rsid w:val="00450E83"/>
    <w:rsid w:val="0045270C"/>
    <w:rsid w:val="004532C8"/>
    <w:rsid w:val="004532CB"/>
    <w:rsid w:val="00453713"/>
    <w:rsid w:val="00454D18"/>
    <w:rsid w:val="00455EC8"/>
    <w:rsid w:val="00457A9A"/>
    <w:rsid w:val="004605E4"/>
    <w:rsid w:val="00460840"/>
    <w:rsid w:val="004618F5"/>
    <w:rsid w:val="00462AC8"/>
    <w:rsid w:val="00465CD4"/>
    <w:rsid w:val="004706A3"/>
    <w:rsid w:val="00470D3A"/>
    <w:rsid w:val="00471295"/>
    <w:rsid w:val="00473BE4"/>
    <w:rsid w:val="004744DF"/>
    <w:rsid w:val="00474E4B"/>
    <w:rsid w:val="00475DD1"/>
    <w:rsid w:val="00475F99"/>
    <w:rsid w:val="00476B86"/>
    <w:rsid w:val="00477DB1"/>
    <w:rsid w:val="0048006B"/>
    <w:rsid w:val="0048052B"/>
    <w:rsid w:val="00480CD3"/>
    <w:rsid w:val="004810FA"/>
    <w:rsid w:val="00481BA1"/>
    <w:rsid w:val="00483C4F"/>
    <w:rsid w:val="00483DBE"/>
    <w:rsid w:val="00484CAA"/>
    <w:rsid w:val="00484D95"/>
    <w:rsid w:val="00484F80"/>
    <w:rsid w:val="004859D2"/>
    <w:rsid w:val="004874AA"/>
    <w:rsid w:val="00487524"/>
    <w:rsid w:val="00487F50"/>
    <w:rsid w:val="00490820"/>
    <w:rsid w:val="00490F87"/>
    <w:rsid w:val="00492AE9"/>
    <w:rsid w:val="00493F23"/>
    <w:rsid w:val="00494191"/>
    <w:rsid w:val="00494DCE"/>
    <w:rsid w:val="004955F4"/>
    <w:rsid w:val="0049638B"/>
    <w:rsid w:val="0049704A"/>
    <w:rsid w:val="004A06BF"/>
    <w:rsid w:val="004A0F68"/>
    <w:rsid w:val="004A1D29"/>
    <w:rsid w:val="004A32B6"/>
    <w:rsid w:val="004B1EE2"/>
    <w:rsid w:val="004B3088"/>
    <w:rsid w:val="004B3D1E"/>
    <w:rsid w:val="004B4637"/>
    <w:rsid w:val="004B4D9D"/>
    <w:rsid w:val="004B4FD9"/>
    <w:rsid w:val="004B65F6"/>
    <w:rsid w:val="004B6DBD"/>
    <w:rsid w:val="004C0E5B"/>
    <w:rsid w:val="004C12F9"/>
    <w:rsid w:val="004C149E"/>
    <w:rsid w:val="004C1617"/>
    <w:rsid w:val="004C3E6F"/>
    <w:rsid w:val="004C692D"/>
    <w:rsid w:val="004C77A3"/>
    <w:rsid w:val="004D0522"/>
    <w:rsid w:val="004D06AD"/>
    <w:rsid w:val="004D1B4F"/>
    <w:rsid w:val="004D359D"/>
    <w:rsid w:val="004D4A58"/>
    <w:rsid w:val="004D5A04"/>
    <w:rsid w:val="004D6D14"/>
    <w:rsid w:val="004D6E1D"/>
    <w:rsid w:val="004E15D8"/>
    <w:rsid w:val="004E1AC5"/>
    <w:rsid w:val="004E1FCC"/>
    <w:rsid w:val="004E29A5"/>
    <w:rsid w:val="004E3817"/>
    <w:rsid w:val="004E3CEA"/>
    <w:rsid w:val="004E5A91"/>
    <w:rsid w:val="004E633C"/>
    <w:rsid w:val="004E64AB"/>
    <w:rsid w:val="004E7606"/>
    <w:rsid w:val="004F1E12"/>
    <w:rsid w:val="004F2DC7"/>
    <w:rsid w:val="004F3F44"/>
    <w:rsid w:val="004F4698"/>
    <w:rsid w:val="004F4D61"/>
    <w:rsid w:val="004F5B43"/>
    <w:rsid w:val="004F6677"/>
    <w:rsid w:val="004F6726"/>
    <w:rsid w:val="004F7500"/>
    <w:rsid w:val="00500FD1"/>
    <w:rsid w:val="00502030"/>
    <w:rsid w:val="00502355"/>
    <w:rsid w:val="005029B2"/>
    <w:rsid w:val="005037D9"/>
    <w:rsid w:val="0050398F"/>
    <w:rsid w:val="005052BB"/>
    <w:rsid w:val="005060F6"/>
    <w:rsid w:val="005062B9"/>
    <w:rsid w:val="00506727"/>
    <w:rsid w:val="00506E4D"/>
    <w:rsid w:val="00520D53"/>
    <w:rsid w:val="00522865"/>
    <w:rsid w:val="00523CEE"/>
    <w:rsid w:val="005260EB"/>
    <w:rsid w:val="005301B4"/>
    <w:rsid w:val="00531A46"/>
    <w:rsid w:val="00533781"/>
    <w:rsid w:val="0053410C"/>
    <w:rsid w:val="00535463"/>
    <w:rsid w:val="00537C7B"/>
    <w:rsid w:val="00540198"/>
    <w:rsid w:val="005404B0"/>
    <w:rsid w:val="00541B03"/>
    <w:rsid w:val="00542096"/>
    <w:rsid w:val="0054404E"/>
    <w:rsid w:val="005447F8"/>
    <w:rsid w:val="005450FB"/>
    <w:rsid w:val="0054537A"/>
    <w:rsid w:val="0054786D"/>
    <w:rsid w:val="00550C0F"/>
    <w:rsid w:val="005525A2"/>
    <w:rsid w:val="00552ECA"/>
    <w:rsid w:val="005548FC"/>
    <w:rsid w:val="0055626B"/>
    <w:rsid w:val="0055694E"/>
    <w:rsid w:val="00557479"/>
    <w:rsid w:val="005579D8"/>
    <w:rsid w:val="005628FE"/>
    <w:rsid w:val="005653BA"/>
    <w:rsid w:val="005673FC"/>
    <w:rsid w:val="00570CB2"/>
    <w:rsid w:val="005717C9"/>
    <w:rsid w:val="00571C1B"/>
    <w:rsid w:val="005738AE"/>
    <w:rsid w:val="0057400E"/>
    <w:rsid w:val="00574A08"/>
    <w:rsid w:val="0057536B"/>
    <w:rsid w:val="00575728"/>
    <w:rsid w:val="00575A92"/>
    <w:rsid w:val="00576A0D"/>
    <w:rsid w:val="00577047"/>
    <w:rsid w:val="00577538"/>
    <w:rsid w:val="00580F57"/>
    <w:rsid w:val="005827A5"/>
    <w:rsid w:val="005853CA"/>
    <w:rsid w:val="00586252"/>
    <w:rsid w:val="00586F50"/>
    <w:rsid w:val="00590D88"/>
    <w:rsid w:val="00593090"/>
    <w:rsid w:val="00594706"/>
    <w:rsid w:val="00594C5F"/>
    <w:rsid w:val="005951C0"/>
    <w:rsid w:val="00595A63"/>
    <w:rsid w:val="00595D8C"/>
    <w:rsid w:val="005961B1"/>
    <w:rsid w:val="00596E65"/>
    <w:rsid w:val="00597513"/>
    <w:rsid w:val="005A16E2"/>
    <w:rsid w:val="005A3077"/>
    <w:rsid w:val="005A42FA"/>
    <w:rsid w:val="005B4A58"/>
    <w:rsid w:val="005B5AA5"/>
    <w:rsid w:val="005B5B26"/>
    <w:rsid w:val="005B5DCE"/>
    <w:rsid w:val="005B7712"/>
    <w:rsid w:val="005B7C58"/>
    <w:rsid w:val="005C02C2"/>
    <w:rsid w:val="005C0380"/>
    <w:rsid w:val="005C0449"/>
    <w:rsid w:val="005C07BC"/>
    <w:rsid w:val="005C2B80"/>
    <w:rsid w:val="005C4ED0"/>
    <w:rsid w:val="005C53BA"/>
    <w:rsid w:val="005C638E"/>
    <w:rsid w:val="005C7C6E"/>
    <w:rsid w:val="005D1A07"/>
    <w:rsid w:val="005D36D3"/>
    <w:rsid w:val="005D3A3A"/>
    <w:rsid w:val="005D75D3"/>
    <w:rsid w:val="005D765C"/>
    <w:rsid w:val="005D7B88"/>
    <w:rsid w:val="005E08EF"/>
    <w:rsid w:val="005E28E5"/>
    <w:rsid w:val="005E2B7B"/>
    <w:rsid w:val="005E6017"/>
    <w:rsid w:val="005E69EB"/>
    <w:rsid w:val="005F0693"/>
    <w:rsid w:val="005F1240"/>
    <w:rsid w:val="005F13A1"/>
    <w:rsid w:val="005F283D"/>
    <w:rsid w:val="005F487F"/>
    <w:rsid w:val="005F50EA"/>
    <w:rsid w:val="005F6FE4"/>
    <w:rsid w:val="00600B89"/>
    <w:rsid w:val="00602BDA"/>
    <w:rsid w:val="006047F2"/>
    <w:rsid w:val="00604986"/>
    <w:rsid w:val="006064A9"/>
    <w:rsid w:val="00607394"/>
    <w:rsid w:val="00607650"/>
    <w:rsid w:val="00607680"/>
    <w:rsid w:val="00612BBE"/>
    <w:rsid w:val="00612CFC"/>
    <w:rsid w:val="00614743"/>
    <w:rsid w:val="006158FE"/>
    <w:rsid w:val="006161F8"/>
    <w:rsid w:val="00617DAF"/>
    <w:rsid w:val="006202BA"/>
    <w:rsid w:val="00621216"/>
    <w:rsid w:val="006214B2"/>
    <w:rsid w:val="00621C74"/>
    <w:rsid w:val="00622E48"/>
    <w:rsid w:val="00625D5A"/>
    <w:rsid w:val="00625DC9"/>
    <w:rsid w:val="00630727"/>
    <w:rsid w:val="00630D58"/>
    <w:rsid w:val="006316DA"/>
    <w:rsid w:val="00631BF8"/>
    <w:rsid w:val="00632442"/>
    <w:rsid w:val="00633E54"/>
    <w:rsid w:val="006370C6"/>
    <w:rsid w:val="0064012F"/>
    <w:rsid w:val="006401FB"/>
    <w:rsid w:val="00640423"/>
    <w:rsid w:val="00640C02"/>
    <w:rsid w:val="006412EC"/>
    <w:rsid w:val="00643A79"/>
    <w:rsid w:val="00644155"/>
    <w:rsid w:val="00644456"/>
    <w:rsid w:val="0064519E"/>
    <w:rsid w:val="0064648D"/>
    <w:rsid w:val="006474B0"/>
    <w:rsid w:val="00647B14"/>
    <w:rsid w:val="00650287"/>
    <w:rsid w:val="00652FEC"/>
    <w:rsid w:val="006537D3"/>
    <w:rsid w:val="00653C7B"/>
    <w:rsid w:val="00655D70"/>
    <w:rsid w:val="00656391"/>
    <w:rsid w:val="00656460"/>
    <w:rsid w:val="0066153C"/>
    <w:rsid w:val="0066454A"/>
    <w:rsid w:val="0066457C"/>
    <w:rsid w:val="006649BF"/>
    <w:rsid w:val="006649C7"/>
    <w:rsid w:val="00664DE7"/>
    <w:rsid w:val="0066578E"/>
    <w:rsid w:val="00665C10"/>
    <w:rsid w:val="00667862"/>
    <w:rsid w:val="006678CD"/>
    <w:rsid w:val="00671AC3"/>
    <w:rsid w:val="00673F5A"/>
    <w:rsid w:val="0067472C"/>
    <w:rsid w:val="00675181"/>
    <w:rsid w:val="00677846"/>
    <w:rsid w:val="00682E86"/>
    <w:rsid w:val="006843C4"/>
    <w:rsid w:val="00684ED3"/>
    <w:rsid w:val="00685856"/>
    <w:rsid w:val="006900F5"/>
    <w:rsid w:val="006912D4"/>
    <w:rsid w:val="00691742"/>
    <w:rsid w:val="0069467C"/>
    <w:rsid w:val="00696E28"/>
    <w:rsid w:val="0069788C"/>
    <w:rsid w:val="006A0A69"/>
    <w:rsid w:val="006A0E1F"/>
    <w:rsid w:val="006A162F"/>
    <w:rsid w:val="006A2A41"/>
    <w:rsid w:val="006A37F8"/>
    <w:rsid w:val="006A3830"/>
    <w:rsid w:val="006A662C"/>
    <w:rsid w:val="006A72B4"/>
    <w:rsid w:val="006A74D3"/>
    <w:rsid w:val="006B4077"/>
    <w:rsid w:val="006B6C46"/>
    <w:rsid w:val="006B71B7"/>
    <w:rsid w:val="006B7808"/>
    <w:rsid w:val="006C223E"/>
    <w:rsid w:val="006C22BA"/>
    <w:rsid w:val="006C2FA2"/>
    <w:rsid w:val="006C49F1"/>
    <w:rsid w:val="006C5D0F"/>
    <w:rsid w:val="006C5D54"/>
    <w:rsid w:val="006C6D84"/>
    <w:rsid w:val="006D0A3E"/>
    <w:rsid w:val="006D15CC"/>
    <w:rsid w:val="006D3D7A"/>
    <w:rsid w:val="006D3E94"/>
    <w:rsid w:val="006D465E"/>
    <w:rsid w:val="006D57CF"/>
    <w:rsid w:val="006D5818"/>
    <w:rsid w:val="006E02A9"/>
    <w:rsid w:val="006E02B8"/>
    <w:rsid w:val="006E1DB5"/>
    <w:rsid w:val="006E2262"/>
    <w:rsid w:val="006E2B19"/>
    <w:rsid w:val="006E58E6"/>
    <w:rsid w:val="006E5B74"/>
    <w:rsid w:val="006E75D6"/>
    <w:rsid w:val="006E7A38"/>
    <w:rsid w:val="006E7E3C"/>
    <w:rsid w:val="006F2893"/>
    <w:rsid w:val="006F29B0"/>
    <w:rsid w:val="006F57C8"/>
    <w:rsid w:val="006F72C0"/>
    <w:rsid w:val="00700505"/>
    <w:rsid w:val="00703A3E"/>
    <w:rsid w:val="00703F7A"/>
    <w:rsid w:val="00705DD2"/>
    <w:rsid w:val="007067F2"/>
    <w:rsid w:val="007142F7"/>
    <w:rsid w:val="007163F2"/>
    <w:rsid w:val="00716780"/>
    <w:rsid w:val="00717CEE"/>
    <w:rsid w:val="00721141"/>
    <w:rsid w:val="00721937"/>
    <w:rsid w:val="00721BEC"/>
    <w:rsid w:val="0072304B"/>
    <w:rsid w:val="007234EA"/>
    <w:rsid w:val="0072368E"/>
    <w:rsid w:val="007236FD"/>
    <w:rsid w:val="007315AB"/>
    <w:rsid w:val="00732F11"/>
    <w:rsid w:val="00733C01"/>
    <w:rsid w:val="00734351"/>
    <w:rsid w:val="00734A70"/>
    <w:rsid w:val="007358D0"/>
    <w:rsid w:val="00735A9A"/>
    <w:rsid w:val="00736E25"/>
    <w:rsid w:val="00742080"/>
    <w:rsid w:val="007429A5"/>
    <w:rsid w:val="007447DB"/>
    <w:rsid w:val="00744E17"/>
    <w:rsid w:val="00745BB1"/>
    <w:rsid w:val="00746245"/>
    <w:rsid w:val="0074735D"/>
    <w:rsid w:val="00747BC7"/>
    <w:rsid w:val="007511EB"/>
    <w:rsid w:val="00751581"/>
    <w:rsid w:val="00752BD8"/>
    <w:rsid w:val="00755E3D"/>
    <w:rsid w:val="00755F74"/>
    <w:rsid w:val="00756E9A"/>
    <w:rsid w:val="00757843"/>
    <w:rsid w:val="007579A3"/>
    <w:rsid w:val="00761E9C"/>
    <w:rsid w:val="00762F3F"/>
    <w:rsid w:val="0076395B"/>
    <w:rsid w:val="0076410C"/>
    <w:rsid w:val="007647B4"/>
    <w:rsid w:val="00766C1F"/>
    <w:rsid w:val="00766F1E"/>
    <w:rsid w:val="00767E5C"/>
    <w:rsid w:val="00772816"/>
    <w:rsid w:val="007731C6"/>
    <w:rsid w:val="00773FF4"/>
    <w:rsid w:val="00776427"/>
    <w:rsid w:val="00776869"/>
    <w:rsid w:val="007773CB"/>
    <w:rsid w:val="00780726"/>
    <w:rsid w:val="007828B3"/>
    <w:rsid w:val="00782CD2"/>
    <w:rsid w:val="00784575"/>
    <w:rsid w:val="007865A5"/>
    <w:rsid w:val="00787B50"/>
    <w:rsid w:val="00790A28"/>
    <w:rsid w:val="007914F8"/>
    <w:rsid w:val="007942B3"/>
    <w:rsid w:val="00797BAA"/>
    <w:rsid w:val="007A09AB"/>
    <w:rsid w:val="007A2199"/>
    <w:rsid w:val="007A5048"/>
    <w:rsid w:val="007A57D8"/>
    <w:rsid w:val="007B0DD9"/>
    <w:rsid w:val="007B2508"/>
    <w:rsid w:val="007B7F59"/>
    <w:rsid w:val="007C0865"/>
    <w:rsid w:val="007C0D60"/>
    <w:rsid w:val="007C18A4"/>
    <w:rsid w:val="007C1B86"/>
    <w:rsid w:val="007C28AF"/>
    <w:rsid w:val="007C537F"/>
    <w:rsid w:val="007C5584"/>
    <w:rsid w:val="007C5A73"/>
    <w:rsid w:val="007C7440"/>
    <w:rsid w:val="007C760D"/>
    <w:rsid w:val="007D0461"/>
    <w:rsid w:val="007D2016"/>
    <w:rsid w:val="007D2695"/>
    <w:rsid w:val="007D4283"/>
    <w:rsid w:val="007D494A"/>
    <w:rsid w:val="007D4A2F"/>
    <w:rsid w:val="007D4CC9"/>
    <w:rsid w:val="007D4D1F"/>
    <w:rsid w:val="007D5A81"/>
    <w:rsid w:val="007D5E80"/>
    <w:rsid w:val="007D7944"/>
    <w:rsid w:val="007D7CDA"/>
    <w:rsid w:val="007E0A89"/>
    <w:rsid w:val="007E10A7"/>
    <w:rsid w:val="007E179C"/>
    <w:rsid w:val="007E1E6C"/>
    <w:rsid w:val="007E1FDF"/>
    <w:rsid w:val="007E26C1"/>
    <w:rsid w:val="007E2CD8"/>
    <w:rsid w:val="007E320A"/>
    <w:rsid w:val="007E3998"/>
    <w:rsid w:val="007E4FBA"/>
    <w:rsid w:val="007E7C14"/>
    <w:rsid w:val="007F53C0"/>
    <w:rsid w:val="007F6AFF"/>
    <w:rsid w:val="007F7629"/>
    <w:rsid w:val="007F7DF3"/>
    <w:rsid w:val="00801E10"/>
    <w:rsid w:val="008031C4"/>
    <w:rsid w:val="0080342D"/>
    <w:rsid w:val="00803F8B"/>
    <w:rsid w:val="00805110"/>
    <w:rsid w:val="0080511F"/>
    <w:rsid w:val="00805242"/>
    <w:rsid w:val="00810E67"/>
    <w:rsid w:val="00811096"/>
    <w:rsid w:val="0081155A"/>
    <w:rsid w:val="008120C8"/>
    <w:rsid w:val="0081450F"/>
    <w:rsid w:val="00814D16"/>
    <w:rsid w:val="00821EBE"/>
    <w:rsid w:val="0082261D"/>
    <w:rsid w:val="0082370E"/>
    <w:rsid w:val="00824FDC"/>
    <w:rsid w:val="00825355"/>
    <w:rsid w:val="008255B8"/>
    <w:rsid w:val="00830198"/>
    <w:rsid w:val="00830D50"/>
    <w:rsid w:val="008354D1"/>
    <w:rsid w:val="0083570C"/>
    <w:rsid w:val="0083578F"/>
    <w:rsid w:val="00837F25"/>
    <w:rsid w:val="0084031E"/>
    <w:rsid w:val="00843265"/>
    <w:rsid w:val="00844A5A"/>
    <w:rsid w:val="00845F09"/>
    <w:rsid w:val="00847245"/>
    <w:rsid w:val="0084774A"/>
    <w:rsid w:val="00850B33"/>
    <w:rsid w:val="00850BC1"/>
    <w:rsid w:val="00850D04"/>
    <w:rsid w:val="00851E46"/>
    <w:rsid w:val="00852080"/>
    <w:rsid w:val="00852E35"/>
    <w:rsid w:val="008534E9"/>
    <w:rsid w:val="00855275"/>
    <w:rsid w:val="00855E52"/>
    <w:rsid w:val="00856E5D"/>
    <w:rsid w:val="00857718"/>
    <w:rsid w:val="00860CC8"/>
    <w:rsid w:val="008612E1"/>
    <w:rsid w:val="00862460"/>
    <w:rsid w:val="00862535"/>
    <w:rsid w:val="008627DA"/>
    <w:rsid w:val="008643D5"/>
    <w:rsid w:val="008645C7"/>
    <w:rsid w:val="0086481A"/>
    <w:rsid w:val="00865534"/>
    <w:rsid w:val="00867315"/>
    <w:rsid w:val="008674DF"/>
    <w:rsid w:val="008674F1"/>
    <w:rsid w:val="008704C3"/>
    <w:rsid w:val="00870A33"/>
    <w:rsid w:val="00871509"/>
    <w:rsid w:val="008727D4"/>
    <w:rsid w:val="00874126"/>
    <w:rsid w:val="00874215"/>
    <w:rsid w:val="008743CE"/>
    <w:rsid w:val="00876401"/>
    <w:rsid w:val="0087798C"/>
    <w:rsid w:val="00880A31"/>
    <w:rsid w:val="008816DA"/>
    <w:rsid w:val="00881C3D"/>
    <w:rsid w:val="00882DA7"/>
    <w:rsid w:val="00882E13"/>
    <w:rsid w:val="008833C4"/>
    <w:rsid w:val="00883A39"/>
    <w:rsid w:val="00884728"/>
    <w:rsid w:val="00885E1E"/>
    <w:rsid w:val="00887B4D"/>
    <w:rsid w:val="0089091F"/>
    <w:rsid w:val="00891574"/>
    <w:rsid w:val="0089354C"/>
    <w:rsid w:val="00893F88"/>
    <w:rsid w:val="008946D5"/>
    <w:rsid w:val="008950CA"/>
    <w:rsid w:val="008A013C"/>
    <w:rsid w:val="008A0158"/>
    <w:rsid w:val="008A15D1"/>
    <w:rsid w:val="008A25A6"/>
    <w:rsid w:val="008A3DE1"/>
    <w:rsid w:val="008A417E"/>
    <w:rsid w:val="008A4ECA"/>
    <w:rsid w:val="008A5706"/>
    <w:rsid w:val="008A5976"/>
    <w:rsid w:val="008A7022"/>
    <w:rsid w:val="008B08EB"/>
    <w:rsid w:val="008B0FF7"/>
    <w:rsid w:val="008B21A8"/>
    <w:rsid w:val="008B29BE"/>
    <w:rsid w:val="008B3A3B"/>
    <w:rsid w:val="008B4F91"/>
    <w:rsid w:val="008B7F9C"/>
    <w:rsid w:val="008C0697"/>
    <w:rsid w:val="008C30BD"/>
    <w:rsid w:val="008C33C5"/>
    <w:rsid w:val="008C3F45"/>
    <w:rsid w:val="008C46BA"/>
    <w:rsid w:val="008C4E7C"/>
    <w:rsid w:val="008C5F87"/>
    <w:rsid w:val="008C6E10"/>
    <w:rsid w:val="008D1A40"/>
    <w:rsid w:val="008D2779"/>
    <w:rsid w:val="008D556F"/>
    <w:rsid w:val="008D5BE5"/>
    <w:rsid w:val="008E3AC6"/>
    <w:rsid w:val="008E44A6"/>
    <w:rsid w:val="008E5B37"/>
    <w:rsid w:val="008E665D"/>
    <w:rsid w:val="008E711D"/>
    <w:rsid w:val="008F1501"/>
    <w:rsid w:val="008F25E5"/>
    <w:rsid w:val="008F42DB"/>
    <w:rsid w:val="008F51A9"/>
    <w:rsid w:val="008F5AFC"/>
    <w:rsid w:val="008F61E9"/>
    <w:rsid w:val="008F69CC"/>
    <w:rsid w:val="00900752"/>
    <w:rsid w:val="00901291"/>
    <w:rsid w:val="00906196"/>
    <w:rsid w:val="00906432"/>
    <w:rsid w:val="0090677D"/>
    <w:rsid w:val="00907E8F"/>
    <w:rsid w:val="00910FED"/>
    <w:rsid w:val="00912056"/>
    <w:rsid w:val="00912F8C"/>
    <w:rsid w:val="00914CF1"/>
    <w:rsid w:val="00915B14"/>
    <w:rsid w:val="00916C70"/>
    <w:rsid w:val="009170AC"/>
    <w:rsid w:val="00920510"/>
    <w:rsid w:val="009222E4"/>
    <w:rsid w:val="00922B60"/>
    <w:rsid w:val="00925853"/>
    <w:rsid w:val="009258F6"/>
    <w:rsid w:val="00925C1C"/>
    <w:rsid w:val="00925C50"/>
    <w:rsid w:val="009262DC"/>
    <w:rsid w:val="00926D17"/>
    <w:rsid w:val="009279A2"/>
    <w:rsid w:val="009307D5"/>
    <w:rsid w:val="0093099E"/>
    <w:rsid w:val="00931885"/>
    <w:rsid w:val="009323E4"/>
    <w:rsid w:val="00932477"/>
    <w:rsid w:val="00932618"/>
    <w:rsid w:val="00933B1A"/>
    <w:rsid w:val="0093469C"/>
    <w:rsid w:val="00934A45"/>
    <w:rsid w:val="00934D55"/>
    <w:rsid w:val="00935503"/>
    <w:rsid w:val="00936764"/>
    <w:rsid w:val="00940377"/>
    <w:rsid w:val="00940995"/>
    <w:rsid w:val="00941126"/>
    <w:rsid w:val="0094148E"/>
    <w:rsid w:val="00942A4F"/>
    <w:rsid w:val="00943843"/>
    <w:rsid w:val="00943F1A"/>
    <w:rsid w:val="0094440B"/>
    <w:rsid w:val="00946ED6"/>
    <w:rsid w:val="0094723C"/>
    <w:rsid w:val="00951A00"/>
    <w:rsid w:val="00954BAD"/>
    <w:rsid w:val="00955A8D"/>
    <w:rsid w:val="00956774"/>
    <w:rsid w:val="00956A35"/>
    <w:rsid w:val="00960654"/>
    <w:rsid w:val="00961DB2"/>
    <w:rsid w:val="00961FF7"/>
    <w:rsid w:val="00962E26"/>
    <w:rsid w:val="00964BA1"/>
    <w:rsid w:val="0096695C"/>
    <w:rsid w:val="00966CF6"/>
    <w:rsid w:val="00967233"/>
    <w:rsid w:val="00967668"/>
    <w:rsid w:val="00970967"/>
    <w:rsid w:val="00970B0D"/>
    <w:rsid w:val="0097150F"/>
    <w:rsid w:val="00971CED"/>
    <w:rsid w:val="00971FDC"/>
    <w:rsid w:val="00972727"/>
    <w:rsid w:val="00973850"/>
    <w:rsid w:val="009741F9"/>
    <w:rsid w:val="00974482"/>
    <w:rsid w:val="00975963"/>
    <w:rsid w:val="009768C2"/>
    <w:rsid w:val="00976FF4"/>
    <w:rsid w:val="00977621"/>
    <w:rsid w:val="009802D9"/>
    <w:rsid w:val="00981CE7"/>
    <w:rsid w:val="00982CFD"/>
    <w:rsid w:val="00983213"/>
    <w:rsid w:val="0098396F"/>
    <w:rsid w:val="0098759C"/>
    <w:rsid w:val="00994CCB"/>
    <w:rsid w:val="00994D06"/>
    <w:rsid w:val="0099698B"/>
    <w:rsid w:val="00997B6C"/>
    <w:rsid w:val="00997CEA"/>
    <w:rsid w:val="009A047E"/>
    <w:rsid w:val="009A1223"/>
    <w:rsid w:val="009A148B"/>
    <w:rsid w:val="009A2251"/>
    <w:rsid w:val="009A27C6"/>
    <w:rsid w:val="009A4002"/>
    <w:rsid w:val="009A4890"/>
    <w:rsid w:val="009A6174"/>
    <w:rsid w:val="009A6AFE"/>
    <w:rsid w:val="009A72D3"/>
    <w:rsid w:val="009B0FD6"/>
    <w:rsid w:val="009B2397"/>
    <w:rsid w:val="009B355C"/>
    <w:rsid w:val="009B368A"/>
    <w:rsid w:val="009B3761"/>
    <w:rsid w:val="009B443F"/>
    <w:rsid w:val="009B5668"/>
    <w:rsid w:val="009C6114"/>
    <w:rsid w:val="009C65C7"/>
    <w:rsid w:val="009C685B"/>
    <w:rsid w:val="009C6C55"/>
    <w:rsid w:val="009C6FC3"/>
    <w:rsid w:val="009D2030"/>
    <w:rsid w:val="009D20B8"/>
    <w:rsid w:val="009D277E"/>
    <w:rsid w:val="009D30C1"/>
    <w:rsid w:val="009D3C46"/>
    <w:rsid w:val="009D43CE"/>
    <w:rsid w:val="009D4A69"/>
    <w:rsid w:val="009D63D9"/>
    <w:rsid w:val="009D64D2"/>
    <w:rsid w:val="009E1FA1"/>
    <w:rsid w:val="009E31F8"/>
    <w:rsid w:val="009E48F5"/>
    <w:rsid w:val="009E5293"/>
    <w:rsid w:val="009E6F7C"/>
    <w:rsid w:val="009E7580"/>
    <w:rsid w:val="009E7E01"/>
    <w:rsid w:val="009E7FE1"/>
    <w:rsid w:val="009F0402"/>
    <w:rsid w:val="009F1D86"/>
    <w:rsid w:val="009F2178"/>
    <w:rsid w:val="009F2F31"/>
    <w:rsid w:val="009F74A0"/>
    <w:rsid w:val="00A013E7"/>
    <w:rsid w:val="00A01C14"/>
    <w:rsid w:val="00A031CF"/>
    <w:rsid w:val="00A03281"/>
    <w:rsid w:val="00A03862"/>
    <w:rsid w:val="00A03F39"/>
    <w:rsid w:val="00A04F45"/>
    <w:rsid w:val="00A060D8"/>
    <w:rsid w:val="00A070CF"/>
    <w:rsid w:val="00A101F7"/>
    <w:rsid w:val="00A15F4C"/>
    <w:rsid w:val="00A16301"/>
    <w:rsid w:val="00A2018B"/>
    <w:rsid w:val="00A20A49"/>
    <w:rsid w:val="00A22FF9"/>
    <w:rsid w:val="00A25F84"/>
    <w:rsid w:val="00A30ADF"/>
    <w:rsid w:val="00A319D3"/>
    <w:rsid w:val="00A31EB8"/>
    <w:rsid w:val="00A338C7"/>
    <w:rsid w:val="00A34820"/>
    <w:rsid w:val="00A3687D"/>
    <w:rsid w:val="00A37E5C"/>
    <w:rsid w:val="00A4001A"/>
    <w:rsid w:val="00A40E07"/>
    <w:rsid w:val="00A44C2B"/>
    <w:rsid w:val="00A4690F"/>
    <w:rsid w:val="00A47367"/>
    <w:rsid w:val="00A47655"/>
    <w:rsid w:val="00A47C3C"/>
    <w:rsid w:val="00A50D68"/>
    <w:rsid w:val="00A527FC"/>
    <w:rsid w:val="00A52AB0"/>
    <w:rsid w:val="00A5358F"/>
    <w:rsid w:val="00A53D1E"/>
    <w:rsid w:val="00A54283"/>
    <w:rsid w:val="00A60B01"/>
    <w:rsid w:val="00A61039"/>
    <w:rsid w:val="00A63038"/>
    <w:rsid w:val="00A63E27"/>
    <w:rsid w:val="00A6586F"/>
    <w:rsid w:val="00A6691D"/>
    <w:rsid w:val="00A677CD"/>
    <w:rsid w:val="00A70DBA"/>
    <w:rsid w:val="00A737B1"/>
    <w:rsid w:val="00A744D6"/>
    <w:rsid w:val="00A749A8"/>
    <w:rsid w:val="00A75355"/>
    <w:rsid w:val="00A76298"/>
    <w:rsid w:val="00A76452"/>
    <w:rsid w:val="00A76A2C"/>
    <w:rsid w:val="00A76AFB"/>
    <w:rsid w:val="00A811FE"/>
    <w:rsid w:val="00A8129F"/>
    <w:rsid w:val="00A81AC5"/>
    <w:rsid w:val="00A81EF4"/>
    <w:rsid w:val="00A82FCA"/>
    <w:rsid w:val="00A8548F"/>
    <w:rsid w:val="00A855E2"/>
    <w:rsid w:val="00A867ED"/>
    <w:rsid w:val="00A87009"/>
    <w:rsid w:val="00A90BB3"/>
    <w:rsid w:val="00A913F5"/>
    <w:rsid w:val="00A92930"/>
    <w:rsid w:val="00A93708"/>
    <w:rsid w:val="00A95D33"/>
    <w:rsid w:val="00A95EB5"/>
    <w:rsid w:val="00A96B76"/>
    <w:rsid w:val="00A97E28"/>
    <w:rsid w:val="00AA3648"/>
    <w:rsid w:val="00AA3B20"/>
    <w:rsid w:val="00AA5C96"/>
    <w:rsid w:val="00AA68C3"/>
    <w:rsid w:val="00AA78B0"/>
    <w:rsid w:val="00AB0B8B"/>
    <w:rsid w:val="00AB17A3"/>
    <w:rsid w:val="00AB1FCB"/>
    <w:rsid w:val="00AB293F"/>
    <w:rsid w:val="00AB2DBA"/>
    <w:rsid w:val="00AB3AEC"/>
    <w:rsid w:val="00AB6CBA"/>
    <w:rsid w:val="00AB7420"/>
    <w:rsid w:val="00AB76AB"/>
    <w:rsid w:val="00AB7DE6"/>
    <w:rsid w:val="00AC2D96"/>
    <w:rsid w:val="00AC34DE"/>
    <w:rsid w:val="00AC379B"/>
    <w:rsid w:val="00AC4168"/>
    <w:rsid w:val="00AC71A6"/>
    <w:rsid w:val="00AC78CB"/>
    <w:rsid w:val="00AC7C6F"/>
    <w:rsid w:val="00AC7E5E"/>
    <w:rsid w:val="00AD041D"/>
    <w:rsid w:val="00AD0AA0"/>
    <w:rsid w:val="00AD0AD8"/>
    <w:rsid w:val="00AD144D"/>
    <w:rsid w:val="00AD2647"/>
    <w:rsid w:val="00AD344E"/>
    <w:rsid w:val="00AD4298"/>
    <w:rsid w:val="00AD62F9"/>
    <w:rsid w:val="00AD73FE"/>
    <w:rsid w:val="00AE2B0E"/>
    <w:rsid w:val="00AE33A4"/>
    <w:rsid w:val="00AE39C7"/>
    <w:rsid w:val="00AE3A8B"/>
    <w:rsid w:val="00AF059C"/>
    <w:rsid w:val="00AF147B"/>
    <w:rsid w:val="00AF15CB"/>
    <w:rsid w:val="00AF2535"/>
    <w:rsid w:val="00AF29A0"/>
    <w:rsid w:val="00AF2FEA"/>
    <w:rsid w:val="00AF35F8"/>
    <w:rsid w:val="00AF4D89"/>
    <w:rsid w:val="00AF76BB"/>
    <w:rsid w:val="00AF7C55"/>
    <w:rsid w:val="00B004EC"/>
    <w:rsid w:val="00B00AA7"/>
    <w:rsid w:val="00B02754"/>
    <w:rsid w:val="00B039CD"/>
    <w:rsid w:val="00B0467E"/>
    <w:rsid w:val="00B05DAB"/>
    <w:rsid w:val="00B06B54"/>
    <w:rsid w:val="00B103BF"/>
    <w:rsid w:val="00B10641"/>
    <w:rsid w:val="00B10B75"/>
    <w:rsid w:val="00B1131A"/>
    <w:rsid w:val="00B13EA6"/>
    <w:rsid w:val="00B1503A"/>
    <w:rsid w:val="00B15E8E"/>
    <w:rsid w:val="00B165AD"/>
    <w:rsid w:val="00B16C71"/>
    <w:rsid w:val="00B1700D"/>
    <w:rsid w:val="00B17362"/>
    <w:rsid w:val="00B176C2"/>
    <w:rsid w:val="00B21842"/>
    <w:rsid w:val="00B24A14"/>
    <w:rsid w:val="00B26863"/>
    <w:rsid w:val="00B26F73"/>
    <w:rsid w:val="00B30A17"/>
    <w:rsid w:val="00B32E0E"/>
    <w:rsid w:val="00B350B9"/>
    <w:rsid w:val="00B350CE"/>
    <w:rsid w:val="00B35AB3"/>
    <w:rsid w:val="00B407F7"/>
    <w:rsid w:val="00B44682"/>
    <w:rsid w:val="00B44754"/>
    <w:rsid w:val="00B47CC7"/>
    <w:rsid w:val="00B50BAD"/>
    <w:rsid w:val="00B52530"/>
    <w:rsid w:val="00B5283C"/>
    <w:rsid w:val="00B52B91"/>
    <w:rsid w:val="00B52FDC"/>
    <w:rsid w:val="00B532C0"/>
    <w:rsid w:val="00B536DB"/>
    <w:rsid w:val="00B54E81"/>
    <w:rsid w:val="00B55611"/>
    <w:rsid w:val="00B56085"/>
    <w:rsid w:val="00B604BE"/>
    <w:rsid w:val="00B60FB6"/>
    <w:rsid w:val="00B624D8"/>
    <w:rsid w:val="00B70160"/>
    <w:rsid w:val="00B71AB5"/>
    <w:rsid w:val="00B71DFE"/>
    <w:rsid w:val="00B75425"/>
    <w:rsid w:val="00B75947"/>
    <w:rsid w:val="00B75A58"/>
    <w:rsid w:val="00B76807"/>
    <w:rsid w:val="00B7703E"/>
    <w:rsid w:val="00B77594"/>
    <w:rsid w:val="00B80777"/>
    <w:rsid w:val="00B81BF4"/>
    <w:rsid w:val="00B81F99"/>
    <w:rsid w:val="00B849FE"/>
    <w:rsid w:val="00B84B72"/>
    <w:rsid w:val="00B85B95"/>
    <w:rsid w:val="00B86021"/>
    <w:rsid w:val="00B8734B"/>
    <w:rsid w:val="00B87BAF"/>
    <w:rsid w:val="00B90FAB"/>
    <w:rsid w:val="00B91A4C"/>
    <w:rsid w:val="00B921DF"/>
    <w:rsid w:val="00B93B3A"/>
    <w:rsid w:val="00B9689F"/>
    <w:rsid w:val="00B96E13"/>
    <w:rsid w:val="00BA13A2"/>
    <w:rsid w:val="00BA29D8"/>
    <w:rsid w:val="00BA414A"/>
    <w:rsid w:val="00BA4B49"/>
    <w:rsid w:val="00BA4E63"/>
    <w:rsid w:val="00BA6BDA"/>
    <w:rsid w:val="00BA6DF1"/>
    <w:rsid w:val="00BA7E9F"/>
    <w:rsid w:val="00BB0361"/>
    <w:rsid w:val="00BB139E"/>
    <w:rsid w:val="00BB1E6B"/>
    <w:rsid w:val="00BB32CC"/>
    <w:rsid w:val="00BB3878"/>
    <w:rsid w:val="00BB4691"/>
    <w:rsid w:val="00BB4785"/>
    <w:rsid w:val="00BB492C"/>
    <w:rsid w:val="00BC026E"/>
    <w:rsid w:val="00BC0279"/>
    <w:rsid w:val="00BC135F"/>
    <w:rsid w:val="00BC159D"/>
    <w:rsid w:val="00BC5461"/>
    <w:rsid w:val="00BC54CD"/>
    <w:rsid w:val="00BC5FD7"/>
    <w:rsid w:val="00BC6285"/>
    <w:rsid w:val="00BC66A3"/>
    <w:rsid w:val="00BC6785"/>
    <w:rsid w:val="00BC6C43"/>
    <w:rsid w:val="00BC77BB"/>
    <w:rsid w:val="00BD008D"/>
    <w:rsid w:val="00BD0D8D"/>
    <w:rsid w:val="00BD234F"/>
    <w:rsid w:val="00BD2911"/>
    <w:rsid w:val="00BD44B7"/>
    <w:rsid w:val="00BD4596"/>
    <w:rsid w:val="00BD53DE"/>
    <w:rsid w:val="00BD56C4"/>
    <w:rsid w:val="00BD5970"/>
    <w:rsid w:val="00BD5B6F"/>
    <w:rsid w:val="00BD6471"/>
    <w:rsid w:val="00BD652A"/>
    <w:rsid w:val="00BD673F"/>
    <w:rsid w:val="00BE2988"/>
    <w:rsid w:val="00BE33C3"/>
    <w:rsid w:val="00BE64F6"/>
    <w:rsid w:val="00BE6986"/>
    <w:rsid w:val="00BE74EC"/>
    <w:rsid w:val="00BF0B8C"/>
    <w:rsid w:val="00BF187B"/>
    <w:rsid w:val="00BF1985"/>
    <w:rsid w:val="00BF3253"/>
    <w:rsid w:val="00BF364B"/>
    <w:rsid w:val="00BF45A3"/>
    <w:rsid w:val="00BF5F12"/>
    <w:rsid w:val="00C001FB"/>
    <w:rsid w:val="00C00F91"/>
    <w:rsid w:val="00C011F0"/>
    <w:rsid w:val="00C01562"/>
    <w:rsid w:val="00C018DB"/>
    <w:rsid w:val="00C01BAD"/>
    <w:rsid w:val="00C01E0A"/>
    <w:rsid w:val="00C02284"/>
    <w:rsid w:val="00C036AE"/>
    <w:rsid w:val="00C07151"/>
    <w:rsid w:val="00C10E49"/>
    <w:rsid w:val="00C11695"/>
    <w:rsid w:val="00C14B1E"/>
    <w:rsid w:val="00C14E67"/>
    <w:rsid w:val="00C154C2"/>
    <w:rsid w:val="00C1558A"/>
    <w:rsid w:val="00C17C51"/>
    <w:rsid w:val="00C20ABD"/>
    <w:rsid w:val="00C21312"/>
    <w:rsid w:val="00C219CE"/>
    <w:rsid w:val="00C2374A"/>
    <w:rsid w:val="00C27194"/>
    <w:rsid w:val="00C27E5B"/>
    <w:rsid w:val="00C31091"/>
    <w:rsid w:val="00C31BFB"/>
    <w:rsid w:val="00C31DBE"/>
    <w:rsid w:val="00C330D2"/>
    <w:rsid w:val="00C365AE"/>
    <w:rsid w:val="00C41BBC"/>
    <w:rsid w:val="00C42022"/>
    <w:rsid w:val="00C43D5D"/>
    <w:rsid w:val="00C4555E"/>
    <w:rsid w:val="00C46B49"/>
    <w:rsid w:val="00C47E43"/>
    <w:rsid w:val="00C509FB"/>
    <w:rsid w:val="00C5154D"/>
    <w:rsid w:val="00C5337B"/>
    <w:rsid w:val="00C53580"/>
    <w:rsid w:val="00C54B10"/>
    <w:rsid w:val="00C54C98"/>
    <w:rsid w:val="00C54E01"/>
    <w:rsid w:val="00C55CB8"/>
    <w:rsid w:val="00C56B49"/>
    <w:rsid w:val="00C606D3"/>
    <w:rsid w:val="00C61EF2"/>
    <w:rsid w:val="00C64179"/>
    <w:rsid w:val="00C64C71"/>
    <w:rsid w:val="00C64D05"/>
    <w:rsid w:val="00C64D64"/>
    <w:rsid w:val="00C717EE"/>
    <w:rsid w:val="00C740A9"/>
    <w:rsid w:val="00C743B2"/>
    <w:rsid w:val="00C74E99"/>
    <w:rsid w:val="00C76CC1"/>
    <w:rsid w:val="00C76D6B"/>
    <w:rsid w:val="00C81320"/>
    <w:rsid w:val="00C81E6B"/>
    <w:rsid w:val="00C81F2F"/>
    <w:rsid w:val="00C831B1"/>
    <w:rsid w:val="00C8350C"/>
    <w:rsid w:val="00C8400B"/>
    <w:rsid w:val="00C8452E"/>
    <w:rsid w:val="00C84B5A"/>
    <w:rsid w:val="00C85CAE"/>
    <w:rsid w:val="00C8610E"/>
    <w:rsid w:val="00C86305"/>
    <w:rsid w:val="00C86AC1"/>
    <w:rsid w:val="00C87898"/>
    <w:rsid w:val="00C90402"/>
    <w:rsid w:val="00C90B27"/>
    <w:rsid w:val="00C912A0"/>
    <w:rsid w:val="00C94920"/>
    <w:rsid w:val="00C974F3"/>
    <w:rsid w:val="00C97C2E"/>
    <w:rsid w:val="00CA004A"/>
    <w:rsid w:val="00CA09B1"/>
    <w:rsid w:val="00CA2235"/>
    <w:rsid w:val="00CA3E46"/>
    <w:rsid w:val="00CA6947"/>
    <w:rsid w:val="00CB011A"/>
    <w:rsid w:val="00CB1331"/>
    <w:rsid w:val="00CB37AE"/>
    <w:rsid w:val="00CB406A"/>
    <w:rsid w:val="00CB6E26"/>
    <w:rsid w:val="00CC2A12"/>
    <w:rsid w:val="00CC394A"/>
    <w:rsid w:val="00CC3E31"/>
    <w:rsid w:val="00CC4855"/>
    <w:rsid w:val="00CC5C74"/>
    <w:rsid w:val="00CC7B01"/>
    <w:rsid w:val="00CC7ED7"/>
    <w:rsid w:val="00CD018B"/>
    <w:rsid w:val="00CD38DC"/>
    <w:rsid w:val="00CD5505"/>
    <w:rsid w:val="00CE0327"/>
    <w:rsid w:val="00CE21BF"/>
    <w:rsid w:val="00CE2A51"/>
    <w:rsid w:val="00CE48A5"/>
    <w:rsid w:val="00CE56D6"/>
    <w:rsid w:val="00CE5BAC"/>
    <w:rsid w:val="00CE73E6"/>
    <w:rsid w:val="00CE75FD"/>
    <w:rsid w:val="00CE787C"/>
    <w:rsid w:val="00CF0890"/>
    <w:rsid w:val="00CF0963"/>
    <w:rsid w:val="00CF1DAE"/>
    <w:rsid w:val="00CF215D"/>
    <w:rsid w:val="00CF2236"/>
    <w:rsid w:val="00CF47B2"/>
    <w:rsid w:val="00CF5622"/>
    <w:rsid w:val="00CF7A07"/>
    <w:rsid w:val="00CF7BCF"/>
    <w:rsid w:val="00D01B5B"/>
    <w:rsid w:val="00D01E55"/>
    <w:rsid w:val="00D04867"/>
    <w:rsid w:val="00D049C8"/>
    <w:rsid w:val="00D04F55"/>
    <w:rsid w:val="00D07A81"/>
    <w:rsid w:val="00D11036"/>
    <w:rsid w:val="00D1320B"/>
    <w:rsid w:val="00D133A0"/>
    <w:rsid w:val="00D13D03"/>
    <w:rsid w:val="00D1659B"/>
    <w:rsid w:val="00D169EB"/>
    <w:rsid w:val="00D16CF7"/>
    <w:rsid w:val="00D1779F"/>
    <w:rsid w:val="00D20361"/>
    <w:rsid w:val="00D2043A"/>
    <w:rsid w:val="00D2050B"/>
    <w:rsid w:val="00D23C57"/>
    <w:rsid w:val="00D3043D"/>
    <w:rsid w:val="00D316DF"/>
    <w:rsid w:val="00D326BC"/>
    <w:rsid w:val="00D330FE"/>
    <w:rsid w:val="00D34773"/>
    <w:rsid w:val="00D34DA7"/>
    <w:rsid w:val="00D365C5"/>
    <w:rsid w:val="00D37F01"/>
    <w:rsid w:val="00D37F28"/>
    <w:rsid w:val="00D41765"/>
    <w:rsid w:val="00D4320A"/>
    <w:rsid w:val="00D44739"/>
    <w:rsid w:val="00D46322"/>
    <w:rsid w:val="00D464F8"/>
    <w:rsid w:val="00D47A33"/>
    <w:rsid w:val="00D5187F"/>
    <w:rsid w:val="00D52A9E"/>
    <w:rsid w:val="00D577B4"/>
    <w:rsid w:val="00D57A66"/>
    <w:rsid w:val="00D61933"/>
    <w:rsid w:val="00D6205C"/>
    <w:rsid w:val="00D627AA"/>
    <w:rsid w:val="00D6372F"/>
    <w:rsid w:val="00D64140"/>
    <w:rsid w:val="00D64CAA"/>
    <w:rsid w:val="00D66897"/>
    <w:rsid w:val="00D668D1"/>
    <w:rsid w:val="00D66C33"/>
    <w:rsid w:val="00D670E8"/>
    <w:rsid w:val="00D67A83"/>
    <w:rsid w:val="00D70B85"/>
    <w:rsid w:val="00D71766"/>
    <w:rsid w:val="00D73629"/>
    <w:rsid w:val="00D7672F"/>
    <w:rsid w:val="00D76BA2"/>
    <w:rsid w:val="00D779C4"/>
    <w:rsid w:val="00D82153"/>
    <w:rsid w:val="00D82FBA"/>
    <w:rsid w:val="00D83423"/>
    <w:rsid w:val="00D8585A"/>
    <w:rsid w:val="00D86319"/>
    <w:rsid w:val="00D877A5"/>
    <w:rsid w:val="00D90CC6"/>
    <w:rsid w:val="00D9265A"/>
    <w:rsid w:val="00D92B89"/>
    <w:rsid w:val="00D943A6"/>
    <w:rsid w:val="00D95E56"/>
    <w:rsid w:val="00D95F63"/>
    <w:rsid w:val="00D971B5"/>
    <w:rsid w:val="00D97691"/>
    <w:rsid w:val="00D97FFA"/>
    <w:rsid w:val="00DA291C"/>
    <w:rsid w:val="00DA43BD"/>
    <w:rsid w:val="00DA5F9D"/>
    <w:rsid w:val="00DB0F2B"/>
    <w:rsid w:val="00DB19FF"/>
    <w:rsid w:val="00DB2DB5"/>
    <w:rsid w:val="00DB366D"/>
    <w:rsid w:val="00DB6749"/>
    <w:rsid w:val="00DC0581"/>
    <w:rsid w:val="00DC1189"/>
    <w:rsid w:val="00DC2668"/>
    <w:rsid w:val="00DC341B"/>
    <w:rsid w:val="00DC40DD"/>
    <w:rsid w:val="00DC5475"/>
    <w:rsid w:val="00DC6766"/>
    <w:rsid w:val="00DC79E3"/>
    <w:rsid w:val="00DC7A17"/>
    <w:rsid w:val="00DD019F"/>
    <w:rsid w:val="00DD0689"/>
    <w:rsid w:val="00DD2B64"/>
    <w:rsid w:val="00DD623A"/>
    <w:rsid w:val="00DD637E"/>
    <w:rsid w:val="00DE06C8"/>
    <w:rsid w:val="00DE096B"/>
    <w:rsid w:val="00DE0A9D"/>
    <w:rsid w:val="00DE0F42"/>
    <w:rsid w:val="00DE4E23"/>
    <w:rsid w:val="00DE7892"/>
    <w:rsid w:val="00DF020B"/>
    <w:rsid w:val="00DF03EC"/>
    <w:rsid w:val="00DF0C86"/>
    <w:rsid w:val="00DF212C"/>
    <w:rsid w:val="00DF2E2B"/>
    <w:rsid w:val="00DF2E9F"/>
    <w:rsid w:val="00DF64B9"/>
    <w:rsid w:val="00DF78FC"/>
    <w:rsid w:val="00E006B7"/>
    <w:rsid w:val="00E0088A"/>
    <w:rsid w:val="00E01C3E"/>
    <w:rsid w:val="00E02571"/>
    <w:rsid w:val="00E0257D"/>
    <w:rsid w:val="00E03253"/>
    <w:rsid w:val="00E04338"/>
    <w:rsid w:val="00E0445F"/>
    <w:rsid w:val="00E0518E"/>
    <w:rsid w:val="00E0735B"/>
    <w:rsid w:val="00E074ED"/>
    <w:rsid w:val="00E078CB"/>
    <w:rsid w:val="00E1068E"/>
    <w:rsid w:val="00E11CE3"/>
    <w:rsid w:val="00E1301C"/>
    <w:rsid w:val="00E13E0C"/>
    <w:rsid w:val="00E159BB"/>
    <w:rsid w:val="00E17868"/>
    <w:rsid w:val="00E20825"/>
    <w:rsid w:val="00E20DE6"/>
    <w:rsid w:val="00E21563"/>
    <w:rsid w:val="00E22CE7"/>
    <w:rsid w:val="00E24BC7"/>
    <w:rsid w:val="00E27D62"/>
    <w:rsid w:val="00E27D85"/>
    <w:rsid w:val="00E3053F"/>
    <w:rsid w:val="00E35715"/>
    <w:rsid w:val="00E36DC7"/>
    <w:rsid w:val="00E36F09"/>
    <w:rsid w:val="00E36F5A"/>
    <w:rsid w:val="00E40FB6"/>
    <w:rsid w:val="00E428F1"/>
    <w:rsid w:val="00E43762"/>
    <w:rsid w:val="00E43B55"/>
    <w:rsid w:val="00E43EDB"/>
    <w:rsid w:val="00E45E4F"/>
    <w:rsid w:val="00E46B76"/>
    <w:rsid w:val="00E50365"/>
    <w:rsid w:val="00E5100E"/>
    <w:rsid w:val="00E51090"/>
    <w:rsid w:val="00E51322"/>
    <w:rsid w:val="00E53A20"/>
    <w:rsid w:val="00E53F77"/>
    <w:rsid w:val="00E5435E"/>
    <w:rsid w:val="00E54513"/>
    <w:rsid w:val="00E55A83"/>
    <w:rsid w:val="00E56E55"/>
    <w:rsid w:val="00E60541"/>
    <w:rsid w:val="00E610B7"/>
    <w:rsid w:val="00E610B9"/>
    <w:rsid w:val="00E617C4"/>
    <w:rsid w:val="00E6393E"/>
    <w:rsid w:val="00E64135"/>
    <w:rsid w:val="00E66444"/>
    <w:rsid w:val="00E70353"/>
    <w:rsid w:val="00E71517"/>
    <w:rsid w:val="00E727F1"/>
    <w:rsid w:val="00E72C5A"/>
    <w:rsid w:val="00E7345F"/>
    <w:rsid w:val="00E74D19"/>
    <w:rsid w:val="00E75131"/>
    <w:rsid w:val="00E8072D"/>
    <w:rsid w:val="00E80D9B"/>
    <w:rsid w:val="00E82319"/>
    <w:rsid w:val="00E8277D"/>
    <w:rsid w:val="00E83128"/>
    <w:rsid w:val="00E83D26"/>
    <w:rsid w:val="00E85E2C"/>
    <w:rsid w:val="00E87E8B"/>
    <w:rsid w:val="00E92B9B"/>
    <w:rsid w:val="00E93E81"/>
    <w:rsid w:val="00E97C1F"/>
    <w:rsid w:val="00EA01CF"/>
    <w:rsid w:val="00EA16DF"/>
    <w:rsid w:val="00EA17EC"/>
    <w:rsid w:val="00EA1D7C"/>
    <w:rsid w:val="00EA1E35"/>
    <w:rsid w:val="00EA4B89"/>
    <w:rsid w:val="00EA4F8A"/>
    <w:rsid w:val="00EA5B55"/>
    <w:rsid w:val="00EA75AC"/>
    <w:rsid w:val="00EB066F"/>
    <w:rsid w:val="00EB0B0B"/>
    <w:rsid w:val="00EB0FD4"/>
    <w:rsid w:val="00EB1DDF"/>
    <w:rsid w:val="00EB2988"/>
    <w:rsid w:val="00EB5624"/>
    <w:rsid w:val="00EC097D"/>
    <w:rsid w:val="00EC17B3"/>
    <w:rsid w:val="00EC2302"/>
    <w:rsid w:val="00EC334B"/>
    <w:rsid w:val="00EC3948"/>
    <w:rsid w:val="00EC4204"/>
    <w:rsid w:val="00EC5E8C"/>
    <w:rsid w:val="00EC75EB"/>
    <w:rsid w:val="00ED0119"/>
    <w:rsid w:val="00ED0F85"/>
    <w:rsid w:val="00ED120B"/>
    <w:rsid w:val="00ED1760"/>
    <w:rsid w:val="00ED36CD"/>
    <w:rsid w:val="00ED3869"/>
    <w:rsid w:val="00ED601E"/>
    <w:rsid w:val="00ED6A9C"/>
    <w:rsid w:val="00EE0F75"/>
    <w:rsid w:val="00EE1DA2"/>
    <w:rsid w:val="00EE39C7"/>
    <w:rsid w:val="00EE44A8"/>
    <w:rsid w:val="00EE543A"/>
    <w:rsid w:val="00EE5D5F"/>
    <w:rsid w:val="00EE6939"/>
    <w:rsid w:val="00EE7015"/>
    <w:rsid w:val="00EF1BA2"/>
    <w:rsid w:val="00EF3382"/>
    <w:rsid w:val="00EF55A7"/>
    <w:rsid w:val="00EF5ED2"/>
    <w:rsid w:val="00EF6A4C"/>
    <w:rsid w:val="00EF6A58"/>
    <w:rsid w:val="00EF7770"/>
    <w:rsid w:val="00F01800"/>
    <w:rsid w:val="00F04AD0"/>
    <w:rsid w:val="00F05730"/>
    <w:rsid w:val="00F10372"/>
    <w:rsid w:val="00F11CE3"/>
    <w:rsid w:val="00F12ADB"/>
    <w:rsid w:val="00F14D56"/>
    <w:rsid w:val="00F1786C"/>
    <w:rsid w:val="00F2002E"/>
    <w:rsid w:val="00F202E5"/>
    <w:rsid w:val="00F20E81"/>
    <w:rsid w:val="00F2144B"/>
    <w:rsid w:val="00F220D0"/>
    <w:rsid w:val="00F23078"/>
    <w:rsid w:val="00F2319A"/>
    <w:rsid w:val="00F23524"/>
    <w:rsid w:val="00F24F34"/>
    <w:rsid w:val="00F24F6C"/>
    <w:rsid w:val="00F25D59"/>
    <w:rsid w:val="00F26B0B"/>
    <w:rsid w:val="00F26E66"/>
    <w:rsid w:val="00F3048A"/>
    <w:rsid w:val="00F3134A"/>
    <w:rsid w:val="00F365BB"/>
    <w:rsid w:val="00F434B1"/>
    <w:rsid w:val="00F456A0"/>
    <w:rsid w:val="00F45AFE"/>
    <w:rsid w:val="00F50B2F"/>
    <w:rsid w:val="00F51D89"/>
    <w:rsid w:val="00F53636"/>
    <w:rsid w:val="00F57456"/>
    <w:rsid w:val="00F60238"/>
    <w:rsid w:val="00F6064F"/>
    <w:rsid w:val="00F60C13"/>
    <w:rsid w:val="00F62607"/>
    <w:rsid w:val="00F645A1"/>
    <w:rsid w:val="00F65A1E"/>
    <w:rsid w:val="00F66BF0"/>
    <w:rsid w:val="00F7094D"/>
    <w:rsid w:val="00F70D9F"/>
    <w:rsid w:val="00F71FFE"/>
    <w:rsid w:val="00F75331"/>
    <w:rsid w:val="00F77514"/>
    <w:rsid w:val="00F804E9"/>
    <w:rsid w:val="00F80D07"/>
    <w:rsid w:val="00F81E37"/>
    <w:rsid w:val="00F84D36"/>
    <w:rsid w:val="00F854D3"/>
    <w:rsid w:val="00F859A9"/>
    <w:rsid w:val="00F90433"/>
    <w:rsid w:val="00F932C6"/>
    <w:rsid w:val="00F93452"/>
    <w:rsid w:val="00F94A44"/>
    <w:rsid w:val="00F95C11"/>
    <w:rsid w:val="00F96F90"/>
    <w:rsid w:val="00F9768F"/>
    <w:rsid w:val="00F97AC0"/>
    <w:rsid w:val="00FA03E4"/>
    <w:rsid w:val="00FA181E"/>
    <w:rsid w:val="00FA29C1"/>
    <w:rsid w:val="00FA318A"/>
    <w:rsid w:val="00FA341E"/>
    <w:rsid w:val="00FA390E"/>
    <w:rsid w:val="00FA43EB"/>
    <w:rsid w:val="00FA59C9"/>
    <w:rsid w:val="00FA5B63"/>
    <w:rsid w:val="00FB25AF"/>
    <w:rsid w:val="00FB3AD9"/>
    <w:rsid w:val="00FB5B7D"/>
    <w:rsid w:val="00FB7AEB"/>
    <w:rsid w:val="00FB7EFD"/>
    <w:rsid w:val="00FC18F4"/>
    <w:rsid w:val="00FC1B8E"/>
    <w:rsid w:val="00FC280B"/>
    <w:rsid w:val="00FC3137"/>
    <w:rsid w:val="00FC38AD"/>
    <w:rsid w:val="00FC4AB3"/>
    <w:rsid w:val="00FC4DC0"/>
    <w:rsid w:val="00FC5942"/>
    <w:rsid w:val="00FC6D8D"/>
    <w:rsid w:val="00FC7C4A"/>
    <w:rsid w:val="00FC7F6B"/>
    <w:rsid w:val="00FD0A4A"/>
    <w:rsid w:val="00FD0E27"/>
    <w:rsid w:val="00FD153A"/>
    <w:rsid w:val="00FD4666"/>
    <w:rsid w:val="00FD6722"/>
    <w:rsid w:val="00FE0989"/>
    <w:rsid w:val="00FE2213"/>
    <w:rsid w:val="00FE2FE2"/>
    <w:rsid w:val="00FE335C"/>
    <w:rsid w:val="00FE3B31"/>
    <w:rsid w:val="00FE51F3"/>
    <w:rsid w:val="00FE795F"/>
    <w:rsid w:val="00FF0378"/>
    <w:rsid w:val="00FF0B77"/>
    <w:rsid w:val="00FF21B2"/>
    <w:rsid w:val="00FF2F3E"/>
    <w:rsid w:val="00FF3AF5"/>
    <w:rsid w:val="00FF42B8"/>
    <w:rsid w:val="00FF5043"/>
    <w:rsid w:val="00FF609A"/>
    <w:rsid w:val="00FF6479"/>
    <w:rsid w:val="00FF71B1"/>
    <w:rsid w:val="00FF7874"/>
    <w:rsid w:val="00FF7E59"/>
    <w:rsid w:val="013D5356"/>
    <w:rsid w:val="0179546C"/>
    <w:rsid w:val="01843116"/>
    <w:rsid w:val="0187402D"/>
    <w:rsid w:val="018A4F57"/>
    <w:rsid w:val="01983185"/>
    <w:rsid w:val="01BD7D27"/>
    <w:rsid w:val="01FD54CC"/>
    <w:rsid w:val="02090084"/>
    <w:rsid w:val="02127B69"/>
    <w:rsid w:val="021F21CB"/>
    <w:rsid w:val="02522287"/>
    <w:rsid w:val="026A2C59"/>
    <w:rsid w:val="02736474"/>
    <w:rsid w:val="0292410F"/>
    <w:rsid w:val="02B73DE4"/>
    <w:rsid w:val="02BF1380"/>
    <w:rsid w:val="02BF3686"/>
    <w:rsid w:val="02E244CB"/>
    <w:rsid w:val="033824E2"/>
    <w:rsid w:val="03535583"/>
    <w:rsid w:val="0386328C"/>
    <w:rsid w:val="038E7FBF"/>
    <w:rsid w:val="03941DB0"/>
    <w:rsid w:val="039C4506"/>
    <w:rsid w:val="03A37BE3"/>
    <w:rsid w:val="03C75AA8"/>
    <w:rsid w:val="03E91889"/>
    <w:rsid w:val="04116C0E"/>
    <w:rsid w:val="04164029"/>
    <w:rsid w:val="042A6661"/>
    <w:rsid w:val="04545127"/>
    <w:rsid w:val="04550089"/>
    <w:rsid w:val="046B4326"/>
    <w:rsid w:val="047D2910"/>
    <w:rsid w:val="048679A8"/>
    <w:rsid w:val="049F51EA"/>
    <w:rsid w:val="04A95A05"/>
    <w:rsid w:val="04B23569"/>
    <w:rsid w:val="04CE1491"/>
    <w:rsid w:val="04D37589"/>
    <w:rsid w:val="04E535F6"/>
    <w:rsid w:val="050D0576"/>
    <w:rsid w:val="052067AA"/>
    <w:rsid w:val="053B4597"/>
    <w:rsid w:val="05461A5F"/>
    <w:rsid w:val="056B7929"/>
    <w:rsid w:val="058E52FF"/>
    <w:rsid w:val="059F3AA1"/>
    <w:rsid w:val="05C415E4"/>
    <w:rsid w:val="05E877AA"/>
    <w:rsid w:val="05FD7C31"/>
    <w:rsid w:val="06021ED4"/>
    <w:rsid w:val="06180CB3"/>
    <w:rsid w:val="062160D7"/>
    <w:rsid w:val="063E3000"/>
    <w:rsid w:val="0645061C"/>
    <w:rsid w:val="0649157F"/>
    <w:rsid w:val="06565A9C"/>
    <w:rsid w:val="0695591B"/>
    <w:rsid w:val="069C7396"/>
    <w:rsid w:val="06B94976"/>
    <w:rsid w:val="06C2303F"/>
    <w:rsid w:val="06E15F8D"/>
    <w:rsid w:val="06E7038C"/>
    <w:rsid w:val="06F0576A"/>
    <w:rsid w:val="06FF3E0B"/>
    <w:rsid w:val="070E4F6C"/>
    <w:rsid w:val="07246D24"/>
    <w:rsid w:val="0731101D"/>
    <w:rsid w:val="073A60AF"/>
    <w:rsid w:val="074D7010"/>
    <w:rsid w:val="075600FE"/>
    <w:rsid w:val="076C4756"/>
    <w:rsid w:val="07A501F9"/>
    <w:rsid w:val="07C83E08"/>
    <w:rsid w:val="07D575A1"/>
    <w:rsid w:val="07F1421A"/>
    <w:rsid w:val="07F72623"/>
    <w:rsid w:val="07FB307F"/>
    <w:rsid w:val="08061D5F"/>
    <w:rsid w:val="08067297"/>
    <w:rsid w:val="082302D3"/>
    <w:rsid w:val="08305F2A"/>
    <w:rsid w:val="08321F06"/>
    <w:rsid w:val="085031B9"/>
    <w:rsid w:val="087B6E62"/>
    <w:rsid w:val="08B00C86"/>
    <w:rsid w:val="08B35707"/>
    <w:rsid w:val="08B6149A"/>
    <w:rsid w:val="08C554A9"/>
    <w:rsid w:val="08D3523B"/>
    <w:rsid w:val="08D35E10"/>
    <w:rsid w:val="08E27D9B"/>
    <w:rsid w:val="08E9382E"/>
    <w:rsid w:val="08ED1673"/>
    <w:rsid w:val="08FB042A"/>
    <w:rsid w:val="0918732E"/>
    <w:rsid w:val="094129F4"/>
    <w:rsid w:val="094D7FC5"/>
    <w:rsid w:val="09562B0F"/>
    <w:rsid w:val="095964E2"/>
    <w:rsid w:val="09600A00"/>
    <w:rsid w:val="097754BF"/>
    <w:rsid w:val="099B4C53"/>
    <w:rsid w:val="09BC3A97"/>
    <w:rsid w:val="09F10F37"/>
    <w:rsid w:val="09F23F9A"/>
    <w:rsid w:val="09F62F44"/>
    <w:rsid w:val="0A594804"/>
    <w:rsid w:val="0A754C0C"/>
    <w:rsid w:val="0A791C04"/>
    <w:rsid w:val="0A8A6812"/>
    <w:rsid w:val="0AAF115F"/>
    <w:rsid w:val="0ADB57E1"/>
    <w:rsid w:val="0B0B282B"/>
    <w:rsid w:val="0B160802"/>
    <w:rsid w:val="0B5A254F"/>
    <w:rsid w:val="0B862BF1"/>
    <w:rsid w:val="0B8F3F47"/>
    <w:rsid w:val="0BA510F7"/>
    <w:rsid w:val="0BAD643E"/>
    <w:rsid w:val="0BF60F25"/>
    <w:rsid w:val="0BFF7E0E"/>
    <w:rsid w:val="0C516D5F"/>
    <w:rsid w:val="0C8C27F0"/>
    <w:rsid w:val="0C974D85"/>
    <w:rsid w:val="0C9E7058"/>
    <w:rsid w:val="0CA27A2A"/>
    <w:rsid w:val="0CA80EDB"/>
    <w:rsid w:val="0CB27A35"/>
    <w:rsid w:val="0CD427B5"/>
    <w:rsid w:val="0CF322CC"/>
    <w:rsid w:val="0D194389"/>
    <w:rsid w:val="0D5A6BCC"/>
    <w:rsid w:val="0D63404E"/>
    <w:rsid w:val="0DC84908"/>
    <w:rsid w:val="0DDB4F2F"/>
    <w:rsid w:val="0DE45B06"/>
    <w:rsid w:val="0E0A460C"/>
    <w:rsid w:val="0E313B61"/>
    <w:rsid w:val="0E4630CE"/>
    <w:rsid w:val="0E4D22AD"/>
    <w:rsid w:val="0E5E4367"/>
    <w:rsid w:val="0EBD108E"/>
    <w:rsid w:val="0EC3028D"/>
    <w:rsid w:val="0EDE4D37"/>
    <w:rsid w:val="0EEE0F78"/>
    <w:rsid w:val="0EF64A82"/>
    <w:rsid w:val="0EFD7907"/>
    <w:rsid w:val="0F20786F"/>
    <w:rsid w:val="0F3A015A"/>
    <w:rsid w:val="0F520E23"/>
    <w:rsid w:val="0F5F5EA6"/>
    <w:rsid w:val="0F601A19"/>
    <w:rsid w:val="0F7145C5"/>
    <w:rsid w:val="0F792F82"/>
    <w:rsid w:val="0F863E55"/>
    <w:rsid w:val="0F8C7FED"/>
    <w:rsid w:val="0F8D6860"/>
    <w:rsid w:val="0FA43FFC"/>
    <w:rsid w:val="0FB071BD"/>
    <w:rsid w:val="0FD109F9"/>
    <w:rsid w:val="0FDE3A65"/>
    <w:rsid w:val="10146A16"/>
    <w:rsid w:val="102D290F"/>
    <w:rsid w:val="10394744"/>
    <w:rsid w:val="105279D7"/>
    <w:rsid w:val="105E00D4"/>
    <w:rsid w:val="108B2511"/>
    <w:rsid w:val="10B744D7"/>
    <w:rsid w:val="10BF3EB5"/>
    <w:rsid w:val="10CC55B8"/>
    <w:rsid w:val="11243E11"/>
    <w:rsid w:val="113736DE"/>
    <w:rsid w:val="118C1C0A"/>
    <w:rsid w:val="11A86AE9"/>
    <w:rsid w:val="11B36DBC"/>
    <w:rsid w:val="11E727C2"/>
    <w:rsid w:val="11E90537"/>
    <w:rsid w:val="12292FC5"/>
    <w:rsid w:val="12917841"/>
    <w:rsid w:val="12966DDC"/>
    <w:rsid w:val="131A6A04"/>
    <w:rsid w:val="13436236"/>
    <w:rsid w:val="135C63F5"/>
    <w:rsid w:val="136629A8"/>
    <w:rsid w:val="13697AF1"/>
    <w:rsid w:val="13954884"/>
    <w:rsid w:val="1399426B"/>
    <w:rsid w:val="13C74AF8"/>
    <w:rsid w:val="13CF1CC0"/>
    <w:rsid w:val="13F60382"/>
    <w:rsid w:val="140E2F18"/>
    <w:rsid w:val="142160F5"/>
    <w:rsid w:val="142C32D6"/>
    <w:rsid w:val="144B2F42"/>
    <w:rsid w:val="14552870"/>
    <w:rsid w:val="14760482"/>
    <w:rsid w:val="14864D69"/>
    <w:rsid w:val="14885D40"/>
    <w:rsid w:val="148E7407"/>
    <w:rsid w:val="14A0634C"/>
    <w:rsid w:val="14AE56AA"/>
    <w:rsid w:val="14B2739B"/>
    <w:rsid w:val="14E330A5"/>
    <w:rsid w:val="14E3669A"/>
    <w:rsid w:val="14FF6E1C"/>
    <w:rsid w:val="150B7466"/>
    <w:rsid w:val="153B0862"/>
    <w:rsid w:val="15420B09"/>
    <w:rsid w:val="15757273"/>
    <w:rsid w:val="15A5428F"/>
    <w:rsid w:val="15B64451"/>
    <w:rsid w:val="15BC0E4A"/>
    <w:rsid w:val="15EE2D6F"/>
    <w:rsid w:val="160E37B1"/>
    <w:rsid w:val="163B0AEA"/>
    <w:rsid w:val="16512796"/>
    <w:rsid w:val="165553CB"/>
    <w:rsid w:val="167B1F9D"/>
    <w:rsid w:val="17073F69"/>
    <w:rsid w:val="170C12DB"/>
    <w:rsid w:val="171C3D8F"/>
    <w:rsid w:val="1770585C"/>
    <w:rsid w:val="17A66465"/>
    <w:rsid w:val="17CA4BE7"/>
    <w:rsid w:val="18114336"/>
    <w:rsid w:val="18370931"/>
    <w:rsid w:val="185C4624"/>
    <w:rsid w:val="189351C0"/>
    <w:rsid w:val="18A35753"/>
    <w:rsid w:val="18AF217D"/>
    <w:rsid w:val="18BB07EA"/>
    <w:rsid w:val="18E544DC"/>
    <w:rsid w:val="18F733EE"/>
    <w:rsid w:val="18F76C3C"/>
    <w:rsid w:val="190F6B97"/>
    <w:rsid w:val="192F2A37"/>
    <w:rsid w:val="194E081D"/>
    <w:rsid w:val="195A1BA2"/>
    <w:rsid w:val="197147C2"/>
    <w:rsid w:val="1971679C"/>
    <w:rsid w:val="1977052C"/>
    <w:rsid w:val="19864C34"/>
    <w:rsid w:val="198C6843"/>
    <w:rsid w:val="19920B8C"/>
    <w:rsid w:val="19C03673"/>
    <w:rsid w:val="19EA3DA2"/>
    <w:rsid w:val="19EE693D"/>
    <w:rsid w:val="19F376CF"/>
    <w:rsid w:val="19F37E6B"/>
    <w:rsid w:val="19F83306"/>
    <w:rsid w:val="1A0A60C2"/>
    <w:rsid w:val="1A0E60F1"/>
    <w:rsid w:val="1A313DE6"/>
    <w:rsid w:val="1A4B0C6D"/>
    <w:rsid w:val="1A557EA9"/>
    <w:rsid w:val="1A560A74"/>
    <w:rsid w:val="1A5A2AF5"/>
    <w:rsid w:val="1A5F6B6D"/>
    <w:rsid w:val="1A650571"/>
    <w:rsid w:val="1A9E3960"/>
    <w:rsid w:val="1A9F78BC"/>
    <w:rsid w:val="1AAC4F7F"/>
    <w:rsid w:val="1ABF7F3C"/>
    <w:rsid w:val="1AC01C85"/>
    <w:rsid w:val="1AE6395B"/>
    <w:rsid w:val="1AF569AC"/>
    <w:rsid w:val="1B236D92"/>
    <w:rsid w:val="1B28788F"/>
    <w:rsid w:val="1B2D4036"/>
    <w:rsid w:val="1B3351F2"/>
    <w:rsid w:val="1B480E06"/>
    <w:rsid w:val="1B7050DE"/>
    <w:rsid w:val="1B7A3213"/>
    <w:rsid w:val="1B8C10FD"/>
    <w:rsid w:val="1BA46EB4"/>
    <w:rsid w:val="1BAF74BC"/>
    <w:rsid w:val="1BC92791"/>
    <w:rsid w:val="1BD14CC5"/>
    <w:rsid w:val="1BDA1DBC"/>
    <w:rsid w:val="1BDF3DB9"/>
    <w:rsid w:val="1C0254A1"/>
    <w:rsid w:val="1C1D2200"/>
    <w:rsid w:val="1C325236"/>
    <w:rsid w:val="1C3B2A19"/>
    <w:rsid w:val="1C5B5A42"/>
    <w:rsid w:val="1C660DC8"/>
    <w:rsid w:val="1C6E0D10"/>
    <w:rsid w:val="1C813221"/>
    <w:rsid w:val="1CAF0084"/>
    <w:rsid w:val="1CB17BD6"/>
    <w:rsid w:val="1CCD68DE"/>
    <w:rsid w:val="1CE44F57"/>
    <w:rsid w:val="1D2C40BC"/>
    <w:rsid w:val="1D2D4A72"/>
    <w:rsid w:val="1D35195F"/>
    <w:rsid w:val="1D787598"/>
    <w:rsid w:val="1D816EC4"/>
    <w:rsid w:val="1DD22FF8"/>
    <w:rsid w:val="1DD86181"/>
    <w:rsid w:val="1DE04F9C"/>
    <w:rsid w:val="1DEE79CD"/>
    <w:rsid w:val="1E1C3B49"/>
    <w:rsid w:val="1E2D50D3"/>
    <w:rsid w:val="1E360FD4"/>
    <w:rsid w:val="1E373D38"/>
    <w:rsid w:val="1E375BC4"/>
    <w:rsid w:val="1E4C1C72"/>
    <w:rsid w:val="1E5035C9"/>
    <w:rsid w:val="1E6937E9"/>
    <w:rsid w:val="1E6C71A2"/>
    <w:rsid w:val="1E7D2811"/>
    <w:rsid w:val="1E8739F7"/>
    <w:rsid w:val="1EA02023"/>
    <w:rsid w:val="1EFF25E3"/>
    <w:rsid w:val="1EFF50C8"/>
    <w:rsid w:val="1F2E38E2"/>
    <w:rsid w:val="1F5A76B5"/>
    <w:rsid w:val="1F931F60"/>
    <w:rsid w:val="1F9E54A3"/>
    <w:rsid w:val="1FA91497"/>
    <w:rsid w:val="1FB91CA9"/>
    <w:rsid w:val="1FDA047C"/>
    <w:rsid w:val="2017128B"/>
    <w:rsid w:val="20296826"/>
    <w:rsid w:val="20484530"/>
    <w:rsid w:val="205F0602"/>
    <w:rsid w:val="207F7967"/>
    <w:rsid w:val="20830C22"/>
    <w:rsid w:val="20B17F0B"/>
    <w:rsid w:val="20BF0C96"/>
    <w:rsid w:val="211F34E2"/>
    <w:rsid w:val="21236BC2"/>
    <w:rsid w:val="21514E74"/>
    <w:rsid w:val="215E2205"/>
    <w:rsid w:val="216D6133"/>
    <w:rsid w:val="216F38C0"/>
    <w:rsid w:val="21B51E7F"/>
    <w:rsid w:val="21BE3F0E"/>
    <w:rsid w:val="21CC02B1"/>
    <w:rsid w:val="21E16269"/>
    <w:rsid w:val="21E9727C"/>
    <w:rsid w:val="220A7870"/>
    <w:rsid w:val="221855F1"/>
    <w:rsid w:val="222B21CE"/>
    <w:rsid w:val="22812CEF"/>
    <w:rsid w:val="229B2331"/>
    <w:rsid w:val="22A820D7"/>
    <w:rsid w:val="22C028DA"/>
    <w:rsid w:val="22D81547"/>
    <w:rsid w:val="22D95695"/>
    <w:rsid w:val="22EB3FC4"/>
    <w:rsid w:val="233B4B49"/>
    <w:rsid w:val="234C72EB"/>
    <w:rsid w:val="2358517A"/>
    <w:rsid w:val="23667AC3"/>
    <w:rsid w:val="236D4493"/>
    <w:rsid w:val="236E2B1E"/>
    <w:rsid w:val="23903F77"/>
    <w:rsid w:val="23C077AD"/>
    <w:rsid w:val="23CA6420"/>
    <w:rsid w:val="23E17175"/>
    <w:rsid w:val="24097C1C"/>
    <w:rsid w:val="241B0F70"/>
    <w:rsid w:val="242A6985"/>
    <w:rsid w:val="24592465"/>
    <w:rsid w:val="24791B92"/>
    <w:rsid w:val="249208B2"/>
    <w:rsid w:val="249D7261"/>
    <w:rsid w:val="24BB53EF"/>
    <w:rsid w:val="24D241D2"/>
    <w:rsid w:val="24EF54A0"/>
    <w:rsid w:val="250512FD"/>
    <w:rsid w:val="25194A5C"/>
    <w:rsid w:val="25866532"/>
    <w:rsid w:val="25877BBA"/>
    <w:rsid w:val="25934109"/>
    <w:rsid w:val="25936D44"/>
    <w:rsid w:val="25AD43EA"/>
    <w:rsid w:val="25E01A34"/>
    <w:rsid w:val="25ED7AEB"/>
    <w:rsid w:val="25F512AB"/>
    <w:rsid w:val="25F84C24"/>
    <w:rsid w:val="26025E06"/>
    <w:rsid w:val="26036F09"/>
    <w:rsid w:val="263D7E5C"/>
    <w:rsid w:val="26447E4F"/>
    <w:rsid w:val="26687898"/>
    <w:rsid w:val="267B4E6B"/>
    <w:rsid w:val="26B64734"/>
    <w:rsid w:val="26D015D7"/>
    <w:rsid w:val="26FD1D22"/>
    <w:rsid w:val="27280A67"/>
    <w:rsid w:val="27285DCA"/>
    <w:rsid w:val="2751053F"/>
    <w:rsid w:val="275C58D3"/>
    <w:rsid w:val="27873B46"/>
    <w:rsid w:val="278B27FF"/>
    <w:rsid w:val="27991796"/>
    <w:rsid w:val="27B25B0D"/>
    <w:rsid w:val="27B70C2A"/>
    <w:rsid w:val="27EA7A42"/>
    <w:rsid w:val="27ED3441"/>
    <w:rsid w:val="28061FC4"/>
    <w:rsid w:val="280B28CE"/>
    <w:rsid w:val="28357908"/>
    <w:rsid w:val="28457327"/>
    <w:rsid w:val="28640890"/>
    <w:rsid w:val="28664C9C"/>
    <w:rsid w:val="287340BB"/>
    <w:rsid w:val="289704A1"/>
    <w:rsid w:val="289F4BF8"/>
    <w:rsid w:val="28A77663"/>
    <w:rsid w:val="28AE5E1B"/>
    <w:rsid w:val="28C531F1"/>
    <w:rsid w:val="28C71D83"/>
    <w:rsid w:val="28E2559D"/>
    <w:rsid w:val="28E62DE7"/>
    <w:rsid w:val="28E95EDE"/>
    <w:rsid w:val="28EB5D2E"/>
    <w:rsid w:val="28FC6E01"/>
    <w:rsid w:val="290273FA"/>
    <w:rsid w:val="293E0317"/>
    <w:rsid w:val="294004D0"/>
    <w:rsid w:val="294233AE"/>
    <w:rsid w:val="29A048E9"/>
    <w:rsid w:val="29A66976"/>
    <w:rsid w:val="29B92B01"/>
    <w:rsid w:val="29F32E8B"/>
    <w:rsid w:val="2A0E3BE9"/>
    <w:rsid w:val="2A2228BC"/>
    <w:rsid w:val="2A2262EC"/>
    <w:rsid w:val="2A300D49"/>
    <w:rsid w:val="2A32302A"/>
    <w:rsid w:val="2A3901D7"/>
    <w:rsid w:val="2A503D3F"/>
    <w:rsid w:val="2A5105F0"/>
    <w:rsid w:val="2A545AE6"/>
    <w:rsid w:val="2AA51EB7"/>
    <w:rsid w:val="2ABF12E3"/>
    <w:rsid w:val="2AD43EFD"/>
    <w:rsid w:val="2AE3437A"/>
    <w:rsid w:val="2AFE3FE9"/>
    <w:rsid w:val="2B21066A"/>
    <w:rsid w:val="2B46786F"/>
    <w:rsid w:val="2B7E7DCE"/>
    <w:rsid w:val="2B8510AC"/>
    <w:rsid w:val="2BAE2D67"/>
    <w:rsid w:val="2BB266CA"/>
    <w:rsid w:val="2C1C0177"/>
    <w:rsid w:val="2C1C061C"/>
    <w:rsid w:val="2C204EB7"/>
    <w:rsid w:val="2C221680"/>
    <w:rsid w:val="2C384BBA"/>
    <w:rsid w:val="2C5466C5"/>
    <w:rsid w:val="2C5477BC"/>
    <w:rsid w:val="2C5C0326"/>
    <w:rsid w:val="2C63168F"/>
    <w:rsid w:val="2C6929C6"/>
    <w:rsid w:val="2C7B6205"/>
    <w:rsid w:val="2CBB0E49"/>
    <w:rsid w:val="2D060A75"/>
    <w:rsid w:val="2D1B668B"/>
    <w:rsid w:val="2D4F6EFD"/>
    <w:rsid w:val="2D8802E1"/>
    <w:rsid w:val="2DA80A8A"/>
    <w:rsid w:val="2DAD7BF1"/>
    <w:rsid w:val="2DB269A2"/>
    <w:rsid w:val="2DB87369"/>
    <w:rsid w:val="2DC61C36"/>
    <w:rsid w:val="2DEF06E0"/>
    <w:rsid w:val="2DFE7E26"/>
    <w:rsid w:val="2E0201BD"/>
    <w:rsid w:val="2E234341"/>
    <w:rsid w:val="2E3E07E3"/>
    <w:rsid w:val="2E3F3674"/>
    <w:rsid w:val="2E592FB4"/>
    <w:rsid w:val="2E61296A"/>
    <w:rsid w:val="2E843C83"/>
    <w:rsid w:val="2ED35929"/>
    <w:rsid w:val="2EE30D84"/>
    <w:rsid w:val="2F170F93"/>
    <w:rsid w:val="2F2913F8"/>
    <w:rsid w:val="2F2C396E"/>
    <w:rsid w:val="2F32603F"/>
    <w:rsid w:val="2F3960B7"/>
    <w:rsid w:val="2F5D59C1"/>
    <w:rsid w:val="2F721BD5"/>
    <w:rsid w:val="2F8C11EF"/>
    <w:rsid w:val="2FB61E4E"/>
    <w:rsid w:val="2FCC19F1"/>
    <w:rsid w:val="2FD579BD"/>
    <w:rsid w:val="2FDA6E6D"/>
    <w:rsid w:val="2FE62F1F"/>
    <w:rsid w:val="2FF51A72"/>
    <w:rsid w:val="2FF604A0"/>
    <w:rsid w:val="2FF90DA4"/>
    <w:rsid w:val="300A2F45"/>
    <w:rsid w:val="300E150D"/>
    <w:rsid w:val="300F64D3"/>
    <w:rsid w:val="3010191A"/>
    <w:rsid w:val="302A7C8A"/>
    <w:rsid w:val="3068103E"/>
    <w:rsid w:val="306E0D70"/>
    <w:rsid w:val="30906A52"/>
    <w:rsid w:val="30981D47"/>
    <w:rsid w:val="30A93989"/>
    <w:rsid w:val="30B54DC6"/>
    <w:rsid w:val="30F32B3B"/>
    <w:rsid w:val="310965A1"/>
    <w:rsid w:val="310D1812"/>
    <w:rsid w:val="311465B0"/>
    <w:rsid w:val="31255A44"/>
    <w:rsid w:val="312B17A2"/>
    <w:rsid w:val="313C3785"/>
    <w:rsid w:val="31477F2E"/>
    <w:rsid w:val="31566E36"/>
    <w:rsid w:val="315A451F"/>
    <w:rsid w:val="31726B63"/>
    <w:rsid w:val="31781B73"/>
    <w:rsid w:val="317E49A0"/>
    <w:rsid w:val="32175E98"/>
    <w:rsid w:val="324B46EE"/>
    <w:rsid w:val="32D71442"/>
    <w:rsid w:val="32FF4F22"/>
    <w:rsid w:val="335D2282"/>
    <w:rsid w:val="33607F66"/>
    <w:rsid w:val="337E47A2"/>
    <w:rsid w:val="338C118E"/>
    <w:rsid w:val="338D4E8E"/>
    <w:rsid w:val="33A21EDE"/>
    <w:rsid w:val="33CA6EFD"/>
    <w:rsid w:val="33CB691E"/>
    <w:rsid w:val="33DA5103"/>
    <w:rsid w:val="340600F7"/>
    <w:rsid w:val="34092B59"/>
    <w:rsid w:val="34244603"/>
    <w:rsid w:val="346818AB"/>
    <w:rsid w:val="34C26571"/>
    <w:rsid w:val="34CB6BE4"/>
    <w:rsid w:val="34E25807"/>
    <w:rsid w:val="352034D1"/>
    <w:rsid w:val="35574E98"/>
    <w:rsid w:val="35B244CD"/>
    <w:rsid w:val="35C81F43"/>
    <w:rsid w:val="35DA19AF"/>
    <w:rsid w:val="35DD733F"/>
    <w:rsid w:val="35E401B5"/>
    <w:rsid w:val="35E77E27"/>
    <w:rsid w:val="35F64F2F"/>
    <w:rsid w:val="36007599"/>
    <w:rsid w:val="36240128"/>
    <w:rsid w:val="36396BB6"/>
    <w:rsid w:val="36466DE1"/>
    <w:rsid w:val="3656754F"/>
    <w:rsid w:val="365C3E0F"/>
    <w:rsid w:val="36871A53"/>
    <w:rsid w:val="36890B0C"/>
    <w:rsid w:val="368E3CD6"/>
    <w:rsid w:val="36A835E7"/>
    <w:rsid w:val="36ED0664"/>
    <w:rsid w:val="36F10E02"/>
    <w:rsid w:val="3724007D"/>
    <w:rsid w:val="372942E2"/>
    <w:rsid w:val="372959E5"/>
    <w:rsid w:val="377714B1"/>
    <w:rsid w:val="37812F44"/>
    <w:rsid w:val="37927FF0"/>
    <w:rsid w:val="37942087"/>
    <w:rsid w:val="37CB536B"/>
    <w:rsid w:val="37F7287A"/>
    <w:rsid w:val="381E0B90"/>
    <w:rsid w:val="382A0626"/>
    <w:rsid w:val="38494544"/>
    <w:rsid w:val="3897301B"/>
    <w:rsid w:val="38A71131"/>
    <w:rsid w:val="38B8699E"/>
    <w:rsid w:val="38C61B19"/>
    <w:rsid w:val="38C97C02"/>
    <w:rsid w:val="38DB3FA4"/>
    <w:rsid w:val="3900670C"/>
    <w:rsid w:val="391F2EB0"/>
    <w:rsid w:val="39292CF8"/>
    <w:rsid w:val="39325538"/>
    <w:rsid w:val="395D6E46"/>
    <w:rsid w:val="397F4399"/>
    <w:rsid w:val="399409E7"/>
    <w:rsid w:val="39A84731"/>
    <w:rsid w:val="39D73EE8"/>
    <w:rsid w:val="39F412B8"/>
    <w:rsid w:val="39FA1B21"/>
    <w:rsid w:val="3A064C7D"/>
    <w:rsid w:val="3A1466EF"/>
    <w:rsid w:val="3A1D20AC"/>
    <w:rsid w:val="3A25136E"/>
    <w:rsid w:val="3A292211"/>
    <w:rsid w:val="3A3C665D"/>
    <w:rsid w:val="3A4C007D"/>
    <w:rsid w:val="3A6B15DA"/>
    <w:rsid w:val="3A742D9B"/>
    <w:rsid w:val="3A966345"/>
    <w:rsid w:val="3A9A3FAB"/>
    <w:rsid w:val="3AAD7365"/>
    <w:rsid w:val="3B1A2BD9"/>
    <w:rsid w:val="3B375BD2"/>
    <w:rsid w:val="3B4756D7"/>
    <w:rsid w:val="3B695B1C"/>
    <w:rsid w:val="3B7665F2"/>
    <w:rsid w:val="3B8C6E1E"/>
    <w:rsid w:val="3BB86B21"/>
    <w:rsid w:val="3BC63B67"/>
    <w:rsid w:val="3C1E203E"/>
    <w:rsid w:val="3C2A0E9B"/>
    <w:rsid w:val="3C50163C"/>
    <w:rsid w:val="3C6A3A2A"/>
    <w:rsid w:val="3C784DE9"/>
    <w:rsid w:val="3C7A406B"/>
    <w:rsid w:val="3C991D47"/>
    <w:rsid w:val="3CC667F5"/>
    <w:rsid w:val="3CCB2869"/>
    <w:rsid w:val="3CCB596A"/>
    <w:rsid w:val="3CD4460B"/>
    <w:rsid w:val="3CD77BC2"/>
    <w:rsid w:val="3CD80167"/>
    <w:rsid w:val="3D1C1B8F"/>
    <w:rsid w:val="3D215157"/>
    <w:rsid w:val="3D2800FE"/>
    <w:rsid w:val="3D2E0ABB"/>
    <w:rsid w:val="3D3051FB"/>
    <w:rsid w:val="3D474955"/>
    <w:rsid w:val="3D6109E6"/>
    <w:rsid w:val="3D917CC0"/>
    <w:rsid w:val="3DC07E0E"/>
    <w:rsid w:val="3DD364E7"/>
    <w:rsid w:val="3DFE4F0F"/>
    <w:rsid w:val="3E067EBA"/>
    <w:rsid w:val="3E0E4159"/>
    <w:rsid w:val="3E191B59"/>
    <w:rsid w:val="3E2E7003"/>
    <w:rsid w:val="3E532A37"/>
    <w:rsid w:val="3E5455EE"/>
    <w:rsid w:val="3E593676"/>
    <w:rsid w:val="3E5E6997"/>
    <w:rsid w:val="3E715776"/>
    <w:rsid w:val="3E744E27"/>
    <w:rsid w:val="3E7848A4"/>
    <w:rsid w:val="3E8E4CA8"/>
    <w:rsid w:val="3E9566BD"/>
    <w:rsid w:val="3EAA14B9"/>
    <w:rsid w:val="3EB82871"/>
    <w:rsid w:val="3EC82506"/>
    <w:rsid w:val="3EE85004"/>
    <w:rsid w:val="3EEB19B1"/>
    <w:rsid w:val="3EF14A78"/>
    <w:rsid w:val="3EFB6138"/>
    <w:rsid w:val="3F003338"/>
    <w:rsid w:val="3F021A95"/>
    <w:rsid w:val="3F026ADE"/>
    <w:rsid w:val="3F0734D0"/>
    <w:rsid w:val="3F115F7D"/>
    <w:rsid w:val="3F1F1530"/>
    <w:rsid w:val="3F213F60"/>
    <w:rsid w:val="3F307D0D"/>
    <w:rsid w:val="3F5D10A8"/>
    <w:rsid w:val="3F7153F9"/>
    <w:rsid w:val="3F83453C"/>
    <w:rsid w:val="3F8A64BB"/>
    <w:rsid w:val="3F934FCE"/>
    <w:rsid w:val="3F984734"/>
    <w:rsid w:val="3FB961E7"/>
    <w:rsid w:val="3FC318AC"/>
    <w:rsid w:val="3FCA7F46"/>
    <w:rsid w:val="3FCF0B75"/>
    <w:rsid w:val="3FD15705"/>
    <w:rsid w:val="3FF1653A"/>
    <w:rsid w:val="400224F5"/>
    <w:rsid w:val="400B314E"/>
    <w:rsid w:val="400E1C1E"/>
    <w:rsid w:val="40155ECC"/>
    <w:rsid w:val="402402BD"/>
    <w:rsid w:val="40275172"/>
    <w:rsid w:val="40282C11"/>
    <w:rsid w:val="409D7445"/>
    <w:rsid w:val="40A12217"/>
    <w:rsid w:val="40A478A2"/>
    <w:rsid w:val="40B25CAF"/>
    <w:rsid w:val="40B5093D"/>
    <w:rsid w:val="40CB2758"/>
    <w:rsid w:val="40D60478"/>
    <w:rsid w:val="40D75730"/>
    <w:rsid w:val="40E65730"/>
    <w:rsid w:val="40F300AD"/>
    <w:rsid w:val="4124124D"/>
    <w:rsid w:val="41390F29"/>
    <w:rsid w:val="41441783"/>
    <w:rsid w:val="414F0866"/>
    <w:rsid w:val="415C7589"/>
    <w:rsid w:val="417E2E96"/>
    <w:rsid w:val="4191509E"/>
    <w:rsid w:val="41C01307"/>
    <w:rsid w:val="41C95ECF"/>
    <w:rsid w:val="41CB0C37"/>
    <w:rsid w:val="41CE08E1"/>
    <w:rsid w:val="41F54CC2"/>
    <w:rsid w:val="420C6870"/>
    <w:rsid w:val="42221965"/>
    <w:rsid w:val="422A330C"/>
    <w:rsid w:val="4232779E"/>
    <w:rsid w:val="42397B2B"/>
    <w:rsid w:val="424257B3"/>
    <w:rsid w:val="42627491"/>
    <w:rsid w:val="426B09C5"/>
    <w:rsid w:val="427F45CF"/>
    <w:rsid w:val="4284376D"/>
    <w:rsid w:val="42907675"/>
    <w:rsid w:val="42A94A5F"/>
    <w:rsid w:val="42C65F81"/>
    <w:rsid w:val="42C7713F"/>
    <w:rsid w:val="42E7148F"/>
    <w:rsid w:val="42EC7255"/>
    <w:rsid w:val="43027545"/>
    <w:rsid w:val="431C2480"/>
    <w:rsid w:val="43940B73"/>
    <w:rsid w:val="43B81633"/>
    <w:rsid w:val="43B86407"/>
    <w:rsid w:val="43BB7238"/>
    <w:rsid w:val="43D46B67"/>
    <w:rsid w:val="43E90B0D"/>
    <w:rsid w:val="44021CC4"/>
    <w:rsid w:val="441B71B4"/>
    <w:rsid w:val="441D4A9A"/>
    <w:rsid w:val="443407D6"/>
    <w:rsid w:val="44494618"/>
    <w:rsid w:val="449B425E"/>
    <w:rsid w:val="44BF2827"/>
    <w:rsid w:val="44C76731"/>
    <w:rsid w:val="44E617A9"/>
    <w:rsid w:val="44EB14D7"/>
    <w:rsid w:val="44F8735A"/>
    <w:rsid w:val="451317D1"/>
    <w:rsid w:val="451F4220"/>
    <w:rsid w:val="453A4D8C"/>
    <w:rsid w:val="45501514"/>
    <w:rsid w:val="45513D03"/>
    <w:rsid w:val="455C466E"/>
    <w:rsid w:val="456A2DA0"/>
    <w:rsid w:val="456B5A55"/>
    <w:rsid w:val="456F2808"/>
    <w:rsid w:val="45AF09A4"/>
    <w:rsid w:val="45BB2CE9"/>
    <w:rsid w:val="45BE2A1A"/>
    <w:rsid w:val="45C550EA"/>
    <w:rsid w:val="45C77F81"/>
    <w:rsid w:val="45CF13A2"/>
    <w:rsid w:val="45DF267C"/>
    <w:rsid w:val="46096E5E"/>
    <w:rsid w:val="460A4A51"/>
    <w:rsid w:val="460E22C0"/>
    <w:rsid w:val="462C7386"/>
    <w:rsid w:val="4633708B"/>
    <w:rsid w:val="46403F08"/>
    <w:rsid w:val="46541B0B"/>
    <w:rsid w:val="466C488C"/>
    <w:rsid w:val="46775EB0"/>
    <w:rsid w:val="467C7EE6"/>
    <w:rsid w:val="467E7F93"/>
    <w:rsid w:val="468056F4"/>
    <w:rsid w:val="46B8390E"/>
    <w:rsid w:val="46BF25E4"/>
    <w:rsid w:val="46C90196"/>
    <w:rsid w:val="46D76FCC"/>
    <w:rsid w:val="46DD57BB"/>
    <w:rsid w:val="46FD0A92"/>
    <w:rsid w:val="4706543A"/>
    <w:rsid w:val="47153232"/>
    <w:rsid w:val="47315396"/>
    <w:rsid w:val="474410A5"/>
    <w:rsid w:val="474D6D8F"/>
    <w:rsid w:val="4760050C"/>
    <w:rsid w:val="47651BA9"/>
    <w:rsid w:val="47873433"/>
    <w:rsid w:val="478A761F"/>
    <w:rsid w:val="47B7571E"/>
    <w:rsid w:val="47C034C7"/>
    <w:rsid w:val="47CC44D4"/>
    <w:rsid w:val="48023DD6"/>
    <w:rsid w:val="48047C0B"/>
    <w:rsid w:val="48156810"/>
    <w:rsid w:val="482B296D"/>
    <w:rsid w:val="483B5FA0"/>
    <w:rsid w:val="48595E85"/>
    <w:rsid w:val="48684EBF"/>
    <w:rsid w:val="487900BA"/>
    <w:rsid w:val="48820180"/>
    <w:rsid w:val="488A42EF"/>
    <w:rsid w:val="488E4926"/>
    <w:rsid w:val="489C39BE"/>
    <w:rsid w:val="48A96E23"/>
    <w:rsid w:val="48BE1FEA"/>
    <w:rsid w:val="48E17F2F"/>
    <w:rsid w:val="48F94321"/>
    <w:rsid w:val="490B5D63"/>
    <w:rsid w:val="493F7C72"/>
    <w:rsid w:val="49446D87"/>
    <w:rsid w:val="49507FC7"/>
    <w:rsid w:val="496E7880"/>
    <w:rsid w:val="49DA1F85"/>
    <w:rsid w:val="4A106380"/>
    <w:rsid w:val="4A155A55"/>
    <w:rsid w:val="4A5130F6"/>
    <w:rsid w:val="4A856EC8"/>
    <w:rsid w:val="4A9F0DC7"/>
    <w:rsid w:val="4ABC21EE"/>
    <w:rsid w:val="4ABC6832"/>
    <w:rsid w:val="4AC153D6"/>
    <w:rsid w:val="4AE2533E"/>
    <w:rsid w:val="4AED6B3B"/>
    <w:rsid w:val="4B08477A"/>
    <w:rsid w:val="4B257A53"/>
    <w:rsid w:val="4B3B5204"/>
    <w:rsid w:val="4B525F3B"/>
    <w:rsid w:val="4B5B7A8F"/>
    <w:rsid w:val="4B633ED6"/>
    <w:rsid w:val="4B6E3A9B"/>
    <w:rsid w:val="4B76520C"/>
    <w:rsid w:val="4B7E257C"/>
    <w:rsid w:val="4B8514FA"/>
    <w:rsid w:val="4B967F7F"/>
    <w:rsid w:val="4B991F60"/>
    <w:rsid w:val="4BDA60D4"/>
    <w:rsid w:val="4BDE2C3A"/>
    <w:rsid w:val="4BFA16E3"/>
    <w:rsid w:val="4BFE6401"/>
    <w:rsid w:val="4C04753B"/>
    <w:rsid w:val="4C0E6705"/>
    <w:rsid w:val="4C17013E"/>
    <w:rsid w:val="4C2B27C3"/>
    <w:rsid w:val="4C6B4DA6"/>
    <w:rsid w:val="4C763C6C"/>
    <w:rsid w:val="4C7F7F6C"/>
    <w:rsid w:val="4C8C030A"/>
    <w:rsid w:val="4CC24658"/>
    <w:rsid w:val="4CC762D7"/>
    <w:rsid w:val="4CCF550D"/>
    <w:rsid w:val="4CCF7757"/>
    <w:rsid w:val="4CD5741E"/>
    <w:rsid w:val="4CD60496"/>
    <w:rsid w:val="4D001B6A"/>
    <w:rsid w:val="4D0F6B44"/>
    <w:rsid w:val="4D44664E"/>
    <w:rsid w:val="4D467B4A"/>
    <w:rsid w:val="4D641366"/>
    <w:rsid w:val="4D7C5CFF"/>
    <w:rsid w:val="4D912E23"/>
    <w:rsid w:val="4DC75267"/>
    <w:rsid w:val="4DC85C22"/>
    <w:rsid w:val="4DC9315E"/>
    <w:rsid w:val="4DF26556"/>
    <w:rsid w:val="4E2C2DB4"/>
    <w:rsid w:val="4E4401CA"/>
    <w:rsid w:val="4E46150C"/>
    <w:rsid w:val="4EA966A7"/>
    <w:rsid w:val="4EC15F85"/>
    <w:rsid w:val="4F2C6899"/>
    <w:rsid w:val="4F3D27AB"/>
    <w:rsid w:val="4F417E13"/>
    <w:rsid w:val="4F4C733D"/>
    <w:rsid w:val="4F55354B"/>
    <w:rsid w:val="4F5C26A0"/>
    <w:rsid w:val="4F714FA1"/>
    <w:rsid w:val="4F8857A9"/>
    <w:rsid w:val="4FCE2C21"/>
    <w:rsid w:val="4FF62D79"/>
    <w:rsid w:val="501F0D8D"/>
    <w:rsid w:val="502411C5"/>
    <w:rsid w:val="503E6116"/>
    <w:rsid w:val="504B578A"/>
    <w:rsid w:val="505C0FD2"/>
    <w:rsid w:val="50990A4E"/>
    <w:rsid w:val="50B42BF9"/>
    <w:rsid w:val="50C04E68"/>
    <w:rsid w:val="50CB7937"/>
    <w:rsid w:val="50DD376F"/>
    <w:rsid w:val="50EF6527"/>
    <w:rsid w:val="51077B59"/>
    <w:rsid w:val="512D21C4"/>
    <w:rsid w:val="512E148C"/>
    <w:rsid w:val="51304304"/>
    <w:rsid w:val="517568B6"/>
    <w:rsid w:val="51875990"/>
    <w:rsid w:val="51AB2576"/>
    <w:rsid w:val="51AC7427"/>
    <w:rsid w:val="51C40008"/>
    <w:rsid w:val="51E54D88"/>
    <w:rsid w:val="51F8772D"/>
    <w:rsid w:val="52062E9E"/>
    <w:rsid w:val="520824CB"/>
    <w:rsid w:val="521146C4"/>
    <w:rsid w:val="52167F41"/>
    <w:rsid w:val="52242BBF"/>
    <w:rsid w:val="52374CA2"/>
    <w:rsid w:val="525E103B"/>
    <w:rsid w:val="526D6299"/>
    <w:rsid w:val="527700C6"/>
    <w:rsid w:val="527D1E41"/>
    <w:rsid w:val="528C6687"/>
    <w:rsid w:val="529768A0"/>
    <w:rsid w:val="529F50E3"/>
    <w:rsid w:val="52F7704A"/>
    <w:rsid w:val="52FD24D0"/>
    <w:rsid w:val="5307225C"/>
    <w:rsid w:val="53121D5B"/>
    <w:rsid w:val="531B2A72"/>
    <w:rsid w:val="53412A8C"/>
    <w:rsid w:val="53487F33"/>
    <w:rsid w:val="537B60F6"/>
    <w:rsid w:val="53813128"/>
    <w:rsid w:val="53967089"/>
    <w:rsid w:val="53A075BF"/>
    <w:rsid w:val="53BB5B77"/>
    <w:rsid w:val="53D56DBE"/>
    <w:rsid w:val="53E2021C"/>
    <w:rsid w:val="53EE7631"/>
    <w:rsid w:val="53F81B7F"/>
    <w:rsid w:val="540A78B1"/>
    <w:rsid w:val="545E0E96"/>
    <w:rsid w:val="546D75BC"/>
    <w:rsid w:val="54844345"/>
    <w:rsid w:val="549B4894"/>
    <w:rsid w:val="54AB6C39"/>
    <w:rsid w:val="54CD50CA"/>
    <w:rsid w:val="54D3211F"/>
    <w:rsid w:val="54EA5D84"/>
    <w:rsid w:val="550B0C1A"/>
    <w:rsid w:val="551A3C4D"/>
    <w:rsid w:val="551D5C24"/>
    <w:rsid w:val="553A2D94"/>
    <w:rsid w:val="5557314A"/>
    <w:rsid w:val="55574B67"/>
    <w:rsid w:val="555C40B3"/>
    <w:rsid w:val="55694089"/>
    <w:rsid w:val="55A671C9"/>
    <w:rsid w:val="56143AEC"/>
    <w:rsid w:val="562802D9"/>
    <w:rsid w:val="562D6873"/>
    <w:rsid w:val="562F04AA"/>
    <w:rsid w:val="56702144"/>
    <w:rsid w:val="568640DD"/>
    <w:rsid w:val="569B359F"/>
    <w:rsid w:val="56A77016"/>
    <w:rsid w:val="56D96C7F"/>
    <w:rsid w:val="56FB0D21"/>
    <w:rsid w:val="5711518E"/>
    <w:rsid w:val="5719767B"/>
    <w:rsid w:val="57231BBD"/>
    <w:rsid w:val="5741219E"/>
    <w:rsid w:val="578B2D2B"/>
    <w:rsid w:val="57953B32"/>
    <w:rsid w:val="579B140E"/>
    <w:rsid w:val="57A62654"/>
    <w:rsid w:val="57BE445F"/>
    <w:rsid w:val="57BE4EE2"/>
    <w:rsid w:val="57BF6F66"/>
    <w:rsid w:val="57C45623"/>
    <w:rsid w:val="57D72329"/>
    <w:rsid w:val="57F17499"/>
    <w:rsid w:val="57FA24B0"/>
    <w:rsid w:val="57FD5624"/>
    <w:rsid w:val="58395786"/>
    <w:rsid w:val="586364F6"/>
    <w:rsid w:val="58A82B57"/>
    <w:rsid w:val="58B17A5D"/>
    <w:rsid w:val="58D169CA"/>
    <w:rsid w:val="58D5448C"/>
    <w:rsid w:val="58DF3027"/>
    <w:rsid w:val="58EE31BF"/>
    <w:rsid w:val="5907495B"/>
    <w:rsid w:val="59102E0E"/>
    <w:rsid w:val="59130003"/>
    <w:rsid w:val="592C7042"/>
    <w:rsid w:val="59454FCD"/>
    <w:rsid w:val="595728F7"/>
    <w:rsid w:val="59625684"/>
    <w:rsid w:val="59625713"/>
    <w:rsid w:val="59763AA6"/>
    <w:rsid w:val="597E4E3A"/>
    <w:rsid w:val="59AB4CD1"/>
    <w:rsid w:val="59B25BAA"/>
    <w:rsid w:val="59D66539"/>
    <w:rsid w:val="59E06FAB"/>
    <w:rsid w:val="59E344E5"/>
    <w:rsid w:val="59E91749"/>
    <w:rsid w:val="59EE36B2"/>
    <w:rsid w:val="59F2786B"/>
    <w:rsid w:val="5A09488F"/>
    <w:rsid w:val="5A16521C"/>
    <w:rsid w:val="5A282D25"/>
    <w:rsid w:val="5A291354"/>
    <w:rsid w:val="5A386648"/>
    <w:rsid w:val="5A3D3DF1"/>
    <w:rsid w:val="5A4503F6"/>
    <w:rsid w:val="5A563FC2"/>
    <w:rsid w:val="5A5F1BE3"/>
    <w:rsid w:val="5A9D29F1"/>
    <w:rsid w:val="5AAA3630"/>
    <w:rsid w:val="5AB20C78"/>
    <w:rsid w:val="5AE369BC"/>
    <w:rsid w:val="5AFB7134"/>
    <w:rsid w:val="5B5204A6"/>
    <w:rsid w:val="5B687259"/>
    <w:rsid w:val="5BD42203"/>
    <w:rsid w:val="5BEC1774"/>
    <w:rsid w:val="5BF031CD"/>
    <w:rsid w:val="5BFF62C0"/>
    <w:rsid w:val="5C1769D9"/>
    <w:rsid w:val="5C1D5863"/>
    <w:rsid w:val="5C536679"/>
    <w:rsid w:val="5C6A7724"/>
    <w:rsid w:val="5C775015"/>
    <w:rsid w:val="5C867B62"/>
    <w:rsid w:val="5C94226E"/>
    <w:rsid w:val="5C98439B"/>
    <w:rsid w:val="5C9F2580"/>
    <w:rsid w:val="5CA62D1C"/>
    <w:rsid w:val="5CD434E7"/>
    <w:rsid w:val="5CE1480C"/>
    <w:rsid w:val="5CE50589"/>
    <w:rsid w:val="5CF01A55"/>
    <w:rsid w:val="5CF70A79"/>
    <w:rsid w:val="5D131D70"/>
    <w:rsid w:val="5D2560D0"/>
    <w:rsid w:val="5D35760E"/>
    <w:rsid w:val="5D5F49C8"/>
    <w:rsid w:val="5D892067"/>
    <w:rsid w:val="5D896BE0"/>
    <w:rsid w:val="5DA62DCD"/>
    <w:rsid w:val="5DAF129B"/>
    <w:rsid w:val="5DC804D1"/>
    <w:rsid w:val="5DD71315"/>
    <w:rsid w:val="5DDE1EB1"/>
    <w:rsid w:val="5DF7341B"/>
    <w:rsid w:val="5E117944"/>
    <w:rsid w:val="5E306165"/>
    <w:rsid w:val="5E3B73D9"/>
    <w:rsid w:val="5E5B27A2"/>
    <w:rsid w:val="5E7852A0"/>
    <w:rsid w:val="5ECE09BA"/>
    <w:rsid w:val="5ED51AB7"/>
    <w:rsid w:val="5EF37194"/>
    <w:rsid w:val="5EF94F3E"/>
    <w:rsid w:val="5F0032F6"/>
    <w:rsid w:val="5F0372CA"/>
    <w:rsid w:val="5F0C372B"/>
    <w:rsid w:val="5F677941"/>
    <w:rsid w:val="5F7614B4"/>
    <w:rsid w:val="5F766F82"/>
    <w:rsid w:val="5F801B21"/>
    <w:rsid w:val="5F9F61F2"/>
    <w:rsid w:val="5FC050FA"/>
    <w:rsid w:val="5FCB5E2B"/>
    <w:rsid w:val="5FDA1308"/>
    <w:rsid w:val="600F0E5B"/>
    <w:rsid w:val="60183E7A"/>
    <w:rsid w:val="603858B6"/>
    <w:rsid w:val="605B4708"/>
    <w:rsid w:val="6063645B"/>
    <w:rsid w:val="60746221"/>
    <w:rsid w:val="60BD7E5B"/>
    <w:rsid w:val="60CC1885"/>
    <w:rsid w:val="611274B4"/>
    <w:rsid w:val="6114154B"/>
    <w:rsid w:val="611E0AE7"/>
    <w:rsid w:val="6198016C"/>
    <w:rsid w:val="61C21C9E"/>
    <w:rsid w:val="61C63502"/>
    <w:rsid w:val="61E069A1"/>
    <w:rsid w:val="61E552B7"/>
    <w:rsid w:val="62443C4A"/>
    <w:rsid w:val="625E4A0F"/>
    <w:rsid w:val="62626A50"/>
    <w:rsid w:val="62693265"/>
    <w:rsid w:val="627705EC"/>
    <w:rsid w:val="627A5BCB"/>
    <w:rsid w:val="62DF26A5"/>
    <w:rsid w:val="62E93F37"/>
    <w:rsid w:val="62F33DF6"/>
    <w:rsid w:val="631F19C9"/>
    <w:rsid w:val="632414F5"/>
    <w:rsid w:val="635B565A"/>
    <w:rsid w:val="637916CB"/>
    <w:rsid w:val="63843AA9"/>
    <w:rsid w:val="63924ADA"/>
    <w:rsid w:val="639E7EC2"/>
    <w:rsid w:val="63D64054"/>
    <w:rsid w:val="63E8068F"/>
    <w:rsid w:val="63FE0B2D"/>
    <w:rsid w:val="64046F66"/>
    <w:rsid w:val="64501610"/>
    <w:rsid w:val="645A49F9"/>
    <w:rsid w:val="64676C78"/>
    <w:rsid w:val="6480453B"/>
    <w:rsid w:val="648569C6"/>
    <w:rsid w:val="64991165"/>
    <w:rsid w:val="64A34D0E"/>
    <w:rsid w:val="64B1127E"/>
    <w:rsid w:val="64D01DBA"/>
    <w:rsid w:val="64FB0517"/>
    <w:rsid w:val="650065AD"/>
    <w:rsid w:val="65255779"/>
    <w:rsid w:val="65333E8D"/>
    <w:rsid w:val="653B7F2C"/>
    <w:rsid w:val="657A7A40"/>
    <w:rsid w:val="6595496B"/>
    <w:rsid w:val="65B24B40"/>
    <w:rsid w:val="65BE6489"/>
    <w:rsid w:val="65D67C1D"/>
    <w:rsid w:val="662255AF"/>
    <w:rsid w:val="663C5862"/>
    <w:rsid w:val="663C6D46"/>
    <w:rsid w:val="663E290E"/>
    <w:rsid w:val="6691762A"/>
    <w:rsid w:val="669D085F"/>
    <w:rsid w:val="66DE3C6E"/>
    <w:rsid w:val="66F33D93"/>
    <w:rsid w:val="66F4722E"/>
    <w:rsid w:val="670D2737"/>
    <w:rsid w:val="67340937"/>
    <w:rsid w:val="67354642"/>
    <w:rsid w:val="67493928"/>
    <w:rsid w:val="67662B83"/>
    <w:rsid w:val="676807E9"/>
    <w:rsid w:val="6770235F"/>
    <w:rsid w:val="67782A66"/>
    <w:rsid w:val="678B4006"/>
    <w:rsid w:val="67B42AAA"/>
    <w:rsid w:val="67CB384D"/>
    <w:rsid w:val="67D31E2B"/>
    <w:rsid w:val="67DC7662"/>
    <w:rsid w:val="67E528A1"/>
    <w:rsid w:val="67EA4D73"/>
    <w:rsid w:val="68730AA0"/>
    <w:rsid w:val="68764FC1"/>
    <w:rsid w:val="6886484E"/>
    <w:rsid w:val="68926DAD"/>
    <w:rsid w:val="68944BFE"/>
    <w:rsid w:val="68B1709B"/>
    <w:rsid w:val="692B2D9E"/>
    <w:rsid w:val="692E7D33"/>
    <w:rsid w:val="694E5220"/>
    <w:rsid w:val="695A151F"/>
    <w:rsid w:val="695D2AA1"/>
    <w:rsid w:val="69870892"/>
    <w:rsid w:val="699B4F88"/>
    <w:rsid w:val="69A40416"/>
    <w:rsid w:val="69C763AE"/>
    <w:rsid w:val="69C97F5F"/>
    <w:rsid w:val="69F50BD3"/>
    <w:rsid w:val="69FE3B23"/>
    <w:rsid w:val="69FF683E"/>
    <w:rsid w:val="6A15057F"/>
    <w:rsid w:val="6A571B9B"/>
    <w:rsid w:val="6A69473B"/>
    <w:rsid w:val="6A6C42EE"/>
    <w:rsid w:val="6A923F02"/>
    <w:rsid w:val="6AA62461"/>
    <w:rsid w:val="6AB1191B"/>
    <w:rsid w:val="6AF11D3F"/>
    <w:rsid w:val="6B117022"/>
    <w:rsid w:val="6B172D05"/>
    <w:rsid w:val="6B1C3A0B"/>
    <w:rsid w:val="6B2C5C42"/>
    <w:rsid w:val="6B5876DD"/>
    <w:rsid w:val="6B6C61E9"/>
    <w:rsid w:val="6B944B99"/>
    <w:rsid w:val="6B996875"/>
    <w:rsid w:val="6BAE051E"/>
    <w:rsid w:val="6BC6139C"/>
    <w:rsid w:val="6BC84066"/>
    <w:rsid w:val="6BDB60A8"/>
    <w:rsid w:val="6BF67FD6"/>
    <w:rsid w:val="6BFE1D3B"/>
    <w:rsid w:val="6C052EB9"/>
    <w:rsid w:val="6C1113E6"/>
    <w:rsid w:val="6C38021F"/>
    <w:rsid w:val="6C767FE3"/>
    <w:rsid w:val="6C84656C"/>
    <w:rsid w:val="6C847C6A"/>
    <w:rsid w:val="6C8D45F6"/>
    <w:rsid w:val="6C927251"/>
    <w:rsid w:val="6C9406B1"/>
    <w:rsid w:val="6CC015BC"/>
    <w:rsid w:val="6CF47799"/>
    <w:rsid w:val="6CF9345F"/>
    <w:rsid w:val="6D006570"/>
    <w:rsid w:val="6D106B9E"/>
    <w:rsid w:val="6D157DB6"/>
    <w:rsid w:val="6D26032E"/>
    <w:rsid w:val="6D2C27DC"/>
    <w:rsid w:val="6D2F226B"/>
    <w:rsid w:val="6D3B47C5"/>
    <w:rsid w:val="6D4A7F7A"/>
    <w:rsid w:val="6D5633BC"/>
    <w:rsid w:val="6D696E3E"/>
    <w:rsid w:val="6D8F2236"/>
    <w:rsid w:val="6E052C79"/>
    <w:rsid w:val="6E2305C5"/>
    <w:rsid w:val="6F060C0C"/>
    <w:rsid w:val="6F171C49"/>
    <w:rsid w:val="6F183345"/>
    <w:rsid w:val="6F1F0653"/>
    <w:rsid w:val="6F2A64C9"/>
    <w:rsid w:val="6F9E4DBA"/>
    <w:rsid w:val="6FB44126"/>
    <w:rsid w:val="6FD1107F"/>
    <w:rsid w:val="6FDD6525"/>
    <w:rsid w:val="6FED466F"/>
    <w:rsid w:val="6FED694B"/>
    <w:rsid w:val="6FF63025"/>
    <w:rsid w:val="700C480B"/>
    <w:rsid w:val="703118F7"/>
    <w:rsid w:val="7031465B"/>
    <w:rsid w:val="704E2A77"/>
    <w:rsid w:val="705C00D7"/>
    <w:rsid w:val="7071670C"/>
    <w:rsid w:val="707A1868"/>
    <w:rsid w:val="70A47CAC"/>
    <w:rsid w:val="70B3175E"/>
    <w:rsid w:val="70C91ADF"/>
    <w:rsid w:val="711251B9"/>
    <w:rsid w:val="711C6266"/>
    <w:rsid w:val="71432C7C"/>
    <w:rsid w:val="714534BA"/>
    <w:rsid w:val="714A11AF"/>
    <w:rsid w:val="7169499C"/>
    <w:rsid w:val="71714616"/>
    <w:rsid w:val="717A5515"/>
    <w:rsid w:val="718911D9"/>
    <w:rsid w:val="71B77C01"/>
    <w:rsid w:val="71BB185D"/>
    <w:rsid w:val="71C86AA0"/>
    <w:rsid w:val="71D57FA6"/>
    <w:rsid w:val="71E855FD"/>
    <w:rsid w:val="72001A3D"/>
    <w:rsid w:val="721A055A"/>
    <w:rsid w:val="722B475E"/>
    <w:rsid w:val="72664A79"/>
    <w:rsid w:val="727A6FDA"/>
    <w:rsid w:val="728D074B"/>
    <w:rsid w:val="72B33057"/>
    <w:rsid w:val="72C72723"/>
    <w:rsid w:val="72CE7E91"/>
    <w:rsid w:val="72EF7E8C"/>
    <w:rsid w:val="730C72DA"/>
    <w:rsid w:val="73206321"/>
    <w:rsid w:val="7357422E"/>
    <w:rsid w:val="736C1D8C"/>
    <w:rsid w:val="736F2FDD"/>
    <w:rsid w:val="73792BA9"/>
    <w:rsid w:val="737A58F1"/>
    <w:rsid w:val="739729EF"/>
    <w:rsid w:val="73987166"/>
    <w:rsid w:val="739C7846"/>
    <w:rsid w:val="73B93385"/>
    <w:rsid w:val="73D4402B"/>
    <w:rsid w:val="73E25AAA"/>
    <w:rsid w:val="74012C36"/>
    <w:rsid w:val="741167A9"/>
    <w:rsid w:val="7425687D"/>
    <w:rsid w:val="742C32D2"/>
    <w:rsid w:val="743B3304"/>
    <w:rsid w:val="7443173A"/>
    <w:rsid w:val="744438BA"/>
    <w:rsid w:val="745645F1"/>
    <w:rsid w:val="749B3DA3"/>
    <w:rsid w:val="74A71E4E"/>
    <w:rsid w:val="74B87B6F"/>
    <w:rsid w:val="74C0102C"/>
    <w:rsid w:val="74E50E09"/>
    <w:rsid w:val="75111D61"/>
    <w:rsid w:val="752C6B2B"/>
    <w:rsid w:val="755D7AD1"/>
    <w:rsid w:val="757E73B7"/>
    <w:rsid w:val="75A62690"/>
    <w:rsid w:val="75A844CE"/>
    <w:rsid w:val="75C4000D"/>
    <w:rsid w:val="75D90D21"/>
    <w:rsid w:val="75E06D33"/>
    <w:rsid w:val="75F47C0F"/>
    <w:rsid w:val="761A569C"/>
    <w:rsid w:val="76256188"/>
    <w:rsid w:val="762C501B"/>
    <w:rsid w:val="763A638B"/>
    <w:rsid w:val="765D14CC"/>
    <w:rsid w:val="765D66A0"/>
    <w:rsid w:val="767504B1"/>
    <w:rsid w:val="767E7F0D"/>
    <w:rsid w:val="76A37B24"/>
    <w:rsid w:val="76CD6CA6"/>
    <w:rsid w:val="76F14A57"/>
    <w:rsid w:val="770405D7"/>
    <w:rsid w:val="77195211"/>
    <w:rsid w:val="775857DF"/>
    <w:rsid w:val="775B58B5"/>
    <w:rsid w:val="77675C56"/>
    <w:rsid w:val="776B2618"/>
    <w:rsid w:val="776B5CAF"/>
    <w:rsid w:val="777651A5"/>
    <w:rsid w:val="77B04226"/>
    <w:rsid w:val="77D17DF9"/>
    <w:rsid w:val="78066632"/>
    <w:rsid w:val="7815475D"/>
    <w:rsid w:val="78347342"/>
    <w:rsid w:val="783E475B"/>
    <w:rsid w:val="784004C5"/>
    <w:rsid w:val="78424A55"/>
    <w:rsid w:val="784976AB"/>
    <w:rsid w:val="78511AC9"/>
    <w:rsid w:val="78803792"/>
    <w:rsid w:val="788C5D83"/>
    <w:rsid w:val="78A96753"/>
    <w:rsid w:val="78AC6CC6"/>
    <w:rsid w:val="78B53CE6"/>
    <w:rsid w:val="78BB6942"/>
    <w:rsid w:val="78F712E3"/>
    <w:rsid w:val="79183974"/>
    <w:rsid w:val="792A07A6"/>
    <w:rsid w:val="793706B1"/>
    <w:rsid w:val="79852458"/>
    <w:rsid w:val="79B37004"/>
    <w:rsid w:val="79BD5F4A"/>
    <w:rsid w:val="79D9075C"/>
    <w:rsid w:val="79E07B63"/>
    <w:rsid w:val="79EC5190"/>
    <w:rsid w:val="79F97C93"/>
    <w:rsid w:val="79FD028E"/>
    <w:rsid w:val="7A085BC1"/>
    <w:rsid w:val="7A214A28"/>
    <w:rsid w:val="7A2A19E6"/>
    <w:rsid w:val="7A484035"/>
    <w:rsid w:val="7A4F6DDB"/>
    <w:rsid w:val="7A5D2006"/>
    <w:rsid w:val="7A7C530D"/>
    <w:rsid w:val="7A843050"/>
    <w:rsid w:val="7AA32335"/>
    <w:rsid w:val="7AC0597C"/>
    <w:rsid w:val="7AC5051D"/>
    <w:rsid w:val="7AD121B6"/>
    <w:rsid w:val="7AEA6F55"/>
    <w:rsid w:val="7AEF6585"/>
    <w:rsid w:val="7B2F3F93"/>
    <w:rsid w:val="7B330670"/>
    <w:rsid w:val="7B930B7C"/>
    <w:rsid w:val="7BA7329F"/>
    <w:rsid w:val="7BAA0820"/>
    <w:rsid w:val="7BBD59F1"/>
    <w:rsid w:val="7C0429E8"/>
    <w:rsid w:val="7C0A6591"/>
    <w:rsid w:val="7C194111"/>
    <w:rsid w:val="7C2E1DC2"/>
    <w:rsid w:val="7C3A73F0"/>
    <w:rsid w:val="7C3C107B"/>
    <w:rsid w:val="7C44305D"/>
    <w:rsid w:val="7C75601E"/>
    <w:rsid w:val="7C861391"/>
    <w:rsid w:val="7C967409"/>
    <w:rsid w:val="7CCE6488"/>
    <w:rsid w:val="7CD15DDC"/>
    <w:rsid w:val="7CF860D5"/>
    <w:rsid w:val="7D007C35"/>
    <w:rsid w:val="7D0743F6"/>
    <w:rsid w:val="7D4741C8"/>
    <w:rsid w:val="7D5B1183"/>
    <w:rsid w:val="7D6412E6"/>
    <w:rsid w:val="7D707297"/>
    <w:rsid w:val="7D7179FB"/>
    <w:rsid w:val="7D8C2F5D"/>
    <w:rsid w:val="7D984C86"/>
    <w:rsid w:val="7DBF2967"/>
    <w:rsid w:val="7DCF4CBE"/>
    <w:rsid w:val="7DD55CA8"/>
    <w:rsid w:val="7DE40B02"/>
    <w:rsid w:val="7DF132D8"/>
    <w:rsid w:val="7DF9023A"/>
    <w:rsid w:val="7E2B43CE"/>
    <w:rsid w:val="7E337C66"/>
    <w:rsid w:val="7E3E3516"/>
    <w:rsid w:val="7E655538"/>
    <w:rsid w:val="7EAB42DE"/>
    <w:rsid w:val="7EB7692E"/>
    <w:rsid w:val="7ED1157B"/>
    <w:rsid w:val="7EE8151B"/>
    <w:rsid w:val="7F1B40C0"/>
    <w:rsid w:val="7F264BB1"/>
    <w:rsid w:val="7F341EEA"/>
    <w:rsid w:val="7F4C1360"/>
    <w:rsid w:val="7F6361B5"/>
    <w:rsid w:val="7F663BB5"/>
    <w:rsid w:val="7F762E56"/>
    <w:rsid w:val="7FAA1267"/>
    <w:rsid w:val="7FAE5AD9"/>
    <w:rsid w:val="7FB5008D"/>
    <w:rsid w:val="7FCF0A6D"/>
    <w:rsid w:val="7FF50BDD"/>
    <w:rsid w:val="7FFE73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8B38A8FE-2C58-4D37-8673-D78743A9A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unhideWhenUsed="1" w:qFormat="1"/>
    <w:lsdException w:name="heading 3" w:unhideWhenUsed="1" w:qFormat="1"/>
    <w:lsdException w:name="heading 4" w:uiPriority="9" w:unhideWhenUsed="1" w:qFormat="1"/>
    <w:lsdException w:name="heading 5" w:uiPriority="9" w:unhideWhenUsed="1" w:qFormat="1"/>
    <w:lsdException w:name="heading 6"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iPriority="0"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iPriority="0"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unhideWhenUsed="1"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qFormat="1"/>
    <w:lsdException w:name="Plain Text" w:semiHidden="1" w:uiPriority="0"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iPriority="0" w:unhideWhenUsed="1" w:qFormat="1"/>
    <w:lsdException w:name="HTML Address" w:semiHidden="1" w:uiPriority="0" w:unhideWhenUsed="1" w:qFormat="1"/>
    <w:lsdException w:name="HTML Cite" w:semiHidden="1" w:uiPriority="0" w:unhideWhenUsed="1" w:qFormat="1"/>
    <w:lsdException w:name="HTML Code" w:semiHidden="1" w:uiPriority="0" w:unhideWhenUsed="1" w:qFormat="1"/>
    <w:lsdException w:name="HTML Definition" w:semiHidden="1" w:uiPriority="0" w:unhideWhenUsed="1" w:qFormat="1"/>
    <w:lsdException w:name="HTML Keyboard" w:semiHidden="1" w:uiPriority="0" w:unhideWhenUsed="1" w:qFormat="1"/>
    <w:lsdException w:name="HTML Preformatted" w:semiHidden="1" w:unhideWhenUsed="1" w:qFormat="1"/>
    <w:lsdException w:name="HTML Sample" w:semiHidden="1" w:uiPriority="0" w:unhideWhenUsed="1" w:qFormat="1"/>
    <w:lsdException w:name="HTML Typewriter" w:semiHidden="1" w:uiPriority="0" w:unhideWhenUsed="1" w:qFormat="1"/>
    <w:lsdException w:name="HTML Variable" w:semiHidden="1" w:uiPriority="0" w:unhideWhenUsed="1" w:qFormat="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iPriority="0" w:unhideWhenUsed="1" w:qFormat="1"/>
    <w:lsdException w:name="Table Simple 3" w:semiHidden="1" w:uiPriority="0" w:unhideWhenUsed="1" w:qFormat="1"/>
    <w:lsdException w:name="Table Classic 1" w:semiHidden="1" w:uiPriority="0" w:unhideWhenUsed="1" w:qFormat="1"/>
    <w:lsdException w:name="Table Classic 2" w:semiHidden="1" w:uiPriority="0" w:unhideWhenUsed="1" w:qFormat="1"/>
    <w:lsdException w:name="Table Classic 3" w:semiHidden="1" w:uiPriority="0" w:unhideWhenUsed="1" w:qFormat="1"/>
    <w:lsdException w:name="Table Classic 4" w:semiHidden="1" w:uiPriority="0" w:unhideWhenUsed="1" w:qFormat="1"/>
    <w:lsdException w:name="Table Colorful 1" w:semiHidden="1" w:uiPriority="0" w:unhideWhenUsed="1" w:qFormat="1"/>
    <w:lsdException w:name="Table Colorful 2" w:semiHidden="1" w:uiPriority="0" w:unhideWhenUsed="1" w:qFormat="1"/>
    <w:lsdException w:name="Table Colorful 3" w:semiHidden="1" w:uiPriority="0" w:unhideWhenUsed="1" w:qFormat="1"/>
    <w:lsdException w:name="Table Columns 1" w:semiHidden="1" w:uiPriority="0" w:unhideWhenUsed="1" w:qFormat="1"/>
    <w:lsdException w:name="Table Columns 2" w:semiHidden="1" w:uiPriority="0" w:unhideWhenUsed="1" w:qFormat="1"/>
    <w:lsdException w:name="Table Columns 3" w:semiHidden="1" w:uiPriority="0" w:unhideWhenUsed="1" w:qFormat="1"/>
    <w:lsdException w:name="Table Columns 4" w:semiHidden="1" w:uiPriority="0" w:unhideWhenUsed="1" w:qFormat="1"/>
    <w:lsdException w:name="Table Columns 5" w:semiHidden="1" w:uiPriority="0" w:unhideWhenUsed="1" w:qFormat="1"/>
    <w:lsdException w:name="Table Grid 1" w:semiHidden="1" w:uiPriority="0" w:unhideWhenUsed="1" w:qFormat="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iPriority="0" w:unhideWhenUsed="1" w:qFormat="1"/>
    <w:lsdException w:name="Table Grid 6" w:semiHidden="1" w:uiPriority="0" w:unhideWhenUsed="1" w:qFormat="1"/>
    <w:lsdException w:name="Table Grid 7" w:semiHidden="1" w:uiPriority="0" w:unhideWhenUsed="1" w:qFormat="1"/>
    <w:lsdException w:name="Table Grid 8" w:semiHidden="1" w:uiPriority="0" w:unhideWhenUsed="1" w:qFormat="1"/>
    <w:lsdException w:name="Table List 1" w:semiHidden="1" w:uiPriority="0" w:unhideWhenUsed="1" w:qFormat="1"/>
    <w:lsdException w:name="Table List 2" w:semiHidden="1" w:uiPriority="0" w:unhideWhenUsed="1" w:qFormat="1"/>
    <w:lsdException w:name="Table List 3" w:semiHidden="1" w:unhideWhenUsed="1" w:qFormat="1"/>
    <w:lsdException w:name="Table List 4" w:semiHidden="1" w:uiPriority="0" w:unhideWhenUsed="1" w:qFormat="1"/>
    <w:lsdException w:name="Table List 5" w:semiHidden="1" w:uiPriority="0" w:unhideWhenUsed="1" w:qFormat="1"/>
    <w:lsdException w:name="Table List 6" w:semiHidden="1" w:uiPriority="0" w:unhideWhenUsed="1" w:qFormat="1"/>
    <w:lsdException w:name="Table List 7" w:semiHidden="1" w:uiPriority="0" w:unhideWhenUsed="1" w:qFormat="1"/>
    <w:lsdException w:name="Table List 8" w:semiHidden="1" w:uiPriority="0" w:unhideWhenUsed="1" w:qFormat="1"/>
    <w:lsdException w:name="Table 3D effects 1" w:semiHidden="1" w:uiPriority="0" w:unhideWhenUsed="1" w:qFormat="1"/>
    <w:lsdException w:name="Table 3D effects 2" w:semiHidden="1" w:uiPriority="0" w:unhideWhenUsed="1" w:qFormat="1"/>
    <w:lsdException w:name="Table 3D effects 3" w:semiHidden="1" w:uiPriority="0" w:unhideWhenUsed="1" w:qFormat="1"/>
    <w:lsdException w:name="Table Contemporary" w:semiHidden="1" w:uiPriority="0" w:unhideWhenUsed="1" w:qFormat="1"/>
    <w:lsdException w:name="Table Elegant" w:semiHidden="1" w:uiPriority="0" w:unhideWhenUsed="1" w:qFormat="1"/>
    <w:lsdException w:name="Table Professional" w:semiHidden="1" w:uiPriority="0" w:unhideWhenUsed="1" w:qFormat="1"/>
    <w:lsdException w:name="Table Subtle 1" w:semiHidden="1" w:uiPriority="0" w:unhideWhenUsed="1" w:qFormat="1"/>
    <w:lsdException w:name="Table Subtle 2" w:semiHidden="1" w:uiPriority="0" w:unhideWhenUsed="1" w:qFormat="1"/>
    <w:lsdException w:name="Table Web 1" w:semiHidden="1" w:uiPriority="0" w:unhideWhenUsed="1" w:qFormat="1"/>
    <w:lsdException w:name="Table Web 2" w:semiHidden="1" w:uiPriority="0" w:unhideWhenUsed="1" w:qFormat="1"/>
    <w:lsdException w:name="Table Web 3" w:semiHidden="1" w:uiPriority="0" w:unhideWhenUsed="1" w:qFormat="1"/>
    <w:lsdException w:name="Balloon Text" w:semiHidden="1" w:unhideWhenUsed="1" w:qFormat="1"/>
    <w:lsdException w:name="Table Grid" w:uiPriority="0" w:qFormat="1"/>
    <w:lsdException w:name="Table Theme" w:semiHidden="1" w:uiPriority="0" w:unhideWhenUsed="1" w:qFormat="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Style3"/>
    <w:qFormat/>
    <w:pPr>
      <w:widowControl w:val="0"/>
      <w:jc w:val="both"/>
    </w:pPr>
    <w:rPr>
      <w:rFonts w:cstheme="minorBidi"/>
      <w:kern w:val="2"/>
      <w:sz w:val="21"/>
      <w:szCs w:val="22"/>
    </w:rPr>
  </w:style>
  <w:style w:type="paragraph" w:styleId="1">
    <w:name w:val="heading 1"/>
    <w:basedOn w:val="a"/>
    <w:next w:val="a"/>
    <w:link w:val="10"/>
    <w:autoRedefine/>
    <w:uiPriority w:val="99"/>
    <w:qFormat/>
    <w:pPr>
      <w:keepNext/>
      <w:keepLines/>
      <w:numPr>
        <w:numId w:val="1"/>
      </w:numPr>
      <w:snapToGrid w:val="0"/>
      <w:spacing w:line="360" w:lineRule="auto"/>
      <w:ind w:left="0"/>
      <w:jc w:val="center"/>
      <w:outlineLvl w:val="0"/>
    </w:pPr>
    <w:rPr>
      <w:b/>
      <w:bCs/>
      <w:kern w:val="44"/>
      <w:sz w:val="32"/>
      <w:szCs w:val="44"/>
    </w:rPr>
  </w:style>
  <w:style w:type="paragraph" w:styleId="20">
    <w:name w:val="heading 2"/>
    <w:basedOn w:val="a"/>
    <w:next w:val="a"/>
    <w:link w:val="21"/>
    <w:autoRedefine/>
    <w:uiPriority w:val="9"/>
    <w:unhideWhenUsed/>
    <w:qFormat/>
    <w:pPr>
      <w:keepNext/>
      <w:keepLines/>
      <w:numPr>
        <w:ilvl w:val="1"/>
        <w:numId w:val="1"/>
      </w:numPr>
      <w:spacing w:beforeLines="50" w:before="120" w:afterLines="50" w:after="120" w:line="360" w:lineRule="auto"/>
      <w:outlineLvl w:val="1"/>
    </w:pPr>
    <w:rPr>
      <w:rFonts w:cstheme="majorBidi"/>
      <w:b/>
      <w:bCs/>
      <w:sz w:val="28"/>
      <w:szCs w:val="32"/>
    </w:rPr>
  </w:style>
  <w:style w:type="paragraph" w:styleId="3">
    <w:name w:val="heading 3"/>
    <w:basedOn w:val="a"/>
    <w:next w:val="a"/>
    <w:link w:val="30"/>
    <w:autoRedefine/>
    <w:uiPriority w:val="99"/>
    <w:unhideWhenUsed/>
    <w:qFormat/>
    <w:pPr>
      <w:keepNext/>
      <w:keepLines/>
      <w:numPr>
        <w:ilvl w:val="2"/>
        <w:numId w:val="1"/>
      </w:numPr>
      <w:adjustRightInd w:val="0"/>
      <w:snapToGrid w:val="0"/>
      <w:spacing w:line="360" w:lineRule="auto"/>
      <w:jc w:val="left"/>
      <w:outlineLvl w:val="2"/>
    </w:pPr>
    <w:rPr>
      <w:b/>
      <w:bCs/>
      <w:sz w:val="24"/>
      <w:szCs w:val="32"/>
    </w:rPr>
  </w:style>
  <w:style w:type="paragraph" w:styleId="4">
    <w:name w:val="heading 4"/>
    <w:basedOn w:val="a"/>
    <w:next w:val="a"/>
    <w:link w:val="40"/>
    <w:autoRedefine/>
    <w:uiPriority w:val="9"/>
    <w:unhideWhenUsed/>
    <w:qFormat/>
    <w:pPr>
      <w:keepNext/>
      <w:keepLines/>
      <w:numPr>
        <w:ilvl w:val="3"/>
        <w:numId w:val="1"/>
      </w:numPr>
      <w:adjustRightInd w:val="0"/>
      <w:snapToGrid w:val="0"/>
      <w:spacing w:line="360" w:lineRule="auto"/>
      <w:jc w:val="left"/>
      <w:outlineLvl w:val="3"/>
    </w:pPr>
    <w:rPr>
      <w:rFonts w:cstheme="majorBidi"/>
      <w:b/>
      <w:bCs/>
      <w:sz w:val="24"/>
      <w:szCs w:val="28"/>
    </w:rPr>
  </w:style>
  <w:style w:type="paragraph" w:styleId="5">
    <w:name w:val="heading 5"/>
    <w:basedOn w:val="a"/>
    <w:next w:val="a"/>
    <w:link w:val="50"/>
    <w:autoRedefine/>
    <w:uiPriority w:val="9"/>
    <w:unhideWhenUsed/>
    <w:qFormat/>
    <w:pPr>
      <w:keepNext/>
      <w:keepLines/>
      <w:numPr>
        <w:ilvl w:val="4"/>
        <w:numId w:val="1"/>
      </w:numPr>
      <w:adjustRightInd w:val="0"/>
      <w:snapToGrid w:val="0"/>
      <w:spacing w:line="360" w:lineRule="auto"/>
      <w:outlineLvl w:val="4"/>
    </w:pPr>
    <w:rPr>
      <w:bCs/>
      <w:sz w:val="24"/>
      <w:szCs w:val="28"/>
    </w:rPr>
  </w:style>
  <w:style w:type="paragraph" w:styleId="6">
    <w:name w:val="heading 6"/>
    <w:basedOn w:val="a"/>
    <w:next w:val="a"/>
    <w:link w:val="60"/>
    <w:autoRedefine/>
    <w:uiPriority w:val="9"/>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autoRedefine/>
    <w:uiPriority w:val="99"/>
    <w:qFormat/>
    <w:pPr>
      <w:keepNext/>
      <w:keepLines/>
      <w:tabs>
        <w:tab w:val="left" w:pos="1296"/>
      </w:tabs>
      <w:snapToGrid w:val="0"/>
      <w:spacing w:before="240" w:after="64" w:line="317" w:lineRule="auto"/>
      <w:ind w:left="1296" w:hanging="1296"/>
      <w:outlineLvl w:val="6"/>
    </w:pPr>
    <w:rPr>
      <w:rFonts w:cs="Times New Roman"/>
      <w:b/>
      <w:kern w:val="0"/>
      <w:sz w:val="24"/>
      <w:szCs w:val="20"/>
    </w:rPr>
  </w:style>
  <w:style w:type="paragraph" w:styleId="8">
    <w:name w:val="heading 8"/>
    <w:basedOn w:val="a"/>
    <w:next w:val="a"/>
    <w:link w:val="80"/>
    <w:autoRedefine/>
    <w:uiPriority w:val="99"/>
    <w:qFormat/>
    <w:pPr>
      <w:keepNext/>
      <w:keepLines/>
      <w:tabs>
        <w:tab w:val="left" w:pos="1440"/>
      </w:tabs>
      <w:snapToGrid w:val="0"/>
      <w:spacing w:before="240" w:after="64" w:line="317" w:lineRule="auto"/>
      <w:ind w:left="1440" w:hanging="1440"/>
      <w:outlineLvl w:val="7"/>
    </w:pPr>
    <w:rPr>
      <w:rFonts w:ascii="Arial" w:eastAsia="黑体" w:hAnsi="Arial" w:cs="Times New Roman"/>
      <w:kern w:val="0"/>
      <w:sz w:val="24"/>
      <w:szCs w:val="20"/>
    </w:rPr>
  </w:style>
  <w:style w:type="paragraph" w:styleId="9">
    <w:name w:val="heading 9"/>
    <w:basedOn w:val="a"/>
    <w:next w:val="a"/>
    <w:link w:val="90"/>
    <w:autoRedefine/>
    <w:uiPriority w:val="99"/>
    <w:qFormat/>
    <w:pPr>
      <w:keepNext/>
      <w:keepLines/>
      <w:tabs>
        <w:tab w:val="left" w:pos="1584"/>
      </w:tabs>
      <w:snapToGrid w:val="0"/>
      <w:spacing w:before="240" w:after="64" w:line="317" w:lineRule="auto"/>
      <w:ind w:left="1584" w:hanging="1584"/>
      <w:outlineLvl w:val="8"/>
    </w:pPr>
    <w:rPr>
      <w:rFonts w:ascii="Arial" w:eastAsia="黑体" w:hAnsi="Arial" w:cs="Times New Roman"/>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_Style 3"/>
    <w:basedOn w:val="1"/>
    <w:next w:val="a"/>
    <w:uiPriority w:val="39"/>
    <w:qFormat/>
    <w:pPr>
      <w:keepNext w:val="0"/>
      <w:keepLines w:val="0"/>
      <w:jc w:val="left"/>
      <w:outlineLvl w:val="9"/>
    </w:pPr>
    <w:rPr>
      <w:kern w:val="0"/>
      <w:sz w:val="24"/>
      <w:szCs w:val="28"/>
    </w:rPr>
  </w:style>
  <w:style w:type="paragraph" w:styleId="a3">
    <w:name w:val="macro"/>
    <w:link w:val="a4"/>
    <w:autoRedefine/>
    <w:uiPriority w:val="99"/>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szCs w:val="24"/>
    </w:rPr>
  </w:style>
  <w:style w:type="paragraph" w:styleId="31">
    <w:name w:val="List 3"/>
    <w:basedOn w:val="a"/>
    <w:autoRedefine/>
    <w:uiPriority w:val="99"/>
    <w:qFormat/>
    <w:pPr>
      <w:widowControl/>
      <w:spacing w:line="520" w:lineRule="exact"/>
      <w:ind w:leftChars="400" w:left="100" w:hangingChars="200" w:hanging="200"/>
    </w:pPr>
    <w:rPr>
      <w:rFonts w:ascii="Verdana" w:hAnsi="Verdana" w:cs="Verdana"/>
      <w:bCs/>
      <w:kern w:val="0"/>
      <w:sz w:val="28"/>
      <w:szCs w:val="32"/>
    </w:rPr>
  </w:style>
  <w:style w:type="paragraph" w:styleId="71">
    <w:name w:val="toc 7"/>
    <w:basedOn w:val="a"/>
    <w:next w:val="a"/>
    <w:autoRedefine/>
    <w:uiPriority w:val="39"/>
    <w:unhideWhenUsed/>
    <w:qFormat/>
    <w:pPr>
      <w:ind w:leftChars="1200" w:left="2520"/>
    </w:pPr>
    <w:rPr>
      <w:rFonts w:asciiTheme="minorHAnsi" w:eastAsiaTheme="minorEastAsia" w:hAnsiTheme="minorHAnsi"/>
    </w:rPr>
  </w:style>
  <w:style w:type="paragraph" w:styleId="22">
    <w:name w:val="List Number 2"/>
    <w:basedOn w:val="a"/>
    <w:autoRedefine/>
    <w:uiPriority w:val="99"/>
    <w:qFormat/>
    <w:pPr>
      <w:tabs>
        <w:tab w:val="left" w:pos="780"/>
      </w:tabs>
      <w:ind w:left="780" w:hanging="360"/>
    </w:pPr>
    <w:rPr>
      <w:rFonts w:cs="Times New Roman"/>
      <w:szCs w:val="24"/>
    </w:rPr>
  </w:style>
  <w:style w:type="paragraph" w:styleId="a5">
    <w:name w:val="table of authorities"/>
    <w:basedOn w:val="a"/>
    <w:next w:val="a"/>
    <w:autoRedefine/>
    <w:uiPriority w:val="99"/>
    <w:qFormat/>
    <w:pPr>
      <w:ind w:leftChars="200" w:left="420"/>
    </w:pPr>
    <w:rPr>
      <w:rFonts w:cs="Times New Roman"/>
      <w:szCs w:val="24"/>
    </w:rPr>
  </w:style>
  <w:style w:type="paragraph" w:styleId="a6">
    <w:name w:val="Note Heading"/>
    <w:basedOn w:val="a"/>
    <w:next w:val="a"/>
    <w:link w:val="a7"/>
    <w:autoRedefine/>
    <w:uiPriority w:val="99"/>
    <w:qFormat/>
    <w:pPr>
      <w:jc w:val="center"/>
    </w:pPr>
    <w:rPr>
      <w:rFonts w:ascii="宋体" w:hAnsi="宋体" w:cs="Times New Roman"/>
      <w:snapToGrid w:val="0"/>
      <w:kern w:val="0"/>
      <w:sz w:val="28"/>
      <w:szCs w:val="24"/>
    </w:rPr>
  </w:style>
  <w:style w:type="paragraph" w:styleId="41">
    <w:name w:val="List Bullet 4"/>
    <w:basedOn w:val="a"/>
    <w:autoRedefine/>
    <w:uiPriority w:val="99"/>
    <w:qFormat/>
    <w:pPr>
      <w:tabs>
        <w:tab w:val="left" w:pos="1620"/>
      </w:tabs>
      <w:ind w:left="1620" w:hanging="360"/>
    </w:pPr>
    <w:rPr>
      <w:rFonts w:cs="Times New Roman"/>
      <w:sz w:val="24"/>
      <w:szCs w:val="20"/>
    </w:rPr>
  </w:style>
  <w:style w:type="paragraph" w:styleId="81">
    <w:name w:val="index 8"/>
    <w:basedOn w:val="a"/>
    <w:next w:val="a"/>
    <w:autoRedefine/>
    <w:uiPriority w:val="99"/>
    <w:qFormat/>
    <w:pPr>
      <w:ind w:left="1680" w:hanging="210"/>
      <w:jc w:val="left"/>
    </w:pPr>
    <w:rPr>
      <w:rFonts w:cs="Times New Roman"/>
      <w:sz w:val="20"/>
      <w:szCs w:val="20"/>
    </w:rPr>
  </w:style>
  <w:style w:type="paragraph" w:styleId="a8">
    <w:name w:val="E-mail Signature"/>
    <w:basedOn w:val="a"/>
    <w:next w:val="a9"/>
    <w:link w:val="aa"/>
    <w:autoRedefine/>
    <w:uiPriority w:val="99"/>
    <w:qFormat/>
    <w:pPr>
      <w:spacing w:line="460" w:lineRule="exact"/>
      <w:ind w:firstLine="200"/>
    </w:pPr>
    <w:rPr>
      <w:sz w:val="24"/>
    </w:rPr>
  </w:style>
  <w:style w:type="paragraph" w:customStyle="1" w:styleId="a9">
    <w:name w:val="文章"/>
    <w:basedOn w:val="ab"/>
    <w:next w:val="ac"/>
    <w:autoRedefine/>
    <w:uiPriority w:val="99"/>
    <w:qFormat/>
    <w:pPr>
      <w:widowControl/>
      <w:spacing w:after="0"/>
      <w:ind w:left="0" w:firstLine="480"/>
      <w:jc w:val="center"/>
    </w:pPr>
    <w:rPr>
      <w:sz w:val="26"/>
    </w:rPr>
  </w:style>
  <w:style w:type="paragraph" w:styleId="ab">
    <w:name w:val="Body Text Indent"/>
    <w:basedOn w:val="a"/>
    <w:link w:val="ad"/>
    <w:autoRedefine/>
    <w:uiPriority w:val="99"/>
    <w:unhideWhenUsed/>
    <w:qFormat/>
    <w:pPr>
      <w:spacing w:after="120"/>
      <w:ind w:leftChars="200" w:left="420"/>
    </w:pPr>
  </w:style>
  <w:style w:type="paragraph" w:styleId="ac">
    <w:name w:val="List"/>
    <w:basedOn w:val="a"/>
    <w:next w:val="2"/>
    <w:link w:val="ae"/>
    <w:autoRedefine/>
    <w:qFormat/>
    <w:pPr>
      <w:ind w:left="200" w:hangingChars="200" w:hanging="200"/>
    </w:pPr>
    <w:rPr>
      <w:rFonts w:ascii="Courier New" w:eastAsia="仿宋_GB2312" w:hAnsi="Courier New" w:cs="Courier New"/>
      <w:szCs w:val="24"/>
    </w:rPr>
  </w:style>
  <w:style w:type="paragraph" w:styleId="2">
    <w:name w:val="List Bullet 2"/>
    <w:basedOn w:val="a"/>
    <w:next w:val="xl70"/>
    <w:autoRedefine/>
    <w:uiPriority w:val="99"/>
    <w:unhideWhenUsed/>
    <w:qFormat/>
    <w:pPr>
      <w:numPr>
        <w:numId w:val="2"/>
      </w:numPr>
    </w:pPr>
  </w:style>
  <w:style w:type="paragraph" w:customStyle="1" w:styleId="xl70">
    <w:name w:val="xl70"/>
    <w:basedOn w:val="a"/>
    <w:next w:val="11"/>
    <w:autoRedefine/>
    <w:uiPriority w:val="99"/>
    <w:qFormat/>
    <w:pPr>
      <w:widowControl/>
      <w:spacing w:before="280" w:after="280"/>
    </w:pPr>
    <w:rPr>
      <w:rFonts w:ascii="宋体"/>
      <w:sz w:val="24"/>
    </w:rPr>
  </w:style>
  <w:style w:type="paragraph" w:customStyle="1" w:styleId="11">
    <w:name w:val="正文缩进1"/>
    <w:basedOn w:val="12"/>
    <w:next w:val="td1"/>
    <w:autoRedefine/>
    <w:qFormat/>
    <w:pPr>
      <w:ind w:left="420"/>
    </w:pPr>
  </w:style>
  <w:style w:type="paragraph" w:customStyle="1" w:styleId="12">
    <w:name w:val="正文1"/>
    <w:basedOn w:val="a"/>
    <w:next w:val="210"/>
    <w:link w:val="1CharChar"/>
    <w:autoRedefine/>
    <w:qFormat/>
    <w:pPr>
      <w:keepNext/>
      <w:spacing w:line="360" w:lineRule="auto"/>
      <w:ind w:firstLineChars="200" w:firstLine="200"/>
    </w:pPr>
    <w:rPr>
      <w:rFonts w:cs="宋体"/>
      <w:sz w:val="24"/>
    </w:rPr>
  </w:style>
  <w:style w:type="paragraph" w:customStyle="1" w:styleId="210">
    <w:name w:val="正文首行缩进 21"/>
    <w:basedOn w:val="13"/>
    <w:next w:val="a"/>
    <w:link w:val="2Char1"/>
    <w:autoRedefine/>
    <w:qFormat/>
    <w:rPr>
      <w:szCs w:val="24"/>
    </w:rPr>
  </w:style>
  <w:style w:type="paragraph" w:customStyle="1" w:styleId="13">
    <w:name w:val="正文文本缩进1"/>
    <w:basedOn w:val="a"/>
    <w:next w:val="14"/>
    <w:qFormat/>
    <w:pPr>
      <w:spacing w:line="360" w:lineRule="auto"/>
      <w:ind w:firstLineChars="200" w:firstLine="560"/>
    </w:pPr>
    <w:rPr>
      <w:rFonts w:ascii="宋体" w:hAnsi="宋体"/>
      <w:sz w:val="28"/>
    </w:rPr>
  </w:style>
  <w:style w:type="paragraph" w:customStyle="1" w:styleId="14">
    <w:name w:val="正文首行缩进1"/>
    <w:basedOn w:val="af"/>
    <w:next w:val="a"/>
    <w:autoRedefine/>
    <w:uiPriority w:val="99"/>
    <w:qFormat/>
    <w:pPr>
      <w:kinsoku/>
      <w:adjustRightInd/>
      <w:ind w:firstLineChars="100" w:firstLine="420"/>
      <w:jc w:val="both"/>
      <w:textAlignment w:val="auto"/>
    </w:pPr>
    <w:rPr>
      <w:kern w:val="0"/>
      <w:sz w:val="24"/>
    </w:rPr>
  </w:style>
  <w:style w:type="paragraph" w:styleId="af">
    <w:name w:val="Body Text"/>
    <w:basedOn w:val="a"/>
    <w:next w:val="a"/>
    <w:link w:val="af0"/>
    <w:autoRedefine/>
    <w:uiPriority w:val="99"/>
    <w:qFormat/>
    <w:pPr>
      <w:kinsoku w:val="0"/>
      <w:adjustRightInd w:val="0"/>
      <w:spacing w:after="120"/>
      <w:jc w:val="left"/>
      <w:textAlignment w:val="baseline"/>
    </w:pPr>
    <w:rPr>
      <w:rFonts w:cs="Times New Roman"/>
      <w:szCs w:val="24"/>
    </w:rPr>
  </w:style>
  <w:style w:type="paragraph" w:customStyle="1" w:styleId="td1">
    <w:name w:val="td1"/>
    <w:basedOn w:val="a"/>
    <w:next w:val="a"/>
    <w:autoRedefine/>
    <w:qFormat/>
    <w:pPr>
      <w:widowControl/>
      <w:spacing w:before="280" w:after="280" w:line="300" w:lineRule="atLeast"/>
      <w:ind w:firstLine="200"/>
    </w:pPr>
    <w:rPr>
      <w:color w:val="000000"/>
      <w:sz w:val="18"/>
    </w:rPr>
  </w:style>
  <w:style w:type="paragraph" w:styleId="af1">
    <w:name w:val="List Number"/>
    <w:basedOn w:val="a"/>
    <w:autoRedefine/>
    <w:uiPriority w:val="99"/>
    <w:qFormat/>
    <w:pPr>
      <w:widowControl/>
      <w:tabs>
        <w:tab w:val="left" w:pos="360"/>
      </w:tabs>
      <w:ind w:left="360" w:hanging="360"/>
      <w:jc w:val="left"/>
    </w:pPr>
    <w:rPr>
      <w:rFonts w:ascii="宋体" w:cs="Times New Roman"/>
      <w:kern w:val="28"/>
      <w:sz w:val="24"/>
      <w:szCs w:val="20"/>
    </w:rPr>
  </w:style>
  <w:style w:type="paragraph" w:styleId="af2">
    <w:name w:val="Normal Indent"/>
    <w:basedOn w:val="a"/>
    <w:next w:val="23"/>
    <w:link w:val="af3"/>
    <w:autoRedefine/>
    <w:qFormat/>
    <w:pPr>
      <w:spacing w:line="360" w:lineRule="auto"/>
      <w:ind w:firstLine="420"/>
    </w:pPr>
    <w:rPr>
      <w:rFonts w:ascii="宋体" w:cs="Times New Roman"/>
      <w:sz w:val="24"/>
      <w:szCs w:val="20"/>
    </w:rPr>
  </w:style>
  <w:style w:type="paragraph" w:styleId="23">
    <w:name w:val="Body Text First Indent 2"/>
    <w:basedOn w:val="ab"/>
    <w:autoRedefine/>
    <w:uiPriority w:val="99"/>
    <w:unhideWhenUsed/>
    <w:qFormat/>
    <w:pPr>
      <w:ind w:firstLine="420"/>
    </w:pPr>
  </w:style>
  <w:style w:type="paragraph" w:styleId="af4">
    <w:name w:val="caption"/>
    <w:basedOn w:val="a"/>
    <w:next w:val="a"/>
    <w:link w:val="af5"/>
    <w:autoRedefine/>
    <w:uiPriority w:val="99"/>
    <w:unhideWhenUsed/>
    <w:qFormat/>
    <w:rPr>
      <w:rFonts w:asciiTheme="majorHAnsi" w:eastAsia="黑体" w:hAnsiTheme="majorHAnsi" w:cstheme="majorBidi"/>
      <w:sz w:val="20"/>
      <w:szCs w:val="20"/>
    </w:rPr>
  </w:style>
  <w:style w:type="paragraph" w:styleId="51">
    <w:name w:val="index 5"/>
    <w:basedOn w:val="a"/>
    <w:next w:val="a"/>
    <w:autoRedefine/>
    <w:uiPriority w:val="99"/>
    <w:qFormat/>
    <w:pPr>
      <w:ind w:left="1050" w:hanging="210"/>
      <w:jc w:val="left"/>
    </w:pPr>
    <w:rPr>
      <w:rFonts w:cs="Times New Roman"/>
      <w:sz w:val="20"/>
      <w:szCs w:val="20"/>
    </w:rPr>
  </w:style>
  <w:style w:type="paragraph" w:styleId="af6">
    <w:name w:val="List Bullet"/>
    <w:basedOn w:val="a"/>
    <w:autoRedefine/>
    <w:uiPriority w:val="99"/>
    <w:qFormat/>
    <w:pPr>
      <w:tabs>
        <w:tab w:val="left" w:pos="425"/>
      </w:tabs>
      <w:spacing w:beforeLines="50" w:line="360" w:lineRule="auto"/>
      <w:ind w:left="200" w:hangingChars="200" w:hanging="200"/>
      <w:jc w:val="left"/>
    </w:pPr>
    <w:rPr>
      <w:rFonts w:cs="Times New Roman"/>
      <w:sz w:val="24"/>
      <w:szCs w:val="20"/>
    </w:rPr>
  </w:style>
  <w:style w:type="paragraph" w:styleId="af7">
    <w:name w:val="envelope address"/>
    <w:basedOn w:val="a"/>
    <w:autoRedefine/>
    <w:uiPriority w:val="99"/>
    <w:qFormat/>
    <w:pPr>
      <w:framePr w:w="7920" w:h="1980" w:hRule="exact" w:hSpace="180" w:wrap="around" w:hAnchor="page" w:xAlign="center" w:yAlign="bottom"/>
      <w:snapToGrid w:val="0"/>
      <w:ind w:leftChars="1400" w:left="100"/>
    </w:pPr>
    <w:rPr>
      <w:rFonts w:ascii="Arial" w:hAnsi="Arial" w:cs="Arial"/>
      <w:sz w:val="24"/>
      <w:szCs w:val="24"/>
    </w:rPr>
  </w:style>
  <w:style w:type="paragraph" w:styleId="af8">
    <w:name w:val="Document Map"/>
    <w:basedOn w:val="a"/>
    <w:link w:val="af9"/>
    <w:autoRedefine/>
    <w:uiPriority w:val="99"/>
    <w:qFormat/>
    <w:pPr>
      <w:shd w:val="clear" w:color="auto" w:fill="000080"/>
    </w:pPr>
    <w:rPr>
      <w:rFonts w:cs="Times New Roman"/>
      <w:kern w:val="0"/>
      <w:sz w:val="24"/>
      <w:szCs w:val="20"/>
    </w:rPr>
  </w:style>
  <w:style w:type="paragraph" w:styleId="afa">
    <w:name w:val="toa heading"/>
    <w:basedOn w:val="a"/>
    <w:next w:val="a"/>
    <w:autoRedefine/>
    <w:uiPriority w:val="99"/>
    <w:qFormat/>
    <w:pPr>
      <w:spacing w:before="120" w:line="480" w:lineRule="exact"/>
    </w:pPr>
    <w:rPr>
      <w:rFonts w:ascii="Arial" w:hAnsi="Arial" w:cs="Times New Roman"/>
      <w:b/>
      <w:bCs/>
      <w:sz w:val="24"/>
      <w:szCs w:val="24"/>
    </w:rPr>
  </w:style>
  <w:style w:type="paragraph" w:styleId="afb">
    <w:name w:val="annotation text"/>
    <w:basedOn w:val="a"/>
    <w:link w:val="afc"/>
    <w:unhideWhenUsed/>
    <w:qFormat/>
    <w:pPr>
      <w:jc w:val="left"/>
    </w:pPr>
    <w:rPr>
      <w:rFonts w:cs="Times New Roman"/>
    </w:rPr>
  </w:style>
  <w:style w:type="paragraph" w:styleId="61">
    <w:name w:val="index 6"/>
    <w:basedOn w:val="a"/>
    <w:next w:val="a"/>
    <w:autoRedefine/>
    <w:uiPriority w:val="99"/>
    <w:qFormat/>
    <w:pPr>
      <w:ind w:left="1260" w:hanging="210"/>
      <w:jc w:val="left"/>
    </w:pPr>
    <w:rPr>
      <w:rFonts w:cs="Times New Roman"/>
      <w:sz w:val="20"/>
      <w:szCs w:val="20"/>
    </w:rPr>
  </w:style>
  <w:style w:type="paragraph" w:styleId="afd">
    <w:name w:val="Salutation"/>
    <w:basedOn w:val="a"/>
    <w:next w:val="a"/>
    <w:link w:val="afe"/>
    <w:autoRedefine/>
    <w:uiPriority w:val="99"/>
    <w:qFormat/>
    <w:pPr>
      <w:widowControl/>
    </w:pPr>
    <w:rPr>
      <w:rFonts w:cs="Times New Roman"/>
      <w:kern w:val="0"/>
      <w:sz w:val="28"/>
      <w:szCs w:val="24"/>
    </w:rPr>
  </w:style>
  <w:style w:type="paragraph" w:styleId="32">
    <w:name w:val="Body Text 3"/>
    <w:basedOn w:val="a"/>
    <w:link w:val="33"/>
    <w:autoRedefine/>
    <w:uiPriority w:val="99"/>
    <w:qFormat/>
    <w:pPr>
      <w:spacing w:after="120"/>
    </w:pPr>
    <w:rPr>
      <w:sz w:val="16"/>
      <w:szCs w:val="16"/>
    </w:rPr>
  </w:style>
  <w:style w:type="paragraph" w:styleId="aff">
    <w:name w:val="Closing"/>
    <w:basedOn w:val="a"/>
    <w:link w:val="aff0"/>
    <w:autoRedefine/>
    <w:uiPriority w:val="99"/>
    <w:qFormat/>
    <w:pPr>
      <w:widowControl/>
      <w:ind w:leftChars="2100" w:left="100"/>
    </w:pPr>
    <w:rPr>
      <w:rFonts w:cs="Times New Roman"/>
      <w:kern w:val="0"/>
      <w:sz w:val="28"/>
      <w:szCs w:val="24"/>
    </w:rPr>
  </w:style>
  <w:style w:type="paragraph" w:styleId="34">
    <w:name w:val="List Bullet 3"/>
    <w:basedOn w:val="a"/>
    <w:autoRedefine/>
    <w:uiPriority w:val="99"/>
    <w:qFormat/>
    <w:pPr>
      <w:tabs>
        <w:tab w:val="left" w:pos="1200"/>
      </w:tabs>
      <w:ind w:left="1200" w:hanging="360"/>
    </w:pPr>
    <w:rPr>
      <w:rFonts w:cs="Times New Roman"/>
      <w:sz w:val="24"/>
      <w:szCs w:val="20"/>
    </w:rPr>
  </w:style>
  <w:style w:type="paragraph" w:styleId="35">
    <w:name w:val="List Number 3"/>
    <w:basedOn w:val="a"/>
    <w:autoRedefine/>
    <w:uiPriority w:val="99"/>
    <w:qFormat/>
    <w:pPr>
      <w:tabs>
        <w:tab w:val="left" w:pos="1200"/>
      </w:tabs>
      <w:ind w:left="1200" w:hanging="360"/>
    </w:pPr>
    <w:rPr>
      <w:rFonts w:cs="Times New Roman"/>
      <w:szCs w:val="24"/>
    </w:rPr>
  </w:style>
  <w:style w:type="paragraph" w:styleId="24">
    <w:name w:val="List 2"/>
    <w:basedOn w:val="a"/>
    <w:autoRedefine/>
    <w:uiPriority w:val="99"/>
    <w:qFormat/>
    <w:pPr>
      <w:adjustRightInd w:val="0"/>
      <w:spacing w:beforeLines="50" w:line="360" w:lineRule="auto"/>
      <w:ind w:left="840" w:hanging="420"/>
      <w:textAlignment w:val="baseline"/>
    </w:pPr>
    <w:rPr>
      <w:rFonts w:cs="Times New Roman"/>
      <w:kern w:val="0"/>
      <w:sz w:val="24"/>
      <w:szCs w:val="20"/>
    </w:rPr>
  </w:style>
  <w:style w:type="paragraph" w:styleId="aff1">
    <w:name w:val="List Continue"/>
    <w:basedOn w:val="a"/>
    <w:autoRedefine/>
    <w:uiPriority w:val="99"/>
    <w:qFormat/>
    <w:pPr>
      <w:adjustRightInd w:val="0"/>
      <w:spacing w:beforeLines="50" w:after="120" w:line="360" w:lineRule="auto"/>
      <w:ind w:left="420"/>
      <w:textAlignment w:val="baseline"/>
    </w:pPr>
    <w:rPr>
      <w:rFonts w:cs="Times New Roman"/>
      <w:kern w:val="0"/>
      <w:sz w:val="24"/>
      <w:szCs w:val="20"/>
    </w:rPr>
  </w:style>
  <w:style w:type="paragraph" w:styleId="aff2">
    <w:name w:val="Block Text"/>
    <w:basedOn w:val="a"/>
    <w:next w:val="a"/>
    <w:link w:val="aff3"/>
    <w:autoRedefine/>
    <w:uiPriority w:val="99"/>
    <w:qFormat/>
    <w:pPr>
      <w:spacing w:after="120"/>
      <w:ind w:left="1440" w:right="1440"/>
    </w:pPr>
    <w:rPr>
      <w:rFonts w:ascii="Courier New" w:eastAsia="仿宋_GB2312" w:hAnsi="Courier New" w:cs="Courier New"/>
      <w:szCs w:val="28"/>
    </w:rPr>
  </w:style>
  <w:style w:type="paragraph" w:styleId="HTML">
    <w:name w:val="HTML Address"/>
    <w:basedOn w:val="a"/>
    <w:link w:val="HTML0"/>
    <w:autoRedefine/>
    <w:qFormat/>
    <w:rPr>
      <w:rFonts w:cs="Times New Roman"/>
      <w:i/>
      <w:iCs/>
      <w:szCs w:val="24"/>
    </w:rPr>
  </w:style>
  <w:style w:type="paragraph" w:styleId="42">
    <w:name w:val="index 4"/>
    <w:basedOn w:val="a"/>
    <w:next w:val="a"/>
    <w:autoRedefine/>
    <w:uiPriority w:val="99"/>
    <w:qFormat/>
    <w:pPr>
      <w:ind w:left="840" w:hanging="210"/>
      <w:jc w:val="left"/>
    </w:pPr>
    <w:rPr>
      <w:rFonts w:cs="Times New Roman"/>
      <w:sz w:val="20"/>
      <w:szCs w:val="20"/>
    </w:rPr>
  </w:style>
  <w:style w:type="paragraph" w:styleId="52">
    <w:name w:val="toc 5"/>
    <w:basedOn w:val="a"/>
    <w:next w:val="a"/>
    <w:autoRedefine/>
    <w:uiPriority w:val="39"/>
    <w:unhideWhenUsed/>
    <w:qFormat/>
    <w:pPr>
      <w:ind w:leftChars="800" w:left="1680"/>
    </w:pPr>
    <w:rPr>
      <w:rFonts w:asciiTheme="minorHAnsi" w:eastAsiaTheme="minorEastAsia" w:hAnsiTheme="minorHAnsi"/>
    </w:rPr>
  </w:style>
  <w:style w:type="paragraph" w:styleId="36">
    <w:name w:val="toc 3"/>
    <w:basedOn w:val="a"/>
    <w:next w:val="a"/>
    <w:autoRedefine/>
    <w:uiPriority w:val="39"/>
    <w:unhideWhenUsed/>
    <w:qFormat/>
    <w:pPr>
      <w:ind w:leftChars="400" w:left="840"/>
    </w:pPr>
  </w:style>
  <w:style w:type="paragraph" w:styleId="aff4">
    <w:name w:val="Plain Text"/>
    <w:basedOn w:val="a"/>
    <w:link w:val="aff5"/>
    <w:autoRedefine/>
    <w:qFormat/>
    <w:rPr>
      <w:rFonts w:ascii="宋体" w:hAnsi="Courier New" w:cs="Times New Roman"/>
      <w:szCs w:val="20"/>
    </w:rPr>
  </w:style>
  <w:style w:type="paragraph" w:styleId="53">
    <w:name w:val="List Bullet 5"/>
    <w:basedOn w:val="a"/>
    <w:autoRedefine/>
    <w:uiPriority w:val="99"/>
    <w:qFormat/>
    <w:pPr>
      <w:tabs>
        <w:tab w:val="left" w:pos="2040"/>
      </w:tabs>
      <w:ind w:left="2040" w:hanging="360"/>
    </w:pPr>
    <w:rPr>
      <w:rFonts w:cs="Times New Roman"/>
      <w:szCs w:val="24"/>
    </w:rPr>
  </w:style>
  <w:style w:type="paragraph" w:styleId="43">
    <w:name w:val="List Number 4"/>
    <w:basedOn w:val="a"/>
    <w:autoRedefine/>
    <w:uiPriority w:val="99"/>
    <w:qFormat/>
    <w:pPr>
      <w:tabs>
        <w:tab w:val="left" w:pos="1620"/>
      </w:tabs>
      <w:ind w:left="1620" w:hanging="360"/>
    </w:pPr>
    <w:rPr>
      <w:rFonts w:cs="Times New Roman"/>
      <w:szCs w:val="24"/>
    </w:rPr>
  </w:style>
  <w:style w:type="paragraph" w:styleId="82">
    <w:name w:val="toc 8"/>
    <w:basedOn w:val="a"/>
    <w:next w:val="a"/>
    <w:autoRedefine/>
    <w:uiPriority w:val="39"/>
    <w:unhideWhenUsed/>
    <w:qFormat/>
    <w:pPr>
      <w:ind w:leftChars="1400" w:left="2940"/>
    </w:pPr>
    <w:rPr>
      <w:rFonts w:asciiTheme="minorHAnsi" w:eastAsiaTheme="minorEastAsia" w:hAnsiTheme="minorHAnsi"/>
    </w:rPr>
  </w:style>
  <w:style w:type="paragraph" w:styleId="37">
    <w:name w:val="index 3"/>
    <w:basedOn w:val="a"/>
    <w:next w:val="a"/>
    <w:autoRedefine/>
    <w:uiPriority w:val="99"/>
    <w:qFormat/>
    <w:pPr>
      <w:ind w:left="630" w:hanging="210"/>
      <w:jc w:val="left"/>
    </w:pPr>
    <w:rPr>
      <w:rFonts w:cs="Times New Roman"/>
      <w:sz w:val="20"/>
      <w:szCs w:val="20"/>
    </w:rPr>
  </w:style>
  <w:style w:type="paragraph" w:styleId="aff6">
    <w:name w:val="Date"/>
    <w:basedOn w:val="a"/>
    <w:next w:val="a"/>
    <w:link w:val="aff7"/>
    <w:autoRedefine/>
    <w:uiPriority w:val="99"/>
    <w:unhideWhenUsed/>
    <w:qFormat/>
    <w:pPr>
      <w:ind w:leftChars="2500" w:left="100"/>
    </w:pPr>
  </w:style>
  <w:style w:type="paragraph" w:styleId="25">
    <w:name w:val="Body Text Indent 2"/>
    <w:basedOn w:val="a"/>
    <w:next w:val="aff8"/>
    <w:link w:val="26"/>
    <w:autoRedefine/>
    <w:uiPriority w:val="99"/>
    <w:qFormat/>
    <w:pPr>
      <w:spacing w:after="120" w:line="480" w:lineRule="auto"/>
      <w:ind w:leftChars="200" w:left="420"/>
    </w:pPr>
  </w:style>
  <w:style w:type="paragraph" w:customStyle="1" w:styleId="aff8">
    <w:name w:val="简单回函地址"/>
    <w:basedOn w:val="a"/>
    <w:next w:val="27"/>
    <w:autoRedefine/>
    <w:qFormat/>
  </w:style>
  <w:style w:type="paragraph" w:customStyle="1" w:styleId="27">
    <w:name w:val="正文2"/>
    <w:basedOn w:val="a"/>
    <w:link w:val="CharCharCharCharCharCharCharCharCharCharCharCharChar"/>
    <w:autoRedefine/>
    <w:qFormat/>
    <w:pPr>
      <w:spacing w:line="360" w:lineRule="auto"/>
      <w:ind w:firstLineChars="200" w:firstLine="200"/>
    </w:pPr>
    <w:rPr>
      <w:sz w:val="24"/>
      <w:szCs w:val="24"/>
    </w:rPr>
  </w:style>
  <w:style w:type="paragraph" w:styleId="aff9">
    <w:name w:val="endnote text"/>
    <w:basedOn w:val="a"/>
    <w:link w:val="affa"/>
    <w:autoRedefine/>
    <w:uiPriority w:val="99"/>
    <w:qFormat/>
    <w:pPr>
      <w:adjustRightInd w:val="0"/>
      <w:snapToGrid w:val="0"/>
      <w:spacing w:before="60"/>
      <w:jc w:val="left"/>
      <w:textAlignment w:val="baseline"/>
    </w:pPr>
    <w:rPr>
      <w:rFonts w:cs="Times New Roman"/>
      <w:sz w:val="24"/>
      <w:szCs w:val="20"/>
    </w:rPr>
  </w:style>
  <w:style w:type="paragraph" w:styleId="54">
    <w:name w:val="List Continue 5"/>
    <w:basedOn w:val="a"/>
    <w:autoRedefine/>
    <w:uiPriority w:val="99"/>
    <w:qFormat/>
    <w:pPr>
      <w:spacing w:after="120"/>
      <w:ind w:leftChars="1000" w:left="2100"/>
    </w:pPr>
    <w:rPr>
      <w:rFonts w:cs="Times New Roman"/>
      <w:szCs w:val="24"/>
    </w:rPr>
  </w:style>
  <w:style w:type="paragraph" w:styleId="affb">
    <w:name w:val="Balloon Text"/>
    <w:basedOn w:val="a"/>
    <w:link w:val="affc"/>
    <w:autoRedefine/>
    <w:uiPriority w:val="99"/>
    <w:unhideWhenUsed/>
    <w:qFormat/>
    <w:rPr>
      <w:sz w:val="18"/>
      <w:szCs w:val="18"/>
    </w:rPr>
  </w:style>
  <w:style w:type="paragraph" w:styleId="affd">
    <w:name w:val="footer"/>
    <w:basedOn w:val="a"/>
    <w:link w:val="affe"/>
    <w:autoRedefine/>
    <w:uiPriority w:val="99"/>
    <w:unhideWhenUsed/>
    <w:qFormat/>
    <w:pPr>
      <w:tabs>
        <w:tab w:val="center" w:pos="4153"/>
        <w:tab w:val="right" w:pos="8306"/>
      </w:tabs>
      <w:snapToGrid w:val="0"/>
      <w:jc w:val="left"/>
    </w:pPr>
    <w:rPr>
      <w:sz w:val="18"/>
      <w:szCs w:val="18"/>
    </w:rPr>
  </w:style>
  <w:style w:type="paragraph" w:styleId="afff">
    <w:name w:val="envelope return"/>
    <w:basedOn w:val="a"/>
    <w:autoRedefine/>
    <w:uiPriority w:val="99"/>
    <w:qFormat/>
    <w:pPr>
      <w:snapToGrid w:val="0"/>
    </w:pPr>
    <w:rPr>
      <w:rFonts w:ascii="Arial" w:hAnsi="Arial" w:cs="Arial"/>
      <w:szCs w:val="24"/>
    </w:rPr>
  </w:style>
  <w:style w:type="paragraph" w:styleId="afff0">
    <w:name w:val="header"/>
    <w:basedOn w:val="a"/>
    <w:link w:val="afff1"/>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fff2">
    <w:name w:val="Signature"/>
    <w:basedOn w:val="a"/>
    <w:link w:val="afff3"/>
    <w:autoRedefine/>
    <w:uiPriority w:val="99"/>
    <w:qFormat/>
    <w:pPr>
      <w:ind w:leftChars="2100" w:left="100"/>
    </w:pPr>
    <w:rPr>
      <w:rFonts w:cs="Times New Roman"/>
      <w:szCs w:val="24"/>
    </w:rPr>
  </w:style>
  <w:style w:type="paragraph" w:styleId="15">
    <w:name w:val="toc 1"/>
    <w:basedOn w:val="a"/>
    <w:next w:val="a"/>
    <w:autoRedefine/>
    <w:uiPriority w:val="39"/>
    <w:unhideWhenUsed/>
    <w:qFormat/>
    <w:pPr>
      <w:spacing w:line="360" w:lineRule="auto"/>
    </w:pPr>
    <w:rPr>
      <w:b/>
      <w:sz w:val="24"/>
    </w:rPr>
  </w:style>
  <w:style w:type="paragraph" w:styleId="44">
    <w:name w:val="List Continue 4"/>
    <w:basedOn w:val="a"/>
    <w:autoRedefine/>
    <w:uiPriority w:val="99"/>
    <w:qFormat/>
    <w:pPr>
      <w:spacing w:after="120"/>
      <w:ind w:leftChars="800" w:left="1680"/>
    </w:pPr>
    <w:rPr>
      <w:rFonts w:cs="Times New Roman"/>
      <w:szCs w:val="24"/>
    </w:rPr>
  </w:style>
  <w:style w:type="paragraph" w:styleId="45">
    <w:name w:val="toc 4"/>
    <w:basedOn w:val="a"/>
    <w:next w:val="a"/>
    <w:autoRedefine/>
    <w:uiPriority w:val="39"/>
    <w:unhideWhenUsed/>
    <w:qFormat/>
    <w:pPr>
      <w:ind w:leftChars="600" w:left="1260"/>
    </w:pPr>
    <w:rPr>
      <w:rFonts w:asciiTheme="minorHAnsi" w:eastAsiaTheme="minorEastAsia" w:hAnsiTheme="minorHAnsi"/>
    </w:rPr>
  </w:style>
  <w:style w:type="paragraph" w:styleId="afff4">
    <w:name w:val="index heading"/>
    <w:basedOn w:val="a"/>
    <w:next w:val="16"/>
    <w:autoRedefine/>
    <w:uiPriority w:val="99"/>
    <w:qFormat/>
    <w:pPr>
      <w:jc w:val="left"/>
    </w:pPr>
    <w:rPr>
      <w:rFonts w:cs="Times New Roman"/>
      <w:sz w:val="20"/>
      <w:szCs w:val="20"/>
    </w:rPr>
  </w:style>
  <w:style w:type="paragraph" w:styleId="16">
    <w:name w:val="index 1"/>
    <w:basedOn w:val="a"/>
    <w:next w:val="a"/>
    <w:autoRedefine/>
    <w:uiPriority w:val="99"/>
    <w:qFormat/>
    <w:pPr>
      <w:jc w:val="center"/>
    </w:pPr>
  </w:style>
  <w:style w:type="paragraph" w:styleId="afff5">
    <w:name w:val="Subtitle"/>
    <w:basedOn w:val="a"/>
    <w:next w:val="a"/>
    <w:link w:val="afff6"/>
    <w:autoRedefine/>
    <w:uiPriority w:val="99"/>
    <w:qFormat/>
    <w:pPr>
      <w:snapToGrid w:val="0"/>
      <w:spacing w:line="500" w:lineRule="exact"/>
      <w:ind w:firstLineChars="200" w:firstLine="420"/>
      <w:jc w:val="center"/>
    </w:pPr>
    <w:rPr>
      <w:rFonts w:cs="Times New Roman"/>
      <w:kern w:val="0"/>
      <w:sz w:val="28"/>
      <w:szCs w:val="28"/>
    </w:rPr>
  </w:style>
  <w:style w:type="paragraph" w:styleId="55">
    <w:name w:val="List Number 5"/>
    <w:basedOn w:val="a"/>
    <w:autoRedefine/>
    <w:uiPriority w:val="99"/>
    <w:qFormat/>
    <w:pPr>
      <w:tabs>
        <w:tab w:val="left" w:pos="2324"/>
      </w:tabs>
      <w:ind w:left="2324" w:hanging="360"/>
    </w:pPr>
    <w:rPr>
      <w:rFonts w:cs="Times New Roman"/>
      <w:szCs w:val="24"/>
    </w:rPr>
  </w:style>
  <w:style w:type="paragraph" w:styleId="afff7">
    <w:name w:val="footnote text"/>
    <w:basedOn w:val="afff8"/>
    <w:link w:val="afff9"/>
    <w:autoRedefine/>
    <w:qFormat/>
    <w:pPr>
      <w:keepLines/>
      <w:spacing w:after="220" w:line="200" w:lineRule="atLeast"/>
      <w:ind w:left="0" w:firstLine="0"/>
    </w:pPr>
    <w:rPr>
      <w:rFonts w:ascii="Times New Roman" w:hAnsi="Times New Roman"/>
      <w:spacing w:val="0"/>
      <w:sz w:val="16"/>
    </w:rPr>
  </w:style>
  <w:style w:type="paragraph" w:customStyle="1" w:styleId="afff8">
    <w:name w:val="基准页脚样式"/>
    <w:basedOn w:val="af"/>
    <w:autoRedefine/>
    <w:uiPriority w:val="99"/>
    <w:qFormat/>
    <w:pPr>
      <w:widowControl/>
      <w:tabs>
        <w:tab w:val="left" w:pos="576"/>
      </w:tabs>
      <w:kinsoku/>
      <w:adjustRightInd/>
      <w:spacing w:after="0" w:line="320" w:lineRule="exact"/>
      <w:ind w:left="576" w:hanging="576"/>
      <w:jc w:val="center"/>
      <w:textAlignment w:val="auto"/>
    </w:pPr>
    <w:rPr>
      <w:rFonts w:ascii="宋体" w:hAnsi="Arial"/>
      <w:spacing w:val="-20"/>
      <w:kern w:val="0"/>
      <w:szCs w:val="20"/>
    </w:rPr>
  </w:style>
  <w:style w:type="paragraph" w:styleId="62">
    <w:name w:val="toc 6"/>
    <w:basedOn w:val="a"/>
    <w:next w:val="a"/>
    <w:autoRedefine/>
    <w:uiPriority w:val="39"/>
    <w:unhideWhenUsed/>
    <w:qFormat/>
    <w:pPr>
      <w:ind w:leftChars="1000" w:left="2100"/>
    </w:pPr>
    <w:rPr>
      <w:rFonts w:asciiTheme="minorHAnsi" w:eastAsiaTheme="minorEastAsia" w:hAnsiTheme="minorHAnsi"/>
    </w:rPr>
  </w:style>
  <w:style w:type="paragraph" w:styleId="56">
    <w:name w:val="List 5"/>
    <w:basedOn w:val="a"/>
    <w:autoRedefine/>
    <w:uiPriority w:val="99"/>
    <w:qFormat/>
    <w:pPr>
      <w:adjustRightInd w:val="0"/>
      <w:spacing w:beforeLines="50" w:line="360" w:lineRule="auto"/>
      <w:ind w:left="2100" w:hanging="420"/>
      <w:textAlignment w:val="baseline"/>
    </w:pPr>
    <w:rPr>
      <w:rFonts w:cs="Times New Roman"/>
      <w:kern w:val="0"/>
      <w:sz w:val="24"/>
      <w:szCs w:val="20"/>
    </w:rPr>
  </w:style>
  <w:style w:type="paragraph" w:styleId="38">
    <w:name w:val="Body Text Indent 3"/>
    <w:basedOn w:val="a"/>
    <w:link w:val="39"/>
    <w:autoRedefine/>
    <w:uiPriority w:val="99"/>
    <w:unhideWhenUsed/>
    <w:qFormat/>
    <w:pPr>
      <w:adjustRightInd w:val="0"/>
      <w:snapToGrid w:val="0"/>
      <w:jc w:val="center"/>
    </w:pPr>
    <w:rPr>
      <w:rFonts w:cs="Times New Roman"/>
      <w:color w:val="FF0000"/>
      <w:szCs w:val="21"/>
    </w:rPr>
  </w:style>
  <w:style w:type="paragraph" w:styleId="72">
    <w:name w:val="index 7"/>
    <w:basedOn w:val="a"/>
    <w:next w:val="a"/>
    <w:autoRedefine/>
    <w:uiPriority w:val="99"/>
    <w:qFormat/>
    <w:pPr>
      <w:ind w:left="1470" w:hanging="210"/>
      <w:jc w:val="left"/>
    </w:pPr>
    <w:rPr>
      <w:rFonts w:cs="Times New Roman"/>
      <w:sz w:val="20"/>
      <w:szCs w:val="20"/>
    </w:rPr>
  </w:style>
  <w:style w:type="paragraph" w:styleId="91">
    <w:name w:val="index 9"/>
    <w:basedOn w:val="a"/>
    <w:next w:val="a"/>
    <w:autoRedefine/>
    <w:uiPriority w:val="99"/>
    <w:qFormat/>
    <w:pPr>
      <w:ind w:left="1890" w:hanging="210"/>
      <w:jc w:val="left"/>
    </w:pPr>
    <w:rPr>
      <w:rFonts w:cs="Times New Roman"/>
      <w:sz w:val="20"/>
      <w:szCs w:val="20"/>
    </w:rPr>
  </w:style>
  <w:style w:type="paragraph" w:styleId="afffa">
    <w:name w:val="table of figures"/>
    <w:basedOn w:val="a"/>
    <w:next w:val="a"/>
    <w:autoRedefine/>
    <w:uiPriority w:val="99"/>
    <w:qFormat/>
    <w:pPr>
      <w:ind w:leftChars="200" w:left="840" w:hangingChars="200" w:hanging="420"/>
    </w:pPr>
    <w:rPr>
      <w:sz w:val="30"/>
    </w:rPr>
  </w:style>
  <w:style w:type="paragraph" w:styleId="28">
    <w:name w:val="toc 2"/>
    <w:basedOn w:val="a"/>
    <w:next w:val="a"/>
    <w:link w:val="29"/>
    <w:autoRedefine/>
    <w:uiPriority w:val="39"/>
    <w:unhideWhenUsed/>
    <w:qFormat/>
    <w:pPr>
      <w:spacing w:line="360" w:lineRule="auto"/>
      <w:ind w:leftChars="200" w:left="200"/>
    </w:pPr>
    <w:rPr>
      <w:sz w:val="24"/>
    </w:rPr>
  </w:style>
  <w:style w:type="paragraph" w:styleId="92">
    <w:name w:val="toc 9"/>
    <w:basedOn w:val="a"/>
    <w:next w:val="a"/>
    <w:autoRedefine/>
    <w:uiPriority w:val="39"/>
    <w:unhideWhenUsed/>
    <w:qFormat/>
    <w:pPr>
      <w:ind w:leftChars="1600" w:left="3360"/>
    </w:pPr>
    <w:rPr>
      <w:rFonts w:asciiTheme="minorHAnsi" w:eastAsiaTheme="minorEastAsia" w:hAnsiTheme="minorHAnsi"/>
    </w:rPr>
  </w:style>
  <w:style w:type="paragraph" w:styleId="2a">
    <w:name w:val="Body Text 2"/>
    <w:basedOn w:val="a"/>
    <w:link w:val="2b"/>
    <w:autoRedefine/>
    <w:uiPriority w:val="99"/>
    <w:qFormat/>
    <w:pPr>
      <w:spacing w:after="120" w:line="480" w:lineRule="auto"/>
    </w:pPr>
    <w:rPr>
      <w:szCs w:val="24"/>
    </w:rPr>
  </w:style>
  <w:style w:type="paragraph" w:styleId="46">
    <w:name w:val="List 4"/>
    <w:basedOn w:val="a"/>
    <w:autoRedefine/>
    <w:uiPriority w:val="99"/>
    <w:qFormat/>
    <w:pPr>
      <w:adjustRightInd w:val="0"/>
      <w:spacing w:beforeLines="50" w:line="360" w:lineRule="auto"/>
      <w:ind w:left="1680" w:hanging="420"/>
      <w:textAlignment w:val="baseline"/>
    </w:pPr>
    <w:rPr>
      <w:rFonts w:cs="Times New Roman"/>
      <w:kern w:val="0"/>
      <w:sz w:val="24"/>
      <w:szCs w:val="20"/>
    </w:rPr>
  </w:style>
  <w:style w:type="paragraph" w:styleId="2c">
    <w:name w:val="List Continue 2"/>
    <w:basedOn w:val="a"/>
    <w:autoRedefine/>
    <w:uiPriority w:val="99"/>
    <w:qFormat/>
    <w:pPr>
      <w:adjustRightInd w:val="0"/>
      <w:spacing w:beforeLines="50" w:after="120" w:line="360" w:lineRule="auto"/>
      <w:ind w:left="840"/>
      <w:textAlignment w:val="baseline"/>
    </w:pPr>
    <w:rPr>
      <w:rFonts w:cs="Times New Roman"/>
      <w:kern w:val="0"/>
      <w:sz w:val="24"/>
      <w:szCs w:val="20"/>
    </w:rPr>
  </w:style>
  <w:style w:type="paragraph" w:styleId="afffb">
    <w:name w:val="Message Header"/>
    <w:basedOn w:val="a"/>
    <w:link w:val="afffc"/>
    <w:autoRedefine/>
    <w:uiPriority w:val="99"/>
    <w:qFormat/>
    <w:pPr>
      <w:pBdr>
        <w:top w:val="single" w:sz="6" w:space="1" w:color="auto"/>
        <w:left w:val="single" w:sz="6" w:space="1" w:color="auto"/>
        <w:bottom w:val="single" w:sz="6" w:space="1" w:color="auto"/>
        <w:right w:val="single" w:sz="6" w:space="1" w:color="auto"/>
      </w:pBdr>
      <w:shd w:val="pct20" w:color="auto" w:fill="auto"/>
      <w:spacing w:line="360" w:lineRule="auto"/>
      <w:ind w:leftChars="500" w:left="1080" w:hangingChars="500" w:hanging="1080"/>
    </w:pPr>
    <w:rPr>
      <w:rFonts w:ascii="Arial" w:eastAsiaTheme="minorEastAsia" w:hAnsi="Arial" w:cs="Arial"/>
      <w:kern w:val="0"/>
      <w:lang w:eastAsia="en-US"/>
    </w:rPr>
  </w:style>
  <w:style w:type="paragraph" w:styleId="HTML1">
    <w:name w:val="HTML Preformatted"/>
    <w:basedOn w:val="a"/>
    <w:link w:val="HTML10"/>
    <w:autoRedefine/>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Cs w:val="24"/>
    </w:rPr>
  </w:style>
  <w:style w:type="paragraph" w:styleId="afffd">
    <w:name w:val="Normal (Web)"/>
    <w:basedOn w:val="a"/>
    <w:link w:val="afffe"/>
    <w:autoRedefine/>
    <w:uiPriority w:val="99"/>
    <w:unhideWhenUsed/>
    <w:qFormat/>
    <w:pPr>
      <w:spacing w:beforeAutospacing="1" w:afterAutospacing="1"/>
      <w:jc w:val="left"/>
    </w:pPr>
    <w:rPr>
      <w:rFonts w:cs="Times New Roman"/>
      <w:kern w:val="0"/>
      <w:sz w:val="24"/>
    </w:rPr>
  </w:style>
  <w:style w:type="paragraph" w:styleId="3a">
    <w:name w:val="List Continue 3"/>
    <w:basedOn w:val="a"/>
    <w:autoRedefine/>
    <w:uiPriority w:val="99"/>
    <w:qFormat/>
    <w:pPr>
      <w:spacing w:after="120"/>
      <w:ind w:leftChars="600" w:left="1260"/>
    </w:pPr>
    <w:rPr>
      <w:rFonts w:cs="Times New Roman"/>
      <w:szCs w:val="24"/>
    </w:rPr>
  </w:style>
  <w:style w:type="paragraph" w:styleId="2d">
    <w:name w:val="index 2"/>
    <w:basedOn w:val="a"/>
    <w:next w:val="a"/>
    <w:autoRedefine/>
    <w:uiPriority w:val="99"/>
    <w:qFormat/>
    <w:pPr>
      <w:ind w:leftChars="200" w:left="200"/>
    </w:pPr>
    <w:rPr>
      <w:rFonts w:cs="Times New Roman"/>
      <w:sz w:val="24"/>
      <w:szCs w:val="20"/>
    </w:rPr>
  </w:style>
  <w:style w:type="paragraph" w:styleId="affff">
    <w:name w:val="Title"/>
    <w:basedOn w:val="a"/>
    <w:link w:val="affff0"/>
    <w:autoRedefine/>
    <w:uiPriority w:val="99"/>
    <w:qFormat/>
    <w:pPr>
      <w:spacing w:before="240" w:after="60"/>
      <w:jc w:val="center"/>
      <w:outlineLvl w:val="0"/>
    </w:pPr>
    <w:rPr>
      <w:rFonts w:ascii="Arial" w:eastAsia="黑体" w:hAnsi="Arial" w:cs="Times New Roman"/>
      <w:kern w:val="0"/>
      <w:sz w:val="32"/>
      <w:szCs w:val="20"/>
    </w:rPr>
  </w:style>
  <w:style w:type="paragraph" w:styleId="affff1">
    <w:name w:val="annotation subject"/>
    <w:basedOn w:val="afb"/>
    <w:next w:val="afb"/>
    <w:link w:val="affff2"/>
    <w:autoRedefine/>
    <w:uiPriority w:val="99"/>
    <w:unhideWhenUsed/>
    <w:qFormat/>
    <w:rPr>
      <w:b/>
      <w:bCs/>
    </w:rPr>
  </w:style>
  <w:style w:type="paragraph" w:styleId="affff3">
    <w:name w:val="Body Text First Indent"/>
    <w:basedOn w:val="af"/>
    <w:next w:val="a"/>
    <w:autoRedefine/>
    <w:uiPriority w:val="99"/>
    <w:qFormat/>
    <w:pPr>
      <w:adjustRightInd/>
      <w:ind w:firstLineChars="100" w:firstLine="420"/>
      <w:jc w:val="both"/>
      <w:textAlignment w:val="auto"/>
    </w:pPr>
  </w:style>
  <w:style w:type="table" w:styleId="affff4">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table" w:styleId="affff5">
    <w:name w:val="Table Theme"/>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Colorful 1"/>
    <w:basedOn w:val="a1"/>
    <w:autoRedefine/>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e">
    <w:name w:val="Table Colorful 2"/>
    <w:basedOn w:val="a1"/>
    <w:autoRedefine/>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top w:val="nil"/>
          <w:left w:val="single" w:sz="12" w:space="0" w:color="00000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b">
    <w:name w:val="Table Colorful 3"/>
    <w:basedOn w:val="a1"/>
    <w:autoRedefine/>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single" w:sz="6" w:space="0" w:color="000000"/>
          <w:bottom w:val="nil"/>
          <w:right w:val="nil"/>
          <w:insideH w:val="nil"/>
          <w:insideV w:val="nil"/>
          <w:tl2br w:val="nil"/>
          <w:tr2bl w:val="nil"/>
        </w:tcBorders>
        <w:shd w:val="solid" w:color="008080" w:fill="FFFFFF"/>
      </w:tcPr>
    </w:tblStylePr>
    <w:tblStylePr w:type="firstCol">
      <w:tblPr/>
      <w:tcPr>
        <w:tcBorders>
          <w:top w:val="nil"/>
          <w:left w:val="nil"/>
          <w:bottom w:val="single" w:sz="36" w:space="0" w:color="000000"/>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f6">
    <w:name w:val="Table Elegant"/>
    <w:basedOn w:val="a1"/>
    <w:autoRedefine/>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8">
    <w:name w:val="Table Classic 1"/>
    <w:basedOn w:val="a1"/>
    <w:autoRedefine/>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
    <w:name w:val="Table Classic 2"/>
    <w:basedOn w:val="a1"/>
    <w:autoRedefine/>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top w:val="nil"/>
          <w:left w:val="single" w:sz="6" w:space="0" w:color="000000"/>
          <w:bottom w:val="nil"/>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c">
    <w:name w:val="Table Classic 3"/>
    <w:basedOn w:val="a1"/>
    <w:autoRedefine/>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single" w:sz="6" w:space="0" w:color="000000"/>
          <w:bottom w:val="nil"/>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7">
    <w:name w:val="Table Classic 4"/>
    <w:basedOn w:val="a1"/>
    <w:autoRedefine/>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single" w:sz="6" w:space="0" w:color="000000"/>
          <w:bottom w:val="nil"/>
          <w:right w:val="nil"/>
          <w:insideH w:val="nil"/>
          <w:insideV w:val="nil"/>
          <w:tl2br w:val="nil"/>
          <w:tr2bl w:val="nil"/>
        </w:tcBorders>
        <w:shd w:val="pct50" w:color="000080" w:fill="FFFFFF"/>
      </w:tcPr>
    </w:tblStylePr>
    <w:tblStylePr w:type="lastRow">
      <w:rPr>
        <w:color w:val="000080"/>
      </w:rPr>
      <w:tblPr/>
      <w:tcPr>
        <w:tcBorders>
          <w:top w:val="nil"/>
          <w:left w:val="single" w:sz="6" w:space="0" w:color="00000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9">
    <w:name w:val="Table Simple 1"/>
    <w:basedOn w:val="a1"/>
    <w:autoRedefine/>
    <w:qFormat/>
    <w:pPr>
      <w:widowControl w:val="0"/>
      <w:jc w:val="both"/>
    </w:pPr>
    <w:tblPr>
      <w:tblBorders>
        <w:top w:val="single" w:sz="12" w:space="0" w:color="auto"/>
        <w:bottom w:val="single" w:sz="12" w:space="0" w:color="auto"/>
        <w:insideH w:val="single" w:sz="4" w:space="0" w:color="auto"/>
        <w:insideV w:val="single" w:sz="4" w:space="0" w:color="auto"/>
      </w:tblBorders>
    </w:tblPr>
    <w:tcPr>
      <w:shd w:val="clear" w:color="auto" w:fill="auto"/>
    </w:tcPr>
    <w:tblStylePr w:type="firstRow">
      <w:tblPr/>
      <w:tcPr>
        <w:tcBorders>
          <w:top w:val="single" w:sz="12" w:space="0" w:color="auto"/>
          <w:left w:val="single" w:sz="12" w:space="0" w:color="auto"/>
          <w:bottom w:val="nil"/>
          <w:right w:val="nil"/>
          <w:insideH w:val="nil"/>
          <w:insideV w:val="nil"/>
          <w:tl2br w:val="nil"/>
          <w:tr2bl w:val="nil"/>
        </w:tcBorders>
        <w:shd w:val="clear" w:color="auto" w:fill="auto"/>
      </w:tcPr>
    </w:tblStylePr>
    <w:tblStylePr w:type="lastRow">
      <w:tblPr/>
      <w:tcPr>
        <w:tcBorders>
          <w:top w:val="single" w:sz="6" w:space="0" w:color="008000"/>
          <w:left w:val="single" w:sz="12" w:space="0" w:color="auto"/>
          <w:bottom w:val="nil"/>
          <w:right w:val="nil"/>
          <w:insideH w:val="nil"/>
          <w:insideV w:val="nil"/>
          <w:tl2br w:val="nil"/>
          <w:tr2bl w:val="nil"/>
        </w:tcBorders>
        <w:shd w:val="clear" w:color="auto" w:fill="auto"/>
      </w:tcPr>
    </w:tblStylePr>
  </w:style>
  <w:style w:type="table" w:styleId="2f0">
    <w:name w:val="Table Simple 2"/>
    <w:basedOn w:val="a1"/>
    <w:autoRedefine/>
    <w:qFormat/>
    <w:pPr>
      <w:widowControl w:val="0"/>
      <w:jc w:val="both"/>
    </w:pPr>
    <w:tblPr/>
    <w:tblStylePr w:type="firstRow">
      <w:rPr>
        <w:b/>
        <w:bCs/>
      </w:rPr>
      <w:tblPr/>
      <w:tcPr>
        <w:tcBorders>
          <w:top w:val="nil"/>
          <w:left w:val="single" w:sz="12" w:space="0" w:color="000000"/>
          <w:bottom w:val="nil"/>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nil"/>
          <w:bottom w:val="single" w:sz="6" w:space="0" w:color="00000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d">
    <w:name w:val="Table Simple 3"/>
    <w:basedOn w:val="a1"/>
    <w:autoRedefine/>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a">
    <w:name w:val="Table Subtle 1"/>
    <w:basedOn w:val="a1"/>
    <w:autoRedefine/>
    <w:qFormat/>
    <w:pPr>
      <w:widowControl w:val="0"/>
      <w:jc w:val="both"/>
    </w:pPr>
    <w:tblPr>
      <w:tblStyleRowBandSize w:val="1"/>
    </w:tblPr>
    <w:tblStylePr w:type="firstRow">
      <w:tblPr/>
      <w:tcPr>
        <w:tcBorders>
          <w:top w:val="single" w:sz="6" w:space="0" w:color="000000"/>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nil"/>
          <w:bottom w:val="single" w:sz="12" w:space="0" w:color="000000"/>
          <w:right w:val="nil"/>
          <w:insideH w:val="nil"/>
          <w:insideV w:val="nil"/>
          <w:tl2br w:val="nil"/>
          <w:tr2bl w:val="nil"/>
        </w:tcBorders>
      </w:tcPr>
    </w:tblStylePr>
    <w:tblStylePr w:type="band1Horz">
      <w:tblPr/>
      <w:tcPr>
        <w:tcBorders>
          <w:top w:val="nil"/>
          <w:left w:val="single" w:sz="6"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1">
    <w:name w:val="Table Subtle 2"/>
    <w:basedOn w:val="a1"/>
    <w:autoRedefine/>
    <w:qFormat/>
    <w:pPr>
      <w:widowControl w:val="0"/>
      <w:jc w:val="both"/>
    </w:pPr>
    <w:tblPr>
      <w:tblBorders>
        <w:left w:val="single" w:sz="6" w:space="0" w:color="000000"/>
        <w:right w:val="single" w:sz="6" w:space="0" w:color="000000"/>
      </w:tblBorders>
    </w:tblPr>
    <w:tblStylePr w:type="firstRow">
      <w:tblPr/>
      <w:tcPr>
        <w:tcBorders>
          <w:top w:val="nil"/>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nil"/>
          <w:bottom w:val="single" w:sz="12"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b">
    <w:name w:val="Table 3D effects 1"/>
    <w:basedOn w:val="a1"/>
    <w:autoRedefine/>
    <w:qFormat/>
    <w:pPr>
      <w:widowControl w:val="0"/>
      <w:jc w:val="both"/>
    </w:pPr>
    <w:tblPr/>
    <w:tcPr>
      <w:shd w:val="solid" w:color="C0C0C0" w:fill="FFFFFF"/>
    </w:tcPr>
    <w:tblStylePr w:type="firstRow">
      <w:rPr>
        <w:b/>
        <w:bCs/>
        <w:color w:val="800080"/>
      </w:rPr>
      <w:tblPr/>
      <w:tcPr>
        <w:tcBorders>
          <w:top w:val="nil"/>
          <w:left w:val="single" w:sz="6" w:space="0" w:color="808080"/>
          <w:bottom w:val="nil"/>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single" w:sz="6" w:space="0" w:color="FFFFFF"/>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f2">
    <w:name w:val="Table 3D effects 2"/>
    <w:basedOn w:val="a1"/>
    <w:autoRedefine/>
    <w:qFormat/>
    <w:pPr>
      <w:widowControl w:val="0"/>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single" w:sz="6" w:space="0" w:color="FFFFFF"/>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e">
    <w:name w:val="Table 3D effects 3"/>
    <w:basedOn w:val="a1"/>
    <w:autoRedefine/>
    <w:qFormat/>
    <w:pPr>
      <w:widowControl w:val="0"/>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c">
    <w:name w:val="Table List 1"/>
    <w:basedOn w:val="a1"/>
    <w:autoRedefine/>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single" w:sz="6" w:space="0" w:color="000000"/>
          <w:bottom w:val="nil"/>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3">
    <w:name w:val="Table List 2"/>
    <w:basedOn w:val="a1"/>
    <w:autoRedefine/>
    <w:qFormat/>
    <w:pPr>
      <w:widowControl w:val="0"/>
      <w:jc w:val="both"/>
    </w:pPr>
    <w:tblPr>
      <w:tblBorders>
        <w:bottom w:val="single" w:sz="12" w:space="0" w:color="808080"/>
      </w:tblBorders>
    </w:tblPr>
    <w:tblStylePr w:type="firstRow">
      <w:rPr>
        <w:b/>
        <w:bCs/>
        <w:color w:val="FFFFFF"/>
      </w:rPr>
      <w:tblPr/>
      <w:tcPr>
        <w:tcBorders>
          <w:top w:val="nil"/>
          <w:left w:val="single" w:sz="6" w:space="0" w:color="000000"/>
          <w:bottom w:val="nil"/>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
    <w:name w:val="Table List 3"/>
    <w:basedOn w:val="a1"/>
    <w:autoRedefine/>
    <w:uiPriority w:val="99"/>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8">
    <w:name w:val="Table List 4"/>
    <w:basedOn w:val="a1"/>
    <w:autoRedefine/>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single" w:sz="12" w:space="0" w:color="000000"/>
          <w:bottom w:val="nil"/>
          <w:right w:val="nil"/>
          <w:insideH w:val="nil"/>
          <w:insideV w:val="nil"/>
          <w:tl2br w:val="nil"/>
          <w:tr2bl w:val="nil"/>
        </w:tcBorders>
        <w:shd w:val="solid" w:color="808080" w:fill="FFFFFF"/>
      </w:tcPr>
    </w:tblStylePr>
  </w:style>
  <w:style w:type="table" w:styleId="57">
    <w:name w:val="Table List 5"/>
    <w:basedOn w:val="a1"/>
    <w:autoRedefine/>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single" w:sz="12" w:space="0" w:color="00000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3">
    <w:name w:val="Table List 6"/>
    <w:basedOn w:val="a1"/>
    <w:autoRedefine/>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single" w:sz="12" w:space="0" w:color="000000"/>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3">
    <w:name w:val="Table List 7"/>
    <w:basedOn w:val="a1"/>
    <w:autoRedefine/>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single" w:sz="12" w:space="0" w:color="008000"/>
          <w:bottom w:val="nil"/>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3">
    <w:name w:val="Table List 8"/>
    <w:basedOn w:val="a1"/>
    <w:autoRedefine/>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single" w:sz="6" w:space="0" w:color="000000"/>
          <w:bottom w:val="nil"/>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f7">
    <w:name w:val="Table Contemporary"/>
    <w:basedOn w:val="a1"/>
    <w:autoRedefine/>
    <w:qFormat/>
    <w:pPr>
      <w:widowControl w:val="0"/>
      <w:jc w:val="both"/>
    </w:p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d">
    <w:name w:val="Table Columns 1"/>
    <w:basedOn w:val="a1"/>
    <w:autoRedefine/>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double" w:sz="6" w:space="0" w:color="00000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4">
    <w:name w:val="Table Columns 2"/>
    <w:basedOn w:val="a1"/>
    <w:autoRedefine/>
    <w:qFormat/>
    <w:pPr>
      <w:widowControl w:val="0"/>
      <w:jc w:val="both"/>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0">
    <w:name w:val="Table Columns 3"/>
    <w:basedOn w:val="a1"/>
    <w:autoRedefine/>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9">
    <w:name w:val="Table Columns 4"/>
    <w:basedOn w:val="a1"/>
    <w:autoRedefine/>
    <w:qFormat/>
    <w:pPr>
      <w:widowControl w:val="0"/>
      <w:jc w:val="both"/>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1"/>
    <w:autoRedefine/>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single" w:sz="6" w:space="0" w:color="808080"/>
          <w:bottom w:val="nil"/>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e">
    <w:name w:val="Table Grid 1"/>
    <w:basedOn w:val="a1"/>
    <w:autoRedefine/>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5">
    <w:name w:val="Table Grid 2"/>
    <w:basedOn w:val="a1"/>
    <w:autoRedefine/>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f1">
    <w:name w:val="Table Grid 3"/>
    <w:basedOn w:val="a1"/>
    <w:autoRedefine/>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a">
    <w:name w:val="Table Grid 4"/>
    <w:basedOn w:val="a1"/>
    <w:autoRedefine/>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9">
    <w:name w:val="Table Grid 5"/>
    <w:basedOn w:val="a1"/>
    <w:autoRedefine/>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tcBorders>
        <w:top w:val="single" w:sz="12" w:space="0" w:color="000000"/>
        <w:left w:val="single" w:sz="12" w:space="0" w:color="000000"/>
        <w:bottom w:val="single" w:sz="12" w:space="0" w:color="000000"/>
        <w:right w:val="single" w:sz="12" w:space="0" w:color="000000"/>
      </w:tcBorders>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4">
    <w:name w:val="Table Grid 6"/>
    <w:basedOn w:val="a1"/>
    <w:autoRedefine/>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4">
    <w:name w:val="Table Grid 7"/>
    <w:basedOn w:val="a1"/>
    <w:autoRedefine/>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4">
    <w:name w:val="Table Grid 8"/>
    <w:basedOn w:val="a1"/>
    <w:autoRedefine/>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f">
    <w:name w:val="Table Web 1"/>
    <w:basedOn w:val="a1"/>
    <w:autoRedefine/>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6">
    <w:name w:val="Table Web 2"/>
    <w:basedOn w:val="a1"/>
    <w:autoRedefine/>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2">
    <w:name w:val="Table Web 3"/>
    <w:basedOn w:val="a1"/>
    <w:autoRedefine/>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f8">
    <w:name w:val="Table Professional"/>
    <w:basedOn w:val="a1"/>
    <w:autoRedefine/>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f9">
    <w:name w:val="Strong"/>
    <w:basedOn w:val="a0"/>
    <w:autoRedefine/>
    <w:uiPriority w:val="22"/>
    <w:qFormat/>
    <w:rPr>
      <w:b/>
    </w:rPr>
  </w:style>
  <w:style w:type="character" w:styleId="affffa">
    <w:name w:val="endnote reference"/>
    <w:autoRedefine/>
    <w:qFormat/>
    <w:rPr>
      <w:rFonts w:cs="Times New Roman"/>
      <w:vertAlign w:val="superscript"/>
    </w:rPr>
  </w:style>
  <w:style w:type="character" w:styleId="affffb">
    <w:name w:val="page number"/>
    <w:basedOn w:val="a0"/>
    <w:autoRedefine/>
    <w:qFormat/>
  </w:style>
  <w:style w:type="character" w:styleId="affffc">
    <w:name w:val="FollowedHyperlink"/>
    <w:basedOn w:val="a0"/>
    <w:autoRedefine/>
    <w:uiPriority w:val="99"/>
    <w:unhideWhenUsed/>
    <w:qFormat/>
    <w:rPr>
      <w:color w:val="000000"/>
      <w:u w:val="none"/>
    </w:rPr>
  </w:style>
  <w:style w:type="character" w:styleId="affffd">
    <w:name w:val="Emphasis"/>
    <w:autoRedefine/>
    <w:qFormat/>
    <w:rPr>
      <w:i/>
      <w:iCs/>
    </w:rPr>
  </w:style>
  <w:style w:type="character" w:styleId="affffe">
    <w:name w:val="line number"/>
    <w:autoRedefine/>
    <w:uiPriority w:val="99"/>
    <w:qFormat/>
  </w:style>
  <w:style w:type="character" w:styleId="HTML2">
    <w:name w:val="HTML Definition"/>
    <w:autoRedefine/>
    <w:qFormat/>
    <w:rPr>
      <w:i/>
      <w:iCs/>
    </w:rPr>
  </w:style>
  <w:style w:type="character" w:styleId="HTML3">
    <w:name w:val="HTML Typewriter"/>
    <w:autoRedefine/>
    <w:qFormat/>
    <w:rPr>
      <w:rFonts w:ascii="Courier New" w:hAnsi="Courier New" w:cs="Courier New"/>
      <w:sz w:val="20"/>
      <w:szCs w:val="20"/>
    </w:rPr>
  </w:style>
  <w:style w:type="character" w:styleId="HTML4">
    <w:name w:val="HTML Acronym"/>
    <w:basedOn w:val="a0"/>
    <w:autoRedefine/>
    <w:qFormat/>
  </w:style>
  <w:style w:type="character" w:styleId="HTML5">
    <w:name w:val="HTML Variable"/>
    <w:autoRedefine/>
    <w:qFormat/>
    <w:rPr>
      <w:i/>
      <w:iCs/>
    </w:rPr>
  </w:style>
  <w:style w:type="character" w:styleId="afffff">
    <w:name w:val="Hyperlink"/>
    <w:basedOn w:val="a0"/>
    <w:autoRedefine/>
    <w:uiPriority w:val="99"/>
    <w:unhideWhenUsed/>
    <w:qFormat/>
    <w:rPr>
      <w:color w:val="0563C1" w:themeColor="hyperlink"/>
      <w:u w:val="single"/>
    </w:rPr>
  </w:style>
  <w:style w:type="character" w:styleId="HTML6">
    <w:name w:val="HTML Code"/>
    <w:autoRedefine/>
    <w:qFormat/>
    <w:rPr>
      <w:rFonts w:ascii="Courier New" w:hAnsi="Courier New" w:cs="Courier New"/>
      <w:sz w:val="20"/>
      <w:szCs w:val="20"/>
    </w:rPr>
  </w:style>
  <w:style w:type="character" w:styleId="afffff0">
    <w:name w:val="annotation reference"/>
    <w:basedOn w:val="a0"/>
    <w:autoRedefine/>
    <w:uiPriority w:val="99"/>
    <w:unhideWhenUsed/>
    <w:qFormat/>
    <w:rPr>
      <w:sz w:val="21"/>
      <w:szCs w:val="21"/>
    </w:rPr>
  </w:style>
  <w:style w:type="character" w:styleId="HTML7">
    <w:name w:val="HTML Cite"/>
    <w:autoRedefine/>
    <w:qFormat/>
    <w:rPr>
      <w:i/>
      <w:iCs/>
    </w:rPr>
  </w:style>
  <w:style w:type="character" w:styleId="afffff1">
    <w:name w:val="footnote reference"/>
    <w:autoRedefine/>
    <w:qFormat/>
    <w:rPr>
      <w:vertAlign w:val="superscript"/>
    </w:rPr>
  </w:style>
  <w:style w:type="character" w:styleId="HTML8">
    <w:name w:val="HTML Keyboard"/>
    <w:autoRedefine/>
    <w:qFormat/>
    <w:rPr>
      <w:rFonts w:ascii="Courier New" w:hAnsi="Courier New" w:cs="Courier New"/>
      <w:sz w:val="20"/>
      <w:szCs w:val="20"/>
    </w:rPr>
  </w:style>
  <w:style w:type="character" w:styleId="HTML9">
    <w:name w:val="HTML Sample"/>
    <w:autoRedefine/>
    <w:qFormat/>
    <w:rPr>
      <w:rFonts w:ascii="Courier New" w:hAnsi="Courier New" w:cs="Courier New"/>
    </w:rPr>
  </w:style>
  <w:style w:type="character" w:customStyle="1" w:styleId="30">
    <w:name w:val="标题 3 字符"/>
    <w:basedOn w:val="a0"/>
    <w:link w:val="3"/>
    <w:autoRedefine/>
    <w:uiPriority w:val="99"/>
    <w:qFormat/>
    <w:rPr>
      <w:rFonts w:cstheme="minorBidi"/>
      <w:b/>
      <w:bCs/>
      <w:kern w:val="2"/>
      <w:sz w:val="24"/>
      <w:szCs w:val="32"/>
    </w:rPr>
  </w:style>
  <w:style w:type="character" w:customStyle="1" w:styleId="10">
    <w:name w:val="标题 1 字符"/>
    <w:basedOn w:val="a0"/>
    <w:link w:val="1"/>
    <w:autoRedefine/>
    <w:uiPriority w:val="99"/>
    <w:qFormat/>
    <w:rPr>
      <w:rFonts w:cstheme="minorBidi"/>
      <w:b/>
      <w:bCs/>
      <w:kern w:val="44"/>
      <w:sz w:val="32"/>
      <w:szCs w:val="44"/>
    </w:rPr>
  </w:style>
  <w:style w:type="character" w:customStyle="1" w:styleId="21">
    <w:name w:val="标题 2 字符"/>
    <w:basedOn w:val="a0"/>
    <w:link w:val="20"/>
    <w:autoRedefine/>
    <w:uiPriority w:val="9"/>
    <w:qFormat/>
    <w:rPr>
      <w:rFonts w:cstheme="majorBidi"/>
      <w:b/>
      <w:bCs/>
      <w:kern w:val="2"/>
      <w:sz w:val="28"/>
      <w:szCs w:val="32"/>
    </w:rPr>
  </w:style>
  <w:style w:type="character" w:customStyle="1" w:styleId="40">
    <w:name w:val="标题 4 字符"/>
    <w:basedOn w:val="a0"/>
    <w:link w:val="4"/>
    <w:autoRedefine/>
    <w:uiPriority w:val="9"/>
    <w:qFormat/>
    <w:rPr>
      <w:rFonts w:cstheme="majorBidi"/>
      <w:b/>
      <w:bCs/>
      <w:kern w:val="2"/>
      <w:sz w:val="24"/>
      <w:szCs w:val="28"/>
    </w:rPr>
  </w:style>
  <w:style w:type="character" w:customStyle="1" w:styleId="50">
    <w:name w:val="标题 5 字符"/>
    <w:basedOn w:val="a0"/>
    <w:link w:val="5"/>
    <w:autoRedefine/>
    <w:uiPriority w:val="9"/>
    <w:qFormat/>
    <w:rPr>
      <w:rFonts w:cstheme="minorBidi"/>
      <w:bCs/>
      <w:kern w:val="2"/>
      <w:sz w:val="24"/>
      <w:szCs w:val="28"/>
    </w:rPr>
  </w:style>
  <w:style w:type="character" w:customStyle="1" w:styleId="60">
    <w:name w:val="标题 6 字符"/>
    <w:basedOn w:val="a0"/>
    <w:link w:val="6"/>
    <w:autoRedefine/>
    <w:uiPriority w:val="9"/>
    <w:qFormat/>
    <w:rPr>
      <w:rFonts w:asciiTheme="majorHAnsi" w:eastAsiaTheme="majorEastAsia" w:hAnsiTheme="majorHAnsi" w:cstheme="majorBidi"/>
      <w:b/>
      <w:bCs/>
      <w:sz w:val="24"/>
      <w:szCs w:val="24"/>
    </w:rPr>
  </w:style>
  <w:style w:type="character" w:customStyle="1" w:styleId="70">
    <w:name w:val="标题 7 字符"/>
    <w:basedOn w:val="a0"/>
    <w:link w:val="7"/>
    <w:autoRedefine/>
    <w:uiPriority w:val="99"/>
    <w:qFormat/>
    <w:rPr>
      <w:b/>
      <w:sz w:val="24"/>
    </w:rPr>
  </w:style>
  <w:style w:type="character" w:customStyle="1" w:styleId="80">
    <w:name w:val="标题 8 字符"/>
    <w:basedOn w:val="a0"/>
    <w:link w:val="8"/>
    <w:autoRedefine/>
    <w:uiPriority w:val="99"/>
    <w:qFormat/>
    <w:rPr>
      <w:rFonts w:ascii="Arial" w:eastAsia="黑体" w:hAnsi="Arial"/>
      <w:sz w:val="24"/>
    </w:rPr>
  </w:style>
  <w:style w:type="character" w:customStyle="1" w:styleId="90">
    <w:name w:val="标题 9 字符"/>
    <w:basedOn w:val="a0"/>
    <w:link w:val="9"/>
    <w:autoRedefine/>
    <w:uiPriority w:val="99"/>
    <w:qFormat/>
    <w:rPr>
      <w:rFonts w:ascii="Arial" w:eastAsia="黑体" w:hAnsi="Arial"/>
      <w:sz w:val="24"/>
    </w:rPr>
  </w:style>
  <w:style w:type="character" w:customStyle="1" w:styleId="ad">
    <w:name w:val="正文文本缩进 字符"/>
    <w:basedOn w:val="a0"/>
    <w:link w:val="ab"/>
    <w:autoRedefine/>
    <w:uiPriority w:val="99"/>
    <w:qFormat/>
  </w:style>
  <w:style w:type="character" w:customStyle="1" w:styleId="2Char1">
    <w:name w:val="正文首行缩进 2 Char1"/>
    <w:link w:val="210"/>
    <w:autoRedefine/>
    <w:qFormat/>
    <w:rPr>
      <w:rFonts w:cs="宋体"/>
      <w:kern w:val="2"/>
      <w:sz w:val="24"/>
      <w:szCs w:val="24"/>
    </w:rPr>
  </w:style>
  <w:style w:type="character" w:customStyle="1" w:styleId="1CharChar">
    <w:name w:val="正文1 Char Char"/>
    <w:link w:val="12"/>
    <w:autoRedefine/>
    <w:qFormat/>
    <w:rPr>
      <w:rFonts w:cs="宋体"/>
      <w:kern w:val="2"/>
      <w:sz w:val="24"/>
      <w:szCs w:val="22"/>
    </w:rPr>
  </w:style>
  <w:style w:type="character" w:customStyle="1" w:styleId="ae">
    <w:name w:val="列表 字符"/>
    <w:link w:val="ac"/>
    <w:autoRedefine/>
    <w:qFormat/>
    <w:rPr>
      <w:rFonts w:ascii="Courier New" w:eastAsia="仿宋_GB2312" w:hAnsi="Courier New" w:cs="Courier New"/>
      <w:szCs w:val="24"/>
    </w:rPr>
  </w:style>
  <w:style w:type="character" w:customStyle="1" w:styleId="aa">
    <w:name w:val="电子邮件签名 字符"/>
    <w:link w:val="a8"/>
    <w:autoRedefine/>
    <w:uiPriority w:val="99"/>
    <w:qFormat/>
    <w:rPr>
      <w:rFonts w:cstheme="minorBidi"/>
      <w:kern w:val="2"/>
      <w:sz w:val="24"/>
      <w:szCs w:val="22"/>
    </w:rPr>
  </w:style>
  <w:style w:type="character" w:customStyle="1" w:styleId="af3">
    <w:name w:val="正文缩进 字符"/>
    <w:link w:val="af2"/>
    <w:autoRedefine/>
    <w:qFormat/>
    <w:rPr>
      <w:rFonts w:ascii="宋体" w:cs="Times New Roman"/>
      <w:sz w:val="24"/>
      <w:szCs w:val="20"/>
    </w:rPr>
  </w:style>
  <w:style w:type="character" w:customStyle="1" w:styleId="af5">
    <w:name w:val="题注 字符"/>
    <w:basedOn w:val="a0"/>
    <w:link w:val="af4"/>
    <w:autoRedefine/>
    <w:uiPriority w:val="99"/>
    <w:qFormat/>
    <w:rPr>
      <w:rFonts w:asciiTheme="majorHAnsi" w:eastAsia="黑体" w:hAnsiTheme="majorHAnsi" w:cstheme="majorBidi"/>
      <w:kern w:val="2"/>
    </w:rPr>
  </w:style>
  <w:style w:type="character" w:customStyle="1" w:styleId="afc">
    <w:name w:val="批注文字 字符"/>
    <w:basedOn w:val="a0"/>
    <w:link w:val="afb"/>
    <w:autoRedefine/>
    <w:uiPriority w:val="99"/>
    <w:qFormat/>
  </w:style>
  <w:style w:type="character" w:customStyle="1" w:styleId="33">
    <w:name w:val="正文文本 3 字符"/>
    <w:basedOn w:val="a0"/>
    <w:link w:val="32"/>
    <w:autoRedefine/>
    <w:uiPriority w:val="99"/>
    <w:qFormat/>
    <w:rPr>
      <w:rFonts w:ascii="Times New Roman" w:hAnsi="Times New Roman" w:cs="Times New Roman" w:hint="default"/>
      <w:kern w:val="2"/>
      <w:sz w:val="16"/>
      <w:szCs w:val="16"/>
    </w:rPr>
  </w:style>
  <w:style w:type="character" w:customStyle="1" w:styleId="af0">
    <w:name w:val="正文文本 字符"/>
    <w:basedOn w:val="a0"/>
    <w:link w:val="af"/>
    <w:autoRedefine/>
    <w:uiPriority w:val="99"/>
    <w:qFormat/>
    <w:rPr>
      <w:rFonts w:cs="Times New Roman"/>
      <w:szCs w:val="24"/>
    </w:rPr>
  </w:style>
  <w:style w:type="character" w:customStyle="1" w:styleId="aff3">
    <w:name w:val="文本块 字符"/>
    <w:link w:val="aff2"/>
    <w:autoRedefine/>
    <w:uiPriority w:val="99"/>
    <w:qFormat/>
    <w:rPr>
      <w:rFonts w:ascii="Courier New" w:eastAsia="仿宋_GB2312" w:hAnsi="Courier New" w:cs="Courier New"/>
      <w:kern w:val="2"/>
      <w:sz w:val="21"/>
      <w:szCs w:val="28"/>
    </w:rPr>
  </w:style>
  <w:style w:type="character" w:customStyle="1" w:styleId="aff5">
    <w:name w:val="纯文本 字符"/>
    <w:basedOn w:val="a0"/>
    <w:link w:val="aff4"/>
    <w:autoRedefine/>
    <w:uiPriority w:val="99"/>
    <w:qFormat/>
    <w:rPr>
      <w:rFonts w:ascii="宋体" w:hAnsi="Courier New" w:cs="Times New Roman"/>
      <w:szCs w:val="20"/>
    </w:rPr>
  </w:style>
  <w:style w:type="character" w:customStyle="1" w:styleId="aff7">
    <w:name w:val="日期 字符"/>
    <w:basedOn w:val="a0"/>
    <w:link w:val="aff6"/>
    <w:autoRedefine/>
    <w:uiPriority w:val="99"/>
    <w:qFormat/>
  </w:style>
  <w:style w:type="character" w:customStyle="1" w:styleId="CharCharCharCharCharCharCharCharCharCharCharCharChar">
    <w:name w:val="正文缩进 Char Char Char Char Char Char Char Char Char Char Char Char Char"/>
    <w:link w:val="27"/>
    <w:autoRedefine/>
    <w:qFormat/>
    <w:rPr>
      <w:rFonts w:cstheme="minorBidi"/>
      <w:kern w:val="2"/>
      <w:sz w:val="24"/>
      <w:szCs w:val="24"/>
    </w:rPr>
  </w:style>
  <w:style w:type="character" w:customStyle="1" w:styleId="26">
    <w:name w:val="正文文本缩进 2 字符"/>
    <w:basedOn w:val="a0"/>
    <w:link w:val="25"/>
    <w:autoRedefine/>
    <w:uiPriority w:val="99"/>
    <w:qFormat/>
    <w:rPr>
      <w:rFonts w:ascii="Times New Roman" w:hAnsi="Times New Roman" w:cs="Times New Roman" w:hint="default"/>
      <w:kern w:val="2"/>
      <w:sz w:val="21"/>
      <w:szCs w:val="22"/>
    </w:rPr>
  </w:style>
  <w:style w:type="character" w:customStyle="1" w:styleId="affc">
    <w:name w:val="批注框文本 字符"/>
    <w:basedOn w:val="a0"/>
    <w:link w:val="affb"/>
    <w:autoRedefine/>
    <w:uiPriority w:val="99"/>
    <w:qFormat/>
    <w:rPr>
      <w:sz w:val="18"/>
      <w:szCs w:val="18"/>
    </w:rPr>
  </w:style>
  <w:style w:type="character" w:customStyle="1" w:styleId="affe">
    <w:name w:val="页脚 字符"/>
    <w:basedOn w:val="a0"/>
    <w:link w:val="affd"/>
    <w:autoRedefine/>
    <w:uiPriority w:val="99"/>
    <w:qFormat/>
    <w:rPr>
      <w:sz w:val="18"/>
      <w:szCs w:val="18"/>
    </w:rPr>
  </w:style>
  <w:style w:type="character" w:customStyle="1" w:styleId="afff1">
    <w:name w:val="页眉 字符"/>
    <w:basedOn w:val="a0"/>
    <w:link w:val="afff0"/>
    <w:autoRedefine/>
    <w:uiPriority w:val="99"/>
    <w:qFormat/>
    <w:rPr>
      <w:sz w:val="18"/>
      <w:szCs w:val="18"/>
    </w:rPr>
  </w:style>
  <w:style w:type="character" w:customStyle="1" w:styleId="afff6">
    <w:name w:val="副标题 字符"/>
    <w:basedOn w:val="a0"/>
    <w:link w:val="afff5"/>
    <w:autoRedefine/>
    <w:uiPriority w:val="99"/>
    <w:qFormat/>
    <w:rPr>
      <w:rFonts w:ascii="Times New Roman" w:eastAsia="宋体" w:hAnsi="Times New Roman" w:cs="Times New Roman"/>
      <w:sz w:val="28"/>
      <w:szCs w:val="28"/>
    </w:rPr>
  </w:style>
  <w:style w:type="character" w:customStyle="1" w:styleId="39">
    <w:name w:val="正文文本缩进 3 字符"/>
    <w:basedOn w:val="a0"/>
    <w:link w:val="38"/>
    <w:autoRedefine/>
    <w:uiPriority w:val="99"/>
    <w:qFormat/>
    <w:rPr>
      <w:color w:val="FF0000"/>
      <w:kern w:val="2"/>
      <w:sz w:val="21"/>
      <w:szCs w:val="21"/>
    </w:rPr>
  </w:style>
  <w:style w:type="character" w:customStyle="1" w:styleId="29">
    <w:name w:val="目录 2 字符"/>
    <w:link w:val="28"/>
    <w:autoRedefine/>
    <w:uiPriority w:val="39"/>
    <w:qFormat/>
    <w:rPr>
      <w:rFonts w:cstheme="minorBidi"/>
      <w:kern w:val="2"/>
      <w:sz w:val="24"/>
      <w:szCs w:val="22"/>
    </w:rPr>
  </w:style>
  <w:style w:type="character" w:customStyle="1" w:styleId="2b">
    <w:name w:val="正文文本 2 字符"/>
    <w:link w:val="2a"/>
    <w:autoRedefine/>
    <w:uiPriority w:val="99"/>
    <w:qFormat/>
    <w:rPr>
      <w:rFonts w:cstheme="minorBidi"/>
      <w:kern w:val="2"/>
      <w:sz w:val="21"/>
      <w:szCs w:val="24"/>
    </w:rPr>
  </w:style>
  <w:style w:type="character" w:customStyle="1" w:styleId="afffc">
    <w:name w:val="信息标题 字符"/>
    <w:link w:val="afffb"/>
    <w:autoRedefine/>
    <w:uiPriority w:val="99"/>
    <w:qFormat/>
    <w:rPr>
      <w:rFonts w:ascii="Arial" w:eastAsiaTheme="minorEastAsia" w:hAnsi="Arial" w:cs="Arial"/>
      <w:sz w:val="21"/>
      <w:szCs w:val="22"/>
      <w:shd w:val="pct20" w:color="auto" w:fill="auto"/>
      <w:lang w:eastAsia="en-US"/>
    </w:rPr>
  </w:style>
  <w:style w:type="character" w:customStyle="1" w:styleId="HTML10">
    <w:name w:val="HTML 预设格式 字符1"/>
    <w:link w:val="HTML1"/>
    <w:autoRedefine/>
    <w:qFormat/>
    <w:rPr>
      <w:rFonts w:ascii="宋体" w:hAnsi="宋体" w:cs="宋体"/>
      <w:sz w:val="24"/>
      <w:szCs w:val="24"/>
    </w:rPr>
  </w:style>
  <w:style w:type="character" w:customStyle="1" w:styleId="afffe">
    <w:name w:val="普通(网站) 字符"/>
    <w:link w:val="afffd"/>
    <w:autoRedefine/>
    <w:uiPriority w:val="99"/>
    <w:qFormat/>
    <w:rPr>
      <w:sz w:val="24"/>
      <w:szCs w:val="22"/>
    </w:rPr>
  </w:style>
  <w:style w:type="character" w:customStyle="1" w:styleId="affff2">
    <w:name w:val="批注主题 字符"/>
    <w:basedOn w:val="afc"/>
    <w:link w:val="affff1"/>
    <w:autoRedefine/>
    <w:uiPriority w:val="99"/>
    <w:qFormat/>
    <w:rPr>
      <w:b/>
      <w:bCs/>
    </w:rPr>
  </w:style>
  <w:style w:type="paragraph" w:customStyle="1" w:styleId="Default">
    <w:name w:val="Default"/>
    <w:basedOn w:val="1f0"/>
    <w:next w:val="210"/>
    <w:link w:val="DefaultChar"/>
    <w:autoRedefine/>
    <w:qFormat/>
    <w:pPr>
      <w:autoSpaceDE w:val="0"/>
      <w:autoSpaceDN w:val="0"/>
    </w:pPr>
    <w:rPr>
      <w:rFonts w:ascii="Courier New" w:eastAsia="仿宋_GB2312" w:cs="Courier New"/>
      <w:color w:val="000000"/>
      <w:sz w:val="24"/>
      <w:szCs w:val="24"/>
    </w:rPr>
  </w:style>
  <w:style w:type="paragraph" w:customStyle="1" w:styleId="1f0">
    <w:name w:val="纯文本1"/>
    <w:basedOn w:val="a"/>
    <w:autoRedefine/>
    <w:qFormat/>
    <w:pPr>
      <w:adjustRightInd w:val="0"/>
    </w:pPr>
    <w:rPr>
      <w:rFonts w:ascii="宋体" w:hAnsi="Courier New"/>
      <w:szCs w:val="20"/>
    </w:rPr>
  </w:style>
  <w:style w:type="character" w:customStyle="1" w:styleId="DefaultChar">
    <w:name w:val="Default Char"/>
    <w:link w:val="Default"/>
    <w:autoRedefine/>
    <w:uiPriority w:val="99"/>
    <w:qFormat/>
    <w:locked/>
    <w:rPr>
      <w:rFonts w:ascii="Courier New" w:eastAsia="仿宋_GB2312" w:hAnsi="Courier New" w:cs="Courier New"/>
      <w:color w:val="000000"/>
      <w:kern w:val="2"/>
      <w:sz w:val="24"/>
      <w:szCs w:val="24"/>
    </w:rPr>
  </w:style>
  <w:style w:type="paragraph" w:customStyle="1" w:styleId="afffff2">
    <w:name w:val="【正文】"/>
    <w:basedOn w:val="af"/>
    <w:next w:val="afffb"/>
    <w:link w:val="CharChar"/>
    <w:autoRedefine/>
    <w:qFormat/>
    <w:pPr>
      <w:snapToGrid w:val="0"/>
      <w:spacing w:line="360" w:lineRule="auto"/>
      <w:ind w:firstLineChars="200" w:firstLine="200"/>
      <w:jc w:val="both"/>
    </w:pPr>
    <w:rPr>
      <w:rFonts w:cs="宋体"/>
      <w:color w:val="0000CC"/>
      <w:sz w:val="24"/>
      <w:szCs w:val="22"/>
    </w:rPr>
  </w:style>
  <w:style w:type="character" w:customStyle="1" w:styleId="CharChar">
    <w:name w:val="【正文】 Char Char"/>
    <w:link w:val="afffff2"/>
    <w:autoRedefine/>
    <w:qFormat/>
    <w:rPr>
      <w:rFonts w:ascii="Times New Roman" w:eastAsia="宋体" w:hAnsi="Times New Roman" w:cs="宋体"/>
      <w:color w:val="0000CC"/>
      <w:kern w:val="2"/>
      <w:sz w:val="24"/>
      <w:szCs w:val="22"/>
      <w:lang w:val="en-US" w:eastAsia="zh-CN" w:bidi="ar-SA"/>
    </w:rPr>
  </w:style>
  <w:style w:type="paragraph" w:customStyle="1" w:styleId="350">
    <w:name w:val="样式35"/>
    <w:basedOn w:val="260"/>
    <w:next w:val="font6"/>
    <w:autoRedefine/>
    <w:uiPriority w:val="99"/>
    <w:qFormat/>
    <w:pPr>
      <w:spacing w:before="0" w:after="0" w:line="312" w:lineRule="auto"/>
      <w:ind w:left="0" w:firstLine="567"/>
    </w:pPr>
    <w:rPr>
      <w:rFonts w:eastAsia="宋体"/>
    </w:rPr>
  </w:style>
  <w:style w:type="paragraph" w:customStyle="1" w:styleId="260">
    <w:name w:val="样式26"/>
    <w:basedOn w:val="211"/>
    <w:autoRedefine/>
    <w:uiPriority w:val="99"/>
    <w:qFormat/>
    <w:pPr>
      <w:tabs>
        <w:tab w:val="left" w:pos="0"/>
        <w:tab w:val="left" w:pos="540"/>
      </w:tabs>
    </w:pPr>
  </w:style>
  <w:style w:type="paragraph" w:customStyle="1" w:styleId="211">
    <w:name w:val="样式21"/>
    <w:basedOn w:val="5a"/>
    <w:autoRedefine/>
    <w:uiPriority w:val="99"/>
    <w:qFormat/>
    <w:pPr>
      <w:tabs>
        <w:tab w:val="left" w:pos="567"/>
      </w:tabs>
      <w:spacing w:beforeLines="0" w:before="120" w:afterLines="0" w:after="120"/>
      <w:ind w:hanging="992"/>
    </w:pPr>
  </w:style>
  <w:style w:type="paragraph" w:customStyle="1" w:styleId="5a">
    <w:name w:val="样式5"/>
    <w:basedOn w:val="120"/>
    <w:link w:val="5Char2"/>
    <w:autoRedefine/>
    <w:qFormat/>
    <w:rPr>
      <w:rFonts w:ascii="宋体" w:hAnsi="宋体"/>
    </w:rPr>
  </w:style>
  <w:style w:type="paragraph" w:customStyle="1" w:styleId="120">
    <w:name w:val="样式12"/>
    <w:basedOn w:val="a"/>
    <w:link w:val="12Char"/>
    <w:autoRedefine/>
    <w:qFormat/>
    <w:pPr>
      <w:keepNext/>
      <w:keepLines/>
      <w:tabs>
        <w:tab w:val="left" w:pos="360"/>
      </w:tabs>
      <w:spacing w:beforeLines="50" w:before="156" w:afterLines="50" w:after="156" w:line="360" w:lineRule="auto"/>
      <w:ind w:left="567" w:hanging="567"/>
      <w:outlineLvl w:val="1"/>
    </w:pPr>
    <w:rPr>
      <w:rFonts w:eastAsia="MS Mincho"/>
      <w:kern w:val="0"/>
      <w:sz w:val="28"/>
      <w:szCs w:val="28"/>
    </w:rPr>
  </w:style>
  <w:style w:type="paragraph" w:customStyle="1" w:styleId="font6">
    <w:name w:val="font6"/>
    <w:basedOn w:val="a"/>
    <w:next w:val="28"/>
    <w:autoRedefine/>
    <w:uiPriority w:val="99"/>
    <w:qFormat/>
    <w:pPr>
      <w:widowControl/>
      <w:spacing w:before="280" w:after="280"/>
    </w:pPr>
  </w:style>
  <w:style w:type="character" w:customStyle="1" w:styleId="12Char">
    <w:name w:val="样式12 Char"/>
    <w:link w:val="120"/>
    <w:autoRedefine/>
    <w:qFormat/>
    <w:rPr>
      <w:rFonts w:eastAsia="MS Mincho" w:cstheme="minorBidi"/>
      <w:sz w:val="28"/>
      <w:szCs w:val="28"/>
    </w:rPr>
  </w:style>
  <w:style w:type="character" w:customStyle="1" w:styleId="5Char2">
    <w:name w:val="样式5 Char2"/>
    <w:link w:val="5a"/>
    <w:autoRedefine/>
    <w:qFormat/>
    <w:locked/>
    <w:rPr>
      <w:rFonts w:ascii="宋体" w:eastAsia="MS Mincho" w:hAnsi="宋体" w:cstheme="minorBidi"/>
      <w:sz w:val="28"/>
      <w:szCs w:val="28"/>
    </w:rPr>
  </w:style>
  <w:style w:type="paragraph" w:customStyle="1" w:styleId="0">
    <w:name w:val="0正文"/>
    <w:basedOn w:val="ab"/>
    <w:link w:val="0Char"/>
    <w:autoRedefine/>
    <w:unhideWhenUsed/>
    <w:qFormat/>
    <w:pPr>
      <w:adjustRightInd w:val="0"/>
      <w:spacing w:after="0" w:line="360" w:lineRule="auto"/>
      <w:ind w:leftChars="0" w:left="0" w:firstLine="720"/>
      <w:jc w:val="left"/>
      <w:textAlignment w:val="baseline"/>
    </w:pPr>
    <w:rPr>
      <w:rFonts w:cs="Times New Roman"/>
      <w:kern w:val="0"/>
      <w:sz w:val="24"/>
      <w:szCs w:val="20"/>
    </w:rPr>
  </w:style>
  <w:style w:type="character" w:customStyle="1" w:styleId="0Char">
    <w:name w:val="0正文 Char"/>
    <w:link w:val="0"/>
    <w:autoRedefine/>
    <w:qFormat/>
    <w:locked/>
    <w:rPr>
      <w:sz w:val="24"/>
    </w:rPr>
  </w:style>
  <w:style w:type="paragraph" w:customStyle="1" w:styleId="afffff3">
    <w:name w:val="报告"/>
    <w:basedOn w:val="a"/>
    <w:link w:val="Char"/>
    <w:autoRedefine/>
    <w:qFormat/>
    <w:pPr>
      <w:adjustRightInd w:val="0"/>
      <w:spacing w:line="360" w:lineRule="auto"/>
      <w:ind w:firstLine="505"/>
      <w:textAlignment w:val="center"/>
    </w:pPr>
    <w:rPr>
      <w:rFonts w:ascii="TimesNewRoman" w:hAnsi="TimesNewRoman"/>
      <w:sz w:val="24"/>
    </w:rPr>
  </w:style>
  <w:style w:type="character" w:customStyle="1" w:styleId="Char">
    <w:name w:val="报告 Char"/>
    <w:link w:val="afffff3"/>
    <w:autoRedefine/>
    <w:qFormat/>
    <w:rPr>
      <w:rFonts w:ascii="TimesNewRoman" w:hAnsi="TimesNewRoman" w:cstheme="minorBidi"/>
      <w:kern w:val="2"/>
      <w:sz w:val="24"/>
      <w:szCs w:val="22"/>
    </w:rPr>
  </w:style>
  <w:style w:type="paragraph" w:customStyle="1" w:styleId="xl27">
    <w:name w:val="xl27"/>
    <w:basedOn w:val="a"/>
    <w:autoRedefine/>
    <w:uiPriority w:val="99"/>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新宋体-18030" w:eastAsia="新宋体-18030" w:hAnsi="新宋体-18030" w:cs="新宋体-18030"/>
      <w:kern w:val="0"/>
      <w:sz w:val="24"/>
    </w:rPr>
  </w:style>
  <w:style w:type="paragraph" w:customStyle="1" w:styleId="Char1">
    <w:name w:val="Char1"/>
    <w:basedOn w:val="a"/>
    <w:autoRedefine/>
    <w:uiPriority w:val="99"/>
    <w:qFormat/>
  </w:style>
  <w:style w:type="paragraph" w:customStyle="1" w:styleId="Default1">
    <w:name w:val="Default1"/>
    <w:autoRedefine/>
    <w:uiPriority w:val="99"/>
    <w:qFormat/>
    <w:pPr>
      <w:widowControl w:val="0"/>
      <w:autoSpaceDE w:val="0"/>
      <w:autoSpaceDN w:val="0"/>
      <w:adjustRightInd w:val="0"/>
    </w:pPr>
    <w:rPr>
      <w:rFonts w:ascii="宋体" w:hAnsi="Calibri" w:cs="宋体"/>
      <w:color w:val="000000"/>
      <w:sz w:val="24"/>
      <w:szCs w:val="24"/>
    </w:rPr>
  </w:style>
  <w:style w:type="paragraph" w:customStyle="1" w:styleId="-">
    <w:name w:val="正文-川"/>
    <w:basedOn w:val="a"/>
    <w:link w:val="-0"/>
    <w:autoRedefine/>
    <w:qFormat/>
    <w:pPr>
      <w:spacing w:line="360" w:lineRule="auto"/>
      <w:ind w:firstLineChars="200" w:firstLine="420"/>
    </w:pPr>
    <w:rPr>
      <w:sz w:val="24"/>
    </w:rPr>
  </w:style>
  <w:style w:type="character" w:customStyle="1" w:styleId="-0">
    <w:name w:val="正文-川 字符"/>
    <w:basedOn w:val="a0"/>
    <w:link w:val="-"/>
    <w:autoRedefine/>
    <w:qFormat/>
    <w:rPr>
      <w:sz w:val="24"/>
    </w:rPr>
  </w:style>
  <w:style w:type="paragraph" w:customStyle="1" w:styleId="TOC1">
    <w:name w:val="TOC 标题1"/>
    <w:basedOn w:val="1"/>
    <w:next w:val="a"/>
    <w:autoRedefine/>
    <w:uiPriority w:val="39"/>
    <w:unhideWhenUsed/>
    <w:qFormat/>
    <w:pPr>
      <w:widowControl/>
      <w:numPr>
        <w:numId w:val="0"/>
      </w:numPr>
      <w:spacing w:before="24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customStyle="1" w:styleId="afffff4">
    <w:name w:val="表编号"/>
    <w:basedOn w:val="a"/>
    <w:link w:val="afffff5"/>
    <w:autoRedefine/>
    <w:uiPriority w:val="99"/>
    <w:qFormat/>
    <w:pPr>
      <w:jc w:val="center"/>
    </w:pPr>
    <w:rPr>
      <w:b/>
      <w:sz w:val="24"/>
    </w:rPr>
  </w:style>
  <w:style w:type="character" w:customStyle="1" w:styleId="afffff5">
    <w:name w:val="表编号 字符"/>
    <w:basedOn w:val="a0"/>
    <w:link w:val="afffff4"/>
    <w:autoRedefine/>
    <w:qFormat/>
    <w:rPr>
      <w:b/>
      <w:sz w:val="24"/>
    </w:rPr>
  </w:style>
  <w:style w:type="paragraph" w:customStyle="1" w:styleId="afffff6">
    <w:name w:val="图编号"/>
    <w:basedOn w:val="a"/>
    <w:link w:val="afffff7"/>
    <w:autoRedefine/>
    <w:uiPriority w:val="99"/>
    <w:qFormat/>
    <w:pPr>
      <w:spacing w:line="360" w:lineRule="auto"/>
      <w:jc w:val="center"/>
    </w:pPr>
    <w:rPr>
      <w:b/>
      <w:sz w:val="24"/>
    </w:rPr>
  </w:style>
  <w:style w:type="character" w:customStyle="1" w:styleId="afffff7">
    <w:name w:val="图编号 字符"/>
    <w:basedOn w:val="a0"/>
    <w:link w:val="afffff6"/>
    <w:autoRedefine/>
    <w:qFormat/>
    <w:rPr>
      <w:b/>
      <w:sz w:val="24"/>
    </w:rPr>
  </w:style>
  <w:style w:type="character" w:customStyle="1" w:styleId="1f1">
    <w:name w:val="明显强调1"/>
    <w:basedOn w:val="a0"/>
    <w:autoRedefine/>
    <w:uiPriority w:val="21"/>
    <w:qFormat/>
    <w:rPr>
      <w:i/>
      <w:iCs/>
      <w:color w:val="4472C4" w:themeColor="accent1"/>
    </w:rPr>
  </w:style>
  <w:style w:type="paragraph" w:styleId="afffff8">
    <w:name w:val="No Spacing"/>
    <w:basedOn w:val="a"/>
    <w:link w:val="afffff9"/>
    <w:autoRedefine/>
    <w:uiPriority w:val="1"/>
    <w:qFormat/>
    <w:pPr>
      <w:widowControl/>
      <w:jc w:val="left"/>
    </w:pPr>
    <w:rPr>
      <w:rFonts w:ascii="黑体" w:eastAsia="仿宋_GB2312" w:hAnsi="黑体" w:cs="Courier New"/>
      <w:i/>
      <w:iCs/>
      <w:kern w:val="0"/>
      <w:sz w:val="20"/>
      <w:szCs w:val="20"/>
      <w:lang w:eastAsia="en-US" w:bidi="en-US"/>
    </w:rPr>
  </w:style>
  <w:style w:type="character" w:customStyle="1" w:styleId="afffff9">
    <w:name w:val="无间隔 字符"/>
    <w:link w:val="afffff8"/>
    <w:autoRedefine/>
    <w:uiPriority w:val="1"/>
    <w:qFormat/>
    <w:rPr>
      <w:rFonts w:ascii="黑体" w:eastAsia="仿宋_GB2312" w:hAnsi="黑体" w:cs="Courier New"/>
      <w:i/>
      <w:iCs/>
      <w:lang w:eastAsia="en-US" w:bidi="en-US"/>
    </w:rPr>
  </w:style>
  <w:style w:type="paragraph" w:customStyle="1" w:styleId="afffffa">
    <w:name w:val="表格文字"/>
    <w:link w:val="Char0"/>
    <w:autoRedefine/>
    <w:qFormat/>
    <w:pPr>
      <w:widowControl w:val="0"/>
      <w:autoSpaceDE w:val="0"/>
      <w:autoSpaceDN w:val="0"/>
      <w:adjustRightInd w:val="0"/>
      <w:textAlignment w:val="baseline"/>
    </w:pPr>
    <w:rPr>
      <w:rFonts w:ascii="宋体"/>
      <w:color w:val="000000"/>
      <w:sz w:val="24"/>
    </w:rPr>
  </w:style>
  <w:style w:type="character" w:customStyle="1" w:styleId="Char0">
    <w:name w:val="表格文字 Char"/>
    <w:link w:val="afffffa"/>
    <w:autoRedefine/>
    <w:qFormat/>
    <w:rPr>
      <w:rFonts w:ascii="宋体" w:cs="Times New Roman"/>
      <w:color w:val="000000"/>
      <w:kern w:val="0"/>
      <w:sz w:val="24"/>
      <w:szCs w:val="20"/>
    </w:rPr>
  </w:style>
  <w:style w:type="paragraph" w:customStyle="1" w:styleId="afffffb">
    <w:name w:val="表头"/>
    <w:basedOn w:val="a"/>
    <w:link w:val="Char2"/>
    <w:autoRedefine/>
    <w:qFormat/>
    <w:pPr>
      <w:keepNext/>
      <w:keepLines/>
      <w:tabs>
        <w:tab w:val="left" w:pos="-145"/>
        <w:tab w:val="left" w:pos="0"/>
        <w:tab w:val="left" w:pos="37"/>
        <w:tab w:val="left" w:pos="580"/>
        <w:tab w:val="left" w:pos="4500"/>
        <w:tab w:val="left" w:pos="5160"/>
        <w:tab w:val="right" w:pos="8460"/>
        <w:tab w:val="left" w:pos="9000"/>
      </w:tabs>
      <w:adjustRightInd w:val="0"/>
      <w:snapToGrid w:val="0"/>
      <w:spacing w:beforeLines="50" w:before="120" w:afterLines="50" w:line="240" w:lineRule="exact"/>
      <w:ind w:firstLine="420"/>
      <w:jc w:val="center"/>
      <w:textAlignment w:val="baseline"/>
    </w:pPr>
    <w:rPr>
      <w:rFonts w:ascii="仿宋_GB2312" w:eastAsia="仿宋_GB2312" w:hAnsi="仿宋_GB2312" w:cs="华文中宋"/>
      <w:b/>
      <w:snapToGrid w:val="0"/>
      <w:color w:val="000000"/>
      <w:spacing w:val="-10"/>
      <w:kern w:val="0"/>
      <w:szCs w:val="21"/>
    </w:rPr>
  </w:style>
  <w:style w:type="character" w:customStyle="1" w:styleId="Char2">
    <w:name w:val="表头 Char"/>
    <w:link w:val="afffffb"/>
    <w:autoRedefine/>
    <w:qFormat/>
    <w:rPr>
      <w:rFonts w:ascii="仿宋_GB2312" w:eastAsia="仿宋_GB2312" w:hAnsi="仿宋_GB2312" w:cs="华文中宋"/>
      <w:b/>
      <w:snapToGrid w:val="0"/>
      <w:color w:val="000000"/>
      <w:spacing w:val="-10"/>
      <w:kern w:val="0"/>
      <w:szCs w:val="21"/>
    </w:rPr>
  </w:style>
  <w:style w:type="paragraph" w:customStyle="1" w:styleId="afffffc">
    <w:name w:val="表格内容"/>
    <w:basedOn w:val="afffffd"/>
    <w:next w:val="1"/>
    <w:link w:val="Char3"/>
    <w:autoRedefine/>
    <w:qFormat/>
    <w:pPr>
      <w:keepNext/>
      <w:keepLines/>
      <w:tabs>
        <w:tab w:val="left" w:pos="-145"/>
        <w:tab w:val="left" w:pos="0"/>
        <w:tab w:val="left" w:pos="37"/>
        <w:tab w:val="left" w:pos="580"/>
        <w:tab w:val="left" w:pos="4500"/>
        <w:tab w:val="left" w:pos="5160"/>
        <w:tab w:val="right" w:pos="8460"/>
        <w:tab w:val="left" w:pos="9000"/>
      </w:tabs>
      <w:adjustRightInd w:val="0"/>
      <w:snapToGrid w:val="0"/>
      <w:textAlignment w:val="baseline"/>
    </w:pPr>
    <w:rPr>
      <w:rFonts w:ascii="Courier New" w:eastAsia="仿宋_GB2312" w:hAnsi="Courier New" w:cs="Courier New"/>
      <w:snapToGrid w:val="0"/>
      <w:color w:val="000000"/>
      <w:spacing w:val="-10"/>
      <w:kern w:val="0"/>
      <w:sz w:val="28"/>
    </w:rPr>
  </w:style>
  <w:style w:type="paragraph" w:customStyle="1" w:styleId="afffffd">
    <w:name w:val="表题头"/>
    <w:basedOn w:val="aff4"/>
    <w:autoRedefine/>
    <w:qFormat/>
    <w:pPr>
      <w:spacing w:line="440" w:lineRule="exact"/>
      <w:jc w:val="center"/>
    </w:pPr>
    <w:rPr>
      <w:rFonts w:ascii="Times New Roman" w:hAnsi="Times New Roman"/>
      <w:b/>
    </w:rPr>
  </w:style>
  <w:style w:type="character" w:customStyle="1" w:styleId="Char3">
    <w:name w:val="表格内容 Char"/>
    <w:link w:val="afffffc"/>
    <w:autoRedefine/>
    <w:qFormat/>
    <w:rPr>
      <w:rFonts w:ascii="Courier New" w:eastAsia="仿宋_GB2312" w:hAnsi="Courier New" w:cs="Courier New"/>
      <w:snapToGrid w:val="0"/>
      <w:color w:val="000000"/>
      <w:spacing w:val="-10"/>
      <w:kern w:val="0"/>
      <w:sz w:val="28"/>
      <w:szCs w:val="20"/>
    </w:rPr>
  </w:style>
  <w:style w:type="paragraph" w:customStyle="1" w:styleId="afffffe">
    <w:name w:val="表格标题"/>
    <w:basedOn w:val="af4"/>
    <w:link w:val="Char4"/>
    <w:autoRedefine/>
    <w:qFormat/>
    <w:pPr>
      <w:spacing w:line="360" w:lineRule="auto"/>
      <w:jc w:val="center"/>
    </w:pPr>
    <w:rPr>
      <w:rFonts w:eastAsia="宋体" w:cs="Arial"/>
      <w:b/>
      <w:sz w:val="21"/>
    </w:rPr>
  </w:style>
  <w:style w:type="character" w:customStyle="1" w:styleId="Char4">
    <w:name w:val="表格标题 Char"/>
    <w:link w:val="afffffe"/>
    <w:autoRedefine/>
    <w:qFormat/>
    <w:rPr>
      <w:rFonts w:asciiTheme="majorHAnsi" w:hAnsiTheme="majorHAnsi" w:cs="Arial"/>
      <w:b/>
      <w:kern w:val="2"/>
      <w:sz w:val="21"/>
    </w:rPr>
  </w:style>
  <w:style w:type="paragraph" w:customStyle="1" w:styleId="affffff">
    <w:name w:val="【表中文字】"/>
    <w:basedOn w:val="a"/>
    <w:link w:val="Char5"/>
    <w:autoRedefine/>
    <w:qFormat/>
    <w:pPr>
      <w:adjustRightInd w:val="0"/>
      <w:snapToGrid w:val="0"/>
      <w:jc w:val="center"/>
    </w:pPr>
    <w:rPr>
      <w:rFonts w:cs="Times New Roman"/>
      <w:kern w:val="0"/>
      <w:sz w:val="20"/>
      <w:szCs w:val="20"/>
    </w:rPr>
  </w:style>
  <w:style w:type="character" w:customStyle="1" w:styleId="Char5">
    <w:name w:val="【表中文字】 Char"/>
    <w:link w:val="affffff"/>
    <w:autoRedefine/>
    <w:qFormat/>
  </w:style>
  <w:style w:type="character" w:customStyle="1" w:styleId="22Char">
    <w:name w:val="样式 样式 样式 样式 样式 样式 样式 样式 样式 样式 样式 首行缩进:  2 字符 + 首行缩进:  2 字符 + 首行缩... Char"/>
    <w:link w:val="220"/>
    <w:autoRedefine/>
    <w:qFormat/>
    <w:rPr>
      <w:rFonts w:ascii="宋体"/>
      <w:sz w:val="24"/>
    </w:rPr>
  </w:style>
  <w:style w:type="paragraph" w:customStyle="1" w:styleId="220">
    <w:name w:val="样式 样式 样式 样式 样式 样式 样式 样式 样式 样式 样式 首行缩进:  2 字符 + 首行缩进:  2 字符 + 首行缩..."/>
    <w:basedOn w:val="a"/>
    <w:link w:val="22Char"/>
    <w:autoRedefine/>
    <w:qFormat/>
    <w:pPr>
      <w:spacing w:line="360" w:lineRule="auto"/>
      <w:ind w:firstLine="480"/>
    </w:pPr>
    <w:rPr>
      <w:rFonts w:ascii="宋体"/>
      <w:sz w:val="24"/>
    </w:rPr>
  </w:style>
  <w:style w:type="paragraph" w:customStyle="1" w:styleId="affffff0">
    <w:name w:val="正文 缩进"/>
    <w:basedOn w:val="a"/>
    <w:link w:val="affffff1"/>
    <w:autoRedefine/>
    <w:qFormat/>
    <w:pPr>
      <w:ind w:firstLineChars="200" w:firstLine="420"/>
    </w:pPr>
  </w:style>
  <w:style w:type="character" w:customStyle="1" w:styleId="affffff1">
    <w:name w:val="正文 缩进 字符"/>
    <w:basedOn w:val="a0"/>
    <w:link w:val="affffff0"/>
    <w:autoRedefine/>
    <w:qFormat/>
  </w:style>
  <w:style w:type="paragraph" w:customStyle="1" w:styleId="TableParagraph">
    <w:name w:val="Table Paragraph"/>
    <w:basedOn w:val="a"/>
    <w:autoRedefine/>
    <w:uiPriority w:val="99"/>
    <w:qFormat/>
  </w:style>
  <w:style w:type="paragraph" w:customStyle="1" w:styleId="3f3">
    <w:name w:val="文本正文3"/>
    <w:autoRedefine/>
    <w:qFormat/>
    <w:pPr>
      <w:spacing w:line="360" w:lineRule="auto"/>
      <w:ind w:firstLineChars="177" w:firstLine="177"/>
    </w:pPr>
    <w:rPr>
      <w:rFonts w:ascii="Calibri" w:hAnsi="Calibri"/>
      <w:kern w:val="2"/>
      <w:sz w:val="24"/>
      <w:szCs w:val="21"/>
    </w:rPr>
  </w:style>
  <w:style w:type="paragraph" w:customStyle="1" w:styleId="affffff2">
    <w:name w:val="表头样式"/>
    <w:basedOn w:val="a"/>
    <w:autoRedefine/>
    <w:uiPriority w:val="99"/>
    <w:qFormat/>
    <w:pPr>
      <w:spacing w:beforeLines="50" w:before="50" w:afterLines="50" w:after="50"/>
      <w:jc w:val="center"/>
    </w:pPr>
    <w:rPr>
      <w:b/>
      <w:szCs w:val="21"/>
    </w:rPr>
  </w:style>
  <w:style w:type="paragraph" w:customStyle="1" w:styleId="-1">
    <w:name w:val="正文-工"/>
    <w:basedOn w:val="-"/>
    <w:autoRedefine/>
    <w:qFormat/>
    <w:pPr>
      <w:ind w:firstLine="480"/>
    </w:pPr>
  </w:style>
  <w:style w:type="paragraph" w:customStyle="1" w:styleId="affffff3">
    <w:name w:val="表标题"/>
    <w:basedOn w:val="af4"/>
    <w:link w:val="2Char"/>
    <w:autoRedefine/>
    <w:uiPriority w:val="9"/>
    <w:qFormat/>
    <w:pPr>
      <w:jc w:val="center"/>
    </w:pPr>
    <w:rPr>
      <w:rFonts w:ascii="Times New Roman" w:eastAsia="宋体" w:hAnsi="Times New Roman" w:cstheme="minorBidi"/>
      <w:b/>
      <w:sz w:val="24"/>
      <w:szCs w:val="22"/>
    </w:rPr>
  </w:style>
  <w:style w:type="character" w:customStyle="1" w:styleId="2Char">
    <w:name w:val="标题 2 Char"/>
    <w:link w:val="affffff3"/>
    <w:autoRedefine/>
    <w:uiPriority w:val="9"/>
    <w:qFormat/>
    <w:rPr>
      <w:rFonts w:cstheme="minorBidi"/>
      <w:b/>
      <w:kern w:val="2"/>
      <w:sz w:val="24"/>
      <w:szCs w:val="22"/>
    </w:rPr>
  </w:style>
  <w:style w:type="paragraph" w:styleId="affffff4">
    <w:name w:val="List Paragraph"/>
    <w:basedOn w:val="a"/>
    <w:link w:val="affffff5"/>
    <w:autoRedefine/>
    <w:uiPriority w:val="1"/>
    <w:qFormat/>
    <w:pPr>
      <w:ind w:left="1318" w:hanging="602"/>
    </w:pPr>
    <w:rPr>
      <w:rFonts w:ascii="宋体" w:hAnsi="宋体" w:cs="宋体"/>
      <w:lang w:val="zh-CN" w:bidi="zh-CN"/>
    </w:rPr>
  </w:style>
  <w:style w:type="character" w:customStyle="1" w:styleId="affffff5">
    <w:name w:val="列出段落 字符"/>
    <w:link w:val="affffff4"/>
    <w:autoRedefine/>
    <w:uiPriority w:val="1"/>
    <w:qFormat/>
    <w:rPr>
      <w:rFonts w:ascii="宋体" w:hAnsi="宋体" w:cs="宋体"/>
      <w:kern w:val="2"/>
      <w:sz w:val="21"/>
      <w:szCs w:val="22"/>
      <w:lang w:val="zh-CN" w:bidi="zh-CN"/>
    </w:rPr>
  </w:style>
  <w:style w:type="character" w:customStyle="1" w:styleId="font51">
    <w:name w:val="font51"/>
    <w:basedOn w:val="a0"/>
    <w:autoRedefine/>
    <w:qFormat/>
    <w:rPr>
      <w:rFonts w:ascii="Times New Roman" w:hAnsi="Times New Roman" w:cs="Times New Roman" w:hint="default"/>
      <w:color w:val="000000"/>
      <w:sz w:val="21"/>
      <w:szCs w:val="21"/>
      <w:u w:val="none"/>
    </w:rPr>
  </w:style>
  <w:style w:type="character" w:customStyle="1" w:styleId="font61">
    <w:name w:val="font61"/>
    <w:basedOn w:val="a0"/>
    <w:autoRedefine/>
    <w:qFormat/>
    <w:rPr>
      <w:rFonts w:ascii="Times New Roman" w:hAnsi="Times New Roman" w:cs="Times New Roman" w:hint="default"/>
      <w:color w:val="000000"/>
      <w:sz w:val="21"/>
      <w:szCs w:val="21"/>
      <w:u w:val="none"/>
    </w:rPr>
  </w:style>
  <w:style w:type="character" w:customStyle="1" w:styleId="font71">
    <w:name w:val="font71"/>
    <w:basedOn w:val="a0"/>
    <w:autoRedefine/>
    <w:qFormat/>
    <w:rPr>
      <w:rFonts w:ascii="宋体" w:eastAsia="宋体" w:hAnsi="宋体" w:cs="宋体" w:hint="eastAsia"/>
      <w:color w:val="000000"/>
      <w:sz w:val="21"/>
      <w:szCs w:val="21"/>
      <w:u w:val="none"/>
    </w:rPr>
  </w:style>
  <w:style w:type="paragraph" w:customStyle="1" w:styleId="1f2">
    <w:name w:val="正文文本1"/>
    <w:basedOn w:val="a"/>
    <w:autoRedefine/>
    <w:uiPriority w:val="99"/>
    <w:qFormat/>
    <w:pPr>
      <w:shd w:val="clear" w:color="auto" w:fill="FFFFFF"/>
      <w:spacing w:line="422" w:lineRule="auto"/>
      <w:ind w:firstLine="400"/>
    </w:pPr>
    <w:rPr>
      <w:rFonts w:ascii="MingLiU" w:eastAsia="MingLiU" w:hAnsi="MingLiU" w:cs="MingLiU"/>
      <w:sz w:val="22"/>
      <w:lang w:val="zh-CN" w:bidi="zh-CN"/>
    </w:rPr>
  </w:style>
  <w:style w:type="character" w:customStyle="1" w:styleId="160">
    <w:name w:val="16"/>
    <w:basedOn w:val="a0"/>
    <w:autoRedefine/>
    <w:qFormat/>
  </w:style>
  <w:style w:type="paragraph" w:customStyle="1" w:styleId="affffff6">
    <w:name w:val="蒲正文"/>
    <w:basedOn w:val="a"/>
    <w:link w:val="Char6"/>
    <w:autoRedefine/>
    <w:qFormat/>
    <w:pPr>
      <w:adjustRightInd w:val="0"/>
      <w:snapToGrid w:val="0"/>
      <w:jc w:val="center"/>
    </w:pPr>
    <w:rPr>
      <w:kern w:val="0"/>
      <w:sz w:val="24"/>
      <w:szCs w:val="24"/>
    </w:rPr>
  </w:style>
  <w:style w:type="character" w:customStyle="1" w:styleId="Char6">
    <w:name w:val="蒲正文 Char"/>
    <w:link w:val="affffff6"/>
    <w:autoRedefine/>
    <w:qFormat/>
    <w:rPr>
      <w:rFonts w:cstheme="minorBidi"/>
      <w:sz w:val="24"/>
      <w:szCs w:val="24"/>
    </w:rPr>
  </w:style>
  <w:style w:type="paragraph" w:customStyle="1" w:styleId="affffff7">
    <w:name w:val="德胜正文"/>
    <w:basedOn w:val="a"/>
    <w:link w:val="Char7"/>
    <w:autoRedefine/>
    <w:qFormat/>
    <w:pPr>
      <w:adjustRightInd w:val="0"/>
      <w:snapToGrid w:val="0"/>
      <w:spacing w:line="360" w:lineRule="auto"/>
      <w:ind w:firstLineChars="200" w:firstLine="200"/>
    </w:pPr>
    <w:rPr>
      <w:rFonts w:ascii="Calibri" w:hAnsi="Calibri" w:cs="宋体"/>
      <w:snapToGrid w:val="0"/>
      <w:color w:val="0000FF"/>
      <w:sz w:val="24"/>
    </w:rPr>
  </w:style>
  <w:style w:type="character" w:customStyle="1" w:styleId="Char7">
    <w:name w:val="德胜正文 Char"/>
    <w:link w:val="affffff7"/>
    <w:autoRedefine/>
    <w:qFormat/>
    <w:rPr>
      <w:rFonts w:ascii="Calibri" w:hAnsi="Calibri" w:cs="宋体"/>
      <w:snapToGrid w:val="0"/>
      <w:color w:val="0000FF"/>
      <w:kern w:val="2"/>
      <w:sz w:val="24"/>
      <w:szCs w:val="22"/>
    </w:rPr>
  </w:style>
  <w:style w:type="paragraph" w:customStyle="1" w:styleId="affffff8">
    <w:name w:val="表名"/>
    <w:basedOn w:val="a"/>
    <w:next w:val="a"/>
    <w:link w:val="Char8"/>
    <w:autoRedefine/>
    <w:qFormat/>
    <w:pPr>
      <w:keepNext/>
      <w:spacing w:before="120"/>
      <w:jc w:val="center"/>
    </w:pPr>
    <w:rPr>
      <w:b/>
    </w:rPr>
  </w:style>
  <w:style w:type="character" w:customStyle="1" w:styleId="Char8">
    <w:name w:val="表名 Char"/>
    <w:link w:val="affffff8"/>
    <w:autoRedefine/>
    <w:qFormat/>
    <w:rPr>
      <w:rFonts w:cstheme="minorBidi"/>
      <w:b/>
      <w:kern w:val="2"/>
      <w:sz w:val="21"/>
      <w:szCs w:val="22"/>
    </w:rPr>
  </w:style>
  <w:style w:type="paragraph" w:customStyle="1" w:styleId="affffff9">
    <w:name w:val="报告书"/>
    <w:basedOn w:val="a"/>
    <w:link w:val="Char9"/>
    <w:autoRedefine/>
    <w:uiPriority w:val="99"/>
    <w:qFormat/>
    <w:pPr>
      <w:autoSpaceDE w:val="0"/>
      <w:autoSpaceDN w:val="0"/>
      <w:adjustRightInd w:val="0"/>
      <w:spacing w:line="360" w:lineRule="auto"/>
      <w:ind w:firstLine="505"/>
      <w:jc w:val="left"/>
      <w:textAlignment w:val="bottom"/>
    </w:pPr>
    <w:rPr>
      <w:rFonts w:ascii="Calibri" w:hAnsi="Calibri" w:cs="Times New Roman"/>
      <w:sz w:val="24"/>
    </w:rPr>
  </w:style>
  <w:style w:type="character" w:customStyle="1" w:styleId="Char9">
    <w:name w:val="报告书 Char"/>
    <w:link w:val="affffff9"/>
    <w:autoRedefine/>
    <w:uiPriority w:val="99"/>
    <w:qFormat/>
    <w:rPr>
      <w:rFonts w:ascii="Calibri" w:hAnsi="Calibri"/>
      <w:kern w:val="2"/>
      <w:sz w:val="24"/>
      <w:szCs w:val="22"/>
    </w:rPr>
  </w:style>
  <w:style w:type="paragraph" w:customStyle="1" w:styleId="affffffa">
    <w:name w:val="表格"/>
    <w:basedOn w:val="a"/>
    <w:link w:val="Chara"/>
    <w:autoRedefine/>
    <w:qFormat/>
    <w:pPr>
      <w:adjustRightInd w:val="0"/>
      <w:jc w:val="center"/>
      <w:textAlignment w:val="baseline"/>
    </w:pPr>
    <w:rPr>
      <w:rFonts w:ascii="Calibri" w:hAnsi="Calibri" w:cs="Times New Roman"/>
      <w:spacing w:val="10"/>
    </w:rPr>
  </w:style>
  <w:style w:type="character" w:customStyle="1" w:styleId="Chara">
    <w:name w:val="表格 Char"/>
    <w:link w:val="affffffa"/>
    <w:autoRedefine/>
    <w:qFormat/>
    <w:rPr>
      <w:rFonts w:ascii="Calibri" w:hAnsi="Calibri"/>
      <w:spacing w:val="10"/>
      <w:kern w:val="2"/>
      <w:sz w:val="21"/>
      <w:szCs w:val="22"/>
    </w:rPr>
  </w:style>
  <w:style w:type="paragraph" w:customStyle="1" w:styleId="1f3">
    <w:name w:val="四级目录1"/>
    <w:basedOn w:val="a"/>
    <w:autoRedefine/>
    <w:uiPriority w:val="99"/>
    <w:qFormat/>
    <w:pPr>
      <w:spacing w:line="360" w:lineRule="auto"/>
    </w:pPr>
    <w:rPr>
      <w:b/>
      <w:color w:val="0000FF"/>
      <w:sz w:val="24"/>
      <w:szCs w:val="20"/>
    </w:rPr>
  </w:style>
  <w:style w:type="paragraph" w:customStyle="1" w:styleId="00">
    <w:name w:val="正文00"/>
    <w:autoRedefine/>
    <w:qFormat/>
    <w:pPr>
      <w:adjustRightInd w:val="0"/>
      <w:snapToGrid w:val="0"/>
      <w:spacing w:line="360" w:lineRule="auto"/>
      <w:ind w:firstLineChars="200" w:firstLine="200"/>
      <w:jc w:val="both"/>
    </w:pPr>
    <w:rPr>
      <w:snapToGrid w:val="0"/>
      <w:kern w:val="2"/>
      <w:sz w:val="24"/>
      <w:szCs w:val="24"/>
    </w:rPr>
  </w:style>
  <w:style w:type="paragraph" w:customStyle="1" w:styleId="3M">
    <w:name w:val="列表 3M"/>
    <w:basedOn w:val="31"/>
    <w:autoRedefine/>
    <w:uiPriority w:val="99"/>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affffffb">
    <w:name w:val="列表标题"/>
    <w:basedOn w:val="a"/>
    <w:next w:val="a"/>
    <w:autoRedefine/>
    <w:uiPriority w:val="99"/>
    <w:qFormat/>
    <w:pPr>
      <w:spacing w:line="360" w:lineRule="auto"/>
      <w:jc w:val="center"/>
    </w:pPr>
    <w:rPr>
      <w:rFonts w:ascii="仿宋_GB2312" w:hAnsi="仿宋_GB2312" w:cs="仿宋_GB2312"/>
      <w:sz w:val="24"/>
      <w:szCs w:val="20"/>
    </w:rPr>
  </w:style>
  <w:style w:type="paragraph" w:customStyle="1" w:styleId="Bodytext2">
    <w:name w:val="Body text (2)"/>
    <w:basedOn w:val="a"/>
    <w:autoRedefine/>
    <w:qFormat/>
    <w:pPr>
      <w:shd w:val="clear" w:color="auto" w:fill="FFFFFF"/>
      <w:spacing w:before="360" w:line="336" w:lineRule="exact"/>
      <w:ind w:hanging="820"/>
      <w:jc w:val="distribute"/>
    </w:pPr>
    <w:rPr>
      <w:rFonts w:ascii="MingLiU" w:eastAsia="MingLiU" w:hAnsi="MingLiU" w:cs="MingLiU"/>
      <w:kern w:val="0"/>
      <w:sz w:val="20"/>
      <w:szCs w:val="20"/>
      <w:lang w:eastAsia="en-US"/>
    </w:rPr>
  </w:style>
  <w:style w:type="paragraph" w:customStyle="1" w:styleId="PSPSPSPS">
    <w:name w:val="PSPSPSPS"/>
    <w:basedOn w:val="a"/>
    <w:autoRedefine/>
    <w:uiPriority w:val="99"/>
    <w:qFormat/>
    <w:pPr>
      <w:adjustRightInd w:val="0"/>
      <w:spacing w:line="600" w:lineRule="atLeast"/>
      <w:textAlignment w:val="baseline"/>
    </w:pPr>
    <w:rPr>
      <w:kern w:val="0"/>
      <w:sz w:val="28"/>
      <w:szCs w:val="20"/>
    </w:rPr>
  </w:style>
  <w:style w:type="paragraph" w:customStyle="1" w:styleId="-y">
    <w:name w:val="表格-y"/>
    <w:basedOn w:val="5"/>
    <w:autoRedefine/>
    <w:uiPriority w:val="99"/>
    <w:qFormat/>
    <w:pPr>
      <w:keepNext w:val="0"/>
      <w:keepLines w:val="0"/>
      <w:spacing w:line="240" w:lineRule="auto"/>
      <w:jc w:val="center"/>
      <w:outlineLvl w:val="9"/>
    </w:pPr>
    <w:rPr>
      <w:rFonts w:hAnsi="仿宋_GB2312"/>
      <w:snapToGrid w:val="0"/>
      <w:color w:val="0000CC"/>
      <w:sz w:val="21"/>
      <w:szCs w:val="21"/>
      <w:lang w:bidi="en-US"/>
    </w:rPr>
  </w:style>
  <w:style w:type="paragraph" w:customStyle="1" w:styleId="3f4">
    <w:name w:val="样式3"/>
    <w:basedOn w:val="affffffc"/>
    <w:link w:val="3Char"/>
    <w:autoRedefine/>
    <w:qFormat/>
    <w:rPr>
      <w:bCs/>
      <w:szCs w:val="24"/>
    </w:rPr>
  </w:style>
  <w:style w:type="paragraph" w:customStyle="1" w:styleId="affffffc">
    <w:name w:val="德胜三级标题"/>
    <w:basedOn w:val="a"/>
    <w:autoRedefine/>
    <w:uiPriority w:val="99"/>
    <w:qFormat/>
    <w:pPr>
      <w:keepNext/>
      <w:keepLines/>
      <w:adjustRightInd w:val="0"/>
      <w:snapToGrid w:val="0"/>
      <w:spacing w:line="360" w:lineRule="auto"/>
      <w:jc w:val="left"/>
      <w:outlineLvl w:val="2"/>
    </w:pPr>
    <w:rPr>
      <w:b/>
      <w:snapToGrid w:val="0"/>
      <w:color w:val="0000FF"/>
      <w:kern w:val="0"/>
      <w:sz w:val="24"/>
    </w:rPr>
  </w:style>
  <w:style w:type="character" w:customStyle="1" w:styleId="3Char">
    <w:name w:val="样式3 Char"/>
    <w:link w:val="3f4"/>
    <w:autoRedefine/>
    <w:qFormat/>
    <w:locked/>
    <w:rPr>
      <w:rFonts w:cstheme="minorBidi"/>
      <w:b/>
      <w:bCs/>
      <w:snapToGrid w:val="0"/>
      <w:color w:val="0000FF"/>
      <w:sz w:val="24"/>
      <w:szCs w:val="24"/>
    </w:rPr>
  </w:style>
  <w:style w:type="paragraph" w:customStyle="1" w:styleId="affffffd">
    <w:name w:val="德胜表格内容"/>
    <w:basedOn w:val="a"/>
    <w:link w:val="Charb"/>
    <w:autoRedefine/>
    <w:qFormat/>
    <w:pPr>
      <w:adjustRightInd w:val="0"/>
      <w:snapToGrid w:val="0"/>
      <w:jc w:val="center"/>
    </w:pPr>
    <w:rPr>
      <w:rFonts w:cs="宋体"/>
      <w:snapToGrid w:val="0"/>
      <w:color w:val="0000FF"/>
      <w:szCs w:val="21"/>
    </w:rPr>
  </w:style>
  <w:style w:type="character" w:customStyle="1" w:styleId="Charb">
    <w:name w:val="德胜表格内容 Char"/>
    <w:link w:val="affffffd"/>
    <w:autoRedefine/>
    <w:qFormat/>
    <w:rPr>
      <w:rFonts w:cs="宋体"/>
      <w:snapToGrid w:val="0"/>
      <w:color w:val="0000FF"/>
      <w:kern w:val="2"/>
      <w:sz w:val="21"/>
      <w:szCs w:val="21"/>
    </w:rPr>
  </w:style>
  <w:style w:type="paragraph" w:customStyle="1" w:styleId="affffffe">
    <w:name w:val="报告表正文"/>
    <w:basedOn w:val="a"/>
    <w:link w:val="Charc"/>
    <w:autoRedefine/>
    <w:qFormat/>
    <w:pPr>
      <w:adjustRightInd w:val="0"/>
      <w:spacing w:line="312" w:lineRule="auto"/>
      <w:ind w:left="113" w:right="113" w:firstLine="482"/>
      <w:jc w:val="left"/>
      <w:textAlignment w:val="baseline"/>
    </w:pPr>
    <w:rPr>
      <w:sz w:val="24"/>
    </w:rPr>
  </w:style>
  <w:style w:type="character" w:customStyle="1" w:styleId="Charc">
    <w:name w:val="报告表正文 Char"/>
    <w:link w:val="affffffe"/>
    <w:autoRedefine/>
    <w:qFormat/>
    <w:rPr>
      <w:rFonts w:cstheme="minorBidi"/>
      <w:kern w:val="2"/>
      <w:sz w:val="24"/>
      <w:szCs w:val="22"/>
    </w:rPr>
  </w:style>
  <w:style w:type="paragraph" w:customStyle="1" w:styleId="1f4">
    <w:name w:val="正文文本首行缩进1"/>
    <w:basedOn w:val="af"/>
    <w:autoRedefine/>
    <w:uiPriority w:val="99"/>
    <w:qFormat/>
    <w:pPr>
      <w:widowControl/>
      <w:ind w:firstLineChars="100" w:firstLine="420"/>
    </w:pPr>
    <w:rPr>
      <w:szCs w:val="22"/>
    </w:rPr>
  </w:style>
  <w:style w:type="paragraph" w:customStyle="1" w:styleId="afffffff">
    <w:name w:val="德胜二级标题"/>
    <w:basedOn w:val="afffffff0"/>
    <w:autoRedefine/>
    <w:uiPriority w:val="99"/>
    <w:qFormat/>
    <w:pPr>
      <w:outlineLvl w:val="1"/>
    </w:pPr>
    <w:rPr>
      <w:b w:val="0"/>
      <w:bCs w:val="0"/>
      <w:sz w:val="28"/>
      <w:szCs w:val="28"/>
    </w:rPr>
  </w:style>
  <w:style w:type="paragraph" w:customStyle="1" w:styleId="afffffff0">
    <w:name w:val="德胜一级标题"/>
    <w:basedOn w:val="1"/>
    <w:autoRedefine/>
    <w:uiPriority w:val="99"/>
    <w:qFormat/>
    <w:pPr>
      <w:adjustRightInd w:val="0"/>
      <w:jc w:val="left"/>
    </w:pPr>
    <w:rPr>
      <w:snapToGrid w:val="0"/>
      <w:color w:val="0000FF"/>
      <w:kern w:val="0"/>
      <w:szCs w:val="32"/>
    </w:rPr>
  </w:style>
  <w:style w:type="paragraph" w:customStyle="1" w:styleId="afffffff1">
    <w:name w:val="最新泸县焦化表格文字"/>
    <w:basedOn w:val="a"/>
    <w:autoRedefine/>
    <w:uiPriority w:val="99"/>
    <w:qFormat/>
    <w:pPr>
      <w:keepNext/>
      <w:keepLines/>
      <w:autoSpaceDE w:val="0"/>
      <w:autoSpaceDN w:val="0"/>
      <w:adjustRightInd w:val="0"/>
      <w:snapToGrid w:val="0"/>
    </w:pPr>
    <w:rPr>
      <w:bCs/>
      <w:color w:val="0000FF"/>
      <w:szCs w:val="21"/>
    </w:rPr>
  </w:style>
  <w:style w:type="paragraph" w:customStyle="1" w:styleId="afffffff2">
    <w:name w:val="德胜空行"/>
    <w:basedOn w:val="a"/>
    <w:link w:val="Chard"/>
    <w:autoRedefine/>
    <w:qFormat/>
    <w:pPr>
      <w:adjustRightInd w:val="0"/>
      <w:snapToGrid w:val="0"/>
      <w:jc w:val="left"/>
    </w:pPr>
    <w:rPr>
      <w:snapToGrid w:val="0"/>
      <w:color w:val="0000FF"/>
      <w:kern w:val="0"/>
      <w:szCs w:val="21"/>
    </w:rPr>
  </w:style>
  <w:style w:type="character" w:customStyle="1" w:styleId="Chard">
    <w:name w:val="德胜空行 Char"/>
    <w:link w:val="afffffff2"/>
    <w:autoRedefine/>
    <w:qFormat/>
    <w:rPr>
      <w:rFonts w:cstheme="minorBidi"/>
      <w:snapToGrid w:val="0"/>
      <w:color w:val="0000FF"/>
      <w:sz w:val="21"/>
      <w:szCs w:val="21"/>
    </w:rPr>
  </w:style>
  <w:style w:type="paragraph" w:customStyle="1" w:styleId="2f7">
    <w:name w:val="图表标题2"/>
    <w:basedOn w:val="afffd"/>
    <w:next w:val="00"/>
    <w:autoRedefine/>
    <w:qFormat/>
    <w:pPr>
      <w:adjustRightInd w:val="0"/>
      <w:snapToGrid w:val="0"/>
      <w:spacing w:before="100" w:after="100"/>
      <w:jc w:val="center"/>
      <w:textAlignment w:val="baseline"/>
    </w:pPr>
    <w:rPr>
      <w:rFonts w:hAnsi="宋体"/>
      <w:b/>
      <w:szCs w:val="21"/>
    </w:rPr>
  </w:style>
  <w:style w:type="paragraph" w:customStyle="1" w:styleId="afffffff3">
    <w:name w:val="【表头】"/>
    <w:link w:val="Chare"/>
    <w:autoRedefine/>
    <w:qFormat/>
    <w:pPr>
      <w:jc w:val="center"/>
    </w:pPr>
    <w:rPr>
      <w:rFonts w:eastAsia="黑体"/>
      <w:color w:val="000000"/>
      <w:sz w:val="24"/>
      <w:szCs w:val="24"/>
    </w:rPr>
  </w:style>
  <w:style w:type="character" w:customStyle="1" w:styleId="Chare">
    <w:name w:val="【表头】 Char"/>
    <w:link w:val="afffffff3"/>
    <w:autoRedefine/>
    <w:qFormat/>
    <w:rPr>
      <w:rFonts w:eastAsia="黑体"/>
      <w:color w:val="000000"/>
      <w:sz w:val="24"/>
      <w:szCs w:val="24"/>
    </w:rPr>
  </w:style>
  <w:style w:type="paragraph" w:customStyle="1" w:styleId="afffffff4">
    <w:name w:val="【表内字】"/>
    <w:basedOn w:val="a"/>
    <w:autoRedefine/>
    <w:qFormat/>
    <w:pPr>
      <w:adjustRightInd w:val="0"/>
      <w:snapToGrid w:val="0"/>
      <w:jc w:val="center"/>
    </w:pPr>
    <w:rPr>
      <w:snapToGrid w:val="0"/>
      <w:kern w:val="0"/>
    </w:rPr>
  </w:style>
  <w:style w:type="paragraph" w:customStyle="1" w:styleId="3f5">
    <w:name w:val="正文标题3"/>
    <w:basedOn w:val="3"/>
    <w:autoRedefine/>
    <w:uiPriority w:val="99"/>
    <w:qFormat/>
    <w:rPr>
      <w:rFonts w:ascii="仿宋_GB2312" w:hAnsi="仿宋_GB2312" w:cs="仿宋_GB2312"/>
      <w:sz w:val="28"/>
    </w:rPr>
  </w:style>
  <w:style w:type="paragraph" w:customStyle="1" w:styleId="75">
    <w:name w:val="样式7"/>
    <w:basedOn w:val="a"/>
    <w:link w:val="7Char2"/>
    <w:autoRedefine/>
    <w:qFormat/>
    <w:pPr>
      <w:widowControl/>
      <w:adjustRightInd w:val="0"/>
      <w:snapToGrid w:val="0"/>
      <w:spacing w:beforeLines="50" w:before="156" w:line="360" w:lineRule="auto"/>
      <w:jc w:val="center"/>
    </w:pPr>
    <w:rPr>
      <w:b/>
      <w:bCs/>
      <w:kern w:val="0"/>
      <w:szCs w:val="21"/>
      <w:lang w:val="zh-CN"/>
    </w:rPr>
  </w:style>
  <w:style w:type="character" w:customStyle="1" w:styleId="7Char2">
    <w:name w:val="样式7 Char2"/>
    <w:link w:val="75"/>
    <w:autoRedefine/>
    <w:qFormat/>
    <w:locked/>
    <w:rPr>
      <w:rFonts w:cstheme="minorBidi"/>
      <w:b/>
      <w:bCs/>
      <w:sz w:val="21"/>
      <w:szCs w:val="21"/>
      <w:lang w:val="zh-CN"/>
    </w:rPr>
  </w:style>
  <w:style w:type="paragraph" w:customStyle="1" w:styleId="93">
    <w:name w:val="样式9"/>
    <w:basedOn w:val="a"/>
    <w:link w:val="9Char"/>
    <w:autoRedefine/>
    <w:qFormat/>
    <w:pPr>
      <w:adjustRightInd w:val="0"/>
      <w:snapToGrid w:val="0"/>
      <w:spacing w:line="360" w:lineRule="exact"/>
      <w:jc w:val="center"/>
    </w:pPr>
    <w:rPr>
      <w:rFonts w:hAnsi="宋体"/>
      <w:kern w:val="0"/>
      <w:szCs w:val="21"/>
    </w:rPr>
  </w:style>
  <w:style w:type="character" w:customStyle="1" w:styleId="9Char">
    <w:name w:val="样式9 Char"/>
    <w:link w:val="93"/>
    <w:autoRedefine/>
    <w:qFormat/>
    <w:rPr>
      <w:rFonts w:hAnsi="宋体" w:cstheme="minorBidi"/>
      <w:sz w:val="21"/>
      <w:szCs w:val="21"/>
    </w:rPr>
  </w:style>
  <w:style w:type="character" w:customStyle="1" w:styleId="150">
    <w:name w:val="15"/>
    <w:basedOn w:val="a0"/>
    <w:autoRedefine/>
    <w:qFormat/>
    <w:rPr>
      <w:rFonts w:ascii="Times New Roman" w:hAnsi="Times New Roman" w:cs="Times New Roman" w:hint="default"/>
      <w:sz w:val="24"/>
      <w:szCs w:val="24"/>
    </w:rPr>
  </w:style>
  <w:style w:type="character" w:customStyle="1" w:styleId="font21">
    <w:name w:val="font21"/>
    <w:basedOn w:val="a0"/>
    <w:autoRedefine/>
    <w:qFormat/>
    <w:rPr>
      <w:rFonts w:ascii="Times New Roman" w:hAnsi="Times New Roman" w:cs="Times New Roman" w:hint="default"/>
      <w:color w:val="000000"/>
      <w:sz w:val="24"/>
      <w:szCs w:val="24"/>
      <w:u w:val="none"/>
      <w:vertAlign w:val="superscript"/>
    </w:rPr>
  </w:style>
  <w:style w:type="character" w:customStyle="1" w:styleId="font11">
    <w:name w:val="font11"/>
    <w:basedOn w:val="a0"/>
    <w:autoRedefine/>
    <w:qFormat/>
    <w:rPr>
      <w:rFonts w:ascii="Times New Roman" w:hAnsi="Times New Roman" w:cs="Times New Roman" w:hint="default"/>
      <w:color w:val="000000"/>
      <w:sz w:val="24"/>
      <w:szCs w:val="24"/>
      <w:u w:val="none"/>
    </w:rPr>
  </w:style>
  <w:style w:type="table" w:customStyle="1" w:styleId="1f5">
    <w:name w:val="表格样式 1刘文"/>
    <w:basedOn w:val="a1"/>
    <w:autoRedefine/>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paragraph" w:customStyle="1" w:styleId="afffffff5">
    <w:name w:val="报告表格文字"/>
    <w:basedOn w:val="afffffff6"/>
    <w:autoRedefine/>
    <w:qFormat/>
    <w:pPr>
      <w:spacing w:line="240" w:lineRule="auto"/>
      <w:ind w:firstLineChars="0" w:firstLine="0"/>
      <w:jc w:val="center"/>
    </w:pPr>
  </w:style>
  <w:style w:type="paragraph" w:customStyle="1" w:styleId="afffffff6">
    <w:name w:val="报告正文"/>
    <w:basedOn w:val="a"/>
    <w:link w:val="CharChar0"/>
    <w:autoRedefine/>
    <w:qFormat/>
    <w:pPr>
      <w:spacing w:line="360" w:lineRule="auto"/>
      <w:ind w:firstLineChars="200" w:firstLine="200"/>
      <w:jc w:val="left"/>
    </w:pPr>
    <w:rPr>
      <w:rFonts w:eastAsia="仿宋"/>
      <w:szCs w:val="24"/>
    </w:rPr>
  </w:style>
  <w:style w:type="character" w:customStyle="1" w:styleId="CharChar0">
    <w:name w:val="报告正文 Char Char"/>
    <w:link w:val="afffffff6"/>
    <w:autoRedefine/>
    <w:qFormat/>
    <w:locked/>
    <w:rPr>
      <w:rFonts w:eastAsia="仿宋" w:cstheme="minorBidi"/>
      <w:kern w:val="2"/>
      <w:sz w:val="21"/>
      <w:szCs w:val="24"/>
    </w:rPr>
  </w:style>
  <w:style w:type="paragraph" w:customStyle="1" w:styleId="afffffff7">
    <w:name w:val="德胜表头"/>
    <w:basedOn w:val="affffff7"/>
    <w:link w:val="Charf"/>
    <w:autoRedefine/>
    <w:qFormat/>
    <w:pPr>
      <w:spacing w:line="240" w:lineRule="auto"/>
      <w:ind w:firstLineChars="0" w:firstLine="0"/>
      <w:jc w:val="center"/>
    </w:pPr>
    <w:rPr>
      <w:b/>
    </w:rPr>
  </w:style>
  <w:style w:type="character" w:customStyle="1" w:styleId="Charf">
    <w:name w:val="德胜表头 Char"/>
    <w:link w:val="afffffff7"/>
    <w:autoRedefine/>
    <w:qFormat/>
    <w:rPr>
      <w:rFonts w:ascii="Calibri" w:hAnsi="Calibri" w:cs="宋体"/>
      <w:b/>
      <w:snapToGrid w:val="0"/>
      <w:color w:val="0000FF"/>
      <w:kern w:val="2"/>
      <w:sz w:val="24"/>
      <w:szCs w:val="22"/>
    </w:rPr>
  </w:style>
  <w:style w:type="paragraph" w:customStyle="1" w:styleId="1f6">
    <w:name w:val="1、表内字"/>
    <w:basedOn w:val="a"/>
    <w:autoRedefine/>
    <w:qFormat/>
    <w:pPr>
      <w:adjustRightInd w:val="0"/>
      <w:snapToGrid w:val="0"/>
      <w:jc w:val="center"/>
    </w:pPr>
    <w:rPr>
      <w:szCs w:val="21"/>
    </w:rPr>
  </w:style>
  <w:style w:type="paragraph" w:customStyle="1" w:styleId="afffffff8">
    <w:name w:val="德胜正文顶格小标题"/>
    <w:basedOn w:val="afffffff2"/>
    <w:link w:val="CharChar1"/>
    <w:autoRedefine/>
    <w:qFormat/>
    <w:pPr>
      <w:spacing w:line="360" w:lineRule="auto"/>
    </w:pPr>
    <w:rPr>
      <w:sz w:val="24"/>
      <w:szCs w:val="24"/>
    </w:rPr>
  </w:style>
  <w:style w:type="character" w:customStyle="1" w:styleId="CharChar1">
    <w:name w:val="德胜正文顶格小标题 Char Char"/>
    <w:link w:val="afffffff8"/>
    <w:autoRedefine/>
    <w:qFormat/>
    <w:rPr>
      <w:rFonts w:cstheme="minorBidi"/>
      <w:snapToGrid w:val="0"/>
      <w:color w:val="0000FF"/>
      <w:sz w:val="24"/>
      <w:szCs w:val="24"/>
    </w:rPr>
  </w:style>
  <w:style w:type="paragraph" w:customStyle="1" w:styleId="85">
    <w:name w:val="无间隔8"/>
    <w:autoRedefine/>
    <w:qFormat/>
    <w:pPr>
      <w:widowControl w:val="0"/>
      <w:spacing w:line="240" w:lineRule="exact"/>
      <w:jc w:val="center"/>
    </w:pPr>
    <w:rPr>
      <w:kern w:val="2"/>
      <w:sz w:val="18"/>
      <w:szCs w:val="24"/>
    </w:rPr>
  </w:style>
  <w:style w:type="paragraph" w:customStyle="1" w:styleId="afffffff9">
    <w:name w:val="首行缩进两字"/>
    <w:basedOn w:val="a"/>
    <w:autoRedefine/>
    <w:qFormat/>
    <w:pPr>
      <w:spacing w:line="360" w:lineRule="auto"/>
      <w:ind w:firstLineChars="200" w:firstLine="200"/>
      <w:jc w:val="left"/>
    </w:pPr>
    <w:rPr>
      <w:color w:val="000000"/>
      <w:kern w:val="0"/>
      <w:sz w:val="28"/>
    </w:rPr>
  </w:style>
  <w:style w:type="paragraph" w:customStyle="1" w:styleId="afffffffa">
    <w:name w:val="环评列表"/>
    <w:basedOn w:val="ac"/>
    <w:next w:val="a"/>
    <w:autoRedefine/>
    <w:qFormat/>
    <w:pPr>
      <w:keepLines/>
      <w:spacing w:line="360" w:lineRule="auto"/>
      <w:ind w:left="0" w:firstLineChars="0" w:firstLine="0"/>
      <w:jc w:val="center"/>
    </w:pPr>
    <w:rPr>
      <w:kern w:val="0"/>
      <w:szCs w:val="20"/>
    </w:rPr>
  </w:style>
  <w:style w:type="paragraph" w:customStyle="1" w:styleId="afffffffb">
    <w:name w:val="环评列表表头"/>
    <w:next w:val="afffffffa"/>
    <w:autoRedefine/>
    <w:qFormat/>
    <w:pPr>
      <w:spacing w:line="360" w:lineRule="auto"/>
      <w:jc w:val="center"/>
    </w:pPr>
    <w:rPr>
      <w:b/>
      <w:bCs/>
      <w:sz w:val="21"/>
      <w:szCs w:val="21"/>
    </w:rPr>
  </w:style>
  <w:style w:type="paragraph" w:customStyle="1" w:styleId="1f7">
    <w:name w:val="[1]正文"/>
    <w:basedOn w:val="a"/>
    <w:autoRedefine/>
    <w:qFormat/>
    <w:pPr>
      <w:snapToGrid w:val="0"/>
      <w:spacing w:line="360" w:lineRule="auto"/>
      <w:ind w:firstLineChars="200" w:firstLine="480"/>
    </w:pPr>
    <w:rPr>
      <w:rFonts w:cs="Times New Roman"/>
      <w:kern w:val="0"/>
      <w:sz w:val="24"/>
      <w:szCs w:val="28"/>
    </w:rPr>
  </w:style>
  <w:style w:type="paragraph" w:customStyle="1" w:styleId="HP3">
    <w:name w:val="HP 标题3"/>
    <w:basedOn w:val="3"/>
    <w:autoRedefine/>
    <w:qFormat/>
    <w:pPr>
      <w:keepNext w:val="0"/>
      <w:keepLines w:val="0"/>
      <w:spacing w:line="440" w:lineRule="exact"/>
    </w:pPr>
    <w:rPr>
      <w:rFonts w:cs="Times New Roman"/>
      <w:color w:val="000000"/>
      <w:szCs w:val="20"/>
    </w:rPr>
  </w:style>
  <w:style w:type="paragraph" w:customStyle="1" w:styleId="afffffffc">
    <w:name w:val="晓丹"/>
    <w:basedOn w:val="affff3"/>
    <w:autoRedefine/>
    <w:qFormat/>
    <w:pPr>
      <w:adjustRightInd w:val="0"/>
      <w:snapToGrid w:val="0"/>
      <w:spacing w:after="0" w:line="360" w:lineRule="auto"/>
      <w:ind w:firstLineChars="200" w:firstLine="200"/>
      <w:textAlignment w:val="baseline"/>
    </w:pPr>
    <w:rPr>
      <w:rFonts w:ascii="宋体" w:hAnsi="宋体"/>
      <w:color w:val="000000"/>
      <w:spacing w:val="6"/>
      <w:kern w:val="0"/>
      <w:sz w:val="24"/>
      <w:szCs w:val="20"/>
    </w:rPr>
  </w:style>
  <w:style w:type="paragraph" w:customStyle="1" w:styleId="1f8">
    <w:name w:val="付正文1"/>
    <w:basedOn w:val="a"/>
    <w:next w:val="a"/>
    <w:autoRedefine/>
    <w:qFormat/>
    <w:pPr>
      <w:spacing w:line="360" w:lineRule="auto"/>
      <w:ind w:firstLineChars="200" w:firstLine="200"/>
    </w:pPr>
    <w:rPr>
      <w:rFonts w:ascii="宋体" w:hAnsi="宋体" w:cs="Arial"/>
      <w:color w:val="000000"/>
      <w:sz w:val="24"/>
    </w:rPr>
  </w:style>
  <w:style w:type="paragraph" w:customStyle="1" w:styleId="fu">
    <w:name w:val="fu正文"/>
    <w:basedOn w:val="a"/>
    <w:autoRedefine/>
    <w:qFormat/>
    <w:pPr>
      <w:spacing w:line="360" w:lineRule="auto"/>
      <w:ind w:firstLineChars="200" w:firstLine="200"/>
    </w:pPr>
    <w:rPr>
      <w:rFonts w:ascii="宋体" w:hAnsi="宋体"/>
      <w:color w:val="000000"/>
      <w:sz w:val="24"/>
    </w:rPr>
  </w:style>
  <w:style w:type="paragraph" w:customStyle="1" w:styleId="1f9">
    <w:name w:val="正文样式1"/>
    <w:basedOn w:val="aff4"/>
    <w:autoRedefine/>
    <w:uiPriority w:val="99"/>
    <w:qFormat/>
    <w:pPr>
      <w:widowControl/>
      <w:spacing w:line="360" w:lineRule="auto"/>
      <w:ind w:firstLineChars="200" w:firstLine="560"/>
      <w:jc w:val="left"/>
    </w:pPr>
    <w:rPr>
      <w:rFonts w:cstheme="minorBidi"/>
      <w:kern w:val="0"/>
      <w:sz w:val="24"/>
    </w:rPr>
  </w:style>
  <w:style w:type="paragraph" w:customStyle="1" w:styleId="Other1">
    <w:name w:val="Other|1"/>
    <w:basedOn w:val="a"/>
    <w:autoRedefine/>
    <w:qFormat/>
    <w:pPr>
      <w:spacing w:line="437" w:lineRule="auto"/>
      <w:ind w:firstLine="400"/>
      <w:jc w:val="left"/>
    </w:pPr>
    <w:rPr>
      <w:rFonts w:ascii="宋体" w:hAnsi="宋体" w:cs="宋体"/>
      <w:sz w:val="19"/>
      <w:szCs w:val="19"/>
      <w:lang w:val="zh-TW" w:eastAsia="zh-TW" w:bidi="zh-TW"/>
    </w:rPr>
  </w:style>
  <w:style w:type="paragraph" w:customStyle="1" w:styleId="1fa">
    <w:name w:val="列出段落1"/>
    <w:basedOn w:val="a"/>
    <w:autoRedefine/>
    <w:uiPriority w:val="34"/>
    <w:qFormat/>
    <w:pPr>
      <w:ind w:firstLineChars="200" w:firstLine="420"/>
    </w:pPr>
  </w:style>
  <w:style w:type="paragraph" w:customStyle="1" w:styleId="afffffffd">
    <w:name w:val="【表名】"/>
    <w:basedOn w:val="a"/>
    <w:autoRedefine/>
    <w:qFormat/>
    <w:pPr>
      <w:widowControl/>
      <w:adjustRightInd w:val="0"/>
      <w:snapToGrid w:val="0"/>
      <w:jc w:val="center"/>
    </w:pPr>
    <w:rPr>
      <w:rFonts w:cs="Arial"/>
      <w:b/>
      <w:kern w:val="0"/>
      <w:sz w:val="24"/>
      <w:szCs w:val="21"/>
      <w:lang w:bidi="en-US"/>
    </w:rPr>
  </w:style>
  <w:style w:type="table" w:customStyle="1" w:styleId="151">
    <w:name w:val="灰度表格15"/>
    <w:basedOn w:val="a1"/>
    <w:autoRedefine/>
    <w:uiPriority w:val="59"/>
    <w:qFormat/>
    <w:pPr>
      <w:adjustRightInd w:val="0"/>
      <w:snapToGrid w:val="0"/>
      <w:jc w:val="center"/>
    </w:pPr>
    <w:rPr>
      <w:rFonts w:ascii="Calibri" w:hAnsi="Calibri"/>
      <w:kern w:val="2"/>
      <w:sz w:val="21"/>
      <w:szCs w:val="22"/>
    </w:rPr>
    <w:tblPr>
      <w:tblBorders>
        <w:top w:val="single" w:sz="12" w:space="0" w:color="auto"/>
        <w:bottom w:val="single" w:sz="12" w:space="0" w:color="auto"/>
        <w:insideH w:val="single" w:sz="4" w:space="0" w:color="auto"/>
        <w:insideV w:val="single" w:sz="4" w:space="0" w:color="auto"/>
      </w:tblBorders>
    </w:tblPr>
    <w:tcPr>
      <w:vAlign w:val="center"/>
    </w:tcPr>
  </w:style>
  <w:style w:type="paragraph" w:customStyle="1" w:styleId="afffffffe">
    <w:name w:val="【图名】"/>
    <w:basedOn w:val="1fb"/>
    <w:autoRedefine/>
    <w:qFormat/>
    <w:pPr>
      <w:adjustRightInd w:val="0"/>
      <w:snapToGrid w:val="0"/>
      <w:spacing w:afterLines="50"/>
    </w:pPr>
    <w:rPr>
      <w:rFonts w:cs="Times New Roman"/>
      <w:b/>
      <w:sz w:val="24"/>
      <w:szCs w:val="24"/>
    </w:rPr>
  </w:style>
  <w:style w:type="paragraph" w:customStyle="1" w:styleId="1fb">
    <w:name w:val="1.格内格式"/>
    <w:basedOn w:val="a"/>
    <w:autoRedefine/>
    <w:qFormat/>
    <w:pPr>
      <w:jc w:val="center"/>
    </w:pPr>
  </w:style>
  <w:style w:type="table" w:customStyle="1" w:styleId="170">
    <w:name w:val="灰度表格17"/>
    <w:basedOn w:val="a1"/>
    <w:autoRedefine/>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
    <w:name w:val="【正文.】"/>
    <w:basedOn w:val="a"/>
    <w:autoRedefine/>
    <w:qFormat/>
    <w:pPr>
      <w:adjustRightInd w:val="0"/>
      <w:snapToGrid w:val="0"/>
      <w:spacing w:line="360" w:lineRule="auto"/>
      <w:ind w:firstLineChars="200" w:firstLine="200"/>
    </w:pPr>
    <w:rPr>
      <w:rFonts w:cs="Times New Roman"/>
      <w:snapToGrid w:val="0"/>
      <w:kern w:val="0"/>
      <w:sz w:val="24"/>
      <w:szCs w:val="24"/>
    </w:rPr>
  </w:style>
  <w:style w:type="paragraph" w:customStyle="1" w:styleId="affffffff0">
    <w:name w:val="图表名称"/>
    <w:link w:val="Charf0"/>
    <w:autoRedefine/>
    <w:qFormat/>
    <w:pPr>
      <w:spacing w:line="360" w:lineRule="auto"/>
      <w:jc w:val="center"/>
    </w:pPr>
    <w:rPr>
      <w:rFonts w:eastAsiaTheme="minorEastAsia" w:cstheme="minorBidi"/>
      <w:b/>
      <w:kern w:val="2"/>
      <w:sz w:val="24"/>
      <w:szCs w:val="22"/>
    </w:rPr>
  </w:style>
  <w:style w:type="character" w:customStyle="1" w:styleId="Charf0">
    <w:name w:val="图表名称 Char"/>
    <w:link w:val="affffffff0"/>
    <w:autoRedefine/>
    <w:qFormat/>
    <w:locked/>
    <w:rPr>
      <w:rFonts w:eastAsiaTheme="minorEastAsia" w:cstheme="minorBidi"/>
      <w:b/>
      <w:kern w:val="2"/>
      <w:sz w:val="24"/>
      <w:szCs w:val="22"/>
    </w:rPr>
  </w:style>
  <w:style w:type="paragraph" w:customStyle="1" w:styleId="NN">
    <w:name w:val="正文NN"/>
    <w:basedOn w:val="a"/>
    <w:autoRedefine/>
    <w:qFormat/>
    <w:pPr>
      <w:spacing w:line="360" w:lineRule="auto"/>
      <w:ind w:firstLineChars="200" w:firstLine="480"/>
    </w:pPr>
    <w:rPr>
      <w:sz w:val="24"/>
      <w:szCs w:val="24"/>
    </w:rPr>
  </w:style>
  <w:style w:type="character" w:customStyle="1" w:styleId="font31">
    <w:name w:val="font31"/>
    <w:basedOn w:val="a0"/>
    <w:autoRedefine/>
    <w:qFormat/>
    <w:rPr>
      <w:rFonts w:ascii="Times New Roman" w:hAnsi="Times New Roman" w:cs="Times New Roman" w:hint="default"/>
      <w:color w:val="FF0000"/>
      <w:sz w:val="21"/>
      <w:szCs w:val="21"/>
      <w:u w:val="none"/>
    </w:rPr>
  </w:style>
  <w:style w:type="paragraph" w:customStyle="1" w:styleId="affffffff1">
    <w:name w:val="表格字体"/>
    <w:basedOn w:val="a"/>
    <w:link w:val="CharChar2"/>
    <w:autoRedefine/>
    <w:qFormat/>
    <w:pPr>
      <w:tabs>
        <w:tab w:val="left" w:pos="567"/>
      </w:tabs>
      <w:spacing w:line="320" w:lineRule="exact"/>
      <w:jc w:val="center"/>
    </w:pPr>
    <w:rPr>
      <w:spacing w:val="20"/>
      <w:sz w:val="18"/>
      <w:szCs w:val="20"/>
    </w:rPr>
  </w:style>
  <w:style w:type="character" w:customStyle="1" w:styleId="CharChar2">
    <w:name w:val="表格字体 Char Char"/>
    <w:link w:val="affffffff1"/>
    <w:autoRedefine/>
    <w:qFormat/>
    <w:rPr>
      <w:rFonts w:cstheme="minorBidi"/>
      <w:spacing w:val="20"/>
      <w:kern w:val="2"/>
      <w:sz w:val="18"/>
    </w:rPr>
  </w:style>
  <w:style w:type="paragraph" w:customStyle="1" w:styleId="affffffff2">
    <w:name w:val="表格粗"/>
    <w:basedOn w:val="a"/>
    <w:autoRedefine/>
    <w:qFormat/>
    <w:pPr>
      <w:adjustRightInd w:val="0"/>
      <w:snapToGrid w:val="0"/>
      <w:jc w:val="center"/>
    </w:pPr>
    <w:rPr>
      <w:b/>
      <w:color w:val="000000"/>
      <w:shd w:val="clear" w:color="auto" w:fill="FFFFFF"/>
      <w:lang w:val="zh-TW"/>
    </w:rPr>
  </w:style>
  <w:style w:type="paragraph" w:customStyle="1" w:styleId="affffffff3">
    <w:name w:val="表左侧"/>
    <w:basedOn w:val="a"/>
    <w:next w:val="a"/>
    <w:autoRedefine/>
    <w:uiPriority w:val="99"/>
    <w:qFormat/>
    <w:pPr>
      <w:adjustRightInd w:val="0"/>
      <w:snapToGrid w:val="0"/>
    </w:pPr>
    <w:rPr>
      <w:color w:val="000000"/>
      <w:shd w:val="clear" w:color="auto" w:fill="FFFFFF"/>
      <w:lang w:val="zh-TW"/>
    </w:rPr>
  </w:style>
  <w:style w:type="table" w:customStyle="1" w:styleId="affffffff4">
    <w:name w:val="刘文定制表格"/>
    <w:basedOn w:val="a1"/>
    <w:autoRedefine/>
    <w:uiPriority w:val="99"/>
    <w:qFormat/>
    <w:pPr>
      <w:adjustRightInd w:val="0"/>
      <w:snapToGrid w:val="0"/>
      <w:jc w:val="center"/>
    </w:pPr>
    <w:rPr>
      <w:rFonts w:ascii="Calibri" w:hAnsi="Calibri"/>
    </w:rPr>
    <w:tblPr>
      <w:tblBorders>
        <w:top w:val="single" w:sz="12" w:space="0" w:color="auto"/>
        <w:bottom w:val="single" w:sz="12" w:space="0" w:color="auto"/>
        <w:insideH w:val="single" w:sz="2" w:space="0" w:color="auto"/>
        <w:insideV w:val="single" w:sz="2" w:space="0" w:color="auto"/>
      </w:tblBorders>
      <w:tblCellMar>
        <w:left w:w="0" w:type="dxa"/>
        <w:right w:w="0" w:type="dxa"/>
      </w:tblCellMar>
    </w:tblPr>
    <w:tcPr>
      <w:vAlign w:val="center"/>
    </w:tcPr>
  </w:style>
  <w:style w:type="table" w:customStyle="1" w:styleId="1fc">
    <w:name w:val="灰度表格1"/>
    <w:basedOn w:val="a1"/>
    <w:autoRedefine/>
    <w:qFormat/>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table" w:customStyle="1" w:styleId="110">
    <w:name w:val="表格样式 1刘文1"/>
    <w:basedOn w:val="a1"/>
    <w:autoRedefine/>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paragraph" w:customStyle="1" w:styleId="xl23">
    <w:name w:val="xl23"/>
    <w:basedOn w:val="a"/>
    <w:autoRedefine/>
    <w:uiPriority w:val="99"/>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kern w:val="0"/>
      <w:szCs w:val="21"/>
    </w:rPr>
  </w:style>
  <w:style w:type="paragraph" w:customStyle="1" w:styleId="3cg">
    <w:name w:val="标题 3  cg"/>
    <w:basedOn w:val="3"/>
    <w:autoRedefine/>
    <w:uiPriority w:val="99"/>
    <w:qFormat/>
    <w:rPr>
      <w:color w:val="0000FF"/>
      <w:szCs w:val="24"/>
    </w:rPr>
  </w:style>
  <w:style w:type="character" w:customStyle="1" w:styleId="font01">
    <w:name w:val="font01"/>
    <w:basedOn w:val="a0"/>
    <w:autoRedefine/>
    <w:qFormat/>
    <w:rPr>
      <w:rFonts w:ascii="Times New Roman" w:hAnsi="Times New Roman" w:cs="Times New Roman" w:hint="default"/>
      <w:color w:val="000000"/>
      <w:sz w:val="21"/>
      <w:szCs w:val="21"/>
      <w:u w:val="none"/>
      <w:vertAlign w:val="superscript"/>
    </w:rPr>
  </w:style>
  <w:style w:type="paragraph" w:customStyle="1" w:styleId="2112Char1111CharChar11Cha">
    <w:name w:val="样式 标题 2节标题1.1标题 2节Char节标题 1.1节标题 1.1 Char Char节标题 1.1 Cha..."/>
    <w:basedOn w:val="20"/>
    <w:autoRedefine/>
    <w:uiPriority w:val="99"/>
    <w:qFormat/>
    <w:rPr>
      <w:rFonts w:eastAsia="楷体" w:cs="宋体"/>
      <w:color w:val="0000FF"/>
      <w:szCs w:val="20"/>
    </w:rPr>
  </w:style>
  <w:style w:type="character" w:customStyle="1" w:styleId="HTMLa">
    <w:name w:val="HTML 预设格式 字符"/>
    <w:autoRedefine/>
    <w:uiPriority w:val="99"/>
    <w:qFormat/>
    <w:rPr>
      <w:rFonts w:ascii="宋体" w:hAnsi="宋体"/>
      <w:kern w:val="0"/>
      <w:szCs w:val="24"/>
    </w:rPr>
  </w:style>
  <w:style w:type="paragraph" w:customStyle="1" w:styleId="affffffff5">
    <w:name w:val="图文"/>
    <w:basedOn w:val="a"/>
    <w:autoRedefine/>
    <w:uiPriority w:val="99"/>
    <w:qFormat/>
    <w:pPr>
      <w:autoSpaceDE w:val="0"/>
      <w:autoSpaceDN w:val="0"/>
      <w:spacing w:afterLines="50"/>
      <w:jc w:val="center"/>
    </w:pPr>
    <w:rPr>
      <w:rFonts w:ascii="仿宋_GB2312" w:eastAsia="ˎ̥" w:hAnsi="仿宋_GB2312" w:cs="仿宋_GB2312"/>
      <w:szCs w:val="20"/>
    </w:rPr>
  </w:style>
  <w:style w:type="paragraph" w:customStyle="1" w:styleId="C">
    <w:name w:val="C小四正文"/>
    <w:basedOn w:val="a"/>
    <w:next w:val="a"/>
    <w:autoRedefine/>
    <w:qFormat/>
    <w:rPr>
      <w:szCs w:val="24"/>
    </w:rPr>
  </w:style>
  <w:style w:type="paragraph" w:customStyle="1" w:styleId="affffffff6">
    <w:name w:val="表文字居中"/>
    <w:link w:val="CharChar3"/>
    <w:autoRedefine/>
    <w:qFormat/>
    <w:pPr>
      <w:adjustRightInd w:val="0"/>
      <w:spacing w:line="360" w:lineRule="auto"/>
      <w:jc w:val="center"/>
    </w:pPr>
    <w:rPr>
      <w:rFonts w:ascii="Courier New" w:eastAsia="ˎ̥" w:hAnsi="Courier New"/>
      <w:szCs w:val="24"/>
    </w:rPr>
  </w:style>
  <w:style w:type="character" w:customStyle="1" w:styleId="CharChar3">
    <w:name w:val="表文字居中 Char Char"/>
    <w:link w:val="affffffff6"/>
    <w:autoRedefine/>
    <w:qFormat/>
    <w:rPr>
      <w:rFonts w:ascii="Courier New" w:eastAsia="ˎ̥" w:hAnsi="Courier New"/>
      <w:szCs w:val="24"/>
    </w:rPr>
  </w:style>
  <w:style w:type="paragraph" w:customStyle="1" w:styleId="1fd">
    <w:name w:val="正1"/>
    <w:basedOn w:val="af2"/>
    <w:link w:val="1fe"/>
    <w:autoRedefine/>
    <w:qFormat/>
    <w:pPr>
      <w:adjustRightInd w:val="0"/>
      <w:snapToGrid w:val="0"/>
      <w:ind w:firstLineChars="200" w:firstLine="480"/>
    </w:pPr>
    <w:rPr>
      <w:rFonts w:ascii="Times New Roman"/>
      <w:color w:val="000000"/>
      <w:szCs w:val="24"/>
    </w:rPr>
  </w:style>
  <w:style w:type="character" w:customStyle="1" w:styleId="1fe">
    <w:name w:val="正1 字符"/>
    <w:basedOn w:val="af3"/>
    <w:link w:val="1fd"/>
    <w:autoRedefine/>
    <w:qFormat/>
    <w:rPr>
      <w:rFonts w:ascii="宋体" w:cs="Times New Roman"/>
      <w:color w:val="000000"/>
      <w:kern w:val="2"/>
      <w:sz w:val="24"/>
      <w:szCs w:val="24"/>
    </w:rPr>
  </w:style>
  <w:style w:type="paragraph" w:customStyle="1" w:styleId="1ff">
    <w:name w:val="表格1"/>
    <w:basedOn w:val="a"/>
    <w:link w:val="1Char"/>
    <w:autoRedefine/>
    <w:qFormat/>
    <w:pPr>
      <w:adjustRightInd w:val="0"/>
      <w:snapToGrid w:val="0"/>
      <w:spacing w:line="240" w:lineRule="atLeast"/>
    </w:pPr>
    <w:rPr>
      <w:bCs/>
      <w:sz w:val="18"/>
      <w:szCs w:val="28"/>
    </w:rPr>
  </w:style>
  <w:style w:type="character" w:customStyle="1" w:styleId="1Char">
    <w:name w:val="表格1 Char"/>
    <w:link w:val="1ff"/>
    <w:autoRedefine/>
    <w:qFormat/>
    <w:locked/>
    <w:rPr>
      <w:rFonts w:cstheme="minorBidi"/>
      <w:bCs/>
      <w:kern w:val="2"/>
      <w:sz w:val="18"/>
      <w:szCs w:val="28"/>
    </w:rPr>
  </w:style>
  <w:style w:type="paragraph" w:customStyle="1" w:styleId="affffffff7">
    <w:name w:val="标准正文"/>
    <w:basedOn w:val="a"/>
    <w:autoRedefine/>
    <w:uiPriority w:val="99"/>
    <w:qFormat/>
    <w:pPr>
      <w:spacing w:line="560" w:lineRule="exact"/>
      <w:ind w:firstLineChars="200" w:firstLine="200"/>
    </w:pPr>
    <w:rPr>
      <w:rFonts w:ascii="等线" w:hAnsi="等线" w:cs="Times New Roman"/>
      <w:sz w:val="24"/>
    </w:rPr>
  </w:style>
  <w:style w:type="paragraph" w:customStyle="1" w:styleId="affffffff8">
    <w:name w:val="正文文字"/>
    <w:basedOn w:val="a"/>
    <w:autoRedefine/>
    <w:uiPriority w:val="99"/>
    <w:qFormat/>
    <w:pPr>
      <w:snapToGrid w:val="0"/>
      <w:spacing w:line="560" w:lineRule="atLeast"/>
      <w:ind w:firstLineChars="225" w:firstLine="630"/>
    </w:pPr>
    <w:rPr>
      <w:bCs/>
      <w:kern w:val="0"/>
      <w:sz w:val="28"/>
      <w:szCs w:val="28"/>
      <w:lang w:val="de-DE"/>
    </w:rPr>
  </w:style>
  <w:style w:type="paragraph" w:customStyle="1" w:styleId="affffffff9">
    <w:name w:val="图表头"/>
    <w:basedOn w:val="affffffff7"/>
    <w:next w:val="affffffffa"/>
    <w:autoRedefine/>
    <w:uiPriority w:val="99"/>
    <w:qFormat/>
    <w:pPr>
      <w:spacing w:beforeLines="50" w:before="50" w:line="360" w:lineRule="auto"/>
      <w:ind w:firstLineChars="0" w:firstLine="0"/>
      <w:jc w:val="center"/>
    </w:pPr>
    <w:rPr>
      <w:rFonts w:eastAsia="黑体"/>
      <w:sz w:val="21"/>
    </w:rPr>
  </w:style>
  <w:style w:type="paragraph" w:customStyle="1" w:styleId="affffffffa">
    <w:name w:val="+正文"/>
    <w:basedOn w:val="a"/>
    <w:link w:val="Charf1"/>
    <w:autoRedefine/>
    <w:qFormat/>
    <w:pPr>
      <w:spacing w:line="360" w:lineRule="auto"/>
      <w:ind w:firstLineChars="200" w:firstLine="200"/>
    </w:pPr>
    <w:rPr>
      <w:rFonts w:cs="Times New Roman"/>
      <w:bCs/>
      <w:sz w:val="24"/>
      <w:szCs w:val="28"/>
    </w:rPr>
  </w:style>
  <w:style w:type="character" w:customStyle="1" w:styleId="Charf1">
    <w:name w:val="+正文 Char"/>
    <w:link w:val="affffffffa"/>
    <w:autoRedefine/>
    <w:qFormat/>
    <w:rPr>
      <w:bCs/>
      <w:kern w:val="2"/>
      <w:sz w:val="24"/>
      <w:szCs w:val="28"/>
    </w:rPr>
  </w:style>
  <w:style w:type="character" w:customStyle="1" w:styleId="1ff0">
    <w:name w:val="未处理的提及1"/>
    <w:basedOn w:val="a0"/>
    <w:autoRedefine/>
    <w:uiPriority w:val="99"/>
    <w:semiHidden/>
    <w:unhideWhenUsed/>
    <w:qFormat/>
    <w:rPr>
      <w:color w:val="605E5C"/>
      <w:shd w:val="clear" w:color="auto" w:fill="E1DFDD"/>
    </w:rPr>
  </w:style>
  <w:style w:type="paragraph" w:customStyle="1" w:styleId="N">
    <w:name w:val="表头N"/>
    <w:basedOn w:val="af4"/>
    <w:link w:val="N0"/>
    <w:autoRedefine/>
    <w:qFormat/>
    <w:pPr>
      <w:jc w:val="center"/>
    </w:pPr>
    <w:rPr>
      <w:rFonts w:ascii="Times New Roman" w:eastAsia="宋体" w:hAnsi="Times New Roman" w:cs="Times New Roman"/>
      <w:b/>
      <w:sz w:val="24"/>
    </w:rPr>
  </w:style>
  <w:style w:type="character" w:customStyle="1" w:styleId="N0">
    <w:name w:val="表头N 字符"/>
    <w:basedOn w:val="af5"/>
    <w:link w:val="N"/>
    <w:autoRedefine/>
    <w:qFormat/>
    <w:rPr>
      <w:rFonts w:ascii="Times New Roman" w:eastAsia="宋体" w:hAnsi="Times New Roman" w:cs="Times New Roman"/>
      <w:b/>
      <w:kern w:val="2"/>
      <w:sz w:val="24"/>
    </w:rPr>
  </w:style>
  <w:style w:type="table" w:customStyle="1" w:styleId="111">
    <w:name w:val="表格样式 1刘文11"/>
    <w:basedOn w:val="a1"/>
    <w:autoRedefine/>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paragraph" w:customStyle="1" w:styleId="00000">
    <w:name w:val="表头00000"/>
    <w:basedOn w:val="a"/>
    <w:next w:val="a"/>
    <w:autoRedefine/>
    <w:qFormat/>
    <w:pPr>
      <w:adjustRightInd w:val="0"/>
      <w:spacing w:line="240" w:lineRule="atLeast"/>
      <w:jc w:val="center"/>
      <w:textAlignment w:val="baseline"/>
    </w:pPr>
    <w:rPr>
      <w:rFonts w:ascii="黑体" w:eastAsia="黑体" w:hAnsi="黑体" w:cs="Times New Roman"/>
      <w:kern w:val="0"/>
      <w:sz w:val="24"/>
      <w:szCs w:val="20"/>
    </w:rPr>
  </w:style>
  <w:style w:type="table" w:customStyle="1" w:styleId="TableNormal1">
    <w:name w:val="Table Normal1"/>
    <w:autoRedefine/>
    <w:uiPriority w:val="2"/>
    <w:semiHidden/>
    <w:unhideWhenUsed/>
    <w:qFormat/>
    <w:pPr>
      <w:widowControl w:val="0"/>
    </w:pPr>
    <w:rPr>
      <w:sz w:val="22"/>
      <w:szCs w:val="22"/>
      <w:lang w:eastAsia="en-US"/>
    </w:rPr>
    <w:tblPr>
      <w:tblCellMar>
        <w:top w:w="0" w:type="dxa"/>
        <w:left w:w="0" w:type="dxa"/>
        <w:bottom w:w="0" w:type="dxa"/>
        <w:right w:w="0" w:type="dxa"/>
      </w:tblCellMar>
    </w:tblPr>
  </w:style>
  <w:style w:type="paragraph" w:customStyle="1" w:styleId="1ff1">
    <w:name w:val="引用1"/>
    <w:basedOn w:val="a"/>
    <w:next w:val="a"/>
    <w:link w:val="Charf2"/>
    <w:autoRedefine/>
    <w:uiPriority w:val="29"/>
    <w:qFormat/>
    <w:pPr>
      <w:jc w:val="center"/>
    </w:pPr>
    <w:rPr>
      <w:rFonts w:ascii="黑体" w:eastAsia="黑体" w:hAnsi="黑体" w:cs="宋体"/>
      <w:color w:val="000000"/>
      <w:sz w:val="24"/>
      <w:szCs w:val="24"/>
    </w:rPr>
  </w:style>
  <w:style w:type="character" w:customStyle="1" w:styleId="Charf2">
    <w:name w:val="引用 Char"/>
    <w:link w:val="1ff1"/>
    <w:autoRedefine/>
    <w:uiPriority w:val="29"/>
    <w:qFormat/>
    <w:rPr>
      <w:rFonts w:ascii="黑体" w:eastAsia="黑体" w:hAnsi="黑体" w:cs="宋体"/>
      <w:color w:val="000000"/>
      <w:kern w:val="2"/>
      <w:sz w:val="24"/>
      <w:szCs w:val="24"/>
    </w:rPr>
  </w:style>
  <w:style w:type="character" w:customStyle="1" w:styleId="100">
    <w:name w:val="10"/>
    <w:basedOn w:val="a0"/>
    <w:autoRedefine/>
    <w:qFormat/>
    <w:rPr>
      <w:rFonts w:ascii="Times New Roman" w:hAnsi="Times New Roman" w:cs="Times New Roman" w:hint="default"/>
    </w:rPr>
  </w:style>
  <w:style w:type="character" w:customStyle="1" w:styleId="2f8">
    <w:name w:val="未处理的提及2"/>
    <w:basedOn w:val="a0"/>
    <w:autoRedefine/>
    <w:uiPriority w:val="99"/>
    <w:semiHidden/>
    <w:unhideWhenUsed/>
    <w:qFormat/>
    <w:rPr>
      <w:color w:val="605E5C"/>
      <w:shd w:val="clear" w:color="auto" w:fill="E1DFDD"/>
    </w:rPr>
  </w:style>
  <w:style w:type="paragraph" w:customStyle="1" w:styleId="221">
    <w:name w:val="正文22"/>
    <w:basedOn w:val="a"/>
    <w:link w:val="222"/>
    <w:autoRedefine/>
    <w:qFormat/>
    <w:pPr>
      <w:spacing w:line="360" w:lineRule="auto"/>
      <w:ind w:firstLineChars="200" w:firstLine="480"/>
    </w:pPr>
    <w:rPr>
      <w:rFonts w:cs="Times New Roman"/>
      <w:snapToGrid w:val="0"/>
      <w:kern w:val="0"/>
      <w:sz w:val="24"/>
    </w:rPr>
  </w:style>
  <w:style w:type="character" w:customStyle="1" w:styleId="222">
    <w:name w:val="正文22 字符"/>
    <w:basedOn w:val="a0"/>
    <w:link w:val="221"/>
    <w:autoRedefine/>
    <w:qFormat/>
    <w:rPr>
      <w:rFonts w:ascii="Times New Roman" w:eastAsia="宋体" w:hAnsi="Times New Roman" w:cs="Times New Roman"/>
      <w:snapToGrid w:val="0"/>
      <w:sz w:val="24"/>
      <w:szCs w:val="22"/>
    </w:rPr>
  </w:style>
  <w:style w:type="table" w:customStyle="1" w:styleId="11111">
    <w:name w:val="表格样式 1刘文1111"/>
    <w:basedOn w:val="a1"/>
    <w:autoRedefine/>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character" w:customStyle="1" w:styleId="font91">
    <w:name w:val="font91"/>
    <w:basedOn w:val="a0"/>
    <w:autoRedefine/>
    <w:qFormat/>
    <w:rPr>
      <w:rFonts w:ascii="宋体" w:eastAsia="宋体" w:hAnsi="宋体" w:cs="宋体" w:hint="eastAsia"/>
      <w:color w:val="000000"/>
      <w:sz w:val="21"/>
      <w:szCs w:val="21"/>
      <w:u w:val="none"/>
    </w:rPr>
  </w:style>
  <w:style w:type="character" w:customStyle="1" w:styleId="3f6">
    <w:name w:val="未处理的提及3"/>
    <w:basedOn w:val="a0"/>
    <w:autoRedefine/>
    <w:uiPriority w:val="99"/>
    <w:semiHidden/>
    <w:unhideWhenUsed/>
    <w:qFormat/>
    <w:rPr>
      <w:color w:val="605E5C"/>
      <w:shd w:val="clear" w:color="auto" w:fill="E1DFDD"/>
    </w:rPr>
  </w:style>
  <w:style w:type="paragraph" w:customStyle="1" w:styleId="affffffffb">
    <w:name w:val="应填表格"/>
    <w:basedOn w:val="a"/>
    <w:autoRedefine/>
    <w:uiPriority w:val="99"/>
    <w:qFormat/>
    <w:pPr>
      <w:adjustRightInd w:val="0"/>
      <w:spacing w:before="40" w:after="40"/>
      <w:jc w:val="left"/>
      <w:textAlignment w:val="baseline"/>
    </w:pPr>
    <w:rPr>
      <w:kern w:val="0"/>
      <w:sz w:val="24"/>
      <w:szCs w:val="20"/>
    </w:rPr>
  </w:style>
  <w:style w:type="paragraph" w:customStyle="1" w:styleId="affffffffc">
    <w:name w:val="环正"/>
    <w:basedOn w:val="a"/>
    <w:autoRedefine/>
    <w:qFormat/>
    <w:pPr>
      <w:spacing w:line="360" w:lineRule="auto"/>
      <w:ind w:firstLineChars="200" w:firstLine="480"/>
    </w:pPr>
    <w:rPr>
      <w:sz w:val="24"/>
      <w:szCs w:val="24"/>
    </w:rPr>
  </w:style>
  <w:style w:type="character" w:customStyle="1" w:styleId="4b">
    <w:name w:val="未处理的提及4"/>
    <w:basedOn w:val="a0"/>
    <w:autoRedefine/>
    <w:uiPriority w:val="99"/>
    <w:semiHidden/>
    <w:unhideWhenUsed/>
    <w:qFormat/>
    <w:rPr>
      <w:color w:val="605E5C"/>
      <w:shd w:val="clear" w:color="auto" w:fill="E1DFDD"/>
    </w:rPr>
  </w:style>
  <w:style w:type="paragraph" w:customStyle="1" w:styleId="1ff2">
    <w:name w:val="文本表格1"/>
    <w:basedOn w:val="a"/>
    <w:autoRedefine/>
    <w:semiHidden/>
    <w:qFormat/>
    <w:pPr>
      <w:adjustRightInd w:val="0"/>
      <w:snapToGrid w:val="0"/>
      <w:spacing w:line="320" w:lineRule="exact"/>
      <w:jc w:val="center"/>
    </w:pPr>
    <w:rPr>
      <w:rFonts w:ascii="黑体" w:hAnsi="黑体"/>
      <w:szCs w:val="21"/>
    </w:rPr>
  </w:style>
  <w:style w:type="character" w:customStyle="1" w:styleId="5b">
    <w:name w:val="未处理的提及5"/>
    <w:basedOn w:val="a0"/>
    <w:autoRedefine/>
    <w:uiPriority w:val="99"/>
    <w:semiHidden/>
    <w:unhideWhenUsed/>
    <w:qFormat/>
    <w:rPr>
      <w:color w:val="605E5C"/>
      <w:shd w:val="clear" w:color="auto" w:fill="E1DFDD"/>
    </w:rPr>
  </w:style>
  <w:style w:type="table" w:customStyle="1" w:styleId="1510">
    <w:name w:val="灰度表格151"/>
    <w:basedOn w:val="a1"/>
    <w:autoRedefine/>
    <w:uiPriority w:val="59"/>
    <w:qFormat/>
    <w:pPr>
      <w:adjustRightInd w:val="0"/>
      <w:snapToGrid w:val="0"/>
      <w:jc w:val="center"/>
    </w:pPr>
    <w:rPr>
      <w:rFonts w:ascii="Calibri" w:hAnsi="Calibri"/>
      <w:kern w:val="2"/>
      <w:sz w:val="21"/>
      <w:szCs w:val="22"/>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52">
    <w:name w:val="灰度表格152"/>
    <w:basedOn w:val="a1"/>
    <w:autoRedefine/>
    <w:uiPriority w:val="59"/>
    <w:qFormat/>
    <w:pPr>
      <w:adjustRightInd w:val="0"/>
      <w:snapToGrid w:val="0"/>
      <w:jc w:val="center"/>
    </w:pPr>
    <w:rPr>
      <w:rFonts w:ascii="Calibri" w:hAnsi="Calibri"/>
      <w:kern w:val="2"/>
      <w:sz w:val="21"/>
      <w:szCs w:val="22"/>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13">
    <w:name w:val="表格样式 1刘文13"/>
    <w:basedOn w:val="a1"/>
    <w:autoRedefine/>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111111">
    <w:name w:val="表格样式 1刘文11111"/>
    <w:basedOn w:val="a1"/>
    <w:autoRedefine/>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1111">
    <w:name w:val="表格样式 1刘文111"/>
    <w:basedOn w:val="a1"/>
    <w:autoRedefine/>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paragraph" w:customStyle="1" w:styleId="ZW1">
    <w:name w:val="ZW1"/>
    <w:basedOn w:val="1fd"/>
    <w:link w:val="ZW10"/>
    <w:autoRedefine/>
    <w:qFormat/>
    <w:rPr>
      <w:color w:val="auto"/>
    </w:rPr>
  </w:style>
  <w:style w:type="character" w:customStyle="1" w:styleId="ZW10">
    <w:name w:val="ZW1 字符"/>
    <w:basedOn w:val="1fe"/>
    <w:link w:val="ZW1"/>
    <w:autoRedefine/>
    <w:qFormat/>
    <w:rPr>
      <w:rFonts w:ascii="宋体" w:cs="Times New Roman"/>
      <w:color w:val="000000"/>
      <w:kern w:val="2"/>
      <w:sz w:val="24"/>
      <w:szCs w:val="24"/>
    </w:rPr>
  </w:style>
  <w:style w:type="paragraph" w:customStyle="1" w:styleId="affffffffd">
    <w:name w:val="正文（标准）"/>
    <w:basedOn w:val="a"/>
    <w:autoRedefine/>
    <w:uiPriority w:val="99"/>
    <w:qFormat/>
    <w:rPr>
      <w:szCs w:val="30"/>
    </w:rPr>
  </w:style>
  <w:style w:type="paragraph" w:customStyle="1" w:styleId="-5">
    <w:name w:val="表格标题-5"/>
    <w:basedOn w:val="-xin"/>
    <w:next w:val="a"/>
    <w:autoRedefine/>
    <w:uiPriority w:val="99"/>
    <w:qFormat/>
    <w:pPr>
      <w:numPr>
        <w:numId w:val="3"/>
      </w:numPr>
    </w:pPr>
  </w:style>
  <w:style w:type="paragraph" w:customStyle="1" w:styleId="-xin">
    <w:name w:val="表格标题-xin"/>
    <w:basedOn w:val="a"/>
    <w:next w:val="1"/>
    <w:autoRedefine/>
    <w:uiPriority w:val="99"/>
    <w:semiHidden/>
    <w:qFormat/>
    <w:pPr>
      <w:snapToGrid w:val="0"/>
      <w:jc w:val="center"/>
    </w:pPr>
    <w:rPr>
      <w:rFonts w:eastAsia="黑体"/>
    </w:rPr>
  </w:style>
  <w:style w:type="paragraph" w:customStyle="1" w:styleId="4c">
    <w:name w:val="样式4"/>
    <w:basedOn w:val="a"/>
    <w:link w:val="4Char"/>
    <w:autoRedefine/>
    <w:qFormat/>
    <w:rPr>
      <w:rFonts w:ascii="仿宋_GB2312"/>
      <w:spacing w:val="10"/>
      <w:kern w:val="0"/>
      <w:sz w:val="24"/>
    </w:rPr>
  </w:style>
  <w:style w:type="character" w:customStyle="1" w:styleId="4Char">
    <w:name w:val="样式4 Char"/>
    <w:link w:val="4c"/>
    <w:autoRedefine/>
    <w:qFormat/>
    <w:rPr>
      <w:rFonts w:ascii="仿宋_GB2312" w:cstheme="minorBidi"/>
      <w:spacing w:val="10"/>
      <w:sz w:val="24"/>
      <w:szCs w:val="22"/>
    </w:rPr>
  </w:style>
  <w:style w:type="paragraph" w:customStyle="1" w:styleId="Normal0">
    <w:name w:val="Normal_0"/>
    <w:autoRedefine/>
    <w:qFormat/>
    <w:pPr>
      <w:widowControl w:val="0"/>
      <w:spacing w:line="360" w:lineRule="auto"/>
      <w:ind w:firstLineChars="200" w:firstLine="200"/>
      <w:jc w:val="both"/>
    </w:pPr>
    <w:rPr>
      <w:rFonts w:eastAsia="仿宋"/>
      <w:kern w:val="2"/>
      <w:sz w:val="28"/>
      <w:szCs w:val="21"/>
    </w:rPr>
  </w:style>
  <w:style w:type="paragraph" w:customStyle="1" w:styleId="Normal00">
    <w:name w:val="Normal_0_0"/>
    <w:autoRedefine/>
    <w:uiPriority w:val="99"/>
    <w:qFormat/>
    <w:pPr>
      <w:widowControl w:val="0"/>
      <w:spacing w:line="360" w:lineRule="auto"/>
      <w:ind w:firstLineChars="200" w:firstLine="200"/>
      <w:jc w:val="both"/>
    </w:pPr>
    <w:rPr>
      <w:rFonts w:eastAsia="仿宋"/>
      <w:kern w:val="2"/>
      <w:sz w:val="28"/>
      <w:szCs w:val="21"/>
    </w:rPr>
  </w:style>
  <w:style w:type="table" w:customStyle="1" w:styleId="TableGrid0">
    <w:name w:val="Table Grid_0"/>
    <w:basedOn w:val="a1"/>
    <w:autoRedefine/>
    <w:qFormat/>
    <w:rPr>
      <w:rFonts w:eastAsia="仿宋"/>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5">
    <w:name w:val="未处理的提及6"/>
    <w:basedOn w:val="a0"/>
    <w:autoRedefine/>
    <w:uiPriority w:val="99"/>
    <w:semiHidden/>
    <w:unhideWhenUsed/>
    <w:qFormat/>
    <w:rPr>
      <w:color w:val="605E5C"/>
      <w:shd w:val="clear" w:color="auto" w:fill="E1DFDD"/>
    </w:rPr>
  </w:style>
  <w:style w:type="character" w:customStyle="1" w:styleId="76">
    <w:name w:val="未处理的提及7"/>
    <w:basedOn w:val="a0"/>
    <w:autoRedefine/>
    <w:uiPriority w:val="99"/>
    <w:semiHidden/>
    <w:unhideWhenUsed/>
    <w:qFormat/>
    <w:rPr>
      <w:color w:val="605E5C"/>
      <w:shd w:val="clear" w:color="auto" w:fill="E1DFDD"/>
    </w:rPr>
  </w:style>
  <w:style w:type="character" w:customStyle="1" w:styleId="86">
    <w:name w:val="未处理的提及8"/>
    <w:basedOn w:val="a0"/>
    <w:autoRedefine/>
    <w:uiPriority w:val="99"/>
    <w:semiHidden/>
    <w:unhideWhenUsed/>
    <w:qFormat/>
    <w:rPr>
      <w:color w:val="605E5C"/>
      <w:shd w:val="clear" w:color="auto" w:fill="E1DFDD"/>
    </w:rPr>
  </w:style>
  <w:style w:type="character" w:customStyle="1" w:styleId="2f9">
    <w:name w:val="正文文本首行缩进 2 字符"/>
    <w:autoRedefine/>
    <w:uiPriority w:val="99"/>
    <w:qFormat/>
    <w:rPr>
      <w:rFonts w:ascii="Times New Roman" w:hAnsi="Times New Roman" w:cs="Times New Roman" w:hint="default"/>
      <w:kern w:val="2"/>
      <w:sz w:val="21"/>
      <w:szCs w:val="22"/>
    </w:rPr>
  </w:style>
  <w:style w:type="character" w:customStyle="1" w:styleId="affffffffe">
    <w:name w:val="正文文本首行缩进 字符"/>
    <w:autoRedefine/>
    <w:uiPriority w:val="99"/>
    <w:qFormat/>
    <w:rPr>
      <w:kern w:val="2"/>
      <w:sz w:val="21"/>
      <w:szCs w:val="24"/>
    </w:rPr>
  </w:style>
  <w:style w:type="character" w:customStyle="1" w:styleId="Charf3">
    <w:name w:val="【表内字】 Char"/>
    <w:basedOn w:val="a0"/>
    <w:autoRedefine/>
    <w:qFormat/>
    <w:rPr>
      <w:rFonts w:ascii="Times New Roman" w:hAnsi="Times New Roman" w:cs="Times New Roman" w:hint="default"/>
      <w:snapToGrid/>
      <w:sz w:val="21"/>
      <w:szCs w:val="22"/>
    </w:rPr>
  </w:style>
  <w:style w:type="character" w:customStyle="1" w:styleId="810">
    <w:name w:val="未处理的提及81"/>
    <w:basedOn w:val="a0"/>
    <w:autoRedefine/>
    <w:qFormat/>
    <w:rPr>
      <w:color w:val="605E5C"/>
      <w:shd w:val="clear" w:color="auto" w:fill="E1DFDD"/>
    </w:rPr>
  </w:style>
  <w:style w:type="character" w:customStyle="1" w:styleId="94">
    <w:name w:val="未处理的提及9"/>
    <w:basedOn w:val="a0"/>
    <w:autoRedefine/>
    <w:uiPriority w:val="99"/>
    <w:semiHidden/>
    <w:unhideWhenUsed/>
    <w:qFormat/>
    <w:rPr>
      <w:color w:val="605E5C"/>
      <w:shd w:val="clear" w:color="auto" w:fill="E1DFDD"/>
    </w:rPr>
  </w:style>
  <w:style w:type="character" w:customStyle="1" w:styleId="101">
    <w:name w:val="未处理的提及10"/>
    <w:basedOn w:val="a0"/>
    <w:autoRedefine/>
    <w:uiPriority w:val="99"/>
    <w:semiHidden/>
    <w:unhideWhenUsed/>
    <w:qFormat/>
    <w:rPr>
      <w:color w:val="605E5C"/>
      <w:shd w:val="clear" w:color="auto" w:fill="E1DFDD"/>
    </w:rPr>
  </w:style>
  <w:style w:type="character" w:customStyle="1" w:styleId="font41">
    <w:name w:val="font41"/>
    <w:basedOn w:val="a0"/>
    <w:autoRedefine/>
    <w:qFormat/>
    <w:rPr>
      <w:rFonts w:ascii="Times New Roman" w:hAnsi="Times New Roman" w:cs="Times New Roman" w:hint="default"/>
      <w:color w:val="000000"/>
      <w:sz w:val="21"/>
      <w:szCs w:val="21"/>
      <w:u w:val="none"/>
    </w:rPr>
  </w:style>
  <w:style w:type="paragraph" w:customStyle="1" w:styleId="afffffffff">
    <w:name w:val="图表标题"/>
    <w:basedOn w:val="af4"/>
    <w:link w:val="afffffffff0"/>
    <w:autoRedefine/>
    <w:qFormat/>
    <w:pPr>
      <w:jc w:val="center"/>
    </w:pPr>
    <w:rPr>
      <w:rFonts w:ascii="Times New Roman" w:eastAsia="宋体" w:hAnsi="Times New Roman" w:cs="Times New Roman"/>
      <w:b/>
      <w:sz w:val="24"/>
    </w:rPr>
  </w:style>
  <w:style w:type="character" w:customStyle="1" w:styleId="afffffffff0">
    <w:name w:val="图表标题 字符"/>
    <w:basedOn w:val="af5"/>
    <w:link w:val="afffffffff"/>
    <w:autoRedefine/>
    <w:qFormat/>
    <w:rPr>
      <w:rFonts w:ascii="Times New Roman" w:eastAsia="宋体" w:hAnsi="Times New Roman" w:cs="Times New Roman"/>
      <w:b/>
      <w:kern w:val="2"/>
      <w:sz w:val="24"/>
    </w:rPr>
  </w:style>
  <w:style w:type="paragraph" w:customStyle="1" w:styleId="331113Char1Char1Char1CharCharChar1Cha3">
    <w:name w:val="样式 标题 3标题3小标题1.1.1标题 3Char1 Char1Char1 Char CharChar1 Cha...3"/>
    <w:basedOn w:val="3"/>
    <w:autoRedefine/>
    <w:uiPriority w:val="99"/>
    <w:qFormat/>
    <w:pPr>
      <w:outlineLvl w:val="1"/>
    </w:pPr>
    <w:rPr>
      <w:snapToGrid w:val="0"/>
      <w:szCs w:val="28"/>
    </w:rPr>
  </w:style>
  <w:style w:type="table" w:customStyle="1" w:styleId="afffffffff1">
    <w:name w:val="刘文自定义表格"/>
    <w:basedOn w:val="affff5"/>
    <w:autoRedefine/>
    <w:qFormat/>
    <w:pPr>
      <w:jc w:val="center"/>
    </w:p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tblHeader/>
    </w:trPr>
    <w:tcPr>
      <w:tcMar>
        <w:left w:w="28" w:type="dxa"/>
        <w:right w:w="28" w:type="dxa"/>
      </w:tcMar>
      <w:vAlign w:val="center"/>
    </w:tcPr>
  </w:style>
  <w:style w:type="character" w:customStyle="1" w:styleId="112">
    <w:name w:val="未处理的提及11"/>
    <w:basedOn w:val="a0"/>
    <w:autoRedefine/>
    <w:uiPriority w:val="99"/>
    <w:semiHidden/>
    <w:unhideWhenUsed/>
    <w:qFormat/>
    <w:rPr>
      <w:color w:val="605E5C"/>
      <w:shd w:val="clear" w:color="auto" w:fill="E1DFDD"/>
    </w:rPr>
  </w:style>
  <w:style w:type="paragraph" w:customStyle="1" w:styleId="Revision1">
    <w:name w:val="Revision1"/>
    <w:autoRedefine/>
    <w:hidden/>
    <w:uiPriority w:val="99"/>
    <w:semiHidden/>
    <w:qFormat/>
    <w:rPr>
      <w:rFonts w:cstheme="minorBidi"/>
      <w:kern w:val="2"/>
      <w:sz w:val="21"/>
      <w:szCs w:val="22"/>
    </w:rPr>
  </w:style>
  <w:style w:type="character" w:customStyle="1" w:styleId="114">
    <w:name w:val="书籍标题11"/>
    <w:autoRedefine/>
    <w:uiPriority w:val="99"/>
    <w:qFormat/>
    <w:rPr>
      <w:rFonts w:ascii="Times New Roman" w:eastAsia="黑体" w:hAnsi="Times New Roman"/>
      <w:sz w:val="21"/>
      <w:szCs w:val="21"/>
    </w:rPr>
  </w:style>
  <w:style w:type="paragraph" w:customStyle="1" w:styleId="CharChar3CharCharCharChar">
    <w:name w:val="Char Char3 Char Char Char Char"/>
    <w:basedOn w:val="a"/>
    <w:autoRedefine/>
    <w:uiPriority w:val="99"/>
    <w:qFormat/>
    <w:rPr>
      <w:rFonts w:ascii="Tahoma" w:hAnsi="Tahoma"/>
      <w:sz w:val="24"/>
      <w:szCs w:val="20"/>
    </w:rPr>
  </w:style>
  <w:style w:type="paragraph" w:customStyle="1" w:styleId="280">
    <w:name w:val="28磅正文"/>
    <w:basedOn w:val="a"/>
    <w:autoRedefine/>
    <w:qFormat/>
    <w:pPr>
      <w:spacing w:line="560" w:lineRule="exact"/>
    </w:pPr>
    <w:rPr>
      <w:kern w:val="0"/>
    </w:rPr>
  </w:style>
  <w:style w:type="paragraph" w:customStyle="1" w:styleId="xl64">
    <w:name w:val="xl64"/>
    <w:basedOn w:val="a"/>
    <w:autoRedefine/>
    <w:uiPriority w:val="99"/>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afffffffff2">
    <w:name w:val="正文（绿盟科技）"/>
    <w:autoRedefine/>
    <w:qFormat/>
    <w:pPr>
      <w:spacing w:line="300" w:lineRule="auto"/>
    </w:pPr>
    <w:rPr>
      <w:rFonts w:ascii="Arial" w:hAnsi="Arial"/>
      <w:sz w:val="21"/>
      <w:szCs w:val="21"/>
    </w:rPr>
  </w:style>
  <w:style w:type="paragraph" w:customStyle="1" w:styleId="2fa">
    <w:name w:val="蒲标题2"/>
    <w:basedOn w:val="20"/>
    <w:link w:val="2CharChar"/>
    <w:autoRedefine/>
    <w:qFormat/>
    <w:pPr>
      <w:tabs>
        <w:tab w:val="left" w:pos="5172"/>
      </w:tabs>
      <w:autoSpaceDE w:val="0"/>
      <w:autoSpaceDN w:val="0"/>
      <w:adjustRightInd w:val="0"/>
      <w:snapToGrid w:val="0"/>
      <w:outlineLvl w:val="0"/>
    </w:pPr>
    <w:rPr>
      <w:snapToGrid w:val="0"/>
      <w:color w:val="000000"/>
      <w:kern w:val="0"/>
      <w:szCs w:val="28"/>
      <w:lang w:val="zh-CN"/>
    </w:rPr>
  </w:style>
  <w:style w:type="character" w:customStyle="1" w:styleId="2CharChar">
    <w:name w:val="蒲标题2 Char Char"/>
    <w:link w:val="2fa"/>
    <w:autoRedefine/>
    <w:qFormat/>
    <w:rPr>
      <w:rFonts w:cstheme="majorBidi"/>
      <w:b/>
      <w:bCs/>
      <w:snapToGrid w:val="0"/>
      <w:color w:val="000000"/>
      <w:sz w:val="28"/>
      <w:szCs w:val="28"/>
      <w:lang w:val="zh-CN"/>
    </w:rPr>
  </w:style>
  <w:style w:type="table" w:customStyle="1" w:styleId="1ff3">
    <w:name w:val="网格型1"/>
    <w:basedOn w:val="a1"/>
    <w:autoRedefine/>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81">
    <w:name w:val="font81"/>
    <w:basedOn w:val="a0"/>
    <w:autoRedefine/>
    <w:qFormat/>
    <w:rPr>
      <w:rFonts w:ascii="BatangChe" w:eastAsia="BatangChe" w:hAnsi="BatangChe" w:cs="BatangChe"/>
      <w:color w:val="000000"/>
      <w:sz w:val="18"/>
      <w:szCs w:val="18"/>
      <w:u w:val="none"/>
    </w:rPr>
  </w:style>
  <w:style w:type="character" w:customStyle="1" w:styleId="UnresolvedMention1">
    <w:name w:val="Unresolved Mention1"/>
    <w:basedOn w:val="a0"/>
    <w:autoRedefine/>
    <w:uiPriority w:val="99"/>
    <w:semiHidden/>
    <w:unhideWhenUsed/>
    <w:qFormat/>
    <w:rPr>
      <w:color w:val="605E5C"/>
      <w:shd w:val="clear" w:color="auto" w:fill="E1DFDD"/>
    </w:rPr>
  </w:style>
  <w:style w:type="character" w:customStyle="1" w:styleId="1ff4">
    <w:name w:val="书籍标题1"/>
    <w:autoRedefine/>
    <w:uiPriority w:val="99"/>
    <w:qFormat/>
    <w:rPr>
      <w:rFonts w:ascii="Times New Roman" w:eastAsia="黑体" w:hAnsi="Times New Roman"/>
      <w:sz w:val="21"/>
      <w:szCs w:val="21"/>
    </w:rPr>
  </w:style>
  <w:style w:type="table" w:customStyle="1" w:styleId="TableNormal2">
    <w:name w:val="Table Normal2"/>
    <w:autoRedefine/>
    <w:semiHidden/>
    <w:unhideWhenUsed/>
    <w:qFormat/>
    <w:rPr>
      <w:rFonts w:ascii="Arial" w:eastAsiaTheme="minorEastAsia" w:hAnsi="Arial" w:cs="Arial"/>
    </w:rPr>
    <w:tblPr>
      <w:tblCellMar>
        <w:top w:w="0" w:type="dxa"/>
        <w:left w:w="0" w:type="dxa"/>
        <w:bottom w:w="0" w:type="dxa"/>
        <w:right w:w="0" w:type="dxa"/>
      </w:tblCellMar>
    </w:tblPr>
  </w:style>
  <w:style w:type="paragraph" w:customStyle="1" w:styleId="-2">
    <w:name w:val="正文-欣欣"/>
    <w:basedOn w:val="a"/>
    <w:next w:val="a"/>
    <w:autoRedefine/>
    <w:uiPriority w:val="99"/>
    <w:qFormat/>
    <w:pPr>
      <w:widowControl/>
      <w:ind w:firstLineChars="200" w:firstLine="200"/>
    </w:pPr>
    <w:rPr>
      <w:rFonts w:ascii="宋体" w:hAnsi="宋体" w:cs="宋体"/>
      <w:kern w:val="0"/>
      <w:sz w:val="24"/>
      <w:szCs w:val="30"/>
    </w:rPr>
  </w:style>
  <w:style w:type="paragraph" w:customStyle="1" w:styleId="77">
    <w:name w:val="7.正文"/>
    <w:basedOn w:val="a"/>
    <w:autoRedefine/>
    <w:qFormat/>
    <w:pPr>
      <w:adjustRightInd w:val="0"/>
      <w:snapToGrid w:val="0"/>
      <w:spacing w:line="360" w:lineRule="auto"/>
      <w:ind w:firstLineChars="200" w:firstLine="200"/>
    </w:pPr>
    <w:rPr>
      <w:rFonts w:cs="Times New Roman"/>
      <w:snapToGrid w:val="0"/>
      <w:kern w:val="0"/>
      <w:sz w:val="24"/>
      <w:szCs w:val="24"/>
    </w:rPr>
  </w:style>
  <w:style w:type="character" w:customStyle="1" w:styleId="330">
    <w:name w:val="标题 3 字符3"/>
    <w:autoRedefine/>
    <w:qFormat/>
    <w:rPr>
      <w:rFonts w:ascii="Times New Roman" w:eastAsia="宋体" w:hAnsi="Times New Roman" w:cs="Times New Roman"/>
      <w:b/>
      <w:bCs/>
      <w:sz w:val="28"/>
      <w:szCs w:val="32"/>
    </w:rPr>
  </w:style>
  <w:style w:type="paragraph" w:customStyle="1" w:styleId="afffffffff3">
    <w:name w:val="【表格】"/>
    <w:autoRedefine/>
    <w:qFormat/>
    <w:pPr>
      <w:widowControl w:val="0"/>
      <w:jc w:val="center"/>
    </w:pPr>
    <w:rPr>
      <w:sz w:val="21"/>
      <w:szCs w:val="24"/>
    </w:rPr>
  </w:style>
  <w:style w:type="paragraph" w:customStyle="1" w:styleId="-mhj">
    <w:name w:val="正文-mhj"/>
    <w:basedOn w:val="a"/>
    <w:autoRedefine/>
    <w:qFormat/>
    <w:pPr>
      <w:spacing w:line="360" w:lineRule="auto"/>
      <w:ind w:firstLineChars="200" w:firstLine="200"/>
      <w:contextualSpacing/>
      <w:jc w:val="left"/>
    </w:pPr>
    <w:rPr>
      <w:color w:val="0000FF"/>
      <w:sz w:val="24"/>
      <w:szCs w:val="30"/>
    </w:rPr>
  </w:style>
  <w:style w:type="paragraph" w:customStyle="1" w:styleId="2fb">
    <w:name w:val="无间隔2"/>
    <w:autoRedefine/>
    <w:uiPriority w:val="99"/>
    <w:qFormat/>
    <w:pPr>
      <w:widowControl w:val="0"/>
      <w:spacing w:line="280" w:lineRule="exact"/>
      <w:jc w:val="center"/>
    </w:pPr>
    <w:rPr>
      <w:kern w:val="2"/>
      <w:sz w:val="18"/>
      <w:szCs w:val="24"/>
    </w:rPr>
  </w:style>
  <w:style w:type="character" w:customStyle="1" w:styleId="121">
    <w:name w:val="未处理的提及12"/>
    <w:basedOn w:val="a0"/>
    <w:autoRedefine/>
    <w:uiPriority w:val="99"/>
    <w:semiHidden/>
    <w:unhideWhenUsed/>
    <w:qFormat/>
    <w:rPr>
      <w:color w:val="605E5C"/>
      <w:shd w:val="clear" w:color="auto" w:fill="E1DFDD"/>
    </w:rPr>
  </w:style>
  <w:style w:type="character" w:customStyle="1" w:styleId="1ff5">
    <w:name w:val="批注文字 字符1"/>
    <w:autoRedefine/>
    <w:uiPriority w:val="99"/>
    <w:qFormat/>
    <w:rPr>
      <w:rFonts w:ascii="Times New Roman" w:eastAsia="宋体" w:hAnsi="Times New Roman" w:cs="Times New Roman"/>
      <w:sz w:val="24"/>
      <w:szCs w:val="20"/>
    </w:rPr>
  </w:style>
  <w:style w:type="paragraph" w:customStyle="1" w:styleId="afffffffff4">
    <w:name w:val="河南表内"/>
    <w:basedOn w:val="a"/>
    <w:autoRedefine/>
    <w:uiPriority w:val="99"/>
    <w:qFormat/>
    <w:pPr>
      <w:spacing w:line="360" w:lineRule="exact"/>
      <w:jc w:val="center"/>
    </w:pPr>
    <w:rPr>
      <w:rFonts w:cs="Times New Roman"/>
      <w:color w:val="000000"/>
      <w:szCs w:val="21"/>
    </w:rPr>
  </w:style>
  <w:style w:type="character" w:customStyle="1" w:styleId="3Char0">
    <w:name w:val="3标题(治) Char"/>
    <w:link w:val="3f7"/>
    <w:autoRedefine/>
    <w:qFormat/>
    <w:rPr>
      <w:bCs/>
      <w:snapToGrid w:val="0"/>
      <w:color w:val="0000FF"/>
      <w:kern w:val="2"/>
      <w:sz w:val="24"/>
      <w:szCs w:val="28"/>
    </w:rPr>
  </w:style>
  <w:style w:type="paragraph" w:customStyle="1" w:styleId="3f7">
    <w:name w:val="3标题(治)"/>
    <w:basedOn w:val="3"/>
    <w:link w:val="3Char0"/>
    <w:autoRedefine/>
    <w:qFormat/>
    <w:pPr>
      <w:keepLines w:val="0"/>
      <w:numPr>
        <w:ilvl w:val="0"/>
        <w:numId w:val="0"/>
      </w:numPr>
      <w:spacing w:beforeLines="50" w:afterLines="50"/>
      <w:ind w:left="1245" w:hanging="720"/>
      <w:jc w:val="both"/>
      <w:textAlignment w:val="baseline"/>
    </w:pPr>
    <w:rPr>
      <w:rFonts w:cs="Times New Roman"/>
      <w:b w:val="0"/>
      <w:snapToGrid w:val="0"/>
      <w:color w:val="0000FF"/>
      <w:szCs w:val="28"/>
    </w:rPr>
  </w:style>
  <w:style w:type="character" w:customStyle="1" w:styleId="Char10">
    <w:name w:val="表格文字 Char1"/>
    <w:autoRedefine/>
    <w:qFormat/>
    <w:rPr>
      <w:rFonts w:ascii="Arial" w:eastAsia="宋体" w:hAnsi="Arial"/>
      <w:snapToGrid w:val="0"/>
      <w:kern w:val="21"/>
      <w:sz w:val="24"/>
    </w:rPr>
  </w:style>
  <w:style w:type="table" w:customStyle="1" w:styleId="TableNormal">
    <w:name w:val="Table Normal"/>
    <w:autoRedefine/>
    <w:unhideWhenUsed/>
    <w:qFormat/>
    <w:pPr>
      <w:widowControl w:val="0"/>
    </w:pPr>
    <w:rPr>
      <w:sz w:val="22"/>
      <w:szCs w:val="22"/>
      <w:lang w:eastAsia="en-US"/>
    </w:rPr>
    <w:tblPr>
      <w:tblCellMar>
        <w:top w:w="0" w:type="dxa"/>
        <w:left w:w="0" w:type="dxa"/>
        <w:bottom w:w="0" w:type="dxa"/>
        <w:right w:w="0" w:type="dxa"/>
      </w:tblCellMar>
    </w:tblPr>
  </w:style>
  <w:style w:type="paragraph" w:customStyle="1" w:styleId="-3">
    <w:name w:val="宋-正文"/>
    <w:basedOn w:val="a"/>
    <w:link w:val="-Char"/>
    <w:autoRedefine/>
    <w:qFormat/>
    <w:pPr>
      <w:autoSpaceDE w:val="0"/>
      <w:autoSpaceDN w:val="0"/>
      <w:adjustRightInd w:val="0"/>
      <w:spacing w:line="360" w:lineRule="auto"/>
      <w:ind w:firstLineChars="200" w:firstLine="200"/>
    </w:pPr>
    <w:rPr>
      <w:kern w:val="0"/>
      <w:szCs w:val="24"/>
      <w:lang w:val="zh-CN"/>
    </w:rPr>
  </w:style>
  <w:style w:type="character" w:customStyle="1" w:styleId="-Char">
    <w:name w:val="宋-正文 Char"/>
    <w:link w:val="-3"/>
    <w:autoRedefine/>
    <w:qFormat/>
    <w:rPr>
      <w:rFonts w:cstheme="minorBidi"/>
      <w:sz w:val="21"/>
      <w:szCs w:val="24"/>
      <w:lang w:val="zh-CN"/>
    </w:rPr>
  </w:style>
  <w:style w:type="character" w:customStyle="1" w:styleId="a4">
    <w:name w:val="宏文本 字符"/>
    <w:basedOn w:val="a0"/>
    <w:link w:val="a3"/>
    <w:autoRedefine/>
    <w:uiPriority w:val="99"/>
    <w:qFormat/>
    <w:rPr>
      <w:rFonts w:ascii="Courier New" w:hAnsi="Courier New"/>
      <w:kern w:val="2"/>
      <w:sz w:val="24"/>
      <w:szCs w:val="24"/>
    </w:rPr>
  </w:style>
  <w:style w:type="character" w:customStyle="1" w:styleId="a7">
    <w:name w:val="注释标题 字符"/>
    <w:basedOn w:val="a0"/>
    <w:link w:val="a6"/>
    <w:autoRedefine/>
    <w:uiPriority w:val="99"/>
    <w:qFormat/>
    <w:rPr>
      <w:rFonts w:ascii="宋体" w:hAnsi="宋体"/>
      <w:snapToGrid w:val="0"/>
      <w:sz w:val="28"/>
      <w:szCs w:val="24"/>
    </w:rPr>
  </w:style>
  <w:style w:type="character" w:customStyle="1" w:styleId="af9">
    <w:name w:val="文档结构图 字符"/>
    <w:basedOn w:val="a0"/>
    <w:link w:val="af8"/>
    <w:autoRedefine/>
    <w:uiPriority w:val="99"/>
    <w:qFormat/>
    <w:rPr>
      <w:sz w:val="24"/>
      <w:shd w:val="clear" w:color="auto" w:fill="000080"/>
    </w:rPr>
  </w:style>
  <w:style w:type="character" w:customStyle="1" w:styleId="afe">
    <w:name w:val="称呼 字符"/>
    <w:basedOn w:val="a0"/>
    <w:link w:val="afd"/>
    <w:autoRedefine/>
    <w:uiPriority w:val="99"/>
    <w:qFormat/>
    <w:rPr>
      <w:sz w:val="28"/>
      <w:szCs w:val="24"/>
    </w:rPr>
  </w:style>
  <w:style w:type="character" w:customStyle="1" w:styleId="aff0">
    <w:name w:val="结束语 字符"/>
    <w:basedOn w:val="a0"/>
    <w:link w:val="aff"/>
    <w:autoRedefine/>
    <w:uiPriority w:val="99"/>
    <w:qFormat/>
    <w:rPr>
      <w:sz w:val="28"/>
      <w:szCs w:val="24"/>
    </w:rPr>
  </w:style>
  <w:style w:type="character" w:customStyle="1" w:styleId="HTML0">
    <w:name w:val="HTML 地址 字符"/>
    <w:basedOn w:val="a0"/>
    <w:link w:val="HTML"/>
    <w:autoRedefine/>
    <w:qFormat/>
    <w:rPr>
      <w:i/>
      <w:iCs/>
      <w:kern w:val="2"/>
      <w:sz w:val="21"/>
      <w:szCs w:val="24"/>
    </w:rPr>
  </w:style>
  <w:style w:type="character" w:customStyle="1" w:styleId="affa">
    <w:name w:val="尾注文本 字符"/>
    <w:basedOn w:val="a0"/>
    <w:link w:val="aff9"/>
    <w:autoRedefine/>
    <w:uiPriority w:val="99"/>
    <w:qFormat/>
    <w:rPr>
      <w:kern w:val="2"/>
      <w:sz w:val="24"/>
    </w:rPr>
  </w:style>
  <w:style w:type="character" w:customStyle="1" w:styleId="afff3">
    <w:name w:val="签名 字符"/>
    <w:basedOn w:val="a0"/>
    <w:link w:val="afff2"/>
    <w:autoRedefine/>
    <w:uiPriority w:val="99"/>
    <w:qFormat/>
    <w:rPr>
      <w:kern w:val="2"/>
      <w:sz w:val="21"/>
      <w:szCs w:val="24"/>
    </w:rPr>
  </w:style>
  <w:style w:type="character" w:customStyle="1" w:styleId="afff9">
    <w:name w:val="脚注文本 字符"/>
    <w:basedOn w:val="a0"/>
    <w:link w:val="afff7"/>
    <w:autoRedefine/>
    <w:qFormat/>
    <w:rPr>
      <w:sz w:val="16"/>
    </w:rPr>
  </w:style>
  <w:style w:type="character" w:customStyle="1" w:styleId="affff0">
    <w:name w:val="标题 字符"/>
    <w:basedOn w:val="a0"/>
    <w:link w:val="affff"/>
    <w:autoRedefine/>
    <w:uiPriority w:val="99"/>
    <w:qFormat/>
    <w:rPr>
      <w:rFonts w:ascii="Arial" w:eastAsia="黑体" w:hAnsi="Arial"/>
      <w:sz w:val="32"/>
    </w:rPr>
  </w:style>
  <w:style w:type="character" w:customStyle="1" w:styleId="Char20">
    <w:name w:val="正文文本 Char2"/>
    <w:autoRedefine/>
    <w:uiPriority w:val="99"/>
    <w:qFormat/>
    <w:rPr>
      <w:rFonts w:ascii="Times New Roman" w:eastAsia="宋体" w:hAnsi="Times New Roman" w:cs="Times New Roman"/>
      <w:sz w:val="24"/>
      <w:szCs w:val="20"/>
    </w:rPr>
  </w:style>
  <w:style w:type="character" w:customStyle="1" w:styleId="CharCharCharChar">
    <w:name w:val="正文缩进（自定义） Char Char Char Char"/>
    <w:link w:val="CharCharChar"/>
    <w:autoRedefine/>
    <w:qFormat/>
    <w:rPr>
      <w:rFonts w:ascii="Century Gothic" w:hAnsi="Century Gothic"/>
      <w:sz w:val="24"/>
    </w:rPr>
  </w:style>
  <w:style w:type="paragraph" w:customStyle="1" w:styleId="CharCharChar">
    <w:name w:val="正文缩进（自定义） Char Char Char"/>
    <w:basedOn w:val="a"/>
    <w:link w:val="CharCharCharChar"/>
    <w:autoRedefine/>
    <w:qFormat/>
    <w:pPr>
      <w:spacing w:before="120" w:after="120" w:line="360" w:lineRule="auto"/>
      <w:ind w:firstLineChars="200" w:firstLine="480"/>
    </w:pPr>
    <w:rPr>
      <w:rFonts w:ascii="Century Gothic" w:hAnsi="Century Gothic" w:cs="Times New Roman"/>
      <w:kern w:val="0"/>
      <w:sz w:val="24"/>
      <w:szCs w:val="20"/>
    </w:rPr>
  </w:style>
  <w:style w:type="character" w:customStyle="1" w:styleId="CharCharChar0">
    <w:name w:val="二章正文 Char Char Char"/>
    <w:link w:val="CharChar4"/>
    <w:autoRedefine/>
    <w:qFormat/>
    <w:rPr>
      <w:rFonts w:ascii="宋体" w:hAnsi="Calibri"/>
      <w:kern w:val="2"/>
      <w:sz w:val="24"/>
      <w:szCs w:val="22"/>
    </w:rPr>
  </w:style>
  <w:style w:type="paragraph" w:customStyle="1" w:styleId="CharChar4">
    <w:name w:val="二章正文 Char Char"/>
    <w:next w:val="62"/>
    <w:link w:val="CharCharChar0"/>
    <w:autoRedefine/>
    <w:qFormat/>
    <w:pPr>
      <w:widowControl w:val="0"/>
      <w:adjustRightInd w:val="0"/>
      <w:snapToGrid w:val="0"/>
      <w:spacing w:line="560" w:lineRule="exact"/>
      <w:ind w:firstLineChars="225" w:firstLine="225"/>
      <w:jc w:val="both"/>
    </w:pPr>
    <w:rPr>
      <w:rFonts w:ascii="宋体" w:hAnsi="Calibri"/>
      <w:kern w:val="2"/>
      <w:sz w:val="24"/>
      <w:szCs w:val="22"/>
    </w:rPr>
  </w:style>
  <w:style w:type="character" w:customStyle="1" w:styleId="CharChar30">
    <w:name w:val="Char Char3"/>
    <w:autoRedefine/>
    <w:qFormat/>
    <w:rPr>
      <w:rFonts w:ascii="宋体" w:eastAsia="宋体" w:hAnsi="Courier New"/>
      <w:kern w:val="2"/>
      <w:sz w:val="21"/>
      <w:lang w:val="en-US" w:eastAsia="zh-CN" w:bidi="ar-SA"/>
    </w:rPr>
  </w:style>
  <w:style w:type="character" w:customStyle="1" w:styleId="1ff6">
    <w:name w:val="标题1"/>
    <w:autoRedefine/>
    <w:qFormat/>
  </w:style>
  <w:style w:type="character" w:customStyle="1" w:styleId="Charf4">
    <w:name w:val="二章正文 Char"/>
    <w:link w:val="afffffffff5"/>
    <w:autoRedefine/>
    <w:qFormat/>
    <w:rPr>
      <w:rFonts w:ascii="宋体" w:hAnsi="Calibri"/>
      <w:kern w:val="2"/>
      <w:sz w:val="24"/>
      <w:szCs w:val="22"/>
    </w:rPr>
  </w:style>
  <w:style w:type="paragraph" w:customStyle="1" w:styleId="afffffffff5">
    <w:name w:val="二章正文"/>
    <w:next w:val="afffffffff6"/>
    <w:link w:val="Charf4"/>
    <w:autoRedefine/>
    <w:qFormat/>
    <w:pPr>
      <w:widowControl w:val="0"/>
      <w:spacing w:before="156" w:line="360" w:lineRule="auto"/>
      <w:ind w:firstLine="482"/>
      <w:jc w:val="both"/>
    </w:pPr>
    <w:rPr>
      <w:rFonts w:ascii="宋体" w:hAnsi="Calibri"/>
      <w:kern w:val="2"/>
      <w:sz w:val="24"/>
      <w:szCs w:val="22"/>
    </w:rPr>
  </w:style>
  <w:style w:type="paragraph" w:customStyle="1" w:styleId="afffffffff6">
    <w:name w:val="文本"/>
    <w:basedOn w:val="a"/>
    <w:next w:val="aff4"/>
    <w:link w:val="Charf5"/>
    <w:autoRedefine/>
    <w:uiPriority w:val="99"/>
    <w:qFormat/>
    <w:rPr>
      <w:rFonts w:ascii="宋体" w:cs="Times New Roman"/>
      <w:sz w:val="24"/>
      <w:szCs w:val="20"/>
    </w:rPr>
  </w:style>
  <w:style w:type="character" w:customStyle="1" w:styleId="Charf5">
    <w:name w:val="文本 Char"/>
    <w:link w:val="afffffffff6"/>
    <w:autoRedefine/>
    <w:uiPriority w:val="99"/>
    <w:qFormat/>
    <w:locked/>
    <w:rPr>
      <w:rFonts w:ascii="宋体"/>
      <w:kern w:val="2"/>
      <w:sz w:val="24"/>
    </w:rPr>
  </w:style>
  <w:style w:type="character" w:customStyle="1" w:styleId="3Char1">
    <w:name w:val="标题3 Char"/>
    <w:link w:val="3f8"/>
    <w:autoRedefine/>
    <w:qFormat/>
    <w:rPr>
      <w:rFonts w:eastAsia="华文中宋"/>
      <w:b/>
      <w:kern w:val="10"/>
      <w:sz w:val="28"/>
    </w:rPr>
  </w:style>
  <w:style w:type="paragraph" w:customStyle="1" w:styleId="3f8">
    <w:name w:val="标题3"/>
    <w:basedOn w:val="a"/>
    <w:link w:val="3Char1"/>
    <w:autoRedefine/>
    <w:qFormat/>
    <w:pPr>
      <w:overflowPunct w:val="0"/>
      <w:topLinePunct/>
      <w:spacing w:line="360" w:lineRule="auto"/>
      <w:outlineLvl w:val="2"/>
    </w:pPr>
    <w:rPr>
      <w:rFonts w:eastAsia="华文中宋" w:cs="Times New Roman"/>
      <w:b/>
      <w:kern w:val="10"/>
      <w:sz w:val="28"/>
      <w:szCs w:val="20"/>
    </w:rPr>
  </w:style>
  <w:style w:type="character" w:customStyle="1" w:styleId="Charf6">
    <w:name w:val="报告书正文 Char"/>
    <w:link w:val="afffffffff7"/>
    <w:autoRedefine/>
    <w:qFormat/>
    <w:rPr>
      <w:rFonts w:ascii="宋体" w:hAnsi="Calibri"/>
      <w:kern w:val="2"/>
      <w:sz w:val="24"/>
      <w:szCs w:val="22"/>
    </w:rPr>
  </w:style>
  <w:style w:type="paragraph" w:customStyle="1" w:styleId="afffffffff7">
    <w:name w:val="报告书正文"/>
    <w:next w:val="25"/>
    <w:link w:val="Charf6"/>
    <w:autoRedefine/>
    <w:qFormat/>
    <w:pPr>
      <w:widowControl w:val="0"/>
      <w:spacing w:line="360" w:lineRule="auto"/>
      <w:ind w:firstLineChars="200" w:firstLine="200"/>
    </w:pPr>
    <w:rPr>
      <w:rFonts w:ascii="宋体" w:hAnsi="Calibri"/>
      <w:kern w:val="2"/>
      <w:sz w:val="24"/>
      <w:szCs w:val="22"/>
    </w:rPr>
  </w:style>
  <w:style w:type="character" w:customStyle="1" w:styleId="3Char2">
    <w:name w:val="标题 3 Char"/>
    <w:autoRedefine/>
    <w:uiPriority w:val="99"/>
    <w:qFormat/>
    <w:rPr>
      <w:rFonts w:ascii="Times New Roman" w:eastAsia="宋体" w:hAnsi="Times New Roman" w:cs="Times New Roman"/>
      <w:b/>
      <w:bCs/>
      <w:sz w:val="32"/>
      <w:szCs w:val="32"/>
    </w:rPr>
  </w:style>
  <w:style w:type="character" w:customStyle="1" w:styleId="afffffffff8">
    <w:name w:val="上标"/>
    <w:autoRedefine/>
    <w:qFormat/>
    <w:rPr>
      <w:vertAlign w:val="superscript"/>
    </w:rPr>
  </w:style>
  <w:style w:type="character" w:customStyle="1" w:styleId="Char21">
    <w:name w:val="表文 Char2"/>
    <w:link w:val="afffffffff9"/>
    <w:autoRedefine/>
    <w:qFormat/>
    <w:rPr>
      <w:rFonts w:ascii="Calibri" w:hAnsi="Calibri"/>
      <w:kern w:val="2"/>
      <w:sz w:val="18"/>
      <w:szCs w:val="22"/>
    </w:rPr>
  </w:style>
  <w:style w:type="paragraph" w:customStyle="1" w:styleId="afffffffff9">
    <w:name w:val="表文"/>
    <w:next w:val="a"/>
    <w:link w:val="Char21"/>
    <w:autoRedefine/>
    <w:qFormat/>
    <w:pPr>
      <w:widowControl w:val="0"/>
      <w:overflowPunct w:val="0"/>
      <w:topLinePunct/>
      <w:spacing w:line="320" w:lineRule="exact"/>
      <w:jc w:val="center"/>
      <w:outlineLvl w:val="6"/>
    </w:pPr>
    <w:rPr>
      <w:rFonts w:ascii="Calibri" w:hAnsi="Calibri"/>
      <w:kern w:val="2"/>
      <w:sz w:val="18"/>
      <w:szCs w:val="22"/>
    </w:rPr>
  </w:style>
  <w:style w:type="character" w:customStyle="1" w:styleId="infodetail">
    <w:name w:val="infodetail"/>
    <w:basedOn w:val="a0"/>
    <w:autoRedefine/>
    <w:qFormat/>
  </w:style>
  <w:style w:type="character" w:customStyle="1" w:styleId="CharCharCharCharCharCharCharCharCharChar">
    <w:name w:val="Char Char Char Char Char Char Char Char Char Char"/>
    <w:link w:val="CharCharCharCharCharCharCharCharChar"/>
    <w:autoRedefine/>
    <w:qFormat/>
  </w:style>
  <w:style w:type="paragraph" w:customStyle="1" w:styleId="CharCharCharCharCharCharCharCharChar">
    <w:name w:val="Char Char Char Char Char Char Char Char Char"/>
    <w:basedOn w:val="a"/>
    <w:link w:val="CharCharCharCharCharCharCharCharCharChar"/>
    <w:autoRedefine/>
    <w:qFormat/>
    <w:rPr>
      <w:rFonts w:cs="Times New Roman"/>
      <w:kern w:val="0"/>
      <w:sz w:val="20"/>
      <w:szCs w:val="20"/>
    </w:rPr>
  </w:style>
  <w:style w:type="character" w:customStyle="1" w:styleId="22CharChar">
    <w:name w:val="正22 Char Char"/>
    <w:link w:val="22Char0"/>
    <w:autoRedefine/>
    <w:qFormat/>
    <w:locked/>
    <w:rPr>
      <w:rFonts w:ascii="Arial Narrow" w:hAnsi="Arial Narrow" w:cs="宋体"/>
      <w:sz w:val="28"/>
    </w:rPr>
  </w:style>
  <w:style w:type="paragraph" w:customStyle="1" w:styleId="22Char0">
    <w:name w:val="正22 Char"/>
    <w:basedOn w:val="a"/>
    <w:link w:val="22CharChar"/>
    <w:autoRedefine/>
    <w:qFormat/>
    <w:pPr>
      <w:spacing w:line="640" w:lineRule="exact"/>
      <w:ind w:firstLineChars="200" w:firstLine="200"/>
      <w:jc w:val="left"/>
    </w:pPr>
    <w:rPr>
      <w:rFonts w:ascii="Arial Narrow" w:hAnsi="Arial Narrow" w:cs="宋体"/>
      <w:kern w:val="0"/>
      <w:sz w:val="28"/>
      <w:szCs w:val="20"/>
    </w:rPr>
  </w:style>
  <w:style w:type="character" w:customStyle="1" w:styleId="t1">
    <w:name w:val="t1"/>
    <w:basedOn w:val="a0"/>
    <w:autoRedefine/>
    <w:qFormat/>
  </w:style>
  <w:style w:type="character" w:customStyle="1" w:styleId="5CharChar">
    <w:name w:val="样式5 Char Char"/>
    <w:autoRedefine/>
    <w:qFormat/>
    <w:rPr>
      <w:rFonts w:eastAsia="宋体"/>
      <w:kern w:val="2"/>
      <w:sz w:val="24"/>
      <w:lang w:val="en-US" w:eastAsia="zh-CN"/>
    </w:rPr>
  </w:style>
  <w:style w:type="character" w:customStyle="1" w:styleId="hb1Char">
    <w:name w:val="hb1 Char"/>
    <w:link w:val="hb1"/>
    <w:autoRedefine/>
    <w:qFormat/>
    <w:rPr>
      <w:rFonts w:ascii="宋体" w:hAnsi="宋体"/>
      <w:color w:val="000000"/>
      <w:sz w:val="24"/>
    </w:rPr>
  </w:style>
  <w:style w:type="paragraph" w:customStyle="1" w:styleId="hb1">
    <w:name w:val="hb1"/>
    <w:basedOn w:val="af"/>
    <w:link w:val="hb1Char"/>
    <w:autoRedefine/>
    <w:qFormat/>
    <w:pPr>
      <w:kinsoku/>
      <w:adjustRightInd/>
      <w:spacing w:after="0" w:line="460" w:lineRule="exact"/>
      <w:ind w:firstLine="482"/>
      <w:jc w:val="both"/>
      <w:textAlignment w:val="auto"/>
    </w:pPr>
    <w:rPr>
      <w:rFonts w:ascii="宋体" w:hAnsi="宋体"/>
      <w:color w:val="000000"/>
      <w:kern w:val="0"/>
      <w:sz w:val="24"/>
      <w:szCs w:val="20"/>
    </w:rPr>
  </w:style>
  <w:style w:type="character" w:customStyle="1" w:styleId="xybCharCharCharChar">
    <w:name w:val="xyb自建正文 Char Char Char Char"/>
    <w:link w:val="xybCharCharChar"/>
    <w:autoRedefine/>
    <w:qFormat/>
    <w:rPr>
      <w:rFonts w:ascii="宋体"/>
      <w:spacing w:val="-2"/>
      <w:sz w:val="24"/>
    </w:rPr>
  </w:style>
  <w:style w:type="paragraph" w:customStyle="1" w:styleId="xybCharCharChar">
    <w:name w:val="xyb自建正文 Char Char Char"/>
    <w:basedOn w:val="a"/>
    <w:link w:val="xybCharCharCharChar"/>
    <w:autoRedefine/>
    <w:qFormat/>
    <w:pPr>
      <w:tabs>
        <w:tab w:val="left" w:pos="1440"/>
        <w:tab w:val="left" w:pos="8280"/>
      </w:tabs>
      <w:spacing w:line="360" w:lineRule="auto"/>
      <w:ind w:firstLineChars="200" w:firstLine="200"/>
    </w:pPr>
    <w:rPr>
      <w:rFonts w:ascii="宋体" w:cs="Times New Roman"/>
      <w:spacing w:val="-2"/>
      <w:kern w:val="0"/>
      <w:sz w:val="24"/>
      <w:szCs w:val="20"/>
    </w:rPr>
  </w:style>
  <w:style w:type="character" w:customStyle="1" w:styleId="CharChar5">
    <w:name w:val="表号 Char Char"/>
    <w:link w:val="afffffffffa"/>
    <w:autoRedefine/>
    <w:qFormat/>
    <w:rPr>
      <w:sz w:val="24"/>
    </w:rPr>
  </w:style>
  <w:style w:type="paragraph" w:customStyle="1" w:styleId="afffffffffa">
    <w:name w:val="表号"/>
    <w:basedOn w:val="a"/>
    <w:link w:val="CharChar5"/>
    <w:autoRedefine/>
    <w:qFormat/>
    <w:pPr>
      <w:spacing w:line="300" w:lineRule="auto"/>
      <w:ind w:firstLineChars="200" w:firstLine="200"/>
      <w:outlineLvl w:val="5"/>
    </w:pPr>
    <w:rPr>
      <w:rFonts w:cs="Times New Roman"/>
      <w:kern w:val="0"/>
      <w:sz w:val="24"/>
      <w:szCs w:val="20"/>
    </w:rPr>
  </w:style>
  <w:style w:type="character" w:customStyle="1" w:styleId="CharCharCharChar0">
    <w:name w:val="表格标题 Char Char Char Char"/>
    <w:link w:val="CharCharChar1"/>
    <w:autoRedefine/>
    <w:qFormat/>
    <w:rPr>
      <w:rFonts w:eastAsia="黑体"/>
      <w:sz w:val="24"/>
    </w:rPr>
  </w:style>
  <w:style w:type="paragraph" w:customStyle="1" w:styleId="CharCharChar1">
    <w:name w:val="表格标题 Char Char Char"/>
    <w:basedOn w:val="a"/>
    <w:link w:val="CharCharCharChar0"/>
    <w:autoRedefine/>
    <w:qFormat/>
    <w:pPr>
      <w:adjustRightInd w:val="0"/>
      <w:snapToGrid w:val="0"/>
      <w:spacing w:line="360" w:lineRule="auto"/>
      <w:jc w:val="center"/>
    </w:pPr>
    <w:rPr>
      <w:rFonts w:eastAsia="黑体" w:cs="Times New Roman"/>
      <w:kern w:val="0"/>
      <w:sz w:val="24"/>
      <w:szCs w:val="20"/>
    </w:rPr>
  </w:style>
  <w:style w:type="character" w:customStyle="1" w:styleId="Charf7">
    <w:name w:val="正文# Char"/>
    <w:link w:val="afffffffffb"/>
    <w:autoRedefine/>
    <w:qFormat/>
    <w:rPr>
      <w:rFonts w:cs="宋体"/>
      <w:sz w:val="24"/>
    </w:rPr>
  </w:style>
  <w:style w:type="paragraph" w:customStyle="1" w:styleId="afffffffffb">
    <w:name w:val="正文#"/>
    <w:basedOn w:val="a"/>
    <w:link w:val="Charf7"/>
    <w:autoRedefine/>
    <w:qFormat/>
    <w:pPr>
      <w:spacing w:line="360" w:lineRule="auto"/>
      <w:ind w:firstLineChars="200" w:firstLine="480"/>
    </w:pPr>
    <w:rPr>
      <w:rFonts w:cs="宋体"/>
      <w:kern w:val="0"/>
      <w:sz w:val="24"/>
      <w:szCs w:val="20"/>
    </w:rPr>
  </w:style>
  <w:style w:type="character" w:customStyle="1" w:styleId="7CharChar">
    <w:name w:val="样式7 Char Char"/>
    <w:autoRedefine/>
    <w:qFormat/>
    <w:rPr>
      <w:rFonts w:eastAsia="宋体"/>
      <w:kern w:val="2"/>
      <w:sz w:val="21"/>
      <w:lang w:val="en-US" w:eastAsia="zh-CN"/>
    </w:rPr>
  </w:style>
  <w:style w:type="character" w:customStyle="1" w:styleId="1Char0">
    <w:name w:val="正文1 Char"/>
    <w:autoRedefine/>
    <w:qFormat/>
    <w:rPr>
      <w:rFonts w:ascii="宋体" w:eastAsia="宋体" w:hAnsi="宋体"/>
      <w:kern w:val="2"/>
      <w:sz w:val="28"/>
      <w:lang w:val="en-US" w:eastAsia="zh-CN" w:bidi="ar-SA"/>
    </w:rPr>
  </w:style>
  <w:style w:type="character" w:customStyle="1" w:styleId="31113h33rdlevelH3l3CTHeading3-oldBoldHeChar">
    <w:name w:val="样式 标题 3条标题1.1.13h33rd levelH3l3CTHeading 3 - oldBold He... Char"/>
    <w:link w:val="31113h33rdlevelH3l3CTHeading3-oldBoldHe"/>
    <w:autoRedefine/>
    <w:qFormat/>
    <w:rPr>
      <w:rFonts w:ascii="黑体" w:hAnsi="宋体"/>
      <w:b/>
      <w:color w:val="000000"/>
      <w:kern w:val="2"/>
      <w:sz w:val="32"/>
      <w:szCs w:val="22"/>
    </w:rPr>
  </w:style>
  <w:style w:type="paragraph" w:customStyle="1" w:styleId="31113h33rdlevelH3l3CTHeading3-oldBoldHe">
    <w:name w:val="样式 标题 3条标题1.1.13h33rd levelH3l3CTHeading 3 - oldBold He..."/>
    <w:basedOn w:val="3"/>
    <w:link w:val="31113h33rdlevelH3l3CTHeading3-oldBoldHeChar"/>
    <w:autoRedefine/>
    <w:qFormat/>
    <w:pPr>
      <w:widowControl/>
      <w:numPr>
        <w:ilvl w:val="0"/>
        <w:numId w:val="0"/>
      </w:numPr>
      <w:adjustRightInd/>
      <w:snapToGrid/>
      <w:ind w:left="1245" w:hanging="720"/>
    </w:pPr>
    <w:rPr>
      <w:rFonts w:ascii="黑体" w:hAnsi="宋体" w:cs="Times New Roman"/>
      <w:bCs w:val="0"/>
      <w:color w:val="000000"/>
      <w:sz w:val="32"/>
      <w:szCs w:val="22"/>
    </w:rPr>
  </w:style>
  <w:style w:type="character" w:customStyle="1" w:styleId="style101">
    <w:name w:val="style101"/>
    <w:basedOn w:val="a0"/>
    <w:autoRedefine/>
    <w:qFormat/>
  </w:style>
  <w:style w:type="character" w:customStyle="1" w:styleId="content1">
    <w:name w:val="content1"/>
    <w:autoRedefine/>
    <w:qFormat/>
    <w:rPr>
      <w:rFonts w:ascii="宋体" w:eastAsia="宋体" w:hAnsi="宋体" w:hint="eastAsia"/>
      <w:color w:val="333333"/>
      <w:sz w:val="21"/>
      <w:szCs w:val="21"/>
    </w:rPr>
  </w:style>
  <w:style w:type="character" w:customStyle="1" w:styleId="xybCharCharCharChar0">
    <w:name w:val="xyb自建表格名称 Char Char Char Char"/>
    <w:link w:val="xybCharCharChar0"/>
    <w:autoRedefine/>
    <w:qFormat/>
    <w:rPr>
      <w:rFonts w:ascii="宋体"/>
      <w:sz w:val="24"/>
    </w:rPr>
  </w:style>
  <w:style w:type="paragraph" w:customStyle="1" w:styleId="xybCharCharChar0">
    <w:name w:val="xyb自建表格名称 Char Char Char"/>
    <w:basedOn w:val="a"/>
    <w:link w:val="xybCharCharCharChar0"/>
    <w:autoRedefine/>
    <w:qFormat/>
    <w:pPr>
      <w:spacing w:line="360" w:lineRule="auto"/>
      <w:jc w:val="center"/>
    </w:pPr>
    <w:rPr>
      <w:rFonts w:ascii="宋体" w:cs="Times New Roman"/>
      <w:kern w:val="0"/>
      <w:sz w:val="24"/>
      <w:szCs w:val="20"/>
    </w:rPr>
  </w:style>
  <w:style w:type="character" w:customStyle="1" w:styleId="Charf8">
    <w:name w:val="文本条款 Char"/>
    <w:autoRedefine/>
    <w:qFormat/>
    <w:rPr>
      <w:rFonts w:eastAsia="宋体"/>
      <w:kern w:val="2"/>
      <w:sz w:val="24"/>
      <w:lang w:val="en-US" w:eastAsia="zh-CN"/>
    </w:rPr>
  </w:style>
  <w:style w:type="character" w:customStyle="1" w:styleId="ncnjw01">
    <w:name w:val="ncnjw01"/>
    <w:basedOn w:val="a0"/>
    <w:autoRedefine/>
    <w:qFormat/>
  </w:style>
  <w:style w:type="character" w:customStyle="1" w:styleId="Charf9">
    <w:name w:val="表题表题 Char"/>
    <w:link w:val="afffffffffc"/>
    <w:autoRedefine/>
    <w:qFormat/>
    <w:rPr>
      <w:b/>
      <w:bCs/>
      <w:sz w:val="24"/>
    </w:rPr>
  </w:style>
  <w:style w:type="paragraph" w:customStyle="1" w:styleId="afffffffffc">
    <w:name w:val="表题表题"/>
    <w:basedOn w:val="a"/>
    <w:link w:val="Charf9"/>
    <w:autoRedefine/>
    <w:qFormat/>
    <w:pPr>
      <w:adjustRightInd w:val="0"/>
      <w:snapToGrid w:val="0"/>
      <w:spacing w:line="360" w:lineRule="auto"/>
      <w:jc w:val="center"/>
    </w:pPr>
    <w:rPr>
      <w:rFonts w:cs="Times New Roman"/>
      <w:b/>
      <w:bCs/>
      <w:kern w:val="0"/>
      <w:sz w:val="24"/>
      <w:szCs w:val="20"/>
    </w:rPr>
  </w:style>
  <w:style w:type="character" w:customStyle="1" w:styleId="xybCharChar">
    <w:name w:val="xyb自建正文 Char Char"/>
    <w:link w:val="xybChar"/>
    <w:autoRedefine/>
    <w:qFormat/>
    <w:rPr>
      <w:rFonts w:ascii="宋体"/>
      <w:spacing w:val="-2"/>
      <w:sz w:val="24"/>
    </w:rPr>
  </w:style>
  <w:style w:type="paragraph" w:customStyle="1" w:styleId="xybChar">
    <w:name w:val="xyb自建正文 Char"/>
    <w:basedOn w:val="a"/>
    <w:link w:val="xybCharChar"/>
    <w:autoRedefine/>
    <w:qFormat/>
    <w:pPr>
      <w:tabs>
        <w:tab w:val="left" w:pos="1440"/>
        <w:tab w:val="left" w:pos="8280"/>
      </w:tabs>
      <w:spacing w:line="360" w:lineRule="auto"/>
      <w:ind w:firstLineChars="200" w:firstLine="472"/>
    </w:pPr>
    <w:rPr>
      <w:rFonts w:ascii="宋体" w:cs="Times New Roman"/>
      <w:spacing w:val="-2"/>
      <w:kern w:val="0"/>
      <w:sz w:val="24"/>
      <w:szCs w:val="20"/>
    </w:rPr>
  </w:style>
  <w:style w:type="character" w:customStyle="1" w:styleId="p11">
    <w:name w:val="p11"/>
    <w:autoRedefine/>
    <w:qFormat/>
    <w:rPr>
      <w:rFonts w:hint="default"/>
      <w:sz w:val="18"/>
      <w:szCs w:val="18"/>
    </w:rPr>
  </w:style>
  <w:style w:type="character" w:customStyle="1" w:styleId="08514Char">
    <w:name w:val="样式 小四 蓝色 首行缩进:  0.85 厘米 行距: 多倍行距 1.4 字行 Char"/>
    <w:link w:val="08514"/>
    <w:autoRedefine/>
    <w:qFormat/>
    <w:rPr>
      <w:rFonts w:cs="宋体"/>
      <w:color w:val="0000FF"/>
      <w:sz w:val="24"/>
    </w:rPr>
  </w:style>
  <w:style w:type="paragraph" w:customStyle="1" w:styleId="08514">
    <w:name w:val="样式 小四 蓝色 首行缩进:  0.85 厘米 行距: 多倍行距 1.4 字行"/>
    <w:basedOn w:val="a"/>
    <w:link w:val="08514Char"/>
    <w:autoRedefine/>
    <w:qFormat/>
    <w:pPr>
      <w:spacing w:line="336" w:lineRule="auto"/>
      <w:ind w:firstLine="482"/>
    </w:pPr>
    <w:rPr>
      <w:rFonts w:cs="宋体"/>
      <w:color w:val="0000FF"/>
      <w:kern w:val="0"/>
      <w:sz w:val="24"/>
      <w:szCs w:val="20"/>
    </w:rPr>
  </w:style>
  <w:style w:type="character" w:customStyle="1" w:styleId="Charfa">
    <w:name w:val="表号 Char"/>
    <w:autoRedefine/>
    <w:qFormat/>
    <w:rPr>
      <w:rFonts w:eastAsia="宋体"/>
      <w:kern w:val="2"/>
      <w:sz w:val="21"/>
      <w:szCs w:val="24"/>
      <w:lang w:val="en-US" w:eastAsia="zh-CN" w:bidi="ar-SA"/>
    </w:rPr>
  </w:style>
  <w:style w:type="character" w:customStyle="1" w:styleId="hb1CharChar">
    <w:name w:val="hb1 Char Char"/>
    <w:autoRedefine/>
    <w:qFormat/>
    <w:rPr>
      <w:rFonts w:ascii="宋体" w:eastAsia="宋体" w:hAnsi="宋体"/>
      <w:color w:val="000000"/>
      <w:kern w:val="2"/>
      <w:sz w:val="24"/>
      <w:lang w:val="en-US" w:eastAsia="zh-CN" w:bidi="ar-SA"/>
    </w:rPr>
  </w:style>
  <w:style w:type="character" w:customStyle="1" w:styleId="CharCharCharChar1">
    <w:name w:val="二章正文 Char Char Char Char"/>
    <w:autoRedefine/>
    <w:qFormat/>
    <w:rPr>
      <w:rFonts w:eastAsia="宋体"/>
      <w:kern w:val="2"/>
      <w:sz w:val="24"/>
      <w:lang w:val="en-US" w:eastAsia="zh-CN"/>
    </w:rPr>
  </w:style>
  <w:style w:type="character" w:customStyle="1" w:styleId="CharCharCharChar10">
    <w:name w:val="Char Char Char Char1"/>
    <w:autoRedefine/>
    <w:qFormat/>
    <w:rPr>
      <w:rFonts w:ascii="宋体" w:eastAsia="宋体"/>
      <w:kern w:val="2"/>
      <w:sz w:val="24"/>
      <w:lang w:val="en-US" w:eastAsia="zh-CN"/>
    </w:rPr>
  </w:style>
  <w:style w:type="paragraph" w:customStyle="1" w:styleId="afffffffffd">
    <w:name w:val="三章正文"/>
    <w:basedOn w:val="af"/>
    <w:autoRedefine/>
    <w:uiPriority w:val="99"/>
    <w:qFormat/>
    <w:pPr>
      <w:kinsoku/>
      <w:adjustRightInd/>
      <w:spacing w:after="0" w:line="360" w:lineRule="auto"/>
      <w:ind w:firstLineChars="200" w:firstLine="200"/>
      <w:jc w:val="both"/>
      <w:textAlignment w:val="auto"/>
    </w:pPr>
    <w:rPr>
      <w:kern w:val="0"/>
      <w:sz w:val="24"/>
      <w:szCs w:val="20"/>
    </w:rPr>
  </w:style>
  <w:style w:type="character" w:customStyle="1" w:styleId="Charfb">
    <w:name w:val="环评正文 Char"/>
    <w:link w:val="afffffffffe"/>
    <w:autoRedefine/>
    <w:qFormat/>
    <w:rPr>
      <w:sz w:val="24"/>
      <w:szCs w:val="24"/>
    </w:rPr>
  </w:style>
  <w:style w:type="paragraph" w:customStyle="1" w:styleId="afffffffffe">
    <w:name w:val="环评正文"/>
    <w:basedOn w:val="a"/>
    <w:link w:val="Charfb"/>
    <w:autoRedefine/>
    <w:qFormat/>
    <w:pPr>
      <w:spacing w:line="360" w:lineRule="auto"/>
      <w:ind w:firstLineChars="200" w:firstLine="480"/>
    </w:pPr>
    <w:rPr>
      <w:rFonts w:cs="Times New Roman"/>
      <w:kern w:val="0"/>
      <w:sz w:val="24"/>
      <w:szCs w:val="24"/>
    </w:rPr>
  </w:style>
  <w:style w:type="character" w:customStyle="1" w:styleId="CharCharCharChar2">
    <w:name w:val="表文 Char Char Char Char"/>
    <w:autoRedefine/>
    <w:qFormat/>
    <w:rPr>
      <w:rFonts w:eastAsia="宋体"/>
      <w:kern w:val="2"/>
      <w:sz w:val="18"/>
      <w:szCs w:val="18"/>
      <w:lang w:val="en-US" w:eastAsia="zh-CN" w:bidi="ar-SA"/>
    </w:rPr>
  </w:style>
  <w:style w:type="character" w:customStyle="1" w:styleId="CharChar40">
    <w:name w:val="Char Char4"/>
    <w:autoRedefine/>
    <w:qFormat/>
    <w:rPr>
      <w:rFonts w:ascii="宋体" w:eastAsia="宋体" w:hAnsi="Courier New"/>
      <w:kern w:val="2"/>
      <w:sz w:val="21"/>
      <w:lang w:val="en-US" w:eastAsia="zh-CN" w:bidi="ar-SA"/>
    </w:rPr>
  </w:style>
  <w:style w:type="character" w:customStyle="1" w:styleId="CharCharChar2">
    <w:name w:val="表文 Char Char Char"/>
    <w:link w:val="CharChar6"/>
    <w:autoRedefine/>
    <w:qFormat/>
  </w:style>
  <w:style w:type="paragraph" w:customStyle="1" w:styleId="CharChar6">
    <w:name w:val="表文 Char Char"/>
    <w:basedOn w:val="a"/>
    <w:link w:val="CharCharChar2"/>
    <w:autoRedefine/>
    <w:qFormat/>
    <w:pPr>
      <w:overflowPunct w:val="0"/>
      <w:adjustRightInd w:val="0"/>
      <w:snapToGrid w:val="0"/>
      <w:jc w:val="center"/>
      <w:textAlignment w:val="baseline"/>
    </w:pPr>
    <w:rPr>
      <w:rFonts w:cs="Times New Roman"/>
      <w:kern w:val="0"/>
      <w:sz w:val="20"/>
      <w:szCs w:val="20"/>
    </w:rPr>
  </w:style>
  <w:style w:type="character" w:customStyle="1" w:styleId="CharCharChar3">
    <w:name w:val="样式 表文 Char Char + Char"/>
    <w:basedOn w:val="CharCharCharChar2"/>
    <w:link w:val="CharChar7"/>
    <w:autoRedefine/>
    <w:qFormat/>
    <w:rPr>
      <w:rFonts w:eastAsia="宋体"/>
      <w:kern w:val="2"/>
      <w:sz w:val="18"/>
      <w:szCs w:val="18"/>
      <w:lang w:val="en-US" w:eastAsia="zh-CN" w:bidi="ar-SA"/>
    </w:rPr>
  </w:style>
  <w:style w:type="paragraph" w:customStyle="1" w:styleId="CharChar7">
    <w:name w:val="样式 表文 Char Char +"/>
    <w:basedOn w:val="a"/>
    <w:link w:val="CharCharChar3"/>
    <w:autoRedefine/>
    <w:qFormat/>
    <w:pPr>
      <w:overflowPunct w:val="0"/>
      <w:adjustRightInd w:val="0"/>
      <w:snapToGrid w:val="0"/>
      <w:ind w:firstLineChars="200" w:firstLine="360"/>
      <w:textAlignment w:val="baseline"/>
    </w:pPr>
    <w:rPr>
      <w:rFonts w:cs="Times New Roman"/>
      <w:sz w:val="18"/>
      <w:szCs w:val="18"/>
    </w:rPr>
  </w:style>
  <w:style w:type="character" w:customStyle="1" w:styleId="CharCharCharChar3">
    <w:name w:val="我的正文 Char Char Char Char"/>
    <w:autoRedefine/>
    <w:qFormat/>
    <w:rPr>
      <w:rFonts w:eastAsia="宋体"/>
      <w:kern w:val="2"/>
      <w:sz w:val="24"/>
      <w:lang w:val="en-US" w:eastAsia="zh-CN"/>
    </w:rPr>
  </w:style>
  <w:style w:type="character" w:customStyle="1" w:styleId="3Char3">
    <w:name w:val="蒲标题3 Char"/>
    <w:link w:val="3f9"/>
    <w:autoRedefine/>
    <w:qFormat/>
    <w:rPr>
      <w:bCs/>
      <w:snapToGrid w:val="0"/>
      <w:color w:val="000000"/>
      <w:kern w:val="2"/>
      <w:sz w:val="24"/>
      <w:szCs w:val="24"/>
    </w:rPr>
  </w:style>
  <w:style w:type="paragraph" w:customStyle="1" w:styleId="3f9">
    <w:name w:val="蒲标题3"/>
    <w:basedOn w:val="3"/>
    <w:link w:val="3Char3"/>
    <w:autoRedefine/>
    <w:qFormat/>
    <w:pPr>
      <w:keepLines w:val="0"/>
      <w:numPr>
        <w:ilvl w:val="0"/>
        <w:numId w:val="0"/>
      </w:numPr>
      <w:autoSpaceDE w:val="0"/>
      <w:autoSpaceDN w:val="0"/>
      <w:ind w:left="1245" w:hanging="720"/>
      <w:jc w:val="both"/>
      <w:outlineLvl w:val="0"/>
    </w:pPr>
    <w:rPr>
      <w:rFonts w:cs="Times New Roman"/>
      <w:b w:val="0"/>
      <w:snapToGrid w:val="0"/>
      <w:color w:val="000000"/>
      <w:szCs w:val="24"/>
    </w:rPr>
  </w:style>
  <w:style w:type="character" w:customStyle="1" w:styleId="7CharCharCharCharCharCharCharChar">
    <w:name w:val="标题 7 Char Char Char Char Char Char Char Char"/>
    <w:autoRedefine/>
    <w:qFormat/>
    <w:rPr>
      <w:rFonts w:ascii="华文细黑" w:eastAsia="华文细黑" w:hAnsi="华文细黑"/>
      <w:i/>
      <w:snapToGrid w:val="0"/>
      <w:spacing w:val="10"/>
      <w:kern w:val="28"/>
      <w:sz w:val="28"/>
    </w:rPr>
  </w:style>
  <w:style w:type="character" w:customStyle="1" w:styleId="aspmaker1">
    <w:name w:val="aspmaker1"/>
    <w:autoRedefine/>
    <w:qFormat/>
    <w:rPr>
      <w:rFonts w:ascii="Verdana" w:hAnsi="Verdana"/>
      <w:sz w:val="20"/>
    </w:rPr>
  </w:style>
  <w:style w:type="character" w:customStyle="1" w:styleId="xybCharChar0">
    <w:name w:val="xyb自建表格名称 Char Char"/>
    <w:link w:val="xybChar0"/>
    <w:autoRedefine/>
    <w:qFormat/>
    <w:rPr>
      <w:rFonts w:ascii="宋体"/>
      <w:kern w:val="2"/>
      <w:sz w:val="24"/>
    </w:rPr>
  </w:style>
  <w:style w:type="paragraph" w:customStyle="1" w:styleId="xybChar0">
    <w:name w:val="xyb自建表格名称 Char"/>
    <w:basedOn w:val="a"/>
    <w:link w:val="xybCharChar0"/>
    <w:autoRedefine/>
    <w:qFormat/>
    <w:pPr>
      <w:spacing w:line="360" w:lineRule="auto"/>
      <w:jc w:val="center"/>
    </w:pPr>
    <w:rPr>
      <w:rFonts w:ascii="宋体" w:cs="Times New Roman"/>
      <w:sz w:val="24"/>
      <w:szCs w:val="20"/>
    </w:rPr>
  </w:style>
  <w:style w:type="character" w:customStyle="1" w:styleId="Charfc">
    <w:name w:val="我的正文 Char"/>
    <w:link w:val="affffffffff"/>
    <w:autoRedefine/>
    <w:qFormat/>
    <w:rPr>
      <w:sz w:val="24"/>
    </w:rPr>
  </w:style>
  <w:style w:type="paragraph" w:customStyle="1" w:styleId="affffffffff">
    <w:name w:val="我的正文"/>
    <w:basedOn w:val="a"/>
    <w:link w:val="Charfc"/>
    <w:autoRedefine/>
    <w:qFormat/>
    <w:pPr>
      <w:spacing w:line="360" w:lineRule="auto"/>
      <w:ind w:firstLineChars="200" w:firstLine="200"/>
    </w:pPr>
    <w:rPr>
      <w:rFonts w:cs="Times New Roman"/>
      <w:kern w:val="0"/>
      <w:sz w:val="24"/>
      <w:szCs w:val="20"/>
    </w:rPr>
  </w:style>
  <w:style w:type="character" w:customStyle="1" w:styleId="Charfd">
    <w:name w:val="正文文本 Char"/>
    <w:autoRedefine/>
    <w:uiPriority w:val="99"/>
    <w:qFormat/>
    <w:rPr>
      <w:rFonts w:ascii="宋体" w:eastAsia="宋体" w:hAnsi="宋体"/>
      <w:kern w:val="2"/>
      <w:sz w:val="21"/>
      <w:szCs w:val="24"/>
      <w:lang w:val="en-US" w:eastAsia="zh-CN" w:bidi="ar-SA"/>
    </w:rPr>
  </w:style>
  <w:style w:type="character" w:customStyle="1" w:styleId="textcontents">
    <w:name w:val="textcontents"/>
    <w:autoRedefine/>
    <w:qFormat/>
  </w:style>
  <w:style w:type="character" w:customStyle="1" w:styleId="CharChar8">
    <w:name w:val="表格文字 Char Char"/>
    <w:autoRedefine/>
    <w:qFormat/>
    <w:rPr>
      <w:rFonts w:ascii="宋体" w:eastAsia="宋体" w:hAnsi="宋体"/>
      <w:sz w:val="18"/>
      <w:lang w:val="en-US" w:eastAsia="zh-CN"/>
    </w:rPr>
  </w:style>
  <w:style w:type="character" w:customStyle="1" w:styleId="11111HTS1H1Heading11level1Level1HeadChar">
    <w:name w:val="样式 标题 1章标题 11.1标题 1HTS 1H1Heading 11level 1Level 1 Head章... Char"/>
    <w:link w:val="11111HTS1H1Heading11level1Level1Head"/>
    <w:autoRedefine/>
    <w:qFormat/>
    <w:rPr>
      <w:rFonts w:ascii="黑体" w:eastAsia="黑体"/>
      <w:b/>
      <w:snapToGrid w:val="0"/>
      <w:color w:val="0000FF"/>
      <w:sz w:val="32"/>
      <w:szCs w:val="32"/>
    </w:rPr>
  </w:style>
  <w:style w:type="paragraph" w:customStyle="1" w:styleId="11111HTS1H1Heading11level1Level1Head">
    <w:name w:val="样式 标题 1章标题 11.1标题 1HTS 1H1Heading 11level 1Level 1 Head章..."/>
    <w:basedOn w:val="1"/>
    <w:link w:val="11111HTS1H1Heading11level1Level1HeadChar"/>
    <w:autoRedefine/>
    <w:qFormat/>
    <w:pPr>
      <w:numPr>
        <w:numId w:val="0"/>
      </w:numPr>
      <w:adjustRightInd w:val="0"/>
      <w:spacing w:line="480" w:lineRule="auto"/>
      <w:jc w:val="left"/>
    </w:pPr>
    <w:rPr>
      <w:rFonts w:ascii="黑体" w:eastAsia="黑体" w:cs="Times New Roman"/>
      <w:bCs w:val="0"/>
      <w:snapToGrid w:val="0"/>
      <w:color w:val="0000FF"/>
      <w:kern w:val="0"/>
      <w:szCs w:val="32"/>
    </w:rPr>
  </w:style>
  <w:style w:type="character" w:customStyle="1" w:styleId="Charfe">
    <w:name w:val="批注文字 Char"/>
    <w:autoRedefine/>
    <w:uiPriority w:val="99"/>
    <w:qFormat/>
    <w:rPr>
      <w:rFonts w:eastAsia="宋体"/>
      <w:kern w:val="2"/>
      <w:sz w:val="24"/>
      <w:lang w:val="en-US" w:eastAsia="zh-CN" w:bidi="ar-SA"/>
    </w:rPr>
  </w:style>
  <w:style w:type="character" w:customStyle="1" w:styleId="CharCharChar4">
    <w:name w:val="表名 Char Char Char"/>
    <w:link w:val="CharChar9"/>
    <w:autoRedefine/>
    <w:qFormat/>
    <w:rPr>
      <w:rFonts w:ascii="Arial" w:eastAsia="黑体" w:hAnsi="Arial"/>
    </w:rPr>
  </w:style>
  <w:style w:type="paragraph" w:customStyle="1" w:styleId="CharChar9">
    <w:name w:val="表名 Char Char"/>
    <w:basedOn w:val="a"/>
    <w:link w:val="CharCharChar4"/>
    <w:autoRedefine/>
    <w:qFormat/>
    <w:pPr>
      <w:overflowPunct w:val="0"/>
      <w:adjustRightInd w:val="0"/>
      <w:snapToGrid w:val="0"/>
      <w:jc w:val="center"/>
      <w:textAlignment w:val="baseline"/>
    </w:pPr>
    <w:rPr>
      <w:rFonts w:ascii="Arial" w:eastAsia="黑体" w:hAnsi="Arial" w:cs="Times New Roman"/>
      <w:kern w:val="0"/>
      <w:sz w:val="20"/>
      <w:szCs w:val="20"/>
    </w:rPr>
  </w:style>
  <w:style w:type="character" w:customStyle="1" w:styleId="3Char10">
    <w:name w:val="正文文本缩进 3 Char1"/>
    <w:autoRedefine/>
    <w:qFormat/>
    <w:rPr>
      <w:rFonts w:ascii="Times New Roman" w:eastAsia="宋体" w:hAnsi="Times New Roman" w:cs="Times New Roman"/>
      <w:sz w:val="16"/>
      <w:szCs w:val="16"/>
    </w:rPr>
  </w:style>
  <w:style w:type="character" w:customStyle="1" w:styleId="Char11">
    <w:name w:val="页眉 Char1"/>
    <w:autoRedefine/>
    <w:qFormat/>
    <w:rPr>
      <w:rFonts w:ascii="Times New Roman" w:eastAsia="宋体" w:hAnsi="Times New Roman" w:cs="Times New Roman"/>
      <w:sz w:val="18"/>
      <w:szCs w:val="18"/>
    </w:rPr>
  </w:style>
  <w:style w:type="character" w:customStyle="1" w:styleId="Char12">
    <w:name w:val="纯文本 Char1"/>
    <w:autoRedefine/>
    <w:qFormat/>
    <w:rPr>
      <w:rFonts w:ascii="宋体" w:eastAsia="宋体" w:hAnsi="Courier New" w:cs="Courier New"/>
      <w:szCs w:val="21"/>
    </w:rPr>
  </w:style>
  <w:style w:type="character" w:customStyle="1" w:styleId="lineheigh201">
    <w:name w:val="lineheigh201"/>
    <w:basedOn w:val="a0"/>
    <w:autoRedefine/>
    <w:qFormat/>
  </w:style>
  <w:style w:type="character" w:customStyle="1" w:styleId="ttag">
    <w:name w:val="t_tag"/>
    <w:basedOn w:val="a0"/>
    <w:autoRedefine/>
    <w:qFormat/>
  </w:style>
  <w:style w:type="character" w:customStyle="1" w:styleId="3lChar">
    <w:name w:val="标题3l Char"/>
    <w:link w:val="3l"/>
    <w:autoRedefine/>
    <w:qFormat/>
    <w:rPr>
      <w:b/>
      <w:color w:val="000000"/>
      <w:sz w:val="24"/>
    </w:rPr>
  </w:style>
  <w:style w:type="paragraph" w:customStyle="1" w:styleId="3l">
    <w:name w:val="标题3l"/>
    <w:basedOn w:val="a"/>
    <w:link w:val="3lChar"/>
    <w:autoRedefine/>
    <w:qFormat/>
    <w:pPr>
      <w:adjustRightInd w:val="0"/>
      <w:snapToGrid w:val="0"/>
      <w:spacing w:before="120" w:line="360" w:lineRule="auto"/>
      <w:outlineLvl w:val="2"/>
    </w:pPr>
    <w:rPr>
      <w:rFonts w:cs="Times New Roman"/>
      <w:b/>
      <w:color w:val="000000"/>
      <w:kern w:val="0"/>
      <w:sz w:val="24"/>
      <w:szCs w:val="20"/>
    </w:rPr>
  </w:style>
  <w:style w:type="character" w:customStyle="1" w:styleId="Char22">
    <w:name w:val="小四+首行缩进 Char2"/>
    <w:link w:val="affffffffff0"/>
    <w:autoRedefine/>
    <w:qFormat/>
    <w:rPr>
      <w:rFonts w:ascii="宋体" w:hAnsi="宋体" w:cs="宋体"/>
      <w:sz w:val="24"/>
    </w:rPr>
  </w:style>
  <w:style w:type="paragraph" w:customStyle="1" w:styleId="affffffffff0">
    <w:name w:val="小四+首行缩进"/>
    <w:basedOn w:val="a"/>
    <w:link w:val="Char22"/>
    <w:autoRedefine/>
    <w:qFormat/>
    <w:pPr>
      <w:spacing w:line="360" w:lineRule="auto"/>
      <w:ind w:firstLine="482"/>
    </w:pPr>
    <w:rPr>
      <w:rFonts w:ascii="宋体" w:hAnsi="宋体" w:cs="宋体"/>
      <w:kern w:val="0"/>
      <w:sz w:val="24"/>
      <w:szCs w:val="20"/>
    </w:rPr>
  </w:style>
  <w:style w:type="character" w:customStyle="1" w:styleId="YPYChar">
    <w:name w:val="YPY文本正文 Char"/>
    <w:link w:val="YPY"/>
    <w:autoRedefine/>
    <w:qFormat/>
    <w:rPr>
      <w:rFonts w:ascii="宋体" w:cs="宋体"/>
      <w:sz w:val="24"/>
      <w:szCs w:val="24"/>
    </w:rPr>
  </w:style>
  <w:style w:type="paragraph" w:customStyle="1" w:styleId="YPY">
    <w:name w:val="YPY文本正文"/>
    <w:basedOn w:val="a"/>
    <w:link w:val="YPYChar"/>
    <w:autoRedefine/>
    <w:qFormat/>
    <w:pPr>
      <w:spacing w:line="500" w:lineRule="exact"/>
      <w:ind w:firstLineChars="200" w:firstLine="200"/>
    </w:pPr>
    <w:rPr>
      <w:rFonts w:ascii="宋体" w:cs="宋体"/>
      <w:kern w:val="0"/>
      <w:sz w:val="24"/>
      <w:szCs w:val="24"/>
    </w:rPr>
  </w:style>
  <w:style w:type="character" w:customStyle="1" w:styleId="apple-converted-space">
    <w:name w:val="apple-converted-space"/>
    <w:basedOn w:val="a0"/>
    <w:autoRedefine/>
    <w:qFormat/>
  </w:style>
  <w:style w:type="character" w:customStyle="1" w:styleId="Char13">
    <w:name w:val="正文(首行缩进) Char1"/>
    <w:link w:val="affffffffff1"/>
    <w:autoRedefine/>
    <w:qFormat/>
    <w:rPr>
      <w:snapToGrid w:val="0"/>
      <w:color w:val="000000"/>
      <w:sz w:val="24"/>
      <w:szCs w:val="24"/>
    </w:rPr>
  </w:style>
  <w:style w:type="paragraph" w:customStyle="1" w:styleId="affffffffff1">
    <w:name w:val="正文(首行缩进)"/>
    <w:basedOn w:val="a"/>
    <w:link w:val="Char13"/>
    <w:autoRedefine/>
    <w:qFormat/>
    <w:pPr>
      <w:spacing w:line="360" w:lineRule="auto"/>
      <w:ind w:firstLineChars="225" w:firstLine="540"/>
    </w:pPr>
    <w:rPr>
      <w:rFonts w:cs="Times New Roman"/>
      <w:snapToGrid w:val="0"/>
      <w:color w:val="000000"/>
      <w:kern w:val="0"/>
      <w:sz w:val="24"/>
      <w:szCs w:val="24"/>
    </w:rPr>
  </w:style>
  <w:style w:type="character" w:customStyle="1" w:styleId="1Char2">
    <w:name w:val="标题 1 Char2"/>
    <w:autoRedefine/>
    <w:qFormat/>
    <w:rPr>
      <w:rFonts w:eastAsia="黑体"/>
      <w:kern w:val="44"/>
      <w:sz w:val="30"/>
      <w:lang w:val="en-US" w:eastAsia="zh-CN" w:bidi="ar-SA"/>
    </w:rPr>
  </w:style>
  <w:style w:type="character" w:customStyle="1" w:styleId="Charff">
    <w:name w:val="表、图名 Char"/>
    <w:link w:val="affffffffff2"/>
    <w:autoRedefine/>
    <w:qFormat/>
    <w:rPr>
      <w:b/>
      <w:kern w:val="2"/>
      <w:sz w:val="21"/>
      <w:szCs w:val="21"/>
    </w:rPr>
  </w:style>
  <w:style w:type="paragraph" w:customStyle="1" w:styleId="affffffffff2">
    <w:name w:val="表、图名"/>
    <w:basedOn w:val="a"/>
    <w:link w:val="Charff"/>
    <w:autoRedefine/>
    <w:qFormat/>
    <w:pPr>
      <w:adjustRightInd w:val="0"/>
      <w:snapToGrid w:val="0"/>
      <w:ind w:left="-6"/>
      <w:jc w:val="center"/>
    </w:pPr>
    <w:rPr>
      <w:rFonts w:cs="Times New Roman"/>
      <w:b/>
      <w:szCs w:val="21"/>
    </w:rPr>
  </w:style>
  <w:style w:type="character" w:customStyle="1" w:styleId="Char23">
    <w:name w:val="表头 Char2"/>
    <w:autoRedefine/>
    <w:qFormat/>
    <w:rPr>
      <w:rFonts w:ascii="黑体" w:eastAsia="黑体"/>
      <w:spacing w:val="8"/>
      <w:kern w:val="21"/>
      <w:sz w:val="21"/>
      <w:lang w:val="en-US" w:eastAsia="zh-CN" w:bidi="ar-SA"/>
    </w:rPr>
  </w:style>
  <w:style w:type="character" w:customStyle="1" w:styleId="Charff0">
    <w:name w:val="插图 Char"/>
    <w:link w:val="affffffffff3"/>
    <w:autoRedefine/>
    <w:qFormat/>
    <w:rPr>
      <w:kern w:val="2"/>
      <w:sz w:val="24"/>
      <w:szCs w:val="28"/>
    </w:rPr>
  </w:style>
  <w:style w:type="paragraph" w:customStyle="1" w:styleId="affffffffff3">
    <w:name w:val="插图"/>
    <w:basedOn w:val="a"/>
    <w:link w:val="Charff0"/>
    <w:autoRedefine/>
    <w:qFormat/>
    <w:pPr>
      <w:widowControl/>
      <w:jc w:val="center"/>
    </w:pPr>
    <w:rPr>
      <w:rFonts w:cs="Times New Roman"/>
      <w:sz w:val="24"/>
      <w:szCs w:val="28"/>
    </w:rPr>
  </w:style>
  <w:style w:type="character" w:customStyle="1" w:styleId="Charff1">
    <w:name w:val="正文 Char"/>
    <w:autoRedefine/>
    <w:qFormat/>
    <w:rPr>
      <w:rFonts w:eastAsia="宋体"/>
      <w:kern w:val="2"/>
      <w:sz w:val="24"/>
      <w:szCs w:val="28"/>
      <w:lang w:val="en-US" w:eastAsia="zh-CN" w:bidi="ar-SA"/>
    </w:rPr>
  </w:style>
  <w:style w:type="character" w:customStyle="1" w:styleId="1Char1">
    <w:name w:val="表头1 Char"/>
    <w:link w:val="1ff7"/>
    <w:autoRedefine/>
    <w:qFormat/>
    <w:rPr>
      <w:rFonts w:eastAsia="黑体"/>
      <w:sz w:val="21"/>
      <w:szCs w:val="21"/>
    </w:rPr>
  </w:style>
  <w:style w:type="paragraph" w:customStyle="1" w:styleId="1ff7">
    <w:name w:val="表头1"/>
    <w:basedOn w:val="a"/>
    <w:next w:val="a"/>
    <w:link w:val="1Char1"/>
    <w:autoRedefine/>
    <w:qFormat/>
    <w:pPr>
      <w:tabs>
        <w:tab w:val="left" w:pos="605"/>
      </w:tabs>
      <w:adjustRightInd w:val="0"/>
      <w:snapToGrid w:val="0"/>
      <w:jc w:val="center"/>
    </w:pPr>
    <w:rPr>
      <w:rFonts w:eastAsia="黑体" w:cs="Times New Roman"/>
      <w:kern w:val="0"/>
      <w:szCs w:val="21"/>
    </w:rPr>
  </w:style>
  <w:style w:type="character" w:customStyle="1" w:styleId="Charff2">
    <w:name w:val="正文(首行缩进) Char"/>
    <w:autoRedefine/>
    <w:qFormat/>
    <w:rPr>
      <w:rFonts w:eastAsia="宋体"/>
      <w:snapToGrid w:val="0"/>
      <w:color w:val="000000"/>
      <w:sz w:val="24"/>
      <w:szCs w:val="24"/>
      <w:lang w:val="en-US" w:eastAsia="zh-CN" w:bidi="ar-SA"/>
    </w:rPr>
  </w:style>
  <w:style w:type="character" w:customStyle="1" w:styleId="CharChara">
    <w:name w:val="标准正文 Char Char"/>
    <w:link w:val="Charff3"/>
    <w:autoRedefine/>
    <w:qFormat/>
    <w:rPr>
      <w:kern w:val="2"/>
      <w:sz w:val="28"/>
      <w:szCs w:val="28"/>
    </w:rPr>
  </w:style>
  <w:style w:type="paragraph" w:customStyle="1" w:styleId="Charff3">
    <w:name w:val="标准正文 Char"/>
    <w:basedOn w:val="a"/>
    <w:link w:val="CharChara"/>
    <w:autoRedefine/>
    <w:semiHidden/>
    <w:qFormat/>
    <w:pPr>
      <w:ind w:firstLineChars="200" w:firstLine="200"/>
      <w:jc w:val="left"/>
    </w:pPr>
    <w:rPr>
      <w:rFonts w:cs="Times New Roman"/>
      <w:sz w:val="28"/>
      <w:szCs w:val="28"/>
    </w:rPr>
  </w:style>
  <w:style w:type="character" w:customStyle="1" w:styleId="CharCharCharChar4">
    <w:name w:val="标准正文 Char Char Char Char"/>
    <w:link w:val="CharCharChar5"/>
    <w:autoRedefine/>
    <w:qFormat/>
    <w:rPr>
      <w:rFonts w:cs="宋体"/>
      <w:kern w:val="2"/>
      <w:sz w:val="28"/>
      <w:szCs w:val="28"/>
    </w:rPr>
  </w:style>
  <w:style w:type="paragraph" w:customStyle="1" w:styleId="CharCharChar5">
    <w:name w:val="标准正文 Char Char Char"/>
    <w:basedOn w:val="a"/>
    <w:link w:val="CharCharCharChar4"/>
    <w:autoRedefine/>
    <w:semiHidden/>
    <w:qFormat/>
    <w:pPr>
      <w:ind w:firstLineChars="200" w:firstLine="200"/>
      <w:jc w:val="left"/>
    </w:pPr>
    <w:rPr>
      <w:rFonts w:cs="宋体"/>
      <w:sz w:val="28"/>
      <w:szCs w:val="28"/>
    </w:rPr>
  </w:style>
  <w:style w:type="character" w:customStyle="1" w:styleId="Charff4">
    <w:name w:val="表体 Char"/>
    <w:link w:val="affffffffff4"/>
    <w:autoRedefine/>
    <w:qFormat/>
    <w:rPr>
      <w:kern w:val="2"/>
      <w:sz w:val="21"/>
      <w:szCs w:val="24"/>
    </w:rPr>
  </w:style>
  <w:style w:type="paragraph" w:customStyle="1" w:styleId="affffffffff4">
    <w:name w:val="表体"/>
    <w:basedOn w:val="a"/>
    <w:link w:val="Charff4"/>
    <w:autoRedefine/>
    <w:qFormat/>
    <w:pPr>
      <w:adjustRightInd w:val="0"/>
      <w:snapToGrid w:val="0"/>
      <w:spacing w:beforeLines="20" w:afterLines="20"/>
      <w:jc w:val="center"/>
    </w:pPr>
    <w:rPr>
      <w:rFonts w:cs="Times New Roman"/>
      <w:szCs w:val="24"/>
    </w:rPr>
  </w:style>
  <w:style w:type="character" w:customStyle="1" w:styleId="CharCharb">
    <w:name w:val="表格 Char Char"/>
    <w:autoRedefine/>
    <w:qFormat/>
    <w:rPr>
      <w:rFonts w:eastAsia="仿宋_GB2312"/>
      <w:snapToGrid w:val="0"/>
      <w:sz w:val="24"/>
      <w:szCs w:val="24"/>
      <w:lang w:val="en-US" w:eastAsia="zh-CN" w:bidi="ar-SA"/>
    </w:rPr>
  </w:style>
  <w:style w:type="character" w:customStyle="1" w:styleId="1Char3">
    <w:name w:val="正缩1 Char"/>
    <w:link w:val="1ff8"/>
    <w:autoRedefine/>
    <w:qFormat/>
    <w:rPr>
      <w:rFonts w:eastAsia="仿宋_GB2312"/>
      <w:snapToGrid w:val="0"/>
      <w:color w:val="000000"/>
      <w:sz w:val="28"/>
    </w:rPr>
  </w:style>
  <w:style w:type="paragraph" w:customStyle="1" w:styleId="1ff8">
    <w:name w:val="正缩1"/>
    <w:basedOn w:val="a"/>
    <w:link w:val="1Char3"/>
    <w:autoRedefine/>
    <w:qFormat/>
    <w:pPr>
      <w:adjustRightInd w:val="0"/>
      <w:snapToGrid w:val="0"/>
      <w:spacing w:line="500" w:lineRule="exact"/>
      <w:ind w:firstLine="567"/>
    </w:pPr>
    <w:rPr>
      <w:rFonts w:eastAsia="仿宋_GB2312" w:cs="Times New Roman"/>
      <w:snapToGrid w:val="0"/>
      <w:color w:val="000000"/>
      <w:kern w:val="0"/>
      <w:sz w:val="28"/>
      <w:szCs w:val="20"/>
    </w:rPr>
  </w:style>
  <w:style w:type="character" w:customStyle="1" w:styleId="MTEquationSection">
    <w:name w:val="MTEquationSection"/>
    <w:autoRedefine/>
    <w:qFormat/>
    <w:rPr>
      <w:vanish/>
      <w:color w:val="FF0000"/>
    </w:rPr>
  </w:style>
  <w:style w:type="character" w:customStyle="1" w:styleId="btcontent1">
    <w:name w:val="bt_content1"/>
    <w:autoRedefine/>
    <w:qFormat/>
    <w:rPr>
      <w:sz w:val="21"/>
      <w:szCs w:val="21"/>
      <w:u w:val="none"/>
    </w:rPr>
  </w:style>
  <w:style w:type="character" w:customStyle="1" w:styleId="px14">
    <w:name w:val="px14"/>
    <w:basedOn w:val="a0"/>
    <w:autoRedefine/>
    <w:qFormat/>
  </w:style>
  <w:style w:type="character" w:customStyle="1" w:styleId="grame">
    <w:name w:val="grame"/>
    <w:basedOn w:val="a0"/>
    <w:autoRedefine/>
    <w:qFormat/>
  </w:style>
  <w:style w:type="character" w:customStyle="1" w:styleId="at2">
    <w:name w:val="at_2"/>
    <w:basedOn w:val="a0"/>
    <w:autoRedefine/>
    <w:qFormat/>
  </w:style>
  <w:style w:type="character" w:customStyle="1" w:styleId="1ff9">
    <w:name w:val="超链接1"/>
    <w:autoRedefine/>
    <w:qFormat/>
    <w:rPr>
      <w:rFonts w:ascii="ˎ̥" w:hAnsi="ˎ̥" w:hint="default"/>
      <w:color w:val="333333"/>
      <w:sz w:val="21"/>
      <w:szCs w:val="21"/>
      <w:u w:val="none"/>
    </w:rPr>
  </w:style>
  <w:style w:type="character" w:customStyle="1" w:styleId="td3">
    <w:name w:val="td3"/>
    <w:basedOn w:val="a0"/>
    <w:autoRedefine/>
    <w:qFormat/>
  </w:style>
  <w:style w:type="character" w:customStyle="1" w:styleId="duanluo2">
    <w:name w:val="duanluo2"/>
    <w:autoRedefine/>
    <w:qFormat/>
    <w:rPr>
      <w:rFonts w:ascii="_GB2312" w:hAnsi="_GB2312" w:hint="default"/>
      <w:color w:val="000000"/>
      <w:sz w:val="21"/>
      <w:szCs w:val="21"/>
    </w:rPr>
  </w:style>
  <w:style w:type="character" w:customStyle="1" w:styleId="s021">
    <w:name w:val="s021"/>
    <w:autoRedefine/>
    <w:qFormat/>
    <w:rPr>
      <w:color w:val="000000"/>
    </w:rPr>
  </w:style>
  <w:style w:type="character" w:customStyle="1" w:styleId="4Char0">
    <w:name w:val="4号字体格式，二级 Char"/>
    <w:link w:val="4d"/>
    <w:autoRedefine/>
    <w:qFormat/>
    <w:rPr>
      <w:b/>
      <w:bCs/>
      <w:kern w:val="2"/>
      <w:sz w:val="28"/>
      <w:szCs w:val="28"/>
    </w:rPr>
  </w:style>
  <w:style w:type="paragraph" w:customStyle="1" w:styleId="4d">
    <w:name w:val="4号字体格式，二级"/>
    <w:basedOn w:val="a"/>
    <w:link w:val="4Char0"/>
    <w:autoRedefine/>
    <w:qFormat/>
    <w:pPr>
      <w:spacing w:line="360" w:lineRule="auto"/>
      <w:ind w:left="510" w:hanging="510"/>
      <w:outlineLvl w:val="1"/>
    </w:pPr>
    <w:rPr>
      <w:rFonts w:cs="Times New Roman"/>
      <w:b/>
      <w:bCs/>
      <w:sz w:val="28"/>
      <w:szCs w:val="28"/>
    </w:rPr>
  </w:style>
  <w:style w:type="character" w:customStyle="1" w:styleId="evenCharChar">
    <w:name w:val="even Char Char"/>
    <w:autoRedefine/>
    <w:semiHidden/>
    <w:qFormat/>
    <w:rPr>
      <w:kern w:val="2"/>
      <w:sz w:val="18"/>
      <w:szCs w:val="18"/>
    </w:rPr>
  </w:style>
  <w:style w:type="character" w:customStyle="1" w:styleId="4Char1">
    <w:name w:val="标题 4 Char1"/>
    <w:autoRedefine/>
    <w:qFormat/>
    <w:rPr>
      <w:rFonts w:ascii="Arial" w:eastAsia="宋体" w:hAnsi="Arial"/>
      <w:b/>
      <w:bCs/>
      <w:kern w:val="2"/>
      <w:sz w:val="24"/>
      <w:szCs w:val="28"/>
      <w:lang w:val="en-US" w:eastAsia="zh-CN" w:bidi="ar-SA"/>
    </w:rPr>
  </w:style>
  <w:style w:type="character" w:customStyle="1" w:styleId="btChar2">
    <w:name w:val="bt Char2"/>
    <w:autoRedefine/>
    <w:qFormat/>
    <w:rPr>
      <w:sz w:val="21"/>
    </w:rPr>
  </w:style>
  <w:style w:type="character" w:customStyle="1" w:styleId="word16b1">
    <w:name w:val="word16b1"/>
    <w:autoRedefine/>
    <w:qFormat/>
    <w:rPr>
      <w:rFonts w:ascii="Arial" w:eastAsia="宋体" w:hAnsi="Arial" w:cs="Arial" w:hint="default"/>
      <w:b/>
      <w:bCs/>
      <w:spacing w:val="15"/>
      <w:sz w:val="24"/>
      <w:szCs w:val="24"/>
      <w:lang w:val="en-US" w:eastAsia="en-US" w:bidi="ar-SA"/>
    </w:rPr>
  </w:style>
  <w:style w:type="character" w:customStyle="1" w:styleId="3CharCharCharChar">
    <w:name w:val="样式 标题 3 + 黑色 Char Char Char Char"/>
    <w:autoRedefine/>
    <w:qFormat/>
    <w:rPr>
      <w:rFonts w:ascii="宋体" w:eastAsia="宋体" w:hAnsi="宋体"/>
      <w:color w:val="000000"/>
      <w:kern w:val="2"/>
      <w:sz w:val="24"/>
      <w:szCs w:val="21"/>
      <w:lang w:val="en-US" w:eastAsia="zh-CN" w:bidi="ar-SA"/>
    </w:rPr>
  </w:style>
  <w:style w:type="character" w:customStyle="1" w:styleId="CharCharc">
    <w:name w:val="正文首行缩进 Char Char"/>
    <w:autoRedefine/>
    <w:qFormat/>
    <w:rPr>
      <w:rFonts w:ascii="宋体" w:eastAsia="宋体" w:hAnsi="宋体"/>
      <w:kern w:val="2"/>
      <w:sz w:val="21"/>
      <w:szCs w:val="24"/>
      <w:lang w:val="en-US" w:eastAsia="zh-CN" w:bidi="ar-SA"/>
    </w:rPr>
  </w:style>
  <w:style w:type="character" w:customStyle="1" w:styleId="CharChar90">
    <w:name w:val="Char Char9"/>
    <w:autoRedefine/>
    <w:qFormat/>
    <w:rPr>
      <w:kern w:val="2"/>
      <w:sz w:val="21"/>
      <w:szCs w:val="24"/>
    </w:rPr>
  </w:style>
  <w:style w:type="character" w:customStyle="1" w:styleId="CharChar80">
    <w:name w:val="Char Char8"/>
    <w:autoRedefine/>
    <w:qFormat/>
    <w:rPr>
      <w:b/>
      <w:bCs/>
      <w:kern w:val="2"/>
      <w:sz w:val="21"/>
      <w:szCs w:val="24"/>
    </w:rPr>
  </w:style>
  <w:style w:type="character" w:customStyle="1" w:styleId="CharCharCharChar5">
    <w:name w:val="样式 正文文本 + 红色 Char Char Char Char"/>
    <w:link w:val="CharCharChar6"/>
    <w:autoRedefine/>
    <w:qFormat/>
    <w:rPr>
      <w:rFonts w:eastAsia="仿宋_GB2312"/>
      <w:snapToGrid w:val="0"/>
      <w:color w:val="FF0000"/>
      <w:sz w:val="24"/>
      <w:szCs w:val="24"/>
    </w:rPr>
  </w:style>
  <w:style w:type="paragraph" w:customStyle="1" w:styleId="CharCharChar6">
    <w:name w:val="样式 正文文本 + 红色 Char Char Char"/>
    <w:basedOn w:val="a"/>
    <w:link w:val="CharCharCharChar5"/>
    <w:autoRedefine/>
    <w:qFormat/>
    <w:pPr>
      <w:adjustRightInd w:val="0"/>
      <w:snapToGrid w:val="0"/>
      <w:spacing w:before="60" w:after="60" w:line="264" w:lineRule="auto"/>
      <w:ind w:firstLineChars="200" w:firstLine="200"/>
      <w:textAlignment w:val="baseline"/>
    </w:pPr>
    <w:rPr>
      <w:rFonts w:eastAsia="仿宋_GB2312" w:cs="Times New Roman"/>
      <w:snapToGrid w:val="0"/>
      <w:color w:val="FF0000"/>
      <w:kern w:val="0"/>
      <w:sz w:val="24"/>
      <w:szCs w:val="24"/>
    </w:rPr>
  </w:style>
  <w:style w:type="character" w:customStyle="1" w:styleId="CharCharCharChar6">
    <w:name w:val="样式 正文文本 + (中文) 黑体 红色 Char Char Char Char"/>
    <w:link w:val="CharCharChar7"/>
    <w:autoRedefine/>
    <w:qFormat/>
    <w:rPr>
      <w:rFonts w:eastAsia="黑体"/>
      <w:snapToGrid w:val="0"/>
      <w:color w:val="FF0000"/>
      <w:sz w:val="24"/>
      <w:szCs w:val="24"/>
    </w:rPr>
  </w:style>
  <w:style w:type="paragraph" w:customStyle="1" w:styleId="CharCharChar7">
    <w:name w:val="样式 正文文本 + (中文) 黑体 红色 Char Char Char"/>
    <w:basedOn w:val="a"/>
    <w:link w:val="CharCharCharChar6"/>
    <w:autoRedefine/>
    <w:qFormat/>
    <w:pPr>
      <w:adjustRightInd w:val="0"/>
      <w:snapToGrid w:val="0"/>
      <w:spacing w:before="60" w:after="60" w:line="264" w:lineRule="auto"/>
      <w:ind w:firstLineChars="200" w:firstLine="200"/>
      <w:textAlignment w:val="baseline"/>
    </w:pPr>
    <w:rPr>
      <w:rFonts w:eastAsia="黑体" w:cs="Times New Roman"/>
      <w:snapToGrid w:val="0"/>
      <w:color w:val="FF0000"/>
      <w:kern w:val="0"/>
      <w:sz w:val="24"/>
      <w:szCs w:val="24"/>
    </w:rPr>
  </w:style>
  <w:style w:type="character" w:customStyle="1" w:styleId="2Char0">
    <w:name w:val="标准文本 首行缩进: 2 字符 行距: 单倍 Char"/>
    <w:link w:val="2fc"/>
    <w:autoRedefine/>
    <w:qFormat/>
    <w:rPr>
      <w:rFonts w:cs="宋体"/>
      <w:kern w:val="2"/>
      <w:sz w:val="24"/>
      <w:szCs w:val="24"/>
    </w:rPr>
  </w:style>
  <w:style w:type="paragraph" w:customStyle="1" w:styleId="2fc">
    <w:name w:val="标准文本 首行缩进: 2 字符 行距: 单倍"/>
    <w:basedOn w:val="a"/>
    <w:link w:val="2Char0"/>
    <w:autoRedefine/>
    <w:qFormat/>
    <w:pPr>
      <w:adjustRightInd w:val="0"/>
      <w:snapToGrid w:val="0"/>
      <w:ind w:firstLineChars="200" w:firstLine="480"/>
      <w:textAlignment w:val="baseline"/>
    </w:pPr>
    <w:rPr>
      <w:rFonts w:cs="宋体"/>
      <w:sz w:val="24"/>
      <w:szCs w:val="24"/>
    </w:rPr>
  </w:style>
  <w:style w:type="character" w:customStyle="1" w:styleId="CharCharCharCharCharCharChar">
    <w:name w:val="正文首行缩进 Char Char Char Char Char Char Char"/>
    <w:autoRedefine/>
    <w:qFormat/>
    <w:rPr>
      <w:rFonts w:ascii="宋体" w:eastAsia="宋体" w:hAnsi="宋体"/>
      <w:kern w:val="2"/>
      <w:sz w:val="21"/>
      <w:szCs w:val="24"/>
      <w:lang w:val="en-US" w:eastAsia="zh-CN" w:bidi="ar-SA"/>
    </w:rPr>
  </w:style>
  <w:style w:type="character" w:customStyle="1" w:styleId="p101">
    <w:name w:val="p101"/>
    <w:autoRedefine/>
    <w:qFormat/>
    <w:rPr>
      <w:rFonts w:ascii="Verdana" w:eastAsia="宋体" w:hAnsi="Verdana" w:hint="default"/>
      <w:sz w:val="21"/>
      <w:szCs w:val="21"/>
      <w:u w:val="none"/>
      <w:lang w:val="en-US" w:eastAsia="en-US" w:bidi="ar-SA"/>
    </w:rPr>
  </w:style>
  <w:style w:type="character" w:customStyle="1" w:styleId="2211H2h241lxb2CharChar">
    <w:name w:val="样式 标题 2节标题标题21.1H2h2第一层条4.1二级标题标题 lxb2二级标题 Char表标题单位... Char"/>
    <w:autoRedefine/>
    <w:qFormat/>
    <w:rPr>
      <w:rFonts w:ascii="宋体" w:eastAsia="宋体" w:hAnsi="宋体" w:cs="Arial"/>
      <w:b/>
      <w:kern w:val="32"/>
      <w:sz w:val="28"/>
      <w:szCs w:val="28"/>
      <w:lang w:val="en-US" w:eastAsia="zh-CN" w:bidi="ar-SA"/>
    </w:rPr>
  </w:style>
  <w:style w:type="character" w:customStyle="1" w:styleId="TOm">
    <w:name w:val="TOm"/>
    <w:autoRedefine/>
    <w:qFormat/>
    <w:rPr>
      <w:rFonts w:ascii="Arial" w:eastAsia="MS Mincho" w:hAnsi="Arial"/>
      <w:spacing w:val="0"/>
      <w:position w:val="0"/>
      <w:sz w:val="20"/>
      <w:szCs w:val="21"/>
      <w:lang w:val="en-US" w:eastAsia="en-US" w:bidi="ar-SA"/>
    </w:rPr>
  </w:style>
  <w:style w:type="character" w:customStyle="1" w:styleId="33H3h33rdlevel4ArialChar">
    <w:name w:val="样式 标题 3小标题小节标题标题3H3h33rd level第二层条标题4 + Arial Char"/>
    <w:link w:val="33H3h33rdlevel4Arial"/>
    <w:autoRedefine/>
    <w:qFormat/>
    <w:rPr>
      <w:rFonts w:ascii="Arial" w:eastAsia="黑体" w:hAnsi="Arial"/>
      <w:bCs/>
      <w:color w:val="000000"/>
      <w:sz w:val="30"/>
      <w:szCs w:val="30"/>
    </w:rPr>
  </w:style>
  <w:style w:type="paragraph" w:customStyle="1" w:styleId="33H3h33rdlevel4Arial">
    <w:name w:val="样式 标题 3小标题小节标题标题3H3h33rd level第二层条标题4 + Arial"/>
    <w:basedOn w:val="3"/>
    <w:link w:val="33H3h33rdlevel4ArialChar"/>
    <w:autoRedefine/>
    <w:qFormat/>
    <w:pPr>
      <w:numPr>
        <w:ilvl w:val="0"/>
        <w:numId w:val="0"/>
      </w:numPr>
      <w:tabs>
        <w:tab w:val="left" w:pos="1050"/>
      </w:tabs>
      <w:spacing w:beforeLines="50" w:afterLines="50"/>
      <w:ind w:left="851" w:hanging="851"/>
      <w:jc w:val="both"/>
      <w:textAlignment w:val="baseline"/>
    </w:pPr>
    <w:rPr>
      <w:rFonts w:ascii="Arial" w:eastAsia="黑体" w:hAnsi="Arial" w:cs="Times New Roman"/>
      <w:b w:val="0"/>
      <w:color w:val="000000"/>
      <w:kern w:val="0"/>
      <w:sz w:val="30"/>
      <w:szCs w:val="30"/>
    </w:rPr>
  </w:style>
  <w:style w:type="character" w:customStyle="1" w:styleId="stit16g1">
    <w:name w:val="stit16_g1"/>
    <w:autoRedefine/>
    <w:qFormat/>
    <w:rPr>
      <w:rFonts w:ascii="Gulim" w:eastAsia="Gulim" w:hAnsi="Gulim" w:hint="eastAsia"/>
      <w:color w:val="1425D0"/>
      <w:sz w:val="16"/>
      <w:szCs w:val="16"/>
      <w:lang w:val="en-US" w:eastAsia="en-US" w:bidi="ar-SA"/>
    </w:rPr>
  </w:style>
  <w:style w:type="character" w:customStyle="1" w:styleId="affffffffff5">
    <w:name w:val="样式 宋体 四号 加粗"/>
    <w:autoRedefine/>
    <w:qFormat/>
    <w:rPr>
      <w:rFonts w:ascii="宋体" w:eastAsia="宋体" w:hAnsi="宋体"/>
      <w:b/>
      <w:bCs/>
      <w:sz w:val="28"/>
      <w:szCs w:val="21"/>
      <w:lang w:val="en-US" w:eastAsia="en-US" w:bidi="ar-SA"/>
    </w:rPr>
  </w:style>
  <w:style w:type="character" w:customStyle="1" w:styleId="410">
    <w:name w:val="样式41"/>
    <w:autoRedefine/>
    <w:qFormat/>
    <w:rPr>
      <w:rFonts w:ascii="宋体" w:eastAsia="宋体" w:hAnsi="宋体"/>
      <w:color w:val="313D42"/>
      <w:sz w:val="21"/>
      <w:szCs w:val="21"/>
      <w:lang w:val="en-US" w:eastAsia="en-US" w:bidi="ar-SA"/>
    </w:rPr>
  </w:style>
  <w:style w:type="character" w:customStyle="1" w:styleId="style201">
    <w:name w:val="style201"/>
    <w:autoRedefine/>
    <w:qFormat/>
    <w:rPr>
      <w:rFonts w:ascii="宋体" w:eastAsia="宋体" w:hAnsi="宋体"/>
      <w:color w:val="000000"/>
      <w:sz w:val="24"/>
      <w:szCs w:val="24"/>
      <w:lang w:val="en-US" w:eastAsia="en-US" w:bidi="ar-SA"/>
    </w:rPr>
  </w:style>
  <w:style w:type="character" w:customStyle="1" w:styleId="t3">
    <w:name w:val="t3"/>
    <w:autoRedefine/>
    <w:qFormat/>
    <w:rPr>
      <w:rFonts w:ascii="宋体" w:eastAsia="宋体" w:hAnsi="宋体"/>
      <w:sz w:val="21"/>
      <w:szCs w:val="21"/>
      <w:lang w:val="en-US" w:eastAsia="en-US" w:bidi="ar-SA"/>
    </w:rPr>
  </w:style>
  <w:style w:type="character" w:customStyle="1" w:styleId="style21">
    <w:name w:val="style21"/>
    <w:autoRedefine/>
    <w:qFormat/>
    <w:rPr>
      <w:rFonts w:ascii="宋体" w:eastAsia="宋体" w:hAnsi="宋体"/>
      <w:color w:val="000000"/>
      <w:sz w:val="21"/>
      <w:szCs w:val="21"/>
      <w:lang w:val="en-US" w:eastAsia="en-US" w:bidi="ar-SA"/>
    </w:rPr>
  </w:style>
  <w:style w:type="character" w:customStyle="1" w:styleId="copy2">
    <w:name w:val="copy2"/>
    <w:autoRedefine/>
    <w:qFormat/>
    <w:rPr>
      <w:rFonts w:ascii="宋体" w:eastAsia="宋体" w:hAnsi="宋体" w:hint="eastAsia"/>
      <w:spacing w:val="24"/>
      <w:sz w:val="15"/>
      <w:szCs w:val="15"/>
      <w:lang w:val="en-US" w:eastAsia="en-US" w:bidi="ar-SA"/>
    </w:rPr>
  </w:style>
  <w:style w:type="character" w:customStyle="1" w:styleId="f91">
    <w:name w:val="f91"/>
    <w:autoRedefine/>
    <w:qFormat/>
    <w:rPr>
      <w:rFonts w:ascii="宋体" w:eastAsia="宋体" w:hAnsi="宋体"/>
      <w:sz w:val="18"/>
      <w:szCs w:val="18"/>
      <w:u w:val="none"/>
      <w:lang w:val="en-US" w:eastAsia="en-US" w:bidi="ar-SA"/>
    </w:rPr>
  </w:style>
  <w:style w:type="character" w:customStyle="1" w:styleId="ln1">
    <w:name w:val="ln1"/>
    <w:autoRedefine/>
    <w:qFormat/>
    <w:rPr>
      <w:rFonts w:eastAsia="宋体" w:hint="default"/>
      <w:color w:val="000000"/>
      <w:sz w:val="28"/>
      <w:szCs w:val="28"/>
      <w:u w:val="none"/>
      <w:lang w:val="en-US" w:eastAsia="en-US" w:bidi="ar-SA"/>
    </w:rPr>
  </w:style>
  <w:style w:type="character" w:customStyle="1" w:styleId="edri-AtitleChar1Char">
    <w:name w:val="edri-A title Char1 Char"/>
    <w:autoRedefine/>
    <w:qFormat/>
    <w:rPr>
      <w:rFonts w:ascii="宋体" w:eastAsia="宋体" w:hAnsi="宋体" w:cs="CommercialPi BT"/>
      <w:bCs/>
      <w:sz w:val="24"/>
      <w:szCs w:val="24"/>
      <w:lang w:val="en-US" w:eastAsia="zh-CN" w:bidi="ar-SA"/>
    </w:rPr>
  </w:style>
  <w:style w:type="character" w:customStyle="1" w:styleId="info">
    <w:name w:val="info"/>
    <w:autoRedefine/>
    <w:qFormat/>
    <w:rPr>
      <w:rFonts w:ascii="宋体" w:eastAsia="宋体" w:hAnsi="宋体"/>
      <w:sz w:val="21"/>
      <w:szCs w:val="21"/>
      <w:lang w:val="en-US" w:eastAsia="en-US" w:bidi="ar-SA"/>
    </w:rPr>
  </w:style>
  <w:style w:type="character" w:customStyle="1" w:styleId="td10">
    <w:name w:val="td10"/>
    <w:autoRedefine/>
    <w:qFormat/>
    <w:rPr>
      <w:rFonts w:ascii="宋体" w:eastAsia="宋体" w:hAnsi="宋体"/>
      <w:sz w:val="21"/>
      <w:szCs w:val="21"/>
      <w:lang w:val="en-US" w:eastAsia="en-US" w:bidi="ar-SA"/>
    </w:rPr>
  </w:style>
  <w:style w:type="character" w:customStyle="1" w:styleId="style15ah1">
    <w:name w:val="style15ah1"/>
    <w:autoRedefine/>
    <w:qFormat/>
    <w:rPr>
      <w:rFonts w:ascii="宋体" w:eastAsia="宋体" w:hAnsi="宋体"/>
      <w:sz w:val="23"/>
      <w:szCs w:val="23"/>
      <w:lang w:val="en-US" w:eastAsia="en-US" w:bidi="ar-SA"/>
    </w:rPr>
  </w:style>
  <w:style w:type="character" w:customStyle="1" w:styleId="p81">
    <w:name w:val="p81"/>
    <w:autoRedefine/>
    <w:qFormat/>
    <w:rPr>
      <w:rFonts w:ascii="ˎ̥" w:eastAsia="宋体" w:hAnsi="ˎ̥" w:hint="default"/>
      <w:color w:val="333333"/>
      <w:sz w:val="18"/>
      <w:szCs w:val="18"/>
      <w:lang w:val="en-US" w:eastAsia="en-US" w:bidi="ar-SA"/>
    </w:rPr>
  </w:style>
  <w:style w:type="character" w:customStyle="1" w:styleId="-yuChar">
    <w:name w:val="正文样式-yu Char"/>
    <w:link w:val="-yu"/>
    <w:autoRedefine/>
    <w:qFormat/>
    <w:rPr>
      <w:kern w:val="2"/>
      <w:sz w:val="28"/>
      <w:szCs w:val="28"/>
      <w:lang w:val="zh-CN"/>
    </w:rPr>
  </w:style>
  <w:style w:type="paragraph" w:customStyle="1" w:styleId="-yu">
    <w:name w:val="正文样式-yu"/>
    <w:basedOn w:val="a"/>
    <w:link w:val="-yuChar"/>
    <w:autoRedefine/>
    <w:qFormat/>
    <w:pPr>
      <w:spacing w:line="360" w:lineRule="auto"/>
      <w:ind w:firstLineChars="200" w:firstLine="560"/>
    </w:pPr>
    <w:rPr>
      <w:rFonts w:cs="Times New Roman"/>
      <w:sz w:val="28"/>
      <w:szCs w:val="28"/>
      <w:lang w:val="zh-CN"/>
    </w:rPr>
  </w:style>
  <w:style w:type="character" w:customStyle="1" w:styleId="Char14">
    <w:name w:val="宏文本 Char1"/>
    <w:autoRedefine/>
    <w:uiPriority w:val="99"/>
    <w:qFormat/>
    <w:rPr>
      <w:rFonts w:ascii="Courier New" w:hAnsi="Courier New" w:cs="Courier New"/>
      <w:kern w:val="2"/>
      <w:sz w:val="24"/>
      <w:szCs w:val="24"/>
    </w:rPr>
  </w:style>
  <w:style w:type="character" w:customStyle="1" w:styleId="2Char2">
    <w:name w:val="样式2 Char"/>
    <w:link w:val="2fd"/>
    <w:autoRedefine/>
    <w:qFormat/>
    <w:rPr>
      <w:b/>
      <w:kern w:val="2"/>
      <w:sz w:val="24"/>
    </w:rPr>
  </w:style>
  <w:style w:type="paragraph" w:customStyle="1" w:styleId="2fd">
    <w:name w:val="样式2"/>
    <w:basedOn w:val="20"/>
    <w:link w:val="2Char2"/>
    <w:autoRedefine/>
    <w:qFormat/>
    <w:pPr>
      <w:numPr>
        <w:ilvl w:val="0"/>
        <w:numId w:val="0"/>
      </w:numPr>
      <w:tabs>
        <w:tab w:val="left" w:pos="567"/>
      </w:tabs>
      <w:adjustRightInd w:val="0"/>
      <w:spacing w:before="0" w:afterLines="0" w:after="0" w:line="400" w:lineRule="atLeast"/>
      <w:ind w:left="567" w:hanging="567"/>
      <w:jc w:val="left"/>
      <w:textAlignment w:val="baseline"/>
    </w:pPr>
    <w:rPr>
      <w:rFonts w:cs="Times New Roman"/>
      <w:bCs w:val="0"/>
      <w:sz w:val="24"/>
      <w:szCs w:val="20"/>
    </w:rPr>
  </w:style>
  <w:style w:type="character" w:customStyle="1" w:styleId="Charff5">
    <w:name w:val="评价正文 Char"/>
    <w:link w:val="affffffffff6"/>
    <w:autoRedefine/>
    <w:qFormat/>
    <w:rPr>
      <w:kern w:val="2"/>
      <w:sz w:val="28"/>
      <w:szCs w:val="28"/>
    </w:rPr>
  </w:style>
  <w:style w:type="paragraph" w:customStyle="1" w:styleId="affffffffff6">
    <w:name w:val="评价正文"/>
    <w:basedOn w:val="a"/>
    <w:link w:val="Charff5"/>
    <w:autoRedefine/>
    <w:qFormat/>
    <w:pPr>
      <w:adjustRightInd w:val="0"/>
      <w:snapToGrid w:val="0"/>
      <w:spacing w:line="500" w:lineRule="exact"/>
      <w:ind w:firstLineChars="200" w:firstLine="200"/>
      <w:textAlignment w:val="baseline"/>
    </w:pPr>
    <w:rPr>
      <w:rFonts w:cs="Times New Roman"/>
      <w:sz w:val="28"/>
      <w:szCs w:val="28"/>
    </w:rPr>
  </w:style>
  <w:style w:type="character" w:customStyle="1" w:styleId="mainarticletitle1">
    <w:name w:val="main_articletitle1"/>
    <w:autoRedefine/>
    <w:qFormat/>
    <w:rPr>
      <w:b/>
      <w:bCs/>
      <w:sz w:val="27"/>
      <w:szCs w:val="27"/>
    </w:rPr>
  </w:style>
  <w:style w:type="character" w:customStyle="1" w:styleId="11CharChar">
    <w:name w:val="11 Char Char"/>
    <w:link w:val="115"/>
    <w:autoRedefine/>
    <w:qFormat/>
    <w:rPr>
      <w:rFonts w:ascii="宋体"/>
      <w:sz w:val="28"/>
      <w:szCs w:val="28"/>
    </w:rPr>
  </w:style>
  <w:style w:type="paragraph" w:customStyle="1" w:styleId="115">
    <w:name w:val="11"/>
    <w:basedOn w:val="af"/>
    <w:link w:val="11CharChar"/>
    <w:autoRedefine/>
    <w:qFormat/>
    <w:pPr>
      <w:kinsoku/>
      <w:autoSpaceDE w:val="0"/>
      <w:autoSpaceDN w:val="0"/>
      <w:spacing w:after="0" w:line="360" w:lineRule="auto"/>
      <w:ind w:firstLineChars="200" w:firstLine="560"/>
    </w:pPr>
    <w:rPr>
      <w:rFonts w:ascii="宋体"/>
      <w:kern w:val="0"/>
      <w:sz w:val="28"/>
      <w:szCs w:val="28"/>
    </w:rPr>
  </w:style>
  <w:style w:type="character" w:customStyle="1" w:styleId="style71">
    <w:name w:val="style71"/>
    <w:autoRedefine/>
    <w:qFormat/>
    <w:rPr>
      <w:sz w:val="12"/>
      <w:szCs w:val="12"/>
    </w:rPr>
  </w:style>
  <w:style w:type="character" w:customStyle="1" w:styleId="css">
    <w:name w:val="css"/>
    <w:basedOn w:val="a0"/>
    <w:autoRedefine/>
    <w:qFormat/>
  </w:style>
  <w:style w:type="character" w:customStyle="1" w:styleId="105fonts1">
    <w:name w:val="10_5fonts1"/>
    <w:autoRedefine/>
    <w:qFormat/>
    <w:rPr>
      <w:sz w:val="21"/>
      <w:szCs w:val="21"/>
    </w:rPr>
  </w:style>
  <w:style w:type="character" w:customStyle="1" w:styleId="hangju3">
    <w:name w:val="hangju3"/>
    <w:autoRedefine/>
    <w:qFormat/>
    <w:rPr>
      <w:sz w:val="21"/>
      <w:szCs w:val="21"/>
    </w:rPr>
  </w:style>
  <w:style w:type="character" w:customStyle="1" w:styleId="CharChard">
    <w:name w:val="表头 Char Char"/>
    <w:autoRedefine/>
    <w:qFormat/>
    <w:rPr>
      <w:rFonts w:eastAsia="宋体"/>
      <w:b/>
      <w:bCs/>
      <w:sz w:val="24"/>
      <w:szCs w:val="24"/>
      <w:lang w:val="en-US" w:eastAsia="zh-CN" w:bidi="ar-SA"/>
    </w:rPr>
  </w:style>
  <w:style w:type="character" w:customStyle="1" w:styleId="p">
    <w:name w:val="p"/>
    <w:basedOn w:val="a0"/>
    <w:autoRedefine/>
    <w:qFormat/>
  </w:style>
  <w:style w:type="character" w:customStyle="1" w:styleId="lemonChar">
    <w:name w:val="啊lemon正文 Char"/>
    <w:link w:val="lemon"/>
    <w:autoRedefine/>
    <w:qFormat/>
    <w:rPr>
      <w:kern w:val="2"/>
      <w:sz w:val="24"/>
      <w:szCs w:val="24"/>
    </w:rPr>
  </w:style>
  <w:style w:type="paragraph" w:customStyle="1" w:styleId="lemon">
    <w:name w:val="啊lemon正文"/>
    <w:basedOn w:val="a"/>
    <w:link w:val="lemonChar"/>
    <w:autoRedefine/>
    <w:qFormat/>
    <w:pPr>
      <w:spacing w:line="360" w:lineRule="auto"/>
      <w:ind w:firstLineChars="200" w:firstLine="200"/>
    </w:pPr>
    <w:rPr>
      <w:rFonts w:cs="Times New Roman"/>
      <w:sz w:val="24"/>
      <w:szCs w:val="24"/>
    </w:rPr>
  </w:style>
  <w:style w:type="character" w:customStyle="1" w:styleId="question-title">
    <w:name w:val="question-title"/>
    <w:basedOn w:val="a0"/>
    <w:autoRedefine/>
    <w:qFormat/>
  </w:style>
  <w:style w:type="character" w:customStyle="1" w:styleId="CharChar10">
    <w:name w:val="Char Char10"/>
    <w:autoRedefine/>
    <w:qFormat/>
    <w:rPr>
      <w:rFonts w:eastAsia="宋体"/>
      <w:kern w:val="2"/>
      <w:sz w:val="18"/>
      <w:lang w:val="en-US" w:eastAsia="zh-CN" w:bidi="ar-SA"/>
    </w:rPr>
  </w:style>
  <w:style w:type="character" w:customStyle="1" w:styleId="spelle">
    <w:name w:val="spelle"/>
    <w:basedOn w:val="a0"/>
    <w:autoRedefine/>
    <w:qFormat/>
  </w:style>
  <w:style w:type="character" w:customStyle="1" w:styleId="Charff6">
    <w:name w:val="环保表内字（五号） Char"/>
    <w:link w:val="affffffffff7"/>
    <w:autoRedefine/>
    <w:qFormat/>
    <w:rPr>
      <w:rFonts w:cs="宋体"/>
      <w:snapToGrid w:val="0"/>
      <w:color w:val="000000"/>
      <w:sz w:val="21"/>
    </w:rPr>
  </w:style>
  <w:style w:type="paragraph" w:customStyle="1" w:styleId="affffffffff7">
    <w:name w:val="环保表内字（五号）"/>
    <w:basedOn w:val="a"/>
    <w:link w:val="Charff6"/>
    <w:autoRedefine/>
    <w:qFormat/>
    <w:pPr>
      <w:tabs>
        <w:tab w:val="left" w:pos="3435"/>
      </w:tabs>
      <w:adjustRightInd w:val="0"/>
      <w:snapToGrid w:val="0"/>
      <w:spacing w:line="0" w:lineRule="atLeast"/>
      <w:jc w:val="left"/>
    </w:pPr>
    <w:rPr>
      <w:rFonts w:cs="宋体"/>
      <w:snapToGrid w:val="0"/>
      <w:color w:val="000000"/>
      <w:kern w:val="0"/>
      <w:szCs w:val="20"/>
    </w:rPr>
  </w:style>
  <w:style w:type="character" w:customStyle="1" w:styleId="Char24">
    <w:name w:val="框图 Char2"/>
    <w:autoRedefine/>
    <w:qFormat/>
    <w:rPr>
      <w:rFonts w:eastAsia="宋体"/>
      <w:kern w:val="2"/>
      <w:sz w:val="21"/>
      <w:szCs w:val="24"/>
      <w:lang w:val="en-US" w:eastAsia="zh-CN" w:bidi="ar-SA"/>
    </w:rPr>
  </w:style>
  <w:style w:type="character" w:customStyle="1" w:styleId="style391">
    <w:name w:val="style391"/>
    <w:autoRedefine/>
    <w:qFormat/>
    <w:rPr>
      <w:b/>
      <w:bCs/>
      <w:color w:val="287D3C"/>
      <w:sz w:val="21"/>
      <w:szCs w:val="21"/>
    </w:rPr>
  </w:style>
  <w:style w:type="character" w:customStyle="1" w:styleId="CharChar70">
    <w:name w:val="Char Char7"/>
    <w:autoRedefine/>
    <w:qFormat/>
    <w:rPr>
      <w:rFonts w:eastAsia="宋体"/>
      <w:kern w:val="2"/>
      <w:sz w:val="21"/>
      <w:lang w:val="en-US" w:eastAsia="zh-CN" w:bidi="ar-SA"/>
    </w:rPr>
  </w:style>
  <w:style w:type="character" w:customStyle="1" w:styleId="CharChare">
    <w:name w:val="封面文字 Char Char"/>
    <w:autoRedefine/>
    <w:qFormat/>
    <w:rPr>
      <w:rFonts w:eastAsia="仿宋_GB2312"/>
      <w:b/>
      <w:bCs/>
      <w:kern w:val="2"/>
      <w:sz w:val="28"/>
      <w:szCs w:val="24"/>
      <w:lang w:val="en-US" w:eastAsia="zh-CN" w:bidi="ar-SA"/>
    </w:rPr>
  </w:style>
  <w:style w:type="character" w:customStyle="1" w:styleId="CharChar25">
    <w:name w:val="Char Char25"/>
    <w:autoRedefine/>
    <w:qFormat/>
    <w:rPr>
      <w:rFonts w:ascii="Times New Roman" w:eastAsia="宋体" w:hAnsi="Times New Roman" w:cs="Times New Roman"/>
      <w:sz w:val="24"/>
      <w:szCs w:val="20"/>
    </w:rPr>
  </w:style>
  <w:style w:type="character" w:customStyle="1" w:styleId="CharCharf">
    <w:name w:val="表中文字 Char Char"/>
    <w:link w:val="affffffffff8"/>
    <w:autoRedefine/>
    <w:qFormat/>
    <w:rPr>
      <w:kern w:val="2"/>
      <w:sz w:val="24"/>
    </w:rPr>
  </w:style>
  <w:style w:type="paragraph" w:customStyle="1" w:styleId="affffffffff8">
    <w:name w:val="表中文字"/>
    <w:basedOn w:val="a"/>
    <w:link w:val="CharCharf"/>
    <w:autoRedefine/>
    <w:qFormat/>
    <w:pPr>
      <w:spacing w:before="60" w:after="60" w:line="360" w:lineRule="auto"/>
    </w:pPr>
    <w:rPr>
      <w:rFonts w:cs="Times New Roman"/>
      <w:sz w:val="24"/>
      <w:szCs w:val="20"/>
    </w:rPr>
  </w:style>
  <w:style w:type="character" w:customStyle="1" w:styleId="Char25">
    <w:name w:val="纯文本 Char2"/>
    <w:autoRedefine/>
    <w:uiPriority w:val="99"/>
    <w:qFormat/>
    <w:rPr>
      <w:rFonts w:ascii="宋体" w:eastAsia="宋体"/>
      <w:sz w:val="24"/>
    </w:rPr>
  </w:style>
  <w:style w:type="character" w:customStyle="1" w:styleId="Char15">
    <w:name w:val="副标题 Char1"/>
    <w:autoRedefine/>
    <w:uiPriority w:val="11"/>
    <w:qFormat/>
    <w:rPr>
      <w:rFonts w:ascii="Arial" w:hAnsi="Arial" w:cs="Arial"/>
      <w:b/>
      <w:bCs/>
      <w:kern w:val="28"/>
      <w:sz w:val="32"/>
      <w:szCs w:val="32"/>
    </w:rPr>
  </w:style>
  <w:style w:type="character" w:customStyle="1" w:styleId="BodyTextIndent2Char1">
    <w:name w:val="Body Text Indent 2 Char1"/>
    <w:autoRedefine/>
    <w:qFormat/>
    <w:rPr>
      <w:rFonts w:ascii="宋体" w:eastAsia="宋体" w:hAnsi="Times New Roman" w:cs="Times New Roman"/>
      <w:snapToGrid w:val="0"/>
      <w:color w:val="339966"/>
      <w:kern w:val="0"/>
      <w:sz w:val="24"/>
      <w:szCs w:val="20"/>
    </w:rPr>
  </w:style>
  <w:style w:type="character" w:customStyle="1" w:styleId="CharChar24">
    <w:name w:val="Char Char24"/>
    <w:autoRedefine/>
    <w:qFormat/>
    <w:rPr>
      <w:rFonts w:ascii="Times New Roman" w:eastAsia="宋体" w:hAnsi="Times New Roman" w:cs="Times New Roman"/>
      <w:sz w:val="24"/>
      <w:szCs w:val="20"/>
    </w:rPr>
  </w:style>
  <w:style w:type="character" w:customStyle="1" w:styleId="CharChar17">
    <w:name w:val="Char Char17"/>
    <w:autoRedefine/>
    <w:qFormat/>
    <w:locked/>
    <w:rPr>
      <w:rFonts w:eastAsia="宋体"/>
      <w:b/>
      <w:bCs/>
      <w:kern w:val="2"/>
      <w:sz w:val="24"/>
      <w:lang w:val="en-US" w:eastAsia="zh-CN" w:bidi="ar-SA"/>
    </w:rPr>
  </w:style>
  <w:style w:type="paragraph" w:customStyle="1" w:styleId="xl63">
    <w:name w:val="xl63"/>
    <w:basedOn w:val="a"/>
    <w:autoRedefine/>
    <w:uiPriority w:val="99"/>
    <w:qFormat/>
    <w:pPr>
      <w:widowControl/>
      <w:pBdr>
        <w:top w:val="single" w:sz="8" w:space="0" w:color="auto"/>
        <w:bottom w:val="single" w:sz="4" w:space="0" w:color="auto"/>
        <w:right w:val="single" w:sz="4" w:space="0" w:color="auto"/>
      </w:pBdr>
      <w:spacing w:before="100" w:beforeAutospacing="1" w:after="100" w:afterAutospacing="1"/>
    </w:pPr>
    <w:rPr>
      <w:rFonts w:eastAsia="Arial Unicode MS" w:cs="Times New Roman"/>
      <w:kern w:val="0"/>
      <w:sz w:val="18"/>
      <w:szCs w:val="20"/>
    </w:rPr>
  </w:style>
  <w:style w:type="paragraph" w:customStyle="1" w:styleId="CharCharf0">
    <w:name w:val="我的正文 Char Char"/>
    <w:basedOn w:val="a"/>
    <w:autoRedefine/>
    <w:uiPriority w:val="99"/>
    <w:qFormat/>
    <w:pPr>
      <w:spacing w:line="360" w:lineRule="auto"/>
      <w:ind w:firstLineChars="200" w:firstLine="200"/>
    </w:pPr>
    <w:rPr>
      <w:rFonts w:cs="Times New Roman"/>
      <w:sz w:val="24"/>
      <w:szCs w:val="20"/>
    </w:rPr>
  </w:style>
  <w:style w:type="paragraph" w:customStyle="1" w:styleId="affffffffff9">
    <w:name w:val="附录二级条标题"/>
    <w:basedOn w:val="affffffffffa"/>
    <w:next w:val="a"/>
    <w:autoRedefine/>
    <w:uiPriority w:val="99"/>
    <w:qFormat/>
    <w:pPr>
      <w:tabs>
        <w:tab w:val="left" w:pos="360"/>
      </w:tabs>
      <w:ind w:left="360" w:hanging="360"/>
      <w:outlineLvl w:val="3"/>
    </w:pPr>
  </w:style>
  <w:style w:type="paragraph" w:customStyle="1" w:styleId="affffffffffa">
    <w:name w:val="附录一级条标题"/>
    <w:basedOn w:val="affffffffffb"/>
    <w:next w:val="a"/>
    <w:autoRedefine/>
    <w:uiPriority w:val="99"/>
    <w:qFormat/>
    <w:pPr>
      <w:tabs>
        <w:tab w:val="left" w:pos="828"/>
      </w:tabs>
      <w:autoSpaceDN w:val="0"/>
      <w:spacing w:beforeLines="0" w:afterLines="0"/>
      <w:ind w:left="828" w:hanging="240"/>
      <w:outlineLvl w:val="2"/>
    </w:pPr>
  </w:style>
  <w:style w:type="paragraph" w:customStyle="1" w:styleId="affffffffffb">
    <w:name w:val="附录章标题"/>
    <w:next w:val="a"/>
    <w:autoRedefine/>
    <w:uiPriority w:val="99"/>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ffffc">
    <w:name w:val="法规"/>
    <w:basedOn w:val="a"/>
    <w:autoRedefine/>
    <w:uiPriority w:val="99"/>
    <w:qFormat/>
    <w:pPr>
      <w:widowControl/>
      <w:tabs>
        <w:tab w:val="left" w:pos="400"/>
      </w:tabs>
      <w:spacing w:line="440" w:lineRule="exact"/>
      <w:ind w:firstLine="400"/>
      <w:jc w:val="left"/>
    </w:pPr>
    <w:rPr>
      <w:rFonts w:ascii="宋体" w:hAnsi="宋体" w:cs="宋体"/>
      <w:kern w:val="0"/>
      <w:sz w:val="25"/>
      <w:szCs w:val="24"/>
    </w:rPr>
  </w:style>
  <w:style w:type="paragraph" w:customStyle="1" w:styleId="ParaChar">
    <w:name w:val="默认段落字体 Para Char"/>
    <w:basedOn w:val="a"/>
    <w:autoRedefine/>
    <w:uiPriority w:val="99"/>
    <w:qFormat/>
    <w:rPr>
      <w:rFonts w:cs="Times New Roman"/>
      <w:sz w:val="24"/>
      <w:szCs w:val="24"/>
    </w:rPr>
  </w:style>
  <w:style w:type="paragraph" w:customStyle="1" w:styleId="font5">
    <w:name w:val="font5"/>
    <w:basedOn w:val="a"/>
    <w:autoRedefine/>
    <w:uiPriority w:val="99"/>
    <w:qFormat/>
    <w:pPr>
      <w:widowControl/>
      <w:spacing w:before="100" w:beforeAutospacing="1" w:after="100" w:afterAutospacing="1"/>
      <w:jc w:val="left"/>
    </w:pPr>
    <w:rPr>
      <w:rFonts w:ascii="宋体" w:cs="Times New Roman"/>
      <w:kern w:val="0"/>
      <w:sz w:val="18"/>
      <w:szCs w:val="20"/>
    </w:rPr>
  </w:style>
  <w:style w:type="paragraph" w:customStyle="1" w:styleId="515">
    <w:name w:val="样式 标题 5 + 行距: 1.5 倍行距"/>
    <w:basedOn w:val="5"/>
    <w:autoRedefine/>
    <w:uiPriority w:val="99"/>
    <w:qFormat/>
    <w:pPr>
      <w:numPr>
        <w:ilvl w:val="0"/>
        <w:numId w:val="0"/>
      </w:numPr>
      <w:tabs>
        <w:tab w:val="left" w:pos="1800"/>
      </w:tabs>
      <w:textAlignment w:val="baseline"/>
    </w:pPr>
    <w:rPr>
      <w:rFonts w:cs="Times New Roman"/>
      <w:b/>
      <w:bCs w:val="0"/>
      <w:kern w:val="0"/>
      <w:szCs w:val="20"/>
    </w:rPr>
  </w:style>
  <w:style w:type="paragraph" w:customStyle="1" w:styleId="xl30">
    <w:name w:val="xl30"/>
    <w:basedOn w:val="a"/>
    <w:autoRedefine/>
    <w:uiPriority w:val="99"/>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cs="Times New Roman"/>
      <w:kern w:val="0"/>
      <w:sz w:val="16"/>
      <w:szCs w:val="20"/>
    </w:rPr>
  </w:style>
  <w:style w:type="paragraph" w:customStyle="1" w:styleId="1ffa">
    <w:name w:val="报告1"/>
    <w:basedOn w:val="afffff3"/>
    <w:autoRedefine/>
    <w:uiPriority w:val="99"/>
    <w:qFormat/>
    <w:pPr>
      <w:textAlignment w:val="baseline"/>
    </w:pPr>
    <w:rPr>
      <w:rFonts w:ascii="Times New Roman" w:hAnsi="Times New Roman" w:cs="Times New Roman"/>
      <w:kern w:val="24"/>
      <w:szCs w:val="20"/>
    </w:rPr>
  </w:style>
  <w:style w:type="paragraph" w:customStyle="1" w:styleId="affffffffffd">
    <w:name w:val="表左"/>
    <w:basedOn w:val="a"/>
    <w:next w:val="a"/>
    <w:autoRedefine/>
    <w:uiPriority w:val="99"/>
    <w:qFormat/>
    <w:pPr>
      <w:adjustRightInd w:val="0"/>
      <w:jc w:val="center"/>
      <w:textAlignment w:val="baseline"/>
    </w:pPr>
    <w:rPr>
      <w:rFonts w:ascii="仿宋_GB2312" w:eastAsia="仿宋_GB2312" w:cs="Times New Roman"/>
      <w:color w:val="000000"/>
      <w:szCs w:val="21"/>
    </w:rPr>
  </w:style>
  <w:style w:type="paragraph" w:customStyle="1" w:styleId="affffffffffe">
    <w:name w:val="表格，五宋"/>
    <w:autoRedefine/>
    <w:uiPriority w:val="99"/>
    <w:qFormat/>
    <w:pPr>
      <w:adjustRightInd w:val="0"/>
      <w:spacing w:line="360" w:lineRule="exact"/>
      <w:jc w:val="center"/>
    </w:pPr>
    <w:rPr>
      <w:sz w:val="21"/>
    </w:rPr>
  </w:style>
  <w:style w:type="paragraph" w:customStyle="1" w:styleId="afffffffffff">
    <w:name w:val="泸县焦化表格文字"/>
    <w:basedOn w:val="a"/>
    <w:autoRedefine/>
    <w:uiPriority w:val="99"/>
    <w:qFormat/>
    <w:pPr>
      <w:adjustRightInd w:val="0"/>
      <w:snapToGrid w:val="0"/>
      <w:jc w:val="center"/>
    </w:pPr>
    <w:rPr>
      <w:rFonts w:cs="Times New Roman"/>
      <w:bCs/>
      <w:color w:val="0000FF"/>
      <w:szCs w:val="21"/>
    </w:rPr>
  </w:style>
  <w:style w:type="paragraph" w:customStyle="1" w:styleId="xl65">
    <w:name w:val="xl65"/>
    <w:basedOn w:val="a"/>
    <w:autoRedefine/>
    <w:uiPriority w:val="99"/>
    <w:qFormat/>
    <w:pPr>
      <w:widowControl/>
      <w:pBdr>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kern w:val="0"/>
      <w:sz w:val="18"/>
      <w:szCs w:val="20"/>
    </w:rPr>
  </w:style>
  <w:style w:type="paragraph" w:customStyle="1" w:styleId="OIC1Address">
    <w:name w:val="OIC1 Address"/>
    <w:basedOn w:val="a"/>
    <w:autoRedefine/>
    <w:uiPriority w:val="99"/>
    <w:qFormat/>
    <w:pPr>
      <w:tabs>
        <w:tab w:val="left" w:pos="1440"/>
      </w:tabs>
      <w:jc w:val="center"/>
    </w:pPr>
    <w:rPr>
      <w:rFonts w:ascii="Arial" w:hAnsi="Arial" w:cs="Times New Roman"/>
      <w:color w:val="000080"/>
      <w:kern w:val="0"/>
      <w:sz w:val="20"/>
      <w:szCs w:val="20"/>
    </w:rPr>
  </w:style>
  <w:style w:type="paragraph" w:customStyle="1" w:styleId="afffffffffff0">
    <w:name w:val="一级条标题"/>
    <w:basedOn w:val="1"/>
    <w:next w:val="a"/>
    <w:autoRedefine/>
    <w:uiPriority w:val="99"/>
    <w:qFormat/>
    <w:pPr>
      <w:keepNext w:val="0"/>
      <w:keepLines w:val="0"/>
      <w:widowControl/>
      <w:numPr>
        <w:numId w:val="0"/>
      </w:numPr>
      <w:tabs>
        <w:tab w:val="left" w:pos="360"/>
      </w:tabs>
      <w:spacing w:line="240" w:lineRule="auto"/>
      <w:jc w:val="both"/>
      <w:outlineLvl w:val="2"/>
    </w:pPr>
    <w:rPr>
      <w:rFonts w:ascii="黑体" w:eastAsia="黑体" w:cs="Times New Roman"/>
      <w:b w:val="0"/>
      <w:bCs w:val="0"/>
      <w:kern w:val="0"/>
      <w:sz w:val="21"/>
      <w:szCs w:val="20"/>
    </w:rPr>
  </w:style>
  <w:style w:type="paragraph" w:customStyle="1" w:styleId="zxz5">
    <w:name w:val="zxz5"/>
    <w:next w:val="a"/>
    <w:autoRedefine/>
    <w:uiPriority w:val="99"/>
    <w:qFormat/>
    <w:pPr>
      <w:tabs>
        <w:tab w:val="left" w:pos="0"/>
      </w:tabs>
      <w:jc w:val="center"/>
    </w:pPr>
    <w:rPr>
      <w:rFonts w:ascii="宋体" w:eastAsia="Times New Roman" w:hAnsi="宋体" w:cs="宋体"/>
      <w:bCs/>
      <w:kern w:val="2"/>
      <w:sz w:val="18"/>
      <w:szCs w:val="18"/>
    </w:rPr>
  </w:style>
  <w:style w:type="paragraph" w:customStyle="1" w:styleId="afffffffffff1">
    <w:name w:val="正文无缩进"/>
    <w:basedOn w:val="a"/>
    <w:autoRedefine/>
    <w:uiPriority w:val="99"/>
    <w:qFormat/>
    <w:pPr>
      <w:spacing w:beforeLines="50"/>
      <w:jc w:val="left"/>
    </w:pPr>
    <w:rPr>
      <w:rFonts w:ascii="宋体" w:hAnsi="宋体" w:cs="Times New Roman"/>
      <w:sz w:val="30"/>
      <w:szCs w:val="24"/>
    </w:rPr>
  </w:style>
  <w:style w:type="paragraph" w:customStyle="1" w:styleId="afffffffffff2">
    <w:name w:val="单元格格式"/>
    <w:autoRedefine/>
    <w:uiPriority w:val="99"/>
    <w:qFormat/>
    <w:pPr>
      <w:widowControl w:val="0"/>
      <w:adjustRightInd w:val="0"/>
      <w:spacing w:beforeLines="20" w:afterLines="20" w:line="320" w:lineRule="exact"/>
      <w:ind w:leftChars="10" w:left="32" w:rightChars="10" w:right="32"/>
      <w:textAlignment w:val="baseline"/>
    </w:pPr>
    <w:rPr>
      <w:rFonts w:ascii="宋体" w:hAnsi="宋体"/>
      <w:sz w:val="28"/>
    </w:rPr>
  </w:style>
  <w:style w:type="paragraph" w:customStyle="1" w:styleId="edri-13">
    <w:name w:val="edri-制表位13"/>
    <w:basedOn w:val="a"/>
    <w:autoRedefine/>
    <w:uiPriority w:val="99"/>
    <w:qFormat/>
    <w:pPr>
      <w:tabs>
        <w:tab w:val="left" w:pos="3720"/>
        <w:tab w:val="left" w:pos="3750"/>
        <w:tab w:val="left" w:pos="5220"/>
        <w:tab w:val="left" w:pos="5400"/>
      </w:tabs>
      <w:snapToGrid w:val="0"/>
      <w:spacing w:line="360" w:lineRule="auto"/>
      <w:ind w:leftChars="450" w:left="945" w:firstLineChars="374" w:firstLine="898"/>
    </w:pPr>
    <w:rPr>
      <w:rFonts w:cs="CommercialPi BT"/>
      <w:snapToGrid w:val="0"/>
      <w:sz w:val="24"/>
      <w:szCs w:val="24"/>
    </w:rPr>
  </w:style>
  <w:style w:type="paragraph" w:customStyle="1" w:styleId="01">
    <w:name w:val="0"/>
    <w:basedOn w:val="a"/>
    <w:autoRedefine/>
    <w:uiPriority w:val="99"/>
    <w:qFormat/>
    <w:pPr>
      <w:widowControl/>
      <w:snapToGrid w:val="0"/>
    </w:pPr>
    <w:rPr>
      <w:rFonts w:cs="Times New Roman"/>
      <w:kern w:val="0"/>
      <w:szCs w:val="21"/>
    </w:rPr>
  </w:style>
  <w:style w:type="paragraph" w:customStyle="1" w:styleId="Normal1">
    <w:name w:val="Normal1"/>
    <w:autoRedefine/>
    <w:uiPriority w:val="99"/>
    <w:qFormat/>
    <w:pPr>
      <w:widowControl w:val="0"/>
      <w:adjustRightInd w:val="0"/>
      <w:spacing w:line="360" w:lineRule="atLeast"/>
      <w:textAlignment w:val="baseline"/>
    </w:pPr>
    <w:rPr>
      <w:rFonts w:ascii="宋体"/>
      <w:sz w:val="34"/>
    </w:rPr>
  </w:style>
  <w:style w:type="paragraph" w:customStyle="1" w:styleId="xl58">
    <w:name w:val="xl58"/>
    <w:basedOn w:val="a"/>
    <w:autoRedefine/>
    <w:uiPriority w:val="99"/>
    <w:qFormat/>
    <w:pPr>
      <w:widowControl/>
      <w:pBdr>
        <w:top w:val="single" w:sz="8" w:space="0" w:color="auto"/>
        <w:bottom w:val="single" w:sz="4" w:space="0" w:color="auto"/>
      </w:pBdr>
      <w:spacing w:before="100" w:beforeAutospacing="1" w:after="100" w:afterAutospacing="1"/>
      <w:jc w:val="center"/>
    </w:pPr>
    <w:rPr>
      <w:rFonts w:ascii="新宋体" w:eastAsia="新宋体" w:hAnsi="新宋体" w:cs="Times New Roman" w:hint="eastAsia"/>
      <w:kern w:val="0"/>
      <w:sz w:val="18"/>
      <w:szCs w:val="20"/>
    </w:rPr>
  </w:style>
  <w:style w:type="paragraph" w:customStyle="1" w:styleId="xl76">
    <w:name w:val="xl76"/>
    <w:basedOn w:val="a"/>
    <w:autoRedefine/>
    <w:uiPriority w:val="99"/>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Times New Roman"/>
      <w:color w:val="FF00FF"/>
      <w:kern w:val="0"/>
      <w:sz w:val="20"/>
      <w:szCs w:val="20"/>
    </w:rPr>
  </w:style>
  <w:style w:type="paragraph" w:customStyle="1" w:styleId="font1">
    <w:name w:val="font1"/>
    <w:basedOn w:val="a"/>
    <w:autoRedefine/>
    <w:uiPriority w:val="99"/>
    <w:qFormat/>
    <w:pPr>
      <w:widowControl/>
      <w:spacing w:before="100" w:beforeAutospacing="1" w:after="100" w:afterAutospacing="1"/>
      <w:jc w:val="left"/>
    </w:pPr>
    <w:rPr>
      <w:rFonts w:ascii="宋体" w:cs="Times New Roman"/>
      <w:kern w:val="0"/>
      <w:sz w:val="24"/>
      <w:szCs w:val="20"/>
    </w:rPr>
  </w:style>
  <w:style w:type="paragraph" w:customStyle="1" w:styleId="78">
    <w:name w:val="7"/>
    <w:basedOn w:val="a"/>
    <w:next w:val="a"/>
    <w:autoRedefine/>
    <w:uiPriority w:val="99"/>
    <w:qFormat/>
    <w:pPr>
      <w:tabs>
        <w:tab w:val="left" w:pos="780"/>
      </w:tabs>
      <w:spacing w:before="120" w:line="300" w:lineRule="auto"/>
      <w:ind w:leftChars="200" w:left="780" w:hangingChars="200" w:hanging="360"/>
      <w:jc w:val="left"/>
      <w:outlineLvl w:val="1"/>
    </w:pPr>
    <w:rPr>
      <w:rFonts w:eastAsia="仿宋_GB2312" w:cs="Times New Roman"/>
      <w:kern w:val="28"/>
      <w:sz w:val="24"/>
      <w:szCs w:val="20"/>
    </w:rPr>
  </w:style>
  <w:style w:type="paragraph" w:customStyle="1" w:styleId="310">
    <w:name w:val="正文文本缩进 31"/>
    <w:basedOn w:val="a"/>
    <w:autoRedefine/>
    <w:uiPriority w:val="99"/>
    <w:qFormat/>
    <w:pPr>
      <w:adjustRightInd w:val="0"/>
      <w:spacing w:line="300" w:lineRule="auto"/>
      <w:ind w:firstLine="691"/>
      <w:textAlignment w:val="baseline"/>
    </w:pPr>
    <w:rPr>
      <w:rFonts w:ascii="宋体" w:cs="Times New Roman"/>
      <w:kern w:val="0"/>
      <w:sz w:val="28"/>
      <w:szCs w:val="20"/>
    </w:rPr>
  </w:style>
  <w:style w:type="paragraph" w:customStyle="1" w:styleId="1ffb">
    <w:name w:val="日期1"/>
    <w:basedOn w:val="a"/>
    <w:next w:val="a"/>
    <w:autoRedefine/>
    <w:uiPriority w:val="99"/>
    <w:qFormat/>
    <w:pPr>
      <w:adjustRightInd w:val="0"/>
      <w:textAlignment w:val="baseline"/>
    </w:pPr>
    <w:rPr>
      <w:rFonts w:cs="Times New Roman"/>
      <w:snapToGrid w:val="0"/>
      <w:sz w:val="24"/>
      <w:szCs w:val="20"/>
    </w:rPr>
  </w:style>
  <w:style w:type="paragraph" w:customStyle="1" w:styleId="xl57">
    <w:name w:val="xl57"/>
    <w:basedOn w:val="a"/>
    <w:autoRedefine/>
    <w:uiPriority w:val="99"/>
    <w:qFormat/>
    <w:pPr>
      <w:widowControl/>
      <w:pBdr>
        <w:top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Times New Roman"/>
      <w:kern w:val="0"/>
      <w:sz w:val="18"/>
      <w:szCs w:val="20"/>
    </w:rPr>
  </w:style>
  <w:style w:type="paragraph" w:customStyle="1" w:styleId="205">
    <w:name w:val="样式 标题 2 + 段前: 0.5 行"/>
    <w:basedOn w:val="20"/>
    <w:autoRedefine/>
    <w:uiPriority w:val="99"/>
    <w:qFormat/>
    <w:pPr>
      <w:keepNext w:val="0"/>
      <w:keepLines w:val="0"/>
      <w:numPr>
        <w:ilvl w:val="0"/>
        <w:numId w:val="0"/>
      </w:numPr>
      <w:tabs>
        <w:tab w:val="left" w:pos="540"/>
      </w:tabs>
      <w:snapToGrid w:val="0"/>
      <w:spacing w:before="0" w:after="0"/>
      <w:ind w:left="540" w:hanging="540"/>
    </w:pPr>
    <w:rPr>
      <w:rFonts w:eastAsia="黑体" w:cs="宋体"/>
      <w:bCs w:val="0"/>
      <w:color w:val="000000"/>
      <w:kern w:val="0"/>
      <w:sz w:val="24"/>
    </w:rPr>
  </w:style>
  <w:style w:type="paragraph" w:customStyle="1" w:styleId="1110">
    <w:name w:val="1.1.1"/>
    <w:basedOn w:val="a"/>
    <w:link w:val="111Char"/>
    <w:autoRedefine/>
    <w:qFormat/>
    <w:pPr>
      <w:spacing w:beforeLines="50" w:afterLines="50" w:line="500" w:lineRule="atLeast"/>
      <w:ind w:firstLineChars="200" w:firstLine="200"/>
    </w:pPr>
    <w:rPr>
      <w:rFonts w:eastAsia="黑体" w:cs="Times New Roman"/>
      <w:b/>
      <w:sz w:val="28"/>
      <w:szCs w:val="20"/>
    </w:rPr>
  </w:style>
  <w:style w:type="character" w:customStyle="1" w:styleId="111Char">
    <w:name w:val="1.1.1 Char"/>
    <w:link w:val="1110"/>
    <w:autoRedefine/>
    <w:qFormat/>
    <w:rPr>
      <w:rFonts w:eastAsia="黑体"/>
      <w:b/>
      <w:kern w:val="2"/>
      <w:sz w:val="28"/>
    </w:rPr>
  </w:style>
  <w:style w:type="paragraph" w:customStyle="1" w:styleId="33H3h33rdlevel43Char3Cha">
    <w:name w:val="样式 标题 3小标题小节标题标题3H3h33rd level第二层条标题4标题 3 Char标题 3 Cha..."/>
    <w:basedOn w:val="3"/>
    <w:autoRedefine/>
    <w:uiPriority w:val="99"/>
    <w:qFormat/>
    <w:pPr>
      <w:numPr>
        <w:ilvl w:val="0"/>
        <w:numId w:val="0"/>
      </w:numPr>
      <w:tabs>
        <w:tab w:val="left" w:pos="1364"/>
      </w:tabs>
      <w:spacing w:beforeLines="50" w:afterLines="50"/>
      <w:ind w:left="1135" w:hanging="420"/>
      <w:jc w:val="both"/>
      <w:textAlignment w:val="baseline"/>
    </w:pPr>
    <w:rPr>
      <w:rFonts w:ascii="黑体" w:eastAsia="黑体" w:cs="宋体"/>
      <w:b w:val="0"/>
      <w:bCs w:val="0"/>
      <w:color w:val="000000"/>
      <w:kern w:val="32"/>
      <w:sz w:val="32"/>
    </w:rPr>
  </w:style>
  <w:style w:type="paragraph" w:customStyle="1" w:styleId="afffffffffff3">
    <w:name w:val="蒲表头"/>
    <w:basedOn w:val="a"/>
    <w:autoRedefine/>
    <w:uiPriority w:val="99"/>
    <w:qFormat/>
    <w:pPr>
      <w:adjustRightInd w:val="0"/>
      <w:snapToGrid w:val="0"/>
      <w:jc w:val="center"/>
    </w:pPr>
    <w:rPr>
      <w:rFonts w:cs="Times New Roman"/>
      <w:b/>
      <w:szCs w:val="21"/>
    </w:rPr>
  </w:style>
  <w:style w:type="paragraph" w:customStyle="1" w:styleId="-wd">
    <w:name w:val="正文(正式)-wd"/>
    <w:basedOn w:val="a"/>
    <w:autoRedefine/>
    <w:uiPriority w:val="99"/>
    <w:qFormat/>
    <w:pPr>
      <w:spacing w:line="360" w:lineRule="auto"/>
    </w:pPr>
    <w:rPr>
      <w:rFonts w:ascii="黑体" w:eastAsia="黑体" w:hAnsi="宋体" w:cs="Times New Roman"/>
      <w:bCs/>
      <w:color w:val="000000"/>
      <w:sz w:val="24"/>
      <w:szCs w:val="24"/>
      <w:lang w:val="en-GB"/>
    </w:rPr>
  </w:style>
  <w:style w:type="paragraph" w:customStyle="1" w:styleId="CharCharChar1CharCharCharCharCharCharCharCharCharCharCharCharCharCharCharChar">
    <w:name w:val="Char Char Char1 Char Char Char Char Char Char Char Char Char Char Char Char Char Char Char Char"/>
    <w:basedOn w:val="a"/>
    <w:autoRedefine/>
    <w:uiPriority w:val="99"/>
    <w:qFormat/>
    <w:rPr>
      <w:rFonts w:cs="Times New Roman"/>
      <w:sz w:val="24"/>
      <w:szCs w:val="24"/>
    </w:rPr>
  </w:style>
  <w:style w:type="paragraph" w:customStyle="1" w:styleId="xl47">
    <w:name w:val="xl47"/>
    <w:basedOn w:val="a"/>
    <w:autoRedefine/>
    <w:uiPriority w:val="99"/>
    <w:qFormat/>
    <w:pPr>
      <w:widowControl/>
      <w:pBdr>
        <w:left w:val="single" w:sz="4" w:space="0" w:color="auto"/>
      </w:pBdr>
      <w:spacing w:before="100" w:beforeAutospacing="1" w:after="100" w:afterAutospacing="1"/>
      <w:jc w:val="center"/>
    </w:pPr>
    <w:rPr>
      <w:rFonts w:ascii="Arial Unicode MS" w:eastAsia="Arial Unicode MS" w:hAnsi="Arial Unicode MS" w:cs="Times New Roman"/>
      <w:kern w:val="0"/>
      <w:sz w:val="18"/>
      <w:szCs w:val="20"/>
    </w:rPr>
  </w:style>
  <w:style w:type="paragraph" w:customStyle="1" w:styleId="1ffc">
    <w:name w:val="段落1"/>
    <w:basedOn w:val="a"/>
    <w:autoRedefine/>
    <w:uiPriority w:val="99"/>
    <w:qFormat/>
    <w:pPr>
      <w:spacing w:line="480" w:lineRule="exact"/>
      <w:ind w:firstLineChars="200" w:firstLine="584"/>
    </w:pPr>
    <w:rPr>
      <w:rFonts w:cs="Times New Roman"/>
      <w:spacing w:val="6"/>
      <w:sz w:val="28"/>
      <w:szCs w:val="24"/>
    </w:rPr>
  </w:style>
  <w:style w:type="paragraph" w:customStyle="1" w:styleId="Bt31">
    <w:name w:val="样式 Bt3 + 加粗1"/>
    <w:basedOn w:val="Bt3"/>
    <w:autoRedefine/>
    <w:uiPriority w:val="99"/>
    <w:qFormat/>
  </w:style>
  <w:style w:type="paragraph" w:customStyle="1" w:styleId="Bt3">
    <w:name w:val="Bt3"/>
    <w:basedOn w:val="3"/>
    <w:next w:val="a"/>
    <w:autoRedefine/>
    <w:uiPriority w:val="99"/>
    <w:qFormat/>
    <w:pPr>
      <w:numPr>
        <w:ilvl w:val="0"/>
        <w:numId w:val="0"/>
      </w:numPr>
      <w:adjustRightInd/>
      <w:snapToGrid/>
      <w:ind w:left="1245" w:hanging="720"/>
    </w:pPr>
    <w:rPr>
      <w:rFonts w:eastAsia="黑体" w:cs="Times New Roman"/>
      <w:b w:val="0"/>
      <w:bCs w:val="0"/>
      <w:snapToGrid w:val="0"/>
      <w:kern w:val="0"/>
      <w:szCs w:val="20"/>
    </w:rPr>
  </w:style>
  <w:style w:type="paragraph" w:customStyle="1" w:styleId="153">
    <w:name w:val="样式 小四 黑色 行距: 1.5 倍行距"/>
    <w:basedOn w:val="a"/>
    <w:autoRedefine/>
    <w:uiPriority w:val="99"/>
    <w:qFormat/>
    <w:pPr>
      <w:spacing w:line="360" w:lineRule="auto"/>
    </w:pPr>
    <w:rPr>
      <w:rFonts w:cs="宋体"/>
      <w:color w:val="000000"/>
      <w:sz w:val="24"/>
      <w:szCs w:val="20"/>
    </w:rPr>
  </w:style>
  <w:style w:type="paragraph" w:customStyle="1" w:styleId="95">
    <w:name w:val="9"/>
    <w:basedOn w:val="a"/>
    <w:next w:val="a"/>
    <w:link w:val="9CharChar"/>
    <w:autoRedefine/>
    <w:qFormat/>
    <w:pPr>
      <w:adjustRightInd w:val="0"/>
      <w:spacing w:before="60"/>
      <w:ind w:firstLine="480"/>
      <w:textAlignment w:val="baseline"/>
    </w:pPr>
    <w:rPr>
      <w:rFonts w:cs="Times New Roman"/>
      <w:color w:val="FF0000"/>
      <w:sz w:val="24"/>
      <w:szCs w:val="20"/>
    </w:rPr>
  </w:style>
  <w:style w:type="character" w:customStyle="1" w:styleId="9CharChar">
    <w:name w:val="9 Char Char"/>
    <w:link w:val="95"/>
    <w:autoRedefine/>
    <w:qFormat/>
    <w:rPr>
      <w:color w:val="FF0000"/>
      <w:kern w:val="2"/>
      <w:sz w:val="24"/>
    </w:rPr>
  </w:style>
  <w:style w:type="paragraph" w:customStyle="1" w:styleId="xl67">
    <w:name w:val="xl67"/>
    <w:basedOn w:val="a"/>
    <w:autoRedefine/>
    <w:uiPriority w:val="99"/>
    <w:qFormat/>
    <w:pPr>
      <w:widowControl/>
      <w:pBdr>
        <w:bottom w:val="single" w:sz="8" w:space="0" w:color="auto"/>
        <w:right w:val="single" w:sz="4" w:space="0" w:color="auto"/>
      </w:pBdr>
      <w:spacing w:before="100" w:beforeAutospacing="1" w:after="100" w:afterAutospacing="1"/>
      <w:textAlignment w:val="top"/>
    </w:pPr>
    <w:rPr>
      <w:rFonts w:ascii="Arial Unicode MS" w:eastAsia="Arial Unicode MS" w:hAnsi="Arial Unicode MS" w:cs="Times New Roman"/>
      <w:kern w:val="0"/>
      <w:sz w:val="18"/>
      <w:szCs w:val="20"/>
    </w:rPr>
  </w:style>
  <w:style w:type="paragraph" w:customStyle="1" w:styleId="a1a1a">
    <w:name w:val="項目:(一)[a]1.[a](1)[a]"/>
    <w:basedOn w:val="a"/>
    <w:autoRedefine/>
    <w:uiPriority w:val="99"/>
    <w:qFormat/>
    <w:pPr>
      <w:spacing w:line="320" w:lineRule="atLeast"/>
      <w:ind w:left="1038" w:firstLine="448"/>
    </w:pPr>
    <w:rPr>
      <w:rFonts w:eastAsia="MingLiU" w:cs="Times New Roman"/>
      <w:sz w:val="22"/>
      <w:szCs w:val="20"/>
      <w:lang w:eastAsia="zh-TW"/>
    </w:rPr>
  </w:style>
  <w:style w:type="paragraph" w:customStyle="1" w:styleId="3330505">
    <w:name w:val="样式 样式 标题 3标题 33 + 段前: 0.5 行 + 段前: 0.5 行"/>
    <w:basedOn w:val="33305"/>
    <w:autoRedefine/>
    <w:uiPriority w:val="99"/>
    <w:qFormat/>
  </w:style>
  <w:style w:type="paragraph" w:customStyle="1" w:styleId="33305">
    <w:name w:val="样式 标题 3标题 33 + 段前: 0.5 行"/>
    <w:basedOn w:val="3"/>
    <w:autoRedefine/>
    <w:uiPriority w:val="99"/>
    <w:qFormat/>
    <w:pPr>
      <w:numPr>
        <w:ilvl w:val="0"/>
        <w:numId w:val="0"/>
      </w:numPr>
      <w:adjustRightInd/>
      <w:snapToGrid/>
      <w:ind w:left="1245" w:hanging="720"/>
      <w:jc w:val="both"/>
    </w:pPr>
    <w:rPr>
      <w:rFonts w:ascii="黑体" w:eastAsia="黑体" w:cs="Times New Roman"/>
      <w:b w:val="0"/>
      <w:bCs w:val="0"/>
      <w:snapToGrid w:val="0"/>
      <w:color w:val="008000"/>
      <w:kern w:val="0"/>
      <w:szCs w:val="20"/>
    </w:rPr>
  </w:style>
  <w:style w:type="paragraph" w:customStyle="1" w:styleId="3fa">
    <w:name w:val="正文3"/>
    <w:autoRedefine/>
    <w:uiPriority w:val="99"/>
    <w:qFormat/>
    <w:pPr>
      <w:widowControl w:val="0"/>
      <w:adjustRightInd w:val="0"/>
      <w:spacing w:line="360" w:lineRule="atLeast"/>
      <w:textAlignment w:val="baseline"/>
    </w:pPr>
    <w:rPr>
      <w:rFonts w:ascii="宋体"/>
      <w:sz w:val="34"/>
    </w:rPr>
  </w:style>
  <w:style w:type="paragraph" w:customStyle="1" w:styleId="xyb">
    <w:name w:val="xyb自建表格名称"/>
    <w:basedOn w:val="a"/>
    <w:autoRedefine/>
    <w:uiPriority w:val="99"/>
    <w:qFormat/>
    <w:pPr>
      <w:spacing w:line="360" w:lineRule="auto"/>
      <w:jc w:val="center"/>
    </w:pPr>
    <w:rPr>
      <w:rFonts w:ascii="宋体" w:cs="Times New Roman"/>
      <w:sz w:val="24"/>
      <w:szCs w:val="20"/>
    </w:rPr>
  </w:style>
  <w:style w:type="paragraph" w:customStyle="1" w:styleId="afffffffffff4">
    <w:name w:val="列图"/>
    <w:basedOn w:val="ac"/>
    <w:next w:val="a"/>
    <w:autoRedefine/>
    <w:uiPriority w:val="99"/>
    <w:qFormat/>
    <w:pPr>
      <w:keepLines/>
      <w:adjustRightInd w:val="0"/>
      <w:snapToGrid w:val="0"/>
      <w:spacing w:line="276" w:lineRule="auto"/>
      <w:ind w:left="0" w:firstLineChars="0" w:firstLine="0"/>
      <w:jc w:val="center"/>
      <w:textAlignment w:val="baseline"/>
    </w:pPr>
    <w:rPr>
      <w:rFonts w:ascii="Times New Roman" w:eastAsia="宋体" w:hAnsi="Times New Roman" w:cs="Times New Roman"/>
      <w:kern w:val="28"/>
      <w:sz w:val="24"/>
      <w:szCs w:val="20"/>
    </w:rPr>
  </w:style>
  <w:style w:type="paragraph" w:customStyle="1" w:styleId="afffffffffff5">
    <w:name w:val="三级标题"/>
    <w:basedOn w:val="a"/>
    <w:autoRedefine/>
    <w:uiPriority w:val="99"/>
    <w:qFormat/>
    <w:pPr>
      <w:adjustRightInd w:val="0"/>
      <w:snapToGrid w:val="0"/>
      <w:spacing w:beforeLines="50" w:afterLines="50" w:line="300" w:lineRule="auto"/>
      <w:outlineLvl w:val="2"/>
    </w:pPr>
    <w:rPr>
      <w:rFonts w:eastAsia="黑体" w:cs="Times New Roman"/>
      <w:sz w:val="28"/>
      <w:szCs w:val="24"/>
    </w:rPr>
  </w:style>
  <w:style w:type="paragraph" w:customStyle="1" w:styleId="afffffffffff6">
    <w:name w:val="首页页眉样式"/>
    <w:basedOn w:val="a"/>
    <w:autoRedefine/>
    <w:uiPriority w:val="99"/>
    <w:qFormat/>
    <w:pPr>
      <w:tabs>
        <w:tab w:val="left" w:pos="432"/>
      </w:tabs>
      <w:spacing w:line="320" w:lineRule="exact"/>
      <w:ind w:left="432" w:hanging="432"/>
      <w:jc w:val="center"/>
    </w:pPr>
    <w:rPr>
      <w:rFonts w:ascii="宋体" w:hAnsi="宋体" w:cs="Times New Roman"/>
      <w:szCs w:val="20"/>
    </w:rPr>
  </w:style>
  <w:style w:type="paragraph" w:customStyle="1" w:styleId="afffffffffff7">
    <w:name w:val="图形中文字"/>
    <w:basedOn w:val="a"/>
    <w:autoRedefine/>
    <w:uiPriority w:val="99"/>
    <w:qFormat/>
    <w:pPr>
      <w:autoSpaceDE w:val="0"/>
      <w:autoSpaceDN w:val="0"/>
      <w:adjustRightInd w:val="0"/>
      <w:jc w:val="center"/>
    </w:pPr>
    <w:rPr>
      <w:rFonts w:ascii="宋体" w:cs="Times New Roman"/>
      <w:kern w:val="0"/>
      <w:sz w:val="24"/>
      <w:szCs w:val="20"/>
    </w:rPr>
  </w:style>
  <w:style w:type="paragraph" w:customStyle="1" w:styleId="afffffffffff8">
    <w:name w:val="一级标题"/>
    <w:basedOn w:val="a"/>
    <w:autoRedefine/>
    <w:uiPriority w:val="99"/>
    <w:qFormat/>
    <w:pPr>
      <w:tabs>
        <w:tab w:val="left" w:pos="425"/>
      </w:tabs>
      <w:spacing w:before="360" w:after="240" w:line="300" w:lineRule="auto"/>
      <w:ind w:left="425" w:hanging="425"/>
      <w:jc w:val="center"/>
      <w:outlineLvl w:val="0"/>
    </w:pPr>
    <w:rPr>
      <w:rFonts w:eastAsia="黑体" w:cs="Times New Roman"/>
      <w:sz w:val="36"/>
      <w:szCs w:val="20"/>
    </w:rPr>
  </w:style>
  <w:style w:type="paragraph" w:customStyle="1" w:styleId="afffffffffff9">
    <w:name w:val="二级无标题条"/>
    <w:basedOn w:val="a"/>
    <w:autoRedefine/>
    <w:uiPriority w:val="99"/>
    <w:qFormat/>
    <w:pPr>
      <w:tabs>
        <w:tab w:val="left" w:pos="360"/>
      </w:tabs>
      <w:ind w:left="360" w:hanging="360"/>
    </w:pPr>
    <w:rPr>
      <w:rFonts w:cs="Times New Roman"/>
      <w:szCs w:val="24"/>
    </w:rPr>
  </w:style>
  <w:style w:type="paragraph" w:customStyle="1" w:styleId="afffffffffffa">
    <w:name w:val="四级"/>
    <w:basedOn w:val="3"/>
    <w:autoRedefine/>
    <w:uiPriority w:val="99"/>
    <w:qFormat/>
    <w:pPr>
      <w:keepLines w:val="0"/>
      <w:numPr>
        <w:ilvl w:val="0"/>
        <w:numId w:val="0"/>
      </w:numPr>
      <w:ind w:left="1245" w:right="-50" w:hanging="720"/>
      <w:outlineLvl w:val="3"/>
    </w:pPr>
    <w:rPr>
      <w:rFonts w:cs="Times New Roman"/>
      <w:snapToGrid w:val="0"/>
      <w:color w:val="0000FF"/>
      <w:kern w:val="0"/>
      <w:szCs w:val="24"/>
    </w:rPr>
  </w:style>
  <w:style w:type="paragraph" w:customStyle="1" w:styleId="xl37">
    <w:name w:val="xl37"/>
    <w:basedOn w:val="a"/>
    <w:autoRedefine/>
    <w:uiPriority w:val="99"/>
    <w:qFormat/>
    <w:pPr>
      <w:widowControl/>
      <w:pBdr>
        <w:top w:val="single" w:sz="4" w:space="0" w:color="auto"/>
        <w:bottom w:val="single" w:sz="4" w:space="0" w:color="auto"/>
      </w:pBdr>
      <w:spacing w:before="100" w:beforeAutospacing="1" w:after="100" w:afterAutospacing="1"/>
      <w:jc w:val="center"/>
    </w:pPr>
    <w:rPr>
      <w:rFonts w:eastAsia="Arial Unicode MS" w:cs="Times New Roman"/>
      <w:kern w:val="0"/>
      <w:sz w:val="20"/>
      <w:szCs w:val="20"/>
    </w:rPr>
  </w:style>
  <w:style w:type="paragraph" w:customStyle="1" w:styleId="154">
    <w:name w:val="样式15"/>
    <w:basedOn w:val="afffffffffffb"/>
    <w:autoRedefine/>
    <w:uiPriority w:val="99"/>
    <w:qFormat/>
    <w:rPr>
      <w:sz w:val="18"/>
    </w:rPr>
  </w:style>
  <w:style w:type="paragraph" w:customStyle="1" w:styleId="afffffffffffb">
    <w:name w:val="表样"/>
    <w:basedOn w:val="a"/>
    <w:autoRedefine/>
    <w:uiPriority w:val="99"/>
    <w:qFormat/>
    <w:pPr>
      <w:adjustRightInd w:val="0"/>
      <w:snapToGrid w:val="0"/>
      <w:spacing w:line="360" w:lineRule="auto"/>
      <w:jc w:val="center"/>
      <w:textAlignment w:val="baseline"/>
    </w:pPr>
    <w:rPr>
      <w:rFonts w:cs="Times New Roman"/>
      <w:kern w:val="0"/>
      <w:sz w:val="24"/>
      <w:szCs w:val="20"/>
    </w:rPr>
  </w:style>
  <w:style w:type="paragraph" w:customStyle="1" w:styleId="1L">
    <w:name w:val="1、L表名、图名"/>
    <w:basedOn w:val="a"/>
    <w:autoRedefine/>
    <w:uiPriority w:val="99"/>
    <w:qFormat/>
    <w:pPr>
      <w:adjustRightInd w:val="0"/>
      <w:snapToGrid w:val="0"/>
      <w:jc w:val="center"/>
    </w:pPr>
    <w:rPr>
      <w:rFonts w:cs="Times New Roman"/>
      <w:b/>
      <w:bCs/>
      <w:szCs w:val="18"/>
    </w:rPr>
  </w:style>
  <w:style w:type="paragraph" w:customStyle="1" w:styleId="2053">
    <w:name w:val="样式 标题 2 + 段前: 0.5 行3"/>
    <w:basedOn w:val="20"/>
    <w:autoRedefine/>
    <w:uiPriority w:val="99"/>
    <w:qFormat/>
    <w:pPr>
      <w:keepNext w:val="0"/>
      <w:keepLines w:val="0"/>
      <w:numPr>
        <w:ilvl w:val="0"/>
        <w:numId w:val="0"/>
      </w:numPr>
      <w:tabs>
        <w:tab w:val="left" w:pos="540"/>
      </w:tabs>
      <w:snapToGrid w:val="0"/>
      <w:spacing w:before="0" w:after="0"/>
      <w:ind w:left="567" w:hanging="540"/>
    </w:pPr>
    <w:rPr>
      <w:rFonts w:eastAsia="黑体" w:cs="宋体"/>
      <w:bCs w:val="0"/>
      <w:color w:val="000000"/>
      <w:kern w:val="0"/>
      <w:sz w:val="24"/>
    </w:rPr>
  </w:style>
  <w:style w:type="paragraph" w:customStyle="1" w:styleId="identicationParagraph2Paragraph3Paragrap">
    <w:name w:val="样式 正文缩进identication图表表正文正文非缩进Paragraph2Paragraph3Paragrap..."/>
    <w:basedOn w:val="af2"/>
    <w:autoRedefine/>
    <w:uiPriority w:val="99"/>
    <w:qFormat/>
    <w:pPr>
      <w:ind w:firstLineChars="200" w:firstLine="480"/>
    </w:pPr>
    <w:rPr>
      <w:rFonts w:ascii="Times New Roman" w:eastAsia="Times New Roman"/>
      <w:color w:val="000000"/>
      <w:kern w:val="0"/>
      <w:szCs w:val="18"/>
    </w:rPr>
  </w:style>
  <w:style w:type="paragraph" w:customStyle="1" w:styleId="afffffffffffc">
    <w:name w:val="附录标识"/>
    <w:basedOn w:val="afffffffffffd"/>
    <w:autoRedefine/>
    <w:uiPriority w:val="99"/>
    <w:qFormat/>
    <w:pPr>
      <w:tabs>
        <w:tab w:val="left" w:pos="6405"/>
      </w:tabs>
      <w:spacing w:after="200"/>
      <w:ind w:left="0" w:firstLine="0"/>
    </w:pPr>
    <w:rPr>
      <w:sz w:val="21"/>
    </w:rPr>
  </w:style>
  <w:style w:type="paragraph" w:customStyle="1" w:styleId="afffffffffffd">
    <w:name w:val="前言、引言标题"/>
    <w:next w:val="a"/>
    <w:autoRedefine/>
    <w:uiPriority w:val="99"/>
    <w:qFormat/>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032">
    <w:name w:val="样式 加粗 左侧:  0.32 厘米"/>
    <w:basedOn w:val="a"/>
    <w:autoRedefine/>
    <w:uiPriority w:val="99"/>
    <w:qFormat/>
    <w:pPr>
      <w:spacing w:line="500" w:lineRule="exact"/>
      <w:ind w:left="180"/>
    </w:pPr>
    <w:rPr>
      <w:rFonts w:cs="宋体"/>
      <w:b/>
      <w:bCs/>
      <w:sz w:val="28"/>
      <w:szCs w:val="20"/>
    </w:rPr>
  </w:style>
  <w:style w:type="paragraph" w:customStyle="1" w:styleId="font0">
    <w:name w:val="font0"/>
    <w:basedOn w:val="a"/>
    <w:autoRedefine/>
    <w:uiPriority w:val="99"/>
    <w:qFormat/>
    <w:pPr>
      <w:widowControl/>
      <w:spacing w:before="100" w:beforeAutospacing="1" w:after="100" w:afterAutospacing="1"/>
      <w:jc w:val="left"/>
    </w:pPr>
    <w:rPr>
      <w:rFonts w:ascii="宋体" w:hAnsi="宋体" w:cs="Times New Roman" w:hint="eastAsia"/>
      <w:kern w:val="0"/>
      <w:sz w:val="24"/>
      <w:szCs w:val="20"/>
    </w:rPr>
  </w:style>
  <w:style w:type="paragraph" w:customStyle="1" w:styleId="2fe">
    <w:name w:val="标题2"/>
    <w:basedOn w:val="a"/>
    <w:autoRedefine/>
    <w:uiPriority w:val="99"/>
    <w:qFormat/>
    <w:pPr>
      <w:overflowPunct w:val="0"/>
      <w:topLinePunct/>
      <w:spacing w:line="360" w:lineRule="auto"/>
      <w:outlineLvl w:val="1"/>
    </w:pPr>
    <w:rPr>
      <w:rFonts w:eastAsia="华文中宋" w:cs="Times New Roman"/>
      <w:b/>
      <w:sz w:val="30"/>
      <w:szCs w:val="20"/>
    </w:rPr>
  </w:style>
  <w:style w:type="paragraph" w:customStyle="1" w:styleId="afffffffffffe">
    <w:name w:val="表题"/>
    <w:basedOn w:val="a"/>
    <w:autoRedefine/>
    <w:uiPriority w:val="99"/>
    <w:qFormat/>
    <w:pPr>
      <w:tabs>
        <w:tab w:val="left" w:pos="720"/>
      </w:tabs>
      <w:adjustRightInd w:val="0"/>
      <w:snapToGrid w:val="0"/>
      <w:spacing w:line="280" w:lineRule="exact"/>
      <w:ind w:leftChars="-50" w:left="-50" w:rightChars="-50" w:right="-50"/>
      <w:jc w:val="center"/>
    </w:pPr>
    <w:rPr>
      <w:rFonts w:cs="Times New Roman"/>
      <w:color w:val="000000"/>
      <w:sz w:val="24"/>
      <w:szCs w:val="20"/>
    </w:rPr>
  </w:style>
  <w:style w:type="paragraph" w:customStyle="1" w:styleId="xl41">
    <w:name w:val="xl41"/>
    <w:basedOn w:val="a"/>
    <w:autoRedefine/>
    <w:uiPriority w:val="99"/>
    <w:qFormat/>
    <w:pPr>
      <w:widowControl/>
      <w:pBdr>
        <w:right w:val="single" w:sz="4" w:space="0" w:color="auto"/>
      </w:pBdr>
      <w:spacing w:before="100" w:beforeAutospacing="1" w:after="100" w:afterAutospacing="1"/>
      <w:jc w:val="center"/>
    </w:pPr>
    <w:rPr>
      <w:rFonts w:eastAsia="Arial Unicode MS" w:cs="Times New Roman"/>
      <w:kern w:val="0"/>
      <w:sz w:val="18"/>
      <w:szCs w:val="20"/>
    </w:rPr>
  </w:style>
  <w:style w:type="paragraph" w:customStyle="1" w:styleId="affffffffffff">
    <w:name w:val="黑点"/>
    <w:basedOn w:val="a"/>
    <w:autoRedefine/>
    <w:uiPriority w:val="99"/>
    <w:qFormat/>
    <w:pPr>
      <w:tabs>
        <w:tab w:val="left" w:pos="600"/>
        <w:tab w:val="left" w:pos="2100"/>
      </w:tabs>
      <w:adjustRightInd w:val="0"/>
      <w:spacing w:line="360" w:lineRule="auto"/>
      <w:ind w:left="2100" w:hanging="420"/>
      <w:jc w:val="left"/>
      <w:textAlignment w:val="baseline"/>
    </w:pPr>
    <w:rPr>
      <w:rFonts w:ascii="宋体" w:hAnsi="宋体" w:cs="Times New Roman"/>
      <w:color w:val="000000"/>
      <w:kern w:val="0"/>
      <w:sz w:val="24"/>
      <w:szCs w:val="20"/>
    </w:rPr>
  </w:style>
  <w:style w:type="paragraph" w:customStyle="1" w:styleId="yz">
    <w:name w:val="yz"/>
    <w:basedOn w:val="af"/>
    <w:autoRedefine/>
    <w:uiPriority w:val="99"/>
    <w:qFormat/>
    <w:pPr>
      <w:tabs>
        <w:tab w:val="left" w:pos="900"/>
      </w:tabs>
      <w:kinsoku/>
      <w:spacing w:after="0"/>
      <w:ind w:firstLineChars="200" w:firstLine="200"/>
      <w:jc w:val="both"/>
    </w:pPr>
    <w:rPr>
      <w:rFonts w:ascii="宋体" w:hAnsi="宋体" w:hint="eastAsia"/>
      <w:kern w:val="0"/>
      <w:sz w:val="24"/>
      <w:szCs w:val="20"/>
    </w:rPr>
  </w:style>
  <w:style w:type="paragraph" w:customStyle="1" w:styleId="haydonli">
    <w:name w:val="haydonli"/>
    <w:basedOn w:val="a"/>
    <w:link w:val="haydonliCharChar"/>
    <w:autoRedefine/>
    <w:qFormat/>
    <w:pPr>
      <w:snapToGrid w:val="0"/>
      <w:spacing w:line="360" w:lineRule="auto"/>
      <w:ind w:firstLineChars="200" w:firstLine="200"/>
    </w:pPr>
    <w:rPr>
      <w:rFonts w:cs="Times New Roman"/>
      <w:sz w:val="24"/>
      <w:szCs w:val="20"/>
    </w:rPr>
  </w:style>
  <w:style w:type="character" w:customStyle="1" w:styleId="haydonliCharChar">
    <w:name w:val="haydonli Char Char"/>
    <w:link w:val="haydonli"/>
    <w:autoRedefine/>
    <w:qFormat/>
    <w:locked/>
    <w:rPr>
      <w:kern w:val="2"/>
      <w:sz w:val="24"/>
    </w:rPr>
  </w:style>
  <w:style w:type="paragraph" w:customStyle="1" w:styleId="affffffffffff0">
    <w:name w:val="四级标题"/>
    <w:basedOn w:val="Charff7"/>
    <w:autoRedefine/>
    <w:uiPriority w:val="99"/>
    <w:qFormat/>
    <w:pPr>
      <w:tabs>
        <w:tab w:val="left" w:pos="851"/>
      </w:tabs>
      <w:ind w:left="851" w:hanging="851"/>
      <w:outlineLvl w:val="3"/>
    </w:pPr>
    <w:rPr>
      <w:rFonts w:eastAsia="楷体_GB2312"/>
      <w:sz w:val="24"/>
    </w:rPr>
  </w:style>
  <w:style w:type="paragraph" w:customStyle="1" w:styleId="Charff7">
    <w:name w:val="三级标题 Char"/>
    <w:basedOn w:val="a"/>
    <w:autoRedefine/>
    <w:uiPriority w:val="99"/>
    <w:qFormat/>
    <w:pPr>
      <w:tabs>
        <w:tab w:val="left" w:pos="709"/>
      </w:tabs>
      <w:adjustRightInd w:val="0"/>
      <w:snapToGrid w:val="0"/>
      <w:spacing w:before="120" w:after="120" w:line="300" w:lineRule="auto"/>
      <w:ind w:left="709" w:hanging="709"/>
      <w:jc w:val="left"/>
      <w:outlineLvl w:val="2"/>
    </w:pPr>
    <w:rPr>
      <w:rFonts w:eastAsia="黑体" w:cs="Times New Roman"/>
      <w:sz w:val="28"/>
      <w:szCs w:val="20"/>
    </w:rPr>
  </w:style>
  <w:style w:type="paragraph" w:customStyle="1" w:styleId="affffffffffff1">
    <w:name w:val="資料來源"/>
    <w:basedOn w:val="a"/>
    <w:autoRedefine/>
    <w:uiPriority w:val="99"/>
    <w:qFormat/>
    <w:pPr>
      <w:adjustRightInd w:val="0"/>
      <w:snapToGrid w:val="0"/>
      <w:spacing w:before="60"/>
      <w:textAlignment w:val="baseline"/>
    </w:pPr>
    <w:rPr>
      <w:rFonts w:eastAsia="華康中明體" w:cs="Times New Roman"/>
      <w:sz w:val="18"/>
      <w:szCs w:val="20"/>
      <w:lang w:eastAsia="zh-TW"/>
    </w:rPr>
  </w:style>
  <w:style w:type="paragraph" w:customStyle="1" w:styleId="CharCharCharCharCharChar">
    <w:name w:val="Char Char Char Char Char Char"/>
    <w:basedOn w:val="a"/>
    <w:autoRedefine/>
    <w:uiPriority w:val="99"/>
    <w:qFormat/>
    <w:rPr>
      <w:rFonts w:cs="Times New Roman"/>
      <w:sz w:val="24"/>
      <w:szCs w:val="24"/>
    </w:rPr>
  </w:style>
  <w:style w:type="paragraph" w:customStyle="1" w:styleId="affffffffffff2">
    <w:name w:val="标准"/>
    <w:basedOn w:val="a"/>
    <w:link w:val="Charff8"/>
    <w:autoRedefine/>
    <w:qFormat/>
    <w:pPr>
      <w:tabs>
        <w:tab w:val="left" w:pos="720"/>
      </w:tabs>
      <w:adjustRightInd w:val="0"/>
      <w:spacing w:line="312" w:lineRule="atLeast"/>
      <w:textAlignment w:val="baseline"/>
    </w:pPr>
    <w:rPr>
      <w:rFonts w:cs="Times New Roman"/>
      <w:kern w:val="0"/>
      <w:szCs w:val="20"/>
    </w:rPr>
  </w:style>
  <w:style w:type="character" w:customStyle="1" w:styleId="Charff8">
    <w:name w:val="标准 Char"/>
    <w:link w:val="affffffffffff2"/>
    <w:autoRedefine/>
    <w:qFormat/>
    <w:rPr>
      <w:sz w:val="21"/>
    </w:rPr>
  </w:style>
  <w:style w:type="paragraph" w:customStyle="1" w:styleId="xl32">
    <w:name w:val="xl32"/>
    <w:basedOn w:val="a"/>
    <w:autoRedefine/>
    <w:uiPriority w:val="99"/>
    <w:qFormat/>
    <w:pPr>
      <w:widowControl/>
      <w:pBdr>
        <w:left w:val="single" w:sz="4" w:space="0" w:color="auto"/>
        <w:bottom w:val="single" w:sz="4" w:space="0" w:color="auto"/>
      </w:pBdr>
      <w:spacing w:before="100" w:beforeAutospacing="1" w:after="100" w:afterAutospacing="1"/>
      <w:jc w:val="center"/>
      <w:textAlignment w:val="top"/>
    </w:pPr>
    <w:rPr>
      <w:rFonts w:ascii="宋体" w:cs="Times New Roman"/>
      <w:kern w:val="0"/>
      <w:sz w:val="24"/>
      <w:szCs w:val="20"/>
    </w:rPr>
  </w:style>
  <w:style w:type="paragraph" w:customStyle="1" w:styleId="Charff9">
    <w:name w:val="样式 正文文本 + 红色 Char"/>
    <w:basedOn w:val="af"/>
    <w:autoRedefine/>
    <w:uiPriority w:val="99"/>
    <w:qFormat/>
    <w:pPr>
      <w:kinsoku/>
      <w:snapToGrid w:val="0"/>
      <w:spacing w:before="60" w:after="60" w:line="264" w:lineRule="auto"/>
      <w:ind w:firstLineChars="200" w:firstLine="200"/>
      <w:jc w:val="both"/>
    </w:pPr>
    <w:rPr>
      <w:rFonts w:eastAsia="仿宋_GB2312"/>
      <w:snapToGrid w:val="0"/>
      <w:color w:val="FF0000"/>
      <w:kern w:val="0"/>
      <w:sz w:val="24"/>
    </w:rPr>
  </w:style>
  <w:style w:type="paragraph" w:customStyle="1" w:styleId="1ffd">
    <w:name w:val="表格文字1"/>
    <w:basedOn w:val="a"/>
    <w:autoRedefine/>
    <w:uiPriority w:val="99"/>
    <w:qFormat/>
    <w:pPr>
      <w:tabs>
        <w:tab w:val="left" w:pos="0"/>
      </w:tabs>
      <w:autoSpaceDE w:val="0"/>
      <w:autoSpaceDN w:val="0"/>
      <w:adjustRightInd w:val="0"/>
      <w:spacing w:before="60"/>
      <w:ind w:left="57" w:right="57"/>
      <w:jc w:val="center"/>
      <w:textAlignment w:val="baseline"/>
    </w:pPr>
    <w:rPr>
      <w:rFonts w:cs="Times New Roman"/>
      <w:szCs w:val="24"/>
    </w:rPr>
  </w:style>
  <w:style w:type="paragraph" w:customStyle="1" w:styleId="CharChar11">
    <w:name w:val="Char Char1"/>
    <w:basedOn w:val="a"/>
    <w:autoRedefine/>
    <w:uiPriority w:val="99"/>
    <w:qFormat/>
    <w:pPr>
      <w:adjustRightInd w:val="0"/>
      <w:snapToGrid w:val="0"/>
      <w:spacing w:beforeLines="50" w:afterLines="50" w:line="480" w:lineRule="exact"/>
      <w:ind w:firstLineChars="200" w:firstLine="200"/>
    </w:pPr>
    <w:rPr>
      <w:rFonts w:ascii="Tahoma" w:hAnsi="Tahoma" w:cs="Times New Roman"/>
      <w:sz w:val="24"/>
      <w:szCs w:val="20"/>
    </w:rPr>
  </w:style>
  <w:style w:type="paragraph" w:customStyle="1" w:styleId="affffffffffff3">
    <w:name w:val="表"/>
    <w:basedOn w:val="a"/>
    <w:link w:val="Charffa"/>
    <w:autoRedefine/>
    <w:qFormat/>
    <w:pPr>
      <w:adjustRightInd w:val="0"/>
      <w:spacing w:before="40" w:after="40" w:line="240" w:lineRule="exact"/>
      <w:jc w:val="center"/>
      <w:textAlignment w:val="baseline"/>
    </w:pPr>
    <w:rPr>
      <w:rFonts w:eastAsia="仿宋_GB2312" w:cs="Times New Roman"/>
      <w:kern w:val="21"/>
      <w:szCs w:val="20"/>
    </w:rPr>
  </w:style>
  <w:style w:type="character" w:customStyle="1" w:styleId="Charffa">
    <w:name w:val="表 Char"/>
    <w:link w:val="affffffffffff3"/>
    <w:autoRedefine/>
    <w:qFormat/>
    <w:locked/>
    <w:rPr>
      <w:rFonts w:eastAsia="仿宋_GB2312"/>
      <w:kern w:val="21"/>
      <w:sz w:val="21"/>
    </w:rPr>
  </w:style>
  <w:style w:type="paragraph" w:customStyle="1" w:styleId="CharCharf1">
    <w:name w:val="表格标题 Char Char"/>
    <w:basedOn w:val="a"/>
    <w:autoRedefine/>
    <w:uiPriority w:val="99"/>
    <w:qFormat/>
    <w:pPr>
      <w:adjustRightInd w:val="0"/>
      <w:snapToGrid w:val="0"/>
      <w:spacing w:line="360" w:lineRule="auto"/>
      <w:jc w:val="center"/>
    </w:pPr>
    <w:rPr>
      <w:rFonts w:eastAsia="黑体" w:cs="Times New Roman"/>
      <w:sz w:val="24"/>
      <w:szCs w:val="20"/>
    </w:rPr>
  </w:style>
  <w:style w:type="paragraph" w:customStyle="1" w:styleId="Char2CharCharChar">
    <w:name w:val="Char2 Char Char Char"/>
    <w:basedOn w:val="a"/>
    <w:autoRedefine/>
    <w:uiPriority w:val="99"/>
    <w:qFormat/>
    <w:pPr>
      <w:spacing w:line="360" w:lineRule="auto"/>
      <w:ind w:firstLineChars="200" w:firstLine="200"/>
    </w:pPr>
    <w:rPr>
      <w:rFonts w:ascii="宋体" w:hAnsi="宋体" w:cs="宋体"/>
      <w:sz w:val="24"/>
      <w:szCs w:val="24"/>
    </w:rPr>
  </w:style>
  <w:style w:type="paragraph" w:customStyle="1" w:styleId="1ffe">
    <w:name w:val="表格内容1"/>
    <w:basedOn w:val="a"/>
    <w:autoRedefine/>
    <w:uiPriority w:val="99"/>
    <w:qFormat/>
    <w:pPr>
      <w:spacing w:line="280" w:lineRule="exact"/>
      <w:ind w:left="-70" w:right="-108"/>
    </w:pPr>
    <w:rPr>
      <w:rFonts w:cs="Times New Roman"/>
      <w:sz w:val="24"/>
      <w:szCs w:val="20"/>
    </w:rPr>
  </w:style>
  <w:style w:type="paragraph" w:customStyle="1" w:styleId="205405">
    <w:name w:val="样式 样式 标题 2 + 段前: 0.5 行4 + 段前: 0.5 行"/>
    <w:basedOn w:val="a"/>
    <w:autoRedefine/>
    <w:uiPriority w:val="99"/>
    <w:qFormat/>
    <w:pPr>
      <w:tabs>
        <w:tab w:val="left" w:pos="540"/>
      </w:tabs>
      <w:adjustRightInd w:val="0"/>
      <w:spacing w:before="163" w:line="360" w:lineRule="auto"/>
      <w:ind w:left="567" w:hanging="540"/>
      <w:outlineLvl w:val="1"/>
    </w:pPr>
    <w:rPr>
      <w:rFonts w:eastAsia="黑体" w:cs="宋体"/>
      <w:sz w:val="24"/>
      <w:szCs w:val="20"/>
    </w:rPr>
  </w:style>
  <w:style w:type="paragraph" w:customStyle="1" w:styleId="xl34">
    <w:name w:val="xl34"/>
    <w:basedOn w:val="a"/>
    <w:autoRedefine/>
    <w:uiPriority w:val="99"/>
    <w:qFormat/>
    <w:pPr>
      <w:widowControl/>
      <w:pBdr>
        <w:bottom w:val="single" w:sz="4" w:space="0" w:color="auto"/>
        <w:right w:val="double" w:sz="6" w:space="0" w:color="auto"/>
      </w:pBdr>
      <w:shd w:val="clear" w:color="auto" w:fill="FFCC99"/>
      <w:spacing w:before="100" w:beforeAutospacing="1" w:after="100" w:afterAutospacing="1"/>
      <w:jc w:val="center"/>
    </w:pPr>
    <w:rPr>
      <w:rFonts w:eastAsia="Arial Unicode MS" w:cs="Times New Roman"/>
      <w:kern w:val="0"/>
      <w:szCs w:val="20"/>
    </w:rPr>
  </w:style>
  <w:style w:type="paragraph" w:customStyle="1" w:styleId="2ff">
    <w:name w:val="樣式2"/>
    <w:basedOn w:val="3"/>
    <w:autoRedefine/>
    <w:uiPriority w:val="99"/>
    <w:qFormat/>
    <w:pPr>
      <w:keepLines w:val="0"/>
      <w:numPr>
        <w:ilvl w:val="0"/>
        <w:numId w:val="0"/>
      </w:numPr>
      <w:tabs>
        <w:tab w:val="left" w:pos="1050"/>
        <w:tab w:val="left" w:pos="3640"/>
      </w:tabs>
      <w:adjustRightInd/>
      <w:spacing w:beforeLines="50" w:afterLines="50"/>
      <w:ind w:left="284" w:hanging="420"/>
      <w:jc w:val="both"/>
    </w:pPr>
    <w:rPr>
      <w:rFonts w:ascii="Arial" w:eastAsia="PMingLiU" w:hAnsi="Arial" w:cs="Arial"/>
      <w:b w:val="0"/>
      <w:color w:val="000000"/>
      <w:spacing w:val="20"/>
      <w:szCs w:val="36"/>
      <w:lang w:eastAsia="zh-TW"/>
    </w:rPr>
  </w:style>
  <w:style w:type="paragraph" w:customStyle="1" w:styleId="87">
    <w:name w:val="样式8"/>
    <w:basedOn w:val="afffffffff9"/>
    <w:link w:val="8Char"/>
    <w:autoRedefine/>
    <w:uiPriority w:val="99"/>
    <w:qFormat/>
    <w:pPr>
      <w:spacing w:line="300" w:lineRule="exact"/>
      <w:outlineLvl w:val="9"/>
    </w:pPr>
    <w:rPr>
      <w:rFonts w:ascii="Times New Roman" w:hAnsi="Times New Roman"/>
      <w:sz w:val="21"/>
    </w:rPr>
  </w:style>
  <w:style w:type="character" w:customStyle="1" w:styleId="8Char">
    <w:name w:val="样式8 Char"/>
    <w:link w:val="87"/>
    <w:autoRedefine/>
    <w:uiPriority w:val="99"/>
    <w:qFormat/>
    <w:rPr>
      <w:kern w:val="2"/>
      <w:sz w:val="21"/>
      <w:szCs w:val="22"/>
    </w:rPr>
  </w:style>
  <w:style w:type="paragraph" w:customStyle="1" w:styleId="edri-7title">
    <w:name w:val="edri-7 title"/>
    <w:basedOn w:val="edri-3"/>
    <w:autoRedefine/>
    <w:uiPriority w:val="99"/>
    <w:qFormat/>
    <w:pPr>
      <w:tabs>
        <w:tab w:val="left" w:pos="425"/>
      </w:tabs>
      <w:ind w:leftChars="0" w:left="425" w:hanging="425"/>
    </w:pPr>
  </w:style>
  <w:style w:type="paragraph" w:customStyle="1" w:styleId="edri-3">
    <w:name w:val="edri-正文3"/>
    <w:basedOn w:val="a"/>
    <w:autoRedefine/>
    <w:uiPriority w:val="99"/>
    <w:qFormat/>
    <w:pPr>
      <w:spacing w:beforeLines="50" w:line="300" w:lineRule="auto"/>
      <w:ind w:leftChars="1050" w:left="2205"/>
    </w:pPr>
    <w:rPr>
      <w:rFonts w:cs="Times New Roman"/>
      <w:snapToGrid w:val="0"/>
      <w:sz w:val="24"/>
      <w:szCs w:val="24"/>
    </w:rPr>
  </w:style>
  <w:style w:type="paragraph" w:customStyle="1" w:styleId="xyb0">
    <w:name w:val="xyb自建四级标题"/>
    <w:basedOn w:val="a"/>
    <w:autoRedefine/>
    <w:uiPriority w:val="99"/>
    <w:qFormat/>
    <w:pPr>
      <w:tabs>
        <w:tab w:val="left" w:pos="8280"/>
      </w:tabs>
      <w:spacing w:line="360" w:lineRule="auto"/>
      <w:ind w:firstLineChars="200" w:firstLine="200"/>
    </w:pPr>
    <w:rPr>
      <w:rFonts w:cs="Times New Roman"/>
      <w:sz w:val="24"/>
      <w:szCs w:val="20"/>
    </w:rPr>
  </w:style>
  <w:style w:type="paragraph" w:customStyle="1" w:styleId="affffffffffff4">
    <w:name w:val="正文（首行缩进）"/>
    <w:basedOn w:val="a"/>
    <w:autoRedefine/>
    <w:uiPriority w:val="99"/>
    <w:qFormat/>
    <w:pPr>
      <w:widowControl/>
      <w:spacing w:line="360" w:lineRule="auto"/>
      <w:ind w:firstLineChars="200" w:firstLine="200"/>
      <w:jc w:val="left"/>
    </w:pPr>
    <w:rPr>
      <w:rFonts w:ascii="宋体" w:hAnsi="宋体" w:cs="Times New Roman"/>
      <w:snapToGrid w:val="0"/>
      <w:color w:val="000000"/>
      <w:sz w:val="24"/>
      <w:szCs w:val="20"/>
    </w:rPr>
  </w:style>
  <w:style w:type="paragraph" w:customStyle="1" w:styleId="affffffffffff5">
    <w:name w:val="二级标题"/>
    <w:basedOn w:val="a"/>
    <w:autoRedefine/>
    <w:uiPriority w:val="99"/>
    <w:qFormat/>
    <w:pPr>
      <w:tabs>
        <w:tab w:val="left" w:pos="567"/>
      </w:tabs>
      <w:spacing w:before="240" w:after="120" w:line="300" w:lineRule="auto"/>
      <w:ind w:left="567" w:hanging="567"/>
      <w:jc w:val="left"/>
      <w:outlineLvl w:val="1"/>
    </w:pPr>
    <w:rPr>
      <w:rFonts w:eastAsia="黑体" w:cs="Times New Roman"/>
      <w:kern w:val="0"/>
      <w:sz w:val="32"/>
      <w:szCs w:val="20"/>
    </w:rPr>
  </w:style>
  <w:style w:type="paragraph" w:customStyle="1" w:styleId="reader-word-layer">
    <w:name w:val="reader-word-layer"/>
    <w:basedOn w:val="a"/>
    <w:autoRedefine/>
    <w:uiPriority w:val="99"/>
    <w:qFormat/>
    <w:pPr>
      <w:widowControl/>
      <w:spacing w:before="100" w:beforeAutospacing="1" w:after="100" w:afterAutospacing="1"/>
      <w:jc w:val="left"/>
    </w:pPr>
    <w:rPr>
      <w:rFonts w:ascii="宋体" w:hAnsi="宋体" w:cs="宋体"/>
      <w:kern w:val="0"/>
      <w:sz w:val="24"/>
      <w:szCs w:val="24"/>
    </w:rPr>
  </w:style>
  <w:style w:type="paragraph" w:customStyle="1" w:styleId="xl61">
    <w:name w:val="xl61"/>
    <w:basedOn w:val="a"/>
    <w:autoRedefine/>
    <w:uiPriority w:val="99"/>
    <w:qFormat/>
    <w:pPr>
      <w:widowControl/>
      <w:pBdr>
        <w:bottom w:val="single" w:sz="4" w:space="0" w:color="auto"/>
      </w:pBdr>
      <w:spacing w:before="100" w:beforeAutospacing="1" w:after="100" w:afterAutospacing="1"/>
      <w:jc w:val="center"/>
    </w:pPr>
    <w:rPr>
      <w:rFonts w:eastAsia="Arial Unicode MS" w:cs="Times New Roman"/>
      <w:kern w:val="0"/>
      <w:sz w:val="15"/>
      <w:szCs w:val="20"/>
    </w:rPr>
  </w:style>
  <w:style w:type="paragraph" w:customStyle="1" w:styleId="CharCharChar1Char">
    <w:name w:val="Char Char Char1 Char"/>
    <w:basedOn w:val="a"/>
    <w:autoRedefine/>
    <w:uiPriority w:val="99"/>
    <w:qFormat/>
    <w:rPr>
      <w:rFonts w:cs="Times New Roman"/>
      <w:sz w:val="24"/>
      <w:szCs w:val="20"/>
    </w:rPr>
  </w:style>
  <w:style w:type="paragraph" w:customStyle="1" w:styleId="font7">
    <w:name w:val="font7"/>
    <w:basedOn w:val="a"/>
    <w:autoRedefine/>
    <w:uiPriority w:val="99"/>
    <w:qFormat/>
    <w:pPr>
      <w:widowControl/>
      <w:spacing w:before="100" w:beforeAutospacing="1" w:after="100" w:afterAutospacing="1"/>
      <w:jc w:val="left"/>
    </w:pPr>
    <w:rPr>
      <w:rFonts w:eastAsia="Arial Unicode MS" w:cs="Times New Roman"/>
      <w:kern w:val="0"/>
      <w:sz w:val="20"/>
      <w:szCs w:val="20"/>
    </w:rPr>
  </w:style>
  <w:style w:type="paragraph" w:customStyle="1" w:styleId="3CharCharChar">
    <w:name w:val="样式 标题 3 + 黑色 Char Char Char"/>
    <w:basedOn w:val="3"/>
    <w:autoRedefine/>
    <w:uiPriority w:val="99"/>
    <w:qFormat/>
    <w:pPr>
      <w:keepNext w:val="0"/>
      <w:keepLines w:val="0"/>
      <w:numPr>
        <w:ilvl w:val="0"/>
        <w:numId w:val="0"/>
      </w:numPr>
      <w:tabs>
        <w:tab w:val="left" w:pos="1260"/>
      </w:tabs>
      <w:spacing w:beforeLines="50" w:afterLines="50"/>
      <w:ind w:left="567" w:hanging="420"/>
      <w:jc w:val="both"/>
    </w:pPr>
    <w:rPr>
      <w:rFonts w:ascii="黑体" w:eastAsia="黑体" w:cs="Times New Roman"/>
      <w:color w:val="000000"/>
    </w:rPr>
  </w:style>
  <w:style w:type="paragraph" w:customStyle="1" w:styleId="CharCharCharCharCharCharChar0">
    <w:name w:val="Char Char Char Char Char Char Char"/>
    <w:basedOn w:val="a"/>
    <w:autoRedefine/>
    <w:uiPriority w:val="99"/>
    <w:qFormat/>
    <w:pPr>
      <w:adjustRightInd w:val="0"/>
      <w:snapToGrid w:val="0"/>
      <w:spacing w:line="360" w:lineRule="auto"/>
      <w:ind w:firstLineChars="200" w:firstLine="200"/>
    </w:pPr>
    <w:rPr>
      <w:rFonts w:cs="Times New Roman"/>
      <w:szCs w:val="20"/>
    </w:rPr>
  </w:style>
  <w:style w:type="paragraph" w:customStyle="1" w:styleId="xl33">
    <w:name w:val="xl33"/>
    <w:basedOn w:val="a"/>
    <w:autoRedefine/>
    <w:uiPriority w:val="99"/>
    <w:qFormat/>
    <w:pPr>
      <w:widowControl/>
      <w:pBdr>
        <w:bottom w:val="single" w:sz="4" w:space="0" w:color="auto"/>
        <w:right w:val="single" w:sz="4" w:space="0" w:color="auto"/>
      </w:pBdr>
      <w:shd w:val="clear" w:color="auto" w:fill="FFFFFF"/>
      <w:spacing w:before="100" w:beforeAutospacing="1" w:after="100" w:afterAutospacing="1"/>
      <w:jc w:val="center"/>
    </w:pPr>
    <w:rPr>
      <w:rFonts w:eastAsia="Arial Unicode MS" w:cs="Times New Roman"/>
      <w:kern w:val="0"/>
      <w:sz w:val="24"/>
      <w:szCs w:val="20"/>
    </w:rPr>
  </w:style>
  <w:style w:type="paragraph" w:customStyle="1" w:styleId="Char26">
    <w:name w:val="Char2"/>
    <w:basedOn w:val="a"/>
    <w:autoRedefine/>
    <w:uiPriority w:val="99"/>
    <w:qFormat/>
    <w:rPr>
      <w:rFonts w:cs="Times New Roman"/>
      <w:szCs w:val="24"/>
    </w:rPr>
  </w:style>
  <w:style w:type="paragraph" w:customStyle="1" w:styleId="affffffffffff6">
    <w:name w:val="基准页眉样式"/>
    <w:basedOn w:val="af"/>
    <w:autoRedefine/>
    <w:uiPriority w:val="99"/>
    <w:qFormat/>
    <w:pPr>
      <w:kinsoku/>
      <w:adjustRightInd/>
      <w:spacing w:after="0" w:line="360" w:lineRule="auto"/>
      <w:jc w:val="center"/>
      <w:textAlignment w:val="auto"/>
    </w:pPr>
    <w:rPr>
      <w:kern w:val="0"/>
      <w:sz w:val="24"/>
      <w:szCs w:val="20"/>
    </w:rPr>
  </w:style>
  <w:style w:type="paragraph" w:customStyle="1" w:styleId="3311134">
    <w:name w:val="样式 标题 3标题3小标题1.1.1标题 3 + 段后: 4 磅"/>
    <w:basedOn w:val="3"/>
    <w:autoRedefine/>
    <w:uiPriority w:val="99"/>
    <w:qFormat/>
    <w:pPr>
      <w:keepLines w:val="0"/>
      <w:widowControl/>
      <w:numPr>
        <w:ilvl w:val="0"/>
        <w:numId w:val="0"/>
      </w:numPr>
      <w:spacing w:after="80"/>
      <w:ind w:left="1245" w:hanging="720"/>
    </w:pPr>
    <w:rPr>
      <w:rFonts w:cs="宋体"/>
      <w:bCs w:val="0"/>
      <w:snapToGrid w:val="0"/>
      <w:color w:val="0000FF"/>
      <w:spacing w:val="-5"/>
      <w:kern w:val="28"/>
      <w:szCs w:val="20"/>
    </w:rPr>
  </w:style>
  <w:style w:type="paragraph" w:customStyle="1" w:styleId="font9">
    <w:name w:val="font9"/>
    <w:basedOn w:val="a"/>
    <w:autoRedefine/>
    <w:uiPriority w:val="99"/>
    <w:qFormat/>
    <w:pPr>
      <w:widowControl/>
      <w:spacing w:before="100" w:beforeAutospacing="1" w:after="100" w:afterAutospacing="1"/>
      <w:jc w:val="left"/>
    </w:pPr>
    <w:rPr>
      <w:rFonts w:eastAsia="Arial Unicode MS" w:cs="Times New Roman"/>
      <w:color w:val="000000"/>
      <w:kern w:val="0"/>
      <w:szCs w:val="20"/>
    </w:rPr>
  </w:style>
  <w:style w:type="paragraph" w:customStyle="1" w:styleId="2ff0">
    <w:name w:val="样式 标题 2 + (中文) 宋体"/>
    <w:basedOn w:val="20"/>
    <w:autoRedefine/>
    <w:uiPriority w:val="99"/>
    <w:qFormat/>
    <w:pPr>
      <w:keepNext w:val="0"/>
      <w:keepLines w:val="0"/>
      <w:numPr>
        <w:ilvl w:val="0"/>
        <w:numId w:val="0"/>
      </w:numPr>
      <w:tabs>
        <w:tab w:val="left" w:pos="576"/>
      </w:tabs>
      <w:adjustRightInd w:val="0"/>
      <w:snapToGrid w:val="0"/>
      <w:spacing w:before="0" w:after="0"/>
      <w:ind w:left="567" w:hanging="567"/>
    </w:pPr>
    <w:rPr>
      <w:rFonts w:cs="Times New Roman"/>
      <w:color w:val="000000"/>
      <w:kern w:val="0"/>
      <w:szCs w:val="28"/>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
    <w:autoRedefine/>
    <w:uiPriority w:val="99"/>
    <w:qFormat/>
    <w:rPr>
      <w:rFonts w:cs="Times New Roman"/>
      <w:szCs w:val="20"/>
    </w:rPr>
  </w:style>
  <w:style w:type="paragraph" w:customStyle="1" w:styleId="affffffffffff7">
    <w:name w:val="三级条标题"/>
    <w:basedOn w:val="affffffffffff8"/>
    <w:next w:val="a"/>
    <w:autoRedefine/>
    <w:uiPriority w:val="99"/>
    <w:qFormat/>
    <w:pPr>
      <w:outlineLvl w:val="4"/>
    </w:pPr>
  </w:style>
  <w:style w:type="paragraph" w:customStyle="1" w:styleId="affffffffffff8">
    <w:name w:val="二级条标题"/>
    <w:basedOn w:val="afffffffffff0"/>
    <w:next w:val="a"/>
    <w:autoRedefine/>
    <w:uiPriority w:val="99"/>
    <w:qFormat/>
    <w:pPr>
      <w:outlineLvl w:val="3"/>
    </w:pPr>
  </w:style>
  <w:style w:type="paragraph" w:customStyle="1" w:styleId="79">
    <w:name w:val="7表格(治)"/>
    <w:autoRedefine/>
    <w:uiPriority w:val="99"/>
    <w:qFormat/>
    <w:pPr>
      <w:jc w:val="center"/>
    </w:pPr>
    <w:rPr>
      <w:rFonts w:ascii="宋体" w:hAnsi="宋体"/>
      <w:color w:val="0000FF"/>
      <w:sz w:val="21"/>
    </w:rPr>
  </w:style>
  <w:style w:type="paragraph" w:customStyle="1" w:styleId="affffffffffff9">
    <w:name w:val="样式 加粗 居中"/>
    <w:basedOn w:val="a"/>
    <w:autoRedefine/>
    <w:uiPriority w:val="99"/>
    <w:qFormat/>
    <w:pPr>
      <w:jc w:val="center"/>
    </w:pPr>
    <w:rPr>
      <w:rFonts w:cs="宋体"/>
      <w:b/>
      <w:bCs/>
      <w:szCs w:val="21"/>
    </w:rPr>
  </w:style>
  <w:style w:type="paragraph" w:customStyle="1" w:styleId="a90">
    <w:name w:val="a9"/>
    <w:basedOn w:val="a"/>
    <w:autoRedefine/>
    <w:uiPriority w:val="99"/>
    <w:qFormat/>
    <w:pPr>
      <w:widowControl/>
      <w:spacing w:before="100" w:beforeAutospacing="1" w:after="100" w:afterAutospacing="1"/>
      <w:jc w:val="left"/>
    </w:pPr>
    <w:rPr>
      <w:rFonts w:ascii="宋体" w:hAnsi="宋体" w:cs="Times New Roman"/>
      <w:color w:val="000000"/>
      <w:kern w:val="0"/>
      <w:sz w:val="24"/>
      <w:szCs w:val="24"/>
    </w:rPr>
  </w:style>
  <w:style w:type="paragraph" w:customStyle="1" w:styleId="1fff">
    <w:name w:val="+列表1"/>
    <w:basedOn w:val="a"/>
    <w:autoRedefine/>
    <w:uiPriority w:val="99"/>
    <w:qFormat/>
    <w:pPr>
      <w:jc w:val="center"/>
    </w:pPr>
    <w:rPr>
      <w:rFonts w:cs="Times New Roman"/>
      <w:szCs w:val="21"/>
    </w:rPr>
  </w:style>
  <w:style w:type="paragraph" w:customStyle="1" w:styleId="3330505661">
    <w:name w:val="样式 样式 样式 标题 3标题 33 + 段前: 0.5 行 + 段前: 0.5 行 + 段前: 6 磅 段后: 6 磅1"/>
    <w:basedOn w:val="3330505"/>
    <w:autoRedefine/>
    <w:uiPriority w:val="99"/>
    <w:qFormat/>
  </w:style>
  <w:style w:type="paragraph" w:customStyle="1" w:styleId="223">
    <w:name w:val="样式 样式 首行缩进:  2 字符 + 首行缩进:  2 字符"/>
    <w:basedOn w:val="a"/>
    <w:link w:val="22Char1"/>
    <w:autoRedefine/>
    <w:qFormat/>
    <w:pPr>
      <w:spacing w:line="360" w:lineRule="auto"/>
      <w:ind w:firstLineChars="200" w:firstLine="200"/>
    </w:pPr>
    <w:rPr>
      <w:rFonts w:cs="Times New Roman"/>
      <w:szCs w:val="20"/>
    </w:rPr>
  </w:style>
  <w:style w:type="character" w:customStyle="1" w:styleId="22Char1">
    <w:name w:val="样式 样式 首行缩进:  2 字符 + 首行缩进:  2 字符 Char"/>
    <w:link w:val="223"/>
    <w:autoRedefine/>
    <w:qFormat/>
    <w:rPr>
      <w:kern w:val="2"/>
      <w:sz w:val="21"/>
    </w:rPr>
  </w:style>
  <w:style w:type="paragraph" w:customStyle="1" w:styleId="affffffffffffa">
    <w:name w:val="段落"/>
    <w:basedOn w:val="a"/>
    <w:autoRedefine/>
    <w:uiPriority w:val="99"/>
    <w:qFormat/>
    <w:pPr>
      <w:tabs>
        <w:tab w:val="left" w:pos="1021"/>
      </w:tabs>
      <w:adjustRightInd w:val="0"/>
      <w:spacing w:line="360" w:lineRule="auto"/>
      <w:ind w:leftChars="34" w:left="71" w:firstLineChars="200" w:firstLine="560"/>
    </w:pPr>
    <w:rPr>
      <w:rFonts w:ascii="宋体" w:hAnsi="宋体" w:cs="Times New Roman"/>
      <w:kern w:val="24"/>
      <w:sz w:val="28"/>
      <w:szCs w:val="28"/>
    </w:rPr>
  </w:style>
  <w:style w:type="paragraph" w:customStyle="1" w:styleId="affffffffffffb">
    <w:name w:val="五级条标题"/>
    <w:basedOn w:val="affffffffffffc"/>
    <w:next w:val="a"/>
    <w:autoRedefine/>
    <w:uiPriority w:val="99"/>
    <w:qFormat/>
    <w:pPr>
      <w:ind w:left="360" w:hanging="360"/>
      <w:outlineLvl w:val="6"/>
    </w:pPr>
  </w:style>
  <w:style w:type="paragraph" w:customStyle="1" w:styleId="affffffffffffc">
    <w:name w:val="四级条标题"/>
    <w:basedOn w:val="affffffffffff7"/>
    <w:next w:val="a"/>
    <w:autoRedefine/>
    <w:uiPriority w:val="99"/>
    <w:qFormat/>
    <w:pPr>
      <w:outlineLvl w:val="5"/>
    </w:pPr>
  </w:style>
  <w:style w:type="paragraph" w:customStyle="1" w:styleId="17050515">
    <w:name w:val="样式 标题 1标题7章 + 自动设置 段前: 0.5 行 段后: 0.5 行 行距: 1.5 倍行距"/>
    <w:basedOn w:val="affff"/>
    <w:next w:val="a"/>
    <w:autoRedefine/>
    <w:uiPriority w:val="99"/>
    <w:qFormat/>
    <w:pPr>
      <w:spacing w:afterLines="50" w:line="360" w:lineRule="auto"/>
    </w:pPr>
    <w:rPr>
      <w:sz w:val="44"/>
    </w:rPr>
  </w:style>
  <w:style w:type="paragraph" w:customStyle="1" w:styleId="xl69">
    <w:name w:val="xl69"/>
    <w:basedOn w:val="a"/>
    <w:autoRedefine/>
    <w:uiPriority w:val="99"/>
    <w:qFormat/>
    <w:pPr>
      <w:widowControl/>
      <w:pBdr>
        <w:bottom w:val="single" w:sz="8" w:space="0" w:color="auto"/>
        <w:right w:val="single" w:sz="4" w:space="0" w:color="auto"/>
      </w:pBdr>
      <w:spacing w:before="100" w:beforeAutospacing="1" w:after="100" w:afterAutospacing="1"/>
      <w:jc w:val="center"/>
    </w:pPr>
    <w:rPr>
      <w:rFonts w:ascii="Arial Unicode MS" w:eastAsia="Arial Unicode MS" w:hAnsi="Arial Unicode MS" w:cs="Times New Roman"/>
      <w:kern w:val="0"/>
      <w:sz w:val="18"/>
      <w:szCs w:val="20"/>
    </w:rPr>
  </w:style>
  <w:style w:type="paragraph" w:customStyle="1" w:styleId="2ff1">
    <w:name w:val="样式 正文文字一 + 左侧:  2 字符"/>
    <w:basedOn w:val="a"/>
    <w:autoRedefine/>
    <w:uiPriority w:val="99"/>
    <w:qFormat/>
    <w:pPr>
      <w:spacing w:line="520" w:lineRule="exact"/>
      <w:ind w:firstLineChars="200" w:firstLine="200"/>
    </w:pPr>
    <w:rPr>
      <w:rFonts w:cs="宋体"/>
      <w:sz w:val="24"/>
      <w:szCs w:val="20"/>
    </w:rPr>
  </w:style>
  <w:style w:type="paragraph" w:customStyle="1" w:styleId="5c">
    <w:name w:val="样式 标题 5 + 自动设置"/>
    <w:basedOn w:val="5"/>
    <w:autoRedefine/>
    <w:uiPriority w:val="99"/>
    <w:qFormat/>
    <w:pPr>
      <w:keepNext w:val="0"/>
      <w:keepLines w:val="0"/>
      <w:numPr>
        <w:ilvl w:val="0"/>
        <w:numId w:val="0"/>
      </w:numPr>
      <w:spacing w:line="500" w:lineRule="exact"/>
      <w:ind w:firstLineChars="200" w:firstLine="200"/>
      <w:jc w:val="left"/>
    </w:pPr>
    <w:rPr>
      <w:rFonts w:cs="Times New Roman"/>
      <w:bCs w:val="0"/>
      <w:kern w:val="0"/>
      <w:sz w:val="28"/>
    </w:rPr>
  </w:style>
  <w:style w:type="paragraph" w:customStyle="1" w:styleId="affffffffffffd">
    <w:name w:val="图表文字"/>
    <w:basedOn w:val="a"/>
    <w:next w:val="a"/>
    <w:autoRedefine/>
    <w:uiPriority w:val="99"/>
    <w:qFormat/>
    <w:pPr>
      <w:adjustRightInd w:val="0"/>
      <w:snapToGrid w:val="0"/>
      <w:jc w:val="center"/>
    </w:pPr>
    <w:rPr>
      <w:rFonts w:eastAsia="仿宋_GB2312" w:cs="Times New Roman"/>
      <w:sz w:val="24"/>
      <w:szCs w:val="20"/>
    </w:rPr>
  </w:style>
  <w:style w:type="paragraph" w:customStyle="1" w:styleId="1fff0">
    <w:name w:val="1"/>
    <w:basedOn w:val="a"/>
    <w:next w:val="afffd"/>
    <w:autoRedefine/>
    <w:uiPriority w:val="99"/>
    <w:qFormat/>
    <w:rPr>
      <w:rFonts w:cs="Times New Roman"/>
      <w:sz w:val="24"/>
      <w:szCs w:val="20"/>
    </w:rPr>
  </w:style>
  <w:style w:type="paragraph" w:customStyle="1" w:styleId="1fff1">
    <w:name w:val="表式1"/>
    <w:basedOn w:val="a"/>
    <w:autoRedefine/>
    <w:uiPriority w:val="99"/>
    <w:qFormat/>
    <w:pPr>
      <w:adjustRightInd w:val="0"/>
      <w:spacing w:line="0" w:lineRule="atLeast"/>
      <w:jc w:val="left"/>
      <w:textAlignment w:val="baseline"/>
    </w:pPr>
    <w:rPr>
      <w:rFonts w:ascii="Arial" w:eastAsia="MingLiU" w:hAnsi="Arial" w:cs="Times New Roman"/>
      <w:b/>
      <w:kern w:val="0"/>
      <w:sz w:val="24"/>
      <w:szCs w:val="20"/>
      <w:lang w:eastAsia="zh-TW"/>
    </w:rPr>
  </w:style>
  <w:style w:type="paragraph" w:customStyle="1" w:styleId="affffffffffffe">
    <w:name w:val="正文 + 宋体"/>
    <w:basedOn w:val="a"/>
    <w:autoRedefine/>
    <w:uiPriority w:val="99"/>
    <w:qFormat/>
    <w:pPr>
      <w:spacing w:line="600" w:lineRule="exact"/>
    </w:pPr>
    <w:rPr>
      <w:rFonts w:ascii="宋体" w:hAnsi="宋体" w:cs="Times New Roman"/>
      <w:bCs/>
      <w:sz w:val="24"/>
      <w:szCs w:val="24"/>
    </w:rPr>
  </w:style>
  <w:style w:type="paragraph" w:customStyle="1" w:styleId="66">
    <w:name w:val="6'"/>
    <w:basedOn w:val="a"/>
    <w:autoRedefine/>
    <w:uiPriority w:val="99"/>
    <w:qFormat/>
    <w:pPr>
      <w:autoSpaceDE w:val="0"/>
      <w:autoSpaceDN w:val="0"/>
      <w:adjustRightInd w:val="0"/>
      <w:snapToGrid w:val="0"/>
      <w:spacing w:line="320" w:lineRule="exact"/>
      <w:jc w:val="center"/>
      <w:textAlignment w:val="baseline"/>
    </w:pPr>
    <w:rPr>
      <w:rFonts w:cs="Times New Roman"/>
      <w:spacing w:val="20"/>
      <w:kern w:val="28"/>
      <w:sz w:val="24"/>
      <w:szCs w:val="20"/>
    </w:rPr>
  </w:style>
  <w:style w:type="paragraph" w:customStyle="1" w:styleId="0003">
    <w:name w:val="0003"/>
    <w:basedOn w:val="3"/>
    <w:autoRedefine/>
    <w:uiPriority w:val="99"/>
    <w:qFormat/>
    <w:pPr>
      <w:keepNext w:val="0"/>
      <w:keepLines w:val="0"/>
      <w:numPr>
        <w:ilvl w:val="0"/>
        <w:numId w:val="0"/>
      </w:numPr>
      <w:spacing w:beforeLines="100"/>
      <w:ind w:left="1245" w:hanging="720"/>
    </w:pPr>
    <w:rPr>
      <w:rFonts w:ascii="宋体" w:cs="Times New Roman"/>
      <w:b w:val="0"/>
      <w:snapToGrid w:val="0"/>
      <w:color w:val="0000FF"/>
      <w:kern w:val="0"/>
      <w:szCs w:val="24"/>
    </w:rPr>
  </w:style>
  <w:style w:type="paragraph" w:customStyle="1" w:styleId="3330505605">
    <w:name w:val="样式 样式 样式 标题 3标题 33 + 段前: 0.5 行 + 段前: 0.5 行 + 段前: 6 磅 段后: 0.5 行"/>
    <w:basedOn w:val="3330505"/>
    <w:autoRedefine/>
    <w:uiPriority w:val="99"/>
    <w:qFormat/>
  </w:style>
  <w:style w:type="paragraph" w:customStyle="1" w:styleId="afffffffffffff">
    <w:name w:val="五号表格"/>
    <w:basedOn w:val="a"/>
    <w:autoRedefine/>
    <w:uiPriority w:val="99"/>
    <w:qFormat/>
    <w:pPr>
      <w:spacing w:line="240" w:lineRule="atLeast"/>
      <w:jc w:val="center"/>
    </w:pPr>
    <w:rPr>
      <w:rFonts w:cs="Times New Roman"/>
      <w:szCs w:val="24"/>
    </w:rPr>
  </w:style>
  <w:style w:type="paragraph" w:customStyle="1" w:styleId="311">
    <w:name w:val="正文311"/>
    <w:basedOn w:val="12"/>
    <w:autoRedefine/>
    <w:uiPriority w:val="99"/>
    <w:qFormat/>
    <w:pPr>
      <w:keepNext w:val="0"/>
      <w:autoSpaceDE w:val="0"/>
      <w:autoSpaceDN w:val="0"/>
      <w:spacing w:after="160" w:line="440" w:lineRule="exact"/>
      <w:ind w:left="567" w:firstLineChars="0" w:hanging="340"/>
      <w:textAlignment w:val="bottom"/>
    </w:pPr>
    <w:rPr>
      <w:rFonts w:cs="Times New Roman"/>
      <w:color w:val="000000"/>
      <w:sz w:val="28"/>
      <w:szCs w:val="20"/>
    </w:rPr>
  </w:style>
  <w:style w:type="paragraph" w:customStyle="1" w:styleId="afffffffffffff0">
    <w:name w:val="已有表格"/>
    <w:basedOn w:val="a"/>
    <w:autoRedefine/>
    <w:uiPriority w:val="99"/>
    <w:qFormat/>
    <w:pPr>
      <w:adjustRightInd w:val="0"/>
      <w:spacing w:before="40" w:after="40"/>
      <w:jc w:val="center"/>
      <w:textAlignment w:val="baseline"/>
    </w:pPr>
    <w:rPr>
      <w:rFonts w:cs="Times New Roman"/>
      <w:b/>
      <w:kern w:val="0"/>
      <w:sz w:val="24"/>
      <w:szCs w:val="20"/>
    </w:rPr>
  </w:style>
  <w:style w:type="paragraph" w:customStyle="1" w:styleId="afffffffffffff1">
    <w:name w:val="正文一"/>
    <w:basedOn w:val="a"/>
    <w:autoRedefine/>
    <w:uiPriority w:val="99"/>
    <w:qFormat/>
    <w:pPr>
      <w:adjustRightInd w:val="0"/>
      <w:spacing w:line="520" w:lineRule="exact"/>
      <w:ind w:firstLineChars="200" w:firstLine="200"/>
      <w:textAlignment w:val="baseline"/>
    </w:pPr>
    <w:rPr>
      <w:rFonts w:ascii="宋体" w:hAnsi="宋体" w:cs="Times New Roman"/>
      <w:kern w:val="0"/>
      <w:sz w:val="24"/>
      <w:szCs w:val="20"/>
    </w:rPr>
  </w:style>
  <w:style w:type="paragraph" w:customStyle="1" w:styleId="CharCharCharCharChar2Char">
    <w:name w:val="Char Char Char Char Char2 Char"/>
    <w:basedOn w:val="a"/>
    <w:autoRedefine/>
    <w:uiPriority w:val="99"/>
    <w:qFormat/>
    <w:pPr>
      <w:adjustRightInd w:val="0"/>
      <w:snapToGrid w:val="0"/>
      <w:spacing w:line="360" w:lineRule="auto"/>
      <w:ind w:firstLineChars="200" w:firstLine="200"/>
    </w:pPr>
    <w:rPr>
      <w:rFonts w:cs="Times New Roman"/>
      <w:sz w:val="28"/>
      <w:szCs w:val="20"/>
    </w:rPr>
  </w:style>
  <w:style w:type="paragraph" w:customStyle="1" w:styleId="afffffffffffff2">
    <w:name w:val="表芯"/>
    <w:basedOn w:val="a"/>
    <w:next w:val="a"/>
    <w:autoRedefine/>
    <w:uiPriority w:val="99"/>
    <w:qFormat/>
    <w:pPr>
      <w:keepNext/>
      <w:adjustRightInd w:val="0"/>
      <w:spacing w:before="20" w:line="0" w:lineRule="atLeast"/>
      <w:jc w:val="center"/>
      <w:textAlignment w:val="baseline"/>
    </w:pPr>
    <w:rPr>
      <w:rFonts w:ascii="宋体" w:cs="Times New Roman"/>
      <w:kern w:val="21"/>
      <w:sz w:val="24"/>
      <w:szCs w:val="20"/>
    </w:rPr>
  </w:style>
  <w:style w:type="paragraph" w:customStyle="1" w:styleId="CharChar6CharChar1CharCharCharChar">
    <w:name w:val="Char Char6 Char Char1 Char Char Char Char"/>
    <w:basedOn w:val="a"/>
    <w:autoRedefine/>
    <w:uiPriority w:val="99"/>
    <w:semiHidden/>
    <w:qFormat/>
    <w:pPr>
      <w:adjustRightInd w:val="0"/>
      <w:snapToGrid w:val="0"/>
      <w:spacing w:line="360" w:lineRule="auto"/>
      <w:ind w:firstLineChars="200" w:firstLine="200"/>
    </w:pPr>
    <w:rPr>
      <w:rFonts w:cs="Times New Roman"/>
      <w:sz w:val="24"/>
      <w:szCs w:val="24"/>
    </w:rPr>
  </w:style>
  <w:style w:type="paragraph" w:customStyle="1" w:styleId="afffffffffffff3">
    <w:name w:val="二章表格标题"/>
    <w:basedOn w:val="a"/>
    <w:autoRedefine/>
    <w:uiPriority w:val="99"/>
    <w:qFormat/>
    <w:pPr>
      <w:spacing w:line="360" w:lineRule="auto"/>
      <w:jc w:val="center"/>
    </w:pPr>
    <w:rPr>
      <w:rFonts w:eastAsia="黑体" w:cs="Times New Roman"/>
      <w:sz w:val="24"/>
      <w:szCs w:val="20"/>
    </w:rPr>
  </w:style>
  <w:style w:type="paragraph" w:customStyle="1" w:styleId="afffffffffffff4">
    <w:name w:val="附录"/>
    <w:basedOn w:val="1"/>
    <w:next w:val="a"/>
    <w:autoRedefine/>
    <w:uiPriority w:val="99"/>
    <w:qFormat/>
    <w:pPr>
      <w:widowControl/>
      <w:numPr>
        <w:numId w:val="0"/>
      </w:numPr>
      <w:adjustRightInd w:val="0"/>
      <w:spacing w:line="240" w:lineRule="auto"/>
    </w:pPr>
    <w:rPr>
      <w:rFonts w:cs="Times New Roman"/>
      <w:bCs w:val="0"/>
      <w:snapToGrid w:val="0"/>
      <w:color w:val="0000FF"/>
      <w:spacing w:val="-10"/>
      <w:kern w:val="28"/>
      <w:sz w:val="30"/>
      <w:szCs w:val="20"/>
    </w:rPr>
  </w:style>
  <w:style w:type="paragraph" w:customStyle="1" w:styleId="67">
    <w:name w:val="6表(图)头(治)"/>
    <w:next w:val="a"/>
    <w:autoRedefine/>
    <w:uiPriority w:val="99"/>
    <w:qFormat/>
    <w:pPr>
      <w:widowControl w:val="0"/>
      <w:adjustRightInd w:val="0"/>
      <w:snapToGrid w:val="0"/>
      <w:jc w:val="center"/>
    </w:pPr>
    <w:rPr>
      <w:rFonts w:hAnsi="宋体"/>
      <w:sz w:val="21"/>
      <w:szCs w:val="21"/>
    </w:rPr>
  </w:style>
  <w:style w:type="paragraph" w:customStyle="1" w:styleId="xl31">
    <w:name w:val="xl31"/>
    <w:basedOn w:val="a"/>
    <w:autoRedefine/>
    <w:uiPriority w:val="99"/>
    <w:qFormat/>
    <w:pPr>
      <w:widowControl/>
      <w:pBdr>
        <w:top w:val="single" w:sz="4" w:space="0" w:color="auto"/>
        <w:bottom w:val="single" w:sz="4" w:space="0" w:color="auto"/>
      </w:pBdr>
      <w:spacing w:before="100" w:beforeAutospacing="1" w:after="100" w:afterAutospacing="1"/>
      <w:jc w:val="center"/>
      <w:textAlignment w:val="center"/>
    </w:pPr>
    <w:rPr>
      <w:rFonts w:ascii="宋体" w:cs="Times New Roman"/>
      <w:kern w:val="0"/>
      <w:sz w:val="16"/>
      <w:szCs w:val="20"/>
    </w:rPr>
  </w:style>
  <w:style w:type="paragraph" w:customStyle="1" w:styleId="CharCharChar1CharCharCharCharCharCharCharCharCharCharCharCharChar">
    <w:name w:val="Char Char Char1 Char Char Char Char Char Char Char Char Char Char Char Char Char"/>
    <w:basedOn w:val="a"/>
    <w:autoRedefine/>
    <w:uiPriority w:val="99"/>
    <w:qFormat/>
    <w:rPr>
      <w:rFonts w:cs="Times New Roman"/>
      <w:sz w:val="24"/>
      <w:szCs w:val="24"/>
    </w:rPr>
  </w:style>
  <w:style w:type="paragraph" w:customStyle="1" w:styleId="0007">
    <w:name w:val="0007小四 居中"/>
    <w:basedOn w:val="a"/>
    <w:autoRedefine/>
    <w:uiPriority w:val="99"/>
    <w:qFormat/>
    <w:pPr>
      <w:widowControl/>
      <w:autoSpaceDE w:val="0"/>
      <w:autoSpaceDN w:val="0"/>
      <w:adjustRightInd w:val="0"/>
      <w:spacing w:line="500" w:lineRule="exact"/>
      <w:jc w:val="center"/>
    </w:pPr>
    <w:rPr>
      <w:rFonts w:ascii="宋体" w:hAnsi="宋体" w:cs="Times New Roman"/>
      <w:sz w:val="24"/>
      <w:szCs w:val="24"/>
    </w:rPr>
  </w:style>
  <w:style w:type="paragraph" w:customStyle="1" w:styleId="CharCharf2">
    <w:name w:val="表题 Char Char"/>
    <w:basedOn w:val="a"/>
    <w:autoRedefine/>
    <w:uiPriority w:val="99"/>
    <w:qFormat/>
    <w:pPr>
      <w:keepNext/>
      <w:keepLines/>
      <w:spacing w:before="120" w:line="360" w:lineRule="auto"/>
      <w:jc w:val="center"/>
    </w:pPr>
    <w:rPr>
      <w:rFonts w:ascii="宋体" w:hAnsi="宋体" w:cs="Times New Roman" w:hint="eastAsia"/>
      <w:b/>
      <w:sz w:val="24"/>
      <w:szCs w:val="20"/>
    </w:rPr>
  </w:style>
  <w:style w:type="paragraph" w:customStyle="1" w:styleId="180">
    <w:name w:val="样式18"/>
    <w:basedOn w:val="a"/>
    <w:autoRedefine/>
    <w:uiPriority w:val="99"/>
    <w:qFormat/>
    <w:pPr>
      <w:tabs>
        <w:tab w:val="left" w:pos="480"/>
      </w:tabs>
      <w:spacing w:line="300" w:lineRule="exact"/>
      <w:ind w:leftChars="-50" w:left="-120" w:rightChars="-50" w:right="-50"/>
      <w:jc w:val="center"/>
    </w:pPr>
    <w:rPr>
      <w:rFonts w:eastAsia="华文中宋" w:cs="Times New Roman"/>
      <w:color w:val="000000"/>
      <w:szCs w:val="20"/>
    </w:rPr>
  </w:style>
  <w:style w:type="paragraph" w:customStyle="1" w:styleId="4CharChar">
    <w:name w:val="4 Char Char"/>
    <w:basedOn w:val="a"/>
    <w:autoRedefine/>
    <w:uiPriority w:val="99"/>
    <w:qFormat/>
    <w:pPr>
      <w:autoSpaceDE w:val="0"/>
      <w:autoSpaceDN w:val="0"/>
      <w:adjustRightInd w:val="0"/>
      <w:snapToGrid w:val="0"/>
      <w:spacing w:line="360" w:lineRule="auto"/>
      <w:ind w:firstLine="567"/>
      <w:jc w:val="left"/>
    </w:pPr>
    <w:rPr>
      <w:rFonts w:cs="Times New Roman"/>
      <w:sz w:val="28"/>
      <w:szCs w:val="20"/>
    </w:rPr>
  </w:style>
  <w:style w:type="paragraph" w:customStyle="1" w:styleId="xl46">
    <w:name w:val="xl46"/>
    <w:basedOn w:val="a"/>
    <w:autoRedefine/>
    <w:uiPriority w:val="99"/>
    <w:qFormat/>
    <w:pPr>
      <w:widowControl/>
      <w:pBdr>
        <w:top w:val="single" w:sz="4" w:space="0" w:color="auto"/>
        <w:left w:val="single" w:sz="8" w:space="0" w:color="auto"/>
        <w:right w:val="single" w:sz="4" w:space="0" w:color="auto"/>
      </w:pBdr>
      <w:spacing w:before="100" w:beforeAutospacing="1" w:after="100" w:afterAutospacing="1"/>
      <w:jc w:val="center"/>
    </w:pPr>
    <w:rPr>
      <w:rFonts w:ascii="Arial Unicode MS" w:eastAsia="Arial Unicode MS" w:hAnsi="Arial Unicode MS" w:cs="Times New Roman"/>
      <w:kern w:val="0"/>
      <w:sz w:val="18"/>
      <w:szCs w:val="20"/>
    </w:rPr>
  </w:style>
  <w:style w:type="paragraph" w:customStyle="1" w:styleId="edri-titlesecong">
    <w:name w:val="edri-title secong"/>
    <w:basedOn w:val="a"/>
    <w:autoRedefine/>
    <w:uiPriority w:val="99"/>
    <w:qFormat/>
    <w:pPr>
      <w:tabs>
        <w:tab w:val="left" w:pos="2"/>
        <w:tab w:val="left" w:pos="945"/>
      </w:tabs>
      <w:spacing w:beforeLines="50" w:line="300" w:lineRule="auto"/>
      <w:ind w:left="966" w:hanging="964"/>
      <w:outlineLvl w:val="1"/>
    </w:pPr>
    <w:rPr>
      <w:rFonts w:ascii="Arial Narrow" w:hAnsi="Arial Narrow" w:cs="Times New Roman"/>
      <w:b/>
      <w:bCs/>
      <w:kern w:val="0"/>
      <w:sz w:val="28"/>
      <w:szCs w:val="20"/>
    </w:rPr>
  </w:style>
  <w:style w:type="paragraph" w:customStyle="1" w:styleId="300">
    <w:name w:val="样式 标题 3 + 四号 段前: 0 磅 段后: 0 磅 行距: 单倍行距"/>
    <w:basedOn w:val="3"/>
    <w:autoRedefine/>
    <w:uiPriority w:val="99"/>
    <w:qFormat/>
    <w:pPr>
      <w:numPr>
        <w:ilvl w:val="0"/>
        <w:numId w:val="0"/>
      </w:numPr>
      <w:adjustRightInd/>
      <w:snapToGrid/>
      <w:spacing w:line="240" w:lineRule="auto"/>
      <w:ind w:left="1245" w:hanging="720"/>
      <w:jc w:val="both"/>
    </w:pPr>
    <w:rPr>
      <w:rFonts w:cs="宋体"/>
      <w:snapToGrid w:val="0"/>
      <w:sz w:val="28"/>
      <w:szCs w:val="28"/>
    </w:rPr>
  </w:style>
  <w:style w:type="paragraph" w:customStyle="1" w:styleId="xl83">
    <w:name w:val="xl83"/>
    <w:basedOn w:val="a"/>
    <w:autoRedefine/>
    <w:uiPriority w:val="99"/>
    <w:qFormat/>
    <w:pPr>
      <w:widowControl/>
      <w:pBdr>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kern w:val="0"/>
      <w:sz w:val="20"/>
      <w:szCs w:val="20"/>
    </w:rPr>
  </w:style>
  <w:style w:type="paragraph" w:customStyle="1" w:styleId="2I">
    <w:name w:val="列表 2I"/>
    <w:basedOn w:val="24"/>
    <w:autoRedefine/>
    <w:uiPriority w:val="99"/>
    <w:qFormat/>
    <w:pPr>
      <w:tabs>
        <w:tab w:val="left" w:pos="737"/>
      </w:tabs>
      <w:adjustRightInd/>
      <w:spacing w:beforeLines="0" w:beforeAutospacing="1" w:after="100" w:afterAutospacing="1" w:line="288" w:lineRule="auto"/>
      <w:ind w:left="737" w:hanging="567"/>
      <w:textAlignment w:val="auto"/>
    </w:pPr>
    <w:rPr>
      <w:rFonts w:ascii="Courier New" w:hAnsi="Courier New" w:cs="仿宋_GB2312"/>
      <w:color w:val="FFFF99"/>
      <w:kern w:val="2"/>
    </w:rPr>
  </w:style>
  <w:style w:type="paragraph" w:customStyle="1" w:styleId="CharCharCharCharCharCharCharCharCharCharCharCharCharCharCharCharCharChar">
    <w:name w:val="Char Char Char Char Char Char Char Char Char Char Char Char Char Char Char Char Char Char"/>
    <w:basedOn w:val="a"/>
    <w:autoRedefine/>
    <w:uiPriority w:val="99"/>
    <w:qFormat/>
    <w:rPr>
      <w:rFonts w:ascii="宋体" w:cs="Times New Roman"/>
      <w:sz w:val="24"/>
      <w:szCs w:val="20"/>
    </w:rPr>
  </w:style>
  <w:style w:type="paragraph" w:customStyle="1" w:styleId="afffffffffffff5">
    <w:name w:val="表后注解"/>
    <w:basedOn w:val="a"/>
    <w:autoRedefine/>
    <w:uiPriority w:val="99"/>
    <w:qFormat/>
    <w:pPr>
      <w:spacing w:line="300" w:lineRule="atLeast"/>
    </w:pPr>
    <w:rPr>
      <w:rFonts w:ascii="楷体_GB2312" w:eastAsia="楷体_GB2312" w:hAnsi="宋体" w:cs="Times New Roman"/>
      <w:bCs/>
      <w:color w:val="000000"/>
      <w:sz w:val="20"/>
      <w:szCs w:val="20"/>
    </w:rPr>
  </w:style>
  <w:style w:type="paragraph" w:customStyle="1" w:styleId="edri-AtitleChar1">
    <w:name w:val="edri-A title Char1"/>
    <w:basedOn w:val="edri-titlethirdChar1"/>
    <w:next w:val="edri-titlethirdChar1"/>
    <w:autoRedefine/>
    <w:uiPriority w:val="99"/>
    <w:qFormat/>
    <w:pPr>
      <w:tabs>
        <w:tab w:val="left" w:pos="851"/>
      </w:tabs>
      <w:ind w:left="851" w:hanging="851"/>
      <w:outlineLvl w:val="3"/>
    </w:pPr>
  </w:style>
  <w:style w:type="paragraph" w:customStyle="1" w:styleId="edri-titlethirdChar1">
    <w:name w:val="edri-title third Char1"/>
    <w:basedOn w:val="a"/>
    <w:autoRedefine/>
    <w:uiPriority w:val="99"/>
    <w:qFormat/>
    <w:pPr>
      <w:tabs>
        <w:tab w:val="left" w:pos="0"/>
        <w:tab w:val="left" w:pos="945"/>
      </w:tabs>
      <w:spacing w:beforeLines="50" w:line="300" w:lineRule="auto"/>
      <w:ind w:left="964" w:hanging="964"/>
      <w:outlineLvl w:val="2"/>
    </w:pPr>
    <w:rPr>
      <w:rFonts w:cs="Times New Roman"/>
      <w:bCs/>
      <w:kern w:val="0"/>
      <w:sz w:val="24"/>
      <w:szCs w:val="24"/>
    </w:rPr>
  </w:style>
  <w:style w:type="paragraph" w:customStyle="1" w:styleId="text3">
    <w:name w:val="text3"/>
    <w:basedOn w:val="a"/>
    <w:autoRedefine/>
    <w:uiPriority w:val="99"/>
    <w:qFormat/>
    <w:pPr>
      <w:widowControl/>
      <w:spacing w:before="100" w:beforeAutospacing="1" w:after="100" w:afterAutospacing="1" w:line="300" w:lineRule="atLeast"/>
      <w:jc w:val="left"/>
    </w:pPr>
    <w:rPr>
      <w:rFonts w:ascii="宋体" w:hAnsi="宋体" w:cs="Times New Roman"/>
      <w:color w:val="000000"/>
      <w:kern w:val="0"/>
      <w:sz w:val="24"/>
      <w:szCs w:val="24"/>
    </w:rPr>
  </w:style>
  <w:style w:type="paragraph" w:customStyle="1" w:styleId="122">
    <w:name w:val="12"/>
    <w:basedOn w:val="a"/>
    <w:autoRedefine/>
    <w:uiPriority w:val="99"/>
    <w:qFormat/>
    <w:rPr>
      <w:rFonts w:cs="Times New Roman"/>
      <w:szCs w:val="21"/>
    </w:rPr>
  </w:style>
  <w:style w:type="paragraph" w:customStyle="1" w:styleId="4e">
    <w:name w:val="4"/>
    <w:basedOn w:val="a"/>
    <w:next w:val="ab"/>
    <w:autoRedefine/>
    <w:uiPriority w:val="99"/>
    <w:qFormat/>
    <w:pPr>
      <w:adjustRightInd w:val="0"/>
      <w:snapToGrid w:val="0"/>
      <w:spacing w:line="360" w:lineRule="auto"/>
      <w:ind w:firstLine="480"/>
    </w:pPr>
    <w:rPr>
      <w:rFonts w:cs="Times New Roman"/>
      <w:kern w:val="0"/>
      <w:sz w:val="24"/>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
    <w:autoRedefine/>
    <w:uiPriority w:val="99"/>
    <w:qFormat/>
    <w:rPr>
      <w:rFonts w:cs="Times New Roman"/>
      <w:szCs w:val="24"/>
    </w:rPr>
  </w:style>
  <w:style w:type="paragraph" w:customStyle="1" w:styleId="xl52">
    <w:name w:val="xl52"/>
    <w:basedOn w:val="a"/>
    <w:autoRedefine/>
    <w:uiPriority w:val="99"/>
    <w:qFormat/>
    <w:pPr>
      <w:widowControl/>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Times New Roman"/>
      <w:kern w:val="0"/>
      <w:sz w:val="18"/>
      <w:szCs w:val="20"/>
    </w:rPr>
  </w:style>
  <w:style w:type="paragraph" w:customStyle="1" w:styleId="CharCharChar1CharCharChar1CharCharChar">
    <w:name w:val="Char Char Char1 Char Char Char1 Char Char Char"/>
    <w:basedOn w:val="a"/>
    <w:autoRedefine/>
    <w:uiPriority w:val="99"/>
    <w:qFormat/>
    <w:rPr>
      <w:rFonts w:cs="Times New Roman"/>
      <w:szCs w:val="21"/>
    </w:rPr>
  </w:style>
  <w:style w:type="paragraph" w:customStyle="1" w:styleId="XCHG">
    <w:name w:val="XCHG论文节"/>
    <w:basedOn w:val="a"/>
    <w:autoRedefine/>
    <w:uiPriority w:val="99"/>
    <w:qFormat/>
    <w:pPr>
      <w:tabs>
        <w:tab w:val="left" w:pos="750"/>
      </w:tabs>
      <w:spacing w:beforeLines="100" w:afterLines="100"/>
    </w:pPr>
    <w:rPr>
      <w:rFonts w:ascii="方正姚体" w:eastAsia="方正姚体" w:cs="Times New Roman"/>
      <w:b/>
      <w:sz w:val="36"/>
      <w:szCs w:val="20"/>
    </w:rPr>
  </w:style>
  <w:style w:type="paragraph" w:customStyle="1" w:styleId="xl45">
    <w:name w:val="xl45"/>
    <w:basedOn w:val="a"/>
    <w:autoRedefine/>
    <w:uiPriority w:val="99"/>
    <w:qFormat/>
    <w:pPr>
      <w:widowControl/>
      <w:pBdr>
        <w:left w:val="single" w:sz="8" w:space="0" w:color="auto"/>
        <w:bottom w:val="single" w:sz="8" w:space="0" w:color="auto"/>
      </w:pBdr>
      <w:spacing w:before="100" w:beforeAutospacing="1" w:after="100" w:afterAutospacing="1"/>
      <w:jc w:val="center"/>
    </w:pPr>
    <w:rPr>
      <w:rFonts w:ascii="Arial Unicode MS" w:eastAsia="Arial Unicode MS" w:hAnsi="Arial Unicode MS" w:cs="Times New Roman"/>
      <w:kern w:val="0"/>
      <w:sz w:val="18"/>
      <w:szCs w:val="20"/>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
    <w:next w:val="a"/>
    <w:autoRedefine/>
    <w:uiPriority w:val="99"/>
    <w:qFormat/>
    <w:pPr>
      <w:pBdr>
        <w:right w:val="single" w:sz="12" w:space="4" w:color="auto"/>
      </w:pBdr>
      <w:spacing w:line="360" w:lineRule="auto"/>
      <w:ind w:firstLineChars="200" w:firstLine="200"/>
    </w:pPr>
    <w:rPr>
      <w:rFonts w:ascii="宋体" w:hAnsi="宋体" w:cs="宋体"/>
      <w:sz w:val="24"/>
      <w:szCs w:val="24"/>
    </w:rPr>
  </w:style>
  <w:style w:type="paragraph" w:customStyle="1" w:styleId="xl40">
    <w:name w:val="xl40"/>
    <w:basedOn w:val="a"/>
    <w:autoRedefine/>
    <w:uiPriority w:val="99"/>
    <w:qFormat/>
    <w:pPr>
      <w:widowControl/>
      <w:pBdr>
        <w:bottom w:val="single" w:sz="4" w:space="0" w:color="auto"/>
        <w:right w:val="single" w:sz="4" w:space="0" w:color="auto"/>
      </w:pBdr>
      <w:spacing w:before="100" w:beforeAutospacing="1" w:after="100" w:afterAutospacing="1"/>
      <w:jc w:val="center"/>
    </w:pPr>
    <w:rPr>
      <w:rFonts w:eastAsia="Arial Unicode MS" w:cs="Times New Roman"/>
      <w:kern w:val="0"/>
      <w:sz w:val="18"/>
      <w:szCs w:val="20"/>
    </w:rPr>
  </w:style>
  <w:style w:type="paragraph" w:customStyle="1" w:styleId="xl68">
    <w:name w:val="xl68"/>
    <w:basedOn w:val="a"/>
    <w:autoRedefine/>
    <w:uiPriority w:val="99"/>
    <w:qFormat/>
    <w:pPr>
      <w:widowControl/>
      <w:pBdr>
        <w:top w:val="single" w:sz="8" w:space="0" w:color="auto"/>
        <w:right w:val="single" w:sz="4" w:space="0" w:color="auto"/>
      </w:pBdr>
      <w:spacing w:before="100" w:beforeAutospacing="1" w:after="100" w:afterAutospacing="1"/>
      <w:jc w:val="center"/>
    </w:pPr>
    <w:rPr>
      <w:rFonts w:ascii="Arial Unicode MS" w:eastAsia="Arial Unicode MS" w:hAnsi="Arial Unicode MS" w:cs="Times New Roman"/>
      <w:kern w:val="0"/>
      <w:sz w:val="18"/>
      <w:szCs w:val="20"/>
    </w:rPr>
  </w:style>
  <w:style w:type="paragraph" w:customStyle="1" w:styleId="afffffffffffff6">
    <w:name w:val="黑宋体"/>
    <w:basedOn w:val="4"/>
    <w:autoRedefine/>
    <w:uiPriority w:val="99"/>
    <w:qFormat/>
    <w:pPr>
      <w:numPr>
        <w:ilvl w:val="0"/>
        <w:numId w:val="0"/>
      </w:numPr>
      <w:tabs>
        <w:tab w:val="left" w:pos="864"/>
      </w:tabs>
      <w:textAlignment w:val="baseline"/>
      <w:outlineLvl w:val="9"/>
    </w:pPr>
    <w:rPr>
      <w:rFonts w:ascii="宋体" w:cs="Times New Roman"/>
      <w:b w:val="0"/>
      <w:bCs w:val="0"/>
      <w:snapToGrid w:val="0"/>
      <w:color w:val="000000"/>
      <w:kern w:val="0"/>
      <w:szCs w:val="20"/>
    </w:rPr>
  </w:style>
  <w:style w:type="paragraph" w:customStyle="1" w:styleId="xyb1">
    <w:name w:val="xyb四级标题"/>
    <w:basedOn w:val="a"/>
    <w:next w:val="xyb2"/>
    <w:autoRedefine/>
    <w:uiPriority w:val="99"/>
    <w:qFormat/>
    <w:pPr>
      <w:autoSpaceDE w:val="0"/>
      <w:autoSpaceDN w:val="0"/>
      <w:spacing w:beforeLines="50" w:line="360" w:lineRule="auto"/>
      <w:jc w:val="left"/>
    </w:pPr>
    <w:rPr>
      <w:rFonts w:ascii="宋体" w:cs="Times New Roman"/>
      <w:b/>
      <w:color w:val="000000"/>
      <w:kern w:val="24"/>
      <w:sz w:val="24"/>
      <w:szCs w:val="20"/>
    </w:rPr>
  </w:style>
  <w:style w:type="paragraph" w:customStyle="1" w:styleId="xyb2">
    <w:name w:val="xyb自建正文"/>
    <w:basedOn w:val="a"/>
    <w:autoRedefine/>
    <w:uiPriority w:val="99"/>
    <w:qFormat/>
    <w:pPr>
      <w:spacing w:line="360" w:lineRule="auto"/>
      <w:ind w:firstLineChars="200" w:firstLine="480"/>
      <w:textAlignment w:val="baseline"/>
    </w:pPr>
    <w:rPr>
      <w:rFonts w:cs="Times New Roman"/>
      <w:snapToGrid w:val="0"/>
      <w:color w:val="0000FF"/>
      <w:kern w:val="0"/>
      <w:sz w:val="24"/>
      <w:szCs w:val="20"/>
    </w:rPr>
  </w:style>
  <w:style w:type="paragraph" w:customStyle="1" w:styleId="3H31111113H31H32H33u33CharCharChar1">
    <w:name w:val="样式 标题 3H3条标题1.1.11.1.1标题 3H31H32H33u3标题 3 Char Char Char...1"/>
    <w:basedOn w:val="3"/>
    <w:autoRedefine/>
    <w:uiPriority w:val="99"/>
    <w:qFormat/>
    <w:pPr>
      <w:widowControl/>
      <w:numPr>
        <w:ilvl w:val="0"/>
        <w:numId w:val="0"/>
      </w:numPr>
      <w:adjustRightInd/>
      <w:snapToGrid/>
      <w:ind w:left="1260" w:hanging="420"/>
    </w:pPr>
    <w:rPr>
      <w:rFonts w:cs="Times New Roman"/>
      <w:kern w:val="28"/>
      <w:szCs w:val="24"/>
    </w:rPr>
  </w:style>
  <w:style w:type="paragraph" w:customStyle="1" w:styleId="1fff2">
    <w:name w:val="1表格头"/>
    <w:basedOn w:val="1fff3"/>
    <w:autoRedefine/>
    <w:uiPriority w:val="99"/>
    <w:qFormat/>
    <w:rPr>
      <w:sz w:val="24"/>
    </w:rPr>
  </w:style>
  <w:style w:type="paragraph" w:customStyle="1" w:styleId="1fff3">
    <w:name w:val="1表格"/>
    <w:basedOn w:val="a"/>
    <w:autoRedefine/>
    <w:uiPriority w:val="99"/>
    <w:qFormat/>
    <w:pPr>
      <w:snapToGrid w:val="0"/>
      <w:spacing w:line="160" w:lineRule="atLeast"/>
      <w:jc w:val="center"/>
    </w:pPr>
    <w:rPr>
      <w:rFonts w:eastAsia="仿宋_GB2312" w:cs="Times New Roman"/>
      <w:szCs w:val="20"/>
    </w:rPr>
  </w:style>
  <w:style w:type="paragraph" w:customStyle="1" w:styleId="xl53">
    <w:name w:val="xl53"/>
    <w:basedOn w:val="a"/>
    <w:autoRedefine/>
    <w:uiPriority w:val="99"/>
    <w:qFormat/>
    <w:pPr>
      <w:widowControl/>
      <w:pBdr>
        <w:left w:val="single" w:sz="4" w:space="0" w:color="auto"/>
        <w:right w:val="single" w:sz="4" w:space="0" w:color="auto"/>
      </w:pBdr>
      <w:spacing w:before="100" w:beforeAutospacing="1" w:after="100" w:afterAutospacing="1"/>
    </w:pPr>
    <w:rPr>
      <w:rFonts w:ascii="Arial Unicode MS" w:eastAsia="Arial Unicode MS" w:hAnsi="Arial Unicode MS" w:cs="Times New Roman"/>
      <w:kern w:val="0"/>
      <w:sz w:val="18"/>
      <w:szCs w:val="20"/>
    </w:rPr>
  </w:style>
  <w:style w:type="paragraph" w:customStyle="1" w:styleId="xl59">
    <w:name w:val="xl59"/>
    <w:basedOn w:val="a"/>
    <w:autoRedefine/>
    <w:uiPriority w:val="99"/>
    <w:qFormat/>
    <w:pPr>
      <w:widowControl/>
      <w:pBdr>
        <w:bottom w:val="single" w:sz="8" w:space="0" w:color="auto"/>
      </w:pBdr>
      <w:spacing w:before="100" w:beforeAutospacing="1" w:after="100" w:afterAutospacing="1"/>
      <w:jc w:val="center"/>
    </w:pPr>
    <w:rPr>
      <w:rFonts w:eastAsia="Arial Unicode MS" w:cs="Times New Roman"/>
      <w:kern w:val="0"/>
      <w:szCs w:val="20"/>
    </w:rPr>
  </w:style>
  <w:style w:type="paragraph" w:customStyle="1" w:styleId="xl54">
    <w:name w:val="xl54"/>
    <w:basedOn w:val="a"/>
    <w:autoRedefine/>
    <w:uiPriority w:val="99"/>
    <w:qFormat/>
    <w:pPr>
      <w:widowControl/>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Times New Roman"/>
      <w:kern w:val="0"/>
      <w:sz w:val="18"/>
      <w:szCs w:val="20"/>
    </w:rPr>
  </w:style>
  <w:style w:type="paragraph" w:customStyle="1" w:styleId="th1">
    <w:name w:val="th1"/>
    <w:basedOn w:val="a"/>
    <w:autoRedefine/>
    <w:uiPriority w:val="99"/>
    <w:qFormat/>
    <w:pPr>
      <w:widowControl/>
      <w:spacing w:before="100" w:beforeAutospacing="1" w:after="100" w:afterAutospacing="1"/>
      <w:jc w:val="left"/>
    </w:pPr>
    <w:rPr>
      <w:rFonts w:ascii="宋体" w:hAnsi="宋体" w:cs="Times New Roman"/>
      <w:kern w:val="0"/>
      <w:sz w:val="24"/>
      <w:szCs w:val="24"/>
    </w:rPr>
  </w:style>
  <w:style w:type="paragraph" w:customStyle="1" w:styleId="ParaCharCharCharChar">
    <w:name w:val="默认段落字体 Para Char Char Char Char"/>
    <w:basedOn w:val="a"/>
    <w:autoRedefine/>
    <w:uiPriority w:val="99"/>
    <w:qFormat/>
    <w:rPr>
      <w:rFonts w:cs="Times New Roman"/>
      <w:sz w:val="24"/>
      <w:szCs w:val="24"/>
    </w:rPr>
  </w:style>
  <w:style w:type="paragraph" w:customStyle="1" w:styleId="CharCharCharCharCharCharCharCharCharCharCharCharCharCharCharCharCharCharCharCharChar1Char">
    <w:name w:val="Char Char Char Char Char Char Char Char Char Char Char Char Char Char Char Char Char Char Char Char Char1 Char"/>
    <w:basedOn w:val="a"/>
    <w:autoRedefine/>
    <w:uiPriority w:val="99"/>
    <w:qFormat/>
    <w:pPr>
      <w:spacing w:line="360" w:lineRule="auto"/>
      <w:ind w:firstLineChars="200" w:firstLine="200"/>
    </w:pPr>
    <w:rPr>
      <w:rFonts w:ascii="宋体" w:hAnsi="宋体" w:cs="宋体"/>
      <w:sz w:val="24"/>
      <w:szCs w:val="24"/>
    </w:rPr>
  </w:style>
  <w:style w:type="paragraph" w:customStyle="1" w:styleId="afffffffffffff7">
    <w:name w:val="表头文字"/>
    <w:basedOn w:val="a"/>
    <w:link w:val="Charffb"/>
    <w:autoRedefine/>
    <w:qFormat/>
    <w:pPr>
      <w:adjustRightInd w:val="0"/>
      <w:spacing w:after="120" w:line="420" w:lineRule="atLeast"/>
      <w:jc w:val="center"/>
      <w:textAlignment w:val="baseline"/>
    </w:pPr>
    <w:rPr>
      <w:rFonts w:cs="Times New Roman"/>
      <w:kern w:val="0"/>
      <w:sz w:val="24"/>
      <w:szCs w:val="20"/>
    </w:rPr>
  </w:style>
  <w:style w:type="character" w:customStyle="1" w:styleId="Charffb">
    <w:name w:val="表头文字 Char"/>
    <w:link w:val="afffffffffffff7"/>
    <w:autoRedefine/>
    <w:qFormat/>
    <w:rPr>
      <w:sz w:val="24"/>
    </w:rPr>
  </w:style>
  <w:style w:type="paragraph" w:customStyle="1" w:styleId="afffffffffffff8">
    <w:name w:val="文本框"/>
    <w:basedOn w:val="a"/>
    <w:autoRedefine/>
    <w:uiPriority w:val="99"/>
    <w:qFormat/>
    <w:pPr>
      <w:jc w:val="center"/>
    </w:pPr>
    <w:rPr>
      <w:rFonts w:cs="Times New Roman"/>
      <w:sz w:val="24"/>
      <w:szCs w:val="24"/>
    </w:rPr>
  </w:style>
  <w:style w:type="paragraph" w:customStyle="1" w:styleId="CM36">
    <w:name w:val="CM36"/>
    <w:basedOn w:val="Default"/>
    <w:next w:val="Default"/>
    <w:autoRedefine/>
    <w:uiPriority w:val="99"/>
    <w:qFormat/>
    <w:pPr>
      <w:spacing w:after="150"/>
      <w:jc w:val="left"/>
    </w:pPr>
    <w:rPr>
      <w:rFonts w:ascii="宋体" w:eastAsia="宋体" w:hAnsi="Times New Roman" w:cs="Times New Roman"/>
      <w:color w:val="auto"/>
      <w:kern w:val="0"/>
    </w:rPr>
  </w:style>
  <w:style w:type="paragraph" w:customStyle="1" w:styleId="afffffffffffff9">
    <w:name w:val="公式"/>
    <w:next w:val="a"/>
    <w:autoRedefine/>
    <w:uiPriority w:val="99"/>
    <w:qFormat/>
    <w:pPr>
      <w:jc w:val="center"/>
    </w:pPr>
    <w:rPr>
      <w:kern w:val="2"/>
      <w:position w:val="-24"/>
      <w:sz w:val="21"/>
    </w:rPr>
  </w:style>
  <w:style w:type="paragraph" w:customStyle="1" w:styleId="4G">
    <w:name w:val="列表 4G"/>
    <w:basedOn w:val="46"/>
    <w:autoRedefine/>
    <w:uiPriority w:val="99"/>
    <w:qFormat/>
    <w:pPr>
      <w:tabs>
        <w:tab w:val="left" w:pos="645"/>
      </w:tabs>
      <w:adjustRightInd/>
      <w:spacing w:afterLines="30" w:line="288" w:lineRule="auto"/>
      <w:ind w:left="645" w:hanging="645"/>
      <w:textAlignment w:val="auto"/>
    </w:pPr>
    <w:rPr>
      <w:rFonts w:ascii="Courier New" w:hAnsi="Courier New" w:cs="仿宋_GB2312"/>
      <w:color w:val="CCFFFF"/>
      <w:kern w:val="2"/>
    </w:rPr>
  </w:style>
  <w:style w:type="paragraph" w:customStyle="1" w:styleId="4f">
    <w:name w:val="正文4"/>
    <w:basedOn w:val="a"/>
    <w:autoRedefine/>
    <w:uiPriority w:val="99"/>
    <w:qFormat/>
    <w:pPr>
      <w:autoSpaceDE w:val="0"/>
      <w:autoSpaceDN w:val="0"/>
      <w:spacing w:after="160" w:line="440" w:lineRule="exact"/>
      <w:ind w:left="567" w:hanging="567"/>
      <w:textAlignment w:val="bottom"/>
    </w:pPr>
    <w:rPr>
      <w:rFonts w:cs="Times New Roman"/>
      <w:sz w:val="28"/>
      <w:szCs w:val="20"/>
    </w:rPr>
  </w:style>
  <w:style w:type="paragraph" w:customStyle="1" w:styleId="afffffffffffffa">
    <w:name w:val="表格小四"/>
    <w:basedOn w:val="a"/>
    <w:autoRedefine/>
    <w:uiPriority w:val="99"/>
    <w:qFormat/>
    <w:pPr>
      <w:jc w:val="center"/>
    </w:pPr>
    <w:rPr>
      <w:rFonts w:cs="Times New Roman"/>
      <w:sz w:val="24"/>
      <w:szCs w:val="20"/>
    </w:rPr>
  </w:style>
  <w:style w:type="paragraph" w:customStyle="1" w:styleId="225TimesNewRoman2">
    <w:name w:val="样式 样式 黑色 首行缩进:  2 字符 行距: 固定值 25 磅 + Times New Roman 首行缩进:  2 字符"/>
    <w:basedOn w:val="a"/>
    <w:autoRedefine/>
    <w:uiPriority w:val="99"/>
    <w:qFormat/>
    <w:pPr>
      <w:spacing w:line="580" w:lineRule="exact"/>
      <w:ind w:firstLineChars="200" w:firstLine="200"/>
    </w:pPr>
    <w:rPr>
      <w:rFonts w:eastAsia="仿宋_GB2312" w:cs="宋体"/>
      <w:b/>
      <w:bCs/>
      <w:color w:val="000000"/>
      <w:sz w:val="28"/>
      <w:szCs w:val="20"/>
    </w:rPr>
  </w:style>
  <w:style w:type="paragraph" w:customStyle="1" w:styleId="CharCharChar10">
    <w:name w:val="Char Char Char1"/>
    <w:basedOn w:val="a"/>
    <w:autoRedefine/>
    <w:uiPriority w:val="99"/>
    <w:qFormat/>
    <w:pPr>
      <w:spacing w:line="360" w:lineRule="auto"/>
      <w:ind w:firstLineChars="200" w:firstLine="200"/>
    </w:pPr>
    <w:rPr>
      <w:rFonts w:ascii="宋体" w:hAnsi="宋体" w:cs="Times New Roman"/>
      <w:sz w:val="24"/>
      <w:szCs w:val="20"/>
    </w:rPr>
  </w:style>
  <w:style w:type="paragraph" w:customStyle="1" w:styleId="xl62">
    <w:name w:val="xl62"/>
    <w:basedOn w:val="a"/>
    <w:autoRedefine/>
    <w:uiPriority w:val="99"/>
    <w:qFormat/>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Times New Roman"/>
      <w:kern w:val="0"/>
      <w:sz w:val="18"/>
      <w:szCs w:val="20"/>
    </w:rPr>
  </w:style>
  <w:style w:type="paragraph" w:customStyle="1" w:styleId="afffffffffffffb">
    <w:name w:val="图目"/>
    <w:basedOn w:val="a"/>
    <w:autoRedefine/>
    <w:uiPriority w:val="99"/>
    <w:qFormat/>
    <w:pPr>
      <w:adjustRightInd w:val="0"/>
      <w:spacing w:line="360" w:lineRule="atLeast"/>
      <w:jc w:val="center"/>
      <w:textAlignment w:val="baseline"/>
    </w:pPr>
    <w:rPr>
      <w:rFonts w:cs="Times New Roman"/>
      <w:kern w:val="0"/>
      <w:sz w:val="24"/>
      <w:szCs w:val="20"/>
    </w:rPr>
  </w:style>
  <w:style w:type="paragraph" w:customStyle="1" w:styleId="xl35">
    <w:name w:val="xl35"/>
    <w:basedOn w:val="a"/>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Times New Roman"/>
      <w:kern w:val="0"/>
      <w:sz w:val="24"/>
      <w:szCs w:val="20"/>
    </w:rPr>
  </w:style>
  <w:style w:type="paragraph" w:customStyle="1" w:styleId="Bt1">
    <w:name w:val="Bt1"/>
    <w:basedOn w:val="1"/>
    <w:next w:val="Zw"/>
    <w:autoRedefine/>
    <w:uiPriority w:val="99"/>
    <w:qFormat/>
    <w:pPr>
      <w:widowControl/>
      <w:numPr>
        <w:numId w:val="0"/>
      </w:numPr>
      <w:adjustRightInd w:val="0"/>
    </w:pPr>
    <w:rPr>
      <w:rFonts w:ascii="黑体" w:eastAsia="黑体" w:cs="Times New Roman"/>
      <w:b w:val="0"/>
      <w:bCs w:val="0"/>
      <w:snapToGrid w:val="0"/>
      <w:color w:val="000000"/>
      <w:kern w:val="0"/>
      <w:sz w:val="44"/>
      <w:szCs w:val="20"/>
    </w:rPr>
  </w:style>
  <w:style w:type="paragraph" w:customStyle="1" w:styleId="Zw">
    <w:name w:val="Zw"/>
    <w:basedOn w:val="a"/>
    <w:next w:val="a"/>
    <w:autoRedefine/>
    <w:uiPriority w:val="99"/>
    <w:qFormat/>
    <w:pPr>
      <w:spacing w:line="360" w:lineRule="auto"/>
      <w:ind w:firstLineChars="200" w:firstLine="200"/>
    </w:pPr>
    <w:rPr>
      <w:rFonts w:ascii="宋体" w:cs="Times New Roman"/>
      <w:sz w:val="24"/>
      <w:szCs w:val="20"/>
    </w:rPr>
  </w:style>
  <w:style w:type="paragraph" w:customStyle="1" w:styleId="261">
    <w:name w:val="样式 标题 2 + 段前: 6 磅"/>
    <w:basedOn w:val="20"/>
    <w:autoRedefine/>
    <w:uiPriority w:val="99"/>
    <w:qFormat/>
    <w:pPr>
      <w:keepNext w:val="0"/>
      <w:keepLines w:val="0"/>
      <w:numPr>
        <w:ilvl w:val="0"/>
        <w:numId w:val="0"/>
      </w:numPr>
      <w:tabs>
        <w:tab w:val="left" w:pos="450"/>
      </w:tabs>
      <w:adjustRightInd w:val="0"/>
      <w:snapToGrid w:val="0"/>
      <w:spacing w:before="0" w:after="0"/>
      <w:ind w:left="567" w:hanging="567"/>
    </w:pPr>
    <w:rPr>
      <w:rFonts w:eastAsia="黑体" w:cs="宋体"/>
      <w:bCs w:val="0"/>
      <w:color w:val="000000"/>
      <w:kern w:val="0"/>
      <w:sz w:val="24"/>
    </w:rPr>
  </w:style>
  <w:style w:type="paragraph" w:customStyle="1" w:styleId="xl48">
    <w:name w:val="xl48"/>
    <w:basedOn w:val="a"/>
    <w:autoRedefine/>
    <w:uiPriority w:val="99"/>
    <w:qFormat/>
    <w:pPr>
      <w:widowControl/>
      <w:spacing w:before="100" w:beforeAutospacing="1" w:after="100" w:afterAutospacing="1"/>
      <w:jc w:val="center"/>
    </w:pPr>
    <w:rPr>
      <w:rFonts w:eastAsia="Arial Unicode MS" w:cs="Times New Roman"/>
      <w:kern w:val="0"/>
      <w:sz w:val="15"/>
      <w:szCs w:val="20"/>
    </w:rPr>
  </w:style>
  <w:style w:type="paragraph" w:customStyle="1" w:styleId="a1a1aaA">
    <w:name w:val="項目:(一)[a]1.[a](1)[a]圈[a]A"/>
    <w:basedOn w:val="a"/>
    <w:autoRedefine/>
    <w:uiPriority w:val="99"/>
    <w:qFormat/>
    <w:pPr>
      <w:spacing w:line="320" w:lineRule="atLeast"/>
      <w:ind w:left="1548" w:hanging="289"/>
    </w:pPr>
    <w:rPr>
      <w:rFonts w:eastAsia="MingLiU" w:cs="Times New Roman"/>
      <w:sz w:val="22"/>
      <w:szCs w:val="20"/>
      <w:lang w:eastAsia="zh-TW"/>
    </w:rPr>
  </w:style>
  <w:style w:type="paragraph" w:customStyle="1" w:styleId="68">
    <w:name w:val="6"/>
    <w:basedOn w:val="a"/>
    <w:next w:val="afffd"/>
    <w:autoRedefine/>
    <w:uiPriority w:val="99"/>
    <w:qFormat/>
    <w:pPr>
      <w:widowControl/>
      <w:snapToGrid w:val="0"/>
      <w:spacing w:before="100" w:beforeAutospacing="1" w:after="100" w:afterAutospacing="1"/>
      <w:jc w:val="left"/>
    </w:pPr>
    <w:rPr>
      <w:rFonts w:ascii="Arial Unicode MS" w:eastAsia="Arial Unicode MS" w:hAnsi="Arial Unicode MS" w:cs="Arial Unicode MS"/>
      <w:color w:val="000000"/>
      <w:kern w:val="0"/>
      <w:szCs w:val="24"/>
    </w:rPr>
  </w:style>
  <w:style w:type="paragraph" w:customStyle="1" w:styleId="155">
    <w:name w:val="样式 小四 行距: 1.5 倍行距"/>
    <w:basedOn w:val="a"/>
    <w:autoRedefine/>
    <w:uiPriority w:val="99"/>
    <w:qFormat/>
    <w:pPr>
      <w:spacing w:line="360" w:lineRule="auto"/>
      <w:ind w:firstLineChars="200" w:firstLine="200"/>
    </w:pPr>
    <w:rPr>
      <w:rFonts w:cs="Times New Roman"/>
      <w:sz w:val="24"/>
      <w:szCs w:val="20"/>
    </w:rPr>
  </w:style>
  <w:style w:type="paragraph" w:customStyle="1" w:styleId="afffffffffffffc">
    <w:name w:val="附录四级条标题"/>
    <w:basedOn w:val="afffffffffffffd"/>
    <w:next w:val="a"/>
    <w:autoRedefine/>
    <w:uiPriority w:val="99"/>
    <w:qFormat/>
    <w:pPr>
      <w:tabs>
        <w:tab w:val="left" w:pos="960"/>
      </w:tabs>
      <w:ind w:left="960"/>
      <w:outlineLvl w:val="5"/>
    </w:pPr>
  </w:style>
  <w:style w:type="paragraph" w:customStyle="1" w:styleId="afffffffffffffd">
    <w:name w:val="附录三级条标题"/>
    <w:basedOn w:val="affffffffff9"/>
    <w:next w:val="a"/>
    <w:autoRedefine/>
    <w:uiPriority w:val="99"/>
    <w:qFormat/>
    <w:pPr>
      <w:tabs>
        <w:tab w:val="clear" w:pos="360"/>
        <w:tab w:val="left" w:pos="1068"/>
      </w:tabs>
      <w:ind w:left="1068"/>
      <w:outlineLvl w:val="4"/>
    </w:pPr>
  </w:style>
  <w:style w:type="paragraph" w:customStyle="1" w:styleId="5d">
    <w:name w:val="标题5"/>
    <w:basedOn w:val="a"/>
    <w:autoRedefine/>
    <w:uiPriority w:val="99"/>
    <w:qFormat/>
    <w:pPr>
      <w:spacing w:line="324" w:lineRule="auto"/>
      <w:ind w:firstLineChars="200" w:firstLine="480"/>
      <w:outlineLvl w:val="4"/>
    </w:pPr>
    <w:rPr>
      <w:rFonts w:ascii="宋体" w:hAnsi="宋体" w:cs="Times New Roman"/>
      <w:sz w:val="24"/>
      <w:szCs w:val="20"/>
    </w:rPr>
  </w:style>
  <w:style w:type="paragraph" w:customStyle="1" w:styleId="afffffffffffffe">
    <w:name w:val="正文样式"/>
    <w:basedOn w:val="a"/>
    <w:link w:val="Charffc"/>
    <w:autoRedefine/>
    <w:qFormat/>
    <w:pPr>
      <w:spacing w:line="360" w:lineRule="auto"/>
      <w:ind w:firstLineChars="200" w:firstLine="480"/>
    </w:pPr>
    <w:rPr>
      <w:rFonts w:ascii="宋体" w:hAnsi="宋体" w:cs="Times New Roman"/>
      <w:sz w:val="24"/>
      <w:szCs w:val="24"/>
    </w:rPr>
  </w:style>
  <w:style w:type="character" w:customStyle="1" w:styleId="Charffc">
    <w:name w:val="正文样式 Char"/>
    <w:link w:val="afffffffffffffe"/>
    <w:autoRedefine/>
    <w:qFormat/>
    <w:rPr>
      <w:rFonts w:ascii="宋体" w:hAnsi="宋体"/>
      <w:kern w:val="2"/>
      <w:sz w:val="24"/>
      <w:szCs w:val="24"/>
    </w:rPr>
  </w:style>
  <w:style w:type="paragraph" w:customStyle="1" w:styleId="XCHG0">
    <w:name w:val="XCHG论文正文"/>
    <w:basedOn w:val="a"/>
    <w:autoRedefine/>
    <w:uiPriority w:val="99"/>
    <w:qFormat/>
    <w:pPr>
      <w:tabs>
        <w:tab w:val="left" w:pos="1890"/>
      </w:tabs>
      <w:spacing w:line="288" w:lineRule="auto"/>
      <w:ind w:firstLineChars="200" w:firstLine="480"/>
    </w:pPr>
    <w:rPr>
      <w:rFonts w:cs="Times New Roman"/>
      <w:color w:val="000000"/>
      <w:sz w:val="24"/>
      <w:szCs w:val="20"/>
    </w:rPr>
  </w:style>
  <w:style w:type="paragraph" w:customStyle="1" w:styleId="p0">
    <w:name w:val="p0"/>
    <w:basedOn w:val="a"/>
    <w:autoRedefine/>
    <w:uiPriority w:val="99"/>
    <w:qFormat/>
    <w:pPr>
      <w:widowControl/>
    </w:pPr>
    <w:rPr>
      <w:rFonts w:cs="Times New Roman"/>
      <w:kern w:val="0"/>
      <w:szCs w:val="20"/>
    </w:rPr>
  </w:style>
  <w:style w:type="paragraph" w:customStyle="1" w:styleId="xl66">
    <w:name w:val="xl66"/>
    <w:basedOn w:val="a"/>
    <w:autoRedefine/>
    <w:uiPriority w:val="99"/>
    <w:qFormat/>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kern w:val="0"/>
      <w:sz w:val="18"/>
      <w:szCs w:val="20"/>
    </w:rPr>
  </w:style>
  <w:style w:type="paragraph" w:customStyle="1" w:styleId="2ff2">
    <w:name w:val="表格文字2"/>
    <w:basedOn w:val="a"/>
    <w:link w:val="2Char3"/>
    <w:autoRedefine/>
    <w:qFormat/>
    <w:pPr>
      <w:adjustRightInd w:val="0"/>
      <w:spacing w:before="60"/>
      <w:jc w:val="center"/>
      <w:textAlignment w:val="baseline"/>
    </w:pPr>
    <w:rPr>
      <w:rFonts w:ascii="宋体" w:cs="Times New Roman"/>
      <w:kern w:val="0"/>
      <w:sz w:val="24"/>
      <w:szCs w:val="20"/>
    </w:rPr>
  </w:style>
  <w:style w:type="character" w:customStyle="1" w:styleId="2Char3">
    <w:name w:val="表格文字2 Char"/>
    <w:link w:val="2ff2"/>
    <w:autoRedefine/>
    <w:qFormat/>
    <w:rPr>
      <w:rFonts w:ascii="宋体"/>
      <w:sz w:val="24"/>
    </w:rPr>
  </w:style>
  <w:style w:type="paragraph" w:customStyle="1" w:styleId="Bt32">
    <w:name w:val="样式 Bt3 + 加粗2"/>
    <w:basedOn w:val="3"/>
    <w:next w:val="a"/>
    <w:autoRedefine/>
    <w:uiPriority w:val="99"/>
    <w:qFormat/>
    <w:pPr>
      <w:numPr>
        <w:ilvl w:val="0"/>
        <w:numId w:val="0"/>
      </w:numPr>
      <w:adjustRightInd/>
      <w:snapToGrid/>
      <w:ind w:left="1245" w:hanging="720"/>
    </w:pPr>
    <w:rPr>
      <w:rFonts w:eastAsia="黑体" w:cs="Times New Roman"/>
      <w:b w:val="0"/>
      <w:bCs w:val="0"/>
      <w:snapToGrid w:val="0"/>
      <w:kern w:val="0"/>
      <w:szCs w:val="20"/>
    </w:rPr>
  </w:style>
  <w:style w:type="paragraph" w:customStyle="1" w:styleId="4I">
    <w:name w:val="列表 4I"/>
    <w:basedOn w:val="46"/>
    <w:autoRedefine/>
    <w:uiPriority w:val="99"/>
    <w:qFormat/>
    <w:pPr>
      <w:tabs>
        <w:tab w:val="left" w:pos="785"/>
      </w:tabs>
      <w:adjustRightInd/>
      <w:spacing w:afterLines="30" w:line="288" w:lineRule="auto"/>
      <w:ind w:left="0" w:firstLine="425"/>
      <w:textAlignment w:val="auto"/>
    </w:pPr>
    <w:rPr>
      <w:rFonts w:ascii="Courier New" w:hAnsi="Courier New" w:cs="仿宋_GB2312"/>
      <w:color w:val="CCFFFF"/>
      <w:kern w:val="2"/>
    </w:rPr>
  </w:style>
  <w:style w:type="paragraph" w:customStyle="1" w:styleId="Pa3">
    <w:name w:val="Pa3"/>
    <w:basedOn w:val="a"/>
    <w:next w:val="a"/>
    <w:autoRedefine/>
    <w:uiPriority w:val="99"/>
    <w:qFormat/>
    <w:pPr>
      <w:autoSpaceDE w:val="0"/>
      <w:autoSpaceDN w:val="0"/>
      <w:adjustRightInd w:val="0"/>
      <w:jc w:val="left"/>
    </w:pPr>
    <w:rPr>
      <w:rFonts w:ascii="MHei-Medium" w:eastAsia="MHei-Medium" w:cs="Times New Roman"/>
      <w:kern w:val="0"/>
      <w:sz w:val="20"/>
      <w:szCs w:val="24"/>
    </w:rPr>
  </w:style>
  <w:style w:type="paragraph" w:customStyle="1" w:styleId="116">
    <w:name w:val="1.1"/>
    <w:basedOn w:val="a"/>
    <w:autoRedefine/>
    <w:uiPriority w:val="99"/>
    <w:qFormat/>
    <w:pPr>
      <w:spacing w:beforeLines="50" w:afterLines="50" w:line="480" w:lineRule="exact"/>
      <w:ind w:firstLineChars="200" w:firstLine="200"/>
      <w:jc w:val="left"/>
      <w:outlineLvl w:val="0"/>
    </w:pPr>
    <w:rPr>
      <w:rFonts w:eastAsia="黑体" w:cs="Times New Roman"/>
      <w:b/>
      <w:sz w:val="30"/>
      <w:szCs w:val="20"/>
    </w:rPr>
  </w:style>
  <w:style w:type="paragraph" w:customStyle="1" w:styleId="affffffffffffff">
    <w:name w:val="表数"/>
    <w:basedOn w:val="a"/>
    <w:autoRedefine/>
    <w:uiPriority w:val="99"/>
    <w:qFormat/>
    <w:pPr>
      <w:spacing w:line="300" w:lineRule="atLeast"/>
      <w:jc w:val="center"/>
    </w:pPr>
    <w:rPr>
      <w:rFonts w:ascii="楷体_GB2312" w:eastAsia="楷体_GB2312" w:hAnsi="宋体" w:cs="Times New Roman"/>
      <w:color w:val="000000"/>
      <w:szCs w:val="24"/>
    </w:rPr>
  </w:style>
  <w:style w:type="paragraph" w:customStyle="1" w:styleId="Char4CharCharCharCharCharChar1">
    <w:name w:val="Char4 Char Char Char Char Char Char1"/>
    <w:basedOn w:val="a"/>
    <w:autoRedefine/>
    <w:uiPriority w:val="99"/>
    <w:qFormat/>
    <w:pPr>
      <w:spacing w:line="360" w:lineRule="auto"/>
      <w:ind w:firstLineChars="200" w:firstLine="200"/>
    </w:pPr>
    <w:rPr>
      <w:rFonts w:ascii="宋体" w:hAnsi="宋体" w:cs="宋体"/>
      <w:sz w:val="24"/>
      <w:szCs w:val="24"/>
    </w:rPr>
  </w:style>
  <w:style w:type="paragraph" w:customStyle="1" w:styleId="xl38">
    <w:name w:val="xl38"/>
    <w:basedOn w:val="a"/>
    <w:autoRedefine/>
    <w:uiPriority w:val="99"/>
    <w:qFormat/>
    <w:pPr>
      <w:widowControl/>
      <w:pBdr>
        <w:top w:val="single" w:sz="4" w:space="0" w:color="auto"/>
        <w:bottom w:val="single" w:sz="4" w:space="0" w:color="auto"/>
        <w:right w:val="single" w:sz="4" w:space="0" w:color="auto"/>
      </w:pBdr>
      <w:spacing w:before="100" w:beforeAutospacing="1" w:after="100" w:afterAutospacing="1"/>
      <w:jc w:val="center"/>
    </w:pPr>
    <w:rPr>
      <w:rFonts w:eastAsia="Arial Unicode MS" w:cs="Times New Roman"/>
      <w:kern w:val="0"/>
      <w:sz w:val="20"/>
      <w:szCs w:val="20"/>
    </w:rPr>
  </w:style>
  <w:style w:type="paragraph" w:customStyle="1" w:styleId="CharCharCharCharChar2Char11">
    <w:name w:val="Char Char Char Char Char2 Char11"/>
    <w:basedOn w:val="a"/>
    <w:autoRedefine/>
    <w:uiPriority w:val="99"/>
    <w:qFormat/>
    <w:pPr>
      <w:adjustRightInd w:val="0"/>
      <w:snapToGrid w:val="0"/>
      <w:spacing w:line="360" w:lineRule="auto"/>
      <w:ind w:firstLineChars="200" w:firstLine="200"/>
    </w:pPr>
    <w:rPr>
      <w:rFonts w:cs="宋体"/>
      <w:sz w:val="28"/>
      <w:szCs w:val="28"/>
    </w:rPr>
  </w:style>
  <w:style w:type="paragraph" w:customStyle="1" w:styleId="3000">
    <w:name w:val="样式 标题 3 + 左侧:  0 厘米 首行缩进:  0 厘米"/>
    <w:basedOn w:val="3"/>
    <w:autoRedefine/>
    <w:uiPriority w:val="99"/>
    <w:qFormat/>
    <w:pPr>
      <w:numPr>
        <w:ilvl w:val="0"/>
        <w:numId w:val="0"/>
      </w:numPr>
      <w:tabs>
        <w:tab w:val="left" w:pos="709"/>
      </w:tabs>
      <w:spacing w:beforeLines="50" w:afterLines="50"/>
      <w:ind w:left="709" w:hanging="709"/>
      <w:jc w:val="both"/>
      <w:textAlignment w:val="baseline"/>
    </w:pPr>
    <w:rPr>
      <w:rFonts w:ascii="黑体" w:eastAsia="黑体" w:cs="宋体"/>
      <w:b w:val="0"/>
      <w:bCs w:val="0"/>
      <w:kern w:val="32"/>
      <w:sz w:val="32"/>
    </w:rPr>
  </w:style>
  <w:style w:type="paragraph" w:customStyle="1" w:styleId="2ff3">
    <w:name w:val="样式 首行缩进:  2 字符"/>
    <w:basedOn w:val="a"/>
    <w:link w:val="2Char4"/>
    <w:autoRedefine/>
    <w:qFormat/>
    <w:pPr>
      <w:ind w:right="11" w:firstLineChars="200" w:firstLine="200"/>
    </w:pPr>
    <w:rPr>
      <w:rFonts w:cs="Times New Roman"/>
      <w:sz w:val="24"/>
      <w:szCs w:val="20"/>
    </w:rPr>
  </w:style>
  <w:style w:type="character" w:customStyle="1" w:styleId="2Char4">
    <w:name w:val="样式 首行缩进:  2 字符 Char"/>
    <w:link w:val="2ff3"/>
    <w:autoRedefine/>
    <w:qFormat/>
    <w:locked/>
    <w:rPr>
      <w:kern w:val="2"/>
      <w:sz w:val="24"/>
    </w:rPr>
  </w:style>
  <w:style w:type="paragraph" w:customStyle="1" w:styleId="1fff4">
    <w:name w:val="样式1"/>
    <w:basedOn w:val="a"/>
    <w:link w:val="1Char10"/>
    <w:autoRedefine/>
    <w:qFormat/>
    <w:pPr>
      <w:spacing w:line="360" w:lineRule="auto"/>
      <w:ind w:firstLineChars="200" w:firstLine="200"/>
    </w:pPr>
    <w:rPr>
      <w:rFonts w:cs="Times New Roman"/>
      <w:sz w:val="24"/>
      <w:szCs w:val="20"/>
    </w:rPr>
  </w:style>
  <w:style w:type="character" w:customStyle="1" w:styleId="1Char10">
    <w:name w:val="样式1 Char1"/>
    <w:link w:val="1fff4"/>
    <w:autoRedefine/>
    <w:qFormat/>
    <w:rPr>
      <w:kern w:val="2"/>
      <w:sz w:val="24"/>
    </w:rPr>
  </w:style>
  <w:style w:type="paragraph" w:customStyle="1" w:styleId="xl39">
    <w:name w:val="xl39"/>
    <w:basedOn w:val="a"/>
    <w:autoRedefine/>
    <w:uiPriority w:val="99"/>
    <w:qFormat/>
    <w:pPr>
      <w:widowControl/>
      <w:pBdr>
        <w:top w:val="single" w:sz="4" w:space="0" w:color="auto"/>
        <w:bottom w:val="single" w:sz="4" w:space="0" w:color="auto"/>
        <w:right w:val="single" w:sz="4" w:space="0" w:color="auto"/>
      </w:pBdr>
      <w:spacing w:before="100" w:beforeAutospacing="1" w:after="100" w:afterAutospacing="1"/>
      <w:jc w:val="center"/>
    </w:pPr>
    <w:rPr>
      <w:rFonts w:eastAsia="Arial Unicode MS" w:cs="Times New Roman"/>
      <w:kern w:val="0"/>
      <w:sz w:val="18"/>
      <w:szCs w:val="20"/>
    </w:rPr>
  </w:style>
  <w:style w:type="paragraph" w:customStyle="1" w:styleId="xl55">
    <w:name w:val="xl55"/>
    <w:basedOn w:val="a"/>
    <w:autoRedefine/>
    <w:uiPriority w:val="99"/>
    <w:qFormat/>
    <w:pPr>
      <w:widowControl/>
      <w:pBdr>
        <w:top w:val="single" w:sz="8" w:space="0" w:color="auto"/>
        <w:bottom w:val="single" w:sz="4" w:space="0" w:color="auto"/>
        <w:right w:val="single" w:sz="4" w:space="0" w:color="auto"/>
      </w:pBdr>
      <w:spacing w:before="100" w:beforeAutospacing="1" w:after="100" w:afterAutospacing="1"/>
      <w:jc w:val="center"/>
    </w:pPr>
    <w:rPr>
      <w:rFonts w:eastAsia="Arial Unicode MS" w:cs="Times New Roman"/>
      <w:kern w:val="0"/>
      <w:sz w:val="18"/>
      <w:szCs w:val="20"/>
    </w:rPr>
  </w:style>
  <w:style w:type="paragraph" w:customStyle="1" w:styleId="affffffffffffff0">
    <w:name w:val="报告表格"/>
    <w:basedOn w:val="a"/>
    <w:next w:val="affffff9"/>
    <w:link w:val="Charffd"/>
    <w:autoRedefine/>
    <w:uiPriority w:val="99"/>
    <w:qFormat/>
    <w:pPr>
      <w:autoSpaceDE w:val="0"/>
      <w:autoSpaceDN w:val="0"/>
      <w:adjustRightInd w:val="0"/>
      <w:spacing w:line="318" w:lineRule="atLeast"/>
      <w:jc w:val="center"/>
      <w:textAlignment w:val="bottom"/>
    </w:pPr>
    <w:rPr>
      <w:rFonts w:cs="Times New Roman"/>
      <w:kern w:val="0"/>
      <w:sz w:val="24"/>
      <w:szCs w:val="20"/>
    </w:rPr>
  </w:style>
  <w:style w:type="character" w:customStyle="1" w:styleId="Charffd">
    <w:name w:val="报告表格 Char"/>
    <w:link w:val="affffffffffffff0"/>
    <w:autoRedefine/>
    <w:uiPriority w:val="99"/>
    <w:qFormat/>
    <w:rPr>
      <w:sz w:val="24"/>
    </w:rPr>
  </w:style>
  <w:style w:type="character" w:customStyle="1" w:styleId="Charffe">
    <w:name w:val="图表标题 Char"/>
    <w:autoRedefine/>
    <w:qFormat/>
    <w:rPr>
      <w:rFonts w:ascii="Times New Roman" w:hAnsi="Times New Roman"/>
      <w:b/>
      <w:kern w:val="2"/>
      <w:sz w:val="24"/>
      <w:szCs w:val="24"/>
    </w:rPr>
  </w:style>
  <w:style w:type="paragraph" w:customStyle="1" w:styleId="affffffffffffff1">
    <w:name w:val="新正文样式"/>
    <w:basedOn w:val="a"/>
    <w:autoRedefine/>
    <w:uiPriority w:val="99"/>
    <w:qFormat/>
    <w:pPr>
      <w:tabs>
        <w:tab w:val="left" w:pos="567"/>
      </w:tabs>
      <w:spacing w:line="360" w:lineRule="auto"/>
      <w:ind w:firstLine="567"/>
    </w:pPr>
    <w:rPr>
      <w:rFonts w:cs="Times New Roman"/>
      <w:spacing w:val="20"/>
      <w:sz w:val="24"/>
      <w:szCs w:val="20"/>
    </w:rPr>
  </w:style>
  <w:style w:type="paragraph" w:customStyle="1" w:styleId="affffffffffffff2">
    <w:name w:val="表中"/>
    <w:link w:val="Charfff"/>
    <w:autoRedefine/>
    <w:qFormat/>
    <w:pPr>
      <w:spacing w:line="240" w:lineRule="atLeast"/>
      <w:jc w:val="center"/>
    </w:pPr>
    <w:rPr>
      <w:sz w:val="24"/>
    </w:rPr>
  </w:style>
  <w:style w:type="character" w:customStyle="1" w:styleId="Charfff">
    <w:name w:val="表中 Char"/>
    <w:link w:val="affffffffffffff2"/>
    <w:autoRedefine/>
    <w:qFormat/>
    <w:rPr>
      <w:sz w:val="24"/>
    </w:rPr>
  </w:style>
  <w:style w:type="paragraph" w:customStyle="1" w:styleId="Bt30">
    <w:name w:val="样式 Bt3 + 加粗"/>
    <w:basedOn w:val="3"/>
    <w:next w:val="a"/>
    <w:autoRedefine/>
    <w:uiPriority w:val="99"/>
    <w:qFormat/>
    <w:pPr>
      <w:numPr>
        <w:ilvl w:val="0"/>
        <w:numId w:val="0"/>
      </w:numPr>
      <w:adjustRightInd/>
      <w:snapToGrid/>
      <w:ind w:left="1245" w:hanging="720"/>
      <w:jc w:val="both"/>
    </w:pPr>
    <w:rPr>
      <w:rFonts w:eastAsia="黑体" w:cs="Times New Roman"/>
      <w:b w:val="0"/>
      <w:bCs w:val="0"/>
      <w:snapToGrid w:val="0"/>
      <w:kern w:val="0"/>
      <w:szCs w:val="20"/>
    </w:rPr>
  </w:style>
  <w:style w:type="paragraph" w:customStyle="1" w:styleId="2ff4">
    <w:name w:val="正文 + 首行缩进:  2 字符"/>
    <w:basedOn w:val="a"/>
    <w:autoRedefine/>
    <w:uiPriority w:val="99"/>
    <w:qFormat/>
    <w:pPr>
      <w:widowControl/>
      <w:spacing w:line="460" w:lineRule="exact"/>
      <w:ind w:firstLineChars="200" w:firstLine="480"/>
      <w:jc w:val="left"/>
    </w:pPr>
    <w:rPr>
      <w:rFonts w:ascii="宋体" w:hAnsi="宋体" w:cs="宋体"/>
      <w:kern w:val="0"/>
      <w:sz w:val="24"/>
      <w:szCs w:val="24"/>
    </w:rPr>
  </w:style>
  <w:style w:type="paragraph" w:customStyle="1" w:styleId="Web">
    <w:name w:val="普通 (Web)"/>
    <w:basedOn w:val="a"/>
    <w:autoRedefine/>
    <w:uiPriority w:val="99"/>
    <w:qFormat/>
    <w:pPr>
      <w:widowControl/>
      <w:spacing w:before="100" w:beforeAutospacing="1" w:after="100" w:afterAutospacing="1"/>
      <w:jc w:val="left"/>
    </w:pPr>
    <w:rPr>
      <w:rFonts w:ascii="宋体" w:hAnsi="宋体" w:cs="Times New Roman"/>
      <w:kern w:val="0"/>
      <w:sz w:val="24"/>
      <w:szCs w:val="24"/>
    </w:rPr>
  </w:style>
  <w:style w:type="paragraph" w:customStyle="1" w:styleId="xl51">
    <w:name w:val="xl51"/>
    <w:basedOn w:val="a"/>
    <w:autoRedefine/>
    <w:uiPriority w:val="99"/>
    <w:qFormat/>
    <w:pPr>
      <w:widowControl/>
      <w:pBdr>
        <w:top w:val="single" w:sz="4" w:space="0" w:color="auto"/>
        <w:right w:val="single" w:sz="4" w:space="0" w:color="auto"/>
      </w:pBdr>
      <w:spacing w:before="100" w:beforeAutospacing="1" w:after="100" w:afterAutospacing="1"/>
      <w:jc w:val="center"/>
    </w:pPr>
    <w:rPr>
      <w:rFonts w:ascii="新宋体" w:eastAsia="新宋体" w:hAnsi="新宋体" w:cs="Times New Roman" w:hint="eastAsia"/>
      <w:kern w:val="0"/>
      <w:sz w:val="18"/>
      <w:szCs w:val="20"/>
    </w:rPr>
  </w:style>
  <w:style w:type="paragraph" w:customStyle="1" w:styleId="ggbody">
    <w:name w:val="gg_body"/>
    <w:basedOn w:val="a"/>
    <w:autoRedefine/>
    <w:uiPriority w:val="99"/>
    <w:qFormat/>
    <w:pPr>
      <w:spacing w:line="460" w:lineRule="exact"/>
      <w:ind w:firstLine="200"/>
    </w:pPr>
    <w:rPr>
      <w:rFonts w:ascii="宋体" w:hAnsi="宋体" w:cs="Times New Roman"/>
      <w:sz w:val="24"/>
      <w:szCs w:val="20"/>
    </w:rPr>
  </w:style>
  <w:style w:type="paragraph" w:customStyle="1" w:styleId="2ff5">
    <w:name w:val="2"/>
    <w:basedOn w:val="a"/>
    <w:autoRedefine/>
    <w:uiPriority w:val="99"/>
    <w:qFormat/>
    <w:pPr>
      <w:spacing w:line="480" w:lineRule="exact"/>
      <w:ind w:firstLineChars="200" w:firstLine="480"/>
    </w:pPr>
    <w:rPr>
      <w:rFonts w:eastAsia="华文中宋" w:cs="Times New Roman"/>
      <w:sz w:val="24"/>
      <w:szCs w:val="20"/>
    </w:rPr>
  </w:style>
  <w:style w:type="paragraph" w:customStyle="1" w:styleId="Char1CharCharChar">
    <w:name w:val="Char1 Char Char Char"/>
    <w:basedOn w:val="a"/>
    <w:autoRedefine/>
    <w:uiPriority w:val="99"/>
    <w:qFormat/>
    <w:rPr>
      <w:rFonts w:cs="Times New Roman"/>
      <w:szCs w:val="20"/>
    </w:rPr>
  </w:style>
  <w:style w:type="paragraph" w:customStyle="1" w:styleId="2220">
    <w:name w:val="样式 样式 正文首行缩进 2 + 四号 首行缩进:  2 字符 + 首行缩进:  2 字符"/>
    <w:basedOn w:val="a"/>
    <w:autoRedefine/>
    <w:uiPriority w:val="99"/>
    <w:qFormat/>
    <w:pPr>
      <w:spacing w:line="360" w:lineRule="auto"/>
      <w:ind w:firstLineChars="200" w:firstLine="480"/>
    </w:pPr>
    <w:rPr>
      <w:rFonts w:cs="宋体"/>
      <w:sz w:val="24"/>
      <w:szCs w:val="24"/>
    </w:rPr>
  </w:style>
  <w:style w:type="paragraph" w:customStyle="1" w:styleId="xl22">
    <w:name w:val="xl22"/>
    <w:basedOn w:val="a"/>
    <w:autoRedefine/>
    <w:uiPriority w:val="99"/>
    <w:qFormat/>
    <w:pPr>
      <w:widowControl/>
      <w:spacing w:before="100" w:beforeAutospacing="1" w:after="100" w:afterAutospacing="1"/>
      <w:jc w:val="left"/>
    </w:pPr>
    <w:rPr>
      <w:rFonts w:eastAsia="Arial Unicode MS" w:cs="Times New Roman"/>
      <w:kern w:val="0"/>
      <w:sz w:val="24"/>
      <w:szCs w:val="20"/>
    </w:rPr>
  </w:style>
  <w:style w:type="paragraph" w:customStyle="1" w:styleId="1CharCharCharCharCharCharCharCharCharCharCharCharChar">
    <w:name w:val="1 Char Char Char Char Char Char Char Char Char Char Char Char Char"/>
    <w:basedOn w:val="a"/>
    <w:autoRedefine/>
    <w:uiPriority w:val="99"/>
    <w:semiHidden/>
    <w:qFormat/>
    <w:rPr>
      <w:rFonts w:cs="Times New Roman"/>
      <w:szCs w:val="24"/>
    </w:rPr>
  </w:style>
  <w:style w:type="paragraph" w:customStyle="1" w:styleId="5e">
    <w:name w:val="5号字表"/>
    <w:basedOn w:val="a"/>
    <w:autoRedefine/>
    <w:uiPriority w:val="99"/>
    <w:qFormat/>
    <w:pPr>
      <w:tabs>
        <w:tab w:val="left" w:pos="210"/>
      </w:tabs>
      <w:spacing w:line="500" w:lineRule="exact"/>
      <w:ind w:firstLineChars="200" w:firstLine="200"/>
      <w:jc w:val="left"/>
    </w:pPr>
    <w:rPr>
      <w:rFonts w:ascii="宋体" w:hAnsi="宋体" w:cs="宋体"/>
      <w:bCs/>
      <w:sz w:val="28"/>
      <w:szCs w:val="20"/>
    </w:rPr>
  </w:style>
  <w:style w:type="paragraph" w:customStyle="1" w:styleId="xl28">
    <w:name w:val="xl28"/>
    <w:basedOn w:val="a"/>
    <w:autoRedefine/>
    <w:uiPriority w:val="99"/>
    <w:qFormat/>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Times New Roman"/>
      <w:color w:val="333333"/>
      <w:kern w:val="0"/>
      <w:sz w:val="20"/>
      <w:szCs w:val="20"/>
    </w:rPr>
  </w:style>
  <w:style w:type="paragraph" w:customStyle="1" w:styleId="8--">
    <w:name w:val="8--"/>
    <w:basedOn w:val="a"/>
    <w:autoRedefine/>
    <w:uiPriority w:val="99"/>
    <w:qFormat/>
    <w:pPr>
      <w:adjustRightInd w:val="0"/>
      <w:spacing w:line="360" w:lineRule="atLeast"/>
      <w:jc w:val="left"/>
      <w:textAlignment w:val="baseline"/>
    </w:pPr>
    <w:rPr>
      <w:rFonts w:cs="Times New Roman"/>
      <w:kern w:val="0"/>
      <w:sz w:val="24"/>
      <w:szCs w:val="20"/>
    </w:rPr>
  </w:style>
  <w:style w:type="paragraph" w:customStyle="1" w:styleId="affffffffffffff3">
    <w:name w:val="附录五级条标题"/>
    <w:basedOn w:val="afffffffffffffc"/>
    <w:next w:val="a"/>
    <w:autoRedefine/>
    <w:uiPriority w:val="99"/>
    <w:qFormat/>
    <w:pPr>
      <w:tabs>
        <w:tab w:val="clear" w:pos="960"/>
        <w:tab w:val="left" w:pos="435"/>
      </w:tabs>
      <w:ind w:left="435" w:hanging="165"/>
      <w:outlineLvl w:val="6"/>
    </w:pPr>
  </w:style>
  <w:style w:type="paragraph" w:customStyle="1" w:styleId="Bt11">
    <w:name w:val="Bt1.1"/>
    <w:basedOn w:val="20"/>
    <w:next w:val="a"/>
    <w:autoRedefine/>
    <w:qFormat/>
    <w:pPr>
      <w:numPr>
        <w:ilvl w:val="0"/>
        <w:numId w:val="0"/>
      </w:numPr>
      <w:adjustRightInd w:val="0"/>
      <w:spacing w:beforeLines="0" w:before="0" w:afterLines="0" w:after="0"/>
      <w:jc w:val="left"/>
    </w:pPr>
    <w:rPr>
      <w:rFonts w:eastAsia="黑体" w:cs="Times New Roman"/>
      <w:b w:val="0"/>
      <w:bCs w:val="0"/>
      <w:snapToGrid w:val="0"/>
      <w:kern w:val="0"/>
      <w:szCs w:val="20"/>
    </w:rPr>
  </w:style>
  <w:style w:type="paragraph" w:customStyle="1" w:styleId="33H3h33rdlevel46">
    <w:name w:val="样式 标题 3小标题小节标题标题3H3h33rd level第二层条标题4 + 非加粗 左 段前: 6 磅..."/>
    <w:basedOn w:val="3"/>
    <w:autoRedefine/>
    <w:uiPriority w:val="99"/>
    <w:qFormat/>
    <w:pPr>
      <w:numPr>
        <w:ilvl w:val="0"/>
        <w:numId w:val="0"/>
      </w:numPr>
      <w:tabs>
        <w:tab w:val="left" w:pos="1080"/>
      </w:tabs>
      <w:adjustRightInd/>
      <w:spacing w:beforeLines="50" w:afterLines="50"/>
      <w:ind w:left="851" w:hanging="851"/>
      <w:jc w:val="both"/>
    </w:pPr>
    <w:rPr>
      <w:rFonts w:ascii="Arial" w:eastAsia="黑体" w:hAnsi="Arial" w:cs="Arial"/>
      <w:bCs w:val="0"/>
      <w:color w:val="000000"/>
      <w:sz w:val="30"/>
      <w:szCs w:val="30"/>
    </w:rPr>
  </w:style>
  <w:style w:type="paragraph" w:customStyle="1" w:styleId="CharCharCharCharCharCharCharCharCharCharCharCharCharCharCharCharCharChar1CharCharCharCharCharCharCharCharCharCharCharCharCharCharCharChar">
    <w:name w:val="Char Char Char Char Char Char Char Char Char Char Char Char Char Char Char Char Char Char1 Char Char Char Char Char Char Char Char Char Char Char Char Char Char Char Char"/>
    <w:basedOn w:val="a"/>
    <w:autoRedefine/>
    <w:uiPriority w:val="99"/>
    <w:qFormat/>
    <w:pPr>
      <w:spacing w:line="360" w:lineRule="auto"/>
      <w:ind w:firstLineChars="200" w:firstLine="200"/>
    </w:pPr>
    <w:rPr>
      <w:rFonts w:ascii="宋体" w:cs="Times New Roman"/>
      <w:sz w:val="24"/>
      <w:szCs w:val="20"/>
    </w:rPr>
  </w:style>
  <w:style w:type="paragraph" w:customStyle="1" w:styleId="affffffffffffff4">
    <w:name w:val="封面标准文稿编辑信息"/>
    <w:autoRedefine/>
    <w:uiPriority w:val="99"/>
    <w:qFormat/>
    <w:pPr>
      <w:spacing w:before="180" w:line="180" w:lineRule="exact"/>
      <w:jc w:val="center"/>
    </w:pPr>
    <w:rPr>
      <w:rFonts w:ascii="宋体"/>
      <w:sz w:val="21"/>
    </w:rPr>
  </w:style>
  <w:style w:type="paragraph" w:customStyle="1" w:styleId="1010">
    <w:name w:val="样式 首行缩进:  1.01 厘米"/>
    <w:basedOn w:val="a"/>
    <w:autoRedefine/>
    <w:uiPriority w:val="99"/>
    <w:qFormat/>
    <w:pPr>
      <w:spacing w:line="500" w:lineRule="exact"/>
      <w:ind w:firstLine="570"/>
    </w:pPr>
    <w:rPr>
      <w:rFonts w:cs="宋体"/>
      <w:kern w:val="28"/>
      <w:sz w:val="28"/>
      <w:szCs w:val="20"/>
    </w:rPr>
  </w:style>
  <w:style w:type="paragraph" w:customStyle="1" w:styleId="affffffffffffff5">
    <w:name w:val="封面项目名称"/>
    <w:basedOn w:val="a"/>
    <w:next w:val="a"/>
    <w:autoRedefine/>
    <w:uiPriority w:val="99"/>
    <w:qFormat/>
    <w:pPr>
      <w:adjustRightInd w:val="0"/>
      <w:snapToGrid w:val="0"/>
      <w:spacing w:line="480" w:lineRule="exact"/>
      <w:ind w:firstLine="567"/>
      <w:jc w:val="center"/>
    </w:pPr>
    <w:rPr>
      <w:rFonts w:ascii="黑体" w:eastAsia="黑体" w:cs="Times New Roman"/>
      <w:sz w:val="44"/>
      <w:szCs w:val="20"/>
    </w:rPr>
  </w:style>
  <w:style w:type="paragraph" w:customStyle="1" w:styleId="xl36">
    <w:name w:val="xl36"/>
    <w:basedOn w:val="a"/>
    <w:autoRedefine/>
    <w:uiPriority w:val="99"/>
    <w:qFormat/>
    <w:pPr>
      <w:widowControl/>
      <w:pBdr>
        <w:top w:val="single" w:sz="4" w:space="0" w:color="auto"/>
        <w:left w:val="single" w:sz="4" w:space="0" w:color="auto"/>
        <w:bottom w:val="single" w:sz="4" w:space="0" w:color="auto"/>
      </w:pBdr>
      <w:spacing w:before="100" w:beforeAutospacing="1" w:after="100" w:afterAutospacing="1"/>
      <w:jc w:val="center"/>
    </w:pPr>
    <w:rPr>
      <w:rFonts w:eastAsia="Arial Unicode MS" w:cs="Times New Roman"/>
      <w:kern w:val="0"/>
      <w:sz w:val="20"/>
      <w:szCs w:val="20"/>
    </w:rPr>
  </w:style>
  <w:style w:type="paragraph" w:customStyle="1" w:styleId="117">
    <w:name w:val="样式11"/>
    <w:basedOn w:val="a"/>
    <w:autoRedefine/>
    <w:uiPriority w:val="99"/>
    <w:qFormat/>
    <w:pPr>
      <w:spacing w:line="360" w:lineRule="auto"/>
    </w:pPr>
    <w:rPr>
      <w:rFonts w:eastAsia="黑体" w:cs="Times New Roman"/>
      <w:sz w:val="28"/>
      <w:szCs w:val="20"/>
    </w:rPr>
  </w:style>
  <w:style w:type="paragraph" w:customStyle="1" w:styleId="xl42">
    <w:name w:val="xl42"/>
    <w:basedOn w:val="a"/>
    <w:autoRedefine/>
    <w:uiPriority w:val="99"/>
    <w:qFormat/>
    <w:pPr>
      <w:widowControl/>
      <w:pBdr>
        <w:bottom w:val="single" w:sz="8" w:space="0" w:color="auto"/>
        <w:right w:val="single" w:sz="4" w:space="0" w:color="auto"/>
      </w:pBdr>
      <w:spacing w:before="100" w:beforeAutospacing="1" w:after="100" w:afterAutospacing="1"/>
      <w:jc w:val="center"/>
    </w:pPr>
    <w:rPr>
      <w:rFonts w:eastAsia="Arial Unicode MS" w:cs="Times New Roman"/>
      <w:kern w:val="0"/>
      <w:sz w:val="18"/>
      <w:szCs w:val="20"/>
    </w:rPr>
  </w:style>
  <w:style w:type="paragraph" w:customStyle="1" w:styleId="affffffffffffff6">
    <w:name w:val="表前文字"/>
    <w:basedOn w:val="a"/>
    <w:autoRedefine/>
    <w:uiPriority w:val="99"/>
    <w:qFormat/>
    <w:pPr>
      <w:jc w:val="center"/>
    </w:pPr>
    <w:rPr>
      <w:rFonts w:cs="Times New Roman"/>
      <w:sz w:val="24"/>
      <w:szCs w:val="24"/>
    </w:rPr>
  </w:style>
  <w:style w:type="paragraph" w:customStyle="1" w:styleId="affffffffffffff7">
    <w:name w:val="横线"/>
    <w:basedOn w:val="af2"/>
    <w:autoRedefine/>
    <w:uiPriority w:val="99"/>
    <w:qFormat/>
    <w:pPr>
      <w:tabs>
        <w:tab w:val="left" w:pos="504"/>
      </w:tabs>
      <w:adjustRightInd w:val="0"/>
      <w:snapToGrid w:val="0"/>
      <w:ind w:left="1276" w:hanging="709"/>
      <w:jc w:val="left"/>
      <w:textAlignment w:val="baseline"/>
    </w:pPr>
    <w:rPr>
      <w:rFonts w:ascii="Times New Roman"/>
      <w:b/>
      <w:snapToGrid w:val="0"/>
      <w:kern w:val="0"/>
    </w:rPr>
  </w:style>
  <w:style w:type="paragraph" w:customStyle="1" w:styleId="affffffffffffff8">
    <w:name w:val="表格名称"/>
    <w:basedOn w:val="a"/>
    <w:link w:val="Charfff0"/>
    <w:autoRedefine/>
    <w:qFormat/>
    <w:pPr>
      <w:jc w:val="center"/>
    </w:pPr>
    <w:rPr>
      <w:rFonts w:eastAsia="黑体" w:cs="Times New Roman"/>
      <w:szCs w:val="20"/>
    </w:rPr>
  </w:style>
  <w:style w:type="character" w:customStyle="1" w:styleId="Charfff0">
    <w:name w:val="表格名称 Char"/>
    <w:link w:val="affffffffffffff8"/>
    <w:autoRedefine/>
    <w:qFormat/>
    <w:locked/>
    <w:rPr>
      <w:rFonts w:eastAsia="黑体"/>
      <w:kern w:val="2"/>
      <w:sz w:val="21"/>
    </w:rPr>
  </w:style>
  <w:style w:type="paragraph" w:customStyle="1" w:styleId="Charfff1">
    <w:name w:val="Char"/>
    <w:basedOn w:val="a"/>
    <w:autoRedefine/>
    <w:uiPriority w:val="99"/>
    <w:qFormat/>
    <w:rPr>
      <w:rFonts w:cs="Times New Roman"/>
      <w:sz w:val="24"/>
      <w:szCs w:val="20"/>
    </w:rPr>
  </w:style>
  <w:style w:type="paragraph" w:customStyle="1" w:styleId="xl56">
    <w:name w:val="xl56"/>
    <w:basedOn w:val="a"/>
    <w:autoRedefine/>
    <w:uiPriority w:val="99"/>
    <w:qFormat/>
    <w:pPr>
      <w:widowControl/>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Times New Roman"/>
      <w:kern w:val="0"/>
      <w:sz w:val="18"/>
      <w:szCs w:val="20"/>
    </w:rPr>
  </w:style>
  <w:style w:type="paragraph" w:customStyle="1" w:styleId="affffffffffffff9">
    <w:name w:val="表文字"/>
    <w:basedOn w:val="a"/>
    <w:link w:val="Charfff2"/>
    <w:autoRedefine/>
    <w:qFormat/>
    <w:pPr>
      <w:spacing w:line="240" w:lineRule="atLeast"/>
      <w:jc w:val="center"/>
    </w:pPr>
    <w:rPr>
      <w:rFonts w:ascii="宋体" w:hAnsi="宋体" w:cs="Times New Roman"/>
      <w:szCs w:val="28"/>
    </w:rPr>
  </w:style>
  <w:style w:type="character" w:customStyle="1" w:styleId="Charfff2">
    <w:name w:val="表文字 Char"/>
    <w:link w:val="affffffffffffff9"/>
    <w:autoRedefine/>
    <w:qFormat/>
    <w:rPr>
      <w:rFonts w:ascii="宋体" w:hAnsi="宋体"/>
      <w:kern w:val="2"/>
      <w:sz w:val="21"/>
      <w:szCs w:val="28"/>
    </w:rPr>
  </w:style>
  <w:style w:type="paragraph" w:customStyle="1" w:styleId="font8">
    <w:name w:val="font8"/>
    <w:basedOn w:val="a"/>
    <w:autoRedefine/>
    <w:uiPriority w:val="99"/>
    <w:qFormat/>
    <w:pPr>
      <w:widowControl/>
      <w:spacing w:before="100" w:beforeAutospacing="1" w:after="100" w:afterAutospacing="1"/>
      <w:jc w:val="left"/>
    </w:pPr>
    <w:rPr>
      <w:rFonts w:ascii="新宋体" w:eastAsia="新宋体" w:hAnsi="新宋体" w:cs="Times New Roman" w:hint="eastAsia"/>
      <w:kern w:val="0"/>
      <w:sz w:val="15"/>
      <w:szCs w:val="20"/>
    </w:rPr>
  </w:style>
  <w:style w:type="paragraph" w:customStyle="1" w:styleId="11H1NMPHeading1Arial126">
    <w:name w:val="样式 标题 1章标题标题1章节H1NMP Heading 1 + Arial 左 段前: 12 磅 段后: 6 ..."/>
    <w:basedOn w:val="1"/>
    <w:autoRedefine/>
    <w:uiPriority w:val="99"/>
    <w:qFormat/>
    <w:pPr>
      <w:numPr>
        <w:numId w:val="0"/>
      </w:numPr>
      <w:spacing w:line="240" w:lineRule="auto"/>
      <w:ind w:left="170" w:hanging="170"/>
      <w:jc w:val="both"/>
    </w:pPr>
    <w:rPr>
      <w:rFonts w:ascii="黑体" w:eastAsia="黑体" w:cs="Times New Roman"/>
      <w:b w:val="0"/>
      <w:spacing w:val="-12"/>
      <w:sz w:val="44"/>
    </w:rPr>
  </w:style>
  <w:style w:type="paragraph" w:customStyle="1" w:styleId="affffffffffffffa">
    <w:name w:val="表内文字"/>
    <w:basedOn w:val="a"/>
    <w:autoRedefine/>
    <w:uiPriority w:val="99"/>
    <w:qFormat/>
    <w:pPr>
      <w:adjustRightInd w:val="0"/>
      <w:spacing w:before="80" w:line="240" w:lineRule="atLeast"/>
      <w:jc w:val="center"/>
    </w:pPr>
    <w:rPr>
      <w:rFonts w:cs="Times New Roman"/>
      <w:kern w:val="0"/>
      <w:sz w:val="24"/>
      <w:szCs w:val="20"/>
    </w:rPr>
  </w:style>
  <w:style w:type="paragraph" w:customStyle="1" w:styleId="CharChar12">
    <w:name w:val="正文文字 Char Char1"/>
    <w:basedOn w:val="a"/>
    <w:autoRedefine/>
    <w:uiPriority w:val="99"/>
    <w:qFormat/>
    <w:pPr>
      <w:spacing w:line="300" w:lineRule="auto"/>
      <w:ind w:firstLineChars="200" w:firstLine="200"/>
    </w:pPr>
    <w:rPr>
      <w:rFonts w:cs="Times New Roman"/>
      <w:sz w:val="24"/>
      <w:szCs w:val="20"/>
    </w:rPr>
  </w:style>
  <w:style w:type="paragraph" w:customStyle="1" w:styleId="affffffffffffffb">
    <w:name w:val="样式 正文文字 +"/>
    <w:basedOn w:val="a"/>
    <w:autoRedefine/>
    <w:uiPriority w:val="99"/>
    <w:qFormat/>
    <w:pPr>
      <w:adjustRightInd w:val="0"/>
      <w:snapToGrid w:val="0"/>
      <w:spacing w:before="60" w:after="60" w:line="264" w:lineRule="auto"/>
      <w:ind w:firstLineChars="110" w:firstLine="110"/>
      <w:textAlignment w:val="baseline"/>
    </w:pPr>
    <w:rPr>
      <w:rFonts w:eastAsia="仿宋_GB2312" w:cs="Times New Roman"/>
      <w:snapToGrid w:val="0"/>
      <w:kern w:val="0"/>
      <w:sz w:val="24"/>
      <w:szCs w:val="24"/>
    </w:rPr>
  </w:style>
  <w:style w:type="paragraph" w:customStyle="1" w:styleId="affffffffffffffc">
    <w:name w:val="正文段落"/>
    <w:basedOn w:val="a"/>
    <w:autoRedefine/>
    <w:uiPriority w:val="99"/>
    <w:qFormat/>
    <w:pPr>
      <w:tabs>
        <w:tab w:val="left" w:pos="576"/>
      </w:tabs>
      <w:spacing w:line="360" w:lineRule="exact"/>
      <w:ind w:left="576" w:firstLine="476"/>
    </w:pPr>
    <w:rPr>
      <w:rFonts w:ascii="宋体" w:hAnsi="宋体" w:cs="Times New Roman"/>
      <w:sz w:val="28"/>
      <w:szCs w:val="24"/>
    </w:rPr>
  </w:style>
  <w:style w:type="paragraph" w:customStyle="1" w:styleId="charfff3">
    <w:name w:val="char"/>
    <w:basedOn w:val="a"/>
    <w:autoRedefine/>
    <w:uiPriority w:val="99"/>
    <w:qFormat/>
    <w:pPr>
      <w:widowControl/>
      <w:spacing w:after="160"/>
      <w:jc w:val="left"/>
    </w:pPr>
    <w:rPr>
      <w:rFonts w:ascii="Verdana" w:eastAsia="仿宋_GB2312" w:hAnsi="Verdana" w:cs="”“Times New Roman”“"/>
      <w:kern w:val="0"/>
      <w:sz w:val="28"/>
      <w:szCs w:val="28"/>
      <w:lang w:eastAsia="en-US"/>
    </w:rPr>
  </w:style>
  <w:style w:type="paragraph" w:customStyle="1" w:styleId="xl80">
    <w:name w:val="xl80"/>
    <w:basedOn w:val="a"/>
    <w:autoRedefine/>
    <w:uiPriority w:val="99"/>
    <w:qFormat/>
    <w:pPr>
      <w:widowControl/>
      <w:pBdr>
        <w:left w:val="single" w:sz="4" w:space="0" w:color="auto"/>
        <w:bottom w:val="single" w:sz="4" w:space="0" w:color="auto"/>
      </w:pBdr>
      <w:spacing w:before="100" w:beforeAutospacing="1" w:after="100" w:afterAutospacing="1"/>
      <w:jc w:val="center"/>
    </w:pPr>
    <w:rPr>
      <w:rFonts w:ascii="Arial Unicode MS" w:eastAsia="Arial Unicode MS" w:hAnsi="Arial Unicode MS" w:cs="Times New Roman"/>
      <w:kern w:val="0"/>
      <w:sz w:val="20"/>
      <w:szCs w:val="20"/>
    </w:rPr>
  </w:style>
  <w:style w:type="paragraph" w:customStyle="1" w:styleId="118">
    <w:name w:val="标题11"/>
    <w:basedOn w:val="a"/>
    <w:autoRedefine/>
    <w:uiPriority w:val="99"/>
    <w:qFormat/>
    <w:pPr>
      <w:tabs>
        <w:tab w:val="left" w:pos="720"/>
      </w:tabs>
      <w:adjustRightInd w:val="0"/>
      <w:snapToGrid w:val="0"/>
      <w:spacing w:line="360" w:lineRule="auto"/>
      <w:ind w:left="567" w:hanging="567"/>
    </w:pPr>
    <w:rPr>
      <w:rFonts w:cs="Times New Roman"/>
      <w:sz w:val="28"/>
      <w:szCs w:val="20"/>
    </w:rPr>
  </w:style>
  <w:style w:type="paragraph" w:customStyle="1" w:styleId="affffffffffffffd">
    <w:name w:val="泸县焦化正文"/>
    <w:basedOn w:val="a"/>
    <w:next w:val="a"/>
    <w:link w:val="CharCharf3"/>
    <w:autoRedefine/>
    <w:qFormat/>
    <w:pPr>
      <w:adjustRightInd w:val="0"/>
      <w:snapToGrid w:val="0"/>
      <w:spacing w:line="360" w:lineRule="auto"/>
      <w:ind w:firstLineChars="200" w:firstLine="200"/>
    </w:pPr>
    <w:rPr>
      <w:rFonts w:cs="Times New Roman"/>
      <w:color w:val="0000FF"/>
      <w:sz w:val="24"/>
      <w:szCs w:val="24"/>
    </w:rPr>
  </w:style>
  <w:style w:type="character" w:customStyle="1" w:styleId="CharCharf3">
    <w:name w:val="泸县焦化正文 Char Char"/>
    <w:link w:val="affffffffffffffd"/>
    <w:autoRedefine/>
    <w:qFormat/>
    <w:rPr>
      <w:color w:val="0000FF"/>
      <w:kern w:val="2"/>
      <w:sz w:val="24"/>
      <w:szCs w:val="24"/>
    </w:rPr>
  </w:style>
  <w:style w:type="paragraph" w:customStyle="1" w:styleId="CharCharCharCharCharCharCharCharCharCharCharCharCharCharCharCharCharChar1CharCharCharCharCharCharCharCharCharCharCharCharChar">
    <w:name w:val="Char Char Char Char Char Char Char Char Char Char Char Char Char Char Char Char Char Char1 Char Char Char Char Char Char Char Char Char Char Char Char Char"/>
    <w:basedOn w:val="a"/>
    <w:autoRedefine/>
    <w:uiPriority w:val="99"/>
    <w:qFormat/>
    <w:pPr>
      <w:spacing w:line="360" w:lineRule="auto"/>
      <w:ind w:firstLineChars="200" w:firstLine="200"/>
    </w:pPr>
    <w:rPr>
      <w:rFonts w:ascii="宋体" w:hAnsi="宋体" w:cs="宋体"/>
      <w:sz w:val="24"/>
      <w:szCs w:val="24"/>
    </w:rPr>
  </w:style>
  <w:style w:type="paragraph" w:customStyle="1" w:styleId="2ff6">
    <w:name w:val="项目2"/>
    <w:basedOn w:val="a"/>
    <w:autoRedefine/>
    <w:uiPriority w:val="99"/>
    <w:qFormat/>
    <w:pPr>
      <w:tabs>
        <w:tab w:val="left" w:pos="360"/>
      </w:tabs>
      <w:snapToGrid w:val="0"/>
      <w:spacing w:line="0" w:lineRule="atLeast"/>
      <w:ind w:left="340" w:hanging="340"/>
    </w:pPr>
    <w:rPr>
      <w:rFonts w:cs="Times New Roman"/>
      <w:sz w:val="28"/>
      <w:szCs w:val="20"/>
    </w:rPr>
  </w:style>
  <w:style w:type="paragraph" w:customStyle="1" w:styleId="130">
    <w:name w:val="样式13"/>
    <w:basedOn w:val="a"/>
    <w:autoRedefine/>
    <w:uiPriority w:val="99"/>
    <w:qFormat/>
    <w:pPr>
      <w:ind w:firstLineChars="200" w:firstLine="475"/>
    </w:pPr>
    <w:rPr>
      <w:rFonts w:eastAsia="华文中宋" w:cs="Times New Roman"/>
      <w:color w:val="000000"/>
      <w:sz w:val="24"/>
      <w:szCs w:val="20"/>
    </w:rPr>
  </w:style>
  <w:style w:type="paragraph" w:customStyle="1" w:styleId="CharCharCharChar50">
    <w:name w:val="Char Char Char Char5"/>
    <w:basedOn w:val="a"/>
    <w:autoRedefine/>
    <w:uiPriority w:val="99"/>
    <w:qFormat/>
    <w:pPr>
      <w:tabs>
        <w:tab w:val="left" w:pos="360"/>
      </w:tabs>
    </w:pPr>
    <w:rPr>
      <w:rFonts w:cs="Times New Roman"/>
      <w:sz w:val="24"/>
      <w:szCs w:val="24"/>
    </w:rPr>
  </w:style>
  <w:style w:type="paragraph" w:customStyle="1" w:styleId="affffffffffffffe">
    <w:name w:val="正文缩进（自定义）"/>
    <w:basedOn w:val="a"/>
    <w:autoRedefine/>
    <w:uiPriority w:val="99"/>
    <w:qFormat/>
    <w:pPr>
      <w:spacing w:before="120" w:after="120" w:line="360" w:lineRule="auto"/>
      <w:ind w:firstLineChars="200" w:firstLine="200"/>
    </w:pPr>
    <w:rPr>
      <w:rFonts w:ascii="Century Gothic" w:hAnsi="Century Gothic" w:cs="Times New Roman"/>
      <w:kern w:val="0"/>
      <w:sz w:val="24"/>
      <w:szCs w:val="20"/>
    </w:rPr>
  </w:style>
  <w:style w:type="paragraph" w:customStyle="1" w:styleId="BulletIndent">
    <w:name w:val="Bullet_Indent"/>
    <w:basedOn w:val="a"/>
    <w:autoRedefine/>
    <w:uiPriority w:val="99"/>
    <w:qFormat/>
    <w:pPr>
      <w:widowControl/>
      <w:adjustRightInd w:val="0"/>
      <w:snapToGrid w:val="0"/>
      <w:spacing w:after="240" w:line="360" w:lineRule="auto"/>
      <w:ind w:left="1440" w:hanging="720"/>
      <w:jc w:val="left"/>
    </w:pPr>
    <w:rPr>
      <w:rFonts w:cs="Times New Roman"/>
      <w:kern w:val="0"/>
      <w:sz w:val="24"/>
      <w:szCs w:val="20"/>
    </w:rPr>
  </w:style>
  <w:style w:type="paragraph" w:customStyle="1" w:styleId="font10">
    <w:name w:val="font10"/>
    <w:basedOn w:val="a"/>
    <w:autoRedefine/>
    <w:uiPriority w:val="99"/>
    <w:qFormat/>
    <w:pPr>
      <w:widowControl/>
      <w:spacing w:before="100" w:beforeAutospacing="1" w:after="100" w:afterAutospacing="1"/>
      <w:jc w:val="left"/>
    </w:pPr>
    <w:rPr>
      <w:rFonts w:eastAsia="Arial Unicode MS" w:cs="Times New Roman"/>
      <w:kern w:val="0"/>
      <w:sz w:val="18"/>
      <w:szCs w:val="20"/>
    </w:rPr>
  </w:style>
  <w:style w:type="paragraph" w:customStyle="1" w:styleId="212">
    <w:name w:val="正文文本 21"/>
    <w:basedOn w:val="a"/>
    <w:autoRedefine/>
    <w:uiPriority w:val="99"/>
    <w:qFormat/>
    <w:pPr>
      <w:adjustRightInd w:val="0"/>
      <w:textAlignment w:val="baseline"/>
    </w:pPr>
    <w:rPr>
      <w:rFonts w:cs="Times New Roman"/>
      <w:kern w:val="0"/>
      <w:sz w:val="24"/>
      <w:szCs w:val="20"/>
    </w:rPr>
  </w:style>
  <w:style w:type="paragraph" w:customStyle="1" w:styleId="5f">
    <w:name w:val="5文章(治)"/>
    <w:basedOn w:val="a"/>
    <w:link w:val="5CharChar0"/>
    <w:autoRedefine/>
    <w:qFormat/>
    <w:pPr>
      <w:spacing w:line="360" w:lineRule="auto"/>
      <w:ind w:firstLineChars="200" w:firstLine="560"/>
      <w:jc w:val="left"/>
    </w:pPr>
    <w:rPr>
      <w:rFonts w:eastAsia="楷体_GB2312" w:cs="Times New Roman"/>
      <w:sz w:val="28"/>
      <w:szCs w:val="20"/>
    </w:rPr>
  </w:style>
  <w:style w:type="character" w:customStyle="1" w:styleId="5CharChar0">
    <w:name w:val="5文章(治) Char Char"/>
    <w:link w:val="5f"/>
    <w:autoRedefine/>
    <w:qFormat/>
    <w:rPr>
      <w:rFonts w:eastAsia="楷体_GB2312"/>
      <w:kern w:val="2"/>
      <w:sz w:val="28"/>
    </w:rPr>
  </w:style>
  <w:style w:type="paragraph" w:customStyle="1" w:styleId="CharCharChar8">
    <w:name w:val="我的正文 Char Char Char"/>
    <w:basedOn w:val="a"/>
    <w:autoRedefine/>
    <w:uiPriority w:val="99"/>
    <w:qFormat/>
    <w:pPr>
      <w:spacing w:line="360" w:lineRule="auto"/>
      <w:ind w:firstLineChars="200" w:firstLine="200"/>
    </w:pPr>
    <w:rPr>
      <w:rFonts w:cs="Times New Roman"/>
      <w:sz w:val="24"/>
      <w:szCs w:val="24"/>
    </w:rPr>
  </w:style>
  <w:style w:type="paragraph" w:customStyle="1" w:styleId="0302">
    <w:name w:val="样式 表格小四 + 段前: 0.3 行 段后: 0.2 行"/>
    <w:basedOn w:val="afffffffffffffa"/>
    <w:autoRedefine/>
    <w:uiPriority w:val="99"/>
    <w:qFormat/>
    <w:pPr>
      <w:spacing w:beforeLines="30" w:afterLines="20"/>
    </w:pPr>
    <w:rPr>
      <w:rFonts w:cs="宋体"/>
    </w:rPr>
  </w:style>
  <w:style w:type="paragraph" w:customStyle="1" w:styleId="1fff5">
    <w:name w:val="（1）"/>
    <w:basedOn w:val="a"/>
    <w:autoRedefine/>
    <w:uiPriority w:val="99"/>
    <w:qFormat/>
    <w:pPr>
      <w:spacing w:beforeLines="50" w:afterLines="50" w:line="400" w:lineRule="exact"/>
      <w:ind w:firstLineChars="200" w:firstLine="200"/>
    </w:pPr>
    <w:rPr>
      <w:rFonts w:ascii="仿宋_GB2312" w:eastAsia="楷体_GB2312" w:cs="Times New Roman"/>
      <w:b/>
      <w:sz w:val="28"/>
      <w:szCs w:val="20"/>
    </w:rPr>
  </w:style>
  <w:style w:type="paragraph" w:customStyle="1" w:styleId="102">
    <w:name w:val="样式10"/>
    <w:basedOn w:val="a"/>
    <w:autoRedefine/>
    <w:uiPriority w:val="99"/>
    <w:qFormat/>
    <w:pPr>
      <w:adjustRightInd w:val="0"/>
      <w:snapToGrid w:val="0"/>
      <w:spacing w:line="460" w:lineRule="exact"/>
      <w:jc w:val="center"/>
    </w:pPr>
    <w:rPr>
      <w:rFonts w:eastAsia="华文中宋" w:cs="Times New Roman"/>
      <w:szCs w:val="20"/>
    </w:rPr>
  </w:style>
  <w:style w:type="paragraph" w:customStyle="1" w:styleId="69">
    <w:name w:val="样式6"/>
    <w:basedOn w:val="a"/>
    <w:link w:val="6Char"/>
    <w:autoRedefine/>
    <w:qFormat/>
    <w:pPr>
      <w:spacing w:line="460" w:lineRule="exact"/>
      <w:jc w:val="center"/>
    </w:pPr>
    <w:rPr>
      <w:rFonts w:ascii="黑体" w:eastAsia="黑体" w:cs="Times New Roman"/>
      <w:sz w:val="24"/>
      <w:szCs w:val="20"/>
    </w:rPr>
  </w:style>
  <w:style w:type="character" w:customStyle="1" w:styleId="6Char">
    <w:name w:val="样式6 Char"/>
    <w:link w:val="69"/>
    <w:autoRedefine/>
    <w:qFormat/>
    <w:rPr>
      <w:rFonts w:ascii="黑体" w:eastAsia="黑体"/>
      <w:kern w:val="2"/>
      <w:sz w:val="24"/>
    </w:rPr>
  </w:style>
  <w:style w:type="paragraph" w:customStyle="1" w:styleId="xl43">
    <w:name w:val="xl43"/>
    <w:basedOn w:val="a"/>
    <w:autoRedefine/>
    <w:uiPriority w:val="99"/>
    <w:qFormat/>
    <w:pPr>
      <w:widowControl/>
      <w:pBdr>
        <w:bottom w:val="single" w:sz="8" w:space="0" w:color="auto"/>
        <w:right w:val="single" w:sz="4" w:space="0" w:color="auto"/>
      </w:pBdr>
      <w:spacing w:before="100" w:beforeAutospacing="1" w:after="100" w:afterAutospacing="1"/>
      <w:jc w:val="center"/>
    </w:pPr>
    <w:rPr>
      <w:rFonts w:eastAsia="Arial Unicode MS" w:cs="Times New Roman"/>
      <w:kern w:val="0"/>
      <w:sz w:val="18"/>
      <w:szCs w:val="20"/>
    </w:rPr>
  </w:style>
  <w:style w:type="paragraph" w:customStyle="1" w:styleId="ttop">
    <w:name w:val="ttop"/>
    <w:basedOn w:val="a"/>
    <w:autoRedefine/>
    <w:uiPriority w:val="99"/>
    <w:qFormat/>
    <w:pPr>
      <w:widowControl/>
      <w:spacing w:before="100" w:beforeAutospacing="1" w:after="100" w:afterAutospacing="1"/>
      <w:jc w:val="left"/>
    </w:pPr>
    <w:rPr>
      <w:rFonts w:ascii="宋体" w:hAnsi="宋体" w:cs="Times New Roman"/>
      <w:kern w:val="0"/>
      <w:sz w:val="24"/>
      <w:szCs w:val="24"/>
    </w:rPr>
  </w:style>
  <w:style w:type="paragraph" w:customStyle="1" w:styleId="00052">
    <w:name w:val="0005左缩2"/>
    <w:basedOn w:val="a"/>
    <w:autoRedefine/>
    <w:uiPriority w:val="99"/>
    <w:qFormat/>
    <w:pPr>
      <w:widowControl/>
      <w:autoSpaceDE w:val="0"/>
      <w:autoSpaceDN w:val="0"/>
      <w:adjustRightInd w:val="0"/>
      <w:spacing w:afterLines="30" w:line="500" w:lineRule="exact"/>
      <w:ind w:firstLineChars="200" w:firstLine="200"/>
    </w:pPr>
    <w:rPr>
      <w:rFonts w:ascii="宋体" w:hAnsi="宋体" w:cs="Times New Roman"/>
      <w:sz w:val="28"/>
      <w:szCs w:val="28"/>
    </w:rPr>
  </w:style>
  <w:style w:type="paragraph" w:customStyle="1" w:styleId="4F0">
    <w:name w:val="列表 4F"/>
    <w:basedOn w:val="46"/>
    <w:autoRedefine/>
    <w:uiPriority w:val="99"/>
    <w:qFormat/>
    <w:pPr>
      <w:tabs>
        <w:tab w:val="left" w:pos="980"/>
      </w:tabs>
      <w:adjustRightInd/>
      <w:spacing w:afterLines="30" w:line="288" w:lineRule="auto"/>
      <w:ind w:left="980"/>
      <w:textAlignment w:val="auto"/>
    </w:pPr>
    <w:rPr>
      <w:rFonts w:ascii="Courier New" w:hAnsi="Courier New" w:cs="仿宋_GB2312"/>
      <w:color w:val="CCFFFF"/>
      <w:kern w:val="2"/>
    </w:rPr>
  </w:style>
  <w:style w:type="paragraph" w:customStyle="1" w:styleId="ttopl">
    <w:name w:val="ttopl"/>
    <w:basedOn w:val="a"/>
    <w:autoRedefine/>
    <w:uiPriority w:val="99"/>
    <w:qFormat/>
    <w:pPr>
      <w:widowControl/>
      <w:spacing w:before="100" w:beforeAutospacing="1" w:after="100" w:afterAutospacing="1"/>
      <w:jc w:val="left"/>
    </w:pPr>
    <w:rPr>
      <w:rFonts w:ascii="宋体" w:hAnsi="宋体" w:cs="Times New Roman"/>
      <w:kern w:val="0"/>
      <w:sz w:val="24"/>
      <w:szCs w:val="24"/>
    </w:rPr>
  </w:style>
  <w:style w:type="paragraph" w:customStyle="1" w:styleId="1111-">
    <w:name w:val="1.1.1.1-"/>
    <w:basedOn w:val="a"/>
    <w:autoRedefine/>
    <w:uiPriority w:val="99"/>
    <w:qFormat/>
    <w:pPr>
      <w:tabs>
        <w:tab w:val="left" w:pos="398"/>
        <w:tab w:val="left" w:pos="2268"/>
      </w:tabs>
      <w:wordWrap w:val="0"/>
      <w:adjustRightInd w:val="0"/>
      <w:snapToGrid w:val="0"/>
      <w:spacing w:line="360" w:lineRule="atLeast"/>
      <w:ind w:left="398" w:firstLine="1587"/>
      <w:textAlignment w:val="baseline"/>
    </w:pPr>
    <w:rPr>
      <w:rFonts w:ascii="Arial" w:eastAsia="Gulim" w:hAnsi="Arial" w:cs="Times New Roman"/>
      <w:kern w:val="0"/>
      <w:sz w:val="20"/>
      <w:szCs w:val="20"/>
    </w:rPr>
  </w:style>
  <w:style w:type="paragraph" w:customStyle="1" w:styleId="afffffffffffffff">
    <w:name w:val="基准标题"/>
    <w:basedOn w:val="af"/>
    <w:next w:val="af"/>
    <w:autoRedefine/>
    <w:uiPriority w:val="99"/>
    <w:qFormat/>
    <w:pPr>
      <w:widowControl/>
      <w:tabs>
        <w:tab w:val="left" w:pos="864"/>
      </w:tabs>
      <w:kinsoku/>
      <w:adjustRightInd/>
      <w:snapToGrid w:val="0"/>
      <w:spacing w:after="0" w:line="320" w:lineRule="exact"/>
      <w:ind w:left="864" w:hanging="864"/>
      <w:jc w:val="center"/>
      <w:textAlignment w:val="auto"/>
    </w:pPr>
    <w:rPr>
      <w:kern w:val="0"/>
      <w:szCs w:val="20"/>
    </w:rPr>
  </w:style>
  <w:style w:type="paragraph" w:customStyle="1" w:styleId="161">
    <w:name w:val="样式16"/>
    <w:basedOn w:val="a"/>
    <w:autoRedefine/>
    <w:uiPriority w:val="99"/>
    <w:qFormat/>
    <w:pPr>
      <w:jc w:val="center"/>
    </w:pPr>
    <w:rPr>
      <w:rFonts w:eastAsia="黑体" w:cs="Times New Roman"/>
      <w:sz w:val="24"/>
      <w:szCs w:val="20"/>
    </w:rPr>
  </w:style>
  <w:style w:type="paragraph" w:customStyle="1" w:styleId="MTDisplayEquation">
    <w:name w:val="MTDisplayEquation"/>
    <w:basedOn w:val="af2"/>
    <w:next w:val="a"/>
    <w:autoRedefine/>
    <w:uiPriority w:val="99"/>
    <w:qFormat/>
    <w:pPr>
      <w:tabs>
        <w:tab w:val="center" w:pos="4400"/>
        <w:tab w:val="right" w:pos="8300"/>
      </w:tabs>
      <w:ind w:left="480" w:firstLine="0"/>
    </w:pPr>
    <w:rPr>
      <w:rFonts w:ascii="Times New Roman"/>
      <w:color w:val="000000"/>
      <w:kern w:val="0"/>
      <w:szCs w:val="18"/>
    </w:rPr>
  </w:style>
  <w:style w:type="paragraph" w:customStyle="1" w:styleId="20505">
    <w:name w:val="样式 标题 2 + 段前: 0.5 行 段后: 0.5 行"/>
    <w:basedOn w:val="20"/>
    <w:autoRedefine/>
    <w:uiPriority w:val="99"/>
    <w:qFormat/>
    <w:pPr>
      <w:numPr>
        <w:ilvl w:val="0"/>
        <w:numId w:val="0"/>
      </w:numPr>
      <w:tabs>
        <w:tab w:val="left" w:pos="576"/>
      </w:tabs>
      <w:adjustRightInd w:val="0"/>
      <w:spacing w:before="0" w:afterLines="0" w:line="400" w:lineRule="exact"/>
      <w:ind w:left="576" w:hanging="576"/>
      <w:jc w:val="left"/>
      <w:textAlignment w:val="baseline"/>
    </w:pPr>
    <w:rPr>
      <w:rFonts w:cs="Times New Roman"/>
      <w:bCs w:val="0"/>
      <w:kern w:val="0"/>
      <w:sz w:val="24"/>
      <w:szCs w:val="20"/>
    </w:rPr>
  </w:style>
  <w:style w:type="paragraph" w:customStyle="1" w:styleId="ParaCharCharCharCharCharCharChar">
    <w:name w:val="默认段落字体 Para Char Char Char Char Char Char Char"/>
    <w:basedOn w:val="a"/>
    <w:autoRedefine/>
    <w:uiPriority w:val="99"/>
    <w:qFormat/>
    <w:pPr>
      <w:adjustRightInd w:val="0"/>
      <w:spacing w:line="360" w:lineRule="auto"/>
      <w:ind w:firstLineChars="200" w:firstLine="188"/>
    </w:pPr>
    <w:rPr>
      <w:rFonts w:cs="Times New Roman"/>
      <w:sz w:val="28"/>
      <w:szCs w:val="24"/>
    </w:rPr>
  </w:style>
  <w:style w:type="paragraph" w:customStyle="1" w:styleId="xl44">
    <w:name w:val="xl44"/>
    <w:basedOn w:val="a"/>
    <w:autoRedefine/>
    <w:uiPriority w:val="99"/>
    <w:qFormat/>
    <w:pPr>
      <w:widowControl/>
      <w:pBdr>
        <w:top w:val="single" w:sz="8" w:space="0" w:color="auto"/>
        <w:left w:val="single" w:sz="8" w:space="0" w:color="auto"/>
      </w:pBdr>
      <w:spacing w:before="100" w:beforeAutospacing="1" w:after="100" w:afterAutospacing="1"/>
      <w:jc w:val="center"/>
    </w:pPr>
    <w:rPr>
      <w:rFonts w:ascii="Arial Unicode MS" w:eastAsia="Arial Unicode MS" w:hAnsi="Arial Unicode MS" w:cs="Times New Roman"/>
      <w:kern w:val="0"/>
      <w:sz w:val="18"/>
      <w:szCs w:val="20"/>
    </w:rPr>
  </w:style>
  <w:style w:type="paragraph" w:customStyle="1" w:styleId="edri-titlefirst">
    <w:name w:val="edri-title first"/>
    <w:basedOn w:val="a"/>
    <w:autoRedefine/>
    <w:uiPriority w:val="99"/>
    <w:qFormat/>
    <w:pPr>
      <w:tabs>
        <w:tab w:val="left" w:pos="2"/>
        <w:tab w:val="left" w:pos="945"/>
      </w:tabs>
      <w:spacing w:beforeLines="50" w:line="300" w:lineRule="auto"/>
      <w:ind w:left="966" w:hanging="964"/>
      <w:outlineLvl w:val="0"/>
    </w:pPr>
    <w:rPr>
      <w:rFonts w:ascii="Arial Narrow" w:hAnsi="Arial Narrow" w:cs="Times New Roman"/>
      <w:b/>
      <w:bCs/>
      <w:kern w:val="0"/>
      <w:sz w:val="30"/>
      <w:szCs w:val="20"/>
    </w:rPr>
  </w:style>
  <w:style w:type="paragraph" w:customStyle="1" w:styleId="Char1CharCharChar1CharCharCharCharCharCharCharCharCharCharCharCharCharCharChar">
    <w:name w:val="Char1 Char Char Char1 Char Char Char Char Char Char Char Char Char Char Char Char Char Char Char"/>
    <w:basedOn w:val="a"/>
    <w:autoRedefine/>
    <w:uiPriority w:val="99"/>
    <w:qFormat/>
    <w:pPr>
      <w:widowControl/>
      <w:spacing w:after="160"/>
      <w:jc w:val="left"/>
    </w:pPr>
    <w:rPr>
      <w:rFonts w:ascii="Verdana" w:eastAsia="仿宋_GB2312" w:hAnsi="Verdana" w:cs="”“Times New Roman”“"/>
      <w:kern w:val="0"/>
      <w:sz w:val="28"/>
      <w:szCs w:val="28"/>
      <w:lang w:eastAsia="en-US"/>
    </w:rPr>
  </w:style>
  <w:style w:type="paragraph" w:customStyle="1" w:styleId="afffffffffffffff0">
    <w:name w:val="表号文字"/>
    <w:basedOn w:val="a"/>
    <w:link w:val="Charfff4"/>
    <w:autoRedefine/>
    <w:qFormat/>
    <w:pPr>
      <w:adjustRightInd w:val="0"/>
      <w:snapToGrid w:val="0"/>
      <w:spacing w:before="120" w:line="300" w:lineRule="auto"/>
      <w:jc w:val="left"/>
    </w:pPr>
    <w:rPr>
      <w:rFonts w:eastAsia="黑体" w:cs="Times New Roman"/>
      <w:sz w:val="24"/>
      <w:szCs w:val="24"/>
    </w:rPr>
  </w:style>
  <w:style w:type="character" w:customStyle="1" w:styleId="Charfff4">
    <w:name w:val="表号文字 Char"/>
    <w:link w:val="afffffffffffffff0"/>
    <w:autoRedefine/>
    <w:qFormat/>
    <w:locked/>
    <w:rPr>
      <w:rFonts w:eastAsia="黑体"/>
      <w:kern w:val="2"/>
      <w:sz w:val="24"/>
      <w:szCs w:val="24"/>
    </w:rPr>
  </w:style>
  <w:style w:type="paragraph" w:customStyle="1" w:styleId="1fff6">
    <w:name w:val="1正文段落"/>
    <w:basedOn w:val="a"/>
    <w:link w:val="1CharChar0"/>
    <w:autoRedefine/>
    <w:qFormat/>
    <w:pPr>
      <w:ind w:firstLineChars="200" w:firstLine="480"/>
      <w:jc w:val="left"/>
    </w:pPr>
    <w:rPr>
      <w:rFonts w:cs="Times New Roman"/>
      <w:snapToGrid w:val="0"/>
      <w:kern w:val="0"/>
      <w:szCs w:val="24"/>
    </w:rPr>
  </w:style>
  <w:style w:type="character" w:customStyle="1" w:styleId="1CharChar0">
    <w:name w:val="1正文段落 Char Char"/>
    <w:link w:val="1fff6"/>
    <w:autoRedefine/>
    <w:qFormat/>
    <w:rPr>
      <w:snapToGrid w:val="0"/>
      <w:sz w:val="21"/>
      <w:szCs w:val="24"/>
    </w:rPr>
  </w:style>
  <w:style w:type="paragraph" w:customStyle="1" w:styleId="1fff7">
    <w:name w:val="1文章"/>
    <w:basedOn w:val="a"/>
    <w:autoRedefine/>
    <w:uiPriority w:val="99"/>
    <w:qFormat/>
    <w:pPr>
      <w:snapToGrid w:val="0"/>
      <w:spacing w:line="360" w:lineRule="auto"/>
      <w:ind w:firstLine="573"/>
    </w:pPr>
    <w:rPr>
      <w:rFonts w:eastAsia="仿宋_GB2312" w:cs="Times New Roman"/>
      <w:sz w:val="28"/>
      <w:szCs w:val="20"/>
    </w:rPr>
  </w:style>
  <w:style w:type="paragraph" w:customStyle="1" w:styleId="1fff8">
    <w:name w:val="蒲标题1"/>
    <w:basedOn w:val="1"/>
    <w:autoRedefine/>
    <w:uiPriority w:val="99"/>
    <w:qFormat/>
    <w:pPr>
      <w:numPr>
        <w:numId w:val="0"/>
      </w:numPr>
      <w:adjustRightInd w:val="0"/>
      <w:spacing w:line="240" w:lineRule="auto"/>
      <w:jc w:val="both"/>
    </w:pPr>
    <w:rPr>
      <w:rFonts w:cs="Times New Roman"/>
      <w:snapToGrid w:val="0"/>
      <w:color w:val="0000FF"/>
      <w:kern w:val="2"/>
      <w:szCs w:val="32"/>
    </w:rPr>
  </w:style>
  <w:style w:type="paragraph" w:customStyle="1" w:styleId="afffffffffffffff1">
    <w:name w:val="首行缩进"/>
    <w:basedOn w:val="a"/>
    <w:autoRedefine/>
    <w:uiPriority w:val="99"/>
    <w:qFormat/>
    <w:pPr>
      <w:snapToGrid w:val="0"/>
      <w:spacing w:line="360" w:lineRule="auto"/>
      <w:ind w:firstLine="499"/>
    </w:pPr>
    <w:rPr>
      <w:rFonts w:ascii="宋体" w:cs="Times New Roman"/>
      <w:sz w:val="24"/>
      <w:szCs w:val="20"/>
    </w:rPr>
  </w:style>
  <w:style w:type="paragraph" w:customStyle="1" w:styleId="1fff9">
    <w:name w:val="表1"/>
    <w:next w:val="a"/>
    <w:link w:val="1CharChar1"/>
    <w:autoRedefine/>
    <w:qFormat/>
    <w:pPr>
      <w:adjustRightInd w:val="0"/>
      <w:snapToGrid w:val="0"/>
      <w:jc w:val="center"/>
    </w:pPr>
    <w:rPr>
      <w:rFonts w:ascii="宋体"/>
      <w:sz w:val="21"/>
    </w:rPr>
  </w:style>
  <w:style w:type="character" w:customStyle="1" w:styleId="1CharChar1">
    <w:name w:val="表1 Char Char"/>
    <w:link w:val="1fff9"/>
    <w:autoRedefine/>
    <w:qFormat/>
    <w:rPr>
      <w:rFonts w:ascii="宋体"/>
      <w:sz w:val="21"/>
    </w:rPr>
  </w:style>
  <w:style w:type="paragraph" w:customStyle="1" w:styleId="xl26">
    <w:name w:val="xl26"/>
    <w:basedOn w:val="a"/>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Times New Roman"/>
      <w:kern w:val="0"/>
      <w:sz w:val="16"/>
      <w:szCs w:val="20"/>
    </w:rPr>
  </w:style>
  <w:style w:type="paragraph" w:customStyle="1" w:styleId="BodyText21">
    <w:name w:val="Body Text 21"/>
    <w:basedOn w:val="a"/>
    <w:link w:val="BodyText21Char"/>
    <w:autoRedefine/>
    <w:qFormat/>
    <w:pPr>
      <w:adjustRightInd w:val="0"/>
      <w:spacing w:line="500" w:lineRule="exact"/>
      <w:textAlignment w:val="baseline"/>
    </w:pPr>
    <w:rPr>
      <w:rFonts w:eastAsia="仿宋体" w:cs="Times New Roman"/>
      <w:sz w:val="24"/>
      <w:szCs w:val="20"/>
    </w:rPr>
  </w:style>
  <w:style w:type="character" w:customStyle="1" w:styleId="BodyText21Char">
    <w:name w:val="Body Text 21 Char"/>
    <w:link w:val="BodyText21"/>
    <w:autoRedefine/>
    <w:qFormat/>
    <w:rPr>
      <w:rFonts w:eastAsia="仿宋体"/>
      <w:kern w:val="2"/>
      <w:sz w:val="24"/>
    </w:rPr>
  </w:style>
  <w:style w:type="paragraph" w:customStyle="1" w:styleId="xl49">
    <w:name w:val="xl49"/>
    <w:basedOn w:val="a"/>
    <w:autoRedefine/>
    <w:uiPriority w:val="99"/>
    <w:qFormat/>
    <w:pPr>
      <w:widowControl/>
      <w:pBdr>
        <w:bottom w:val="single" w:sz="4" w:space="0" w:color="auto"/>
      </w:pBdr>
      <w:spacing w:before="100" w:beforeAutospacing="1" w:after="100" w:afterAutospacing="1"/>
      <w:jc w:val="center"/>
    </w:pPr>
    <w:rPr>
      <w:rFonts w:ascii="新宋体" w:eastAsia="新宋体" w:hAnsi="新宋体" w:cs="Times New Roman" w:hint="eastAsia"/>
      <w:kern w:val="0"/>
      <w:sz w:val="15"/>
      <w:szCs w:val="20"/>
    </w:rPr>
  </w:style>
  <w:style w:type="paragraph" w:customStyle="1" w:styleId="xl50">
    <w:name w:val="xl50"/>
    <w:basedOn w:val="a"/>
    <w:autoRedefine/>
    <w:uiPriority w:val="99"/>
    <w:qFormat/>
    <w:pPr>
      <w:widowControl/>
      <w:pBdr>
        <w:bottom w:val="single" w:sz="8" w:space="0" w:color="auto"/>
        <w:right w:val="single" w:sz="4" w:space="0" w:color="auto"/>
      </w:pBdr>
      <w:spacing w:before="100" w:beforeAutospacing="1" w:after="100" w:afterAutospacing="1"/>
    </w:pPr>
    <w:rPr>
      <w:rFonts w:ascii="Arial Unicode MS" w:eastAsia="Arial Unicode MS" w:hAnsi="Arial Unicode MS" w:cs="Times New Roman"/>
      <w:kern w:val="0"/>
      <w:sz w:val="18"/>
      <w:szCs w:val="20"/>
    </w:rPr>
  </w:style>
  <w:style w:type="paragraph" w:customStyle="1" w:styleId="ST201">
    <w:name w:val="ST20_1"/>
    <w:basedOn w:val="a"/>
    <w:autoRedefine/>
    <w:uiPriority w:val="99"/>
    <w:qFormat/>
    <w:pPr>
      <w:adjustRightInd w:val="0"/>
      <w:jc w:val="center"/>
      <w:textAlignment w:val="baseline"/>
    </w:pPr>
    <w:rPr>
      <w:rFonts w:ascii="宋体" w:cs="Times New Roman"/>
      <w:kern w:val="0"/>
      <w:szCs w:val="20"/>
    </w:rPr>
  </w:style>
  <w:style w:type="paragraph" w:customStyle="1" w:styleId="afffffffffffffff2">
    <w:name w:val="段"/>
    <w:autoRedefine/>
    <w:uiPriority w:val="99"/>
    <w:qFormat/>
    <w:pPr>
      <w:autoSpaceDE w:val="0"/>
      <w:autoSpaceDN w:val="0"/>
      <w:ind w:firstLineChars="200" w:firstLine="200"/>
      <w:jc w:val="both"/>
    </w:pPr>
    <w:rPr>
      <w:rFonts w:ascii="宋体"/>
      <w:sz w:val="21"/>
    </w:rPr>
  </w:style>
  <w:style w:type="paragraph" w:customStyle="1" w:styleId="xl24">
    <w:name w:val="xl24"/>
    <w:basedOn w:val="a"/>
    <w:autoRedefine/>
    <w:uiPriority w:val="99"/>
    <w:qFormat/>
    <w:pPr>
      <w:widowControl/>
      <w:pBdr>
        <w:bottom w:val="single" w:sz="4" w:space="0" w:color="auto"/>
        <w:right w:val="single" w:sz="4" w:space="0" w:color="auto"/>
      </w:pBdr>
      <w:spacing w:before="100" w:beforeAutospacing="1" w:after="100" w:afterAutospacing="1"/>
      <w:jc w:val="center"/>
    </w:pPr>
    <w:rPr>
      <w:rFonts w:ascii="Arial Unicode MS" w:eastAsia="Times New Roman" w:hAnsi="Arial Unicode MS" w:cs="Times New Roman"/>
      <w:kern w:val="0"/>
      <w:sz w:val="18"/>
      <w:szCs w:val="20"/>
    </w:rPr>
  </w:style>
  <w:style w:type="paragraph" w:customStyle="1" w:styleId="CharCharCharChar7">
    <w:name w:val="Char Char Char Char"/>
    <w:basedOn w:val="a"/>
    <w:autoRedefine/>
    <w:uiPriority w:val="99"/>
    <w:qFormat/>
    <w:rPr>
      <w:rFonts w:ascii="宋体" w:cs="宋体"/>
      <w:szCs w:val="21"/>
    </w:rPr>
  </w:style>
  <w:style w:type="paragraph" w:customStyle="1" w:styleId="Charfff5">
    <w:name w:val="表内文字 Char"/>
    <w:basedOn w:val="a"/>
    <w:autoRedefine/>
    <w:uiPriority w:val="99"/>
    <w:qFormat/>
    <w:pPr>
      <w:adjustRightInd w:val="0"/>
      <w:snapToGrid w:val="0"/>
      <w:jc w:val="center"/>
    </w:pPr>
    <w:rPr>
      <w:rFonts w:cs="Times New Roman"/>
      <w:color w:val="FF0000"/>
      <w:szCs w:val="21"/>
    </w:rPr>
  </w:style>
  <w:style w:type="paragraph" w:customStyle="1" w:styleId="CharChar9CharChar">
    <w:name w:val="Char Char9 Char Char"/>
    <w:basedOn w:val="a"/>
    <w:autoRedefine/>
    <w:uiPriority w:val="99"/>
    <w:qFormat/>
    <w:pPr>
      <w:adjustRightInd w:val="0"/>
      <w:snapToGrid w:val="0"/>
    </w:pPr>
    <w:rPr>
      <w:rFonts w:ascii="Verdana" w:hAnsi="Courier New" w:cs="仿宋_GB2312"/>
      <w:spacing w:val="2"/>
      <w:kern w:val="0"/>
      <w:szCs w:val="20"/>
    </w:rPr>
  </w:style>
  <w:style w:type="paragraph" w:customStyle="1" w:styleId="afffffffffffffff3">
    <w:name w:val="图片"/>
    <w:basedOn w:val="a"/>
    <w:next w:val="af4"/>
    <w:autoRedefine/>
    <w:uiPriority w:val="99"/>
    <w:qFormat/>
    <w:pPr>
      <w:spacing w:line="360" w:lineRule="auto"/>
      <w:ind w:firstLine="476"/>
      <w:jc w:val="left"/>
    </w:pPr>
    <w:rPr>
      <w:rFonts w:cs="Times New Roman"/>
      <w:kern w:val="0"/>
      <w:sz w:val="18"/>
      <w:szCs w:val="18"/>
    </w:rPr>
  </w:style>
  <w:style w:type="paragraph" w:customStyle="1" w:styleId="afffffffffffffff4">
    <w:name w:val="文仿小三"/>
    <w:basedOn w:val="a"/>
    <w:autoRedefine/>
    <w:uiPriority w:val="99"/>
    <w:qFormat/>
    <w:pPr>
      <w:adjustRightInd w:val="0"/>
      <w:snapToGrid w:val="0"/>
      <w:spacing w:line="600" w:lineRule="atLeast"/>
      <w:ind w:firstLineChars="225" w:firstLine="540"/>
    </w:pPr>
    <w:rPr>
      <w:rFonts w:ascii="仿宋_GB2312" w:eastAsia="仿宋_GB2312" w:cs="Times New Roman"/>
      <w:sz w:val="32"/>
      <w:szCs w:val="24"/>
    </w:rPr>
  </w:style>
  <w:style w:type="paragraph" w:customStyle="1" w:styleId="333050566">
    <w:name w:val="样式 样式 样式 标题 3标题 33 + 段前: 0.5 行 + 段前: 0.5 行 + 段前: 6 磅 段后: 6 磅"/>
    <w:basedOn w:val="a"/>
    <w:autoRedefine/>
    <w:uiPriority w:val="99"/>
    <w:qFormat/>
    <w:pPr>
      <w:keepNext/>
      <w:keepLines/>
      <w:spacing w:line="360" w:lineRule="auto"/>
      <w:outlineLvl w:val="2"/>
    </w:pPr>
    <w:rPr>
      <w:rFonts w:ascii="黑体" w:eastAsia="黑体" w:cs="Times New Roman"/>
      <w:snapToGrid w:val="0"/>
      <w:kern w:val="0"/>
      <w:sz w:val="24"/>
      <w:szCs w:val="20"/>
    </w:rPr>
  </w:style>
  <w:style w:type="paragraph" w:customStyle="1" w:styleId="156">
    <w:name w:val="样式 四号 行距: 1.5 倍行距"/>
    <w:basedOn w:val="a"/>
    <w:autoRedefine/>
    <w:uiPriority w:val="99"/>
    <w:qFormat/>
    <w:pPr>
      <w:spacing w:line="360" w:lineRule="auto"/>
    </w:pPr>
    <w:rPr>
      <w:rFonts w:cs="宋体"/>
      <w:sz w:val="28"/>
      <w:szCs w:val="20"/>
    </w:rPr>
  </w:style>
  <w:style w:type="paragraph" w:customStyle="1" w:styleId="2ff7">
    <w:name w:val="图表头2"/>
    <w:basedOn w:val="affffffff9"/>
    <w:autoRedefine/>
    <w:uiPriority w:val="99"/>
    <w:qFormat/>
    <w:pPr>
      <w:adjustRightInd w:val="0"/>
      <w:spacing w:before="0" w:line="240" w:lineRule="auto"/>
      <w:ind w:leftChars="-50" w:left="-50" w:rightChars="20" w:right="20"/>
      <w:jc w:val="both"/>
      <w:textAlignment w:val="baseline"/>
    </w:pPr>
    <w:rPr>
      <w:rFonts w:ascii="黑体" w:hAnsi="Times New Roman"/>
      <w:b/>
      <w:spacing w:val="5"/>
      <w:sz w:val="18"/>
      <w:szCs w:val="20"/>
    </w:rPr>
  </w:style>
  <w:style w:type="paragraph" w:customStyle="1" w:styleId="123">
    <w:name w:val="样式 正文文字1 + 首行缩进:  2 字符"/>
    <w:basedOn w:val="a"/>
    <w:autoRedefine/>
    <w:uiPriority w:val="99"/>
    <w:qFormat/>
    <w:pPr>
      <w:spacing w:line="300" w:lineRule="auto"/>
      <w:ind w:firstLineChars="200" w:firstLine="200"/>
    </w:pPr>
    <w:rPr>
      <w:rFonts w:cs="Times New Roman"/>
      <w:sz w:val="24"/>
      <w:szCs w:val="20"/>
    </w:rPr>
  </w:style>
  <w:style w:type="paragraph" w:customStyle="1" w:styleId="font13">
    <w:name w:val="font13"/>
    <w:basedOn w:val="a"/>
    <w:autoRedefine/>
    <w:uiPriority w:val="99"/>
    <w:qFormat/>
    <w:pPr>
      <w:widowControl/>
      <w:spacing w:before="100" w:beforeAutospacing="1" w:after="100" w:afterAutospacing="1"/>
      <w:jc w:val="left"/>
    </w:pPr>
    <w:rPr>
      <w:rFonts w:ascii="宋体" w:cs="Times New Roman"/>
      <w:color w:val="FF6600"/>
      <w:kern w:val="0"/>
      <w:sz w:val="24"/>
      <w:szCs w:val="20"/>
    </w:rPr>
  </w:style>
  <w:style w:type="paragraph" w:customStyle="1" w:styleId="tableoffigures1">
    <w:name w:val="table of figures1"/>
    <w:basedOn w:val="3fa"/>
    <w:next w:val="3fa"/>
    <w:autoRedefine/>
    <w:uiPriority w:val="99"/>
    <w:qFormat/>
    <w:pPr>
      <w:tabs>
        <w:tab w:val="right" w:leader="dot" w:pos="8051"/>
      </w:tabs>
      <w:ind w:left="840" w:hanging="840"/>
    </w:pPr>
    <w:rPr>
      <w:sz w:val="24"/>
    </w:rPr>
  </w:style>
  <w:style w:type="paragraph" w:customStyle="1" w:styleId="CharCharCharCharChar1Char">
    <w:name w:val="Char Char Char Char Char1 Char"/>
    <w:basedOn w:val="af8"/>
    <w:autoRedefine/>
    <w:uiPriority w:val="99"/>
    <w:semiHidden/>
    <w:qFormat/>
    <w:rPr>
      <w:rFonts w:ascii="Tahoma" w:hAnsi="Tahoma" w:cs="Tahoma"/>
      <w:sz w:val="18"/>
      <w:szCs w:val="24"/>
    </w:rPr>
  </w:style>
  <w:style w:type="paragraph" w:customStyle="1" w:styleId="xl29">
    <w:name w:val="xl29"/>
    <w:basedOn w:val="a"/>
    <w:autoRedefine/>
    <w:uiPriority w:val="99"/>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Times New Roman"/>
      <w:kern w:val="0"/>
      <w:sz w:val="16"/>
      <w:szCs w:val="20"/>
    </w:rPr>
  </w:style>
  <w:style w:type="paragraph" w:customStyle="1" w:styleId="afffffffffffffff5">
    <w:name w:val="表格前后"/>
    <w:basedOn w:val="a"/>
    <w:next w:val="xyb2"/>
    <w:autoRedefine/>
    <w:uiPriority w:val="99"/>
    <w:qFormat/>
    <w:pPr>
      <w:textAlignment w:val="baseline"/>
    </w:pPr>
    <w:rPr>
      <w:rFonts w:cs="Times New Roman"/>
      <w:kern w:val="0"/>
      <w:sz w:val="18"/>
      <w:szCs w:val="20"/>
    </w:rPr>
  </w:style>
  <w:style w:type="paragraph" w:customStyle="1" w:styleId="afffffffffffffff6">
    <w:name w:val="使用正文"/>
    <w:basedOn w:val="a"/>
    <w:autoRedefine/>
    <w:uiPriority w:val="99"/>
    <w:qFormat/>
    <w:pPr>
      <w:snapToGrid w:val="0"/>
      <w:spacing w:line="360" w:lineRule="auto"/>
      <w:ind w:firstLine="573"/>
    </w:pPr>
    <w:rPr>
      <w:rFonts w:cs="Times New Roman"/>
      <w:sz w:val="28"/>
      <w:szCs w:val="20"/>
    </w:rPr>
  </w:style>
  <w:style w:type="paragraph" w:customStyle="1" w:styleId="1fffa">
    <w:name w:val="项目1"/>
    <w:basedOn w:val="a"/>
    <w:autoRedefine/>
    <w:uiPriority w:val="99"/>
    <w:qFormat/>
    <w:pPr>
      <w:tabs>
        <w:tab w:val="left" w:pos="425"/>
      </w:tabs>
      <w:snapToGrid w:val="0"/>
      <w:spacing w:line="0" w:lineRule="atLeast"/>
      <w:ind w:left="425" w:hanging="425"/>
    </w:pPr>
    <w:rPr>
      <w:rFonts w:cs="Times New Roman"/>
      <w:sz w:val="28"/>
      <w:szCs w:val="20"/>
    </w:rPr>
  </w:style>
  <w:style w:type="paragraph" w:customStyle="1" w:styleId="CharCharf4">
    <w:name w:val="正文缩进（自定义） Char Char"/>
    <w:basedOn w:val="a"/>
    <w:autoRedefine/>
    <w:uiPriority w:val="99"/>
    <w:qFormat/>
    <w:pPr>
      <w:spacing w:before="120" w:after="120" w:line="360" w:lineRule="auto"/>
      <w:ind w:firstLineChars="200" w:firstLine="480"/>
    </w:pPr>
    <w:rPr>
      <w:rFonts w:ascii="Century Gothic" w:hAnsi="Century Gothic" w:cs="Times New Roman"/>
      <w:kern w:val="0"/>
      <w:sz w:val="24"/>
      <w:szCs w:val="20"/>
    </w:rPr>
  </w:style>
  <w:style w:type="paragraph" w:customStyle="1" w:styleId="11110">
    <w:name w:val="1.1.1.1"/>
    <w:basedOn w:val="a"/>
    <w:autoRedefine/>
    <w:uiPriority w:val="99"/>
    <w:qFormat/>
    <w:pPr>
      <w:spacing w:line="500" w:lineRule="atLeast"/>
      <w:ind w:firstLineChars="200" w:firstLine="200"/>
    </w:pPr>
    <w:rPr>
      <w:rFonts w:cs="Times New Roman"/>
      <w:b/>
      <w:sz w:val="24"/>
      <w:szCs w:val="20"/>
    </w:rPr>
  </w:style>
  <w:style w:type="paragraph" w:customStyle="1" w:styleId="afffffffffffffff7">
    <w:name w:val="一、"/>
    <w:basedOn w:val="a"/>
    <w:autoRedefine/>
    <w:uiPriority w:val="99"/>
    <w:qFormat/>
    <w:pPr>
      <w:spacing w:beforeLines="50" w:afterLines="50" w:line="480" w:lineRule="exact"/>
      <w:ind w:firstLineChars="200" w:firstLine="562"/>
      <w:jc w:val="center"/>
    </w:pPr>
    <w:rPr>
      <w:rFonts w:ascii="仿宋_GB2312" w:eastAsia="黑体" w:cs="Times New Roman"/>
      <w:b/>
      <w:sz w:val="28"/>
      <w:szCs w:val="20"/>
    </w:rPr>
  </w:style>
  <w:style w:type="paragraph" w:customStyle="1" w:styleId="Char31">
    <w:name w:val="Char31"/>
    <w:basedOn w:val="a"/>
    <w:autoRedefine/>
    <w:uiPriority w:val="99"/>
    <w:qFormat/>
    <w:pPr>
      <w:spacing w:line="360" w:lineRule="auto"/>
      <w:ind w:firstLineChars="200" w:firstLine="200"/>
    </w:pPr>
    <w:rPr>
      <w:rFonts w:ascii="宋体" w:cs="Times New Roman"/>
      <w:sz w:val="24"/>
      <w:szCs w:val="20"/>
    </w:rPr>
  </w:style>
  <w:style w:type="paragraph" w:customStyle="1" w:styleId="-10">
    <w:name w:val="內文-1"/>
    <w:basedOn w:val="a"/>
    <w:autoRedefine/>
    <w:uiPriority w:val="99"/>
    <w:qFormat/>
    <w:pPr>
      <w:topLinePunct/>
      <w:adjustRightInd w:val="0"/>
      <w:spacing w:line="384" w:lineRule="exact"/>
      <w:ind w:firstLine="482"/>
      <w:textAlignment w:val="baseline"/>
    </w:pPr>
    <w:rPr>
      <w:rFonts w:eastAsia="華康中明體" w:cs="Times New Roman"/>
      <w:kern w:val="20"/>
      <w:sz w:val="24"/>
      <w:szCs w:val="20"/>
      <w:lang w:eastAsia="zh-TW"/>
    </w:rPr>
  </w:style>
  <w:style w:type="paragraph" w:customStyle="1" w:styleId="5f0">
    <w:name w:val="5"/>
    <w:basedOn w:val="a"/>
    <w:next w:val="afffd"/>
    <w:autoRedefine/>
    <w:uiPriority w:val="99"/>
    <w:qFormat/>
    <w:rPr>
      <w:rFonts w:cs="Times New Roman"/>
      <w:sz w:val="24"/>
      <w:szCs w:val="20"/>
    </w:rPr>
  </w:style>
  <w:style w:type="paragraph" w:customStyle="1" w:styleId="4f1">
    <w:name w:val="标题4"/>
    <w:basedOn w:val="a"/>
    <w:autoRedefine/>
    <w:uiPriority w:val="99"/>
    <w:qFormat/>
    <w:pPr>
      <w:spacing w:line="360" w:lineRule="auto"/>
    </w:pPr>
    <w:rPr>
      <w:rFonts w:cs="Times New Roman"/>
      <w:b/>
      <w:sz w:val="24"/>
      <w:szCs w:val="20"/>
    </w:rPr>
  </w:style>
  <w:style w:type="paragraph" w:customStyle="1" w:styleId="140">
    <w:name w:val="样式14"/>
    <w:basedOn w:val="a"/>
    <w:autoRedefine/>
    <w:uiPriority w:val="99"/>
    <w:qFormat/>
    <w:pPr>
      <w:jc w:val="center"/>
    </w:pPr>
    <w:rPr>
      <w:rFonts w:eastAsia="黑体" w:cs="Times New Roman"/>
      <w:kern w:val="0"/>
      <w:sz w:val="24"/>
      <w:szCs w:val="20"/>
    </w:rPr>
  </w:style>
  <w:style w:type="paragraph" w:customStyle="1" w:styleId="afffffffffffffff8">
    <w:name w:val="表格样式"/>
    <w:basedOn w:val="a"/>
    <w:autoRedefine/>
    <w:uiPriority w:val="99"/>
    <w:qFormat/>
    <w:pPr>
      <w:adjustRightInd w:val="0"/>
      <w:snapToGrid w:val="0"/>
      <w:jc w:val="center"/>
      <w:textAlignment w:val="baseline"/>
    </w:pPr>
    <w:rPr>
      <w:rFonts w:ascii="宋体" w:cs="Times New Roman"/>
      <w:snapToGrid w:val="0"/>
      <w:color w:val="000000"/>
      <w:kern w:val="0"/>
      <w:sz w:val="24"/>
      <w:szCs w:val="20"/>
    </w:rPr>
  </w:style>
  <w:style w:type="paragraph" w:customStyle="1" w:styleId="CharCharChar9">
    <w:name w:val="Char Char Char"/>
    <w:basedOn w:val="a"/>
    <w:autoRedefine/>
    <w:uiPriority w:val="99"/>
    <w:qFormat/>
    <w:rPr>
      <w:rFonts w:ascii="宋体" w:cs="Times New Roman"/>
      <w:szCs w:val="20"/>
    </w:rPr>
  </w:style>
  <w:style w:type="paragraph" w:customStyle="1" w:styleId="074">
    <w:name w:val="样式 左侧:  0.74 厘米"/>
    <w:basedOn w:val="a"/>
    <w:autoRedefine/>
    <w:uiPriority w:val="99"/>
    <w:qFormat/>
    <w:pPr>
      <w:ind w:firstLineChars="200" w:firstLine="200"/>
    </w:pPr>
    <w:rPr>
      <w:rFonts w:cs="宋体"/>
      <w:szCs w:val="20"/>
    </w:rPr>
  </w:style>
  <w:style w:type="paragraph" w:customStyle="1" w:styleId="w">
    <w:name w:val="w正文"/>
    <w:basedOn w:val="a"/>
    <w:autoRedefine/>
    <w:uiPriority w:val="99"/>
    <w:qFormat/>
    <w:pPr>
      <w:spacing w:line="360" w:lineRule="auto"/>
      <w:ind w:firstLineChars="200" w:firstLine="496"/>
    </w:pPr>
    <w:rPr>
      <w:rFonts w:cs="Times New Roman"/>
      <w:spacing w:val="4"/>
      <w:sz w:val="24"/>
      <w:szCs w:val="20"/>
    </w:rPr>
  </w:style>
  <w:style w:type="paragraph" w:customStyle="1" w:styleId="xl71">
    <w:name w:val="xl71"/>
    <w:basedOn w:val="a"/>
    <w:autoRedefine/>
    <w:uiPriority w:val="99"/>
    <w:qFormat/>
    <w:pPr>
      <w:widowControl/>
      <w:pBdr>
        <w:bottom w:val="single" w:sz="4" w:space="0" w:color="auto"/>
        <w:right w:val="single" w:sz="4" w:space="0" w:color="auto"/>
      </w:pBdr>
      <w:spacing w:before="100" w:beforeAutospacing="1" w:after="100" w:afterAutospacing="1"/>
      <w:jc w:val="center"/>
    </w:pPr>
    <w:rPr>
      <w:rFonts w:eastAsia="Arial Unicode MS" w:cs="Times New Roman"/>
      <w:kern w:val="0"/>
      <w:sz w:val="18"/>
      <w:szCs w:val="20"/>
    </w:rPr>
  </w:style>
  <w:style w:type="paragraph" w:customStyle="1" w:styleId="afffffffffffffff9">
    <w:name w:val="样式 正文文本 + 红色"/>
    <w:basedOn w:val="af"/>
    <w:autoRedefine/>
    <w:uiPriority w:val="99"/>
    <w:qFormat/>
    <w:pPr>
      <w:kinsoku/>
      <w:snapToGrid w:val="0"/>
      <w:spacing w:before="60" w:after="60" w:line="264" w:lineRule="auto"/>
      <w:ind w:firstLineChars="200" w:firstLine="200"/>
      <w:jc w:val="both"/>
    </w:pPr>
    <w:rPr>
      <w:rFonts w:eastAsia="仿宋_GB2312"/>
      <w:snapToGrid w:val="0"/>
      <w:color w:val="FF0000"/>
      <w:kern w:val="0"/>
      <w:sz w:val="24"/>
    </w:rPr>
  </w:style>
  <w:style w:type="paragraph" w:customStyle="1" w:styleId="Char211">
    <w:name w:val="Char211"/>
    <w:basedOn w:val="a"/>
    <w:autoRedefine/>
    <w:uiPriority w:val="99"/>
    <w:qFormat/>
    <w:pPr>
      <w:spacing w:line="360" w:lineRule="auto"/>
      <w:ind w:firstLineChars="200" w:firstLine="200"/>
    </w:pPr>
    <w:rPr>
      <w:rFonts w:ascii="宋体" w:cs="Times New Roman"/>
      <w:sz w:val="24"/>
      <w:szCs w:val="20"/>
    </w:rPr>
  </w:style>
  <w:style w:type="paragraph" w:customStyle="1" w:styleId="s02">
    <w:name w:val="s02"/>
    <w:basedOn w:val="a"/>
    <w:autoRedefine/>
    <w:uiPriority w:val="99"/>
    <w:qFormat/>
    <w:pPr>
      <w:widowControl/>
      <w:spacing w:before="100" w:beforeAutospacing="1" w:after="100" w:afterAutospacing="1" w:line="360" w:lineRule="auto"/>
      <w:jc w:val="left"/>
    </w:pPr>
    <w:rPr>
      <w:rFonts w:ascii="宋体" w:hAnsi="宋体" w:cs="宋体"/>
      <w:color w:val="000000"/>
      <w:kern w:val="0"/>
      <w:sz w:val="16"/>
      <w:szCs w:val="16"/>
    </w:rPr>
  </w:style>
  <w:style w:type="paragraph" w:customStyle="1" w:styleId="xl60">
    <w:name w:val="xl60"/>
    <w:basedOn w:val="a"/>
    <w:autoRedefine/>
    <w:uiPriority w:val="99"/>
    <w:qFormat/>
    <w:pPr>
      <w:widowControl/>
      <w:pBdr>
        <w:top w:val="single" w:sz="8" w:space="0" w:color="auto"/>
        <w:bottom w:val="single" w:sz="4" w:space="0" w:color="auto"/>
      </w:pBdr>
      <w:spacing w:before="100" w:beforeAutospacing="1" w:after="100" w:afterAutospacing="1"/>
      <w:jc w:val="center"/>
    </w:pPr>
    <w:rPr>
      <w:rFonts w:eastAsia="Arial Unicode MS" w:cs="Times New Roman"/>
      <w:kern w:val="0"/>
      <w:szCs w:val="20"/>
    </w:rPr>
  </w:style>
  <w:style w:type="paragraph" w:customStyle="1" w:styleId="edri-1">
    <w:name w:val="edri-制表位1"/>
    <w:basedOn w:val="a"/>
    <w:autoRedefine/>
    <w:uiPriority w:val="99"/>
    <w:qFormat/>
    <w:pPr>
      <w:tabs>
        <w:tab w:val="left" w:pos="4620"/>
      </w:tabs>
      <w:snapToGrid w:val="0"/>
      <w:spacing w:line="360" w:lineRule="auto"/>
      <w:ind w:leftChars="173" w:left="363" w:firstLineChars="600" w:firstLine="1440"/>
    </w:pPr>
    <w:rPr>
      <w:rFonts w:cs="Times New Roman"/>
      <w:snapToGrid w:val="0"/>
      <w:sz w:val="24"/>
      <w:szCs w:val="24"/>
    </w:rPr>
  </w:style>
  <w:style w:type="paragraph" w:customStyle="1" w:styleId="xl72">
    <w:name w:val="xl72"/>
    <w:basedOn w:val="a"/>
    <w:autoRedefine/>
    <w:uiPriority w:val="99"/>
    <w:qFormat/>
    <w:pPr>
      <w:widowControl/>
      <w:pBdr>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kern w:val="0"/>
      <w:sz w:val="18"/>
      <w:szCs w:val="20"/>
    </w:rPr>
  </w:style>
  <w:style w:type="paragraph" w:customStyle="1" w:styleId="afffffffffffffffa">
    <w:name w:val="圖標題"/>
    <w:basedOn w:val="a"/>
    <w:autoRedefine/>
    <w:uiPriority w:val="99"/>
    <w:qFormat/>
    <w:pPr>
      <w:topLinePunct/>
      <w:adjustRightInd w:val="0"/>
      <w:spacing w:line="384" w:lineRule="exact"/>
      <w:jc w:val="center"/>
      <w:textAlignment w:val="baseline"/>
    </w:pPr>
    <w:rPr>
      <w:rFonts w:ascii="Arial" w:eastAsia="華康粗黑體" w:hAnsi="Arial" w:cs="Arial"/>
      <w:kern w:val="20"/>
      <w:sz w:val="24"/>
      <w:szCs w:val="20"/>
      <w:lang w:eastAsia="zh-TW"/>
    </w:rPr>
  </w:style>
  <w:style w:type="paragraph" w:customStyle="1" w:styleId="3fb">
    <w:name w:val="3"/>
    <w:basedOn w:val="a"/>
    <w:next w:val="25"/>
    <w:autoRedefine/>
    <w:uiPriority w:val="99"/>
    <w:qFormat/>
    <w:pPr>
      <w:spacing w:line="500" w:lineRule="exact"/>
      <w:ind w:firstLineChars="200" w:firstLine="480"/>
    </w:pPr>
    <w:rPr>
      <w:rFonts w:cs="Times New Roman"/>
      <w:sz w:val="24"/>
      <w:szCs w:val="20"/>
    </w:rPr>
  </w:style>
  <w:style w:type="paragraph" w:customStyle="1" w:styleId="YPY0">
    <w:name w:val="YPY表格"/>
    <w:basedOn w:val="a"/>
    <w:autoRedefine/>
    <w:uiPriority w:val="99"/>
    <w:qFormat/>
    <w:pPr>
      <w:ind w:leftChars="-50" w:left="-105" w:rightChars="-50" w:right="-105"/>
      <w:jc w:val="center"/>
    </w:pPr>
    <w:rPr>
      <w:rFonts w:cs="宋体"/>
      <w:szCs w:val="20"/>
    </w:rPr>
  </w:style>
  <w:style w:type="paragraph" w:customStyle="1" w:styleId="CharCharChar21">
    <w:name w:val="Char Char Char21"/>
    <w:basedOn w:val="a"/>
    <w:autoRedefine/>
    <w:uiPriority w:val="99"/>
    <w:qFormat/>
    <w:pPr>
      <w:spacing w:line="360" w:lineRule="auto"/>
      <w:ind w:firstLineChars="200" w:firstLine="200"/>
    </w:pPr>
    <w:rPr>
      <w:rFonts w:ascii="宋体" w:cs="Times New Roman"/>
      <w:sz w:val="24"/>
      <w:szCs w:val="20"/>
    </w:rPr>
  </w:style>
  <w:style w:type="paragraph" w:customStyle="1" w:styleId="1fffb">
    <w:name w:val="(1)"/>
    <w:basedOn w:val="a"/>
    <w:autoRedefine/>
    <w:uiPriority w:val="99"/>
    <w:qFormat/>
    <w:pPr>
      <w:spacing w:line="500" w:lineRule="atLeast"/>
      <w:ind w:firstLineChars="200" w:firstLine="200"/>
    </w:pPr>
    <w:rPr>
      <w:rFonts w:cs="Times New Roman"/>
      <w:b/>
      <w:sz w:val="24"/>
      <w:szCs w:val="20"/>
    </w:rPr>
  </w:style>
  <w:style w:type="paragraph" w:customStyle="1" w:styleId="CharCharCharCharCharCharChar11">
    <w:name w:val="Char Char Char Char Char Char Char11"/>
    <w:basedOn w:val="a"/>
    <w:autoRedefine/>
    <w:uiPriority w:val="99"/>
    <w:qFormat/>
    <w:rPr>
      <w:rFonts w:ascii="宋体" w:cs="Times New Roman"/>
      <w:sz w:val="24"/>
      <w:szCs w:val="20"/>
    </w:rPr>
  </w:style>
  <w:style w:type="paragraph" w:customStyle="1" w:styleId="CharCharCharChar1CharCharChar">
    <w:name w:val="Char Char Char Char1 Char Char Char"/>
    <w:basedOn w:val="a"/>
    <w:autoRedefine/>
    <w:uiPriority w:val="99"/>
    <w:qFormat/>
    <w:rPr>
      <w:rFonts w:cs="Times New Roman"/>
      <w:sz w:val="24"/>
      <w:szCs w:val="24"/>
    </w:rPr>
  </w:style>
  <w:style w:type="paragraph" w:customStyle="1" w:styleId="08515">
    <w:name w:val="样式 四号 首行缩进:  0.85 厘米 行距: 1.5 倍行距"/>
    <w:basedOn w:val="a"/>
    <w:autoRedefine/>
    <w:uiPriority w:val="99"/>
    <w:qFormat/>
    <w:pPr>
      <w:spacing w:line="360" w:lineRule="auto"/>
      <w:ind w:firstLine="480"/>
    </w:pPr>
    <w:rPr>
      <w:rFonts w:cs="宋体"/>
      <w:sz w:val="28"/>
      <w:szCs w:val="20"/>
    </w:rPr>
  </w:style>
  <w:style w:type="paragraph" w:customStyle="1" w:styleId="xl25">
    <w:name w:val="xl25"/>
    <w:basedOn w:val="a"/>
    <w:autoRedefine/>
    <w:uiPriority w:val="99"/>
    <w:qFormat/>
    <w:pPr>
      <w:widowControl/>
      <w:pBdr>
        <w:bottom w:val="single" w:sz="4" w:space="0" w:color="auto"/>
        <w:right w:val="single" w:sz="4" w:space="0" w:color="auto"/>
      </w:pBdr>
      <w:spacing w:before="100" w:beforeAutospacing="1" w:after="100" w:afterAutospacing="1"/>
      <w:jc w:val="center"/>
    </w:pPr>
    <w:rPr>
      <w:rFonts w:cs="Times New Roman"/>
      <w:kern w:val="0"/>
      <w:sz w:val="24"/>
      <w:szCs w:val="20"/>
    </w:rPr>
  </w:style>
  <w:style w:type="paragraph" w:customStyle="1" w:styleId="ttxtl">
    <w:name w:val="ttxtl"/>
    <w:basedOn w:val="a"/>
    <w:autoRedefine/>
    <w:uiPriority w:val="99"/>
    <w:qFormat/>
    <w:pPr>
      <w:widowControl/>
      <w:spacing w:before="100" w:beforeAutospacing="1" w:after="100" w:afterAutospacing="1"/>
      <w:jc w:val="left"/>
    </w:pPr>
    <w:rPr>
      <w:rFonts w:ascii="宋体" w:hAnsi="宋体" w:cs="Times New Roman"/>
      <w:kern w:val="0"/>
      <w:sz w:val="24"/>
      <w:szCs w:val="24"/>
    </w:rPr>
  </w:style>
  <w:style w:type="paragraph" w:customStyle="1" w:styleId="ttxt">
    <w:name w:val="ttxt"/>
    <w:basedOn w:val="a"/>
    <w:autoRedefine/>
    <w:uiPriority w:val="99"/>
    <w:qFormat/>
    <w:pPr>
      <w:widowControl/>
      <w:spacing w:before="100" w:beforeAutospacing="1" w:after="100" w:afterAutospacing="1"/>
      <w:jc w:val="left"/>
    </w:pPr>
    <w:rPr>
      <w:rFonts w:ascii="宋体" w:hAnsi="宋体" w:cs="Times New Roman"/>
      <w:kern w:val="0"/>
      <w:sz w:val="24"/>
      <w:szCs w:val="24"/>
    </w:rPr>
  </w:style>
  <w:style w:type="paragraph" w:customStyle="1" w:styleId="inhalt1">
    <w:name w:val="inhalt1"/>
    <w:basedOn w:val="a"/>
    <w:autoRedefine/>
    <w:uiPriority w:val="99"/>
    <w:qFormat/>
    <w:pPr>
      <w:widowControl/>
      <w:spacing w:before="100" w:beforeAutospacing="1" w:after="100" w:afterAutospacing="1"/>
      <w:jc w:val="left"/>
    </w:pPr>
    <w:rPr>
      <w:rFonts w:ascii="宋体" w:hAnsi="宋体" w:cs="Times New Roman"/>
      <w:color w:val="000000"/>
      <w:kern w:val="0"/>
      <w:sz w:val="24"/>
      <w:szCs w:val="24"/>
    </w:rPr>
  </w:style>
  <w:style w:type="paragraph" w:customStyle="1" w:styleId="1TimesNewRoman6">
    <w:name w:val="样式 标题 1 + Times New Roman 二号 段后: 6 磅 行距: 单倍行距"/>
    <w:basedOn w:val="1"/>
    <w:autoRedefine/>
    <w:uiPriority w:val="99"/>
    <w:qFormat/>
    <w:pPr>
      <w:numPr>
        <w:numId w:val="0"/>
      </w:numPr>
      <w:tabs>
        <w:tab w:val="left" w:pos="425"/>
      </w:tabs>
      <w:adjustRightInd w:val="0"/>
      <w:spacing w:line="240" w:lineRule="auto"/>
      <w:ind w:left="425" w:hanging="425"/>
      <w:jc w:val="both"/>
      <w:textAlignment w:val="baseline"/>
    </w:pPr>
    <w:rPr>
      <w:rFonts w:eastAsia="黑体" w:cs="宋体"/>
      <w:b w:val="0"/>
      <w:sz w:val="44"/>
      <w:szCs w:val="20"/>
    </w:rPr>
  </w:style>
  <w:style w:type="paragraph" w:customStyle="1" w:styleId="162">
    <w:name w:val="样式 标题 1 + 段后: 6 磅"/>
    <w:basedOn w:val="1"/>
    <w:autoRedefine/>
    <w:uiPriority w:val="99"/>
    <w:qFormat/>
    <w:pPr>
      <w:numPr>
        <w:numId w:val="0"/>
      </w:numPr>
      <w:tabs>
        <w:tab w:val="left" w:pos="360"/>
      </w:tabs>
      <w:spacing w:line="240" w:lineRule="auto"/>
      <w:ind w:left="170" w:hanging="170"/>
      <w:jc w:val="both"/>
    </w:pPr>
    <w:rPr>
      <w:rFonts w:eastAsia="黑体" w:cs="宋体"/>
      <w:b w:val="0"/>
      <w:sz w:val="84"/>
      <w:szCs w:val="20"/>
    </w:rPr>
  </w:style>
  <w:style w:type="paragraph" w:customStyle="1" w:styleId="2H2h200">
    <w:name w:val="样式 标题 2第一层条H2h2 + 左侧:  0 厘米 首行缩进:  0 厘米"/>
    <w:basedOn w:val="20"/>
    <w:autoRedefine/>
    <w:uiPriority w:val="99"/>
    <w:qFormat/>
    <w:pPr>
      <w:numPr>
        <w:ilvl w:val="0"/>
        <w:numId w:val="0"/>
      </w:numPr>
      <w:tabs>
        <w:tab w:val="left" w:pos="737"/>
      </w:tabs>
      <w:adjustRightInd w:val="0"/>
      <w:snapToGrid w:val="0"/>
      <w:spacing w:before="0" w:after="0"/>
      <w:ind w:left="737" w:hanging="737"/>
      <w:jc w:val="left"/>
      <w:textAlignment w:val="baseline"/>
    </w:pPr>
    <w:rPr>
      <w:rFonts w:ascii="黑体" w:eastAsia="黑体" w:cs="宋体"/>
      <w:b w:val="0"/>
      <w:color w:val="000000"/>
      <w:kern w:val="32"/>
      <w:sz w:val="32"/>
    </w:rPr>
  </w:style>
  <w:style w:type="paragraph" w:customStyle="1" w:styleId="4H">
    <w:name w:val="列表 4H"/>
    <w:basedOn w:val="46"/>
    <w:autoRedefine/>
    <w:uiPriority w:val="99"/>
    <w:qFormat/>
    <w:pPr>
      <w:tabs>
        <w:tab w:val="left" w:pos="1021"/>
      </w:tabs>
      <w:adjustRightInd/>
      <w:spacing w:afterLines="30" w:line="288" w:lineRule="auto"/>
      <w:ind w:left="1021" w:hanging="454"/>
      <w:textAlignment w:val="auto"/>
    </w:pPr>
    <w:rPr>
      <w:rFonts w:ascii="Courier New" w:hAnsi="Courier New" w:cs="仿宋_GB2312"/>
      <w:color w:val="CCFFFF"/>
      <w:kern w:val="2"/>
    </w:rPr>
  </w:style>
  <w:style w:type="paragraph" w:customStyle="1" w:styleId="4PIM4h44Char1187">
    <w:name w:val="样式 样式 标题 4第三层条PIM 4h4标题 4 Char + 右侧:  1 字符 + 左侧:  1.87 厘米"/>
    <w:basedOn w:val="a"/>
    <w:autoRedefine/>
    <w:uiPriority w:val="99"/>
    <w:qFormat/>
    <w:pPr>
      <w:tabs>
        <w:tab w:val="left" w:pos="851"/>
      </w:tabs>
      <w:ind w:left="851" w:hanging="851"/>
    </w:pPr>
    <w:rPr>
      <w:rFonts w:cs="Times New Roman"/>
      <w:szCs w:val="24"/>
    </w:rPr>
  </w:style>
  <w:style w:type="paragraph" w:customStyle="1" w:styleId="2211H2h241lxb2Char">
    <w:name w:val="样式 标题 2节标题标题21.1H2h2第一层条4.1二级标题标题 lxb2二级标题 Char表标题单位..."/>
    <w:basedOn w:val="a"/>
    <w:autoRedefine/>
    <w:uiPriority w:val="99"/>
    <w:qFormat/>
    <w:pPr>
      <w:tabs>
        <w:tab w:val="left" w:pos="567"/>
      </w:tabs>
      <w:ind w:left="567" w:hanging="567"/>
    </w:pPr>
    <w:rPr>
      <w:rFonts w:cs="Times New Roman"/>
      <w:szCs w:val="24"/>
    </w:rPr>
  </w:style>
  <w:style w:type="paragraph" w:customStyle="1" w:styleId="1fffc">
    <w:name w:val="小标题(1)"/>
    <w:basedOn w:val="af"/>
    <w:autoRedefine/>
    <w:uiPriority w:val="99"/>
    <w:qFormat/>
    <w:pPr>
      <w:kinsoku/>
      <w:snapToGrid w:val="0"/>
      <w:spacing w:before="60" w:after="60" w:line="264" w:lineRule="auto"/>
      <w:ind w:firstLineChars="100" w:firstLine="240"/>
      <w:jc w:val="both"/>
    </w:pPr>
    <w:rPr>
      <w:rFonts w:eastAsia="仿宋_GB2312"/>
      <w:snapToGrid w:val="0"/>
      <w:kern w:val="0"/>
      <w:sz w:val="24"/>
    </w:rPr>
  </w:style>
  <w:style w:type="paragraph" w:customStyle="1" w:styleId="afffffffffffffffb">
    <w:name w:val="小标题@"/>
    <w:basedOn w:val="a"/>
    <w:autoRedefine/>
    <w:uiPriority w:val="99"/>
    <w:qFormat/>
    <w:pPr>
      <w:adjustRightInd w:val="0"/>
      <w:spacing w:before="60" w:after="60"/>
      <w:textAlignment w:val="baseline"/>
    </w:pPr>
    <w:rPr>
      <w:rFonts w:cs="Times New Roman"/>
      <w:sz w:val="24"/>
      <w:szCs w:val="20"/>
    </w:rPr>
  </w:style>
  <w:style w:type="paragraph" w:customStyle="1" w:styleId="88">
    <w:name w:val="8"/>
    <w:basedOn w:val="a"/>
    <w:next w:val="a"/>
    <w:link w:val="8Char1"/>
    <w:autoRedefine/>
    <w:qFormat/>
    <w:pPr>
      <w:adjustRightInd w:val="0"/>
      <w:spacing w:before="60"/>
      <w:ind w:firstLine="480"/>
      <w:textAlignment w:val="baseline"/>
    </w:pPr>
    <w:rPr>
      <w:rFonts w:cs="Times New Roman"/>
      <w:color w:val="FF0000"/>
      <w:sz w:val="24"/>
      <w:szCs w:val="20"/>
    </w:rPr>
  </w:style>
  <w:style w:type="character" w:customStyle="1" w:styleId="8Char1">
    <w:name w:val="8 Char1"/>
    <w:link w:val="88"/>
    <w:autoRedefine/>
    <w:qFormat/>
    <w:rPr>
      <w:color w:val="FF0000"/>
      <w:kern w:val="2"/>
      <w:sz w:val="24"/>
    </w:rPr>
  </w:style>
  <w:style w:type="paragraph" w:customStyle="1" w:styleId="4L">
    <w:name w:val="列表 4L"/>
    <w:basedOn w:val="46"/>
    <w:autoRedefine/>
    <w:uiPriority w:val="99"/>
    <w:qFormat/>
    <w:pPr>
      <w:tabs>
        <w:tab w:val="left" w:pos="1021"/>
      </w:tabs>
      <w:adjustRightInd/>
      <w:spacing w:afterLines="30" w:line="288" w:lineRule="auto"/>
      <w:ind w:left="1021" w:hanging="454"/>
      <w:textAlignment w:val="auto"/>
    </w:pPr>
    <w:rPr>
      <w:rFonts w:ascii="Courier New" w:hAnsi="Courier New" w:cs="仿宋_GB2312"/>
      <w:color w:val="CCFFFF"/>
      <w:kern w:val="2"/>
    </w:rPr>
  </w:style>
  <w:style w:type="paragraph" w:customStyle="1" w:styleId="2ff8">
    <w:name w:val="正文缩进 2字符"/>
    <w:basedOn w:val="a"/>
    <w:autoRedefine/>
    <w:uiPriority w:val="99"/>
    <w:qFormat/>
    <w:pPr>
      <w:tabs>
        <w:tab w:val="left" w:pos="2160"/>
      </w:tabs>
      <w:snapToGrid w:val="0"/>
      <w:spacing w:before="120" w:after="120"/>
      <w:ind w:firstLineChars="200" w:firstLine="480"/>
    </w:pPr>
    <w:rPr>
      <w:rFonts w:eastAsia="仿宋_GB2312" w:cs="Times New Roman"/>
      <w:color w:val="000000"/>
      <w:szCs w:val="21"/>
    </w:rPr>
  </w:style>
  <w:style w:type="paragraph" w:customStyle="1" w:styleId="afffffffffffffffc">
    <w:name w:val="编号"/>
    <w:basedOn w:val="a"/>
    <w:autoRedefine/>
    <w:uiPriority w:val="99"/>
    <w:qFormat/>
    <w:pPr>
      <w:adjustRightInd w:val="0"/>
      <w:ind w:left="1200" w:hanging="600"/>
      <w:textAlignment w:val="baseline"/>
    </w:pPr>
    <w:rPr>
      <w:rFonts w:ascii="Courier New" w:hAnsi="Courier New" w:cs="Times New Roman"/>
      <w:kern w:val="0"/>
      <w:sz w:val="24"/>
      <w:szCs w:val="20"/>
    </w:rPr>
  </w:style>
  <w:style w:type="paragraph" w:customStyle="1" w:styleId="3H3h33rdlevel43Char3CharCh">
    <w:name w:val="样式 标题 3小标题小节标题H3h33rd level第二层条标题4标题 3 Char标题 3 Char Ch..."/>
    <w:basedOn w:val="3"/>
    <w:autoRedefine/>
    <w:uiPriority w:val="99"/>
    <w:qFormat/>
    <w:pPr>
      <w:numPr>
        <w:ilvl w:val="0"/>
        <w:numId w:val="0"/>
      </w:numPr>
      <w:tabs>
        <w:tab w:val="left" w:pos="1080"/>
      </w:tabs>
      <w:spacing w:beforeLines="50" w:afterLines="50"/>
      <w:ind w:left="851" w:hanging="851"/>
      <w:jc w:val="both"/>
      <w:textAlignment w:val="baseline"/>
    </w:pPr>
    <w:rPr>
      <w:rFonts w:ascii="Arial" w:eastAsia="黑体" w:hAnsi="Arial" w:cs="Times New Roman"/>
      <w:b w:val="0"/>
      <w:bCs w:val="0"/>
      <w:kern w:val="32"/>
      <w:sz w:val="32"/>
    </w:rPr>
  </w:style>
  <w:style w:type="paragraph" w:customStyle="1" w:styleId="body1">
    <w:name w:val="body 1"/>
    <w:basedOn w:val="a"/>
    <w:autoRedefine/>
    <w:uiPriority w:val="99"/>
    <w:qFormat/>
    <w:pPr>
      <w:adjustRightInd w:val="0"/>
      <w:spacing w:line="360" w:lineRule="atLeast"/>
      <w:textAlignment w:val="baseline"/>
    </w:pPr>
    <w:rPr>
      <w:rFonts w:ascii="華康中楷體" w:eastAsia="華康中楷體" w:cs="Times New Roman"/>
      <w:spacing w:val="60"/>
      <w:kern w:val="0"/>
      <w:sz w:val="24"/>
      <w:szCs w:val="20"/>
      <w:lang w:eastAsia="zh-TW"/>
    </w:rPr>
  </w:style>
  <w:style w:type="paragraph" w:customStyle="1" w:styleId="4M">
    <w:name w:val="列表 4M"/>
    <w:basedOn w:val="46"/>
    <w:autoRedefine/>
    <w:uiPriority w:val="99"/>
    <w:qFormat/>
    <w:pPr>
      <w:tabs>
        <w:tab w:val="left" w:pos="1021"/>
      </w:tabs>
      <w:adjustRightInd/>
      <w:spacing w:afterLines="30" w:line="288" w:lineRule="auto"/>
      <w:ind w:left="1021" w:hanging="454"/>
      <w:textAlignment w:val="auto"/>
    </w:pPr>
    <w:rPr>
      <w:rFonts w:ascii="Courier New" w:hAnsi="Courier New" w:cs="仿宋_GB2312"/>
      <w:color w:val="CCFFFF"/>
      <w:kern w:val="2"/>
    </w:rPr>
  </w:style>
  <w:style w:type="paragraph" w:customStyle="1" w:styleId="308221">
    <w:name w:val="样式 标题 3 + 段前: 0 磅 段后: 8 磅 行距: 固定值 22 磅1"/>
    <w:basedOn w:val="3"/>
    <w:autoRedefine/>
    <w:uiPriority w:val="99"/>
    <w:qFormat/>
    <w:pPr>
      <w:numPr>
        <w:ilvl w:val="0"/>
        <w:numId w:val="0"/>
      </w:numPr>
      <w:tabs>
        <w:tab w:val="left" w:pos="720"/>
      </w:tabs>
      <w:spacing w:beforeLines="50" w:afterLines="50"/>
      <w:ind w:left="720" w:hanging="420"/>
      <w:jc w:val="both"/>
    </w:pPr>
    <w:rPr>
      <w:rFonts w:ascii="Arial" w:eastAsia="黑体" w:hAnsi="Arial" w:cs="Arial"/>
      <w:b w:val="0"/>
      <w:color w:val="000000"/>
      <w:sz w:val="28"/>
      <w:szCs w:val="30"/>
    </w:rPr>
  </w:style>
  <w:style w:type="paragraph" w:customStyle="1" w:styleId="111-">
    <w:name w:val="1.1.1-"/>
    <w:basedOn w:val="a"/>
    <w:autoRedefine/>
    <w:uiPriority w:val="99"/>
    <w:qFormat/>
    <w:pPr>
      <w:tabs>
        <w:tab w:val="left" w:pos="397"/>
      </w:tabs>
      <w:wordWrap w:val="0"/>
      <w:adjustRightInd w:val="0"/>
      <w:snapToGrid w:val="0"/>
      <w:spacing w:line="360" w:lineRule="atLeast"/>
      <w:ind w:left="397" w:firstLine="1021"/>
      <w:textAlignment w:val="baseline"/>
    </w:pPr>
    <w:rPr>
      <w:rFonts w:ascii="Arial" w:eastAsia="Gulim" w:hAnsi="Arial" w:cs="Times New Roman"/>
      <w:kern w:val="0"/>
      <w:sz w:val="20"/>
      <w:szCs w:val="20"/>
    </w:rPr>
  </w:style>
  <w:style w:type="paragraph" w:customStyle="1" w:styleId="1112">
    <w:name w:val="1.1.1縮"/>
    <w:basedOn w:val="a"/>
    <w:autoRedefine/>
    <w:uiPriority w:val="99"/>
    <w:qFormat/>
    <w:pPr>
      <w:autoSpaceDE w:val="0"/>
      <w:autoSpaceDN w:val="0"/>
      <w:snapToGrid w:val="0"/>
      <w:spacing w:line="360" w:lineRule="auto"/>
      <w:ind w:left="1610" w:firstLine="554"/>
      <w:jc w:val="left"/>
    </w:pPr>
    <w:rPr>
      <w:rFonts w:eastAsia="DFKai-SB" w:cs="Times New Roman"/>
      <w:sz w:val="28"/>
      <w:szCs w:val="20"/>
      <w:lang w:eastAsia="zh-TW"/>
    </w:rPr>
  </w:style>
  <w:style w:type="paragraph" w:customStyle="1" w:styleId="afffffffffffffffd">
    <w:name w:val="表题格式"/>
    <w:basedOn w:val="a"/>
    <w:autoRedefine/>
    <w:uiPriority w:val="99"/>
    <w:qFormat/>
    <w:pPr>
      <w:spacing w:line="440" w:lineRule="exact"/>
      <w:ind w:firstLineChars="377" w:firstLine="377"/>
    </w:pPr>
    <w:rPr>
      <w:rFonts w:eastAsia="黑体" w:cs="Times New Roman"/>
      <w:kern w:val="0"/>
      <w:sz w:val="24"/>
      <w:szCs w:val="20"/>
    </w:rPr>
  </w:style>
  <w:style w:type="paragraph" w:customStyle="1" w:styleId="3H3h33rdlevel43Char3CharCh2">
    <w:name w:val="样式 标题 3小标题小节标题H3h33rd level第二层条标题4标题 3 Char标题 3 Char Ch...2"/>
    <w:basedOn w:val="3"/>
    <w:autoRedefine/>
    <w:uiPriority w:val="99"/>
    <w:qFormat/>
    <w:pPr>
      <w:numPr>
        <w:ilvl w:val="0"/>
        <w:numId w:val="0"/>
      </w:numPr>
      <w:tabs>
        <w:tab w:val="left" w:pos="709"/>
        <w:tab w:val="left" w:pos="1364"/>
      </w:tabs>
      <w:spacing w:beforeLines="50" w:afterLines="50"/>
      <w:ind w:left="709" w:hanging="709"/>
      <w:jc w:val="both"/>
      <w:textAlignment w:val="baseline"/>
    </w:pPr>
    <w:rPr>
      <w:rFonts w:ascii="Arial" w:eastAsia="黑体" w:hAnsi="Arial" w:cs="Arial"/>
      <w:b w:val="0"/>
      <w:color w:val="0000FF"/>
      <w:kern w:val="0"/>
      <w:sz w:val="30"/>
      <w:szCs w:val="30"/>
    </w:rPr>
  </w:style>
  <w:style w:type="paragraph" w:customStyle="1" w:styleId="2ff9">
    <w:name w:val="报告2"/>
    <w:basedOn w:val="afffff3"/>
    <w:autoRedefine/>
    <w:uiPriority w:val="99"/>
    <w:qFormat/>
    <w:pPr>
      <w:tabs>
        <w:tab w:val="left" w:pos="895"/>
      </w:tabs>
      <w:ind w:left="895" w:hanging="390"/>
    </w:pPr>
    <w:rPr>
      <w:rFonts w:cs="Times New Roman"/>
      <w:kern w:val="0"/>
      <w:szCs w:val="20"/>
    </w:rPr>
  </w:style>
  <w:style w:type="paragraph" w:customStyle="1" w:styleId="1fffd">
    <w:name w:val="內(1)"/>
    <w:basedOn w:val="a"/>
    <w:autoRedefine/>
    <w:uiPriority w:val="99"/>
    <w:qFormat/>
    <w:pPr>
      <w:snapToGrid w:val="0"/>
      <w:spacing w:line="420" w:lineRule="atLeast"/>
      <w:ind w:left="1531" w:firstLineChars="200" w:firstLine="520"/>
    </w:pPr>
    <w:rPr>
      <w:rFonts w:eastAsia="DFKai-SB" w:cs="Times New Roman"/>
      <w:sz w:val="26"/>
      <w:szCs w:val="20"/>
      <w:lang w:eastAsia="zh-TW"/>
    </w:rPr>
  </w:style>
  <w:style w:type="paragraph" w:customStyle="1" w:styleId="33H3h33rdlevel4Arial0">
    <w:name w:val="样式 标题 3小标题小节标题标题3H3h33rd level第二层条标题4 + Arial 两端对齐"/>
    <w:basedOn w:val="3"/>
    <w:autoRedefine/>
    <w:uiPriority w:val="99"/>
    <w:qFormat/>
    <w:pPr>
      <w:numPr>
        <w:ilvl w:val="0"/>
        <w:numId w:val="0"/>
      </w:numPr>
      <w:tabs>
        <w:tab w:val="left" w:pos="1050"/>
        <w:tab w:val="left" w:pos="1111"/>
      </w:tabs>
      <w:spacing w:beforeLines="50" w:afterLines="50"/>
      <w:ind w:left="851" w:hanging="851"/>
      <w:jc w:val="both"/>
      <w:textAlignment w:val="baseline"/>
    </w:pPr>
    <w:rPr>
      <w:rFonts w:ascii="Arial" w:eastAsia="黑体" w:hAnsi="Arial" w:cs="宋体"/>
      <w:b w:val="0"/>
      <w:bCs w:val="0"/>
      <w:color w:val="000000"/>
      <w:kern w:val="0"/>
      <w:sz w:val="30"/>
      <w:szCs w:val="30"/>
    </w:rPr>
  </w:style>
  <w:style w:type="paragraph" w:customStyle="1" w:styleId="OIC1CompanyName">
    <w:name w:val="OIC1 Company Name"/>
    <w:basedOn w:val="a"/>
    <w:autoRedefine/>
    <w:uiPriority w:val="99"/>
    <w:qFormat/>
    <w:pPr>
      <w:jc w:val="center"/>
    </w:pPr>
    <w:rPr>
      <w:rFonts w:ascii="Arial Black" w:hAnsi="Arial Black" w:cs="Times New Roman"/>
      <w:color w:val="000080"/>
      <w:spacing w:val="40"/>
      <w:kern w:val="0"/>
      <w:sz w:val="28"/>
      <w:szCs w:val="20"/>
    </w:rPr>
  </w:style>
  <w:style w:type="paragraph" w:customStyle="1" w:styleId="1ptline">
    <w:name w:val="1pt line"/>
    <w:autoRedefine/>
    <w:uiPriority w:val="99"/>
    <w:qFormat/>
    <w:pPr>
      <w:pBdr>
        <w:bottom w:val="single" w:sz="8" w:space="1" w:color="auto"/>
      </w:pBdr>
      <w:spacing w:line="20" w:lineRule="exact"/>
    </w:pPr>
    <w:rPr>
      <w:rFonts w:eastAsia="PMingLiU"/>
      <w:lang w:eastAsia="zh-TW"/>
    </w:rPr>
  </w:style>
  <w:style w:type="paragraph" w:customStyle="1" w:styleId="6a">
    <w:name w:val="樣式6"/>
    <w:basedOn w:val="a"/>
    <w:autoRedefine/>
    <w:uiPriority w:val="99"/>
    <w:qFormat/>
    <w:pPr>
      <w:adjustRightInd w:val="0"/>
      <w:spacing w:line="0" w:lineRule="atLeast"/>
      <w:ind w:left="57"/>
      <w:jc w:val="left"/>
      <w:textAlignment w:val="baseline"/>
    </w:pPr>
    <w:rPr>
      <w:rFonts w:ascii="Arial" w:eastAsia="MingLiU" w:hAnsi="Arial" w:cs="Times New Roman"/>
      <w:b/>
      <w:kern w:val="0"/>
      <w:sz w:val="24"/>
      <w:szCs w:val="20"/>
      <w:lang w:eastAsia="zh-TW"/>
    </w:rPr>
  </w:style>
  <w:style w:type="paragraph" w:customStyle="1" w:styleId="2ffa">
    <w:name w:val="內文縮排 2"/>
    <w:basedOn w:val="af2"/>
    <w:autoRedefine/>
    <w:uiPriority w:val="99"/>
    <w:qFormat/>
    <w:pPr>
      <w:spacing w:before="120" w:line="300" w:lineRule="auto"/>
      <w:ind w:left="794" w:firstLine="0"/>
    </w:pPr>
    <w:rPr>
      <w:rFonts w:ascii="Arial" w:hAnsi="Arial"/>
      <w:bCs/>
      <w:spacing w:val="20"/>
      <w:kern w:val="0"/>
      <w:lang w:eastAsia="zh-TW"/>
    </w:rPr>
  </w:style>
  <w:style w:type="paragraph" w:customStyle="1" w:styleId="2ffb">
    <w:name w:val="正文文字首航缩2字"/>
    <w:basedOn w:val="a"/>
    <w:autoRedefine/>
    <w:uiPriority w:val="99"/>
    <w:qFormat/>
    <w:pPr>
      <w:spacing w:line="360" w:lineRule="auto"/>
      <w:ind w:firstLineChars="200" w:firstLine="200"/>
    </w:pPr>
    <w:rPr>
      <w:rFonts w:cs="Times New Roman"/>
      <w:sz w:val="24"/>
      <w:szCs w:val="24"/>
    </w:rPr>
  </w:style>
  <w:style w:type="paragraph" w:customStyle="1" w:styleId="2ffc">
    <w:name w:val="正文（行首缩进2字）"/>
    <w:basedOn w:val="a"/>
    <w:link w:val="2CharChar0"/>
    <w:autoRedefine/>
    <w:qFormat/>
    <w:pPr>
      <w:spacing w:line="360" w:lineRule="auto"/>
      <w:ind w:firstLineChars="200" w:firstLine="200"/>
    </w:pPr>
    <w:rPr>
      <w:rFonts w:cs="Times New Roman"/>
      <w:sz w:val="24"/>
      <w:szCs w:val="24"/>
    </w:rPr>
  </w:style>
  <w:style w:type="character" w:customStyle="1" w:styleId="2CharChar0">
    <w:name w:val="正文（行首缩进2字） Char Char"/>
    <w:link w:val="2ffc"/>
    <w:autoRedefine/>
    <w:qFormat/>
    <w:rPr>
      <w:kern w:val="2"/>
      <w:sz w:val="24"/>
      <w:szCs w:val="24"/>
    </w:rPr>
  </w:style>
  <w:style w:type="paragraph" w:customStyle="1" w:styleId="-20">
    <w:name w:val="ｲﾝﾃﾞﾝﾄ-2"/>
    <w:basedOn w:val="a"/>
    <w:autoRedefine/>
    <w:uiPriority w:val="99"/>
    <w:qFormat/>
    <w:pPr>
      <w:spacing w:line="360" w:lineRule="atLeast"/>
      <w:ind w:left="737"/>
    </w:pPr>
    <w:rPr>
      <w:rFonts w:ascii="MS Gothic" w:eastAsia="MS Gothic" w:hAnsi="Century" w:cs="Times New Roman"/>
      <w:szCs w:val="20"/>
      <w:lang w:eastAsia="ja-JP"/>
    </w:rPr>
  </w:style>
  <w:style w:type="paragraph" w:customStyle="1" w:styleId="Char4CharCharCharCharCharCharCharCharCharCharCharCharCharCharCharCharChar1Char">
    <w:name w:val="Char4 Char Char Char Char Char Char Char Char Char Char Char Char Char Char Char Char Char1 Char"/>
    <w:basedOn w:val="a"/>
    <w:autoRedefine/>
    <w:uiPriority w:val="99"/>
    <w:qFormat/>
    <w:pPr>
      <w:spacing w:line="240" w:lineRule="exact"/>
      <w:ind w:firstLineChars="200" w:firstLine="200"/>
    </w:pPr>
    <w:rPr>
      <w:rFonts w:cs="Times New Roman"/>
      <w:sz w:val="28"/>
      <w:szCs w:val="28"/>
    </w:rPr>
  </w:style>
  <w:style w:type="paragraph" w:customStyle="1" w:styleId="1511">
    <w:name w:val="样式 四号 行距: 1.5 倍行距1"/>
    <w:basedOn w:val="a"/>
    <w:autoRedefine/>
    <w:uiPriority w:val="99"/>
    <w:qFormat/>
    <w:pPr>
      <w:spacing w:line="360" w:lineRule="auto"/>
    </w:pPr>
    <w:rPr>
      <w:rFonts w:cs="宋体"/>
      <w:sz w:val="28"/>
      <w:szCs w:val="20"/>
    </w:rPr>
  </w:style>
  <w:style w:type="paragraph" w:customStyle="1" w:styleId="IDCA-Head2ndLine">
    <w:name w:val="IDC A-Head (2nd Line)"/>
    <w:basedOn w:val="a"/>
    <w:next w:val="a"/>
    <w:autoRedefine/>
    <w:uiPriority w:val="99"/>
    <w:qFormat/>
    <w:pPr>
      <w:widowControl/>
      <w:jc w:val="center"/>
    </w:pPr>
    <w:rPr>
      <w:rFonts w:cs="Times New Roman"/>
      <w:caps/>
      <w:kern w:val="0"/>
      <w:sz w:val="24"/>
      <w:szCs w:val="20"/>
    </w:rPr>
  </w:style>
  <w:style w:type="paragraph" w:customStyle="1" w:styleId="2E0">
    <w:name w:val="列表 2E"/>
    <w:basedOn w:val="24"/>
    <w:autoRedefine/>
    <w:uiPriority w:val="99"/>
    <w:qFormat/>
    <w:pPr>
      <w:tabs>
        <w:tab w:val="left" w:pos="737"/>
      </w:tabs>
      <w:adjustRightInd/>
      <w:spacing w:beforeLines="0" w:beforeAutospacing="1" w:after="100" w:afterAutospacing="1" w:line="288" w:lineRule="auto"/>
      <w:ind w:left="737" w:hanging="567"/>
      <w:textAlignment w:val="auto"/>
    </w:pPr>
    <w:rPr>
      <w:rFonts w:ascii="Courier New" w:hAnsi="Courier New" w:cs="仿宋_GB2312"/>
      <w:color w:val="FFFF99"/>
      <w:kern w:val="2"/>
    </w:rPr>
  </w:style>
  <w:style w:type="paragraph" w:customStyle="1" w:styleId="afffffffffffffffe">
    <w:name w:val="(一)內文"/>
    <w:basedOn w:val="a"/>
    <w:autoRedefine/>
    <w:uiPriority w:val="99"/>
    <w:qFormat/>
    <w:pPr>
      <w:snapToGrid w:val="0"/>
      <w:spacing w:line="480" w:lineRule="atLeast"/>
      <w:ind w:left="1202" w:firstLine="601"/>
    </w:pPr>
    <w:rPr>
      <w:rFonts w:eastAsia="DFKai-SB" w:cs="Times New Roman"/>
      <w:sz w:val="28"/>
      <w:szCs w:val="20"/>
      <w:lang w:eastAsia="zh-TW"/>
    </w:rPr>
  </w:style>
  <w:style w:type="paragraph" w:customStyle="1" w:styleId="edri-1title">
    <w:name w:val="edri-1).title"/>
    <w:basedOn w:val="edri-AtitleChar1"/>
    <w:autoRedefine/>
    <w:uiPriority w:val="99"/>
    <w:qFormat/>
    <w:pPr>
      <w:tabs>
        <w:tab w:val="clear" w:pos="851"/>
        <w:tab w:val="left" w:pos="1785"/>
        <w:tab w:val="left" w:pos="2250"/>
      </w:tabs>
      <w:ind w:left="2250" w:hanging="420"/>
      <w:outlineLvl w:val="4"/>
    </w:pPr>
  </w:style>
  <w:style w:type="paragraph" w:customStyle="1" w:styleId="2Ffd">
    <w:name w:val="列表 2F"/>
    <w:basedOn w:val="24"/>
    <w:autoRedefine/>
    <w:uiPriority w:val="99"/>
    <w:qFormat/>
    <w:pPr>
      <w:tabs>
        <w:tab w:val="left" w:pos="737"/>
      </w:tabs>
      <w:adjustRightInd/>
      <w:spacing w:beforeLines="0" w:beforeAutospacing="1" w:after="100" w:afterAutospacing="1" w:line="288" w:lineRule="auto"/>
      <w:ind w:left="737" w:hanging="567"/>
      <w:textAlignment w:val="auto"/>
    </w:pPr>
    <w:rPr>
      <w:rFonts w:ascii="Courier New" w:hAnsi="Courier New" w:cs="仿宋_GB2312"/>
      <w:color w:val="FFFF99"/>
      <w:kern w:val="2"/>
    </w:rPr>
  </w:style>
  <w:style w:type="paragraph" w:customStyle="1" w:styleId="Indent1">
    <w:name w:val="Indent1"/>
    <w:basedOn w:val="a"/>
    <w:autoRedefine/>
    <w:uiPriority w:val="99"/>
    <w:qFormat/>
    <w:pPr>
      <w:overflowPunct w:val="0"/>
      <w:autoSpaceDE w:val="0"/>
      <w:autoSpaceDN w:val="0"/>
      <w:adjustRightInd w:val="0"/>
      <w:ind w:left="1440" w:hanging="720"/>
      <w:jc w:val="left"/>
      <w:textAlignment w:val="baseline"/>
    </w:pPr>
    <w:rPr>
      <w:rFonts w:ascii="Arial" w:hAnsi="Arial" w:cs="Times New Roman"/>
      <w:kern w:val="0"/>
      <w:sz w:val="22"/>
      <w:szCs w:val="20"/>
    </w:rPr>
  </w:style>
  <w:style w:type="paragraph" w:customStyle="1" w:styleId="edri-">
    <w:name w:val="edri-正文"/>
    <w:basedOn w:val="a"/>
    <w:autoRedefine/>
    <w:uiPriority w:val="99"/>
    <w:qFormat/>
    <w:pPr>
      <w:spacing w:beforeLines="50" w:line="300" w:lineRule="auto"/>
      <w:ind w:leftChars="428" w:left="899"/>
    </w:pPr>
    <w:rPr>
      <w:rFonts w:cs="Times New Roman"/>
      <w:snapToGrid w:val="0"/>
      <w:sz w:val="24"/>
      <w:szCs w:val="24"/>
    </w:rPr>
  </w:style>
  <w:style w:type="paragraph" w:customStyle="1" w:styleId="2Head2A2H2h2Heading2HiddenHeading2CCBS">
    <w:name w:val="样式 标题 2第一层条Head2A2H2h2Heading 2 HiddenHeading 2 CCBS第一章 ..."/>
    <w:basedOn w:val="20"/>
    <w:autoRedefine/>
    <w:uiPriority w:val="99"/>
    <w:qFormat/>
    <w:pPr>
      <w:numPr>
        <w:ilvl w:val="0"/>
        <w:numId w:val="0"/>
      </w:numPr>
      <w:adjustRightInd w:val="0"/>
      <w:snapToGrid w:val="0"/>
      <w:spacing w:before="0" w:after="0"/>
      <w:textAlignment w:val="baseline"/>
    </w:pPr>
    <w:rPr>
      <w:rFonts w:eastAsia="黑体" w:cs="Times New Roman"/>
      <w:b w:val="0"/>
      <w:color w:val="000000"/>
      <w:kern w:val="0"/>
    </w:rPr>
  </w:style>
  <w:style w:type="paragraph" w:customStyle="1" w:styleId="affffffffffffffff">
    <w:name w:val="填表内容"/>
    <w:basedOn w:val="a"/>
    <w:autoRedefine/>
    <w:uiPriority w:val="99"/>
    <w:qFormat/>
    <w:pPr>
      <w:adjustRightInd w:val="0"/>
      <w:spacing w:line="480" w:lineRule="exact"/>
      <w:ind w:firstLineChars="200" w:firstLine="560"/>
      <w:jc w:val="left"/>
      <w:textAlignment w:val="baseline"/>
    </w:pPr>
    <w:rPr>
      <w:rFonts w:ascii="楷体_GB2312" w:eastAsia="楷体_GB2312" w:cs="Times New Roman"/>
      <w:sz w:val="28"/>
      <w:szCs w:val="2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autoRedefine/>
    <w:uiPriority w:val="99"/>
    <w:qFormat/>
    <w:pPr>
      <w:widowControl/>
      <w:spacing w:after="160" w:line="240" w:lineRule="exact"/>
      <w:jc w:val="left"/>
    </w:pPr>
    <w:rPr>
      <w:rFonts w:ascii="Verdana" w:eastAsia="仿宋_GB2312" w:hAnsi="Verdana" w:cs="Verdana"/>
      <w:kern w:val="0"/>
      <w:sz w:val="24"/>
      <w:szCs w:val="24"/>
      <w:lang w:eastAsia="en-US"/>
    </w:rPr>
  </w:style>
  <w:style w:type="paragraph" w:customStyle="1" w:styleId="Char4CharCharChar">
    <w:name w:val="Char4 Char Char Char"/>
    <w:basedOn w:val="a"/>
    <w:autoRedefine/>
    <w:uiPriority w:val="99"/>
    <w:qFormat/>
    <w:pPr>
      <w:adjustRightInd w:val="0"/>
      <w:snapToGrid w:val="0"/>
      <w:spacing w:line="360" w:lineRule="auto"/>
      <w:ind w:firstLineChars="200" w:firstLine="200"/>
    </w:pPr>
    <w:rPr>
      <w:rFonts w:ascii="宋体" w:hAnsi="宋体" w:cs="宋体"/>
      <w:sz w:val="24"/>
      <w:szCs w:val="26"/>
    </w:rPr>
  </w:style>
  <w:style w:type="paragraph" w:customStyle="1" w:styleId="affffffffffffffff0">
    <w:name w:val="插表样式"/>
    <w:basedOn w:val="a"/>
    <w:autoRedefine/>
    <w:uiPriority w:val="99"/>
    <w:qFormat/>
    <w:pPr>
      <w:spacing w:line="360" w:lineRule="auto"/>
      <w:ind w:firstLineChars="200" w:firstLine="480"/>
      <w:jc w:val="center"/>
    </w:pPr>
    <w:rPr>
      <w:rFonts w:ascii="黑体" w:eastAsia="黑体" w:hAnsi="黑体" w:cs="Times New Roman"/>
      <w:sz w:val="24"/>
      <w:szCs w:val="20"/>
    </w:rPr>
  </w:style>
  <w:style w:type="paragraph" w:customStyle="1" w:styleId="000">
    <w:name w:val="00"/>
    <w:basedOn w:val="a"/>
    <w:autoRedefine/>
    <w:uiPriority w:val="99"/>
    <w:qFormat/>
    <w:pPr>
      <w:spacing w:line="560" w:lineRule="exact"/>
      <w:ind w:firstLine="454"/>
    </w:pPr>
    <w:rPr>
      <w:rFonts w:ascii="宋体" w:hAnsi="宋体" w:cs="Times New Roman"/>
      <w:sz w:val="24"/>
      <w:szCs w:val="24"/>
    </w:rPr>
  </w:style>
  <w:style w:type="paragraph" w:customStyle="1" w:styleId="CharCharCharCharCharCharCharCharCharCharCharCharChar0">
    <w:name w:val="Char Char Char Char Char Char Char Char Char Char Char Char Char"/>
    <w:basedOn w:val="a"/>
    <w:autoRedefine/>
    <w:uiPriority w:val="99"/>
    <w:qFormat/>
    <w:rPr>
      <w:rFonts w:cs="Times New Roman"/>
      <w:szCs w:val="24"/>
    </w:rPr>
  </w:style>
  <w:style w:type="paragraph" w:customStyle="1" w:styleId="200173">
    <w:name w:val="样式 样式 标题 2 + 宋体 四号 段前: 0 磅 段后: 0 磅 行距: 多倍行距 1.73 字行 + 居中"/>
    <w:basedOn w:val="a"/>
    <w:autoRedefine/>
    <w:uiPriority w:val="99"/>
    <w:qFormat/>
    <w:pPr>
      <w:keepNext/>
      <w:keepLines/>
      <w:spacing w:line="415" w:lineRule="auto"/>
      <w:jc w:val="center"/>
      <w:outlineLvl w:val="1"/>
    </w:pPr>
    <w:rPr>
      <w:rFonts w:ascii="宋体" w:hAnsi="宋体" w:cs="宋体"/>
      <w:b/>
      <w:bCs/>
      <w:snapToGrid w:val="0"/>
      <w:sz w:val="28"/>
      <w:szCs w:val="20"/>
    </w:rPr>
  </w:style>
  <w:style w:type="paragraph" w:customStyle="1" w:styleId="affffffffffffffff1">
    <w:name w:val="正文（首行缩进两字）"/>
    <w:basedOn w:val="a"/>
    <w:autoRedefine/>
    <w:uiPriority w:val="99"/>
    <w:qFormat/>
    <w:rPr>
      <w:rFonts w:cs="Times New Roman"/>
      <w:szCs w:val="21"/>
    </w:rPr>
  </w:style>
  <w:style w:type="paragraph" w:customStyle="1" w:styleId="3074">
    <w:name w:val="样式 标题 3 + 首行缩进:  0.74 厘米"/>
    <w:basedOn w:val="3"/>
    <w:autoRedefine/>
    <w:uiPriority w:val="99"/>
    <w:qFormat/>
    <w:pPr>
      <w:numPr>
        <w:ilvl w:val="0"/>
        <w:numId w:val="0"/>
      </w:numPr>
      <w:adjustRightInd/>
      <w:snapToGrid/>
      <w:spacing w:line="240" w:lineRule="auto"/>
      <w:ind w:left="1245" w:firstLine="420"/>
      <w:jc w:val="both"/>
    </w:pPr>
    <w:rPr>
      <w:rFonts w:cs="宋体"/>
      <w:sz w:val="28"/>
      <w:szCs w:val="20"/>
    </w:rPr>
  </w:style>
  <w:style w:type="paragraph" w:customStyle="1" w:styleId="320">
    <w:name w:val="表格 32"/>
    <w:basedOn w:val="a"/>
    <w:autoRedefine/>
    <w:uiPriority w:val="99"/>
    <w:qFormat/>
    <w:pPr>
      <w:autoSpaceDE w:val="0"/>
      <w:autoSpaceDN w:val="0"/>
      <w:adjustRightInd w:val="0"/>
      <w:jc w:val="center"/>
      <w:textAlignment w:val="baseline"/>
    </w:pPr>
    <w:rPr>
      <w:rFonts w:ascii="宋体" w:hAnsi="Impact" w:cs="Times New Roman"/>
      <w:kern w:val="24"/>
      <w:sz w:val="24"/>
      <w:szCs w:val="20"/>
    </w:rPr>
  </w:style>
  <w:style w:type="paragraph" w:customStyle="1" w:styleId="CharCharCharChar21">
    <w:name w:val="Char Char Char Char21"/>
    <w:basedOn w:val="a"/>
    <w:link w:val="CharCharCharCharChar"/>
    <w:autoRedefine/>
    <w:qFormat/>
    <w:pPr>
      <w:widowControl/>
      <w:adjustRightInd w:val="0"/>
      <w:spacing w:after="160" w:line="240" w:lineRule="exact"/>
      <w:jc w:val="left"/>
    </w:pPr>
    <w:rPr>
      <w:rFonts w:cs="Times New Roman"/>
      <w:szCs w:val="20"/>
    </w:rPr>
  </w:style>
  <w:style w:type="character" w:customStyle="1" w:styleId="CharCharCharCharChar">
    <w:name w:val="Char Char Char Char Char"/>
    <w:link w:val="CharCharCharChar21"/>
    <w:autoRedefine/>
    <w:qFormat/>
    <w:rPr>
      <w:kern w:val="2"/>
      <w:sz w:val="21"/>
    </w:rPr>
  </w:style>
  <w:style w:type="paragraph" w:customStyle="1" w:styleId="CharChar6CharChar1CharCharCharChar11">
    <w:name w:val="Char Char6 Char Char1 Char Char Char Char11"/>
    <w:basedOn w:val="a"/>
    <w:autoRedefine/>
    <w:uiPriority w:val="99"/>
    <w:semiHidden/>
    <w:qFormat/>
    <w:pPr>
      <w:adjustRightInd w:val="0"/>
      <w:snapToGrid w:val="0"/>
      <w:spacing w:line="360" w:lineRule="auto"/>
      <w:ind w:firstLineChars="200" w:firstLine="200"/>
    </w:pPr>
    <w:rPr>
      <w:rFonts w:cs="Times New Roman"/>
      <w:sz w:val="24"/>
      <w:szCs w:val="24"/>
    </w:rPr>
  </w:style>
  <w:style w:type="paragraph" w:customStyle="1" w:styleId="4B0">
    <w:name w:val="列表 4B"/>
    <w:basedOn w:val="46"/>
    <w:autoRedefine/>
    <w:uiPriority w:val="99"/>
    <w:qFormat/>
    <w:pPr>
      <w:tabs>
        <w:tab w:val="left" w:pos="360"/>
      </w:tabs>
      <w:adjustRightInd/>
      <w:spacing w:afterLines="30" w:line="288" w:lineRule="auto"/>
      <w:ind w:left="360" w:hanging="360"/>
      <w:textAlignment w:val="auto"/>
    </w:pPr>
    <w:rPr>
      <w:rFonts w:ascii="Courier New" w:hAnsi="Courier New" w:cs="仿宋_GB2312"/>
      <w:color w:val="CCFFFF"/>
      <w:kern w:val="2"/>
    </w:rPr>
  </w:style>
  <w:style w:type="paragraph" w:customStyle="1" w:styleId="4C0">
    <w:name w:val="列表 4C"/>
    <w:basedOn w:val="46"/>
    <w:next w:val="46"/>
    <w:autoRedefine/>
    <w:uiPriority w:val="99"/>
    <w:qFormat/>
    <w:pPr>
      <w:tabs>
        <w:tab w:val="left" w:pos="562"/>
      </w:tabs>
      <w:adjustRightInd/>
      <w:spacing w:beforeLines="20" w:afterLines="20" w:line="288" w:lineRule="auto"/>
      <w:ind w:left="562"/>
      <w:textAlignment w:val="auto"/>
    </w:pPr>
    <w:rPr>
      <w:rFonts w:ascii="Courier New" w:hAnsi="Courier New" w:cs="仿宋_GB2312"/>
      <w:color w:val="CCFFFF"/>
      <w:kern w:val="2"/>
    </w:rPr>
  </w:style>
  <w:style w:type="paragraph" w:customStyle="1" w:styleId="4D0">
    <w:name w:val="列表 4D"/>
    <w:basedOn w:val="46"/>
    <w:autoRedefine/>
    <w:uiPriority w:val="99"/>
    <w:qFormat/>
    <w:pPr>
      <w:tabs>
        <w:tab w:val="left" w:pos="360"/>
      </w:tabs>
      <w:adjustRightInd/>
      <w:spacing w:afterLines="30" w:line="288" w:lineRule="auto"/>
      <w:ind w:left="360" w:hanging="360"/>
      <w:textAlignment w:val="auto"/>
    </w:pPr>
    <w:rPr>
      <w:rFonts w:ascii="Courier New" w:hAnsi="Courier New" w:cs="仿宋_GB2312"/>
      <w:color w:val="CCFFFF"/>
      <w:kern w:val="2"/>
    </w:rPr>
  </w:style>
  <w:style w:type="paragraph" w:customStyle="1" w:styleId="4E0">
    <w:name w:val="列表 4E"/>
    <w:basedOn w:val="46"/>
    <w:autoRedefine/>
    <w:uiPriority w:val="99"/>
    <w:qFormat/>
    <w:pPr>
      <w:tabs>
        <w:tab w:val="left" w:pos="1021"/>
      </w:tabs>
      <w:adjustRightInd/>
      <w:spacing w:afterLines="30" w:line="288" w:lineRule="auto"/>
      <w:ind w:left="1021" w:hanging="454"/>
      <w:textAlignment w:val="auto"/>
    </w:pPr>
    <w:rPr>
      <w:rFonts w:ascii="Courier New" w:hAnsi="Courier New" w:cs="仿宋_GB2312"/>
      <w:color w:val="CCFFFF"/>
      <w:kern w:val="2"/>
    </w:rPr>
  </w:style>
  <w:style w:type="paragraph" w:customStyle="1" w:styleId="4J">
    <w:name w:val="列表 4J"/>
    <w:basedOn w:val="46"/>
    <w:autoRedefine/>
    <w:uiPriority w:val="99"/>
    <w:qFormat/>
    <w:pPr>
      <w:tabs>
        <w:tab w:val="left" w:pos="1021"/>
      </w:tabs>
      <w:adjustRightInd/>
      <w:spacing w:afterLines="30" w:line="288" w:lineRule="auto"/>
      <w:ind w:left="1021" w:hanging="454"/>
      <w:textAlignment w:val="auto"/>
    </w:pPr>
    <w:rPr>
      <w:rFonts w:ascii="Courier New" w:hAnsi="Courier New" w:cs="仿宋_GB2312"/>
      <w:color w:val="CCFFFF"/>
      <w:kern w:val="2"/>
    </w:rPr>
  </w:style>
  <w:style w:type="paragraph" w:customStyle="1" w:styleId="4K">
    <w:name w:val="列表 4K"/>
    <w:basedOn w:val="46"/>
    <w:autoRedefine/>
    <w:uiPriority w:val="99"/>
    <w:qFormat/>
    <w:pPr>
      <w:tabs>
        <w:tab w:val="left" w:pos="1000"/>
      </w:tabs>
      <w:adjustRightInd/>
      <w:spacing w:afterLines="30" w:line="288" w:lineRule="auto"/>
      <w:ind w:left="1000" w:hanging="720"/>
      <w:textAlignment w:val="auto"/>
    </w:pPr>
    <w:rPr>
      <w:rFonts w:ascii="Courier New" w:hAnsi="Courier New" w:cs="仿宋_GB2312"/>
      <w:color w:val="CCFFFF"/>
      <w:kern w:val="2"/>
    </w:rPr>
  </w:style>
  <w:style w:type="paragraph" w:customStyle="1" w:styleId="4N">
    <w:name w:val="列表 4N"/>
    <w:basedOn w:val="46"/>
    <w:autoRedefine/>
    <w:uiPriority w:val="99"/>
    <w:qFormat/>
    <w:pPr>
      <w:tabs>
        <w:tab w:val="left" w:pos="1021"/>
      </w:tabs>
      <w:adjustRightInd/>
      <w:spacing w:afterLines="30" w:line="288" w:lineRule="auto"/>
      <w:ind w:left="1021" w:hanging="454"/>
      <w:textAlignment w:val="auto"/>
    </w:pPr>
    <w:rPr>
      <w:rFonts w:ascii="Courier New" w:hAnsi="Courier New" w:cs="仿宋_GB2312"/>
      <w:color w:val="CCFFFF"/>
      <w:kern w:val="2"/>
    </w:rPr>
  </w:style>
  <w:style w:type="paragraph" w:customStyle="1" w:styleId="2G">
    <w:name w:val="列表 2G"/>
    <w:basedOn w:val="24"/>
    <w:autoRedefine/>
    <w:uiPriority w:val="99"/>
    <w:qFormat/>
    <w:pPr>
      <w:tabs>
        <w:tab w:val="left" w:pos="737"/>
      </w:tabs>
      <w:adjustRightInd/>
      <w:spacing w:beforeLines="0" w:beforeAutospacing="1" w:after="100" w:afterAutospacing="1" w:line="288" w:lineRule="auto"/>
      <w:ind w:left="737" w:hanging="567"/>
      <w:textAlignment w:val="auto"/>
    </w:pPr>
    <w:rPr>
      <w:rFonts w:ascii="Courier New" w:hAnsi="Courier New" w:cs="仿宋_GB2312"/>
      <w:color w:val="FFFF99"/>
      <w:kern w:val="2"/>
    </w:rPr>
  </w:style>
  <w:style w:type="paragraph" w:customStyle="1" w:styleId="2H">
    <w:name w:val="列表 2H"/>
    <w:basedOn w:val="24"/>
    <w:autoRedefine/>
    <w:uiPriority w:val="99"/>
    <w:qFormat/>
    <w:pPr>
      <w:tabs>
        <w:tab w:val="left" w:pos="737"/>
      </w:tabs>
      <w:adjustRightInd/>
      <w:spacing w:beforeLines="0" w:beforeAutospacing="1" w:after="100" w:afterAutospacing="1" w:line="288" w:lineRule="auto"/>
      <w:ind w:left="737" w:hanging="567"/>
      <w:textAlignment w:val="auto"/>
    </w:pPr>
    <w:rPr>
      <w:rFonts w:ascii="Courier New" w:hAnsi="Courier New" w:cs="仿宋_GB2312"/>
      <w:color w:val="FFFF99"/>
      <w:kern w:val="2"/>
    </w:rPr>
  </w:style>
  <w:style w:type="paragraph" w:customStyle="1" w:styleId="2J">
    <w:name w:val="列表 2J"/>
    <w:basedOn w:val="24"/>
    <w:autoRedefine/>
    <w:uiPriority w:val="99"/>
    <w:qFormat/>
    <w:pPr>
      <w:tabs>
        <w:tab w:val="left" w:pos="737"/>
      </w:tabs>
      <w:adjustRightInd/>
      <w:spacing w:beforeLines="0" w:beforeAutospacing="1" w:after="100" w:afterAutospacing="1" w:line="288" w:lineRule="auto"/>
      <w:ind w:left="737" w:hanging="567"/>
      <w:textAlignment w:val="auto"/>
    </w:pPr>
    <w:rPr>
      <w:rFonts w:ascii="Courier New" w:hAnsi="Courier New" w:cs="仿宋_GB2312"/>
      <w:color w:val="FFFF99"/>
      <w:kern w:val="2"/>
    </w:rPr>
  </w:style>
  <w:style w:type="paragraph" w:customStyle="1" w:styleId="CharCharChar1CharCharChar1CharCharChar11">
    <w:name w:val="Char Char Char1 Char Char Char1 Char Char Char11"/>
    <w:basedOn w:val="a"/>
    <w:autoRedefine/>
    <w:uiPriority w:val="99"/>
    <w:qFormat/>
    <w:rPr>
      <w:rFonts w:cs="Times New Roman"/>
      <w:szCs w:val="21"/>
    </w:rPr>
  </w:style>
  <w:style w:type="paragraph" w:customStyle="1" w:styleId="affffffffffffffff2">
    <w:name w:val="报告正文文字"/>
    <w:basedOn w:val="a"/>
    <w:autoRedefine/>
    <w:uiPriority w:val="99"/>
    <w:qFormat/>
    <w:pPr>
      <w:widowControl/>
      <w:autoSpaceDE w:val="0"/>
      <w:autoSpaceDN w:val="0"/>
      <w:spacing w:line="360" w:lineRule="auto"/>
      <w:ind w:firstLineChars="200" w:firstLine="480"/>
    </w:pPr>
    <w:rPr>
      <w:rFonts w:ascii="宋体" w:hAnsi="宋体" w:cs="Times New Roman"/>
      <w:color w:val="000000"/>
      <w:spacing w:val="4"/>
      <w:kern w:val="0"/>
      <w:sz w:val="24"/>
      <w:szCs w:val="24"/>
    </w:rPr>
  </w:style>
  <w:style w:type="paragraph" w:customStyle="1" w:styleId="CharChar25CharChar">
    <w:name w:val="Char Char25 Char Char"/>
    <w:basedOn w:val="a"/>
    <w:autoRedefine/>
    <w:uiPriority w:val="99"/>
    <w:qFormat/>
    <w:rPr>
      <w:rFonts w:cs="Times New Roman"/>
      <w:szCs w:val="21"/>
    </w:rPr>
  </w:style>
  <w:style w:type="paragraph" w:customStyle="1" w:styleId="CharChar101">
    <w:name w:val="Char Char101"/>
    <w:basedOn w:val="a"/>
    <w:autoRedefine/>
    <w:uiPriority w:val="99"/>
    <w:qFormat/>
    <w:rPr>
      <w:rFonts w:cs="Times New Roman"/>
      <w:szCs w:val="21"/>
    </w:rPr>
  </w:style>
  <w:style w:type="table" w:customStyle="1" w:styleId="312">
    <w:name w:val="简明型 31"/>
    <w:basedOn w:val="a1"/>
    <w:autoRedefine/>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affffffffffffffff3">
    <w:name w:val="三线表"/>
    <w:basedOn w:val="a1"/>
    <w:autoRedefine/>
    <w:qFormat/>
    <w:pPr>
      <w:jc w:val="center"/>
    </w:pPr>
    <w:tblPr>
      <w:tblBorders>
        <w:top w:val="single" w:sz="12" w:space="0" w:color="auto"/>
        <w:bottom w:val="single" w:sz="12" w:space="0" w:color="auto"/>
        <w:insideH w:val="single" w:sz="4" w:space="0" w:color="auto"/>
        <w:insideV w:val="single" w:sz="4" w:space="0" w:color="auto"/>
      </w:tblBorders>
    </w:tblPr>
    <w:tcPr>
      <w:vAlign w:val="center"/>
    </w:tcPr>
    <w:tblStylePr w:type="firstRow">
      <w:pPr>
        <w:wordWrap/>
        <w:adjustRightInd/>
        <w:snapToGrid/>
        <w:spacing w:beforeLines="0" w:beforeAutospacing="0" w:afterLines="0" w:afterAutospacing="0" w:line="280" w:lineRule="exact"/>
        <w:ind w:leftChars="0" w:left="0" w:rightChars="0" w:right="0" w:firstLineChars="0" w:firstLine="0"/>
        <w:contextualSpacing/>
        <w:jc w:val="center"/>
        <w:outlineLvl w:val="9"/>
      </w:pPr>
      <w:rPr>
        <w:rFonts w:ascii="Times New Roman" w:eastAsia="Estrangelo Edessa" w:hAnsi="Times New Roman"/>
        <w:b w:val="0"/>
        <w:i w:val="0"/>
        <w:color w:val="auto"/>
        <w:sz w:val="21"/>
      </w:rPr>
      <w:tblPr/>
      <w:tcPr>
        <w:tcBorders>
          <w:top w:val="single" w:sz="12" w:space="0" w:color="auto"/>
          <w:left w:val="single" w:sz="12" w:space="0" w:color="auto"/>
          <w:bottom w:val="nil"/>
          <w:right w:val="nil"/>
          <w:insideH w:val="nil"/>
          <w:insideV w:val="single" w:sz="4" w:space="0" w:color="auto"/>
          <w:tl2br w:val="nil"/>
          <w:tr2bl w:val="nil"/>
        </w:tcBorders>
      </w:tcPr>
    </w:tblStylePr>
  </w:style>
  <w:style w:type="table" w:customStyle="1" w:styleId="1fffe">
    <w:name w:val="表格样式1"/>
    <w:basedOn w:val="affff4"/>
    <w:autoRedefine/>
    <w:qFormat/>
    <w:tblPr/>
    <w:tcPr>
      <w:tcBorders>
        <w:top w:val="nil"/>
        <w:left w:val="nil"/>
        <w:bottom w:val="nil"/>
        <w:right w:val="nil"/>
      </w:tcBorders>
    </w:tcPr>
  </w:style>
  <w:style w:type="table" w:customStyle="1" w:styleId="affffffffffffffff4">
    <w:name w:val="陈娇"/>
    <w:basedOn w:val="1fffe"/>
    <w:autoRedefine/>
    <w:qFormat/>
    <w:pPr>
      <w:spacing w:line="320" w:lineRule="exact"/>
    </w:pPr>
    <w:tblPr>
      <w:jc w:val="center"/>
    </w:tblPr>
    <w:trPr>
      <w:jc w:val="center"/>
    </w:trPr>
    <w:tblStylePr w:type="firstRow">
      <w:tblPr/>
      <w:tcPr>
        <w:tcBorders>
          <w:top w:val="single" w:sz="12" w:space="0" w:color="auto"/>
          <w:left w:val="single" w:sz="12" w:space="0" w:color="auto"/>
          <w:bottom w:val="nil"/>
          <w:right w:val="nil"/>
          <w:insideH w:val="nil"/>
          <w:insideV w:val="single" w:sz="2" w:space="0" w:color="auto"/>
          <w:tl2br w:val="nil"/>
          <w:tr2bl w:val="nil"/>
        </w:tcBorders>
      </w:tcPr>
    </w:tblStylePr>
    <w:tblStylePr w:type="lastRow">
      <w:tblPr/>
      <w:tcPr>
        <w:tcBorders>
          <w:top w:val="nil"/>
          <w:left w:val="single" w:sz="12" w:space="0" w:color="auto"/>
          <w:bottom w:val="nil"/>
          <w:right w:val="nil"/>
          <w:insideH w:val="nil"/>
          <w:insideV w:val="single" w:sz="2" w:space="0" w:color="auto"/>
          <w:tl2br w:val="nil"/>
          <w:tr2bl w:val="nil"/>
        </w:tcBorders>
      </w:tcPr>
    </w:tblStylePr>
  </w:style>
  <w:style w:type="table" w:customStyle="1" w:styleId="1113">
    <w:name w:val="111"/>
    <w:basedOn w:val="affff4"/>
    <w:autoRedefine/>
    <w:qFormat/>
    <w:pPr>
      <w:jc w:val="center"/>
    </w:pPr>
    <w:tblPr>
      <w:tblBorders>
        <w:top w:val="single" w:sz="12" w:space="0" w:color="auto"/>
        <w:left w:val="single" w:sz="2" w:space="0" w:color="auto"/>
        <w:bottom w:val="single" w:sz="12" w:space="0" w:color="auto"/>
        <w:right w:val="single" w:sz="2" w:space="0" w:color="auto"/>
        <w:insideH w:val="single" w:sz="2" w:space="0" w:color="auto"/>
        <w:insideV w:val="single" w:sz="2" w:space="0" w:color="auto"/>
      </w:tblBorders>
    </w:tblPr>
    <w:tcPr>
      <w:tcBorders>
        <w:top w:val="nil"/>
        <w:left w:val="nil"/>
        <w:bottom w:val="nil"/>
        <w:right w:val="nil"/>
      </w:tcBorders>
      <w:vAlign w:val="center"/>
    </w:tcPr>
  </w:style>
  <w:style w:type="table" w:customStyle="1" w:styleId="231">
    <w:name w:val="简明型 231"/>
    <w:basedOn w:val="a1"/>
    <w:autoRedefine/>
    <w:qFormat/>
    <w:pPr>
      <w:widowControl w:val="0"/>
      <w:jc w:val="both"/>
    </w:pPr>
    <w:tblPr>
      <w:tblBorders>
        <w:top w:val="single" w:sz="12" w:space="0" w:color="000000"/>
        <w:bottom w:val="single" w:sz="12" w:space="0" w:color="000000"/>
        <w:insideH w:val="single" w:sz="2" w:space="0" w:color="000000"/>
        <w:insideV w:val="single" w:sz="2" w:space="0" w:color="000000"/>
      </w:tblBorders>
    </w:tblPr>
    <w:tcPr>
      <w:shd w:val="clear" w:color="auto" w:fill="auto"/>
    </w:tcPr>
    <w:tblStylePr w:type="firstRow">
      <w:tblPr/>
      <w:tcPr>
        <w:tcBorders>
          <w:top w:val="single" w:sz="12" w:space="0" w:color="000000"/>
          <w:left w:val="single" w:sz="12" w:space="0" w:color="000000"/>
          <w:bottom w:val="nil"/>
          <w:right w:val="nil"/>
          <w:insideH w:val="nil"/>
          <w:insideV w:val="nil"/>
          <w:tl2br w:val="nil"/>
          <w:tr2bl w:val="nil"/>
        </w:tcBorders>
        <w:shd w:val="clear" w:color="auto" w:fill="auto"/>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9">
    <w:name w:val="彩色型 11"/>
    <w:basedOn w:val="a1"/>
    <w:autoRedefine/>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213">
    <w:name w:val="彩色型 21"/>
    <w:basedOn w:val="a1"/>
    <w:autoRedefine/>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top w:val="nil"/>
          <w:left w:val="single" w:sz="12" w:space="0" w:color="00000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13">
    <w:name w:val="彩色型 31"/>
    <w:basedOn w:val="a1"/>
    <w:autoRedefine/>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single" w:sz="6" w:space="0" w:color="000000"/>
          <w:bottom w:val="nil"/>
          <w:right w:val="nil"/>
          <w:insideH w:val="nil"/>
          <w:insideV w:val="nil"/>
          <w:tl2br w:val="nil"/>
          <w:tr2bl w:val="nil"/>
        </w:tcBorders>
        <w:shd w:val="solid" w:color="008080" w:fill="FFFFFF"/>
      </w:tcPr>
    </w:tblStylePr>
    <w:tblStylePr w:type="firstCol">
      <w:tblPr/>
      <w:tcPr>
        <w:tcBorders>
          <w:top w:val="nil"/>
          <w:left w:val="nil"/>
          <w:bottom w:val="single" w:sz="36" w:space="0" w:color="000000"/>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ffff">
    <w:name w:val="典雅型1"/>
    <w:basedOn w:val="a1"/>
    <w:autoRedefine/>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a">
    <w:name w:val="古典型 11"/>
    <w:basedOn w:val="a1"/>
    <w:autoRedefine/>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4">
    <w:name w:val="古典型 21"/>
    <w:basedOn w:val="a1"/>
    <w:autoRedefine/>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top w:val="nil"/>
          <w:left w:val="single" w:sz="6" w:space="0" w:color="000000"/>
          <w:bottom w:val="nil"/>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14">
    <w:name w:val="古典型 31"/>
    <w:basedOn w:val="a1"/>
    <w:autoRedefine/>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single" w:sz="6" w:space="0" w:color="000000"/>
          <w:bottom w:val="nil"/>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411">
    <w:name w:val="古典型 41"/>
    <w:basedOn w:val="a1"/>
    <w:autoRedefine/>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single" w:sz="6" w:space="0" w:color="000000"/>
          <w:bottom w:val="nil"/>
          <w:right w:val="nil"/>
          <w:insideH w:val="nil"/>
          <w:insideV w:val="nil"/>
          <w:tl2br w:val="nil"/>
          <w:tr2bl w:val="nil"/>
        </w:tcBorders>
        <w:shd w:val="pct50" w:color="000080" w:fill="FFFFFF"/>
      </w:tcPr>
    </w:tblStylePr>
    <w:tblStylePr w:type="lastRow">
      <w:rPr>
        <w:color w:val="000080"/>
      </w:rPr>
      <w:tblPr/>
      <w:tcPr>
        <w:tcBorders>
          <w:top w:val="nil"/>
          <w:left w:val="single" w:sz="6" w:space="0" w:color="00000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b">
    <w:name w:val="简明型 11"/>
    <w:basedOn w:val="a1"/>
    <w:autoRedefine/>
    <w:qFormat/>
    <w:pPr>
      <w:widowControl w:val="0"/>
      <w:jc w:val="both"/>
    </w:pPr>
    <w:tblPr>
      <w:tblBorders>
        <w:top w:val="single" w:sz="12" w:space="0" w:color="auto"/>
        <w:bottom w:val="single" w:sz="12" w:space="0" w:color="auto"/>
        <w:insideH w:val="single" w:sz="4" w:space="0" w:color="auto"/>
        <w:insideV w:val="single" w:sz="4" w:space="0" w:color="auto"/>
      </w:tblBorders>
    </w:tblPr>
    <w:tcPr>
      <w:shd w:val="clear" w:color="auto" w:fill="auto"/>
    </w:tcPr>
    <w:tblStylePr w:type="firstRow">
      <w:tblPr/>
      <w:tcPr>
        <w:tcBorders>
          <w:top w:val="single" w:sz="12" w:space="0" w:color="auto"/>
          <w:left w:val="single" w:sz="12" w:space="0" w:color="auto"/>
          <w:bottom w:val="nil"/>
          <w:right w:val="nil"/>
          <w:insideH w:val="nil"/>
          <w:insideV w:val="nil"/>
          <w:tl2br w:val="nil"/>
          <w:tr2bl w:val="nil"/>
        </w:tcBorders>
        <w:shd w:val="clear" w:color="auto" w:fill="auto"/>
      </w:tcPr>
    </w:tblStylePr>
    <w:tblStylePr w:type="lastRow">
      <w:tblPr/>
      <w:tcPr>
        <w:tcBorders>
          <w:top w:val="single" w:sz="6" w:space="0" w:color="008000"/>
          <w:left w:val="single" w:sz="12" w:space="0" w:color="auto"/>
          <w:bottom w:val="nil"/>
          <w:right w:val="nil"/>
          <w:insideH w:val="nil"/>
          <w:insideV w:val="nil"/>
          <w:tl2br w:val="nil"/>
          <w:tr2bl w:val="nil"/>
        </w:tcBorders>
        <w:shd w:val="clear" w:color="auto" w:fill="auto"/>
      </w:tcPr>
    </w:tblStylePr>
  </w:style>
  <w:style w:type="table" w:customStyle="1" w:styleId="215">
    <w:name w:val="简明型 21"/>
    <w:basedOn w:val="a1"/>
    <w:autoRedefine/>
    <w:qFormat/>
    <w:pPr>
      <w:widowControl w:val="0"/>
      <w:jc w:val="both"/>
    </w:pPr>
    <w:tblPr/>
    <w:tblStylePr w:type="firstRow">
      <w:rPr>
        <w:b/>
        <w:bCs/>
      </w:rPr>
      <w:tblPr/>
      <w:tcPr>
        <w:tcBorders>
          <w:top w:val="nil"/>
          <w:left w:val="single" w:sz="12" w:space="0" w:color="000000"/>
          <w:bottom w:val="nil"/>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nil"/>
          <w:bottom w:val="single" w:sz="6" w:space="0" w:color="00000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c">
    <w:name w:val="精巧型 11"/>
    <w:basedOn w:val="a1"/>
    <w:autoRedefine/>
    <w:semiHidden/>
    <w:qFormat/>
    <w:pPr>
      <w:widowControl w:val="0"/>
      <w:jc w:val="both"/>
    </w:pPr>
    <w:tblPr/>
    <w:tblStylePr w:type="firstRow">
      <w:tblPr/>
      <w:tcPr>
        <w:tcBorders>
          <w:top w:val="single" w:sz="6" w:space="0" w:color="000000"/>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nil"/>
          <w:bottom w:val="single" w:sz="12" w:space="0" w:color="000000"/>
          <w:right w:val="nil"/>
          <w:insideH w:val="nil"/>
          <w:insideV w:val="nil"/>
          <w:tl2br w:val="nil"/>
          <w:tr2bl w:val="nil"/>
        </w:tcBorders>
      </w:tcPr>
    </w:tblStylePr>
    <w:tblStylePr w:type="band1Horz">
      <w:tblPr/>
      <w:tcPr>
        <w:tcBorders>
          <w:top w:val="nil"/>
          <w:left w:val="single" w:sz="6"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6">
    <w:name w:val="精巧型 21"/>
    <w:basedOn w:val="a1"/>
    <w:autoRedefine/>
    <w:semiHidden/>
    <w:qFormat/>
    <w:pPr>
      <w:widowControl w:val="0"/>
      <w:jc w:val="both"/>
    </w:pPr>
    <w:tblPr>
      <w:tblBorders>
        <w:left w:val="single" w:sz="6" w:space="0" w:color="000000"/>
        <w:right w:val="single" w:sz="6" w:space="0" w:color="000000"/>
      </w:tblBorders>
    </w:tblPr>
    <w:tblStylePr w:type="firstRow">
      <w:tblPr/>
      <w:tcPr>
        <w:tcBorders>
          <w:top w:val="nil"/>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nil"/>
          <w:bottom w:val="single" w:sz="12"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d">
    <w:name w:val="立体型 11"/>
    <w:basedOn w:val="a1"/>
    <w:autoRedefine/>
    <w:semiHidden/>
    <w:qFormat/>
    <w:pPr>
      <w:widowControl w:val="0"/>
      <w:jc w:val="both"/>
    </w:pPr>
    <w:tblPr/>
    <w:tcPr>
      <w:shd w:val="solid" w:color="C0C0C0" w:fill="FFFFFF"/>
    </w:tcPr>
    <w:tblStylePr w:type="firstRow">
      <w:rPr>
        <w:b/>
        <w:bCs/>
        <w:color w:val="800080"/>
      </w:rPr>
      <w:tblPr/>
      <w:tcPr>
        <w:tcBorders>
          <w:top w:val="nil"/>
          <w:left w:val="single" w:sz="6" w:space="0" w:color="808080"/>
          <w:bottom w:val="nil"/>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single" w:sz="6" w:space="0" w:color="FFFFFF"/>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17">
    <w:name w:val="立体型 21"/>
    <w:basedOn w:val="a1"/>
    <w:autoRedefine/>
    <w:semiHidden/>
    <w:qFormat/>
    <w:pPr>
      <w:widowControl w:val="0"/>
      <w:jc w:val="both"/>
    </w:p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single" w:sz="6" w:space="0" w:color="FFFFFF"/>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5">
    <w:name w:val="立体型 31"/>
    <w:basedOn w:val="a1"/>
    <w:autoRedefine/>
    <w:semiHidden/>
    <w:qFormat/>
    <w:pPr>
      <w:widowControl w:val="0"/>
      <w:jc w:val="both"/>
    </w:pP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e">
    <w:name w:val="列表型 11"/>
    <w:basedOn w:val="a1"/>
    <w:autoRedefine/>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single" w:sz="6" w:space="0" w:color="000000"/>
          <w:bottom w:val="nil"/>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8">
    <w:name w:val="列表型 21"/>
    <w:basedOn w:val="a1"/>
    <w:autoRedefine/>
    <w:semiHidden/>
    <w:qFormat/>
    <w:pPr>
      <w:widowControl w:val="0"/>
      <w:jc w:val="both"/>
    </w:pPr>
    <w:tblPr>
      <w:tblBorders>
        <w:bottom w:val="single" w:sz="12" w:space="0" w:color="808080"/>
      </w:tblBorders>
    </w:tblPr>
    <w:tblStylePr w:type="firstRow">
      <w:rPr>
        <w:b/>
        <w:bCs/>
        <w:color w:val="FFFFFF"/>
      </w:rPr>
      <w:tblPr/>
      <w:tcPr>
        <w:tcBorders>
          <w:top w:val="nil"/>
          <w:left w:val="single" w:sz="6" w:space="0" w:color="000000"/>
          <w:bottom w:val="nil"/>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6">
    <w:name w:val="列表型 31"/>
    <w:basedOn w:val="a1"/>
    <w:autoRedefine/>
    <w:semiHidden/>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12">
    <w:name w:val="列表型 41"/>
    <w:basedOn w:val="a1"/>
    <w:autoRedefine/>
    <w:semiHidden/>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single" w:sz="12" w:space="0" w:color="000000"/>
          <w:bottom w:val="nil"/>
          <w:right w:val="nil"/>
          <w:insideH w:val="nil"/>
          <w:insideV w:val="nil"/>
          <w:tl2br w:val="nil"/>
          <w:tr2bl w:val="nil"/>
        </w:tcBorders>
        <w:shd w:val="solid" w:color="808080" w:fill="FFFFFF"/>
      </w:tcPr>
    </w:tblStylePr>
  </w:style>
  <w:style w:type="table" w:customStyle="1" w:styleId="510">
    <w:name w:val="列表型 51"/>
    <w:basedOn w:val="a1"/>
    <w:autoRedefine/>
    <w:semiHidden/>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single" w:sz="12" w:space="0" w:color="00000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610">
    <w:name w:val="列表型 61"/>
    <w:basedOn w:val="a1"/>
    <w:autoRedefine/>
    <w:semiHidden/>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single" w:sz="12" w:space="0" w:color="000000"/>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0">
    <w:name w:val="列表型 71"/>
    <w:basedOn w:val="a1"/>
    <w:autoRedefine/>
    <w:semiHidden/>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single" w:sz="12" w:space="0" w:color="008000"/>
          <w:bottom w:val="nil"/>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811">
    <w:name w:val="列表型 81"/>
    <w:basedOn w:val="a1"/>
    <w:autoRedefine/>
    <w:semiHidden/>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single" w:sz="6" w:space="0" w:color="000000"/>
          <w:bottom w:val="nil"/>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1ffff0">
    <w:name w:val="流行型1"/>
    <w:basedOn w:val="a1"/>
    <w:autoRedefine/>
    <w:semiHidden/>
    <w:qFormat/>
    <w:pPr>
      <w:widowControl w:val="0"/>
      <w:jc w:val="both"/>
    </w:p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f">
    <w:name w:val="竖列型 11"/>
    <w:basedOn w:val="a1"/>
    <w:autoRedefine/>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double" w:sz="6" w:space="0" w:color="00000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9">
    <w:name w:val="竖列型 21"/>
    <w:basedOn w:val="a1"/>
    <w:autoRedefine/>
    <w:qFormat/>
    <w:pPr>
      <w:widowControl w:val="0"/>
      <w:jc w:val="both"/>
    </w:pPr>
    <w:rPr>
      <w:b/>
      <w:bCs/>
    </w:rP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7">
    <w:name w:val="竖列型 31"/>
    <w:basedOn w:val="a1"/>
    <w:autoRedefine/>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413">
    <w:name w:val="竖列型 41"/>
    <w:basedOn w:val="a1"/>
    <w:autoRedefine/>
    <w:qFormat/>
    <w:pPr>
      <w:widowControl w:val="0"/>
      <w:jc w:val="both"/>
    </w:pP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竖列型 51"/>
    <w:basedOn w:val="a1"/>
    <w:autoRedefine/>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single" w:sz="6" w:space="0" w:color="808080"/>
          <w:bottom w:val="nil"/>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f0">
    <w:name w:val="网格型 11"/>
    <w:basedOn w:val="a1"/>
    <w:autoRedefine/>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a">
    <w:name w:val="网格型 21"/>
    <w:basedOn w:val="a1"/>
    <w:autoRedefine/>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18">
    <w:name w:val="网格型 31"/>
    <w:basedOn w:val="a1"/>
    <w:autoRedefine/>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4">
    <w:name w:val="网格型 41"/>
    <w:basedOn w:val="a1"/>
    <w:autoRedefine/>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12">
    <w:name w:val="网格型 51"/>
    <w:basedOn w:val="a1"/>
    <w:autoRedefine/>
    <w:semiHidden/>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ffff1">
    <w:name w:val="三线表1"/>
    <w:basedOn w:val="a1"/>
    <w:autoRedefine/>
    <w:qFormat/>
    <w:pPr>
      <w:jc w:val="center"/>
    </w:pPr>
    <w:tblPr>
      <w:tblBorders>
        <w:top w:val="single" w:sz="12" w:space="0" w:color="auto"/>
        <w:bottom w:val="single" w:sz="12" w:space="0" w:color="auto"/>
        <w:insideH w:val="single" w:sz="4" w:space="0" w:color="auto"/>
        <w:insideV w:val="single" w:sz="4" w:space="0" w:color="auto"/>
      </w:tblBorders>
    </w:tblPr>
    <w:tcPr>
      <w:vAlign w:val="center"/>
    </w:tcPr>
    <w:tblStylePr w:type="firstRow">
      <w:pPr>
        <w:wordWrap/>
        <w:adjustRightInd/>
        <w:snapToGrid/>
        <w:spacing w:beforeLines="0" w:beforeAutospacing="0" w:afterLines="0" w:afterAutospacing="0" w:line="280" w:lineRule="exact"/>
        <w:ind w:leftChars="0" w:left="0" w:rightChars="0" w:right="0" w:firstLineChars="0" w:firstLine="0"/>
        <w:contextualSpacing/>
        <w:jc w:val="center"/>
        <w:outlineLvl w:val="9"/>
      </w:pPr>
      <w:rPr>
        <w:rFonts w:ascii="Times New Roman" w:eastAsia="宋体" w:hAnsi="Times New Roman"/>
        <w:b w:val="0"/>
        <w:i w:val="0"/>
        <w:color w:val="auto"/>
        <w:sz w:val="21"/>
      </w:rPr>
      <w:tblPr/>
      <w:tcPr>
        <w:tcBorders>
          <w:top w:val="single" w:sz="12" w:space="0" w:color="auto"/>
          <w:left w:val="single" w:sz="12" w:space="0" w:color="auto"/>
          <w:bottom w:val="nil"/>
          <w:right w:val="nil"/>
          <w:insideH w:val="nil"/>
          <w:insideV w:val="single" w:sz="4" w:space="0" w:color="auto"/>
          <w:tl2br w:val="nil"/>
          <w:tr2bl w:val="nil"/>
        </w:tcBorders>
      </w:tcPr>
    </w:tblStylePr>
  </w:style>
  <w:style w:type="table" w:customStyle="1" w:styleId="611">
    <w:name w:val="网格型 61"/>
    <w:basedOn w:val="a1"/>
    <w:autoRedefine/>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
    <w:name w:val="网格型 71"/>
    <w:basedOn w:val="a1"/>
    <w:autoRedefine/>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ffff2">
    <w:name w:val="陈娇1"/>
    <w:basedOn w:val="1fffe"/>
    <w:autoRedefine/>
    <w:qFormat/>
    <w:pPr>
      <w:spacing w:line="320" w:lineRule="exact"/>
    </w:pPr>
    <w:tblPr>
      <w:jc w:val="center"/>
    </w:tblPr>
    <w:trPr>
      <w:jc w:val="center"/>
    </w:trPr>
    <w:tblStylePr w:type="firstRow">
      <w:tblPr/>
      <w:tcPr>
        <w:tcBorders>
          <w:top w:val="single" w:sz="12" w:space="0" w:color="auto"/>
          <w:left w:val="single" w:sz="12" w:space="0" w:color="auto"/>
          <w:bottom w:val="nil"/>
          <w:right w:val="nil"/>
          <w:insideH w:val="nil"/>
          <w:insideV w:val="single" w:sz="2" w:space="0" w:color="auto"/>
          <w:tl2br w:val="nil"/>
          <w:tr2bl w:val="nil"/>
        </w:tcBorders>
      </w:tcPr>
    </w:tblStylePr>
    <w:tblStylePr w:type="lastRow">
      <w:tblPr/>
      <w:tcPr>
        <w:tcBorders>
          <w:top w:val="nil"/>
          <w:left w:val="single" w:sz="12" w:space="0" w:color="auto"/>
          <w:bottom w:val="nil"/>
          <w:right w:val="nil"/>
          <w:insideH w:val="nil"/>
          <w:insideV w:val="single" w:sz="2" w:space="0" w:color="auto"/>
          <w:tl2br w:val="nil"/>
          <w:tr2bl w:val="nil"/>
        </w:tcBorders>
      </w:tcPr>
    </w:tblStylePr>
  </w:style>
  <w:style w:type="table" w:customStyle="1" w:styleId="812">
    <w:name w:val="网格型 81"/>
    <w:basedOn w:val="a1"/>
    <w:autoRedefine/>
    <w:semiHidden/>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1f1">
    <w:name w:val="网页型 11"/>
    <w:basedOn w:val="a1"/>
    <w:autoRedefine/>
    <w:semiHidden/>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1b">
    <w:name w:val="网页型 21"/>
    <w:basedOn w:val="a1"/>
    <w:autoRedefine/>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9">
    <w:name w:val="网页型 31"/>
    <w:basedOn w:val="a1"/>
    <w:autoRedefine/>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ffff3">
    <w:name w:val="专业型1"/>
    <w:basedOn w:val="a1"/>
    <w:autoRedefine/>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11">
    <w:name w:val="简明型 2311"/>
    <w:basedOn w:val="a1"/>
    <w:autoRedefine/>
    <w:qFormat/>
    <w:pPr>
      <w:widowControl w:val="0"/>
      <w:jc w:val="both"/>
    </w:pPr>
    <w:tblPr>
      <w:tblBorders>
        <w:top w:val="single" w:sz="12" w:space="0" w:color="000000"/>
        <w:bottom w:val="single" w:sz="12" w:space="0" w:color="000000"/>
        <w:insideH w:val="single" w:sz="2" w:space="0" w:color="000000"/>
        <w:insideV w:val="single" w:sz="2" w:space="0" w:color="000000"/>
      </w:tblBorders>
    </w:tblPr>
    <w:tcPr>
      <w:shd w:val="clear" w:color="auto" w:fill="auto"/>
    </w:tcPr>
    <w:tblStylePr w:type="firstRow">
      <w:tblPr/>
      <w:tcPr>
        <w:tcBorders>
          <w:top w:val="single" w:sz="12" w:space="0" w:color="000000"/>
          <w:left w:val="single" w:sz="12" w:space="0" w:color="000000"/>
          <w:bottom w:val="nil"/>
          <w:right w:val="nil"/>
          <w:insideH w:val="nil"/>
          <w:insideV w:val="nil"/>
          <w:tl2br w:val="nil"/>
          <w:tr2bl w:val="nil"/>
        </w:tcBorders>
        <w:shd w:val="clear" w:color="auto" w:fill="auto"/>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ffe">
    <w:name w:val="网格型2"/>
    <w:basedOn w:val="a1"/>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5">
    <w:name w:val="表格题目"/>
    <w:basedOn w:val="aff4"/>
    <w:link w:val="Charfff6"/>
    <w:autoRedefine/>
    <w:qFormat/>
    <w:pPr>
      <w:spacing w:line="360" w:lineRule="auto"/>
      <w:ind w:rightChars="27" w:right="57"/>
      <w:jc w:val="center"/>
    </w:pPr>
    <w:rPr>
      <w:rFonts w:eastAsia="黑体"/>
      <w:color w:val="000000"/>
      <w:kern w:val="16"/>
      <w:sz w:val="24"/>
      <w:szCs w:val="24"/>
      <w:vertAlign w:val="superscript"/>
    </w:rPr>
  </w:style>
  <w:style w:type="character" w:customStyle="1" w:styleId="Charfff6">
    <w:name w:val="表格题目 Char"/>
    <w:link w:val="affffffffffffffff5"/>
    <w:autoRedefine/>
    <w:qFormat/>
    <w:rPr>
      <w:rFonts w:ascii="宋体" w:eastAsia="黑体" w:hAnsi="Courier New"/>
      <w:color w:val="000000"/>
      <w:kern w:val="16"/>
      <w:sz w:val="24"/>
      <w:szCs w:val="24"/>
      <w:vertAlign w:val="superscript"/>
    </w:rPr>
  </w:style>
  <w:style w:type="paragraph" w:customStyle="1" w:styleId="affffffffffffffff6">
    <w:name w:val="图表内容"/>
    <w:basedOn w:val="a"/>
    <w:link w:val="Charfff7"/>
    <w:autoRedefine/>
    <w:qFormat/>
    <w:pPr>
      <w:widowControl/>
      <w:jc w:val="center"/>
    </w:pPr>
    <w:rPr>
      <w:rFonts w:cs="Times New Roman"/>
      <w:kern w:val="0"/>
      <w:sz w:val="18"/>
      <w:szCs w:val="18"/>
    </w:rPr>
  </w:style>
  <w:style w:type="character" w:customStyle="1" w:styleId="Charfff7">
    <w:name w:val="图表内容 Char"/>
    <w:link w:val="affffffffffffffff6"/>
    <w:autoRedefine/>
    <w:qFormat/>
    <w:rPr>
      <w:sz w:val="18"/>
      <w:szCs w:val="18"/>
    </w:rPr>
  </w:style>
  <w:style w:type="paragraph" w:customStyle="1" w:styleId="Char80">
    <w:name w:val="Char8"/>
    <w:basedOn w:val="a"/>
    <w:autoRedefine/>
    <w:uiPriority w:val="99"/>
    <w:qFormat/>
    <w:pPr>
      <w:spacing w:line="360" w:lineRule="auto"/>
      <w:ind w:firstLineChars="200" w:firstLine="200"/>
    </w:pPr>
    <w:rPr>
      <w:rFonts w:ascii="宋体" w:hAnsi="宋体" w:cs="宋体"/>
      <w:sz w:val="24"/>
      <w:szCs w:val="24"/>
    </w:rPr>
  </w:style>
  <w:style w:type="character" w:customStyle="1" w:styleId="CharChar2411">
    <w:name w:val="Char Char2411"/>
    <w:basedOn w:val="a0"/>
    <w:autoRedefine/>
    <w:qFormat/>
    <w:rPr>
      <w:rFonts w:ascii="Times New Roman" w:eastAsia="宋体" w:hAnsi="Times New Roman" w:cs="Times New Roman"/>
      <w:sz w:val="24"/>
      <w:szCs w:val="20"/>
    </w:rPr>
  </w:style>
  <w:style w:type="character" w:customStyle="1" w:styleId="CharChar811">
    <w:name w:val="Char Char811"/>
    <w:autoRedefine/>
    <w:qFormat/>
    <w:rPr>
      <w:b/>
      <w:bCs/>
      <w:kern w:val="2"/>
      <w:sz w:val="21"/>
      <w:szCs w:val="24"/>
    </w:rPr>
  </w:style>
  <w:style w:type="character" w:customStyle="1" w:styleId="Char16">
    <w:name w:val="表头 Char1"/>
    <w:basedOn w:val="a0"/>
    <w:autoRedefine/>
    <w:qFormat/>
    <w:rPr>
      <w:rFonts w:eastAsia="宋体"/>
      <w:b/>
      <w:bCs/>
      <w:color w:val="000000"/>
      <w:sz w:val="24"/>
      <w:szCs w:val="24"/>
      <w:lang w:val="en-US" w:eastAsia="zh-CN" w:bidi="ar-SA"/>
    </w:rPr>
  </w:style>
  <w:style w:type="character" w:customStyle="1" w:styleId="CharChar23">
    <w:name w:val="Char Char23"/>
    <w:basedOn w:val="a0"/>
    <w:autoRedefine/>
    <w:qFormat/>
    <w:rPr>
      <w:rFonts w:ascii="Times New Roman" w:eastAsia="宋体" w:hAnsi="Times New Roman" w:cs="Times New Roman"/>
      <w:b/>
      <w:sz w:val="24"/>
      <w:szCs w:val="20"/>
    </w:rPr>
  </w:style>
  <w:style w:type="character" w:customStyle="1" w:styleId="CharCharCharCharCharCharCharCharCharChar11">
    <w:name w:val="Char Char Char Char Char Char Char Char Char Char11"/>
    <w:link w:val="CharCharCharCharCharCharCharCharChar1"/>
    <w:autoRedefine/>
    <w:qFormat/>
    <w:rPr>
      <w:kern w:val="2"/>
      <w:sz w:val="21"/>
    </w:rPr>
  </w:style>
  <w:style w:type="paragraph" w:customStyle="1" w:styleId="CharCharCharCharCharCharCharCharChar1">
    <w:name w:val="Char Char Char Char Char Char Char Char Char1"/>
    <w:basedOn w:val="a"/>
    <w:link w:val="CharCharCharCharCharCharCharCharCharChar11"/>
    <w:autoRedefine/>
    <w:qFormat/>
    <w:rPr>
      <w:rFonts w:cs="Times New Roman"/>
      <w:szCs w:val="20"/>
    </w:rPr>
  </w:style>
  <w:style w:type="character" w:customStyle="1" w:styleId="CharChar911">
    <w:name w:val="Char Char911"/>
    <w:autoRedefine/>
    <w:qFormat/>
    <w:rPr>
      <w:kern w:val="2"/>
      <w:sz w:val="21"/>
      <w:szCs w:val="24"/>
    </w:rPr>
  </w:style>
  <w:style w:type="paragraph" w:customStyle="1" w:styleId="CharCharChar30">
    <w:name w:val="Char Char Char3"/>
    <w:basedOn w:val="a"/>
    <w:autoRedefine/>
    <w:uiPriority w:val="99"/>
    <w:qFormat/>
    <w:rPr>
      <w:rFonts w:cs="Times New Roman"/>
      <w:sz w:val="24"/>
      <w:szCs w:val="24"/>
    </w:rPr>
  </w:style>
  <w:style w:type="paragraph" w:customStyle="1" w:styleId="CharCharCharCharCharCharCharCharCharCharCharCharCharCharCharCharCharChar1CharCharCharCharCharCharCharCharCharCharCharCharChar11">
    <w:name w:val="Char Char Char Char Char Char Char Char Char Char Char Char Char Char Char Char Char Char1 Char Char Char Char Char Char Char Char Char Char Char Char Char11"/>
    <w:basedOn w:val="a"/>
    <w:autoRedefine/>
    <w:uiPriority w:val="99"/>
    <w:qFormat/>
    <w:pPr>
      <w:spacing w:line="360" w:lineRule="auto"/>
      <w:ind w:firstLineChars="200" w:firstLine="200"/>
    </w:pPr>
    <w:rPr>
      <w:rFonts w:ascii="宋体" w:hAnsi="宋体" w:cs="宋体"/>
      <w:sz w:val="24"/>
      <w:szCs w:val="24"/>
    </w:rPr>
  </w:style>
  <w:style w:type="paragraph" w:customStyle="1" w:styleId="0740">
    <w:name w:val="样式 表格 + 首行缩进:  0.74 厘米"/>
    <w:basedOn w:val="a"/>
    <w:autoRedefine/>
    <w:uiPriority w:val="99"/>
    <w:qFormat/>
    <w:pPr>
      <w:jc w:val="center"/>
    </w:pPr>
    <w:rPr>
      <w:rFonts w:cs="宋体"/>
      <w:szCs w:val="20"/>
    </w:rPr>
  </w:style>
  <w:style w:type="paragraph" w:customStyle="1" w:styleId="CharCharCharCharCharCharCharCharCharCharCharCharChar11">
    <w:name w:val="Char Char Char Char Char Char Char Char Char Char Char Char Char11"/>
    <w:basedOn w:val="a"/>
    <w:autoRedefine/>
    <w:uiPriority w:val="99"/>
    <w:qFormat/>
    <w:rPr>
      <w:rFonts w:cs="Times New Roman"/>
      <w:szCs w:val="24"/>
    </w:rPr>
  </w:style>
  <w:style w:type="paragraph" w:customStyle="1" w:styleId="2fff">
    <w:name w:val="表格方案样式2"/>
    <w:basedOn w:val="a"/>
    <w:autoRedefine/>
    <w:uiPriority w:val="99"/>
    <w:qFormat/>
    <w:pPr>
      <w:tabs>
        <w:tab w:val="left" w:pos="567"/>
      </w:tabs>
      <w:jc w:val="center"/>
    </w:pPr>
    <w:rPr>
      <w:rFonts w:eastAsia="华文中宋" w:cs="Times New Roman"/>
      <w:sz w:val="24"/>
      <w:szCs w:val="20"/>
    </w:rPr>
  </w:style>
  <w:style w:type="paragraph" w:customStyle="1" w:styleId="CharCharCharCharCharCharCharCharCharCharCharCharCharCharCharCharCharCharCharCharCharCharCharCharCharCharChar11">
    <w:name w:val="Char Char Char Char Char Char Char Char Char Char Char Char Char Char Char Char Char Char Char Char Char Char Char Char Char Char Char11"/>
    <w:basedOn w:val="a"/>
    <w:autoRedefine/>
    <w:uiPriority w:val="99"/>
    <w:qFormat/>
    <w:rPr>
      <w:rFonts w:cs="Times New Roman"/>
      <w:szCs w:val="24"/>
    </w:rPr>
  </w:style>
  <w:style w:type="paragraph" w:customStyle="1" w:styleId="Char220">
    <w:name w:val="Char22"/>
    <w:basedOn w:val="a"/>
    <w:autoRedefine/>
    <w:uiPriority w:val="99"/>
    <w:qFormat/>
    <w:rPr>
      <w:rFonts w:cs="Times New Roman"/>
      <w:szCs w:val="24"/>
    </w:rPr>
  </w:style>
  <w:style w:type="paragraph" w:customStyle="1" w:styleId="Char1CharCharChar1CharCharCharCharCharCharCharCharCharCharCharCharCharCharChar11">
    <w:name w:val="Char1 Char Char Char1 Char Char Char Char Char Char Char Char Char Char Char Char Char Char Char11"/>
    <w:basedOn w:val="a"/>
    <w:autoRedefine/>
    <w:uiPriority w:val="99"/>
    <w:qFormat/>
    <w:pPr>
      <w:widowControl/>
      <w:spacing w:after="160"/>
      <w:jc w:val="left"/>
    </w:pPr>
    <w:rPr>
      <w:rFonts w:ascii="Verdana" w:eastAsia="仿宋_GB2312" w:hAnsi="Verdana" w:cs="”“Times New Roman”“"/>
      <w:kern w:val="0"/>
      <w:sz w:val="28"/>
      <w:szCs w:val="28"/>
      <w:lang w:eastAsia="en-US"/>
    </w:rPr>
  </w:style>
  <w:style w:type="paragraph" w:customStyle="1" w:styleId="1ffff4">
    <w:name w:val="正文文字1"/>
    <w:basedOn w:val="a"/>
    <w:link w:val="1CharChar2"/>
    <w:autoRedefine/>
    <w:qFormat/>
    <w:pPr>
      <w:spacing w:line="360" w:lineRule="auto"/>
      <w:ind w:firstLineChars="200" w:firstLine="480"/>
    </w:pPr>
    <w:rPr>
      <w:rFonts w:ascii="宋体" w:cs="Times New Roman"/>
      <w:sz w:val="24"/>
      <w:szCs w:val="24"/>
    </w:rPr>
  </w:style>
  <w:style w:type="character" w:customStyle="1" w:styleId="1CharChar2">
    <w:name w:val="正文文字1 Char Char"/>
    <w:link w:val="1ffff4"/>
    <w:autoRedefine/>
    <w:qFormat/>
    <w:rPr>
      <w:rFonts w:ascii="宋体"/>
      <w:kern w:val="2"/>
      <w:sz w:val="24"/>
      <w:szCs w:val="24"/>
    </w:rPr>
  </w:style>
  <w:style w:type="paragraph" w:customStyle="1" w:styleId="2fff0">
    <w:name w:val="纯文本2"/>
    <w:basedOn w:val="a"/>
    <w:autoRedefine/>
    <w:uiPriority w:val="99"/>
    <w:qFormat/>
    <w:pPr>
      <w:adjustRightInd w:val="0"/>
      <w:textAlignment w:val="baseline"/>
    </w:pPr>
    <w:rPr>
      <w:rFonts w:ascii="宋体" w:cs="Times New Roman"/>
      <w:kern w:val="0"/>
      <w:szCs w:val="20"/>
    </w:rPr>
  </w:style>
  <w:style w:type="paragraph" w:customStyle="1" w:styleId="CharCharCharCharCharChar11">
    <w:name w:val="Char Char Char Char Char Char11"/>
    <w:basedOn w:val="a"/>
    <w:autoRedefine/>
    <w:uiPriority w:val="99"/>
    <w:qFormat/>
    <w:rPr>
      <w:rFonts w:cs="Times New Roman"/>
      <w:sz w:val="24"/>
      <w:szCs w:val="24"/>
    </w:rPr>
  </w:style>
  <w:style w:type="paragraph" w:customStyle="1" w:styleId="lj-">
    <w:name w:val="lj-表头"/>
    <w:basedOn w:val="a"/>
    <w:autoRedefine/>
    <w:uiPriority w:val="99"/>
    <w:qFormat/>
    <w:pPr>
      <w:adjustRightInd w:val="0"/>
      <w:snapToGrid w:val="0"/>
      <w:jc w:val="center"/>
      <w:outlineLvl w:val="4"/>
    </w:pPr>
    <w:rPr>
      <w:rFonts w:eastAsia="黑体" w:cs="Times New Roman"/>
      <w:b/>
      <w:snapToGrid w:val="0"/>
      <w:kern w:val="0"/>
      <w:sz w:val="24"/>
      <w:szCs w:val="24"/>
    </w:rPr>
  </w:style>
  <w:style w:type="paragraph" w:customStyle="1" w:styleId="CharCharCharCharChar2Char1">
    <w:name w:val="Char Char Char Char Char2 Char1"/>
    <w:basedOn w:val="a"/>
    <w:autoRedefine/>
    <w:uiPriority w:val="99"/>
    <w:qFormat/>
    <w:pPr>
      <w:adjustRightInd w:val="0"/>
      <w:snapToGrid w:val="0"/>
      <w:spacing w:line="360" w:lineRule="auto"/>
      <w:ind w:firstLineChars="200" w:firstLine="200"/>
    </w:pPr>
    <w:rPr>
      <w:rFonts w:cs="宋体"/>
      <w:sz w:val="28"/>
      <w:szCs w:val="28"/>
    </w:rPr>
  </w:style>
  <w:style w:type="paragraph" w:customStyle="1" w:styleId="CharCharCharCharCharCharCharCharChar21">
    <w:name w:val="Char Char Char Char Char Char Char Char Char21"/>
    <w:basedOn w:val="a"/>
    <w:link w:val="CharCharCharCharCharCharCharCharCharChar1"/>
    <w:autoRedefine/>
    <w:qFormat/>
    <w:pPr>
      <w:widowControl/>
      <w:spacing w:after="160" w:line="240" w:lineRule="exact"/>
      <w:jc w:val="left"/>
    </w:pPr>
    <w:rPr>
      <w:rFonts w:cs="Times New Roman"/>
      <w:szCs w:val="24"/>
    </w:rPr>
  </w:style>
  <w:style w:type="character" w:customStyle="1" w:styleId="CharCharCharCharCharCharCharCharCharChar1">
    <w:name w:val="Char Char Char Char Char Char Char Char Char Char1"/>
    <w:link w:val="CharCharCharCharCharCharCharCharChar21"/>
    <w:autoRedefine/>
    <w:qFormat/>
    <w:locked/>
    <w:rPr>
      <w:kern w:val="2"/>
      <w:sz w:val="21"/>
      <w:szCs w:val="24"/>
    </w:rPr>
  </w:style>
  <w:style w:type="paragraph" w:customStyle="1" w:styleId="CharCharCharChar30">
    <w:name w:val="Char Char Char Char3"/>
    <w:basedOn w:val="a"/>
    <w:autoRedefine/>
    <w:uiPriority w:val="99"/>
    <w:qFormat/>
    <w:pPr>
      <w:widowControl/>
      <w:adjustRightInd w:val="0"/>
      <w:spacing w:after="160" w:line="240" w:lineRule="exact"/>
      <w:jc w:val="left"/>
    </w:pPr>
    <w:rPr>
      <w:rFonts w:cs="Times New Roman"/>
      <w:szCs w:val="20"/>
    </w:rPr>
  </w:style>
  <w:style w:type="paragraph" w:customStyle="1" w:styleId="affffffffffffffff7">
    <w:name w:val="单位名称"/>
    <w:basedOn w:val="a"/>
    <w:next w:val="a"/>
    <w:autoRedefine/>
    <w:uiPriority w:val="99"/>
    <w:qFormat/>
    <w:pPr>
      <w:spacing w:line="500" w:lineRule="atLeast"/>
      <w:jc w:val="center"/>
    </w:pPr>
    <w:rPr>
      <w:rFonts w:cs="Times New Roman"/>
      <w:sz w:val="44"/>
      <w:szCs w:val="20"/>
    </w:rPr>
  </w:style>
  <w:style w:type="paragraph" w:customStyle="1" w:styleId="5f1">
    <w:name w:val="正文5"/>
    <w:autoRedefine/>
    <w:uiPriority w:val="99"/>
    <w:qFormat/>
    <w:pPr>
      <w:widowControl w:val="0"/>
      <w:adjustRightInd w:val="0"/>
      <w:spacing w:line="360" w:lineRule="atLeast"/>
      <w:textAlignment w:val="baseline"/>
    </w:pPr>
    <w:rPr>
      <w:rFonts w:ascii="宋体"/>
      <w:sz w:val="34"/>
    </w:rPr>
  </w:style>
  <w:style w:type="paragraph" w:customStyle="1" w:styleId="Style317">
    <w:name w:val="_Style 317"/>
    <w:basedOn w:val="a"/>
    <w:autoRedefine/>
    <w:uiPriority w:val="99"/>
    <w:qFormat/>
    <w:pPr>
      <w:spacing w:line="360" w:lineRule="auto"/>
      <w:ind w:firstLineChars="200" w:firstLine="200"/>
    </w:pPr>
    <w:rPr>
      <w:rFonts w:ascii="宋体" w:hAnsi="宋体" w:cs="宋体"/>
      <w:sz w:val="24"/>
      <w:szCs w:val="24"/>
    </w:rPr>
  </w:style>
  <w:style w:type="paragraph" w:customStyle="1" w:styleId="Char4CharCharCharCharCharChar111">
    <w:name w:val="Char4 Char Char Char Char Char Char111"/>
    <w:basedOn w:val="a"/>
    <w:autoRedefine/>
    <w:uiPriority w:val="99"/>
    <w:qFormat/>
    <w:pPr>
      <w:spacing w:line="360" w:lineRule="auto"/>
      <w:ind w:firstLineChars="200" w:firstLine="200"/>
    </w:pPr>
    <w:rPr>
      <w:rFonts w:ascii="宋体" w:hAnsi="宋体" w:cs="宋体"/>
      <w:sz w:val="24"/>
      <w:szCs w:val="24"/>
    </w:rPr>
  </w:style>
  <w:style w:type="paragraph" w:customStyle="1" w:styleId="2110">
    <w:name w:val="正文缩进 2字符11"/>
    <w:basedOn w:val="a"/>
    <w:autoRedefine/>
    <w:uiPriority w:val="99"/>
    <w:qFormat/>
    <w:pPr>
      <w:tabs>
        <w:tab w:val="left" w:pos="2160"/>
      </w:tabs>
      <w:snapToGrid w:val="0"/>
      <w:spacing w:before="120" w:after="120"/>
      <w:ind w:firstLineChars="200" w:firstLine="480"/>
    </w:pPr>
    <w:rPr>
      <w:rFonts w:eastAsia="仿宋_GB2312" w:cs="Times New Roman"/>
      <w:color w:val="000000"/>
      <w:szCs w:val="21"/>
    </w:rPr>
  </w:style>
  <w:style w:type="paragraph" w:customStyle="1" w:styleId="Char1CharCharCharCharCharChar2CharCharCharCharCharCharCharCharCharCharCharCharCharCharCharCharCharChar">
    <w:name w:val="Char1 Char Char Char Char Char Char2 Char Char Char Char Char Char Char Char Char Char Char Char Char Char Char Char Char Char"/>
    <w:basedOn w:val="a"/>
    <w:autoRedefine/>
    <w:uiPriority w:val="99"/>
    <w:qFormat/>
    <w:rPr>
      <w:rFonts w:cs="Times New Roman"/>
      <w:szCs w:val="24"/>
    </w:rPr>
  </w:style>
  <w:style w:type="paragraph" w:customStyle="1" w:styleId="Char4CharCharChar11">
    <w:name w:val="Char4 Char Char Char11"/>
    <w:basedOn w:val="a"/>
    <w:autoRedefine/>
    <w:uiPriority w:val="99"/>
    <w:semiHidden/>
    <w:qFormat/>
    <w:pPr>
      <w:adjustRightInd w:val="0"/>
      <w:snapToGrid w:val="0"/>
      <w:spacing w:line="360" w:lineRule="auto"/>
      <w:ind w:firstLineChars="200" w:firstLine="200"/>
    </w:pPr>
    <w:rPr>
      <w:rFonts w:ascii="宋体" w:hAnsi="宋体" w:cs="宋体"/>
      <w:sz w:val="24"/>
      <w:szCs w:val="26"/>
    </w:rPr>
  </w:style>
  <w:style w:type="paragraph" w:customStyle="1" w:styleId="Char4CharCharCharCharCharCharCharCharCharCharCharCharCharCharCharCharChar1Char11">
    <w:name w:val="Char4 Char Char Char Char Char Char Char Char Char Char Char Char Char Char Char Char Char1 Char11"/>
    <w:basedOn w:val="a"/>
    <w:autoRedefine/>
    <w:uiPriority w:val="99"/>
    <w:qFormat/>
    <w:pPr>
      <w:spacing w:line="240" w:lineRule="exact"/>
      <w:ind w:firstLineChars="200" w:firstLine="200"/>
    </w:pPr>
    <w:rPr>
      <w:rFonts w:cs="Times New Roman"/>
      <w:sz w:val="28"/>
      <w:szCs w:val="28"/>
    </w:rPr>
  </w:style>
  <w:style w:type="paragraph" w:customStyle="1" w:styleId="CharCharCharCharCharCharChar3">
    <w:name w:val="Char Char Char Char Char Char Char3"/>
    <w:basedOn w:val="a"/>
    <w:autoRedefine/>
    <w:uiPriority w:val="99"/>
    <w:qFormat/>
    <w:rPr>
      <w:rFonts w:cs="Times New Roman"/>
      <w:szCs w:val="24"/>
    </w:rPr>
  </w:style>
  <w:style w:type="paragraph" w:customStyle="1" w:styleId="Char2CharCharChar11">
    <w:name w:val="Char2 Char Char Char11"/>
    <w:basedOn w:val="a"/>
    <w:autoRedefine/>
    <w:uiPriority w:val="99"/>
    <w:qFormat/>
    <w:pPr>
      <w:spacing w:line="360" w:lineRule="auto"/>
      <w:ind w:firstLineChars="200" w:firstLine="200"/>
    </w:pPr>
    <w:rPr>
      <w:rFonts w:ascii="宋体" w:hAnsi="宋体" w:cs="宋体"/>
      <w:sz w:val="24"/>
      <w:szCs w:val="24"/>
    </w:rPr>
  </w:style>
  <w:style w:type="paragraph" w:customStyle="1" w:styleId="0000">
    <w:name w:val="0000表格内容"/>
    <w:basedOn w:val="a"/>
    <w:autoRedefine/>
    <w:uiPriority w:val="99"/>
    <w:qFormat/>
    <w:pPr>
      <w:adjustRightInd w:val="0"/>
      <w:snapToGrid w:val="0"/>
      <w:jc w:val="center"/>
    </w:pPr>
    <w:rPr>
      <w:rFonts w:cs="Times New Roman"/>
      <w:bCs/>
      <w:snapToGrid w:val="0"/>
      <w:kern w:val="0"/>
      <w:szCs w:val="21"/>
    </w:rPr>
  </w:style>
  <w:style w:type="paragraph" w:customStyle="1" w:styleId="CharCharChar1CharCharChar1CharCharChar1">
    <w:name w:val="Char Char Char1 Char Char Char1 Char Char Char1"/>
    <w:basedOn w:val="a"/>
    <w:autoRedefine/>
    <w:uiPriority w:val="99"/>
    <w:qFormat/>
    <w:rPr>
      <w:rFonts w:cs="Times New Roman"/>
      <w:szCs w:val="21"/>
    </w:rPr>
  </w:style>
  <w:style w:type="character" w:customStyle="1" w:styleId="CharCharCharChar11">
    <w:name w:val="Char Char Char Char11"/>
    <w:autoRedefine/>
    <w:qFormat/>
    <w:rPr>
      <w:rFonts w:ascii="宋体" w:eastAsia="宋体"/>
      <w:kern w:val="2"/>
      <w:sz w:val="24"/>
      <w:lang w:val="en-US" w:eastAsia="zh-CN"/>
    </w:rPr>
  </w:style>
  <w:style w:type="character" w:customStyle="1" w:styleId="CharChar311">
    <w:name w:val="Char Char311"/>
    <w:autoRedefine/>
    <w:qFormat/>
    <w:rPr>
      <w:rFonts w:ascii="宋体" w:eastAsia="宋体" w:hAnsi="Courier New"/>
      <w:kern w:val="2"/>
      <w:sz w:val="21"/>
      <w:lang w:val="en-US" w:eastAsia="zh-CN" w:bidi="ar-SA"/>
    </w:rPr>
  </w:style>
  <w:style w:type="character" w:customStyle="1" w:styleId="CharChar411">
    <w:name w:val="Char Char411"/>
    <w:autoRedefine/>
    <w:qFormat/>
    <w:rPr>
      <w:rFonts w:ascii="宋体" w:eastAsia="宋体" w:hAnsi="Courier New"/>
      <w:kern w:val="2"/>
      <w:sz w:val="21"/>
      <w:lang w:val="en-US" w:eastAsia="zh-CN" w:bidi="ar-SA"/>
    </w:rPr>
  </w:style>
  <w:style w:type="character" w:customStyle="1" w:styleId="CharChar711">
    <w:name w:val="Char Char711"/>
    <w:autoRedefine/>
    <w:qFormat/>
    <w:rPr>
      <w:rFonts w:eastAsia="宋体"/>
      <w:kern w:val="2"/>
      <w:sz w:val="21"/>
      <w:lang w:val="en-US" w:eastAsia="zh-CN" w:bidi="ar-SA"/>
    </w:rPr>
  </w:style>
  <w:style w:type="character" w:customStyle="1" w:styleId="Char17">
    <w:name w:val="脚注文本 Char1"/>
    <w:basedOn w:val="a0"/>
    <w:autoRedefine/>
    <w:uiPriority w:val="99"/>
    <w:qFormat/>
    <w:rPr>
      <w:kern w:val="2"/>
      <w:sz w:val="18"/>
      <w:szCs w:val="18"/>
    </w:rPr>
  </w:style>
  <w:style w:type="character" w:customStyle="1" w:styleId="Char18">
    <w:name w:val="信息标题 Char1"/>
    <w:basedOn w:val="a0"/>
    <w:autoRedefine/>
    <w:uiPriority w:val="99"/>
    <w:qFormat/>
    <w:rPr>
      <w:rFonts w:ascii="Cambria" w:eastAsia="宋体" w:hAnsi="Cambria" w:cs="Times New Roman"/>
      <w:kern w:val="2"/>
      <w:sz w:val="24"/>
      <w:szCs w:val="24"/>
      <w:shd w:val="pct20" w:color="auto" w:fill="auto"/>
    </w:rPr>
  </w:style>
  <w:style w:type="character" w:customStyle="1" w:styleId="Char19">
    <w:name w:val="电子邮件签名 Char1"/>
    <w:basedOn w:val="a0"/>
    <w:autoRedefine/>
    <w:uiPriority w:val="99"/>
    <w:qFormat/>
    <w:rPr>
      <w:kern w:val="2"/>
      <w:sz w:val="21"/>
      <w:szCs w:val="24"/>
    </w:rPr>
  </w:style>
  <w:style w:type="character" w:customStyle="1" w:styleId="HTMLChar1">
    <w:name w:val="HTML 地址 Char1"/>
    <w:basedOn w:val="a0"/>
    <w:autoRedefine/>
    <w:uiPriority w:val="99"/>
    <w:qFormat/>
    <w:rPr>
      <w:i/>
      <w:iCs/>
      <w:kern w:val="2"/>
      <w:sz w:val="21"/>
      <w:szCs w:val="24"/>
    </w:rPr>
  </w:style>
  <w:style w:type="paragraph" w:customStyle="1" w:styleId="Char1CharCharChar2">
    <w:name w:val="Char1 Char Char Char2"/>
    <w:basedOn w:val="a"/>
    <w:autoRedefine/>
    <w:uiPriority w:val="99"/>
    <w:qFormat/>
    <w:rPr>
      <w:rFonts w:cs="Times New Roman"/>
      <w:szCs w:val="20"/>
    </w:rPr>
  </w:style>
  <w:style w:type="paragraph" w:customStyle="1" w:styleId="2111">
    <w:name w:val="正文文本 211"/>
    <w:basedOn w:val="a"/>
    <w:autoRedefine/>
    <w:uiPriority w:val="99"/>
    <w:qFormat/>
    <w:pPr>
      <w:adjustRightInd w:val="0"/>
      <w:textAlignment w:val="baseline"/>
    </w:pPr>
    <w:rPr>
      <w:rFonts w:cs="Times New Roman"/>
      <w:kern w:val="0"/>
      <w:sz w:val="24"/>
      <w:szCs w:val="20"/>
    </w:rPr>
  </w:style>
  <w:style w:type="paragraph" w:customStyle="1" w:styleId="CharCharCharCharCharCharCharCharCharCharCharCharCharCharCharCharCharCharCharCharChar1Char11">
    <w:name w:val="Char Char Char Char Char Char Char Char Char Char Char Char Char Char Char Char Char Char Char Char Char1 Char11"/>
    <w:basedOn w:val="a"/>
    <w:autoRedefine/>
    <w:uiPriority w:val="99"/>
    <w:qFormat/>
    <w:pPr>
      <w:spacing w:line="360" w:lineRule="auto"/>
      <w:ind w:firstLineChars="200" w:firstLine="200"/>
    </w:pPr>
    <w:rPr>
      <w:rFonts w:ascii="宋体" w:hAnsi="宋体" w:cs="宋体"/>
      <w:sz w:val="24"/>
      <w:szCs w:val="24"/>
    </w:rPr>
  </w:style>
  <w:style w:type="paragraph" w:customStyle="1" w:styleId="Char111">
    <w:name w:val="Char111"/>
    <w:basedOn w:val="a"/>
    <w:autoRedefine/>
    <w:uiPriority w:val="99"/>
    <w:qFormat/>
    <w:pPr>
      <w:spacing w:line="360" w:lineRule="auto"/>
      <w:ind w:firstLineChars="200" w:firstLine="200"/>
    </w:pPr>
    <w:rPr>
      <w:rFonts w:ascii="宋体" w:cs="Times New Roman"/>
      <w:sz w:val="24"/>
      <w:szCs w:val="20"/>
    </w:rPr>
  </w:style>
  <w:style w:type="paragraph" w:customStyle="1" w:styleId="CharCharCharChar1CharCharChar11">
    <w:name w:val="Char Char Char Char1 Char Char Char11"/>
    <w:basedOn w:val="a"/>
    <w:autoRedefine/>
    <w:uiPriority w:val="99"/>
    <w:qFormat/>
    <w:rPr>
      <w:rFonts w:cs="Times New Roman"/>
      <w:sz w:val="24"/>
      <w:szCs w:val="24"/>
    </w:rPr>
  </w:style>
  <w:style w:type="paragraph" w:customStyle="1" w:styleId="CharCharCharCharChar1Char11">
    <w:name w:val="Char Char Char Char Char1 Char11"/>
    <w:basedOn w:val="af8"/>
    <w:autoRedefine/>
    <w:uiPriority w:val="99"/>
    <w:semiHidden/>
    <w:qFormat/>
    <w:rPr>
      <w:rFonts w:ascii="Tahoma" w:hAnsi="Tahoma" w:cs="Tahoma"/>
      <w:sz w:val="18"/>
      <w:szCs w:val="24"/>
    </w:rPr>
  </w:style>
  <w:style w:type="paragraph" w:customStyle="1" w:styleId="CharCharCharCharCharCharCharCharCharCharCharCharCharCharCharCharCharChar11">
    <w:name w:val="Char Char Char Char Char Char Char Char Char Char Char Char Char Char Char Char Char Char11"/>
    <w:basedOn w:val="a"/>
    <w:autoRedefine/>
    <w:uiPriority w:val="99"/>
    <w:qFormat/>
    <w:rPr>
      <w:rFonts w:ascii="宋体" w:cs="Times New Roman"/>
      <w:sz w:val="24"/>
      <w:szCs w:val="20"/>
    </w:rPr>
  </w:style>
  <w:style w:type="paragraph" w:customStyle="1" w:styleId="CharCharChar1CharCharCharCharCharCharCharCharCharCharCharCharCharCharCharChar11">
    <w:name w:val="Char Char Char1 Char Char Char Char Char Char Char Char Char Char Char Char Char Char Char Char11"/>
    <w:basedOn w:val="a"/>
    <w:autoRedefine/>
    <w:uiPriority w:val="99"/>
    <w:qFormat/>
    <w:rPr>
      <w:rFonts w:cs="Times New Roman"/>
      <w:sz w:val="24"/>
      <w:szCs w:val="24"/>
    </w:rPr>
  </w:style>
  <w:style w:type="paragraph" w:customStyle="1" w:styleId="CharCharChar1CharCharCharCharCharCharCharCharCharCharCharCharChar11">
    <w:name w:val="Char Char Char1 Char Char Char Char Char Char Char Char Char Char Char Char Char11"/>
    <w:basedOn w:val="a"/>
    <w:autoRedefine/>
    <w:uiPriority w:val="99"/>
    <w:qFormat/>
    <w:rPr>
      <w:rFonts w:cs="Times New Roman"/>
      <w:sz w:val="24"/>
      <w:szCs w:val="24"/>
    </w:rPr>
  </w:style>
  <w:style w:type="paragraph" w:customStyle="1" w:styleId="CharCharCharCharCharCharCharCharCharCharCharCharCharCharCharCharCharChar1CharCharCharCharCharCharCharCharCharCharCharCharCharCharCharChar11">
    <w:name w:val="Char Char Char Char Char Char Char Char Char Char Char Char Char Char Char Char Char Char1 Char Char Char Char Char Char Char Char Char Char Char Char Char Char Char Char11"/>
    <w:basedOn w:val="a"/>
    <w:autoRedefine/>
    <w:uiPriority w:val="99"/>
    <w:qFormat/>
    <w:pPr>
      <w:spacing w:line="360" w:lineRule="auto"/>
      <w:ind w:firstLineChars="200" w:firstLine="200"/>
    </w:pPr>
    <w:rPr>
      <w:rFonts w:ascii="宋体" w:cs="Times New Roman"/>
      <w:sz w:val="24"/>
      <w:szCs w:val="20"/>
    </w:rPr>
  </w:style>
  <w:style w:type="paragraph" w:customStyle="1" w:styleId="CharCharCharCharCharCharCharCharCharCharCharCharCharCharCharCharCharChar1CharCharCharChar11">
    <w:name w:val="Char Char Char Char Char Char Char Char Char Char Char Char Char Char Char Char Char Char1 Char Char Char Char11"/>
    <w:basedOn w:val="a"/>
    <w:autoRedefine/>
    <w:uiPriority w:val="99"/>
    <w:qFormat/>
    <w:rPr>
      <w:rFonts w:cs="Times New Roman"/>
      <w:szCs w:val="20"/>
    </w:rPr>
  </w:style>
  <w:style w:type="paragraph" w:customStyle="1" w:styleId="3110">
    <w:name w:val="正文文本缩进 311"/>
    <w:basedOn w:val="a"/>
    <w:autoRedefine/>
    <w:uiPriority w:val="99"/>
    <w:qFormat/>
    <w:pPr>
      <w:adjustRightInd w:val="0"/>
      <w:spacing w:line="300" w:lineRule="auto"/>
      <w:ind w:firstLine="691"/>
      <w:textAlignment w:val="baseline"/>
    </w:pPr>
    <w:rPr>
      <w:rFonts w:ascii="宋体" w:cs="Times New Roman"/>
      <w:kern w:val="0"/>
      <w:sz w:val="28"/>
      <w:szCs w:val="20"/>
    </w:rPr>
  </w:style>
  <w:style w:type="paragraph" w:customStyle="1" w:styleId="1114">
    <w:name w:val="日期111"/>
    <w:basedOn w:val="a"/>
    <w:next w:val="a"/>
    <w:autoRedefine/>
    <w:uiPriority w:val="99"/>
    <w:qFormat/>
    <w:pPr>
      <w:adjustRightInd w:val="0"/>
      <w:textAlignment w:val="baseline"/>
    </w:pPr>
    <w:rPr>
      <w:rFonts w:cs="Times New Roman"/>
      <w:snapToGrid w:val="0"/>
      <w:sz w:val="24"/>
      <w:szCs w:val="20"/>
    </w:rPr>
  </w:style>
  <w:style w:type="paragraph" w:customStyle="1" w:styleId="CharCharCharCharCharCharCharCharCharCharCharCharCharCharCharCharCharCharCharCharCharCharCharCharCharCharCharCharCharCharCharCharCharCharCharCharCharCharCharCharCharCharCharCharCharChar11">
    <w:name w:val="Char Char Char Char Char Char Char Char Char Char Char Char Char Char Char Char Char Char Char Char Char Char Char Char Char Char Char Char Char Char Char Char Char Char Char Char Char Char Char Char Char Char Char Char Char Char11"/>
    <w:basedOn w:val="a"/>
    <w:next w:val="a"/>
    <w:autoRedefine/>
    <w:uiPriority w:val="99"/>
    <w:qFormat/>
    <w:pPr>
      <w:pBdr>
        <w:right w:val="single" w:sz="12" w:space="4" w:color="auto"/>
      </w:pBdr>
      <w:spacing w:line="360" w:lineRule="auto"/>
      <w:ind w:firstLineChars="200" w:firstLine="200"/>
    </w:pPr>
    <w:rPr>
      <w:rFonts w:ascii="宋体" w:hAnsi="宋体" w:cs="宋体"/>
      <w:sz w:val="24"/>
      <w:szCs w:val="24"/>
    </w:rPr>
  </w:style>
  <w:style w:type="paragraph" w:customStyle="1" w:styleId="CharCharChar111">
    <w:name w:val="Char Char Char111"/>
    <w:basedOn w:val="a"/>
    <w:autoRedefine/>
    <w:uiPriority w:val="99"/>
    <w:qFormat/>
    <w:pPr>
      <w:spacing w:line="360" w:lineRule="auto"/>
      <w:ind w:firstLineChars="200" w:firstLine="200"/>
    </w:pPr>
    <w:rPr>
      <w:rFonts w:ascii="宋体" w:hAnsi="宋体" w:cs="Times New Roman"/>
      <w:sz w:val="24"/>
      <w:szCs w:val="20"/>
    </w:rPr>
  </w:style>
  <w:style w:type="paragraph" w:customStyle="1" w:styleId="CharChar6CharChar1CharCharCharChar1">
    <w:name w:val="Char Char6 Char Char1 Char Char Char Char1"/>
    <w:basedOn w:val="a"/>
    <w:autoRedefine/>
    <w:uiPriority w:val="99"/>
    <w:semiHidden/>
    <w:qFormat/>
    <w:pPr>
      <w:adjustRightInd w:val="0"/>
      <w:snapToGrid w:val="0"/>
      <w:spacing w:line="360" w:lineRule="auto"/>
      <w:ind w:firstLineChars="200" w:firstLine="200"/>
    </w:pPr>
    <w:rPr>
      <w:rFonts w:cs="Times New Roman"/>
      <w:sz w:val="24"/>
      <w:szCs w:val="24"/>
    </w:rPr>
  </w:style>
  <w:style w:type="character" w:customStyle="1" w:styleId="BodyTextIndent2Char">
    <w:name w:val="Body Text Indent 2 Char"/>
    <w:autoRedefine/>
    <w:qFormat/>
    <w:rPr>
      <w:rFonts w:ascii="宋体" w:eastAsia="宋体" w:hAnsi="Times New Roman" w:cs="Times New Roman"/>
      <w:snapToGrid w:val="0"/>
      <w:color w:val="339966"/>
      <w:kern w:val="0"/>
      <w:sz w:val="24"/>
      <w:szCs w:val="20"/>
    </w:rPr>
  </w:style>
  <w:style w:type="character" w:customStyle="1" w:styleId="CharChar27">
    <w:name w:val="Char Char27"/>
    <w:autoRedefine/>
    <w:qFormat/>
    <w:locked/>
    <w:rPr>
      <w:rFonts w:ascii="宋体" w:eastAsia="宋体" w:hAnsi="宋体"/>
      <w:sz w:val="24"/>
      <w:lang w:bidi="ar-SA"/>
    </w:rPr>
  </w:style>
  <w:style w:type="character" w:customStyle="1" w:styleId="En-tte11Char">
    <w:name w:val="En-tête 1.1 Char"/>
    <w:autoRedefine/>
    <w:qFormat/>
    <w:locked/>
    <w:rPr>
      <w:rFonts w:ascii="宋体" w:eastAsia="宋体" w:hAnsi="宋体"/>
      <w:sz w:val="18"/>
      <w:szCs w:val="18"/>
      <w:lang w:bidi="ar-SA"/>
    </w:rPr>
  </w:style>
  <w:style w:type="character" w:customStyle="1" w:styleId="affffffffffffffff8">
    <w:name w:val="表格 字符"/>
    <w:autoRedefine/>
    <w:qFormat/>
    <w:locked/>
    <w:rPr>
      <w:rFonts w:ascii="宋体" w:eastAsia="宋体" w:hAnsi="宋体"/>
      <w:kern w:val="2"/>
      <w:sz w:val="21"/>
      <w:szCs w:val="21"/>
      <w:lang w:val="en-US" w:eastAsia="zh-CN" w:bidi="ar-SA"/>
    </w:rPr>
  </w:style>
  <w:style w:type="character" w:customStyle="1" w:styleId="CharChar231">
    <w:name w:val="Char Char231"/>
    <w:autoRedefine/>
    <w:qFormat/>
    <w:locked/>
    <w:rPr>
      <w:rFonts w:ascii="宋体" w:eastAsia="宋体" w:hAnsi="宋体"/>
      <w:sz w:val="24"/>
      <w:lang w:bidi="ar-SA"/>
    </w:rPr>
  </w:style>
  <w:style w:type="paragraph" w:customStyle="1" w:styleId="1ffff5">
    <w:name w:val="修订1"/>
    <w:autoRedefine/>
    <w:uiPriority w:val="99"/>
    <w:qFormat/>
    <w:rPr>
      <w:kern w:val="2"/>
      <w:sz w:val="24"/>
    </w:rPr>
  </w:style>
  <w:style w:type="character" w:customStyle="1" w:styleId="Char27">
    <w:name w:val="批注文字 Char2"/>
    <w:autoRedefine/>
    <w:uiPriority w:val="99"/>
    <w:qFormat/>
    <w:rPr>
      <w:rFonts w:ascii="Times New Roman" w:eastAsia="宋体" w:hAnsi="Times New Roman" w:cs="Times New Roman"/>
      <w:sz w:val="24"/>
      <w:szCs w:val="20"/>
    </w:rPr>
  </w:style>
  <w:style w:type="character" w:customStyle="1" w:styleId="CharChar22">
    <w:name w:val="Char Char22"/>
    <w:autoRedefine/>
    <w:qFormat/>
    <w:rPr>
      <w:rFonts w:ascii="Times New Roman" w:eastAsia="宋体" w:hAnsi="Times New Roman" w:cs="Times New Roman"/>
      <w:sz w:val="24"/>
      <w:szCs w:val="20"/>
    </w:rPr>
  </w:style>
  <w:style w:type="paragraph" w:customStyle="1" w:styleId="2fff1">
    <w:name w:val="样式 正文文本 + 首行缩进:  2 字符"/>
    <w:next w:val="16"/>
    <w:link w:val="2Char5"/>
    <w:autoRedefine/>
    <w:qFormat/>
    <w:pPr>
      <w:widowControl w:val="0"/>
      <w:adjustRightInd w:val="0"/>
      <w:snapToGrid w:val="0"/>
      <w:spacing w:before="120" w:line="300" w:lineRule="auto"/>
      <w:ind w:firstLineChars="200" w:firstLine="200"/>
      <w:jc w:val="both"/>
      <w:textAlignment w:val="baseline"/>
    </w:pPr>
    <w:rPr>
      <w:kern w:val="2"/>
      <w:sz w:val="24"/>
      <w:szCs w:val="24"/>
    </w:rPr>
  </w:style>
  <w:style w:type="character" w:customStyle="1" w:styleId="2Char5">
    <w:name w:val="样式 正文文本 + 首行缩进:  2 字符 Char"/>
    <w:link w:val="2fff1"/>
    <w:autoRedefine/>
    <w:qFormat/>
    <w:rPr>
      <w:kern w:val="2"/>
      <w:sz w:val="24"/>
      <w:szCs w:val="24"/>
    </w:rPr>
  </w:style>
  <w:style w:type="paragraph" w:customStyle="1" w:styleId="affffffffffffffff9">
    <w:name w:val="凌敏正文"/>
    <w:basedOn w:val="a"/>
    <w:link w:val="Charfff8"/>
    <w:autoRedefine/>
    <w:qFormat/>
    <w:pPr>
      <w:widowControl/>
      <w:spacing w:line="360" w:lineRule="auto"/>
      <w:ind w:firstLineChars="200" w:firstLine="200"/>
      <w:jc w:val="left"/>
    </w:pPr>
    <w:rPr>
      <w:rFonts w:cs="Times New Roman"/>
      <w:sz w:val="24"/>
      <w:szCs w:val="21"/>
    </w:rPr>
  </w:style>
  <w:style w:type="character" w:customStyle="1" w:styleId="Charfff8">
    <w:name w:val="凌敏正文 Char"/>
    <w:link w:val="affffffffffffffff9"/>
    <w:autoRedefine/>
    <w:qFormat/>
    <w:rPr>
      <w:kern w:val="2"/>
      <w:sz w:val="24"/>
      <w:szCs w:val="21"/>
    </w:rPr>
  </w:style>
  <w:style w:type="paragraph" w:customStyle="1" w:styleId="3fc">
    <w:name w:val="标题3级"/>
    <w:basedOn w:val="a"/>
    <w:link w:val="3Char4"/>
    <w:autoRedefine/>
    <w:uiPriority w:val="99"/>
    <w:qFormat/>
    <w:pPr>
      <w:keepNext/>
      <w:keepLines/>
      <w:widowControl/>
      <w:spacing w:line="500" w:lineRule="exact"/>
      <w:jc w:val="left"/>
      <w:outlineLvl w:val="2"/>
    </w:pPr>
    <w:rPr>
      <w:rFonts w:cs="Times New Roman"/>
      <w:b/>
      <w:bCs/>
      <w:sz w:val="28"/>
      <w:szCs w:val="28"/>
    </w:rPr>
  </w:style>
  <w:style w:type="character" w:customStyle="1" w:styleId="3Char4">
    <w:name w:val="标题3级 Char"/>
    <w:link w:val="3fc"/>
    <w:autoRedefine/>
    <w:uiPriority w:val="99"/>
    <w:qFormat/>
    <w:rPr>
      <w:b/>
      <w:bCs/>
      <w:kern w:val="2"/>
      <w:sz w:val="28"/>
      <w:szCs w:val="28"/>
    </w:rPr>
  </w:style>
  <w:style w:type="character" w:customStyle="1" w:styleId="15Char">
    <w:name w:val="样式 宋体 四号 行距: 1.5 倍行距 Char"/>
    <w:link w:val="157"/>
    <w:autoRedefine/>
    <w:qFormat/>
    <w:rPr>
      <w:rFonts w:ascii="宋体" w:hAnsi="宋体"/>
      <w:sz w:val="28"/>
    </w:rPr>
  </w:style>
  <w:style w:type="paragraph" w:customStyle="1" w:styleId="157">
    <w:name w:val="样式 宋体 四号 行距: 1.5 倍行距"/>
    <w:basedOn w:val="a"/>
    <w:link w:val="15Char"/>
    <w:autoRedefine/>
    <w:qFormat/>
    <w:pPr>
      <w:widowControl/>
      <w:spacing w:line="360" w:lineRule="auto"/>
      <w:ind w:firstLineChars="200" w:firstLine="560"/>
      <w:jc w:val="left"/>
    </w:pPr>
    <w:rPr>
      <w:rFonts w:ascii="宋体" w:hAnsi="宋体" w:cs="Times New Roman"/>
      <w:kern w:val="0"/>
      <w:sz w:val="28"/>
      <w:szCs w:val="20"/>
    </w:rPr>
  </w:style>
  <w:style w:type="character" w:customStyle="1" w:styleId="1Char4">
    <w:name w:val="1级 Char"/>
    <w:link w:val="1ffff6"/>
    <w:autoRedefine/>
    <w:qFormat/>
    <w:rPr>
      <w:b/>
      <w:kern w:val="2"/>
      <w:sz w:val="32"/>
      <w:szCs w:val="32"/>
    </w:rPr>
  </w:style>
  <w:style w:type="paragraph" w:customStyle="1" w:styleId="1ffff6">
    <w:name w:val="1级"/>
    <w:basedOn w:val="a"/>
    <w:link w:val="1Char4"/>
    <w:autoRedefine/>
    <w:qFormat/>
    <w:pPr>
      <w:widowControl/>
      <w:jc w:val="center"/>
    </w:pPr>
    <w:rPr>
      <w:rFonts w:cs="Times New Roman"/>
      <w:b/>
      <w:sz w:val="32"/>
      <w:szCs w:val="32"/>
    </w:rPr>
  </w:style>
  <w:style w:type="character" w:customStyle="1" w:styleId="Charfff9">
    <w:name w:val="三级 Char"/>
    <w:link w:val="affffffffffffffffa"/>
    <w:qFormat/>
    <w:rPr>
      <w:b/>
      <w:kern w:val="2"/>
      <w:sz w:val="28"/>
      <w:szCs w:val="28"/>
    </w:rPr>
  </w:style>
  <w:style w:type="paragraph" w:customStyle="1" w:styleId="affffffffffffffffa">
    <w:name w:val="三级"/>
    <w:basedOn w:val="a"/>
    <w:link w:val="Charfff9"/>
    <w:autoRedefine/>
    <w:qFormat/>
    <w:pPr>
      <w:widowControl/>
      <w:jc w:val="left"/>
      <w:outlineLvl w:val="2"/>
    </w:pPr>
    <w:rPr>
      <w:rFonts w:cs="Times New Roman"/>
      <w:b/>
      <w:sz w:val="28"/>
      <w:szCs w:val="28"/>
    </w:rPr>
  </w:style>
  <w:style w:type="character" w:customStyle="1" w:styleId="AAAChar">
    <w:name w:val="AAA正文 Char"/>
    <w:link w:val="AAA"/>
    <w:autoRedefine/>
    <w:qFormat/>
    <w:rPr>
      <w:sz w:val="24"/>
      <w:szCs w:val="24"/>
    </w:rPr>
  </w:style>
  <w:style w:type="paragraph" w:customStyle="1" w:styleId="AAA">
    <w:name w:val="AAA正文"/>
    <w:basedOn w:val="a"/>
    <w:link w:val="AAAChar"/>
    <w:qFormat/>
    <w:pPr>
      <w:widowControl/>
      <w:spacing w:line="360" w:lineRule="auto"/>
      <w:ind w:firstLineChars="200" w:firstLine="480"/>
      <w:jc w:val="left"/>
    </w:pPr>
    <w:rPr>
      <w:rFonts w:cs="Times New Roman"/>
      <w:kern w:val="0"/>
      <w:sz w:val="24"/>
      <w:szCs w:val="24"/>
    </w:rPr>
  </w:style>
  <w:style w:type="character" w:customStyle="1" w:styleId="15TimesNewRoman1Char">
    <w:name w:val="样式 样式 宋体 四号 行距: 1.5 倍行距 + Times New Roman1 Char"/>
    <w:link w:val="15TimesNewRoman1"/>
    <w:qFormat/>
    <w:rPr>
      <w:sz w:val="28"/>
    </w:rPr>
  </w:style>
  <w:style w:type="paragraph" w:customStyle="1" w:styleId="15TimesNewRoman1">
    <w:name w:val="样式 样式 宋体 四号 行距: 1.5 倍行距 + Times New Roman1"/>
    <w:basedOn w:val="157"/>
    <w:link w:val="15TimesNewRoman1Char"/>
    <w:autoRedefine/>
    <w:qFormat/>
    <w:pPr>
      <w:widowControl w:val="0"/>
      <w:spacing w:line="240" w:lineRule="auto"/>
      <w:ind w:firstLineChars="0" w:firstLine="0"/>
      <w:jc w:val="both"/>
    </w:pPr>
    <w:rPr>
      <w:rFonts w:ascii="Times New Roman" w:hAnsi="Times New Roman"/>
    </w:rPr>
  </w:style>
  <w:style w:type="character" w:customStyle="1" w:styleId="Charfffa">
    <w:name w:val="正文小四 Char"/>
    <w:link w:val="affffffffffffffffb"/>
    <w:autoRedefine/>
    <w:qFormat/>
    <w:rPr>
      <w:kern w:val="2"/>
      <w:sz w:val="24"/>
    </w:rPr>
  </w:style>
  <w:style w:type="paragraph" w:customStyle="1" w:styleId="affffffffffffffffb">
    <w:name w:val="正文小四"/>
    <w:basedOn w:val="a"/>
    <w:link w:val="Charfffa"/>
    <w:autoRedefine/>
    <w:qFormat/>
    <w:pPr>
      <w:widowControl/>
      <w:spacing w:line="360" w:lineRule="auto"/>
      <w:ind w:firstLineChars="200" w:firstLine="200"/>
      <w:jc w:val="left"/>
    </w:pPr>
    <w:rPr>
      <w:rFonts w:cs="Times New Roman"/>
      <w:sz w:val="24"/>
      <w:szCs w:val="20"/>
    </w:rPr>
  </w:style>
  <w:style w:type="character" w:customStyle="1" w:styleId="Charfffb">
    <w:name w:val="一级 Char"/>
    <w:link w:val="affffffffffffffffc"/>
    <w:autoRedefine/>
    <w:qFormat/>
    <w:rPr>
      <w:b/>
      <w:kern w:val="2"/>
      <w:sz w:val="32"/>
    </w:rPr>
  </w:style>
  <w:style w:type="paragraph" w:customStyle="1" w:styleId="affffffffffffffffc">
    <w:name w:val="一级"/>
    <w:basedOn w:val="a"/>
    <w:link w:val="Charfffb"/>
    <w:qFormat/>
    <w:pPr>
      <w:widowControl/>
      <w:adjustRightInd w:val="0"/>
      <w:jc w:val="center"/>
      <w:textAlignment w:val="baseline"/>
    </w:pPr>
    <w:rPr>
      <w:rFonts w:cs="Times New Roman"/>
      <w:b/>
      <w:sz w:val="32"/>
      <w:szCs w:val="20"/>
    </w:rPr>
  </w:style>
  <w:style w:type="character" w:customStyle="1" w:styleId="IBMChar">
    <w:name w:val="IBM 正文 Char"/>
    <w:link w:val="IBM"/>
    <w:autoRedefine/>
    <w:qFormat/>
    <w:rPr>
      <w:kern w:val="2"/>
      <w:sz w:val="24"/>
    </w:rPr>
  </w:style>
  <w:style w:type="paragraph" w:customStyle="1" w:styleId="IBM">
    <w:name w:val="IBM 正文"/>
    <w:basedOn w:val="a"/>
    <w:link w:val="IBMChar"/>
    <w:autoRedefine/>
    <w:qFormat/>
    <w:pPr>
      <w:widowControl/>
      <w:spacing w:line="360" w:lineRule="atLeast"/>
      <w:jc w:val="left"/>
    </w:pPr>
    <w:rPr>
      <w:rFonts w:cs="Times New Roman"/>
      <w:sz w:val="24"/>
      <w:szCs w:val="20"/>
    </w:rPr>
  </w:style>
  <w:style w:type="character" w:customStyle="1" w:styleId="2Char6">
    <w:name w:val="2级 Char"/>
    <w:link w:val="2fff2"/>
    <w:autoRedefine/>
    <w:qFormat/>
    <w:rPr>
      <w:b/>
      <w:kern w:val="2"/>
      <w:sz w:val="28"/>
      <w:szCs w:val="28"/>
    </w:rPr>
  </w:style>
  <w:style w:type="paragraph" w:customStyle="1" w:styleId="2fff2">
    <w:name w:val="2级"/>
    <w:basedOn w:val="a"/>
    <w:link w:val="2Char6"/>
    <w:qFormat/>
    <w:pPr>
      <w:widowControl/>
      <w:jc w:val="left"/>
    </w:pPr>
    <w:rPr>
      <w:rFonts w:cs="Times New Roman"/>
      <w:b/>
      <w:sz w:val="28"/>
      <w:szCs w:val="28"/>
    </w:rPr>
  </w:style>
  <w:style w:type="character" w:customStyle="1" w:styleId="3Char5">
    <w:name w:val="3级 Char"/>
    <w:link w:val="3fd"/>
    <w:autoRedefine/>
    <w:qFormat/>
    <w:rPr>
      <w:b/>
      <w:kern w:val="2"/>
      <w:sz w:val="28"/>
      <w:szCs w:val="28"/>
    </w:rPr>
  </w:style>
  <w:style w:type="paragraph" w:customStyle="1" w:styleId="3fd">
    <w:name w:val="3级"/>
    <w:basedOn w:val="a"/>
    <w:link w:val="3Char5"/>
    <w:autoRedefine/>
    <w:qFormat/>
    <w:pPr>
      <w:widowControl/>
      <w:snapToGrid w:val="0"/>
      <w:spacing w:line="360" w:lineRule="auto"/>
      <w:jc w:val="left"/>
    </w:pPr>
    <w:rPr>
      <w:rFonts w:cs="Times New Roman"/>
      <w:b/>
      <w:sz w:val="28"/>
      <w:szCs w:val="28"/>
    </w:rPr>
  </w:style>
  <w:style w:type="character" w:customStyle="1" w:styleId="Charfffc">
    <w:name w:val="表格标题小四 Char"/>
    <w:link w:val="affffffffffffffffd"/>
    <w:autoRedefine/>
    <w:qFormat/>
    <w:rPr>
      <w:rFonts w:ascii="宋体" w:hAnsi="宋体"/>
      <w:kern w:val="2"/>
      <w:sz w:val="28"/>
      <w:szCs w:val="28"/>
    </w:rPr>
  </w:style>
  <w:style w:type="paragraph" w:customStyle="1" w:styleId="affffffffffffffffd">
    <w:name w:val="表格标题小四"/>
    <w:basedOn w:val="a"/>
    <w:next w:val="a"/>
    <w:link w:val="Charfffc"/>
    <w:autoRedefine/>
    <w:qFormat/>
    <w:pPr>
      <w:widowControl/>
      <w:spacing w:line="360" w:lineRule="auto"/>
      <w:jc w:val="center"/>
    </w:pPr>
    <w:rPr>
      <w:rFonts w:ascii="宋体" w:hAnsi="宋体" w:cs="Times New Roman"/>
      <w:sz w:val="28"/>
      <w:szCs w:val="28"/>
    </w:rPr>
  </w:style>
  <w:style w:type="character" w:customStyle="1" w:styleId="CharCharCharChar8">
    <w:name w:val="表格 Char Char Char Char"/>
    <w:autoRedefine/>
    <w:qFormat/>
    <w:locked/>
    <w:rPr>
      <w:rFonts w:eastAsia="宋体"/>
      <w:sz w:val="21"/>
    </w:rPr>
  </w:style>
  <w:style w:type="paragraph" w:customStyle="1" w:styleId="a40">
    <w:name w:val="a4"/>
    <w:basedOn w:val="a"/>
    <w:autoRedefine/>
    <w:uiPriority w:val="99"/>
    <w:qFormat/>
    <w:pPr>
      <w:widowControl/>
      <w:spacing w:before="100" w:beforeAutospacing="1" w:after="100" w:afterAutospacing="1"/>
      <w:jc w:val="left"/>
    </w:pPr>
    <w:rPr>
      <w:rFonts w:ascii="宋体" w:hAnsi="宋体" w:cs="宋体"/>
      <w:kern w:val="0"/>
      <w:sz w:val="24"/>
      <w:szCs w:val="24"/>
    </w:rPr>
  </w:style>
  <w:style w:type="character" w:customStyle="1" w:styleId="CharChar91">
    <w:name w:val="Char Char91"/>
    <w:autoRedefine/>
    <w:qFormat/>
    <w:locked/>
    <w:rPr>
      <w:rFonts w:ascii="宋体" w:eastAsia="宋体" w:hAnsi="宋体"/>
      <w:kern w:val="2"/>
      <w:sz w:val="21"/>
      <w:szCs w:val="24"/>
      <w:lang w:bidi="ar-SA"/>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uiPriority w:val="99"/>
    <w:qFormat/>
    <w:pPr>
      <w:widowControl/>
      <w:spacing w:beforeLines="50" w:afterLines="50" w:line="360" w:lineRule="auto"/>
      <w:jc w:val="left"/>
    </w:pPr>
    <w:rPr>
      <w:rFonts w:ascii="宋体" w:hAnsi="宋体" w:cs="宋体"/>
      <w:b/>
      <w:kern w:val="0"/>
      <w:sz w:val="24"/>
      <w:szCs w:val="24"/>
    </w:rPr>
  </w:style>
  <w:style w:type="character" w:customStyle="1" w:styleId="Charfffd">
    <w:name w:val="正文四号 Char"/>
    <w:link w:val="affffffffffffffffe"/>
    <w:qFormat/>
    <w:rPr>
      <w:kern w:val="2"/>
      <w:sz w:val="28"/>
    </w:rPr>
  </w:style>
  <w:style w:type="paragraph" w:customStyle="1" w:styleId="affffffffffffffffe">
    <w:name w:val="正文四号"/>
    <w:basedOn w:val="a"/>
    <w:link w:val="Charfffd"/>
    <w:autoRedefine/>
    <w:qFormat/>
    <w:pPr>
      <w:widowControl/>
      <w:spacing w:line="360" w:lineRule="auto"/>
      <w:ind w:firstLineChars="200" w:firstLine="200"/>
      <w:jc w:val="left"/>
    </w:pPr>
    <w:rPr>
      <w:rFonts w:cs="Times New Roman"/>
      <w:sz w:val="28"/>
      <w:szCs w:val="20"/>
    </w:rPr>
  </w:style>
  <w:style w:type="paragraph" w:customStyle="1" w:styleId="1ffff7">
    <w:name w:val="1正文标准格式"/>
    <w:basedOn w:val="a"/>
    <w:link w:val="1Char5"/>
    <w:autoRedefine/>
    <w:qFormat/>
    <w:pPr>
      <w:widowControl/>
      <w:spacing w:line="560" w:lineRule="exact"/>
      <w:ind w:firstLineChars="200" w:firstLine="560"/>
      <w:jc w:val="left"/>
    </w:pPr>
    <w:rPr>
      <w:rFonts w:cs="Times New Roman"/>
      <w:bCs/>
      <w:sz w:val="28"/>
      <w:szCs w:val="24"/>
    </w:rPr>
  </w:style>
  <w:style w:type="character" w:customStyle="1" w:styleId="1Char5">
    <w:name w:val="1正文标准格式 Char"/>
    <w:link w:val="1ffff7"/>
    <w:autoRedefine/>
    <w:qFormat/>
    <w:rPr>
      <w:bCs/>
      <w:kern w:val="2"/>
      <w:sz w:val="28"/>
      <w:szCs w:val="24"/>
    </w:rPr>
  </w:style>
  <w:style w:type="paragraph" w:customStyle="1" w:styleId="afffffffffffffffff">
    <w:name w:val="注"/>
    <w:basedOn w:val="a"/>
    <w:link w:val="Charfffe"/>
    <w:autoRedefine/>
    <w:qFormat/>
    <w:pPr>
      <w:widowControl/>
      <w:spacing w:beforeLines="50" w:afterLines="50"/>
      <w:ind w:firstLineChars="200" w:firstLine="200"/>
      <w:jc w:val="left"/>
      <w:textAlignment w:val="center"/>
    </w:pPr>
    <w:rPr>
      <w:rFonts w:cs="Times New Roman"/>
      <w:sz w:val="24"/>
      <w:szCs w:val="24"/>
      <w:lang w:bidi="en-US"/>
    </w:rPr>
  </w:style>
  <w:style w:type="character" w:customStyle="1" w:styleId="Charfffe">
    <w:name w:val="注 Char"/>
    <w:link w:val="afffffffffffffffff"/>
    <w:qFormat/>
    <w:rPr>
      <w:kern w:val="2"/>
      <w:sz w:val="24"/>
      <w:szCs w:val="24"/>
      <w:lang w:bidi="en-US"/>
    </w:rPr>
  </w:style>
  <w:style w:type="paragraph" w:customStyle="1" w:styleId="afffffffffffffffff0">
    <w:name w:val="表格文字样式"/>
    <w:basedOn w:val="a"/>
    <w:link w:val="Charffff"/>
    <w:qFormat/>
    <w:pPr>
      <w:widowControl/>
      <w:jc w:val="center"/>
      <w:textAlignment w:val="center"/>
    </w:pPr>
    <w:rPr>
      <w:rFonts w:cs="Times New Roman"/>
      <w:sz w:val="24"/>
      <w:szCs w:val="24"/>
    </w:rPr>
  </w:style>
  <w:style w:type="character" w:customStyle="1" w:styleId="Charffff">
    <w:name w:val="表格文字样式 Char"/>
    <w:link w:val="afffffffffffffffff0"/>
    <w:autoRedefine/>
    <w:qFormat/>
    <w:rPr>
      <w:kern w:val="2"/>
      <w:sz w:val="24"/>
      <w:szCs w:val="24"/>
    </w:rPr>
  </w:style>
  <w:style w:type="table" w:customStyle="1" w:styleId="232">
    <w:name w:val="简明型 232"/>
    <w:basedOn w:val="a1"/>
    <w:qFormat/>
    <w:pPr>
      <w:widowControl w:val="0"/>
      <w:jc w:val="both"/>
    </w:pPr>
    <w:tblPr>
      <w:tblBorders>
        <w:top w:val="single" w:sz="12" w:space="0" w:color="auto"/>
        <w:bottom w:val="single" w:sz="12" w:space="0" w:color="auto"/>
        <w:insideH w:val="single" w:sz="4" w:space="0" w:color="auto"/>
        <w:insideV w:val="single" w:sz="4" w:space="0" w:color="auto"/>
      </w:tblBorders>
    </w:tblPr>
    <w:tcPr>
      <w:shd w:val="clear" w:color="auto" w:fill="auto"/>
    </w:tcPr>
    <w:tblStylePr w:type="firstRow">
      <w:tblPr/>
      <w:tcPr>
        <w:tcBorders>
          <w:top w:val="single" w:sz="12" w:space="0" w:color="auto"/>
          <w:left w:val="single" w:sz="12" w:space="0" w:color="auto"/>
          <w:bottom w:val="nil"/>
          <w:right w:val="nil"/>
          <w:insideH w:val="nil"/>
          <w:insideV w:val="nil"/>
          <w:tl2br w:val="nil"/>
          <w:tr2bl w:val="nil"/>
        </w:tcBorders>
        <w:shd w:val="clear" w:color="auto" w:fill="auto"/>
      </w:tcPr>
    </w:tblStylePr>
    <w:tblStylePr w:type="lastRow">
      <w:tblPr/>
      <w:tcPr>
        <w:tcBorders>
          <w:top w:val="single" w:sz="6" w:space="0" w:color="008000"/>
          <w:left w:val="single" w:sz="12" w:space="0" w:color="auto"/>
          <w:bottom w:val="nil"/>
          <w:right w:val="nil"/>
          <w:insideH w:val="nil"/>
          <w:insideV w:val="nil"/>
          <w:tl2br w:val="nil"/>
          <w:tr2bl w:val="nil"/>
        </w:tcBorders>
        <w:shd w:val="clear" w:color="auto" w:fill="auto"/>
      </w:tcPr>
    </w:tblStylePr>
  </w:style>
  <w:style w:type="table" w:customStyle="1" w:styleId="1ffff8">
    <w:name w:val="正文+宋体1"/>
    <w:basedOn w:val="a1"/>
    <w:autoRedefine/>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9">
    <w:name w:val="刘文自定义表格1"/>
    <w:basedOn w:val="affff5"/>
    <w:autoRedefine/>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f2">
    <w:name w:val="表格样式11"/>
    <w:basedOn w:val="affff5"/>
    <w:autoRedefine/>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harCharChar20">
    <w:name w:val="Char Char Char2"/>
    <w:basedOn w:val="a"/>
    <w:autoRedefine/>
    <w:uiPriority w:val="99"/>
    <w:qFormat/>
    <w:rPr>
      <w:rFonts w:cs="Times New Roman"/>
      <w:sz w:val="24"/>
      <w:szCs w:val="24"/>
    </w:rPr>
  </w:style>
  <w:style w:type="paragraph" w:customStyle="1" w:styleId="content14">
    <w:name w:val="content14"/>
    <w:basedOn w:val="a"/>
    <w:autoRedefine/>
    <w:uiPriority w:val="99"/>
    <w:qFormat/>
    <w:pPr>
      <w:widowControl/>
      <w:spacing w:before="100" w:beforeAutospacing="1" w:after="100" w:afterAutospacing="1"/>
      <w:jc w:val="left"/>
    </w:pPr>
    <w:rPr>
      <w:rFonts w:ascii="宋体" w:hAnsi="宋体" w:cs="宋体"/>
      <w:kern w:val="0"/>
      <w:sz w:val="24"/>
      <w:szCs w:val="24"/>
    </w:rPr>
  </w:style>
  <w:style w:type="character" w:customStyle="1" w:styleId="afffffffffffffffff1">
    <w:name w:val="【表格注释】"/>
    <w:autoRedefine/>
    <w:qFormat/>
    <w:rPr>
      <w:rFonts w:eastAsia="宋体"/>
      <w:kern w:val="0"/>
      <w:sz w:val="21"/>
      <w:lang w:val="en-US" w:eastAsia="zh-CN"/>
    </w:rPr>
  </w:style>
  <w:style w:type="character" w:customStyle="1" w:styleId="2Char7">
    <w:name w:val="样式 样式 标题2 + Char"/>
    <w:link w:val="2fff3"/>
    <w:autoRedefine/>
    <w:qFormat/>
    <w:rPr>
      <w:rFonts w:cs="宋体"/>
      <w:b/>
      <w:bCs/>
      <w:kern w:val="2"/>
      <w:sz w:val="28"/>
    </w:rPr>
  </w:style>
  <w:style w:type="paragraph" w:customStyle="1" w:styleId="2fff3">
    <w:name w:val="样式 样式 标题2 +"/>
    <w:basedOn w:val="a"/>
    <w:link w:val="2Char7"/>
    <w:autoRedefine/>
    <w:qFormat/>
    <w:pPr>
      <w:keepNext/>
      <w:keepLines/>
      <w:tabs>
        <w:tab w:val="left" w:pos="840"/>
      </w:tabs>
      <w:adjustRightInd w:val="0"/>
      <w:spacing w:line="360" w:lineRule="auto"/>
      <w:ind w:hanging="420"/>
      <w:jc w:val="left"/>
      <w:textAlignment w:val="baseline"/>
      <w:outlineLvl w:val="1"/>
    </w:pPr>
    <w:rPr>
      <w:rFonts w:cs="宋体"/>
      <w:b/>
      <w:bCs/>
      <w:sz w:val="28"/>
      <w:szCs w:val="20"/>
    </w:rPr>
  </w:style>
  <w:style w:type="character" w:customStyle="1" w:styleId="afffffffffffffffff2">
    <w:name w:val="样式 小三"/>
    <w:autoRedefine/>
    <w:qFormat/>
    <w:rPr>
      <w:sz w:val="24"/>
    </w:rPr>
  </w:style>
  <w:style w:type="character" w:customStyle="1" w:styleId="Charffff0">
    <w:name w:val="小四+首行缩进 +黑体 Char"/>
    <w:link w:val="afffffffffffffffff3"/>
    <w:autoRedefine/>
    <w:qFormat/>
    <w:locked/>
    <w:rPr>
      <w:rFonts w:ascii="宋体" w:eastAsia="黑体" w:hAnsi="宋体"/>
      <w:sz w:val="24"/>
    </w:rPr>
  </w:style>
  <w:style w:type="paragraph" w:customStyle="1" w:styleId="afffffffffffffffff3">
    <w:name w:val="小四+首行缩进 +黑体"/>
    <w:basedOn w:val="affffffffff0"/>
    <w:link w:val="Charffff0"/>
    <w:autoRedefine/>
    <w:qFormat/>
    <w:rPr>
      <w:rFonts w:eastAsia="黑体" w:cs="Times New Roman"/>
    </w:rPr>
  </w:style>
  <w:style w:type="character" w:customStyle="1" w:styleId="Charffff1">
    <w:name w:val="小四+首行缩进 Char"/>
    <w:autoRedefine/>
    <w:qFormat/>
    <w:locked/>
    <w:rPr>
      <w:rFonts w:ascii="宋体"/>
      <w:sz w:val="24"/>
    </w:rPr>
  </w:style>
  <w:style w:type="character" w:customStyle="1" w:styleId="3Char6">
    <w:name w:val="【标题3】 Char"/>
    <w:link w:val="3fe"/>
    <w:autoRedefine/>
    <w:qFormat/>
    <w:locked/>
    <w:rPr>
      <w:b/>
      <w:sz w:val="30"/>
    </w:rPr>
  </w:style>
  <w:style w:type="paragraph" w:customStyle="1" w:styleId="3fe">
    <w:name w:val="【标题3】"/>
    <w:basedOn w:val="3"/>
    <w:link w:val="3Char6"/>
    <w:autoRedefine/>
    <w:qFormat/>
    <w:pPr>
      <w:numPr>
        <w:ilvl w:val="0"/>
        <w:numId w:val="0"/>
      </w:numPr>
      <w:tabs>
        <w:tab w:val="left" w:pos="-441"/>
        <w:tab w:val="left" w:pos="720"/>
        <w:tab w:val="left" w:pos="1260"/>
        <w:tab w:val="left" w:pos="1931"/>
      </w:tabs>
      <w:adjustRightInd/>
      <w:snapToGrid/>
      <w:ind w:left="720" w:hanging="432"/>
      <w:jc w:val="both"/>
    </w:pPr>
    <w:rPr>
      <w:rFonts w:cs="Times New Roman"/>
      <w:bCs w:val="0"/>
      <w:kern w:val="0"/>
      <w:sz w:val="30"/>
      <w:szCs w:val="20"/>
    </w:rPr>
  </w:style>
  <w:style w:type="character" w:customStyle="1" w:styleId="style441">
    <w:name w:val="style441"/>
    <w:autoRedefine/>
    <w:qFormat/>
    <w:rPr>
      <w:sz w:val="18"/>
      <w:szCs w:val="18"/>
    </w:rPr>
  </w:style>
  <w:style w:type="character" w:customStyle="1" w:styleId="Charffff2">
    <w:name w:val="内容 Char"/>
    <w:link w:val="afffffffffffffffff4"/>
    <w:autoRedefine/>
    <w:qFormat/>
    <w:locked/>
    <w:rPr>
      <w:color w:val="000000"/>
      <w:kern w:val="2"/>
      <w:sz w:val="24"/>
    </w:rPr>
  </w:style>
  <w:style w:type="paragraph" w:customStyle="1" w:styleId="afffffffffffffffff4">
    <w:name w:val="内容"/>
    <w:basedOn w:val="a"/>
    <w:link w:val="Charffff2"/>
    <w:autoRedefine/>
    <w:qFormat/>
    <w:pPr>
      <w:spacing w:line="480" w:lineRule="exact"/>
      <w:ind w:firstLineChars="200" w:firstLine="200"/>
      <w:jc w:val="left"/>
    </w:pPr>
    <w:rPr>
      <w:rFonts w:cs="Times New Roman"/>
      <w:color w:val="000000"/>
      <w:sz w:val="24"/>
      <w:szCs w:val="20"/>
    </w:rPr>
  </w:style>
  <w:style w:type="character" w:customStyle="1" w:styleId="Charffff3">
    <w:name w:val="龚艺表名 Char"/>
    <w:link w:val="afffffffffffffffff5"/>
    <w:autoRedefine/>
    <w:qFormat/>
    <w:rPr>
      <w:b/>
      <w:color w:val="FF0000"/>
    </w:rPr>
  </w:style>
  <w:style w:type="paragraph" w:customStyle="1" w:styleId="afffffffffffffffff5">
    <w:name w:val="龚艺表名"/>
    <w:basedOn w:val="a"/>
    <w:link w:val="Charffff3"/>
    <w:autoRedefine/>
    <w:qFormat/>
    <w:pPr>
      <w:spacing w:beforeLines="20"/>
      <w:jc w:val="center"/>
    </w:pPr>
    <w:rPr>
      <w:rFonts w:cs="Times New Roman"/>
      <w:b/>
      <w:color w:val="FF0000"/>
      <w:kern w:val="0"/>
      <w:sz w:val="20"/>
      <w:szCs w:val="20"/>
    </w:rPr>
  </w:style>
  <w:style w:type="character" w:customStyle="1" w:styleId="1Char6">
    <w:name w:val="正文编号（1） Char"/>
    <w:autoRedefine/>
    <w:semiHidden/>
    <w:qFormat/>
    <w:rPr>
      <w:rFonts w:eastAsia="宋体"/>
      <w:kern w:val="2"/>
      <w:sz w:val="24"/>
      <w:lang w:val="en-US" w:eastAsia="zh-CN"/>
    </w:rPr>
  </w:style>
  <w:style w:type="character" w:customStyle="1" w:styleId="button1">
    <w:name w:val="button1"/>
    <w:autoRedefine/>
    <w:qFormat/>
    <w:rPr>
      <w:color w:val="FFFFFF"/>
      <w:spacing w:val="48"/>
      <w:sz w:val="18"/>
      <w:szCs w:val="18"/>
      <w:shd w:val="clear" w:color="auto" w:fill="009933"/>
    </w:rPr>
  </w:style>
  <w:style w:type="character" w:customStyle="1" w:styleId="17CharCharCharChar">
    <w:name w:val="样式17 Char Char Char Char"/>
    <w:autoRedefine/>
    <w:qFormat/>
    <w:rPr>
      <w:rFonts w:eastAsia="华文中宋"/>
      <w:kern w:val="2"/>
      <w:sz w:val="24"/>
      <w:lang w:val="en-US" w:eastAsia="zh-CN"/>
    </w:rPr>
  </w:style>
  <w:style w:type="character" w:customStyle="1" w:styleId="nine-11">
    <w:name w:val="nine-11"/>
    <w:autoRedefine/>
    <w:qFormat/>
    <w:rPr>
      <w:rFonts w:hint="default"/>
      <w:sz w:val="18"/>
      <w:szCs w:val="18"/>
    </w:rPr>
  </w:style>
  <w:style w:type="character" w:customStyle="1" w:styleId="1Char20">
    <w:name w:val="标题1 Char2"/>
    <w:autoRedefine/>
    <w:qFormat/>
    <w:rPr>
      <w:rFonts w:eastAsia="黑体"/>
      <w:b/>
      <w:kern w:val="2"/>
      <w:sz w:val="30"/>
      <w:lang w:val="en-US" w:eastAsia="zh-CN" w:bidi="ar-SA"/>
    </w:rPr>
  </w:style>
  <w:style w:type="character" w:customStyle="1" w:styleId="2Char8">
    <w:name w:val="样式 标题 2 + 非加粗 Char"/>
    <w:autoRedefine/>
    <w:qFormat/>
    <w:rPr>
      <w:rFonts w:eastAsia="黑体"/>
      <w:b/>
      <w:bCs/>
      <w:kern w:val="2"/>
      <w:sz w:val="24"/>
      <w:szCs w:val="32"/>
      <w:lang w:val="en-US" w:eastAsia="zh-CN" w:bidi="ar-SA"/>
    </w:rPr>
  </w:style>
  <w:style w:type="character" w:customStyle="1" w:styleId="CharCharf5">
    <w:name w:val="表格编号 Char Char"/>
    <w:link w:val="afffffffffffffffff6"/>
    <w:autoRedefine/>
    <w:qFormat/>
    <w:rPr>
      <w:rFonts w:ascii="黑体" w:eastAsia="黑体" w:hAnsi="宋体" w:cs="宋体"/>
      <w:sz w:val="24"/>
    </w:rPr>
  </w:style>
  <w:style w:type="paragraph" w:customStyle="1" w:styleId="afffffffffffffffff6">
    <w:name w:val="表格编号"/>
    <w:basedOn w:val="a"/>
    <w:link w:val="CharCharf5"/>
    <w:autoRedefine/>
    <w:qFormat/>
    <w:pPr>
      <w:spacing w:line="0" w:lineRule="atLeast"/>
      <w:ind w:firstLineChars="950" w:firstLine="2280"/>
    </w:pPr>
    <w:rPr>
      <w:rFonts w:ascii="黑体" w:eastAsia="黑体" w:hAnsi="宋体" w:cs="宋体"/>
      <w:kern w:val="0"/>
      <w:sz w:val="24"/>
      <w:szCs w:val="20"/>
    </w:rPr>
  </w:style>
  <w:style w:type="character" w:customStyle="1" w:styleId="fheading1">
    <w:name w:val="f_heading1"/>
    <w:autoRedefine/>
    <w:qFormat/>
  </w:style>
  <w:style w:type="character" w:customStyle="1" w:styleId="Char1a">
    <w:name w:val="批注主题 Char1"/>
    <w:autoRedefine/>
    <w:uiPriority w:val="99"/>
    <w:qFormat/>
    <w:rPr>
      <w:rFonts w:ascii="Times New Roman" w:eastAsia="宋体" w:hAnsi="Times New Roman" w:cs="Times New Roman" w:hint="default"/>
      <w:b/>
      <w:bCs/>
      <w:kern w:val="2"/>
      <w:sz w:val="21"/>
      <w:szCs w:val="24"/>
    </w:rPr>
  </w:style>
  <w:style w:type="character" w:customStyle="1" w:styleId="6Char1">
    <w:name w:val="标题 6 Char1"/>
    <w:autoRedefine/>
    <w:qFormat/>
    <w:rPr>
      <w:rFonts w:ascii="Cambria" w:eastAsia="宋体" w:hAnsi="Cambria" w:cs="Times New Roman"/>
      <w:b/>
      <w:bCs/>
      <w:kern w:val="2"/>
      <w:sz w:val="24"/>
      <w:szCs w:val="24"/>
    </w:rPr>
  </w:style>
  <w:style w:type="character" w:customStyle="1" w:styleId="CharChar20">
    <w:name w:val="Char Char2"/>
    <w:autoRedefine/>
    <w:qFormat/>
    <w:rPr>
      <w:rFonts w:eastAsia="宋体"/>
      <w:kern w:val="2"/>
      <w:sz w:val="24"/>
      <w:lang w:val="en-US" w:eastAsia="zh-CN" w:bidi="ar-SA"/>
    </w:rPr>
  </w:style>
  <w:style w:type="character" w:customStyle="1" w:styleId="Char1b">
    <w:name w:val="表格居中 Char1"/>
    <w:link w:val="afffffffffffffffff7"/>
    <w:autoRedefine/>
    <w:qFormat/>
    <w:locked/>
    <w:rPr>
      <w:rFonts w:ascii="宋体"/>
      <w:spacing w:val="-4"/>
      <w:w w:val="90"/>
      <w:sz w:val="24"/>
    </w:rPr>
  </w:style>
  <w:style w:type="paragraph" w:customStyle="1" w:styleId="afffffffffffffffff7">
    <w:name w:val="表格居中"/>
    <w:basedOn w:val="a"/>
    <w:link w:val="Char1b"/>
    <w:autoRedefine/>
    <w:qFormat/>
    <w:pPr>
      <w:jc w:val="center"/>
    </w:pPr>
    <w:rPr>
      <w:rFonts w:ascii="宋体" w:cs="Times New Roman"/>
      <w:spacing w:val="-4"/>
      <w:w w:val="90"/>
      <w:kern w:val="0"/>
      <w:sz w:val="24"/>
      <w:szCs w:val="20"/>
    </w:rPr>
  </w:style>
  <w:style w:type="character" w:customStyle="1" w:styleId="Charffff4">
    <w:name w:val="中远正文 Char"/>
    <w:autoRedefine/>
    <w:qFormat/>
    <w:rPr>
      <w:rFonts w:eastAsia="宋体" w:cs="宋体"/>
      <w:snapToGrid w:val="0"/>
      <w:color w:val="000000"/>
      <w:kern w:val="24"/>
      <w:sz w:val="24"/>
      <w:lang w:val="en-US" w:eastAsia="zh-CN" w:bidi="ar-SA"/>
    </w:rPr>
  </w:style>
  <w:style w:type="character" w:customStyle="1" w:styleId="Charffff5">
    <w:name w:val="!正文 Char"/>
    <w:link w:val="afffffffffffffffff8"/>
    <w:autoRedefine/>
    <w:qFormat/>
    <w:locked/>
    <w:rPr>
      <w:color w:val="000000"/>
      <w:sz w:val="24"/>
      <w:szCs w:val="24"/>
    </w:rPr>
  </w:style>
  <w:style w:type="paragraph" w:customStyle="1" w:styleId="afffffffffffffffff8">
    <w:name w:val="!正文"/>
    <w:basedOn w:val="a"/>
    <w:link w:val="Charffff5"/>
    <w:autoRedefine/>
    <w:qFormat/>
    <w:pPr>
      <w:snapToGrid w:val="0"/>
      <w:spacing w:line="480" w:lineRule="exact"/>
      <w:ind w:firstLineChars="200" w:firstLine="200"/>
      <w:jc w:val="left"/>
      <w:textAlignment w:val="baseline"/>
    </w:pPr>
    <w:rPr>
      <w:rFonts w:cs="Times New Roman"/>
      <w:color w:val="000000"/>
      <w:kern w:val="0"/>
      <w:sz w:val="24"/>
      <w:szCs w:val="24"/>
    </w:rPr>
  </w:style>
  <w:style w:type="character" w:customStyle="1" w:styleId="2Char10">
    <w:name w:val="正文文本缩进 2 Char1"/>
    <w:autoRedefine/>
    <w:qFormat/>
    <w:rPr>
      <w:rFonts w:ascii="Times New Roman" w:eastAsia="宋体" w:hAnsi="Times New Roman" w:cs="Times New Roman" w:hint="default"/>
      <w:szCs w:val="24"/>
    </w:rPr>
  </w:style>
  <w:style w:type="character" w:customStyle="1" w:styleId="01Char">
    <w:name w:val="正文01 Char"/>
    <w:link w:val="010"/>
    <w:autoRedefine/>
    <w:qFormat/>
    <w:locked/>
    <w:rPr>
      <w:sz w:val="24"/>
    </w:rPr>
  </w:style>
  <w:style w:type="paragraph" w:customStyle="1" w:styleId="010">
    <w:name w:val="正文01"/>
    <w:basedOn w:val="20"/>
    <w:link w:val="01Char"/>
    <w:autoRedefine/>
    <w:qFormat/>
    <w:pPr>
      <w:keepNext w:val="0"/>
      <w:keepLines w:val="0"/>
      <w:numPr>
        <w:ilvl w:val="0"/>
        <w:numId w:val="0"/>
      </w:numPr>
      <w:spacing w:beforeLines="0" w:before="0" w:afterLines="0" w:after="0" w:line="460" w:lineRule="exact"/>
      <w:ind w:firstLineChars="200" w:firstLine="200"/>
      <w:outlineLvl w:val="9"/>
    </w:pPr>
    <w:rPr>
      <w:rFonts w:cs="Times New Roman"/>
      <w:b w:val="0"/>
      <w:bCs w:val="0"/>
      <w:kern w:val="0"/>
      <w:sz w:val="24"/>
      <w:szCs w:val="20"/>
    </w:rPr>
  </w:style>
  <w:style w:type="character" w:customStyle="1" w:styleId="Charffff6">
    <w:name w:val="小四正文 Char"/>
    <w:link w:val="afffffffffffffffff9"/>
    <w:autoRedefine/>
    <w:qFormat/>
    <w:rPr>
      <w:rFonts w:ascii="Calibri" w:hAnsi="Calibri"/>
      <w:color w:val="000000"/>
      <w:spacing w:val="-2"/>
      <w:kern w:val="2"/>
      <w:sz w:val="24"/>
    </w:rPr>
  </w:style>
  <w:style w:type="paragraph" w:customStyle="1" w:styleId="afffffffffffffffff9">
    <w:name w:val="小四正文"/>
    <w:link w:val="Charffff6"/>
    <w:autoRedefine/>
    <w:qFormat/>
    <w:pPr>
      <w:spacing w:line="360" w:lineRule="auto"/>
      <w:ind w:firstLine="480"/>
      <w:jc w:val="both"/>
    </w:pPr>
    <w:rPr>
      <w:rFonts w:ascii="Calibri" w:hAnsi="Calibri"/>
      <w:color w:val="000000"/>
      <w:spacing w:val="-2"/>
      <w:kern w:val="2"/>
      <w:sz w:val="24"/>
    </w:rPr>
  </w:style>
  <w:style w:type="character" w:customStyle="1" w:styleId="javascript">
    <w:name w:val="javascript"/>
    <w:autoRedefine/>
    <w:qFormat/>
  </w:style>
  <w:style w:type="character" w:customStyle="1" w:styleId="Charffff7">
    <w:name w:val="正文何处 Char"/>
    <w:link w:val="afffffffffffffffffa"/>
    <w:autoRedefine/>
    <w:qFormat/>
    <w:locked/>
    <w:rPr>
      <w:rFonts w:ascii="宋体"/>
      <w:sz w:val="24"/>
    </w:rPr>
  </w:style>
  <w:style w:type="paragraph" w:customStyle="1" w:styleId="afffffffffffffffffa">
    <w:name w:val="正文何处"/>
    <w:basedOn w:val="aff4"/>
    <w:link w:val="Charffff7"/>
    <w:autoRedefine/>
    <w:qFormat/>
    <w:rPr>
      <w:rFonts w:hAnsi="Times New Roman"/>
      <w:kern w:val="0"/>
      <w:sz w:val="24"/>
    </w:rPr>
  </w:style>
  <w:style w:type="character" w:customStyle="1" w:styleId="Charffff8">
    <w:name w:val="[正文格式] Char"/>
    <w:link w:val="afffffffffffffffffb"/>
    <w:autoRedefine/>
    <w:qFormat/>
    <w:rPr>
      <w:rFonts w:cs="宋体"/>
      <w:kern w:val="2"/>
      <w:sz w:val="24"/>
    </w:rPr>
  </w:style>
  <w:style w:type="paragraph" w:customStyle="1" w:styleId="afffffffffffffffffb">
    <w:name w:val="[正文格式]"/>
    <w:basedOn w:val="a"/>
    <w:link w:val="Charffff8"/>
    <w:autoRedefine/>
    <w:qFormat/>
    <w:pPr>
      <w:spacing w:line="440" w:lineRule="exact"/>
      <w:ind w:firstLineChars="200" w:firstLine="500"/>
    </w:pPr>
    <w:rPr>
      <w:rFonts w:cs="宋体"/>
      <w:sz w:val="24"/>
      <w:szCs w:val="20"/>
    </w:rPr>
  </w:style>
  <w:style w:type="character" w:customStyle="1" w:styleId="12TimesNewRomanCharChar">
    <w:name w:val="1标题 2 + (西文) Times New Roman (中文) 宋体 四号 Char Char"/>
    <w:link w:val="12TimesNewRoman"/>
    <w:autoRedefine/>
    <w:qFormat/>
    <w:rPr>
      <w:rFonts w:ascii="Arial" w:hAnsi="Arial"/>
      <w:b/>
      <w:bCs/>
      <w:sz w:val="28"/>
      <w:szCs w:val="32"/>
    </w:rPr>
  </w:style>
  <w:style w:type="paragraph" w:customStyle="1" w:styleId="12TimesNewRoman">
    <w:name w:val="1标题 2 + (西文) Times New Roman (中文) 宋体 四号"/>
    <w:basedOn w:val="20"/>
    <w:link w:val="12TimesNewRomanCharChar"/>
    <w:autoRedefine/>
    <w:qFormat/>
    <w:pPr>
      <w:numPr>
        <w:ilvl w:val="0"/>
        <w:numId w:val="0"/>
      </w:numPr>
      <w:spacing w:before="0" w:after="0"/>
    </w:pPr>
    <w:rPr>
      <w:rFonts w:ascii="Arial" w:hAnsi="Arial" w:cs="Times New Roman"/>
      <w:kern w:val="0"/>
    </w:rPr>
  </w:style>
  <w:style w:type="character" w:customStyle="1" w:styleId="3Char7">
    <w:name w:val="第3级标题 Char"/>
    <w:link w:val="3ff"/>
    <w:autoRedefine/>
    <w:qFormat/>
    <w:rPr>
      <w:rFonts w:eastAsia="华文中宋"/>
      <w:b/>
      <w:bCs/>
      <w:kern w:val="2"/>
      <w:sz w:val="30"/>
      <w:szCs w:val="30"/>
    </w:rPr>
  </w:style>
  <w:style w:type="paragraph" w:customStyle="1" w:styleId="3ff">
    <w:name w:val="第3级标题"/>
    <w:basedOn w:val="3"/>
    <w:next w:val="a"/>
    <w:link w:val="3Char7"/>
    <w:autoRedefine/>
    <w:qFormat/>
    <w:pPr>
      <w:numPr>
        <w:ilvl w:val="0"/>
        <w:numId w:val="0"/>
      </w:numPr>
      <w:tabs>
        <w:tab w:val="left" w:pos="720"/>
      </w:tabs>
      <w:adjustRightInd/>
      <w:snapToGrid/>
      <w:spacing w:beforeAutospacing="1" w:afterAutospacing="1" w:line="440" w:lineRule="exact"/>
      <w:ind w:left="720"/>
      <w:jc w:val="both"/>
    </w:pPr>
    <w:rPr>
      <w:rFonts w:eastAsia="华文中宋" w:cs="Times New Roman"/>
      <w:sz w:val="30"/>
      <w:szCs w:val="30"/>
    </w:rPr>
  </w:style>
  <w:style w:type="character" w:customStyle="1" w:styleId="11p1">
    <w:name w:val="11p1"/>
    <w:autoRedefine/>
    <w:qFormat/>
    <w:rPr>
      <w:sz w:val="23"/>
      <w:szCs w:val="23"/>
    </w:rPr>
  </w:style>
  <w:style w:type="character" w:customStyle="1" w:styleId="more1">
    <w:name w:val="more1"/>
    <w:autoRedefine/>
    <w:qFormat/>
    <w:rPr>
      <w:color w:val="C70202"/>
    </w:rPr>
  </w:style>
  <w:style w:type="character" w:customStyle="1" w:styleId="y14px">
    <w:name w:val="y_14px"/>
    <w:autoRedefine/>
    <w:qFormat/>
    <w:rPr>
      <w:color w:val="000000"/>
      <w:sz w:val="24"/>
      <w:szCs w:val="24"/>
      <w:u w:val="none"/>
    </w:rPr>
  </w:style>
  <w:style w:type="character" w:customStyle="1" w:styleId="CharCharf6">
    <w:name w:val="样式 段落 Char + Char"/>
    <w:autoRedefine/>
    <w:qFormat/>
    <w:rPr>
      <w:rFonts w:ascii="宋体" w:eastAsia="宋体" w:hAnsi="宋体" w:cs="宋体"/>
      <w:kern w:val="2"/>
      <w:sz w:val="24"/>
      <w:szCs w:val="24"/>
      <w:lang w:val="en-US" w:eastAsia="zh-CN" w:bidi="ar-SA"/>
    </w:rPr>
  </w:style>
  <w:style w:type="character" w:customStyle="1" w:styleId="HTMLChar10">
    <w:name w:val="HTML 预设格式 Char1"/>
    <w:autoRedefine/>
    <w:uiPriority w:val="99"/>
    <w:qFormat/>
    <w:rPr>
      <w:rFonts w:ascii="Courier New" w:eastAsia="宋体" w:hAnsi="Courier New" w:cs="Courier New" w:hint="default"/>
      <w:sz w:val="20"/>
      <w:szCs w:val="20"/>
    </w:rPr>
  </w:style>
  <w:style w:type="character" w:customStyle="1" w:styleId="zw11">
    <w:name w:val="zw1"/>
    <w:autoRedefine/>
    <w:qFormat/>
    <w:rPr>
      <w:rFonts w:ascii="宋体" w:eastAsia="宋体" w:hAnsi="宋体" w:hint="eastAsia"/>
      <w:sz w:val="22"/>
      <w:szCs w:val="22"/>
    </w:rPr>
  </w:style>
  <w:style w:type="character" w:customStyle="1" w:styleId="LChar">
    <w:name w:val="列表(L) Char"/>
    <w:link w:val="L"/>
    <w:autoRedefine/>
    <w:qFormat/>
    <w:rPr>
      <w:rFonts w:cs="宋体"/>
      <w:kern w:val="2"/>
      <w:sz w:val="21"/>
    </w:rPr>
  </w:style>
  <w:style w:type="paragraph" w:customStyle="1" w:styleId="L">
    <w:name w:val="列表(L)"/>
    <w:basedOn w:val="ac"/>
    <w:link w:val="LChar"/>
    <w:autoRedefine/>
    <w:qFormat/>
    <w:pPr>
      <w:snapToGrid w:val="0"/>
      <w:ind w:left="0" w:firstLineChars="0" w:firstLine="0"/>
    </w:pPr>
    <w:rPr>
      <w:rFonts w:ascii="Times New Roman" w:eastAsia="宋体" w:hAnsi="Times New Roman" w:cs="宋体"/>
      <w:szCs w:val="20"/>
    </w:rPr>
  </w:style>
  <w:style w:type="character" w:customStyle="1" w:styleId="CharChar18">
    <w:name w:val="Char Char18"/>
    <w:autoRedefine/>
    <w:qFormat/>
    <w:locked/>
    <w:rPr>
      <w:rFonts w:cs="Times New Roman"/>
      <w:sz w:val="18"/>
      <w:szCs w:val="18"/>
    </w:rPr>
  </w:style>
  <w:style w:type="character" w:customStyle="1" w:styleId="123YJCharChar">
    <w:name w:val="123YJ Char Char"/>
    <w:autoRedefine/>
    <w:qFormat/>
    <w:rPr>
      <w:rFonts w:eastAsia="宋体"/>
      <w:kern w:val="2"/>
      <w:sz w:val="18"/>
      <w:szCs w:val="18"/>
      <w:lang w:val="en-US" w:eastAsia="zh-CN" w:bidi="ar-SA"/>
    </w:rPr>
  </w:style>
  <w:style w:type="character" w:customStyle="1" w:styleId="CharCharCharCharChar0">
    <w:name w:val="表格内容 Char Char Char Char Char"/>
    <w:autoRedefine/>
    <w:qFormat/>
    <w:rPr>
      <w:rFonts w:eastAsia="宋体"/>
      <w:snapToGrid w:val="0"/>
      <w:sz w:val="21"/>
      <w:szCs w:val="21"/>
      <w:lang w:eastAsia="zh-CN"/>
    </w:rPr>
  </w:style>
  <w:style w:type="character" w:customStyle="1" w:styleId="Charffff9">
    <w:name w:val="表格标题标题 Char"/>
    <w:link w:val="afffffffffffffffffc"/>
    <w:autoRedefine/>
    <w:qFormat/>
    <w:rPr>
      <w:rFonts w:eastAsia="黑体" w:cs="宋体"/>
      <w:kern w:val="18"/>
      <w:sz w:val="24"/>
      <w:szCs w:val="24"/>
    </w:rPr>
  </w:style>
  <w:style w:type="paragraph" w:customStyle="1" w:styleId="afffffffffffffffffc">
    <w:name w:val="表格标题标题"/>
    <w:basedOn w:val="afffffffffffffffffd"/>
    <w:link w:val="Charffff9"/>
    <w:autoRedefine/>
    <w:qFormat/>
    <w:rPr>
      <w:rFonts w:eastAsia="黑体" w:cs="宋体"/>
      <w:szCs w:val="24"/>
    </w:rPr>
  </w:style>
  <w:style w:type="paragraph" w:customStyle="1" w:styleId="afffffffffffffffffd">
    <w:name w:val="正本文字"/>
    <w:basedOn w:val="a"/>
    <w:link w:val="Charffffa"/>
    <w:autoRedefine/>
    <w:qFormat/>
    <w:pPr>
      <w:adjustRightInd w:val="0"/>
      <w:snapToGrid w:val="0"/>
      <w:spacing w:line="360" w:lineRule="auto"/>
      <w:ind w:firstLineChars="200" w:firstLine="480"/>
      <w:jc w:val="left"/>
    </w:pPr>
    <w:rPr>
      <w:rFonts w:cs="Times New Roman"/>
      <w:kern w:val="18"/>
      <w:sz w:val="24"/>
      <w:szCs w:val="20"/>
    </w:rPr>
  </w:style>
  <w:style w:type="character" w:customStyle="1" w:styleId="Charffffa">
    <w:name w:val="正本文字 Char"/>
    <w:link w:val="afffffffffffffffffd"/>
    <w:autoRedefine/>
    <w:qFormat/>
    <w:rPr>
      <w:kern w:val="18"/>
      <w:sz w:val="24"/>
    </w:rPr>
  </w:style>
  <w:style w:type="character" w:customStyle="1" w:styleId="2Char9">
    <w:name w:val="第2级标题 Char"/>
    <w:link w:val="2fff4"/>
    <w:autoRedefine/>
    <w:qFormat/>
    <w:rPr>
      <w:rFonts w:eastAsia="华文中宋"/>
      <w:b/>
      <w:bCs/>
      <w:kern w:val="2"/>
      <w:sz w:val="32"/>
      <w:szCs w:val="32"/>
    </w:rPr>
  </w:style>
  <w:style w:type="paragraph" w:customStyle="1" w:styleId="2fff4">
    <w:name w:val="第2级标题"/>
    <w:basedOn w:val="20"/>
    <w:next w:val="a"/>
    <w:link w:val="2Char9"/>
    <w:autoRedefine/>
    <w:qFormat/>
    <w:pPr>
      <w:numPr>
        <w:ilvl w:val="0"/>
        <w:numId w:val="0"/>
      </w:numPr>
      <w:tabs>
        <w:tab w:val="left" w:pos="864"/>
      </w:tabs>
      <w:spacing w:beforeLines="0" w:before="0" w:beforeAutospacing="1" w:afterLines="0" w:after="0" w:afterAutospacing="1" w:line="500" w:lineRule="exact"/>
      <w:ind w:left="864" w:hanging="864"/>
    </w:pPr>
    <w:rPr>
      <w:rFonts w:eastAsia="华文中宋" w:cs="Times New Roman"/>
      <w:sz w:val="32"/>
    </w:rPr>
  </w:style>
  <w:style w:type="character" w:customStyle="1" w:styleId="CharCharf7">
    <w:name w:val="报告 Char Char"/>
    <w:autoRedefine/>
    <w:qFormat/>
    <w:rPr>
      <w:rFonts w:eastAsia="宋体"/>
      <w:sz w:val="24"/>
      <w:lang w:val="en-US" w:eastAsia="zh-CN" w:bidi="ar-SA"/>
    </w:rPr>
  </w:style>
  <w:style w:type="character" w:customStyle="1" w:styleId="afffffffffffffffffe">
    <w:name w:val="样式 (符号) 宋体 小三"/>
    <w:autoRedefine/>
    <w:qFormat/>
    <w:rPr>
      <w:sz w:val="24"/>
    </w:rPr>
  </w:style>
  <w:style w:type="character" w:customStyle="1" w:styleId="Charffffb">
    <w:name w:val="【正文】 Char"/>
    <w:autoRedefine/>
    <w:qFormat/>
    <w:rPr>
      <w:rFonts w:eastAsia="宋体" w:cs="宋体"/>
      <w:kern w:val="2"/>
      <w:sz w:val="24"/>
      <w:lang w:val="en-US" w:eastAsia="zh-CN" w:bidi="ar-SA"/>
    </w:rPr>
  </w:style>
  <w:style w:type="character" w:customStyle="1" w:styleId="4CharChar0">
    <w:name w:val="4正文 Char Char"/>
    <w:link w:val="4f2"/>
    <w:autoRedefine/>
    <w:qFormat/>
    <w:rPr>
      <w:rFonts w:cs="宋体"/>
      <w:kern w:val="2"/>
      <w:sz w:val="24"/>
    </w:rPr>
  </w:style>
  <w:style w:type="paragraph" w:customStyle="1" w:styleId="4f2">
    <w:name w:val="4正文"/>
    <w:basedOn w:val="a"/>
    <w:link w:val="4CharChar0"/>
    <w:autoRedefine/>
    <w:qFormat/>
    <w:pPr>
      <w:adjustRightInd w:val="0"/>
      <w:snapToGrid w:val="0"/>
      <w:spacing w:line="360" w:lineRule="auto"/>
      <w:ind w:firstLineChars="200" w:firstLine="480"/>
    </w:pPr>
    <w:rPr>
      <w:rFonts w:cs="宋体"/>
      <w:sz w:val="24"/>
      <w:szCs w:val="20"/>
    </w:rPr>
  </w:style>
  <w:style w:type="character" w:customStyle="1" w:styleId="style81">
    <w:name w:val="style81"/>
    <w:autoRedefine/>
    <w:qFormat/>
    <w:rPr>
      <w:sz w:val="24"/>
      <w:szCs w:val="24"/>
    </w:rPr>
  </w:style>
  <w:style w:type="character" w:customStyle="1" w:styleId="althChar2">
    <w:name w:val="!表标题(alt+h) Char2"/>
    <w:link w:val="alth"/>
    <w:autoRedefine/>
    <w:qFormat/>
    <w:locked/>
    <w:rPr>
      <w:rFonts w:ascii="Calibri" w:eastAsia="黑体" w:hAnsi="Calibri"/>
      <w:bCs/>
      <w:color w:val="000000"/>
      <w:sz w:val="24"/>
      <w:szCs w:val="24"/>
    </w:rPr>
  </w:style>
  <w:style w:type="paragraph" w:customStyle="1" w:styleId="alth">
    <w:name w:val="!表标题(alt+h)"/>
    <w:next w:val="a"/>
    <w:link w:val="althChar2"/>
    <w:autoRedefine/>
    <w:qFormat/>
    <w:pPr>
      <w:spacing w:before="120" w:after="80" w:line="360" w:lineRule="exact"/>
      <w:jc w:val="center"/>
      <w:outlineLvl w:val="4"/>
    </w:pPr>
    <w:rPr>
      <w:rFonts w:ascii="Calibri" w:eastAsia="黑体" w:hAnsi="Calibri"/>
      <w:bCs/>
      <w:color w:val="000000"/>
      <w:sz w:val="24"/>
      <w:szCs w:val="24"/>
    </w:rPr>
  </w:style>
  <w:style w:type="character" w:customStyle="1" w:styleId="4CharCharChar">
    <w:name w:val="标题4 Char Char Char"/>
    <w:autoRedefine/>
    <w:qFormat/>
    <w:rPr>
      <w:rFonts w:eastAsia="黑体"/>
      <w:kern w:val="2"/>
      <w:sz w:val="24"/>
      <w:lang w:val="en-US" w:eastAsia="zh-CN"/>
    </w:rPr>
  </w:style>
  <w:style w:type="character" w:customStyle="1" w:styleId="CharCharf8">
    <w:name w:val="偶的正文 Char Char"/>
    <w:link w:val="affffffffffffffffff"/>
    <w:autoRedefine/>
    <w:qFormat/>
    <w:rPr>
      <w:sz w:val="28"/>
      <w:szCs w:val="28"/>
    </w:rPr>
  </w:style>
  <w:style w:type="paragraph" w:customStyle="1" w:styleId="affffffffffffffffff">
    <w:name w:val="偶的正文"/>
    <w:basedOn w:val="affff3"/>
    <w:link w:val="CharCharf8"/>
    <w:autoRedefine/>
    <w:qFormat/>
    <w:pPr>
      <w:tabs>
        <w:tab w:val="left" w:pos="6300"/>
      </w:tabs>
      <w:kinsoku/>
      <w:spacing w:after="0" w:line="540" w:lineRule="exact"/>
      <w:ind w:firstLineChars="200" w:firstLine="560"/>
    </w:pPr>
    <w:rPr>
      <w:kern w:val="0"/>
      <w:sz w:val="28"/>
      <w:szCs w:val="28"/>
    </w:rPr>
  </w:style>
  <w:style w:type="character" w:customStyle="1" w:styleId="Char1c">
    <w:name w:val="正文文本缩进 Char1"/>
    <w:autoRedefine/>
    <w:qFormat/>
    <w:rPr>
      <w:rFonts w:ascii="Times New Roman" w:hAnsi="Times New Roman"/>
      <w:kern w:val="2"/>
      <w:sz w:val="21"/>
      <w:szCs w:val="24"/>
    </w:rPr>
  </w:style>
  <w:style w:type="character" w:customStyle="1" w:styleId="text-blk1">
    <w:name w:val="text-blk1"/>
    <w:autoRedefine/>
    <w:qFormat/>
    <w:rPr>
      <w:color w:val="000000"/>
      <w:sz w:val="18"/>
    </w:rPr>
  </w:style>
  <w:style w:type="character" w:customStyle="1" w:styleId="CharCharf9">
    <w:name w:val="报告书 Char Char"/>
    <w:autoRedefine/>
    <w:qFormat/>
    <w:rPr>
      <w:rFonts w:ascii="Times New Roman" w:hAnsi="Times New Roman"/>
      <w:kern w:val="2"/>
      <w:sz w:val="24"/>
      <w:szCs w:val="24"/>
    </w:rPr>
  </w:style>
  <w:style w:type="character" w:customStyle="1" w:styleId="affffffffffffffffff0">
    <w:name w:val="样式 四号"/>
    <w:autoRedefine/>
    <w:qFormat/>
    <w:rPr>
      <w:sz w:val="24"/>
    </w:rPr>
  </w:style>
  <w:style w:type="character" w:customStyle="1" w:styleId="9Char1">
    <w:name w:val="标题 9 Char1"/>
    <w:autoRedefine/>
    <w:qFormat/>
    <w:rPr>
      <w:rFonts w:ascii="Cambria" w:eastAsia="宋体" w:hAnsi="Cambria" w:cs="Times New Roman"/>
      <w:kern w:val="2"/>
      <w:sz w:val="21"/>
      <w:szCs w:val="21"/>
    </w:rPr>
  </w:style>
  <w:style w:type="character" w:customStyle="1" w:styleId="CharCharChara">
    <w:name w:val="表号 Char Char Char"/>
    <w:autoRedefine/>
    <w:qFormat/>
    <w:rPr>
      <w:rFonts w:eastAsia="宋体"/>
      <w:kern w:val="2"/>
      <w:sz w:val="24"/>
      <w:lang w:val="en-US" w:eastAsia="zh-CN"/>
    </w:rPr>
  </w:style>
  <w:style w:type="character" w:customStyle="1" w:styleId="1Char11">
    <w:name w:val="标题1 Char1"/>
    <w:autoRedefine/>
    <w:qFormat/>
    <w:rPr>
      <w:rFonts w:eastAsia="黑体"/>
      <w:b/>
      <w:kern w:val="2"/>
      <w:sz w:val="30"/>
      <w:lang w:val="en-US" w:eastAsia="zh-CN" w:bidi="ar-SA"/>
    </w:rPr>
  </w:style>
  <w:style w:type="character" w:customStyle="1" w:styleId="Char1d">
    <w:name w:val="表格 Char1"/>
    <w:autoRedefine/>
    <w:qFormat/>
    <w:rPr>
      <w:rFonts w:eastAsia="宋体"/>
      <w:snapToGrid w:val="0"/>
      <w:color w:val="000000"/>
      <w:lang w:val="en-US" w:eastAsia="zh-CN"/>
    </w:rPr>
  </w:style>
  <w:style w:type="character" w:customStyle="1" w:styleId="11111111111111Char">
    <w:name w:val="正文11111111111111 Char"/>
    <w:link w:val="11111111111111"/>
    <w:autoRedefine/>
    <w:qFormat/>
    <w:locked/>
    <w:rPr>
      <w:color w:val="000000"/>
      <w:sz w:val="24"/>
    </w:rPr>
  </w:style>
  <w:style w:type="paragraph" w:customStyle="1" w:styleId="11111111111111">
    <w:name w:val="正文11111111111111"/>
    <w:basedOn w:val="a"/>
    <w:link w:val="11111111111111Char"/>
    <w:autoRedefine/>
    <w:qFormat/>
    <w:pPr>
      <w:adjustRightInd w:val="0"/>
      <w:snapToGrid w:val="0"/>
      <w:spacing w:line="360" w:lineRule="auto"/>
      <w:ind w:firstLineChars="200" w:firstLine="480"/>
    </w:pPr>
    <w:rPr>
      <w:rFonts w:cs="Times New Roman"/>
      <w:color w:val="000000"/>
      <w:kern w:val="0"/>
      <w:sz w:val="24"/>
      <w:szCs w:val="20"/>
    </w:rPr>
  </w:style>
  <w:style w:type="character" w:customStyle="1" w:styleId="CharChar102">
    <w:name w:val="Char Char102"/>
    <w:autoRedefine/>
    <w:qFormat/>
    <w:locked/>
    <w:rPr>
      <w:rFonts w:ascii="Arial" w:hAnsi="Arial" w:cs="Arial"/>
      <w:b/>
      <w:bCs/>
      <w:sz w:val="32"/>
      <w:szCs w:val="32"/>
    </w:rPr>
  </w:style>
  <w:style w:type="character" w:customStyle="1" w:styleId="newsbody1">
    <w:name w:val="newsbody1"/>
    <w:autoRedefine/>
    <w:qFormat/>
    <w:rPr>
      <w:color w:val="363636"/>
      <w:sz w:val="21"/>
      <w:szCs w:val="21"/>
    </w:rPr>
  </w:style>
  <w:style w:type="character" w:customStyle="1" w:styleId="hbChar">
    <w:name w:val="hb表头 Char"/>
    <w:link w:val="hb"/>
    <w:autoRedefine/>
    <w:qFormat/>
    <w:locked/>
    <w:rPr>
      <w:rFonts w:ascii="黑体" w:eastAsia="黑体" w:hAnsi="宋体"/>
    </w:rPr>
  </w:style>
  <w:style w:type="paragraph" w:customStyle="1" w:styleId="hb">
    <w:name w:val="hb表头"/>
    <w:basedOn w:val="a"/>
    <w:link w:val="hbChar"/>
    <w:autoRedefine/>
    <w:qFormat/>
    <w:pPr>
      <w:ind w:firstLineChars="200" w:firstLine="420"/>
    </w:pPr>
    <w:rPr>
      <w:rFonts w:ascii="黑体" w:eastAsia="黑体" w:hAnsi="宋体" w:cs="Times New Roman"/>
      <w:kern w:val="0"/>
      <w:sz w:val="20"/>
      <w:szCs w:val="20"/>
    </w:rPr>
  </w:style>
  <w:style w:type="character" w:customStyle="1" w:styleId="CharChar31">
    <w:name w:val="Char Char31"/>
    <w:autoRedefine/>
    <w:qFormat/>
    <w:rPr>
      <w:rFonts w:ascii="宋体" w:eastAsia="仿宋_GB2312" w:hAnsi="宋体" w:cs="宋体"/>
      <w:kern w:val="2"/>
      <w:sz w:val="18"/>
      <w:szCs w:val="18"/>
      <w:lang w:val="en-US" w:eastAsia="zh-CN" w:bidi="ar-SA"/>
    </w:rPr>
  </w:style>
  <w:style w:type="character" w:customStyle="1" w:styleId="CharChar21">
    <w:name w:val="Char Char21"/>
    <w:autoRedefine/>
    <w:qFormat/>
    <w:rPr>
      <w:rFonts w:eastAsia="宋体"/>
      <w:kern w:val="2"/>
      <w:sz w:val="24"/>
      <w:lang w:val="en-US" w:eastAsia="zh-CN" w:bidi="ar-SA"/>
    </w:rPr>
  </w:style>
  <w:style w:type="character" w:customStyle="1" w:styleId="CharCharCharb">
    <w:name w:val="表头 Char Char Char"/>
    <w:autoRedefine/>
    <w:qFormat/>
    <w:rPr>
      <w:rFonts w:ascii="楷体_GB2312" w:hAnsi="宋体"/>
      <w:b/>
      <w:snapToGrid w:val="0"/>
      <w:sz w:val="24"/>
      <w:szCs w:val="24"/>
    </w:rPr>
  </w:style>
  <w:style w:type="character" w:customStyle="1" w:styleId="CharCharCharChar9">
    <w:name w:val="段落 Char Char Char Char"/>
    <w:link w:val="CharCharCharc"/>
    <w:autoRedefine/>
    <w:qFormat/>
    <w:rPr>
      <w:kern w:val="2"/>
      <w:sz w:val="24"/>
    </w:rPr>
  </w:style>
  <w:style w:type="paragraph" w:customStyle="1" w:styleId="CharCharCharc">
    <w:name w:val="段落 Char Char Char"/>
    <w:basedOn w:val="a"/>
    <w:link w:val="CharCharCharChar9"/>
    <w:autoRedefine/>
    <w:qFormat/>
    <w:pPr>
      <w:topLinePunct/>
      <w:snapToGrid w:val="0"/>
      <w:spacing w:line="360" w:lineRule="auto"/>
      <w:ind w:firstLineChars="200" w:firstLine="200"/>
    </w:pPr>
    <w:rPr>
      <w:rFonts w:cs="Times New Roman"/>
      <w:sz w:val="24"/>
      <w:szCs w:val="20"/>
    </w:rPr>
  </w:style>
  <w:style w:type="character" w:customStyle="1" w:styleId="CharChar13">
    <w:name w:val="Char Char13"/>
    <w:autoRedefine/>
    <w:qFormat/>
    <w:locked/>
    <w:rPr>
      <w:rFonts w:ascii="宋体" w:hAnsi="Times New Roman" w:cs="Times New Roman"/>
      <w:kern w:val="0"/>
      <w:sz w:val="20"/>
      <w:szCs w:val="20"/>
    </w:rPr>
  </w:style>
  <w:style w:type="character" w:customStyle="1" w:styleId="st1">
    <w:name w:val="st1"/>
    <w:autoRedefine/>
    <w:qFormat/>
  </w:style>
  <w:style w:type="character" w:customStyle="1" w:styleId="2222Char">
    <w:name w:val="样式 样式 样式 行距: 固定值 22 磅 + 首行缩进:  2 字符 + 首行缩进:  2 字符 Char"/>
    <w:link w:val="2222"/>
    <w:autoRedefine/>
    <w:qFormat/>
    <w:locked/>
    <w:rPr>
      <w:rFonts w:eastAsia="华文中宋"/>
      <w:kern w:val="2"/>
      <w:sz w:val="24"/>
    </w:rPr>
  </w:style>
  <w:style w:type="paragraph" w:customStyle="1" w:styleId="2222">
    <w:name w:val="样式 样式 样式 行距: 固定值 22 磅 + 首行缩进:  2 字符 + 首行缩进:  2 字符"/>
    <w:basedOn w:val="a"/>
    <w:link w:val="2222Char"/>
    <w:autoRedefine/>
    <w:qFormat/>
    <w:pPr>
      <w:spacing w:line="480" w:lineRule="exact"/>
      <w:ind w:firstLineChars="200" w:firstLine="480"/>
    </w:pPr>
    <w:rPr>
      <w:rFonts w:eastAsia="华文中宋" w:cs="Times New Roman"/>
      <w:sz w:val="24"/>
      <w:szCs w:val="20"/>
    </w:rPr>
  </w:style>
  <w:style w:type="character" w:customStyle="1" w:styleId="albumcount2">
    <w:name w:val="albumcount2"/>
    <w:autoRedefine/>
    <w:qFormat/>
  </w:style>
  <w:style w:type="character" w:customStyle="1" w:styleId="-wdChar">
    <w:name w:val="正文(修改)-wd Char"/>
    <w:link w:val="-wd0"/>
    <w:autoRedefine/>
    <w:qFormat/>
    <w:locked/>
    <w:rPr>
      <w:sz w:val="24"/>
    </w:rPr>
  </w:style>
  <w:style w:type="paragraph" w:customStyle="1" w:styleId="-wd0">
    <w:name w:val="正文(修改)-wd"/>
    <w:basedOn w:val="a"/>
    <w:link w:val="-wdChar"/>
    <w:autoRedefine/>
    <w:qFormat/>
    <w:pPr>
      <w:spacing w:line="360" w:lineRule="auto"/>
      <w:ind w:firstLineChars="200" w:firstLine="480"/>
    </w:pPr>
    <w:rPr>
      <w:rFonts w:cs="Times New Roman"/>
      <w:kern w:val="0"/>
      <w:sz w:val="24"/>
      <w:szCs w:val="20"/>
    </w:rPr>
  </w:style>
  <w:style w:type="character" w:customStyle="1" w:styleId="title13">
    <w:name w:val="title13"/>
    <w:autoRedefine/>
    <w:qFormat/>
  </w:style>
  <w:style w:type="character" w:customStyle="1" w:styleId="NormalChar">
    <w:name w:val="Normal Char"/>
    <w:autoRedefine/>
    <w:qFormat/>
    <w:locked/>
    <w:rPr>
      <w:rFonts w:ascii="宋体"/>
      <w:sz w:val="24"/>
    </w:rPr>
  </w:style>
  <w:style w:type="character" w:customStyle="1" w:styleId="CharChar120">
    <w:name w:val="Char Char12"/>
    <w:autoRedefine/>
    <w:qFormat/>
    <w:locked/>
    <w:rPr>
      <w:rFonts w:ascii="Times New Roman" w:hAnsi="Times New Roman" w:cs="Times New Roman"/>
      <w:sz w:val="24"/>
    </w:rPr>
  </w:style>
  <w:style w:type="character" w:customStyle="1" w:styleId="Char28">
    <w:name w:val="页脚 Char2"/>
    <w:autoRedefine/>
    <w:uiPriority w:val="99"/>
    <w:qFormat/>
    <w:rPr>
      <w:kern w:val="2"/>
      <w:sz w:val="18"/>
      <w:szCs w:val="18"/>
    </w:rPr>
  </w:style>
  <w:style w:type="character" w:customStyle="1" w:styleId="1Char7">
    <w:name w:val="制表1 Char"/>
    <w:autoRedefine/>
    <w:qFormat/>
    <w:rPr>
      <w:rFonts w:ascii="宋体" w:eastAsia="宋体"/>
      <w:kern w:val="28"/>
      <w:sz w:val="24"/>
      <w:lang w:val="en-US" w:eastAsia="zh-CN"/>
    </w:rPr>
  </w:style>
  <w:style w:type="character" w:customStyle="1" w:styleId="Charffffc">
    <w:name w:val="邵光高速小四号宋体 Char"/>
    <w:link w:val="affffffffffffffffff1"/>
    <w:autoRedefine/>
    <w:qFormat/>
    <w:locked/>
    <w:rPr>
      <w:rFonts w:ascii="Calibri" w:hAnsi="宋体"/>
      <w:sz w:val="30"/>
    </w:rPr>
  </w:style>
  <w:style w:type="paragraph" w:customStyle="1" w:styleId="affffffffffffffffff1">
    <w:name w:val="邵光高速小四号宋体"/>
    <w:link w:val="Charffffc"/>
    <w:autoRedefine/>
    <w:qFormat/>
    <w:pPr>
      <w:widowControl w:val="0"/>
      <w:spacing w:line="360" w:lineRule="auto"/>
      <w:ind w:firstLineChars="200" w:firstLine="480"/>
      <w:jc w:val="both"/>
    </w:pPr>
    <w:rPr>
      <w:rFonts w:ascii="Calibri" w:hAnsi="宋体"/>
      <w:sz w:val="30"/>
    </w:rPr>
  </w:style>
  <w:style w:type="character" w:customStyle="1" w:styleId="headline-content4">
    <w:name w:val="headline-content4"/>
    <w:autoRedefine/>
    <w:qFormat/>
  </w:style>
  <w:style w:type="character" w:customStyle="1" w:styleId="Footer-EvenChar">
    <w:name w:val="Footer-Even Char"/>
    <w:autoRedefine/>
    <w:qFormat/>
    <w:rPr>
      <w:rFonts w:eastAsia="宋体"/>
      <w:kern w:val="2"/>
      <w:sz w:val="18"/>
      <w:szCs w:val="18"/>
      <w:lang w:val="en-US" w:eastAsia="zh-CN" w:bidi="ar-SA"/>
    </w:rPr>
  </w:style>
  <w:style w:type="character" w:customStyle="1" w:styleId="unnamed31">
    <w:name w:val="unnamed31"/>
    <w:autoRedefine/>
    <w:qFormat/>
    <w:rPr>
      <w:color w:val="000000"/>
      <w:spacing w:val="0"/>
      <w:sz w:val="20"/>
      <w:szCs w:val="20"/>
      <w:u w:val="none"/>
    </w:rPr>
  </w:style>
  <w:style w:type="character" w:customStyle="1" w:styleId="affffffffffffffffff2">
    <w:name w:val="样式 (西文) 宋体 黑色"/>
    <w:autoRedefine/>
    <w:qFormat/>
    <w:rPr>
      <w:rFonts w:ascii="宋体" w:eastAsia="宋体" w:hAnsi="宋体"/>
      <w:color w:val="000000"/>
      <w:kern w:val="2"/>
      <w:sz w:val="32"/>
      <w:lang w:val="en-US" w:eastAsia="zh-CN"/>
    </w:rPr>
  </w:style>
  <w:style w:type="character" w:customStyle="1" w:styleId="3015Char">
    <w:name w:val="样式 样式 小四 蓝色 行距: 固定值 30 磅 + 行距: 1.5 倍行距 Char"/>
    <w:link w:val="3015"/>
    <w:autoRedefine/>
    <w:qFormat/>
    <w:locked/>
    <w:rPr>
      <w:rFonts w:cs="宋体"/>
      <w:color w:val="0000FF"/>
      <w:kern w:val="2"/>
      <w:sz w:val="24"/>
    </w:rPr>
  </w:style>
  <w:style w:type="paragraph" w:customStyle="1" w:styleId="3015">
    <w:name w:val="样式 样式 小四 蓝色 行距: 固定值 30 磅 + 行距: 1.5 倍行距"/>
    <w:basedOn w:val="a"/>
    <w:link w:val="3015Char"/>
    <w:autoRedefine/>
    <w:qFormat/>
    <w:pPr>
      <w:spacing w:line="360" w:lineRule="auto"/>
      <w:ind w:firstLineChars="200" w:firstLine="480"/>
    </w:pPr>
    <w:rPr>
      <w:rFonts w:cs="宋体"/>
      <w:color w:val="0000FF"/>
      <w:sz w:val="24"/>
      <w:szCs w:val="20"/>
    </w:rPr>
  </w:style>
  <w:style w:type="character" w:customStyle="1" w:styleId="Charffffd">
    <w:name w:val="正文正本 + 宋体 Char"/>
    <w:link w:val="affffffffffffffffff3"/>
    <w:autoRedefine/>
    <w:qFormat/>
    <w:rPr>
      <w:rFonts w:ascii="宋体" w:hAnsi="宋体"/>
      <w:sz w:val="24"/>
      <w:szCs w:val="24"/>
    </w:rPr>
  </w:style>
  <w:style w:type="paragraph" w:customStyle="1" w:styleId="affffffffffffffffff3">
    <w:name w:val="正文正本 + 宋体"/>
    <w:basedOn w:val="a"/>
    <w:link w:val="Charffffd"/>
    <w:autoRedefine/>
    <w:qFormat/>
    <w:pPr>
      <w:widowControl/>
      <w:spacing w:line="360" w:lineRule="auto"/>
      <w:ind w:firstLine="510"/>
      <w:jc w:val="left"/>
    </w:pPr>
    <w:rPr>
      <w:rFonts w:ascii="宋体" w:hAnsi="宋体" w:cs="Times New Roman"/>
      <w:kern w:val="0"/>
      <w:sz w:val="24"/>
      <w:szCs w:val="24"/>
    </w:rPr>
  </w:style>
  <w:style w:type="character" w:customStyle="1" w:styleId="Charffffe">
    <w:name w:val="标题三 Char"/>
    <w:link w:val="affffffffffffffffff4"/>
    <w:autoRedefine/>
    <w:qFormat/>
    <w:rPr>
      <w:rFonts w:ascii="楷体_GB2312" w:eastAsia="黑体"/>
      <w:b/>
      <w:color w:val="000000"/>
      <w:sz w:val="28"/>
      <w:szCs w:val="28"/>
    </w:rPr>
  </w:style>
  <w:style w:type="paragraph" w:customStyle="1" w:styleId="affffffffffffffffff4">
    <w:name w:val="标题三"/>
    <w:basedOn w:val="3"/>
    <w:link w:val="Charffffe"/>
    <w:autoRedefine/>
    <w:qFormat/>
    <w:pPr>
      <w:keepNext w:val="0"/>
      <w:keepLines w:val="0"/>
      <w:numPr>
        <w:ilvl w:val="0"/>
        <w:numId w:val="0"/>
      </w:numPr>
      <w:snapToGrid/>
      <w:spacing w:beforeLines="100" w:afterLines="100" w:line="480" w:lineRule="exact"/>
      <w:textAlignment w:val="baseline"/>
    </w:pPr>
    <w:rPr>
      <w:rFonts w:ascii="楷体_GB2312" w:eastAsia="黑体" w:cs="Times New Roman"/>
      <w:bCs w:val="0"/>
      <w:color w:val="000000"/>
      <w:kern w:val="0"/>
      <w:sz w:val="28"/>
      <w:szCs w:val="28"/>
    </w:rPr>
  </w:style>
  <w:style w:type="character" w:customStyle="1" w:styleId="4TimesNewRoman0505CharChar">
    <w:name w:val="样式 样式 标题 4 + Times New Roman + 段前: 0.5 行 段后: 0.5 行 Char Char"/>
    <w:link w:val="4TimesNewRoman0505"/>
    <w:autoRedefine/>
    <w:qFormat/>
    <w:rPr>
      <w:kern w:val="2"/>
      <w:sz w:val="24"/>
      <w:szCs w:val="24"/>
    </w:rPr>
  </w:style>
  <w:style w:type="paragraph" w:customStyle="1" w:styleId="4TimesNewRoman0505">
    <w:name w:val="样式 样式 标题 4 + Times New Roman + 段前: 0.5 行 段后: 0.5 行"/>
    <w:basedOn w:val="a"/>
    <w:link w:val="4TimesNewRoman0505CharChar"/>
    <w:autoRedefine/>
    <w:qFormat/>
    <w:pPr>
      <w:keepNext/>
      <w:keepLines/>
      <w:spacing w:beforeLines="50" w:line="400" w:lineRule="atLeast"/>
      <w:outlineLvl w:val="3"/>
    </w:pPr>
    <w:rPr>
      <w:rFonts w:cs="Times New Roman"/>
      <w:sz w:val="24"/>
      <w:szCs w:val="24"/>
    </w:rPr>
  </w:style>
  <w:style w:type="character" w:customStyle="1" w:styleId="Char29">
    <w:name w:val="君邦正文 Char2"/>
    <w:autoRedefine/>
    <w:qFormat/>
    <w:rPr>
      <w:rFonts w:ascii="宋体" w:eastAsia="宋体" w:hAnsi="宋体" w:cs="宋体"/>
      <w:kern w:val="2"/>
      <w:sz w:val="24"/>
      <w:szCs w:val="24"/>
      <w:lang w:val="en-US" w:eastAsia="zh-CN" w:bidi="ar-SA"/>
    </w:rPr>
  </w:style>
  <w:style w:type="character" w:customStyle="1" w:styleId="75Char">
    <w:name w:val="标题 7表内5号 Char"/>
    <w:autoRedefine/>
    <w:qFormat/>
    <w:rPr>
      <w:rFonts w:eastAsia="仿宋_GB2312"/>
      <w:b/>
      <w:sz w:val="24"/>
    </w:rPr>
  </w:style>
  <w:style w:type="character" w:customStyle="1" w:styleId="style31">
    <w:name w:val="style31"/>
    <w:autoRedefine/>
    <w:qFormat/>
    <w:rPr>
      <w:color w:val="666666"/>
      <w:sz w:val="18"/>
      <w:szCs w:val="18"/>
      <w:u w:val="none"/>
    </w:rPr>
  </w:style>
  <w:style w:type="character" w:customStyle="1" w:styleId="Char1e">
    <w:name w:val="页脚 Char1"/>
    <w:autoRedefine/>
    <w:uiPriority w:val="99"/>
    <w:qFormat/>
    <w:rPr>
      <w:kern w:val="2"/>
      <w:sz w:val="18"/>
      <w:szCs w:val="18"/>
    </w:rPr>
  </w:style>
  <w:style w:type="character" w:customStyle="1" w:styleId="z-Char">
    <w:name w:val="z-窗体底端 Char"/>
    <w:autoRedefine/>
    <w:qFormat/>
    <w:rPr>
      <w:rFonts w:ascii="Arial" w:hAnsi="Arial" w:cs="Arial"/>
      <w:vanish/>
      <w:sz w:val="16"/>
      <w:szCs w:val="16"/>
    </w:rPr>
  </w:style>
  <w:style w:type="paragraph" w:customStyle="1" w:styleId="z-1">
    <w:name w:val="z-窗体底端1"/>
    <w:basedOn w:val="a"/>
    <w:next w:val="a"/>
    <w:link w:val="z-Char2"/>
    <w:autoRedefine/>
    <w:qFormat/>
    <w:pPr>
      <w:widowControl/>
      <w:pBdr>
        <w:top w:val="single" w:sz="6" w:space="1" w:color="auto"/>
      </w:pBdr>
      <w:jc w:val="center"/>
    </w:pPr>
    <w:rPr>
      <w:rFonts w:ascii="Arial" w:hAnsi="Arial" w:cs="Arial"/>
      <w:vanish/>
      <w:kern w:val="0"/>
      <w:sz w:val="16"/>
      <w:szCs w:val="16"/>
    </w:rPr>
  </w:style>
  <w:style w:type="character" w:customStyle="1" w:styleId="z-Char2">
    <w:name w:val="z-窗体底端 Char2"/>
    <w:basedOn w:val="a0"/>
    <w:link w:val="z-1"/>
    <w:autoRedefine/>
    <w:qFormat/>
    <w:rPr>
      <w:rFonts w:ascii="Arial" w:hAnsi="Arial" w:cs="Arial"/>
      <w:vanish/>
      <w:sz w:val="16"/>
      <w:szCs w:val="16"/>
    </w:rPr>
  </w:style>
  <w:style w:type="paragraph" w:customStyle="1" w:styleId="z-11">
    <w:name w:val="z-窗体底端11"/>
    <w:basedOn w:val="a"/>
    <w:next w:val="a"/>
    <w:link w:val="z-Char1"/>
    <w:autoRedefine/>
    <w:qFormat/>
    <w:pPr>
      <w:widowControl/>
      <w:pBdr>
        <w:top w:val="single" w:sz="6" w:space="1" w:color="auto"/>
      </w:pBdr>
      <w:jc w:val="center"/>
    </w:pPr>
    <w:rPr>
      <w:rFonts w:ascii="Arial" w:hAnsi="Arial" w:cs="Times New Roman"/>
      <w:vanish/>
      <w:kern w:val="0"/>
      <w:sz w:val="16"/>
      <w:szCs w:val="16"/>
    </w:rPr>
  </w:style>
  <w:style w:type="character" w:customStyle="1" w:styleId="z-Char1">
    <w:name w:val="z-窗体底端 Char1"/>
    <w:basedOn w:val="a0"/>
    <w:link w:val="z-11"/>
    <w:autoRedefine/>
    <w:qFormat/>
    <w:rPr>
      <w:rFonts w:ascii="Arial" w:hAnsi="Arial"/>
      <w:vanish/>
      <w:sz w:val="16"/>
      <w:szCs w:val="16"/>
    </w:rPr>
  </w:style>
  <w:style w:type="character" w:customStyle="1" w:styleId="Charfffff">
    <w:name w:val="表中齐 Char"/>
    <w:link w:val="affffffffffffffffff5"/>
    <w:autoRedefine/>
    <w:qFormat/>
    <w:locked/>
    <w:rPr>
      <w:kern w:val="18"/>
      <w:sz w:val="21"/>
      <w:szCs w:val="21"/>
    </w:rPr>
  </w:style>
  <w:style w:type="paragraph" w:customStyle="1" w:styleId="affffffffffffffffff5">
    <w:name w:val="表中齐"/>
    <w:basedOn w:val="a"/>
    <w:link w:val="Charfffff"/>
    <w:autoRedefine/>
    <w:qFormat/>
    <w:pPr>
      <w:adjustRightInd w:val="0"/>
      <w:snapToGrid w:val="0"/>
      <w:spacing w:line="280" w:lineRule="exact"/>
      <w:ind w:rightChars="-41" w:right="-86"/>
      <w:jc w:val="center"/>
    </w:pPr>
    <w:rPr>
      <w:rFonts w:cs="Times New Roman"/>
      <w:kern w:val="18"/>
      <w:szCs w:val="21"/>
      <w:shd w:val="clear" w:color="auto" w:fill="FFFFFF"/>
    </w:rPr>
  </w:style>
  <w:style w:type="character" w:customStyle="1" w:styleId="Charfffff0">
    <w:name w:val="图表名 Char"/>
    <w:link w:val="affffffffffffffffff6"/>
    <w:autoRedefine/>
    <w:qFormat/>
    <w:rPr>
      <w:b/>
      <w:sz w:val="24"/>
    </w:rPr>
  </w:style>
  <w:style w:type="paragraph" w:customStyle="1" w:styleId="affffffffffffffffff6">
    <w:name w:val="图表名"/>
    <w:basedOn w:val="a"/>
    <w:link w:val="Charfffff0"/>
    <w:autoRedefine/>
    <w:qFormat/>
    <w:pPr>
      <w:spacing w:line="360" w:lineRule="auto"/>
      <w:jc w:val="center"/>
    </w:pPr>
    <w:rPr>
      <w:rFonts w:cs="Times New Roman"/>
      <w:b/>
      <w:kern w:val="0"/>
      <w:sz w:val="24"/>
      <w:szCs w:val="20"/>
    </w:rPr>
  </w:style>
  <w:style w:type="character" w:customStyle="1" w:styleId="Char1f">
    <w:name w:val="文档结构图 Char1"/>
    <w:autoRedefine/>
    <w:uiPriority w:val="99"/>
    <w:qFormat/>
    <w:rPr>
      <w:rFonts w:ascii="宋体" w:eastAsia="宋体" w:hAnsi="Times New Roman" w:cs="Times New Roman" w:hint="eastAsia"/>
      <w:sz w:val="18"/>
      <w:szCs w:val="18"/>
    </w:rPr>
  </w:style>
  <w:style w:type="character" w:customStyle="1" w:styleId="Char1f0">
    <w:name w:val="标题 Char1"/>
    <w:autoRedefine/>
    <w:qFormat/>
    <w:rPr>
      <w:rFonts w:ascii="Cambria" w:hAnsi="Cambria" w:cs="Times New Roman"/>
      <w:b/>
      <w:bCs/>
      <w:kern w:val="2"/>
      <w:sz w:val="32"/>
      <w:szCs w:val="32"/>
    </w:rPr>
  </w:style>
  <w:style w:type="character" w:customStyle="1" w:styleId="3Char8">
    <w:name w:val="此篇标题3 Char"/>
    <w:link w:val="3ff0"/>
    <w:autoRedefine/>
    <w:qFormat/>
    <w:rPr>
      <w:rFonts w:ascii="仿宋_GB2312" w:hAnsi="Arial" w:cs="宋体"/>
      <w:b/>
      <w:kern w:val="2"/>
      <w:sz w:val="24"/>
      <w:szCs w:val="24"/>
    </w:rPr>
  </w:style>
  <w:style w:type="paragraph" w:customStyle="1" w:styleId="3ff0">
    <w:name w:val="此篇标题3"/>
    <w:link w:val="3Char8"/>
    <w:autoRedefine/>
    <w:qFormat/>
    <w:pPr>
      <w:spacing w:before="120" w:after="120"/>
    </w:pPr>
    <w:rPr>
      <w:rFonts w:ascii="仿宋_GB2312" w:hAnsi="Arial" w:cs="宋体"/>
      <w:b/>
      <w:kern w:val="2"/>
      <w:sz w:val="24"/>
      <w:szCs w:val="24"/>
    </w:rPr>
  </w:style>
  <w:style w:type="paragraph" w:customStyle="1" w:styleId="affffffffffffffffff7">
    <w:name w:val="【表格文字】"/>
    <w:basedOn w:val="a"/>
    <w:next w:val="a"/>
    <w:autoRedefine/>
    <w:uiPriority w:val="99"/>
    <w:qFormat/>
    <w:pPr>
      <w:spacing w:line="320" w:lineRule="atLeast"/>
      <w:jc w:val="center"/>
    </w:pPr>
    <w:rPr>
      <w:rFonts w:ascii="Calibri" w:hAnsi="Calibri" w:cs="Times New Roman"/>
      <w:szCs w:val="24"/>
    </w:rPr>
  </w:style>
  <w:style w:type="character" w:customStyle="1" w:styleId="bt110">
    <w:name w:val="bt11"/>
    <w:autoRedefine/>
    <w:qFormat/>
    <w:rPr>
      <w:rFonts w:ascii="黑体" w:eastAsia="黑体" w:hint="eastAsia"/>
      <w:color w:val="000000"/>
      <w:sz w:val="28"/>
      <w:szCs w:val="28"/>
    </w:rPr>
  </w:style>
  <w:style w:type="character" w:customStyle="1" w:styleId="alttCharChar">
    <w:name w:val="!表格（alt+t) Char Char"/>
    <w:link w:val="alttChar"/>
    <w:autoRedefine/>
    <w:qFormat/>
    <w:locked/>
    <w:rPr>
      <w:rFonts w:hAnsi="宋体"/>
      <w:sz w:val="21"/>
      <w:szCs w:val="24"/>
    </w:rPr>
  </w:style>
  <w:style w:type="paragraph" w:customStyle="1" w:styleId="alttChar">
    <w:name w:val="!表格（alt+t) Char"/>
    <w:basedOn w:val="a"/>
    <w:link w:val="alttCharChar"/>
    <w:autoRedefine/>
    <w:qFormat/>
    <w:pPr>
      <w:spacing w:line="240" w:lineRule="atLeast"/>
      <w:jc w:val="center"/>
    </w:pPr>
    <w:rPr>
      <w:rFonts w:hAnsi="宋体" w:cs="Times New Roman"/>
      <w:kern w:val="0"/>
      <w:szCs w:val="24"/>
    </w:rPr>
  </w:style>
  <w:style w:type="character" w:customStyle="1" w:styleId="size13">
    <w:name w:val="size13"/>
    <w:autoRedefine/>
    <w:qFormat/>
  </w:style>
  <w:style w:type="character" w:customStyle="1" w:styleId="CharChar181">
    <w:name w:val="Char Char181"/>
    <w:autoRedefine/>
    <w:qFormat/>
    <w:locked/>
    <w:rPr>
      <w:rFonts w:cs="Times New Roman"/>
      <w:sz w:val="18"/>
      <w:szCs w:val="18"/>
    </w:rPr>
  </w:style>
  <w:style w:type="character" w:customStyle="1" w:styleId="timestyle7">
    <w:name w:val="time style7"/>
    <w:autoRedefine/>
    <w:qFormat/>
    <w:rPr>
      <w:rFonts w:cs="Times New Roman"/>
    </w:rPr>
  </w:style>
  <w:style w:type="character" w:customStyle="1" w:styleId="headline-content2">
    <w:name w:val="headline-content2"/>
    <w:autoRedefine/>
    <w:qFormat/>
    <w:rPr>
      <w:rFonts w:cs="Times New Roman"/>
    </w:rPr>
  </w:style>
  <w:style w:type="character" w:customStyle="1" w:styleId="Charfffff1">
    <w:name w:val="表格表格 Char"/>
    <w:link w:val="affffffffffffffffff8"/>
    <w:autoRedefine/>
    <w:qFormat/>
    <w:rPr>
      <w:rFonts w:cs="宋体"/>
      <w:color w:val="000000"/>
      <w:sz w:val="24"/>
      <w:szCs w:val="21"/>
    </w:rPr>
  </w:style>
  <w:style w:type="paragraph" w:customStyle="1" w:styleId="affffffffffffffffff8">
    <w:name w:val="表格表格"/>
    <w:basedOn w:val="a"/>
    <w:link w:val="Charfffff1"/>
    <w:autoRedefine/>
    <w:qFormat/>
    <w:pPr>
      <w:spacing w:line="360" w:lineRule="auto"/>
      <w:ind w:firstLineChars="200" w:firstLine="200"/>
      <w:jc w:val="left"/>
    </w:pPr>
    <w:rPr>
      <w:rFonts w:cs="宋体"/>
      <w:color w:val="000000"/>
      <w:kern w:val="0"/>
      <w:sz w:val="24"/>
      <w:szCs w:val="21"/>
    </w:rPr>
  </w:style>
  <w:style w:type="character" w:customStyle="1" w:styleId="CharChar42">
    <w:name w:val="Char Char42"/>
    <w:autoRedefine/>
    <w:qFormat/>
    <w:rPr>
      <w:kern w:val="2"/>
      <w:sz w:val="18"/>
    </w:rPr>
  </w:style>
  <w:style w:type="character" w:customStyle="1" w:styleId="predbold1">
    <w:name w:val="p_red_bold1"/>
    <w:autoRedefine/>
    <w:qFormat/>
    <w:rPr>
      <w:b/>
      <w:bCs/>
      <w:color w:val="FF3333"/>
    </w:rPr>
  </w:style>
  <w:style w:type="character" w:customStyle="1" w:styleId="postbody">
    <w:name w:val="postbody"/>
    <w:autoRedefine/>
    <w:qFormat/>
  </w:style>
  <w:style w:type="character" w:customStyle="1" w:styleId="number4">
    <w:name w:val="number4"/>
    <w:autoRedefine/>
    <w:qFormat/>
  </w:style>
  <w:style w:type="character" w:customStyle="1" w:styleId="affffffffffffffffff9">
    <w:name w:val="五号"/>
    <w:autoRedefine/>
    <w:qFormat/>
    <w:rPr>
      <w:w w:val="80"/>
      <w:kern w:val="18"/>
      <w:sz w:val="21"/>
    </w:rPr>
  </w:style>
  <w:style w:type="character" w:customStyle="1" w:styleId="Charfffff2">
    <w:name w:val="正文 文本 Char"/>
    <w:link w:val="affffffffffffffffffa"/>
    <w:autoRedefine/>
    <w:qFormat/>
    <w:rPr>
      <w:kern w:val="2"/>
      <w:sz w:val="24"/>
      <w:szCs w:val="24"/>
    </w:rPr>
  </w:style>
  <w:style w:type="paragraph" w:customStyle="1" w:styleId="affffffffffffffffffa">
    <w:name w:val="正文 文本"/>
    <w:basedOn w:val="Default"/>
    <w:next w:val="a"/>
    <w:link w:val="Charfffff2"/>
    <w:autoRedefine/>
    <w:qFormat/>
    <w:pPr>
      <w:jc w:val="left"/>
    </w:pPr>
    <w:rPr>
      <w:rFonts w:ascii="Times New Roman" w:eastAsia="宋体" w:hAnsi="Times New Roman" w:cs="Times New Roman"/>
      <w:color w:val="auto"/>
    </w:rPr>
  </w:style>
  <w:style w:type="character" w:customStyle="1" w:styleId="css1">
    <w:name w:val="css1"/>
    <w:autoRedefine/>
    <w:qFormat/>
    <w:rPr>
      <w:sz w:val="20"/>
      <w:szCs w:val="20"/>
      <w:u w:val="none"/>
    </w:rPr>
  </w:style>
  <w:style w:type="character" w:customStyle="1" w:styleId="t11">
    <w:name w:val="t11"/>
    <w:autoRedefine/>
    <w:qFormat/>
    <w:rPr>
      <w:b/>
      <w:bCs/>
      <w:sz w:val="24"/>
      <w:szCs w:val="24"/>
      <w:shd w:val="clear" w:color="auto" w:fill="FFFFFF"/>
    </w:rPr>
  </w:style>
  <w:style w:type="character" w:customStyle="1" w:styleId="Charfffff3">
    <w:name w:val="正文+ Char"/>
    <w:link w:val="affffffffffffffffffb"/>
    <w:autoRedefine/>
    <w:qFormat/>
    <w:rPr>
      <w:sz w:val="24"/>
      <w:szCs w:val="24"/>
    </w:rPr>
  </w:style>
  <w:style w:type="paragraph" w:customStyle="1" w:styleId="affffffffffffffffffb">
    <w:name w:val="正文+"/>
    <w:basedOn w:val="a"/>
    <w:link w:val="Charfffff3"/>
    <w:autoRedefine/>
    <w:qFormat/>
    <w:pPr>
      <w:spacing w:line="360" w:lineRule="auto"/>
      <w:ind w:left="482"/>
      <w:jc w:val="left"/>
    </w:pPr>
    <w:rPr>
      <w:rFonts w:cs="Times New Roman"/>
      <w:kern w:val="0"/>
      <w:sz w:val="24"/>
      <w:szCs w:val="24"/>
    </w:rPr>
  </w:style>
  <w:style w:type="character" w:customStyle="1" w:styleId="CharChar41">
    <w:name w:val="Char Char41"/>
    <w:autoRedefine/>
    <w:qFormat/>
    <w:rPr>
      <w:rFonts w:ascii="宋体" w:eastAsia="楷体_GB2312" w:hAnsi="Courier New"/>
      <w:kern w:val="2"/>
      <w:sz w:val="28"/>
      <w:lang w:val="en-US" w:eastAsia="zh-CN" w:bidi="ar-SA"/>
    </w:rPr>
  </w:style>
  <w:style w:type="character" w:customStyle="1" w:styleId="z-Char0">
    <w:name w:val="z-窗体顶端 Char"/>
    <w:autoRedefine/>
    <w:qFormat/>
    <w:rPr>
      <w:rFonts w:ascii="Arial" w:hAnsi="Arial" w:cs="Arial"/>
      <w:vanish/>
      <w:sz w:val="16"/>
      <w:szCs w:val="16"/>
    </w:rPr>
  </w:style>
  <w:style w:type="paragraph" w:customStyle="1" w:styleId="z-10">
    <w:name w:val="z-窗体顶端1"/>
    <w:basedOn w:val="a"/>
    <w:next w:val="a"/>
    <w:link w:val="z-Char20"/>
    <w:autoRedefine/>
    <w:qFormat/>
    <w:pPr>
      <w:widowControl/>
      <w:pBdr>
        <w:bottom w:val="single" w:sz="6" w:space="1" w:color="auto"/>
      </w:pBdr>
      <w:jc w:val="center"/>
    </w:pPr>
    <w:rPr>
      <w:rFonts w:ascii="Arial" w:hAnsi="Arial" w:cs="Arial"/>
      <w:vanish/>
      <w:kern w:val="0"/>
      <w:sz w:val="16"/>
      <w:szCs w:val="16"/>
    </w:rPr>
  </w:style>
  <w:style w:type="character" w:customStyle="1" w:styleId="z-Char20">
    <w:name w:val="z-窗体顶端 Char2"/>
    <w:basedOn w:val="a0"/>
    <w:link w:val="z-10"/>
    <w:autoRedefine/>
    <w:qFormat/>
    <w:rPr>
      <w:rFonts w:ascii="Arial" w:hAnsi="Arial" w:cs="Arial"/>
      <w:vanish/>
      <w:sz w:val="16"/>
      <w:szCs w:val="16"/>
    </w:rPr>
  </w:style>
  <w:style w:type="paragraph" w:customStyle="1" w:styleId="z-12">
    <w:name w:val="z-窗体顶端12"/>
    <w:basedOn w:val="a"/>
    <w:next w:val="a"/>
    <w:link w:val="z-Char10"/>
    <w:autoRedefine/>
    <w:qFormat/>
    <w:pPr>
      <w:widowControl/>
      <w:pBdr>
        <w:bottom w:val="single" w:sz="6" w:space="1" w:color="auto"/>
      </w:pBdr>
      <w:jc w:val="center"/>
    </w:pPr>
    <w:rPr>
      <w:rFonts w:ascii="Arial" w:hAnsi="Arial" w:cs="Times New Roman"/>
      <w:vanish/>
      <w:kern w:val="0"/>
      <w:sz w:val="16"/>
      <w:szCs w:val="16"/>
    </w:rPr>
  </w:style>
  <w:style w:type="character" w:customStyle="1" w:styleId="z-Char10">
    <w:name w:val="z-窗体顶端 Char1"/>
    <w:basedOn w:val="a0"/>
    <w:link w:val="z-12"/>
    <w:autoRedefine/>
    <w:qFormat/>
    <w:rPr>
      <w:rFonts w:ascii="Arial" w:hAnsi="Arial"/>
      <w:vanish/>
      <w:sz w:val="16"/>
      <w:szCs w:val="16"/>
    </w:rPr>
  </w:style>
  <w:style w:type="character" w:customStyle="1" w:styleId="CharCharChar11">
    <w:name w:val="表号 Char Char Char1"/>
    <w:autoRedefine/>
    <w:qFormat/>
    <w:rPr>
      <w:rFonts w:eastAsia="宋体"/>
      <w:kern w:val="2"/>
      <w:sz w:val="24"/>
      <w:lang w:val="en-US" w:eastAsia="zh-CN"/>
    </w:rPr>
  </w:style>
  <w:style w:type="character" w:customStyle="1" w:styleId="Charfffff4">
    <w:name w:val="表格中文字 Char"/>
    <w:link w:val="affffffffffffffffffc"/>
    <w:autoRedefine/>
    <w:qFormat/>
    <w:rPr>
      <w:kern w:val="18"/>
      <w:sz w:val="21"/>
      <w:szCs w:val="21"/>
    </w:rPr>
  </w:style>
  <w:style w:type="paragraph" w:customStyle="1" w:styleId="affffffffffffffffffc">
    <w:name w:val="表格中文字"/>
    <w:basedOn w:val="a"/>
    <w:link w:val="Charfffff4"/>
    <w:autoRedefine/>
    <w:qFormat/>
    <w:pPr>
      <w:adjustRightInd w:val="0"/>
      <w:snapToGrid w:val="0"/>
      <w:jc w:val="center"/>
    </w:pPr>
    <w:rPr>
      <w:rFonts w:cs="Times New Roman"/>
      <w:kern w:val="18"/>
      <w:szCs w:val="21"/>
    </w:rPr>
  </w:style>
  <w:style w:type="character" w:customStyle="1" w:styleId="Charfffff5">
    <w:name w:val="图名 Char"/>
    <w:link w:val="affffffffffffffffffd"/>
    <w:autoRedefine/>
    <w:qFormat/>
    <w:locked/>
    <w:rPr>
      <w:rFonts w:cs="宋体"/>
      <w:b/>
      <w:spacing w:val="-2"/>
      <w:kern w:val="2"/>
      <w:sz w:val="21"/>
    </w:rPr>
  </w:style>
  <w:style w:type="paragraph" w:customStyle="1" w:styleId="affffffffffffffffffd">
    <w:name w:val="图名"/>
    <w:basedOn w:val="a"/>
    <w:link w:val="Charfffff5"/>
    <w:autoRedefine/>
    <w:qFormat/>
    <w:pPr>
      <w:spacing w:line="360" w:lineRule="auto"/>
      <w:jc w:val="center"/>
    </w:pPr>
    <w:rPr>
      <w:rFonts w:cs="宋体"/>
      <w:b/>
      <w:spacing w:val="-2"/>
      <w:szCs w:val="20"/>
    </w:rPr>
  </w:style>
  <w:style w:type="character" w:customStyle="1" w:styleId="Char1f1">
    <w:name w:val="表格内正文 Char1"/>
    <w:link w:val="affffffffffffffffffe"/>
    <w:autoRedefine/>
    <w:qFormat/>
    <w:rPr>
      <w:rFonts w:ascii="宋体" w:hAnsi="宋体"/>
      <w:spacing w:val="4"/>
      <w:kern w:val="18"/>
      <w:sz w:val="24"/>
      <w:szCs w:val="24"/>
    </w:rPr>
  </w:style>
  <w:style w:type="paragraph" w:customStyle="1" w:styleId="affffffffffffffffffe">
    <w:name w:val="表格内正文"/>
    <w:basedOn w:val="a"/>
    <w:link w:val="Char1f1"/>
    <w:autoRedefine/>
    <w:qFormat/>
    <w:pPr>
      <w:spacing w:line="360" w:lineRule="auto"/>
      <w:ind w:firstLine="493"/>
    </w:pPr>
    <w:rPr>
      <w:rFonts w:ascii="宋体" w:hAnsi="宋体" w:cs="Times New Roman"/>
      <w:spacing w:val="4"/>
      <w:kern w:val="18"/>
      <w:sz w:val="24"/>
      <w:szCs w:val="24"/>
    </w:rPr>
  </w:style>
  <w:style w:type="character" w:customStyle="1" w:styleId="postbody1">
    <w:name w:val="postbody1"/>
    <w:autoRedefine/>
    <w:qFormat/>
    <w:rPr>
      <w:sz w:val="21"/>
      <w:szCs w:val="21"/>
    </w:rPr>
  </w:style>
  <w:style w:type="character" w:customStyle="1" w:styleId="2Chara">
    <w:name w:val="样式 居中 首行缩进:  2 字符 Char"/>
    <w:link w:val="2fff5"/>
    <w:autoRedefine/>
    <w:qFormat/>
    <w:locked/>
    <w:rPr>
      <w:rFonts w:ascii="宋体" w:eastAsia="黑体" w:hAnsi="宋体" w:cs="宋体"/>
      <w:b/>
      <w:spacing w:val="-2"/>
      <w:kern w:val="2"/>
      <w:sz w:val="21"/>
    </w:rPr>
  </w:style>
  <w:style w:type="paragraph" w:customStyle="1" w:styleId="2fff5">
    <w:name w:val="样式 居中 首行缩进:  2 字符"/>
    <w:basedOn w:val="a"/>
    <w:next w:val="a"/>
    <w:link w:val="2Chara"/>
    <w:autoRedefine/>
    <w:qFormat/>
    <w:pPr>
      <w:spacing w:line="360" w:lineRule="auto"/>
      <w:jc w:val="center"/>
    </w:pPr>
    <w:rPr>
      <w:rFonts w:ascii="宋体" w:eastAsia="黑体" w:hAnsi="宋体" w:cs="宋体"/>
      <w:b/>
      <w:spacing w:val="-2"/>
      <w:szCs w:val="20"/>
    </w:rPr>
  </w:style>
  <w:style w:type="paragraph" w:customStyle="1" w:styleId="Charfffff6">
    <w:name w:val="正文缩进（自定义） Char"/>
    <w:basedOn w:val="a"/>
    <w:autoRedefine/>
    <w:uiPriority w:val="99"/>
    <w:qFormat/>
    <w:pPr>
      <w:spacing w:before="120" w:after="120" w:line="360" w:lineRule="auto"/>
      <w:ind w:firstLineChars="200" w:firstLine="480"/>
    </w:pPr>
    <w:rPr>
      <w:rFonts w:ascii="Century Gothic" w:hAnsi="Century Gothic" w:cs="Times New Roman"/>
      <w:kern w:val="0"/>
      <w:sz w:val="24"/>
      <w:szCs w:val="24"/>
    </w:rPr>
  </w:style>
  <w:style w:type="character" w:customStyle="1" w:styleId="afffffffffffffffffff">
    <w:name w:val="样式 宋体 小三"/>
    <w:autoRedefine/>
    <w:qFormat/>
    <w:rPr>
      <w:rFonts w:ascii="宋体" w:hAnsi="宋体"/>
      <w:sz w:val="24"/>
    </w:rPr>
  </w:style>
  <w:style w:type="character" w:customStyle="1" w:styleId="4Char2">
    <w:name w:val="样式 样式 样式4 + 黑色 + 自动设置 Char"/>
    <w:autoRedefine/>
    <w:qFormat/>
    <w:rPr>
      <w:rFonts w:eastAsia="华文中宋"/>
      <w:color w:val="000000"/>
      <w:kern w:val="2"/>
      <w:sz w:val="24"/>
      <w:lang w:val="en-US" w:eastAsia="zh-CN"/>
    </w:rPr>
  </w:style>
  <w:style w:type="character" w:customStyle="1" w:styleId="Char1f2">
    <w:name w:val="日期 Char1"/>
    <w:autoRedefine/>
    <w:qFormat/>
    <w:rPr>
      <w:rFonts w:ascii="Times New Roman" w:eastAsia="宋体" w:hAnsi="Times New Roman" w:cs="Times New Roman" w:hint="default"/>
      <w:szCs w:val="24"/>
    </w:rPr>
  </w:style>
  <w:style w:type="character" w:customStyle="1" w:styleId="Charfffff7">
    <w:name w:val="我的图表标题 Char"/>
    <w:link w:val="afffffffffffffffffff0"/>
    <w:autoRedefine/>
    <w:qFormat/>
    <w:rPr>
      <w:rFonts w:ascii="黑体" w:eastAsia="黑体" w:hAnsi="宋体" w:cs="宋体"/>
      <w:bCs/>
      <w:kern w:val="2"/>
      <w:sz w:val="24"/>
    </w:rPr>
  </w:style>
  <w:style w:type="paragraph" w:customStyle="1" w:styleId="afffffffffffffffffff0">
    <w:name w:val="我的图表标题"/>
    <w:basedOn w:val="ab"/>
    <w:link w:val="Charfffff7"/>
    <w:autoRedefine/>
    <w:qFormat/>
    <w:pPr>
      <w:spacing w:beforeLines="50" w:after="0"/>
      <w:ind w:leftChars="0" w:left="0"/>
      <w:jc w:val="center"/>
    </w:pPr>
    <w:rPr>
      <w:rFonts w:ascii="黑体" w:eastAsia="黑体" w:hAnsi="宋体" w:cs="宋体"/>
      <w:bCs/>
      <w:sz w:val="24"/>
      <w:szCs w:val="20"/>
    </w:rPr>
  </w:style>
  <w:style w:type="character" w:customStyle="1" w:styleId="Charfffff8">
    <w:name w:val="样式 表格编号 + 黑体 Char"/>
    <w:link w:val="afffffffffffffffffff1"/>
    <w:autoRedefine/>
    <w:qFormat/>
    <w:rPr>
      <w:rFonts w:ascii="黑体" w:eastAsia="黑体" w:hAnsi="黑体"/>
      <w:sz w:val="24"/>
      <w:szCs w:val="24"/>
    </w:rPr>
  </w:style>
  <w:style w:type="paragraph" w:customStyle="1" w:styleId="afffffffffffffffffff1">
    <w:name w:val="样式 表格编号 + 黑体"/>
    <w:basedOn w:val="afffffffffffffffff6"/>
    <w:link w:val="Charfffff8"/>
    <w:autoRedefine/>
    <w:qFormat/>
    <w:pPr>
      <w:tabs>
        <w:tab w:val="left" w:pos="360"/>
      </w:tabs>
      <w:ind w:left="425" w:firstLineChars="1200" w:hanging="425"/>
    </w:pPr>
    <w:rPr>
      <w:rFonts w:hAnsi="黑体" w:cs="Times New Roman"/>
      <w:szCs w:val="24"/>
    </w:rPr>
  </w:style>
  <w:style w:type="character" w:customStyle="1" w:styleId="CharCharfa">
    <w:name w:val="正文(首行缩进)宋旭峰 Char Char"/>
    <w:link w:val="afffffffffffffffffff2"/>
    <w:autoRedefine/>
    <w:qFormat/>
    <w:rPr>
      <w:snapToGrid w:val="0"/>
      <w:sz w:val="24"/>
    </w:rPr>
  </w:style>
  <w:style w:type="paragraph" w:customStyle="1" w:styleId="afffffffffffffffffff2">
    <w:name w:val="正文(首行缩进)宋旭峰"/>
    <w:basedOn w:val="af2"/>
    <w:link w:val="CharCharfa"/>
    <w:autoRedefine/>
    <w:qFormat/>
    <w:pPr>
      <w:spacing w:beforeLines="50" w:afterLines="50"/>
      <w:ind w:firstLineChars="200" w:firstLine="480"/>
    </w:pPr>
    <w:rPr>
      <w:rFonts w:ascii="Times New Roman"/>
      <w:snapToGrid w:val="0"/>
      <w:kern w:val="0"/>
    </w:rPr>
  </w:style>
  <w:style w:type="character" w:customStyle="1" w:styleId="5Char">
    <w:name w:val="标题5 Char"/>
    <w:autoRedefine/>
    <w:qFormat/>
    <w:locked/>
    <w:rPr>
      <w:rFonts w:eastAsia="宋体"/>
      <w:kern w:val="2"/>
      <w:sz w:val="36"/>
      <w:lang w:val="en-US" w:eastAsia="zh-CN"/>
    </w:rPr>
  </w:style>
  <w:style w:type="character" w:customStyle="1" w:styleId="Charfffff9">
    <w:name w:val="报告正文 Char"/>
    <w:autoRedefine/>
    <w:qFormat/>
    <w:rPr>
      <w:rFonts w:ascii="宋体"/>
      <w:kern w:val="2"/>
      <w:sz w:val="24"/>
    </w:rPr>
  </w:style>
  <w:style w:type="character" w:customStyle="1" w:styleId="3Char9">
    <w:name w:val="样式 第3级标题 + (中文) 宋体 Char"/>
    <w:link w:val="3ff1"/>
    <w:autoRedefine/>
    <w:qFormat/>
    <w:rPr>
      <w:b/>
      <w:bCs/>
      <w:kern w:val="2"/>
      <w:sz w:val="30"/>
      <w:szCs w:val="30"/>
    </w:rPr>
  </w:style>
  <w:style w:type="paragraph" w:customStyle="1" w:styleId="3ff1">
    <w:name w:val="样式 第3级标题 + (中文) 宋体"/>
    <w:basedOn w:val="3ff"/>
    <w:link w:val="3Char9"/>
    <w:autoRedefine/>
    <w:qFormat/>
    <w:pPr>
      <w:spacing w:beforeLines="50" w:beforeAutospacing="0" w:afterLines="50" w:afterAutospacing="0"/>
    </w:pPr>
    <w:rPr>
      <w:rFonts w:eastAsia="宋体"/>
    </w:rPr>
  </w:style>
  <w:style w:type="character" w:customStyle="1" w:styleId="CharCharChard">
    <w:name w:val="表格内容 Char Char Char"/>
    <w:autoRedefine/>
    <w:semiHidden/>
    <w:qFormat/>
    <w:rPr>
      <w:rFonts w:eastAsia="宋体"/>
      <w:color w:val="000000"/>
      <w:kern w:val="2"/>
      <w:sz w:val="16"/>
      <w:lang w:val="en-US" w:eastAsia="zh-CN"/>
    </w:rPr>
  </w:style>
  <w:style w:type="character" w:customStyle="1" w:styleId="CharChar81">
    <w:name w:val="Char Char81"/>
    <w:autoRedefine/>
    <w:qFormat/>
    <w:locked/>
  </w:style>
  <w:style w:type="character" w:customStyle="1" w:styleId="bt21">
    <w:name w:val="bt21"/>
    <w:autoRedefine/>
    <w:qFormat/>
    <w:rPr>
      <w:rFonts w:ascii="黑体" w:eastAsia="黑体" w:hint="eastAsia"/>
      <w:sz w:val="24"/>
      <w:szCs w:val="24"/>
    </w:rPr>
  </w:style>
  <w:style w:type="character" w:customStyle="1" w:styleId="Charfffffa">
    <w:name w:val="表格抬头 Char"/>
    <w:link w:val="afffffffffffffffffff3"/>
    <w:autoRedefine/>
    <w:qFormat/>
    <w:rPr>
      <w:sz w:val="24"/>
      <w:szCs w:val="21"/>
    </w:rPr>
  </w:style>
  <w:style w:type="paragraph" w:customStyle="1" w:styleId="afffffffffffffffffff3">
    <w:name w:val="表格抬头"/>
    <w:basedOn w:val="a"/>
    <w:link w:val="Charfffffa"/>
    <w:autoRedefine/>
    <w:qFormat/>
    <w:pPr>
      <w:adjustRightInd w:val="0"/>
      <w:snapToGrid w:val="0"/>
      <w:spacing w:line="288" w:lineRule="auto"/>
      <w:ind w:firstLineChars="200" w:firstLine="480"/>
      <w:jc w:val="center"/>
    </w:pPr>
    <w:rPr>
      <w:rFonts w:cs="Times New Roman"/>
      <w:kern w:val="0"/>
      <w:sz w:val="24"/>
      <w:szCs w:val="21"/>
    </w:rPr>
  </w:style>
  <w:style w:type="character" w:customStyle="1" w:styleId="8Char10">
    <w:name w:val="标题 8 Char1"/>
    <w:autoRedefine/>
    <w:qFormat/>
    <w:rPr>
      <w:rFonts w:ascii="Cambria" w:eastAsia="宋体" w:hAnsi="Cambria" w:cs="Times New Roman"/>
      <w:kern w:val="2"/>
      <w:sz w:val="24"/>
      <w:szCs w:val="24"/>
    </w:rPr>
  </w:style>
  <w:style w:type="character" w:customStyle="1" w:styleId="Charfffffb">
    <w:name w:val="样式 题注 + 黑色 Char"/>
    <w:link w:val="afffffffffffffffffff4"/>
    <w:autoRedefine/>
    <w:qFormat/>
    <w:rPr>
      <w:rFonts w:ascii="Arial" w:hAnsi="Arial" w:cs="Arial"/>
      <w:b/>
      <w:bCs/>
      <w:color w:val="000000"/>
      <w:kern w:val="2"/>
      <w:sz w:val="24"/>
    </w:rPr>
  </w:style>
  <w:style w:type="paragraph" w:customStyle="1" w:styleId="afffffffffffffffffff4">
    <w:name w:val="样式 题注 + 黑色"/>
    <w:basedOn w:val="af4"/>
    <w:link w:val="Charfffffb"/>
    <w:autoRedefine/>
    <w:qFormat/>
    <w:pPr>
      <w:tabs>
        <w:tab w:val="center" w:pos="10467"/>
        <w:tab w:val="left" w:pos="13095"/>
      </w:tabs>
      <w:spacing w:afterLines="50"/>
      <w:jc w:val="center"/>
    </w:pPr>
    <w:rPr>
      <w:rFonts w:ascii="Arial" w:eastAsia="宋体" w:hAnsi="Arial" w:cs="Arial"/>
      <w:b/>
      <w:bCs/>
      <w:color w:val="000000"/>
      <w:sz w:val="24"/>
    </w:rPr>
  </w:style>
  <w:style w:type="character" w:customStyle="1" w:styleId="CharChar110">
    <w:name w:val="Char Char11"/>
    <w:autoRedefine/>
    <w:qFormat/>
    <w:locked/>
    <w:rPr>
      <w:rFonts w:eastAsia="宋体"/>
      <w:b/>
      <w:color w:val="000000"/>
      <w:kern w:val="2"/>
      <w:sz w:val="26"/>
      <w:lang w:val="en-US" w:eastAsia="zh-CN"/>
    </w:rPr>
  </w:style>
  <w:style w:type="character" w:customStyle="1" w:styleId="-Char0">
    <w:name w:val="正文-蓝色 Char"/>
    <w:link w:val="-4"/>
    <w:autoRedefine/>
    <w:qFormat/>
    <w:rPr>
      <w:rFonts w:cs="Courier New"/>
      <w:color w:val="0000FF"/>
      <w:kern w:val="2"/>
      <w:sz w:val="24"/>
      <w:szCs w:val="21"/>
    </w:rPr>
  </w:style>
  <w:style w:type="paragraph" w:customStyle="1" w:styleId="-4">
    <w:name w:val="正文-蓝色"/>
    <w:basedOn w:val="-2"/>
    <w:link w:val="-Char0"/>
    <w:autoRedefine/>
    <w:qFormat/>
    <w:pPr>
      <w:widowControl w:val="0"/>
      <w:adjustRightInd w:val="0"/>
      <w:spacing w:line="360" w:lineRule="auto"/>
      <w:ind w:firstLine="480"/>
    </w:pPr>
    <w:rPr>
      <w:rFonts w:ascii="Times New Roman" w:hAnsi="Times New Roman" w:cs="Courier New"/>
      <w:color w:val="0000FF"/>
      <w:kern w:val="2"/>
      <w:szCs w:val="21"/>
    </w:rPr>
  </w:style>
  <w:style w:type="character" w:customStyle="1" w:styleId="CharChar131">
    <w:name w:val="Char Char131"/>
    <w:autoRedefine/>
    <w:qFormat/>
    <w:locked/>
    <w:rPr>
      <w:rFonts w:ascii="宋体" w:hAnsi="Times New Roman" w:cs="Times New Roman"/>
      <w:kern w:val="0"/>
      <w:sz w:val="20"/>
      <w:szCs w:val="20"/>
    </w:rPr>
  </w:style>
  <w:style w:type="character" w:customStyle="1" w:styleId="CharChar121">
    <w:name w:val="Char Char121"/>
    <w:autoRedefine/>
    <w:qFormat/>
    <w:locked/>
    <w:rPr>
      <w:rFonts w:ascii="Times New Roman" w:hAnsi="Times New Roman" w:cs="Times New Roman"/>
      <w:sz w:val="24"/>
    </w:rPr>
  </w:style>
  <w:style w:type="character" w:customStyle="1" w:styleId="7Char1">
    <w:name w:val="标题 7 Char1"/>
    <w:autoRedefine/>
    <w:semiHidden/>
    <w:qFormat/>
    <w:rPr>
      <w:b/>
      <w:bCs/>
      <w:kern w:val="2"/>
      <w:sz w:val="24"/>
      <w:szCs w:val="24"/>
    </w:rPr>
  </w:style>
  <w:style w:type="character" w:customStyle="1" w:styleId="n11">
    <w:name w:val="n11"/>
    <w:autoRedefine/>
    <w:qFormat/>
    <w:rPr>
      <w:sz w:val="21"/>
    </w:rPr>
  </w:style>
  <w:style w:type="character" w:customStyle="1" w:styleId="CharCharCharCharCharCharCharCharCharCharCharCharCharCharCharCharCharCharChar">
    <w:name w:val="普通文字 Char Char Char Char Char Char Char Char Char Char Char Char Char Char Char Char Char Char Char"/>
    <w:autoRedefine/>
    <w:qFormat/>
    <w:rPr>
      <w:rFonts w:ascii="宋体" w:eastAsia="宋体" w:hAnsi="Courier New"/>
      <w:kern w:val="2"/>
      <w:sz w:val="24"/>
      <w:lang w:val="en-US" w:eastAsia="zh-CN"/>
    </w:rPr>
  </w:style>
  <w:style w:type="character" w:customStyle="1" w:styleId="CharChar1011">
    <w:name w:val="Char Char1011"/>
    <w:autoRedefine/>
    <w:qFormat/>
    <w:rPr>
      <w:rFonts w:ascii="宋体" w:eastAsia="微软雅黑" w:hAnsi="宋体"/>
      <w:spacing w:val="10"/>
      <w:kern w:val="30"/>
      <w:sz w:val="32"/>
      <w:lang w:val="en-US" w:eastAsia="zh-CN"/>
    </w:rPr>
  </w:style>
  <w:style w:type="character" w:customStyle="1" w:styleId="3CharChar">
    <w:name w:val="标题 3 Char Char"/>
    <w:autoRedefine/>
    <w:qFormat/>
    <w:rPr>
      <w:rFonts w:eastAsia="楷体"/>
      <w:b/>
      <w:bCs/>
      <w:kern w:val="2"/>
      <w:sz w:val="32"/>
      <w:szCs w:val="32"/>
      <w:lang w:val="en-US" w:eastAsia="zh-CN" w:bidi="ar-SA"/>
    </w:rPr>
  </w:style>
  <w:style w:type="character" w:customStyle="1" w:styleId="description">
    <w:name w:val="description"/>
    <w:autoRedefine/>
    <w:qFormat/>
  </w:style>
  <w:style w:type="character" w:customStyle="1" w:styleId="PlainTextCharChar">
    <w:name w:val="Plain Text Char Char"/>
    <w:autoRedefine/>
    <w:qFormat/>
    <w:rPr>
      <w:rFonts w:ascii="宋体" w:eastAsia="宋体" w:hAnsi="Courier New"/>
      <w:kern w:val="2"/>
      <w:sz w:val="21"/>
      <w:lang w:val="en-US" w:eastAsia="zh-CN"/>
    </w:rPr>
  </w:style>
  <w:style w:type="character" w:customStyle="1" w:styleId="tpccontent1">
    <w:name w:val="tpc_content1"/>
    <w:autoRedefine/>
    <w:qFormat/>
    <w:rPr>
      <w:sz w:val="36"/>
      <w:szCs w:val="36"/>
    </w:rPr>
  </w:style>
  <w:style w:type="character" w:customStyle="1" w:styleId="Char1f3">
    <w:name w:val="批注框文本 Char1"/>
    <w:autoRedefine/>
    <w:uiPriority w:val="99"/>
    <w:qFormat/>
    <w:rPr>
      <w:rFonts w:ascii="Times New Roman" w:eastAsia="宋体" w:hAnsi="Times New Roman" w:cs="Times New Roman" w:hint="default"/>
      <w:sz w:val="18"/>
      <w:szCs w:val="18"/>
    </w:rPr>
  </w:style>
  <w:style w:type="character" w:customStyle="1" w:styleId="4CharChar1">
    <w:name w:val="标题 4 Char Char1"/>
    <w:autoRedefine/>
    <w:qFormat/>
    <w:rPr>
      <w:rFonts w:eastAsia="宋体"/>
      <w:b/>
      <w:snapToGrid w:val="0"/>
      <w:color w:val="000000"/>
      <w:sz w:val="26"/>
      <w:lang w:val="en-US" w:eastAsia="zh-CN"/>
    </w:rPr>
  </w:style>
  <w:style w:type="paragraph" w:customStyle="1" w:styleId="-14">
    <w:name w:val="表格标题-14"/>
    <w:basedOn w:val="-xin"/>
    <w:next w:val="a"/>
    <w:autoRedefine/>
    <w:uiPriority w:val="99"/>
    <w:qFormat/>
    <w:pPr>
      <w:adjustRightInd w:val="0"/>
      <w:spacing w:line="360" w:lineRule="auto"/>
    </w:pPr>
    <w:rPr>
      <w:rFonts w:ascii="Calibri" w:hAnsi="Calibri" w:cs="Times New Roman"/>
      <w:sz w:val="24"/>
      <w:szCs w:val="24"/>
    </w:rPr>
  </w:style>
  <w:style w:type="paragraph" w:customStyle="1" w:styleId="afffffffffffffffffff5">
    <w:name w:val="正文格式"/>
    <w:next w:val="a"/>
    <w:link w:val="afffffffffffffffffff6"/>
    <w:autoRedefine/>
    <w:qFormat/>
    <w:pPr>
      <w:spacing w:beforeLines="50" w:line="440" w:lineRule="exact"/>
      <w:ind w:firstLineChars="200" w:firstLine="560"/>
    </w:pPr>
    <w:rPr>
      <w:rFonts w:eastAsia="仿宋_GB2312"/>
      <w:kern w:val="2"/>
      <w:sz w:val="28"/>
      <w:szCs w:val="28"/>
    </w:rPr>
  </w:style>
  <w:style w:type="character" w:customStyle="1" w:styleId="afffffffffffffffffff6">
    <w:name w:val="正文格式 字符"/>
    <w:link w:val="afffffffffffffffffff5"/>
    <w:autoRedefine/>
    <w:qFormat/>
    <w:rPr>
      <w:rFonts w:eastAsia="仿宋_GB2312"/>
      <w:kern w:val="2"/>
      <w:sz w:val="28"/>
      <w:szCs w:val="28"/>
    </w:rPr>
  </w:style>
  <w:style w:type="paragraph" w:customStyle="1" w:styleId="-6">
    <w:name w:val="表格标题-6"/>
    <w:basedOn w:val="-xin"/>
    <w:next w:val="a"/>
    <w:autoRedefine/>
    <w:uiPriority w:val="99"/>
    <w:qFormat/>
    <w:pPr>
      <w:adjustRightInd w:val="0"/>
      <w:spacing w:line="360" w:lineRule="auto"/>
      <w:ind w:left="420" w:hanging="420"/>
    </w:pPr>
    <w:rPr>
      <w:rFonts w:ascii="Calibri" w:hAnsi="Calibri" w:cs="Times New Roman"/>
      <w:sz w:val="24"/>
      <w:szCs w:val="24"/>
    </w:rPr>
  </w:style>
  <w:style w:type="paragraph" w:customStyle="1" w:styleId="afffffffffffffffffff7">
    <w:name w:val="小点"/>
    <w:autoRedefine/>
    <w:uiPriority w:val="99"/>
    <w:qFormat/>
    <w:pPr>
      <w:tabs>
        <w:tab w:val="left" w:pos="360"/>
      </w:tabs>
      <w:adjustRightInd w:val="0"/>
      <w:snapToGrid w:val="0"/>
      <w:spacing w:line="360" w:lineRule="auto"/>
      <w:ind w:left="360" w:hanging="360"/>
    </w:pPr>
    <w:rPr>
      <w:rFonts w:ascii="宋体" w:hAnsi="宋体" w:cs="宋体"/>
      <w:sz w:val="24"/>
      <w:szCs w:val="24"/>
    </w:rPr>
  </w:style>
  <w:style w:type="paragraph" w:customStyle="1" w:styleId="afffffffffffffffffff8">
    <w:name w:val="表标"/>
    <w:next w:val="a"/>
    <w:autoRedefine/>
    <w:uiPriority w:val="99"/>
    <w:qFormat/>
    <w:pPr>
      <w:widowControl w:val="0"/>
      <w:tabs>
        <w:tab w:val="left" w:pos="280"/>
      </w:tabs>
      <w:adjustRightInd w:val="0"/>
      <w:snapToGrid w:val="0"/>
      <w:jc w:val="center"/>
    </w:pPr>
    <w:rPr>
      <w:rFonts w:ascii="Calibri" w:hAnsi="Calibri"/>
      <w:b/>
      <w:kern w:val="2"/>
      <w:sz w:val="24"/>
      <w:szCs w:val="24"/>
    </w:rPr>
  </w:style>
  <w:style w:type="paragraph" w:customStyle="1" w:styleId="7a">
    <w:name w:val="样式7表名"/>
    <w:next w:val="a"/>
    <w:autoRedefine/>
    <w:uiPriority w:val="99"/>
    <w:qFormat/>
    <w:pPr>
      <w:spacing w:before="120" w:line="360" w:lineRule="auto"/>
      <w:jc w:val="center"/>
    </w:pPr>
    <w:rPr>
      <w:rFonts w:ascii="黑体" w:eastAsia="黑体" w:hAnsi="Calibri" w:cs="黑体"/>
      <w:spacing w:val="60"/>
      <w:sz w:val="24"/>
      <w:szCs w:val="24"/>
    </w:rPr>
  </w:style>
  <w:style w:type="paragraph" w:customStyle="1" w:styleId="Style108">
    <w:name w:val="_Style 108"/>
    <w:next w:val="a"/>
    <w:autoRedefine/>
    <w:uiPriority w:val="99"/>
    <w:qFormat/>
    <w:pPr>
      <w:widowControl w:val="0"/>
      <w:adjustRightInd w:val="0"/>
      <w:spacing w:line="360" w:lineRule="auto"/>
      <w:ind w:left="482"/>
      <w:jc w:val="both"/>
    </w:pPr>
    <w:rPr>
      <w:rFonts w:ascii="Calibri" w:hAnsi="Calibri"/>
      <w:kern w:val="2"/>
      <w:sz w:val="24"/>
      <w:szCs w:val="24"/>
    </w:rPr>
  </w:style>
  <w:style w:type="paragraph" w:customStyle="1" w:styleId="afffffffffffffffffff9">
    <w:name w:val="空一行"/>
    <w:basedOn w:val="a"/>
    <w:next w:val="-2"/>
    <w:autoRedefine/>
    <w:uiPriority w:val="99"/>
    <w:qFormat/>
    <w:pPr>
      <w:adjustRightInd w:val="0"/>
      <w:ind w:left="482"/>
    </w:pPr>
    <w:rPr>
      <w:rFonts w:ascii="Calibri" w:hAnsi="Calibri" w:cs="Times New Roman"/>
      <w:sz w:val="24"/>
      <w:szCs w:val="24"/>
    </w:rPr>
  </w:style>
  <w:style w:type="paragraph" w:customStyle="1" w:styleId="5f2">
    <w:name w:val="表5号字"/>
    <w:autoRedefine/>
    <w:uiPriority w:val="99"/>
    <w:qFormat/>
    <w:pPr>
      <w:keepNext/>
      <w:widowControl w:val="0"/>
      <w:adjustRightInd w:val="0"/>
      <w:spacing w:before="120" w:after="120" w:line="60" w:lineRule="atLeast"/>
      <w:jc w:val="center"/>
      <w:textAlignment w:val="baseline"/>
    </w:pPr>
    <w:rPr>
      <w:rFonts w:ascii="Calibri" w:hAnsi="Calibri"/>
      <w:sz w:val="21"/>
    </w:rPr>
  </w:style>
  <w:style w:type="paragraph" w:customStyle="1" w:styleId="T">
    <w:name w:val="T表格"/>
    <w:autoRedefine/>
    <w:uiPriority w:val="99"/>
    <w:qFormat/>
    <w:pPr>
      <w:jc w:val="center"/>
    </w:pPr>
    <w:rPr>
      <w:rFonts w:ascii="仿宋_GB2312" w:eastAsia="仿宋_GB2312" w:hAnsi="Calibri"/>
      <w:color w:val="000000"/>
      <w:spacing w:val="-10"/>
      <w:sz w:val="24"/>
      <w:szCs w:val="24"/>
    </w:rPr>
  </w:style>
  <w:style w:type="paragraph" w:customStyle="1" w:styleId="LA">
    <w:name w:val="正文LA"/>
    <w:autoRedefine/>
    <w:uiPriority w:val="99"/>
    <w:qFormat/>
    <w:pPr>
      <w:tabs>
        <w:tab w:val="left" w:pos="0"/>
      </w:tabs>
      <w:adjustRightInd w:val="0"/>
      <w:snapToGrid w:val="0"/>
      <w:spacing w:line="360" w:lineRule="auto"/>
      <w:ind w:firstLineChars="200" w:firstLine="200"/>
      <w:jc w:val="both"/>
    </w:pPr>
    <w:rPr>
      <w:rFonts w:ascii="Calibri" w:hAnsi="Calibri"/>
      <w:sz w:val="24"/>
    </w:rPr>
  </w:style>
  <w:style w:type="paragraph" w:customStyle="1" w:styleId="afffffffffffffffffffa">
    <w:name w:val="图头"/>
    <w:next w:val="a"/>
    <w:autoRedefine/>
    <w:uiPriority w:val="99"/>
    <w:qFormat/>
    <w:pPr>
      <w:tabs>
        <w:tab w:val="left" w:pos="1134"/>
        <w:tab w:val="left" w:pos="1470"/>
      </w:tabs>
      <w:adjustRightInd w:val="0"/>
      <w:spacing w:beforeLines="50" w:afterLines="50" w:line="360" w:lineRule="auto"/>
      <w:ind w:left="420"/>
      <w:jc w:val="center"/>
    </w:pPr>
    <w:rPr>
      <w:rFonts w:ascii="Calibri" w:hAnsi="Calibri"/>
      <w:spacing w:val="10"/>
      <w:sz w:val="24"/>
      <w:szCs w:val="24"/>
    </w:rPr>
  </w:style>
  <w:style w:type="paragraph" w:customStyle="1" w:styleId="afffffffffffffffffffb">
    <w:name w:val="大表内容"/>
    <w:autoRedefine/>
    <w:uiPriority w:val="99"/>
    <w:qFormat/>
    <w:pPr>
      <w:snapToGrid w:val="0"/>
      <w:jc w:val="center"/>
    </w:pPr>
    <w:rPr>
      <w:rFonts w:ascii="Calibri" w:hAnsi="Calibri"/>
      <w:sz w:val="21"/>
      <w:szCs w:val="21"/>
    </w:rPr>
  </w:style>
  <w:style w:type="paragraph" w:customStyle="1" w:styleId="afffffffffffffffffffc">
    <w:name w:val="正文=黑体"/>
    <w:basedOn w:val="-2"/>
    <w:autoRedefine/>
    <w:uiPriority w:val="99"/>
    <w:qFormat/>
    <w:pPr>
      <w:widowControl w:val="0"/>
      <w:adjustRightInd w:val="0"/>
      <w:spacing w:line="360" w:lineRule="auto"/>
      <w:ind w:firstLine="480"/>
    </w:pPr>
    <w:rPr>
      <w:rFonts w:ascii="Calibri" w:eastAsia="黑体" w:hAnsi="Calibri" w:cs="Times New Roman"/>
      <w:kern w:val="2"/>
    </w:rPr>
  </w:style>
  <w:style w:type="paragraph" w:customStyle="1" w:styleId="altt">
    <w:name w:val="!表格(alt+t)"/>
    <w:next w:val="a"/>
    <w:autoRedefine/>
    <w:uiPriority w:val="99"/>
    <w:qFormat/>
    <w:pPr>
      <w:adjustRightInd w:val="0"/>
      <w:spacing w:line="320" w:lineRule="exact"/>
      <w:jc w:val="center"/>
      <w:textAlignment w:val="center"/>
    </w:pPr>
    <w:rPr>
      <w:rFonts w:ascii="Calibri" w:hAnsi="Calibri"/>
      <w:sz w:val="21"/>
      <w:szCs w:val="21"/>
    </w:rPr>
  </w:style>
  <w:style w:type="paragraph" w:customStyle="1" w:styleId="brdrw15brsp20tqctx4153t">
    <w:name w:val="brdrw15brsp20 tqctx4153t"/>
    <w:autoRedefine/>
    <w:uiPriority w:val="99"/>
    <w:qFormat/>
    <w:pPr>
      <w:widowControl w:val="0"/>
      <w:pBdr>
        <w:bottom w:val="single" w:sz="6" w:space="0" w:color="auto"/>
      </w:pBdr>
      <w:adjustRightInd w:val="0"/>
      <w:spacing w:line="312" w:lineRule="atLeast"/>
      <w:jc w:val="center"/>
    </w:pPr>
    <w:rPr>
      <w:rFonts w:ascii="Calibri" w:hAnsi="Calibri"/>
      <w:sz w:val="21"/>
    </w:rPr>
  </w:style>
  <w:style w:type="paragraph" w:customStyle="1" w:styleId="afffffffffffffffffffd">
    <w:name w:val="君邦正文"/>
    <w:autoRedefine/>
    <w:uiPriority w:val="99"/>
    <w:qFormat/>
    <w:pPr>
      <w:spacing w:line="360" w:lineRule="auto"/>
      <w:ind w:leftChars="-2" w:left="-4" w:firstLineChars="200" w:firstLine="480"/>
      <w:jc w:val="both"/>
    </w:pPr>
    <w:rPr>
      <w:rFonts w:ascii="宋体" w:hAnsi="宋体"/>
      <w:kern w:val="2"/>
      <w:sz w:val="24"/>
    </w:rPr>
  </w:style>
  <w:style w:type="paragraph" w:customStyle="1" w:styleId="afffffffffffffffffffe">
    <w:name w:val="【图片格式】"/>
    <w:next w:val="affffffffffffffffffff"/>
    <w:autoRedefine/>
    <w:uiPriority w:val="99"/>
    <w:qFormat/>
    <w:pPr>
      <w:tabs>
        <w:tab w:val="left" w:pos="840"/>
      </w:tabs>
      <w:ind w:left="840" w:hanging="420"/>
    </w:pPr>
    <w:rPr>
      <w:rFonts w:ascii="Calibri" w:hAnsi="Calibri"/>
      <w:kern w:val="2"/>
      <w:sz w:val="25"/>
      <w:szCs w:val="24"/>
    </w:rPr>
  </w:style>
  <w:style w:type="paragraph" w:customStyle="1" w:styleId="affffffffffffffffffff">
    <w:name w:val="【图片标题】"/>
    <w:next w:val="a"/>
    <w:autoRedefine/>
    <w:uiPriority w:val="99"/>
    <w:qFormat/>
    <w:pPr>
      <w:tabs>
        <w:tab w:val="left" w:pos="1320"/>
      </w:tabs>
      <w:spacing w:after="100" w:afterAutospacing="1" w:line="360" w:lineRule="exact"/>
      <w:jc w:val="center"/>
    </w:pPr>
    <w:rPr>
      <w:rFonts w:ascii="Calibri" w:eastAsia="黑体" w:hAnsi="Calibri"/>
      <w:b/>
      <w:bCs/>
      <w:kern w:val="2"/>
      <w:sz w:val="24"/>
      <w:szCs w:val="24"/>
    </w:rPr>
  </w:style>
  <w:style w:type="paragraph" w:customStyle="1" w:styleId="WPSPlain">
    <w:name w:val="WPS Plain"/>
    <w:autoRedefine/>
    <w:uiPriority w:val="99"/>
    <w:qFormat/>
    <w:rPr>
      <w:rFonts w:ascii="Calibri" w:hAnsi="Calibri"/>
    </w:rPr>
  </w:style>
  <w:style w:type="paragraph" w:customStyle="1" w:styleId="-21">
    <w:name w:val="表格标题-2"/>
    <w:basedOn w:val="-xin"/>
    <w:next w:val="a"/>
    <w:autoRedefine/>
    <w:uiPriority w:val="99"/>
    <w:qFormat/>
    <w:pPr>
      <w:adjustRightInd w:val="0"/>
      <w:spacing w:line="360" w:lineRule="auto"/>
      <w:ind w:left="420" w:hanging="420"/>
    </w:pPr>
    <w:rPr>
      <w:rFonts w:ascii="Calibri" w:hAnsi="Calibri" w:cs="Times New Roman"/>
      <w:sz w:val="24"/>
      <w:szCs w:val="24"/>
    </w:rPr>
  </w:style>
  <w:style w:type="paragraph" w:customStyle="1" w:styleId="-7">
    <w:name w:val="正文-黑体"/>
    <w:basedOn w:val="a"/>
    <w:next w:val="a"/>
    <w:autoRedefine/>
    <w:uiPriority w:val="99"/>
    <w:qFormat/>
    <w:pPr>
      <w:spacing w:line="360" w:lineRule="auto"/>
      <w:ind w:firstLineChars="200" w:firstLine="480"/>
    </w:pPr>
    <w:rPr>
      <w:rFonts w:ascii="Calibri" w:eastAsia="黑体" w:hAnsi="Calibri" w:cs="Times New Roman"/>
      <w:bCs/>
      <w:sz w:val="24"/>
      <w:szCs w:val="24"/>
    </w:rPr>
  </w:style>
  <w:style w:type="paragraph" w:customStyle="1" w:styleId="affffffffffffffffffff0">
    <w:name w:val="封面正文"/>
    <w:autoRedefine/>
    <w:uiPriority w:val="99"/>
    <w:qFormat/>
    <w:pPr>
      <w:jc w:val="both"/>
    </w:pPr>
    <w:rPr>
      <w:rFonts w:ascii="Calibri" w:hAnsi="Calibri"/>
    </w:rPr>
  </w:style>
  <w:style w:type="paragraph" w:customStyle="1" w:styleId="affffffffffffffffffff1">
    <w:name w:val="章标题"/>
    <w:next w:val="a"/>
    <w:autoRedefine/>
    <w:uiPriority w:val="99"/>
    <w:qFormat/>
    <w:pPr>
      <w:tabs>
        <w:tab w:val="left" w:pos="840"/>
        <w:tab w:val="left" w:pos="903"/>
      </w:tabs>
      <w:spacing w:before="50" w:after="50"/>
      <w:ind w:left="903" w:hanging="315"/>
      <w:jc w:val="both"/>
      <w:outlineLvl w:val="1"/>
    </w:pPr>
    <w:rPr>
      <w:rFonts w:ascii="黑体" w:eastAsia="黑体" w:hAnsi="Calibri" w:cs="黑体"/>
      <w:sz w:val="21"/>
      <w:szCs w:val="21"/>
    </w:rPr>
  </w:style>
  <w:style w:type="paragraph" w:customStyle="1" w:styleId="811bCharCharCharCharCharCharChar">
    <w:name w:val="8.1.1b Char Char Char Char Char Char Char"/>
    <w:next w:val="a"/>
    <w:autoRedefine/>
    <w:uiPriority w:val="99"/>
    <w:qFormat/>
    <w:pPr>
      <w:snapToGrid w:val="0"/>
      <w:spacing w:beforeLines="50" w:afterLines="50"/>
    </w:pPr>
    <w:rPr>
      <w:rFonts w:ascii="Calibri" w:eastAsia="华文中宋" w:hAnsi="Calibri"/>
      <w:b/>
      <w:kern w:val="2"/>
      <w:sz w:val="28"/>
      <w:szCs w:val="28"/>
    </w:rPr>
  </w:style>
  <w:style w:type="paragraph" w:customStyle="1" w:styleId="-15">
    <w:name w:val="表格标题-15"/>
    <w:basedOn w:val="-xin"/>
    <w:next w:val="a"/>
    <w:autoRedefine/>
    <w:uiPriority w:val="99"/>
    <w:qFormat/>
    <w:pPr>
      <w:adjustRightInd w:val="0"/>
      <w:spacing w:line="360" w:lineRule="auto"/>
    </w:pPr>
    <w:rPr>
      <w:rFonts w:ascii="Calibri" w:hAnsi="Calibri" w:cs="Times New Roman"/>
      <w:sz w:val="24"/>
      <w:szCs w:val="24"/>
    </w:rPr>
  </w:style>
  <w:style w:type="paragraph" w:customStyle="1" w:styleId="affffffffffffffffffff2">
    <w:name w:val="列项·"/>
    <w:autoRedefine/>
    <w:uiPriority w:val="99"/>
    <w:qFormat/>
    <w:pPr>
      <w:tabs>
        <w:tab w:val="left" w:pos="360"/>
        <w:tab w:val="left" w:pos="840"/>
      </w:tabs>
      <w:ind w:leftChars="200" w:left="840" w:hangingChars="200" w:hanging="420"/>
      <w:jc w:val="both"/>
    </w:pPr>
    <w:rPr>
      <w:rFonts w:ascii="宋体" w:hAnsi="Calibri"/>
      <w:sz w:val="21"/>
    </w:rPr>
  </w:style>
  <w:style w:type="paragraph" w:customStyle="1" w:styleId="CharCharCharGB2312">
    <w:name w:val="样式 表头 Char Char Char + 仿宋_GB2312 四号"/>
    <w:autoRedefine/>
    <w:uiPriority w:val="99"/>
    <w:qFormat/>
    <w:pPr>
      <w:keepNext/>
      <w:keepLines/>
      <w:adjustRightInd w:val="0"/>
      <w:snapToGrid w:val="0"/>
      <w:outlineLvl w:val="5"/>
    </w:pPr>
    <w:rPr>
      <w:rFonts w:ascii="仿宋_GB2312" w:eastAsia="仿宋_GB2312" w:hAnsi="仿宋_GB2312"/>
      <w:b/>
      <w:kern w:val="2"/>
      <w:sz w:val="28"/>
    </w:rPr>
  </w:style>
  <w:style w:type="paragraph" w:customStyle="1" w:styleId="6b">
    <w:name w:val="正文6"/>
    <w:autoRedefine/>
    <w:uiPriority w:val="99"/>
    <w:qFormat/>
    <w:pPr>
      <w:jc w:val="both"/>
    </w:pPr>
    <w:rPr>
      <w:rFonts w:ascii="Calibri" w:hAnsi="Calibri"/>
      <w:kern w:val="2"/>
      <w:sz w:val="21"/>
      <w:szCs w:val="21"/>
    </w:rPr>
  </w:style>
  <w:style w:type="paragraph" w:customStyle="1" w:styleId="affffffffffffffffffff3">
    <w:name w:val="圆点"/>
    <w:autoRedefine/>
    <w:uiPriority w:val="99"/>
    <w:qFormat/>
    <w:pPr>
      <w:tabs>
        <w:tab w:val="left" w:pos="1199"/>
        <w:tab w:val="left" w:pos="1242"/>
      </w:tabs>
      <w:snapToGrid w:val="0"/>
      <w:spacing w:line="360" w:lineRule="auto"/>
      <w:ind w:left="1196" w:hanging="476"/>
    </w:pPr>
    <w:rPr>
      <w:rFonts w:ascii="Calibri" w:hAnsi="Calibri"/>
      <w:snapToGrid w:val="0"/>
      <w:sz w:val="24"/>
    </w:rPr>
  </w:style>
  <w:style w:type="paragraph" w:customStyle="1" w:styleId="T0">
    <w:name w:val="T正文"/>
    <w:autoRedefine/>
    <w:uiPriority w:val="99"/>
    <w:qFormat/>
    <w:pPr>
      <w:widowControl w:val="0"/>
      <w:adjustRightInd w:val="0"/>
      <w:snapToGrid w:val="0"/>
      <w:spacing w:line="360" w:lineRule="auto"/>
      <w:ind w:firstLineChars="200" w:firstLine="200"/>
      <w:jc w:val="both"/>
    </w:pPr>
    <w:rPr>
      <w:rFonts w:ascii="Calibri" w:eastAsia="仿宋_GB2312" w:hAnsi="Calibri"/>
      <w:sz w:val="28"/>
    </w:rPr>
  </w:style>
  <w:style w:type="paragraph" w:customStyle="1" w:styleId="-16">
    <w:name w:val="表格标题-16"/>
    <w:basedOn w:val="-xin"/>
    <w:next w:val="a"/>
    <w:autoRedefine/>
    <w:uiPriority w:val="99"/>
    <w:qFormat/>
    <w:pPr>
      <w:adjustRightInd w:val="0"/>
      <w:spacing w:line="360" w:lineRule="auto"/>
    </w:pPr>
    <w:rPr>
      <w:rFonts w:ascii="Calibri" w:eastAsia="宋体" w:hAnsi="Calibri" w:cs="Times New Roman"/>
      <w:b/>
      <w:szCs w:val="24"/>
    </w:rPr>
  </w:style>
  <w:style w:type="paragraph" w:customStyle="1" w:styleId="W0">
    <w:name w:val="W正文"/>
    <w:basedOn w:val="a"/>
    <w:autoRedefine/>
    <w:uiPriority w:val="99"/>
    <w:qFormat/>
    <w:pPr>
      <w:adjustRightInd w:val="0"/>
      <w:snapToGrid w:val="0"/>
      <w:spacing w:line="360" w:lineRule="auto"/>
      <w:ind w:left="482" w:firstLineChars="200" w:firstLine="200"/>
    </w:pPr>
    <w:rPr>
      <w:rFonts w:ascii="Calibri" w:hAnsi="Calibri" w:cs="Times New Roman"/>
      <w:sz w:val="24"/>
    </w:rPr>
  </w:style>
  <w:style w:type="paragraph" w:customStyle="1" w:styleId="affffffffffffffffffff4">
    <w:name w:val="列项——"/>
    <w:autoRedefine/>
    <w:uiPriority w:val="99"/>
    <w:qFormat/>
    <w:pPr>
      <w:widowControl w:val="0"/>
      <w:tabs>
        <w:tab w:val="left" w:pos="854"/>
      </w:tabs>
      <w:spacing w:line="360" w:lineRule="auto"/>
      <w:ind w:leftChars="200" w:left="200" w:hangingChars="200" w:hanging="200"/>
      <w:jc w:val="both"/>
    </w:pPr>
    <w:rPr>
      <w:rFonts w:ascii="宋体" w:hAnsi="Calibri"/>
      <w:sz w:val="21"/>
    </w:rPr>
  </w:style>
  <w:style w:type="paragraph" w:customStyle="1" w:styleId="290">
    <w:name w:val="样式 正文最后采用 + 首行缩进:  2 字符9"/>
    <w:autoRedefine/>
    <w:uiPriority w:val="99"/>
    <w:qFormat/>
    <w:pPr>
      <w:ind w:firstLine="560"/>
    </w:pPr>
    <w:rPr>
      <w:rFonts w:ascii="Calibri" w:hAnsi="Calibri"/>
    </w:rPr>
  </w:style>
  <w:style w:type="paragraph" w:customStyle="1" w:styleId="affffffffffffffffffff5">
    <w:name w:val="表内容"/>
    <w:autoRedefine/>
    <w:uiPriority w:val="99"/>
    <w:qFormat/>
    <w:pPr>
      <w:widowControl w:val="0"/>
      <w:ind w:leftChars="-30" w:left="-30" w:rightChars="-30" w:right="-30"/>
      <w:jc w:val="center"/>
    </w:pPr>
    <w:rPr>
      <w:rFonts w:ascii="Calibri" w:hAnsi="Calibri"/>
      <w:kern w:val="2"/>
      <w:sz w:val="21"/>
      <w:szCs w:val="21"/>
    </w:rPr>
  </w:style>
  <w:style w:type="character" w:customStyle="1" w:styleId="description5">
    <w:name w:val="description5"/>
    <w:basedOn w:val="a0"/>
    <w:autoRedefine/>
    <w:qFormat/>
  </w:style>
  <w:style w:type="character" w:customStyle="1" w:styleId="content">
    <w:name w:val="content"/>
    <w:basedOn w:val="a0"/>
    <w:autoRedefine/>
    <w:qFormat/>
  </w:style>
  <w:style w:type="character" w:customStyle="1" w:styleId="tblue01">
    <w:name w:val="t_blue_01"/>
    <w:basedOn w:val="a0"/>
    <w:autoRedefine/>
    <w:qFormat/>
  </w:style>
  <w:style w:type="character" w:customStyle="1" w:styleId="a20">
    <w:name w:val="a2"/>
    <w:basedOn w:val="a0"/>
    <w:autoRedefine/>
    <w:qFormat/>
  </w:style>
  <w:style w:type="character" w:customStyle="1" w:styleId="white">
    <w:name w:val="white"/>
    <w:basedOn w:val="a0"/>
    <w:autoRedefine/>
    <w:qFormat/>
  </w:style>
  <w:style w:type="character" w:customStyle="1" w:styleId="lxm">
    <w:name w:val="lxm"/>
    <w:basedOn w:val="a0"/>
    <w:autoRedefine/>
    <w:qFormat/>
  </w:style>
  <w:style w:type="character" w:customStyle="1" w:styleId="puntext">
    <w:name w:val="puntext"/>
    <w:basedOn w:val="a0"/>
    <w:autoRedefine/>
    <w:qFormat/>
  </w:style>
  <w:style w:type="character" w:customStyle="1" w:styleId="apple-style-span">
    <w:name w:val="apple-style-span"/>
    <w:basedOn w:val="a0"/>
    <w:autoRedefine/>
    <w:qFormat/>
  </w:style>
  <w:style w:type="character" w:customStyle="1" w:styleId="text1">
    <w:name w:val="text1"/>
    <w:basedOn w:val="a0"/>
    <w:autoRedefine/>
    <w:qFormat/>
  </w:style>
  <w:style w:type="character" w:customStyle="1" w:styleId="style1">
    <w:name w:val="style1"/>
    <w:basedOn w:val="a0"/>
    <w:autoRedefine/>
    <w:qFormat/>
  </w:style>
  <w:style w:type="character" w:customStyle="1" w:styleId="f14">
    <w:name w:val="f14"/>
    <w:basedOn w:val="a0"/>
    <w:autoRedefine/>
    <w:qFormat/>
  </w:style>
  <w:style w:type="character" w:customStyle="1" w:styleId="unnamed1">
    <w:name w:val="unnamed1"/>
    <w:basedOn w:val="a0"/>
    <w:autoRedefine/>
    <w:qFormat/>
  </w:style>
  <w:style w:type="character" w:customStyle="1" w:styleId="scc">
    <w:name w:val="s c c"/>
    <w:basedOn w:val="a0"/>
    <w:autoRedefine/>
    <w:qFormat/>
  </w:style>
  <w:style w:type="character" w:customStyle="1" w:styleId="textstyle">
    <w:name w:val="textstyle"/>
    <w:basedOn w:val="a0"/>
    <w:autoRedefine/>
    <w:qFormat/>
  </w:style>
  <w:style w:type="character" w:customStyle="1" w:styleId="css-text3">
    <w:name w:val="css-text3"/>
    <w:basedOn w:val="a0"/>
    <w:autoRedefine/>
    <w:qFormat/>
  </w:style>
  <w:style w:type="character" w:customStyle="1" w:styleId="style5">
    <w:name w:val="style5"/>
    <w:basedOn w:val="a0"/>
    <w:autoRedefine/>
    <w:qFormat/>
  </w:style>
  <w:style w:type="paragraph" w:customStyle="1" w:styleId="affffffffffffffffffff6">
    <w:name w:val="表内字"/>
    <w:basedOn w:val="aff4"/>
    <w:autoRedefine/>
    <w:uiPriority w:val="99"/>
    <w:qFormat/>
    <w:pPr>
      <w:snapToGrid w:val="0"/>
      <w:spacing w:line="360" w:lineRule="auto"/>
      <w:jc w:val="center"/>
    </w:pPr>
    <w:rPr>
      <w:rFonts w:ascii="Times New Roman" w:hAnsi="Times New Roman"/>
      <w:kern w:val="0"/>
      <w:sz w:val="24"/>
    </w:rPr>
  </w:style>
  <w:style w:type="paragraph" w:customStyle="1" w:styleId="110015">
    <w:name w:val="1标题 1 + (中文) 黑体 三号 居中 段前: 0 磅 段后: 0 磅 行距: 1.5 倍行距"/>
    <w:basedOn w:val="1"/>
    <w:autoRedefine/>
    <w:uiPriority w:val="99"/>
    <w:qFormat/>
    <w:pPr>
      <w:numPr>
        <w:numId w:val="0"/>
      </w:numPr>
    </w:pPr>
    <w:rPr>
      <w:rFonts w:eastAsia="黑体" w:cs="宋体"/>
      <w:kern w:val="2"/>
      <w:szCs w:val="20"/>
    </w:rPr>
  </w:style>
  <w:style w:type="paragraph" w:customStyle="1" w:styleId="affffffffffffffffffff7">
    <w:name w:val="样式 表格文字 + 五号 自动设置 下标"/>
    <w:basedOn w:val="afffffa"/>
    <w:autoRedefine/>
    <w:uiPriority w:val="99"/>
    <w:qFormat/>
    <w:pPr>
      <w:spacing w:after="120"/>
    </w:pPr>
    <w:rPr>
      <w:rFonts w:cs="宋体"/>
      <w:color w:val="auto"/>
      <w:sz w:val="21"/>
      <w:szCs w:val="24"/>
      <w:vertAlign w:val="subscript"/>
    </w:rPr>
  </w:style>
  <w:style w:type="paragraph" w:customStyle="1" w:styleId="1111-1">
    <w:name w:val="南大梁1.1.1.1-1标题"/>
    <w:basedOn w:val="a"/>
    <w:autoRedefine/>
    <w:uiPriority w:val="99"/>
    <w:qFormat/>
    <w:pPr>
      <w:spacing w:before="60" w:after="60" w:line="360" w:lineRule="auto"/>
    </w:pPr>
    <w:rPr>
      <w:rFonts w:ascii="黑体" w:eastAsia="黑体" w:hAnsi="宋体" w:cs="Times New Roman"/>
      <w:sz w:val="24"/>
      <w:szCs w:val="24"/>
    </w:rPr>
  </w:style>
  <w:style w:type="paragraph" w:customStyle="1" w:styleId="Style16">
    <w:name w:val="_Style 16"/>
    <w:basedOn w:val="a"/>
    <w:autoRedefine/>
    <w:uiPriority w:val="99"/>
    <w:qFormat/>
    <w:pPr>
      <w:spacing w:line="560" w:lineRule="exact"/>
      <w:ind w:firstLineChars="200" w:firstLine="200"/>
    </w:pPr>
    <w:rPr>
      <w:rFonts w:cs="Times New Roman"/>
      <w:kern w:val="0"/>
      <w:sz w:val="24"/>
      <w:szCs w:val="20"/>
    </w:rPr>
  </w:style>
  <w:style w:type="paragraph" w:customStyle="1" w:styleId="affffffffffffffffffff8">
    <w:name w:val="a"/>
    <w:basedOn w:val="a"/>
    <w:autoRedefine/>
    <w:uiPriority w:val="99"/>
    <w:qFormat/>
    <w:pPr>
      <w:widowControl/>
      <w:spacing w:before="100" w:beforeAutospacing="1" w:after="100" w:afterAutospacing="1"/>
      <w:jc w:val="left"/>
    </w:pPr>
    <w:rPr>
      <w:rFonts w:ascii="宋体" w:hAnsi="宋体" w:cs="宋体"/>
      <w:kern w:val="0"/>
      <w:sz w:val="24"/>
      <w:szCs w:val="24"/>
    </w:rPr>
  </w:style>
  <w:style w:type="paragraph" w:customStyle="1" w:styleId="-xin0">
    <w:name w:val="图件标题-xin"/>
    <w:basedOn w:val="-xin"/>
    <w:next w:val="a"/>
    <w:autoRedefine/>
    <w:uiPriority w:val="99"/>
    <w:semiHidden/>
    <w:qFormat/>
    <w:pPr>
      <w:adjustRightInd w:val="0"/>
      <w:spacing w:line="360" w:lineRule="auto"/>
    </w:pPr>
    <w:rPr>
      <w:rFonts w:cs="Times New Roman"/>
      <w:sz w:val="24"/>
      <w:szCs w:val="24"/>
    </w:rPr>
  </w:style>
  <w:style w:type="paragraph" w:customStyle="1" w:styleId="affffffffffffffffffff9">
    <w:name w:val="二级标题样式"/>
    <w:basedOn w:val="a"/>
    <w:autoRedefine/>
    <w:uiPriority w:val="99"/>
    <w:qFormat/>
    <w:pPr>
      <w:adjustRightInd w:val="0"/>
      <w:snapToGrid w:val="0"/>
      <w:spacing w:line="360" w:lineRule="auto"/>
      <w:jc w:val="left"/>
    </w:pPr>
    <w:rPr>
      <w:rFonts w:eastAsia="黑体" w:cs="Times New Roman"/>
      <w:sz w:val="32"/>
      <w:szCs w:val="32"/>
    </w:rPr>
  </w:style>
  <w:style w:type="paragraph" w:customStyle="1" w:styleId="30505">
    <w:name w:val="样式 标题 3 + 段前: 0.5 行 段后: 0.5 行"/>
    <w:basedOn w:val="3"/>
    <w:autoRedefine/>
    <w:uiPriority w:val="99"/>
    <w:qFormat/>
    <w:pPr>
      <w:numPr>
        <w:ilvl w:val="0"/>
        <w:numId w:val="0"/>
      </w:numPr>
      <w:tabs>
        <w:tab w:val="left" w:pos="-441"/>
        <w:tab w:val="left" w:pos="720"/>
        <w:tab w:val="left" w:pos="1260"/>
        <w:tab w:val="left" w:pos="1931"/>
      </w:tabs>
      <w:adjustRightInd/>
      <w:snapToGrid/>
      <w:ind w:left="720" w:hanging="432"/>
      <w:jc w:val="both"/>
    </w:pPr>
    <w:rPr>
      <w:rFonts w:cs="Times New Roman"/>
      <w:sz w:val="26"/>
    </w:rPr>
  </w:style>
  <w:style w:type="paragraph" w:customStyle="1" w:styleId="124">
    <w:name w:val="表1表2"/>
    <w:basedOn w:val="a"/>
    <w:autoRedefine/>
    <w:uiPriority w:val="99"/>
    <w:qFormat/>
    <w:pPr>
      <w:autoSpaceDE w:val="0"/>
      <w:autoSpaceDN w:val="0"/>
      <w:adjustRightInd w:val="0"/>
      <w:jc w:val="center"/>
      <w:textAlignment w:val="center"/>
    </w:pPr>
    <w:rPr>
      <w:rFonts w:eastAsia="仿宋_GB2312" w:cs="Times New Roman"/>
      <w:kern w:val="0"/>
      <w:szCs w:val="21"/>
    </w:rPr>
  </w:style>
  <w:style w:type="paragraph" w:customStyle="1" w:styleId="affffffffffffffffffffa">
    <w:name w:val="图例"/>
    <w:basedOn w:val="a"/>
    <w:autoRedefine/>
    <w:uiPriority w:val="99"/>
    <w:qFormat/>
    <w:pPr>
      <w:jc w:val="center"/>
    </w:pPr>
    <w:rPr>
      <w:rFonts w:cs="Times New Roman"/>
      <w:b/>
      <w:szCs w:val="24"/>
    </w:rPr>
  </w:style>
  <w:style w:type="paragraph" w:customStyle="1" w:styleId="affffffffffffffffffffb">
    <w:name w:val="第四章 图件标题"/>
    <w:basedOn w:val="a"/>
    <w:next w:val="a"/>
    <w:autoRedefine/>
    <w:uiPriority w:val="99"/>
    <w:qFormat/>
    <w:pPr>
      <w:adjustRightInd w:val="0"/>
      <w:snapToGrid w:val="0"/>
      <w:spacing w:line="360" w:lineRule="auto"/>
      <w:ind w:left="482"/>
      <w:jc w:val="center"/>
    </w:pPr>
    <w:rPr>
      <w:rFonts w:eastAsia="黑体" w:cs="Times New Roman"/>
      <w:sz w:val="24"/>
      <w:szCs w:val="24"/>
    </w:rPr>
  </w:style>
  <w:style w:type="paragraph" w:customStyle="1" w:styleId="-40">
    <w:name w:val="表格标题-4"/>
    <w:basedOn w:val="-xin"/>
    <w:next w:val="a"/>
    <w:autoRedefine/>
    <w:uiPriority w:val="99"/>
    <w:qFormat/>
    <w:pPr>
      <w:tabs>
        <w:tab w:val="left" w:pos="851"/>
      </w:tabs>
      <w:adjustRightInd w:val="0"/>
      <w:spacing w:line="360" w:lineRule="auto"/>
    </w:pPr>
    <w:rPr>
      <w:rFonts w:cs="Times New Roman"/>
      <w:sz w:val="24"/>
      <w:szCs w:val="24"/>
    </w:rPr>
  </w:style>
  <w:style w:type="paragraph" w:customStyle="1" w:styleId="GB23121052">
    <w:name w:val="样式 样式 环评正文 + (西文) 仿宋_GB2312 (中文) 宋体 10.5 磅 首行缩进:  2 字符 + 首行缩进:  ..."/>
    <w:basedOn w:val="a"/>
    <w:autoRedefine/>
    <w:uiPriority w:val="99"/>
    <w:qFormat/>
    <w:pPr>
      <w:spacing w:line="400" w:lineRule="exact"/>
      <w:ind w:firstLineChars="200" w:firstLine="200"/>
    </w:pPr>
    <w:rPr>
      <w:rFonts w:ascii="仿宋_GB2312" w:hAnsi="仿宋_GB2312" w:cs="Times New Roman"/>
      <w:spacing w:val="10"/>
      <w:sz w:val="24"/>
      <w:szCs w:val="20"/>
    </w:rPr>
  </w:style>
  <w:style w:type="paragraph" w:customStyle="1" w:styleId="1210">
    <w:name w:val="样式 标题 1 + 首行缩进:  2 字符1"/>
    <w:basedOn w:val="1"/>
    <w:autoRedefine/>
    <w:uiPriority w:val="99"/>
    <w:qFormat/>
    <w:pPr>
      <w:numPr>
        <w:numId w:val="0"/>
      </w:numPr>
      <w:spacing w:line="578" w:lineRule="auto"/>
    </w:pPr>
    <w:rPr>
      <w:rFonts w:hAnsi="宋体" w:cs="宋体"/>
      <w:sz w:val="44"/>
      <w:szCs w:val="20"/>
    </w:rPr>
  </w:style>
  <w:style w:type="paragraph" w:customStyle="1" w:styleId="615">
    <w:name w:val="样式 样式6 + (中文) 华文中宋 五号 行距: 固定值 15 磅"/>
    <w:basedOn w:val="69"/>
    <w:autoRedefine/>
    <w:uiPriority w:val="99"/>
    <w:qFormat/>
    <w:pPr>
      <w:keepNext/>
      <w:keepLines/>
      <w:tabs>
        <w:tab w:val="left" w:pos="851"/>
      </w:tabs>
      <w:adjustRightInd w:val="0"/>
      <w:spacing w:before="120" w:after="120" w:line="240" w:lineRule="auto"/>
      <w:ind w:rightChars="100" w:right="210"/>
      <w:jc w:val="left"/>
      <w:textAlignment w:val="baseline"/>
      <w:outlineLvl w:val="2"/>
    </w:pPr>
    <w:rPr>
      <w:rFonts w:ascii="Times New Roman" w:cs="宋体"/>
      <w:kern w:val="32"/>
      <w:sz w:val="28"/>
    </w:rPr>
  </w:style>
  <w:style w:type="paragraph" w:customStyle="1" w:styleId="3ff2">
    <w:name w:val="样式 标题 3"/>
    <w:basedOn w:val="3"/>
    <w:autoRedefine/>
    <w:uiPriority w:val="99"/>
    <w:semiHidden/>
    <w:qFormat/>
    <w:pPr>
      <w:numPr>
        <w:ilvl w:val="0"/>
        <w:numId w:val="0"/>
      </w:numPr>
      <w:tabs>
        <w:tab w:val="left" w:pos="851"/>
      </w:tabs>
      <w:snapToGrid/>
      <w:spacing w:line="240" w:lineRule="auto"/>
      <w:ind w:rightChars="100" w:right="210"/>
      <w:textAlignment w:val="baseline"/>
    </w:pPr>
    <w:rPr>
      <w:rFonts w:eastAsia="黑体" w:cs="宋体"/>
      <w:b w:val="0"/>
      <w:bCs w:val="0"/>
      <w:kern w:val="32"/>
      <w:sz w:val="28"/>
      <w:szCs w:val="20"/>
    </w:rPr>
  </w:style>
  <w:style w:type="paragraph" w:customStyle="1" w:styleId="470">
    <w:name w:val="样式47"/>
    <w:basedOn w:val="a"/>
    <w:autoRedefine/>
    <w:uiPriority w:val="99"/>
    <w:qFormat/>
    <w:pPr>
      <w:ind w:firstLineChars="200" w:firstLine="420"/>
    </w:pPr>
    <w:rPr>
      <w:rFonts w:eastAsia="华文中宋" w:cs="Times New Roman"/>
      <w:color w:val="000000"/>
      <w:szCs w:val="24"/>
    </w:rPr>
  </w:style>
  <w:style w:type="paragraph" w:customStyle="1" w:styleId="CharCharCharCharCharChar1CharCharChar1Char">
    <w:name w:val="Char Char Char Char Char Char1 Char Char Char1 Char"/>
    <w:basedOn w:val="a"/>
    <w:autoRedefine/>
    <w:uiPriority w:val="99"/>
    <w:qFormat/>
    <w:rPr>
      <w:rFonts w:cs="Times New Roman"/>
      <w:sz w:val="24"/>
      <w:szCs w:val="24"/>
    </w:rPr>
  </w:style>
  <w:style w:type="paragraph" w:customStyle="1" w:styleId="TimesNewRoman180">
    <w:name w:val="样式 (西文) Times New Roman (符号) 宋体 左 行距: 多倍行距 1.8 字行 左  0 字符 首..."/>
    <w:basedOn w:val="a"/>
    <w:autoRedefine/>
    <w:uiPriority w:val="99"/>
    <w:qFormat/>
    <w:pPr>
      <w:spacing w:line="432" w:lineRule="auto"/>
      <w:ind w:firstLineChars="250" w:firstLine="600"/>
      <w:jc w:val="left"/>
    </w:pPr>
    <w:rPr>
      <w:rFonts w:hAnsi="宋体" w:cs="宋体"/>
      <w:kern w:val="0"/>
      <w:sz w:val="24"/>
      <w:szCs w:val="20"/>
    </w:rPr>
  </w:style>
  <w:style w:type="paragraph" w:customStyle="1" w:styleId="affffffffffffffffffffc">
    <w:name w:val="右边"/>
    <w:basedOn w:val="ab"/>
    <w:autoRedefine/>
    <w:uiPriority w:val="99"/>
    <w:qFormat/>
    <w:pPr>
      <w:spacing w:afterLines="50" w:after="0" w:line="360" w:lineRule="auto"/>
      <w:ind w:leftChars="1540" w:left="1540" w:firstLineChars="200" w:firstLine="200"/>
    </w:pPr>
    <w:rPr>
      <w:rFonts w:ascii="宋体" w:hAnsi="宋体" w:cs="Times New Roman"/>
      <w:sz w:val="24"/>
      <w:szCs w:val="24"/>
    </w:rPr>
  </w:style>
  <w:style w:type="paragraph" w:customStyle="1" w:styleId="TimesNewRoman0505">
    <w:name w:val="样式 表名 + Times New Roman 段前: 0.5 行 段后: 0.5 行"/>
    <w:basedOn w:val="affffff8"/>
    <w:autoRedefine/>
    <w:uiPriority w:val="99"/>
    <w:qFormat/>
    <w:pPr>
      <w:keepNext w:val="0"/>
      <w:overflowPunct w:val="0"/>
      <w:topLinePunct/>
      <w:spacing w:beforeLines="50" w:before="0" w:line="440" w:lineRule="exact"/>
      <w:outlineLvl w:val="4"/>
    </w:pPr>
    <w:rPr>
      <w:rFonts w:hAnsi="华文楷体" w:cs="宋体"/>
      <w:bCs/>
      <w:sz w:val="24"/>
      <w:szCs w:val="21"/>
    </w:rPr>
  </w:style>
  <w:style w:type="paragraph" w:customStyle="1" w:styleId="36614">
    <w:name w:val="样式 标题 3 + 华文中宋 小三 段前: 6 磅 段后: 6 磅 行距: 多倍行距 1.4 字行"/>
    <w:basedOn w:val="3"/>
    <w:autoRedefine/>
    <w:uiPriority w:val="99"/>
    <w:qFormat/>
    <w:pPr>
      <w:keepLines w:val="0"/>
      <w:numPr>
        <w:ilvl w:val="0"/>
        <w:numId w:val="0"/>
      </w:numPr>
      <w:tabs>
        <w:tab w:val="left" w:pos="42"/>
        <w:tab w:val="left" w:pos="720"/>
        <w:tab w:val="left" w:pos="861"/>
      </w:tabs>
      <w:adjustRightInd/>
      <w:snapToGrid/>
      <w:ind w:left="720" w:hanging="720"/>
    </w:pPr>
    <w:rPr>
      <w:rFonts w:eastAsia="仿宋_GB2312" w:cs="Times New Roman"/>
      <w:bCs w:val="0"/>
      <w:sz w:val="30"/>
      <w:szCs w:val="20"/>
    </w:rPr>
  </w:style>
  <w:style w:type="paragraph" w:customStyle="1" w:styleId="125">
    <w:name w:val="样式 标题 1 + 首行缩进:  2 字符"/>
    <w:basedOn w:val="1"/>
    <w:autoRedefine/>
    <w:uiPriority w:val="99"/>
    <w:qFormat/>
    <w:pPr>
      <w:numPr>
        <w:numId w:val="0"/>
      </w:numPr>
      <w:spacing w:line="300" w:lineRule="auto"/>
      <w:ind w:firstLineChars="200" w:firstLine="200"/>
    </w:pPr>
    <w:rPr>
      <w:rFonts w:hAnsi="宋体" w:cs="宋体"/>
      <w:b w:val="0"/>
      <w:szCs w:val="20"/>
    </w:rPr>
  </w:style>
  <w:style w:type="paragraph" w:customStyle="1" w:styleId="affffffffffffffffffffd">
    <w:name w:val="样式"/>
    <w:basedOn w:val="a"/>
    <w:next w:val="ab"/>
    <w:autoRedefine/>
    <w:uiPriority w:val="99"/>
    <w:qFormat/>
    <w:pPr>
      <w:adjustRightInd w:val="0"/>
      <w:spacing w:line="360" w:lineRule="auto"/>
      <w:ind w:firstLine="480"/>
      <w:textAlignment w:val="baseline"/>
    </w:pPr>
    <w:rPr>
      <w:rFonts w:ascii="宋体" w:cs="Times New Roman"/>
      <w:kern w:val="0"/>
      <w:sz w:val="24"/>
      <w:szCs w:val="24"/>
    </w:rPr>
  </w:style>
  <w:style w:type="paragraph" w:customStyle="1" w:styleId="1ffffa">
    <w:name w:val="本文标题1"/>
    <w:basedOn w:val="1Head1wsah121CharPartDocument111"/>
    <w:autoRedefine/>
    <w:uiPriority w:val="99"/>
    <w:qFormat/>
    <w:pPr>
      <w:jc w:val="center"/>
    </w:pPr>
    <w:rPr>
      <w:rFonts w:ascii="方正大标宋简体" w:cs="Times New Roman"/>
      <w:sz w:val="36"/>
      <w:szCs w:val="36"/>
    </w:rPr>
  </w:style>
  <w:style w:type="paragraph" w:customStyle="1" w:styleId="1Head1wsah121CharPartDocument111">
    <w:name w:val="样式 标题 1Head 1wsa一、h1标题2标题 1 CharPart'Document1.标题 1标1章..."/>
    <w:basedOn w:val="1"/>
    <w:autoRedefine/>
    <w:uiPriority w:val="99"/>
    <w:qFormat/>
    <w:pPr>
      <w:numPr>
        <w:numId w:val="0"/>
      </w:numPr>
      <w:adjustRightInd w:val="0"/>
      <w:spacing w:line="440" w:lineRule="exact"/>
      <w:jc w:val="both"/>
      <w:textAlignment w:val="baseline"/>
    </w:pPr>
    <w:rPr>
      <w:rFonts w:eastAsia="方正大标宋简体" w:cs="宋体"/>
      <w:szCs w:val="20"/>
    </w:rPr>
  </w:style>
  <w:style w:type="paragraph" w:customStyle="1" w:styleId="158">
    <w:name w:val="样式 (符号) 宋体 小三 行距: 1.5 倍行距"/>
    <w:basedOn w:val="a"/>
    <w:autoRedefine/>
    <w:uiPriority w:val="99"/>
    <w:qFormat/>
    <w:pPr>
      <w:spacing w:line="360" w:lineRule="auto"/>
      <w:ind w:firstLineChars="200" w:firstLine="480"/>
    </w:pPr>
    <w:rPr>
      <w:rFonts w:hAnsi="宋体" w:cs="宋体"/>
      <w:sz w:val="24"/>
      <w:szCs w:val="24"/>
    </w:rPr>
  </w:style>
  <w:style w:type="paragraph" w:customStyle="1" w:styleId="2fff6">
    <w:name w:val="样式 [正文格式] + 小四 首行缩进:  2 字符"/>
    <w:basedOn w:val="afffffffffffffffffb"/>
    <w:autoRedefine/>
    <w:uiPriority w:val="99"/>
    <w:qFormat/>
    <w:pPr>
      <w:ind w:firstLine="480"/>
    </w:pPr>
  </w:style>
  <w:style w:type="paragraph" w:customStyle="1" w:styleId="CharCharCharChar1CharCharChar2">
    <w:name w:val="Char Char Char Char1 Char Char Char2"/>
    <w:basedOn w:val="a"/>
    <w:autoRedefine/>
    <w:uiPriority w:val="99"/>
    <w:qFormat/>
    <w:rPr>
      <w:rFonts w:cs="Times New Roman"/>
      <w:sz w:val="24"/>
      <w:szCs w:val="24"/>
    </w:rPr>
  </w:style>
  <w:style w:type="paragraph" w:customStyle="1" w:styleId="3ff3">
    <w:name w:val="3级标题"/>
    <w:basedOn w:val="a"/>
    <w:link w:val="3Chara"/>
    <w:autoRedefine/>
    <w:uiPriority w:val="99"/>
    <w:qFormat/>
    <w:pPr>
      <w:spacing w:before="120" w:line="460" w:lineRule="exact"/>
      <w:outlineLvl w:val="2"/>
    </w:pPr>
    <w:rPr>
      <w:rFonts w:cs="Times New Roman"/>
      <w:b/>
      <w:sz w:val="24"/>
      <w:szCs w:val="20"/>
    </w:rPr>
  </w:style>
  <w:style w:type="character" w:customStyle="1" w:styleId="3Chara">
    <w:name w:val="3级标题 Char"/>
    <w:link w:val="3ff3"/>
    <w:autoRedefine/>
    <w:uiPriority w:val="99"/>
    <w:qFormat/>
    <w:rPr>
      <w:b/>
      <w:kern w:val="2"/>
      <w:sz w:val="24"/>
    </w:rPr>
  </w:style>
  <w:style w:type="paragraph" w:customStyle="1" w:styleId="360">
    <w:name w:val="样式36"/>
    <w:basedOn w:val="a"/>
    <w:autoRedefine/>
    <w:uiPriority w:val="99"/>
    <w:qFormat/>
    <w:pPr>
      <w:spacing w:after="120" w:line="280" w:lineRule="exact"/>
      <w:ind w:firstLine="425"/>
      <w:jc w:val="center"/>
    </w:pPr>
    <w:rPr>
      <w:rFonts w:eastAsia="华文中宋" w:cs="Times New Roman"/>
      <w:color w:val="000000"/>
      <w:sz w:val="24"/>
      <w:szCs w:val="20"/>
    </w:rPr>
  </w:style>
  <w:style w:type="paragraph" w:customStyle="1" w:styleId="111110">
    <w:name w:val="1.1.1.1.1"/>
    <w:basedOn w:val="a"/>
    <w:autoRedefine/>
    <w:uiPriority w:val="99"/>
    <w:qFormat/>
    <w:pPr>
      <w:ind w:firstLineChars="200" w:firstLine="482"/>
      <w:outlineLvl w:val="4"/>
    </w:pPr>
    <w:rPr>
      <w:rFonts w:cs="Times New Roman"/>
      <w:b/>
      <w:sz w:val="24"/>
      <w:szCs w:val="24"/>
    </w:rPr>
  </w:style>
  <w:style w:type="paragraph" w:customStyle="1" w:styleId="103">
    <w:name w:val="文本框10号"/>
    <w:basedOn w:val="a"/>
    <w:autoRedefine/>
    <w:uiPriority w:val="99"/>
    <w:qFormat/>
    <w:rPr>
      <w:rFonts w:cs="Times New Roman"/>
      <w:sz w:val="20"/>
      <w:szCs w:val="20"/>
    </w:rPr>
  </w:style>
  <w:style w:type="paragraph" w:customStyle="1" w:styleId="415">
    <w:name w:val="样式 标题 4 + 段前: 1 行"/>
    <w:basedOn w:val="4"/>
    <w:autoRedefine/>
    <w:uiPriority w:val="99"/>
    <w:qFormat/>
    <w:pPr>
      <w:keepNext w:val="0"/>
      <w:numPr>
        <w:ilvl w:val="0"/>
        <w:numId w:val="0"/>
      </w:numPr>
      <w:spacing w:beforeLines="100" w:line="500" w:lineRule="atLeast"/>
    </w:pPr>
    <w:rPr>
      <w:rFonts w:eastAsia="仿宋_GB2312" w:cs="宋体"/>
      <w:sz w:val="28"/>
    </w:rPr>
  </w:style>
  <w:style w:type="paragraph" w:customStyle="1" w:styleId="CharCharCharCharCharCharCharCharChar1CharCharCharChar">
    <w:name w:val="Char Char Char Char Char Char Char Char Char1 Char Char Char Char"/>
    <w:basedOn w:val="a"/>
    <w:autoRedefine/>
    <w:uiPriority w:val="99"/>
    <w:qFormat/>
    <w:rPr>
      <w:rFonts w:cs="Times New Roman"/>
      <w:sz w:val="24"/>
      <w:szCs w:val="24"/>
    </w:rPr>
  </w:style>
  <w:style w:type="paragraph" w:customStyle="1" w:styleId="126">
    <w:name w:val="样式 表格1 + 首行缩进:  2 字符"/>
    <w:basedOn w:val="1ff"/>
    <w:autoRedefine/>
    <w:uiPriority w:val="99"/>
    <w:qFormat/>
    <w:pPr>
      <w:snapToGrid/>
      <w:spacing w:line="240" w:lineRule="auto"/>
      <w:ind w:firstLine="200"/>
      <w:jc w:val="center"/>
      <w:textAlignment w:val="center"/>
    </w:pPr>
    <w:rPr>
      <w:rFonts w:ascii="宋体" w:hAnsi="宋体" w:cs="宋体"/>
      <w:bCs w:val="0"/>
      <w:kern w:val="0"/>
      <w:sz w:val="24"/>
      <w:szCs w:val="20"/>
    </w:rPr>
  </w:style>
  <w:style w:type="paragraph" w:customStyle="1" w:styleId="2fff7">
    <w:name w:val="样式 第2级标题 + (中文) 宋体"/>
    <w:basedOn w:val="2fff4"/>
    <w:autoRedefine/>
    <w:uiPriority w:val="99"/>
    <w:qFormat/>
    <w:pPr>
      <w:tabs>
        <w:tab w:val="left" w:pos="1260"/>
      </w:tabs>
      <w:spacing w:beforeLines="50" w:beforeAutospacing="0" w:afterLines="50" w:afterAutospacing="0"/>
      <w:ind w:left="1260" w:hanging="420"/>
    </w:pPr>
    <w:rPr>
      <w:rFonts w:eastAsia="宋体"/>
    </w:rPr>
  </w:style>
  <w:style w:type="paragraph" w:customStyle="1" w:styleId="body">
    <w:name w:val="body"/>
    <w:basedOn w:val="a"/>
    <w:autoRedefine/>
    <w:uiPriority w:val="99"/>
    <w:qFormat/>
    <w:pPr>
      <w:spacing w:line="360" w:lineRule="auto"/>
    </w:pPr>
    <w:rPr>
      <w:rFonts w:ascii="宋体" w:hAnsi="宋体" w:cs="宋体"/>
      <w:sz w:val="24"/>
      <w:szCs w:val="24"/>
    </w:rPr>
  </w:style>
  <w:style w:type="paragraph" w:customStyle="1" w:styleId="affffffffffffffffffffe">
    <w:name w:val="报告书表格"/>
    <w:basedOn w:val="a"/>
    <w:link w:val="CharCharfb"/>
    <w:autoRedefine/>
    <w:qFormat/>
    <w:pPr>
      <w:adjustRightInd w:val="0"/>
      <w:spacing w:before="60" w:after="60" w:line="240" w:lineRule="atLeast"/>
      <w:jc w:val="center"/>
      <w:textAlignment w:val="baseline"/>
    </w:pPr>
    <w:rPr>
      <w:rFonts w:cs="Times New Roman"/>
      <w:kern w:val="0"/>
      <w:szCs w:val="20"/>
    </w:rPr>
  </w:style>
  <w:style w:type="character" w:customStyle="1" w:styleId="CharCharfb">
    <w:name w:val="报告书表格 Char Char"/>
    <w:link w:val="affffffffffffffffffffe"/>
    <w:autoRedefine/>
    <w:qFormat/>
    <w:rPr>
      <w:sz w:val="21"/>
    </w:rPr>
  </w:style>
  <w:style w:type="paragraph" w:customStyle="1" w:styleId="322">
    <w:name w:val="样式 表格 32 + 首行缩进:  2 字符"/>
    <w:basedOn w:val="a"/>
    <w:autoRedefine/>
    <w:uiPriority w:val="99"/>
    <w:qFormat/>
    <w:pPr>
      <w:autoSpaceDE w:val="0"/>
      <w:autoSpaceDN w:val="0"/>
      <w:adjustRightInd w:val="0"/>
      <w:spacing w:line="0" w:lineRule="atLeast"/>
      <w:jc w:val="center"/>
      <w:textAlignment w:val="baseline"/>
    </w:pPr>
    <w:rPr>
      <w:rFonts w:cs="Times New Roman"/>
      <w:kern w:val="0"/>
      <w:szCs w:val="20"/>
    </w:rPr>
  </w:style>
  <w:style w:type="paragraph" w:customStyle="1" w:styleId="321">
    <w:name w:val="样式 标题 3 + 首行缩进:  2 字符"/>
    <w:basedOn w:val="3"/>
    <w:autoRedefine/>
    <w:uiPriority w:val="99"/>
    <w:qFormat/>
    <w:pPr>
      <w:numPr>
        <w:ilvl w:val="0"/>
        <w:numId w:val="0"/>
      </w:numPr>
      <w:snapToGrid/>
      <w:spacing w:beforeLines="100" w:afterLines="50" w:line="300" w:lineRule="auto"/>
      <w:textAlignment w:val="baseline"/>
    </w:pPr>
    <w:rPr>
      <w:rFonts w:eastAsia="黑体" w:cs="宋体"/>
      <w:b w:val="0"/>
      <w:sz w:val="28"/>
      <w:szCs w:val="20"/>
    </w:rPr>
  </w:style>
  <w:style w:type="paragraph" w:customStyle="1" w:styleId="460">
    <w:name w:val="样式46"/>
    <w:basedOn w:val="a"/>
    <w:autoRedefine/>
    <w:uiPriority w:val="99"/>
    <w:qFormat/>
    <w:pPr>
      <w:jc w:val="center"/>
      <w:outlineLvl w:val="0"/>
    </w:pPr>
    <w:rPr>
      <w:rFonts w:eastAsia="黑体" w:cs="Times New Roman"/>
      <w:color w:val="000000"/>
      <w:sz w:val="24"/>
      <w:szCs w:val="24"/>
    </w:rPr>
  </w:style>
  <w:style w:type="paragraph" w:customStyle="1" w:styleId="-9">
    <w:name w:val="表格标题-9"/>
    <w:basedOn w:val="-xin"/>
    <w:next w:val="a"/>
    <w:autoRedefine/>
    <w:uiPriority w:val="99"/>
    <w:qFormat/>
    <w:pPr>
      <w:tabs>
        <w:tab w:val="left" w:pos="851"/>
      </w:tabs>
      <w:adjustRightInd w:val="0"/>
      <w:spacing w:line="360" w:lineRule="auto"/>
    </w:pPr>
    <w:rPr>
      <w:rFonts w:cs="Times New Roman"/>
      <w:sz w:val="24"/>
      <w:szCs w:val="24"/>
    </w:rPr>
  </w:style>
  <w:style w:type="paragraph" w:customStyle="1" w:styleId="CharCharfc">
    <w:name w:val="表格内容 Char Char"/>
    <w:basedOn w:val="a"/>
    <w:autoRedefine/>
    <w:uiPriority w:val="99"/>
    <w:semiHidden/>
    <w:qFormat/>
    <w:pPr>
      <w:tabs>
        <w:tab w:val="left" w:pos="1535"/>
        <w:tab w:val="left" w:pos="3105"/>
        <w:tab w:val="left" w:pos="4676"/>
        <w:tab w:val="left" w:pos="6247"/>
        <w:tab w:val="left" w:pos="7740"/>
        <w:tab w:val="left" w:pos="9288"/>
      </w:tabs>
      <w:adjustRightInd w:val="0"/>
      <w:snapToGrid w:val="0"/>
      <w:spacing w:line="240" w:lineRule="exact"/>
      <w:jc w:val="center"/>
      <w:textAlignment w:val="baseline"/>
    </w:pPr>
    <w:rPr>
      <w:rFonts w:cs="Times New Roman"/>
      <w:color w:val="000000"/>
      <w:szCs w:val="16"/>
    </w:rPr>
  </w:style>
  <w:style w:type="paragraph" w:customStyle="1" w:styleId="xl75">
    <w:name w:val="xl75"/>
    <w:basedOn w:val="a"/>
    <w:autoRedefine/>
    <w:uiPriority w:val="99"/>
    <w:qFormat/>
    <w:pPr>
      <w:widowControl/>
      <w:pBdr>
        <w:left w:val="single" w:sz="8" w:space="0" w:color="auto"/>
        <w:right w:val="single" w:sz="8" w:space="0" w:color="auto"/>
      </w:pBdr>
      <w:spacing w:before="100" w:beforeAutospacing="1" w:after="100" w:afterAutospacing="1"/>
      <w:jc w:val="center"/>
    </w:pPr>
    <w:rPr>
      <w:rFonts w:ascii="宋体" w:hAnsi="宋体" w:cs="宋体"/>
      <w:kern w:val="0"/>
      <w:sz w:val="18"/>
      <w:szCs w:val="18"/>
    </w:rPr>
  </w:style>
  <w:style w:type="paragraph" w:customStyle="1" w:styleId="1ffffb">
    <w:name w:val="样式 第1级标题 + (中文) 宋体"/>
    <w:basedOn w:val="a"/>
    <w:autoRedefine/>
    <w:uiPriority w:val="99"/>
    <w:qFormat/>
    <w:pPr>
      <w:keepNext/>
      <w:keepLines/>
      <w:tabs>
        <w:tab w:val="left" w:pos="432"/>
      </w:tabs>
      <w:spacing w:before="100" w:beforeAutospacing="1" w:after="100" w:afterAutospacing="1" w:line="560" w:lineRule="exact"/>
      <w:ind w:left="432" w:hanging="432"/>
      <w:jc w:val="center"/>
      <w:outlineLvl w:val="0"/>
    </w:pPr>
    <w:rPr>
      <w:rFonts w:cs="Times New Roman"/>
      <w:b/>
      <w:bCs/>
      <w:kern w:val="44"/>
      <w:sz w:val="36"/>
      <w:szCs w:val="36"/>
    </w:rPr>
  </w:style>
  <w:style w:type="paragraph" w:customStyle="1" w:styleId="afffffffffffffffffffff">
    <w:name w:val="正文里"/>
    <w:basedOn w:val="a"/>
    <w:autoRedefine/>
    <w:uiPriority w:val="99"/>
    <w:qFormat/>
    <w:pPr>
      <w:spacing w:line="360" w:lineRule="auto"/>
      <w:ind w:firstLineChars="200" w:firstLine="200"/>
    </w:pPr>
    <w:rPr>
      <w:rFonts w:ascii="宋体" w:hAnsi="宋体" w:cs="Times New Roman"/>
      <w:sz w:val="24"/>
      <w:szCs w:val="24"/>
    </w:rPr>
  </w:style>
  <w:style w:type="paragraph" w:customStyle="1" w:styleId="105052">
    <w:name w:val="样式 标题 1 + 段前: 0.5 行 段后: 0.5 行2"/>
    <w:basedOn w:val="1"/>
    <w:autoRedefine/>
    <w:uiPriority w:val="99"/>
    <w:qFormat/>
    <w:pPr>
      <w:widowControl/>
      <w:numPr>
        <w:numId w:val="0"/>
      </w:numPr>
      <w:tabs>
        <w:tab w:val="left" w:pos="0"/>
        <w:tab w:val="left" w:pos="432"/>
        <w:tab w:val="left" w:pos="567"/>
      </w:tabs>
      <w:spacing w:line="240" w:lineRule="auto"/>
      <w:ind w:left="432" w:hanging="432"/>
    </w:pPr>
    <w:rPr>
      <w:rFonts w:ascii="宋体" w:eastAsia="黑体" w:cs="Times New Roman"/>
      <w:bCs w:val="0"/>
      <w:sz w:val="44"/>
      <w:szCs w:val="20"/>
    </w:rPr>
  </w:style>
  <w:style w:type="paragraph" w:customStyle="1" w:styleId="zh">
    <w:name w:val="zh正文"/>
    <w:basedOn w:val="a"/>
    <w:autoRedefine/>
    <w:uiPriority w:val="99"/>
    <w:qFormat/>
    <w:pPr>
      <w:spacing w:line="360" w:lineRule="exact"/>
      <w:ind w:firstLineChars="200" w:firstLine="560"/>
    </w:pPr>
    <w:rPr>
      <w:rFonts w:ascii="宋体" w:hAnsi="宋体" w:cs="Times New Roman"/>
      <w:sz w:val="28"/>
      <w:szCs w:val="20"/>
    </w:rPr>
  </w:style>
  <w:style w:type="paragraph" w:customStyle="1" w:styleId="afffffffffffffffffffff0">
    <w:name w:val="仿宋"/>
    <w:basedOn w:val="a"/>
    <w:autoRedefine/>
    <w:uiPriority w:val="99"/>
    <w:qFormat/>
    <w:pPr>
      <w:snapToGrid w:val="0"/>
      <w:spacing w:line="360" w:lineRule="auto"/>
      <w:ind w:firstLineChars="200" w:firstLine="200"/>
      <w:outlineLvl w:val="2"/>
    </w:pPr>
    <w:rPr>
      <w:rFonts w:eastAsia="仿宋_GB2312" w:cs="Times New Roman"/>
      <w:sz w:val="24"/>
      <w:szCs w:val="24"/>
    </w:rPr>
  </w:style>
  <w:style w:type="paragraph" w:customStyle="1" w:styleId="715">
    <w:name w:val="样式 样式7 + 黑色 行距: 固定值 15 磅"/>
    <w:basedOn w:val="75"/>
    <w:autoRedefine/>
    <w:uiPriority w:val="99"/>
    <w:qFormat/>
    <w:pPr>
      <w:widowControl w:val="0"/>
      <w:tabs>
        <w:tab w:val="right" w:leader="dot" w:pos="9175"/>
      </w:tabs>
      <w:adjustRightInd/>
      <w:snapToGrid/>
      <w:spacing w:beforeLines="0" w:before="0" w:line="300" w:lineRule="exact"/>
    </w:pPr>
    <w:rPr>
      <w:rFonts w:ascii="楷体" w:eastAsia="华文中宋" w:hAnsi="楷体" w:cs="宋体"/>
      <w:b w:val="0"/>
      <w:bCs w:val="0"/>
      <w:color w:val="000000"/>
      <w:kern w:val="44"/>
      <w:szCs w:val="20"/>
      <w:lang w:val="en-US"/>
    </w:rPr>
  </w:style>
  <w:style w:type="paragraph" w:customStyle="1" w:styleId="2fff8">
    <w:name w:val="日期2"/>
    <w:basedOn w:val="a"/>
    <w:next w:val="a"/>
    <w:autoRedefine/>
    <w:uiPriority w:val="99"/>
    <w:qFormat/>
    <w:pPr>
      <w:adjustRightInd w:val="0"/>
      <w:spacing w:line="360" w:lineRule="auto"/>
      <w:ind w:firstLineChars="200" w:firstLine="200"/>
      <w:jc w:val="left"/>
      <w:textAlignment w:val="baseline"/>
    </w:pPr>
    <w:rPr>
      <w:rFonts w:ascii="宋体" w:cs="Times New Roman"/>
      <w:spacing w:val="24"/>
      <w:kern w:val="24"/>
      <w:sz w:val="24"/>
      <w:szCs w:val="20"/>
    </w:rPr>
  </w:style>
  <w:style w:type="paragraph" w:customStyle="1" w:styleId="1ffffc">
    <w:name w:val="批注框文本1"/>
    <w:basedOn w:val="a"/>
    <w:autoRedefine/>
    <w:uiPriority w:val="99"/>
    <w:qFormat/>
    <w:rPr>
      <w:rFonts w:cs="Times New Roman"/>
      <w:sz w:val="18"/>
      <w:szCs w:val="18"/>
    </w:rPr>
  </w:style>
  <w:style w:type="paragraph" w:customStyle="1" w:styleId="afffffffffffffffffffff1">
    <w:name w:val="表格下方正文"/>
    <w:basedOn w:val="a"/>
    <w:autoRedefine/>
    <w:uiPriority w:val="99"/>
    <w:qFormat/>
    <w:pPr>
      <w:spacing w:before="260" w:line="460" w:lineRule="exact"/>
      <w:ind w:firstLineChars="200" w:firstLine="200"/>
    </w:pPr>
    <w:rPr>
      <w:rFonts w:cs="Times New Roman"/>
      <w:sz w:val="24"/>
      <w:szCs w:val="20"/>
    </w:rPr>
  </w:style>
  <w:style w:type="paragraph" w:customStyle="1" w:styleId="40505">
    <w:name w:val="样式 标题 4 + 段前: 0.5 行 段后: 0.5 行"/>
    <w:basedOn w:val="4"/>
    <w:autoRedefine/>
    <w:uiPriority w:val="99"/>
    <w:qFormat/>
    <w:pPr>
      <w:numPr>
        <w:ilvl w:val="0"/>
        <w:numId w:val="0"/>
      </w:numPr>
      <w:tabs>
        <w:tab w:val="left" w:pos="-21"/>
        <w:tab w:val="left" w:pos="864"/>
        <w:tab w:val="left" w:pos="1680"/>
        <w:tab w:val="left" w:pos="2716"/>
      </w:tabs>
      <w:spacing w:beforeLines="50"/>
      <w:ind w:left="864" w:hanging="144"/>
    </w:pPr>
    <w:rPr>
      <w:rFonts w:eastAsia="黑体" w:cs="Times New Roman"/>
      <w:b w:val="0"/>
      <w:bCs w:val="0"/>
      <w:szCs w:val="20"/>
    </w:rPr>
  </w:style>
  <w:style w:type="paragraph" w:customStyle="1" w:styleId="afffffffffffffffffffff2">
    <w:name w:val="表内格式"/>
    <w:basedOn w:val="a"/>
    <w:autoRedefine/>
    <w:uiPriority w:val="99"/>
    <w:qFormat/>
    <w:pPr>
      <w:jc w:val="center"/>
    </w:pPr>
    <w:rPr>
      <w:rFonts w:cs="Times New Roman"/>
      <w:sz w:val="18"/>
      <w:szCs w:val="20"/>
    </w:rPr>
  </w:style>
  <w:style w:type="paragraph" w:customStyle="1" w:styleId="afffffffffffffffffffff3">
    <w:name w:val="第十三章 表格标题"/>
    <w:basedOn w:val="a"/>
    <w:next w:val="a"/>
    <w:autoRedefine/>
    <w:uiPriority w:val="99"/>
    <w:qFormat/>
    <w:pPr>
      <w:adjustRightInd w:val="0"/>
      <w:snapToGrid w:val="0"/>
      <w:spacing w:line="360" w:lineRule="auto"/>
      <w:ind w:left="420" w:hanging="420"/>
      <w:jc w:val="center"/>
    </w:pPr>
    <w:rPr>
      <w:rFonts w:eastAsia="黑体" w:cs="Times New Roman"/>
      <w:sz w:val="24"/>
      <w:szCs w:val="24"/>
    </w:rPr>
  </w:style>
  <w:style w:type="paragraph" w:customStyle="1" w:styleId="BodyText22">
    <w:name w:val="Body Text 22"/>
    <w:basedOn w:val="a"/>
    <w:autoRedefine/>
    <w:uiPriority w:val="99"/>
    <w:qFormat/>
    <w:pPr>
      <w:adjustRightInd w:val="0"/>
      <w:spacing w:line="440" w:lineRule="atLeast"/>
      <w:ind w:firstLine="480"/>
      <w:textAlignment w:val="baseline"/>
    </w:pPr>
    <w:rPr>
      <w:rFonts w:eastAsia="仿宋_GB2312" w:cs="Times New Roman"/>
      <w:sz w:val="24"/>
      <w:szCs w:val="20"/>
    </w:rPr>
  </w:style>
  <w:style w:type="paragraph" w:customStyle="1" w:styleId="afffffffffffffffffffff4">
    <w:name w:val="样式 五号 居中"/>
    <w:basedOn w:val="a"/>
    <w:autoRedefine/>
    <w:uiPriority w:val="99"/>
    <w:qFormat/>
    <w:pPr>
      <w:jc w:val="center"/>
    </w:pPr>
    <w:rPr>
      <w:rFonts w:ascii="宋体" w:hAnsi="宋体" w:cs="宋体"/>
      <w:spacing w:val="-2"/>
      <w:kern w:val="0"/>
      <w:szCs w:val="20"/>
    </w:rPr>
  </w:style>
  <w:style w:type="paragraph" w:customStyle="1" w:styleId="4f3">
    <w:name w:val="标题4+"/>
    <w:basedOn w:val="a"/>
    <w:next w:val="a"/>
    <w:autoRedefine/>
    <w:uiPriority w:val="99"/>
    <w:qFormat/>
    <w:pPr>
      <w:spacing w:beforeLines="50" w:line="360" w:lineRule="auto"/>
      <w:ind w:firstLine="482"/>
    </w:pPr>
    <w:rPr>
      <w:rFonts w:eastAsia="黑体" w:cs="Times New Roman"/>
      <w:bCs/>
      <w:sz w:val="24"/>
      <w:szCs w:val="24"/>
    </w:rPr>
  </w:style>
  <w:style w:type="paragraph" w:customStyle="1" w:styleId="1ffffd">
    <w:name w:val="制表1"/>
    <w:basedOn w:val="a"/>
    <w:autoRedefine/>
    <w:uiPriority w:val="99"/>
    <w:qFormat/>
    <w:pPr>
      <w:keepNext/>
      <w:tabs>
        <w:tab w:val="center" w:pos="4675"/>
        <w:tab w:val="right" w:pos="9350"/>
      </w:tabs>
      <w:jc w:val="left"/>
    </w:pPr>
    <w:rPr>
      <w:rFonts w:ascii="宋体" w:cs="Times New Roman"/>
      <w:kern w:val="28"/>
      <w:sz w:val="24"/>
      <w:szCs w:val="24"/>
    </w:rPr>
  </w:style>
  <w:style w:type="paragraph" w:customStyle="1" w:styleId="CharCharCharCharCharChar1CharCharChar1Char1">
    <w:name w:val="Char Char Char Char Char Char1 Char Char Char1 Char1"/>
    <w:basedOn w:val="a"/>
    <w:autoRedefine/>
    <w:uiPriority w:val="99"/>
    <w:qFormat/>
    <w:rPr>
      <w:rFonts w:cs="Times New Roman"/>
      <w:sz w:val="24"/>
      <w:szCs w:val="24"/>
    </w:rPr>
  </w:style>
  <w:style w:type="paragraph" w:customStyle="1" w:styleId="Char4CharCharCharCharCharChar11">
    <w:name w:val="Char4 Char Char Char Char Char Char11"/>
    <w:basedOn w:val="a"/>
    <w:autoRedefine/>
    <w:uiPriority w:val="99"/>
    <w:qFormat/>
    <w:pPr>
      <w:spacing w:line="360" w:lineRule="auto"/>
      <w:ind w:firstLineChars="200" w:firstLine="200"/>
    </w:pPr>
    <w:rPr>
      <w:rFonts w:ascii="宋体" w:hAnsi="宋体" w:cs="宋体"/>
      <w:sz w:val="24"/>
      <w:szCs w:val="24"/>
    </w:rPr>
  </w:style>
  <w:style w:type="paragraph" w:customStyle="1" w:styleId="1ffffe">
    <w:name w:val="1正文"/>
    <w:basedOn w:val="a"/>
    <w:autoRedefine/>
    <w:uiPriority w:val="99"/>
    <w:qFormat/>
    <w:pPr>
      <w:widowControl/>
      <w:spacing w:line="360" w:lineRule="auto"/>
      <w:ind w:firstLineChars="200" w:firstLine="200"/>
    </w:pPr>
    <w:rPr>
      <w:rFonts w:cs="宋体"/>
      <w:kern w:val="0"/>
      <w:sz w:val="24"/>
      <w:szCs w:val="24"/>
    </w:rPr>
  </w:style>
  <w:style w:type="paragraph" w:customStyle="1" w:styleId="4f4">
    <w:name w:val="样式 标题 4"/>
    <w:basedOn w:val="4"/>
    <w:autoRedefine/>
    <w:uiPriority w:val="99"/>
    <w:qFormat/>
    <w:pPr>
      <w:numPr>
        <w:ilvl w:val="0"/>
        <w:numId w:val="0"/>
      </w:numPr>
      <w:tabs>
        <w:tab w:val="left" w:pos="-21"/>
        <w:tab w:val="left" w:pos="864"/>
        <w:tab w:val="left" w:pos="1680"/>
        <w:tab w:val="left" w:pos="2716"/>
      </w:tabs>
      <w:spacing w:beforeLines="50"/>
      <w:ind w:left="864" w:hanging="144"/>
    </w:pPr>
    <w:rPr>
      <w:rFonts w:eastAsia="黑体" w:cs="Times New Roman"/>
      <w:b w:val="0"/>
      <w:bCs w:val="0"/>
      <w:szCs w:val="20"/>
    </w:rPr>
  </w:style>
  <w:style w:type="paragraph" w:customStyle="1" w:styleId="21c">
    <w:name w:val="正文文本缩进 21"/>
    <w:basedOn w:val="a"/>
    <w:link w:val="2CharChar1"/>
    <w:autoRedefine/>
    <w:qFormat/>
    <w:pPr>
      <w:suppressAutoHyphens/>
      <w:spacing w:after="120" w:line="480" w:lineRule="auto"/>
      <w:ind w:left="420"/>
    </w:pPr>
    <w:rPr>
      <w:rFonts w:cs="Times New Roman"/>
      <w:kern w:val="1"/>
      <w:szCs w:val="20"/>
      <w:lang w:eastAsia="ar-SA"/>
    </w:rPr>
  </w:style>
  <w:style w:type="character" w:customStyle="1" w:styleId="2CharChar1">
    <w:name w:val="正文文本缩进 2 Char Char"/>
    <w:link w:val="21c"/>
    <w:autoRedefine/>
    <w:qFormat/>
    <w:rPr>
      <w:kern w:val="1"/>
      <w:sz w:val="21"/>
      <w:lang w:eastAsia="ar-SA"/>
    </w:rPr>
  </w:style>
  <w:style w:type="paragraph" w:customStyle="1" w:styleId="2221">
    <w:name w:val="样式 目录 2 + 左侧:  2 字符 首行缩进:  2 字符"/>
    <w:basedOn w:val="28"/>
    <w:autoRedefine/>
    <w:uiPriority w:val="99"/>
    <w:qFormat/>
    <w:pPr>
      <w:tabs>
        <w:tab w:val="left" w:pos="600"/>
        <w:tab w:val="left" w:pos="720"/>
        <w:tab w:val="right" w:leader="dot" w:pos="9061"/>
      </w:tabs>
      <w:adjustRightInd w:val="0"/>
      <w:spacing w:before="120" w:line="240" w:lineRule="auto"/>
      <w:ind w:leftChars="0" w:left="240" w:firstLineChars="200" w:firstLine="480"/>
      <w:jc w:val="left"/>
    </w:pPr>
    <w:rPr>
      <w:rFonts w:ascii="Calibri" w:hAnsi="Calibri" w:cs="宋体"/>
      <w:i/>
      <w:iCs/>
      <w:sz w:val="21"/>
      <w:szCs w:val="20"/>
    </w:rPr>
  </w:style>
  <w:style w:type="paragraph" w:customStyle="1" w:styleId="1fffff">
    <w:name w:val="样式 正文缩进 + 小四1"/>
    <w:basedOn w:val="af2"/>
    <w:autoRedefine/>
    <w:uiPriority w:val="99"/>
    <w:qFormat/>
    <w:pPr>
      <w:keepNext/>
      <w:tabs>
        <w:tab w:val="left" w:pos="1727"/>
        <w:tab w:val="left" w:pos="1884"/>
      </w:tabs>
      <w:ind w:firstLineChars="200" w:firstLine="480"/>
      <w:jc w:val="left"/>
      <w:outlineLvl w:val="0"/>
    </w:pPr>
    <w:rPr>
      <w:rFonts w:hAnsi="宋体" w:cs="宋体"/>
      <w:snapToGrid w:val="0"/>
      <w:color w:val="000000"/>
      <w:sz w:val="28"/>
    </w:rPr>
  </w:style>
  <w:style w:type="paragraph" w:customStyle="1" w:styleId="CharCharCharCharChar1">
    <w:name w:val="Char Char Char Char Char1"/>
    <w:basedOn w:val="a"/>
    <w:autoRedefine/>
    <w:uiPriority w:val="99"/>
    <w:qFormat/>
    <w:pPr>
      <w:spacing w:line="360" w:lineRule="auto"/>
      <w:ind w:firstLineChars="200" w:firstLine="200"/>
    </w:pPr>
    <w:rPr>
      <w:rFonts w:ascii="宋体" w:hAnsi="宋体" w:cs="宋体"/>
      <w:sz w:val="24"/>
      <w:szCs w:val="24"/>
    </w:rPr>
  </w:style>
  <w:style w:type="paragraph" w:customStyle="1" w:styleId="afffffffffffffffffffff5">
    <w:name w:val="缩进"/>
    <w:basedOn w:val="a"/>
    <w:autoRedefine/>
    <w:uiPriority w:val="99"/>
    <w:qFormat/>
    <w:pPr>
      <w:autoSpaceDE w:val="0"/>
      <w:autoSpaceDN w:val="0"/>
      <w:adjustRightInd w:val="0"/>
      <w:spacing w:line="400" w:lineRule="atLeast"/>
      <w:ind w:firstLine="425"/>
      <w:textAlignment w:val="baseline"/>
    </w:pPr>
    <w:rPr>
      <w:rFonts w:cs="Times New Roman"/>
      <w:kern w:val="0"/>
      <w:sz w:val="24"/>
      <w:szCs w:val="20"/>
    </w:rPr>
  </w:style>
  <w:style w:type="paragraph" w:customStyle="1" w:styleId="Date1">
    <w:name w:val="Date1"/>
    <w:basedOn w:val="a"/>
    <w:next w:val="a"/>
    <w:autoRedefine/>
    <w:uiPriority w:val="99"/>
    <w:qFormat/>
    <w:pPr>
      <w:adjustRightInd w:val="0"/>
      <w:textAlignment w:val="baseline"/>
    </w:pPr>
    <w:rPr>
      <w:rFonts w:cs="Times New Roman"/>
      <w:szCs w:val="20"/>
    </w:rPr>
  </w:style>
  <w:style w:type="paragraph" w:customStyle="1" w:styleId="CharCharCharCharCharChar1CharCharChar1CharCharCharCharCharCharCharCharChar">
    <w:name w:val="Char Char Char Char Char Char1 Char Char Char1 Char Char Char Char Char Char Char Char Char"/>
    <w:basedOn w:val="a"/>
    <w:autoRedefine/>
    <w:uiPriority w:val="99"/>
    <w:qFormat/>
    <w:pPr>
      <w:spacing w:line="360" w:lineRule="auto"/>
      <w:ind w:firstLineChars="200" w:firstLine="200"/>
    </w:pPr>
    <w:rPr>
      <w:rFonts w:ascii="宋体" w:hAnsi="宋体" w:cs="宋体"/>
      <w:sz w:val="24"/>
      <w:szCs w:val="24"/>
    </w:rPr>
  </w:style>
  <w:style w:type="paragraph" w:customStyle="1" w:styleId="2fff9">
    <w:name w:val="样式 [正文格式] + 首行缩进:  2 字符"/>
    <w:basedOn w:val="afffffffffffffffffb"/>
    <w:autoRedefine/>
    <w:uiPriority w:val="99"/>
    <w:qFormat/>
    <w:pPr>
      <w:ind w:firstLine="480"/>
    </w:pPr>
  </w:style>
  <w:style w:type="paragraph" w:customStyle="1" w:styleId="-13">
    <w:name w:val="表格标题-13"/>
    <w:basedOn w:val="-xin"/>
    <w:next w:val="a"/>
    <w:autoRedefine/>
    <w:uiPriority w:val="99"/>
    <w:qFormat/>
    <w:pPr>
      <w:adjustRightInd w:val="0"/>
      <w:spacing w:line="360" w:lineRule="auto"/>
      <w:ind w:left="420" w:hanging="420"/>
    </w:pPr>
    <w:rPr>
      <w:rFonts w:cs="Times New Roman"/>
      <w:sz w:val="24"/>
      <w:szCs w:val="24"/>
    </w:rPr>
  </w:style>
  <w:style w:type="paragraph" w:customStyle="1" w:styleId="-100">
    <w:name w:val="表格标题-10"/>
    <w:basedOn w:val="-xin"/>
    <w:next w:val="a"/>
    <w:autoRedefine/>
    <w:uiPriority w:val="99"/>
    <w:qFormat/>
    <w:pPr>
      <w:adjustRightInd w:val="0"/>
      <w:spacing w:line="360" w:lineRule="auto"/>
      <w:ind w:left="420" w:hanging="420"/>
    </w:pPr>
    <w:rPr>
      <w:rFonts w:cs="Times New Roman"/>
      <w:sz w:val="24"/>
      <w:szCs w:val="24"/>
    </w:rPr>
  </w:style>
  <w:style w:type="paragraph" w:customStyle="1" w:styleId="7b">
    <w:name w:val="样式 样式7 + 黑色"/>
    <w:basedOn w:val="75"/>
    <w:autoRedefine/>
    <w:uiPriority w:val="99"/>
    <w:qFormat/>
    <w:pPr>
      <w:keepNext/>
      <w:keepLines/>
      <w:widowControl w:val="0"/>
      <w:tabs>
        <w:tab w:val="left" w:pos="992"/>
        <w:tab w:val="right" w:leader="dot" w:pos="9175"/>
      </w:tabs>
      <w:spacing w:before="232" w:afterLines="50" w:after="232" w:line="240" w:lineRule="auto"/>
      <w:ind w:left="992"/>
      <w:jc w:val="both"/>
      <w:textAlignment w:val="baseline"/>
      <w:outlineLvl w:val="1"/>
    </w:pPr>
    <w:rPr>
      <w:rFonts w:ascii="楷体" w:eastAsia="黑体" w:hAnsi="楷体" w:cs="Times New Roman"/>
      <w:b w:val="0"/>
      <w:bCs w:val="0"/>
      <w:color w:val="000000"/>
      <w:kern w:val="30"/>
      <w:sz w:val="28"/>
      <w:szCs w:val="28"/>
      <w:lang w:val="en-US"/>
    </w:rPr>
  </w:style>
  <w:style w:type="paragraph" w:customStyle="1" w:styleId="3ff4">
    <w:name w:val="样式 样式3 + 黑色"/>
    <w:basedOn w:val="3f4"/>
    <w:autoRedefine/>
    <w:uiPriority w:val="99"/>
    <w:qFormat/>
    <w:pPr>
      <w:keepNext w:val="0"/>
      <w:keepLines w:val="0"/>
      <w:adjustRightInd/>
      <w:snapToGrid/>
      <w:spacing w:line="240" w:lineRule="auto"/>
      <w:ind w:firstLineChars="200" w:firstLine="480"/>
      <w:jc w:val="both"/>
      <w:outlineLvl w:val="9"/>
    </w:pPr>
    <w:rPr>
      <w:rFonts w:eastAsia="华文中宋" w:cs="Times New Roman"/>
      <w:b w:val="0"/>
      <w:bCs w:val="0"/>
      <w:snapToGrid/>
      <w:color w:val="000000"/>
      <w:kern w:val="2"/>
    </w:rPr>
  </w:style>
  <w:style w:type="paragraph" w:customStyle="1" w:styleId="1512">
    <w:name w:val="样式 小三 行距: 1.5 倍行距1"/>
    <w:basedOn w:val="a"/>
    <w:next w:val="a"/>
    <w:autoRedefine/>
    <w:uiPriority w:val="99"/>
    <w:qFormat/>
    <w:pPr>
      <w:spacing w:line="360" w:lineRule="auto"/>
      <w:ind w:firstLineChars="200" w:firstLine="480"/>
    </w:pPr>
    <w:rPr>
      <w:rFonts w:cs="宋体"/>
      <w:sz w:val="24"/>
      <w:szCs w:val="20"/>
    </w:rPr>
  </w:style>
  <w:style w:type="paragraph" w:customStyle="1" w:styleId="afffffffffffffffffffff6">
    <w:name w:val="李海涛正文"/>
    <w:basedOn w:val="a"/>
    <w:next w:val="a"/>
    <w:autoRedefine/>
    <w:uiPriority w:val="99"/>
    <w:qFormat/>
    <w:pPr>
      <w:widowControl/>
      <w:ind w:firstLineChars="200" w:firstLine="480"/>
    </w:pPr>
    <w:rPr>
      <w:rFonts w:ascii="宋体" w:cs="Times New Roman"/>
      <w:sz w:val="24"/>
      <w:szCs w:val="20"/>
    </w:rPr>
  </w:style>
  <w:style w:type="paragraph" w:customStyle="1" w:styleId="CharCharCharCharCharChar1CharCharChar1CharCharCharCharCharCharChar">
    <w:name w:val="Char Char Char Char Char Char1 Char Char Char1 Char Char Char Char Char Char Char"/>
    <w:basedOn w:val="a"/>
    <w:autoRedefine/>
    <w:uiPriority w:val="99"/>
    <w:qFormat/>
    <w:pPr>
      <w:spacing w:line="360" w:lineRule="auto"/>
      <w:ind w:firstLineChars="200" w:firstLine="200"/>
    </w:pPr>
    <w:rPr>
      <w:rFonts w:ascii="宋体" w:hAnsi="宋体" w:cs="宋体"/>
      <w:sz w:val="24"/>
      <w:szCs w:val="24"/>
    </w:rPr>
  </w:style>
  <w:style w:type="paragraph" w:customStyle="1" w:styleId="30202">
    <w:name w:val="样式 标题 3 + 段前: 0.2 行 段后: 0.2 行"/>
    <w:basedOn w:val="3"/>
    <w:autoRedefine/>
    <w:uiPriority w:val="99"/>
    <w:qFormat/>
    <w:pPr>
      <w:numPr>
        <w:ilvl w:val="0"/>
        <w:numId w:val="0"/>
      </w:numPr>
      <w:tabs>
        <w:tab w:val="left" w:pos="-441"/>
        <w:tab w:val="left" w:pos="720"/>
        <w:tab w:val="left" w:pos="1260"/>
        <w:tab w:val="left" w:pos="1931"/>
      </w:tabs>
      <w:adjustRightInd/>
      <w:snapToGrid/>
      <w:ind w:left="720" w:hanging="432"/>
      <w:jc w:val="both"/>
    </w:pPr>
    <w:rPr>
      <w:rFonts w:cs="Times New Roman"/>
      <w:sz w:val="26"/>
    </w:rPr>
  </w:style>
  <w:style w:type="paragraph" w:customStyle="1" w:styleId="CharCharCharCharCharChar3">
    <w:name w:val="Char Char Char Char Char Char3"/>
    <w:basedOn w:val="a"/>
    <w:autoRedefine/>
    <w:uiPriority w:val="99"/>
    <w:qFormat/>
    <w:rPr>
      <w:rFonts w:cs="Times New Roman"/>
      <w:sz w:val="24"/>
      <w:szCs w:val="24"/>
    </w:rPr>
  </w:style>
  <w:style w:type="paragraph" w:customStyle="1" w:styleId="-8">
    <w:name w:val="表格-内容"/>
    <w:basedOn w:val="a"/>
    <w:autoRedefine/>
    <w:uiPriority w:val="99"/>
    <w:qFormat/>
    <w:pPr>
      <w:jc w:val="center"/>
    </w:pPr>
    <w:rPr>
      <w:rFonts w:ascii="宋体" w:hAnsi="宋体" w:cs="Times New Roman"/>
      <w:szCs w:val="21"/>
    </w:rPr>
  </w:style>
  <w:style w:type="paragraph" w:customStyle="1" w:styleId="21d">
    <w:name w:val="21"/>
    <w:basedOn w:val="a"/>
    <w:autoRedefine/>
    <w:uiPriority w:val="99"/>
    <w:qFormat/>
    <w:pPr>
      <w:widowControl/>
      <w:snapToGrid w:val="0"/>
      <w:spacing w:before="100" w:beforeAutospacing="1" w:after="100" w:afterAutospacing="1" w:line="460" w:lineRule="atLeast"/>
      <w:ind w:left="1" w:firstLineChars="200" w:firstLine="9936"/>
      <w:jc w:val="left"/>
    </w:pPr>
    <w:rPr>
      <w:rFonts w:eastAsia="Arial Unicode MS" w:cs="Times New Roman"/>
      <w:kern w:val="0"/>
      <w:sz w:val="24"/>
      <w:szCs w:val="20"/>
    </w:rPr>
  </w:style>
  <w:style w:type="paragraph" w:customStyle="1" w:styleId="405051">
    <w:name w:val="样式 标题 4 + 段前: 0.5 行 段后: 0.5 行1"/>
    <w:basedOn w:val="4"/>
    <w:autoRedefine/>
    <w:uiPriority w:val="99"/>
    <w:qFormat/>
    <w:pPr>
      <w:numPr>
        <w:ilvl w:val="0"/>
        <w:numId w:val="0"/>
      </w:numPr>
      <w:tabs>
        <w:tab w:val="left" w:pos="-21"/>
        <w:tab w:val="left" w:pos="864"/>
        <w:tab w:val="left" w:pos="1680"/>
        <w:tab w:val="left" w:pos="2716"/>
      </w:tabs>
      <w:spacing w:beforeLines="50"/>
      <w:ind w:left="864" w:hanging="144"/>
    </w:pPr>
    <w:rPr>
      <w:rFonts w:eastAsia="黑体" w:cs="Times New Roman"/>
      <w:b w:val="0"/>
      <w:bCs w:val="0"/>
      <w:szCs w:val="20"/>
    </w:rPr>
  </w:style>
  <w:style w:type="paragraph" w:customStyle="1" w:styleId="afffffffffffffffffffff7">
    <w:name w:val="正文标准样式"/>
    <w:basedOn w:val="a"/>
    <w:autoRedefine/>
    <w:uiPriority w:val="99"/>
    <w:qFormat/>
    <w:pPr>
      <w:adjustRightInd w:val="0"/>
      <w:spacing w:line="300" w:lineRule="auto"/>
      <w:ind w:firstLine="482"/>
      <w:textAlignment w:val="baseline"/>
    </w:pPr>
    <w:rPr>
      <w:rFonts w:cs="Times New Roman"/>
      <w:kern w:val="0"/>
      <w:sz w:val="24"/>
      <w:szCs w:val="20"/>
    </w:rPr>
  </w:style>
  <w:style w:type="paragraph" w:customStyle="1" w:styleId="puce">
    <w:name w:val="puce"/>
    <w:basedOn w:val="a"/>
    <w:autoRedefine/>
    <w:uiPriority w:val="99"/>
    <w:qFormat/>
    <w:pPr>
      <w:widowControl/>
      <w:adjustRightInd w:val="0"/>
      <w:snapToGrid w:val="0"/>
      <w:spacing w:line="360" w:lineRule="auto"/>
      <w:ind w:firstLineChars="200" w:firstLine="425"/>
      <w:jc w:val="left"/>
    </w:pPr>
    <w:rPr>
      <w:rFonts w:ascii="宋体" w:hAnsi="宋体" w:cs="Times New Roman"/>
      <w:spacing w:val="20"/>
      <w:kern w:val="0"/>
      <w:sz w:val="24"/>
      <w:szCs w:val="20"/>
    </w:rPr>
  </w:style>
  <w:style w:type="paragraph" w:customStyle="1" w:styleId="afffffffffffffffffffff8">
    <w:name w:val="公文正文"/>
    <w:basedOn w:val="a"/>
    <w:autoRedefine/>
    <w:uiPriority w:val="99"/>
    <w:qFormat/>
    <w:pPr>
      <w:spacing w:line="600" w:lineRule="atLeast"/>
      <w:ind w:firstLineChars="200" w:firstLine="200"/>
    </w:pPr>
    <w:rPr>
      <w:rFonts w:eastAsia="仿宋_GB2312" w:cs="Times New Roman"/>
      <w:sz w:val="32"/>
      <w:szCs w:val="24"/>
    </w:rPr>
  </w:style>
  <w:style w:type="paragraph" w:customStyle="1" w:styleId="m">
    <w:name w:val="正文m"/>
    <w:basedOn w:val="a"/>
    <w:autoRedefine/>
    <w:uiPriority w:val="99"/>
    <w:qFormat/>
    <w:pPr>
      <w:spacing w:line="360" w:lineRule="auto"/>
      <w:ind w:firstLineChars="200" w:firstLine="480"/>
    </w:pPr>
    <w:rPr>
      <w:rFonts w:ascii="黑体" w:eastAsia="仿宋_GB2312" w:hAnsi="新宋体" w:cs="Times New Roman"/>
      <w:sz w:val="24"/>
      <w:szCs w:val="24"/>
    </w:rPr>
  </w:style>
  <w:style w:type="paragraph" w:customStyle="1" w:styleId="ygs">
    <w:name w:val="ygs正文"/>
    <w:basedOn w:val="a"/>
    <w:autoRedefine/>
    <w:uiPriority w:val="99"/>
    <w:qFormat/>
    <w:pPr>
      <w:spacing w:line="440" w:lineRule="exact"/>
      <w:ind w:firstLineChars="200" w:firstLine="480"/>
    </w:pPr>
    <w:rPr>
      <w:rFonts w:ascii="宋体" w:hAnsi="宋体" w:cs="Times New Roman"/>
      <w:bCs/>
      <w:sz w:val="24"/>
      <w:szCs w:val="24"/>
    </w:rPr>
  </w:style>
  <w:style w:type="paragraph" w:customStyle="1" w:styleId="190">
    <w:name w:val="样式19"/>
    <w:basedOn w:val="69"/>
    <w:autoRedefine/>
    <w:uiPriority w:val="99"/>
    <w:qFormat/>
    <w:pPr>
      <w:keepNext/>
      <w:keepLines/>
      <w:tabs>
        <w:tab w:val="left" w:pos="851"/>
      </w:tabs>
      <w:adjustRightInd w:val="0"/>
      <w:spacing w:before="120" w:after="120" w:line="240" w:lineRule="auto"/>
      <w:ind w:rightChars="100" w:right="210"/>
      <w:jc w:val="left"/>
      <w:textAlignment w:val="baseline"/>
      <w:outlineLvl w:val="2"/>
    </w:pPr>
    <w:rPr>
      <w:rFonts w:ascii="Times New Roman" w:cs="宋体"/>
      <w:kern w:val="32"/>
      <w:sz w:val="28"/>
    </w:rPr>
  </w:style>
  <w:style w:type="paragraph" w:customStyle="1" w:styleId="afffffffffffffffffffff9">
    <w:name w:val="第八章 图件标题"/>
    <w:basedOn w:val="a"/>
    <w:next w:val="a"/>
    <w:autoRedefine/>
    <w:uiPriority w:val="99"/>
    <w:qFormat/>
    <w:pPr>
      <w:tabs>
        <w:tab w:val="left" w:pos="851"/>
      </w:tabs>
      <w:adjustRightInd w:val="0"/>
      <w:snapToGrid w:val="0"/>
      <w:spacing w:line="360" w:lineRule="auto"/>
      <w:jc w:val="center"/>
    </w:pPr>
    <w:rPr>
      <w:rFonts w:eastAsia="黑体" w:cs="Times New Roman"/>
      <w:sz w:val="24"/>
      <w:szCs w:val="24"/>
    </w:rPr>
  </w:style>
  <w:style w:type="paragraph" w:customStyle="1" w:styleId="405052">
    <w:name w:val="样式 标题 4 + 段前: 0.5 行 段后: 0.5 行2"/>
    <w:basedOn w:val="4"/>
    <w:autoRedefine/>
    <w:uiPriority w:val="99"/>
    <w:qFormat/>
    <w:pPr>
      <w:numPr>
        <w:ilvl w:val="0"/>
        <w:numId w:val="0"/>
      </w:numPr>
      <w:tabs>
        <w:tab w:val="left" w:pos="-21"/>
        <w:tab w:val="left" w:pos="864"/>
        <w:tab w:val="left" w:pos="1680"/>
        <w:tab w:val="left" w:pos="2716"/>
      </w:tabs>
      <w:spacing w:beforeLines="50"/>
      <w:ind w:left="864" w:hanging="144"/>
    </w:pPr>
    <w:rPr>
      <w:rFonts w:eastAsia="黑体" w:cs="Times New Roman"/>
      <w:b w:val="0"/>
      <w:bCs w:val="0"/>
      <w:szCs w:val="20"/>
    </w:rPr>
  </w:style>
  <w:style w:type="paragraph" w:customStyle="1" w:styleId="1150">
    <w:name w:val="样式 标题1 + 行距: 1.5 倍行距"/>
    <w:basedOn w:val="1"/>
    <w:next w:val="1"/>
    <w:autoRedefine/>
    <w:uiPriority w:val="99"/>
    <w:qFormat/>
    <w:pPr>
      <w:keepNext w:val="0"/>
      <w:keepLines w:val="0"/>
      <w:numPr>
        <w:numId w:val="0"/>
      </w:numPr>
      <w:overflowPunct w:val="0"/>
      <w:topLinePunct/>
    </w:pPr>
    <w:rPr>
      <w:rFonts w:ascii="宋体" w:eastAsia="华文中宋" w:hAnsi="宋体" w:cs="宋体"/>
      <w:color w:val="000000"/>
      <w:kern w:val="2"/>
      <w:szCs w:val="20"/>
    </w:rPr>
  </w:style>
  <w:style w:type="paragraph" w:customStyle="1" w:styleId="250">
    <w:name w:val="样式25"/>
    <w:basedOn w:val="a"/>
    <w:autoRedefine/>
    <w:uiPriority w:val="99"/>
    <w:qFormat/>
    <w:pPr>
      <w:adjustRightInd w:val="0"/>
      <w:spacing w:line="460" w:lineRule="exact"/>
      <w:ind w:firstLineChars="200" w:firstLine="480"/>
      <w:textAlignment w:val="baseline"/>
    </w:pPr>
    <w:rPr>
      <w:rFonts w:cs="Times New Roman"/>
      <w:color w:val="000000"/>
      <w:sz w:val="24"/>
      <w:szCs w:val="20"/>
    </w:rPr>
  </w:style>
  <w:style w:type="paragraph" w:customStyle="1" w:styleId="afffffffffffffffffffffa">
    <w:name w:val="第十章 图件标题"/>
    <w:basedOn w:val="a"/>
    <w:next w:val="a"/>
    <w:autoRedefine/>
    <w:uiPriority w:val="99"/>
    <w:qFormat/>
    <w:pPr>
      <w:adjustRightInd w:val="0"/>
      <w:snapToGrid w:val="0"/>
      <w:spacing w:line="360" w:lineRule="auto"/>
      <w:ind w:left="902" w:hanging="420"/>
      <w:jc w:val="center"/>
    </w:pPr>
    <w:rPr>
      <w:rFonts w:eastAsia="黑体" w:cs="Times New Roman"/>
      <w:sz w:val="24"/>
      <w:szCs w:val="24"/>
    </w:rPr>
  </w:style>
  <w:style w:type="paragraph" w:customStyle="1" w:styleId="00315">
    <w:name w:val="样式 首行缩进:  0.03 厘米 行距: 1.5 倍行距"/>
    <w:basedOn w:val="a"/>
    <w:next w:val="a"/>
    <w:autoRedefine/>
    <w:uiPriority w:val="99"/>
    <w:qFormat/>
    <w:pPr>
      <w:spacing w:line="360" w:lineRule="auto"/>
      <w:ind w:firstLineChars="200" w:firstLine="480"/>
    </w:pPr>
    <w:rPr>
      <w:rFonts w:ascii="宋体" w:hAnsi="宋体" w:cs="Times New Roman"/>
      <w:bCs/>
      <w:sz w:val="24"/>
      <w:szCs w:val="24"/>
    </w:rPr>
  </w:style>
  <w:style w:type="paragraph" w:customStyle="1" w:styleId="2fffa">
    <w:name w:val="表格2"/>
    <w:basedOn w:val="a"/>
    <w:next w:val="a"/>
    <w:autoRedefine/>
    <w:uiPriority w:val="99"/>
    <w:qFormat/>
    <w:pPr>
      <w:keepNext/>
      <w:autoSpaceDE w:val="0"/>
      <w:autoSpaceDN w:val="0"/>
      <w:adjustRightInd w:val="0"/>
      <w:jc w:val="center"/>
      <w:textAlignment w:val="baseline"/>
    </w:pPr>
    <w:rPr>
      <w:rFonts w:ascii="宋体" w:cs="宋体"/>
      <w:kern w:val="0"/>
      <w:position w:val="-28"/>
      <w:szCs w:val="21"/>
    </w:rPr>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
    <w:autoRedefine/>
    <w:uiPriority w:val="99"/>
    <w:qFormat/>
    <w:pPr>
      <w:spacing w:line="360" w:lineRule="auto"/>
      <w:ind w:firstLineChars="200" w:firstLine="200"/>
    </w:pPr>
    <w:rPr>
      <w:rFonts w:ascii="宋体" w:eastAsia="黑体" w:hAnsi="宋体" w:cs="宋体"/>
      <w:sz w:val="28"/>
      <w:szCs w:val="24"/>
    </w:rPr>
  </w:style>
  <w:style w:type="paragraph" w:customStyle="1" w:styleId="CharCharCharChar20">
    <w:name w:val="Char Char Char Char2"/>
    <w:basedOn w:val="a"/>
    <w:autoRedefine/>
    <w:uiPriority w:val="99"/>
    <w:qFormat/>
    <w:pPr>
      <w:widowControl/>
      <w:spacing w:after="160" w:line="240" w:lineRule="exact"/>
      <w:jc w:val="left"/>
    </w:pPr>
    <w:rPr>
      <w:rFonts w:ascii="Arial" w:eastAsia="Times New Roman" w:hAnsi="Arial" w:cs="Verdana"/>
      <w:b/>
      <w:kern w:val="0"/>
      <w:sz w:val="24"/>
      <w:szCs w:val="20"/>
      <w:lang w:eastAsia="en-US"/>
    </w:rPr>
  </w:style>
  <w:style w:type="paragraph" w:customStyle="1" w:styleId="album-div1">
    <w:name w:val="album-div1"/>
    <w:basedOn w:val="a"/>
    <w:autoRedefine/>
    <w:uiPriority w:val="99"/>
    <w:qFormat/>
    <w:pPr>
      <w:widowControl/>
      <w:shd w:val="clear" w:color="auto" w:fill="FFFFFF"/>
      <w:spacing w:before="100" w:beforeAutospacing="1" w:after="100" w:afterAutospacing="1" w:line="360" w:lineRule="auto"/>
      <w:ind w:firstLineChars="200" w:firstLine="200"/>
      <w:jc w:val="left"/>
    </w:pPr>
    <w:rPr>
      <w:rFonts w:ascii="宋体" w:hAnsi="宋体" w:cs="宋体"/>
      <w:kern w:val="0"/>
      <w:sz w:val="24"/>
      <w:szCs w:val="20"/>
    </w:rPr>
  </w:style>
  <w:style w:type="paragraph" w:customStyle="1" w:styleId="Char1CharCharChar1">
    <w:name w:val="Char1 Char Char Char1"/>
    <w:basedOn w:val="a"/>
    <w:autoRedefine/>
    <w:uiPriority w:val="99"/>
    <w:qFormat/>
    <w:pPr>
      <w:spacing w:line="360" w:lineRule="auto"/>
      <w:ind w:firstLineChars="200" w:firstLine="200"/>
      <w:jc w:val="left"/>
    </w:pPr>
    <w:rPr>
      <w:rFonts w:cs="Times New Roman"/>
      <w:sz w:val="24"/>
      <w:szCs w:val="20"/>
    </w:rPr>
  </w:style>
  <w:style w:type="paragraph" w:customStyle="1" w:styleId="afffffffffffffffffffffb">
    <w:name w:val="表头格式"/>
    <w:basedOn w:val="a"/>
    <w:autoRedefine/>
    <w:uiPriority w:val="99"/>
    <w:qFormat/>
    <w:pPr>
      <w:spacing w:beforeLines="100"/>
      <w:ind w:firstLineChars="200" w:firstLine="200"/>
    </w:pPr>
    <w:rPr>
      <w:rFonts w:ascii="宋体" w:hAnsi="宋体" w:cs="Times New Roman"/>
      <w:b/>
      <w:szCs w:val="24"/>
    </w:rPr>
  </w:style>
  <w:style w:type="paragraph" w:customStyle="1" w:styleId="xl21">
    <w:name w:val="xl21"/>
    <w:basedOn w:val="a"/>
    <w:autoRedefine/>
    <w:uiPriority w:val="99"/>
    <w:qFormat/>
    <w:pPr>
      <w:widowControl/>
      <w:spacing w:before="100" w:beforeAutospacing="1" w:after="100" w:afterAutospacing="1"/>
      <w:jc w:val="center"/>
    </w:pPr>
    <w:rPr>
      <w:rFonts w:ascii="宋体" w:hAnsi="宋体" w:cs="宋体"/>
      <w:kern w:val="0"/>
      <w:sz w:val="24"/>
      <w:szCs w:val="24"/>
    </w:rPr>
  </w:style>
  <w:style w:type="paragraph" w:customStyle="1" w:styleId="2fffb">
    <w:name w:val="正文文本缩进2"/>
    <w:basedOn w:val="a"/>
    <w:autoRedefine/>
    <w:uiPriority w:val="99"/>
    <w:qFormat/>
    <w:pPr>
      <w:widowControl/>
      <w:jc w:val="left"/>
    </w:pPr>
    <w:rPr>
      <w:rFonts w:eastAsia="仿宋_GB2312" w:cs="Times New Roman"/>
      <w:kern w:val="0"/>
      <w:szCs w:val="21"/>
    </w:rPr>
  </w:style>
  <w:style w:type="paragraph" w:customStyle="1" w:styleId="afffffffffffffffffffffc">
    <w:name w:val="生物中文名"/>
    <w:basedOn w:val="a"/>
    <w:autoRedefine/>
    <w:uiPriority w:val="99"/>
    <w:qFormat/>
    <w:pPr>
      <w:tabs>
        <w:tab w:val="left" w:pos="-120"/>
      </w:tabs>
      <w:overflowPunct w:val="0"/>
      <w:topLinePunct/>
      <w:autoSpaceDE w:val="0"/>
      <w:adjustRightInd w:val="0"/>
      <w:snapToGrid w:val="0"/>
      <w:spacing w:before="60" w:afterLines="50" w:line="240" w:lineRule="atLeast"/>
      <w:ind w:firstLine="454"/>
    </w:pPr>
    <w:rPr>
      <w:rFonts w:cs="Times New Roman"/>
      <w:spacing w:val="20"/>
      <w:sz w:val="24"/>
      <w:szCs w:val="20"/>
    </w:rPr>
  </w:style>
  <w:style w:type="paragraph" w:customStyle="1" w:styleId="swone">
    <w:name w:val="sw_one"/>
    <w:basedOn w:val="a"/>
    <w:autoRedefine/>
    <w:uiPriority w:val="99"/>
    <w:qFormat/>
    <w:pPr>
      <w:widowControl/>
      <w:spacing w:before="100" w:beforeAutospacing="1" w:after="100" w:afterAutospacing="1"/>
      <w:ind w:firstLine="573"/>
      <w:jc w:val="left"/>
    </w:pPr>
    <w:rPr>
      <w:rFonts w:ascii="Arial Unicode MS" w:hAnsi="Arial Unicode MS" w:cs="Arial Unicode MS"/>
      <w:kern w:val="0"/>
      <w:sz w:val="24"/>
      <w:szCs w:val="24"/>
    </w:rPr>
  </w:style>
  <w:style w:type="paragraph" w:customStyle="1" w:styleId="3Charb">
    <w:name w:val="3 Char"/>
    <w:basedOn w:val="a"/>
    <w:autoRedefine/>
    <w:uiPriority w:val="99"/>
    <w:qFormat/>
    <w:rPr>
      <w:rFonts w:cs="Times New Roman"/>
      <w:szCs w:val="21"/>
    </w:rPr>
  </w:style>
  <w:style w:type="paragraph" w:customStyle="1" w:styleId="afffffffffffffffffffffd">
    <w:name w:val="标题四"/>
    <w:basedOn w:val="a"/>
    <w:autoRedefine/>
    <w:uiPriority w:val="99"/>
    <w:qFormat/>
    <w:pPr>
      <w:spacing w:beforeLines="50" w:line="360" w:lineRule="auto"/>
    </w:pPr>
    <w:rPr>
      <w:rFonts w:ascii="黑体" w:cs="宋体"/>
      <w:b/>
      <w:bCs/>
      <w:sz w:val="24"/>
      <w:szCs w:val="20"/>
    </w:rPr>
  </w:style>
  <w:style w:type="paragraph" w:customStyle="1" w:styleId="Char4CharCharChar1">
    <w:name w:val="Char4 Char Char Char1"/>
    <w:basedOn w:val="a"/>
    <w:autoRedefine/>
    <w:uiPriority w:val="99"/>
    <w:semiHidden/>
    <w:qFormat/>
    <w:pPr>
      <w:adjustRightInd w:val="0"/>
      <w:snapToGrid w:val="0"/>
      <w:spacing w:line="360" w:lineRule="auto"/>
      <w:ind w:firstLineChars="200" w:firstLine="200"/>
    </w:pPr>
    <w:rPr>
      <w:rFonts w:ascii="宋体" w:hAnsi="宋体" w:cs="宋体"/>
      <w:sz w:val="24"/>
      <w:szCs w:val="26"/>
    </w:rPr>
  </w:style>
  <w:style w:type="paragraph" w:customStyle="1" w:styleId="2fffc">
    <w:name w:val="设计说明2"/>
    <w:basedOn w:val="a"/>
    <w:autoRedefine/>
    <w:uiPriority w:val="99"/>
    <w:qFormat/>
    <w:pPr>
      <w:tabs>
        <w:tab w:val="left" w:pos="360"/>
        <w:tab w:val="left" w:pos="630"/>
      </w:tabs>
      <w:spacing w:before="120" w:after="120" w:line="400" w:lineRule="exact"/>
      <w:jc w:val="left"/>
      <w:outlineLvl w:val="1"/>
    </w:pPr>
    <w:rPr>
      <w:rFonts w:ascii="新宋体" w:hAnsi="新宋体" w:cs="Times New Roman"/>
      <w:b/>
      <w:sz w:val="28"/>
      <w:szCs w:val="20"/>
    </w:rPr>
  </w:style>
  <w:style w:type="paragraph" w:customStyle="1" w:styleId="3085">
    <w:name w:val="样式 标题 3 + 首行缩进:  0.85 厘米"/>
    <w:basedOn w:val="3"/>
    <w:autoRedefine/>
    <w:uiPriority w:val="99"/>
    <w:qFormat/>
    <w:pPr>
      <w:numPr>
        <w:ilvl w:val="0"/>
        <w:numId w:val="0"/>
      </w:numPr>
      <w:snapToGrid/>
      <w:spacing w:beforeLines="100" w:afterLines="50" w:line="415" w:lineRule="auto"/>
      <w:textAlignment w:val="baseline"/>
    </w:pPr>
    <w:rPr>
      <w:rFonts w:cs="Times New Roman"/>
      <w:sz w:val="28"/>
      <w:szCs w:val="28"/>
    </w:rPr>
  </w:style>
  <w:style w:type="paragraph" w:customStyle="1" w:styleId="CharCharCharChar1CharCharChar1">
    <w:name w:val="Char Char Char Char1 Char Char Char1"/>
    <w:basedOn w:val="a"/>
    <w:autoRedefine/>
    <w:uiPriority w:val="99"/>
    <w:qFormat/>
    <w:rPr>
      <w:rFonts w:cs="Times New Roman"/>
      <w:szCs w:val="24"/>
    </w:rPr>
  </w:style>
  <w:style w:type="paragraph" w:customStyle="1" w:styleId="Char1CharCharCharCharChar1CharCharCharCharCharCharChar">
    <w:name w:val="Char1 Char Char Char Char Char1 Char Char Char Char Char Char Char"/>
    <w:basedOn w:val="a"/>
    <w:autoRedefine/>
    <w:uiPriority w:val="99"/>
    <w:qFormat/>
    <w:pPr>
      <w:adjustRightInd w:val="0"/>
      <w:snapToGrid w:val="0"/>
      <w:spacing w:line="360" w:lineRule="auto"/>
      <w:ind w:firstLineChars="200" w:firstLine="200"/>
      <w:jc w:val="left"/>
    </w:pPr>
    <w:rPr>
      <w:rFonts w:ascii="宋体" w:hAnsi="宋体" w:cs="宋体"/>
      <w:sz w:val="24"/>
      <w:szCs w:val="20"/>
    </w:rPr>
  </w:style>
  <w:style w:type="paragraph" w:customStyle="1" w:styleId="ParaCharCharCharCharCharCharCharCharCharChar">
    <w:name w:val="默认段落字体 Para Char Char Char Char Char Char Char Char Char Char"/>
    <w:basedOn w:val="a"/>
    <w:autoRedefine/>
    <w:uiPriority w:val="99"/>
    <w:qFormat/>
    <w:rPr>
      <w:rFonts w:cs="Times New Roman"/>
      <w:szCs w:val="24"/>
    </w:rPr>
  </w:style>
  <w:style w:type="paragraph" w:customStyle="1" w:styleId="afffffffffffffffffffffe">
    <w:name w:val="正文+加粗"/>
    <w:basedOn w:val="a"/>
    <w:autoRedefine/>
    <w:uiPriority w:val="99"/>
    <w:qFormat/>
    <w:pPr>
      <w:spacing w:line="500" w:lineRule="exact"/>
    </w:pPr>
    <w:rPr>
      <w:rFonts w:cs="Times New Roman"/>
      <w:b/>
      <w:sz w:val="24"/>
      <w:szCs w:val="24"/>
    </w:rPr>
  </w:style>
  <w:style w:type="paragraph" w:customStyle="1" w:styleId="2223">
    <w:name w:val="样式 标题 2 + 首行缩进:  2 字符 + 首行缩进:  2 字符"/>
    <w:basedOn w:val="224"/>
    <w:autoRedefine/>
    <w:uiPriority w:val="99"/>
    <w:qFormat/>
    <w:pPr>
      <w:ind w:firstLineChars="0" w:firstLine="0"/>
    </w:pPr>
    <w:rPr>
      <w:bCs w:val="0"/>
    </w:rPr>
  </w:style>
  <w:style w:type="paragraph" w:customStyle="1" w:styleId="224">
    <w:name w:val="标题 2 + 首行缩进:  2 字符"/>
    <w:basedOn w:val="20"/>
    <w:autoRedefine/>
    <w:uiPriority w:val="99"/>
    <w:qFormat/>
    <w:pPr>
      <w:numPr>
        <w:ilvl w:val="0"/>
        <w:numId w:val="0"/>
      </w:numPr>
      <w:spacing w:beforeLines="0" w:before="0" w:afterLines="0" w:after="0" w:line="300" w:lineRule="auto"/>
      <w:ind w:firstLineChars="200" w:firstLine="200"/>
      <w:jc w:val="center"/>
    </w:pPr>
    <w:rPr>
      <w:rFonts w:ascii="Arial" w:eastAsia="黑体" w:hAnsi="Arial" w:cs="宋体"/>
      <w:b w:val="0"/>
      <w:sz w:val="30"/>
      <w:szCs w:val="20"/>
    </w:rPr>
  </w:style>
  <w:style w:type="paragraph" w:customStyle="1" w:styleId="1fffff0">
    <w:name w:val="样式 标题 1"/>
    <w:basedOn w:val="1"/>
    <w:autoRedefine/>
    <w:uiPriority w:val="99"/>
    <w:semiHidden/>
    <w:qFormat/>
    <w:pPr>
      <w:numPr>
        <w:numId w:val="0"/>
      </w:numPr>
      <w:tabs>
        <w:tab w:val="left" w:pos="360"/>
      </w:tabs>
      <w:adjustRightInd w:val="0"/>
      <w:spacing w:line="240" w:lineRule="auto"/>
      <w:ind w:left="170" w:hanging="170"/>
      <w:jc w:val="left"/>
      <w:textAlignment w:val="baseline"/>
    </w:pPr>
    <w:rPr>
      <w:rFonts w:eastAsia="楷体" w:cs="Times New Roman"/>
      <w:spacing w:val="-12"/>
      <w:sz w:val="44"/>
      <w:szCs w:val="36"/>
    </w:rPr>
  </w:style>
  <w:style w:type="paragraph" w:customStyle="1" w:styleId="affffffffffffffffffffff">
    <w:name w:val="黑体"/>
    <w:basedOn w:val="a"/>
    <w:next w:val="a"/>
    <w:autoRedefine/>
    <w:uiPriority w:val="99"/>
    <w:qFormat/>
    <w:pPr>
      <w:tabs>
        <w:tab w:val="left" w:pos="6660"/>
      </w:tabs>
      <w:spacing w:line="420" w:lineRule="exact"/>
      <w:ind w:firstLineChars="200" w:firstLine="480"/>
    </w:pPr>
    <w:rPr>
      <w:rFonts w:cs="Times New Roman"/>
      <w:sz w:val="24"/>
      <w:szCs w:val="24"/>
    </w:rPr>
  </w:style>
  <w:style w:type="paragraph" w:customStyle="1" w:styleId="Charfffffc">
    <w:name w:val="段落 Char"/>
    <w:basedOn w:val="a"/>
    <w:autoRedefine/>
    <w:uiPriority w:val="99"/>
    <w:qFormat/>
    <w:pPr>
      <w:topLinePunct/>
      <w:snapToGrid w:val="0"/>
      <w:spacing w:line="360" w:lineRule="auto"/>
      <w:ind w:firstLineChars="200" w:firstLine="200"/>
    </w:pPr>
    <w:rPr>
      <w:rFonts w:cs="Times New Roman"/>
      <w:sz w:val="24"/>
      <w:szCs w:val="24"/>
    </w:rPr>
  </w:style>
  <w:style w:type="paragraph" w:customStyle="1" w:styleId="2fffd">
    <w:name w:val="样式 表文 + 左  2 字符"/>
    <w:basedOn w:val="afffffffff9"/>
    <w:autoRedefine/>
    <w:uiPriority w:val="99"/>
    <w:qFormat/>
    <w:pPr>
      <w:overflowPunct/>
      <w:topLinePunct w:val="0"/>
      <w:adjustRightInd w:val="0"/>
      <w:spacing w:line="360" w:lineRule="auto"/>
      <w:ind w:left="482"/>
      <w:jc w:val="both"/>
      <w:outlineLvl w:val="9"/>
    </w:pPr>
    <w:rPr>
      <w:rFonts w:ascii="Times New Roman" w:hAnsi="Times New Roman"/>
      <w:sz w:val="24"/>
      <w:szCs w:val="24"/>
    </w:rPr>
  </w:style>
  <w:style w:type="paragraph" w:customStyle="1" w:styleId="1fffff1">
    <w:name w:val="样式1正文"/>
    <w:basedOn w:val="a"/>
    <w:autoRedefine/>
    <w:uiPriority w:val="99"/>
    <w:qFormat/>
    <w:pPr>
      <w:spacing w:line="640" w:lineRule="exact"/>
      <w:ind w:firstLineChars="200" w:firstLine="520"/>
    </w:pPr>
    <w:rPr>
      <w:rFonts w:ascii="宋体" w:hAnsi="宋体" w:cs="Times New Roman"/>
      <w:spacing w:val="-10"/>
      <w:kern w:val="0"/>
      <w:sz w:val="28"/>
      <w:szCs w:val="20"/>
      <w:lang w:val="en-GB"/>
    </w:rPr>
  </w:style>
  <w:style w:type="paragraph" w:customStyle="1" w:styleId="CharCharCharCharCharCharCharChar1CharCharCharChar">
    <w:name w:val="Char Char Char Char Char Char Char Char1 Char Char Char Char"/>
    <w:basedOn w:val="a"/>
    <w:autoRedefine/>
    <w:uiPriority w:val="99"/>
    <w:qFormat/>
    <w:rPr>
      <w:rFonts w:cs="Times New Roman"/>
      <w:szCs w:val="24"/>
    </w:rPr>
  </w:style>
  <w:style w:type="paragraph" w:customStyle="1" w:styleId="2fffe">
    <w:name w:val="样式 表文 + 首行缩进:  2 字符"/>
    <w:basedOn w:val="a"/>
    <w:autoRedefine/>
    <w:uiPriority w:val="99"/>
    <w:qFormat/>
    <w:pPr>
      <w:tabs>
        <w:tab w:val="left" w:pos="662"/>
      </w:tabs>
      <w:overflowPunct w:val="0"/>
      <w:jc w:val="center"/>
      <w:textAlignment w:val="baseline"/>
    </w:pPr>
    <w:rPr>
      <w:rFonts w:cs="Times New Roman"/>
      <w:color w:val="000000"/>
      <w:szCs w:val="20"/>
    </w:rPr>
  </w:style>
  <w:style w:type="paragraph" w:customStyle="1" w:styleId="8-05-05">
    <w:name w:val="样式 样式8 + 左  -0.5 字符 右  -0.5 字符"/>
    <w:basedOn w:val="87"/>
    <w:autoRedefine/>
    <w:uiPriority w:val="99"/>
    <w:qFormat/>
    <w:rPr>
      <w:szCs w:val="21"/>
    </w:rPr>
  </w:style>
  <w:style w:type="paragraph" w:customStyle="1" w:styleId="cg">
    <w:name w:val="cg"/>
    <w:basedOn w:val="a"/>
    <w:autoRedefine/>
    <w:uiPriority w:val="99"/>
    <w:qFormat/>
    <w:pPr>
      <w:keepLines/>
      <w:widowControl/>
      <w:spacing w:before="80" w:after="80"/>
      <w:jc w:val="left"/>
    </w:pPr>
    <w:rPr>
      <w:rFonts w:ascii="Arial Narrow" w:hAnsi="Arial Narrow" w:cs="Arial"/>
      <w:kern w:val="0"/>
      <w:sz w:val="16"/>
      <w:szCs w:val="20"/>
      <w:lang w:val="fr-FR" w:eastAsia="fr-FR"/>
    </w:rPr>
  </w:style>
  <w:style w:type="paragraph" w:customStyle="1" w:styleId="1520">
    <w:name w:val="样式 (中文) 华文中宋 (符号) 华文中宋 行距: 1.5 倍行距 首行缩进:  2 字符"/>
    <w:basedOn w:val="a"/>
    <w:autoRedefine/>
    <w:uiPriority w:val="99"/>
    <w:qFormat/>
    <w:pPr>
      <w:adjustRightInd w:val="0"/>
      <w:snapToGrid w:val="0"/>
      <w:spacing w:beforeLines="25" w:afterLines="25" w:line="360" w:lineRule="auto"/>
      <w:ind w:firstLineChars="200" w:firstLine="200"/>
      <w:jc w:val="left"/>
    </w:pPr>
    <w:rPr>
      <w:rFonts w:ascii="Arial" w:eastAsia="仿宋_GB2312" w:hAnsi="Arial" w:cs="宋体"/>
      <w:sz w:val="28"/>
      <w:szCs w:val="28"/>
    </w:rPr>
  </w:style>
  <w:style w:type="paragraph" w:customStyle="1" w:styleId="haydonli2">
    <w:name w:val="样式 haydonli + 首行缩进:  2 字符"/>
    <w:basedOn w:val="a"/>
    <w:autoRedefine/>
    <w:uiPriority w:val="99"/>
    <w:qFormat/>
    <w:pPr>
      <w:adjustRightInd w:val="0"/>
      <w:snapToGrid w:val="0"/>
      <w:spacing w:line="400" w:lineRule="exact"/>
      <w:ind w:firstLine="420"/>
    </w:pPr>
    <w:rPr>
      <w:rFonts w:ascii="宋体" w:hAnsi="宋体" w:cs="宋体"/>
      <w:kern w:val="0"/>
      <w:sz w:val="24"/>
      <w:szCs w:val="24"/>
    </w:rPr>
  </w:style>
  <w:style w:type="paragraph" w:customStyle="1" w:styleId="CharCharCharCharCharCharCharCharCharCharCharCharCharCharCharCharCharCharChar0">
    <w:name w:val="Char Char Char Char Char Char Char Char Char Char Char Char Char Char Char Char Char Char Char"/>
    <w:basedOn w:val="a"/>
    <w:autoRedefine/>
    <w:uiPriority w:val="99"/>
    <w:qFormat/>
    <w:pPr>
      <w:spacing w:line="360" w:lineRule="auto"/>
      <w:ind w:firstLineChars="200" w:firstLine="200"/>
    </w:pPr>
    <w:rPr>
      <w:rFonts w:ascii="宋体" w:hAnsi="宋体" w:cs="宋体"/>
      <w:sz w:val="24"/>
      <w:szCs w:val="24"/>
    </w:rPr>
  </w:style>
  <w:style w:type="paragraph" w:customStyle="1" w:styleId="1fffff2">
    <w:name w:val="序号（1）"/>
    <w:basedOn w:val="a"/>
    <w:autoRedefine/>
    <w:uiPriority w:val="99"/>
    <w:qFormat/>
    <w:pPr>
      <w:tabs>
        <w:tab w:val="left" w:pos="0"/>
        <w:tab w:val="left" w:pos="360"/>
      </w:tabs>
      <w:adjustRightInd w:val="0"/>
      <w:snapToGrid w:val="0"/>
      <w:spacing w:line="360" w:lineRule="auto"/>
    </w:pPr>
    <w:rPr>
      <w:rFonts w:cs="Times New Roman"/>
      <w:sz w:val="28"/>
      <w:szCs w:val="24"/>
    </w:rPr>
  </w:style>
  <w:style w:type="paragraph" w:customStyle="1" w:styleId="affffffffffffffffffffff0">
    <w:name w:val="可研正文"/>
    <w:basedOn w:val="a"/>
    <w:autoRedefine/>
    <w:uiPriority w:val="99"/>
    <w:qFormat/>
    <w:pPr>
      <w:spacing w:line="360" w:lineRule="auto"/>
      <w:ind w:firstLineChars="200" w:firstLine="560"/>
    </w:pPr>
    <w:rPr>
      <w:rFonts w:ascii="宋体" w:hAnsi="宋体" w:cs="宋体"/>
      <w:sz w:val="28"/>
      <w:szCs w:val="20"/>
    </w:rPr>
  </w:style>
  <w:style w:type="paragraph" w:customStyle="1" w:styleId="affffffffffffffffffffff1">
    <w:name w:val="五级标题"/>
    <w:basedOn w:val="a"/>
    <w:autoRedefine/>
    <w:uiPriority w:val="99"/>
    <w:qFormat/>
    <w:pPr>
      <w:spacing w:before="156" w:after="156"/>
    </w:pPr>
    <w:rPr>
      <w:rFonts w:cs="Times New Roman"/>
      <w:sz w:val="28"/>
      <w:szCs w:val="20"/>
    </w:rPr>
  </w:style>
  <w:style w:type="paragraph" w:customStyle="1" w:styleId="200">
    <w:name w:val="样式 正文（首行缩进两字） + 行距: 固定值 20 磅"/>
    <w:basedOn w:val="af2"/>
    <w:autoRedefine/>
    <w:uiPriority w:val="99"/>
    <w:qFormat/>
    <w:pPr>
      <w:spacing w:afterLines="20" w:line="400" w:lineRule="exact"/>
      <w:ind w:firstLineChars="200" w:firstLine="480"/>
    </w:pPr>
    <w:rPr>
      <w:rFonts w:ascii="Times New Roman"/>
    </w:rPr>
  </w:style>
  <w:style w:type="paragraph" w:customStyle="1" w:styleId="4f5">
    <w:name w:val="第4级标题"/>
    <w:basedOn w:val="4"/>
    <w:next w:val="afffffffffffffffffb"/>
    <w:autoRedefine/>
    <w:uiPriority w:val="99"/>
    <w:qFormat/>
    <w:pPr>
      <w:numPr>
        <w:ilvl w:val="0"/>
        <w:numId w:val="0"/>
      </w:numPr>
      <w:tabs>
        <w:tab w:val="left" w:pos="864"/>
      </w:tabs>
      <w:spacing w:before="100" w:beforeAutospacing="1" w:after="100" w:afterAutospacing="1" w:line="460" w:lineRule="exact"/>
      <w:ind w:left="864" w:hanging="864"/>
    </w:pPr>
    <w:rPr>
      <w:rFonts w:eastAsia="华文中宋" w:cs="Times New Roman"/>
      <w:sz w:val="28"/>
    </w:rPr>
  </w:style>
  <w:style w:type="paragraph" w:customStyle="1" w:styleId="Char1CharCharCharCharCharChar">
    <w:name w:val="Char1 Char Char Char Char Char Char"/>
    <w:basedOn w:val="a"/>
    <w:autoRedefine/>
    <w:uiPriority w:val="99"/>
    <w:qFormat/>
    <w:rPr>
      <w:rFonts w:cs="Times New Roman"/>
      <w:szCs w:val="24"/>
    </w:rPr>
  </w:style>
  <w:style w:type="paragraph" w:customStyle="1" w:styleId="Char60">
    <w:name w:val="Char6"/>
    <w:basedOn w:val="a"/>
    <w:autoRedefine/>
    <w:uiPriority w:val="99"/>
    <w:qFormat/>
    <w:pPr>
      <w:spacing w:line="360" w:lineRule="auto"/>
      <w:ind w:firstLineChars="200" w:firstLine="200"/>
      <w:jc w:val="left"/>
    </w:pPr>
    <w:rPr>
      <w:rFonts w:cs="Times New Roman"/>
      <w:sz w:val="24"/>
      <w:szCs w:val="20"/>
    </w:rPr>
  </w:style>
  <w:style w:type="paragraph" w:customStyle="1" w:styleId="2163">
    <w:name w:val="样式 标题 2 + 段后: 16.3 磅"/>
    <w:basedOn w:val="20"/>
    <w:autoRedefine/>
    <w:uiPriority w:val="99"/>
    <w:qFormat/>
    <w:pPr>
      <w:numPr>
        <w:ilvl w:val="0"/>
        <w:numId w:val="0"/>
      </w:numPr>
      <w:spacing w:beforeLines="0" w:before="0" w:afterLines="0" w:after="0" w:line="312" w:lineRule="auto"/>
      <w:jc w:val="left"/>
    </w:pPr>
    <w:rPr>
      <w:rFonts w:eastAsia="黑体" w:cs="宋体"/>
      <w:sz w:val="24"/>
      <w:szCs w:val="20"/>
    </w:rPr>
  </w:style>
  <w:style w:type="paragraph" w:customStyle="1" w:styleId="305052">
    <w:name w:val="样式 标题 3 + 段前: 0.5 行 段后: 0.5 行2"/>
    <w:basedOn w:val="3"/>
    <w:autoRedefine/>
    <w:uiPriority w:val="99"/>
    <w:qFormat/>
    <w:pPr>
      <w:numPr>
        <w:ilvl w:val="0"/>
        <w:numId w:val="0"/>
      </w:numPr>
      <w:tabs>
        <w:tab w:val="left" w:pos="-441"/>
        <w:tab w:val="left" w:pos="720"/>
        <w:tab w:val="left" w:pos="1260"/>
        <w:tab w:val="left" w:pos="1931"/>
      </w:tabs>
      <w:adjustRightInd/>
      <w:snapToGrid/>
      <w:ind w:left="720" w:hanging="432"/>
      <w:jc w:val="both"/>
    </w:pPr>
    <w:rPr>
      <w:rFonts w:cs="Times New Roman"/>
      <w:sz w:val="26"/>
    </w:rPr>
  </w:style>
  <w:style w:type="paragraph" w:customStyle="1" w:styleId="225">
    <w:name w:val="样式 样式 正文首行缩进 + 首行缩进:  2 字符 + 首行缩进:  2 字符"/>
    <w:basedOn w:val="a"/>
    <w:autoRedefine/>
    <w:uiPriority w:val="99"/>
    <w:qFormat/>
    <w:pPr>
      <w:topLinePunct/>
      <w:adjustRightInd w:val="0"/>
      <w:snapToGrid w:val="0"/>
      <w:spacing w:line="360" w:lineRule="auto"/>
      <w:ind w:firstLine="480"/>
      <w:textAlignment w:val="baseline"/>
    </w:pPr>
    <w:rPr>
      <w:rFonts w:eastAsia="Times New Roman" w:hAnsi="宋体" w:cs="Times New Roman"/>
      <w:kern w:val="0"/>
      <w:sz w:val="24"/>
      <w:szCs w:val="20"/>
    </w:rPr>
  </w:style>
  <w:style w:type="paragraph" w:customStyle="1" w:styleId="17CharChar">
    <w:name w:val="样式17 Char Char"/>
    <w:basedOn w:val="a"/>
    <w:autoRedefine/>
    <w:uiPriority w:val="99"/>
    <w:qFormat/>
    <w:pPr>
      <w:ind w:firstLineChars="200" w:firstLine="480"/>
    </w:pPr>
    <w:rPr>
      <w:rFonts w:eastAsia="华文中宋" w:cs="Times New Roman"/>
      <w:sz w:val="24"/>
      <w:szCs w:val="24"/>
    </w:rPr>
  </w:style>
  <w:style w:type="paragraph" w:customStyle="1" w:styleId="305050">
    <w:name w:val="样式 标题3 + 段前: 0.5 行 段后: 0.5 行"/>
    <w:basedOn w:val="a"/>
    <w:autoRedefine/>
    <w:uiPriority w:val="99"/>
    <w:qFormat/>
    <w:pPr>
      <w:tabs>
        <w:tab w:val="left" w:pos="0"/>
      </w:tabs>
      <w:overflowPunct w:val="0"/>
      <w:topLinePunct/>
      <w:spacing w:line="360" w:lineRule="auto"/>
      <w:outlineLvl w:val="2"/>
    </w:pPr>
    <w:rPr>
      <w:rFonts w:eastAsia="黑体" w:cs="宋体"/>
      <w:b/>
      <w:bCs/>
      <w:kern w:val="10"/>
      <w:sz w:val="28"/>
      <w:szCs w:val="20"/>
    </w:rPr>
  </w:style>
  <w:style w:type="paragraph" w:customStyle="1" w:styleId="226">
    <w:name w:val="样式 标题 2 + 首行缩进:  2 字符"/>
    <w:basedOn w:val="20"/>
    <w:autoRedefine/>
    <w:uiPriority w:val="99"/>
    <w:qFormat/>
    <w:pPr>
      <w:numPr>
        <w:ilvl w:val="0"/>
        <w:numId w:val="0"/>
      </w:numPr>
      <w:spacing w:beforeLines="0" w:before="0" w:afterLines="0" w:after="0" w:line="300" w:lineRule="auto"/>
    </w:pPr>
    <w:rPr>
      <w:rFonts w:ascii="Arial" w:eastAsia="黑体" w:hAnsi="Arial" w:cs="宋体"/>
      <w:b w:val="0"/>
      <w:sz w:val="30"/>
      <w:szCs w:val="20"/>
    </w:rPr>
  </w:style>
  <w:style w:type="paragraph" w:customStyle="1" w:styleId="96">
    <w:name w:val="9点"/>
    <w:basedOn w:val="a"/>
    <w:autoRedefine/>
    <w:uiPriority w:val="99"/>
    <w:qFormat/>
    <w:pPr>
      <w:jc w:val="center"/>
    </w:pPr>
    <w:rPr>
      <w:rFonts w:cs="Times New Roman"/>
      <w:szCs w:val="24"/>
    </w:rPr>
  </w:style>
  <w:style w:type="paragraph" w:customStyle="1" w:styleId="-41">
    <w:name w:val="标-4"/>
    <w:basedOn w:val="a"/>
    <w:autoRedefine/>
    <w:uiPriority w:val="99"/>
    <w:qFormat/>
    <w:pPr>
      <w:spacing w:before="120" w:line="360" w:lineRule="auto"/>
      <w:ind w:left="851" w:firstLineChars="200" w:hanging="851"/>
      <w:jc w:val="left"/>
    </w:pPr>
    <w:rPr>
      <w:rFonts w:cs="Times New Roman"/>
      <w:sz w:val="24"/>
      <w:szCs w:val="20"/>
    </w:rPr>
  </w:style>
  <w:style w:type="paragraph" w:customStyle="1" w:styleId="1fffff3">
    <w:name w:val="第1级标题"/>
    <w:basedOn w:val="1"/>
    <w:next w:val="afffffffffffffffffb"/>
    <w:autoRedefine/>
    <w:uiPriority w:val="99"/>
    <w:qFormat/>
    <w:pPr>
      <w:numPr>
        <w:numId w:val="0"/>
      </w:numPr>
      <w:spacing w:beforeAutospacing="1" w:afterAutospacing="1" w:line="560" w:lineRule="exact"/>
    </w:pPr>
    <w:rPr>
      <w:rFonts w:eastAsia="华文中宋" w:cs="Times New Roman"/>
      <w:sz w:val="36"/>
      <w:szCs w:val="36"/>
    </w:rPr>
  </w:style>
  <w:style w:type="paragraph" w:customStyle="1" w:styleId="1fffff4">
    <w:name w:val="标1"/>
    <w:basedOn w:val="a"/>
    <w:autoRedefine/>
    <w:uiPriority w:val="99"/>
    <w:qFormat/>
    <w:pPr>
      <w:tabs>
        <w:tab w:val="left" w:pos="839"/>
      </w:tabs>
      <w:adjustRightInd w:val="0"/>
      <w:spacing w:line="288" w:lineRule="auto"/>
      <w:ind w:right="-34"/>
      <w:textAlignment w:val="baseline"/>
    </w:pPr>
    <w:rPr>
      <w:rFonts w:eastAsia="楷体_GB2312" w:cs="Times New Roman"/>
      <w:kern w:val="0"/>
      <w:sz w:val="32"/>
      <w:szCs w:val="20"/>
    </w:rPr>
  </w:style>
  <w:style w:type="paragraph" w:customStyle="1" w:styleId="TimesNewRoman05051">
    <w:name w:val="样式 表名 + Times New Roman 段前: 0.5 行 段后: 0.5 行1"/>
    <w:basedOn w:val="affffff8"/>
    <w:autoRedefine/>
    <w:uiPriority w:val="99"/>
    <w:qFormat/>
    <w:pPr>
      <w:keepNext w:val="0"/>
      <w:overflowPunct w:val="0"/>
      <w:topLinePunct/>
      <w:spacing w:beforeLines="50" w:before="0" w:line="440" w:lineRule="exact"/>
      <w:outlineLvl w:val="4"/>
    </w:pPr>
    <w:rPr>
      <w:rFonts w:cs="宋体"/>
      <w:bCs/>
      <w:sz w:val="24"/>
      <w:szCs w:val="21"/>
    </w:rPr>
  </w:style>
  <w:style w:type="paragraph" w:customStyle="1" w:styleId="1fffff5">
    <w:name w:val="样式 正文1 + 蓝色"/>
    <w:basedOn w:val="a"/>
    <w:autoRedefine/>
    <w:uiPriority w:val="99"/>
    <w:qFormat/>
    <w:pPr>
      <w:adjustRightInd w:val="0"/>
      <w:spacing w:line="360" w:lineRule="auto"/>
      <w:ind w:firstLine="480"/>
      <w:textAlignment w:val="baseline"/>
    </w:pPr>
    <w:rPr>
      <w:rFonts w:ascii="Arial" w:hAnsi="Arial" w:cs="宋体"/>
      <w:kern w:val="0"/>
      <w:sz w:val="24"/>
      <w:szCs w:val="24"/>
    </w:rPr>
  </w:style>
  <w:style w:type="paragraph" w:customStyle="1" w:styleId="2ffff">
    <w:name w:val="表头2"/>
    <w:basedOn w:val="a"/>
    <w:autoRedefine/>
    <w:uiPriority w:val="99"/>
    <w:qFormat/>
    <w:pPr>
      <w:tabs>
        <w:tab w:val="left" w:pos="0"/>
      </w:tabs>
      <w:spacing w:line="0" w:lineRule="atLeast"/>
      <w:jc w:val="center"/>
    </w:pPr>
    <w:rPr>
      <w:rFonts w:eastAsia="黑体" w:cs="Times New Roman"/>
      <w:sz w:val="24"/>
      <w:szCs w:val="24"/>
    </w:rPr>
  </w:style>
  <w:style w:type="paragraph" w:customStyle="1" w:styleId="zhengwen">
    <w:name w:val="zhengwen"/>
    <w:basedOn w:val="a"/>
    <w:autoRedefine/>
    <w:uiPriority w:val="99"/>
    <w:qFormat/>
    <w:pPr>
      <w:tabs>
        <w:tab w:val="left" w:pos="851"/>
      </w:tabs>
      <w:spacing w:before="20" w:after="20" w:line="400" w:lineRule="exact"/>
      <w:ind w:left="851" w:hanging="397"/>
    </w:pPr>
    <w:rPr>
      <w:rFonts w:cs="Times New Roman"/>
      <w:sz w:val="24"/>
      <w:szCs w:val="20"/>
    </w:rPr>
  </w:style>
  <w:style w:type="paragraph" w:customStyle="1" w:styleId="CharCharfd">
    <w:name w:val="段落 Char Char"/>
    <w:basedOn w:val="a"/>
    <w:autoRedefine/>
    <w:uiPriority w:val="99"/>
    <w:qFormat/>
    <w:pPr>
      <w:topLinePunct/>
      <w:snapToGrid w:val="0"/>
      <w:spacing w:line="360" w:lineRule="auto"/>
      <w:ind w:firstLineChars="200" w:firstLine="200"/>
    </w:pPr>
    <w:rPr>
      <w:rFonts w:cs="Times New Roman"/>
      <w:sz w:val="24"/>
      <w:szCs w:val="24"/>
    </w:rPr>
  </w:style>
  <w:style w:type="paragraph" w:customStyle="1" w:styleId="az">
    <w:name w:val="az"/>
    <w:basedOn w:val="a"/>
    <w:autoRedefine/>
    <w:uiPriority w:val="99"/>
    <w:qFormat/>
    <w:pPr>
      <w:ind w:firstLineChars="200" w:firstLine="200"/>
    </w:pPr>
    <w:rPr>
      <w:rFonts w:cs="Times New Roman"/>
      <w:sz w:val="24"/>
      <w:szCs w:val="20"/>
    </w:rPr>
  </w:style>
  <w:style w:type="paragraph" w:customStyle="1" w:styleId="328158153">
    <w:name w:val="样式 标题 3 + 首行缩进:  2 字符 段前: 8.15 磅 段后: 8.15 磅3"/>
    <w:basedOn w:val="3"/>
    <w:autoRedefine/>
    <w:uiPriority w:val="99"/>
    <w:qFormat/>
    <w:pPr>
      <w:numPr>
        <w:ilvl w:val="0"/>
        <w:numId w:val="0"/>
      </w:numPr>
      <w:snapToGrid/>
      <w:spacing w:beforeLines="50" w:afterLines="50" w:line="240" w:lineRule="atLeast"/>
      <w:textAlignment w:val="baseline"/>
    </w:pPr>
    <w:rPr>
      <w:rFonts w:ascii="Arial Unicode MS" w:eastAsia="黑体" w:hAnsi="Arial Unicode MS" w:cs="Times New Roman"/>
      <w:sz w:val="28"/>
      <w:szCs w:val="28"/>
    </w:rPr>
  </w:style>
  <w:style w:type="paragraph" w:customStyle="1" w:styleId="104">
    <w:name w:val="小四宋居中1.0"/>
    <w:basedOn w:val="a"/>
    <w:next w:val="a"/>
    <w:autoRedefine/>
    <w:uiPriority w:val="99"/>
    <w:qFormat/>
    <w:pPr>
      <w:spacing w:line="360" w:lineRule="atLeast"/>
      <w:jc w:val="center"/>
    </w:pPr>
    <w:rPr>
      <w:rFonts w:ascii="仿宋_GB2312" w:eastAsia="仿宋_GB2312" w:hAnsi="宋体" w:cs="Times New Roman" w:hint="eastAsia"/>
      <w:szCs w:val="24"/>
    </w:rPr>
  </w:style>
  <w:style w:type="paragraph" w:customStyle="1" w:styleId="141">
    <w:name w:val="14"/>
    <w:basedOn w:val="a"/>
    <w:autoRedefine/>
    <w:uiPriority w:val="99"/>
    <w:qFormat/>
    <w:pPr>
      <w:adjustRightInd w:val="0"/>
      <w:snapToGrid w:val="0"/>
      <w:spacing w:line="360" w:lineRule="auto"/>
      <w:ind w:firstLineChars="200" w:firstLine="200"/>
    </w:pPr>
    <w:rPr>
      <w:rFonts w:ascii="宋体" w:hAnsi="宋体" w:cs="宋体"/>
      <w:sz w:val="24"/>
      <w:szCs w:val="26"/>
    </w:rPr>
  </w:style>
  <w:style w:type="paragraph" w:customStyle="1" w:styleId="2ffff0">
    <w:name w:val="样式 标题 2 + 四号"/>
    <w:basedOn w:val="20"/>
    <w:autoRedefine/>
    <w:uiPriority w:val="99"/>
    <w:qFormat/>
    <w:pPr>
      <w:numPr>
        <w:ilvl w:val="0"/>
        <w:numId w:val="0"/>
      </w:numPr>
      <w:tabs>
        <w:tab w:val="left" w:pos="-861"/>
        <w:tab w:val="left" w:pos="576"/>
        <w:tab w:val="left" w:pos="840"/>
        <w:tab w:val="left" w:pos="1145"/>
      </w:tabs>
      <w:spacing w:before="0" w:after="0"/>
      <w:ind w:left="576" w:hanging="576"/>
    </w:pPr>
    <w:rPr>
      <w:rFonts w:ascii="Arial" w:eastAsia="黑体" w:hAnsi="Arial" w:cs="Times New Roman"/>
      <w:bCs w:val="0"/>
      <w:szCs w:val="20"/>
    </w:rPr>
  </w:style>
  <w:style w:type="paragraph" w:customStyle="1" w:styleId="affffffffffffffffffffff2">
    <w:name w:val="表题样式"/>
    <w:basedOn w:val="a"/>
    <w:autoRedefine/>
    <w:uiPriority w:val="99"/>
    <w:qFormat/>
    <w:pPr>
      <w:adjustRightInd w:val="0"/>
      <w:snapToGrid w:val="0"/>
      <w:jc w:val="center"/>
    </w:pPr>
    <w:rPr>
      <w:rFonts w:eastAsia="黑体" w:cs="Times New Roman"/>
      <w:sz w:val="24"/>
      <w:szCs w:val="24"/>
    </w:rPr>
  </w:style>
  <w:style w:type="paragraph" w:customStyle="1" w:styleId="2ffff1">
    <w:name w:val="样式 德胜正文 + 首行缩进:  2 字符"/>
    <w:basedOn w:val="a"/>
    <w:autoRedefine/>
    <w:uiPriority w:val="99"/>
    <w:qFormat/>
    <w:pPr>
      <w:adjustRightInd w:val="0"/>
      <w:snapToGrid w:val="0"/>
      <w:spacing w:line="360" w:lineRule="auto"/>
      <w:ind w:firstLineChars="200" w:firstLine="200"/>
    </w:pPr>
    <w:rPr>
      <w:rFonts w:cs="宋体"/>
      <w:snapToGrid w:val="0"/>
      <w:color w:val="0000FF"/>
      <w:kern w:val="0"/>
      <w:sz w:val="24"/>
      <w:szCs w:val="24"/>
    </w:rPr>
  </w:style>
  <w:style w:type="paragraph" w:customStyle="1" w:styleId="affffffffffffffffffffff3">
    <w:name w:val="南大梁章标题"/>
    <w:basedOn w:val="a"/>
    <w:autoRedefine/>
    <w:uiPriority w:val="99"/>
    <w:qFormat/>
    <w:pPr>
      <w:spacing w:before="312" w:after="312"/>
      <w:jc w:val="center"/>
    </w:pPr>
    <w:rPr>
      <w:rFonts w:ascii="黑体" w:eastAsia="黑体" w:cs="Times New Roman"/>
      <w:b/>
      <w:sz w:val="36"/>
      <w:szCs w:val="36"/>
    </w:rPr>
  </w:style>
  <w:style w:type="paragraph" w:customStyle="1" w:styleId="1-wd2205">
    <w:name w:val="样式 样式 (1)小标题-wd + 首行缩进:  2 字符 + 首行缩进:  2 字符 段后: 0.5 行"/>
    <w:basedOn w:val="a"/>
    <w:autoRedefine/>
    <w:uiPriority w:val="99"/>
    <w:qFormat/>
    <w:pPr>
      <w:spacing w:line="360" w:lineRule="auto"/>
      <w:ind w:firstLineChars="200" w:firstLine="480"/>
    </w:pPr>
    <w:rPr>
      <w:rFonts w:hAnsi="宋体" w:cs="Times New Roman"/>
      <w:bCs/>
      <w:color w:val="000000"/>
      <w:sz w:val="24"/>
      <w:szCs w:val="24"/>
    </w:rPr>
  </w:style>
  <w:style w:type="paragraph" w:customStyle="1" w:styleId="10115">
    <w:name w:val="样式 小三 首行缩进:  1.01 厘米 行距: 1.5 倍行距"/>
    <w:basedOn w:val="a"/>
    <w:next w:val="a"/>
    <w:autoRedefine/>
    <w:uiPriority w:val="99"/>
    <w:qFormat/>
    <w:pPr>
      <w:spacing w:line="360" w:lineRule="auto"/>
      <w:ind w:firstLineChars="200" w:firstLine="480"/>
    </w:pPr>
    <w:rPr>
      <w:rFonts w:cs="宋体"/>
      <w:sz w:val="24"/>
      <w:szCs w:val="20"/>
    </w:rPr>
  </w:style>
  <w:style w:type="paragraph" w:customStyle="1" w:styleId="2225">
    <w:name w:val="样式 目录 2 + 左侧:  2 字符 首行缩进:  2 字符5"/>
    <w:basedOn w:val="28"/>
    <w:autoRedefine/>
    <w:uiPriority w:val="99"/>
    <w:qFormat/>
    <w:pPr>
      <w:tabs>
        <w:tab w:val="left" w:pos="600"/>
        <w:tab w:val="left" w:pos="720"/>
        <w:tab w:val="right" w:leader="dot" w:pos="9061"/>
      </w:tabs>
      <w:adjustRightInd w:val="0"/>
      <w:spacing w:before="120" w:line="240" w:lineRule="auto"/>
      <w:ind w:leftChars="0" w:left="240" w:firstLineChars="200" w:firstLine="420"/>
      <w:jc w:val="left"/>
    </w:pPr>
    <w:rPr>
      <w:rFonts w:ascii="Calibri" w:hAnsi="Calibri" w:cs="宋体"/>
      <w:i/>
      <w:iCs/>
      <w:sz w:val="21"/>
      <w:szCs w:val="21"/>
    </w:rPr>
  </w:style>
  <w:style w:type="paragraph" w:customStyle="1" w:styleId="21e">
    <w:name w:val="标题 21"/>
    <w:basedOn w:val="a"/>
    <w:autoRedefine/>
    <w:uiPriority w:val="99"/>
    <w:qFormat/>
    <w:rPr>
      <w:rFonts w:cs="Times New Roman"/>
      <w:szCs w:val="24"/>
    </w:rPr>
  </w:style>
  <w:style w:type="paragraph" w:customStyle="1" w:styleId="111111111111110">
    <w:name w:val="表格内文字11111111111111"/>
    <w:basedOn w:val="afffffa"/>
    <w:autoRedefine/>
    <w:uiPriority w:val="99"/>
    <w:qFormat/>
    <w:pPr>
      <w:autoSpaceDE/>
      <w:autoSpaceDN/>
      <w:snapToGrid w:val="0"/>
      <w:spacing w:after="120"/>
      <w:jc w:val="center"/>
      <w:textAlignment w:val="bottom"/>
    </w:pPr>
    <w:rPr>
      <w:rFonts w:ascii="Times New Roman" w:hAnsi="宋体"/>
      <w:sz w:val="21"/>
      <w:szCs w:val="24"/>
    </w:rPr>
  </w:style>
  <w:style w:type="paragraph" w:customStyle="1" w:styleId="TimesNewRoman050">
    <w:name w:val="样式 Times New Roman 五号 居中 紧缩量  0.5 磅 行距: 单倍行距 左  0 字符 首行缩进:..."/>
    <w:basedOn w:val="a"/>
    <w:autoRedefine/>
    <w:uiPriority w:val="99"/>
    <w:qFormat/>
    <w:pPr>
      <w:adjustRightInd w:val="0"/>
      <w:snapToGrid w:val="0"/>
      <w:jc w:val="center"/>
    </w:pPr>
    <w:rPr>
      <w:rFonts w:cs="宋体"/>
      <w:szCs w:val="20"/>
    </w:rPr>
  </w:style>
  <w:style w:type="paragraph" w:customStyle="1" w:styleId="affffffffffffffffffffff4">
    <w:name w:val="标题新"/>
    <w:basedOn w:val="a"/>
    <w:autoRedefine/>
    <w:uiPriority w:val="99"/>
    <w:qFormat/>
    <w:pPr>
      <w:adjustRightInd w:val="0"/>
      <w:snapToGrid w:val="0"/>
      <w:spacing w:line="420" w:lineRule="exact"/>
      <w:jc w:val="center"/>
    </w:pPr>
    <w:rPr>
      <w:rFonts w:eastAsia="黑体" w:cs="Times New Roman"/>
      <w:sz w:val="24"/>
      <w:szCs w:val="21"/>
    </w:rPr>
  </w:style>
  <w:style w:type="paragraph" w:customStyle="1" w:styleId="CharCharCharCharCharCharCharCharChar1Char">
    <w:name w:val="Char Char Char Char Char Char Char Char Char1 Char"/>
    <w:basedOn w:val="a"/>
    <w:autoRedefine/>
    <w:uiPriority w:val="99"/>
    <w:qFormat/>
    <w:pPr>
      <w:spacing w:line="360" w:lineRule="auto"/>
      <w:jc w:val="left"/>
    </w:pPr>
    <w:rPr>
      <w:rFonts w:ascii="宋体" w:hAnsi="宋体" w:cs="Courier New"/>
      <w:szCs w:val="32"/>
    </w:rPr>
  </w:style>
  <w:style w:type="paragraph" w:customStyle="1" w:styleId="affffffffffffffffffffff5">
    <w:name w:val="生物拉丁文名"/>
    <w:basedOn w:val="a"/>
    <w:autoRedefine/>
    <w:uiPriority w:val="99"/>
    <w:qFormat/>
    <w:pPr>
      <w:tabs>
        <w:tab w:val="left" w:pos="-120"/>
      </w:tabs>
      <w:overflowPunct w:val="0"/>
      <w:topLinePunct/>
      <w:autoSpaceDE w:val="0"/>
      <w:adjustRightInd w:val="0"/>
      <w:snapToGrid w:val="0"/>
      <w:spacing w:before="60" w:afterLines="50" w:line="240" w:lineRule="atLeast"/>
      <w:ind w:firstLine="454"/>
    </w:pPr>
    <w:rPr>
      <w:rFonts w:cs="Times New Roman"/>
      <w:i/>
      <w:spacing w:val="20"/>
      <w:sz w:val="24"/>
      <w:szCs w:val="20"/>
    </w:rPr>
  </w:style>
  <w:style w:type="paragraph" w:customStyle="1" w:styleId="227">
    <w:name w:val="样式 样式 正文 + 首行缩进:  2 字符 + 首行缩进:  2 字符"/>
    <w:basedOn w:val="a"/>
    <w:autoRedefine/>
    <w:uiPriority w:val="99"/>
    <w:qFormat/>
    <w:pPr>
      <w:spacing w:line="360" w:lineRule="auto"/>
      <w:ind w:firstLineChars="200" w:firstLine="480"/>
    </w:pPr>
    <w:rPr>
      <w:rFonts w:cs="宋体"/>
      <w:sz w:val="24"/>
      <w:szCs w:val="20"/>
    </w:rPr>
  </w:style>
  <w:style w:type="paragraph" w:customStyle="1" w:styleId="GB2312242">
    <w:name w:val="样式 (中文) 仿宋_GB2312 四号 行距: 固定值 24 磅 首行缩进:  2 字符"/>
    <w:basedOn w:val="a"/>
    <w:autoRedefine/>
    <w:uiPriority w:val="99"/>
    <w:qFormat/>
    <w:pPr>
      <w:spacing w:line="480" w:lineRule="exact"/>
      <w:ind w:firstLineChars="200" w:firstLine="560"/>
    </w:pPr>
    <w:rPr>
      <w:rFonts w:eastAsia="仿宋_GB2312" w:cs="Times New Roman"/>
      <w:sz w:val="28"/>
      <w:szCs w:val="20"/>
    </w:rPr>
  </w:style>
  <w:style w:type="paragraph" w:customStyle="1" w:styleId="affffffffffffffffffffff6">
    <w:name w:val="编制依据"/>
    <w:basedOn w:val="af2"/>
    <w:autoRedefine/>
    <w:uiPriority w:val="99"/>
    <w:qFormat/>
    <w:pPr>
      <w:tabs>
        <w:tab w:val="left" w:pos="1304"/>
      </w:tabs>
      <w:spacing w:line="500" w:lineRule="exact"/>
      <w:ind w:left="1304" w:hanging="850"/>
    </w:pPr>
    <w:rPr>
      <w:rFonts w:ascii="Times New Roman"/>
      <w:spacing w:val="-4"/>
      <w:sz w:val="28"/>
    </w:rPr>
  </w:style>
  <w:style w:type="paragraph" w:customStyle="1" w:styleId="Char13CharCharCharCharCharChar">
    <w:name w:val="Char13 Char Char Char Char Char Char"/>
    <w:basedOn w:val="a"/>
    <w:autoRedefine/>
    <w:uiPriority w:val="99"/>
    <w:qFormat/>
    <w:pPr>
      <w:tabs>
        <w:tab w:val="left" w:pos="794"/>
        <w:tab w:val="left" w:pos="1191"/>
        <w:tab w:val="left" w:pos="1588"/>
        <w:tab w:val="left" w:pos="1985"/>
      </w:tabs>
      <w:autoSpaceDE w:val="0"/>
      <w:autoSpaceDN w:val="0"/>
      <w:adjustRightInd w:val="0"/>
      <w:spacing w:before="136"/>
    </w:pPr>
    <w:rPr>
      <w:rFonts w:cs="Times New Roman"/>
      <w:szCs w:val="20"/>
    </w:rPr>
  </w:style>
  <w:style w:type="paragraph" w:customStyle="1" w:styleId="affffffffffffffffffffff7">
    <w:name w:val="第十二章 图件标题"/>
    <w:basedOn w:val="a"/>
    <w:next w:val="a"/>
    <w:autoRedefine/>
    <w:uiPriority w:val="99"/>
    <w:qFormat/>
    <w:pPr>
      <w:tabs>
        <w:tab w:val="left" w:pos="851"/>
      </w:tabs>
      <w:adjustRightInd w:val="0"/>
      <w:snapToGrid w:val="0"/>
      <w:spacing w:line="360" w:lineRule="auto"/>
      <w:ind w:firstLine="480"/>
      <w:jc w:val="center"/>
    </w:pPr>
    <w:rPr>
      <w:rFonts w:eastAsia="黑体" w:cs="Times New Roman"/>
      <w:sz w:val="24"/>
      <w:szCs w:val="24"/>
    </w:rPr>
  </w:style>
  <w:style w:type="paragraph" w:customStyle="1" w:styleId="affffffffffffffffffffff8">
    <w:name w:val="正文最后采用"/>
    <w:basedOn w:val="a"/>
    <w:autoRedefine/>
    <w:uiPriority w:val="99"/>
    <w:qFormat/>
    <w:pPr>
      <w:ind w:firstLineChars="200" w:firstLine="200"/>
    </w:pPr>
    <w:rPr>
      <w:rFonts w:eastAsia="仿宋_GB2312" w:cs="Times New Roman"/>
      <w:sz w:val="28"/>
      <w:szCs w:val="20"/>
    </w:rPr>
  </w:style>
  <w:style w:type="paragraph" w:customStyle="1" w:styleId="affffffffffffffffffffff9">
    <w:name w:val="表格首行"/>
    <w:basedOn w:val="a"/>
    <w:next w:val="a"/>
    <w:autoRedefine/>
    <w:uiPriority w:val="99"/>
    <w:qFormat/>
    <w:pPr>
      <w:adjustRightInd w:val="0"/>
      <w:jc w:val="center"/>
    </w:pPr>
    <w:rPr>
      <w:rFonts w:cs="宋体"/>
      <w:b/>
      <w:szCs w:val="20"/>
    </w:rPr>
  </w:style>
  <w:style w:type="paragraph" w:customStyle="1" w:styleId="zhang">
    <w:name w:val="样式 zhang正文 + (中文) 宋体"/>
    <w:basedOn w:val="a"/>
    <w:autoRedefine/>
    <w:uiPriority w:val="99"/>
    <w:qFormat/>
    <w:pPr>
      <w:autoSpaceDE w:val="0"/>
      <w:autoSpaceDN w:val="0"/>
      <w:adjustRightInd w:val="0"/>
      <w:snapToGrid w:val="0"/>
      <w:spacing w:line="360" w:lineRule="auto"/>
      <w:ind w:firstLine="539"/>
      <w:textAlignment w:val="baseline"/>
    </w:pPr>
    <w:rPr>
      <w:rFonts w:cs="Times New Roman"/>
      <w:color w:val="000000"/>
      <w:kern w:val="0"/>
      <w:sz w:val="24"/>
      <w:szCs w:val="20"/>
    </w:rPr>
  </w:style>
  <w:style w:type="paragraph" w:customStyle="1" w:styleId="CharCharCharCharCharCharCharCharChar1CharCharCharChar2">
    <w:name w:val="Char Char Char Char Char Char Char Char Char1 Char Char Char Char2"/>
    <w:basedOn w:val="a"/>
    <w:autoRedefine/>
    <w:uiPriority w:val="99"/>
    <w:qFormat/>
    <w:rPr>
      <w:rFonts w:cs="Times New Roman"/>
      <w:sz w:val="24"/>
      <w:szCs w:val="24"/>
    </w:rPr>
  </w:style>
  <w:style w:type="paragraph" w:customStyle="1" w:styleId="xl93">
    <w:name w:val="xl93"/>
    <w:basedOn w:val="a"/>
    <w:autoRedefine/>
    <w:uiPriority w:val="99"/>
    <w:qFormat/>
    <w:pPr>
      <w:widowControl/>
      <w:pBdr>
        <w:left w:val="single" w:sz="4" w:space="0" w:color="auto"/>
        <w:bottom w:val="single" w:sz="4" w:space="0" w:color="auto"/>
      </w:pBdr>
      <w:spacing w:before="100" w:beforeAutospacing="1" w:after="100" w:afterAutospacing="1" w:line="360" w:lineRule="auto"/>
      <w:ind w:firstLineChars="200" w:firstLine="200"/>
      <w:jc w:val="left"/>
    </w:pPr>
    <w:rPr>
      <w:rFonts w:ascii="宋体" w:hAnsi="宋体" w:cs="Times New Roman"/>
      <w:kern w:val="0"/>
      <w:sz w:val="24"/>
      <w:szCs w:val="20"/>
    </w:rPr>
  </w:style>
  <w:style w:type="paragraph" w:customStyle="1" w:styleId="ParaCharCharCharCharCharCharCharCharCharCharCharCharChar">
    <w:name w:val="默认段落字体 Para Char Char Char Char Char Char Char Char Char Char Char Char Char"/>
    <w:basedOn w:val="a"/>
    <w:autoRedefine/>
    <w:uiPriority w:val="99"/>
    <w:qFormat/>
    <w:rPr>
      <w:rFonts w:cs="Times New Roman"/>
      <w:szCs w:val="20"/>
    </w:rPr>
  </w:style>
  <w:style w:type="paragraph" w:customStyle="1" w:styleId="affffffffffffffffffffffa">
    <w:name w:val="正文自己"/>
    <w:basedOn w:val="a"/>
    <w:autoRedefine/>
    <w:uiPriority w:val="99"/>
    <w:qFormat/>
    <w:pPr>
      <w:spacing w:line="560" w:lineRule="exact"/>
      <w:ind w:firstLine="629"/>
    </w:pPr>
    <w:rPr>
      <w:rFonts w:cs="Times New Roman"/>
      <w:bCs/>
      <w:sz w:val="28"/>
      <w:szCs w:val="24"/>
    </w:rPr>
  </w:style>
  <w:style w:type="paragraph" w:customStyle="1" w:styleId="1115">
    <w:name w:val="样式 左侧:  1 字符 右侧:  1 字符1"/>
    <w:basedOn w:val="a"/>
    <w:autoRedefine/>
    <w:uiPriority w:val="99"/>
    <w:semiHidden/>
    <w:qFormat/>
    <w:pPr>
      <w:tabs>
        <w:tab w:val="left" w:pos="6660"/>
        <w:tab w:val="left" w:pos="8370"/>
      </w:tabs>
      <w:adjustRightInd w:val="0"/>
      <w:spacing w:line="360" w:lineRule="auto"/>
      <w:ind w:rightChars="-15" w:right="-36" w:firstLineChars="187" w:firstLine="449"/>
    </w:pPr>
    <w:rPr>
      <w:rFonts w:cs="宋体"/>
      <w:color w:val="000000"/>
      <w:sz w:val="24"/>
      <w:szCs w:val="20"/>
    </w:rPr>
  </w:style>
  <w:style w:type="paragraph" w:customStyle="1" w:styleId="131">
    <w:name w:val="13"/>
    <w:basedOn w:val="a"/>
    <w:next w:val="af2"/>
    <w:autoRedefine/>
    <w:uiPriority w:val="99"/>
    <w:qFormat/>
    <w:pPr>
      <w:ind w:firstLine="420"/>
    </w:pPr>
    <w:rPr>
      <w:rFonts w:cs="Times New Roman"/>
      <w:szCs w:val="20"/>
    </w:rPr>
  </w:style>
  <w:style w:type="paragraph" w:customStyle="1" w:styleId="-wd1">
    <w:name w:val="表格内文字（居中）-wd"/>
    <w:basedOn w:val="a"/>
    <w:autoRedefine/>
    <w:uiPriority w:val="99"/>
    <w:qFormat/>
    <w:pPr>
      <w:jc w:val="center"/>
    </w:pPr>
    <w:rPr>
      <w:rFonts w:ascii="宋体" w:hAnsi="宋体" w:cs="Times New Roman"/>
      <w:szCs w:val="21"/>
    </w:rPr>
  </w:style>
  <w:style w:type="paragraph" w:customStyle="1" w:styleId="159">
    <w:name w:val="样式 样式15 + 黑色"/>
    <w:basedOn w:val="a"/>
    <w:autoRedefine/>
    <w:uiPriority w:val="99"/>
    <w:qFormat/>
    <w:pPr>
      <w:ind w:firstLineChars="200" w:firstLine="420"/>
    </w:pPr>
    <w:rPr>
      <w:rFonts w:eastAsia="华文中宋" w:cs="Times New Roman"/>
      <w:color w:val="000000"/>
      <w:kern w:val="0"/>
      <w:szCs w:val="21"/>
    </w:rPr>
  </w:style>
  <w:style w:type="paragraph" w:customStyle="1" w:styleId="Char120">
    <w:name w:val="Char12"/>
    <w:basedOn w:val="a"/>
    <w:autoRedefine/>
    <w:uiPriority w:val="99"/>
    <w:qFormat/>
    <w:rPr>
      <w:rFonts w:cs="Times New Roman"/>
      <w:sz w:val="24"/>
      <w:szCs w:val="24"/>
    </w:rPr>
  </w:style>
  <w:style w:type="paragraph" w:customStyle="1" w:styleId="CharCharCharCharCharCharChar1">
    <w:name w:val="Char Char Char Char Char Char Char1"/>
    <w:basedOn w:val="a"/>
    <w:autoRedefine/>
    <w:uiPriority w:val="99"/>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420">
    <w:name w:val="样式42"/>
    <w:basedOn w:val="a"/>
    <w:autoRedefine/>
    <w:uiPriority w:val="99"/>
    <w:qFormat/>
    <w:pPr>
      <w:spacing w:beforeLines="50" w:afterLines="50"/>
      <w:ind w:firstLineChars="200" w:firstLine="480"/>
    </w:pPr>
    <w:rPr>
      <w:rFonts w:eastAsia="华文中宋" w:cs="Times New Roman"/>
      <w:color w:val="000000"/>
      <w:sz w:val="24"/>
      <w:szCs w:val="24"/>
    </w:rPr>
  </w:style>
  <w:style w:type="paragraph" w:customStyle="1" w:styleId="21f">
    <w:name w:val="样式 正文首行缩进 + 首行缩进:  2 字符1"/>
    <w:basedOn w:val="affff3"/>
    <w:autoRedefine/>
    <w:uiPriority w:val="99"/>
    <w:qFormat/>
    <w:pPr>
      <w:kinsoku/>
      <w:spacing w:after="0" w:line="360" w:lineRule="auto"/>
      <w:ind w:firstLineChars="200" w:firstLine="480"/>
    </w:pPr>
    <w:rPr>
      <w:sz w:val="24"/>
    </w:rPr>
  </w:style>
  <w:style w:type="paragraph" w:customStyle="1" w:styleId="4f6">
    <w:name w:val="样式 样式4 + 黑色"/>
    <w:basedOn w:val="a"/>
    <w:autoRedefine/>
    <w:uiPriority w:val="99"/>
    <w:qFormat/>
    <w:pPr>
      <w:ind w:firstLineChars="200" w:firstLine="480"/>
    </w:pPr>
    <w:rPr>
      <w:rFonts w:eastAsia="华文中宋" w:cs="Times New Roman"/>
      <w:color w:val="000000"/>
      <w:sz w:val="24"/>
      <w:szCs w:val="24"/>
    </w:rPr>
  </w:style>
  <w:style w:type="paragraph" w:customStyle="1" w:styleId="230">
    <w:name w:val="样式 首行缩进:  2 字符3"/>
    <w:basedOn w:val="a"/>
    <w:autoRedefine/>
    <w:uiPriority w:val="99"/>
    <w:qFormat/>
    <w:pPr>
      <w:snapToGrid w:val="0"/>
      <w:spacing w:line="360" w:lineRule="auto"/>
      <w:ind w:firstLineChars="200" w:firstLine="200"/>
    </w:pPr>
    <w:rPr>
      <w:rFonts w:cs="宋体"/>
      <w:sz w:val="24"/>
      <w:szCs w:val="20"/>
    </w:rPr>
  </w:style>
  <w:style w:type="paragraph" w:customStyle="1" w:styleId="xl19">
    <w:name w:val="xl19"/>
    <w:basedOn w:val="a"/>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Char70">
    <w:name w:val="Char7"/>
    <w:basedOn w:val="a"/>
    <w:autoRedefine/>
    <w:uiPriority w:val="99"/>
    <w:qFormat/>
    <w:rPr>
      <w:rFonts w:cs="Times New Roman"/>
      <w:sz w:val="24"/>
      <w:szCs w:val="24"/>
    </w:rPr>
  </w:style>
  <w:style w:type="paragraph" w:customStyle="1" w:styleId="-wd2">
    <w:name w:val="表格内文字(左对齐)-wd"/>
    <w:basedOn w:val="a"/>
    <w:autoRedefine/>
    <w:uiPriority w:val="99"/>
    <w:qFormat/>
    <w:pPr>
      <w:jc w:val="center"/>
    </w:pPr>
    <w:rPr>
      <w:rFonts w:hAnsi="宋体" w:cs="Times New Roman"/>
      <w:color w:val="FF0000"/>
      <w:szCs w:val="21"/>
    </w:rPr>
  </w:style>
  <w:style w:type="paragraph" w:customStyle="1" w:styleId="2ffff2">
    <w:name w:val="样式 标题 2 + 非加粗"/>
    <w:basedOn w:val="20"/>
    <w:autoRedefine/>
    <w:uiPriority w:val="99"/>
    <w:qFormat/>
    <w:pPr>
      <w:numPr>
        <w:ilvl w:val="0"/>
        <w:numId w:val="0"/>
      </w:numPr>
      <w:adjustRightInd w:val="0"/>
      <w:snapToGrid w:val="0"/>
      <w:spacing w:before="0" w:afterLines="0" w:after="0" w:line="312" w:lineRule="auto"/>
      <w:jc w:val="left"/>
    </w:pPr>
    <w:rPr>
      <w:rFonts w:eastAsia="黑体" w:cs="Times New Roman"/>
      <w:sz w:val="24"/>
      <w:szCs w:val="24"/>
    </w:rPr>
  </w:style>
  <w:style w:type="paragraph" w:customStyle="1" w:styleId="affffffffffffffffffffffb">
    <w:name w:val="小五居中"/>
    <w:basedOn w:val="a"/>
    <w:autoRedefine/>
    <w:uiPriority w:val="99"/>
    <w:qFormat/>
    <w:pPr>
      <w:jc w:val="center"/>
    </w:pPr>
    <w:rPr>
      <w:rFonts w:cs="Times New Roman"/>
      <w:sz w:val="18"/>
      <w:szCs w:val="24"/>
    </w:rPr>
  </w:style>
  <w:style w:type="paragraph" w:customStyle="1" w:styleId="-70">
    <w:name w:val="文-7"/>
    <w:basedOn w:val="a"/>
    <w:autoRedefine/>
    <w:uiPriority w:val="99"/>
    <w:qFormat/>
    <w:pPr>
      <w:tabs>
        <w:tab w:val="right" w:leader="dot" w:pos="8789"/>
      </w:tabs>
      <w:spacing w:before="120"/>
      <w:ind w:left="1701" w:firstLine="482"/>
    </w:pPr>
    <w:rPr>
      <w:rFonts w:cs="Times New Roman"/>
      <w:sz w:val="24"/>
      <w:szCs w:val="24"/>
    </w:rPr>
  </w:style>
  <w:style w:type="paragraph" w:customStyle="1" w:styleId="CharCharCharCharCharCharCharCharCharCharCharCharCharCharCharChar">
    <w:name w:val="Char Char Char Char Char Char Char Char Char Char Char Char Char Char Char Char"/>
    <w:basedOn w:val="a"/>
    <w:autoRedefine/>
    <w:uiPriority w:val="99"/>
    <w:qFormat/>
    <w:pPr>
      <w:spacing w:line="360" w:lineRule="auto"/>
      <w:ind w:firstLineChars="200" w:firstLine="200"/>
    </w:pPr>
    <w:rPr>
      <w:rFonts w:ascii="宋体" w:hAnsi="宋体" w:cs="宋体"/>
      <w:sz w:val="24"/>
      <w:szCs w:val="24"/>
    </w:rPr>
  </w:style>
  <w:style w:type="paragraph" w:customStyle="1" w:styleId="affffffffffffffffffffffc">
    <w:name w:val="第九章 图件标题"/>
    <w:basedOn w:val="a"/>
    <w:next w:val="a"/>
    <w:autoRedefine/>
    <w:uiPriority w:val="99"/>
    <w:qFormat/>
    <w:pPr>
      <w:tabs>
        <w:tab w:val="left" w:pos="851"/>
      </w:tabs>
      <w:adjustRightInd w:val="0"/>
      <w:snapToGrid w:val="0"/>
      <w:spacing w:line="360" w:lineRule="auto"/>
      <w:jc w:val="center"/>
    </w:pPr>
    <w:rPr>
      <w:rFonts w:eastAsia="黑体" w:cs="Times New Roman"/>
      <w:sz w:val="24"/>
      <w:szCs w:val="24"/>
    </w:rPr>
  </w:style>
  <w:style w:type="paragraph" w:customStyle="1" w:styleId="1111-2">
    <w:name w:val="南大梁1.1.1.1-2级标题"/>
    <w:basedOn w:val="a"/>
    <w:autoRedefine/>
    <w:uiPriority w:val="99"/>
    <w:qFormat/>
    <w:pPr>
      <w:spacing w:line="360" w:lineRule="auto"/>
      <w:ind w:leftChars="200" w:left="200"/>
    </w:pPr>
    <w:rPr>
      <w:rFonts w:ascii="宋体" w:hAnsi="宋体" w:cs="Times New Roman"/>
      <w:sz w:val="24"/>
      <w:szCs w:val="24"/>
    </w:rPr>
  </w:style>
  <w:style w:type="paragraph" w:customStyle="1" w:styleId="affffffffffffffffffffffd">
    <w:name w:val="表头编号"/>
    <w:basedOn w:val="a"/>
    <w:autoRedefine/>
    <w:uiPriority w:val="99"/>
    <w:qFormat/>
    <w:pPr>
      <w:adjustRightInd w:val="0"/>
      <w:snapToGrid w:val="0"/>
      <w:jc w:val="right"/>
    </w:pPr>
    <w:rPr>
      <w:rFonts w:cs="Times New Roman"/>
      <w:color w:val="000000"/>
      <w:spacing w:val="-2"/>
      <w:kern w:val="0"/>
      <w:szCs w:val="20"/>
    </w:rPr>
  </w:style>
  <w:style w:type="paragraph" w:customStyle="1" w:styleId="3ff5">
    <w:name w:val="正文文本3"/>
    <w:basedOn w:val="5f1"/>
    <w:autoRedefine/>
    <w:uiPriority w:val="99"/>
    <w:qFormat/>
    <w:pPr>
      <w:adjustRightInd/>
      <w:spacing w:after="120" w:line="240" w:lineRule="auto"/>
      <w:jc w:val="both"/>
      <w:textAlignment w:val="auto"/>
    </w:pPr>
    <w:rPr>
      <w:rFonts w:ascii="Times New Roman" w:eastAsia="Times New Roman" w:cs="宋体"/>
      <w:sz w:val="28"/>
      <w:lang w:eastAsia="en-US"/>
    </w:rPr>
  </w:style>
  <w:style w:type="paragraph" w:customStyle="1" w:styleId="ParaCharCharChar1CharCharCharChar">
    <w:name w:val="默认段落字体 Para Char Char Char1 Char Char Char Char"/>
    <w:basedOn w:val="a"/>
    <w:autoRedefine/>
    <w:uiPriority w:val="99"/>
    <w:qFormat/>
    <w:rPr>
      <w:rFonts w:cs="Times New Roman"/>
      <w:sz w:val="24"/>
      <w:szCs w:val="24"/>
    </w:rPr>
  </w:style>
  <w:style w:type="paragraph" w:customStyle="1" w:styleId="11f3">
    <w:name w:val="标题 11"/>
    <w:basedOn w:val="a"/>
    <w:autoRedefine/>
    <w:uiPriority w:val="99"/>
    <w:qFormat/>
    <w:rPr>
      <w:rFonts w:cs="Times New Roman"/>
      <w:szCs w:val="24"/>
    </w:rPr>
  </w:style>
  <w:style w:type="paragraph" w:customStyle="1" w:styleId="char2a">
    <w:name w:val="char2"/>
    <w:basedOn w:val="a"/>
    <w:autoRedefine/>
    <w:uiPriority w:val="99"/>
    <w:qFormat/>
    <w:rPr>
      <w:rFonts w:cs="Times New Roman"/>
      <w:szCs w:val="20"/>
    </w:rPr>
  </w:style>
  <w:style w:type="paragraph" w:customStyle="1" w:styleId="P1">
    <w:name w:val="P"/>
    <w:basedOn w:val="a"/>
    <w:autoRedefine/>
    <w:uiPriority w:val="99"/>
    <w:qFormat/>
    <w:pPr>
      <w:adjustRightInd w:val="0"/>
      <w:spacing w:line="420" w:lineRule="atLeast"/>
      <w:ind w:firstLine="567"/>
      <w:textAlignment w:val="baseline"/>
    </w:pPr>
    <w:rPr>
      <w:rFonts w:ascii="宋体" w:cs="Times New Roman"/>
      <w:spacing w:val="30"/>
      <w:kern w:val="0"/>
      <w:sz w:val="24"/>
      <w:szCs w:val="20"/>
    </w:rPr>
  </w:style>
  <w:style w:type="paragraph" w:customStyle="1" w:styleId="1116">
    <w:name w:val="南大梁1.1.1级标题"/>
    <w:basedOn w:val="a"/>
    <w:autoRedefine/>
    <w:uiPriority w:val="99"/>
    <w:qFormat/>
    <w:pPr>
      <w:spacing w:before="93" w:after="93" w:line="360" w:lineRule="auto"/>
    </w:pPr>
    <w:rPr>
      <w:rFonts w:ascii="黑体" w:eastAsia="黑体" w:hAnsi="宋体" w:cs="Times New Roman"/>
      <w:sz w:val="28"/>
      <w:szCs w:val="28"/>
    </w:rPr>
  </w:style>
  <w:style w:type="paragraph" w:customStyle="1" w:styleId="22210">
    <w:name w:val="样式 目录 2 + 左侧:  2 字符 首行缩进:  2 字符1"/>
    <w:basedOn w:val="28"/>
    <w:autoRedefine/>
    <w:uiPriority w:val="99"/>
    <w:qFormat/>
    <w:pPr>
      <w:tabs>
        <w:tab w:val="left" w:pos="600"/>
        <w:tab w:val="left" w:pos="720"/>
        <w:tab w:val="right" w:leader="dot" w:pos="9061"/>
      </w:tabs>
      <w:adjustRightInd w:val="0"/>
      <w:spacing w:before="120" w:line="240" w:lineRule="auto"/>
      <w:ind w:leftChars="0" w:left="240" w:firstLineChars="200" w:firstLine="480"/>
      <w:jc w:val="left"/>
    </w:pPr>
    <w:rPr>
      <w:rFonts w:ascii="Calibri" w:hAnsi="Calibri" w:cs="宋体"/>
      <w:i/>
      <w:iCs/>
      <w:sz w:val="21"/>
      <w:szCs w:val="20"/>
    </w:rPr>
  </w:style>
  <w:style w:type="paragraph" w:customStyle="1" w:styleId="affffffffffffffffffffffe">
    <w:name w:val="正文 + (西文) 宋体"/>
    <w:basedOn w:val="a"/>
    <w:autoRedefine/>
    <w:uiPriority w:val="99"/>
    <w:qFormat/>
    <w:pPr>
      <w:tabs>
        <w:tab w:val="left" w:pos="405"/>
      </w:tabs>
      <w:spacing w:line="360" w:lineRule="auto"/>
      <w:ind w:left="405" w:firstLine="510"/>
    </w:pPr>
    <w:rPr>
      <w:rFonts w:ascii="宋体" w:eastAsia="仿宋_GB2312" w:hAnsi="宋体" w:cs="Times New Roman"/>
      <w:sz w:val="24"/>
      <w:szCs w:val="24"/>
    </w:rPr>
  </w:style>
  <w:style w:type="paragraph" w:customStyle="1" w:styleId="4f7">
    <w:name w:val="样式 样式 样式4 + 黑色 + 自动设置"/>
    <w:basedOn w:val="4f6"/>
    <w:autoRedefine/>
    <w:uiPriority w:val="99"/>
    <w:qFormat/>
    <w:rPr>
      <w:color w:val="auto"/>
    </w:rPr>
  </w:style>
  <w:style w:type="paragraph" w:customStyle="1" w:styleId="228">
    <w:name w:val="样式22"/>
    <w:basedOn w:val="a"/>
    <w:autoRedefine/>
    <w:uiPriority w:val="99"/>
    <w:qFormat/>
    <w:pPr>
      <w:spacing w:line="480" w:lineRule="exact"/>
      <w:ind w:firstLineChars="200" w:firstLine="200"/>
    </w:pPr>
    <w:rPr>
      <w:rFonts w:cs="Times New Roman"/>
      <w:sz w:val="24"/>
      <w:szCs w:val="24"/>
    </w:rPr>
  </w:style>
  <w:style w:type="paragraph" w:customStyle="1" w:styleId="afffffffffffffffffffffff">
    <w:name w:val="表格体"/>
    <w:basedOn w:val="a"/>
    <w:autoRedefine/>
    <w:uiPriority w:val="99"/>
    <w:qFormat/>
    <w:pPr>
      <w:tabs>
        <w:tab w:val="left" w:pos="2268"/>
      </w:tabs>
      <w:adjustRightInd w:val="0"/>
      <w:snapToGrid w:val="0"/>
      <w:ind w:firstLineChars="200" w:firstLine="200"/>
      <w:jc w:val="center"/>
    </w:pPr>
    <w:rPr>
      <w:rFonts w:cs="Times New Roman"/>
      <w:color w:val="000000"/>
      <w:spacing w:val="-4"/>
      <w:kern w:val="0"/>
      <w:sz w:val="24"/>
      <w:szCs w:val="20"/>
    </w:rPr>
  </w:style>
  <w:style w:type="paragraph" w:customStyle="1" w:styleId="17CharCharChar">
    <w:name w:val="样式17 Char Char Char"/>
    <w:basedOn w:val="a"/>
    <w:autoRedefine/>
    <w:uiPriority w:val="99"/>
    <w:qFormat/>
    <w:pPr>
      <w:ind w:firstLineChars="200" w:firstLine="480"/>
    </w:pPr>
    <w:rPr>
      <w:rFonts w:eastAsia="华文中宋" w:cs="Times New Roman"/>
      <w:sz w:val="24"/>
      <w:szCs w:val="24"/>
    </w:rPr>
  </w:style>
  <w:style w:type="paragraph" w:customStyle="1" w:styleId="1CharCharCharCharCharCharCharCharCharChar">
    <w:name w:val="1 Char Char Char Char Char Char Char Char Char Char"/>
    <w:basedOn w:val="a"/>
    <w:autoRedefine/>
    <w:uiPriority w:val="99"/>
    <w:qFormat/>
    <w:pPr>
      <w:spacing w:line="360" w:lineRule="auto"/>
      <w:ind w:firstLineChars="200" w:firstLine="200"/>
      <w:jc w:val="left"/>
    </w:pPr>
    <w:rPr>
      <w:rFonts w:cs="Times New Roman"/>
      <w:sz w:val="24"/>
      <w:szCs w:val="20"/>
    </w:rPr>
  </w:style>
  <w:style w:type="paragraph" w:customStyle="1" w:styleId="afffffffffffffffffffffff0">
    <w:name w:val="第六章 图件标题"/>
    <w:basedOn w:val="a"/>
    <w:next w:val="a"/>
    <w:autoRedefine/>
    <w:uiPriority w:val="99"/>
    <w:qFormat/>
    <w:pPr>
      <w:tabs>
        <w:tab w:val="left" w:pos="851"/>
      </w:tabs>
      <w:adjustRightInd w:val="0"/>
      <w:snapToGrid w:val="0"/>
      <w:spacing w:line="360" w:lineRule="auto"/>
      <w:jc w:val="center"/>
    </w:pPr>
    <w:rPr>
      <w:rFonts w:eastAsia="黑体" w:cs="Times New Roman"/>
      <w:sz w:val="24"/>
      <w:szCs w:val="24"/>
    </w:rPr>
  </w:style>
  <w:style w:type="paragraph" w:customStyle="1" w:styleId="Char1CharCharCharCharCharChar1">
    <w:name w:val="Char1 Char Char Char Char Char Char1"/>
    <w:basedOn w:val="a"/>
    <w:autoRedefine/>
    <w:uiPriority w:val="99"/>
    <w:qFormat/>
    <w:rPr>
      <w:rFonts w:cs="Times New Roman"/>
      <w:szCs w:val="24"/>
    </w:rPr>
  </w:style>
  <w:style w:type="paragraph" w:customStyle="1" w:styleId="32815815">
    <w:name w:val="样式 标题 3 + 首行缩进:  2 字符 段前: 8.15 磅 段后: 8.15 磅"/>
    <w:basedOn w:val="3"/>
    <w:autoRedefine/>
    <w:uiPriority w:val="99"/>
    <w:qFormat/>
    <w:pPr>
      <w:numPr>
        <w:ilvl w:val="0"/>
        <w:numId w:val="0"/>
      </w:numPr>
      <w:snapToGrid/>
      <w:spacing w:beforeLines="100" w:afterLines="50" w:line="0" w:lineRule="atLeast"/>
      <w:ind w:firstLineChars="200" w:firstLine="482"/>
      <w:textAlignment w:val="baseline"/>
    </w:pPr>
    <w:rPr>
      <w:rFonts w:ascii="Arial Unicode MS" w:eastAsia="黑体" w:hAnsi="Arial Unicode MS" w:cs="宋体"/>
      <w:sz w:val="28"/>
      <w:szCs w:val="20"/>
    </w:rPr>
  </w:style>
  <w:style w:type="paragraph" w:customStyle="1" w:styleId="1250">
    <w:name w:val="样式 [正文格式] + 12.5 磅"/>
    <w:basedOn w:val="afffffffffffffffffb"/>
    <w:next w:val="a"/>
    <w:autoRedefine/>
    <w:uiPriority w:val="99"/>
    <w:qFormat/>
  </w:style>
  <w:style w:type="paragraph" w:customStyle="1" w:styleId="CharCharCharCharCharCharCharCharCharCharCharCharCharCharChar">
    <w:name w:val="Char Char Char Char Char Char Char Char Char Char Char Char Char Char Char"/>
    <w:basedOn w:val="a"/>
    <w:autoRedefine/>
    <w:uiPriority w:val="99"/>
    <w:qFormat/>
    <w:pPr>
      <w:snapToGrid w:val="0"/>
      <w:spacing w:line="440" w:lineRule="exact"/>
      <w:ind w:firstLineChars="200" w:firstLine="200"/>
    </w:pPr>
    <w:rPr>
      <w:rFonts w:cs="Times New Roman"/>
      <w:szCs w:val="24"/>
    </w:rPr>
  </w:style>
  <w:style w:type="paragraph" w:customStyle="1" w:styleId="afffffffffffffffffffffff1">
    <w:name w:val="表目录"/>
    <w:basedOn w:val="a"/>
    <w:autoRedefine/>
    <w:uiPriority w:val="99"/>
    <w:qFormat/>
    <w:pPr>
      <w:adjustRightInd w:val="0"/>
      <w:snapToGrid w:val="0"/>
      <w:spacing w:line="360" w:lineRule="auto"/>
    </w:pPr>
    <w:rPr>
      <w:rFonts w:ascii="黑体" w:eastAsia="黑体" w:hAnsi="宋体" w:cs="Times New Roman"/>
      <w:szCs w:val="20"/>
    </w:rPr>
  </w:style>
  <w:style w:type="paragraph" w:customStyle="1" w:styleId="afffffffffffffffffffffff2">
    <w:name w:val="环评标题一级"/>
    <w:basedOn w:val="1"/>
    <w:autoRedefine/>
    <w:uiPriority w:val="99"/>
    <w:qFormat/>
    <w:pPr>
      <w:numPr>
        <w:numId w:val="0"/>
      </w:numPr>
      <w:spacing w:before="163" w:line="360" w:lineRule="exact"/>
    </w:pPr>
    <w:rPr>
      <w:rFonts w:cs="Times New Roman"/>
    </w:rPr>
  </w:style>
  <w:style w:type="paragraph" w:customStyle="1" w:styleId="afffffffffffffffffffffff3">
    <w:name w:val="第十一章 图件标题"/>
    <w:basedOn w:val="a"/>
    <w:next w:val="a"/>
    <w:autoRedefine/>
    <w:uiPriority w:val="99"/>
    <w:qFormat/>
    <w:pPr>
      <w:tabs>
        <w:tab w:val="left" w:pos="851"/>
      </w:tabs>
      <w:adjustRightInd w:val="0"/>
      <w:snapToGrid w:val="0"/>
      <w:spacing w:line="360" w:lineRule="auto"/>
      <w:jc w:val="center"/>
    </w:pPr>
    <w:rPr>
      <w:rFonts w:eastAsia="黑体" w:cs="Times New Roman"/>
      <w:sz w:val="24"/>
      <w:szCs w:val="24"/>
    </w:rPr>
  </w:style>
  <w:style w:type="paragraph" w:customStyle="1" w:styleId="1fffff6">
    <w:name w:val="设计说明1"/>
    <w:basedOn w:val="a"/>
    <w:autoRedefine/>
    <w:uiPriority w:val="99"/>
    <w:qFormat/>
    <w:pPr>
      <w:tabs>
        <w:tab w:val="left" w:pos="567"/>
      </w:tabs>
      <w:spacing w:before="240" w:after="240" w:line="400" w:lineRule="exact"/>
      <w:ind w:left="567" w:hanging="567"/>
      <w:jc w:val="left"/>
      <w:outlineLvl w:val="0"/>
    </w:pPr>
    <w:rPr>
      <w:rFonts w:ascii="宋体" w:hAnsi="宋体" w:cs="Times New Roman"/>
      <w:b/>
      <w:sz w:val="24"/>
      <w:szCs w:val="20"/>
    </w:rPr>
  </w:style>
  <w:style w:type="paragraph" w:customStyle="1" w:styleId="4-">
    <w:name w:val="标题4-"/>
    <w:basedOn w:val="4"/>
    <w:next w:val="a"/>
    <w:autoRedefine/>
    <w:uiPriority w:val="99"/>
    <w:qFormat/>
    <w:pPr>
      <w:numPr>
        <w:ilvl w:val="0"/>
        <w:numId w:val="0"/>
      </w:numPr>
      <w:tabs>
        <w:tab w:val="left" w:pos="-21"/>
        <w:tab w:val="left" w:pos="864"/>
        <w:tab w:val="left" w:pos="1680"/>
        <w:tab w:val="left" w:pos="2716"/>
      </w:tabs>
      <w:spacing w:beforeLines="50"/>
      <w:ind w:left="864" w:hanging="144"/>
    </w:pPr>
    <w:rPr>
      <w:rFonts w:eastAsia="黑体" w:cs="Times New Roman"/>
      <w:b w:val="0"/>
      <w:bCs w:val="0"/>
      <w:szCs w:val="20"/>
    </w:rPr>
  </w:style>
  <w:style w:type="paragraph" w:customStyle="1" w:styleId="131113H3h33rdlevelReHead3WSA">
    <w:name w:val="1标题 3条标题1.1.1标题3H3h33rd level第二层条三级标题ReHead 3 WSA + 小..."/>
    <w:basedOn w:val="3"/>
    <w:autoRedefine/>
    <w:uiPriority w:val="99"/>
    <w:qFormat/>
    <w:pPr>
      <w:numPr>
        <w:ilvl w:val="0"/>
        <w:numId w:val="0"/>
      </w:numPr>
      <w:adjustRightInd/>
      <w:snapToGrid/>
      <w:spacing w:beforeLines="50" w:afterLines="150"/>
      <w:jc w:val="both"/>
    </w:pPr>
    <w:rPr>
      <w:rFonts w:cs="宋体"/>
      <w:kern w:val="0"/>
      <w:szCs w:val="20"/>
    </w:rPr>
  </w:style>
  <w:style w:type="paragraph" w:customStyle="1" w:styleId="afffffffffffffffffffffff4">
    <w:name w:val="样式 表中文字 + 两端对齐"/>
    <w:basedOn w:val="affffffffff8"/>
    <w:autoRedefine/>
    <w:uiPriority w:val="99"/>
    <w:semiHidden/>
    <w:qFormat/>
    <w:pPr>
      <w:tabs>
        <w:tab w:val="left" w:pos="3286"/>
        <w:tab w:val="left" w:pos="8362"/>
      </w:tabs>
      <w:snapToGrid w:val="0"/>
      <w:spacing w:before="0" w:after="0" w:line="320" w:lineRule="exact"/>
    </w:pPr>
    <w:rPr>
      <w:rFonts w:ascii="Arial" w:eastAsia="楷体_GB2312" w:hAnsi="Arial" w:cs="宋体"/>
      <w:sz w:val="21"/>
      <w:szCs w:val="21"/>
      <w:shd w:val="clear" w:color="auto" w:fill="FFFFFF"/>
    </w:rPr>
  </w:style>
  <w:style w:type="paragraph" w:customStyle="1" w:styleId="08522">
    <w:name w:val="样式 小四 黑色 首行缩进:  0.85 厘米 行距: 固定值 22 磅"/>
    <w:basedOn w:val="a"/>
    <w:autoRedefine/>
    <w:uiPriority w:val="99"/>
    <w:qFormat/>
    <w:pPr>
      <w:spacing w:line="440" w:lineRule="exact"/>
      <w:ind w:firstLine="482"/>
    </w:pPr>
    <w:rPr>
      <w:rFonts w:cs="宋体"/>
      <w:color w:val="000000"/>
      <w:sz w:val="24"/>
      <w:szCs w:val="20"/>
    </w:rPr>
  </w:style>
  <w:style w:type="paragraph" w:customStyle="1" w:styleId="3ff6">
    <w:name w:val="目录3"/>
    <w:basedOn w:val="a"/>
    <w:next w:val="a"/>
    <w:autoRedefine/>
    <w:uiPriority w:val="99"/>
    <w:semiHidden/>
    <w:qFormat/>
    <w:pPr>
      <w:widowControl/>
      <w:tabs>
        <w:tab w:val="left" w:leader="dot" w:pos="8503"/>
      </w:tabs>
      <w:adjustRightInd w:val="0"/>
      <w:snapToGrid w:val="0"/>
      <w:spacing w:line="317" w:lineRule="atLeast"/>
      <w:ind w:left="419" w:firstLineChars="200" w:firstLine="419"/>
      <w:textAlignment w:val="baseline"/>
    </w:pPr>
    <w:rPr>
      <w:rFonts w:cs="Times New Roman"/>
      <w:color w:val="000000"/>
      <w:kern w:val="0"/>
      <w:sz w:val="24"/>
      <w:szCs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autoRedefine/>
    <w:uiPriority w:val="99"/>
    <w:qFormat/>
    <w:pPr>
      <w:spacing w:line="360" w:lineRule="auto"/>
      <w:ind w:firstLineChars="200" w:firstLine="200"/>
    </w:pPr>
    <w:rPr>
      <w:rFonts w:ascii="宋体" w:hAnsi="宋体" w:cs="宋体"/>
      <w:sz w:val="24"/>
      <w:szCs w:val="24"/>
    </w:rPr>
  </w:style>
  <w:style w:type="paragraph" w:customStyle="1" w:styleId="Web1">
    <w:name w:val="普通(Web)1"/>
    <w:basedOn w:val="a"/>
    <w:autoRedefine/>
    <w:uiPriority w:val="99"/>
    <w:qFormat/>
    <w:pPr>
      <w:widowControl/>
      <w:spacing w:before="100" w:beforeAutospacing="1" w:after="100" w:afterAutospacing="1" w:line="351" w:lineRule="atLeast"/>
      <w:jc w:val="left"/>
    </w:pPr>
    <w:rPr>
      <w:rFonts w:ascii="宋体" w:hAnsi="宋体" w:cs="宋体"/>
      <w:kern w:val="0"/>
      <w:sz w:val="24"/>
      <w:szCs w:val="24"/>
    </w:rPr>
  </w:style>
  <w:style w:type="paragraph" w:customStyle="1" w:styleId="1251">
    <w:name w:val="样式 四号 行距: 多倍行距 1.25 字行"/>
    <w:basedOn w:val="a"/>
    <w:autoRedefine/>
    <w:uiPriority w:val="99"/>
    <w:qFormat/>
    <w:pPr>
      <w:spacing w:line="300" w:lineRule="auto"/>
      <w:ind w:firstLineChars="200" w:firstLine="560"/>
    </w:pPr>
    <w:rPr>
      <w:rFonts w:cs="宋体"/>
      <w:sz w:val="28"/>
      <w:szCs w:val="20"/>
    </w:rPr>
  </w:style>
  <w:style w:type="paragraph" w:customStyle="1" w:styleId="4f8">
    <w:name w:val="标题 4+"/>
    <w:basedOn w:val="4"/>
    <w:autoRedefine/>
    <w:uiPriority w:val="99"/>
    <w:qFormat/>
    <w:pPr>
      <w:numPr>
        <w:ilvl w:val="0"/>
        <w:numId w:val="0"/>
      </w:numPr>
      <w:tabs>
        <w:tab w:val="left" w:pos="-21"/>
        <w:tab w:val="left" w:pos="864"/>
        <w:tab w:val="left" w:pos="1680"/>
        <w:tab w:val="left" w:pos="2716"/>
      </w:tabs>
      <w:spacing w:beforeLines="50"/>
      <w:ind w:left="864" w:hanging="144"/>
    </w:pPr>
    <w:rPr>
      <w:rFonts w:eastAsia="黑体" w:cs="Times New Roman"/>
      <w:b w:val="0"/>
      <w:bCs w:val="0"/>
      <w:szCs w:val="20"/>
    </w:rPr>
  </w:style>
  <w:style w:type="paragraph" w:customStyle="1" w:styleId="afffffffffffffffffffffff5">
    <w:name w:val="佛表"/>
    <w:basedOn w:val="ac"/>
    <w:autoRedefine/>
    <w:uiPriority w:val="99"/>
    <w:qFormat/>
    <w:pPr>
      <w:ind w:left="0" w:firstLineChars="0" w:firstLine="0"/>
      <w:jc w:val="center"/>
    </w:pPr>
    <w:rPr>
      <w:rFonts w:ascii="Times New Roman" w:eastAsia="宋体" w:hAnsi="Times New Roman" w:cs="Times New Roman"/>
      <w:color w:val="000000"/>
      <w:szCs w:val="21"/>
    </w:rPr>
  </w:style>
  <w:style w:type="paragraph" w:customStyle="1" w:styleId="afffffffffffffffffffffff6">
    <w:name w:val="我的表格文字"/>
    <w:basedOn w:val="a"/>
    <w:autoRedefine/>
    <w:uiPriority w:val="99"/>
    <w:qFormat/>
    <w:pPr>
      <w:spacing w:line="360" w:lineRule="auto"/>
      <w:ind w:firstLineChars="200" w:firstLine="200"/>
      <w:jc w:val="center"/>
    </w:pPr>
    <w:rPr>
      <w:rFonts w:cs="Times New Roman"/>
      <w:sz w:val="24"/>
      <w:szCs w:val="21"/>
    </w:rPr>
  </w:style>
  <w:style w:type="paragraph" w:customStyle="1" w:styleId="1fffff7">
    <w:name w:val="1级标题"/>
    <w:basedOn w:val="affffffffffffffffe"/>
    <w:link w:val="1Char8"/>
    <w:autoRedefine/>
    <w:qFormat/>
    <w:pPr>
      <w:widowControl w:val="0"/>
      <w:ind w:left="420" w:hanging="420"/>
    </w:pPr>
    <w:rPr>
      <w:rFonts w:cs="宋体"/>
      <w:szCs w:val="28"/>
    </w:rPr>
  </w:style>
  <w:style w:type="character" w:customStyle="1" w:styleId="1Char8">
    <w:name w:val="1级标题 Char"/>
    <w:link w:val="1fffff7"/>
    <w:autoRedefine/>
    <w:qFormat/>
    <w:rPr>
      <w:rFonts w:cs="宋体"/>
      <w:kern w:val="2"/>
      <w:sz w:val="28"/>
      <w:szCs w:val="28"/>
    </w:rPr>
  </w:style>
  <w:style w:type="paragraph" w:customStyle="1" w:styleId="024">
    <w:name w:val="样式 正文文本 + 四号 段后: 0 磅 行距: 固定值 24 磅"/>
    <w:basedOn w:val="af"/>
    <w:autoRedefine/>
    <w:uiPriority w:val="99"/>
    <w:qFormat/>
    <w:pPr>
      <w:kinsoku/>
      <w:adjustRightInd/>
      <w:spacing w:after="0" w:line="480" w:lineRule="exact"/>
      <w:ind w:firstLineChars="225" w:firstLine="630"/>
      <w:jc w:val="both"/>
      <w:textAlignment w:val="auto"/>
    </w:pPr>
    <w:rPr>
      <w:sz w:val="28"/>
      <w:szCs w:val="20"/>
    </w:rPr>
  </w:style>
  <w:style w:type="paragraph" w:customStyle="1" w:styleId="afffffffffffffffffffffff7">
    <w:name w:val="段落样式"/>
    <w:basedOn w:val="a"/>
    <w:autoRedefine/>
    <w:uiPriority w:val="99"/>
    <w:qFormat/>
    <w:pPr>
      <w:tabs>
        <w:tab w:val="left" w:pos="567"/>
      </w:tabs>
      <w:spacing w:line="360" w:lineRule="auto"/>
      <w:ind w:firstLineChars="200" w:firstLine="567"/>
      <w:jc w:val="left"/>
    </w:pPr>
    <w:rPr>
      <w:rFonts w:cs="Times New Roman"/>
      <w:spacing w:val="20"/>
      <w:sz w:val="24"/>
      <w:szCs w:val="20"/>
    </w:rPr>
  </w:style>
  <w:style w:type="paragraph" w:customStyle="1" w:styleId="CharCharCharCharChar1CharCharChar1">
    <w:name w:val="Char Char Char Char Char1 Char Char Char1"/>
    <w:basedOn w:val="a"/>
    <w:autoRedefine/>
    <w:uiPriority w:val="99"/>
    <w:qFormat/>
    <w:rPr>
      <w:rFonts w:cs="Times New Roman"/>
      <w:szCs w:val="24"/>
    </w:rPr>
  </w:style>
  <w:style w:type="paragraph" w:customStyle="1" w:styleId="afffffffffffffffffffffff8">
    <w:name w:val="表格式"/>
    <w:basedOn w:val="ac"/>
    <w:autoRedefine/>
    <w:uiPriority w:val="99"/>
    <w:qFormat/>
    <w:pPr>
      <w:spacing w:line="400" w:lineRule="exact"/>
      <w:ind w:left="0" w:firstLineChars="0" w:firstLine="0"/>
      <w:jc w:val="center"/>
    </w:pPr>
    <w:rPr>
      <w:rFonts w:ascii="宋体" w:eastAsia="宋体" w:hAnsi="Times New Roman" w:cs="Times New Roman"/>
      <w:szCs w:val="20"/>
    </w:rPr>
  </w:style>
  <w:style w:type="paragraph" w:customStyle="1" w:styleId="xl79">
    <w:name w:val="xl79"/>
    <w:basedOn w:val="a"/>
    <w:autoRedefine/>
    <w:uiPriority w:val="99"/>
    <w:qFormat/>
    <w:pPr>
      <w:widowControl/>
      <w:spacing w:before="100" w:beforeAutospacing="1" w:after="100" w:afterAutospacing="1"/>
      <w:jc w:val="center"/>
    </w:pPr>
    <w:rPr>
      <w:rFonts w:ascii="Arial" w:hAnsi="Arial" w:cs="Arial"/>
      <w:kern w:val="0"/>
      <w:sz w:val="24"/>
      <w:szCs w:val="24"/>
    </w:rPr>
  </w:style>
  <w:style w:type="paragraph" w:customStyle="1" w:styleId="Char40">
    <w:name w:val="Char4"/>
    <w:basedOn w:val="a"/>
    <w:autoRedefine/>
    <w:uiPriority w:val="99"/>
    <w:qFormat/>
    <w:rPr>
      <w:rFonts w:ascii="宋体" w:eastAsia="仿宋_GB2312" w:hAnsi="宋体" w:cs="Times New Roman"/>
      <w:color w:val="000000"/>
      <w:kern w:val="0"/>
      <w:sz w:val="24"/>
      <w:szCs w:val="24"/>
    </w:rPr>
  </w:style>
  <w:style w:type="paragraph" w:customStyle="1" w:styleId="CharCharChar3CharCharCharCharCharCharCharCharCharCharCharChar1Char">
    <w:name w:val="Char Char Char3 Char Char Char Char Char Char Char Char Char Char Char Char1 Char"/>
    <w:basedOn w:val="a"/>
    <w:autoRedefine/>
    <w:uiPriority w:val="99"/>
    <w:qFormat/>
    <w:pPr>
      <w:spacing w:line="360" w:lineRule="auto"/>
      <w:ind w:firstLineChars="200" w:firstLine="200"/>
    </w:pPr>
    <w:rPr>
      <w:rFonts w:ascii="宋体" w:hAnsi="宋体" w:cs="宋体"/>
      <w:sz w:val="24"/>
      <w:szCs w:val="24"/>
    </w:rPr>
  </w:style>
  <w:style w:type="paragraph" w:customStyle="1" w:styleId="afffffffffffffffffffffff9">
    <w:name w:val="图件标题"/>
    <w:basedOn w:val="a"/>
    <w:next w:val="a"/>
    <w:autoRedefine/>
    <w:uiPriority w:val="99"/>
    <w:semiHidden/>
    <w:qFormat/>
    <w:pPr>
      <w:adjustRightInd w:val="0"/>
      <w:snapToGrid w:val="0"/>
      <w:spacing w:line="360" w:lineRule="auto"/>
      <w:ind w:left="482"/>
      <w:jc w:val="center"/>
    </w:pPr>
    <w:rPr>
      <w:rFonts w:eastAsia="黑体" w:cs="Times New Roman"/>
      <w:sz w:val="24"/>
      <w:szCs w:val="24"/>
    </w:rPr>
  </w:style>
  <w:style w:type="paragraph" w:customStyle="1" w:styleId="5f3">
    <w:name w:val="样式 样式5 + 黑色"/>
    <w:basedOn w:val="a"/>
    <w:autoRedefine/>
    <w:uiPriority w:val="99"/>
    <w:qFormat/>
    <w:pPr>
      <w:ind w:firstLineChars="200" w:firstLine="420"/>
    </w:pPr>
    <w:rPr>
      <w:rFonts w:eastAsia="华文中宋" w:cs="Times New Roman"/>
      <w:color w:val="000000"/>
      <w:szCs w:val="21"/>
    </w:rPr>
  </w:style>
  <w:style w:type="paragraph" w:customStyle="1" w:styleId="22230">
    <w:name w:val="样式 正文文字缩进 2 + 首行缩进:  2 字符 行距: 固定值 23 磅"/>
    <w:basedOn w:val="25"/>
    <w:autoRedefine/>
    <w:uiPriority w:val="99"/>
    <w:qFormat/>
    <w:pPr>
      <w:spacing w:after="0" w:line="240" w:lineRule="auto"/>
      <w:ind w:leftChars="0" w:left="0" w:firstLineChars="200" w:firstLine="200"/>
    </w:pPr>
    <w:rPr>
      <w:rFonts w:eastAsia="华文中宋" w:cs="Times New Roman"/>
      <w:sz w:val="24"/>
      <w:szCs w:val="24"/>
    </w:rPr>
  </w:style>
  <w:style w:type="paragraph" w:customStyle="1" w:styleId="205050505">
    <w:name w:val="样式 样式 标题 2 + 段前: 0.5 行 段后: 0.5 行 + 段前: 0.5 行 段后: 0.5 行"/>
    <w:basedOn w:val="20505"/>
    <w:autoRedefine/>
    <w:uiPriority w:val="99"/>
    <w:qFormat/>
    <w:pPr>
      <w:tabs>
        <w:tab w:val="clear" w:pos="576"/>
        <w:tab w:val="left" w:pos="1145"/>
      </w:tabs>
      <w:adjustRightInd/>
      <w:spacing w:after="0" w:line="440" w:lineRule="exact"/>
      <w:ind w:left="0" w:firstLine="0"/>
      <w:jc w:val="both"/>
      <w:textAlignment w:val="auto"/>
    </w:pPr>
    <w:rPr>
      <w:rFonts w:eastAsia="华文中宋" w:cs="宋体"/>
      <w:bCs/>
      <w:kern w:val="2"/>
      <w:sz w:val="30"/>
      <w:szCs w:val="30"/>
    </w:rPr>
  </w:style>
  <w:style w:type="paragraph" w:customStyle="1" w:styleId="2ffff3">
    <w:name w:val="样式 报告书正文 + 小四 首行缩进:  2 字符"/>
    <w:basedOn w:val="a"/>
    <w:autoRedefine/>
    <w:uiPriority w:val="99"/>
    <w:qFormat/>
    <w:pPr>
      <w:spacing w:line="440" w:lineRule="exact"/>
      <w:ind w:firstLineChars="200" w:firstLine="200"/>
    </w:pPr>
    <w:rPr>
      <w:rFonts w:cs="宋体"/>
      <w:sz w:val="24"/>
      <w:szCs w:val="24"/>
    </w:rPr>
  </w:style>
  <w:style w:type="paragraph" w:customStyle="1" w:styleId="afffffffffffffffffffffffa">
    <w:name w:val="环评标题三级"/>
    <w:basedOn w:val="20"/>
    <w:autoRedefine/>
    <w:uiPriority w:val="99"/>
    <w:qFormat/>
    <w:pPr>
      <w:numPr>
        <w:ilvl w:val="0"/>
        <w:numId w:val="0"/>
      </w:numPr>
      <w:adjustRightInd w:val="0"/>
      <w:snapToGrid w:val="0"/>
      <w:spacing w:before="0" w:after="0" w:line="360" w:lineRule="exact"/>
      <w:jc w:val="left"/>
      <w:outlineLvl w:val="2"/>
    </w:pPr>
    <w:rPr>
      <w:rFonts w:cs="Times New Roman"/>
      <w:bCs w:val="0"/>
      <w:kern w:val="0"/>
    </w:rPr>
  </w:style>
  <w:style w:type="paragraph" w:customStyle="1" w:styleId="-11">
    <w:name w:val="表格标题-1"/>
    <w:basedOn w:val="-xin"/>
    <w:next w:val="a"/>
    <w:autoRedefine/>
    <w:uiPriority w:val="99"/>
    <w:qFormat/>
    <w:pPr>
      <w:tabs>
        <w:tab w:val="left" w:pos="851"/>
      </w:tabs>
      <w:adjustRightInd w:val="0"/>
      <w:spacing w:line="360" w:lineRule="auto"/>
    </w:pPr>
    <w:rPr>
      <w:rFonts w:cs="Times New Roman"/>
      <w:sz w:val="24"/>
      <w:szCs w:val="24"/>
    </w:rPr>
  </w:style>
  <w:style w:type="paragraph" w:customStyle="1" w:styleId="CharCharCharCharChar1CharCharChar">
    <w:name w:val="Char Char Char Char Char1 Char Char Char"/>
    <w:basedOn w:val="a"/>
    <w:autoRedefine/>
    <w:uiPriority w:val="99"/>
    <w:qFormat/>
    <w:rPr>
      <w:rFonts w:cs="Times New Roman"/>
      <w:szCs w:val="24"/>
    </w:rPr>
  </w:style>
  <w:style w:type="paragraph" w:customStyle="1" w:styleId="afffffffffffffffffffffffb">
    <w:name w:val="数字表格"/>
    <w:basedOn w:val="a"/>
    <w:autoRedefine/>
    <w:uiPriority w:val="99"/>
    <w:qFormat/>
    <w:pPr>
      <w:jc w:val="center"/>
    </w:pPr>
    <w:rPr>
      <w:rFonts w:cs="Times New Roman"/>
      <w:b/>
      <w:bCs/>
      <w:szCs w:val="16"/>
    </w:rPr>
  </w:style>
  <w:style w:type="paragraph" w:customStyle="1" w:styleId="afffffffffffffffffffffffc">
    <w:name w:val="小五"/>
    <w:basedOn w:val="a"/>
    <w:autoRedefine/>
    <w:uiPriority w:val="99"/>
    <w:qFormat/>
    <w:pPr>
      <w:jc w:val="center"/>
    </w:pPr>
    <w:rPr>
      <w:rFonts w:cs="Times New Roman"/>
      <w:sz w:val="18"/>
      <w:szCs w:val="24"/>
    </w:rPr>
  </w:style>
  <w:style w:type="paragraph" w:customStyle="1" w:styleId="afffffffffffffffffffffffd">
    <w:name w:val="第一章 图标题"/>
    <w:basedOn w:val="a"/>
    <w:next w:val="a"/>
    <w:autoRedefine/>
    <w:uiPriority w:val="99"/>
    <w:qFormat/>
    <w:pPr>
      <w:spacing w:line="360" w:lineRule="auto"/>
      <w:ind w:left="420" w:hanging="420"/>
      <w:jc w:val="center"/>
    </w:pPr>
    <w:rPr>
      <w:rFonts w:eastAsia="黑体" w:cs="Times New Roman"/>
      <w:sz w:val="24"/>
      <w:szCs w:val="24"/>
    </w:rPr>
  </w:style>
  <w:style w:type="paragraph" w:customStyle="1" w:styleId="afffffffffffffffffffffffe">
    <w:name w:val="环评标题二级"/>
    <w:basedOn w:val="1"/>
    <w:autoRedefine/>
    <w:uiPriority w:val="99"/>
    <w:qFormat/>
    <w:pPr>
      <w:numPr>
        <w:numId w:val="0"/>
      </w:numPr>
      <w:spacing w:before="163" w:line="360" w:lineRule="exact"/>
      <w:jc w:val="left"/>
    </w:pPr>
    <w:rPr>
      <w:rFonts w:cs="Times New Roman"/>
      <w:sz w:val="30"/>
    </w:rPr>
  </w:style>
  <w:style w:type="paragraph" w:customStyle="1" w:styleId="Char1CharCharChar1CharCharCharCharCharChar1">
    <w:name w:val="Char1 Char Char Char1 Char Char Char Char Char Char1"/>
    <w:basedOn w:val="a"/>
    <w:autoRedefine/>
    <w:uiPriority w:val="99"/>
    <w:qFormat/>
    <w:pPr>
      <w:spacing w:line="360" w:lineRule="auto"/>
      <w:ind w:firstLineChars="200" w:firstLine="200"/>
      <w:jc w:val="left"/>
    </w:pPr>
    <w:rPr>
      <w:rFonts w:cs="Times New Roman"/>
      <w:sz w:val="24"/>
      <w:szCs w:val="20"/>
    </w:rPr>
  </w:style>
  <w:style w:type="paragraph" w:customStyle="1" w:styleId="affffffffffffffffffffffff">
    <w:name w:val="环科院表格标题"/>
    <w:basedOn w:val="a"/>
    <w:autoRedefine/>
    <w:uiPriority w:val="99"/>
    <w:qFormat/>
    <w:pPr>
      <w:widowControl/>
      <w:spacing w:beforeLines="50"/>
      <w:jc w:val="center"/>
    </w:pPr>
    <w:rPr>
      <w:rFonts w:ascii="宋体" w:hAnsi="宋体" w:cs="宋体"/>
      <w:b/>
      <w:kern w:val="0"/>
      <w:sz w:val="24"/>
      <w:szCs w:val="24"/>
    </w:rPr>
  </w:style>
  <w:style w:type="paragraph" w:customStyle="1" w:styleId="6c">
    <w:name w:val="表6"/>
    <w:basedOn w:val="af"/>
    <w:autoRedefine/>
    <w:uiPriority w:val="99"/>
    <w:qFormat/>
    <w:pPr>
      <w:tabs>
        <w:tab w:val="left" w:pos="3195"/>
      </w:tabs>
      <w:kinsoku/>
      <w:adjustRightInd/>
      <w:spacing w:after="0" w:line="360" w:lineRule="auto"/>
      <w:ind w:left="420" w:firstLineChars="200" w:hanging="420"/>
      <w:jc w:val="center"/>
      <w:textAlignment w:val="auto"/>
    </w:pPr>
    <w:rPr>
      <w:rFonts w:ascii="宋体" w:eastAsia="黑体" w:hAnsi="宋体"/>
      <w:kern w:val="0"/>
      <w:sz w:val="24"/>
      <w:szCs w:val="20"/>
    </w:rPr>
  </w:style>
  <w:style w:type="paragraph" w:customStyle="1" w:styleId="CharCharCharCharCharChar1">
    <w:name w:val="Char Char Char Char Char Char1"/>
    <w:basedOn w:val="a"/>
    <w:autoRedefine/>
    <w:uiPriority w:val="99"/>
    <w:qFormat/>
    <w:rPr>
      <w:rFonts w:cs="Times New Roman"/>
      <w:sz w:val="24"/>
      <w:szCs w:val="24"/>
    </w:rPr>
  </w:style>
  <w:style w:type="paragraph" w:customStyle="1" w:styleId="1fffff8">
    <w:name w:val="目录1"/>
    <w:basedOn w:val="a"/>
    <w:next w:val="a"/>
    <w:autoRedefine/>
    <w:uiPriority w:val="99"/>
    <w:qFormat/>
    <w:pPr>
      <w:widowControl/>
      <w:tabs>
        <w:tab w:val="left" w:leader="dot" w:pos="8503"/>
      </w:tabs>
      <w:adjustRightInd w:val="0"/>
      <w:snapToGrid w:val="0"/>
      <w:spacing w:after="102" w:line="215" w:lineRule="atLeast"/>
      <w:ind w:firstLineChars="200" w:firstLine="419"/>
      <w:jc w:val="left"/>
      <w:textAlignment w:val="baseline"/>
    </w:pPr>
    <w:rPr>
      <w:rFonts w:cs="Times New Roman"/>
      <w:color w:val="000000"/>
      <w:kern w:val="0"/>
      <w:sz w:val="24"/>
      <w:szCs w:val="24"/>
    </w:rPr>
  </w:style>
  <w:style w:type="paragraph" w:customStyle="1" w:styleId="11f4">
    <w:name w:val="批注框文本11"/>
    <w:basedOn w:val="a"/>
    <w:autoRedefine/>
    <w:uiPriority w:val="99"/>
    <w:qFormat/>
    <w:rPr>
      <w:rFonts w:cs="Times New Roman"/>
      <w:sz w:val="18"/>
      <w:szCs w:val="18"/>
    </w:rPr>
  </w:style>
  <w:style w:type="paragraph" w:customStyle="1" w:styleId="21f0">
    <w:name w:val="样式 首行缩进:  2 字符1"/>
    <w:basedOn w:val="a"/>
    <w:link w:val="21Char1"/>
    <w:autoRedefine/>
    <w:uiPriority w:val="99"/>
    <w:qFormat/>
    <w:pPr>
      <w:spacing w:line="440" w:lineRule="exact"/>
      <w:ind w:firstLineChars="200" w:firstLine="480"/>
    </w:pPr>
    <w:rPr>
      <w:rFonts w:ascii="Tahoma" w:hAnsi="Tahoma" w:cs="宋体"/>
      <w:sz w:val="24"/>
      <w:szCs w:val="24"/>
    </w:rPr>
  </w:style>
  <w:style w:type="character" w:customStyle="1" w:styleId="21Char1">
    <w:name w:val="样式 首行缩进:  2 字符1 Char1"/>
    <w:link w:val="21f0"/>
    <w:autoRedefine/>
    <w:uiPriority w:val="99"/>
    <w:qFormat/>
    <w:rPr>
      <w:rFonts w:ascii="Tahoma" w:hAnsi="Tahoma" w:cs="宋体"/>
      <w:kern w:val="2"/>
      <w:sz w:val="24"/>
      <w:szCs w:val="24"/>
    </w:rPr>
  </w:style>
  <w:style w:type="paragraph" w:customStyle="1" w:styleId="affffffffffffffffffffffff0">
    <w:name w:val="表格左对齐"/>
    <w:basedOn w:val="ab"/>
    <w:autoRedefine/>
    <w:uiPriority w:val="99"/>
    <w:qFormat/>
    <w:pPr>
      <w:adjustRightInd w:val="0"/>
      <w:snapToGrid w:val="0"/>
      <w:spacing w:after="0"/>
      <w:ind w:leftChars="0" w:left="0" w:firstLineChars="200" w:firstLine="37"/>
      <w:jc w:val="center"/>
    </w:pPr>
    <w:rPr>
      <w:rFonts w:cs="Times New Roman"/>
      <w:color w:val="000000"/>
      <w:spacing w:val="-2"/>
      <w:kern w:val="0"/>
      <w:szCs w:val="20"/>
    </w:rPr>
  </w:style>
  <w:style w:type="paragraph" w:customStyle="1" w:styleId="text">
    <w:name w:val="text"/>
    <w:basedOn w:val="a"/>
    <w:autoRedefine/>
    <w:uiPriority w:val="99"/>
    <w:qFormat/>
    <w:pPr>
      <w:widowControl/>
      <w:spacing w:before="150" w:after="150"/>
      <w:ind w:firstLine="480"/>
      <w:jc w:val="left"/>
    </w:pPr>
    <w:rPr>
      <w:rFonts w:ascii="??" w:hAnsi="??" w:cs="Times New Roman"/>
      <w:color w:val="486B8A"/>
      <w:kern w:val="0"/>
      <w:sz w:val="18"/>
      <w:szCs w:val="18"/>
    </w:rPr>
  </w:style>
  <w:style w:type="paragraph" w:customStyle="1" w:styleId="2ffff4">
    <w:name w:val="目录2"/>
    <w:basedOn w:val="a"/>
    <w:next w:val="a"/>
    <w:autoRedefine/>
    <w:uiPriority w:val="99"/>
    <w:qFormat/>
    <w:pPr>
      <w:widowControl/>
      <w:tabs>
        <w:tab w:val="left" w:leader="dot" w:pos="8503"/>
      </w:tabs>
      <w:adjustRightInd w:val="0"/>
      <w:snapToGrid w:val="0"/>
      <w:spacing w:line="317" w:lineRule="atLeast"/>
      <w:ind w:left="419" w:firstLineChars="200" w:firstLine="419"/>
      <w:textAlignment w:val="baseline"/>
    </w:pPr>
    <w:rPr>
      <w:rFonts w:cs="Times New Roman"/>
      <w:color w:val="000000"/>
      <w:kern w:val="0"/>
      <w:sz w:val="24"/>
      <w:szCs w:val="24"/>
    </w:rPr>
  </w:style>
  <w:style w:type="paragraph" w:customStyle="1" w:styleId="15a">
    <w:name w:val="样式 正文文本 + 小四 行距: 1.5 倍行距"/>
    <w:basedOn w:val="af"/>
    <w:autoRedefine/>
    <w:uiPriority w:val="99"/>
    <w:qFormat/>
    <w:pPr>
      <w:kinsoku/>
      <w:adjustRightInd/>
      <w:spacing w:line="360" w:lineRule="auto"/>
      <w:ind w:firstLineChars="200" w:firstLine="480"/>
      <w:jc w:val="both"/>
      <w:textAlignment w:val="auto"/>
    </w:pPr>
    <w:rPr>
      <w:rFonts w:cs="宋体"/>
      <w:sz w:val="24"/>
      <w:szCs w:val="20"/>
    </w:rPr>
  </w:style>
  <w:style w:type="paragraph" w:customStyle="1" w:styleId="CharCharCharCharCharCharCharCharCharCharCharCharCharCharChar2">
    <w:name w:val="Char Char Char Char Char Char Char Char Char Char Char Char Char Char Char2"/>
    <w:basedOn w:val="a"/>
    <w:autoRedefine/>
    <w:uiPriority w:val="99"/>
    <w:qFormat/>
    <w:pPr>
      <w:snapToGrid w:val="0"/>
      <w:spacing w:line="440" w:lineRule="exact"/>
      <w:ind w:firstLineChars="200" w:firstLine="200"/>
    </w:pPr>
    <w:rPr>
      <w:rFonts w:cs="Times New Roman"/>
      <w:szCs w:val="24"/>
    </w:rPr>
  </w:style>
  <w:style w:type="paragraph" w:customStyle="1" w:styleId="wangjunbobullet">
    <w:name w:val="wangjunbo.bullet"/>
    <w:basedOn w:val="a"/>
    <w:autoRedefine/>
    <w:uiPriority w:val="99"/>
    <w:qFormat/>
    <w:pPr>
      <w:spacing w:line="320" w:lineRule="exact"/>
      <w:jc w:val="center"/>
    </w:pPr>
    <w:rPr>
      <w:rFonts w:cs="Times New Roman"/>
      <w:szCs w:val="24"/>
    </w:rPr>
  </w:style>
  <w:style w:type="paragraph" w:customStyle="1" w:styleId="1fffff9">
    <w:name w:val="表头样式1"/>
    <w:basedOn w:val="a"/>
    <w:autoRedefine/>
    <w:uiPriority w:val="99"/>
    <w:qFormat/>
    <w:pPr>
      <w:spacing w:after="80" w:line="480" w:lineRule="atLeast"/>
      <w:jc w:val="center"/>
    </w:pPr>
    <w:rPr>
      <w:rFonts w:eastAsia="黑体" w:cs="Times New Roman"/>
      <w:b/>
      <w:sz w:val="24"/>
      <w:szCs w:val="20"/>
    </w:rPr>
  </w:style>
  <w:style w:type="paragraph" w:customStyle="1" w:styleId="291">
    <w:name w:val="样式29"/>
    <w:basedOn w:val="afffffffff9"/>
    <w:autoRedefine/>
    <w:uiPriority w:val="99"/>
    <w:qFormat/>
    <w:pPr>
      <w:overflowPunct/>
      <w:topLinePunct w:val="0"/>
      <w:adjustRightInd w:val="0"/>
      <w:spacing w:line="360" w:lineRule="auto"/>
      <w:ind w:left="482"/>
      <w:jc w:val="both"/>
      <w:outlineLvl w:val="9"/>
    </w:pPr>
    <w:rPr>
      <w:rFonts w:ascii="Times New Roman" w:hAnsi="Times New Roman"/>
      <w:sz w:val="24"/>
      <w:szCs w:val="24"/>
    </w:rPr>
  </w:style>
  <w:style w:type="paragraph" w:customStyle="1" w:styleId="6d">
    <w:name w:val="样式 样式6 + 黑色"/>
    <w:basedOn w:val="69"/>
    <w:autoRedefine/>
    <w:uiPriority w:val="99"/>
    <w:qFormat/>
    <w:pPr>
      <w:keepNext/>
      <w:keepLines/>
      <w:tabs>
        <w:tab w:val="left" w:pos="851"/>
      </w:tabs>
      <w:adjustRightInd w:val="0"/>
      <w:spacing w:before="120" w:after="120" w:line="240" w:lineRule="auto"/>
      <w:ind w:rightChars="100" w:right="210"/>
      <w:jc w:val="left"/>
      <w:textAlignment w:val="baseline"/>
      <w:outlineLvl w:val="2"/>
    </w:pPr>
    <w:rPr>
      <w:rFonts w:ascii="Times New Roman" w:cs="宋体"/>
      <w:kern w:val="32"/>
      <w:sz w:val="28"/>
    </w:rPr>
  </w:style>
  <w:style w:type="paragraph" w:customStyle="1" w:styleId="affffffffffffffffffffffff1">
    <w:name w:val="图文框"/>
    <w:basedOn w:val="320"/>
    <w:autoRedefine/>
    <w:uiPriority w:val="99"/>
    <w:qFormat/>
    <w:pPr>
      <w:spacing w:line="240" w:lineRule="atLeast"/>
    </w:pPr>
    <w:rPr>
      <w:rFonts w:ascii="Times New Roman" w:eastAsia="仿宋_GB2312" w:hAnsi="Times New Roman"/>
      <w:kern w:val="2"/>
      <w:sz w:val="21"/>
      <w:szCs w:val="21"/>
    </w:rPr>
  </w:style>
  <w:style w:type="paragraph" w:customStyle="1" w:styleId="CharChar14">
    <w:name w:val="字元 字元 Char Char 字元 字元1"/>
    <w:basedOn w:val="a"/>
    <w:autoRedefine/>
    <w:uiPriority w:val="99"/>
    <w:qFormat/>
    <w:rPr>
      <w:rFonts w:cs="Times New Roman"/>
      <w:sz w:val="24"/>
      <w:szCs w:val="24"/>
    </w:rPr>
  </w:style>
  <w:style w:type="paragraph" w:customStyle="1" w:styleId="323">
    <w:name w:val="标题 32"/>
    <w:basedOn w:val="a"/>
    <w:autoRedefine/>
    <w:uiPriority w:val="99"/>
    <w:qFormat/>
    <w:rPr>
      <w:rFonts w:cs="Times New Roman"/>
      <w:szCs w:val="24"/>
    </w:rPr>
  </w:style>
  <w:style w:type="paragraph" w:customStyle="1" w:styleId="CharCharCharCharCharChar1Char1">
    <w:name w:val="Char Char Char Char Char Char1 Char1"/>
    <w:basedOn w:val="a"/>
    <w:autoRedefine/>
    <w:uiPriority w:val="99"/>
    <w:qFormat/>
    <w:pPr>
      <w:spacing w:line="360" w:lineRule="auto"/>
      <w:ind w:firstLineChars="200" w:firstLine="200"/>
    </w:pPr>
    <w:rPr>
      <w:rFonts w:ascii="宋体" w:hAnsi="宋体" w:cs="宋体"/>
      <w:sz w:val="24"/>
      <w:szCs w:val="24"/>
    </w:rPr>
  </w:style>
  <w:style w:type="paragraph" w:customStyle="1" w:styleId="affffffffffffffffffffffff2">
    <w:name w:val="第三章 图件标题"/>
    <w:basedOn w:val="a"/>
    <w:next w:val="a"/>
    <w:autoRedefine/>
    <w:uiPriority w:val="99"/>
    <w:qFormat/>
    <w:pPr>
      <w:adjustRightInd w:val="0"/>
      <w:snapToGrid w:val="0"/>
      <w:spacing w:line="360" w:lineRule="auto"/>
      <w:ind w:left="902" w:hanging="420"/>
      <w:jc w:val="center"/>
    </w:pPr>
    <w:rPr>
      <w:rFonts w:eastAsia="黑体" w:cs="Times New Roman"/>
      <w:sz w:val="24"/>
      <w:szCs w:val="24"/>
    </w:rPr>
  </w:style>
  <w:style w:type="paragraph" w:customStyle="1" w:styleId="CharCharChar1CharCharCharChar">
    <w:name w:val="Char Char Char1 Char Char Char Char"/>
    <w:basedOn w:val="a"/>
    <w:autoRedefine/>
    <w:uiPriority w:val="99"/>
    <w:qFormat/>
    <w:pPr>
      <w:spacing w:line="360" w:lineRule="auto"/>
      <w:ind w:firstLineChars="200" w:firstLine="200"/>
    </w:pPr>
    <w:rPr>
      <w:rFonts w:ascii="宋体" w:eastAsia="仿宋_GB2312" w:cs="宋体"/>
      <w:kern w:val="0"/>
      <w:sz w:val="24"/>
      <w:szCs w:val="20"/>
    </w:rPr>
  </w:style>
  <w:style w:type="paragraph" w:customStyle="1" w:styleId="2002">
    <w:name w:val="正文2002"/>
    <w:basedOn w:val="a"/>
    <w:autoRedefine/>
    <w:uiPriority w:val="99"/>
    <w:qFormat/>
    <w:pPr>
      <w:spacing w:line="300" w:lineRule="exact"/>
      <w:jc w:val="center"/>
    </w:pPr>
    <w:rPr>
      <w:rFonts w:ascii="宋体" w:hAnsi="宋体" w:cs="Times New Roman"/>
      <w:b/>
      <w:color w:val="0000FF"/>
      <w:szCs w:val="20"/>
    </w:rPr>
  </w:style>
  <w:style w:type="paragraph" w:customStyle="1" w:styleId="Char210">
    <w:name w:val="Char21"/>
    <w:basedOn w:val="a"/>
    <w:autoRedefine/>
    <w:uiPriority w:val="99"/>
    <w:qFormat/>
    <w:pPr>
      <w:spacing w:line="360" w:lineRule="auto"/>
      <w:ind w:firstLineChars="200" w:firstLine="200"/>
    </w:pPr>
    <w:rPr>
      <w:rFonts w:ascii="宋体" w:hAnsi="宋体" w:cs="宋体"/>
      <w:sz w:val="24"/>
      <w:szCs w:val="24"/>
    </w:rPr>
  </w:style>
  <w:style w:type="paragraph" w:customStyle="1" w:styleId="xl74">
    <w:name w:val="xl74"/>
    <w:basedOn w:val="a"/>
    <w:autoRedefine/>
    <w:uiPriority w:val="99"/>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1CharCharCharCharCharCharCharCharCharChar">
    <w:name w:val="Char Char Char Char Char Char1 Char Char Char Char Char Char Char Char Char Char"/>
    <w:basedOn w:val="a"/>
    <w:autoRedefine/>
    <w:uiPriority w:val="99"/>
    <w:qFormat/>
    <w:pPr>
      <w:spacing w:line="360" w:lineRule="auto"/>
      <w:ind w:firstLineChars="200" w:firstLine="200"/>
    </w:pPr>
    <w:rPr>
      <w:rFonts w:cs="Times New Roman"/>
      <w:szCs w:val="20"/>
    </w:rPr>
  </w:style>
  <w:style w:type="paragraph" w:customStyle="1" w:styleId="Char1f4">
    <w:name w:val="报告书正文 Char1"/>
    <w:basedOn w:val="a"/>
    <w:autoRedefine/>
    <w:uiPriority w:val="99"/>
    <w:qFormat/>
    <w:pPr>
      <w:spacing w:line="300" w:lineRule="auto"/>
      <w:ind w:firstLineChars="200" w:firstLine="200"/>
    </w:pPr>
    <w:rPr>
      <w:rFonts w:cs="Times New Roman"/>
      <w:sz w:val="24"/>
      <w:szCs w:val="20"/>
    </w:rPr>
  </w:style>
  <w:style w:type="paragraph" w:customStyle="1" w:styleId="3ff7">
    <w:name w:val="样式 标题 3 + 四号"/>
    <w:basedOn w:val="3"/>
    <w:autoRedefine/>
    <w:uiPriority w:val="99"/>
    <w:qFormat/>
    <w:pPr>
      <w:numPr>
        <w:ilvl w:val="0"/>
        <w:numId w:val="0"/>
      </w:numPr>
      <w:jc w:val="both"/>
    </w:pPr>
    <w:rPr>
      <w:rFonts w:eastAsia="黑体" w:cs="Times New Roman"/>
      <w:bCs w:val="0"/>
      <w:color w:val="000000"/>
      <w:kern w:val="0"/>
      <w:szCs w:val="28"/>
    </w:rPr>
  </w:style>
  <w:style w:type="paragraph" w:customStyle="1" w:styleId="Char4CharCharCharCharCharChar12">
    <w:name w:val="Char4 Char Char Char Char Char Char12"/>
    <w:basedOn w:val="a"/>
    <w:autoRedefine/>
    <w:uiPriority w:val="99"/>
    <w:qFormat/>
    <w:pPr>
      <w:spacing w:line="360" w:lineRule="auto"/>
      <w:ind w:firstLineChars="200" w:firstLine="200"/>
    </w:pPr>
    <w:rPr>
      <w:rFonts w:ascii="宋体" w:hAnsi="宋体" w:cs="宋体"/>
      <w:sz w:val="24"/>
      <w:szCs w:val="24"/>
    </w:rPr>
  </w:style>
  <w:style w:type="paragraph" w:customStyle="1" w:styleId="affffffffffffffffffffffff3">
    <w:name w:val="流程图"/>
    <w:basedOn w:val="a"/>
    <w:autoRedefine/>
    <w:uiPriority w:val="99"/>
    <w:qFormat/>
    <w:pPr>
      <w:tabs>
        <w:tab w:val="left" w:pos="0"/>
      </w:tabs>
      <w:autoSpaceDE w:val="0"/>
      <w:autoSpaceDN w:val="0"/>
      <w:adjustRightInd w:val="0"/>
      <w:spacing w:line="240" w:lineRule="atLeast"/>
      <w:ind w:firstLineChars="200" w:firstLine="200"/>
      <w:jc w:val="center"/>
      <w:textAlignment w:val="bottom"/>
    </w:pPr>
    <w:rPr>
      <w:rFonts w:ascii="宋体" w:cs="Times New Roman"/>
      <w:sz w:val="24"/>
      <w:szCs w:val="20"/>
    </w:rPr>
  </w:style>
  <w:style w:type="paragraph" w:customStyle="1" w:styleId="2ffff5">
    <w:name w:val="标题2+"/>
    <w:basedOn w:val="20"/>
    <w:next w:val="a"/>
    <w:autoRedefine/>
    <w:uiPriority w:val="99"/>
    <w:qFormat/>
    <w:pPr>
      <w:numPr>
        <w:ilvl w:val="0"/>
        <w:numId w:val="0"/>
      </w:numPr>
      <w:tabs>
        <w:tab w:val="left" w:pos="-861"/>
        <w:tab w:val="left" w:pos="576"/>
        <w:tab w:val="left" w:pos="840"/>
        <w:tab w:val="left" w:pos="1145"/>
      </w:tabs>
      <w:spacing w:before="0" w:after="0"/>
      <w:ind w:left="576" w:hanging="576"/>
    </w:pPr>
    <w:rPr>
      <w:rFonts w:ascii="Arial" w:eastAsia="黑体" w:hAnsi="Arial" w:cs="Times New Roman"/>
      <w:bCs w:val="0"/>
      <w:szCs w:val="20"/>
    </w:rPr>
  </w:style>
  <w:style w:type="paragraph" w:customStyle="1" w:styleId="affffffffffffffffffffffff4">
    <w:name w:val="正文(a)"/>
    <w:basedOn w:val="a"/>
    <w:autoRedefine/>
    <w:uiPriority w:val="99"/>
    <w:semiHidden/>
    <w:qFormat/>
    <w:pPr>
      <w:widowControl/>
      <w:tabs>
        <w:tab w:val="left" w:pos="1230"/>
      </w:tabs>
      <w:adjustRightInd w:val="0"/>
      <w:snapToGrid w:val="0"/>
      <w:spacing w:line="480" w:lineRule="exact"/>
      <w:ind w:left="56" w:firstLine="454"/>
      <w:textAlignment w:val="baseline"/>
    </w:pPr>
    <w:rPr>
      <w:rFonts w:ascii="宋体" w:cs="Times New Roman"/>
      <w:color w:val="000000"/>
      <w:spacing w:val="20"/>
      <w:kern w:val="24"/>
      <w:sz w:val="24"/>
      <w:szCs w:val="20"/>
    </w:rPr>
  </w:style>
  <w:style w:type="paragraph" w:customStyle="1" w:styleId="Char3CharCharCharCharChar1Char">
    <w:name w:val="Char3 Char Char Char Char Char1 Char"/>
    <w:basedOn w:val="a"/>
    <w:autoRedefine/>
    <w:uiPriority w:val="99"/>
    <w:qFormat/>
    <w:pPr>
      <w:spacing w:line="360" w:lineRule="auto"/>
      <w:ind w:firstLineChars="200" w:firstLine="200"/>
    </w:pPr>
    <w:rPr>
      <w:rFonts w:ascii="宋体" w:hAnsi="宋体" w:cs="宋体"/>
      <w:sz w:val="24"/>
      <w:szCs w:val="24"/>
    </w:rPr>
  </w:style>
  <w:style w:type="paragraph" w:customStyle="1" w:styleId="-a">
    <w:name w:val="正文-第几条"/>
    <w:basedOn w:val="a"/>
    <w:autoRedefine/>
    <w:uiPriority w:val="99"/>
    <w:qFormat/>
    <w:pPr>
      <w:tabs>
        <w:tab w:val="left" w:pos="1200"/>
      </w:tabs>
      <w:spacing w:line="360" w:lineRule="auto"/>
      <w:ind w:leftChars="400" w:left="1200" w:hangingChars="200" w:hanging="360"/>
    </w:pPr>
    <w:rPr>
      <w:rFonts w:cs="Times New Roman"/>
      <w:sz w:val="24"/>
      <w:szCs w:val="24"/>
    </w:rPr>
  </w:style>
  <w:style w:type="paragraph" w:customStyle="1" w:styleId="10505">
    <w:name w:val="样式 标题 1 + 段前: 0.5 行 段后: 0.5 行"/>
    <w:basedOn w:val="1"/>
    <w:autoRedefine/>
    <w:uiPriority w:val="99"/>
    <w:qFormat/>
    <w:pPr>
      <w:widowControl/>
      <w:numPr>
        <w:numId w:val="0"/>
      </w:numPr>
      <w:tabs>
        <w:tab w:val="left" w:pos="0"/>
        <w:tab w:val="left" w:pos="432"/>
        <w:tab w:val="left" w:pos="567"/>
      </w:tabs>
      <w:spacing w:line="240" w:lineRule="auto"/>
      <w:ind w:left="432" w:hanging="432"/>
    </w:pPr>
    <w:rPr>
      <w:rFonts w:ascii="宋体" w:eastAsia="黑体" w:cs="Times New Roman"/>
      <w:bCs w:val="0"/>
      <w:sz w:val="44"/>
      <w:szCs w:val="20"/>
    </w:rPr>
  </w:style>
  <w:style w:type="paragraph" w:customStyle="1" w:styleId="Char1CharCharCharCharCharChar4">
    <w:name w:val="Char1 Char Char Char Char Char Char4"/>
    <w:basedOn w:val="a"/>
    <w:autoRedefine/>
    <w:uiPriority w:val="99"/>
    <w:qFormat/>
    <w:rPr>
      <w:rFonts w:cs="Times New Roman"/>
      <w:szCs w:val="24"/>
    </w:rPr>
  </w:style>
  <w:style w:type="paragraph" w:customStyle="1" w:styleId="3050515">
    <w:name w:val="样式 标题3 + (中文) 黑体 段前: 0.5 行 段后: 0.5 行 行距: 1.5 倍行距"/>
    <w:basedOn w:val="3"/>
    <w:autoRedefine/>
    <w:uiPriority w:val="99"/>
    <w:qFormat/>
    <w:pPr>
      <w:keepNext w:val="0"/>
      <w:keepLines w:val="0"/>
      <w:numPr>
        <w:ilvl w:val="0"/>
        <w:numId w:val="0"/>
      </w:numPr>
      <w:overflowPunct w:val="0"/>
      <w:topLinePunct/>
      <w:adjustRightInd/>
      <w:snapToGrid/>
      <w:jc w:val="both"/>
    </w:pPr>
    <w:rPr>
      <w:rFonts w:eastAsia="黑体" w:cs="宋体"/>
      <w:kern w:val="10"/>
      <w:sz w:val="28"/>
      <w:szCs w:val="28"/>
    </w:rPr>
  </w:style>
  <w:style w:type="paragraph" w:customStyle="1" w:styleId="indent">
    <w:name w:val="indent"/>
    <w:basedOn w:val="a"/>
    <w:autoRedefine/>
    <w:uiPriority w:val="99"/>
    <w:qFormat/>
    <w:pPr>
      <w:widowControl/>
      <w:spacing w:before="100" w:beforeAutospacing="1" w:after="100" w:afterAutospacing="1"/>
      <w:ind w:firstLine="525"/>
      <w:jc w:val="left"/>
    </w:pPr>
    <w:rPr>
      <w:rFonts w:ascii="宋体" w:hAnsi="宋体" w:cs="宋体"/>
      <w:kern w:val="0"/>
      <w:sz w:val="24"/>
      <w:szCs w:val="24"/>
    </w:rPr>
  </w:style>
  <w:style w:type="paragraph" w:customStyle="1" w:styleId="CharCharCharChar1CharCharChar3">
    <w:name w:val="Char Char Char Char1 Char Char Char3"/>
    <w:basedOn w:val="a"/>
    <w:autoRedefine/>
    <w:uiPriority w:val="99"/>
    <w:qFormat/>
    <w:rPr>
      <w:rFonts w:cs="Times New Roman"/>
      <w:szCs w:val="24"/>
    </w:rPr>
  </w:style>
  <w:style w:type="paragraph" w:customStyle="1" w:styleId="3ff8">
    <w:name w:val="本文标题 3"/>
    <w:basedOn w:val="a"/>
    <w:autoRedefine/>
    <w:uiPriority w:val="99"/>
    <w:qFormat/>
    <w:pPr>
      <w:tabs>
        <w:tab w:val="left" w:pos="1931"/>
      </w:tabs>
      <w:ind w:left="1418" w:hanging="567"/>
    </w:pPr>
    <w:rPr>
      <w:rFonts w:cs="Times New Roman"/>
      <w:szCs w:val="24"/>
    </w:rPr>
  </w:style>
  <w:style w:type="paragraph" w:customStyle="1" w:styleId="GB2312">
    <w:name w:val="样式 楷体_GB2312 居中"/>
    <w:basedOn w:val="a"/>
    <w:autoRedefine/>
    <w:uiPriority w:val="99"/>
    <w:qFormat/>
    <w:pPr>
      <w:spacing w:line="360" w:lineRule="auto"/>
      <w:ind w:firstLineChars="200" w:firstLine="200"/>
      <w:jc w:val="center"/>
    </w:pPr>
    <w:rPr>
      <w:rFonts w:ascii="楷体_GB2312" w:eastAsia="楷体_GB2312" w:cs="Times New Roman"/>
      <w:sz w:val="24"/>
      <w:szCs w:val="20"/>
    </w:rPr>
  </w:style>
  <w:style w:type="paragraph" w:customStyle="1" w:styleId="22231">
    <w:name w:val="样式 目录 2 + 左侧:  2 字符 首行缩进:  2 字符3"/>
    <w:basedOn w:val="28"/>
    <w:autoRedefine/>
    <w:uiPriority w:val="99"/>
    <w:qFormat/>
    <w:pPr>
      <w:tabs>
        <w:tab w:val="left" w:pos="600"/>
        <w:tab w:val="left" w:pos="720"/>
        <w:tab w:val="right" w:leader="dot" w:pos="9061"/>
      </w:tabs>
      <w:adjustRightInd w:val="0"/>
      <w:spacing w:before="120" w:line="240" w:lineRule="auto"/>
      <w:ind w:leftChars="0" w:left="0"/>
      <w:jc w:val="left"/>
    </w:pPr>
    <w:rPr>
      <w:rFonts w:ascii="Calibri" w:hAnsi="Calibri" w:cs="宋体"/>
      <w:i/>
      <w:iCs/>
      <w:sz w:val="21"/>
      <w:szCs w:val="20"/>
    </w:rPr>
  </w:style>
  <w:style w:type="paragraph" w:customStyle="1" w:styleId="1fffffa">
    <w:name w:val="1环评正文"/>
    <w:basedOn w:val="a"/>
    <w:autoRedefine/>
    <w:uiPriority w:val="99"/>
    <w:qFormat/>
    <w:pPr>
      <w:widowControl/>
      <w:spacing w:line="360" w:lineRule="auto"/>
      <w:ind w:firstLineChars="200" w:firstLine="200"/>
    </w:pPr>
    <w:rPr>
      <w:rFonts w:cs="宋体"/>
      <w:kern w:val="0"/>
      <w:sz w:val="24"/>
      <w:szCs w:val="20"/>
    </w:rPr>
  </w:style>
  <w:style w:type="paragraph" w:customStyle="1" w:styleId="05182CharChar">
    <w:name w:val="样式 样式 宋体 段前: 0.5 行 行距: 固定值 18 磅 + 首行缩进:  2 字符 Char Char"/>
    <w:basedOn w:val="a"/>
    <w:autoRedefine/>
    <w:uiPriority w:val="99"/>
    <w:qFormat/>
    <w:pPr>
      <w:snapToGrid w:val="0"/>
      <w:spacing w:line="360" w:lineRule="auto"/>
      <w:ind w:firstLineChars="200" w:firstLine="480"/>
    </w:pPr>
    <w:rPr>
      <w:rFonts w:cs="Times New Roman"/>
      <w:color w:val="000000"/>
      <w:sz w:val="24"/>
      <w:szCs w:val="20"/>
    </w:rPr>
  </w:style>
  <w:style w:type="paragraph" w:customStyle="1" w:styleId="CharCharCharCharCharChar1Char">
    <w:name w:val="Char Char Char Char Char Char1 Char"/>
    <w:basedOn w:val="a"/>
    <w:autoRedefine/>
    <w:uiPriority w:val="99"/>
    <w:qFormat/>
    <w:pPr>
      <w:spacing w:line="360" w:lineRule="auto"/>
    </w:pPr>
    <w:rPr>
      <w:rFonts w:cs="Times New Roman"/>
      <w:sz w:val="24"/>
      <w:szCs w:val="24"/>
    </w:rPr>
  </w:style>
  <w:style w:type="paragraph" w:customStyle="1" w:styleId="-b">
    <w:name w:val="正文-叶"/>
    <w:basedOn w:val="a"/>
    <w:autoRedefine/>
    <w:uiPriority w:val="99"/>
    <w:qFormat/>
    <w:pPr>
      <w:topLinePunct/>
      <w:spacing w:line="312" w:lineRule="auto"/>
      <w:ind w:firstLine="465"/>
    </w:pPr>
    <w:rPr>
      <w:rFonts w:cs="Times New Roman"/>
      <w:sz w:val="24"/>
      <w:szCs w:val="20"/>
    </w:rPr>
  </w:style>
  <w:style w:type="paragraph" w:customStyle="1" w:styleId="affffffffffffffffffffffff5">
    <w:name w:val="正式文本"/>
    <w:basedOn w:val="a"/>
    <w:autoRedefine/>
    <w:uiPriority w:val="99"/>
    <w:qFormat/>
    <w:pPr>
      <w:ind w:firstLineChars="71" w:firstLine="199"/>
    </w:pPr>
    <w:rPr>
      <w:rFonts w:ascii="仿宋_GB2312" w:eastAsia="仿宋_GB2312" w:cs="Times New Roman"/>
      <w:sz w:val="28"/>
      <w:szCs w:val="21"/>
    </w:rPr>
  </w:style>
  <w:style w:type="paragraph" w:customStyle="1" w:styleId="1521">
    <w:name w:val="样式 行距: 1.5 倍行距2"/>
    <w:basedOn w:val="a"/>
    <w:autoRedefine/>
    <w:uiPriority w:val="99"/>
    <w:qFormat/>
    <w:pPr>
      <w:spacing w:line="360" w:lineRule="auto"/>
      <w:ind w:firstLineChars="200" w:firstLine="480"/>
    </w:pPr>
    <w:rPr>
      <w:rFonts w:cs="宋体"/>
      <w:sz w:val="24"/>
      <w:szCs w:val="20"/>
    </w:rPr>
  </w:style>
  <w:style w:type="paragraph" w:customStyle="1" w:styleId="Char1CharCharCharCharCharChar3">
    <w:name w:val="Char1 Char Char Char Char Char Char3"/>
    <w:basedOn w:val="a"/>
    <w:autoRedefine/>
    <w:uiPriority w:val="99"/>
    <w:qFormat/>
    <w:rPr>
      <w:rFonts w:ascii="Tahoma" w:hAnsi="Tahoma" w:cs="Times New Roman"/>
      <w:sz w:val="24"/>
      <w:szCs w:val="20"/>
    </w:rPr>
  </w:style>
  <w:style w:type="paragraph" w:customStyle="1" w:styleId="328158152">
    <w:name w:val="样式 标题 3 + 首行缩进:  2 字符 段前: 8.15 磅 段后: 8.15 磅2"/>
    <w:basedOn w:val="3"/>
    <w:autoRedefine/>
    <w:uiPriority w:val="99"/>
    <w:qFormat/>
    <w:pPr>
      <w:numPr>
        <w:ilvl w:val="0"/>
        <w:numId w:val="0"/>
      </w:numPr>
      <w:snapToGrid/>
      <w:spacing w:beforeLines="50" w:afterLines="50" w:line="240" w:lineRule="atLeast"/>
      <w:ind w:firstLineChars="200" w:firstLine="482"/>
      <w:textAlignment w:val="baseline"/>
    </w:pPr>
    <w:rPr>
      <w:rFonts w:ascii="Arial Unicode MS" w:eastAsia="黑体" w:hAnsi="Arial Unicode MS" w:cs="Times New Roman"/>
      <w:sz w:val="28"/>
      <w:szCs w:val="28"/>
    </w:rPr>
  </w:style>
  <w:style w:type="paragraph" w:customStyle="1" w:styleId="333TimesNewRoman15">
    <w:name w:val="样式 标题 3标题 33 + Times New Roman 小四 行距: 1.5 倍行距"/>
    <w:basedOn w:val="3"/>
    <w:autoRedefine/>
    <w:uiPriority w:val="99"/>
    <w:qFormat/>
    <w:pPr>
      <w:numPr>
        <w:ilvl w:val="0"/>
        <w:numId w:val="0"/>
      </w:numPr>
      <w:tabs>
        <w:tab w:val="left" w:pos="-441"/>
        <w:tab w:val="left" w:pos="720"/>
        <w:tab w:val="left" w:pos="1260"/>
        <w:tab w:val="left" w:pos="1931"/>
      </w:tabs>
      <w:adjustRightInd/>
      <w:snapToGrid/>
      <w:ind w:left="720" w:hanging="432"/>
      <w:jc w:val="both"/>
    </w:pPr>
    <w:rPr>
      <w:rFonts w:cs="Times New Roman"/>
      <w:sz w:val="26"/>
    </w:rPr>
  </w:style>
  <w:style w:type="paragraph" w:customStyle="1" w:styleId="uu">
    <w:name w:val="uu"/>
    <w:basedOn w:val="a"/>
    <w:autoRedefine/>
    <w:uiPriority w:val="99"/>
    <w:qFormat/>
    <w:pPr>
      <w:adjustRightInd w:val="0"/>
      <w:snapToGrid w:val="0"/>
      <w:spacing w:line="360" w:lineRule="auto"/>
      <w:ind w:firstLineChars="200" w:firstLine="200"/>
      <w:jc w:val="left"/>
      <w:textAlignment w:val="baseline"/>
    </w:pPr>
    <w:rPr>
      <w:rFonts w:ascii="宋体" w:hAnsi="宋体" w:cs="Times New Roman"/>
      <w:kern w:val="0"/>
      <w:sz w:val="24"/>
      <w:szCs w:val="24"/>
    </w:rPr>
  </w:style>
  <w:style w:type="paragraph" w:customStyle="1" w:styleId="2ffff6">
    <w:name w:val="列出段落2"/>
    <w:basedOn w:val="5f1"/>
    <w:autoRedefine/>
    <w:uiPriority w:val="99"/>
    <w:qFormat/>
    <w:pPr>
      <w:adjustRightInd/>
      <w:spacing w:line="240" w:lineRule="auto"/>
      <w:ind w:firstLine="420"/>
      <w:jc w:val="both"/>
      <w:textAlignment w:val="auto"/>
    </w:pPr>
    <w:rPr>
      <w:rFonts w:ascii="Calibri" w:eastAsia="Calibri" w:hAnsi="Calibri" w:cs="宋体"/>
      <w:sz w:val="21"/>
      <w:lang w:eastAsia="en-US"/>
    </w:rPr>
  </w:style>
  <w:style w:type="paragraph" w:customStyle="1" w:styleId="affffffffffffffffffffffff6">
    <w:name w:val="环评"/>
    <w:basedOn w:val="a"/>
    <w:autoRedefine/>
    <w:uiPriority w:val="99"/>
    <w:qFormat/>
    <w:pPr>
      <w:tabs>
        <w:tab w:val="left" w:pos="662"/>
      </w:tabs>
    </w:pPr>
    <w:rPr>
      <w:rFonts w:cs="Times New Roman"/>
      <w:sz w:val="28"/>
      <w:szCs w:val="20"/>
    </w:rPr>
  </w:style>
  <w:style w:type="paragraph" w:customStyle="1" w:styleId="305051">
    <w:name w:val="样式 标题 3 + 段前: 0.5 行 段后: 0.5 行1"/>
    <w:basedOn w:val="3"/>
    <w:autoRedefine/>
    <w:uiPriority w:val="99"/>
    <w:qFormat/>
    <w:pPr>
      <w:numPr>
        <w:ilvl w:val="0"/>
        <w:numId w:val="0"/>
      </w:numPr>
      <w:tabs>
        <w:tab w:val="left" w:pos="-441"/>
        <w:tab w:val="left" w:pos="720"/>
        <w:tab w:val="left" w:pos="1260"/>
        <w:tab w:val="left" w:pos="1931"/>
      </w:tabs>
      <w:adjustRightInd/>
      <w:snapToGrid/>
      <w:ind w:left="720" w:hanging="432"/>
      <w:jc w:val="both"/>
    </w:pPr>
    <w:rPr>
      <w:rFonts w:cs="Times New Roman"/>
      <w:sz w:val="26"/>
    </w:rPr>
  </w:style>
  <w:style w:type="paragraph" w:customStyle="1" w:styleId="defaultparagraphfontChar">
    <w:name w:val="default paragraph font Char"/>
    <w:basedOn w:val="a"/>
    <w:autoRedefine/>
    <w:uiPriority w:val="99"/>
    <w:qFormat/>
    <w:pPr>
      <w:spacing w:line="240" w:lineRule="atLeast"/>
      <w:ind w:left="420" w:firstLineChars="200" w:firstLine="420"/>
      <w:jc w:val="left"/>
    </w:pPr>
    <w:rPr>
      <w:rFonts w:eastAsia="仿宋_GB2312" w:cs="Times New Roman"/>
      <w:sz w:val="32"/>
      <w:szCs w:val="32"/>
    </w:rPr>
  </w:style>
  <w:style w:type="paragraph" w:customStyle="1" w:styleId="affffffffffffffffffffffff7">
    <w:name w:val="表格正文"/>
    <w:basedOn w:val="a"/>
    <w:link w:val="Charfffffd"/>
    <w:autoRedefine/>
    <w:qFormat/>
    <w:rPr>
      <w:rFonts w:ascii="仿宋_GB2312" w:eastAsia="仿宋_GB2312" w:cs="仿宋_GB2312"/>
      <w:kern w:val="0"/>
      <w:sz w:val="24"/>
      <w:szCs w:val="24"/>
    </w:rPr>
  </w:style>
  <w:style w:type="character" w:customStyle="1" w:styleId="Charfffffd">
    <w:name w:val="表格正文 Char"/>
    <w:link w:val="affffffffffffffffffffffff7"/>
    <w:autoRedefine/>
    <w:qFormat/>
    <w:rPr>
      <w:rFonts w:ascii="仿宋_GB2312" w:eastAsia="仿宋_GB2312" w:cs="仿宋_GB2312"/>
      <w:sz w:val="24"/>
      <w:szCs w:val="24"/>
    </w:rPr>
  </w:style>
  <w:style w:type="paragraph" w:customStyle="1" w:styleId="2ffff7">
    <w:name w:val="样式 标题 2 + (中文) 华文中宋 四号"/>
    <w:basedOn w:val="20"/>
    <w:autoRedefine/>
    <w:uiPriority w:val="99"/>
    <w:qFormat/>
    <w:pPr>
      <w:numPr>
        <w:ilvl w:val="0"/>
        <w:numId w:val="0"/>
      </w:numPr>
      <w:tabs>
        <w:tab w:val="left" w:pos="-861"/>
        <w:tab w:val="left" w:pos="576"/>
        <w:tab w:val="left" w:pos="840"/>
        <w:tab w:val="left" w:pos="1145"/>
      </w:tabs>
      <w:spacing w:before="0" w:after="0"/>
      <w:ind w:left="576" w:hanging="576"/>
    </w:pPr>
    <w:rPr>
      <w:rFonts w:ascii="Arial" w:eastAsia="黑体" w:hAnsi="Arial" w:cs="Times New Roman"/>
      <w:bCs w:val="0"/>
      <w:szCs w:val="20"/>
    </w:rPr>
  </w:style>
  <w:style w:type="paragraph" w:customStyle="1" w:styleId="bg">
    <w:name w:val="bg"/>
    <w:basedOn w:val="a"/>
    <w:autoRedefine/>
    <w:uiPriority w:val="99"/>
    <w:qFormat/>
    <w:pPr>
      <w:widowControl/>
    </w:pPr>
    <w:rPr>
      <w:rFonts w:cs="Times New Roman"/>
      <w:kern w:val="0"/>
      <w:sz w:val="24"/>
      <w:szCs w:val="24"/>
    </w:rPr>
  </w:style>
  <w:style w:type="paragraph" w:customStyle="1" w:styleId="1117">
    <w:name w:val="1.1.1 三级标题"/>
    <w:basedOn w:val="a"/>
    <w:autoRedefine/>
    <w:uiPriority w:val="99"/>
    <w:qFormat/>
    <w:pPr>
      <w:spacing w:line="360" w:lineRule="auto"/>
      <w:ind w:firstLineChars="200" w:firstLine="200"/>
      <w:jc w:val="left"/>
      <w:outlineLvl w:val="2"/>
    </w:pPr>
    <w:rPr>
      <w:rFonts w:cs="Times New Roman"/>
      <w:b/>
      <w:sz w:val="24"/>
      <w:szCs w:val="20"/>
    </w:rPr>
  </w:style>
  <w:style w:type="paragraph" w:customStyle="1" w:styleId="affffffffffffffffffffffff8">
    <w:name w:val="正文 + 四号"/>
    <w:basedOn w:val="af2"/>
    <w:autoRedefine/>
    <w:uiPriority w:val="99"/>
    <w:qFormat/>
    <w:pPr>
      <w:spacing w:line="240" w:lineRule="auto"/>
      <w:ind w:firstLineChars="200" w:firstLine="560"/>
    </w:pPr>
    <w:rPr>
      <w:rFonts w:ascii="Times New Roman"/>
      <w:kern w:val="0"/>
      <w:sz w:val="28"/>
      <w:szCs w:val="28"/>
    </w:rPr>
  </w:style>
  <w:style w:type="paragraph" w:customStyle="1" w:styleId="affffffffffffffffffffffff9">
    <w:name w:val="样式 (符号) 宋体 小三 加粗 居中"/>
    <w:basedOn w:val="a"/>
    <w:autoRedefine/>
    <w:uiPriority w:val="99"/>
    <w:qFormat/>
    <w:pPr>
      <w:spacing w:line="360" w:lineRule="auto"/>
      <w:ind w:firstLine="482"/>
      <w:jc w:val="center"/>
    </w:pPr>
    <w:rPr>
      <w:rFonts w:hAnsi="宋体" w:cs="宋体"/>
      <w:b/>
      <w:bCs/>
      <w:sz w:val="24"/>
      <w:szCs w:val="20"/>
    </w:rPr>
  </w:style>
  <w:style w:type="paragraph" w:customStyle="1" w:styleId="affffffffffffffffffffffffa">
    <w:name w:val="第二章 图件标题"/>
    <w:basedOn w:val="a"/>
    <w:next w:val="a"/>
    <w:autoRedefine/>
    <w:uiPriority w:val="99"/>
    <w:qFormat/>
    <w:pPr>
      <w:tabs>
        <w:tab w:val="left" w:pos="360"/>
      </w:tabs>
      <w:adjustRightInd w:val="0"/>
      <w:snapToGrid w:val="0"/>
      <w:spacing w:line="360" w:lineRule="auto"/>
      <w:ind w:left="420" w:hanging="420"/>
      <w:jc w:val="center"/>
    </w:pPr>
    <w:rPr>
      <w:rFonts w:eastAsia="黑体" w:cs="Times New Roman"/>
      <w:sz w:val="24"/>
      <w:szCs w:val="24"/>
    </w:rPr>
  </w:style>
  <w:style w:type="paragraph" w:customStyle="1" w:styleId="affffffffffffffffffffffffb">
    <w:name w:val="表文居中"/>
    <w:basedOn w:val="afffffffff9"/>
    <w:autoRedefine/>
    <w:uiPriority w:val="99"/>
    <w:qFormat/>
    <w:pPr>
      <w:overflowPunct/>
      <w:topLinePunct w:val="0"/>
      <w:adjustRightInd w:val="0"/>
      <w:spacing w:line="360" w:lineRule="auto"/>
      <w:ind w:left="482"/>
      <w:jc w:val="both"/>
      <w:outlineLvl w:val="9"/>
    </w:pPr>
    <w:rPr>
      <w:rFonts w:ascii="Times New Roman" w:hAnsi="Times New Roman"/>
      <w:sz w:val="24"/>
      <w:szCs w:val="24"/>
    </w:rPr>
  </w:style>
  <w:style w:type="paragraph" w:customStyle="1" w:styleId="affffffffffffffffffffffffc">
    <w:name w:val="表格字符"/>
    <w:basedOn w:val="a"/>
    <w:uiPriority w:val="99"/>
    <w:qFormat/>
    <w:pPr>
      <w:adjustRightInd w:val="0"/>
      <w:spacing w:line="300" w:lineRule="auto"/>
      <w:jc w:val="center"/>
      <w:textAlignment w:val="baseline"/>
    </w:pPr>
    <w:rPr>
      <w:rFonts w:cs="Times New Roman"/>
      <w:spacing w:val="-10"/>
      <w:kern w:val="0"/>
      <w:sz w:val="24"/>
      <w:szCs w:val="20"/>
    </w:rPr>
  </w:style>
  <w:style w:type="paragraph" w:customStyle="1" w:styleId="2ffff8">
    <w:name w:val="本文标题 2"/>
    <w:basedOn w:val="a"/>
    <w:autoRedefine/>
    <w:uiPriority w:val="99"/>
    <w:qFormat/>
    <w:pPr>
      <w:tabs>
        <w:tab w:val="left" w:pos="0"/>
      </w:tabs>
      <w:ind w:left="482"/>
    </w:pPr>
    <w:rPr>
      <w:rFonts w:cs="Times New Roman"/>
      <w:szCs w:val="24"/>
    </w:rPr>
  </w:style>
  <w:style w:type="paragraph" w:customStyle="1" w:styleId="1522">
    <w:name w:val="样式 四号 行距: 1.5 倍行距 首行缩进:  2 字符"/>
    <w:basedOn w:val="a"/>
    <w:autoRedefine/>
    <w:uiPriority w:val="99"/>
    <w:semiHidden/>
    <w:qFormat/>
    <w:pPr>
      <w:spacing w:line="360" w:lineRule="auto"/>
      <w:ind w:firstLineChars="200" w:firstLine="560"/>
    </w:pPr>
    <w:rPr>
      <w:rFonts w:cs="宋体"/>
      <w:sz w:val="28"/>
      <w:szCs w:val="20"/>
    </w:rPr>
  </w:style>
  <w:style w:type="paragraph" w:customStyle="1" w:styleId="171">
    <w:name w:val="样式17"/>
    <w:basedOn w:val="a"/>
    <w:autoRedefine/>
    <w:uiPriority w:val="99"/>
    <w:qFormat/>
    <w:pPr>
      <w:ind w:firstLineChars="200" w:firstLine="420"/>
    </w:pPr>
    <w:rPr>
      <w:rFonts w:eastAsia="华文中宋" w:cs="Times New Roman"/>
      <w:szCs w:val="21"/>
    </w:rPr>
  </w:style>
  <w:style w:type="paragraph" w:customStyle="1" w:styleId="affffffffffffffffffffffffd">
    <w:name w:val="表下注释"/>
    <w:basedOn w:val="afffffffffe"/>
    <w:autoRedefine/>
    <w:uiPriority w:val="99"/>
    <w:qFormat/>
    <w:pPr>
      <w:keepNext/>
      <w:keepLines/>
      <w:spacing w:before="60" w:after="60" w:line="240" w:lineRule="exact"/>
      <w:ind w:firstLineChars="0" w:firstLine="0"/>
    </w:pPr>
    <w:rPr>
      <w:rFonts w:eastAsia="仿宋_GB2312"/>
      <w:bCs/>
      <w:kern w:val="44"/>
      <w:sz w:val="21"/>
      <w:szCs w:val="44"/>
    </w:rPr>
  </w:style>
  <w:style w:type="paragraph" w:customStyle="1" w:styleId="Char3CharCharCharCharChar1Char1">
    <w:name w:val="Char3 Char Char Char Char Char1 Char1"/>
    <w:basedOn w:val="a"/>
    <w:uiPriority w:val="99"/>
    <w:qFormat/>
    <w:pPr>
      <w:spacing w:line="360" w:lineRule="auto"/>
      <w:ind w:firstLineChars="200" w:firstLine="200"/>
    </w:pPr>
    <w:rPr>
      <w:rFonts w:ascii="宋体" w:hAnsi="宋体" w:cs="宋体"/>
      <w:sz w:val="24"/>
      <w:szCs w:val="24"/>
    </w:rPr>
  </w:style>
  <w:style w:type="paragraph" w:customStyle="1" w:styleId="2ffff9">
    <w:name w:val="样式 宋体 小五 首行缩进:  2 字符"/>
    <w:basedOn w:val="a"/>
    <w:autoRedefine/>
    <w:uiPriority w:val="99"/>
    <w:qFormat/>
    <w:pPr>
      <w:ind w:firstLineChars="200" w:firstLine="200"/>
    </w:pPr>
    <w:rPr>
      <w:rFonts w:ascii="宋体" w:hAnsi="宋体" w:cs="宋体"/>
      <w:spacing w:val="-2"/>
      <w:sz w:val="18"/>
      <w:szCs w:val="20"/>
    </w:rPr>
  </w:style>
  <w:style w:type="paragraph" w:customStyle="1" w:styleId="1fffffb">
    <w:name w:val="表名1"/>
    <w:basedOn w:val="a"/>
    <w:autoRedefine/>
    <w:uiPriority w:val="99"/>
    <w:semiHidden/>
    <w:qFormat/>
    <w:pPr>
      <w:spacing w:line="360" w:lineRule="auto"/>
    </w:pPr>
    <w:rPr>
      <w:rFonts w:eastAsia="黑体" w:cs="Times New Roman"/>
      <w:szCs w:val="20"/>
    </w:rPr>
  </w:style>
  <w:style w:type="paragraph" w:customStyle="1" w:styleId="affffffffffffffffffffffffe">
    <w:name w:val="表小五号"/>
    <w:basedOn w:val="a"/>
    <w:uiPriority w:val="99"/>
    <w:qFormat/>
    <w:pPr>
      <w:jc w:val="center"/>
    </w:pPr>
    <w:rPr>
      <w:rFonts w:ascii="宋体" w:hAnsi="宋体" w:cs="宋体"/>
      <w:spacing w:val="-2"/>
      <w:sz w:val="18"/>
      <w:szCs w:val="20"/>
    </w:rPr>
  </w:style>
  <w:style w:type="paragraph" w:customStyle="1" w:styleId="afffffffffffffffffffffffff">
    <w:name w:val="正文首缩四"/>
    <w:basedOn w:val="a"/>
    <w:autoRedefine/>
    <w:uiPriority w:val="99"/>
    <w:qFormat/>
    <w:pPr>
      <w:adjustRightInd w:val="0"/>
      <w:snapToGrid w:val="0"/>
      <w:spacing w:line="360" w:lineRule="auto"/>
      <w:ind w:firstLineChars="200" w:firstLine="200"/>
      <w:jc w:val="left"/>
    </w:pPr>
    <w:rPr>
      <w:rFonts w:cs="Times New Roman"/>
      <w:sz w:val="28"/>
      <w:szCs w:val="28"/>
    </w:rPr>
  </w:style>
  <w:style w:type="paragraph" w:customStyle="1" w:styleId="afffffffffffffffffffffffff0">
    <w:name w:val="正文加粗"/>
    <w:basedOn w:val="a"/>
    <w:autoRedefine/>
    <w:uiPriority w:val="99"/>
    <w:qFormat/>
    <w:pPr>
      <w:spacing w:line="360" w:lineRule="auto"/>
    </w:pPr>
    <w:rPr>
      <w:rFonts w:cs="Times New Roman"/>
      <w:b/>
      <w:color w:val="000000"/>
      <w:sz w:val="24"/>
      <w:szCs w:val="24"/>
    </w:rPr>
  </w:style>
  <w:style w:type="paragraph" w:customStyle="1" w:styleId="-50">
    <w:name w:val="标-5"/>
    <w:basedOn w:val="a"/>
    <w:uiPriority w:val="99"/>
    <w:qFormat/>
    <w:pPr>
      <w:tabs>
        <w:tab w:val="right" w:leader="dot" w:pos="8789"/>
      </w:tabs>
      <w:spacing w:before="120" w:line="360" w:lineRule="auto"/>
      <w:ind w:left="1276" w:firstLineChars="200" w:hanging="425"/>
      <w:jc w:val="left"/>
    </w:pPr>
    <w:rPr>
      <w:rFonts w:cs="Times New Roman"/>
      <w:sz w:val="24"/>
      <w:szCs w:val="20"/>
    </w:rPr>
  </w:style>
  <w:style w:type="paragraph" w:customStyle="1" w:styleId="4f9">
    <w:name w:val="目录4"/>
    <w:basedOn w:val="a"/>
    <w:next w:val="a"/>
    <w:autoRedefine/>
    <w:uiPriority w:val="99"/>
    <w:qFormat/>
    <w:pPr>
      <w:widowControl/>
      <w:tabs>
        <w:tab w:val="left" w:leader="dot" w:pos="8503"/>
      </w:tabs>
      <w:adjustRightInd w:val="0"/>
      <w:snapToGrid w:val="0"/>
      <w:spacing w:line="317" w:lineRule="atLeast"/>
      <w:ind w:left="419" w:firstLineChars="200" w:firstLine="629"/>
      <w:textAlignment w:val="baseline"/>
    </w:pPr>
    <w:rPr>
      <w:rFonts w:cs="Times New Roman"/>
      <w:color w:val="000000"/>
      <w:kern w:val="0"/>
      <w:sz w:val="24"/>
      <w:szCs w:val="24"/>
    </w:rPr>
  </w:style>
  <w:style w:type="paragraph" w:customStyle="1" w:styleId="-71">
    <w:name w:val="标-7"/>
    <w:basedOn w:val="a"/>
    <w:autoRedefine/>
    <w:uiPriority w:val="99"/>
    <w:qFormat/>
    <w:pPr>
      <w:tabs>
        <w:tab w:val="left" w:pos="420"/>
      </w:tabs>
      <w:spacing w:before="120" w:line="360" w:lineRule="auto"/>
      <w:ind w:left="1701" w:firstLineChars="200" w:hanging="425"/>
      <w:jc w:val="left"/>
    </w:pPr>
    <w:rPr>
      <w:rFonts w:cs="Times New Roman"/>
      <w:sz w:val="24"/>
      <w:szCs w:val="20"/>
    </w:rPr>
  </w:style>
  <w:style w:type="paragraph" w:customStyle="1" w:styleId="CharCharCharCharCharChar1CharCharCharCharCharCharCharCharCharChar1">
    <w:name w:val="Char Char Char Char Char Char1 Char Char Char Char Char Char Char Char Char Char1"/>
    <w:basedOn w:val="a"/>
    <w:uiPriority w:val="99"/>
    <w:qFormat/>
    <w:pPr>
      <w:spacing w:line="360" w:lineRule="auto"/>
      <w:ind w:firstLineChars="200" w:firstLine="200"/>
    </w:pPr>
    <w:rPr>
      <w:rFonts w:cs="Times New Roman"/>
      <w:szCs w:val="20"/>
    </w:rPr>
  </w:style>
  <w:style w:type="paragraph" w:customStyle="1" w:styleId="3050510">
    <w:name w:val="样式 标题3 + 段前: 0.5 行 段后: 0.5 行1"/>
    <w:basedOn w:val="3"/>
    <w:autoRedefine/>
    <w:uiPriority w:val="99"/>
    <w:qFormat/>
    <w:pPr>
      <w:keepNext w:val="0"/>
      <w:keepLines w:val="0"/>
      <w:numPr>
        <w:ilvl w:val="0"/>
        <w:numId w:val="0"/>
      </w:numPr>
      <w:overflowPunct w:val="0"/>
      <w:topLinePunct/>
      <w:adjustRightInd/>
      <w:snapToGrid/>
      <w:spacing w:line="440" w:lineRule="exact"/>
      <w:jc w:val="both"/>
    </w:pPr>
    <w:rPr>
      <w:rFonts w:eastAsia="华文中宋" w:cs="宋体"/>
      <w:kern w:val="10"/>
      <w:sz w:val="28"/>
      <w:szCs w:val="20"/>
    </w:rPr>
  </w:style>
  <w:style w:type="paragraph" w:customStyle="1" w:styleId="font12">
    <w:name w:val="font12"/>
    <w:basedOn w:val="a"/>
    <w:autoRedefine/>
    <w:uiPriority w:val="99"/>
    <w:qFormat/>
    <w:pPr>
      <w:widowControl/>
      <w:spacing w:before="100" w:beforeAutospacing="1" w:after="100" w:afterAutospacing="1"/>
      <w:jc w:val="left"/>
    </w:pPr>
    <w:rPr>
      <w:rFonts w:ascii="宋体" w:hAnsi="宋体" w:cs="Times New Roman" w:hint="eastAsia"/>
      <w:kern w:val="0"/>
      <w:sz w:val="28"/>
      <w:szCs w:val="28"/>
    </w:rPr>
  </w:style>
  <w:style w:type="paragraph" w:customStyle="1" w:styleId="afffffffffffffffffffffffff1">
    <w:name w:val="文字部分"/>
    <w:basedOn w:val="a"/>
    <w:uiPriority w:val="99"/>
    <w:qFormat/>
    <w:pPr>
      <w:ind w:firstLineChars="200" w:firstLine="200"/>
    </w:pPr>
    <w:rPr>
      <w:rFonts w:ascii="宋体" w:cs="Times New Roman"/>
      <w:sz w:val="28"/>
      <w:szCs w:val="28"/>
    </w:rPr>
  </w:style>
  <w:style w:type="paragraph" w:customStyle="1" w:styleId="CharCharCharCharCharCharCharChar1CharCharCharChar1">
    <w:name w:val="Char Char Char Char Char Char Char Char1 Char Char Char Char1"/>
    <w:basedOn w:val="a"/>
    <w:uiPriority w:val="99"/>
    <w:qFormat/>
    <w:rPr>
      <w:rFonts w:cs="Times New Roman"/>
      <w:szCs w:val="20"/>
    </w:rPr>
  </w:style>
  <w:style w:type="paragraph" w:customStyle="1" w:styleId="05">
    <w:name w:val="样式 表文居中 + 段前: 0.5 行"/>
    <w:basedOn w:val="a"/>
    <w:autoRedefine/>
    <w:uiPriority w:val="99"/>
    <w:qFormat/>
    <w:pPr>
      <w:autoSpaceDE w:val="0"/>
      <w:autoSpaceDN w:val="0"/>
      <w:adjustRightInd w:val="0"/>
      <w:snapToGrid w:val="0"/>
      <w:jc w:val="center"/>
      <w:textAlignment w:val="baseline"/>
    </w:pPr>
    <w:rPr>
      <w:rFonts w:cs="宋体"/>
      <w:kern w:val="0"/>
      <w:szCs w:val="20"/>
    </w:rPr>
  </w:style>
  <w:style w:type="paragraph" w:customStyle="1" w:styleId="205205">
    <w:name w:val="样式 样式 左侧:  2 字符 段后: 0.5 行 + 首行缩进:  2 字符 段后: 0.5 行"/>
    <w:basedOn w:val="a"/>
    <w:uiPriority w:val="99"/>
    <w:qFormat/>
    <w:pPr>
      <w:spacing w:afterLines="50"/>
      <w:ind w:firstLineChars="200" w:firstLine="560"/>
    </w:pPr>
    <w:rPr>
      <w:rFonts w:eastAsia="仿宋_GB2312" w:cs="Times New Roman"/>
      <w:sz w:val="28"/>
      <w:szCs w:val="28"/>
    </w:rPr>
  </w:style>
  <w:style w:type="paragraph" w:customStyle="1" w:styleId="1fffffc">
    <w:name w:val="图文1"/>
    <w:basedOn w:val="afffffb"/>
    <w:autoRedefine/>
    <w:uiPriority w:val="99"/>
    <w:qFormat/>
    <w:pPr>
      <w:keepNext w:val="0"/>
      <w:keepLines w:val="0"/>
      <w:tabs>
        <w:tab w:val="clear" w:pos="-145"/>
        <w:tab w:val="clear" w:pos="0"/>
        <w:tab w:val="clear" w:pos="37"/>
        <w:tab w:val="clear" w:pos="580"/>
        <w:tab w:val="clear" w:pos="4500"/>
        <w:tab w:val="clear" w:pos="5160"/>
        <w:tab w:val="clear" w:pos="8460"/>
        <w:tab w:val="clear" w:pos="9000"/>
      </w:tabs>
      <w:adjustRightInd/>
      <w:snapToGrid/>
      <w:spacing w:beforeLines="0" w:before="0" w:afterLines="0" w:line="240" w:lineRule="auto"/>
      <w:ind w:firstLine="0"/>
      <w:textAlignment w:val="auto"/>
    </w:pPr>
    <w:rPr>
      <w:rFonts w:ascii="Times New Roman" w:eastAsia="宋体" w:hAnsi="Times New Roman" w:cs="Times New Roman"/>
      <w:bCs/>
      <w:snapToGrid/>
      <w:color w:val="auto"/>
      <w:spacing w:val="0"/>
      <w:sz w:val="24"/>
      <w:szCs w:val="24"/>
    </w:rPr>
  </w:style>
  <w:style w:type="paragraph" w:customStyle="1" w:styleId="CharCharChar1CharCharCharCharCharCharCharCharCharChar">
    <w:name w:val="Char Char Char1 Char Char Char Char Char Char Char Char Char Char"/>
    <w:basedOn w:val="a"/>
    <w:autoRedefine/>
    <w:uiPriority w:val="99"/>
    <w:qFormat/>
    <w:pPr>
      <w:spacing w:line="360" w:lineRule="auto"/>
      <w:ind w:firstLineChars="200" w:firstLine="200"/>
      <w:jc w:val="left"/>
    </w:pPr>
    <w:rPr>
      <w:rFonts w:cs="Times New Roman"/>
      <w:sz w:val="24"/>
      <w:szCs w:val="20"/>
    </w:rPr>
  </w:style>
  <w:style w:type="paragraph" w:customStyle="1" w:styleId="2120">
    <w:name w:val="样式 报告正文——首行缩进:  2 字符1 + 首行缩进:  2 字符"/>
    <w:basedOn w:val="a"/>
    <w:uiPriority w:val="99"/>
    <w:qFormat/>
    <w:pPr>
      <w:spacing w:line="360" w:lineRule="auto"/>
      <w:ind w:firstLineChars="200" w:firstLine="200"/>
      <w:jc w:val="left"/>
    </w:pPr>
    <w:rPr>
      <w:rFonts w:cs="宋体"/>
      <w:sz w:val="28"/>
      <w:szCs w:val="20"/>
    </w:rPr>
  </w:style>
  <w:style w:type="paragraph" w:customStyle="1" w:styleId="afffffffffffffffffffffffff2">
    <w:name w:val="小于节标题"/>
    <w:basedOn w:val="affffffffffffff1"/>
    <w:autoRedefine/>
    <w:uiPriority w:val="99"/>
    <w:qFormat/>
    <w:pPr>
      <w:ind w:firstLine="0"/>
      <w:jc w:val="left"/>
    </w:pPr>
    <w:rPr>
      <w:rFonts w:eastAsia="华文中宋"/>
    </w:rPr>
  </w:style>
  <w:style w:type="paragraph" w:customStyle="1" w:styleId="Char110">
    <w:name w:val="Char11"/>
    <w:basedOn w:val="a"/>
    <w:autoRedefine/>
    <w:uiPriority w:val="99"/>
    <w:qFormat/>
    <w:rPr>
      <w:rFonts w:cs="Times New Roman"/>
      <w:szCs w:val="24"/>
    </w:rPr>
  </w:style>
  <w:style w:type="paragraph" w:customStyle="1" w:styleId="afffffffffffffffffffffffff3">
    <w:name w:val="表底说明"/>
    <w:basedOn w:val="a"/>
    <w:uiPriority w:val="99"/>
    <w:qFormat/>
    <w:rPr>
      <w:rFonts w:cs="Times New Roman"/>
      <w:sz w:val="18"/>
      <w:szCs w:val="24"/>
    </w:rPr>
  </w:style>
  <w:style w:type="paragraph" w:customStyle="1" w:styleId="1523">
    <w:name w:val="样式 样式 四号 行距: 1.5 倍行距 + 首行缩进:  2 字符"/>
    <w:basedOn w:val="a"/>
    <w:autoRedefine/>
    <w:uiPriority w:val="99"/>
    <w:qFormat/>
    <w:pPr>
      <w:spacing w:line="360" w:lineRule="auto"/>
      <w:ind w:firstLineChars="200" w:firstLine="480"/>
    </w:pPr>
    <w:rPr>
      <w:rFonts w:cs="宋体"/>
      <w:sz w:val="24"/>
      <w:szCs w:val="24"/>
    </w:rPr>
  </w:style>
  <w:style w:type="paragraph" w:customStyle="1" w:styleId="05205">
    <w:name w:val="样式 样式 正文格式 + 段前: 0.5 行 + 首行缩进:  2 字符 段前: 0.5 行"/>
    <w:basedOn w:val="a"/>
    <w:autoRedefine/>
    <w:uiPriority w:val="99"/>
    <w:qFormat/>
    <w:pPr>
      <w:widowControl/>
      <w:spacing w:beforeLines="50" w:line="440" w:lineRule="exact"/>
      <w:ind w:firstLineChars="200" w:firstLine="560"/>
      <w:jc w:val="left"/>
    </w:pPr>
    <w:rPr>
      <w:rFonts w:eastAsia="仿宋_GB2312" w:cs="宋体"/>
      <w:sz w:val="28"/>
      <w:szCs w:val="20"/>
    </w:rPr>
  </w:style>
  <w:style w:type="paragraph" w:customStyle="1" w:styleId="CharCharCharCharCharCharCharCharCharCharCharCharCharCharChar1">
    <w:name w:val="Char Char Char Char Char Char Char Char Char Char Char Char Char Char Char1"/>
    <w:basedOn w:val="a"/>
    <w:autoRedefine/>
    <w:uiPriority w:val="99"/>
    <w:qFormat/>
    <w:pPr>
      <w:snapToGrid w:val="0"/>
      <w:spacing w:line="440" w:lineRule="exact"/>
      <w:ind w:firstLineChars="200" w:firstLine="200"/>
    </w:pPr>
    <w:rPr>
      <w:rFonts w:cs="Times New Roman"/>
      <w:szCs w:val="24"/>
    </w:rPr>
  </w:style>
  <w:style w:type="paragraph" w:customStyle="1" w:styleId="-51">
    <w:name w:val="文-5"/>
    <w:basedOn w:val="a"/>
    <w:uiPriority w:val="99"/>
    <w:qFormat/>
    <w:pPr>
      <w:tabs>
        <w:tab w:val="right" w:leader="dot" w:pos="8789"/>
      </w:tabs>
      <w:spacing w:before="120" w:line="360" w:lineRule="auto"/>
      <w:ind w:left="1276" w:firstLineChars="200" w:firstLine="482"/>
      <w:jc w:val="left"/>
    </w:pPr>
    <w:rPr>
      <w:rFonts w:cs="Times New Roman"/>
      <w:sz w:val="24"/>
      <w:szCs w:val="20"/>
    </w:rPr>
  </w:style>
  <w:style w:type="paragraph" w:customStyle="1" w:styleId="CharChar1CharCharCharCharCharChar">
    <w:name w:val="Char Char1 Char Char Char Char Char Char"/>
    <w:basedOn w:val="a"/>
    <w:autoRedefine/>
    <w:uiPriority w:val="99"/>
    <w:qFormat/>
    <w:pPr>
      <w:widowControl/>
      <w:spacing w:after="160" w:line="240" w:lineRule="exact"/>
      <w:ind w:firstLineChars="200" w:firstLine="200"/>
      <w:jc w:val="left"/>
    </w:pPr>
    <w:rPr>
      <w:rFonts w:ascii="Verdana" w:eastAsia="仿宋_GB2312" w:hAnsi="Verdana" w:cs="Times New Roman"/>
      <w:kern w:val="0"/>
      <w:sz w:val="24"/>
      <w:szCs w:val="20"/>
      <w:lang w:eastAsia="en-US"/>
    </w:rPr>
  </w:style>
  <w:style w:type="paragraph" w:customStyle="1" w:styleId="cardlist-value">
    <w:name w:val="cardlist-value"/>
    <w:basedOn w:val="a"/>
    <w:autoRedefine/>
    <w:uiPriority w:val="99"/>
    <w:qFormat/>
    <w:pPr>
      <w:widowControl/>
      <w:wordWrap w:val="0"/>
      <w:spacing w:line="301" w:lineRule="atLeast"/>
      <w:ind w:firstLineChars="200" w:firstLine="200"/>
      <w:jc w:val="left"/>
    </w:pPr>
    <w:rPr>
      <w:rFonts w:ascii="Arial" w:hAnsi="Arial" w:cs="Arial"/>
      <w:kern w:val="0"/>
      <w:sz w:val="13"/>
      <w:szCs w:val="13"/>
    </w:rPr>
  </w:style>
  <w:style w:type="paragraph" w:customStyle="1" w:styleId="-c">
    <w:name w:val="表格后-段落"/>
    <w:basedOn w:val="a"/>
    <w:autoRedefine/>
    <w:uiPriority w:val="99"/>
    <w:qFormat/>
    <w:pPr>
      <w:spacing w:beforeLines="150" w:line="360" w:lineRule="auto"/>
      <w:ind w:firstLineChars="200" w:firstLine="200"/>
      <w:jc w:val="left"/>
    </w:pPr>
    <w:rPr>
      <w:rFonts w:ascii="宋体" w:hAnsi="宋体" w:cs="Times New Roman"/>
      <w:sz w:val="24"/>
      <w:szCs w:val="24"/>
    </w:rPr>
  </w:style>
  <w:style w:type="paragraph" w:customStyle="1" w:styleId="1fffffd">
    <w:name w:val="1表格表头格式"/>
    <w:basedOn w:val="a"/>
    <w:autoRedefine/>
    <w:uiPriority w:val="99"/>
    <w:qFormat/>
    <w:pPr>
      <w:jc w:val="center"/>
    </w:pPr>
    <w:rPr>
      <w:rFonts w:hAnsi="宋体" w:cs="宋体"/>
      <w:b/>
      <w:bCs/>
      <w:szCs w:val="20"/>
    </w:rPr>
  </w:style>
  <w:style w:type="paragraph" w:customStyle="1" w:styleId="Item1">
    <w:name w:val="Item1"/>
    <w:basedOn w:val="a"/>
    <w:uiPriority w:val="99"/>
    <w:qFormat/>
    <w:pPr>
      <w:tabs>
        <w:tab w:val="left" w:pos="840"/>
      </w:tabs>
      <w:ind w:left="840" w:hanging="360"/>
    </w:pPr>
    <w:rPr>
      <w:rFonts w:cs="Times New Roman"/>
      <w:szCs w:val="24"/>
    </w:rPr>
  </w:style>
  <w:style w:type="paragraph" w:customStyle="1" w:styleId="3ff9">
    <w:name w:val="设计说明3"/>
    <w:basedOn w:val="2fffc"/>
    <w:next w:val="a"/>
    <w:uiPriority w:val="99"/>
    <w:qFormat/>
    <w:pPr>
      <w:tabs>
        <w:tab w:val="left" w:pos="425"/>
      </w:tabs>
      <w:spacing w:before="0" w:after="0"/>
      <w:ind w:left="425" w:hanging="425"/>
      <w:outlineLvl w:val="2"/>
    </w:pPr>
    <w:rPr>
      <w:b w:val="0"/>
    </w:rPr>
  </w:style>
  <w:style w:type="paragraph" w:customStyle="1" w:styleId="CharChar111">
    <w:name w:val="字元 字元 Char Char 字元 字元11"/>
    <w:basedOn w:val="a"/>
    <w:autoRedefine/>
    <w:uiPriority w:val="99"/>
    <w:qFormat/>
    <w:rPr>
      <w:rFonts w:cs="Times New Roman"/>
      <w:sz w:val="24"/>
      <w:szCs w:val="24"/>
    </w:rPr>
  </w:style>
  <w:style w:type="paragraph" w:customStyle="1" w:styleId="afffffffffffffffffffffffff4">
    <w:name w:val="中文报告书"/>
    <w:basedOn w:val="a"/>
    <w:autoRedefine/>
    <w:uiPriority w:val="99"/>
    <w:qFormat/>
    <w:pPr>
      <w:tabs>
        <w:tab w:val="left" w:pos="2040"/>
      </w:tabs>
      <w:adjustRightInd w:val="0"/>
      <w:spacing w:after="80" w:line="420" w:lineRule="atLeast"/>
      <w:ind w:leftChars="800" w:left="2040" w:hangingChars="200" w:hanging="360"/>
      <w:jc w:val="left"/>
      <w:textAlignment w:val="baseline"/>
    </w:pPr>
    <w:rPr>
      <w:rFonts w:cs="Times New Roman"/>
      <w:kern w:val="0"/>
      <w:sz w:val="24"/>
      <w:szCs w:val="20"/>
    </w:rPr>
  </w:style>
  <w:style w:type="paragraph" w:customStyle="1" w:styleId="2TimesNewRoman">
    <w:name w:val="正文首行缩进 2 + Times New Roman"/>
    <w:basedOn w:val="a"/>
    <w:autoRedefine/>
    <w:uiPriority w:val="99"/>
    <w:qFormat/>
    <w:pPr>
      <w:tabs>
        <w:tab w:val="left" w:pos="0"/>
        <w:tab w:val="left" w:pos="870"/>
      </w:tabs>
      <w:autoSpaceDE w:val="0"/>
      <w:autoSpaceDN w:val="0"/>
      <w:spacing w:line="440" w:lineRule="exact"/>
      <w:ind w:firstLineChars="200" w:firstLine="480"/>
    </w:pPr>
    <w:rPr>
      <w:rFonts w:cs="Times New Roman"/>
      <w:color w:val="0000FF"/>
      <w:kern w:val="0"/>
      <w:sz w:val="24"/>
      <w:szCs w:val="24"/>
    </w:rPr>
  </w:style>
  <w:style w:type="paragraph" w:customStyle="1" w:styleId="-110">
    <w:name w:val="表格标题-11"/>
    <w:basedOn w:val="-xin"/>
    <w:next w:val="a"/>
    <w:autoRedefine/>
    <w:uiPriority w:val="99"/>
    <w:qFormat/>
    <w:pPr>
      <w:tabs>
        <w:tab w:val="left" w:pos="851"/>
      </w:tabs>
      <w:adjustRightInd w:val="0"/>
      <w:spacing w:line="360" w:lineRule="auto"/>
    </w:pPr>
    <w:rPr>
      <w:rFonts w:cs="Times New Roman"/>
      <w:sz w:val="24"/>
      <w:szCs w:val="24"/>
    </w:rPr>
  </w:style>
  <w:style w:type="paragraph" w:customStyle="1" w:styleId="afffffffffffffffffffffffff5">
    <w:name w:val="第七章 图件标题"/>
    <w:basedOn w:val="a"/>
    <w:next w:val="a"/>
    <w:uiPriority w:val="99"/>
    <w:qFormat/>
    <w:pPr>
      <w:adjustRightInd w:val="0"/>
      <w:snapToGrid w:val="0"/>
      <w:spacing w:line="360" w:lineRule="auto"/>
      <w:ind w:left="902" w:hanging="420"/>
      <w:jc w:val="center"/>
    </w:pPr>
    <w:rPr>
      <w:rFonts w:eastAsia="黑体" w:cs="Times New Roman"/>
      <w:sz w:val="24"/>
      <w:szCs w:val="24"/>
    </w:rPr>
  </w:style>
  <w:style w:type="paragraph" w:customStyle="1" w:styleId="2ffffa">
    <w:name w:val="样式2新"/>
    <w:basedOn w:val="20"/>
    <w:next w:val="a"/>
    <w:autoRedefine/>
    <w:uiPriority w:val="99"/>
    <w:qFormat/>
    <w:pPr>
      <w:numPr>
        <w:ilvl w:val="0"/>
        <w:numId w:val="0"/>
      </w:numPr>
      <w:adjustRightInd w:val="0"/>
      <w:snapToGrid w:val="0"/>
      <w:spacing w:beforeLines="0" w:before="0" w:afterLines="0" w:after="0" w:line="240" w:lineRule="auto"/>
    </w:pPr>
    <w:rPr>
      <w:rFonts w:cs="Times New Roman"/>
      <w:sz w:val="32"/>
      <w:szCs w:val="30"/>
    </w:rPr>
  </w:style>
  <w:style w:type="paragraph" w:customStyle="1" w:styleId="1fffffe">
    <w:name w:val="框图文字1"/>
    <w:basedOn w:val="a"/>
    <w:autoRedefine/>
    <w:uiPriority w:val="99"/>
    <w:qFormat/>
    <w:pPr>
      <w:adjustRightInd w:val="0"/>
      <w:snapToGrid w:val="0"/>
      <w:spacing w:beforeLines="25"/>
      <w:jc w:val="center"/>
    </w:pPr>
    <w:rPr>
      <w:rFonts w:cs="Times New Roman"/>
      <w:sz w:val="18"/>
      <w:szCs w:val="24"/>
    </w:rPr>
  </w:style>
  <w:style w:type="paragraph" w:customStyle="1" w:styleId="CharCharCharCharCharCharCharCharCharCharCharCharCharCharChar3">
    <w:name w:val="Char Char Char Char Char Char Char Char Char Char Char Char Char Char Char3"/>
    <w:basedOn w:val="a"/>
    <w:uiPriority w:val="99"/>
    <w:qFormat/>
    <w:pPr>
      <w:snapToGrid w:val="0"/>
      <w:spacing w:line="440" w:lineRule="exact"/>
      <w:ind w:firstLineChars="200" w:firstLine="200"/>
    </w:pPr>
    <w:rPr>
      <w:rFonts w:cs="Times New Roman"/>
      <w:szCs w:val="24"/>
    </w:rPr>
  </w:style>
  <w:style w:type="paragraph" w:customStyle="1" w:styleId="afffffffffffffffffffffffff6">
    <w:name w:val="定表"/>
    <w:basedOn w:val="a"/>
    <w:autoRedefine/>
    <w:uiPriority w:val="99"/>
    <w:qFormat/>
    <w:pPr>
      <w:snapToGrid w:val="0"/>
    </w:pPr>
    <w:rPr>
      <w:rFonts w:ascii="仿宋_GB2312" w:eastAsia="仿宋_GB2312" w:cs="Times New Roman"/>
      <w:szCs w:val="24"/>
    </w:rPr>
  </w:style>
  <w:style w:type="paragraph" w:customStyle="1" w:styleId="4fa">
    <w:name w:val="本文标题4"/>
    <w:basedOn w:val="4"/>
    <w:autoRedefine/>
    <w:uiPriority w:val="99"/>
    <w:qFormat/>
    <w:pPr>
      <w:numPr>
        <w:ilvl w:val="0"/>
        <w:numId w:val="0"/>
      </w:numPr>
      <w:tabs>
        <w:tab w:val="left" w:pos="2716"/>
      </w:tabs>
      <w:spacing w:line="440" w:lineRule="exact"/>
      <w:ind w:left="1984" w:hanging="708"/>
      <w:textAlignment w:val="baseline"/>
    </w:pPr>
    <w:rPr>
      <w:rFonts w:cs="Times New Roman"/>
      <w:b w:val="0"/>
      <w:bCs w:val="0"/>
      <w:kern w:val="0"/>
      <w:szCs w:val="24"/>
    </w:rPr>
  </w:style>
  <w:style w:type="paragraph" w:customStyle="1" w:styleId="afffffffffffffffffffffffff7">
    <w:name w:val="[页脚格式]"/>
    <w:basedOn w:val="affd"/>
    <w:uiPriority w:val="99"/>
    <w:qFormat/>
    <w:rPr>
      <w:rFonts w:cs="Times New Roman"/>
    </w:rPr>
  </w:style>
  <w:style w:type="paragraph" w:customStyle="1" w:styleId="wtext">
    <w:name w:val="wtext"/>
    <w:basedOn w:val="a"/>
    <w:autoRedefine/>
    <w:uiPriority w:val="99"/>
    <w:qFormat/>
    <w:pPr>
      <w:widowControl/>
      <w:spacing w:before="100" w:beforeAutospacing="1" w:after="100" w:afterAutospacing="1"/>
      <w:ind w:firstLine="480"/>
      <w:jc w:val="left"/>
    </w:pPr>
    <w:rPr>
      <w:rFonts w:eastAsia="Arial Unicode MS" w:cs="Times New Roman"/>
      <w:color w:val="000000"/>
      <w:kern w:val="0"/>
      <w:sz w:val="22"/>
      <w:lang w:eastAsia="en-US"/>
    </w:rPr>
  </w:style>
  <w:style w:type="paragraph" w:customStyle="1" w:styleId="afffffffffffffffffffffffff8">
    <w:name w:val="样式 小四 黑色 行距: 单倍行距"/>
    <w:basedOn w:val="a"/>
    <w:autoRedefine/>
    <w:uiPriority w:val="99"/>
    <w:qFormat/>
    <w:pPr>
      <w:adjustRightInd w:val="0"/>
      <w:snapToGrid w:val="0"/>
    </w:pPr>
    <w:rPr>
      <w:rFonts w:cs="Times New Roman"/>
      <w:color w:val="000000"/>
      <w:kern w:val="0"/>
      <w:sz w:val="24"/>
      <w:szCs w:val="24"/>
    </w:rPr>
  </w:style>
  <w:style w:type="paragraph" w:customStyle="1" w:styleId="Char1CharCharCharCharCharChar2">
    <w:name w:val="Char1 Char Char Char Char Char Char2"/>
    <w:basedOn w:val="a"/>
    <w:uiPriority w:val="99"/>
    <w:qFormat/>
    <w:rPr>
      <w:rFonts w:cs="Times New Roman"/>
      <w:szCs w:val="24"/>
    </w:rPr>
  </w:style>
  <w:style w:type="paragraph" w:customStyle="1" w:styleId="afffffffffffffffffffffffff9">
    <w:name w:val="表格后正文"/>
    <w:basedOn w:val="affffffffffffff1"/>
    <w:uiPriority w:val="99"/>
    <w:qFormat/>
    <w:pPr>
      <w:spacing w:before="200"/>
      <w:ind w:firstLineChars="200" w:firstLine="560"/>
    </w:pPr>
    <w:rPr>
      <w:rFonts w:eastAsia="华文中宋"/>
    </w:rPr>
  </w:style>
  <w:style w:type="paragraph" w:customStyle="1" w:styleId="pic-info">
    <w:name w:val="pic-info"/>
    <w:basedOn w:val="a"/>
    <w:autoRedefine/>
    <w:uiPriority w:val="99"/>
    <w:qFormat/>
    <w:pPr>
      <w:widowControl/>
      <w:spacing w:before="100" w:beforeAutospacing="1" w:after="100" w:afterAutospacing="1"/>
      <w:jc w:val="left"/>
    </w:pPr>
    <w:rPr>
      <w:rFonts w:ascii="宋体" w:hAnsi="宋体" w:cs="宋体"/>
      <w:kern w:val="0"/>
      <w:sz w:val="24"/>
      <w:szCs w:val="24"/>
    </w:rPr>
  </w:style>
  <w:style w:type="paragraph" w:customStyle="1" w:styleId="Afffffffffffffffffffffffffa">
    <w:name w:val="标题A"/>
    <w:basedOn w:val="a"/>
    <w:uiPriority w:val="99"/>
    <w:qFormat/>
    <w:pPr>
      <w:widowControl/>
      <w:autoSpaceDE w:val="0"/>
      <w:autoSpaceDN w:val="0"/>
      <w:adjustRightInd w:val="0"/>
      <w:spacing w:line="317" w:lineRule="atLeast"/>
      <w:ind w:left="432" w:hanging="432"/>
      <w:jc w:val="left"/>
      <w:textAlignment w:val="bottom"/>
    </w:pPr>
    <w:rPr>
      <w:rFonts w:eastAsia="黑体" w:cs="Times New Roman"/>
      <w:b/>
      <w:color w:val="0000FF"/>
      <w:kern w:val="0"/>
      <w:sz w:val="28"/>
      <w:szCs w:val="20"/>
    </w:rPr>
  </w:style>
  <w:style w:type="paragraph" w:customStyle="1" w:styleId="3051">
    <w:name w:val="样式 标题 3 + 左侧:  0.5 字符1"/>
    <w:basedOn w:val="3"/>
    <w:autoRedefine/>
    <w:uiPriority w:val="99"/>
    <w:qFormat/>
    <w:pPr>
      <w:keepNext w:val="0"/>
      <w:numPr>
        <w:ilvl w:val="0"/>
        <w:numId w:val="0"/>
      </w:numPr>
      <w:tabs>
        <w:tab w:val="left" w:pos="2839"/>
      </w:tabs>
      <w:adjustRightInd/>
      <w:snapToGrid/>
      <w:spacing w:line="415" w:lineRule="auto"/>
      <w:ind w:leftChars="50" w:left="50"/>
    </w:pPr>
    <w:rPr>
      <w:rFonts w:ascii="Arial" w:eastAsia="黑体" w:hAnsi="Arial" w:cs="Times New Roman"/>
      <w:b w:val="0"/>
      <w:sz w:val="28"/>
      <w:szCs w:val="28"/>
    </w:rPr>
  </w:style>
  <w:style w:type="paragraph" w:customStyle="1" w:styleId="zhang0">
    <w:name w:val="zhang正文"/>
    <w:basedOn w:val="ab"/>
    <w:autoRedefine/>
    <w:uiPriority w:val="99"/>
    <w:qFormat/>
    <w:pPr>
      <w:autoSpaceDE w:val="0"/>
      <w:autoSpaceDN w:val="0"/>
      <w:adjustRightInd w:val="0"/>
      <w:snapToGrid w:val="0"/>
      <w:spacing w:after="0" w:line="360" w:lineRule="auto"/>
      <w:ind w:leftChars="0" w:left="0" w:firstLine="539"/>
      <w:textAlignment w:val="baseline"/>
    </w:pPr>
    <w:rPr>
      <w:rFonts w:eastAsia="楷体_GB2312" w:cs="Times New Roman"/>
      <w:kern w:val="0"/>
      <w:sz w:val="28"/>
      <w:szCs w:val="20"/>
    </w:rPr>
  </w:style>
  <w:style w:type="paragraph" w:customStyle="1" w:styleId="-72">
    <w:name w:val="表格标题-7"/>
    <w:basedOn w:val="-xin"/>
    <w:next w:val="a"/>
    <w:uiPriority w:val="99"/>
    <w:qFormat/>
    <w:pPr>
      <w:tabs>
        <w:tab w:val="left" w:pos="851"/>
      </w:tabs>
      <w:adjustRightInd w:val="0"/>
      <w:spacing w:line="360" w:lineRule="auto"/>
    </w:pPr>
    <w:rPr>
      <w:rFonts w:cs="Times New Roman"/>
      <w:sz w:val="24"/>
      <w:szCs w:val="24"/>
    </w:rPr>
  </w:style>
  <w:style w:type="paragraph" w:customStyle="1" w:styleId="afffffffffffffffffffffffffb">
    <w:name w:val="第五章 图件标题"/>
    <w:basedOn w:val="a"/>
    <w:next w:val="a"/>
    <w:autoRedefine/>
    <w:uiPriority w:val="99"/>
    <w:qFormat/>
    <w:pPr>
      <w:adjustRightInd w:val="0"/>
      <w:snapToGrid w:val="0"/>
      <w:spacing w:line="360" w:lineRule="auto"/>
      <w:ind w:left="482"/>
      <w:jc w:val="center"/>
    </w:pPr>
    <w:rPr>
      <w:rFonts w:eastAsia="黑体" w:cs="Times New Roman"/>
      <w:sz w:val="24"/>
      <w:szCs w:val="24"/>
    </w:rPr>
  </w:style>
  <w:style w:type="paragraph" w:customStyle="1" w:styleId="new">
    <w:name w:val="正文new"/>
    <w:basedOn w:val="a"/>
    <w:autoRedefine/>
    <w:uiPriority w:val="99"/>
    <w:qFormat/>
    <w:pPr>
      <w:spacing w:line="360" w:lineRule="auto"/>
      <w:ind w:firstLineChars="200" w:firstLine="480"/>
    </w:pPr>
    <w:rPr>
      <w:rFonts w:ascii="宋体" w:hAnsi="宋体" w:cs="Times New Roman"/>
      <w:sz w:val="24"/>
      <w:szCs w:val="24"/>
    </w:rPr>
  </w:style>
  <w:style w:type="paragraph" w:customStyle="1" w:styleId="afffffffffffffffffffffffffc">
    <w:name w:val="表格名和图名"/>
    <w:basedOn w:val="a"/>
    <w:uiPriority w:val="99"/>
    <w:qFormat/>
    <w:pPr>
      <w:spacing w:line="360" w:lineRule="auto"/>
      <w:ind w:firstLine="420"/>
      <w:jc w:val="center"/>
    </w:pPr>
    <w:rPr>
      <w:rFonts w:cs="Times New Roman"/>
      <w:b/>
      <w:color w:val="000000"/>
      <w:szCs w:val="21"/>
    </w:rPr>
  </w:style>
  <w:style w:type="paragraph" w:customStyle="1" w:styleId="PlainText1">
    <w:name w:val="Plain Text1"/>
    <w:basedOn w:val="a"/>
    <w:uiPriority w:val="99"/>
    <w:qFormat/>
    <w:pPr>
      <w:adjustRightInd w:val="0"/>
      <w:textAlignment w:val="baseline"/>
    </w:pPr>
    <w:rPr>
      <w:rFonts w:ascii="宋体" w:hAnsi="Courier New" w:cs="Times New Roman"/>
      <w:szCs w:val="20"/>
    </w:rPr>
  </w:style>
  <w:style w:type="paragraph" w:customStyle="1" w:styleId="ParaCharChar">
    <w:name w:val="默认段落字体 Para Char Char"/>
    <w:basedOn w:val="a"/>
    <w:autoRedefine/>
    <w:uiPriority w:val="99"/>
    <w:semiHidden/>
    <w:qFormat/>
    <w:rPr>
      <w:rFonts w:cs="Times New Roman"/>
      <w:szCs w:val="24"/>
    </w:rPr>
  </w:style>
  <w:style w:type="paragraph" w:customStyle="1" w:styleId="10128">
    <w:name w:val="样式 四号 首行缩进:  1.01 厘米 行距: 固定值 28 磅"/>
    <w:basedOn w:val="a"/>
    <w:uiPriority w:val="99"/>
    <w:qFormat/>
    <w:pPr>
      <w:snapToGrid w:val="0"/>
      <w:spacing w:line="360" w:lineRule="auto"/>
      <w:ind w:firstLine="573"/>
    </w:pPr>
    <w:rPr>
      <w:rFonts w:cs="宋体"/>
      <w:sz w:val="24"/>
      <w:szCs w:val="20"/>
    </w:rPr>
  </w:style>
  <w:style w:type="paragraph" w:customStyle="1" w:styleId="2ffffb">
    <w:name w:val="样式 表号 + 首行缩进:  2 字符"/>
    <w:basedOn w:val="a"/>
    <w:autoRedefine/>
    <w:uiPriority w:val="99"/>
    <w:qFormat/>
    <w:pPr>
      <w:overflowPunct w:val="0"/>
      <w:topLinePunct/>
      <w:ind w:firstLineChars="200" w:firstLine="200"/>
      <w:outlineLvl w:val="5"/>
    </w:pPr>
    <w:rPr>
      <w:rFonts w:cs="宋体"/>
      <w:szCs w:val="20"/>
    </w:rPr>
  </w:style>
  <w:style w:type="paragraph" w:customStyle="1" w:styleId="CharChar1CharCharCharCharCharChar1">
    <w:name w:val="Char Char1 Char Char Char Char Char Char1"/>
    <w:basedOn w:val="a"/>
    <w:autoRedefine/>
    <w:uiPriority w:val="99"/>
    <w:qFormat/>
    <w:pPr>
      <w:widowControl/>
      <w:spacing w:after="160" w:line="240" w:lineRule="exact"/>
      <w:ind w:firstLineChars="200" w:firstLine="200"/>
      <w:jc w:val="left"/>
    </w:pPr>
    <w:rPr>
      <w:rFonts w:ascii="Verdana" w:eastAsia="仿宋_GB2312" w:hAnsi="Verdana" w:cs="Times New Roman"/>
      <w:kern w:val="0"/>
      <w:sz w:val="24"/>
      <w:szCs w:val="20"/>
      <w:lang w:eastAsia="en-US"/>
    </w:rPr>
  </w:style>
  <w:style w:type="paragraph" w:customStyle="1" w:styleId="4CharChar2">
    <w:name w:val="标题4 Char Char"/>
    <w:basedOn w:val="a"/>
    <w:uiPriority w:val="99"/>
    <w:qFormat/>
    <w:pPr>
      <w:spacing w:before="100" w:beforeAutospacing="1" w:line="360" w:lineRule="auto"/>
      <w:outlineLvl w:val="3"/>
    </w:pPr>
    <w:rPr>
      <w:rFonts w:eastAsia="黑体" w:cs="Times New Roman"/>
      <w:bCs/>
      <w:sz w:val="24"/>
      <w:szCs w:val="24"/>
    </w:rPr>
  </w:style>
  <w:style w:type="paragraph" w:customStyle="1" w:styleId="CharCharCharCharCharCharChar2">
    <w:name w:val="Char Char Char Char Char Char Char2"/>
    <w:basedOn w:val="a"/>
    <w:autoRedefine/>
    <w:uiPriority w:val="99"/>
    <w:qFormat/>
    <w:rPr>
      <w:rFonts w:cs="Times New Roman"/>
      <w:szCs w:val="24"/>
    </w:rPr>
  </w:style>
  <w:style w:type="paragraph" w:customStyle="1" w:styleId="15198">
    <w:name w:val="样式 正文文字缩进 + 行距: 1.5 倍行距 首行缩进:  1.98 字符"/>
    <w:basedOn w:val="ab"/>
    <w:autoRedefine/>
    <w:uiPriority w:val="99"/>
    <w:semiHidden/>
    <w:qFormat/>
    <w:pPr>
      <w:adjustRightInd w:val="0"/>
      <w:snapToGrid w:val="0"/>
      <w:spacing w:after="0" w:line="500" w:lineRule="exact"/>
      <w:ind w:leftChars="0" w:left="0" w:firstLineChars="200" w:firstLine="536"/>
    </w:pPr>
    <w:rPr>
      <w:rFonts w:cs="Times New Roman"/>
      <w:spacing w:val="-6"/>
      <w:kern w:val="0"/>
      <w:sz w:val="28"/>
      <w:szCs w:val="28"/>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
    <w:uiPriority w:val="99"/>
    <w:qFormat/>
    <w:pPr>
      <w:spacing w:line="360" w:lineRule="auto"/>
      <w:ind w:firstLineChars="200" w:firstLine="200"/>
    </w:pPr>
    <w:rPr>
      <w:rFonts w:ascii="宋体" w:hAnsi="宋体" w:cs="宋体"/>
      <w:sz w:val="24"/>
      <w:szCs w:val="24"/>
    </w:rPr>
  </w:style>
  <w:style w:type="paragraph" w:customStyle="1" w:styleId="a30">
    <w:name w:val="a3"/>
    <w:basedOn w:val="a"/>
    <w:autoRedefine/>
    <w:uiPriority w:val="99"/>
    <w:qFormat/>
    <w:pPr>
      <w:widowControl/>
      <w:spacing w:before="100" w:beforeAutospacing="1" w:after="100" w:afterAutospacing="1"/>
      <w:jc w:val="left"/>
    </w:pPr>
    <w:rPr>
      <w:rFonts w:ascii="宋体" w:hAnsi="宋体" w:cs="宋体"/>
      <w:color w:val="000000"/>
      <w:kern w:val="0"/>
      <w:sz w:val="24"/>
      <w:szCs w:val="24"/>
    </w:rPr>
  </w:style>
  <w:style w:type="paragraph" w:customStyle="1" w:styleId="CharCharCharCharCharChar2">
    <w:name w:val="Char Char Char Char Char Char2"/>
    <w:basedOn w:val="a"/>
    <w:autoRedefine/>
    <w:uiPriority w:val="99"/>
    <w:qFormat/>
    <w:rPr>
      <w:rFonts w:cs="Times New Roman"/>
      <w:sz w:val="24"/>
      <w:szCs w:val="24"/>
    </w:rPr>
  </w:style>
  <w:style w:type="paragraph" w:customStyle="1" w:styleId="CharCharCharCharCharCharCharCharCharCharCharCharCharCharCharCharCharChar1CharCharCharChar1">
    <w:name w:val="Char Char Char Char Char Char Char Char Char Char Char Char Char Char Char Char Char Char1 Char Char Char Char1"/>
    <w:basedOn w:val="a"/>
    <w:uiPriority w:val="99"/>
    <w:qFormat/>
    <w:rPr>
      <w:rFonts w:cs="Times New Roman"/>
      <w:szCs w:val="24"/>
    </w:rPr>
  </w:style>
  <w:style w:type="paragraph" w:customStyle="1" w:styleId="660">
    <w:name w:val="样式 样式 表文 + 左 段后: 6 磅 + 段后: 6 磅"/>
    <w:basedOn w:val="a"/>
    <w:autoRedefine/>
    <w:uiPriority w:val="99"/>
    <w:qFormat/>
    <w:pPr>
      <w:overflowPunct w:val="0"/>
      <w:topLinePunct/>
      <w:spacing w:line="320" w:lineRule="exact"/>
      <w:jc w:val="left"/>
      <w:outlineLvl w:val="6"/>
    </w:pPr>
    <w:rPr>
      <w:rFonts w:cs="宋体"/>
      <w:sz w:val="18"/>
      <w:szCs w:val="20"/>
    </w:rPr>
  </w:style>
  <w:style w:type="paragraph" w:customStyle="1" w:styleId="3221">
    <w:name w:val="样式 表格 32 + 首行缩进:  2 字符1"/>
    <w:basedOn w:val="320"/>
    <w:autoRedefine/>
    <w:uiPriority w:val="99"/>
    <w:qFormat/>
    <w:rPr>
      <w:rFonts w:ascii="Times New Roman" w:hAnsi="Times New Roman" w:cs="宋体"/>
      <w:kern w:val="0"/>
      <w:sz w:val="21"/>
      <w:szCs w:val="21"/>
    </w:rPr>
  </w:style>
  <w:style w:type="paragraph" w:customStyle="1" w:styleId="11f5">
    <w:name w:val="日期11"/>
    <w:basedOn w:val="a"/>
    <w:next w:val="a"/>
    <w:uiPriority w:val="99"/>
    <w:qFormat/>
    <w:pPr>
      <w:adjustRightInd w:val="0"/>
      <w:textAlignment w:val="baseline"/>
    </w:pPr>
    <w:rPr>
      <w:rFonts w:cs="Times New Roman"/>
      <w:sz w:val="24"/>
      <w:szCs w:val="20"/>
    </w:rPr>
  </w:style>
  <w:style w:type="paragraph" w:customStyle="1" w:styleId="4050578781">
    <w:name w:val="样式 样式 标题 4 + 段前: 0.5 行 段后: 0.5 行 + 段前: 7.8 磅 段后: 7.8 磅1"/>
    <w:basedOn w:val="40505"/>
    <w:autoRedefine/>
    <w:uiPriority w:val="99"/>
    <w:qFormat/>
    <w:pPr>
      <w:tabs>
        <w:tab w:val="clear" w:pos="-21"/>
        <w:tab w:val="clear" w:pos="864"/>
        <w:tab w:val="clear" w:pos="1680"/>
      </w:tabs>
      <w:snapToGrid/>
      <w:spacing w:beforeLines="0" w:line="440" w:lineRule="exact"/>
      <w:ind w:left="0" w:firstLine="0"/>
    </w:pPr>
    <w:rPr>
      <w:rFonts w:eastAsia="华文中宋" w:cs="宋体"/>
      <w:b/>
      <w:bCs/>
    </w:rPr>
  </w:style>
  <w:style w:type="paragraph" w:customStyle="1" w:styleId="1-1-1">
    <w:name w:val="1-1-1    表标题"/>
    <w:basedOn w:val="ac"/>
    <w:uiPriority w:val="99"/>
    <w:qFormat/>
    <w:pPr>
      <w:spacing w:beforeLines="50" w:afterLines="50" w:line="500" w:lineRule="exact"/>
      <w:ind w:left="0" w:firstLineChars="0" w:firstLine="0"/>
      <w:jc w:val="center"/>
    </w:pPr>
    <w:rPr>
      <w:rFonts w:ascii="黑体" w:eastAsia="黑体" w:hAnsi="Arial" w:cs="Times New Roman"/>
      <w:color w:val="000000"/>
      <w:sz w:val="24"/>
      <w:szCs w:val="20"/>
    </w:rPr>
  </w:style>
  <w:style w:type="paragraph" w:customStyle="1" w:styleId="330505">
    <w:name w:val="样式 标题 3正版标题 3 + 段前: 0.5 行 段后: 0.5 行"/>
    <w:basedOn w:val="3"/>
    <w:autoRedefine/>
    <w:uiPriority w:val="99"/>
    <w:qFormat/>
    <w:pPr>
      <w:numPr>
        <w:ilvl w:val="0"/>
        <w:numId w:val="0"/>
      </w:numPr>
      <w:tabs>
        <w:tab w:val="left" w:pos="1260"/>
      </w:tabs>
      <w:autoSpaceDE w:val="0"/>
      <w:autoSpaceDN w:val="0"/>
      <w:spacing w:beforeLines="50" w:afterLines="50"/>
      <w:ind w:left="1260" w:hanging="420"/>
    </w:pPr>
    <w:rPr>
      <w:rFonts w:ascii="宋体" w:hAnsi="宋体" w:cs="宋体"/>
      <w:kern w:val="0"/>
      <w:szCs w:val="20"/>
    </w:rPr>
  </w:style>
  <w:style w:type="paragraph" w:customStyle="1" w:styleId="CharCharCharChar111">
    <w:name w:val="Char Char Char Char111"/>
    <w:basedOn w:val="3"/>
    <w:autoRedefine/>
    <w:uiPriority w:val="99"/>
    <w:qFormat/>
    <w:pPr>
      <w:numPr>
        <w:ilvl w:val="0"/>
        <w:numId w:val="0"/>
      </w:numPr>
      <w:tabs>
        <w:tab w:val="left" w:pos="-441"/>
        <w:tab w:val="left" w:pos="720"/>
        <w:tab w:val="left" w:pos="1260"/>
        <w:tab w:val="left" w:pos="1931"/>
      </w:tabs>
      <w:adjustRightInd/>
      <w:snapToGrid/>
      <w:ind w:left="720" w:hanging="432"/>
      <w:jc w:val="both"/>
    </w:pPr>
    <w:rPr>
      <w:rFonts w:cs="Times New Roman"/>
      <w:sz w:val="26"/>
    </w:rPr>
  </w:style>
  <w:style w:type="paragraph" w:customStyle="1" w:styleId="afffffffffffffffffffffffffd">
    <w:name w:val="小表文居中"/>
    <w:basedOn w:val="a"/>
    <w:uiPriority w:val="99"/>
    <w:qFormat/>
    <w:pPr>
      <w:autoSpaceDE w:val="0"/>
      <w:autoSpaceDN w:val="0"/>
      <w:adjustRightInd w:val="0"/>
      <w:spacing w:before="20"/>
      <w:jc w:val="center"/>
      <w:textAlignment w:val="baseline"/>
    </w:pPr>
    <w:rPr>
      <w:rFonts w:cs="Times New Roman"/>
      <w:kern w:val="0"/>
      <w:sz w:val="18"/>
      <w:szCs w:val="20"/>
    </w:rPr>
  </w:style>
  <w:style w:type="paragraph" w:customStyle="1" w:styleId="2224">
    <w:name w:val="样式 目录 2 + 左侧:  2 字符 首行缩进:  2 字符4"/>
    <w:basedOn w:val="28"/>
    <w:autoRedefine/>
    <w:uiPriority w:val="99"/>
    <w:qFormat/>
    <w:pPr>
      <w:tabs>
        <w:tab w:val="left" w:pos="600"/>
        <w:tab w:val="left" w:pos="720"/>
        <w:tab w:val="right" w:leader="dot" w:pos="9061"/>
      </w:tabs>
      <w:adjustRightInd w:val="0"/>
      <w:spacing w:before="120" w:line="240" w:lineRule="auto"/>
      <w:ind w:leftChars="0" w:left="0" w:firstLineChars="200" w:firstLine="200"/>
      <w:jc w:val="left"/>
    </w:pPr>
    <w:rPr>
      <w:rFonts w:ascii="Calibri" w:hAnsi="Calibri" w:cs="宋体"/>
      <w:i/>
      <w:iCs/>
      <w:sz w:val="21"/>
      <w:szCs w:val="20"/>
    </w:rPr>
  </w:style>
  <w:style w:type="paragraph" w:customStyle="1" w:styleId="105051">
    <w:name w:val="样式 标题 1 + 段前: 0.5 行 段后: 0.5 行1"/>
    <w:basedOn w:val="1"/>
    <w:autoRedefine/>
    <w:uiPriority w:val="99"/>
    <w:qFormat/>
    <w:pPr>
      <w:widowControl/>
      <w:numPr>
        <w:numId w:val="0"/>
      </w:numPr>
      <w:tabs>
        <w:tab w:val="left" w:pos="0"/>
        <w:tab w:val="left" w:pos="432"/>
        <w:tab w:val="left" w:pos="567"/>
      </w:tabs>
      <w:spacing w:line="240" w:lineRule="auto"/>
      <w:ind w:left="432" w:hanging="432"/>
    </w:pPr>
    <w:rPr>
      <w:rFonts w:ascii="宋体" w:eastAsia="黑体" w:cs="Times New Roman"/>
      <w:bCs w:val="0"/>
      <w:sz w:val="44"/>
      <w:szCs w:val="20"/>
    </w:rPr>
  </w:style>
  <w:style w:type="paragraph" w:customStyle="1" w:styleId="2211212Char1CharH21111Char">
    <w:name w:val="样式 标题 2标题 21标题 121标题 2 Char1 Char节H2节标题 1.1节标题 1.1 Char..."/>
    <w:basedOn w:val="20"/>
    <w:uiPriority w:val="99"/>
    <w:qFormat/>
    <w:pPr>
      <w:keepNext w:val="0"/>
      <w:keepLines w:val="0"/>
      <w:widowControl/>
      <w:numPr>
        <w:ilvl w:val="0"/>
        <w:numId w:val="0"/>
      </w:numPr>
      <w:tabs>
        <w:tab w:val="left" w:pos="420"/>
      </w:tabs>
      <w:spacing w:before="0" w:after="0" w:line="500" w:lineRule="exact"/>
      <w:jc w:val="left"/>
    </w:pPr>
    <w:rPr>
      <w:rFonts w:eastAsia="华文楷体" w:cs="Times New Roman"/>
      <w:color w:val="FF0000"/>
      <w:sz w:val="36"/>
    </w:rPr>
  </w:style>
  <w:style w:type="paragraph" w:customStyle="1" w:styleId="Char1CharCharChar1CharCharCharCharCharChar">
    <w:name w:val="Char1 Char Char Char1 Char Char Char Char Char Char"/>
    <w:basedOn w:val="a"/>
    <w:autoRedefine/>
    <w:uiPriority w:val="99"/>
    <w:qFormat/>
    <w:pPr>
      <w:spacing w:line="360" w:lineRule="auto"/>
      <w:ind w:firstLineChars="200" w:firstLine="200"/>
      <w:jc w:val="left"/>
    </w:pPr>
    <w:rPr>
      <w:rFonts w:cs="Times New Roman"/>
      <w:sz w:val="24"/>
      <w:szCs w:val="20"/>
    </w:rPr>
  </w:style>
  <w:style w:type="paragraph" w:customStyle="1" w:styleId="270">
    <w:name w:val="样式 正文最后采用 + 首行缩进:  2 字符7"/>
    <w:basedOn w:val="affffffffffffffffffffff8"/>
    <w:autoRedefine/>
    <w:uiPriority w:val="99"/>
    <w:qFormat/>
    <w:pPr>
      <w:ind w:firstLine="560"/>
    </w:pPr>
  </w:style>
  <w:style w:type="paragraph" w:customStyle="1" w:styleId="CharCharChare">
    <w:name w:val="表正文 Char Char Char"/>
    <w:basedOn w:val="a"/>
    <w:uiPriority w:val="99"/>
    <w:qFormat/>
    <w:pPr>
      <w:adjustRightInd w:val="0"/>
      <w:snapToGrid w:val="0"/>
      <w:spacing w:line="360" w:lineRule="auto"/>
      <w:ind w:firstLineChars="200" w:firstLine="200"/>
      <w:jc w:val="center"/>
    </w:pPr>
    <w:rPr>
      <w:rFonts w:ascii="Arial" w:eastAsia="仿宋_GB2312" w:hAnsi="Arial" w:cs="Arial"/>
      <w:sz w:val="28"/>
      <w:szCs w:val="28"/>
    </w:rPr>
  </w:style>
  <w:style w:type="paragraph" w:customStyle="1" w:styleId="hangju">
    <w:name w:val="hangju"/>
    <w:basedOn w:val="a"/>
    <w:autoRedefine/>
    <w:uiPriority w:val="99"/>
    <w:qFormat/>
    <w:pPr>
      <w:widowControl/>
      <w:spacing w:before="100" w:beforeAutospacing="1" w:after="100" w:afterAutospacing="1" w:line="400" w:lineRule="atLeast"/>
      <w:jc w:val="left"/>
    </w:pPr>
    <w:rPr>
      <w:rFonts w:ascii="宋体" w:hAnsi="宋体" w:cs="Times New Roman"/>
      <w:kern w:val="0"/>
      <w:sz w:val="24"/>
      <w:szCs w:val="24"/>
    </w:rPr>
  </w:style>
  <w:style w:type="paragraph" w:customStyle="1" w:styleId="-12">
    <w:name w:val="正文-1"/>
    <w:basedOn w:val="a"/>
    <w:autoRedefine/>
    <w:uiPriority w:val="99"/>
    <w:qFormat/>
    <w:pPr>
      <w:spacing w:line="360" w:lineRule="auto"/>
      <w:ind w:firstLineChars="200" w:firstLine="480"/>
    </w:pPr>
    <w:rPr>
      <w:rFonts w:cs="Times New Roman"/>
      <w:sz w:val="24"/>
      <w:szCs w:val="24"/>
    </w:rPr>
  </w:style>
  <w:style w:type="paragraph" w:customStyle="1" w:styleId="Char4CharCharChar2">
    <w:name w:val="Char4 Char Char Char2"/>
    <w:basedOn w:val="a"/>
    <w:uiPriority w:val="99"/>
    <w:semiHidden/>
    <w:qFormat/>
    <w:pPr>
      <w:adjustRightInd w:val="0"/>
      <w:snapToGrid w:val="0"/>
      <w:spacing w:line="360" w:lineRule="auto"/>
      <w:ind w:firstLineChars="200" w:firstLine="200"/>
    </w:pPr>
    <w:rPr>
      <w:rFonts w:ascii="宋体" w:hAnsi="宋体" w:cs="宋体"/>
      <w:sz w:val="24"/>
      <w:szCs w:val="26"/>
    </w:rPr>
  </w:style>
  <w:style w:type="paragraph" w:customStyle="1" w:styleId="afffffffffffffffffffffffffe">
    <w:name w:val="小表文"/>
    <w:basedOn w:val="a"/>
    <w:autoRedefine/>
    <w:uiPriority w:val="99"/>
    <w:qFormat/>
    <w:pPr>
      <w:autoSpaceDE w:val="0"/>
      <w:autoSpaceDN w:val="0"/>
      <w:adjustRightInd w:val="0"/>
      <w:spacing w:before="20"/>
      <w:textAlignment w:val="baseline"/>
    </w:pPr>
    <w:rPr>
      <w:rFonts w:cs="Times New Roman"/>
      <w:kern w:val="0"/>
      <w:sz w:val="18"/>
      <w:szCs w:val="20"/>
    </w:rPr>
  </w:style>
  <w:style w:type="paragraph" w:customStyle="1" w:styleId="132">
    <w:name w:val="样式1标题3"/>
    <w:basedOn w:val="a"/>
    <w:autoRedefine/>
    <w:uiPriority w:val="99"/>
    <w:qFormat/>
    <w:pPr>
      <w:spacing w:beforeLines="100"/>
      <w:outlineLvl w:val="2"/>
    </w:pPr>
    <w:rPr>
      <w:rFonts w:ascii="黑体" w:eastAsia="黑体" w:cs="Times New Roman"/>
      <w:kern w:val="0"/>
      <w:sz w:val="30"/>
      <w:szCs w:val="20"/>
      <w:lang w:val="en-GB"/>
    </w:rPr>
  </w:style>
  <w:style w:type="paragraph" w:customStyle="1" w:styleId="affffffffffffffffffffffffff">
    <w:name w:val="中文报告书样式"/>
    <w:basedOn w:val="a"/>
    <w:link w:val="Charfffffe"/>
    <w:qFormat/>
    <w:pPr>
      <w:adjustRightInd w:val="0"/>
      <w:spacing w:line="480" w:lineRule="atLeast"/>
      <w:ind w:firstLine="482"/>
      <w:textAlignment w:val="baseline"/>
    </w:pPr>
    <w:rPr>
      <w:rFonts w:cs="Times New Roman"/>
      <w:kern w:val="24"/>
      <w:sz w:val="24"/>
      <w:szCs w:val="20"/>
    </w:rPr>
  </w:style>
  <w:style w:type="character" w:customStyle="1" w:styleId="Charfffffe">
    <w:name w:val="中文报告书样式 Char"/>
    <w:link w:val="affffffffffffffffffffffffff"/>
    <w:autoRedefine/>
    <w:qFormat/>
    <w:rPr>
      <w:kern w:val="24"/>
      <w:sz w:val="24"/>
    </w:rPr>
  </w:style>
  <w:style w:type="paragraph" w:customStyle="1" w:styleId="CharCharCharCharCharCharCharCharCharCharCharCharCharCharCharChar1">
    <w:name w:val="Char Char Char Char Char Char Char Char Char Char Char Char Char Char Char Char1"/>
    <w:basedOn w:val="a"/>
    <w:autoRedefine/>
    <w:uiPriority w:val="99"/>
    <w:qFormat/>
    <w:pPr>
      <w:spacing w:line="360" w:lineRule="auto"/>
      <w:ind w:firstLineChars="200" w:firstLine="200"/>
    </w:pPr>
    <w:rPr>
      <w:rFonts w:ascii="宋体" w:hAnsi="宋体" w:cs="宋体"/>
      <w:sz w:val="24"/>
      <w:szCs w:val="24"/>
    </w:rPr>
  </w:style>
  <w:style w:type="paragraph" w:customStyle="1" w:styleId="ALTZ122">
    <w:name w:val="样式 样式 正文缩进四号表正文正文非缩进特点ALT+Z水上软件段1 + 首行缩进:  2 字符 + 首行缩进:  2 字符"/>
    <w:basedOn w:val="a"/>
    <w:uiPriority w:val="99"/>
    <w:qFormat/>
    <w:pPr>
      <w:spacing w:line="480" w:lineRule="exact"/>
      <w:ind w:firstLineChars="200" w:firstLine="560"/>
      <w:jc w:val="left"/>
    </w:pPr>
    <w:rPr>
      <w:rFonts w:ascii="宋体" w:hAnsi="宋体" w:cs="宋体"/>
      <w:sz w:val="28"/>
      <w:szCs w:val="20"/>
    </w:rPr>
  </w:style>
  <w:style w:type="paragraph" w:customStyle="1" w:styleId="affffffffffffffffffffffffff0">
    <w:name w:val="样式 小三 居中"/>
    <w:basedOn w:val="a"/>
    <w:next w:val="a"/>
    <w:uiPriority w:val="99"/>
    <w:qFormat/>
    <w:pPr>
      <w:snapToGrid w:val="0"/>
      <w:jc w:val="center"/>
    </w:pPr>
    <w:rPr>
      <w:rFonts w:hAnsi="宋体" w:cs="Times New Roman"/>
      <w:b/>
      <w:szCs w:val="21"/>
    </w:rPr>
  </w:style>
  <w:style w:type="paragraph" w:customStyle="1" w:styleId="affffffffffffffffffffffffff1">
    <w:name w:val="正本"/>
    <w:basedOn w:val="a"/>
    <w:autoRedefine/>
    <w:uiPriority w:val="99"/>
    <w:qFormat/>
    <w:pPr>
      <w:adjustRightInd w:val="0"/>
      <w:snapToGrid w:val="0"/>
      <w:spacing w:line="360" w:lineRule="auto"/>
      <w:ind w:firstLineChars="200" w:firstLine="200"/>
    </w:pPr>
    <w:rPr>
      <w:rFonts w:ascii="宋体" w:hAnsi="宋体" w:cs="Times New Roman"/>
      <w:sz w:val="24"/>
      <w:szCs w:val="20"/>
    </w:rPr>
  </w:style>
  <w:style w:type="paragraph" w:customStyle="1" w:styleId="affffffffffffffffffffffffff2">
    <w:name w:val="样式 表头 + 小四"/>
    <w:autoRedefine/>
    <w:uiPriority w:val="99"/>
    <w:qFormat/>
    <w:pPr>
      <w:ind w:left="420" w:hanging="420"/>
      <w:jc w:val="center"/>
    </w:pPr>
    <w:rPr>
      <w:rFonts w:ascii="Calibri" w:hAnsi="Calibri"/>
      <w:b/>
    </w:rPr>
  </w:style>
  <w:style w:type="paragraph" w:customStyle="1" w:styleId="405">
    <w:name w:val="样式 标题4 + 段前: 0.5 行"/>
    <w:basedOn w:val="4CharChar2"/>
    <w:uiPriority w:val="99"/>
    <w:qFormat/>
  </w:style>
  <w:style w:type="paragraph" w:customStyle="1" w:styleId="-80">
    <w:name w:val="表格标题-8"/>
    <w:basedOn w:val="-xin"/>
    <w:next w:val="a"/>
    <w:autoRedefine/>
    <w:uiPriority w:val="99"/>
    <w:qFormat/>
    <w:pPr>
      <w:tabs>
        <w:tab w:val="left" w:pos="3970"/>
      </w:tabs>
      <w:adjustRightInd w:val="0"/>
      <w:spacing w:line="360" w:lineRule="auto"/>
      <w:ind w:left="3119"/>
    </w:pPr>
    <w:rPr>
      <w:rFonts w:cs="Times New Roman"/>
      <w:sz w:val="24"/>
      <w:szCs w:val="24"/>
    </w:rPr>
  </w:style>
  <w:style w:type="paragraph" w:customStyle="1" w:styleId="CharCharChar110">
    <w:name w:val="Char Char Char11"/>
    <w:basedOn w:val="a"/>
    <w:uiPriority w:val="99"/>
    <w:qFormat/>
    <w:rPr>
      <w:rFonts w:eastAsia="仿宋_GB2312" w:cs="Times New Roman"/>
      <w:szCs w:val="24"/>
    </w:rPr>
  </w:style>
  <w:style w:type="paragraph" w:customStyle="1" w:styleId="1TimesNewRoman200">
    <w:name w:val="样式 标题 1 + Times New Roman 首行缩进:  2 字符 段前: 0 磅 段后: 0 磅"/>
    <w:basedOn w:val="1"/>
    <w:autoRedefine/>
    <w:uiPriority w:val="99"/>
    <w:qFormat/>
    <w:pPr>
      <w:widowControl/>
      <w:numPr>
        <w:numId w:val="0"/>
      </w:numPr>
      <w:tabs>
        <w:tab w:val="left" w:pos="0"/>
        <w:tab w:val="left" w:pos="432"/>
        <w:tab w:val="left" w:pos="567"/>
      </w:tabs>
      <w:spacing w:line="240" w:lineRule="auto"/>
      <w:ind w:left="432" w:hanging="432"/>
    </w:pPr>
    <w:rPr>
      <w:rFonts w:ascii="宋体" w:eastAsia="黑体" w:cs="Times New Roman"/>
      <w:bCs w:val="0"/>
      <w:sz w:val="44"/>
      <w:szCs w:val="20"/>
    </w:rPr>
  </w:style>
  <w:style w:type="paragraph" w:customStyle="1" w:styleId="affffffffffffffffffffffffff3">
    <w:name w:val="我的表头"/>
    <w:basedOn w:val="a"/>
    <w:uiPriority w:val="99"/>
    <w:qFormat/>
    <w:pPr>
      <w:spacing w:before="156"/>
      <w:jc w:val="center"/>
    </w:pPr>
    <w:rPr>
      <w:rFonts w:ascii="黑体" w:eastAsia="黑体" w:cs="宋体"/>
      <w:b/>
      <w:bCs/>
      <w:sz w:val="24"/>
      <w:szCs w:val="20"/>
    </w:rPr>
  </w:style>
  <w:style w:type="paragraph" w:customStyle="1" w:styleId="0505">
    <w:name w:val="样式 表名 + 段前: 0.5 行 段后: 0.5 行"/>
    <w:basedOn w:val="affffff8"/>
    <w:autoRedefine/>
    <w:uiPriority w:val="99"/>
    <w:qFormat/>
    <w:pPr>
      <w:keepNext w:val="0"/>
      <w:overflowPunct w:val="0"/>
      <w:topLinePunct/>
      <w:spacing w:beforeLines="50" w:before="0" w:line="440" w:lineRule="exact"/>
      <w:outlineLvl w:val="4"/>
    </w:pPr>
    <w:rPr>
      <w:rFonts w:ascii="宋体" w:hAnsi="华文楷体" w:cs="宋体"/>
      <w:bCs/>
      <w:sz w:val="24"/>
      <w:szCs w:val="21"/>
    </w:rPr>
  </w:style>
  <w:style w:type="paragraph" w:customStyle="1" w:styleId="CharChar15">
    <w:name w:val="表号 Char Char1"/>
    <w:basedOn w:val="a"/>
    <w:autoRedefine/>
    <w:uiPriority w:val="99"/>
    <w:qFormat/>
    <w:pPr>
      <w:overflowPunct w:val="0"/>
      <w:topLinePunct/>
      <w:ind w:firstLineChars="200" w:firstLine="200"/>
      <w:outlineLvl w:val="5"/>
    </w:pPr>
    <w:rPr>
      <w:rFonts w:cs="Times New Roman"/>
      <w:szCs w:val="24"/>
    </w:rPr>
  </w:style>
  <w:style w:type="paragraph" w:customStyle="1" w:styleId="Char50">
    <w:name w:val="Char5"/>
    <w:basedOn w:val="af8"/>
    <w:uiPriority w:val="99"/>
    <w:qFormat/>
    <w:rPr>
      <w:kern w:val="2"/>
      <w:sz w:val="21"/>
      <w:szCs w:val="24"/>
    </w:rPr>
  </w:style>
  <w:style w:type="paragraph" w:customStyle="1" w:styleId="affffffffffffffffffffffffff4">
    <w:name w:val="条文"/>
    <w:basedOn w:val="af2"/>
    <w:autoRedefine/>
    <w:uiPriority w:val="99"/>
    <w:qFormat/>
    <w:pPr>
      <w:tabs>
        <w:tab w:val="left" w:pos="1200"/>
        <w:tab w:val="left" w:pos="1472"/>
      </w:tabs>
      <w:spacing w:beforeLines="50"/>
      <w:ind w:leftChars="400" w:left="1200" w:hangingChars="200" w:hanging="360"/>
    </w:pPr>
    <w:rPr>
      <w:rFonts w:ascii="Times New Roman"/>
      <w:sz w:val="28"/>
    </w:rPr>
  </w:style>
  <w:style w:type="paragraph" w:customStyle="1" w:styleId="1-wd">
    <w:name w:val="(1)小标题-wd"/>
    <w:basedOn w:val="a"/>
    <w:autoRedefine/>
    <w:uiPriority w:val="99"/>
    <w:qFormat/>
    <w:pPr>
      <w:spacing w:beforeLines="50" w:afterLines="50"/>
      <w:ind w:left="482" w:firstLineChars="200" w:firstLine="480"/>
    </w:pPr>
    <w:rPr>
      <w:rFonts w:hAnsi="宋体" w:cs="Times New Roman"/>
      <w:bCs/>
      <w:color w:val="000000"/>
      <w:sz w:val="24"/>
      <w:szCs w:val="24"/>
    </w:rPr>
  </w:style>
  <w:style w:type="paragraph" w:customStyle="1" w:styleId="324">
    <w:name w:val="表格32"/>
    <w:basedOn w:val="a"/>
    <w:uiPriority w:val="99"/>
    <w:qFormat/>
    <w:pPr>
      <w:adjustRightInd w:val="0"/>
      <w:ind w:firstLineChars="200" w:firstLine="480"/>
      <w:jc w:val="center"/>
      <w:textAlignment w:val="center"/>
    </w:pPr>
    <w:rPr>
      <w:rFonts w:eastAsia="仿宋_GB2312" w:cs="Times New Roman"/>
      <w:szCs w:val="20"/>
    </w:rPr>
  </w:style>
  <w:style w:type="paragraph" w:customStyle="1" w:styleId="two">
    <w:name w:val="two"/>
    <w:basedOn w:val="a"/>
    <w:autoRedefine/>
    <w:uiPriority w:val="99"/>
    <w:qFormat/>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15b">
    <w:name w:val="样式 行距: 1.5 倍行距"/>
    <w:basedOn w:val="a"/>
    <w:autoRedefine/>
    <w:uiPriority w:val="99"/>
    <w:qFormat/>
    <w:pPr>
      <w:spacing w:line="360" w:lineRule="auto"/>
      <w:ind w:firstLineChars="200" w:firstLine="480"/>
    </w:pPr>
    <w:rPr>
      <w:rFonts w:ascii="宋体" w:hAnsi="宋体" w:cs="Times New Roman"/>
      <w:sz w:val="24"/>
      <w:szCs w:val="24"/>
    </w:rPr>
  </w:style>
  <w:style w:type="paragraph" w:customStyle="1" w:styleId="CharChar3CharChar">
    <w:name w:val="Char Char3 Char Char"/>
    <w:basedOn w:val="a"/>
    <w:uiPriority w:val="99"/>
    <w:qFormat/>
    <w:pPr>
      <w:spacing w:line="360" w:lineRule="auto"/>
      <w:ind w:firstLineChars="200" w:firstLine="200"/>
      <w:jc w:val="left"/>
    </w:pPr>
    <w:rPr>
      <w:rFonts w:cs="Times New Roman"/>
      <w:sz w:val="24"/>
      <w:szCs w:val="20"/>
    </w:rPr>
  </w:style>
  <w:style w:type="paragraph" w:customStyle="1" w:styleId="affffffffffffffffffffffffff5">
    <w:name w:val="图标"/>
    <w:basedOn w:val="a"/>
    <w:autoRedefine/>
    <w:uiPriority w:val="99"/>
    <w:qFormat/>
    <w:pPr>
      <w:tabs>
        <w:tab w:val="left" w:pos="1920"/>
      </w:tabs>
      <w:spacing w:line="400" w:lineRule="atLeast"/>
      <w:jc w:val="center"/>
    </w:pPr>
    <w:rPr>
      <w:rFonts w:cs="Times New Roman"/>
      <w:bCs/>
      <w:color w:val="000000"/>
      <w:sz w:val="24"/>
      <w:szCs w:val="21"/>
    </w:rPr>
  </w:style>
  <w:style w:type="paragraph" w:customStyle="1" w:styleId="CharCharCharCharCharChar1CharCharChar1CharCharCharCharCharCharCharCharChar1">
    <w:name w:val="Char Char Char Char Char Char1 Char Char Char1 Char Char Char Char Char Char Char Char Char1"/>
    <w:basedOn w:val="a"/>
    <w:autoRedefine/>
    <w:uiPriority w:val="99"/>
    <w:qFormat/>
    <w:pPr>
      <w:spacing w:line="360" w:lineRule="auto"/>
      <w:ind w:firstLineChars="200" w:firstLine="200"/>
    </w:pPr>
    <w:rPr>
      <w:rFonts w:ascii="宋体" w:hAnsi="宋体" w:cs="宋体"/>
      <w:sz w:val="24"/>
      <w:szCs w:val="24"/>
    </w:rPr>
  </w:style>
  <w:style w:type="paragraph" w:customStyle="1" w:styleId="affffffffffffffffffffffffff6">
    <w:name w:val="目录标题"/>
    <w:basedOn w:val="a"/>
    <w:next w:val="a"/>
    <w:uiPriority w:val="99"/>
    <w:qFormat/>
    <w:pPr>
      <w:widowControl/>
      <w:adjustRightInd w:val="0"/>
      <w:snapToGrid w:val="0"/>
      <w:spacing w:before="215" w:after="419" w:line="436" w:lineRule="atLeast"/>
      <w:ind w:firstLineChars="200" w:firstLine="419"/>
      <w:jc w:val="center"/>
      <w:textAlignment w:val="baseline"/>
    </w:pPr>
    <w:rPr>
      <w:rFonts w:ascii="Arial" w:eastAsia="黑体" w:cs="Times New Roman"/>
      <w:color w:val="000000"/>
      <w:spacing w:val="283"/>
      <w:kern w:val="0"/>
      <w:sz w:val="42"/>
      <w:szCs w:val="24"/>
    </w:rPr>
  </w:style>
  <w:style w:type="paragraph" w:customStyle="1" w:styleId="17878">
    <w:name w:val="样式 标题 1 + 段前: 7.8 磅 段后: 7.8 磅"/>
    <w:basedOn w:val="1"/>
    <w:autoRedefine/>
    <w:uiPriority w:val="99"/>
    <w:qFormat/>
    <w:pPr>
      <w:widowControl/>
      <w:numPr>
        <w:numId w:val="0"/>
      </w:numPr>
      <w:tabs>
        <w:tab w:val="left" w:pos="0"/>
        <w:tab w:val="left" w:pos="432"/>
        <w:tab w:val="left" w:pos="567"/>
      </w:tabs>
      <w:spacing w:line="240" w:lineRule="auto"/>
      <w:ind w:left="432" w:hanging="432"/>
    </w:pPr>
    <w:rPr>
      <w:rFonts w:ascii="宋体" w:eastAsia="黑体" w:cs="Times New Roman"/>
      <w:bCs w:val="0"/>
      <w:sz w:val="44"/>
      <w:szCs w:val="20"/>
    </w:rPr>
  </w:style>
  <w:style w:type="paragraph" w:customStyle="1" w:styleId="affffffffffffffffffffffffff7">
    <w:name w:val="流程"/>
    <w:basedOn w:val="a"/>
    <w:autoRedefine/>
    <w:uiPriority w:val="99"/>
    <w:qFormat/>
    <w:pPr>
      <w:topLinePunct/>
      <w:adjustRightInd w:val="0"/>
      <w:snapToGrid w:val="0"/>
      <w:spacing w:line="360" w:lineRule="auto"/>
      <w:ind w:firstLineChars="200" w:firstLine="200"/>
      <w:jc w:val="center"/>
    </w:pPr>
    <w:rPr>
      <w:rFonts w:cs="Times New Roman"/>
      <w:sz w:val="18"/>
      <w:szCs w:val="20"/>
    </w:rPr>
  </w:style>
  <w:style w:type="paragraph" w:customStyle="1" w:styleId="1ffffff">
    <w:name w:val="表文1"/>
    <w:basedOn w:val="afffffffff9"/>
    <w:uiPriority w:val="99"/>
    <w:qFormat/>
    <w:pPr>
      <w:overflowPunct/>
      <w:topLinePunct w:val="0"/>
      <w:adjustRightInd w:val="0"/>
      <w:spacing w:line="360" w:lineRule="auto"/>
      <w:ind w:left="482"/>
      <w:jc w:val="both"/>
      <w:outlineLvl w:val="9"/>
    </w:pPr>
    <w:rPr>
      <w:rFonts w:ascii="Times New Roman" w:hAnsi="Times New Roman"/>
      <w:sz w:val="24"/>
      <w:szCs w:val="24"/>
    </w:rPr>
  </w:style>
  <w:style w:type="paragraph" w:customStyle="1" w:styleId="1TimesNewRoman15">
    <w:name w:val="样式 标题1 + (西文) Times New Roman (中文) 华文中宋 行距: 1.5 倍行距"/>
    <w:basedOn w:val="1"/>
    <w:autoRedefine/>
    <w:uiPriority w:val="99"/>
    <w:qFormat/>
    <w:pPr>
      <w:keepNext w:val="0"/>
      <w:keepLines w:val="0"/>
      <w:numPr>
        <w:numId w:val="0"/>
      </w:numPr>
      <w:overflowPunct w:val="0"/>
      <w:topLinePunct/>
    </w:pPr>
    <w:rPr>
      <w:rFonts w:eastAsia="黑体" w:cs="宋体"/>
      <w:color w:val="000000"/>
      <w:kern w:val="2"/>
      <w:szCs w:val="32"/>
    </w:rPr>
  </w:style>
  <w:style w:type="paragraph" w:customStyle="1" w:styleId="128">
    <w:name w:val="样式 样式1正文 + 行距: 固定值 28 磅"/>
    <w:basedOn w:val="a"/>
    <w:autoRedefine/>
    <w:uiPriority w:val="99"/>
    <w:qFormat/>
    <w:pPr>
      <w:spacing w:line="560" w:lineRule="exact"/>
      <w:ind w:firstLineChars="200" w:firstLine="520"/>
    </w:pPr>
    <w:rPr>
      <w:rFonts w:ascii="宋体" w:hAnsi="宋体" w:cs="Times New Roman"/>
      <w:spacing w:val="-10"/>
      <w:sz w:val="28"/>
      <w:szCs w:val="20"/>
      <w:lang w:val="en-GB"/>
    </w:rPr>
  </w:style>
  <w:style w:type="paragraph" w:customStyle="1" w:styleId="affffffffffffffffffffffffff8">
    <w:name w:val="四级标题样式"/>
    <w:basedOn w:val="a"/>
    <w:next w:val="a"/>
    <w:uiPriority w:val="99"/>
    <w:qFormat/>
    <w:pPr>
      <w:adjustRightInd w:val="0"/>
      <w:snapToGrid w:val="0"/>
      <w:spacing w:line="360" w:lineRule="auto"/>
      <w:jc w:val="left"/>
    </w:pPr>
    <w:rPr>
      <w:rFonts w:eastAsia="黑体" w:cs="Times New Roman"/>
      <w:spacing w:val="4"/>
      <w:sz w:val="28"/>
      <w:szCs w:val="24"/>
    </w:rPr>
  </w:style>
  <w:style w:type="paragraph" w:customStyle="1" w:styleId="xl20">
    <w:name w:val="xl20"/>
    <w:basedOn w:val="a"/>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affffffffffffffffffffffffff9">
    <w:name w:val="表格 表头"/>
    <w:basedOn w:val="a"/>
    <w:autoRedefine/>
    <w:uiPriority w:val="99"/>
    <w:qFormat/>
    <w:pPr>
      <w:widowControl/>
      <w:autoSpaceDE w:val="0"/>
      <w:autoSpaceDN w:val="0"/>
      <w:adjustRightInd w:val="0"/>
      <w:snapToGrid w:val="0"/>
      <w:spacing w:line="360" w:lineRule="auto"/>
      <w:jc w:val="center"/>
      <w:textAlignment w:val="baseline"/>
    </w:pPr>
    <w:rPr>
      <w:rFonts w:ascii="宋体" w:cs="宋体"/>
      <w:b/>
      <w:kern w:val="0"/>
      <w:sz w:val="24"/>
      <w:szCs w:val="24"/>
    </w:rPr>
  </w:style>
  <w:style w:type="paragraph" w:customStyle="1" w:styleId="405057878">
    <w:name w:val="样式 样式 标题 4 + 段前: 0.5 行 段后: 0.5 行 + 段前: 7.8 磅 段后: 7.8 磅"/>
    <w:basedOn w:val="40505"/>
    <w:uiPriority w:val="99"/>
    <w:qFormat/>
    <w:pPr>
      <w:tabs>
        <w:tab w:val="clear" w:pos="-21"/>
        <w:tab w:val="clear" w:pos="864"/>
        <w:tab w:val="clear" w:pos="1680"/>
      </w:tabs>
      <w:snapToGrid/>
      <w:spacing w:beforeLines="0" w:line="440" w:lineRule="exact"/>
      <w:ind w:left="0" w:firstLine="0"/>
    </w:pPr>
    <w:rPr>
      <w:rFonts w:eastAsia="华文中宋" w:cs="宋体"/>
      <w:b/>
      <w:bCs/>
    </w:rPr>
  </w:style>
  <w:style w:type="paragraph" w:customStyle="1" w:styleId="ourfont3">
    <w:name w:val="ourfont3"/>
    <w:basedOn w:val="a"/>
    <w:autoRedefine/>
    <w:uiPriority w:val="99"/>
    <w:qFormat/>
    <w:pPr>
      <w:widowControl/>
      <w:spacing w:before="100" w:beforeAutospacing="1" w:after="100" w:afterAutospacing="1"/>
      <w:jc w:val="left"/>
    </w:pPr>
    <w:rPr>
      <w:rFonts w:ascii="宋体" w:hAnsi="宋体" w:cs="宋体"/>
      <w:kern w:val="0"/>
      <w:sz w:val="24"/>
      <w:szCs w:val="24"/>
    </w:rPr>
  </w:style>
  <w:style w:type="paragraph" w:customStyle="1" w:styleId="12523">
    <w:name w:val="样式 12.5 磅 行距: 固定值 23 磅"/>
    <w:basedOn w:val="a"/>
    <w:uiPriority w:val="99"/>
    <w:qFormat/>
    <w:pPr>
      <w:spacing w:line="460" w:lineRule="exact"/>
      <w:ind w:firstLineChars="200" w:firstLine="500"/>
    </w:pPr>
    <w:rPr>
      <w:rFonts w:cs="宋体"/>
      <w:sz w:val="25"/>
      <w:szCs w:val="20"/>
    </w:rPr>
  </w:style>
  <w:style w:type="paragraph" w:customStyle="1" w:styleId="-30">
    <w:name w:val="表格标题-3"/>
    <w:basedOn w:val="-xin"/>
    <w:next w:val="a"/>
    <w:uiPriority w:val="99"/>
    <w:qFormat/>
    <w:pPr>
      <w:adjustRightInd w:val="0"/>
      <w:spacing w:line="360" w:lineRule="auto"/>
      <w:ind w:left="2688" w:hanging="420"/>
    </w:pPr>
    <w:rPr>
      <w:rFonts w:cs="Times New Roman"/>
      <w:sz w:val="24"/>
      <w:szCs w:val="24"/>
    </w:rPr>
  </w:style>
  <w:style w:type="paragraph" w:customStyle="1" w:styleId="328158151">
    <w:name w:val="样式 标题 3 + 首行缩进:  2 字符 段前: 8.15 磅 段后: 8.15 磅1"/>
    <w:basedOn w:val="3"/>
    <w:autoRedefine/>
    <w:uiPriority w:val="99"/>
    <w:qFormat/>
    <w:pPr>
      <w:numPr>
        <w:ilvl w:val="0"/>
        <w:numId w:val="0"/>
      </w:numPr>
      <w:snapToGrid/>
      <w:spacing w:beforeLines="100" w:afterLines="50" w:line="0" w:lineRule="atLeast"/>
      <w:ind w:firstLineChars="200" w:firstLine="482"/>
      <w:textAlignment w:val="baseline"/>
    </w:pPr>
    <w:rPr>
      <w:rFonts w:ascii="Arial Unicode MS" w:eastAsia="黑体" w:hAnsi="Arial Unicode MS" w:cs="宋体"/>
      <w:sz w:val="28"/>
      <w:szCs w:val="20"/>
    </w:rPr>
  </w:style>
  <w:style w:type="paragraph" w:customStyle="1" w:styleId="22220">
    <w:name w:val="样式 目录 2 + 左侧:  2 字符 首行缩进:  2 字符2"/>
    <w:basedOn w:val="28"/>
    <w:uiPriority w:val="99"/>
    <w:qFormat/>
    <w:pPr>
      <w:tabs>
        <w:tab w:val="left" w:pos="600"/>
        <w:tab w:val="left" w:pos="720"/>
        <w:tab w:val="right" w:leader="dot" w:pos="9061"/>
      </w:tabs>
      <w:adjustRightInd w:val="0"/>
      <w:spacing w:before="120" w:line="240" w:lineRule="auto"/>
      <w:ind w:leftChars="0" w:left="0" w:firstLineChars="200" w:firstLine="200"/>
      <w:jc w:val="left"/>
    </w:pPr>
    <w:rPr>
      <w:rFonts w:ascii="Calibri" w:hAnsi="Calibri" w:cs="宋体"/>
      <w:i/>
      <w:iCs/>
      <w:sz w:val="21"/>
      <w:szCs w:val="20"/>
    </w:rPr>
  </w:style>
  <w:style w:type="paragraph" w:customStyle="1" w:styleId="CharCharCharCharCharCharCharCharChar1CharCharCharChar1">
    <w:name w:val="Char Char Char Char Char Char Char Char Char1 Char Char Char Char1"/>
    <w:basedOn w:val="a"/>
    <w:autoRedefine/>
    <w:uiPriority w:val="99"/>
    <w:semiHidden/>
    <w:qFormat/>
    <w:pPr>
      <w:spacing w:line="360" w:lineRule="auto"/>
      <w:ind w:firstLineChars="200" w:firstLine="200"/>
    </w:pPr>
    <w:rPr>
      <w:rFonts w:ascii="宋体" w:hAnsi="宋体" w:cs="宋体"/>
      <w:sz w:val="24"/>
      <w:szCs w:val="26"/>
    </w:rPr>
  </w:style>
  <w:style w:type="paragraph" w:customStyle="1" w:styleId="-120">
    <w:name w:val="表格标题-12"/>
    <w:basedOn w:val="-xin"/>
    <w:next w:val="a"/>
    <w:autoRedefine/>
    <w:uiPriority w:val="99"/>
    <w:qFormat/>
    <w:pPr>
      <w:adjustRightInd w:val="0"/>
      <w:spacing w:line="360" w:lineRule="auto"/>
      <w:ind w:left="420" w:hanging="420"/>
    </w:pPr>
    <w:rPr>
      <w:rFonts w:cs="Times New Roman"/>
      <w:sz w:val="24"/>
      <w:szCs w:val="24"/>
    </w:rPr>
  </w:style>
  <w:style w:type="paragraph" w:customStyle="1" w:styleId="Char30">
    <w:name w:val="Char3"/>
    <w:basedOn w:val="a"/>
    <w:uiPriority w:val="99"/>
    <w:qFormat/>
    <w:pPr>
      <w:spacing w:line="360" w:lineRule="auto"/>
      <w:ind w:firstLineChars="200" w:firstLine="200"/>
    </w:pPr>
    <w:rPr>
      <w:rFonts w:ascii="宋体" w:hAnsi="宋体" w:cs="宋体"/>
      <w:sz w:val="24"/>
      <w:szCs w:val="24"/>
    </w:rPr>
  </w:style>
  <w:style w:type="paragraph" w:customStyle="1" w:styleId="205051">
    <w:name w:val="样式 标题 2 + 段前: 0.5 行 段后: 0.5 行1"/>
    <w:basedOn w:val="20"/>
    <w:autoRedefine/>
    <w:uiPriority w:val="99"/>
    <w:qFormat/>
    <w:pPr>
      <w:numPr>
        <w:ilvl w:val="0"/>
        <w:numId w:val="0"/>
      </w:numPr>
      <w:tabs>
        <w:tab w:val="left" w:pos="-861"/>
        <w:tab w:val="left" w:pos="576"/>
        <w:tab w:val="left" w:pos="840"/>
        <w:tab w:val="left" w:pos="1145"/>
      </w:tabs>
      <w:spacing w:before="0" w:after="0"/>
      <w:ind w:left="576" w:hanging="576"/>
    </w:pPr>
    <w:rPr>
      <w:rFonts w:ascii="Arial" w:eastAsia="黑体" w:hAnsi="Arial" w:cs="Times New Roman"/>
      <w:bCs w:val="0"/>
      <w:szCs w:val="20"/>
    </w:rPr>
  </w:style>
  <w:style w:type="paragraph" w:customStyle="1" w:styleId="xl73">
    <w:name w:val="xl73"/>
    <w:basedOn w:val="a"/>
    <w:autoRedefine/>
    <w:uiPriority w:val="99"/>
    <w:qFormat/>
    <w:pPr>
      <w:widowControl/>
      <w:pBdr>
        <w:left w:val="single" w:sz="8" w:space="0" w:color="auto"/>
        <w:right w:val="single" w:sz="8" w:space="0" w:color="auto"/>
      </w:pBdr>
      <w:spacing w:before="100" w:beforeAutospacing="1" w:after="100" w:afterAutospacing="1"/>
      <w:jc w:val="center"/>
    </w:pPr>
    <w:rPr>
      <w:rFonts w:ascii="宋体" w:hAnsi="宋体" w:cs="宋体"/>
      <w:kern w:val="0"/>
      <w:sz w:val="18"/>
      <w:szCs w:val="18"/>
    </w:rPr>
  </w:style>
  <w:style w:type="table" w:customStyle="1" w:styleId="3ffa">
    <w:name w:val="网格型3"/>
    <w:basedOn w:val="a1"/>
    <w:autoRedefine/>
    <w:uiPriority w:val="59"/>
    <w:qFormat/>
    <w:pPr>
      <w:widowControl w:val="0"/>
      <w:ind w:left="48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0">
    <w:name w:val="表格主题1"/>
    <w:basedOn w:val="a1"/>
    <w:autoRedefine/>
    <w:qFormat/>
    <w:pPr>
      <w:widowControl w:val="0"/>
      <w:adjustRightInd w:val="0"/>
      <w:spacing w:line="360" w:lineRule="auto"/>
      <w:ind w:left="48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简明型 12"/>
    <w:basedOn w:val="a1"/>
    <w:autoRedefine/>
    <w:qFormat/>
    <w:pPr>
      <w:widowControl w:val="0"/>
      <w:jc w:val="both"/>
    </w:pPr>
    <w:tblPr>
      <w:tblBorders>
        <w:top w:val="single" w:sz="12" w:space="0" w:color="008000"/>
        <w:bottom w:val="single" w:sz="12" w:space="0" w:color="008000"/>
      </w:tblBorders>
    </w:tblPr>
    <w:tcPr>
      <w:shd w:val="clear" w:color="auto" w:fill="auto"/>
    </w:tc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325">
    <w:name w:val="简明型 32"/>
    <w:basedOn w:val="a1"/>
    <w:qFormat/>
    <w:pPr>
      <w:widowControl w:val="0"/>
      <w:spacing w:afterLines="50" w:line="360" w:lineRule="auto"/>
      <w:ind w:firstLineChars="200" w:firstLine="200"/>
      <w:jc w:val="center"/>
    </w:pPr>
    <w:tblPr>
      <w:jc w:val="center"/>
      <w:tblBorders>
        <w:top w:val="single" w:sz="12" w:space="0" w:color="000000"/>
        <w:bottom w:val="single" w:sz="12" w:space="0" w:color="000000"/>
        <w:insideH w:val="single" w:sz="4" w:space="0" w:color="auto"/>
        <w:insideV w:val="single" w:sz="4" w:space="0" w:color="auto"/>
      </w:tblBorders>
      <w:tblCellMar>
        <w:top w:w="57" w:type="dxa"/>
        <w:left w:w="57" w:type="dxa"/>
        <w:bottom w:w="57" w:type="dxa"/>
        <w:right w:w="57" w:type="dxa"/>
      </w:tblCellMar>
    </w:tblPr>
    <w:trPr>
      <w:cantSplit/>
      <w:tblHeader/>
      <w:jc w:val="center"/>
    </w:trPr>
    <w:tblStylePr w:type="firstRow">
      <w:rPr>
        <w:rFonts w:cs="Times New Roman"/>
        <w:b w:val="0"/>
        <w:bCs/>
        <w:color w:val="auto"/>
      </w:rPr>
    </w:tblStylePr>
  </w:style>
  <w:style w:type="table" w:customStyle="1" w:styleId="129">
    <w:name w:val="网页型 12"/>
    <w:basedOn w:val="a1"/>
    <w:autoRedefine/>
    <w:semiHidden/>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op w:val="nil"/>
          <w:left w:val="nil"/>
          <w:bottom w:val="nil"/>
          <w:right w:val="nil"/>
          <w:insideH w:val="nil"/>
          <w:insideV w:val="nil"/>
          <w:tl2br w:val="nil"/>
          <w:tr2bl w:val="nil"/>
        </w:tcBorders>
      </w:tcPr>
    </w:tblStylePr>
  </w:style>
  <w:style w:type="table" w:customStyle="1" w:styleId="1211">
    <w:name w:val="简明型 121"/>
    <w:basedOn w:val="a1"/>
    <w:autoRedefine/>
    <w:qFormat/>
    <w:pPr>
      <w:widowControl w:val="0"/>
      <w:jc w:val="both"/>
    </w:pPr>
    <w:tblPr>
      <w:tblBorders>
        <w:top w:val="single" w:sz="12" w:space="0" w:color="008000"/>
        <w:bottom w:val="single" w:sz="12" w:space="0" w:color="008000"/>
      </w:tblBorders>
    </w:tblPr>
    <w:tblStylePr w:type="firstRow">
      <w:rPr>
        <w:rFonts w:cs="Times New Roman"/>
      </w:rPr>
      <w:tblPr/>
      <w:tcPr>
        <w:tcBorders>
          <w:top w:val="nil"/>
          <w:left w:val="single" w:sz="6" w:space="0" w:color="008000"/>
          <w:bottom w:val="nil"/>
          <w:right w:val="nil"/>
          <w:insideH w:val="nil"/>
          <w:insideV w:val="nil"/>
          <w:tl2br w:val="nil"/>
          <w:tr2bl w:val="nil"/>
        </w:tcBorders>
      </w:tcPr>
    </w:tblStylePr>
    <w:tblStylePr w:type="lastRow">
      <w:rPr>
        <w:rFonts w:cs="Times New Roman"/>
      </w:rPr>
      <w:tblPr/>
      <w:tcPr>
        <w:tcBorders>
          <w:top w:val="single" w:sz="6" w:space="0" w:color="008000"/>
          <w:left w:val="nil"/>
          <w:bottom w:val="nil"/>
          <w:right w:val="nil"/>
          <w:insideH w:val="nil"/>
          <w:insideV w:val="nil"/>
          <w:tl2br w:val="nil"/>
          <w:tr2bl w:val="nil"/>
        </w:tcBorders>
      </w:tcPr>
    </w:tblStylePr>
  </w:style>
  <w:style w:type="table" w:customStyle="1" w:styleId="3111">
    <w:name w:val="简明型 311"/>
    <w:basedOn w:val="a1"/>
    <w:qFormat/>
    <w:pPr>
      <w:widowControl w:val="0"/>
      <w:spacing w:afterLines="50" w:line="360" w:lineRule="auto"/>
      <w:ind w:firstLineChars="200" w:firstLine="200"/>
      <w:jc w:val="center"/>
    </w:pPr>
    <w:tblPr>
      <w:jc w:val="center"/>
      <w:tblBorders>
        <w:top w:val="single" w:sz="12" w:space="0" w:color="000000"/>
        <w:bottom w:val="single" w:sz="12" w:space="0" w:color="000000"/>
        <w:insideH w:val="single" w:sz="4" w:space="0" w:color="auto"/>
        <w:insideV w:val="single" w:sz="4" w:space="0" w:color="auto"/>
      </w:tblBorders>
      <w:tblCellMar>
        <w:top w:w="57" w:type="dxa"/>
        <w:left w:w="57" w:type="dxa"/>
        <w:bottom w:w="57" w:type="dxa"/>
        <w:right w:w="57" w:type="dxa"/>
      </w:tblCellMar>
    </w:tblPr>
    <w:trPr>
      <w:cantSplit/>
      <w:tblHeader/>
      <w:jc w:val="center"/>
    </w:trPr>
    <w:tblStylePr w:type="firstRow">
      <w:rPr>
        <w:rFonts w:cs="Times New Roman"/>
        <w:b w:val="0"/>
        <w:bCs/>
        <w:color w:val="auto"/>
      </w:rPr>
    </w:tblStylePr>
  </w:style>
  <w:style w:type="table" w:customStyle="1" w:styleId="12a">
    <w:name w:val="网格型12"/>
    <w:basedOn w:val="a1"/>
    <w:autoRedefine/>
    <w:qFormat/>
    <w:pPr>
      <w:widowControl w:val="0"/>
      <w:spacing w:line="440" w:lineRule="exact"/>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网格型 52"/>
    <w:basedOn w:val="a1"/>
    <w:autoRedefine/>
    <w:semiHidden/>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top w:val="nil"/>
          <w:left w:val="single" w:sz="12" w:space="0" w:color="000000"/>
          <w:bottom w:val="nil"/>
          <w:right w:val="nil"/>
          <w:insideH w:val="nil"/>
          <w:insideV w:val="nil"/>
          <w:tl2br w:val="nil"/>
          <w:tr2bl w:val="nil"/>
        </w:tcBorders>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customStyle="1" w:styleId="2ffffc">
    <w:name w:val="刘文自定义表格2"/>
    <w:basedOn w:val="affff5"/>
    <w:qFormat/>
    <w:pPr>
      <w:jc w:val="center"/>
    </w:pPr>
    <w:tblPr/>
    <w:trPr>
      <w:tblHeader/>
    </w:trPr>
    <w:tcPr>
      <w:tcMar>
        <w:left w:w="28" w:type="dxa"/>
        <w:right w:w="28" w:type="dxa"/>
      </w:tcMar>
      <w:vAlign w:val="center"/>
    </w:tcPr>
  </w:style>
  <w:style w:type="table" w:customStyle="1" w:styleId="820">
    <w:name w:val="网格型 82"/>
    <w:basedOn w:val="a1"/>
    <w:autoRedefine/>
    <w:semiHidden/>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Times New Roman"/>
        <w:b/>
        <w:bCs/>
        <w:color w:val="auto"/>
      </w:rPr>
      <w:tblPr/>
      <w:tcPr>
        <w:tcBorders>
          <w:top w:val="nil"/>
          <w:left w:val="nil"/>
          <w:bottom w:val="nil"/>
          <w:right w:val="nil"/>
          <w:insideH w:val="nil"/>
          <w:insideV w:val="nil"/>
          <w:tl2br w:val="nil"/>
          <w:tr2bl w:val="nil"/>
        </w:tcBorders>
      </w:tcPr>
    </w:tblStylePr>
    <w:tblStylePr w:type="lastCol">
      <w:rPr>
        <w:rFonts w:cs="Times New Roman"/>
        <w:b/>
        <w:bCs/>
        <w:color w:val="auto"/>
      </w:rPr>
      <w:tblPr/>
      <w:tcPr>
        <w:tcBorders>
          <w:top w:val="nil"/>
          <w:left w:val="nil"/>
          <w:bottom w:val="nil"/>
          <w:right w:val="nil"/>
          <w:insideH w:val="nil"/>
          <w:insideV w:val="nil"/>
          <w:tl2br w:val="nil"/>
          <w:tr2bl w:val="nil"/>
        </w:tcBorders>
      </w:tcPr>
    </w:tblStylePr>
  </w:style>
  <w:style w:type="table" w:customStyle="1" w:styleId="21f1">
    <w:name w:val="网格型21"/>
    <w:basedOn w:val="a1"/>
    <w:autoRedefine/>
    <w:qFormat/>
    <w:pPr>
      <w:widowControl w:val="0"/>
      <w:jc w:val="both"/>
    </w:pPr>
    <w:rPr>
      <w:sz w:val="18"/>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style>
  <w:style w:type="table" w:customStyle="1" w:styleId="7110">
    <w:name w:val="网格型 711"/>
    <w:basedOn w:val="a1"/>
    <w:semiHidden/>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top w:val="nil"/>
          <w:left w:val="single" w:sz="12" w:space="0" w:color="000000"/>
          <w:bottom w:val="nil"/>
          <w:right w:val="nil"/>
          <w:insideH w:val="nil"/>
          <w:insideV w:val="nil"/>
          <w:tl2br w:val="nil"/>
          <w:tr2bl w:val="nil"/>
        </w:tcBorders>
      </w:tcPr>
    </w:tblStylePr>
    <w:tblStylePr w:type="lastRow">
      <w:rPr>
        <w:rFonts w:cs="Times New Roman"/>
        <w:b w:val="0"/>
        <w:bCs w:val="0"/>
      </w:rPr>
      <w:tblPr/>
      <w:tcPr>
        <w:tcBorders>
          <w:top w:val="single" w:sz="6" w:space="0" w:color="000000"/>
          <w:left w:val="nil"/>
          <w:bottom w:val="nil"/>
          <w:right w:val="nil"/>
          <w:insideH w:val="nil"/>
          <w:insideV w:val="nil"/>
          <w:tl2br w:val="nil"/>
          <w:tr2bl w:val="nil"/>
        </w:tcBorders>
      </w:tcPr>
    </w:tblStylePr>
    <w:tblStylePr w:type="firstCol">
      <w:rPr>
        <w:rFonts w:cs="Times New Roman"/>
        <w:b w:val="0"/>
        <w:bCs w:val="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customStyle="1" w:styleId="1118">
    <w:name w:val="简明型 111"/>
    <w:basedOn w:val="a1"/>
    <w:autoRedefine/>
    <w:qFormat/>
    <w:pPr>
      <w:widowControl w:val="0"/>
      <w:jc w:val="both"/>
    </w:pPr>
    <w:tblPr>
      <w:tblBorders>
        <w:top w:val="single" w:sz="12" w:space="0" w:color="008000"/>
        <w:bottom w:val="single" w:sz="12" w:space="0" w:color="008000"/>
      </w:tblBorders>
    </w:tblPr>
    <w:tblStylePr w:type="firstRow">
      <w:rPr>
        <w:rFonts w:cs="Times New Roman"/>
      </w:rPr>
      <w:tblPr/>
      <w:tcPr>
        <w:tcBorders>
          <w:top w:val="nil"/>
          <w:left w:val="single" w:sz="6" w:space="0" w:color="008000"/>
          <w:bottom w:val="nil"/>
          <w:right w:val="nil"/>
          <w:insideH w:val="nil"/>
          <w:insideV w:val="nil"/>
          <w:tl2br w:val="nil"/>
          <w:tr2bl w:val="nil"/>
        </w:tcBorders>
      </w:tcPr>
    </w:tblStylePr>
    <w:tblStylePr w:type="lastRow">
      <w:rPr>
        <w:rFonts w:cs="Times New Roman"/>
      </w:rPr>
      <w:tblPr/>
      <w:tcPr>
        <w:tcBorders>
          <w:top w:val="single" w:sz="6" w:space="0" w:color="008000"/>
          <w:left w:val="nil"/>
          <w:bottom w:val="nil"/>
          <w:right w:val="nil"/>
          <w:insideH w:val="nil"/>
          <w:insideV w:val="nil"/>
          <w:tl2br w:val="nil"/>
          <w:tr2bl w:val="nil"/>
        </w:tcBorders>
      </w:tcPr>
    </w:tblStylePr>
  </w:style>
  <w:style w:type="table" w:customStyle="1" w:styleId="720">
    <w:name w:val="网格型 72"/>
    <w:basedOn w:val="a1"/>
    <w:autoRedefine/>
    <w:semiHidden/>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top w:val="nil"/>
          <w:left w:val="single" w:sz="12" w:space="0" w:color="000000"/>
          <w:bottom w:val="nil"/>
          <w:right w:val="nil"/>
          <w:insideH w:val="nil"/>
          <w:insideV w:val="nil"/>
          <w:tl2br w:val="nil"/>
          <w:tr2bl w:val="nil"/>
        </w:tcBorders>
      </w:tcPr>
    </w:tblStylePr>
    <w:tblStylePr w:type="lastRow">
      <w:rPr>
        <w:rFonts w:cs="Times New Roman"/>
        <w:b w:val="0"/>
        <w:bCs w:val="0"/>
      </w:rPr>
      <w:tblPr/>
      <w:tcPr>
        <w:tcBorders>
          <w:top w:val="single" w:sz="6" w:space="0" w:color="000000"/>
          <w:left w:val="nil"/>
          <w:bottom w:val="nil"/>
          <w:right w:val="nil"/>
          <w:insideH w:val="nil"/>
          <w:insideV w:val="nil"/>
          <w:tl2br w:val="nil"/>
          <w:tr2bl w:val="nil"/>
        </w:tcBorders>
      </w:tcPr>
    </w:tblStylePr>
    <w:tblStylePr w:type="firstCol">
      <w:rPr>
        <w:rFonts w:cs="Times New Roman"/>
        <w:b w:val="0"/>
        <w:bCs w:val="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customStyle="1" w:styleId="11f6">
    <w:name w:val="网格型11"/>
    <w:basedOn w:val="a1"/>
    <w:qFormat/>
    <w:pPr>
      <w:widowControl w:val="0"/>
      <w:spacing w:line="440" w:lineRule="exact"/>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b">
    <w:name w:val="网格型4"/>
    <w:basedOn w:val="a1"/>
    <w:autoRedefine/>
    <w:uiPriority w:val="59"/>
    <w:qFormat/>
    <w:pPr>
      <w:widowControl w:val="0"/>
      <w:ind w:left="48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4">
    <w:name w:val="网格型5"/>
    <w:basedOn w:val="a1"/>
    <w:autoRedefine/>
    <w:uiPriority w:val="59"/>
    <w:qFormat/>
    <w:pPr>
      <w:widowControl w:val="0"/>
      <w:ind w:left="48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e">
    <w:name w:val="网格型6"/>
    <w:basedOn w:val="a1"/>
    <w:uiPriority w:val="59"/>
    <w:qFormat/>
    <w:pPr>
      <w:widowControl w:val="0"/>
      <w:ind w:left="48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3">
    <w:name w:val="_Style 43"/>
    <w:basedOn w:val="a"/>
    <w:autoRedefine/>
    <w:uiPriority w:val="99"/>
    <w:qFormat/>
    <w:pPr>
      <w:adjustRightInd w:val="0"/>
      <w:snapToGrid w:val="0"/>
      <w:spacing w:line="360" w:lineRule="auto"/>
      <w:ind w:firstLineChars="200" w:firstLine="200"/>
    </w:pPr>
    <w:rPr>
      <w:rFonts w:cs="Times New Roman"/>
      <w:szCs w:val="24"/>
    </w:rPr>
  </w:style>
  <w:style w:type="character" w:customStyle="1" w:styleId="2Char20">
    <w:name w:val="标题 2 Char2"/>
    <w:autoRedefine/>
    <w:qFormat/>
    <w:rPr>
      <w:rFonts w:ascii="黑体" w:eastAsia="黑体" w:hAnsi="Times New Roman" w:cs="Times New Roman"/>
      <w:snapToGrid w:val="0"/>
      <w:sz w:val="28"/>
      <w:szCs w:val="20"/>
    </w:rPr>
  </w:style>
  <w:style w:type="paragraph" w:customStyle="1" w:styleId="12b">
    <w:name w:val="标题12"/>
    <w:basedOn w:val="15"/>
    <w:uiPriority w:val="99"/>
    <w:qFormat/>
    <w:pPr>
      <w:tabs>
        <w:tab w:val="right" w:leader="dot" w:pos="9016"/>
      </w:tabs>
      <w:overflowPunct w:val="0"/>
      <w:topLinePunct/>
      <w:spacing w:before="120" w:after="120" w:line="324" w:lineRule="auto"/>
      <w:jc w:val="center"/>
      <w:outlineLvl w:val="0"/>
    </w:pPr>
    <w:rPr>
      <w:rFonts w:ascii="宋体" w:hAnsi="宋体" w:cs="Times New Roman"/>
      <w:caps/>
      <w:sz w:val="32"/>
      <w:szCs w:val="20"/>
    </w:rPr>
  </w:style>
  <w:style w:type="paragraph" w:customStyle="1" w:styleId="CharCharCharCharChar2Char2">
    <w:name w:val="Char Char Char Char Char2 Char2"/>
    <w:basedOn w:val="a"/>
    <w:autoRedefine/>
    <w:uiPriority w:val="99"/>
    <w:qFormat/>
    <w:pPr>
      <w:adjustRightInd w:val="0"/>
      <w:snapToGrid w:val="0"/>
      <w:spacing w:line="360" w:lineRule="auto"/>
      <w:ind w:firstLineChars="200" w:firstLine="200"/>
    </w:pPr>
    <w:rPr>
      <w:rFonts w:cs="Times New Roman"/>
      <w:sz w:val="28"/>
      <w:szCs w:val="20"/>
    </w:rPr>
  </w:style>
  <w:style w:type="character" w:customStyle="1" w:styleId="Char1f5">
    <w:name w:val="列表 Char1"/>
    <w:autoRedefine/>
    <w:qFormat/>
    <w:rPr>
      <w:rFonts w:ascii="Times New Roman" w:hAnsi="Times New Roman"/>
      <w:sz w:val="24"/>
    </w:rPr>
  </w:style>
  <w:style w:type="paragraph" w:customStyle="1" w:styleId="31a">
    <w:name w:val="正文31"/>
    <w:basedOn w:val="12"/>
    <w:autoRedefine/>
    <w:uiPriority w:val="99"/>
    <w:qFormat/>
    <w:pPr>
      <w:keepNext w:val="0"/>
      <w:autoSpaceDE w:val="0"/>
      <w:autoSpaceDN w:val="0"/>
      <w:spacing w:after="160" w:line="440" w:lineRule="exact"/>
      <w:ind w:left="567" w:firstLineChars="0" w:hanging="340"/>
      <w:textAlignment w:val="bottom"/>
    </w:pPr>
    <w:rPr>
      <w:rFonts w:cs="Times New Roman"/>
      <w:color w:val="000000"/>
      <w:sz w:val="28"/>
      <w:szCs w:val="20"/>
    </w:rPr>
  </w:style>
  <w:style w:type="character" w:customStyle="1" w:styleId="Char1f6">
    <w:name w:val="称呼 Char1"/>
    <w:autoRedefine/>
    <w:uiPriority w:val="99"/>
    <w:qFormat/>
    <w:rPr>
      <w:rFonts w:ascii="Times New Roman" w:hAnsi="Times New Roman"/>
      <w:sz w:val="28"/>
      <w:szCs w:val="24"/>
    </w:rPr>
  </w:style>
  <w:style w:type="paragraph" w:customStyle="1" w:styleId="affffffffffffffffffffffffffa">
    <w:name w:val="本文正文"/>
    <w:basedOn w:val="a"/>
    <w:autoRedefine/>
    <w:uiPriority w:val="99"/>
    <w:qFormat/>
    <w:pPr>
      <w:spacing w:line="360" w:lineRule="auto"/>
      <w:ind w:firstLineChars="200" w:firstLine="482"/>
    </w:pPr>
    <w:rPr>
      <w:rFonts w:ascii="宋体" w:hAnsi="宋体" w:cs="宋体"/>
      <w:sz w:val="28"/>
      <w:szCs w:val="28"/>
    </w:rPr>
  </w:style>
  <w:style w:type="paragraph" w:customStyle="1" w:styleId="affffffffffffffffffffffffffb">
    <w:name w:val="主体"/>
    <w:uiPriority w:val="99"/>
    <w:qFormat/>
    <w:pPr>
      <w:widowControl w:val="0"/>
      <w:autoSpaceDE w:val="0"/>
      <w:autoSpaceDN w:val="0"/>
      <w:spacing w:line="440" w:lineRule="exact"/>
      <w:ind w:firstLineChars="200" w:firstLine="480"/>
      <w:jc w:val="both"/>
    </w:pPr>
    <w:rPr>
      <w:rFonts w:eastAsia="仿宋_GB2312"/>
      <w:bCs/>
      <w:kern w:val="2"/>
      <w:sz w:val="24"/>
      <w:szCs w:val="24"/>
    </w:rPr>
  </w:style>
  <w:style w:type="character" w:customStyle="1" w:styleId="CharChar150">
    <w:name w:val="Char Char15"/>
    <w:autoRedefine/>
    <w:qFormat/>
    <w:locked/>
    <w:rPr>
      <w:rFonts w:ascii="宋体" w:eastAsia="宋体" w:hAnsi="宋体"/>
      <w:kern w:val="2"/>
      <w:sz w:val="21"/>
      <w:szCs w:val="24"/>
      <w:lang w:val="en-US" w:eastAsia="zh-CN" w:bidi="ar-SA"/>
    </w:rPr>
  </w:style>
  <w:style w:type="character" w:customStyle="1" w:styleId="CharChar2511">
    <w:name w:val="Char Char2511"/>
    <w:autoRedefine/>
    <w:qFormat/>
    <w:rPr>
      <w:b/>
      <w:sz w:val="30"/>
    </w:rPr>
  </w:style>
  <w:style w:type="character" w:customStyle="1" w:styleId="CharCharCharCharCharCharCharCharCharCharChar">
    <w:name w:val="Char Char Char Char Char Char Char Char Char Char Char"/>
    <w:autoRedefine/>
    <w:qFormat/>
    <w:locked/>
    <w:rPr>
      <w:rFonts w:eastAsia="宋体"/>
      <w:kern w:val="2"/>
      <w:sz w:val="21"/>
      <w:szCs w:val="24"/>
      <w:lang w:val="en-US" w:eastAsia="zh-CN" w:bidi="ar-SA"/>
    </w:rPr>
  </w:style>
  <w:style w:type="character" w:customStyle="1" w:styleId="2CharChar2">
    <w:name w:val="正文2 Char Char"/>
    <w:autoRedefine/>
    <w:qFormat/>
    <w:rPr>
      <w:spacing w:val="18"/>
      <w:sz w:val="32"/>
      <w:lang w:val="en-US" w:eastAsia="zh-CN" w:bidi="ar-SA"/>
    </w:rPr>
  </w:style>
  <w:style w:type="character" w:customStyle="1" w:styleId="CharCharCharCharCharCharCharCharCharCharChar1">
    <w:name w:val="Char Char Char Char Char Char Char Char Char Char Char1"/>
    <w:qFormat/>
    <w:rPr>
      <w:rFonts w:eastAsia="宋体"/>
      <w:kern w:val="2"/>
      <w:sz w:val="21"/>
      <w:lang w:val="en-US" w:eastAsia="zh-CN" w:bidi="ar-SA"/>
    </w:rPr>
  </w:style>
  <w:style w:type="paragraph" w:customStyle="1" w:styleId="affffffffffffffffffffffffffc">
    <w:name w:val="正文首行缩近"/>
    <w:autoRedefine/>
    <w:uiPriority w:val="99"/>
    <w:qFormat/>
    <w:pPr>
      <w:adjustRightInd w:val="0"/>
      <w:snapToGrid w:val="0"/>
      <w:spacing w:line="360" w:lineRule="auto"/>
      <w:ind w:firstLineChars="200" w:firstLine="480"/>
      <w:jc w:val="both"/>
    </w:pPr>
    <w:rPr>
      <w:sz w:val="24"/>
    </w:rPr>
  </w:style>
  <w:style w:type="paragraph" w:customStyle="1" w:styleId="p16">
    <w:name w:val="p16"/>
    <w:basedOn w:val="a"/>
    <w:uiPriority w:val="99"/>
    <w:qFormat/>
    <w:pPr>
      <w:widowControl/>
      <w:spacing w:before="100" w:beforeAutospacing="1" w:after="100" w:afterAutospacing="1"/>
      <w:jc w:val="left"/>
    </w:pPr>
    <w:rPr>
      <w:rFonts w:ascii="宋体" w:hAnsi="宋体" w:cs="宋体"/>
      <w:kern w:val="0"/>
      <w:sz w:val="24"/>
      <w:szCs w:val="24"/>
    </w:rPr>
  </w:style>
  <w:style w:type="character" w:customStyle="1" w:styleId="LRY">
    <w:name w:val="LRY正文 字符"/>
    <w:link w:val="LRY0"/>
    <w:qFormat/>
    <w:locked/>
    <w:rPr>
      <w:bCs/>
      <w:sz w:val="24"/>
      <w:szCs w:val="24"/>
    </w:rPr>
  </w:style>
  <w:style w:type="paragraph" w:customStyle="1" w:styleId="LRY0">
    <w:name w:val="LRY正文"/>
    <w:basedOn w:val="a"/>
    <w:next w:val="a"/>
    <w:link w:val="LRY"/>
    <w:autoRedefine/>
    <w:qFormat/>
    <w:pPr>
      <w:spacing w:line="360" w:lineRule="auto"/>
      <w:ind w:firstLineChars="200" w:firstLine="480"/>
    </w:pPr>
    <w:rPr>
      <w:rFonts w:cs="Times New Roman"/>
      <w:bCs/>
      <w:kern w:val="0"/>
      <w:sz w:val="24"/>
      <w:szCs w:val="24"/>
    </w:rPr>
  </w:style>
  <w:style w:type="paragraph" w:customStyle="1" w:styleId="1L0">
    <w:name w:val="1、L表内字"/>
    <w:basedOn w:val="a"/>
    <w:uiPriority w:val="99"/>
    <w:qFormat/>
    <w:pPr>
      <w:adjustRightInd w:val="0"/>
      <w:snapToGrid w:val="0"/>
      <w:jc w:val="center"/>
    </w:pPr>
    <w:rPr>
      <w:rFonts w:cs="Times New Roman"/>
      <w:color w:val="000000"/>
      <w:szCs w:val="21"/>
    </w:rPr>
  </w:style>
  <w:style w:type="paragraph" w:customStyle="1" w:styleId="Char1CharCharChar1CharCharCharCharCharCharCharCharCharCharCharCharCharCharChar1">
    <w:name w:val="Char1 Char Char Char1 Char Char Char Char Char Char Char Char Char Char Char Char Char Char Char1"/>
    <w:basedOn w:val="a"/>
    <w:autoRedefine/>
    <w:uiPriority w:val="99"/>
    <w:qFormat/>
    <w:pPr>
      <w:widowControl/>
      <w:spacing w:after="160"/>
      <w:jc w:val="left"/>
    </w:pPr>
    <w:rPr>
      <w:rFonts w:cs="Times New Roman"/>
      <w:szCs w:val="21"/>
    </w:rPr>
  </w:style>
  <w:style w:type="paragraph" w:customStyle="1" w:styleId="reader-word-layerreader-word-s4-34">
    <w:name w:val="reader-word-layer reader-word-s4-34"/>
    <w:basedOn w:val="a"/>
    <w:autoRedefine/>
    <w:uiPriority w:val="99"/>
    <w:qFormat/>
    <w:pPr>
      <w:widowControl/>
      <w:spacing w:before="100" w:beforeAutospacing="1" w:after="100" w:afterAutospacing="1"/>
      <w:jc w:val="left"/>
    </w:pPr>
    <w:rPr>
      <w:rFonts w:ascii="宋体" w:hAnsi="宋体" w:cs="宋体"/>
      <w:kern w:val="0"/>
      <w:sz w:val="24"/>
      <w:szCs w:val="24"/>
    </w:rPr>
  </w:style>
  <w:style w:type="paragraph" w:customStyle="1" w:styleId="Char2CharCharChar1">
    <w:name w:val="Char2 Char Char Char1"/>
    <w:basedOn w:val="a"/>
    <w:uiPriority w:val="99"/>
    <w:qFormat/>
    <w:pPr>
      <w:spacing w:line="360" w:lineRule="auto"/>
      <w:ind w:firstLineChars="200" w:firstLine="200"/>
    </w:pPr>
    <w:rPr>
      <w:rFonts w:ascii="宋体" w:hAnsi="宋体" w:cs="宋体"/>
      <w:sz w:val="24"/>
      <w:szCs w:val="24"/>
    </w:rPr>
  </w:style>
  <w:style w:type="character" w:customStyle="1" w:styleId="CharCharCharCharCharCharCharCharCharChar2">
    <w:name w:val="Char Char Char Char Char Char Char Char Char Char2"/>
    <w:qFormat/>
    <w:locked/>
    <w:rPr>
      <w:kern w:val="2"/>
      <w:sz w:val="21"/>
      <w:szCs w:val="21"/>
    </w:rPr>
  </w:style>
  <w:style w:type="paragraph" w:customStyle="1" w:styleId="Pa10">
    <w:name w:val="Pa10"/>
    <w:basedOn w:val="a"/>
    <w:next w:val="a"/>
    <w:autoRedefine/>
    <w:uiPriority w:val="99"/>
    <w:qFormat/>
    <w:pPr>
      <w:autoSpaceDE w:val="0"/>
      <w:autoSpaceDN w:val="0"/>
      <w:adjustRightInd w:val="0"/>
      <w:spacing w:line="241" w:lineRule="atLeast"/>
      <w:jc w:val="left"/>
    </w:pPr>
    <w:rPr>
      <w:rFonts w:ascii="微软雅黑" w:eastAsia="微软雅黑" w:hAnsi="Calibri" w:cs="微软雅黑"/>
      <w:kern w:val="0"/>
      <w:sz w:val="24"/>
      <w:szCs w:val="24"/>
    </w:rPr>
  </w:style>
  <w:style w:type="character" w:customStyle="1" w:styleId="80505CharChar">
    <w:name w:val="样式 样式8 + 段前: 0.5 行 段后: 0.5 行 Char Char"/>
    <w:link w:val="80505"/>
    <w:qFormat/>
    <w:locked/>
    <w:rPr>
      <w:rFonts w:ascii="黑体" w:eastAsia="黑体" w:hAnsi="黑体"/>
      <w:kern w:val="2"/>
      <w:sz w:val="24"/>
      <w:szCs w:val="24"/>
    </w:rPr>
  </w:style>
  <w:style w:type="paragraph" w:customStyle="1" w:styleId="80505">
    <w:name w:val="样式 样式8 + 段前: 0.5 行 段后: 0.5 行"/>
    <w:basedOn w:val="a"/>
    <w:link w:val="80505CharChar"/>
    <w:autoRedefine/>
    <w:qFormat/>
    <w:pPr>
      <w:spacing w:before="240" w:after="240"/>
    </w:pPr>
    <w:rPr>
      <w:rFonts w:ascii="黑体" w:eastAsia="黑体" w:hAnsi="黑体" w:cs="Times New Roman"/>
      <w:sz w:val="24"/>
      <w:szCs w:val="24"/>
    </w:rPr>
  </w:style>
  <w:style w:type="paragraph" w:customStyle="1" w:styleId="reader-word-layerreader-word-s1-17">
    <w:name w:val="reader-word-layer reader-word-s1-17"/>
    <w:basedOn w:val="a"/>
    <w:autoRedefine/>
    <w:uiPriority w:val="99"/>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4-15reader-word-s4-17">
    <w:name w:val="reader-word-layer reader-word-s4-15 reader-word-s4-17"/>
    <w:basedOn w:val="a"/>
    <w:autoRedefine/>
    <w:uiPriority w:val="99"/>
    <w:qFormat/>
    <w:pPr>
      <w:widowControl/>
      <w:spacing w:before="100" w:beforeAutospacing="1" w:after="100" w:afterAutospacing="1"/>
      <w:jc w:val="left"/>
    </w:pPr>
    <w:rPr>
      <w:rFonts w:ascii="宋体" w:hAnsi="宋体" w:cs="宋体"/>
      <w:kern w:val="0"/>
      <w:sz w:val="24"/>
      <w:szCs w:val="24"/>
    </w:rPr>
  </w:style>
  <w:style w:type="paragraph" w:customStyle="1" w:styleId="CharCharCharCharCharCharCharCharCharCharCharCharCharCharCharCharCharChar1CharCharCharCharCharCharCharCharCharCharCharCharChar1">
    <w:name w:val="Char Char Char Char Char Char Char Char Char Char Char Char Char Char Char Char Char Char1 Char Char Char Char Char Char Char Char Char Char Char Char Char1"/>
    <w:basedOn w:val="a"/>
    <w:autoRedefine/>
    <w:uiPriority w:val="99"/>
    <w:qFormat/>
    <w:pPr>
      <w:spacing w:line="360" w:lineRule="auto"/>
      <w:ind w:firstLineChars="200" w:firstLine="200"/>
    </w:pPr>
    <w:rPr>
      <w:rFonts w:ascii="宋体" w:hAnsi="宋体" w:cs="宋体"/>
      <w:sz w:val="24"/>
      <w:szCs w:val="24"/>
    </w:rPr>
  </w:style>
  <w:style w:type="paragraph" w:customStyle="1" w:styleId="hzw">
    <w:name w:val="h_zw"/>
    <w:basedOn w:val="a"/>
    <w:uiPriority w:val="99"/>
    <w:qFormat/>
    <w:pPr>
      <w:widowControl/>
      <w:spacing w:before="100" w:beforeAutospacing="1" w:after="90" w:line="360" w:lineRule="auto"/>
      <w:jc w:val="left"/>
    </w:pPr>
    <w:rPr>
      <w:rFonts w:ascii="??" w:hAnsi="??" w:cs="??"/>
      <w:kern w:val="0"/>
      <w:sz w:val="22"/>
    </w:rPr>
  </w:style>
  <w:style w:type="paragraph" w:customStyle="1" w:styleId="reader-word-layerreader-word-s4-8">
    <w:name w:val="reader-word-layer reader-word-s4-8"/>
    <w:basedOn w:val="a"/>
    <w:autoRedefine/>
    <w:uiPriority w:val="99"/>
    <w:qFormat/>
    <w:pPr>
      <w:widowControl/>
      <w:spacing w:before="100" w:beforeAutospacing="1" w:after="100" w:afterAutospacing="1"/>
      <w:jc w:val="left"/>
    </w:pPr>
    <w:rPr>
      <w:rFonts w:ascii="宋体" w:hAnsi="宋体" w:cs="宋体"/>
      <w:kern w:val="0"/>
      <w:sz w:val="24"/>
      <w:szCs w:val="24"/>
    </w:rPr>
  </w:style>
  <w:style w:type="character" w:customStyle="1" w:styleId="4Char4">
    <w:name w:val="样式4 Char4"/>
    <w:autoRedefine/>
    <w:qFormat/>
    <w:locked/>
    <w:rPr>
      <w:rFonts w:eastAsia="宋体"/>
      <w:kern w:val="2"/>
      <w:sz w:val="24"/>
      <w:lang w:val="en-US" w:eastAsia="zh-CN" w:bidi="ar-SA"/>
    </w:rPr>
  </w:style>
  <w:style w:type="paragraph" w:customStyle="1" w:styleId="WW-3">
    <w:name w:val="WW-正文文字缩进 3"/>
    <w:basedOn w:val="a"/>
    <w:uiPriority w:val="99"/>
    <w:qFormat/>
    <w:pPr>
      <w:suppressAutoHyphens/>
      <w:spacing w:line="560" w:lineRule="exact"/>
      <w:ind w:firstLine="480"/>
    </w:pPr>
    <w:rPr>
      <w:rFonts w:ascii="楷体_GB2312" w:eastAsia="楷体_GB2312" w:hAnsi="楷体_GB2312" w:cs="楷体_GB2312"/>
      <w:kern w:val="21"/>
      <w:sz w:val="24"/>
      <w:szCs w:val="24"/>
      <w:lang w:eastAsia="ar-SA"/>
    </w:rPr>
  </w:style>
  <w:style w:type="paragraph" w:customStyle="1" w:styleId="reader-word-layerreader-word-s1-21">
    <w:name w:val="reader-word-layer reader-word-s1-21"/>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4223">
    <w:name w:val="样式 标题 4 + 黑色 首行缩进:  2 字符 行距: 固定值 23 磅"/>
    <w:basedOn w:val="4"/>
    <w:autoRedefine/>
    <w:uiPriority w:val="99"/>
    <w:qFormat/>
    <w:pPr>
      <w:numPr>
        <w:ilvl w:val="0"/>
        <w:numId w:val="0"/>
      </w:numPr>
      <w:spacing w:before="280" w:after="290" w:line="460" w:lineRule="exact"/>
    </w:pPr>
    <w:rPr>
      <w:rFonts w:eastAsia="黑体" w:cs="Times New Roman"/>
      <w:b w:val="0"/>
      <w:bCs w:val="0"/>
      <w:color w:val="000000"/>
      <w:szCs w:val="24"/>
    </w:rPr>
  </w:style>
  <w:style w:type="paragraph" w:customStyle="1" w:styleId="reader-word-layerreader-word-s4-10">
    <w:name w:val="reader-word-layer reader-word-s4-10"/>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affffffffffffffffffffffffffd">
    <w:name w:val="目录"/>
    <w:basedOn w:val="a"/>
    <w:uiPriority w:val="99"/>
    <w:qFormat/>
    <w:pPr>
      <w:keepNext/>
      <w:adjustRightInd w:val="0"/>
      <w:spacing w:line="360" w:lineRule="auto"/>
      <w:jc w:val="center"/>
    </w:pPr>
    <w:rPr>
      <w:rFonts w:cs="Times New Roman"/>
      <w:b/>
      <w:bCs/>
      <w:color w:val="0000FF"/>
      <w:kern w:val="24"/>
      <w:sz w:val="44"/>
      <w:szCs w:val="44"/>
    </w:rPr>
  </w:style>
  <w:style w:type="paragraph" w:customStyle="1" w:styleId="reader-word-layerreader-word-s4-40">
    <w:name w:val="reader-word-layer reader-word-s4-40"/>
    <w:basedOn w:val="a"/>
    <w:autoRedefine/>
    <w:uiPriority w:val="99"/>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4-15">
    <w:name w:val="reader-word-layer reader-word-s4-15"/>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20">
    <w:name w:val="reader-word-layer reader-word-s1-20"/>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affffffffffffffffffffffffffe">
    <w:name w:val="文字内容"/>
    <w:basedOn w:val="a"/>
    <w:autoRedefine/>
    <w:uiPriority w:val="99"/>
    <w:qFormat/>
    <w:pPr>
      <w:spacing w:line="360" w:lineRule="auto"/>
      <w:ind w:firstLineChars="200" w:firstLine="200"/>
    </w:pPr>
    <w:rPr>
      <w:rFonts w:cs="Times New Roman"/>
      <w:sz w:val="24"/>
      <w:szCs w:val="24"/>
    </w:rPr>
  </w:style>
  <w:style w:type="paragraph" w:customStyle="1" w:styleId="reader-word-layerreader-word-s1-15">
    <w:name w:val="reader-word-layer reader-word-s1-15"/>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4-4">
    <w:name w:val="reader-word-layer reader-word-s4-4"/>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7c">
    <w:name w:val="7号微雅"/>
    <w:basedOn w:val="a"/>
    <w:autoRedefine/>
    <w:uiPriority w:val="99"/>
    <w:qFormat/>
    <w:pPr>
      <w:autoSpaceDE w:val="0"/>
      <w:autoSpaceDN w:val="0"/>
      <w:adjustRightInd w:val="0"/>
      <w:spacing w:line="288" w:lineRule="auto"/>
    </w:pPr>
    <w:rPr>
      <w:rFonts w:ascii="微软雅黑" w:eastAsia="微软雅黑" w:cs="微软雅黑"/>
      <w:color w:val="000000"/>
      <w:kern w:val="0"/>
      <w:sz w:val="14"/>
      <w:szCs w:val="14"/>
      <w:lang w:val="zh-CN"/>
    </w:rPr>
  </w:style>
  <w:style w:type="character" w:customStyle="1" w:styleId="CharCharfe">
    <w:name w:val="注释 Char Char"/>
    <w:qFormat/>
    <w:locked/>
    <w:rPr>
      <w:rFonts w:ascii="宋体" w:hAnsi="宋体" w:cs="宋体"/>
      <w:snapToGrid w:val="0"/>
      <w:spacing w:val="4"/>
      <w:sz w:val="24"/>
      <w:szCs w:val="24"/>
    </w:rPr>
  </w:style>
  <w:style w:type="paragraph" w:customStyle="1" w:styleId="1CharCharCharChar">
    <w:name w:val="1 Char Char Char Char"/>
    <w:basedOn w:val="a"/>
    <w:autoRedefine/>
    <w:uiPriority w:val="99"/>
    <w:qFormat/>
    <w:pPr>
      <w:spacing w:line="360" w:lineRule="auto"/>
      <w:ind w:firstLineChars="200" w:firstLine="200"/>
    </w:pPr>
    <w:rPr>
      <w:rFonts w:ascii="宋体" w:hAnsi="宋体" w:cs="宋体"/>
      <w:sz w:val="24"/>
      <w:szCs w:val="24"/>
    </w:rPr>
  </w:style>
  <w:style w:type="paragraph" w:customStyle="1" w:styleId="reader-word-layerreader-word-s1-27">
    <w:name w:val="reader-word-layer reader-word-s1-27"/>
    <w:basedOn w:val="a"/>
    <w:autoRedefine/>
    <w:uiPriority w:val="99"/>
    <w:qFormat/>
    <w:pPr>
      <w:widowControl/>
      <w:spacing w:before="100" w:beforeAutospacing="1" w:after="100" w:afterAutospacing="1"/>
      <w:jc w:val="left"/>
    </w:pPr>
    <w:rPr>
      <w:rFonts w:ascii="宋体" w:hAnsi="宋体" w:cs="宋体"/>
      <w:kern w:val="0"/>
      <w:sz w:val="24"/>
      <w:szCs w:val="24"/>
    </w:rPr>
  </w:style>
  <w:style w:type="paragraph" w:customStyle="1" w:styleId="ReportText">
    <w:name w:val="Report Text"/>
    <w:basedOn w:val="a"/>
    <w:uiPriority w:val="99"/>
    <w:qFormat/>
    <w:pPr>
      <w:widowControl/>
      <w:ind w:left="1080"/>
    </w:pPr>
    <w:rPr>
      <w:rFonts w:cs="Times New Roman"/>
      <w:kern w:val="0"/>
      <w:sz w:val="22"/>
      <w:lang w:val="en-GB" w:eastAsia="zh-TW"/>
    </w:rPr>
  </w:style>
  <w:style w:type="paragraph" w:customStyle="1" w:styleId="reader-word-layerreader-word-s4-38">
    <w:name w:val="reader-word-layer reader-word-s4-38"/>
    <w:basedOn w:val="a"/>
    <w:autoRedefine/>
    <w:uiPriority w:val="99"/>
    <w:qFormat/>
    <w:pPr>
      <w:widowControl/>
      <w:spacing w:before="100" w:beforeAutospacing="1" w:after="100" w:afterAutospacing="1"/>
      <w:jc w:val="left"/>
    </w:pPr>
    <w:rPr>
      <w:rFonts w:ascii="宋体" w:hAnsi="宋体" w:cs="宋体"/>
      <w:kern w:val="0"/>
      <w:sz w:val="24"/>
      <w:szCs w:val="24"/>
    </w:rPr>
  </w:style>
  <w:style w:type="paragraph" w:customStyle="1" w:styleId="Pa8">
    <w:name w:val="Pa8"/>
    <w:basedOn w:val="a"/>
    <w:next w:val="a"/>
    <w:autoRedefine/>
    <w:uiPriority w:val="99"/>
    <w:qFormat/>
    <w:pPr>
      <w:autoSpaceDE w:val="0"/>
      <w:autoSpaceDN w:val="0"/>
      <w:adjustRightInd w:val="0"/>
      <w:spacing w:line="241" w:lineRule="atLeast"/>
      <w:jc w:val="left"/>
    </w:pPr>
    <w:rPr>
      <w:rFonts w:ascii="微软雅黑..." w:eastAsia="微软雅黑..." w:hAnsi="Calibri" w:cs="微软雅黑..."/>
      <w:kern w:val="0"/>
      <w:sz w:val="24"/>
      <w:szCs w:val="24"/>
    </w:rPr>
  </w:style>
  <w:style w:type="paragraph" w:customStyle="1" w:styleId="HHWZSTwo">
    <w:name w:val="H.HWZS.Two"/>
    <w:basedOn w:val="a"/>
    <w:next w:val="91"/>
    <w:uiPriority w:val="99"/>
    <w:qFormat/>
    <w:pPr>
      <w:jc w:val="center"/>
    </w:pPr>
    <w:rPr>
      <w:rFonts w:eastAsia="华文中宋" w:cs="Arial"/>
      <w:b/>
      <w:sz w:val="44"/>
      <w:szCs w:val="21"/>
    </w:rPr>
  </w:style>
  <w:style w:type="character" w:customStyle="1" w:styleId="1ffffff1">
    <w:name w:val="不明显强调1"/>
    <w:autoRedefine/>
    <w:uiPriority w:val="19"/>
    <w:qFormat/>
    <w:rPr>
      <w:i/>
      <w:iCs/>
      <w:color w:val="808080"/>
    </w:rPr>
  </w:style>
  <w:style w:type="character" w:customStyle="1" w:styleId="4Char5">
    <w:name w:val="样式4 Char5"/>
    <w:autoRedefine/>
    <w:qFormat/>
    <w:rPr>
      <w:rFonts w:ascii="宋体" w:eastAsia="宋体" w:hAnsi="宋体" w:hint="eastAsia"/>
      <w:color w:val="000000"/>
      <w:sz w:val="24"/>
      <w:szCs w:val="24"/>
      <w:lang w:val="en-US" w:eastAsia="zh-CN"/>
    </w:rPr>
  </w:style>
  <w:style w:type="character" w:customStyle="1" w:styleId="12-66-1">
    <w:name w:val="12-6/6-1文"/>
    <w:qFormat/>
    <w:rPr>
      <w:rFonts w:ascii="Times New Roman" w:hAnsi="Times New Roman" w:cs="Times New Roman" w:hint="default"/>
      <w:kern w:val="15"/>
      <w:position w:val="-2"/>
      <w:sz w:val="15"/>
      <w:szCs w:val="15"/>
    </w:rPr>
  </w:style>
  <w:style w:type="character" w:customStyle="1" w:styleId="A50">
    <w:name w:val="A5"/>
    <w:autoRedefine/>
    <w:qFormat/>
    <w:rPr>
      <w:color w:val="000000"/>
      <w:sz w:val="20"/>
      <w:szCs w:val="20"/>
    </w:rPr>
  </w:style>
  <w:style w:type="character" w:customStyle="1" w:styleId="A11">
    <w:name w:val="A11"/>
    <w:autoRedefine/>
    <w:qFormat/>
    <w:rPr>
      <w:color w:val="000000"/>
      <w:sz w:val="22"/>
      <w:szCs w:val="22"/>
    </w:rPr>
  </w:style>
  <w:style w:type="character" w:customStyle="1" w:styleId="Heading1Char">
    <w:name w:val="Heading 1 Char"/>
    <w:autoRedefine/>
    <w:qFormat/>
    <w:rPr>
      <w:b/>
      <w:bCs/>
      <w:kern w:val="44"/>
      <w:sz w:val="44"/>
      <w:szCs w:val="44"/>
    </w:rPr>
  </w:style>
  <w:style w:type="character" w:customStyle="1" w:styleId="CharChar60">
    <w:name w:val="Char Char6"/>
    <w:autoRedefine/>
    <w:qFormat/>
    <w:rPr>
      <w:rFonts w:ascii="宋体" w:eastAsia="宋体" w:hAnsi="Courier New" w:cs="宋体" w:hint="eastAsia"/>
      <w:kern w:val="2"/>
      <w:sz w:val="21"/>
      <w:szCs w:val="21"/>
    </w:rPr>
  </w:style>
  <w:style w:type="character" w:customStyle="1" w:styleId="A41">
    <w:name w:val="A4"/>
    <w:autoRedefine/>
    <w:qFormat/>
    <w:rPr>
      <w:color w:val="000000"/>
      <w:sz w:val="28"/>
      <w:szCs w:val="28"/>
    </w:rPr>
  </w:style>
  <w:style w:type="character" w:customStyle="1" w:styleId="858D7CFB-ED40-4347-BF05-701D383B685F">
    <w:name w:val="表头[858D7CFB-ED40-4347-BF05-701D383B685F]"/>
    <w:qFormat/>
    <w:rPr>
      <w:rFonts w:ascii="黑体" w:eastAsia="黑体" w:hAnsi="Times New Roman" w:cs="黑体" w:hint="eastAsia"/>
      <w:kern w:val="2"/>
      <w:sz w:val="18"/>
      <w:szCs w:val="18"/>
    </w:rPr>
  </w:style>
  <w:style w:type="character" w:customStyle="1" w:styleId="14-66-2">
    <w:name w:val="14-6/6-2题"/>
    <w:autoRedefine/>
    <w:qFormat/>
    <w:rPr>
      <w:spacing w:val="0"/>
      <w:kern w:val="28"/>
      <w:position w:val="-4"/>
      <w:sz w:val="15"/>
      <w:szCs w:val="15"/>
    </w:rPr>
  </w:style>
  <w:style w:type="character" w:customStyle="1" w:styleId="A22">
    <w:name w:val="A22"/>
    <w:autoRedefine/>
    <w:qFormat/>
    <w:rPr>
      <w:color w:val="000000"/>
      <w:sz w:val="21"/>
      <w:szCs w:val="21"/>
    </w:rPr>
  </w:style>
  <w:style w:type="character" w:customStyle="1" w:styleId="style41">
    <w:name w:val="style41"/>
    <w:qFormat/>
    <w:rPr>
      <w:color w:val="000000"/>
    </w:rPr>
  </w:style>
  <w:style w:type="character" w:customStyle="1" w:styleId="CharChar71">
    <w:name w:val="Char Char71"/>
    <w:autoRedefine/>
    <w:qFormat/>
    <w:rPr>
      <w:rFonts w:ascii="Times New Roman" w:hAnsi="Times New Roman" w:cs="Times New Roman" w:hint="default"/>
      <w:kern w:val="2"/>
      <w:sz w:val="24"/>
      <w:szCs w:val="24"/>
    </w:rPr>
  </w:style>
  <w:style w:type="character" w:customStyle="1" w:styleId="TitleChar">
    <w:name w:val="Title Char"/>
    <w:autoRedefine/>
    <w:qFormat/>
    <w:rPr>
      <w:rFonts w:ascii="Cambria" w:hAnsi="Cambria" w:cs="Times New Roman" w:hint="default"/>
      <w:b/>
      <w:bCs/>
      <w:sz w:val="32"/>
      <w:szCs w:val="32"/>
    </w:rPr>
  </w:style>
  <w:style w:type="character" w:customStyle="1" w:styleId="subtexttitle">
    <w:name w:val="subtext_title"/>
    <w:autoRedefine/>
    <w:qFormat/>
    <w:rPr>
      <w:rFonts w:ascii="宋体" w:eastAsia="宋体" w:hAnsi="宋体" w:cs="宋体" w:hint="eastAsia"/>
      <w:kern w:val="2"/>
      <w:sz w:val="24"/>
      <w:szCs w:val="24"/>
      <w:lang w:val="en-US" w:eastAsia="zh-CN"/>
    </w:rPr>
  </w:style>
  <w:style w:type="character" w:customStyle="1" w:styleId="txtcontent11">
    <w:name w:val="txtcontent11"/>
    <w:autoRedefine/>
    <w:qFormat/>
    <w:rPr>
      <w:rFonts w:ascii="??" w:hAnsi="??" w:cs="??" w:hint="default"/>
      <w:color w:val="000000"/>
      <w:sz w:val="21"/>
      <w:szCs w:val="21"/>
    </w:rPr>
  </w:style>
  <w:style w:type="character" w:customStyle="1" w:styleId="A91">
    <w:name w:val="A9"/>
    <w:autoRedefine/>
    <w:qFormat/>
    <w:rPr>
      <w:color w:val="000000"/>
      <w:sz w:val="36"/>
      <w:szCs w:val="36"/>
    </w:rPr>
  </w:style>
  <w:style w:type="character" w:customStyle="1" w:styleId="Char2b">
    <w:name w:val="标题 Char2"/>
    <w:uiPriority w:val="10"/>
    <w:qFormat/>
    <w:locked/>
    <w:rPr>
      <w:rFonts w:ascii="宋体" w:hAnsi="Courier New" w:cs="宋体"/>
      <w:kern w:val="2"/>
      <w:sz w:val="21"/>
      <w:szCs w:val="21"/>
    </w:rPr>
  </w:style>
  <w:style w:type="character" w:customStyle="1" w:styleId="CharChar140">
    <w:name w:val="Char Char14"/>
    <w:autoRedefine/>
    <w:qFormat/>
    <w:locked/>
    <w:rPr>
      <w:rFonts w:ascii="宋体" w:eastAsia="宋体" w:hAnsi="宋体" w:hint="eastAsia"/>
      <w:szCs w:val="24"/>
      <w:lang w:bidi="ar-SA"/>
    </w:rPr>
  </w:style>
  <w:style w:type="paragraph" w:customStyle="1" w:styleId="Pa6">
    <w:name w:val="Pa6"/>
    <w:basedOn w:val="Default"/>
    <w:next w:val="Default"/>
    <w:autoRedefine/>
    <w:uiPriority w:val="99"/>
    <w:qFormat/>
    <w:pPr>
      <w:spacing w:line="241" w:lineRule="atLeast"/>
      <w:jc w:val="left"/>
    </w:pPr>
    <w:rPr>
      <w:rFonts w:ascii="微软雅黑" w:eastAsia="微软雅黑" w:hAnsi="Calibri" w:cs="微软雅黑"/>
      <w:color w:val="auto"/>
      <w:kern w:val="0"/>
    </w:rPr>
  </w:style>
  <w:style w:type="character" w:customStyle="1" w:styleId="CharChar32">
    <w:name w:val="Char Char32"/>
    <w:qFormat/>
    <w:rPr>
      <w:rFonts w:ascii="Times New Roman" w:eastAsia="宋体" w:hAnsi="Times New Roman" w:cs="Times New Roman"/>
      <w:sz w:val="24"/>
      <w:szCs w:val="20"/>
    </w:rPr>
  </w:style>
  <w:style w:type="character" w:customStyle="1" w:styleId="CharCharCharCharCharCharCharCharCharChar6">
    <w:name w:val="Char Char Char Char Char Char Char Char Char Char6"/>
    <w:basedOn w:val="a0"/>
    <w:link w:val="CharCharCharCharCharCharCharCharChar5"/>
    <w:autoRedefine/>
    <w:qFormat/>
  </w:style>
  <w:style w:type="paragraph" w:customStyle="1" w:styleId="CharCharCharCharCharCharCharCharChar5">
    <w:name w:val="Char Char Char Char Char Char Char Char Char5"/>
    <w:basedOn w:val="a"/>
    <w:link w:val="CharCharCharCharCharCharCharCharCharChar6"/>
    <w:autoRedefine/>
    <w:qFormat/>
    <w:rPr>
      <w:rFonts w:cs="Times New Roman"/>
      <w:kern w:val="0"/>
      <w:sz w:val="20"/>
      <w:szCs w:val="20"/>
    </w:rPr>
  </w:style>
  <w:style w:type="paragraph" w:customStyle="1" w:styleId="CharCharCharCharCharCharCharCharChar4">
    <w:name w:val="Char Char Char Char Char Char Char Char Char4"/>
    <w:basedOn w:val="a"/>
    <w:link w:val="CharCharCharCharCharCharCharCharCharChar5"/>
    <w:qFormat/>
    <w:rPr>
      <w:rFonts w:cs="Times New Roman"/>
      <w:szCs w:val="20"/>
    </w:rPr>
  </w:style>
  <w:style w:type="character" w:customStyle="1" w:styleId="CharCharCharCharCharCharCharCharCharChar5">
    <w:name w:val="Char Char Char Char Char Char Char Char Char Char5"/>
    <w:link w:val="CharCharCharCharCharCharCharCharChar4"/>
    <w:autoRedefine/>
    <w:qFormat/>
    <w:rPr>
      <w:kern w:val="2"/>
      <w:sz w:val="21"/>
    </w:rPr>
  </w:style>
  <w:style w:type="paragraph" w:customStyle="1" w:styleId="CharCharChar40">
    <w:name w:val="Char Char Char4"/>
    <w:basedOn w:val="a"/>
    <w:autoRedefine/>
    <w:uiPriority w:val="99"/>
    <w:qFormat/>
    <w:rPr>
      <w:rFonts w:cs="Times New Roman"/>
      <w:sz w:val="24"/>
      <w:szCs w:val="24"/>
    </w:rPr>
  </w:style>
  <w:style w:type="paragraph" w:customStyle="1" w:styleId="CharCharCharChar60">
    <w:name w:val="Char Char Char Char6"/>
    <w:basedOn w:val="a"/>
    <w:uiPriority w:val="99"/>
    <w:qFormat/>
    <w:rPr>
      <w:rFonts w:cs="Times New Roman"/>
      <w:szCs w:val="24"/>
    </w:rPr>
  </w:style>
  <w:style w:type="character" w:customStyle="1" w:styleId="6f">
    <w:name w:val="标题6"/>
    <w:basedOn w:val="a0"/>
    <w:autoRedefine/>
    <w:qFormat/>
  </w:style>
  <w:style w:type="paragraph" w:customStyle="1" w:styleId="CharCharCharCharCharCharCharCharChar3">
    <w:name w:val="Char Char Char Char Char Char Char Char Char3"/>
    <w:basedOn w:val="a"/>
    <w:link w:val="CharCharCharCharCharCharCharCharCharChar4"/>
    <w:autoRedefine/>
    <w:qFormat/>
    <w:rPr>
      <w:rFonts w:cs="Times New Roman"/>
      <w:szCs w:val="20"/>
    </w:rPr>
  </w:style>
  <w:style w:type="character" w:customStyle="1" w:styleId="CharCharCharCharCharCharCharCharCharChar4">
    <w:name w:val="Char Char Char Char Char Char Char Char Char Char4"/>
    <w:basedOn w:val="a0"/>
    <w:link w:val="CharCharCharCharCharCharCharCharChar3"/>
    <w:qFormat/>
    <w:rPr>
      <w:kern w:val="2"/>
      <w:sz w:val="21"/>
    </w:rPr>
  </w:style>
  <w:style w:type="paragraph" w:customStyle="1" w:styleId="Char1CharCharChar1CharCharCharCharCharCharCharCharCharCharCharCharCharCharChar3">
    <w:name w:val="Char1 Char Char Char1 Char Char Char Char Char Char Char Char Char Char Char Char Char Char Char3"/>
    <w:basedOn w:val="a"/>
    <w:autoRedefine/>
    <w:uiPriority w:val="99"/>
    <w:qFormat/>
    <w:pPr>
      <w:widowControl/>
      <w:spacing w:after="160"/>
      <w:jc w:val="left"/>
    </w:pPr>
    <w:rPr>
      <w:rFonts w:ascii="Verdana" w:eastAsia="仿宋_GB2312" w:hAnsi="Verdana" w:cs="”“Times New Roman”“"/>
      <w:kern w:val="0"/>
      <w:sz w:val="28"/>
      <w:szCs w:val="28"/>
      <w:lang w:eastAsia="en-US"/>
    </w:rPr>
  </w:style>
  <w:style w:type="paragraph" w:customStyle="1" w:styleId="CharCharCharCharCharCharCharCharCharCharCharCharCharCharCharCharCharChar1CharCharCharCharCharCharCharCharCharCharCharCharChar3">
    <w:name w:val="Char Char Char Char Char Char Char Char Char Char Char Char Char Char Char Char Char Char1 Char Char Char Char Char Char Char Char Char Char Char Char Char3"/>
    <w:basedOn w:val="a"/>
    <w:autoRedefine/>
    <w:uiPriority w:val="99"/>
    <w:qFormat/>
    <w:pPr>
      <w:spacing w:line="360" w:lineRule="auto"/>
      <w:ind w:firstLineChars="200" w:firstLine="200"/>
    </w:pPr>
    <w:rPr>
      <w:rFonts w:ascii="宋体" w:hAnsi="宋体" w:cs="宋体"/>
      <w:sz w:val="24"/>
      <w:szCs w:val="24"/>
    </w:rPr>
  </w:style>
  <w:style w:type="character" w:customStyle="1" w:styleId="CharChar103">
    <w:name w:val="Char Char103"/>
    <w:basedOn w:val="a0"/>
    <w:qFormat/>
    <w:rPr>
      <w:rFonts w:eastAsia="宋体"/>
      <w:kern w:val="2"/>
      <w:sz w:val="18"/>
      <w:lang w:val="en-US" w:eastAsia="zh-CN" w:bidi="ar-SA"/>
    </w:rPr>
  </w:style>
  <w:style w:type="paragraph" w:customStyle="1" w:styleId="CharCharChar1CharCharChar1CharCharChar3">
    <w:name w:val="Char Char Char1 Char Char Char1 Char Char Char3"/>
    <w:basedOn w:val="a"/>
    <w:autoRedefine/>
    <w:uiPriority w:val="99"/>
    <w:qFormat/>
    <w:rPr>
      <w:rFonts w:cs="Times New Roman"/>
      <w:szCs w:val="21"/>
    </w:rPr>
  </w:style>
  <w:style w:type="character" w:customStyle="1" w:styleId="CharChar73">
    <w:name w:val="Char Char73"/>
    <w:basedOn w:val="a0"/>
    <w:autoRedefine/>
    <w:qFormat/>
    <w:rPr>
      <w:rFonts w:eastAsia="宋体"/>
      <w:kern w:val="2"/>
      <w:sz w:val="21"/>
      <w:lang w:val="en-US" w:eastAsia="zh-CN" w:bidi="ar-SA"/>
    </w:rPr>
  </w:style>
  <w:style w:type="character" w:customStyle="1" w:styleId="Charffffff">
    <w:name w:val="环评证文 Char"/>
    <w:basedOn w:val="a0"/>
    <w:link w:val="afffffffffffffffffffffffffff"/>
    <w:qFormat/>
    <w:locked/>
    <w:rPr>
      <w:rFonts w:ascii="宋体" w:hAnsi="宋体"/>
      <w:color w:val="000000"/>
      <w:kern w:val="2"/>
      <w:sz w:val="24"/>
      <w:szCs w:val="24"/>
    </w:rPr>
  </w:style>
  <w:style w:type="paragraph" w:customStyle="1" w:styleId="afffffffffffffffffffffffffff">
    <w:name w:val="环评证文"/>
    <w:basedOn w:val="a"/>
    <w:link w:val="Charffffff"/>
    <w:autoRedefine/>
    <w:qFormat/>
    <w:pPr>
      <w:spacing w:line="440" w:lineRule="exact"/>
      <w:ind w:firstLineChars="200" w:firstLine="480"/>
    </w:pPr>
    <w:rPr>
      <w:rFonts w:ascii="宋体" w:hAnsi="宋体" w:cs="Times New Roman"/>
      <w:color w:val="000000"/>
      <w:sz w:val="24"/>
      <w:szCs w:val="24"/>
    </w:rPr>
  </w:style>
  <w:style w:type="character" w:customStyle="1" w:styleId="CharCharCharCharCharCharCharCharCharChar3">
    <w:name w:val="Char Char Char Char Char Char Char Char Char Char3"/>
    <w:basedOn w:val="a0"/>
    <w:link w:val="CharCharCharCharCharCharCharCharChar2"/>
    <w:autoRedefine/>
    <w:qFormat/>
  </w:style>
  <w:style w:type="paragraph" w:customStyle="1" w:styleId="CharCharCharCharCharCharCharCharChar2">
    <w:name w:val="Char Char Char Char Char Char Char Char Char2"/>
    <w:basedOn w:val="a"/>
    <w:link w:val="CharCharCharCharCharCharCharCharCharChar3"/>
    <w:qFormat/>
    <w:rPr>
      <w:rFonts w:cs="Times New Roman"/>
      <w:kern w:val="0"/>
      <w:sz w:val="20"/>
      <w:szCs w:val="20"/>
    </w:rPr>
  </w:style>
  <w:style w:type="character" w:customStyle="1" w:styleId="7d">
    <w:name w:val="标题7"/>
    <w:autoRedefine/>
    <w:qFormat/>
  </w:style>
  <w:style w:type="character" w:customStyle="1" w:styleId="CharCharCharChar12">
    <w:name w:val="Char Char Char Char12"/>
    <w:basedOn w:val="a0"/>
    <w:autoRedefine/>
    <w:qFormat/>
    <w:rPr>
      <w:rFonts w:ascii="宋体" w:eastAsia="宋体"/>
      <w:kern w:val="2"/>
      <w:sz w:val="24"/>
      <w:lang w:val="en-US" w:eastAsia="zh-CN"/>
    </w:rPr>
  </w:style>
  <w:style w:type="paragraph" w:customStyle="1" w:styleId="Char2CharCharChar2">
    <w:name w:val="Char2 Char Char Char2"/>
    <w:basedOn w:val="a"/>
    <w:uiPriority w:val="99"/>
    <w:qFormat/>
    <w:pPr>
      <w:spacing w:line="360" w:lineRule="auto"/>
      <w:ind w:firstLineChars="200" w:firstLine="200"/>
    </w:pPr>
    <w:rPr>
      <w:rFonts w:ascii="宋体" w:hAnsi="宋体" w:cs="宋体"/>
      <w:sz w:val="24"/>
      <w:szCs w:val="24"/>
    </w:rPr>
  </w:style>
  <w:style w:type="paragraph" w:customStyle="1" w:styleId="CharCharChar1CharCharCharCharCharCharCharCharCharCharCharCharChar1">
    <w:name w:val="Char Char Char1 Char Char Char Char Char Char Char Char Char Char Char Char Char1"/>
    <w:basedOn w:val="a"/>
    <w:uiPriority w:val="99"/>
    <w:qFormat/>
    <w:rPr>
      <w:rFonts w:cs="Times New Roman"/>
      <w:sz w:val="24"/>
      <w:szCs w:val="24"/>
    </w:rPr>
  </w:style>
  <w:style w:type="paragraph" w:customStyle="1" w:styleId="Char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 Char1"/>
    <w:basedOn w:val="a"/>
    <w:next w:val="a"/>
    <w:autoRedefine/>
    <w:uiPriority w:val="99"/>
    <w:qFormat/>
    <w:pPr>
      <w:pBdr>
        <w:right w:val="single" w:sz="12" w:space="4" w:color="auto"/>
      </w:pBdr>
      <w:spacing w:line="360" w:lineRule="auto"/>
      <w:ind w:firstLineChars="200" w:firstLine="200"/>
    </w:pPr>
    <w:rPr>
      <w:rFonts w:ascii="宋体" w:hAnsi="宋体" w:cs="宋体"/>
      <w:sz w:val="24"/>
      <w:szCs w:val="24"/>
    </w:rPr>
  </w:style>
  <w:style w:type="paragraph" w:customStyle="1" w:styleId="CharCharCharCharCharCharCharCharCharCharCharCharCharCharCharCharCharChar1CharCharCharCharCharCharCharCharCharCharCharCharChar2">
    <w:name w:val="Char Char Char Char Char Char Char Char Char Char Char Char Char Char Char Char Char Char1 Char Char Char Char Char Char Char Char Char Char Char Char Char2"/>
    <w:basedOn w:val="a"/>
    <w:uiPriority w:val="99"/>
    <w:qFormat/>
    <w:pPr>
      <w:spacing w:line="360" w:lineRule="auto"/>
      <w:ind w:firstLineChars="200" w:firstLine="200"/>
    </w:pPr>
    <w:rPr>
      <w:rFonts w:ascii="宋体" w:hAnsi="宋体" w:cs="宋体"/>
      <w:sz w:val="24"/>
      <w:szCs w:val="24"/>
    </w:rPr>
  </w:style>
  <w:style w:type="paragraph" w:customStyle="1" w:styleId="CharCharCharChar40">
    <w:name w:val="Char Char Char Char4"/>
    <w:basedOn w:val="a"/>
    <w:uiPriority w:val="99"/>
    <w:qFormat/>
    <w:rPr>
      <w:rFonts w:ascii="宋体" w:cs="宋体"/>
      <w:szCs w:val="21"/>
    </w:rPr>
  </w:style>
  <w:style w:type="paragraph" w:customStyle="1" w:styleId="326">
    <w:name w:val="正文文本缩进 32"/>
    <w:basedOn w:val="a"/>
    <w:autoRedefine/>
    <w:uiPriority w:val="99"/>
    <w:qFormat/>
    <w:pPr>
      <w:adjustRightInd w:val="0"/>
      <w:spacing w:line="300" w:lineRule="auto"/>
      <w:ind w:firstLine="691"/>
      <w:textAlignment w:val="baseline"/>
    </w:pPr>
    <w:rPr>
      <w:rFonts w:ascii="宋体" w:cs="Times New Roman"/>
      <w:kern w:val="0"/>
      <w:sz w:val="28"/>
      <w:szCs w:val="20"/>
    </w:rPr>
  </w:style>
  <w:style w:type="paragraph" w:customStyle="1" w:styleId="Char1CharCharChar3">
    <w:name w:val="Char1 Char Char Char3"/>
    <w:basedOn w:val="a"/>
    <w:uiPriority w:val="99"/>
    <w:qFormat/>
    <w:rPr>
      <w:rFonts w:cs="Times New Roman"/>
      <w:szCs w:val="20"/>
    </w:rPr>
  </w:style>
  <w:style w:type="paragraph" w:customStyle="1" w:styleId="CharCharCharCharCharCharCharCharCharCharCharCharCharCharCharCharCharChar1CharCharCharCharCharCharCharCharCharCharCharCharCharCharCharChar1">
    <w:name w:val="Char Char Char Char Char Char Char Char Char Char Char Char Char Char Char Char Char Char1 Char Char Char Char Char Char Char Char Char Char Char Char Char Char Char Char1"/>
    <w:basedOn w:val="a"/>
    <w:uiPriority w:val="99"/>
    <w:qFormat/>
    <w:pPr>
      <w:spacing w:line="360" w:lineRule="auto"/>
      <w:ind w:firstLineChars="200" w:firstLine="200"/>
    </w:pPr>
    <w:rPr>
      <w:rFonts w:ascii="宋体" w:cs="Times New Roman"/>
      <w:sz w:val="24"/>
      <w:szCs w:val="20"/>
    </w:rPr>
  </w:style>
  <w:style w:type="paragraph" w:customStyle="1" w:styleId="CharCharChar1CharCharCharCharCharCharCharCharCharCharCharCharCharCharCharChar1">
    <w:name w:val="Char Char Char1 Char Char Char Char Char Char Char Char Char Char Char Char Char Char Char Char1"/>
    <w:basedOn w:val="a"/>
    <w:autoRedefine/>
    <w:uiPriority w:val="99"/>
    <w:qFormat/>
    <w:rPr>
      <w:rFonts w:cs="Times New Roman"/>
      <w:sz w:val="24"/>
      <w:szCs w:val="24"/>
    </w:rPr>
  </w:style>
  <w:style w:type="paragraph" w:customStyle="1" w:styleId="229">
    <w:name w:val="正文文本 22"/>
    <w:basedOn w:val="a"/>
    <w:uiPriority w:val="99"/>
    <w:qFormat/>
    <w:pPr>
      <w:adjustRightInd w:val="0"/>
      <w:textAlignment w:val="baseline"/>
    </w:pPr>
    <w:rPr>
      <w:rFonts w:cs="Times New Roman"/>
      <w:kern w:val="0"/>
      <w:sz w:val="24"/>
      <w:szCs w:val="20"/>
    </w:rPr>
  </w:style>
  <w:style w:type="paragraph" w:customStyle="1" w:styleId="Char1CharCharChar1CharCharCharCharCharCharCharCharCharCharCharCharCharCharChar2">
    <w:name w:val="Char1 Char Char Char1 Char Char Char Char Char Char Char Char Char Char Char Char Char Char Char2"/>
    <w:basedOn w:val="a"/>
    <w:autoRedefine/>
    <w:uiPriority w:val="99"/>
    <w:qFormat/>
    <w:pPr>
      <w:widowControl/>
      <w:spacing w:after="160"/>
      <w:jc w:val="left"/>
    </w:pPr>
    <w:rPr>
      <w:rFonts w:ascii="Verdana" w:eastAsia="仿宋_GB2312" w:hAnsi="Verdana" w:cs="”“Times New Roman”“"/>
      <w:kern w:val="0"/>
      <w:sz w:val="28"/>
      <w:szCs w:val="28"/>
      <w:lang w:eastAsia="en-US"/>
    </w:rPr>
  </w:style>
  <w:style w:type="paragraph" w:customStyle="1" w:styleId="CharCharCharCharCharCharCharCharCharCharCharCharCharCharCharCharCharChar1">
    <w:name w:val="Char Char Char Char Char Char Char Char Char Char Char Char Char Char Char Char Char Char1"/>
    <w:basedOn w:val="a"/>
    <w:autoRedefine/>
    <w:uiPriority w:val="99"/>
    <w:qFormat/>
    <w:rPr>
      <w:rFonts w:ascii="宋体" w:cs="Times New Roman"/>
      <w:sz w:val="24"/>
      <w:szCs w:val="20"/>
    </w:rPr>
  </w:style>
  <w:style w:type="paragraph" w:customStyle="1" w:styleId="CharCharCharCharChar1Char1">
    <w:name w:val="Char Char Char Char Char1 Char1"/>
    <w:basedOn w:val="af8"/>
    <w:uiPriority w:val="99"/>
    <w:semiHidden/>
    <w:qFormat/>
    <w:rPr>
      <w:rFonts w:ascii="Tahoma" w:hAnsi="Tahoma" w:cs="Tahoma"/>
      <w:sz w:val="18"/>
      <w:szCs w:val="24"/>
    </w:rPr>
  </w:style>
  <w:style w:type="paragraph" w:customStyle="1" w:styleId="CharCharCharCharCharCharCharCharCharCharCharCharCharCharCharCharCharCharCharCharChar1Char1">
    <w:name w:val="Char Char Char Char Char Char Char Char Char Char Char Char Char Char Char Char Char Char Char Char Char1 Char1"/>
    <w:basedOn w:val="a"/>
    <w:autoRedefine/>
    <w:uiPriority w:val="99"/>
    <w:qFormat/>
    <w:pPr>
      <w:spacing w:line="360" w:lineRule="auto"/>
      <w:ind w:firstLineChars="200" w:firstLine="200"/>
    </w:pPr>
    <w:rPr>
      <w:rFonts w:ascii="宋体" w:hAnsi="宋体" w:cs="宋体"/>
      <w:sz w:val="24"/>
      <w:szCs w:val="24"/>
    </w:rPr>
  </w:style>
  <w:style w:type="paragraph" w:customStyle="1" w:styleId="CharCharCharCharChar2Char3">
    <w:name w:val="Char Char Char Char Char2 Char3"/>
    <w:basedOn w:val="a"/>
    <w:autoRedefine/>
    <w:uiPriority w:val="99"/>
    <w:qFormat/>
    <w:pPr>
      <w:adjustRightInd w:val="0"/>
      <w:snapToGrid w:val="0"/>
      <w:spacing w:line="360" w:lineRule="auto"/>
      <w:ind w:firstLineChars="200" w:firstLine="200"/>
    </w:pPr>
    <w:rPr>
      <w:rFonts w:cs="Times New Roman"/>
      <w:sz w:val="28"/>
      <w:szCs w:val="20"/>
    </w:rPr>
  </w:style>
  <w:style w:type="paragraph" w:customStyle="1" w:styleId="21f2">
    <w:name w:val="正文缩进 2字符1"/>
    <w:basedOn w:val="a"/>
    <w:uiPriority w:val="99"/>
    <w:qFormat/>
    <w:pPr>
      <w:tabs>
        <w:tab w:val="left" w:pos="2160"/>
      </w:tabs>
      <w:snapToGrid w:val="0"/>
      <w:spacing w:before="120" w:after="120"/>
      <w:ind w:firstLineChars="200" w:firstLine="480"/>
    </w:pPr>
    <w:rPr>
      <w:rFonts w:eastAsia="仿宋_GB2312" w:cs="Times New Roman"/>
      <w:color w:val="000000"/>
      <w:szCs w:val="21"/>
    </w:rPr>
  </w:style>
  <w:style w:type="paragraph" w:customStyle="1" w:styleId="Char4CharCharCharCharCharCharCharCharCharCharCharCharCharCharCharCharChar1Char1">
    <w:name w:val="Char4 Char Char Char Char Char Char Char Char Char Char Char Char Char Char Char Char Char1 Char1"/>
    <w:basedOn w:val="a"/>
    <w:autoRedefine/>
    <w:uiPriority w:val="99"/>
    <w:qFormat/>
    <w:pPr>
      <w:spacing w:line="240" w:lineRule="exact"/>
      <w:ind w:firstLineChars="200" w:firstLine="200"/>
    </w:pPr>
    <w:rPr>
      <w:rFonts w:cs="Times New Roman"/>
      <w:sz w:val="28"/>
      <w:szCs w:val="28"/>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a"/>
    <w:autoRedefine/>
    <w:uiPriority w:val="99"/>
    <w:qFormat/>
    <w:rPr>
      <w:rFonts w:cs="Times New Roman"/>
      <w:szCs w:val="24"/>
    </w:rPr>
  </w:style>
  <w:style w:type="paragraph" w:customStyle="1" w:styleId="CharCharChar1CharCharChar1CharCharChar2">
    <w:name w:val="Char Char Char1 Char Char Char1 Char Char Char2"/>
    <w:basedOn w:val="a"/>
    <w:uiPriority w:val="99"/>
    <w:qFormat/>
    <w:rPr>
      <w:rFonts w:cs="Times New Roman"/>
      <w:szCs w:val="21"/>
    </w:rPr>
  </w:style>
  <w:style w:type="paragraph" w:customStyle="1" w:styleId="CharCharCharCharCharCharCharCharCharCharCharCharChar1">
    <w:name w:val="Char Char Char Char Char Char Char Char Char Char Char Char Char1"/>
    <w:basedOn w:val="a"/>
    <w:uiPriority w:val="99"/>
    <w:qFormat/>
    <w:rPr>
      <w:rFonts w:cs="Times New Roman"/>
      <w:szCs w:val="24"/>
    </w:rPr>
  </w:style>
  <w:style w:type="character" w:customStyle="1" w:styleId="CharChar72">
    <w:name w:val="Char Char72"/>
    <w:basedOn w:val="a0"/>
    <w:autoRedefine/>
    <w:qFormat/>
    <w:rPr>
      <w:rFonts w:eastAsia="宋体"/>
      <w:kern w:val="2"/>
      <w:sz w:val="21"/>
      <w:lang w:val="en-US" w:eastAsia="zh-CN" w:bidi="ar-SA"/>
    </w:rPr>
  </w:style>
  <w:style w:type="character" w:customStyle="1" w:styleId="CharChar251">
    <w:name w:val="Char Char251"/>
    <w:basedOn w:val="a0"/>
    <w:qFormat/>
    <w:rPr>
      <w:b/>
      <w:sz w:val="3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
    <w:next w:val="a"/>
    <w:uiPriority w:val="99"/>
    <w:semiHidden/>
    <w:qFormat/>
    <w:pPr>
      <w:spacing w:line="360" w:lineRule="auto"/>
      <w:ind w:firstLineChars="200" w:firstLine="200"/>
    </w:pPr>
    <w:rPr>
      <w:rFonts w:ascii="宋体" w:hAnsi="宋体" w:cs="宋体"/>
      <w:sz w:val="24"/>
      <w:szCs w:val="24"/>
    </w:rPr>
  </w:style>
  <w:style w:type="character" w:customStyle="1" w:styleId="CharCharCharCharCharCharCharCharCharCharChar2">
    <w:name w:val="Char Char Char Char Char Char Char Char Char Char Char2"/>
    <w:basedOn w:val="a0"/>
    <w:qFormat/>
    <w:rPr>
      <w:rFonts w:eastAsia="宋体"/>
      <w:kern w:val="2"/>
      <w:sz w:val="21"/>
      <w:lang w:val="en-US" w:eastAsia="zh-CN" w:bidi="ar-SA"/>
    </w:rPr>
  </w:style>
  <w:style w:type="character" w:customStyle="1" w:styleId="CharChar271">
    <w:name w:val="Char Char271"/>
    <w:autoRedefine/>
    <w:qFormat/>
    <w:rPr>
      <w:rFonts w:eastAsia="宋体"/>
      <w:kern w:val="2"/>
      <w:sz w:val="21"/>
      <w:szCs w:val="24"/>
      <w:lang w:val="en-US" w:eastAsia="zh-CN" w:bidi="ar-SA"/>
    </w:rPr>
  </w:style>
  <w:style w:type="character" w:customStyle="1" w:styleId="CharChar321">
    <w:name w:val="Char Char321"/>
    <w:basedOn w:val="a0"/>
    <w:autoRedefine/>
    <w:qFormat/>
    <w:rPr>
      <w:rFonts w:ascii="Times New Roman" w:eastAsia="宋体" w:hAnsi="Times New Roman" w:cs="Times New Roman"/>
      <w:sz w:val="24"/>
      <w:szCs w:val="20"/>
    </w:rPr>
  </w:style>
  <w:style w:type="character" w:customStyle="1" w:styleId="CharCharCharChar14">
    <w:name w:val="Char Char Char Char14"/>
    <w:qFormat/>
    <w:rPr>
      <w:rFonts w:ascii="宋体" w:eastAsia="宋体"/>
      <w:kern w:val="2"/>
      <w:sz w:val="24"/>
      <w:lang w:val="en-US" w:eastAsia="zh-CN"/>
    </w:rPr>
  </w:style>
  <w:style w:type="character" w:customStyle="1" w:styleId="CharCharCharCharCharCharCharCharCharChar9">
    <w:name w:val="Char Char Char Char Char Char Char Char Char Char9"/>
    <w:link w:val="CharCharCharCharCharCharCharCharChar8"/>
    <w:qFormat/>
  </w:style>
  <w:style w:type="paragraph" w:customStyle="1" w:styleId="CharCharCharCharCharCharCharCharChar8">
    <w:name w:val="Char Char Char Char Char Char Char Char Char8"/>
    <w:basedOn w:val="a"/>
    <w:link w:val="CharCharCharCharCharCharCharCharCharChar9"/>
    <w:autoRedefine/>
    <w:qFormat/>
    <w:rPr>
      <w:rFonts w:cs="Times New Roman"/>
      <w:kern w:val="0"/>
      <w:sz w:val="20"/>
      <w:szCs w:val="20"/>
    </w:rPr>
  </w:style>
  <w:style w:type="character" w:customStyle="1" w:styleId="CharChar34">
    <w:name w:val="Char Char34"/>
    <w:qFormat/>
    <w:rPr>
      <w:rFonts w:ascii="宋体" w:eastAsia="宋体" w:hAnsi="Courier New"/>
      <w:kern w:val="2"/>
      <w:sz w:val="21"/>
      <w:lang w:val="en-US" w:eastAsia="zh-CN" w:bidi="ar-SA"/>
    </w:rPr>
  </w:style>
  <w:style w:type="character" w:customStyle="1" w:styleId="CharChar44">
    <w:name w:val="Char Char44"/>
    <w:autoRedefine/>
    <w:qFormat/>
    <w:rPr>
      <w:rFonts w:ascii="宋体" w:eastAsia="宋体" w:hAnsi="Courier New"/>
      <w:kern w:val="2"/>
      <w:sz w:val="21"/>
      <w:lang w:val="en-US" w:eastAsia="zh-CN" w:bidi="ar-SA"/>
    </w:rPr>
  </w:style>
  <w:style w:type="character" w:customStyle="1" w:styleId="CharChar94">
    <w:name w:val="Char Char94"/>
    <w:autoRedefine/>
    <w:qFormat/>
    <w:rPr>
      <w:kern w:val="2"/>
      <w:sz w:val="21"/>
      <w:szCs w:val="24"/>
    </w:rPr>
  </w:style>
  <w:style w:type="character" w:customStyle="1" w:styleId="CharChar84">
    <w:name w:val="Char Char84"/>
    <w:autoRedefine/>
    <w:qFormat/>
    <w:rPr>
      <w:b/>
      <w:bCs/>
      <w:kern w:val="2"/>
      <w:sz w:val="21"/>
      <w:szCs w:val="24"/>
    </w:rPr>
  </w:style>
  <w:style w:type="character" w:customStyle="1" w:styleId="CharChar105">
    <w:name w:val="Char Char105"/>
    <w:autoRedefine/>
    <w:qFormat/>
    <w:rPr>
      <w:rFonts w:eastAsia="宋体"/>
      <w:kern w:val="2"/>
      <w:sz w:val="18"/>
      <w:lang w:val="en-US" w:eastAsia="zh-CN" w:bidi="ar-SA"/>
    </w:rPr>
  </w:style>
  <w:style w:type="character" w:customStyle="1" w:styleId="CharChar74">
    <w:name w:val="Char Char74"/>
    <w:autoRedefine/>
    <w:qFormat/>
    <w:rPr>
      <w:rFonts w:eastAsia="宋体"/>
      <w:kern w:val="2"/>
      <w:sz w:val="21"/>
      <w:lang w:val="en-US" w:eastAsia="zh-CN" w:bidi="ar-SA"/>
    </w:rPr>
  </w:style>
  <w:style w:type="paragraph" w:customStyle="1" w:styleId="Char1CharCharChar5">
    <w:name w:val="Char1 Char Char Char5"/>
    <w:basedOn w:val="a"/>
    <w:autoRedefine/>
    <w:uiPriority w:val="99"/>
    <w:qFormat/>
    <w:rPr>
      <w:rFonts w:cs="Times New Roman"/>
      <w:szCs w:val="20"/>
    </w:rPr>
  </w:style>
  <w:style w:type="paragraph" w:customStyle="1" w:styleId="233">
    <w:name w:val="正文文本 23"/>
    <w:basedOn w:val="a"/>
    <w:autoRedefine/>
    <w:uiPriority w:val="99"/>
    <w:qFormat/>
    <w:pPr>
      <w:adjustRightInd w:val="0"/>
      <w:textAlignment w:val="baseline"/>
    </w:pPr>
    <w:rPr>
      <w:rFonts w:cs="Times New Roman"/>
      <w:kern w:val="0"/>
      <w:sz w:val="24"/>
      <w:szCs w:val="20"/>
    </w:rPr>
  </w:style>
  <w:style w:type="paragraph" w:customStyle="1" w:styleId="CharCharChar70">
    <w:name w:val="Char Char Char7"/>
    <w:basedOn w:val="a"/>
    <w:autoRedefine/>
    <w:uiPriority w:val="99"/>
    <w:qFormat/>
    <w:pPr>
      <w:spacing w:line="360" w:lineRule="auto"/>
      <w:ind w:firstLineChars="200" w:firstLine="200"/>
    </w:pPr>
    <w:rPr>
      <w:rFonts w:ascii="宋体" w:cs="Times New Roman"/>
      <w:sz w:val="24"/>
      <w:szCs w:val="20"/>
    </w:rPr>
  </w:style>
  <w:style w:type="paragraph" w:customStyle="1" w:styleId="CharCharCharCharCharCharCharCharCharCharCharCharCharCharCharCharCharCharCharCharChar1Char2">
    <w:name w:val="Char Char Char Char Char Char Char Char Char Char Char Char Char Char Char Char Char Char Char Char Char1 Char2"/>
    <w:basedOn w:val="a"/>
    <w:uiPriority w:val="99"/>
    <w:qFormat/>
    <w:pPr>
      <w:spacing w:line="360" w:lineRule="auto"/>
      <w:ind w:firstLineChars="200" w:firstLine="200"/>
    </w:pPr>
    <w:rPr>
      <w:rFonts w:ascii="宋体" w:hAnsi="宋体" w:cs="宋体"/>
      <w:sz w:val="24"/>
      <w:szCs w:val="24"/>
    </w:rPr>
  </w:style>
  <w:style w:type="paragraph" w:customStyle="1" w:styleId="CharCharCharCharChar2Char6">
    <w:name w:val="Char Char Char Char Char2 Char6"/>
    <w:basedOn w:val="a"/>
    <w:autoRedefine/>
    <w:uiPriority w:val="99"/>
    <w:qFormat/>
    <w:pPr>
      <w:adjustRightInd w:val="0"/>
      <w:snapToGrid w:val="0"/>
      <w:spacing w:line="360" w:lineRule="auto"/>
      <w:ind w:firstLineChars="200" w:firstLine="200"/>
    </w:pPr>
    <w:rPr>
      <w:rFonts w:cs="Times New Roman"/>
      <w:sz w:val="28"/>
      <w:szCs w:val="20"/>
    </w:rPr>
  </w:style>
  <w:style w:type="paragraph" w:customStyle="1" w:styleId="Char140">
    <w:name w:val="Char14"/>
    <w:basedOn w:val="a"/>
    <w:autoRedefine/>
    <w:uiPriority w:val="99"/>
    <w:qFormat/>
    <w:pPr>
      <w:spacing w:line="360" w:lineRule="auto"/>
      <w:ind w:firstLineChars="200" w:firstLine="200"/>
    </w:pPr>
    <w:rPr>
      <w:rFonts w:ascii="宋体" w:cs="Times New Roman"/>
      <w:sz w:val="24"/>
      <w:szCs w:val="20"/>
    </w:rPr>
  </w:style>
  <w:style w:type="paragraph" w:customStyle="1" w:styleId="CharCharChar1CharCharChar1CharCharChar6">
    <w:name w:val="Char Char Char1 Char Char Char1 Char Char Char6"/>
    <w:basedOn w:val="a"/>
    <w:uiPriority w:val="99"/>
    <w:qFormat/>
    <w:rPr>
      <w:rFonts w:cs="Times New Roman"/>
      <w:szCs w:val="21"/>
    </w:rPr>
  </w:style>
  <w:style w:type="paragraph" w:customStyle="1" w:styleId="CharCharCharChar1CharCharChar4">
    <w:name w:val="Char Char Char Char1 Char Char Char4"/>
    <w:basedOn w:val="a"/>
    <w:uiPriority w:val="99"/>
    <w:qFormat/>
    <w:rPr>
      <w:rFonts w:cs="Times New Roman"/>
      <w:sz w:val="24"/>
      <w:szCs w:val="24"/>
    </w:rPr>
  </w:style>
  <w:style w:type="paragraph" w:customStyle="1" w:styleId="CharCharCharCharChar1Char2">
    <w:name w:val="Char Char Char Char Char1 Char2"/>
    <w:basedOn w:val="af8"/>
    <w:autoRedefine/>
    <w:uiPriority w:val="99"/>
    <w:semiHidden/>
    <w:qFormat/>
    <w:rPr>
      <w:rFonts w:ascii="Tahoma" w:hAnsi="Tahoma" w:cs="Tahoma"/>
      <w:sz w:val="18"/>
      <w:szCs w:val="24"/>
    </w:rPr>
  </w:style>
  <w:style w:type="paragraph" w:customStyle="1" w:styleId="CharCharCharCharCharCharCharCharCharCharCharCharCharCharCharCharCharChar2">
    <w:name w:val="Char Char Char Char Char Char Char Char Char Char Char Char Char Char Char Char Char Char2"/>
    <w:basedOn w:val="a"/>
    <w:uiPriority w:val="99"/>
    <w:qFormat/>
    <w:rPr>
      <w:rFonts w:ascii="宋体" w:cs="Times New Roman"/>
      <w:sz w:val="24"/>
      <w:szCs w:val="20"/>
    </w:rPr>
  </w:style>
  <w:style w:type="paragraph" w:customStyle="1" w:styleId="CharCharChar1CharCharCharCharCharCharCharCharCharCharCharCharCharCharCharChar2">
    <w:name w:val="Char Char Char1 Char Char Char Char Char Char Char Char Char Char Char Char Char Char Char Char2"/>
    <w:basedOn w:val="a"/>
    <w:autoRedefine/>
    <w:uiPriority w:val="99"/>
    <w:qFormat/>
    <w:rPr>
      <w:rFonts w:cs="Times New Roman"/>
      <w:sz w:val="24"/>
      <w:szCs w:val="24"/>
    </w:rPr>
  </w:style>
  <w:style w:type="paragraph" w:customStyle="1" w:styleId="7e">
    <w:name w:val="正文7"/>
    <w:autoRedefine/>
    <w:uiPriority w:val="99"/>
    <w:qFormat/>
    <w:pPr>
      <w:widowControl w:val="0"/>
      <w:adjustRightInd w:val="0"/>
      <w:spacing w:line="360" w:lineRule="atLeast"/>
      <w:textAlignment w:val="baseline"/>
    </w:pPr>
    <w:rPr>
      <w:rFonts w:ascii="宋体"/>
      <w:sz w:val="34"/>
    </w:rPr>
  </w:style>
  <w:style w:type="paragraph" w:customStyle="1" w:styleId="Char4CharCharChar5">
    <w:name w:val="Char4 Char Char Char5"/>
    <w:basedOn w:val="a"/>
    <w:uiPriority w:val="99"/>
    <w:semiHidden/>
    <w:qFormat/>
    <w:pPr>
      <w:adjustRightInd w:val="0"/>
      <w:snapToGrid w:val="0"/>
      <w:spacing w:line="360" w:lineRule="auto"/>
      <w:ind w:firstLineChars="200" w:firstLine="200"/>
    </w:pPr>
    <w:rPr>
      <w:rFonts w:ascii="宋体" w:hAnsi="宋体" w:cs="宋体"/>
      <w:sz w:val="24"/>
      <w:szCs w:val="26"/>
    </w:rPr>
  </w:style>
  <w:style w:type="paragraph" w:customStyle="1" w:styleId="240">
    <w:name w:val="正文缩进 2字符4"/>
    <w:basedOn w:val="a"/>
    <w:autoRedefine/>
    <w:uiPriority w:val="99"/>
    <w:qFormat/>
    <w:pPr>
      <w:tabs>
        <w:tab w:val="left" w:pos="2160"/>
      </w:tabs>
      <w:snapToGrid w:val="0"/>
      <w:spacing w:before="120" w:after="120"/>
      <w:ind w:firstLineChars="200" w:firstLine="480"/>
    </w:pPr>
    <w:rPr>
      <w:rFonts w:eastAsia="仿宋_GB2312" w:cs="Times New Roman"/>
      <w:color w:val="000000"/>
      <w:szCs w:val="21"/>
    </w:rPr>
  </w:style>
  <w:style w:type="paragraph" w:customStyle="1" w:styleId="CharCharChar1CharCharCharCharCharCharCharCharCharCharCharCharChar2">
    <w:name w:val="Char Char Char1 Char Char Char Char Char Char Char Char Char Char Char Char Char2"/>
    <w:basedOn w:val="a"/>
    <w:autoRedefine/>
    <w:uiPriority w:val="99"/>
    <w:qFormat/>
    <w:rPr>
      <w:rFonts w:cs="Times New Roman"/>
      <w:sz w:val="24"/>
      <w:szCs w:val="24"/>
    </w:rPr>
  </w:style>
  <w:style w:type="paragraph" w:customStyle="1" w:styleId="CharCharCharCharCharChar6">
    <w:name w:val="Char Char Char Char Char Char6"/>
    <w:basedOn w:val="a"/>
    <w:autoRedefine/>
    <w:uiPriority w:val="99"/>
    <w:qFormat/>
    <w:rPr>
      <w:rFonts w:cs="Times New Roman"/>
      <w:sz w:val="24"/>
      <w:szCs w:val="24"/>
    </w:rPr>
  </w:style>
  <w:style w:type="paragraph" w:customStyle="1" w:styleId="CharCharCharCharCharCharChar6">
    <w:name w:val="Char Char Char Char Char Char Char6"/>
    <w:basedOn w:val="a"/>
    <w:autoRedefine/>
    <w:uiPriority w:val="99"/>
    <w:qFormat/>
    <w:rPr>
      <w:rFonts w:ascii="宋体" w:cs="Times New Roman"/>
      <w:sz w:val="24"/>
      <w:szCs w:val="20"/>
    </w:rPr>
  </w:style>
  <w:style w:type="paragraph" w:customStyle="1" w:styleId="CharCharCharChar90">
    <w:name w:val="Char Char Char Char9"/>
    <w:basedOn w:val="a"/>
    <w:link w:val="CharCharCharCharChar4"/>
    <w:autoRedefine/>
    <w:qFormat/>
    <w:rPr>
      <w:rFonts w:ascii="宋体" w:cs="Times New Roman"/>
      <w:szCs w:val="21"/>
    </w:rPr>
  </w:style>
  <w:style w:type="character" w:customStyle="1" w:styleId="CharCharCharCharChar4">
    <w:name w:val="Char Char Char Char Char4"/>
    <w:link w:val="CharCharCharChar90"/>
    <w:qFormat/>
    <w:rPr>
      <w:rFonts w:ascii="宋体"/>
      <w:kern w:val="2"/>
      <w:sz w:val="21"/>
      <w:szCs w:val="21"/>
    </w:rPr>
  </w:style>
  <w:style w:type="paragraph" w:customStyle="1" w:styleId="Char1CharCharChar1CharCharCharCharCharCharCharCharCharCharCharCharCharCharChar6">
    <w:name w:val="Char1 Char Char Char1 Char Char Char Char Char Char Char Char Char Char Char Char Char Char Char6"/>
    <w:basedOn w:val="a"/>
    <w:autoRedefine/>
    <w:uiPriority w:val="99"/>
    <w:qFormat/>
    <w:pPr>
      <w:widowControl/>
      <w:spacing w:after="160"/>
      <w:jc w:val="left"/>
    </w:pPr>
    <w:rPr>
      <w:rFonts w:ascii="Verdana" w:eastAsia="仿宋_GB2312" w:hAnsi="Verdana" w:cs="”“Times New Roman”“"/>
      <w:kern w:val="0"/>
      <w:sz w:val="28"/>
      <w:szCs w:val="28"/>
      <w:lang w:eastAsia="en-US"/>
    </w:rPr>
  </w:style>
  <w:style w:type="paragraph" w:customStyle="1" w:styleId="CharCharCharCharCharCharCharCharCharCharCharCharCharCharCharCharCharChar1CharCharCharCharCharCharCharCharCharCharCharCharCharCharCharChar2">
    <w:name w:val="Char Char Char Char Char Char Char Char Char Char Char Char Char Char Char Char Char Char1 Char Char Char Char Char Char Char Char Char Char Char Char Char Char Char Char2"/>
    <w:basedOn w:val="a"/>
    <w:autoRedefine/>
    <w:uiPriority w:val="99"/>
    <w:qFormat/>
    <w:pPr>
      <w:spacing w:line="360" w:lineRule="auto"/>
      <w:ind w:firstLineChars="200" w:firstLine="200"/>
    </w:pPr>
    <w:rPr>
      <w:rFonts w:ascii="宋体" w:cs="Times New Roman"/>
      <w:sz w:val="24"/>
      <w:szCs w:val="20"/>
    </w:rPr>
  </w:style>
  <w:style w:type="paragraph" w:customStyle="1" w:styleId="CharCharCharCharCharCharCharCharCharCharCharCharCharCharCharCharCharChar1CharCharCharChar2">
    <w:name w:val="Char Char Char Char Char Char Char Char Char Char Char Char Char Char Char Char Char Char1 Char Char Char Char2"/>
    <w:basedOn w:val="a"/>
    <w:uiPriority w:val="99"/>
    <w:qFormat/>
    <w:rPr>
      <w:rFonts w:cs="Times New Roman"/>
      <w:szCs w:val="20"/>
    </w:rPr>
  </w:style>
  <w:style w:type="paragraph" w:customStyle="1" w:styleId="331">
    <w:name w:val="正文文本缩进 33"/>
    <w:basedOn w:val="a"/>
    <w:autoRedefine/>
    <w:uiPriority w:val="99"/>
    <w:qFormat/>
    <w:pPr>
      <w:adjustRightInd w:val="0"/>
      <w:spacing w:line="300" w:lineRule="auto"/>
      <w:ind w:firstLine="691"/>
      <w:textAlignment w:val="baseline"/>
    </w:pPr>
    <w:rPr>
      <w:rFonts w:ascii="宋体" w:cs="Times New Roman"/>
      <w:kern w:val="0"/>
      <w:sz w:val="28"/>
      <w:szCs w:val="20"/>
    </w:rPr>
  </w:style>
  <w:style w:type="paragraph" w:customStyle="1" w:styleId="3ffb">
    <w:name w:val="日期3"/>
    <w:basedOn w:val="a"/>
    <w:next w:val="a"/>
    <w:autoRedefine/>
    <w:uiPriority w:val="99"/>
    <w:qFormat/>
    <w:pPr>
      <w:adjustRightInd w:val="0"/>
      <w:textAlignment w:val="baseline"/>
    </w:pPr>
    <w:rPr>
      <w:rFonts w:cs="Times New Roman"/>
      <w:snapToGrid w:val="0"/>
      <w:sz w:val="24"/>
      <w:szCs w:val="20"/>
    </w:rPr>
  </w:style>
  <w:style w:type="paragraph" w:customStyle="1" w:styleId="Char250">
    <w:name w:val="Char25"/>
    <w:basedOn w:val="a"/>
    <w:uiPriority w:val="99"/>
    <w:qFormat/>
    <w:pPr>
      <w:spacing w:line="360" w:lineRule="auto"/>
      <w:ind w:firstLineChars="200" w:firstLine="200"/>
    </w:pPr>
    <w:rPr>
      <w:rFonts w:ascii="宋体" w:cs="Times New Roman"/>
      <w:sz w:val="24"/>
      <w:szCs w:val="20"/>
    </w:rPr>
  </w:style>
  <w:style w:type="paragraph" w:customStyle="1" w:styleId="Char2CharCharChar5">
    <w:name w:val="Char2 Char Char Char5"/>
    <w:basedOn w:val="a"/>
    <w:uiPriority w:val="99"/>
    <w:qFormat/>
    <w:pPr>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 Char Char Char Char2"/>
    <w:basedOn w:val="a"/>
    <w:next w:val="a"/>
    <w:autoRedefine/>
    <w:uiPriority w:val="99"/>
    <w:qFormat/>
    <w:pPr>
      <w:pBdr>
        <w:right w:val="single" w:sz="12" w:space="4" w:color="auto"/>
      </w:pBdr>
      <w:spacing w:line="360" w:lineRule="auto"/>
      <w:ind w:firstLineChars="200" w:firstLine="200"/>
    </w:pPr>
    <w:rPr>
      <w:rFonts w:ascii="宋体" w:hAnsi="宋体" w:cs="宋体"/>
      <w:sz w:val="24"/>
      <w:szCs w:val="24"/>
    </w:rPr>
  </w:style>
  <w:style w:type="paragraph" w:customStyle="1" w:styleId="CharCharCharCharCharCharCharCharCharCharCharCharCharCharCharCharCharChar1CharCharCharCharCharCharCharCharCharCharCharCharChar6">
    <w:name w:val="Char Char Char Char Char Char Char Char Char Char Char Char Char Char Char Char Char Char1 Char Char Char Char Char Char Char Char Char Char Char Char Char6"/>
    <w:basedOn w:val="a"/>
    <w:autoRedefine/>
    <w:uiPriority w:val="99"/>
    <w:qFormat/>
    <w:pPr>
      <w:spacing w:line="360" w:lineRule="auto"/>
      <w:ind w:firstLineChars="200" w:firstLine="200"/>
    </w:pPr>
    <w:rPr>
      <w:rFonts w:ascii="宋体" w:hAnsi="宋体" w:cs="宋体"/>
      <w:sz w:val="24"/>
      <w:szCs w:val="24"/>
    </w:rPr>
  </w:style>
  <w:style w:type="paragraph" w:customStyle="1" w:styleId="CharCharChar12">
    <w:name w:val="Char Char Char12"/>
    <w:basedOn w:val="a"/>
    <w:autoRedefine/>
    <w:uiPriority w:val="99"/>
    <w:qFormat/>
    <w:pPr>
      <w:spacing w:line="360" w:lineRule="auto"/>
      <w:ind w:firstLineChars="200" w:firstLine="200"/>
    </w:pPr>
    <w:rPr>
      <w:rFonts w:ascii="宋体" w:hAnsi="宋体" w:cs="Times New Roman"/>
      <w:sz w:val="24"/>
      <w:szCs w:val="20"/>
    </w:rPr>
  </w:style>
  <w:style w:type="paragraph" w:customStyle="1" w:styleId="Char130">
    <w:name w:val="Char13"/>
    <w:basedOn w:val="a"/>
    <w:autoRedefine/>
    <w:uiPriority w:val="99"/>
    <w:qFormat/>
    <w:rPr>
      <w:rFonts w:cs="Times New Roman"/>
      <w:sz w:val="24"/>
      <w:szCs w:val="20"/>
    </w:rPr>
  </w:style>
  <w:style w:type="paragraph" w:customStyle="1" w:styleId="Char4CharCharCharCharCharCharCharCharCharCharCharCharCharCharCharCharChar1Char4">
    <w:name w:val="Char4 Char Char Char Char Char Char Char Char Char Char Char Char Char Char Char Char Char1 Char4"/>
    <w:basedOn w:val="a"/>
    <w:autoRedefine/>
    <w:uiPriority w:val="99"/>
    <w:qFormat/>
    <w:pPr>
      <w:spacing w:line="240" w:lineRule="exact"/>
      <w:ind w:firstLineChars="200" w:firstLine="200"/>
    </w:pPr>
    <w:rPr>
      <w:rFonts w:cs="Times New Roman"/>
      <w:sz w:val="28"/>
      <w:szCs w:val="28"/>
    </w:rPr>
  </w:style>
  <w:style w:type="paragraph" w:customStyle="1" w:styleId="Char4CharCharCharCharCharChar15">
    <w:name w:val="Char4 Char Char Char Char Char Char15"/>
    <w:basedOn w:val="a"/>
    <w:autoRedefine/>
    <w:uiPriority w:val="99"/>
    <w:qFormat/>
    <w:pPr>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CharCharCharCharCharCharCharChar4">
    <w:name w:val="Char Char Char Char Char Char Char Char Char Char Char Char Char Char Char Char Char Char Char Char Char Char Char Char Char Char Char4"/>
    <w:basedOn w:val="a"/>
    <w:autoRedefine/>
    <w:uiPriority w:val="99"/>
    <w:qFormat/>
    <w:rPr>
      <w:rFonts w:cs="Times New Roman"/>
      <w:szCs w:val="24"/>
    </w:rPr>
  </w:style>
  <w:style w:type="paragraph" w:customStyle="1" w:styleId="CharCharCharCharCharCharCharCharCharCharCharCharChar4">
    <w:name w:val="Char Char Char Char Char Char Char Char Char Char Char Char Char4"/>
    <w:basedOn w:val="a"/>
    <w:autoRedefine/>
    <w:uiPriority w:val="99"/>
    <w:qFormat/>
    <w:rPr>
      <w:rFonts w:cs="Times New Roman"/>
      <w:szCs w:val="24"/>
    </w:rPr>
  </w:style>
  <w:style w:type="paragraph" w:customStyle="1" w:styleId="CharChar6CharChar1CharCharCharChar2">
    <w:name w:val="Char Char6 Char Char1 Char Char Char Char2"/>
    <w:basedOn w:val="a"/>
    <w:autoRedefine/>
    <w:uiPriority w:val="99"/>
    <w:semiHidden/>
    <w:qFormat/>
    <w:pPr>
      <w:adjustRightInd w:val="0"/>
      <w:snapToGrid w:val="0"/>
      <w:spacing w:line="360" w:lineRule="auto"/>
      <w:ind w:firstLineChars="200" w:firstLine="200"/>
    </w:pPr>
    <w:rPr>
      <w:rFonts w:cs="Times New Roman"/>
      <w:sz w:val="24"/>
      <w:szCs w:val="24"/>
    </w:rPr>
  </w:style>
  <w:style w:type="character" w:customStyle="1" w:styleId="CharChar243">
    <w:name w:val="Char Char243"/>
    <w:autoRedefine/>
    <w:qFormat/>
    <w:rPr>
      <w:rFonts w:ascii="Times New Roman" w:eastAsia="宋体" w:hAnsi="Times New Roman" w:cs="Times New Roman"/>
      <w:sz w:val="24"/>
      <w:szCs w:val="20"/>
    </w:rPr>
  </w:style>
  <w:style w:type="character" w:customStyle="1" w:styleId="CharChar234">
    <w:name w:val="Char Char234"/>
    <w:autoRedefine/>
    <w:qFormat/>
    <w:rPr>
      <w:rFonts w:ascii="Times New Roman" w:eastAsia="宋体" w:hAnsi="Times New Roman" w:cs="Times New Roman"/>
      <w:b/>
      <w:sz w:val="24"/>
      <w:szCs w:val="20"/>
    </w:rPr>
  </w:style>
  <w:style w:type="paragraph" w:customStyle="1" w:styleId="Char1CharCharCharCharCharChar2CharCharCharCharCharCharCharCharCharCharCharCharCharCharCharCharCharChar3">
    <w:name w:val="Char1 Char Char Char Char Char Char2 Char Char Char Char Char Char Char Char Char Char Char Char Char Char Char Char Char Char3"/>
    <w:basedOn w:val="a"/>
    <w:autoRedefine/>
    <w:uiPriority w:val="99"/>
    <w:qFormat/>
    <w:pPr>
      <w:widowControl/>
      <w:jc w:val="left"/>
    </w:pPr>
    <w:rPr>
      <w:rFonts w:ascii="宋体" w:hAnsi="宋体" w:cs="宋体"/>
      <w:kern w:val="0"/>
      <w:sz w:val="24"/>
      <w:szCs w:val="24"/>
    </w:rPr>
  </w:style>
  <w:style w:type="character" w:customStyle="1" w:styleId="CharChar223">
    <w:name w:val="Char Char223"/>
    <w:autoRedefine/>
    <w:qFormat/>
    <w:rPr>
      <w:rFonts w:ascii="Times New Roman" w:eastAsia="宋体" w:hAnsi="Times New Roman" w:cs="Times New Roman"/>
      <w:sz w:val="24"/>
      <w:szCs w:val="20"/>
    </w:rPr>
  </w:style>
  <w:style w:type="character" w:customStyle="1" w:styleId="CharChar28">
    <w:name w:val="Char Char28"/>
    <w:autoRedefine/>
    <w:qFormat/>
    <w:rPr>
      <w:rFonts w:eastAsia="宋体"/>
      <w:kern w:val="2"/>
      <w:sz w:val="24"/>
      <w:lang w:val="en-US" w:eastAsia="zh-CN" w:bidi="ar-SA"/>
    </w:rPr>
  </w:style>
  <w:style w:type="character" w:customStyle="1" w:styleId="CharChar183">
    <w:name w:val="Char Char183"/>
    <w:autoRedefine/>
    <w:qFormat/>
    <w:locked/>
    <w:rPr>
      <w:rFonts w:cs="Times New Roman"/>
      <w:sz w:val="18"/>
      <w:szCs w:val="18"/>
    </w:rPr>
  </w:style>
  <w:style w:type="character" w:customStyle="1" w:styleId="CharChar133">
    <w:name w:val="Char Char133"/>
    <w:autoRedefine/>
    <w:qFormat/>
    <w:locked/>
    <w:rPr>
      <w:rFonts w:ascii="宋体" w:hAnsi="Times New Roman" w:cs="Times New Roman"/>
      <w:kern w:val="0"/>
      <w:sz w:val="20"/>
      <w:szCs w:val="20"/>
    </w:rPr>
  </w:style>
  <w:style w:type="character" w:customStyle="1" w:styleId="CharChar123">
    <w:name w:val="Char Char123"/>
    <w:autoRedefine/>
    <w:qFormat/>
    <w:locked/>
    <w:rPr>
      <w:rFonts w:ascii="Times New Roman" w:hAnsi="Times New Roman" w:cs="Times New Roman"/>
      <w:sz w:val="24"/>
    </w:rPr>
  </w:style>
  <w:style w:type="paragraph" w:customStyle="1" w:styleId="2ffffd">
    <w:name w:val="批注框文本2"/>
    <w:basedOn w:val="a"/>
    <w:autoRedefine/>
    <w:uiPriority w:val="99"/>
    <w:qFormat/>
    <w:rPr>
      <w:rFonts w:cs="Times New Roman"/>
      <w:sz w:val="18"/>
      <w:szCs w:val="18"/>
    </w:rPr>
  </w:style>
  <w:style w:type="paragraph" w:customStyle="1" w:styleId="CharCharCharCharCharChar1CharCharChar1Char2">
    <w:name w:val="Char Char Char Char Char Char1 Char Char Char1 Char2"/>
    <w:basedOn w:val="a"/>
    <w:autoRedefine/>
    <w:uiPriority w:val="99"/>
    <w:qFormat/>
    <w:rPr>
      <w:rFonts w:cs="Times New Roman"/>
      <w:sz w:val="24"/>
      <w:szCs w:val="24"/>
    </w:rPr>
  </w:style>
  <w:style w:type="paragraph" w:customStyle="1" w:styleId="CharCharCharCharCharChar1CharCharChar1CharCharCharCharCharCharCharCharChar2">
    <w:name w:val="Char Char Char Char Char Char1 Char Char Char1 Char Char Char Char Char Char Char Char Char2"/>
    <w:basedOn w:val="a"/>
    <w:autoRedefine/>
    <w:uiPriority w:val="99"/>
    <w:qFormat/>
    <w:pPr>
      <w:spacing w:line="360" w:lineRule="auto"/>
      <w:ind w:firstLineChars="200" w:firstLine="200"/>
    </w:pPr>
    <w:rPr>
      <w:rFonts w:ascii="宋体" w:hAnsi="宋体" w:cs="宋体"/>
      <w:sz w:val="24"/>
      <w:szCs w:val="24"/>
    </w:rPr>
  </w:style>
  <w:style w:type="paragraph" w:customStyle="1" w:styleId="3ffc">
    <w:name w:val="正文文本缩进3"/>
    <w:basedOn w:val="a"/>
    <w:autoRedefine/>
    <w:uiPriority w:val="99"/>
    <w:qFormat/>
    <w:pPr>
      <w:widowControl/>
      <w:jc w:val="left"/>
    </w:pPr>
    <w:rPr>
      <w:rFonts w:eastAsia="仿宋_GB2312" w:cs="Times New Roman"/>
      <w:kern w:val="0"/>
      <w:szCs w:val="21"/>
    </w:rPr>
  </w:style>
  <w:style w:type="paragraph" w:customStyle="1" w:styleId="CharCharCharCharCharCharCharCharChar1CharCharCharChar3">
    <w:name w:val="Char Char Char Char Char Char Char Char Char1 Char Char Char Char3"/>
    <w:basedOn w:val="a"/>
    <w:autoRedefine/>
    <w:uiPriority w:val="99"/>
    <w:qFormat/>
    <w:rPr>
      <w:rFonts w:cs="Times New Roman"/>
      <w:sz w:val="24"/>
      <w:szCs w:val="24"/>
    </w:rPr>
  </w:style>
  <w:style w:type="paragraph" w:customStyle="1" w:styleId="CharCharCharCharCharCharCharCharCharCharCharCharCharCharCharChar2">
    <w:name w:val="Char Char Char Char Char Char Char Char Char Char Char Char Char Char Char Char2"/>
    <w:basedOn w:val="a"/>
    <w:autoRedefine/>
    <w:uiPriority w:val="99"/>
    <w:qFormat/>
    <w:pPr>
      <w:spacing w:line="360" w:lineRule="auto"/>
      <w:ind w:firstLineChars="200" w:firstLine="200"/>
    </w:pPr>
    <w:rPr>
      <w:rFonts w:ascii="宋体" w:hAnsi="宋体" w:cs="宋体"/>
      <w:sz w:val="24"/>
      <w:szCs w:val="24"/>
    </w:rPr>
  </w:style>
  <w:style w:type="paragraph" w:customStyle="1" w:styleId="4fc">
    <w:name w:val="正文文本4"/>
    <w:basedOn w:val="7e"/>
    <w:autoRedefine/>
    <w:uiPriority w:val="99"/>
    <w:qFormat/>
    <w:pPr>
      <w:adjustRightInd/>
      <w:spacing w:after="120" w:line="240" w:lineRule="auto"/>
      <w:jc w:val="both"/>
      <w:textAlignment w:val="auto"/>
    </w:pPr>
    <w:rPr>
      <w:rFonts w:ascii="Times New Roman" w:eastAsia="Times New Roman" w:cs="宋体"/>
      <w:sz w:val="28"/>
      <w:lang w:eastAsia="en-US"/>
    </w:rPr>
  </w:style>
  <w:style w:type="paragraph" w:customStyle="1" w:styleId="CharChar122">
    <w:name w:val="字元 字元 Char Char 字元 字元12"/>
    <w:basedOn w:val="a"/>
    <w:autoRedefine/>
    <w:uiPriority w:val="99"/>
    <w:qFormat/>
    <w:rPr>
      <w:rFonts w:cs="Times New Roman"/>
      <w:sz w:val="24"/>
      <w:szCs w:val="24"/>
    </w:rPr>
  </w:style>
  <w:style w:type="paragraph" w:customStyle="1" w:styleId="Char3CharCharCharCharChar1Char2">
    <w:name w:val="Char3 Char Char Char Char Char1 Char2"/>
    <w:basedOn w:val="a"/>
    <w:autoRedefine/>
    <w:uiPriority w:val="99"/>
    <w:qFormat/>
    <w:pPr>
      <w:spacing w:line="360" w:lineRule="auto"/>
      <w:ind w:firstLineChars="200" w:firstLine="200"/>
    </w:pPr>
    <w:rPr>
      <w:rFonts w:ascii="宋体" w:hAnsi="宋体" w:cs="宋体"/>
      <w:sz w:val="24"/>
      <w:szCs w:val="24"/>
    </w:rPr>
  </w:style>
  <w:style w:type="paragraph" w:customStyle="1" w:styleId="Char1CharCharCharCharCharChar5">
    <w:name w:val="Char1 Char Char Char Char Char Char5"/>
    <w:basedOn w:val="a"/>
    <w:autoRedefine/>
    <w:uiPriority w:val="99"/>
    <w:qFormat/>
    <w:rPr>
      <w:rFonts w:cs="Times New Roman"/>
      <w:szCs w:val="24"/>
    </w:rPr>
  </w:style>
  <w:style w:type="paragraph" w:customStyle="1" w:styleId="3ffd">
    <w:name w:val="列出段落3"/>
    <w:basedOn w:val="7e"/>
    <w:autoRedefine/>
    <w:uiPriority w:val="99"/>
    <w:qFormat/>
    <w:pPr>
      <w:adjustRightInd/>
      <w:spacing w:line="240" w:lineRule="auto"/>
      <w:ind w:firstLine="420"/>
      <w:jc w:val="both"/>
      <w:textAlignment w:val="auto"/>
    </w:pPr>
    <w:rPr>
      <w:rFonts w:ascii="Calibri" w:eastAsia="Calibri" w:hAnsi="Calibri" w:cs="宋体"/>
      <w:sz w:val="21"/>
      <w:lang w:eastAsia="en-US"/>
    </w:rPr>
  </w:style>
  <w:style w:type="paragraph" w:customStyle="1" w:styleId="CharCharCharCharCharChar1CharCharCharCharCharCharCharCharCharChar2">
    <w:name w:val="Char Char Char Char Char Char1 Char Char Char Char Char Char Char Char Char Char2"/>
    <w:basedOn w:val="a"/>
    <w:autoRedefine/>
    <w:uiPriority w:val="99"/>
    <w:qFormat/>
    <w:pPr>
      <w:spacing w:line="360" w:lineRule="auto"/>
      <w:ind w:firstLineChars="200" w:firstLine="200"/>
    </w:pPr>
    <w:rPr>
      <w:rFonts w:cs="Times New Roman"/>
      <w:szCs w:val="20"/>
    </w:rPr>
  </w:style>
  <w:style w:type="paragraph" w:customStyle="1" w:styleId="CharCharCharCharCharCharCharCharCharCharCharCharCharCharChar4">
    <w:name w:val="Char Char Char Char Char Char Char Char Char Char Char Char Char Char Char4"/>
    <w:basedOn w:val="a"/>
    <w:autoRedefine/>
    <w:uiPriority w:val="99"/>
    <w:qFormat/>
    <w:pPr>
      <w:snapToGrid w:val="0"/>
      <w:spacing w:line="440" w:lineRule="exact"/>
      <w:ind w:firstLineChars="200" w:firstLine="200"/>
    </w:pPr>
    <w:rPr>
      <w:rFonts w:cs="Times New Roman"/>
      <w:szCs w:val="24"/>
    </w:rPr>
  </w:style>
  <w:style w:type="character" w:customStyle="1" w:styleId="CharChar242">
    <w:name w:val="Char Char242"/>
    <w:basedOn w:val="a0"/>
    <w:autoRedefine/>
    <w:qFormat/>
    <w:rPr>
      <w:rFonts w:ascii="Times New Roman" w:eastAsia="宋体" w:hAnsi="Times New Roman" w:cs="Times New Roman"/>
      <w:sz w:val="24"/>
      <w:szCs w:val="20"/>
    </w:rPr>
  </w:style>
  <w:style w:type="character" w:customStyle="1" w:styleId="CharChar83">
    <w:name w:val="Char Char83"/>
    <w:autoRedefine/>
    <w:qFormat/>
    <w:rPr>
      <w:b/>
      <w:bCs/>
      <w:kern w:val="2"/>
      <w:sz w:val="21"/>
      <w:szCs w:val="24"/>
    </w:rPr>
  </w:style>
  <w:style w:type="character" w:customStyle="1" w:styleId="CharChar233">
    <w:name w:val="Char Char233"/>
    <w:basedOn w:val="a0"/>
    <w:autoRedefine/>
    <w:qFormat/>
    <w:rPr>
      <w:rFonts w:ascii="Times New Roman" w:eastAsia="宋体" w:hAnsi="Times New Roman" w:cs="Times New Roman"/>
      <w:b/>
      <w:sz w:val="24"/>
      <w:szCs w:val="20"/>
    </w:rPr>
  </w:style>
  <w:style w:type="character" w:customStyle="1" w:styleId="CharCharCharCharCharCharCharCharCharChar8">
    <w:name w:val="Char Char Char Char Char Char Char Char Char Char8"/>
    <w:link w:val="CharCharCharCharCharCharCharCharChar7"/>
    <w:autoRedefine/>
    <w:qFormat/>
    <w:rPr>
      <w:kern w:val="2"/>
      <w:sz w:val="21"/>
    </w:rPr>
  </w:style>
  <w:style w:type="paragraph" w:customStyle="1" w:styleId="CharCharCharCharCharCharCharCharChar7">
    <w:name w:val="Char Char Char Char Char Char Char Char Char7"/>
    <w:basedOn w:val="a"/>
    <w:link w:val="CharCharCharCharCharCharCharCharCharChar8"/>
    <w:autoRedefine/>
    <w:qFormat/>
    <w:rPr>
      <w:rFonts w:cs="Times New Roman"/>
      <w:szCs w:val="20"/>
    </w:rPr>
  </w:style>
  <w:style w:type="character" w:customStyle="1" w:styleId="CharChar93">
    <w:name w:val="Char Char93"/>
    <w:autoRedefine/>
    <w:qFormat/>
    <w:rPr>
      <w:kern w:val="2"/>
      <w:sz w:val="21"/>
      <w:szCs w:val="24"/>
    </w:rPr>
  </w:style>
  <w:style w:type="paragraph" w:customStyle="1" w:styleId="CharCharChar60">
    <w:name w:val="Char Char Char6"/>
    <w:basedOn w:val="a"/>
    <w:autoRedefine/>
    <w:uiPriority w:val="99"/>
    <w:qFormat/>
    <w:rPr>
      <w:rFonts w:cs="Times New Roman"/>
      <w:sz w:val="24"/>
      <w:szCs w:val="24"/>
    </w:rPr>
  </w:style>
  <w:style w:type="paragraph" w:customStyle="1" w:styleId="CharCharCharCharCharCharCharCharCharCharCharCharCharCharCharCharCharChar1CharCharCharCharCharCharCharCharCharCharCharCharChar5">
    <w:name w:val="Char Char Char Char Char Char Char Char Char Char Char Char Char Char Char Char Char Char1 Char Char Char Char Char Char Char Char Char Char Char Char Char5"/>
    <w:basedOn w:val="a"/>
    <w:autoRedefine/>
    <w:uiPriority w:val="99"/>
    <w:qFormat/>
    <w:pPr>
      <w:spacing w:line="360" w:lineRule="auto"/>
      <w:ind w:firstLineChars="200" w:firstLine="200"/>
    </w:pPr>
    <w:rPr>
      <w:rFonts w:ascii="宋体" w:hAnsi="宋体" w:cs="宋体"/>
      <w:sz w:val="24"/>
      <w:szCs w:val="24"/>
    </w:rPr>
  </w:style>
  <w:style w:type="paragraph" w:customStyle="1" w:styleId="CharCharCharCharChar2Char5">
    <w:name w:val="Char Char Char Char Char2 Char5"/>
    <w:basedOn w:val="a"/>
    <w:autoRedefine/>
    <w:uiPriority w:val="99"/>
    <w:qFormat/>
    <w:pPr>
      <w:adjustRightInd w:val="0"/>
      <w:snapToGrid w:val="0"/>
      <w:spacing w:line="360" w:lineRule="auto"/>
      <w:ind w:firstLineChars="200" w:firstLine="200"/>
    </w:pPr>
    <w:rPr>
      <w:rFonts w:cs="Times New Roman"/>
      <w:sz w:val="28"/>
      <w:szCs w:val="20"/>
    </w:rPr>
  </w:style>
  <w:style w:type="paragraph" w:customStyle="1" w:styleId="CharCharCharCharCharCharCharCharCharCharCharCharChar3">
    <w:name w:val="Char Char Char Char Char Char Char Char Char Char Char Char Char3"/>
    <w:basedOn w:val="a"/>
    <w:autoRedefine/>
    <w:uiPriority w:val="99"/>
    <w:qFormat/>
    <w:rPr>
      <w:rFonts w:cs="Times New Roman"/>
      <w:szCs w:val="24"/>
    </w:rPr>
  </w:style>
  <w:style w:type="paragraph" w:customStyle="1" w:styleId="CharCharChar1CharCharChar1CharCharChar5">
    <w:name w:val="Char Char Char1 Char Char Char1 Char Char Char5"/>
    <w:basedOn w:val="a"/>
    <w:autoRedefine/>
    <w:uiPriority w:val="99"/>
    <w:qFormat/>
    <w:rPr>
      <w:rFonts w:cs="Times New Roman"/>
      <w:szCs w:val="21"/>
    </w:rPr>
  </w:style>
  <w:style w:type="paragraph" w:customStyle="1" w:styleId="Char240">
    <w:name w:val="Char24"/>
    <w:basedOn w:val="a"/>
    <w:autoRedefine/>
    <w:uiPriority w:val="99"/>
    <w:qFormat/>
    <w:rPr>
      <w:rFonts w:cs="Times New Roman"/>
      <w:sz w:val="24"/>
      <w:szCs w:val="24"/>
    </w:rPr>
  </w:style>
  <w:style w:type="paragraph" w:customStyle="1" w:styleId="CharCharCharCharCharCharCharCharCharCharCharCharCharCharCharCharCharCharCharCharCharCharCharCharCharCharChar3">
    <w:name w:val="Char Char Char Char Char Char Char Char Char Char Char Char Char Char Char Char Char Char Char Char Char Char Char Char Char Char Char3"/>
    <w:basedOn w:val="a"/>
    <w:autoRedefine/>
    <w:uiPriority w:val="99"/>
    <w:qFormat/>
    <w:rPr>
      <w:rFonts w:cs="Times New Roman"/>
      <w:szCs w:val="24"/>
    </w:rPr>
  </w:style>
  <w:style w:type="paragraph" w:customStyle="1" w:styleId="Char1CharCharChar1CharCharCharCharCharCharCharCharCharCharCharCharCharCharChar5">
    <w:name w:val="Char1 Char Char Char1 Char Char Char Char Char Char Char Char Char Char Char Char Char Char Char5"/>
    <w:basedOn w:val="a"/>
    <w:autoRedefine/>
    <w:uiPriority w:val="99"/>
    <w:qFormat/>
    <w:pPr>
      <w:widowControl/>
      <w:spacing w:after="160"/>
      <w:jc w:val="left"/>
    </w:pPr>
    <w:rPr>
      <w:rFonts w:ascii="Verdana" w:eastAsia="仿宋_GB2312" w:hAnsi="Verdana" w:cs="”“Times New Roman”“"/>
      <w:kern w:val="0"/>
      <w:sz w:val="28"/>
      <w:szCs w:val="28"/>
      <w:lang w:eastAsia="en-US"/>
    </w:rPr>
  </w:style>
  <w:style w:type="paragraph" w:customStyle="1" w:styleId="CharCharCharChar80">
    <w:name w:val="Char Char Char Char8"/>
    <w:basedOn w:val="a"/>
    <w:next w:val="a"/>
    <w:link w:val="CharCharCharCharChar3"/>
    <w:autoRedefine/>
    <w:qFormat/>
    <w:pPr>
      <w:spacing w:line="360" w:lineRule="auto"/>
      <w:ind w:firstLineChars="200" w:firstLine="200"/>
    </w:pPr>
    <w:rPr>
      <w:rFonts w:ascii="宋体" w:hAnsi="宋体" w:cs="Times New Roman"/>
      <w:sz w:val="24"/>
      <w:szCs w:val="24"/>
    </w:rPr>
  </w:style>
  <w:style w:type="character" w:customStyle="1" w:styleId="CharCharCharCharChar3">
    <w:name w:val="Char Char Char Char Char3"/>
    <w:link w:val="CharCharCharChar80"/>
    <w:autoRedefine/>
    <w:qFormat/>
    <w:rPr>
      <w:rFonts w:ascii="宋体" w:hAnsi="宋体"/>
      <w:kern w:val="2"/>
      <w:sz w:val="24"/>
      <w:szCs w:val="24"/>
    </w:rPr>
  </w:style>
  <w:style w:type="paragraph" w:customStyle="1" w:styleId="3ffe">
    <w:name w:val="纯文本3"/>
    <w:basedOn w:val="a"/>
    <w:autoRedefine/>
    <w:uiPriority w:val="99"/>
    <w:qFormat/>
    <w:pPr>
      <w:adjustRightInd w:val="0"/>
      <w:textAlignment w:val="baseline"/>
    </w:pPr>
    <w:rPr>
      <w:rFonts w:ascii="宋体" w:cs="Times New Roman"/>
      <w:kern w:val="0"/>
      <w:szCs w:val="20"/>
    </w:rPr>
  </w:style>
  <w:style w:type="paragraph" w:customStyle="1" w:styleId="CharCharCharCharCharChar5">
    <w:name w:val="Char Char Char Char Char Char5"/>
    <w:basedOn w:val="a"/>
    <w:autoRedefine/>
    <w:uiPriority w:val="99"/>
    <w:qFormat/>
    <w:rPr>
      <w:rFonts w:cs="Times New Roman"/>
      <w:sz w:val="24"/>
      <w:szCs w:val="24"/>
    </w:rPr>
  </w:style>
  <w:style w:type="paragraph" w:customStyle="1" w:styleId="89">
    <w:name w:val="正文8"/>
    <w:autoRedefine/>
    <w:uiPriority w:val="99"/>
    <w:qFormat/>
    <w:pPr>
      <w:widowControl w:val="0"/>
      <w:adjustRightInd w:val="0"/>
      <w:spacing w:line="360" w:lineRule="atLeast"/>
      <w:textAlignment w:val="baseline"/>
    </w:pPr>
    <w:rPr>
      <w:rFonts w:ascii="宋体"/>
      <w:sz w:val="34"/>
    </w:rPr>
  </w:style>
  <w:style w:type="paragraph" w:customStyle="1" w:styleId="Char4CharCharCharCharCharChar14">
    <w:name w:val="Char4 Char Char Char Char Char Char14"/>
    <w:basedOn w:val="a"/>
    <w:autoRedefine/>
    <w:uiPriority w:val="99"/>
    <w:qFormat/>
    <w:pPr>
      <w:spacing w:line="360" w:lineRule="auto"/>
      <w:ind w:firstLineChars="200" w:firstLine="200"/>
    </w:pPr>
    <w:rPr>
      <w:rFonts w:ascii="宋体" w:hAnsi="宋体" w:cs="宋体"/>
      <w:sz w:val="24"/>
      <w:szCs w:val="24"/>
    </w:rPr>
  </w:style>
  <w:style w:type="paragraph" w:customStyle="1" w:styleId="234">
    <w:name w:val="正文缩进 2字符3"/>
    <w:basedOn w:val="a"/>
    <w:autoRedefine/>
    <w:uiPriority w:val="99"/>
    <w:qFormat/>
    <w:pPr>
      <w:tabs>
        <w:tab w:val="left" w:pos="2160"/>
      </w:tabs>
      <w:snapToGrid w:val="0"/>
      <w:spacing w:before="120" w:after="120"/>
      <w:ind w:firstLineChars="200" w:firstLine="480"/>
    </w:pPr>
    <w:rPr>
      <w:rFonts w:eastAsia="仿宋_GB2312" w:cs="Times New Roman"/>
      <w:color w:val="000000"/>
      <w:szCs w:val="21"/>
    </w:rPr>
  </w:style>
  <w:style w:type="paragraph" w:customStyle="1" w:styleId="Char1CharCharCharCharCharChar2CharCharCharCharCharCharCharCharCharCharCharCharCharCharCharCharCharChar2">
    <w:name w:val="Char1 Char Char Char Char Char Char2 Char Char Char Char Char Char Char Char Char Char Char Char Char Char Char Char Char Char2"/>
    <w:basedOn w:val="a"/>
    <w:autoRedefine/>
    <w:uiPriority w:val="99"/>
    <w:qFormat/>
    <w:rPr>
      <w:rFonts w:cs="Times New Roman"/>
      <w:szCs w:val="24"/>
    </w:rPr>
  </w:style>
  <w:style w:type="paragraph" w:customStyle="1" w:styleId="Char4CharCharChar4">
    <w:name w:val="Char4 Char Char Char4"/>
    <w:basedOn w:val="a"/>
    <w:autoRedefine/>
    <w:uiPriority w:val="99"/>
    <w:semiHidden/>
    <w:qFormat/>
    <w:pPr>
      <w:adjustRightInd w:val="0"/>
      <w:snapToGrid w:val="0"/>
      <w:spacing w:line="360" w:lineRule="auto"/>
      <w:ind w:firstLineChars="200" w:firstLine="200"/>
    </w:pPr>
    <w:rPr>
      <w:rFonts w:ascii="宋体" w:hAnsi="宋体" w:cs="宋体"/>
      <w:sz w:val="24"/>
      <w:szCs w:val="26"/>
    </w:rPr>
  </w:style>
  <w:style w:type="paragraph" w:customStyle="1" w:styleId="Char4CharCharCharCharCharCharCharCharCharCharCharCharCharCharCharCharChar1Char3">
    <w:name w:val="Char4 Char Char Char Char Char Char Char Char Char Char Char Char Char Char Char Char Char1 Char3"/>
    <w:basedOn w:val="a"/>
    <w:autoRedefine/>
    <w:uiPriority w:val="99"/>
    <w:qFormat/>
    <w:pPr>
      <w:spacing w:line="240" w:lineRule="exact"/>
      <w:ind w:firstLineChars="200" w:firstLine="200"/>
    </w:pPr>
    <w:rPr>
      <w:rFonts w:cs="Times New Roman"/>
      <w:sz w:val="28"/>
      <w:szCs w:val="28"/>
    </w:rPr>
  </w:style>
  <w:style w:type="paragraph" w:customStyle="1" w:styleId="CharCharCharCharCharCharChar5">
    <w:name w:val="Char Char Char Char Char Char Char5"/>
    <w:basedOn w:val="a"/>
    <w:autoRedefine/>
    <w:uiPriority w:val="99"/>
    <w:qFormat/>
    <w:rPr>
      <w:rFonts w:cs="Times New Roman"/>
      <w:szCs w:val="24"/>
    </w:rPr>
  </w:style>
  <w:style w:type="paragraph" w:customStyle="1" w:styleId="Char2CharCharChar4">
    <w:name w:val="Char2 Char Char Char4"/>
    <w:basedOn w:val="a"/>
    <w:autoRedefine/>
    <w:uiPriority w:val="99"/>
    <w:qFormat/>
    <w:pPr>
      <w:spacing w:line="360" w:lineRule="auto"/>
      <w:ind w:firstLineChars="200" w:firstLine="200"/>
    </w:pPr>
    <w:rPr>
      <w:rFonts w:ascii="宋体" w:hAnsi="宋体" w:cs="宋体"/>
      <w:sz w:val="24"/>
      <w:szCs w:val="24"/>
    </w:rPr>
  </w:style>
  <w:style w:type="paragraph" w:customStyle="1" w:styleId="Char100">
    <w:name w:val="Char10"/>
    <w:basedOn w:val="a"/>
    <w:link w:val="CharCharCharCharCharCharCharChar1"/>
    <w:autoRedefine/>
    <w:uiPriority w:val="99"/>
    <w:qFormat/>
    <w:pPr>
      <w:spacing w:line="360" w:lineRule="auto"/>
      <w:ind w:firstLineChars="200" w:firstLine="200"/>
    </w:pPr>
    <w:rPr>
      <w:rFonts w:ascii="宋体" w:hAnsi="宋体" w:cs="宋体"/>
      <w:sz w:val="24"/>
      <w:szCs w:val="24"/>
    </w:rPr>
  </w:style>
  <w:style w:type="character" w:customStyle="1" w:styleId="CharCharCharCharCharCharCharChar1">
    <w:name w:val="Char Char Char Char Char Char Char Char1"/>
    <w:link w:val="Char100"/>
    <w:uiPriority w:val="99"/>
    <w:qFormat/>
    <w:rPr>
      <w:rFonts w:ascii="宋体" w:hAnsi="宋体" w:cs="宋体"/>
      <w:kern w:val="2"/>
      <w:sz w:val="24"/>
      <w:szCs w:val="24"/>
    </w:rPr>
  </w:style>
  <w:style w:type="paragraph" w:customStyle="1" w:styleId="4fd">
    <w:name w:val="日期4"/>
    <w:basedOn w:val="a"/>
    <w:next w:val="a"/>
    <w:autoRedefine/>
    <w:uiPriority w:val="99"/>
    <w:qFormat/>
    <w:pPr>
      <w:adjustRightInd w:val="0"/>
      <w:textAlignment w:val="baseline"/>
    </w:pPr>
    <w:rPr>
      <w:rFonts w:cs="Times New Roman"/>
      <w:snapToGrid w:val="0"/>
      <w:sz w:val="24"/>
      <w:szCs w:val="20"/>
    </w:rPr>
  </w:style>
  <w:style w:type="character" w:customStyle="1" w:styleId="CharChar222">
    <w:name w:val="Char Char222"/>
    <w:autoRedefine/>
    <w:qFormat/>
    <w:rPr>
      <w:rFonts w:ascii="Times New Roman" w:eastAsia="宋体" w:hAnsi="Times New Roman" w:cs="Times New Roman"/>
      <w:sz w:val="24"/>
      <w:szCs w:val="20"/>
    </w:rPr>
  </w:style>
  <w:style w:type="character" w:customStyle="1" w:styleId="CharCharCharChar13">
    <w:name w:val="Char Char Char Char13"/>
    <w:basedOn w:val="a0"/>
    <w:autoRedefine/>
    <w:qFormat/>
    <w:rPr>
      <w:rFonts w:ascii="宋体" w:eastAsia="宋体"/>
      <w:kern w:val="2"/>
      <w:sz w:val="24"/>
      <w:lang w:val="en-US" w:eastAsia="zh-CN"/>
    </w:rPr>
  </w:style>
  <w:style w:type="character" w:customStyle="1" w:styleId="CharChar26">
    <w:name w:val="Char Char26"/>
    <w:autoRedefine/>
    <w:qFormat/>
    <w:rPr>
      <w:rFonts w:eastAsia="宋体"/>
      <w:kern w:val="2"/>
      <w:sz w:val="24"/>
      <w:lang w:val="en-US" w:eastAsia="zh-CN" w:bidi="ar-SA"/>
    </w:rPr>
  </w:style>
  <w:style w:type="character" w:customStyle="1" w:styleId="CharChar182">
    <w:name w:val="Char Char182"/>
    <w:autoRedefine/>
    <w:qFormat/>
    <w:locked/>
    <w:rPr>
      <w:rFonts w:cs="Times New Roman"/>
      <w:sz w:val="18"/>
      <w:szCs w:val="18"/>
    </w:rPr>
  </w:style>
  <w:style w:type="character" w:customStyle="1" w:styleId="CharChar33">
    <w:name w:val="Char Char33"/>
    <w:qFormat/>
    <w:rPr>
      <w:rFonts w:ascii="宋体" w:eastAsia="仿宋_GB2312" w:hAnsi="宋体" w:cs="宋体"/>
      <w:kern w:val="2"/>
      <w:sz w:val="18"/>
      <w:szCs w:val="18"/>
      <w:lang w:val="en-US" w:eastAsia="zh-CN" w:bidi="ar-SA"/>
    </w:rPr>
  </w:style>
  <w:style w:type="character" w:customStyle="1" w:styleId="CharChar132">
    <w:name w:val="Char Char132"/>
    <w:autoRedefine/>
    <w:qFormat/>
    <w:locked/>
    <w:rPr>
      <w:rFonts w:ascii="宋体" w:hAnsi="Times New Roman" w:cs="Times New Roman"/>
      <w:kern w:val="0"/>
      <w:sz w:val="20"/>
      <w:szCs w:val="20"/>
    </w:rPr>
  </w:style>
  <w:style w:type="character" w:customStyle="1" w:styleId="CharChar1220">
    <w:name w:val="Char Char122"/>
    <w:autoRedefine/>
    <w:qFormat/>
    <w:locked/>
    <w:rPr>
      <w:rFonts w:ascii="Times New Roman" w:hAnsi="Times New Roman" w:cs="Times New Roman"/>
      <w:sz w:val="24"/>
    </w:rPr>
  </w:style>
  <w:style w:type="character" w:customStyle="1" w:styleId="CharChar43">
    <w:name w:val="Char Char43"/>
    <w:autoRedefine/>
    <w:qFormat/>
    <w:rPr>
      <w:rFonts w:ascii="宋体" w:eastAsia="楷体_GB2312" w:hAnsi="Courier New"/>
      <w:kern w:val="2"/>
      <w:sz w:val="28"/>
      <w:lang w:val="en-US" w:eastAsia="zh-CN" w:bidi="ar-SA"/>
    </w:rPr>
  </w:style>
  <w:style w:type="character" w:customStyle="1" w:styleId="CharChar104">
    <w:name w:val="Char Char104"/>
    <w:qFormat/>
    <w:locked/>
    <w:rPr>
      <w:rFonts w:ascii="Arial" w:hAnsi="Arial" w:cs="Arial"/>
      <w:b/>
      <w:bCs/>
      <w:sz w:val="32"/>
      <w:szCs w:val="32"/>
    </w:rPr>
  </w:style>
  <w:style w:type="character" w:customStyle="1" w:styleId="CharChar241">
    <w:name w:val="Char Char241"/>
    <w:basedOn w:val="a0"/>
    <w:autoRedefine/>
    <w:qFormat/>
    <w:rPr>
      <w:rFonts w:ascii="Times New Roman" w:eastAsia="宋体" w:hAnsi="Times New Roman" w:cs="Times New Roman"/>
      <w:sz w:val="24"/>
      <w:szCs w:val="20"/>
    </w:rPr>
  </w:style>
  <w:style w:type="character" w:customStyle="1" w:styleId="CharChar82">
    <w:name w:val="Char Char82"/>
    <w:autoRedefine/>
    <w:qFormat/>
    <w:rPr>
      <w:b/>
      <w:bCs/>
      <w:kern w:val="2"/>
      <w:sz w:val="21"/>
      <w:szCs w:val="24"/>
    </w:rPr>
  </w:style>
  <w:style w:type="character" w:customStyle="1" w:styleId="CharChar232">
    <w:name w:val="Char Char232"/>
    <w:basedOn w:val="a0"/>
    <w:autoRedefine/>
    <w:qFormat/>
    <w:rPr>
      <w:rFonts w:ascii="Times New Roman" w:eastAsia="宋体" w:hAnsi="Times New Roman" w:cs="Times New Roman"/>
      <w:b/>
      <w:sz w:val="24"/>
      <w:szCs w:val="20"/>
    </w:rPr>
  </w:style>
  <w:style w:type="character" w:customStyle="1" w:styleId="CharCharCharCharCharCharCharCharCharChar7">
    <w:name w:val="Char Char Char Char Char Char Char Char Char Char7"/>
    <w:link w:val="CharCharCharCharCharCharCharCharChar6"/>
    <w:qFormat/>
    <w:rPr>
      <w:kern w:val="2"/>
      <w:sz w:val="21"/>
    </w:rPr>
  </w:style>
  <w:style w:type="paragraph" w:customStyle="1" w:styleId="CharCharCharCharCharCharCharCharChar6">
    <w:name w:val="Char Char Char Char Char Char Char Char Char6"/>
    <w:basedOn w:val="a"/>
    <w:link w:val="CharCharCharCharCharCharCharCharCharChar7"/>
    <w:qFormat/>
    <w:rPr>
      <w:rFonts w:cs="Times New Roman"/>
      <w:szCs w:val="20"/>
    </w:rPr>
  </w:style>
  <w:style w:type="character" w:customStyle="1" w:styleId="CharChar92">
    <w:name w:val="Char Char92"/>
    <w:autoRedefine/>
    <w:semiHidden/>
    <w:qFormat/>
    <w:rPr>
      <w:kern w:val="2"/>
      <w:sz w:val="21"/>
      <w:szCs w:val="24"/>
    </w:rPr>
  </w:style>
  <w:style w:type="paragraph" w:customStyle="1" w:styleId="CharCharChar50">
    <w:name w:val="Char Char Char5"/>
    <w:basedOn w:val="a"/>
    <w:autoRedefine/>
    <w:uiPriority w:val="99"/>
    <w:qFormat/>
    <w:rPr>
      <w:rFonts w:cs="Times New Roman"/>
      <w:sz w:val="24"/>
      <w:szCs w:val="24"/>
    </w:rPr>
  </w:style>
  <w:style w:type="paragraph" w:customStyle="1" w:styleId="CharCharCharCharCharCharCharCharCharCharCharCharCharCharCharCharCharChar1CharCharCharCharCharCharCharCharCharCharCharCharChar4">
    <w:name w:val="Char Char Char Char Char Char Char Char Char Char Char Char Char Char Char Char Char Char1 Char Char Char Char Char Char Char Char Char Char Char Char Char4"/>
    <w:basedOn w:val="a"/>
    <w:autoRedefine/>
    <w:uiPriority w:val="99"/>
    <w:qFormat/>
    <w:pPr>
      <w:spacing w:line="360" w:lineRule="auto"/>
      <w:ind w:firstLineChars="200" w:firstLine="200"/>
    </w:pPr>
    <w:rPr>
      <w:rFonts w:ascii="宋体" w:hAnsi="宋体" w:cs="宋体"/>
      <w:sz w:val="24"/>
      <w:szCs w:val="24"/>
    </w:rPr>
  </w:style>
  <w:style w:type="paragraph" w:customStyle="1" w:styleId="CharCharCharCharChar2Char4">
    <w:name w:val="Char Char Char Char Char2 Char4"/>
    <w:basedOn w:val="a"/>
    <w:autoRedefine/>
    <w:uiPriority w:val="99"/>
    <w:qFormat/>
    <w:pPr>
      <w:adjustRightInd w:val="0"/>
      <w:snapToGrid w:val="0"/>
      <w:spacing w:line="360" w:lineRule="auto"/>
      <w:ind w:firstLineChars="200" w:firstLine="200"/>
    </w:pPr>
    <w:rPr>
      <w:rFonts w:cs="Times New Roman"/>
      <w:sz w:val="28"/>
      <w:szCs w:val="20"/>
    </w:rPr>
  </w:style>
  <w:style w:type="paragraph" w:customStyle="1" w:styleId="CharCharCharCharCharCharCharCharCharCharCharCharChar2">
    <w:name w:val="Char Char Char Char Char Char Char Char Char Char Char Char Char2"/>
    <w:basedOn w:val="a"/>
    <w:autoRedefine/>
    <w:uiPriority w:val="99"/>
    <w:qFormat/>
    <w:rPr>
      <w:rFonts w:cs="Times New Roman"/>
      <w:szCs w:val="24"/>
    </w:rPr>
  </w:style>
  <w:style w:type="paragraph" w:customStyle="1" w:styleId="CharCharChar1CharCharChar1CharCharChar4">
    <w:name w:val="Char Char Char1 Char Char Char1 Char Char Char4"/>
    <w:basedOn w:val="a"/>
    <w:autoRedefine/>
    <w:uiPriority w:val="99"/>
    <w:qFormat/>
    <w:rPr>
      <w:rFonts w:cs="Times New Roman"/>
      <w:szCs w:val="21"/>
    </w:rPr>
  </w:style>
  <w:style w:type="paragraph" w:customStyle="1" w:styleId="Char230">
    <w:name w:val="Char23"/>
    <w:basedOn w:val="a"/>
    <w:uiPriority w:val="99"/>
    <w:qFormat/>
    <w:rPr>
      <w:rFonts w:cs="Times New Roman"/>
      <w:sz w:val="24"/>
      <w:szCs w:val="24"/>
    </w:rPr>
  </w:style>
  <w:style w:type="paragraph" w:customStyle="1" w:styleId="CharCharCharCharCharCharCharCharCharCharCharCharCharCharCharCharCharCharCharCharCharCharCharCharCharCharChar2">
    <w:name w:val="Char Char Char Char Char Char Char Char Char Char Char Char Char Char Char Char Char Char Char Char Char Char Char Char Char Char Char2"/>
    <w:basedOn w:val="a"/>
    <w:autoRedefine/>
    <w:uiPriority w:val="99"/>
    <w:qFormat/>
    <w:rPr>
      <w:rFonts w:cs="Times New Roman"/>
      <w:szCs w:val="24"/>
    </w:rPr>
  </w:style>
  <w:style w:type="paragraph" w:customStyle="1" w:styleId="Char1CharCharChar1CharCharCharCharCharCharCharCharCharCharCharCharCharCharChar4">
    <w:name w:val="Char1 Char Char Char1 Char Char Char Char Char Char Char Char Char Char Char Char Char Char Char4"/>
    <w:basedOn w:val="a"/>
    <w:autoRedefine/>
    <w:uiPriority w:val="99"/>
    <w:qFormat/>
    <w:pPr>
      <w:widowControl/>
      <w:spacing w:after="160"/>
      <w:jc w:val="left"/>
    </w:pPr>
    <w:rPr>
      <w:rFonts w:ascii="Verdana" w:eastAsia="仿宋_GB2312" w:hAnsi="Verdana" w:cs="”“Times New Roman”“"/>
      <w:kern w:val="0"/>
      <w:sz w:val="28"/>
      <w:szCs w:val="28"/>
      <w:lang w:eastAsia="en-US"/>
    </w:rPr>
  </w:style>
  <w:style w:type="paragraph" w:customStyle="1" w:styleId="CharCharCharChar70">
    <w:name w:val="Char Char Char Char7"/>
    <w:basedOn w:val="a"/>
    <w:next w:val="a"/>
    <w:link w:val="CharCharCharCharChar2"/>
    <w:autoRedefine/>
    <w:qFormat/>
    <w:pPr>
      <w:spacing w:line="360" w:lineRule="auto"/>
      <w:ind w:firstLineChars="200" w:firstLine="200"/>
    </w:pPr>
    <w:rPr>
      <w:rFonts w:ascii="宋体" w:hAnsi="宋体" w:cs="Times New Roman"/>
      <w:sz w:val="24"/>
      <w:szCs w:val="24"/>
    </w:rPr>
  </w:style>
  <w:style w:type="character" w:customStyle="1" w:styleId="CharCharCharCharChar2">
    <w:name w:val="Char Char Char Char Char2"/>
    <w:link w:val="CharCharCharChar70"/>
    <w:qFormat/>
    <w:rPr>
      <w:rFonts w:ascii="宋体" w:hAnsi="宋体"/>
      <w:kern w:val="2"/>
      <w:sz w:val="24"/>
      <w:szCs w:val="24"/>
    </w:rPr>
  </w:style>
  <w:style w:type="paragraph" w:customStyle="1" w:styleId="4fe">
    <w:name w:val="纯文本4"/>
    <w:basedOn w:val="a"/>
    <w:autoRedefine/>
    <w:uiPriority w:val="99"/>
    <w:qFormat/>
    <w:pPr>
      <w:adjustRightInd w:val="0"/>
      <w:textAlignment w:val="baseline"/>
    </w:pPr>
    <w:rPr>
      <w:rFonts w:ascii="宋体" w:cs="Times New Roman"/>
      <w:kern w:val="0"/>
      <w:szCs w:val="20"/>
    </w:rPr>
  </w:style>
  <w:style w:type="paragraph" w:customStyle="1" w:styleId="CharCharCharCharCharChar4">
    <w:name w:val="Char Char Char Char Char Char4"/>
    <w:basedOn w:val="a"/>
    <w:uiPriority w:val="99"/>
    <w:qFormat/>
    <w:rPr>
      <w:rFonts w:cs="Times New Roman"/>
      <w:sz w:val="24"/>
      <w:szCs w:val="24"/>
    </w:rPr>
  </w:style>
  <w:style w:type="paragraph" w:customStyle="1" w:styleId="97">
    <w:name w:val="正文9"/>
    <w:autoRedefine/>
    <w:uiPriority w:val="99"/>
    <w:qFormat/>
    <w:pPr>
      <w:widowControl w:val="0"/>
      <w:adjustRightInd w:val="0"/>
      <w:spacing w:line="360" w:lineRule="atLeast"/>
      <w:textAlignment w:val="baseline"/>
    </w:pPr>
    <w:rPr>
      <w:rFonts w:ascii="宋体"/>
      <w:sz w:val="34"/>
    </w:rPr>
  </w:style>
  <w:style w:type="paragraph" w:customStyle="1" w:styleId="Char4CharCharCharCharCharChar13">
    <w:name w:val="Char4 Char Char Char Char Char Char13"/>
    <w:basedOn w:val="a"/>
    <w:autoRedefine/>
    <w:uiPriority w:val="99"/>
    <w:qFormat/>
    <w:pPr>
      <w:spacing w:line="360" w:lineRule="auto"/>
      <w:ind w:firstLineChars="200" w:firstLine="200"/>
    </w:pPr>
    <w:rPr>
      <w:rFonts w:ascii="宋体" w:hAnsi="宋体" w:cs="宋体"/>
      <w:sz w:val="24"/>
      <w:szCs w:val="24"/>
    </w:rPr>
  </w:style>
  <w:style w:type="paragraph" w:customStyle="1" w:styleId="22a">
    <w:name w:val="正文缩进 2字符2"/>
    <w:basedOn w:val="a"/>
    <w:autoRedefine/>
    <w:uiPriority w:val="99"/>
    <w:qFormat/>
    <w:pPr>
      <w:tabs>
        <w:tab w:val="left" w:pos="2160"/>
      </w:tabs>
      <w:snapToGrid w:val="0"/>
      <w:spacing w:before="120" w:after="120"/>
      <w:ind w:firstLineChars="200" w:firstLine="480"/>
    </w:pPr>
    <w:rPr>
      <w:rFonts w:eastAsia="仿宋_GB2312" w:cs="Times New Roman"/>
      <w:color w:val="000000"/>
      <w:szCs w:val="21"/>
    </w:rPr>
  </w:style>
  <w:style w:type="paragraph" w:customStyle="1" w:styleId="Char1CharCharCharCharCharChar2CharCharCharCharCharCharCharCharCharCharCharCharCharCharCharCharCharChar1">
    <w:name w:val="Char1 Char Char Char Char Char Char2 Char Char Char Char Char Char Char Char Char Char Char Char Char Char Char Char Char Char1"/>
    <w:basedOn w:val="a"/>
    <w:autoRedefine/>
    <w:uiPriority w:val="99"/>
    <w:qFormat/>
    <w:rPr>
      <w:rFonts w:cs="Times New Roman"/>
      <w:szCs w:val="24"/>
    </w:rPr>
  </w:style>
  <w:style w:type="paragraph" w:customStyle="1" w:styleId="Char4CharCharChar3">
    <w:name w:val="Char4 Char Char Char3"/>
    <w:basedOn w:val="a"/>
    <w:autoRedefine/>
    <w:uiPriority w:val="99"/>
    <w:semiHidden/>
    <w:qFormat/>
    <w:pPr>
      <w:adjustRightInd w:val="0"/>
      <w:snapToGrid w:val="0"/>
      <w:spacing w:line="360" w:lineRule="auto"/>
      <w:ind w:firstLineChars="200" w:firstLine="200"/>
    </w:pPr>
    <w:rPr>
      <w:rFonts w:ascii="宋体" w:hAnsi="宋体" w:cs="宋体"/>
      <w:sz w:val="24"/>
      <w:szCs w:val="26"/>
    </w:rPr>
  </w:style>
  <w:style w:type="paragraph" w:customStyle="1" w:styleId="Char4CharCharCharCharCharCharCharCharCharCharCharCharCharCharCharCharChar1Char2">
    <w:name w:val="Char4 Char Char Char Char Char Char Char Char Char Char Char Char Char Char Char Char Char1 Char2"/>
    <w:basedOn w:val="a"/>
    <w:autoRedefine/>
    <w:uiPriority w:val="99"/>
    <w:qFormat/>
    <w:pPr>
      <w:spacing w:line="240" w:lineRule="exact"/>
      <w:ind w:firstLineChars="200" w:firstLine="200"/>
    </w:pPr>
    <w:rPr>
      <w:rFonts w:cs="Times New Roman"/>
      <w:sz w:val="28"/>
      <w:szCs w:val="28"/>
    </w:rPr>
  </w:style>
  <w:style w:type="paragraph" w:customStyle="1" w:styleId="CharCharCharCharCharCharChar4">
    <w:name w:val="Char Char Char Char Char Char Char4"/>
    <w:basedOn w:val="a"/>
    <w:autoRedefine/>
    <w:uiPriority w:val="99"/>
    <w:qFormat/>
    <w:rPr>
      <w:rFonts w:cs="Times New Roman"/>
      <w:szCs w:val="24"/>
    </w:rPr>
  </w:style>
  <w:style w:type="paragraph" w:customStyle="1" w:styleId="Char2CharCharChar3">
    <w:name w:val="Char2 Char Char Char3"/>
    <w:basedOn w:val="a"/>
    <w:autoRedefine/>
    <w:uiPriority w:val="99"/>
    <w:qFormat/>
    <w:pPr>
      <w:spacing w:line="360" w:lineRule="auto"/>
      <w:ind w:firstLineChars="200" w:firstLine="200"/>
    </w:pPr>
    <w:rPr>
      <w:rFonts w:ascii="宋体" w:hAnsi="宋体" w:cs="宋体"/>
      <w:sz w:val="24"/>
      <w:szCs w:val="24"/>
    </w:rPr>
  </w:style>
  <w:style w:type="paragraph" w:customStyle="1" w:styleId="Char90">
    <w:name w:val="Char9"/>
    <w:basedOn w:val="a"/>
    <w:autoRedefine/>
    <w:uiPriority w:val="99"/>
    <w:qFormat/>
    <w:pPr>
      <w:spacing w:line="360" w:lineRule="auto"/>
      <w:ind w:firstLineChars="200" w:firstLine="200"/>
    </w:pPr>
    <w:rPr>
      <w:rFonts w:ascii="宋体" w:hAnsi="宋体" w:cs="宋体"/>
      <w:sz w:val="24"/>
      <w:szCs w:val="24"/>
    </w:rPr>
  </w:style>
  <w:style w:type="paragraph" w:customStyle="1" w:styleId="5f5">
    <w:name w:val="日期5"/>
    <w:basedOn w:val="a"/>
    <w:next w:val="a"/>
    <w:autoRedefine/>
    <w:uiPriority w:val="99"/>
    <w:qFormat/>
    <w:pPr>
      <w:adjustRightInd w:val="0"/>
      <w:textAlignment w:val="baseline"/>
    </w:pPr>
    <w:rPr>
      <w:rFonts w:cs="Times New Roman"/>
      <w:snapToGrid w:val="0"/>
      <w:sz w:val="24"/>
      <w:szCs w:val="20"/>
    </w:rPr>
  </w:style>
  <w:style w:type="character" w:customStyle="1" w:styleId="CharChar221">
    <w:name w:val="Char Char221"/>
    <w:autoRedefine/>
    <w:qFormat/>
    <w:rPr>
      <w:rFonts w:ascii="Times New Roman" w:eastAsia="宋体" w:hAnsi="Times New Roman" w:cs="Times New Roman"/>
      <w:sz w:val="24"/>
      <w:szCs w:val="20"/>
    </w:rPr>
  </w:style>
  <w:style w:type="paragraph" w:customStyle="1" w:styleId="afffffffffffffffffffffffffff0">
    <w:name w:val="样式 正文"/>
    <w:basedOn w:val="a"/>
    <w:autoRedefine/>
    <w:uiPriority w:val="99"/>
    <w:qFormat/>
    <w:pPr>
      <w:spacing w:line="360" w:lineRule="auto"/>
      <w:ind w:firstLineChars="200" w:firstLine="200"/>
    </w:pPr>
    <w:rPr>
      <w:rFonts w:ascii="宋体" w:hAnsi="宋体" w:cs="宋体"/>
      <w:color w:val="000000"/>
      <w:sz w:val="28"/>
      <w:szCs w:val="28"/>
    </w:rPr>
  </w:style>
  <w:style w:type="paragraph" w:customStyle="1" w:styleId="p19">
    <w:name w:val="p19"/>
    <w:basedOn w:val="a"/>
    <w:autoRedefine/>
    <w:uiPriority w:val="99"/>
    <w:qFormat/>
    <w:pPr>
      <w:widowControl/>
      <w:spacing w:line="440" w:lineRule="atLeast"/>
      <w:ind w:firstLine="420"/>
      <w:jc w:val="left"/>
    </w:pPr>
    <w:rPr>
      <w:rFonts w:cs="Times New Roman"/>
      <w:kern w:val="0"/>
      <w:sz w:val="18"/>
      <w:szCs w:val="18"/>
    </w:rPr>
  </w:style>
  <w:style w:type="paragraph" w:customStyle="1" w:styleId="p25">
    <w:name w:val="p25"/>
    <w:basedOn w:val="a"/>
    <w:autoRedefine/>
    <w:uiPriority w:val="99"/>
    <w:qFormat/>
    <w:pPr>
      <w:widowControl/>
    </w:pPr>
    <w:rPr>
      <w:rFonts w:cs="Times New Roman"/>
      <w:kern w:val="0"/>
      <w:sz w:val="26"/>
      <w:szCs w:val="26"/>
    </w:rPr>
  </w:style>
  <w:style w:type="paragraph" w:customStyle="1" w:styleId="p24">
    <w:name w:val="p24"/>
    <w:basedOn w:val="a"/>
    <w:uiPriority w:val="99"/>
    <w:qFormat/>
    <w:pPr>
      <w:widowControl/>
      <w:spacing w:line="440" w:lineRule="atLeast"/>
      <w:ind w:left="420" w:firstLine="420"/>
      <w:jc w:val="left"/>
    </w:pPr>
    <w:rPr>
      <w:rFonts w:cs="Times New Roman"/>
      <w:kern w:val="0"/>
      <w:sz w:val="24"/>
      <w:szCs w:val="24"/>
    </w:rPr>
  </w:style>
  <w:style w:type="paragraph" w:customStyle="1" w:styleId="p18">
    <w:name w:val="p18"/>
    <w:basedOn w:val="a"/>
    <w:autoRedefine/>
    <w:uiPriority w:val="99"/>
    <w:qFormat/>
    <w:pPr>
      <w:widowControl/>
      <w:adjustRightInd w:val="0"/>
      <w:spacing w:line="440" w:lineRule="atLeast"/>
      <w:ind w:firstLine="420"/>
      <w:jc w:val="left"/>
    </w:pPr>
    <w:rPr>
      <w:rFonts w:ascii="宋体" w:hAnsi="宋体" w:cs="宋体"/>
      <w:kern w:val="0"/>
      <w:position w:val="-32"/>
      <w:sz w:val="24"/>
      <w:szCs w:val="24"/>
    </w:rPr>
  </w:style>
  <w:style w:type="paragraph" w:customStyle="1" w:styleId="p15">
    <w:name w:val="p15"/>
    <w:basedOn w:val="a"/>
    <w:autoRedefine/>
    <w:uiPriority w:val="99"/>
    <w:qFormat/>
    <w:pPr>
      <w:widowControl/>
      <w:adjustRightInd w:val="0"/>
      <w:snapToGrid w:val="0"/>
      <w:spacing w:before="120" w:after="120"/>
    </w:pPr>
    <w:rPr>
      <w:rFonts w:ascii="宋体" w:hAnsi="宋体" w:cs="宋体"/>
      <w:b/>
      <w:bCs/>
      <w:kern w:val="0"/>
      <w:sz w:val="28"/>
      <w:szCs w:val="28"/>
    </w:rPr>
  </w:style>
  <w:style w:type="paragraph" w:customStyle="1" w:styleId="NoSpacing1">
    <w:name w:val="No Spacing1"/>
    <w:autoRedefine/>
    <w:uiPriority w:val="99"/>
    <w:qFormat/>
    <w:pPr>
      <w:widowControl w:val="0"/>
      <w:jc w:val="both"/>
    </w:pPr>
    <w:rPr>
      <w:kern w:val="2"/>
      <w:sz w:val="21"/>
      <w:szCs w:val="21"/>
    </w:rPr>
  </w:style>
  <w:style w:type="paragraph" w:customStyle="1" w:styleId="CM10">
    <w:name w:val="CM10"/>
    <w:basedOn w:val="Default"/>
    <w:next w:val="Default"/>
    <w:autoRedefine/>
    <w:uiPriority w:val="99"/>
    <w:unhideWhenUsed/>
    <w:qFormat/>
    <w:pPr>
      <w:tabs>
        <w:tab w:val="left" w:pos="280"/>
      </w:tabs>
      <w:spacing w:line="483" w:lineRule="atLeast"/>
      <w:jc w:val="left"/>
    </w:pPr>
    <w:rPr>
      <w:rFonts w:ascii="隶书" w:eastAsia="隶书" w:hAnsi="Times New Roman" w:cs="隶书"/>
      <w:kern w:val="0"/>
    </w:rPr>
  </w:style>
  <w:style w:type="paragraph" w:customStyle="1" w:styleId="afffffffffffffffffffffffffff1">
    <w:name w:val="新正文"/>
    <w:basedOn w:val="a"/>
    <w:link w:val="CharCharff"/>
    <w:autoRedefine/>
    <w:qFormat/>
    <w:pPr>
      <w:spacing w:line="500" w:lineRule="exact"/>
      <w:ind w:firstLine="482"/>
    </w:pPr>
    <w:rPr>
      <w:rFonts w:ascii="仿宋_GB2312" w:eastAsia="仿宋_GB2312" w:cs="Times New Roman"/>
      <w:bCs/>
      <w:kern w:val="0"/>
      <w:sz w:val="28"/>
      <w:szCs w:val="20"/>
    </w:rPr>
  </w:style>
  <w:style w:type="character" w:customStyle="1" w:styleId="CharCharff">
    <w:name w:val="新正文 Char Char"/>
    <w:link w:val="afffffffffffffffffffffffffff1"/>
    <w:autoRedefine/>
    <w:qFormat/>
    <w:rPr>
      <w:rFonts w:ascii="仿宋_GB2312" w:eastAsia="仿宋_GB2312"/>
      <w:bCs/>
      <w:sz w:val="28"/>
    </w:rPr>
  </w:style>
  <w:style w:type="paragraph" w:customStyle="1" w:styleId="p23">
    <w:name w:val="p23"/>
    <w:basedOn w:val="a"/>
    <w:autoRedefine/>
    <w:uiPriority w:val="99"/>
    <w:qFormat/>
    <w:pPr>
      <w:widowControl/>
      <w:snapToGrid w:val="0"/>
      <w:spacing w:line="440" w:lineRule="atLeast"/>
      <w:ind w:firstLine="420"/>
      <w:jc w:val="left"/>
    </w:pPr>
    <w:rPr>
      <w:rFonts w:ascii="Calibri" w:hAnsi="Calibri" w:cs="宋体"/>
      <w:kern w:val="0"/>
      <w:sz w:val="18"/>
      <w:szCs w:val="18"/>
    </w:rPr>
  </w:style>
  <w:style w:type="paragraph" w:customStyle="1" w:styleId="p21">
    <w:name w:val="p21"/>
    <w:basedOn w:val="a"/>
    <w:uiPriority w:val="99"/>
    <w:qFormat/>
    <w:pPr>
      <w:widowControl/>
      <w:jc w:val="center"/>
    </w:pPr>
    <w:rPr>
      <w:rFonts w:ascii="Calibri" w:hAnsi="Calibri" w:cs="宋体"/>
      <w:kern w:val="0"/>
      <w:sz w:val="20"/>
      <w:szCs w:val="20"/>
    </w:rPr>
  </w:style>
  <w:style w:type="paragraph" w:customStyle="1" w:styleId="p17">
    <w:name w:val="p17"/>
    <w:basedOn w:val="a"/>
    <w:uiPriority w:val="99"/>
    <w:qFormat/>
    <w:pPr>
      <w:widowControl/>
      <w:spacing w:line="240" w:lineRule="atLeast"/>
      <w:jc w:val="center"/>
    </w:pPr>
    <w:rPr>
      <w:rFonts w:ascii="Calibri" w:hAnsi="Calibri" w:cs="宋体"/>
      <w:kern w:val="0"/>
      <w:sz w:val="18"/>
      <w:szCs w:val="18"/>
    </w:rPr>
  </w:style>
  <w:style w:type="paragraph" w:customStyle="1" w:styleId="p22">
    <w:name w:val="p22"/>
    <w:basedOn w:val="a"/>
    <w:autoRedefine/>
    <w:uiPriority w:val="99"/>
    <w:qFormat/>
    <w:pPr>
      <w:widowControl/>
      <w:jc w:val="left"/>
    </w:pPr>
    <w:rPr>
      <w:rFonts w:ascii="宋体" w:hAnsi="宋体" w:cs="宋体"/>
      <w:kern w:val="0"/>
      <w:sz w:val="24"/>
      <w:szCs w:val="24"/>
    </w:rPr>
  </w:style>
  <w:style w:type="paragraph" w:customStyle="1" w:styleId="CM14">
    <w:name w:val="CM14"/>
    <w:basedOn w:val="Default"/>
    <w:next w:val="Default"/>
    <w:uiPriority w:val="99"/>
    <w:unhideWhenUsed/>
    <w:qFormat/>
    <w:pPr>
      <w:spacing w:line="473" w:lineRule="atLeast"/>
      <w:jc w:val="left"/>
    </w:pPr>
    <w:rPr>
      <w:rFonts w:ascii="隶书" w:eastAsia="隶书" w:hAnsi="Times New Roman" w:cs="隶书"/>
      <w:kern w:val="0"/>
    </w:rPr>
  </w:style>
  <w:style w:type="paragraph" w:customStyle="1" w:styleId="Web0">
    <w:name w:val="普通(Web)"/>
    <w:basedOn w:val="a"/>
    <w:autoRedefine/>
    <w:uiPriority w:val="99"/>
    <w:qFormat/>
    <w:pPr>
      <w:widowControl/>
      <w:spacing w:before="100" w:beforeAutospacing="1" w:after="100" w:afterAutospacing="1"/>
      <w:jc w:val="left"/>
    </w:pPr>
    <w:rPr>
      <w:rFonts w:ascii="宋体" w:hAnsi="宋体" w:cs="Times New Roman"/>
      <w:color w:val="000000"/>
      <w:kern w:val="0"/>
      <w:sz w:val="24"/>
      <w:szCs w:val="24"/>
    </w:rPr>
  </w:style>
  <w:style w:type="paragraph" w:customStyle="1" w:styleId="p20">
    <w:name w:val="p20"/>
    <w:basedOn w:val="a"/>
    <w:autoRedefine/>
    <w:uiPriority w:val="99"/>
    <w:qFormat/>
    <w:pPr>
      <w:widowControl/>
      <w:snapToGrid w:val="0"/>
      <w:jc w:val="left"/>
    </w:pPr>
    <w:rPr>
      <w:rFonts w:ascii="Courier New" w:hAnsi="Courier New" w:cs="Courier New"/>
      <w:kern w:val="0"/>
      <w:sz w:val="24"/>
      <w:szCs w:val="24"/>
    </w:rPr>
  </w:style>
  <w:style w:type="paragraph" w:customStyle="1" w:styleId="Char05">
    <w:name w:val="样式 表格文字 Char + 段前: 0.5 行"/>
    <w:basedOn w:val="a"/>
    <w:autoRedefine/>
    <w:uiPriority w:val="99"/>
    <w:qFormat/>
    <w:pPr>
      <w:spacing w:beforeLines="50"/>
      <w:jc w:val="center"/>
    </w:pPr>
    <w:rPr>
      <w:rFonts w:cs="宋体"/>
      <w:sz w:val="24"/>
      <w:szCs w:val="20"/>
    </w:rPr>
  </w:style>
  <w:style w:type="paragraph" w:customStyle="1" w:styleId="z-110">
    <w:name w:val="z-窗体顶端11"/>
    <w:basedOn w:val="a"/>
    <w:uiPriority w:val="99"/>
    <w:qFormat/>
    <w:pPr>
      <w:snapToGrid w:val="0"/>
      <w:spacing w:line="340" w:lineRule="exact"/>
      <w:jc w:val="center"/>
    </w:pPr>
    <w:rPr>
      <w:rFonts w:ascii="宋体" w:hAnsi="宋体" w:cs="Times New Roman"/>
      <w:snapToGrid w:val="0"/>
      <w:szCs w:val="21"/>
      <w:lang w:val="zh-CN"/>
    </w:rPr>
  </w:style>
  <w:style w:type="paragraph" w:customStyle="1" w:styleId="TOC11">
    <w:name w:val="TOC 标题11"/>
    <w:basedOn w:val="1"/>
    <w:next w:val="a"/>
    <w:autoRedefine/>
    <w:uiPriority w:val="99"/>
    <w:unhideWhenUsed/>
    <w:qFormat/>
    <w:pPr>
      <w:widowControl/>
      <w:numPr>
        <w:numId w:val="0"/>
      </w:numPr>
      <w:autoSpaceDE w:val="0"/>
      <w:autoSpaceDN w:val="0"/>
      <w:spacing w:line="276" w:lineRule="auto"/>
      <w:outlineLvl w:val="9"/>
    </w:pPr>
    <w:rPr>
      <w:rFonts w:ascii="Cambria" w:hAnsi="Cambria" w:cs="黑体"/>
      <w:color w:val="365F90"/>
      <w:kern w:val="0"/>
      <w:sz w:val="28"/>
      <w:szCs w:val="28"/>
    </w:rPr>
  </w:style>
  <w:style w:type="paragraph" w:customStyle="1" w:styleId="TOC2">
    <w:name w:val="TOC 标题2"/>
    <w:basedOn w:val="1"/>
    <w:next w:val="a"/>
    <w:autoRedefine/>
    <w:uiPriority w:val="99"/>
    <w:unhideWhenUsed/>
    <w:qFormat/>
    <w:pPr>
      <w:widowControl/>
      <w:numPr>
        <w:numId w:val="0"/>
      </w:numPr>
      <w:autoSpaceDE w:val="0"/>
      <w:autoSpaceDN w:val="0"/>
      <w:spacing w:line="276" w:lineRule="auto"/>
      <w:outlineLvl w:val="9"/>
    </w:pPr>
    <w:rPr>
      <w:rFonts w:ascii="Cambria" w:hAnsi="Cambria" w:cs="Times New Roman"/>
      <w:color w:val="365F91"/>
      <w:kern w:val="0"/>
      <w:sz w:val="28"/>
      <w:szCs w:val="28"/>
    </w:rPr>
  </w:style>
  <w:style w:type="character" w:customStyle="1" w:styleId="11f7">
    <w:name w:val="不明显强调11"/>
    <w:autoRedefine/>
    <w:qFormat/>
    <w:rPr>
      <w:i/>
      <w:iCs/>
      <w:color w:val="808080"/>
    </w:rPr>
  </w:style>
  <w:style w:type="character" w:customStyle="1" w:styleId="11f8">
    <w:name w:val="网格表 1 浅色1"/>
    <w:autoRedefine/>
    <w:qFormat/>
    <w:rPr>
      <w:rFonts w:ascii="黑体" w:eastAsia="黑体"/>
      <w:sz w:val="21"/>
      <w:szCs w:val="21"/>
    </w:rPr>
  </w:style>
  <w:style w:type="paragraph" w:customStyle="1" w:styleId="afffffffffffffffffffffffffff2">
    <w:name w:val="我的"/>
    <w:basedOn w:val="a"/>
    <w:link w:val="Charffffff0"/>
    <w:autoRedefine/>
    <w:qFormat/>
    <w:pPr>
      <w:snapToGrid w:val="0"/>
      <w:spacing w:line="560" w:lineRule="exact"/>
      <w:ind w:firstLineChars="200" w:firstLine="480"/>
    </w:pPr>
    <w:rPr>
      <w:rFonts w:ascii="Ti" w:hAnsi="Ti" w:cs="Times New Roman"/>
      <w:sz w:val="24"/>
      <w:szCs w:val="24"/>
    </w:rPr>
  </w:style>
  <w:style w:type="character" w:customStyle="1" w:styleId="Charffffff0">
    <w:name w:val="我的 Char"/>
    <w:link w:val="afffffffffffffffffffffffffff2"/>
    <w:autoRedefine/>
    <w:qFormat/>
    <w:rPr>
      <w:rFonts w:ascii="Ti" w:hAnsi="Ti"/>
      <w:kern w:val="2"/>
      <w:sz w:val="24"/>
      <w:szCs w:val="24"/>
    </w:rPr>
  </w:style>
  <w:style w:type="character" w:customStyle="1" w:styleId="CharChar244">
    <w:name w:val="Char Char244"/>
    <w:autoRedefine/>
    <w:qFormat/>
    <w:rPr>
      <w:rFonts w:ascii="Times New Roman" w:eastAsia="宋体" w:hAnsi="Times New Roman" w:cs="Times New Roman"/>
      <w:sz w:val="24"/>
      <w:szCs w:val="20"/>
    </w:rPr>
  </w:style>
  <w:style w:type="character" w:customStyle="1" w:styleId="CharChar85">
    <w:name w:val="Char Char85"/>
    <w:autoRedefine/>
    <w:qFormat/>
    <w:rPr>
      <w:b/>
      <w:bCs/>
      <w:kern w:val="2"/>
      <w:sz w:val="21"/>
      <w:szCs w:val="24"/>
    </w:rPr>
  </w:style>
  <w:style w:type="character" w:customStyle="1" w:styleId="CharChar235">
    <w:name w:val="Char Char235"/>
    <w:autoRedefine/>
    <w:qFormat/>
    <w:rPr>
      <w:rFonts w:ascii="Times New Roman" w:eastAsia="宋体" w:hAnsi="Times New Roman" w:cs="Times New Roman"/>
      <w:b/>
      <w:sz w:val="24"/>
      <w:szCs w:val="20"/>
    </w:rPr>
  </w:style>
  <w:style w:type="character" w:customStyle="1" w:styleId="CharCharCharCharCharCharCharCharCharChar10">
    <w:name w:val="Char Char Char Char Char Char Char Char Char Char10"/>
    <w:link w:val="CharCharCharCharCharCharCharCharChar9"/>
    <w:autoRedefine/>
    <w:qFormat/>
    <w:rPr>
      <w:kern w:val="2"/>
      <w:sz w:val="21"/>
    </w:rPr>
  </w:style>
  <w:style w:type="paragraph" w:customStyle="1" w:styleId="CharCharCharCharCharCharCharCharChar9">
    <w:name w:val="Char Char Char Char Char Char Char Char Char9"/>
    <w:basedOn w:val="a"/>
    <w:link w:val="CharCharCharCharCharCharCharCharCharChar10"/>
    <w:autoRedefine/>
    <w:qFormat/>
    <w:pPr>
      <w:widowControl/>
    </w:pPr>
    <w:rPr>
      <w:rFonts w:cs="Times New Roman"/>
      <w:szCs w:val="20"/>
    </w:rPr>
  </w:style>
  <w:style w:type="character" w:customStyle="1" w:styleId="CharChar95">
    <w:name w:val="Char Char95"/>
    <w:autoRedefine/>
    <w:semiHidden/>
    <w:qFormat/>
    <w:rPr>
      <w:kern w:val="2"/>
      <w:sz w:val="21"/>
      <w:szCs w:val="24"/>
    </w:rPr>
  </w:style>
  <w:style w:type="paragraph" w:customStyle="1" w:styleId="CharCharChar80">
    <w:name w:val="Char Char Char8"/>
    <w:basedOn w:val="a"/>
    <w:autoRedefine/>
    <w:uiPriority w:val="99"/>
    <w:qFormat/>
    <w:pPr>
      <w:widowControl/>
    </w:pPr>
    <w:rPr>
      <w:rFonts w:ascii="宋体" w:hAnsi="宋体" w:cs="宋体"/>
      <w:kern w:val="0"/>
      <w:sz w:val="24"/>
      <w:szCs w:val="24"/>
    </w:rPr>
  </w:style>
  <w:style w:type="paragraph" w:customStyle="1" w:styleId="CharCharCharCharCharCharCharCharCharCharCharCharCharCharCharCharCharChar1CharCharCharCharCharCharCharCharCharCharCharCharChar7">
    <w:name w:val="Char Char Char Char Char Char Char Char Char Char Char Char Char Char Char Char Char Char1 Char Char Char Char Char Char Char Char Char Char Char Char Char7"/>
    <w:basedOn w:val="a"/>
    <w:autoRedefine/>
    <w:uiPriority w:val="99"/>
    <w:qFormat/>
    <w:pPr>
      <w:widowControl/>
      <w:spacing w:line="360" w:lineRule="auto"/>
      <w:ind w:firstLineChars="200" w:firstLine="200"/>
    </w:pPr>
    <w:rPr>
      <w:rFonts w:ascii="宋体" w:hAnsi="宋体" w:cs="宋体"/>
      <w:kern w:val="0"/>
      <w:sz w:val="24"/>
      <w:szCs w:val="24"/>
    </w:rPr>
  </w:style>
  <w:style w:type="paragraph" w:customStyle="1" w:styleId="CharCharCharCharChar2Char7">
    <w:name w:val="Char Char Char Char Char2 Char7"/>
    <w:basedOn w:val="a"/>
    <w:autoRedefine/>
    <w:uiPriority w:val="99"/>
    <w:qFormat/>
    <w:pPr>
      <w:widowControl/>
      <w:adjustRightInd w:val="0"/>
      <w:snapToGrid w:val="0"/>
      <w:spacing w:line="360" w:lineRule="auto"/>
      <w:ind w:firstLineChars="200" w:firstLine="200"/>
    </w:pPr>
    <w:rPr>
      <w:rFonts w:ascii="宋体" w:hAnsi="宋体" w:cs="宋体"/>
      <w:kern w:val="0"/>
      <w:sz w:val="28"/>
      <w:szCs w:val="20"/>
    </w:rPr>
  </w:style>
  <w:style w:type="paragraph" w:customStyle="1" w:styleId="CharCharCharCharCharCharCharCharCharCharCharCharChar5">
    <w:name w:val="Char Char Char Char Char Char Char Char Char Char Char Char Char5"/>
    <w:basedOn w:val="a"/>
    <w:autoRedefine/>
    <w:uiPriority w:val="99"/>
    <w:qFormat/>
    <w:pPr>
      <w:widowControl/>
    </w:pPr>
    <w:rPr>
      <w:rFonts w:ascii="宋体" w:hAnsi="宋体" w:cs="宋体"/>
      <w:kern w:val="0"/>
      <w:sz w:val="24"/>
      <w:szCs w:val="24"/>
    </w:rPr>
  </w:style>
  <w:style w:type="paragraph" w:customStyle="1" w:styleId="CharCharChar1CharCharChar1CharCharChar7">
    <w:name w:val="Char Char Char1 Char Char Char1 Char Char Char7"/>
    <w:basedOn w:val="a"/>
    <w:uiPriority w:val="99"/>
    <w:qFormat/>
    <w:pPr>
      <w:widowControl/>
    </w:pPr>
    <w:rPr>
      <w:rFonts w:ascii="宋体" w:hAnsi="宋体" w:cs="宋体"/>
      <w:kern w:val="0"/>
      <w:sz w:val="24"/>
      <w:szCs w:val="21"/>
    </w:rPr>
  </w:style>
  <w:style w:type="paragraph" w:customStyle="1" w:styleId="Char260">
    <w:name w:val="Char26"/>
    <w:basedOn w:val="a"/>
    <w:autoRedefine/>
    <w:uiPriority w:val="99"/>
    <w:qFormat/>
    <w:pPr>
      <w:widowControl/>
    </w:pPr>
    <w:rPr>
      <w:rFonts w:ascii="宋体" w:hAnsi="宋体" w:cs="宋体"/>
      <w:kern w:val="0"/>
      <w:sz w:val="24"/>
      <w:szCs w:val="24"/>
    </w:rPr>
  </w:style>
  <w:style w:type="paragraph" w:customStyle="1" w:styleId="CharCharCharCharCharCharCharCharCharCharCharCharCharCharCharCharCharCharCharCharCharCharCharCharCharCharChar5">
    <w:name w:val="Char Char Char Char Char Char Char Char Char Char Char Char Char Char Char Char Char Char Char Char Char Char Char Char Char Char Char5"/>
    <w:basedOn w:val="a"/>
    <w:autoRedefine/>
    <w:uiPriority w:val="99"/>
    <w:qFormat/>
    <w:pPr>
      <w:widowControl/>
    </w:pPr>
    <w:rPr>
      <w:rFonts w:ascii="宋体" w:hAnsi="宋体" w:cs="宋体"/>
      <w:kern w:val="0"/>
      <w:sz w:val="24"/>
      <w:szCs w:val="24"/>
    </w:rPr>
  </w:style>
  <w:style w:type="paragraph" w:customStyle="1" w:styleId="Char1CharCharChar1CharCharCharCharCharCharCharCharCharCharCharCharCharCharChar7">
    <w:name w:val="Char1 Char Char Char1 Char Char Char Char Char Char Char Char Char Char Char Char Char Char Char7"/>
    <w:basedOn w:val="a"/>
    <w:autoRedefine/>
    <w:uiPriority w:val="99"/>
    <w:qFormat/>
    <w:pPr>
      <w:widowControl/>
      <w:spacing w:after="160"/>
      <w:jc w:val="left"/>
    </w:pPr>
    <w:rPr>
      <w:rFonts w:ascii="Verdana" w:eastAsia="仿宋_GB2312" w:hAnsi="Verdana" w:cs="”“Times New Roman”“"/>
      <w:kern w:val="0"/>
      <w:sz w:val="28"/>
      <w:szCs w:val="28"/>
      <w:lang w:eastAsia="en-US"/>
    </w:rPr>
  </w:style>
  <w:style w:type="paragraph" w:customStyle="1" w:styleId="CharCharCharChar100">
    <w:name w:val="Char Char Char Char10"/>
    <w:basedOn w:val="a"/>
    <w:next w:val="a"/>
    <w:link w:val="CharCharCharCharChar5"/>
    <w:autoRedefine/>
    <w:qFormat/>
    <w:pPr>
      <w:widowControl/>
      <w:spacing w:line="360" w:lineRule="auto"/>
      <w:ind w:firstLineChars="200" w:firstLine="200"/>
    </w:pPr>
    <w:rPr>
      <w:rFonts w:ascii="宋体" w:hAnsi="宋体" w:cs="Times New Roman"/>
      <w:sz w:val="24"/>
      <w:szCs w:val="24"/>
    </w:rPr>
  </w:style>
  <w:style w:type="character" w:customStyle="1" w:styleId="CharCharCharCharChar5">
    <w:name w:val="Char Char Char Char Char5"/>
    <w:link w:val="CharCharCharChar100"/>
    <w:autoRedefine/>
    <w:qFormat/>
    <w:rPr>
      <w:rFonts w:ascii="宋体" w:hAnsi="宋体"/>
      <w:kern w:val="2"/>
      <w:sz w:val="24"/>
      <w:szCs w:val="24"/>
    </w:rPr>
  </w:style>
  <w:style w:type="paragraph" w:customStyle="1" w:styleId="5f6">
    <w:name w:val="纯文本5"/>
    <w:basedOn w:val="a"/>
    <w:autoRedefine/>
    <w:uiPriority w:val="99"/>
    <w:qFormat/>
    <w:pPr>
      <w:widowControl/>
      <w:adjustRightInd w:val="0"/>
      <w:textAlignment w:val="baseline"/>
    </w:pPr>
    <w:rPr>
      <w:rFonts w:ascii="宋体" w:hAnsi="宋体" w:cs="宋体"/>
      <w:kern w:val="0"/>
      <w:sz w:val="24"/>
      <w:szCs w:val="20"/>
    </w:rPr>
  </w:style>
  <w:style w:type="paragraph" w:customStyle="1" w:styleId="CharCharCharCharCharChar7">
    <w:name w:val="Char Char Char Char Char Char7"/>
    <w:basedOn w:val="a"/>
    <w:autoRedefine/>
    <w:uiPriority w:val="99"/>
    <w:qFormat/>
    <w:pPr>
      <w:widowControl/>
    </w:pPr>
    <w:rPr>
      <w:rFonts w:ascii="宋体" w:hAnsi="宋体" w:cs="宋体"/>
      <w:kern w:val="0"/>
      <w:sz w:val="24"/>
      <w:szCs w:val="24"/>
    </w:rPr>
  </w:style>
  <w:style w:type="paragraph" w:customStyle="1" w:styleId="105">
    <w:name w:val="正文10"/>
    <w:autoRedefine/>
    <w:uiPriority w:val="99"/>
    <w:qFormat/>
    <w:pPr>
      <w:widowControl w:val="0"/>
      <w:adjustRightInd w:val="0"/>
      <w:spacing w:line="360" w:lineRule="atLeast"/>
      <w:jc w:val="center"/>
      <w:textAlignment w:val="baseline"/>
    </w:pPr>
    <w:rPr>
      <w:rFonts w:ascii="宋体"/>
      <w:sz w:val="34"/>
    </w:rPr>
  </w:style>
  <w:style w:type="paragraph" w:customStyle="1" w:styleId="Char4CharCharCharCharCharChar16">
    <w:name w:val="Char4 Char Char Char Char Char Char16"/>
    <w:basedOn w:val="a"/>
    <w:autoRedefine/>
    <w:uiPriority w:val="99"/>
    <w:qFormat/>
    <w:pPr>
      <w:widowControl/>
      <w:spacing w:line="360" w:lineRule="auto"/>
      <w:ind w:firstLineChars="200" w:firstLine="200"/>
    </w:pPr>
    <w:rPr>
      <w:rFonts w:ascii="宋体" w:hAnsi="宋体" w:cs="宋体"/>
      <w:kern w:val="0"/>
      <w:sz w:val="24"/>
      <w:szCs w:val="24"/>
    </w:rPr>
  </w:style>
  <w:style w:type="paragraph" w:customStyle="1" w:styleId="251">
    <w:name w:val="正文缩进 2字符5"/>
    <w:basedOn w:val="a"/>
    <w:autoRedefine/>
    <w:uiPriority w:val="99"/>
    <w:qFormat/>
    <w:pPr>
      <w:widowControl/>
      <w:tabs>
        <w:tab w:val="left" w:pos="2160"/>
      </w:tabs>
      <w:snapToGrid w:val="0"/>
      <w:spacing w:before="120" w:after="120"/>
      <w:ind w:firstLineChars="200" w:firstLine="480"/>
    </w:pPr>
    <w:rPr>
      <w:rFonts w:ascii="宋体" w:eastAsia="仿宋_GB2312" w:hAnsi="宋体" w:cs="宋体"/>
      <w:color w:val="000000"/>
      <w:kern w:val="0"/>
      <w:sz w:val="24"/>
      <w:szCs w:val="21"/>
    </w:rPr>
  </w:style>
  <w:style w:type="paragraph" w:customStyle="1" w:styleId="Char1CharCharCharCharCharChar2CharCharCharCharCharCharCharCharCharCharCharCharCharCharCharCharCharChar4">
    <w:name w:val="Char1 Char Char Char Char Char Char2 Char Char Char Char Char Char Char Char Char Char Char Char Char Char Char Char Char Char4"/>
    <w:basedOn w:val="a"/>
    <w:autoRedefine/>
    <w:uiPriority w:val="99"/>
    <w:qFormat/>
    <w:pPr>
      <w:widowControl/>
    </w:pPr>
    <w:rPr>
      <w:rFonts w:ascii="宋体" w:hAnsi="宋体" w:cs="宋体"/>
      <w:kern w:val="0"/>
      <w:sz w:val="24"/>
      <w:szCs w:val="24"/>
    </w:rPr>
  </w:style>
  <w:style w:type="paragraph" w:customStyle="1" w:styleId="Char4CharCharChar6">
    <w:name w:val="Char4 Char Char Char6"/>
    <w:basedOn w:val="a"/>
    <w:uiPriority w:val="99"/>
    <w:semiHidden/>
    <w:qFormat/>
    <w:pPr>
      <w:widowControl/>
      <w:adjustRightInd w:val="0"/>
      <w:snapToGrid w:val="0"/>
      <w:spacing w:line="360" w:lineRule="auto"/>
      <w:ind w:firstLineChars="200" w:firstLine="200"/>
    </w:pPr>
    <w:rPr>
      <w:rFonts w:ascii="宋体" w:hAnsi="宋体" w:cs="宋体"/>
      <w:kern w:val="0"/>
      <w:sz w:val="24"/>
      <w:szCs w:val="26"/>
    </w:rPr>
  </w:style>
  <w:style w:type="paragraph" w:customStyle="1" w:styleId="Char4CharCharCharCharCharCharCharCharCharCharCharCharCharCharCharCharChar1Char5">
    <w:name w:val="Char4 Char Char Char Char Char Char Char Char Char Char Char Char Char Char Char Char Char1 Char5"/>
    <w:basedOn w:val="a"/>
    <w:autoRedefine/>
    <w:uiPriority w:val="99"/>
    <w:qFormat/>
    <w:pPr>
      <w:widowControl/>
      <w:spacing w:line="240" w:lineRule="exact"/>
      <w:ind w:firstLineChars="200" w:firstLine="200"/>
    </w:pPr>
    <w:rPr>
      <w:rFonts w:ascii="宋体" w:hAnsi="宋体" w:cs="宋体"/>
      <w:kern w:val="0"/>
      <w:sz w:val="28"/>
      <w:szCs w:val="28"/>
    </w:rPr>
  </w:style>
  <w:style w:type="paragraph" w:customStyle="1" w:styleId="CharCharCharCharCharCharChar7">
    <w:name w:val="Char Char Char Char Char Char Char7"/>
    <w:basedOn w:val="a"/>
    <w:autoRedefine/>
    <w:uiPriority w:val="99"/>
    <w:qFormat/>
    <w:pPr>
      <w:widowControl/>
    </w:pPr>
    <w:rPr>
      <w:rFonts w:ascii="宋体" w:hAnsi="宋体" w:cs="宋体"/>
      <w:kern w:val="0"/>
      <w:sz w:val="24"/>
      <w:szCs w:val="24"/>
    </w:rPr>
  </w:style>
  <w:style w:type="paragraph" w:customStyle="1" w:styleId="Char2CharCharChar6">
    <w:name w:val="Char2 Char Char Char6"/>
    <w:basedOn w:val="a"/>
    <w:autoRedefine/>
    <w:uiPriority w:val="99"/>
    <w:qFormat/>
    <w:pPr>
      <w:widowControl/>
      <w:spacing w:line="360" w:lineRule="auto"/>
      <w:ind w:firstLineChars="200" w:firstLine="200"/>
    </w:pPr>
    <w:rPr>
      <w:rFonts w:ascii="宋体" w:hAnsi="宋体" w:cs="宋体"/>
      <w:kern w:val="0"/>
      <w:sz w:val="24"/>
      <w:szCs w:val="24"/>
    </w:rPr>
  </w:style>
  <w:style w:type="paragraph" w:customStyle="1" w:styleId="Char160">
    <w:name w:val="Char16"/>
    <w:basedOn w:val="a"/>
    <w:autoRedefine/>
    <w:uiPriority w:val="99"/>
    <w:qFormat/>
    <w:pPr>
      <w:widowControl/>
      <w:spacing w:line="360" w:lineRule="auto"/>
      <w:ind w:firstLineChars="200" w:firstLine="200"/>
    </w:pPr>
    <w:rPr>
      <w:rFonts w:ascii="宋体" w:hAnsi="宋体" w:cs="宋体"/>
      <w:kern w:val="0"/>
      <w:sz w:val="24"/>
      <w:szCs w:val="24"/>
    </w:rPr>
  </w:style>
  <w:style w:type="paragraph" w:customStyle="1" w:styleId="6f0">
    <w:name w:val="日期6"/>
    <w:basedOn w:val="a"/>
    <w:next w:val="a"/>
    <w:autoRedefine/>
    <w:uiPriority w:val="99"/>
    <w:qFormat/>
    <w:pPr>
      <w:widowControl/>
      <w:adjustRightInd w:val="0"/>
      <w:textAlignment w:val="baseline"/>
    </w:pPr>
    <w:rPr>
      <w:rFonts w:ascii="宋体" w:hAnsi="宋体" w:cs="宋体"/>
      <w:snapToGrid w:val="0"/>
      <w:kern w:val="0"/>
      <w:sz w:val="24"/>
      <w:szCs w:val="20"/>
    </w:rPr>
  </w:style>
  <w:style w:type="character" w:customStyle="1" w:styleId="CharChar224">
    <w:name w:val="Char Char224"/>
    <w:qFormat/>
    <w:rPr>
      <w:rFonts w:ascii="Times New Roman" w:eastAsia="宋体" w:hAnsi="Times New Roman" w:cs="Times New Roman"/>
      <w:sz w:val="24"/>
      <w:szCs w:val="20"/>
    </w:rPr>
  </w:style>
  <w:style w:type="paragraph" w:customStyle="1" w:styleId="CharChar6CharChar1CharCharCharChar3">
    <w:name w:val="Char Char6 Char Char1 Char Char Char Char3"/>
    <w:basedOn w:val="a"/>
    <w:autoRedefine/>
    <w:uiPriority w:val="99"/>
    <w:semiHidden/>
    <w:qFormat/>
    <w:pPr>
      <w:adjustRightInd w:val="0"/>
      <w:snapToGrid w:val="0"/>
      <w:spacing w:line="360" w:lineRule="auto"/>
      <w:ind w:firstLineChars="200" w:firstLine="200"/>
    </w:pPr>
    <w:rPr>
      <w:rFonts w:cs="Times New Roman"/>
      <w:sz w:val="24"/>
      <w:szCs w:val="24"/>
    </w:rPr>
  </w:style>
  <w:style w:type="character" w:customStyle="1" w:styleId="CharChar184">
    <w:name w:val="Char Char184"/>
    <w:autoRedefine/>
    <w:qFormat/>
    <w:locked/>
    <w:rPr>
      <w:rFonts w:cs="Times New Roman"/>
      <w:sz w:val="18"/>
      <w:szCs w:val="18"/>
    </w:rPr>
  </w:style>
  <w:style w:type="character" w:customStyle="1" w:styleId="CharChar35">
    <w:name w:val="Char Char35"/>
    <w:autoRedefine/>
    <w:qFormat/>
    <w:rPr>
      <w:rFonts w:ascii="宋体" w:eastAsia="仿宋_GB2312" w:hAnsi="宋体" w:cs="宋体"/>
      <w:kern w:val="2"/>
      <w:sz w:val="18"/>
      <w:szCs w:val="18"/>
      <w:lang w:val="en-US" w:eastAsia="zh-CN" w:bidi="ar-SA"/>
    </w:rPr>
  </w:style>
  <w:style w:type="character" w:customStyle="1" w:styleId="CharChar29">
    <w:name w:val="Char Char29"/>
    <w:autoRedefine/>
    <w:qFormat/>
    <w:rPr>
      <w:rFonts w:eastAsia="宋体"/>
      <w:kern w:val="2"/>
      <w:sz w:val="24"/>
      <w:lang w:val="en-US" w:eastAsia="zh-CN" w:bidi="ar-SA"/>
    </w:rPr>
  </w:style>
  <w:style w:type="character" w:customStyle="1" w:styleId="CharChar106">
    <w:name w:val="Char Char106"/>
    <w:autoRedefine/>
    <w:qFormat/>
    <w:locked/>
    <w:rPr>
      <w:rFonts w:ascii="Arial" w:hAnsi="Arial" w:cs="Arial"/>
      <w:b/>
      <w:bCs/>
      <w:sz w:val="32"/>
      <w:szCs w:val="32"/>
    </w:rPr>
  </w:style>
  <w:style w:type="character" w:customStyle="1" w:styleId="CharChar124">
    <w:name w:val="Char Char124"/>
    <w:autoRedefine/>
    <w:qFormat/>
    <w:locked/>
    <w:rPr>
      <w:rFonts w:ascii="Times New Roman" w:hAnsi="Times New Roman" w:cs="Times New Roman"/>
      <w:sz w:val="24"/>
    </w:rPr>
  </w:style>
  <w:style w:type="character" w:customStyle="1" w:styleId="CharChar45">
    <w:name w:val="Char Char45"/>
    <w:autoRedefine/>
    <w:qFormat/>
    <w:rPr>
      <w:rFonts w:ascii="宋体" w:eastAsia="楷体_GB2312" w:hAnsi="Courier New"/>
      <w:kern w:val="2"/>
      <w:sz w:val="28"/>
      <w:lang w:val="en-US" w:eastAsia="zh-CN" w:bidi="ar-SA"/>
    </w:rPr>
  </w:style>
  <w:style w:type="character" w:customStyle="1" w:styleId="CharChar134">
    <w:name w:val="Char Char134"/>
    <w:autoRedefine/>
    <w:qFormat/>
    <w:locked/>
    <w:rPr>
      <w:rFonts w:ascii="宋体" w:hAnsi="Times New Roman" w:cs="Times New Roman"/>
      <w:kern w:val="0"/>
      <w:sz w:val="20"/>
      <w:szCs w:val="20"/>
    </w:rPr>
  </w:style>
  <w:style w:type="paragraph" w:customStyle="1" w:styleId="CharCharCharCharCharChar1CharCharChar1Char3">
    <w:name w:val="Char Char Char Char Char Char1 Char Char Char1 Char3"/>
    <w:basedOn w:val="a"/>
    <w:autoRedefine/>
    <w:uiPriority w:val="99"/>
    <w:qFormat/>
    <w:rPr>
      <w:rFonts w:cs="Times New Roman"/>
      <w:sz w:val="24"/>
      <w:szCs w:val="24"/>
    </w:rPr>
  </w:style>
  <w:style w:type="paragraph" w:customStyle="1" w:styleId="Char1CharCharCharCharCharChar6">
    <w:name w:val="Char1 Char Char Char Char Char Char6"/>
    <w:basedOn w:val="a"/>
    <w:autoRedefine/>
    <w:uiPriority w:val="99"/>
    <w:qFormat/>
    <w:rPr>
      <w:rFonts w:cs="Times New Roman"/>
      <w:szCs w:val="24"/>
    </w:rPr>
  </w:style>
  <w:style w:type="paragraph" w:customStyle="1" w:styleId="Char3CharCharCharCharChar1Char3">
    <w:name w:val="Char3 Char Char Char Char Char1 Char3"/>
    <w:basedOn w:val="a"/>
    <w:uiPriority w:val="99"/>
    <w:qFormat/>
    <w:pPr>
      <w:spacing w:line="360" w:lineRule="auto"/>
      <w:ind w:firstLineChars="200" w:firstLine="200"/>
    </w:pPr>
    <w:rPr>
      <w:rFonts w:ascii="宋体" w:hAnsi="宋体" w:cs="宋体"/>
      <w:sz w:val="24"/>
      <w:szCs w:val="24"/>
    </w:rPr>
  </w:style>
  <w:style w:type="paragraph" w:customStyle="1" w:styleId="CharCharCharCharCharCharCharCharChar1CharCharCharChar4">
    <w:name w:val="Char Char Char Char Char Char Char Char Char1 Char Char Char Char4"/>
    <w:basedOn w:val="a"/>
    <w:autoRedefine/>
    <w:uiPriority w:val="99"/>
    <w:qFormat/>
    <w:rPr>
      <w:rFonts w:cs="Times New Roman"/>
      <w:sz w:val="24"/>
      <w:szCs w:val="24"/>
    </w:rPr>
  </w:style>
  <w:style w:type="paragraph" w:customStyle="1" w:styleId="CharChar130">
    <w:name w:val="字元 字元 Char Char 字元 字元13"/>
    <w:basedOn w:val="a"/>
    <w:autoRedefine/>
    <w:uiPriority w:val="99"/>
    <w:qFormat/>
    <w:rPr>
      <w:rFonts w:cs="Times New Roman"/>
      <w:sz w:val="24"/>
      <w:szCs w:val="24"/>
    </w:rPr>
  </w:style>
  <w:style w:type="paragraph" w:customStyle="1" w:styleId="Char150">
    <w:name w:val="Char15"/>
    <w:basedOn w:val="a"/>
    <w:uiPriority w:val="99"/>
    <w:qFormat/>
    <w:rPr>
      <w:rFonts w:cs="Times New Roman"/>
      <w:sz w:val="24"/>
      <w:szCs w:val="24"/>
    </w:rPr>
  </w:style>
  <w:style w:type="paragraph" w:customStyle="1" w:styleId="CharCharCharCharCharCharCharCharCharCharCharCharCharCharCharChar3">
    <w:name w:val="Char Char Char Char Char Char Char Char Char Char Char Char Char Char Char Char3"/>
    <w:basedOn w:val="a"/>
    <w:autoRedefine/>
    <w:uiPriority w:val="99"/>
    <w:qFormat/>
    <w:pPr>
      <w:spacing w:line="360" w:lineRule="auto"/>
      <w:ind w:firstLineChars="200" w:firstLine="200"/>
    </w:pPr>
    <w:rPr>
      <w:rFonts w:ascii="宋体" w:hAnsi="宋体" w:cs="宋体"/>
      <w:sz w:val="24"/>
      <w:szCs w:val="24"/>
    </w:rPr>
  </w:style>
  <w:style w:type="paragraph" w:customStyle="1" w:styleId="5f7">
    <w:name w:val="正文文本5"/>
    <w:basedOn w:val="105"/>
    <w:autoRedefine/>
    <w:uiPriority w:val="99"/>
    <w:qFormat/>
    <w:pPr>
      <w:adjustRightInd/>
      <w:spacing w:after="120" w:line="240" w:lineRule="auto"/>
      <w:jc w:val="both"/>
      <w:textAlignment w:val="auto"/>
    </w:pPr>
    <w:rPr>
      <w:rFonts w:ascii="Times New Roman" w:eastAsia="Times New Roman" w:cs="宋体"/>
      <w:sz w:val="28"/>
      <w:lang w:eastAsia="en-US"/>
    </w:rPr>
  </w:style>
  <w:style w:type="paragraph" w:customStyle="1" w:styleId="CharCharCharChar1CharCharChar5">
    <w:name w:val="Char Char Char Char1 Char Char Char5"/>
    <w:basedOn w:val="a"/>
    <w:uiPriority w:val="99"/>
    <w:qFormat/>
    <w:rPr>
      <w:rFonts w:cs="Times New Roman"/>
      <w:sz w:val="24"/>
      <w:szCs w:val="24"/>
    </w:rPr>
  </w:style>
  <w:style w:type="paragraph" w:customStyle="1" w:styleId="4ff">
    <w:name w:val="正文文本缩进4"/>
    <w:basedOn w:val="a"/>
    <w:autoRedefine/>
    <w:uiPriority w:val="99"/>
    <w:qFormat/>
    <w:pPr>
      <w:widowControl/>
      <w:jc w:val="left"/>
    </w:pPr>
    <w:rPr>
      <w:rFonts w:eastAsia="仿宋_GB2312" w:cs="Times New Roman"/>
      <w:kern w:val="0"/>
      <w:szCs w:val="21"/>
    </w:rPr>
  </w:style>
  <w:style w:type="paragraph" w:customStyle="1" w:styleId="CharCharCharCharCharChar1CharCharCharCharCharCharCharCharCharChar3">
    <w:name w:val="Char Char Char Char Char Char1 Char Char Char Char Char Char Char Char Char Char3"/>
    <w:basedOn w:val="a"/>
    <w:autoRedefine/>
    <w:uiPriority w:val="99"/>
    <w:qFormat/>
    <w:pPr>
      <w:spacing w:line="360" w:lineRule="auto"/>
      <w:ind w:firstLineChars="200" w:firstLine="200"/>
    </w:pPr>
    <w:rPr>
      <w:rFonts w:cs="Times New Roman"/>
      <w:szCs w:val="20"/>
    </w:rPr>
  </w:style>
  <w:style w:type="paragraph" w:customStyle="1" w:styleId="3fff">
    <w:name w:val="批注框文本3"/>
    <w:basedOn w:val="a"/>
    <w:autoRedefine/>
    <w:uiPriority w:val="99"/>
    <w:qFormat/>
    <w:rPr>
      <w:rFonts w:cs="Times New Roman"/>
      <w:sz w:val="18"/>
      <w:szCs w:val="18"/>
    </w:rPr>
  </w:style>
  <w:style w:type="paragraph" w:customStyle="1" w:styleId="CharCharCharCharCharChar1CharCharChar1CharCharCharCharCharCharCharCharChar3">
    <w:name w:val="Char Char Char Char Char Char1 Char Char Char1 Char Char Char Char Char Char Char Char Char3"/>
    <w:basedOn w:val="a"/>
    <w:uiPriority w:val="99"/>
    <w:qFormat/>
    <w:pPr>
      <w:spacing w:line="360" w:lineRule="auto"/>
      <w:ind w:firstLineChars="200" w:firstLine="200"/>
    </w:pPr>
    <w:rPr>
      <w:rFonts w:ascii="宋体" w:hAnsi="宋体" w:cs="宋体"/>
      <w:sz w:val="24"/>
      <w:szCs w:val="24"/>
    </w:rPr>
  </w:style>
  <w:style w:type="paragraph" w:customStyle="1" w:styleId="4ff0">
    <w:name w:val="列出段落4"/>
    <w:basedOn w:val="105"/>
    <w:autoRedefine/>
    <w:uiPriority w:val="99"/>
    <w:qFormat/>
    <w:pPr>
      <w:adjustRightInd/>
      <w:spacing w:line="240" w:lineRule="auto"/>
      <w:ind w:firstLine="420"/>
      <w:jc w:val="both"/>
      <w:textAlignment w:val="auto"/>
    </w:pPr>
    <w:rPr>
      <w:rFonts w:ascii="Calibri" w:eastAsia="Calibri" w:hAnsi="Calibri" w:cs="宋体"/>
      <w:sz w:val="21"/>
      <w:lang w:eastAsia="en-US"/>
    </w:rPr>
  </w:style>
  <w:style w:type="paragraph" w:customStyle="1" w:styleId="CharCharCharCharCharCharCharCharCharCharCharCharCharCharChar5">
    <w:name w:val="Char Char Char Char Char Char Char Char Char Char Char Char Char Char Char5"/>
    <w:basedOn w:val="a"/>
    <w:autoRedefine/>
    <w:uiPriority w:val="99"/>
    <w:qFormat/>
    <w:pPr>
      <w:snapToGrid w:val="0"/>
      <w:spacing w:line="440" w:lineRule="exact"/>
      <w:ind w:firstLineChars="200" w:firstLine="200"/>
    </w:pPr>
    <w:rPr>
      <w:rFonts w:cs="Times New Roman"/>
      <w:szCs w:val="24"/>
    </w:rPr>
  </w:style>
  <w:style w:type="character" w:customStyle="1" w:styleId="NormalCharacter">
    <w:name w:val="NormalCharacter"/>
    <w:autoRedefine/>
    <w:qFormat/>
  </w:style>
  <w:style w:type="paragraph" w:customStyle="1" w:styleId="416">
    <w:name w:val="正文41"/>
    <w:basedOn w:val="a"/>
    <w:uiPriority w:val="99"/>
    <w:qFormat/>
    <w:pPr>
      <w:autoSpaceDE w:val="0"/>
      <w:autoSpaceDN w:val="0"/>
      <w:spacing w:after="160" w:line="440" w:lineRule="exact"/>
      <w:ind w:left="567" w:hanging="567"/>
      <w:textAlignment w:val="bottom"/>
    </w:pPr>
    <w:rPr>
      <w:rFonts w:cs="Times New Roman"/>
      <w:sz w:val="28"/>
      <w:szCs w:val="20"/>
    </w:rPr>
  </w:style>
  <w:style w:type="paragraph" w:customStyle="1" w:styleId="msonormalcxspmiddle">
    <w:name w:val="msonormalcxspmiddle"/>
    <w:basedOn w:val="a"/>
    <w:uiPriority w:val="99"/>
    <w:qFormat/>
    <w:pPr>
      <w:widowControl/>
      <w:spacing w:before="100" w:beforeAutospacing="1" w:after="100" w:afterAutospacing="1"/>
      <w:jc w:val="left"/>
    </w:pPr>
    <w:rPr>
      <w:rFonts w:ascii="宋体" w:hAnsi="宋体" w:cs="宋体"/>
      <w:kern w:val="0"/>
      <w:sz w:val="24"/>
      <w:szCs w:val="24"/>
    </w:rPr>
  </w:style>
  <w:style w:type="character" w:styleId="afffffffffffffffffffffffffff3">
    <w:name w:val="Placeholder Text"/>
    <w:basedOn w:val="a0"/>
    <w:autoRedefine/>
    <w:uiPriority w:val="99"/>
    <w:qFormat/>
    <w:rPr>
      <w:color w:val="808080"/>
    </w:rPr>
  </w:style>
  <w:style w:type="character" w:customStyle="1" w:styleId="Char1f7">
    <w:name w:val="正文缩进 Char1"/>
    <w:basedOn w:val="a0"/>
    <w:qFormat/>
    <w:rPr>
      <w:rFonts w:ascii="宋体" w:eastAsia="宋体" w:hAnsi="宋体" w:cs="宋体" w:hint="eastAsia"/>
      <w:kern w:val="2"/>
      <w:sz w:val="21"/>
      <w:szCs w:val="21"/>
    </w:rPr>
  </w:style>
  <w:style w:type="paragraph" w:customStyle="1" w:styleId="133">
    <w:name w:val="标题13"/>
    <w:basedOn w:val="15"/>
    <w:autoRedefine/>
    <w:uiPriority w:val="99"/>
    <w:qFormat/>
    <w:pPr>
      <w:tabs>
        <w:tab w:val="right" w:leader="dot" w:pos="9016"/>
      </w:tabs>
      <w:overflowPunct w:val="0"/>
      <w:topLinePunct/>
      <w:spacing w:before="120" w:after="120" w:line="324" w:lineRule="auto"/>
      <w:jc w:val="center"/>
      <w:outlineLvl w:val="0"/>
    </w:pPr>
    <w:rPr>
      <w:rFonts w:ascii="宋体" w:hAnsi="宋体" w:cs="Times New Roman"/>
      <w:caps/>
      <w:sz w:val="32"/>
      <w:szCs w:val="20"/>
    </w:rPr>
  </w:style>
  <w:style w:type="paragraph" w:customStyle="1" w:styleId="TOC3">
    <w:name w:val="TOC 标题3"/>
    <w:basedOn w:val="1"/>
    <w:next w:val="a"/>
    <w:autoRedefine/>
    <w:uiPriority w:val="39"/>
    <w:qFormat/>
    <w:pPr>
      <w:widowControl/>
      <w:numPr>
        <w:numId w:val="0"/>
      </w:numPr>
      <w:spacing w:line="276" w:lineRule="auto"/>
      <w:jc w:val="left"/>
      <w:outlineLvl w:val="9"/>
    </w:pPr>
    <w:rPr>
      <w:rFonts w:ascii="Cambria" w:hAnsi="Cambria" w:cs="Times New Roman"/>
      <w:color w:val="365F91"/>
      <w:kern w:val="0"/>
      <w:sz w:val="28"/>
      <w:szCs w:val="28"/>
    </w:rPr>
  </w:style>
  <w:style w:type="paragraph" w:customStyle="1" w:styleId="2ffffe">
    <w:name w:val="修订2"/>
    <w:autoRedefine/>
    <w:hidden/>
    <w:uiPriority w:val="99"/>
    <w:semiHidden/>
    <w:qFormat/>
    <w:rPr>
      <w:kern w:val="2"/>
      <w:sz w:val="24"/>
    </w:rPr>
  </w:style>
  <w:style w:type="character" w:customStyle="1" w:styleId="2fffff">
    <w:name w:val="不明显强调2"/>
    <w:autoRedefine/>
    <w:qFormat/>
    <w:rPr>
      <w:i/>
      <w:iCs/>
      <w:color w:val="808080"/>
    </w:rPr>
  </w:style>
  <w:style w:type="character" w:customStyle="1" w:styleId="Charffffff1">
    <w:name w:val="表标题 Char"/>
    <w:autoRedefine/>
    <w:qFormat/>
    <w:rPr>
      <w:rFonts w:ascii="Cambria" w:hAnsi="Cambria"/>
      <w:b/>
      <w:bCs/>
      <w:sz w:val="32"/>
      <w:szCs w:val="32"/>
      <w:lang w:bidi="ar-SA"/>
    </w:rPr>
  </w:style>
  <w:style w:type="paragraph" w:customStyle="1" w:styleId="CharCharff0">
    <w:name w:val="Char Char"/>
    <w:basedOn w:val="a"/>
    <w:autoRedefine/>
    <w:uiPriority w:val="99"/>
    <w:qFormat/>
    <w:pPr>
      <w:spacing w:line="360" w:lineRule="auto"/>
      <w:ind w:firstLineChars="200" w:firstLine="200"/>
      <w:jc w:val="left"/>
    </w:pPr>
    <w:rPr>
      <w:rFonts w:cs="Times New Roman"/>
      <w:sz w:val="24"/>
      <w:szCs w:val="20"/>
    </w:rPr>
  </w:style>
  <w:style w:type="paragraph" w:customStyle="1" w:styleId="0852825">
    <w:name w:val="样式 样式 黑体 小四 加粗 左侧:  0.85 厘米 行距: 固定值 28 磅 + 宋体 行距: 固定值 25 磅"/>
    <w:basedOn w:val="a"/>
    <w:autoRedefine/>
    <w:uiPriority w:val="99"/>
    <w:qFormat/>
    <w:pPr>
      <w:spacing w:before="100" w:beforeAutospacing="1" w:after="100" w:afterAutospacing="1" w:line="500" w:lineRule="exact"/>
      <w:ind w:left="480"/>
    </w:pPr>
    <w:rPr>
      <w:rFonts w:ascii="宋体" w:hAnsi="宋体" w:cs="宋体"/>
      <w:b/>
      <w:bCs/>
      <w:kern w:val="0"/>
      <w:sz w:val="24"/>
      <w:szCs w:val="24"/>
    </w:rPr>
  </w:style>
  <w:style w:type="paragraph" w:customStyle="1" w:styleId="11f9">
    <w:name w:val="正文11"/>
    <w:autoRedefine/>
    <w:uiPriority w:val="99"/>
    <w:qFormat/>
    <w:pPr>
      <w:jc w:val="both"/>
    </w:pPr>
    <w:rPr>
      <w:kern w:val="2"/>
      <w:sz w:val="21"/>
      <w:szCs w:val="21"/>
    </w:rPr>
  </w:style>
  <w:style w:type="paragraph" w:customStyle="1" w:styleId="1ffffff2">
    <w:name w:val="新1级标题"/>
    <w:basedOn w:val="a"/>
    <w:autoRedefine/>
    <w:uiPriority w:val="99"/>
    <w:qFormat/>
    <w:pPr>
      <w:adjustRightInd w:val="0"/>
      <w:snapToGrid w:val="0"/>
      <w:spacing w:line="360" w:lineRule="auto"/>
      <w:outlineLvl w:val="0"/>
    </w:pPr>
    <w:rPr>
      <w:rFonts w:asciiTheme="minorHAnsi" w:eastAsia="黑体" w:hAnsiTheme="minorHAnsi"/>
      <w:sz w:val="32"/>
      <w:szCs w:val="32"/>
    </w:rPr>
  </w:style>
  <w:style w:type="paragraph" w:customStyle="1" w:styleId="2fffff0">
    <w:name w:val="新2级标题"/>
    <w:basedOn w:val="a"/>
    <w:uiPriority w:val="99"/>
    <w:qFormat/>
    <w:pPr>
      <w:adjustRightInd w:val="0"/>
      <w:snapToGrid w:val="0"/>
      <w:spacing w:line="360" w:lineRule="auto"/>
      <w:outlineLvl w:val="1"/>
    </w:pPr>
    <w:rPr>
      <w:rFonts w:asciiTheme="minorHAnsi" w:eastAsia="黑体" w:hAnsiTheme="minorHAnsi"/>
      <w:sz w:val="30"/>
      <w:szCs w:val="30"/>
    </w:rPr>
  </w:style>
  <w:style w:type="paragraph" w:customStyle="1" w:styleId="3fff0">
    <w:name w:val="新3级标题"/>
    <w:basedOn w:val="a"/>
    <w:autoRedefine/>
    <w:uiPriority w:val="99"/>
    <w:qFormat/>
    <w:pPr>
      <w:adjustRightInd w:val="0"/>
      <w:snapToGrid w:val="0"/>
      <w:spacing w:line="360" w:lineRule="auto"/>
      <w:outlineLvl w:val="2"/>
    </w:pPr>
    <w:rPr>
      <w:rFonts w:asciiTheme="minorHAnsi" w:eastAsia="黑体" w:hAnsiTheme="minorHAnsi"/>
      <w:sz w:val="28"/>
      <w:szCs w:val="32"/>
    </w:rPr>
  </w:style>
  <w:style w:type="paragraph" w:customStyle="1" w:styleId="4ff1">
    <w:name w:val="新4级标题"/>
    <w:basedOn w:val="1ffffff2"/>
    <w:autoRedefine/>
    <w:uiPriority w:val="99"/>
    <w:qFormat/>
    <w:pPr>
      <w:outlineLvl w:val="3"/>
    </w:pPr>
    <w:rPr>
      <w:rFonts w:ascii="Times New Roman" w:hAnsi="Times New Roman"/>
      <w:sz w:val="24"/>
    </w:rPr>
  </w:style>
  <w:style w:type="paragraph" w:customStyle="1" w:styleId="5f8">
    <w:name w:val="新5级标题 表格"/>
    <w:basedOn w:val="a"/>
    <w:link w:val="5Char0"/>
    <w:qFormat/>
    <w:pPr>
      <w:adjustRightInd w:val="0"/>
      <w:snapToGrid w:val="0"/>
      <w:jc w:val="center"/>
      <w:outlineLvl w:val="4"/>
    </w:pPr>
    <w:rPr>
      <w:rFonts w:asciiTheme="minorHAnsi" w:hAnsiTheme="minorHAnsi"/>
      <w:b/>
      <w:color w:val="000000"/>
      <w:szCs w:val="21"/>
    </w:rPr>
  </w:style>
  <w:style w:type="character" w:customStyle="1" w:styleId="5Char0">
    <w:name w:val="新5级标题 表格 Char"/>
    <w:basedOn w:val="a0"/>
    <w:link w:val="5f8"/>
    <w:autoRedefine/>
    <w:qFormat/>
    <w:rPr>
      <w:rFonts w:asciiTheme="minorHAnsi" w:hAnsiTheme="minorHAnsi" w:cstheme="minorBidi"/>
      <w:b/>
      <w:color w:val="000000"/>
      <w:kern w:val="2"/>
      <w:sz w:val="21"/>
      <w:szCs w:val="21"/>
    </w:rPr>
  </w:style>
  <w:style w:type="paragraph" w:customStyle="1" w:styleId="6f1">
    <w:name w:val="新6级标题 图名"/>
    <w:basedOn w:val="afffffe"/>
    <w:autoRedefine/>
    <w:uiPriority w:val="99"/>
    <w:qFormat/>
    <w:pPr>
      <w:adjustRightInd w:val="0"/>
      <w:snapToGrid w:val="0"/>
      <w:spacing w:line="240" w:lineRule="auto"/>
      <w:outlineLvl w:val="5"/>
    </w:pPr>
    <w:rPr>
      <w:rFonts w:ascii="Times New Roman" w:eastAsia="Times New Roman" w:hAnsi="Times New Roman" w:cs="Times New Roman"/>
      <w:color w:val="000000"/>
      <w:szCs w:val="21"/>
    </w:rPr>
  </w:style>
  <w:style w:type="paragraph" w:customStyle="1" w:styleId="417">
    <w:name w:val="标题 41"/>
    <w:basedOn w:val="a"/>
    <w:uiPriority w:val="1"/>
    <w:qFormat/>
    <w:pPr>
      <w:autoSpaceDE w:val="0"/>
      <w:autoSpaceDN w:val="0"/>
      <w:spacing w:before="1"/>
      <w:ind w:left="706"/>
      <w:jc w:val="left"/>
      <w:outlineLvl w:val="4"/>
    </w:pPr>
    <w:rPr>
      <w:rFonts w:ascii="宋体" w:hAnsi="宋体" w:cs="宋体"/>
      <w:b/>
      <w:bCs/>
      <w:kern w:val="0"/>
      <w:sz w:val="24"/>
      <w:szCs w:val="24"/>
      <w:lang w:eastAsia="en-US"/>
    </w:rPr>
  </w:style>
  <w:style w:type="character" w:customStyle="1" w:styleId="CharCharff1">
    <w:name w:val="报告表正文 Char Char"/>
    <w:autoRedefine/>
    <w:qFormat/>
    <w:rPr>
      <w:sz w:val="24"/>
    </w:rPr>
  </w:style>
  <w:style w:type="character" w:customStyle="1" w:styleId="Char1f8">
    <w:name w:val="普通(网站) Char1"/>
    <w:autoRedefine/>
    <w:qFormat/>
    <w:rPr>
      <w:rFonts w:ascii="宋体" w:hAnsi="宋体" w:cs="宋体"/>
      <w:sz w:val="18"/>
      <w:szCs w:val="18"/>
    </w:rPr>
  </w:style>
  <w:style w:type="character" w:customStyle="1" w:styleId="CharCharff2">
    <w:name w:val="表体 Char Char"/>
    <w:autoRedefine/>
    <w:qFormat/>
    <w:rPr>
      <w:kern w:val="2"/>
      <w:sz w:val="21"/>
      <w:szCs w:val="24"/>
    </w:rPr>
  </w:style>
  <w:style w:type="paragraph" w:customStyle="1" w:styleId="CharCharChar90">
    <w:name w:val="Char Char Char9"/>
    <w:basedOn w:val="a"/>
    <w:autoRedefine/>
    <w:uiPriority w:val="99"/>
    <w:qFormat/>
    <w:rPr>
      <w:rFonts w:cs="Times New Roman"/>
      <w:sz w:val="24"/>
      <w:szCs w:val="24"/>
    </w:rPr>
  </w:style>
  <w:style w:type="paragraph" w:customStyle="1" w:styleId="Char171">
    <w:name w:val="Char171"/>
    <w:basedOn w:val="a"/>
    <w:autoRedefine/>
    <w:uiPriority w:val="99"/>
    <w:qFormat/>
    <w:rPr>
      <w:rFonts w:ascii="Tahoma" w:hAnsi="Tahoma" w:cs="Times New Roman"/>
      <w:sz w:val="24"/>
      <w:szCs w:val="20"/>
    </w:rPr>
  </w:style>
  <w:style w:type="paragraph" w:customStyle="1" w:styleId="CharCharCharCharCharCharCharCharChar10">
    <w:name w:val="Char Char Char Char Char Char Char Char Char10"/>
    <w:basedOn w:val="a"/>
    <w:autoRedefine/>
    <w:uiPriority w:val="99"/>
    <w:semiHidden/>
    <w:qFormat/>
    <w:pPr>
      <w:spacing w:line="360" w:lineRule="auto"/>
      <w:ind w:firstLineChars="200" w:firstLine="200"/>
    </w:pPr>
    <w:rPr>
      <w:rFonts w:ascii="宋体" w:hAnsi="宋体" w:cs="宋体"/>
      <w:sz w:val="24"/>
      <w:szCs w:val="24"/>
    </w:rPr>
  </w:style>
  <w:style w:type="character" w:customStyle="1" w:styleId="CharCharff3">
    <w:name w:val="图表标题 Char Char"/>
    <w:autoRedefine/>
    <w:qFormat/>
    <w:rPr>
      <w:rFonts w:ascii="黑体" w:eastAsia="黑体"/>
      <w:b/>
      <w:color w:val="000000"/>
      <w:kern w:val="2"/>
      <w:sz w:val="24"/>
      <w:szCs w:val="21"/>
    </w:rPr>
  </w:style>
  <w:style w:type="paragraph" w:customStyle="1" w:styleId="CharCharCharChar151">
    <w:name w:val="Char Char Char Char151"/>
    <w:basedOn w:val="a"/>
    <w:autoRedefine/>
    <w:uiPriority w:val="99"/>
    <w:semiHidden/>
    <w:qFormat/>
    <w:pPr>
      <w:tabs>
        <w:tab w:val="left" w:pos="360"/>
      </w:tabs>
    </w:pPr>
    <w:rPr>
      <w:rFonts w:cs="Times New Roman"/>
      <w:sz w:val="24"/>
      <w:szCs w:val="24"/>
    </w:rPr>
  </w:style>
  <w:style w:type="paragraph" w:customStyle="1" w:styleId="CharCharCharCharCharChar8">
    <w:name w:val="Char Char Char Char Char Char8"/>
    <w:basedOn w:val="a"/>
    <w:next w:val="a3"/>
    <w:autoRedefine/>
    <w:uiPriority w:val="99"/>
    <w:qFormat/>
    <w:rPr>
      <w:rFonts w:cs="Times New Roman"/>
      <w:sz w:val="28"/>
      <w:szCs w:val="28"/>
    </w:rPr>
  </w:style>
  <w:style w:type="character" w:customStyle="1" w:styleId="ENFICharChar">
    <w:name w:val="ENFI正文 Char Char"/>
    <w:link w:val="ENFI"/>
    <w:autoRedefine/>
    <w:qFormat/>
    <w:rPr>
      <w:color w:val="000000"/>
      <w:sz w:val="24"/>
    </w:rPr>
  </w:style>
  <w:style w:type="paragraph" w:customStyle="1" w:styleId="ENFI">
    <w:name w:val="ENFI正文"/>
    <w:basedOn w:val="a"/>
    <w:link w:val="ENFICharChar"/>
    <w:autoRedefine/>
    <w:qFormat/>
    <w:pPr>
      <w:adjustRightInd w:val="0"/>
      <w:snapToGrid w:val="0"/>
      <w:spacing w:line="500" w:lineRule="exact"/>
      <w:ind w:firstLineChars="200" w:firstLine="567"/>
      <w:jc w:val="left"/>
    </w:pPr>
    <w:rPr>
      <w:rFonts w:cs="Times New Roman"/>
      <w:color w:val="000000"/>
      <w:kern w:val="0"/>
      <w:sz w:val="24"/>
      <w:szCs w:val="20"/>
    </w:rPr>
  </w:style>
  <w:style w:type="paragraph" w:customStyle="1" w:styleId="ParaCharCharCharCharCharCharCharCharChar3CharCharCharChar">
    <w:name w:val="默认段落字体 Para Char Char Char Char Char Char Char Char Char3 Char Char Char Char"/>
    <w:basedOn w:val="af8"/>
    <w:autoRedefine/>
    <w:uiPriority w:val="99"/>
    <w:qFormat/>
    <w:pPr>
      <w:widowControl/>
      <w:adjustRightInd w:val="0"/>
      <w:spacing w:line="240" w:lineRule="exact"/>
      <w:ind w:left="357"/>
      <w:jc w:val="left"/>
      <w:outlineLvl w:val="3"/>
    </w:pPr>
    <w:rPr>
      <w:rFonts w:ascii="Tahoma" w:hAnsi="Tahoma"/>
      <w:kern w:val="2"/>
      <w:sz w:val="21"/>
      <w:szCs w:val="21"/>
    </w:rPr>
  </w:style>
  <w:style w:type="character" w:customStyle="1" w:styleId="Charffffff2">
    <w:name w:val="正文格式 Char"/>
    <w:autoRedefine/>
    <w:qFormat/>
    <w:rPr>
      <w:rFonts w:cs="宋体"/>
      <w:kern w:val="2"/>
      <w:sz w:val="24"/>
      <w:szCs w:val="24"/>
    </w:rPr>
  </w:style>
  <w:style w:type="paragraph" w:customStyle="1" w:styleId="0741">
    <w:name w:val="样式 表文字+居中 + 首行缩进:  0.74 厘米"/>
    <w:basedOn w:val="a"/>
    <w:autoRedefine/>
    <w:uiPriority w:val="99"/>
    <w:semiHidden/>
    <w:qFormat/>
    <w:pPr>
      <w:widowControl/>
      <w:adjustRightInd w:val="0"/>
      <w:snapToGrid w:val="0"/>
      <w:jc w:val="center"/>
      <w:textAlignment w:val="baseline"/>
    </w:pPr>
    <w:rPr>
      <w:rFonts w:cs="宋体"/>
      <w:snapToGrid w:val="0"/>
      <w:color w:val="000000"/>
      <w:kern w:val="0"/>
      <w:szCs w:val="20"/>
    </w:rPr>
  </w:style>
  <w:style w:type="paragraph" w:customStyle="1" w:styleId="afffffffffffffffffffffffffff4">
    <w:name w:val="表文字+居中"/>
    <w:basedOn w:val="affffffffffffff9"/>
    <w:autoRedefine/>
    <w:uiPriority w:val="99"/>
    <w:qFormat/>
    <w:pPr>
      <w:widowControl/>
      <w:tabs>
        <w:tab w:val="left" w:pos="945"/>
        <w:tab w:val="right" w:leader="dot" w:pos="1155"/>
        <w:tab w:val="left" w:pos="8715"/>
      </w:tabs>
      <w:adjustRightInd w:val="0"/>
      <w:snapToGrid w:val="0"/>
      <w:spacing w:line="240" w:lineRule="auto"/>
      <w:textAlignment w:val="baseline"/>
    </w:pPr>
    <w:rPr>
      <w:rFonts w:ascii="Calibri" w:hAnsi="Calibri"/>
      <w:bCs/>
      <w:snapToGrid w:val="0"/>
      <w:color w:val="000000"/>
      <w:szCs w:val="9"/>
    </w:rPr>
  </w:style>
  <w:style w:type="paragraph" w:customStyle="1" w:styleId="11fa">
    <w:name w:val="11表内字"/>
    <w:basedOn w:val="a"/>
    <w:autoRedefine/>
    <w:uiPriority w:val="99"/>
    <w:qFormat/>
    <w:pPr>
      <w:widowControl/>
      <w:autoSpaceDE w:val="0"/>
      <w:autoSpaceDN w:val="0"/>
      <w:jc w:val="center"/>
    </w:pPr>
    <w:rPr>
      <w:rFonts w:cs="Times New Roman"/>
      <w:szCs w:val="20"/>
    </w:rPr>
  </w:style>
  <w:style w:type="paragraph" w:customStyle="1" w:styleId="afffffffffffffffffffffffffff5">
    <w:name w:val="高表内"/>
    <w:basedOn w:val="aff4"/>
    <w:autoRedefine/>
    <w:uiPriority w:val="99"/>
    <w:qFormat/>
    <w:pPr>
      <w:widowControl/>
      <w:autoSpaceDE w:val="0"/>
      <w:adjustRightInd w:val="0"/>
      <w:snapToGrid w:val="0"/>
      <w:jc w:val="center"/>
      <w:textAlignment w:val="baseline"/>
    </w:pPr>
    <w:rPr>
      <w:rFonts w:ascii="Arial" w:eastAsia="楷体_GB2312" w:hAnsi="Arial"/>
      <w:sz w:val="24"/>
      <w:szCs w:val="24"/>
    </w:rPr>
  </w:style>
  <w:style w:type="paragraph" w:customStyle="1" w:styleId="afffffffffffffffffffffffffff6">
    <w:name w:val="公式说明"/>
    <w:basedOn w:val="a"/>
    <w:link w:val="Charffffff3"/>
    <w:autoRedefine/>
    <w:qFormat/>
    <w:pPr>
      <w:widowControl/>
      <w:tabs>
        <w:tab w:val="left" w:pos="1920"/>
      </w:tabs>
      <w:adjustRightInd w:val="0"/>
      <w:snapToGrid w:val="0"/>
      <w:spacing w:line="620" w:lineRule="exact"/>
      <w:ind w:firstLineChars="200" w:firstLine="200"/>
      <w:jc w:val="left"/>
    </w:pPr>
    <w:rPr>
      <w:rFonts w:eastAsia="仿宋_GB2312" w:cs="Times New Roman"/>
      <w:sz w:val="32"/>
    </w:rPr>
  </w:style>
  <w:style w:type="character" w:customStyle="1" w:styleId="Charffffff3">
    <w:name w:val="公式说明 Char"/>
    <w:link w:val="afffffffffffffffffffffffffff6"/>
    <w:autoRedefine/>
    <w:qFormat/>
    <w:rPr>
      <w:rFonts w:eastAsia="仿宋_GB2312"/>
      <w:kern w:val="2"/>
      <w:sz w:val="32"/>
      <w:szCs w:val="22"/>
    </w:rPr>
  </w:style>
  <w:style w:type="character" w:customStyle="1" w:styleId="Char41">
    <w:name w:val="正文文本缩进 Char4"/>
    <w:autoRedefine/>
    <w:qFormat/>
    <w:rPr>
      <w:rFonts w:ascii="Times New Roman" w:hAnsi="Times New Roman"/>
      <w:sz w:val="24"/>
    </w:rPr>
  </w:style>
  <w:style w:type="character" w:customStyle="1" w:styleId="3CharChar0">
    <w:name w:val="样式3 Char Char"/>
    <w:autoRedefine/>
    <w:qFormat/>
    <w:rPr>
      <w:b/>
      <w:bCs/>
      <w:snapToGrid/>
      <w:color w:val="0000FF"/>
      <w:sz w:val="24"/>
      <w:szCs w:val="24"/>
    </w:rPr>
  </w:style>
  <w:style w:type="character" w:customStyle="1" w:styleId="3CharCharCharCharChar">
    <w:name w:val="样式 标题 3 + 黑色 Char Char Char Char Char"/>
    <w:autoRedefine/>
    <w:qFormat/>
    <w:rPr>
      <w:rFonts w:ascii="Arial Black" w:eastAsia="Verdana" w:hAnsi="Arial Black"/>
      <w:color w:val="000000"/>
      <w:kern w:val="2"/>
      <w:sz w:val="24"/>
      <w:szCs w:val="21"/>
      <w:lang w:val="en-US" w:eastAsia="zh-CN" w:bidi="ar-SA"/>
    </w:rPr>
  </w:style>
  <w:style w:type="character" w:customStyle="1" w:styleId="zy">
    <w:name w:val="zy"/>
    <w:autoRedefine/>
    <w:qFormat/>
    <w:rPr>
      <w:rFonts w:ascii="Arial Black" w:eastAsia="ˎ̥" w:hAnsi="Arial Black"/>
      <w:szCs w:val="21"/>
      <w:lang w:val="en-US" w:eastAsia="en-US" w:bidi="ar-SA"/>
    </w:rPr>
  </w:style>
  <w:style w:type="character" w:customStyle="1" w:styleId="CharCharff4">
    <w:name w:val="德胜空行 Char Char"/>
    <w:qFormat/>
    <w:rPr>
      <w:snapToGrid/>
      <w:color w:val="0000FF"/>
      <w:sz w:val="21"/>
      <w:szCs w:val="21"/>
    </w:rPr>
  </w:style>
  <w:style w:type="character" w:customStyle="1" w:styleId="Char32">
    <w:name w:val="日期 Char3"/>
    <w:autoRedefine/>
    <w:qFormat/>
    <w:rPr>
      <w:kern w:val="2"/>
      <w:sz w:val="21"/>
    </w:rPr>
  </w:style>
  <w:style w:type="character" w:customStyle="1" w:styleId="CharCharff5">
    <w:name w:val="表文字 Char Char"/>
    <w:autoRedefine/>
    <w:qFormat/>
    <w:rPr>
      <w:rFonts w:ascii="宋体" w:eastAsia="宋体" w:hAnsi="宋体"/>
      <w:kern w:val="2"/>
      <w:sz w:val="21"/>
      <w:szCs w:val="28"/>
      <w:lang w:val="en-US" w:eastAsia="zh-CN" w:bidi="ar-SA"/>
    </w:rPr>
  </w:style>
  <w:style w:type="character" w:customStyle="1" w:styleId="12block1">
    <w:name w:val="12block1"/>
    <w:autoRedefine/>
    <w:qFormat/>
    <w:rPr>
      <w:rFonts w:ascii="宋体" w:eastAsia="宋体" w:hAnsi="宋体" w:hint="eastAsia"/>
      <w:color w:val="000000"/>
      <w:spacing w:val="0"/>
      <w:sz w:val="18"/>
      <w:szCs w:val="18"/>
    </w:rPr>
  </w:style>
  <w:style w:type="character" w:customStyle="1" w:styleId="Char2c">
    <w:name w:val="页眉 Char2"/>
    <w:autoRedefine/>
    <w:uiPriority w:val="99"/>
    <w:qFormat/>
    <w:rPr>
      <w:kern w:val="2"/>
      <w:sz w:val="18"/>
      <w:szCs w:val="18"/>
    </w:rPr>
  </w:style>
  <w:style w:type="character" w:customStyle="1" w:styleId="CharCharCharf">
    <w:name w:val="文本 Char Char Char"/>
    <w:autoRedefine/>
    <w:qFormat/>
    <w:rPr>
      <w:rFonts w:ascii="Arial Black" w:eastAsia="Verdana" w:hAnsi="Arial Black"/>
      <w:kern w:val="2"/>
      <w:sz w:val="21"/>
      <w:szCs w:val="21"/>
      <w:lang w:val="en-US" w:eastAsia="zh-CN" w:bidi="ar-SA"/>
    </w:rPr>
  </w:style>
  <w:style w:type="character" w:customStyle="1" w:styleId="3CharCharChar0">
    <w:name w:val="正文文本缩进 3 Char Char Char"/>
    <w:autoRedefine/>
    <w:qFormat/>
    <w:rPr>
      <w:rFonts w:ascii="Times New Roman" w:hAnsi="Times New Roman"/>
      <w:kern w:val="2"/>
      <w:sz w:val="16"/>
      <w:szCs w:val="16"/>
    </w:rPr>
  </w:style>
  <w:style w:type="character" w:customStyle="1" w:styleId="1Char9">
    <w:name w:val="目标题 1) Char"/>
    <w:autoRedefine/>
    <w:qFormat/>
    <w:rPr>
      <w:rFonts w:ascii="Courier New" w:eastAsia="楷体" w:hAnsi="Courier New" w:cs="仿宋_GB2312"/>
      <w:color w:val="000000"/>
      <w:kern w:val="28"/>
      <w:sz w:val="24"/>
      <w:szCs w:val="20"/>
      <w:lang w:val="en-US" w:eastAsia="en-US" w:bidi="ar-SA"/>
    </w:rPr>
  </w:style>
  <w:style w:type="character" w:customStyle="1" w:styleId="CharCharff6">
    <w:name w:val="报告书正文 Char Char"/>
    <w:autoRedefine/>
    <w:qFormat/>
    <w:rPr>
      <w:rFonts w:ascii="仿宋_GB2312" w:hAnsi="仿宋_GB2312"/>
      <w:kern w:val="2"/>
      <w:sz w:val="24"/>
      <w:szCs w:val="24"/>
    </w:rPr>
  </w:style>
  <w:style w:type="character" w:customStyle="1" w:styleId="cucd-0CharChar">
    <w:name w:val="cucd-0 Char Char"/>
    <w:link w:val="cucd-0"/>
    <w:qFormat/>
    <w:rPr>
      <w:rFonts w:eastAsia="Times New Roman"/>
      <w:kern w:val="2"/>
      <w:sz w:val="24"/>
      <w:szCs w:val="24"/>
    </w:rPr>
  </w:style>
  <w:style w:type="paragraph" w:customStyle="1" w:styleId="cucd-0">
    <w:name w:val="cucd-0"/>
    <w:link w:val="cucd-0CharChar"/>
    <w:autoRedefine/>
    <w:qFormat/>
    <w:pPr>
      <w:spacing w:line="360" w:lineRule="auto"/>
      <w:ind w:firstLineChars="200" w:firstLine="480"/>
    </w:pPr>
    <w:rPr>
      <w:rFonts w:eastAsia="Times New Roman"/>
      <w:kern w:val="2"/>
      <w:sz w:val="24"/>
      <w:szCs w:val="24"/>
    </w:rPr>
  </w:style>
  <w:style w:type="character" w:customStyle="1" w:styleId="1cg2CharChar">
    <w:name w:val="标题 1 cg2 Char Char"/>
    <w:link w:val="1cg2"/>
    <w:autoRedefine/>
    <w:qFormat/>
    <w:rPr>
      <w:b/>
      <w:bCs/>
      <w:color w:val="0000FF"/>
      <w:kern w:val="44"/>
      <w:sz w:val="30"/>
      <w:szCs w:val="30"/>
    </w:rPr>
  </w:style>
  <w:style w:type="paragraph" w:customStyle="1" w:styleId="1cg2">
    <w:name w:val="标题 1 cg2"/>
    <w:basedOn w:val="1"/>
    <w:link w:val="1cg2CharChar"/>
    <w:autoRedefine/>
    <w:qFormat/>
    <w:pPr>
      <w:keepLines w:val="0"/>
      <w:numPr>
        <w:numId w:val="0"/>
      </w:numPr>
      <w:tabs>
        <w:tab w:val="left" w:pos="870"/>
      </w:tabs>
      <w:ind w:firstLine="573"/>
      <w:jc w:val="both"/>
    </w:pPr>
    <w:rPr>
      <w:rFonts w:cs="Times New Roman"/>
      <w:color w:val="0000FF"/>
      <w:sz w:val="30"/>
      <w:szCs w:val="30"/>
    </w:rPr>
  </w:style>
  <w:style w:type="character" w:customStyle="1" w:styleId="4086466CharChar">
    <w:name w:val="样式 标题 4 + 左侧:  0 厘米 悬挂缩进: 8.64 字符 段前: 6 磅 段后: 6 磅 行距: 单倍行距 Char Char"/>
    <w:link w:val="4086466"/>
    <w:autoRedefine/>
    <w:qFormat/>
    <w:rPr>
      <w:rFonts w:ascii="Arial" w:eastAsia="黑体" w:hAnsi="Arial"/>
      <w:b/>
      <w:bCs/>
      <w:kern w:val="2"/>
      <w:sz w:val="24"/>
    </w:rPr>
  </w:style>
  <w:style w:type="paragraph" w:customStyle="1" w:styleId="4086466">
    <w:name w:val="样式 标题 4 + 左侧:  0 厘米 悬挂缩进: 8.64 字符 段前: 6 磅 段后: 6 磅 行距: 单倍行距"/>
    <w:basedOn w:val="4"/>
    <w:link w:val="4086466CharChar"/>
    <w:autoRedefine/>
    <w:qFormat/>
    <w:pPr>
      <w:numPr>
        <w:ilvl w:val="0"/>
        <w:numId w:val="0"/>
      </w:numPr>
      <w:tabs>
        <w:tab w:val="left" w:pos="870"/>
      </w:tabs>
      <w:spacing w:before="120" w:after="120" w:line="312" w:lineRule="auto"/>
      <w:ind w:firstLine="510"/>
    </w:pPr>
    <w:rPr>
      <w:rFonts w:ascii="Arial" w:eastAsia="黑体" w:hAnsi="Arial" w:cs="Times New Roman"/>
      <w:szCs w:val="20"/>
    </w:rPr>
  </w:style>
  <w:style w:type="character" w:customStyle="1" w:styleId="CharCharChar1CharCharCharCharCharCharCharCharChar">
    <w:name w:val="正文文本最新 Char Char Char1 Char Char Char Char Char Char Char Char Char"/>
    <w:autoRedefine/>
    <w:qFormat/>
    <w:rPr>
      <w:rFonts w:ascii="Arial Black" w:eastAsia="Verdana" w:hAnsi="Arial Black"/>
      <w:b/>
      <w:bCs/>
      <w:kern w:val="2"/>
      <w:sz w:val="28"/>
      <w:szCs w:val="24"/>
      <w:lang w:val="en-US" w:eastAsia="zh-CN" w:bidi="ar-SA"/>
    </w:rPr>
  </w:style>
  <w:style w:type="character" w:customStyle="1" w:styleId="3CharChar1">
    <w:name w:val="蒲标题3 Char Char"/>
    <w:autoRedefine/>
    <w:qFormat/>
    <w:rPr>
      <w:bCs/>
      <w:snapToGrid/>
      <w:color w:val="000000"/>
      <w:sz w:val="24"/>
      <w:szCs w:val="24"/>
    </w:rPr>
  </w:style>
  <w:style w:type="character" w:customStyle="1" w:styleId="1111HTS11111h11headingHeaderCharChar">
    <w:name w:val="样式 标题 1章标题1.1标题 1HTS 1章标题 1副标题 11.标题 1h11headingHeader... Char Char"/>
    <w:link w:val="1111HTS11111h11headingHeader"/>
    <w:autoRedefine/>
    <w:qFormat/>
    <w:rPr>
      <w:b/>
      <w:bCs/>
      <w:color w:val="0000FF"/>
      <w:kern w:val="44"/>
      <w:sz w:val="44"/>
      <w:szCs w:val="24"/>
    </w:rPr>
  </w:style>
  <w:style w:type="paragraph" w:customStyle="1" w:styleId="1111HTS11111h11headingHeader">
    <w:name w:val="样式 标题 1章标题1.1标题 1HTS 1章标题 1副标题 11.标题 1h11headingHeader..."/>
    <w:basedOn w:val="1"/>
    <w:link w:val="1111HTS11111h11headingHeaderCharChar"/>
    <w:autoRedefine/>
    <w:qFormat/>
    <w:pPr>
      <w:keepLines w:val="0"/>
      <w:numPr>
        <w:numId w:val="0"/>
      </w:numPr>
      <w:tabs>
        <w:tab w:val="left" w:pos="870"/>
      </w:tabs>
      <w:jc w:val="both"/>
    </w:pPr>
    <w:rPr>
      <w:rFonts w:cs="Times New Roman"/>
      <w:color w:val="0000FF"/>
      <w:sz w:val="44"/>
      <w:szCs w:val="24"/>
    </w:rPr>
  </w:style>
  <w:style w:type="character" w:customStyle="1" w:styleId="aCharChar">
    <w:name w:val="干标题(a) Char Char"/>
    <w:autoRedefine/>
    <w:qFormat/>
    <w:rPr>
      <w:rFonts w:ascii="Arial" w:eastAsia="黑体" w:hAnsi="Arial"/>
      <w:sz w:val="21"/>
      <w:lang w:val="en-US" w:eastAsia="zh-CN" w:bidi="ar-SA"/>
    </w:rPr>
  </w:style>
  <w:style w:type="character" w:customStyle="1" w:styleId="3CharChar2">
    <w:name w:val="正文文字缩进 3 Char Char"/>
    <w:autoRedefine/>
    <w:qFormat/>
    <w:rPr>
      <w:rFonts w:eastAsia="宋体"/>
      <w:kern w:val="2"/>
      <w:sz w:val="28"/>
      <w:szCs w:val="24"/>
      <w:lang w:val="en-US" w:eastAsia="zh-CN" w:bidi="ar-SA"/>
    </w:rPr>
  </w:style>
  <w:style w:type="character" w:customStyle="1" w:styleId="A31">
    <w:name w:val="A3"/>
    <w:autoRedefine/>
    <w:qFormat/>
    <w:rPr>
      <w:rFonts w:ascii="华文行楷" w:hAnsi="华文行楷" w:cs="华文行楷"/>
      <w:color w:val="000000"/>
      <w:sz w:val="36"/>
      <w:szCs w:val="36"/>
    </w:rPr>
  </w:style>
  <w:style w:type="character" w:customStyle="1" w:styleId="Char42">
    <w:name w:val="正文（首行缩进两字） Char4"/>
    <w:autoRedefine/>
    <w:qFormat/>
    <w:rPr>
      <w:rFonts w:ascii="Arial Black" w:eastAsia="Verdana" w:hAnsi="Arial Black"/>
      <w:kern w:val="2"/>
      <w:sz w:val="28"/>
      <w:szCs w:val="21"/>
      <w:lang w:val="en-US" w:eastAsia="zh-CN" w:bidi="ar-SA"/>
    </w:rPr>
  </w:style>
  <w:style w:type="character" w:customStyle="1" w:styleId="Char1f9">
    <w:name w:val="签名 Char1"/>
    <w:autoRedefine/>
    <w:qFormat/>
    <w:rPr>
      <w:rFonts w:ascii="Calibri" w:eastAsia="宋体" w:hAnsi="Calibri" w:cs="Times New Roman"/>
      <w:sz w:val="24"/>
    </w:rPr>
  </w:style>
  <w:style w:type="character" w:customStyle="1" w:styleId="2Charb">
    <w:name w:val="纯文本2 Char"/>
    <w:autoRedefine/>
    <w:qFormat/>
    <w:rPr>
      <w:rFonts w:ascii="宋体" w:eastAsia="宋体" w:hAnsi="Courier New"/>
      <w:kern w:val="2"/>
      <w:sz w:val="21"/>
      <w:szCs w:val="21"/>
      <w:lang w:val="en-US" w:eastAsia="zh-CN" w:bidi="ar-SA"/>
    </w:rPr>
  </w:style>
  <w:style w:type="character" w:customStyle="1" w:styleId="CharCharff7">
    <w:name w:val="三级标题 Char Char"/>
    <w:autoRedefine/>
    <w:qFormat/>
    <w:rPr>
      <w:rFonts w:ascii="Calibri" w:eastAsia="黑体" w:hAnsi="Calibri" w:cs="Times New Roman"/>
      <w:b/>
      <w:bCs/>
      <w:snapToGrid/>
      <w:kern w:val="2"/>
      <w:sz w:val="32"/>
      <w:szCs w:val="32"/>
      <w:lang w:val="en-US" w:eastAsia="zh-CN"/>
    </w:rPr>
  </w:style>
  <w:style w:type="character" w:customStyle="1" w:styleId="09915Char">
    <w:name w:val="样式 宋体 四号 加粗 首行缩进:  0.99 厘米 行距: 1.5 倍行距 Char"/>
    <w:link w:val="09915"/>
    <w:autoRedefine/>
    <w:qFormat/>
    <w:rPr>
      <w:bCs/>
      <w:kern w:val="2"/>
      <w:sz w:val="28"/>
      <w:szCs w:val="28"/>
    </w:rPr>
  </w:style>
  <w:style w:type="paragraph" w:customStyle="1" w:styleId="09915">
    <w:name w:val="样式 宋体 四号 加粗 首行缩进:  0.99 厘米 行距: 1.5 倍行距"/>
    <w:basedOn w:val="a"/>
    <w:link w:val="09915Char"/>
    <w:autoRedefine/>
    <w:qFormat/>
    <w:pPr>
      <w:spacing w:line="360" w:lineRule="auto"/>
      <w:ind w:firstLine="560"/>
    </w:pPr>
    <w:rPr>
      <w:rFonts w:cs="Times New Roman"/>
      <w:bCs/>
      <w:sz w:val="28"/>
      <w:szCs w:val="28"/>
    </w:rPr>
  </w:style>
  <w:style w:type="character" w:customStyle="1" w:styleId="edri-AtitleChar1CharChar">
    <w:name w:val="edri-A title Char1 Char Char"/>
    <w:autoRedefine/>
    <w:qFormat/>
    <w:rPr>
      <w:rFonts w:ascii="Arial Black" w:eastAsia="Verdana" w:hAnsi="Arial Black" w:cs="方正宋三简体"/>
      <w:bCs/>
      <w:sz w:val="24"/>
      <w:szCs w:val="24"/>
      <w:lang w:val="en-US" w:eastAsia="zh-CN" w:bidi="ar-SA"/>
    </w:rPr>
  </w:style>
  <w:style w:type="character" w:customStyle="1" w:styleId="txt">
    <w:name w:val="txt"/>
    <w:autoRedefine/>
    <w:qFormat/>
    <w:rPr>
      <w:rFonts w:ascii="Arial Black" w:eastAsia="ˎ̥" w:hAnsi="Arial Black"/>
      <w:szCs w:val="21"/>
      <w:lang w:val="en-US" w:eastAsia="en-US" w:bidi="ar-SA"/>
    </w:rPr>
  </w:style>
  <w:style w:type="character" w:customStyle="1" w:styleId="9dpi1">
    <w:name w:val="9dpi1"/>
    <w:autoRedefine/>
    <w:qFormat/>
    <w:rPr>
      <w:rFonts w:ascii="Arial Black" w:eastAsia="ˎ̥" w:hAnsi="Arial Black"/>
      <w:spacing w:val="30"/>
      <w:sz w:val="18"/>
      <w:szCs w:val="18"/>
      <w:lang w:val="en-US" w:eastAsia="en-US" w:bidi="ar-SA"/>
    </w:rPr>
  </w:style>
  <w:style w:type="character" w:customStyle="1" w:styleId="3CharChar3">
    <w:name w:val="3标题(治) Char Char"/>
    <w:autoRedefine/>
    <w:qFormat/>
    <w:rPr>
      <w:bCs/>
      <w:snapToGrid/>
      <w:color w:val="0000FF"/>
      <w:sz w:val="24"/>
      <w:szCs w:val="28"/>
    </w:rPr>
  </w:style>
  <w:style w:type="character" w:customStyle="1" w:styleId="CharCharff8">
    <w:name w:val="正文部分 Char Char"/>
    <w:link w:val="afffffffffffffffffffffffffff7"/>
    <w:autoRedefine/>
    <w:qFormat/>
    <w:rPr>
      <w:rFonts w:ascii="宋体" w:hAnsi="宋体"/>
      <w:bCs/>
      <w:sz w:val="28"/>
      <w:szCs w:val="32"/>
    </w:rPr>
  </w:style>
  <w:style w:type="paragraph" w:customStyle="1" w:styleId="afffffffffffffffffffffffffff7">
    <w:name w:val="正文部分"/>
    <w:basedOn w:val="a"/>
    <w:link w:val="CharCharff8"/>
    <w:autoRedefine/>
    <w:qFormat/>
    <w:pPr>
      <w:spacing w:line="500" w:lineRule="exact"/>
      <w:ind w:firstLineChars="200" w:firstLine="200"/>
      <w:jc w:val="left"/>
    </w:pPr>
    <w:rPr>
      <w:rFonts w:ascii="宋体" w:hAnsi="宋体" w:cs="Times New Roman"/>
      <w:bCs/>
      <w:kern w:val="0"/>
      <w:sz w:val="28"/>
      <w:szCs w:val="32"/>
    </w:rPr>
  </w:style>
  <w:style w:type="character" w:customStyle="1" w:styleId="CharCharff9">
    <w:name w:val="泸县焦化三级标题 Char Char"/>
    <w:link w:val="afffffffffffffffffffffffffff8"/>
    <w:autoRedefine/>
    <w:qFormat/>
    <w:rPr>
      <w:b/>
      <w:bCs/>
      <w:kern w:val="2"/>
      <w:sz w:val="24"/>
      <w:szCs w:val="24"/>
    </w:rPr>
  </w:style>
  <w:style w:type="paragraph" w:customStyle="1" w:styleId="afffffffffffffffffffffffffff8">
    <w:name w:val="泸县焦化三级标题"/>
    <w:basedOn w:val="a"/>
    <w:link w:val="CharCharff9"/>
    <w:autoRedefine/>
    <w:qFormat/>
    <w:pPr>
      <w:keepNext/>
      <w:keepLines/>
      <w:autoSpaceDE w:val="0"/>
      <w:autoSpaceDN w:val="0"/>
      <w:adjustRightInd w:val="0"/>
      <w:snapToGrid w:val="0"/>
      <w:spacing w:line="360" w:lineRule="auto"/>
      <w:outlineLvl w:val="2"/>
    </w:pPr>
    <w:rPr>
      <w:rFonts w:cs="Times New Roman"/>
      <w:b/>
      <w:bCs/>
      <w:sz w:val="24"/>
      <w:szCs w:val="24"/>
    </w:rPr>
  </w:style>
  <w:style w:type="character" w:customStyle="1" w:styleId="1cgCharChar">
    <w:name w:val="标题 1 cg Char Char"/>
    <w:link w:val="1cg"/>
    <w:autoRedefine/>
    <w:qFormat/>
    <w:rPr>
      <w:b/>
      <w:bCs/>
      <w:color w:val="0000FF"/>
      <w:kern w:val="44"/>
      <w:sz w:val="30"/>
      <w:szCs w:val="30"/>
    </w:rPr>
  </w:style>
  <w:style w:type="paragraph" w:customStyle="1" w:styleId="1cg">
    <w:name w:val="标题 1 cg"/>
    <w:basedOn w:val="1"/>
    <w:link w:val="1cgCharChar"/>
    <w:autoRedefine/>
    <w:qFormat/>
    <w:pPr>
      <w:keepLines w:val="0"/>
      <w:numPr>
        <w:numId w:val="0"/>
      </w:numPr>
      <w:tabs>
        <w:tab w:val="left" w:pos="870"/>
      </w:tabs>
    </w:pPr>
    <w:rPr>
      <w:rFonts w:cs="Times New Roman"/>
      <w:color w:val="0000FF"/>
      <w:sz w:val="30"/>
      <w:szCs w:val="30"/>
    </w:rPr>
  </w:style>
  <w:style w:type="character" w:customStyle="1" w:styleId="9CharChar0">
    <w:name w:val="样式9 Char Char"/>
    <w:autoRedefine/>
    <w:qFormat/>
    <w:rPr>
      <w:rFonts w:ascii="Verdana" w:hAnsi="Courier New"/>
      <w:spacing w:val="2"/>
      <w:sz w:val="21"/>
    </w:rPr>
  </w:style>
  <w:style w:type="character" w:customStyle="1" w:styleId="2Char30">
    <w:name w:val="正文文本缩进 2 Char3"/>
    <w:autoRedefine/>
    <w:qFormat/>
    <w:rPr>
      <w:rFonts w:ascii="Calibri" w:hAnsi="Calibri"/>
      <w:kern w:val="2"/>
      <w:sz w:val="24"/>
      <w:szCs w:val="22"/>
    </w:rPr>
  </w:style>
  <w:style w:type="character" w:customStyle="1" w:styleId="1111Char2">
    <w:name w:val="1.1.1.1 Char2"/>
    <w:autoRedefine/>
    <w:qFormat/>
    <w:rPr>
      <w:rFonts w:eastAsia="仿宋_GB2312"/>
      <w:b/>
      <w:sz w:val="28"/>
      <w:lang w:val="en-US" w:eastAsia="zh-CN" w:bidi="ar-SA"/>
    </w:rPr>
  </w:style>
  <w:style w:type="character" w:customStyle="1" w:styleId="3CharChar4">
    <w:name w:val="样式 标题 3 + 四号 蓝色 Char Char"/>
    <w:link w:val="3fff1"/>
    <w:autoRedefine/>
    <w:qFormat/>
    <w:rPr>
      <w:b/>
      <w:bCs/>
      <w:color w:val="0000FF"/>
      <w:kern w:val="2"/>
      <w:sz w:val="28"/>
      <w:szCs w:val="32"/>
    </w:rPr>
  </w:style>
  <w:style w:type="paragraph" w:customStyle="1" w:styleId="3fff1">
    <w:name w:val="样式 标题 3 + 四号 蓝色"/>
    <w:basedOn w:val="3"/>
    <w:link w:val="3CharChar4"/>
    <w:autoRedefine/>
    <w:qFormat/>
    <w:pPr>
      <w:numPr>
        <w:ilvl w:val="0"/>
        <w:numId w:val="0"/>
      </w:numPr>
      <w:tabs>
        <w:tab w:val="left" w:pos="870"/>
      </w:tabs>
      <w:ind w:firstLine="510"/>
      <w:jc w:val="both"/>
      <w:outlineLvl w:val="1"/>
    </w:pPr>
    <w:rPr>
      <w:rFonts w:cs="Times New Roman"/>
      <w:color w:val="0000FF"/>
      <w:sz w:val="28"/>
    </w:rPr>
  </w:style>
  <w:style w:type="character" w:customStyle="1" w:styleId="1-1CharChar">
    <w:name w:val="图1-1 Char Char"/>
    <w:autoRedefine/>
    <w:qFormat/>
    <w:rPr>
      <w:rFonts w:eastAsia="宋体"/>
      <w:b/>
      <w:spacing w:val="12"/>
      <w:w w:val="90"/>
      <w:kern w:val="2"/>
      <w:sz w:val="21"/>
      <w:szCs w:val="24"/>
      <w:lang w:val="en-US" w:eastAsia="zh-CN" w:bidi="ar-SA"/>
    </w:rPr>
  </w:style>
  <w:style w:type="character" w:customStyle="1" w:styleId="1Char12">
    <w:name w:val="1) Char1"/>
    <w:autoRedefine/>
    <w:qFormat/>
    <w:rPr>
      <w:rFonts w:eastAsia="宋体"/>
      <w:b/>
      <w:sz w:val="24"/>
      <w:lang w:val="en-US" w:eastAsia="zh-CN" w:bidi="ar-SA"/>
    </w:rPr>
  </w:style>
  <w:style w:type="character" w:customStyle="1" w:styleId="CharCharCharCharChar6">
    <w:name w:val="样式 正文文本 + 红色 Char Char Char Char Char"/>
    <w:autoRedefine/>
    <w:qFormat/>
    <w:rPr>
      <w:rFonts w:ascii="仿宋_GB2312" w:eastAsia="ˎ̥" w:hAnsi="仿宋_GB2312"/>
      <w:snapToGrid/>
      <w:color w:val="FF0000"/>
      <w:sz w:val="24"/>
      <w:szCs w:val="24"/>
    </w:rPr>
  </w:style>
  <w:style w:type="character" w:customStyle="1" w:styleId="22CharChar0">
    <w:name w:val="样式 题注 + 首行缩进:  2 字符2 Char Char"/>
    <w:link w:val="22b"/>
    <w:autoRedefine/>
    <w:qFormat/>
    <w:rPr>
      <w:rFonts w:ascii="黑体" w:eastAsia="黑体" w:hAnsi="宋体"/>
      <w:kern w:val="2"/>
      <w:sz w:val="24"/>
    </w:rPr>
  </w:style>
  <w:style w:type="paragraph" w:customStyle="1" w:styleId="22b">
    <w:name w:val="样式 题注 + 首行缩进:  2 字符2"/>
    <w:basedOn w:val="af4"/>
    <w:link w:val="22CharChar0"/>
    <w:autoRedefine/>
    <w:qFormat/>
    <w:pPr>
      <w:keepNext/>
      <w:adjustRightInd w:val="0"/>
      <w:snapToGrid w:val="0"/>
      <w:jc w:val="center"/>
    </w:pPr>
    <w:rPr>
      <w:rFonts w:ascii="黑体" w:hAnsi="宋体" w:cs="Times New Roman"/>
      <w:sz w:val="24"/>
    </w:rPr>
  </w:style>
  <w:style w:type="character" w:customStyle="1" w:styleId="style12">
    <w:name w:val="style12"/>
    <w:autoRedefine/>
    <w:qFormat/>
    <w:rPr>
      <w:szCs w:val="24"/>
    </w:rPr>
  </w:style>
  <w:style w:type="character" w:customStyle="1" w:styleId="14p">
    <w:name w:val="14p"/>
    <w:autoRedefine/>
    <w:qFormat/>
    <w:rPr>
      <w:rFonts w:ascii="Arial Black" w:eastAsia="ˎ̥" w:hAnsi="Arial Black"/>
      <w:szCs w:val="21"/>
      <w:lang w:val="en-US" w:eastAsia="en-US" w:bidi="ar-SA"/>
    </w:rPr>
  </w:style>
  <w:style w:type="character" w:customStyle="1" w:styleId="CharCharCharChara">
    <w:name w:val="表名 Char Char Char Char"/>
    <w:autoRedefine/>
    <w:qFormat/>
    <w:rPr>
      <w:rFonts w:ascii="Arial" w:eastAsia="黑体" w:hAnsi="Arial"/>
      <w:kern w:val="2"/>
      <w:sz w:val="21"/>
    </w:rPr>
  </w:style>
  <w:style w:type="character" w:customStyle="1" w:styleId="2Char21">
    <w:name w:val="正文首行缩进 2 Char2"/>
    <w:autoRedefine/>
    <w:uiPriority w:val="99"/>
    <w:qFormat/>
  </w:style>
  <w:style w:type="character" w:customStyle="1" w:styleId="2Char22">
    <w:name w:val="正文文本缩进 2 Char2"/>
    <w:autoRedefine/>
    <w:uiPriority w:val="99"/>
    <w:qFormat/>
    <w:rPr>
      <w:kern w:val="2"/>
      <w:sz w:val="21"/>
    </w:rPr>
  </w:style>
  <w:style w:type="character" w:customStyle="1" w:styleId="Char2d">
    <w:name w:val="正文文本缩进 Char2"/>
    <w:autoRedefine/>
    <w:qFormat/>
    <w:rPr>
      <w:rFonts w:ascii="Calibri" w:hAnsi="Calibri"/>
      <w:sz w:val="24"/>
    </w:rPr>
  </w:style>
  <w:style w:type="character" w:customStyle="1" w:styleId="Char33">
    <w:name w:val="正文首行缩进 Char3"/>
    <w:autoRedefine/>
    <w:qFormat/>
  </w:style>
  <w:style w:type="character" w:customStyle="1" w:styleId="ttitle1">
    <w:name w:val="ttitle1"/>
    <w:qFormat/>
    <w:rPr>
      <w:spacing w:val="120"/>
      <w:sz w:val="21"/>
      <w:szCs w:val="21"/>
    </w:rPr>
  </w:style>
  <w:style w:type="character" w:customStyle="1" w:styleId="Char2e">
    <w:name w:val="批注主题 Char2"/>
    <w:autoRedefine/>
    <w:uiPriority w:val="99"/>
    <w:qFormat/>
    <w:rPr>
      <w:rFonts w:ascii="Calibri" w:hAnsi="Calibri"/>
      <w:b/>
      <w:bCs/>
      <w:kern w:val="2"/>
      <w:sz w:val="24"/>
      <w:szCs w:val="22"/>
    </w:rPr>
  </w:style>
  <w:style w:type="character" w:customStyle="1" w:styleId="CharCharffa">
    <w:name w:val="燕山正文 Char Char"/>
    <w:autoRedefine/>
    <w:qFormat/>
    <w:rPr>
      <w:rFonts w:eastAsia="宋体" w:hAnsi="Arial"/>
      <w:snapToGrid/>
      <w:spacing w:val="10"/>
      <w:sz w:val="24"/>
      <w:szCs w:val="24"/>
      <w:lang w:val="en-US" w:eastAsia="zh-CN" w:bidi="ar-SA"/>
    </w:rPr>
  </w:style>
  <w:style w:type="character" w:customStyle="1" w:styleId="2211H2h241lxb2CharCharChar">
    <w:name w:val="样式 标题 2节标题标题21.1H2h2第一层条4.1二级标题标题 lxb2二级标题 Char表标题单位... Char Char"/>
    <w:autoRedefine/>
    <w:qFormat/>
    <w:rPr>
      <w:rFonts w:ascii="Arial Black" w:eastAsia="Verdana" w:hAnsi="Arial Black" w:cs="Courier New"/>
      <w:b/>
      <w:kern w:val="32"/>
      <w:sz w:val="28"/>
      <w:szCs w:val="28"/>
      <w:lang w:val="en-US" w:eastAsia="zh-CN" w:bidi="ar-SA"/>
    </w:rPr>
  </w:style>
  <w:style w:type="character" w:customStyle="1" w:styleId="style16style57">
    <w:name w:val="style16 style57"/>
    <w:autoRedefine/>
    <w:qFormat/>
    <w:rPr>
      <w:szCs w:val="24"/>
    </w:rPr>
  </w:style>
  <w:style w:type="character" w:customStyle="1" w:styleId="1Char13">
    <w:name w:val="页脚1 Char1"/>
    <w:qFormat/>
    <w:rPr>
      <w:rFonts w:eastAsia="宋体"/>
      <w:kern w:val="2"/>
      <w:sz w:val="18"/>
      <w:szCs w:val="18"/>
      <w:lang w:val="en-US" w:eastAsia="zh-CN" w:bidi="ar-SA"/>
    </w:rPr>
  </w:style>
  <w:style w:type="character" w:customStyle="1" w:styleId="Char34">
    <w:name w:val="正文文本缩进 Char3"/>
    <w:uiPriority w:val="99"/>
    <w:qFormat/>
    <w:rPr>
      <w:kern w:val="2"/>
      <w:sz w:val="21"/>
    </w:rPr>
  </w:style>
  <w:style w:type="character" w:customStyle="1" w:styleId="2CharCharChar">
    <w:name w:val="正文文本 2 Char Char Char"/>
    <w:autoRedefine/>
    <w:qFormat/>
    <w:rPr>
      <w:rFonts w:ascii="Times New Roman" w:hAnsi="Times New Roman"/>
      <w:kern w:val="2"/>
      <w:sz w:val="21"/>
    </w:rPr>
  </w:style>
  <w:style w:type="character" w:customStyle="1" w:styleId="highlight1">
    <w:name w:val="highlight1"/>
    <w:qFormat/>
    <w:rPr>
      <w:sz w:val="21"/>
      <w:szCs w:val="21"/>
    </w:rPr>
  </w:style>
  <w:style w:type="character" w:customStyle="1" w:styleId="style6">
    <w:name w:val="style6"/>
    <w:qFormat/>
    <w:rPr>
      <w:rFonts w:ascii="Arial" w:hAnsi="Arial" w:cs="Arial" w:hint="default"/>
      <w:sz w:val="18"/>
      <w:szCs w:val="18"/>
    </w:rPr>
  </w:style>
  <w:style w:type="character" w:customStyle="1" w:styleId="2fffff1">
    <w:name w:val="页码2"/>
    <w:autoRedefine/>
    <w:qFormat/>
  </w:style>
  <w:style w:type="character" w:customStyle="1" w:styleId="CharCharffb">
    <w:name w:val="【表头】 Char Char"/>
    <w:qFormat/>
    <w:rPr>
      <w:rFonts w:eastAsia="黑体"/>
      <w:color w:val="000000"/>
      <w:sz w:val="24"/>
      <w:szCs w:val="24"/>
    </w:rPr>
  </w:style>
  <w:style w:type="character" w:customStyle="1" w:styleId="Char2f">
    <w:name w:val="签名 Char2"/>
    <w:uiPriority w:val="99"/>
    <w:qFormat/>
    <w:rPr>
      <w:kern w:val="2"/>
      <w:sz w:val="21"/>
    </w:rPr>
  </w:style>
  <w:style w:type="character" w:customStyle="1" w:styleId="bb1">
    <w:name w:val="bb1"/>
    <w:autoRedefine/>
    <w:qFormat/>
    <w:rPr>
      <w:sz w:val="18"/>
      <w:szCs w:val="18"/>
    </w:rPr>
  </w:style>
  <w:style w:type="character" w:customStyle="1" w:styleId="3Char1CharChar">
    <w:name w:val="标题 3 Char1 Char Char"/>
    <w:autoRedefine/>
    <w:qFormat/>
    <w:rPr>
      <w:rFonts w:ascii="Arial Black" w:eastAsia="Verdana" w:hAnsi="Arial Black"/>
      <w:b/>
      <w:bCs/>
      <w:kern w:val="2"/>
      <w:sz w:val="32"/>
      <w:szCs w:val="32"/>
      <w:lang w:val="en-US" w:eastAsia="zh-CN" w:bidi="ar-SA"/>
    </w:rPr>
  </w:style>
  <w:style w:type="character" w:customStyle="1" w:styleId="1cgCharChar0">
    <w:name w:val="样式 标题 1 cg Char Char"/>
    <w:link w:val="1cg0"/>
    <w:autoRedefine/>
    <w:qFormat/>
    <w:rPr>
      <w:b/>
      <w:bCs/>
      <w:color w:val="0000FF"/>
      <w:kern w:val="44"/>
      <w:sz w:val="30"/>
      <w:szCs w:val="30"/>
    </w:rPr>
  </w:style>
  <w:style w:type="paragraph" w:customStyle="1" w:styleId="1cg0">
    <w:name w:val="样式 标题 1 cg"/>
    <w:basedOn w:val="1"/>
    <w:link w:val="1cgCharChar0"/>
    <w:autoRedefine/>
    <w:qFormat/>
    <w:pPr>
      <w:keepLines w:val="0"/>
      <w:numPr>
        <w:numId w:val="0"/>
      </w:numPr>
      <w:tabs>
        <w:tab w:val="left" w:pos="870"/>
      </w:tabs>
      <w:jc w:val="both"/>
    </w:pPr>
    <w:rPr>
      <w:rFonts w:cs="Times New Roman"/>
      <w:color w:val="0000FF"/>
      <w:sz w:val="30"/>
      <w:szCs w:val="30"/>
    </w:rPr>
  </w:style>
  <w:style w:type="character" w:customStyle="1" w:styleId="CharCharCharCharCharCharChar8">
    <w:name w:val="表文 Char Char Char Char Char Char Char"/>
    <w:qFormat/>
    <w:rPr>
      <w:rFonts w:ascii="宋体" w:eastAsia="宋体" w:hAnsi="宋体"/>
      <w:sz w:val="21"/>
      <w:lang w:val="en-US" w:eastAsia="zh-CN" w:bidi="ar-SA"/>
    </w:rPr>
  </w:style>
  <w:style w:type="character" w:customStyle="1" w:styleId="3Char20">
    <w:name w:val="正文文本缩进 3 Char2"/>
    <w:autoRedefine/>
    <w:uiPriority w:val="99"/>
    <w:qFormat/>
    <w:rPr>
      <w:kern w:val="2"/>
      <w:sz w:val="16"/>
      <w:szCs w:val="16"/>
    </w:rPr>
  </w:style>
  <w:style w:type="character" w:customStyle="1" w:styleId="Char2f0">
    <w:name w:val="尾注文本 Char2"/>
    <w:autoRedefine/>
    <w:uiPriority w:val="99"/>
    <w:qFormat/>
    <w:rPr>
      <w:kern w:val="2"/>
      <w:sz w:val="21"/>
    </w:rPr>
  </w:style>
  <w:style w:type="character" w:customStyle="1" w:styleId="bt10">
    <w:name w:val="bt1"/>
    <w:qFormat/>
    <w:rPr>
      <w:color w:val="000000"/>
    </w:rPr>
  </w:style>
  <w:style w:type="character" w:customStyle="1" w:styleId="-CharCharChar">
    <w:name w:val="可研-正文首行缩进 Char Char Char"/>
    <w:autoRedefine/>
    <w:qFormat/>
    <w:rPr>
      <w:rFonts w:eastAsia="宋体"/>
      <w:spacing w:val="8"/>
      <w:kern w:val="24"/>
      <w:sz w:val="24"/>
      <w:lang w:val="en-US" w:eastAsia="zh-CN"/>
    </w:rPr>
  </w:style>
  <w:style w:type="character" w:customStyle="1" w:styleId="1ffffff3">
    <w:name w:val="默认段落字体1"/>
    <w:autoRedefine/>
    <w:qFormat/>
    <w:rPr>
      <w:rFonts w:ascii="Times New Roman" w:eastAsia="宋体"/>
      <w:color w:val="000000"/>
      <w:spacing w:val="0"/>
      <w:w w:val="100"/>
      <w:sz w:val="21"/>
      <w:u w:val="none" w:color="000000"/>
      <w:vertAlign w:val="baseline"/>
      <w:lang w:val="en-US" w:eastAsia="zh-CN"/>
    </w:rPr>
  </w:style>
  <w:style w:type="character" w:customStyle="1" w:styleId="large1">
    <w:name w:val="large1"/>
    <w:qFormat/>
    <w:rPr>
      <w:rFonts w:ascii="宋体" w:eastAsia="宋体" w:hAnsi="宋体" w:hint="eastAsia"/>
      <w:sz w:val="24"/>
      <w:szCs w:val="24"/>
    </w:rPr>
  </w:style>
  <w:style w:type="character" w:customStyle="1" w:styleId="2CharChar3">
    <w:name w:val="正文 + 首行缩进:  2 字符 Char Char"/>
    <w:qFormat/>
    <w:rPr>
      <w:rFonts w:eastAsia="宋体"/>
      <w:spacing w:val="12"/>
      <w:kern w:val="2"/>
      <w:sz w:val="24"/>
      <w:lang w:val="en-US" w:eastAsia="zh-CN" w:bidi="ar-SA"/>
    </w:rPr>
  </w:style>
  <w:style w:type="character" w:customStyle="1" w:styleId="Bt111CharChar">
    <w:name w:val="Bt1.1.1 Char Char"/>
    <w:link w:val="Bt111"/>
    <w:autoRedefine/>
    <w:qFormat/>
    <w:rPr>
      <w:rFonts w:eastAsia="楷体_GB2312"/>
      <w:b/>
      <w:bCs/>
      <w:color w:val="000000"/>
      <w:sz w:val="32"/>
      <w:szCs w:val="24"/>
    </w:rPr>
  </w:style>
  <w:style w:type="paragraph" w:customStyle="1" w:styleId="Bt111">
    <w:name w:val="Bt1.1.1"/>
    <w:basedOn w:val="a"/>
    <w:next w:val="a"/>
    <w:link w:val="Bt111CharChar"/>
    <w:qFormat/>
    <w:pPr>
      <w:keepNext/>
      <w:keepLines/>
      <w:spacing w:line="360" w:lineRule="auto"/>
      <w:jc w:val="left"/>
      <w:outlineLvl w:val="2"/>
    </w:pPr>
    <w:rPr>
      <w:rFonts w:eastAsia="楷体_GB2312" w:cs="Times New Roman"/>
      <w:b/>
      <w:bCs/>
      <w:color w:val="000000"/>
      <w:kern w:val="0"/>
      <w:sz w:val="32"/>
      <w:szCs w:val="24"/>
    </w:rPr>
  </w:style>
  <w:style w:type="character" w:customStyle="1" w:styleId="CharCharCharCharb">
    <w:name w:val="表号 Char Char Char Char"/>
    <w:autoRedefine/>
    <w:qFormat/>
    <w:rPr>
      <w:kern w:val="2"/>
      <w:sz w:val="24"/>
    </w:rPr>
  </w:style>
  <w:style w:type="character" w:customStyle="1" w:styleId="111CharChar">
    <w:name w:val="样式 标题 1章标题1.1 Char Char"/>
    <w:link w:val="1119"/>
    <w:autoRedefine/>
    <w:qFormat/>
    <w:rPr>
      <w:b/>
      <w:bCs/>
      <w:kern w:val="44"/>
      <w:sz w:val="44"/>
      <w:szCs w:val="24"/>
    </w:rPr>
  </w:style>
  <w:style w:type="paragraph" w:customStyle="1" w:styleId="1119">
    <w:name w:val="样式 标题 1章标题1.1"/>
    <w:basedOn w:val="1"/>
    <w:link w:val="111CharChar"/>
    <w:qFormat/>
    <w:pPr>
      <w:keepLines w:val="0"/>
      <w:numPr>
        <w:numId w:val="0"/>
      </w:numPr>
      <w:tabs>
        <w:tab w:val="left" w:pos="870"/>
      </w:tabs>
      <w:adjustRightInd w:val="0"/>
    </w:pPr>
    <w:rPr>
      <w:rFonts w:cs="Times New Roman"/>
      <w:sz w:val="44"/>
      <w:szCs w:val="24"/>
    </w:rPr>
  </w:style>
  <w:style w:type="character" w:customStyle="1" w:styleId="NormalCharChar">
    <w:name w:val="Normal Char Char"/>
    <w:autoRedefine/>
    <w:qFormat/>
    <w:rPr>
      <w:rFonts w:ascii="宋体" w:eastAsia="Times New Roman"/>
      <w:sz w:val="24"/>
    </w:rPr>
  </w:style>
  <w:style w:type="character" w:customStyle="1" w:styleId="style9style60">
    <w:name w:val="style9 style60"/>
    <w:autoRedefine/>
    <w:qFormat/>
    <w:rPr>
      <w:szCs w:val="24"/>
    </w:rPr>
  </w:style>
  <w:style w:type="character" w:customStyle="1" w:styleId="2CharChar4">
    <w:name w:val="样式 首行缩进:  2 字符 Char Char"/>
    <w:qFormat/>
    <w:rPr>
      <w:rFonts w:ascii="宋体" w:eastAsia="宋体" w:cs="宋体"/>
      <w:kern w:val="2"/>
      <w:sz w:val="28"/>
      <w:szCs w:val="28"/>
      <w:lang w:val="en-US" w:eastAsia="zh-CN" w:bidi="ar-SA"/>
    </w:rPr>
  </w:style>
  <w:style w:type="character" w:customStyle="1" w:styleId="08514CharChar">
    <w:name w:val="样式 小四 蓝色 首行缩进:  0.85 厘米 行距: 多倍行距 1.4 字行 Char Char"/>
    <w:autoRedefine/>
    <w:qFormat/>
    <w:rPr>
      <w:rFonts w:ascii="仿宋_GB2312" w:hAnsi="仿宋_GB2312"/>
      <w:color w:val="0000FF"/>
      <w:kern w:val="2"/>
      <w:sz w:val="24"/>
    </w:rPr>
  </w:style>
  <w:style w:type="character" w:customStyle="1" w:styleId="CharCharffc">
    <w:name w:val="正文段落（宋旭峰） Char Char"/>
    <w:link w:val="afffffffffffffffffffffffffff9"/>
    <w:autoRedefine/>
    <w:qFormat/>
    <w:rPr>
      <w:rFonts w:ascii="宋体" w:hAnsi="宋体"/>
      <w:snapToGrid w:val="0"/>
      <w:color w:val="0000FF"/>
      <w:kern w:val="2"/>
      <w:sz w:val="24"/>
      <w:szCs w:val="24"/>
    </w:rPr>
  </w:style>
  <w:style w:type="paragraph" w:customStyle="1" w:styleId="afffffffffffffffffffffffffff9">
    <w:name w:val="正文段落（宋旭峰）"/>
    <w:basedOn w:val="a"/>
    <w:link w:val="CharCharffc"/>
    <w:qFormat/>
    <w:pPr>
      <w:spacing w:line="360" w:lineRule="auto"/>
      <w:ind w:firstLineChars="200" w:firstLine="480"/>
      <w:jc w:val="left"/>
    </w:pPr>
    <w:rPr>
      <w:rFonts w:ascii="宋体" w:hAnsi="宋体" w:cs="Times New Roman"/>
      <w:snapToGrid w:val="0"/>
      <w:color w:val="0000FF"/>
      <w:sz w:val="24"/>
      <w:szCs w:val="24"/>
    </w:rPr>
  </w:style>
  <w:style w:type="character" w:customStyle="1" w:styleId="CharCharffd">
    <w:name w:val="正文 Char Char"/>
    <w:qFormat/>
    <w:rPr>
      <w:rFonts w:eastAsia="宋体"/>
      <w:kern w:val="2"/>
      <w:sz w:val="24"/>
      <w:lang w:val="en-US" w:eastAsia="zh-CN"/>
    </w:rPr>
  </w:style>
  <w:style w:type="character" w:customStyle="1" w:styleId="contentcolor">
    <w:name w:val="contentcolor"/>
    <w:autoRedefine/>
    <w:qFormat/>
    <w:rPr>
      <w:szCs w:val="24"/>
    </w:rPr>
  </w:style>
  <w:style w:type="character" w:customStyle="1" w:styleId="CharCharffe">
    <w:name w:val="蒲正文 Char Char"/>
    <w:autoRedefine/>
    <w:qFormat/>
    <w:rPr>
      <w:sz w:val="24"/>
    </w:rPr>
  </w:style>
  <w:style w:type="character" w:customStyle="1" w:styleId="123YJCharChar1">
    <w:name w:val="123YJ Char Char1"/>
    <w:autoRedefine/>
    <w:qFormat/>
    <w:rPr>
      <w:rFonts w:ascii="Arial Black" w:eastAsia="Verdana" w:hAnsi="Arial Black"/>
      <w:kern w:val="2"/>
      <w:sz w:val="18"/>
      <w:szCs w:val="18"/>
      <w:lang w:val="en-US" w:eastAsia="zh-CN" w:bidi="ar-SA"/>
    </w:rPr>
  </w:style>
  <w:style w:type="character" w:customStyle="1" w:styleId="2Char11">
    <w:name w:val="正文文本 2 Char1"/>
    <w:autoRedefine/>
    <w:qFormat/>
    <w:rPr>
      <w:rFonts w:ascii="Calibri" w:eastAsia="宋体" w:hAnsi="Calibri" w:cs="Times New Roman"/>
      <w:sz w:val="24"/>
    </w:rPr>
  </w:style>
  <w:style w:type="character" w:customStyle="1" w:styleId="CharCharCharf0">
    <w:name w:val="日期 Char Char Char"/>
    <w:autoRedefine/>
    <w:qFormat/>
    <w:rPr>
      <w:rFonts w:ascii="Times New Roman" w:hAnsi="Times New Roman"/>
      <w:kern w:val="2"/>
      <w:sz w:val="21"/>
    </w:rPr>
  </w:style>
  <w:style w:type="character" w:customStyle="1" w:styleId="4CharChar3">
    <w:name w:val="样式4 Char Char"/>
    <w:autoRedefine/>
    <w:qFormat/>
    <w:rPr>
      <w:snapToGrid/>
      <w:color w:val="0000FF"/>
      <w:sz w:val="24"/>
    </w:rPr>
  </w:style>
  <w:style w:type="character" w:customStyle="1" w:styleId="CharCharfff">
    <w:name w:val="图名 Char Char"/>
    <w:autoRedefine/>
    <w:qFormat/>
    <w:rPr>
      <w:rFonts w:eastAsia="黑体"/>
      <w:b/>
      <w:szCs w:val="24"/>
      <w:lang w:val="en-US" w:eastAsia="zh-CN" w:bidi="ar-SA"/>
    </w:rPr>
  </w:style>
  <w:style w:type="character" w:customStyle="1" w:styleId="141512CharChar">
    <w:name w:val="样式 样式 方正宋三简体 14 磅 行距: 1.5 倍行距1 + 首行缩进:  2 字符 Char Char"/>
    <w:link w:val="141512"/>
    <w:qFormat/>
    <w:rPr>
      <w:rFonts w:ascii="Verdana" w:eastAsia="Verdana"/>
      <w:kern w:val="2"/>
      <w:sz w:val="27"/>
      <w:szCs w:val="27"/>
    </w:rPr>
  </w:style>
  <w:style w:type="paragraph" w:customStyle="1" w:styleId="141512">
    <w:name w:val="样式 样式 方正宋三简体 14 磅 行距: 1.5 倍行距1 + 首行缩进:  2 字符"/>
    <w:basedOn w:val="a"/>
    <w:link w:val="141512CharChar"/>
    <w:autoRedefine/>
    <w:qFormat/>
    <w:pPr>
      <w:ind w:firstLineChars="200" w:firstLine="200"/>
    </w:pPr>
    <w:rPr>
      <w:rFonts w:ascii="Verdana" w:eastAsia="Verdana" w:cs="Times New Roman"/>
      <w:sz w:val="27"/>
      <w:szCs w:val="27"/>
    </w:rPr>
  </w:style>
  <w:style w:type="character" w:customStyle="1" w:styleId="CharCharCharCharCharCharChar9">
    <w:name w:val="热电厂正文 Char Char Char Char Char Char Char"/>
    <w:link w:val="CharCharCharCharc"/>
    <w:autoRedefine/>
    <w:qFormat/>
    <w:rPr>
      <w:kern w:val="2"/>
      <w:sz w:val="24"/>
      <w:szCs w:val="24"/>
    </w:rPr>
  </w:style>
  <w:style w:type="paragraph" w:customStyle="1" w:styleId="CharCharCharCharc">
    <w:name w:val="热电厂正文 Char Char Char Char"/>
    <w:basedOn w:val="a"/>
    <w:link w:val="CharCharCharCharCharCharChar9"/>
    <w:autoRedefine/>
    <w:qFormat/>
    <w:pPr>
      <w:spacing w:line="440" w:lineRule="exact"/>
      <w:ind w:firstLineChars="200" w:firstLine="480"/>
    </w:pPr>
    <w:rPr>
      <w:rFonts w:cs="Times New Roman"/>
      <w:sz w:val="24"/>
      <w:szCs w:val="24"/>
    </w:rPr>
  </w:style>
  <w:style w:type="character" w:customStyle="1" w:styleId="CharCharfff0">
    <w:name w:val="表、图名 Char Char"/>
    <w:autoRedefine/>
    <w:qFormat/>
    <w:rPr>
      <w:rFonts w:ascii="仿宋_GB2312" w:hAnsi="仿宋_GB2312"/>
      <w:b/>
      <w:sz w:val="24"/>
      <w:szCs w:val="24"/>
    </w:rPr>
  </w:style>
  <w:style w:type="character" w:customStyle="1" w:styleId="f241">
    <w:name w:val="f241"/>
    <w:autoRedefine/>
    <w:qFormat/>
    <w:rPr>
      <w:rFonts w:ascii="Arial Black" w:eastAsia="ˎ̥" w:hAnsi="Arial Black"/>
      <w:sz w:val="36"/>
      <w:szCs w:val="36"/>
      <w:lang w:val="en-US" w:eastAsia="en-US" w:bidi="ar-SA"/>
    </w:rPr>
  </w:style>
  <w:style w:type="character" w:customStyle="1" w:styleId="CharCharfff1">
    <w:name w:val="表格四号 Char Char"/>
    <w:link w:val="afffffffffffffffffffffffffffa"/>
    <w:autoRedefine/>
    <w:qFormat/>
    <w:rPr>
      <w:rFonts w:ascii="Verdana" w:hAnsi="Verdana"/>
      <w:snapToGrid w:val="0"/>
      <w:sz w:val="28"/>
      <w:szCs w:val="28"/>
    </w:rPr>
  </w:style>
  <w:style w:type="paragraph" w:customStyle="1" w:styleId="afffffffffffffffffffffffffffa">
    <w:name w:val="表格四号"/>
    <w:basedOn w:val="a"/>
    <w:link w:val="CharCharfff1"/>
    <w:autoRedefine/>
    <w:qFormat/>
    <w:pPr>
      <w:adjustRightInd w:val="0"/>
      <w:snapToGrid w:val="0"/>
      <w:jc w:val="center"/>
    </w:pPr>
    <w:rPr>
      <w:rFonts w:ascii="Verdana" w:hAnsi="Verdana" w:cs="Times New Roman"/>
      <w:snapToGrid w:val="0"/>
      <w:kern w:val="0"/>
      <w:sz w:val="28"/>
      <w:szCs w:val="28"/>
    </w:rPr>
  </w:style>
  <w:style w:type="character" w:customStyle="1" w:styleId="Charffffff4">
    <w:name w:val="表标 Char"/>
    <w:autoRedefine/>
    <w:qFormat/>
    <w:rPr>
      <w:rFonts w:eastAsia="宋体"/>
      <w:kern w:val="2"/>
      <w:sz w:val="18"/>
      <w:lang w:val="en-US" w:eastAsia="zh-CN" w:bidi="ar-SA"/>
    </w:rPr>
  </w:style>
  <w:style w:type="character" w:customStyle="1" w:styleId="111CharChar0">
    <w:name w:val="1.1.1 Char Char"/>
    <w:autoRedefine/>
    <w:qFormat/>
    <w:rPr>
      <w:rFonts w:ascii="Times New Roman" w:eastAsia="宋体" w:hAnsi="Times New Roman" w:cs="Times New Roman"/>
      <w:b/>
      <w:szCs w:val="24"/>
      <w:lang w:val="en-US" w:eastAsia="zh-CN"/>
    </w:rPr>
  </w:style>
  <w:style w:type="character" w:customStyle="1" w:styleId="style30">
    <w:name w:val="style3"/>
    <w:autoRedefine/>
    <w:qFormat/>
    <w:rPr>
      <w:rFonts w:ascii="Arial Black" w:eastAsia="ˎ̥" w:hAnsi="Arial Black"/>
      <w:szCs w:val="21"/>
      <w:lang w:val="en-US" w:eastAsia="en-US" w:bidi="ar-SA"/>
    </w:rPr>
  </w:style>
  <w:style w:type="character" w:customStyle="1" w:styleId="Char2f1">
    <w:name w:val="文档结构图 Char2"/>
    <w:uiPriority w:val="99"/>
    <w:qFormat/>
    <w:rPr>
      <w:rFonts w:ascii="宋体" w:hAnsi="Calibri"/>
      <w:kern w:val="2"/>
      <w:sz w:val="18"/>
      <w:szCs w:val="18"/>
    </w:rPr>
  </w:style>
  <w:style w:type="character" w:customStyle="1" w:styleId="3Char30">
    <w:name w:val="正文文本 3 Char3"/>
    <w:autoRedefine/>
    <w:uiPriority w:val="99"/>
    <w:qFormat/>
    <w:rPr>
      <w:kern w:val="2"/>
      <w:sz w:val="16"/>
      <w:szCs w:val="16"/>
    </w:rPr>
  </w:style>
  <w:style w:type="character" w:customStyle="1" w:styleId="CharCharfff2">
    <w:name w:val="德胜正文 Char Char"/>
    <w:autoRedefine/>
    <w:qFormat/>
    <w:rPr>
      <w:snapToGrid/>
      <w:color w:val="0000FF"/>
      <w:sz w:val="24"/>
    </w:rPr>
  </w:style>
  <w:style w:type="character" w:customStyle="1" w:styleId="CharCharfff3">
    <w:name w:val="规划正文样式 Char Char"/>
    <w:autoRedefine/>
    <w:qFormat/>
    <w:rPr>
      <w:rFonts w:ascii="Arial Black" w:eastAsia="Verdana" w:hAnsi="Arial Black"/>
      <w:kern w:val="2"/>
      <w:sz w:val="24"/>
      <w:szCs w:val="24"/>
      <w:lang w:val="en-US" w:eastAsia="zh-CN" w:bidi="ar-SA"/>
    </w:rPr>
  </w:style>
  <w:style w:type="character" w:customStyle="1" w:styleId="DateCharChar">
    <w:name w:val="Date Char Char"/>
    <w:autoRedefine/>
    <w:qFormat/>
    <w:locked/>
    <w:rPr>
      <w:rFonts w:eastAsia="黑体"/>
      <w:kern w:val="2"/>
      <w:sz w:val="28"/>
      <w:szCs w:val="24"/>
      <w:lang w:val="en-US" w:eastAsia="zh-CN" w:bidi="ar-SA"/>
    </w:rPr>
  </w:style>
  <w:style w:type="character" w:customStyle="1" w:styleId="Char1fa">
    <w:name w:val="正文首行缩进 Char1"/>
    <w:autoRedefine/>
    <w:qFormat/>
    <w:rPr>
      <w:rFonts w:eastAsia="楷体_GB2312"/>
      <w:sz w:val="28"/>
      <w:szCs w:val="24"/>
    </w:rPr>
  </w:style>
  <w:style w:type="character" w:customStyle="1" w:styleId="CharCharCharChard">
    <w:name w:val="表内文字 Char Char Char Char"/>
    <w:autoRedefine/>
    <w:qFormat/>
    <w:rPr>
      <w:rFonts w:ascii="Verdana" w:eastAsia="Verdana" w:hAnsi="MHei-Medium" w:cs="MHei-Medium"/>
      <w:kern w:val="2"/>
      <w:sz w:val="21"/>
      <w:szCs w:val="21"/>
      <w:lang w:val="en-US" w:eastAsia="zh-CN" w:bidi="ar-SA"/>
    </w:rPr>
  </w:style>
  <w:style w:type="character" w:customStyle="1" w:styleId="Table">
    <w:name w:val="表格Table"/>
    <w:autoRedefine/>
    <w:qFormat/>
    <w:rPr>
      <w:color w:val="000000"/>
      <w:sz w:val="21"/>
    </w:rPr>
  </w:style>
  <w:style w:type="character" w:customStyle="1" w:styleId="33H3h33rdlevel4ArialCharChar">
    <w:name w:val="样式 标题 3小标题小节标题标题3H3h33rd level第二层条标题4 + Arial Char Char"/>
    <w:autoRedefine/>
    <w:qFormat/>
    <w:rPr>
      <w:rFonts w:ascii="Courier New" w:hAnsi="Courier New"/>
      <w:b/>
      <w:color w:val="000000"/>
      <w:sz w:val="30"/>
      <w:szCs w:val="30"/>
    </w:rPr>
  </w:style>
  <w:style w:type="character" w:customStyle="1" w:styleId="11111HTS1H1Heading11level1Level1HeadCharChar">
    <w:name w:val="样式 标题 1章标题 11.1标题 1HTS 1H1Heading 11level 1Level 1 Head章... Char Char"/>
    <w:autoRedefine/>
    <w:qFormat/>
    <w:rPr>
      <w:b/>
      <w:bCs/>
      <w:snapToGrid/>
      <w:color w:val="0000FF"/>
      <w:sz w:val="32"/>
      <w:szCs w:val="32"/>
    </w:rPr>
  </w:style>
  <w:style w:type="character" w:customStyle="1" w:styleId="lineheight1501">
    <w:name w:val="lineheight1501"/>
    <w:autoRedefine/>
    <w:qFormat/>
    <w:rPr>
      <w:szCs w:val="24"/>
    </w:rPr>
  </w:style>
  <w:style w:type="character" w:customStyle="1" w:styleId="cucd-3CharChar">
    <w:name w:val="cucd-3 Char Char"/>
    <w:link w:val="cucd-3"/>
    <w:qFormat/>
    <w:rPr>
      <w:rFonts w:eastAsia="黑体"/>
      <w:b/>
      <w:bCs/>
      <w:kern w:val="2"/>
      <w:sz w:val="24"/>
      <w:szCs w:val="28"/>
    </w:rPr>
  </w:style>
  <w:style w:type="paragraph" w:customStyle="1" w:styleId="cucd-3">
    <w:name w:val="cucd-3"/>
    <w:next w:val="a"/>
    <w:link w:val="cucd-3CharChar"/>
    <w:autoRedefine/>
    <w:qFormat/>
    <w:pPr>
      <w:widowControl w:val="0"/>
      <w:tabs>
        <w:tab w:val="left" w:pos="900"/>
      </w:tabs>
      <w:spacing w:line="560" w:lineRule="exact"/>
      <w:outlineLvl w:val="2"/>
    </w:pPr>
    <w:rPr>
      <w:rFonts w:eastAsia="黑体"/>
      <w:b/>
      <w:bCs/>
      <w:kern w:val="2"/>
      <w:sz w:val="24"/>
      <w:szCs w:val="28"/>
    </w:rPr>
  </w:style>
  <w:style w:type="character" w:customStyle="1" w:styleId="ReChar1">
    <w:name w:val="Re Char1"/>
    <w:autoRedefine/>
    <w:qFormat/>
    <w:rPr>
      <w:rFonts w:eastAsia="宋体"/>
      <w:kern w:val="2"/>
      <w:sz w:val="24"/>
      <w:szCs w:val="24"/>
      <w:lang w:val="en-US" w:eastAsia="zh-CN" w:bidi="ar-SA"/>
    </w:rPr>
  </w:style>
  <w:style w:type="character" w:customStyle="1" w:styleId="3zw1">
    <w:name w:val="3zw1"/>
    <w:qFormat/>
    <w:rPr>
      <w:color w:val="000000"/>
      <w:sz w:val="21"/>
      <w:szCs w:val="21"/>
    </w:rPr>
  </w:style>
  <w:style w:type="character" w:customStyle="1" w:styleId="unnamed11">
    <w:name w:val="unnamed11"/>
    <w:autoRedefine/>
    <w:qFormat/>
    <w:rPr>
      <w:rFonts w:ascii="ˎ̥" w:hAnsi="ˎ̥" w:hint="default"/>
      <w:sz w:val="12"/>
      <w:szCs w:val="12"/>
    </w:rPr>
  </w:style>
  <w:style w:type="character" w:customStyle="1" w:styleId="CharCharfff4">
    <w:name w:val="攀成钢正文 Char Char"/>
    <w:link w:val="afffffffffffffffffffffffffffb"/>
    <w:autoRedefine/>
    <w:qFormat/>
    <w:rPr>
      <w:snapToGrid w:val="0"/>
      <w:color w:val="008000"/>
      <w:sz w:val="24"/>
      <w:szCs w:val="24"/>
    </w:rPr>
  </w:style>
  <w:style w:type="paragraph" w:customStyle="1" w:styleId="afffffffffffffffffffffffffffb">
    <w:name w:val="攀成钢正文"/>
    <w:basedOn w:val="a"/>
    <w:link w:val="CharCharfff4"/>
    <w:autoRedefine/>
    <w:qFormat/>
    <w:pPr>
      <w:spacing w:line="360" w:lineRule="auto"/>
      <w:ind w:firstLineChars="200" w:firstLine="200"/>
    </w:pPr>
    <w:rPr>
      <w:rFonts w:cs="Times New Roman"/>
      <w:snapToGrid w:val="0"/>
      <w:color w:val="008000"/>
      <w:kern w:val="0"/>
      <w:sz w:val="24"/>
      <w:szCs w:val="24"/>
    </w:rPr>
  </w:style>
  <w:style w:type="character" w:customStyle="1" w:styleId="t111">
    <w:name w:val="t111"/>
    <w:qFormat/>
    <w:rPr>
      <w:rFonts w:ascii="Verdana" w:eastAsia="ˎ̥" w:hAnsi="Verdana"/>
      <w:kern w:val="0"/>
      <w:sz w:val="24"/>
      <w:szCs w:val="24"/>
      <w:lang w:val="en-US" w:eastAsia="en-US" w:bidi="ar-SA"/>
    </w:rPr>
  </w:style>
  <w:style w:type="character" w:customStyle="1" w:styleId="f141">
    <w:name w:val="f141"/>
    <w:autoRedefine/>
    <w:qFormat/>
    <w:rPr>
      <w:sz w:val="21"/>
    </w:rPr>
  </w:style>
  <w:style w:type="character" w:customStyle="1" w:styleId="r1">
    <w:name w:val="r1"/>
    <w:autoRedefine/>
    <w:qFormat/>
    <w:rPr>
      <w:rFonts w:ascii="Arial Black" w:eastAsia="ˎ̥" w:hAnsi="Arial Black"/>
      <w:sz w:val="20"/>
      <w:szCs w:val="20"/>
      <w:lang w:val="en-US" w:eastAsia="en-US" w:bidi="ar-SA"/>
    </w:rPr>
  </w:style>
  <w:style w:type="character" w:customStyle="1" w:styleId="CharCharfff5">
    <w:name w:val="德胜表头 Char Char"/>
    <w:autoRedefine/>
    <w:qFormat/>
    <w:rPr>
      <w:b/>
      <w:snapToGrid/>
      <w:color w:val="0000FF"/>
      <w:sz w:val="24"/>
    </w:rPr>
  </w:style>
  <w:style w:type="character" w:customStyle="1" w:styleId="style921">
    <w:name w:val="style921"/>
    <w:autoRedefine/>
    <w:qFormat/>
    <w:rPr>
      <w:rFonts w:ascii="Arial Black" w:eastAsia="ˎ̥" w:hAnsi="Arial Black"/>
      <w:sz w:val="16"/>
      <w:szCs w:val="16"/>
      <w:lang w:val="en-US" w:eastAsia="en-US" w:bidi="ar-SA"/>
    </w:rPr>
  </w:style>
  <w:style w:type="character" w:customStyle="1" w:styleId="Alt-SChar">
    <w:name w:val="Alt-S(宋体五号) Char"/>
    <w:link w:val="Alt-S"/>
    <w:autoRedefine/>
    <w:qFormat/>
    <w:rPr>
      <w:sz w:val="21"/>
      <w:szCs w:val="21"/>
    </w:rPr>
  </w:style>
  <w:style w:type="paragraph" w:customStyle="1" w:styleId="Alt-S">
    <w:name w:val="Alt-S(宋体五号)"/>
    <w:basedOn w:val="a"/>
    <w:next w:val="a"/>
    <w:link w:val="Alt-SChar"/>
    <w:qFormat/>
    <w:locked/>
    <w:pPr>
      <w:snapToGrid w:val="0"/>
      <w:jc w:val="center"/>
    </w:pPr>
    <w:rPr>
      <w:rFonts w:cs="Times New Roman"/>
      <w:kern w:val="0"/>
      <w:szCs w:val="21"/>
    </w:rPr>
  </w:style>
  <w:style w:type="character" w:customStyle="1" w:styleId="3Char21">
    <w:name w:val="正文文本 3 Char2"/>
    <w:link w:val="327"/>
    <w:autoRedefine/>
    <w:qFormat/>
    <w:rPr>
      <w:rFonts w:ascii="Calibri" w:hAnsi="Calibri"/>
      <w:sz w:val="16"/>
      <w:szCs w:val="16"/>
    </w:rPr>
  </w:style>
  <w:style w:type="paragraph" w:customStyle="1" w:styleId="327">
    <w:name w:val="正文文本 32"/>
    <w:basedOn w:val="a"/>
    <w:link w:val="3Char21"/>
    <w:autoRedefine/>
    <w:qFormat/>
    <w:pPr>
      <w:spacing w:after="120"/>
    </w:pPr>
    <w:rPr>
      <w:rFonts w:ascii="Calibri" w:hAnsi="Calibri" w:cs="Times New Roman"/>
      <w:kern w:val="0"/>
      <w:sz w:val="16"/>
      <w:szCs w:val="16"/>
    </w:rPr>
  </w:style>
  <w:style w:type="character" w:customStyle="1" w:styleId="style621">
    <w:name w:val="style621"/>
    <w:autoRedefine/>
    <w:qFormat/>
    <w:rPr>
      <w:color w:val="335150"/>
    </w:rPr>
  </w:style>
  <w:style w:type="character" w:customStyle="1" w:styleId="CharCharCharf1">
    <w:name w:val="正文文本缩进 Char Char Char"/>
    <w:autoRedefine/>
    <w:qFormat/>
    <w:rPr>
      <w:rFonts w:ascii="Times New Roman" w:hAnsi="Times New Roman"/>
      <w:kern w:val="2"/>
      <w:sz w:val="21"/>
    </w:rPr>
  </w:style>
  <w:style w:type="character" w:customStyle="1" w:styleId="CharCharfff6">
    <w:name w:val="泸县焦化二级标题 Char Char"/>
    <w:link w:val="afffffffffffffffffffffffffffc"/>
    <w:autoRedefine/>
    <w:qFormat/>
    <w:rPr>
      <w:b/>
      <w:bCs/>
      <w:color w:val="0000FF"/>
      <w:sz w:val="28"/>
      <w:szCs w:val="28"/>
    </w:rPr>
  </w:style>
  <w:style w:type="paragraph" w:customStyle="1" w:styleId="afffffffffffffffffffffffffffc">
    <w:name w:val="泸县焦化二级标题"/>
    <w:basedOn w:val="a"/>
    <w:link w:val="CharCharfff6"/>
    <w:autoRedefine/>
    <w:qFormat/>
    <w:pPr>
      <w:keepNext/>
      <w:keepLines/>
      <w:autoSpaceDE w:val="0"/>
      <w:autoSpaceDN w:val="0"/>
      <w:adjustRightInd w:val="0"/>
      <w:snapToGrid w:val="0"/>
      <w:spacing w:line="360" w:lineRule="auto"/>
      <w:jc w:val="left"/>
      <w:outlineLvl w:val="1"/>
    </w:pPr>
    <w:rPr>
      <w:rFonts w:cs="Times New Roman"/>
      <w:b/>
      <w:bCs/>
      <w:color w:val="0000FF"/>
      <w:kern w:val="0"/>
      <w:sz w:val="28"/>
      <w:szCs w:val="28"/>
    </w:rPr>
  </w:style>
  <w:style w:type="character" w:customStyle="1" w:styleId="CharCharCharChare">
    <w:name w:val="表题 Char Char Char Char"/>
    <w:autoRedefine/>
    <w:qFormat/>
    <w:rPr>
      <w:rFonts w:eastAsia="宋体"/>
      <w:b/>
      <w:spacing w:val="12"/>
      <w:w w:val="90"/>
      <w:kern w:val="2"/>
      <w:sz w:val="24"/>
      <w:szCs w:val="24"/>
      <w:lang w:val="en-US" w:eastAsia="zh-CN" w:bidi="ar-SA"/>
    </w:rPr>
  </w:style>
  <w:style w:type="character" w:customStyle="1" w:styleId="CharCharfff7">
    <w:name w:val="样式 德胜正文 + ˎ̥ Char Char"/>
    <w:link w:val="afffffffffffffffffffffffffffd"/>
    <w:qFormat/>
    <w:rPr>
      <w:snapToGrid w:val="0"/>
      <w:color w:val="0000FF"/>
      <w:sz w:val="24"/>
      <w:szCs w:val="24"/>
    </w:rPr>
  </w:style>
  <w:style w:type="paragraph" w:customStyle="1" w:styleId="afffffffffffffffffffffffffffd">
    <w:name w:val="样式 德胜正文 + ˎ̥"/>
    <w:basedOn w:val="affffff7"/>
    <w:link w:val="CharCharfff7"/>
    <w:autoRedefine/>
    <w:qFormat/>
    <w:rPr>
      <w:rFonts w:ascii="Times New Roman" w:hAnsi="Times New Roman" w:cs="Times New Roman"/>
      <w:kern w:val="0"/>
      <w:szCs w:val="24"/>
    </w:rPr>
  </w:style>
  <w:style w:type="character" w:customStyle="1" w:styleId="ourfont21">
    <w:name w:val="ourfont21"/>
    <w:autoRedefine/>
    <w:qFormat/>
    <w:rPr>
      <w:rFonts w:ascii="Arial Black" w:eastAsia="ˎ̥" w:hAnsi="Arial Black"/>
      <w:sz w:val="18"/>
      <w:szCs w:val="18"/>
      <w:lang w:val="en-US" w:eastAsia="en-US" w:bidi="ar-SA"/>
    </w:rPr>
  </w:style>
  <w:style w:type="character" w:customStyle="1" w:styleId="CharCharCharCharChar7">
    <w:name w:val="表名 Char Char Char Char Char"/>
    <w:autoRedefine/>
    <w:qFormat/>
    <w:rPr>
      <w:rFonts w:eastAsia="华文楷体"/>
      <w:b/>
      <w:bCs/>
      <w:kern w:val="10"/>
      <w:sz w:val="24"/>
      <w:szCs w:val="24"/>
      <w:lang w:val="en-US" w:eastAsia="zh-CN" w:bidi="ar-SA"/>
    </w:rPr>
  </w:style>
  <w:style w:type="character" w:customStyle="1" w:styleId="06CharChar">
    <w:name w:val="样式 德胜表格内容 + 紧缩量  0.6 磅 Char Char"/>
    <w:link w:val="06"/>
    <w:autoRedefine/>
    <w:qFormat/>
    <w:rPr>
      <w:snapToGrid w:val="0"/>
      <w:color w:val="0000FF"/>
      <w:sz w:val="21"/>
      <w:szCs w:val="21"/>
    </w:rPr>
  </w:style>
  <w:style w:type="paragraph" w:customStyle="1" w:styleId="06">
    <w:name w:val="样式 德胜表格内容 + 紧缩量  0.6 磅"/>
    <w:basedOn w:val="affffffd"/>
    <w:link w:val="06CharChar"/>
    <w:autoRedefine/>
    <w:qFormat/>
    <w:rPr>
      <w:rFonts w:cs="Times New Roman"/>
      <w:kern w:val="0"/>
    </w:rPr>
  </w:style>
  <w:style w:type="character" w:customStyle="1" w:styleId="CharCharfff8">
    <w:name w:val="德胜表格内容 Char Char"/>
    <w:autoRedefine/>
    <w:qFormat/>
    <w:rPr>
      <w:snapToGrid/>
      <w:color w:val="0000FF"/>
      <w:sz w:val="21"/>
      <w:szCs w:val="21"/>
    </w:rPr>
  </w:style>
  <w:style w:type="character" w:customStyle="1" w:styleId="CharCharCharCharChar8">
    <w:name w:val="样式 正文文本 + (中文) 黑体 红色 Char Char Char Char Char"/>
    <w:qFormat/>
    <w:rPr>
      <w:rFonts w:ascii="仿宋_GB2312" w:eastAsia="楷体" w:hAnsi="仿宋_GB2312"/>
      <w:snapToGrid/>
      <w:color w:val="FF0000"/>
      <w:sz w:val="24"/>
      <w:szCs w:val="24"/>
    </w:rPr>
  </w:style>
  <w:style w:type="character" w:customStyle="1" w:styleId="CharCharfff9">
    <w:name w:val="标准条文 Char Char"/>
    <w:link w:val="afffffffffffffffffffffffffffe"/>
    <w:autoRedefine/>
    <w:qFormat/>
    <w:rPr>
      <w:rFonts w:eastAsia="Times New Roman"/>
      <w:kern w:val="2"/>
      <w:sz w:val="21"/>
    </w:rPr>
  </w:style>
  <w:style w:type="paragraph" w:customStyle="1" w:styleId="afffffffffffffffffffffffffffe">
    <w:name w:val="标准条文"/>
    <w:link w:val="CharCharfff9"/>
    <w:autoRedefine/>
    <w:qFormat/>
    <w:pPr>
      <w:spacing w:beforeLines="20" w:afterLines="20"/>
      <w:ind w:firstLineChars="200" w:firstLine="200"/>
    </w:pPr>
    <w:rPr>
      <w:rFonts w:eastAsia="Times New Roman"/>
      <w:kern w:val="2"/>
      <w:sz w:val="21"/>
    </w:rPr>
  </w:style>
  <w:style w:type="character" w:customStyle="1" w:styleId="132152CharChar">
    <w:name w:val="样式 样式 样式 样式 (符号) 宋体 13 磅 首行缩进:  2 字符 行距: 1.5 倍行距 + 首行缩进:  2 字符 +... Char Char"/>
    <w:link w:val="132152"/>
    <w:autoRedefine/>
    <w:qFormat/>
    <w:rPr>
      <w:rFonts w:ascii="Verdana" w:hAnsi="Verdana"/>
      <w:kern w:val="2"/>
      <w:sz w:val="26"/>
    </w:rPr>
  </w:style>
  <w:style w:type="paragraph" w:customStyle="1" w:styleId="132152">
    <w:name w:val="样式 样式 样式 样式 (符号) 宋体 13 磅 首行缩进:  2 字符 行距: 1.5 倍行距 + 首行缩进:  2 字符 +..."/>
    <w:basedOn w:val="a"/>
    <w:link w:val="132152CharChar"/>
    <w:autoRedefine/>
    <w:qFormat/>
    <w:pPr>
      <w:ind w:firstLineChars="200" w:firstLine="563"/>
    </w:pPr>
    <w:rPr>
      <w:rFonts w:ascii="Verdana" w:hAnsi="Verdana" w:cs="Times New Roman"/>
      <w:sz w:val="26"/>
      <w:szCs w:val="20"/>
    </w:rPr>
  </w:style>
  <w:style w:type="character" w:customStyle="1" w:styleId="2cg">
    <w:name w:val="标题 2 cg"/>
    <w:autoRedefine/>
    <w:qFormat/>
    <w:rPr>
      <w:rFonts w:ascii="Times New Roman" w:eastAsia="楷体" w:hAnsi="Times New Roman"/>
      <w:color w:val="000000"/>
      <w:kern w:val="2"/>
      <w:sz w:val="28"/>
      <w:szCs w:val="28"/>
      <w:lang w:val="en-US" w:eastAsia="zh-CN" w:bidi="ar-SA"/>
    </w:rPr>
  </w:style>
  <w:style w:type="character" w:customStyle="1" w:styleId="CharCharfffa">
    <w:name w:val="正文(首行缩进) Char Char"/>
    <w:qFormat/>
    <w:rPr>
      <w:rFonts w:ascii="Arial Black" w:eastAsia="Verdana" w:hAnsi="Arial Black"/>
      <w:snapToGrid/>
      <w:color w:val="000000"/>
      <w:sz w:val="24"/>
      <w:szCs w:val="24"/>
    </w:rPr>
  </w:style>
  <w:style w:type="character" w:customStyle="1" w:styleId="ht1">
    <w:name w:val="ht1"/>
    <w:autoRedefine/>
    <w:qFormat/>
    <w:rPr>
      <w:rFonts w:ascii="黑体" w:eastAsia="黑体"/>
      <w:b/>
    </w:rPr>
  </w:style>
  <w:style w:type="character" w:customStyle="1" w:styleId="CharCharCharCharf">
    <w:name w:val="样式 表文 Char Char + Char Char"/>
    <w:qFormat/>
    <w:rPr>
      <w:kern w:val="2"/>
      <w:sz w:val="18"/>
      <w:szCs w:val="18"/>
    </w:rPr>
  </w:style>
  <w:style w:type="character" w:customStyle="1" w:styleId="CharCharCharCharCharChar0">
    <w:name w:val="表文 Char Char Char Char Char Char"/>
    <w:autoRedefine/>
    <w:qFormat/>
    <w:rPr>
      <w:kern w:val="2"/>
      <w:sz w:val="18"/>
      <w:szCs w:val="18"/>
    </w:rPr>
  </w:style>
  <w:style w:type="character" w:customStyle="1" w:styleId="Char1fb">
    <w:name w:val="表号 Char1"/>
    <w:autoRedefine/>
    <w:qFormat/>
    <w:rPr>
      <w:rFonts w:ascii="楷体" w:eastAsia="楷体" w:hAnsi="Arial Black"/>
      <w:sz w:val="21"/>
      <w:szCs w:val="21"/>
      <w:lang w:val="en-US" w:eastAsia="zh-CN" w:bidi="ar-SA"/>
    </w:rPr>
  </w:style>
  <w:style w:type="character" w:customStyle="1" w:styleId="red">
    <w:name w:val="red"/>
    <w:autoRedefine/>
    <w:qFormat/>
    <w:rPr>
      <w:szCs w:val="24"/>
    </w:rPr>
  </w:style>
  <w:style w:type="character" w:customStyle="1" w:styleId="c1">
    <w:name w:val="c1"/>
    <w:autoRedefine/>
    <w:qFormat/>
    <w:rPr>
      <w:rFonts w:ascii="Tms Rmn" w:eastAsia="ˎ̥" w:hAnsi="Tms Rmn" w:hint="default"/>
      <w:color w:val="000000"/>
      <w:sz w:val="21"/>
      <w:szCs w:val="21"/>
      <w:u w:val="none"/>
      <w:lang w:val="en-US" w:eastAsia="en-US" w:bidi="ar-SA"/>
    </w:rPr>
  </w:style>
  <w:style w:type="character" w:customStyle="1" w:styleId="CharChar50">
    <w:name w:val="Char Char5"/>
    <w:autoRedefine/>
    <w:qFormat/>
    <w:rPr>
      <w:rFonts w:ascii="Arial Black" w:eastAsia="Verdana" w:hAnsi="Arial Black"/>
      <w:kern w:val="2"/>
      <w:sz w:val="21"/>
      <w:szCs w:val="24"/>
      <w:lang w:val="en-US" w:eastAsia="zh-CN" w:bidi="ar-SA"/>
    </w:rPr>
  </w:style>
  <w:style w:type="character" w:customStyle="1" w:styleId="112Char">
    <w:name w:val="1.1标题2 Char"/>
    <w:qFormat/>
    <w:rPr>
      <w:rFonts w:ascii="Courier New" w:eastAsia="楷体" w:hAnsi="Courier New"/>
      <w:bCs/>
      <w:kern w:val="2"/>
      <w:sz w:val="32"/>
      <w:szCs w:val="32"/>
      <w:lang w:val="en-US" w:eastAsia="zh-CN" w:bidi="ar-SA"/>
    </w:rPr>
  </w:style>
  <w:style w:type="character" w:customStyle="1" w:styleId="2CharChar5">
    <w:name w:val="二级标题2 Char Char"/>
    <w:link w:val="2fffff2"/>
    <w:qFormat/>
    <w:rPr>
      <w:b/>
      <w:bCs/>
      <w:color w:val="0000FF"/>
      <w:sz w:val="24"/>
      <w:szCs w:val="28"/>
    </w:rPr>
  </w:style>
  <w:style w:type="paragraph" w:customStyle="1" w:styleId="2fffff2">
    <w:name w:val="二级标题2"/>
    <w:basedOn w:val="20"/>
    <w:next w:val="1ffffff4"/>
    <w:link w:val="2CharChar5"/>
    <w:autoRedefine/>
    <w:qFormat/>
    <w:pPr>
      <w:numPr>
        <w:ilvl w:val="0"/>
        <w:numId w:val="0"/>
      </w:numPr>
      <w:tabs>
        <w:tab w:val="left" w:pos="870"/>
      </w:tabs>
      <w:adjustRightInd w:val="0"/>
      <w:snapToGrid w:val="0"/>
      <w:spacing w:beforeLines="0" w:before="0" w:afterLines="0" w:after="0"/>
      <w:ind w:firstLine="510"/>
      <w:jc w:val="left"/>
    </w:pPr>
    <w:rPr>
      <w:rFonts w:cs="Times New Roman"/>
      <w:color w:val="0000FF"/>
      <w:kern w:val="0"/>
      <w:sz w:val="24"/>
      <w:szCs w:val="28"/>
    </w:rPr>
  </w:style>
  <w:style w:type="paragraph" w:customStyle="1" w:styleId="1ffffff4">
    <w:name w:val="二级标题1"/>
    <w:basedOn w:val="20"/>
    <w:next w:val="3"/>
    <w:uiPriority w:val="99"/>
    <w:qFormat/>
    <w:pPr>
      <w:numPr>
        <w:ilvl w:val="0"/>
        <w:numId w:val="0"/>
      </w:numPr>
      <w:tabs>
        <w:tab w:val="left" w:pos="870"/>
      </w:tabs>
      <w:adjustRightInd w:val="0"/>
      <w:snapToGrid w:val="0"/>
      <w:spacing w:beforeLines="0" w:before="260" w:afterLines="0" w:after="260" w:line="240" w:lineRule="auto"/>
      <w:ind w:firstLine="510"/>
      <w:jc w:val="left"/>
    </w:pPr>
    <w:rPr>
      <w:rFonts w:ascii="Arial" w:hAnsi="Arial" w:cs="Times New Roman"/>
      <w:color w:val="0000FF"/>
      <w:sz w:val="24"/>
      <w:szCs w:val="28"/>
    </w:rPr>
  </w:style>
  <w:style w:type="character" w:customStyle="1" w:styleId="1CharChar3">
    <w:name w:val="目标题 1) Char Char"/>
    <w:autoRedefine/>
    <w:qFormat/>
    <w:rPr>
      <w:rFonts w:ascii="Arial" w:eastAsia="黑体" w:hAnsi="Arial"/>
      <w:sz w:val="24"/>
      <w:lang w:val="en-US" w:eastAsia="zh-CN" w:bidi="ar-SA"/>
    </w:rPr>
  </w:style>
  <w:style w:type="character" w:customStyle="1" w:styleId="pt9">
    <w:name w:val="pt9"/>
    <w:autoRedefine/>
    <w:qFormat/>
    <w:rPr>
      <w:rFonts w:ascii="Arial Black" w:eastAsia="ˎ̥" w:hAnsi="Arial Black"/>
      <w:szCs w:val="21"/>
      <w:lang w:val="en-US" w:eastAsia="en-US" w:bidi="ar-SA"/>
    </w:rPr>
  </w:style>
  <w:style w:type="character" w:customStyle="1" w:styleId="2Char23">
    <w:name w:val="正文文本 2 Char2"/>
    <w:autoRedefine/>
    <w:uiPriority w:val="99"/>
    <w:qFormat/>
    <w:rPr>
      <w:kern w:val="2"/>
      <w:sz w:val="21"/>
    </w:rPr>
  </w:style>
  <w:style w:type="character" w:customStyle="1" w:styleId="1CharChar4">
    <w:name w:val="表头1 Char Char"/>
    <w:autoRedefine/>
    <w:qFormat/>
    <w:rPr>
      <w:rFonts w:ascii="仿宋_GB2312" w:hAnsi="仿宋_GB2312"/>
      <w:bCs/>
      <w:kern w:val="2"/>
      <w:sz w:val="18"/>
      <w:szCs w:val="24"/>
    </w:rPr>
  </w:style>
  <w:style w:type="character" w:customStyle="1" w:styleId="Char2f2">
    <w:name w:val="日期 Char2"/>
    <w:autoRedefine/>
    <w:qFormat/>
    <w:rPr>
      <w:rFonts w:ascii="Calibri" w:eastAsia="宋体" w:hAnsi="Calibri" w:cs="Times New Roman"/>
      <w:sz w:val="24"/>
    </w:rPr>
  </w:style>
  <w:style w:type="character" w:customStyle="1" w:styleId="134">
    <w:name w:val="样式 (符号) 宋体 13 磅"/>
    <w:autoRedefine/>
    <w:qFormat/>
    <w:rPr>
      <w:rFonts w:ascii="宋体" w:eastAsia="宋体"/>
      <w:sz w:val="27"/>
      <w:szCs w:val="27"/>
    </w:rPr>
  </w:style>
  <w:style w:type="character" w:customStyle="1" w:styleId="model11">
    <w:name w:val="model11"/>
    <w:qFormat/>
    <w:rPr>
      <w:rFonts w:ascii="Verdana" w:eastAsia="Verdana" w:hAnsi="Verdana" w:hint="eastAsia"/>
      <w:sz w:val="18"/>
      <w:szCs w:val="18"/>
      <w:u w:val="none"/>
      <w:lang w:val="en-US" w:eastAsia="en-US" w:bidi="ar-SA"/>
    </w:rPr>
  </w:style>
  <w:style w:type="character" w:customStyle="1" w:styleId="CharCharfffb">
    <w:name w:val="批注文字 Char Char"/>
    <w:autoRedefine/>
    <w:qFormat/>
    <w:rPr>
      <w:rFonts w:eastAsia="宋体"/>
      <w:kern w:val="2"/>
      <w:sz w:val="21"/>
      <w:szCs w:val="24"/>
      <w:lang w:val="en-US" w:eastAsia="zh-CN" w:bidi="ar-SA"/>
    </w:rPr>
  </w:style>
  <w:style w:type="character" w:customStyle="1" w:styleId="2CharChar6">
    <w:name w:val="标准文本 首行缩进: 2 字符 行距: 单倍 Char Char"/>
    <w:qFormat/>
    <w:rPr>
      <w:rFonts w:ascii="仿宋_GB2312" w:hAnsi="仿宋_GB2312"/>
      <w:kern w:val="2"/>
      <w:sz w:val="24"/>
      <w:szCs w:val="24"/>
    </w:rPr>
  </w:style>
  <w:style w:type="character" w:customStyle="1" w:styleId="main1">
    <w:name w:val="main1"/>
    <w:autoRedefine/>
    <w:qFormat/>
    <w:rPr>
      <w:rFonts w:hint="default"/>
      <w:color w:val="0033CC"/>
      <w:sz w:val="18"/>
    </w:rPr>
  </w:style>
  <w:style w:type="character" w:customStyle="1" w:styleId="13099CharChar">
    <w:name w:val="样式 宋体 13 磅 首行缩进:  0.99 厘米 Char Char"/>
    <w:link w:val="13099"/>
    <w:autoRedefine/>
    <w:qFormat/>
    <w:rPr>
      <w:rFonts w:ascii="Verdana" w:hAnsi="Verdana"/>
      <w:kern w:val="2"/>
      <w:sz w:val="27"/>
      <w:szCs w:val="27"/>
    </w:rPr>
  </w:style>
  <w:style w:type="paragraph" w:customStyle="1" w:styleId="13099">
    <w:name w:val="样式 宋体 13 磅 首行缩进:  0.99 厘米"/>
    <w:basedOn w:val="a"/>
    <w:link w:val="13099CharChar"/>
    <w:qFormat/>
    <w:pPr>
      <w:ind w:firstLine="560"/>
    </w:pPr>
    <w:rPr>
      <w:rFonts w:ascii="Verdana" w:hAnsi="Verdana" w:cs="Times New Roman"/>
      <w:sz w:val="27"/>
      <w:szCs w:val="27"/>
    </w:rPr>
  </w:style>
  <w:style w:type="character" w:customStyle="1" w:styleId="Char1fc">
    <w:name w:val="尾注文本 Char1"/>
    <w:autoRedefine/>
    <w:qFormat/>
    <w:rPr>
      <w:rFonts w:ascii="Calibri" w:eastAsia="宋体" w:hAnsi="Calibri" w:cs="Times New Roman"/>
      <w:sz w:val="24"/>
    </w:rPr>
  </w:style>
  <w:style w:type="character" w:customStyle="1" w:styleId="1ffffff5">
    <w:name w:val="批注引用1"/>
    <w:autoRedefine/>
    <w:qFormat/>
    <w:rPr>
      <w:sz w:val="21"/>
      <w:szCs w:val="21"/>
    </w:rPr>
  </w:style>
  <w:style w:type="character" w:customStyle="1" w:styleId="Char1CharChar">
    <w:name w:val="表正文 Char1 Char Char"/>
    <w:qFormat/>
    <w:rPr>
      <w:rFonts w:ascii="Arial Black" w:eastAsia="Verdana" w:hAnsi="Arial Black"/>
      <w:sz w:val="28"/>
      <w:szCs w:val="21"/>
      <w:lang w:val="en-US" w:eastAsia="zh-CN" w:bidi="ar-SA"/>
    </w:rPr>
  </w:style>
  <w:style w:type="character" w:customStyle="1" w:styleId="82CharChar">
    <w:name w:val="样式 表标8.2 + 黑体 四号 Char Char"/>
    <w:link w:val="821"/>
    <w:qFormat/>
    <w:rPr>
      <w:rFonts w:ascii="黑体" w:eastAsia="黑体" w:hAnsi="黑体"/>
      <w:b/>
      <w:color w:val="000000"/>
      <w:kern w:val="2"/>
      <w:sz w:val="28"/>
    </w:rPr>
  </w:style>
  <w:style w:type="paragraph" w:customStyle="1" w:styleId="821">
    <w:name w:val="样式 表标8.2 + 黑体 四号"/>
    <w:basedOn w:val="a"/>
    <w:link w:val="82CharChar"/>
    <w:autoRedefine/>
    <w:qFormat/>
    <w:pPr>
      <w:widowControl/>
      <w:tabs>
        <w:tab w:val="left" w:pos="360"/>
        <w:tab w:val="left" w:pos="930"/>
        <w:tab w:val="left" w:pos="8207"/>
      </w:tabs>
      <w:adjustRightInd w:val="0"/>
      <w:snapToGrid w:val="0"/>
      <w:spacing w:before="120" w:line="0" w:lineRule="atLeast"/>
      <w:ind w:left="930"/>
      <w:jc w:val="center"/>
      <w:textAlignment w:val="baseline"/>
    </w:pPr>
    <w:rPr>
      <w:rFonts w:ascii="黑体" w:eastAsia="黑体" w:hAnsi="黑体" w:cs="Times New Roman"/>
      <w:b/>
      <w:color w:val="000000"/>
      <w:sz w:val="28"/>
      <w:szCs w:val="20"/>
    </w:rPr>
  </w:style>
  <w:style w:type="character" w:customStyle="1" w:styleId="3Char11">
    <w:name w:val="正文文本 3 Char1"/>
    <w:qFormat/>
    <w:rPr>
      <w:rFonts w:eastAsia="楷体_GB2312"/>
      <w:sz w:val="16"/>
      <w:szCs w:val="16"/>
    </w:rPr>
  </w:style>
  <w:style w:type="character" w:customStyle="1" w:styleId="CharCharCharf2">
    <w:name w:val="页眉 Char Char Char"/>
    <w:autoRedefine/>
    <w:qFormat/>
    <w:rPr>
      <w:rFonts w:ascii="Times New Roman" w:hAnsi="Times New Roman"/>
      <w:kern w:val="2"/>
      <w:sz w:val="18"/>
      <w:szCs w:val="18"/>
    </w:rPr>
  </w:style>
  <w:style w:type="character" w:customStyle="1" w:styleId="style61">
    <w:name w:val="style61"/>
    <w:autoRedefine/>
    <w:qFormat/>
    <w:rPr>
      <w:szCs w:val="24"/>
    </w:rPr>
  </w:style>
  <w:style w:type="character" w:customStyle="1" w:styleId="CharCharfffc">
    <w:name w:val="正文样式 Char Char"/>
    <w:qFormat/>
    <w:rPr>
      <w:rFonts w:ascii="宋体" w:hAnsi="宋体"/>
      <w:color w:val="000000"/>
      <w:kern w:val="2"/>
      <w:sz w:val="24"/>
      <w:szCs w:val="24"/>
    </w:rPr>
  </w:style>
  <w:style w:type="character" w:customStyle="1" w:styleId="Char2f3">
    <w:name w:val="正文首行缩进 Char2"/>
    <w:autoRedefine/>
    <w:qFormat/>
    <w:rPr>
      <w:rFonts w:ascii="Calibri" w:eastAsia="宋体" w:hAnsi="Calibri" w:cs="Times New Roman"/>
      <w:sz w:val="24"/>
      <w:szCs w:val="24"/>
    </w:rPr>
  </w:style>
  <w:style w:type="character" w:customStyle="1" w:styleId="style781">
    <w:name w:val="style781"/>
    <w:autoRedefine/>
    <w:qFormat/>
    <w:rPr>
      <w:rFonts w:ascii="Arial Black" w:eastAsia="ˎ̥" w:hAnsi="Arial Black"/>
      <w:sz w:val="24"/>
      <w:szCs w:val="24"/>
      <w:lang w:val="en-US" w:eastAsia="en-US" w:bidi="ar-SA"/>
    </w:rPr>
  </w:style>
  <w:style w:type="character" w:customStyle="1" w:styleId="menu1">
    <w:name w:val="menu1"/>
    <w:qFormat/>
    <w:rPr>
      <w:szCs w:val="24"/>
    </w:rPr>
  </w:style>
  <w:style w:type="character" w:customStyle="1" w:styleId="style91">
    <w:name w:val="style91"/>
    <w:qFormat/>
    <w:rPr>
      <w:rFonts w:ascii="Arial Black" w:eastAsia="ˎ̥" w:hAnsi="Arial Black"/>
      <w:b/>
      <w:bCs/>
      <w:color w:val="187CC8"/>
      <w:szCs w:val="21"/>
      <w:lang w:val="en-US" w:eastAsia="en-US" w:bidi="ar-SA"/>
    </w:rPr>
  </w:style>
  <w:style w:type="character" w:customStyle="1" w:styleId="title41">
    <w:name w:val="title41"/>
    <w:autoRedefine/>
    <w:qFormat/>
    <w:rPr>
      <w:rFonts w:ascii="Verdana" w:eastAsia="Verdana" w:hAnsi="Verdana" w:hint="eastAsia"/>
      <w:color w:val="FF6600"/>
      <w:sz w:val="36"/>
      <w:szCs w:val="36"/>
      <w:lang w:val="en-US" w:eastAsia="en-US" w:bidi="ar-SA"/>
    </w:rPr>
  </w:style>
  <w:style w:type="paragraph" w:customStyle="1" w:styleId="-d">
    <w:name w:val="表内-文字"/>
    <w:basedOn w:val="a"/>
    <w:uiPriority w:val="99"/>
    <w:qFormat/>
    <w:pPr>
      <w:spacing w:line="320" w:lineRule="exact"/>
      <w:jc w:val="center"/>
    </w:pPr>
    <w:rPr>
      <w:rFonts w:ascii="仿宋_GB2312" w:eastAsia="经典叠圆体简" w:hAnsi="仿宋_GB2312" w:cs="Verdana"/>
      <w:bCs/>
      <w:color w:val="000000"/>
      <w:szCs w:val="21"/>
    </w:rPr>
  </w:style>
  <w:style w:type="paragraph" w:customStyle="1" w:styleId="Char2CharCharCharCharCharChar1CharCharCharCharCharChar">
    <w:name w:val="Char2 Char Char Char Char Char Char1 Char Char Char Char Char Char"/>
    <w:basedOn w:val="a"/>
    <w:uiPriority w:val="99"/>
    <w:qFormat/>
    <w:pPr>
      <w:snapToGrid w:val="0"/>
      <w:spacing w:beforeLines="100" w:afterLines="50" w:line="360" w:lineRule="auto"/>
    </w:pPr>
    <w:rPr>
      <w:rFonts w:ascii="Verdana" w:eastAsia="楷体" w:hAnsi="Verdana" w:cs="Verdana"/>
      <w:sz w:val="28"/>
      <w:szCs w:val="24"/>
    </w:rPr>
  </w:style>
  <w:style w:type="paragraph" w:customStyle="1" w:styleId="21f3">
    <w:name w:val="正文21"/>
    <w:autoRedefine/>
    <w:uiPriority w:val="99"/>
    <w:qFormat/>
    <w:pPr>
      <w:widowControl w:val="0"/>
      <w:suppressAutoHyphens/>
      <w:spacing w:line="520" w:lineRule="atLeast"/>
      <w:ind w:firstLine="200"/>
      <w:jc w:val="both"/>
    </w:pPr>
    <w:rPr>
      <w:spacing w:val="18"/>
      <w:sz w:val="32"/>
    </w:rPr>
  </w:style>
  <w:style w:type="paragraph" w:customStyle="1" w:styleId="2W">
    <w:name w:val="列表 2W"/>
    <w:basedOn w:val="24"/>
    <w:uiPriority w:val="99"/>
    <w:qFormat/>
    <w:pPr>
      <w:tabs>
        <w:tab w:val="left" w:pos="737"/>
      </w:tabs>
      <w:adjustRightInd/>
      <w:spacing w:beforeLines="0" w:beforeAutospacing="1" w:after="100" w:afterAutospacing="1" w:line="288" w:lineRule="auto"/>
      <w:ind w:left="737" w:hanging="567"/>
      <w:textAlignment w:val="auto"/>
    </w:pPr>
    <w:rPr>
      <w:rFonts w:ascii="Courier New" w:hAnsi="Courier New" w:cs="仿宋_GB2312"/>
      <w:color w:val="FFFF99"/>
      <w:kern w:val="2"/>
    </w:rPr>
  </w:style>
  <w:style w:type="paragraph" w:customStyle="1" w:styleId="Char1CharCharChar1CharCharChar">
    <w:name w:val="Char1 Char Char Char1 Char Char Char"/>
    <w:basedOn w:val="a"/>
    <w:autoRedefine/>
    <w:uiPriority w:val="99"/>
    <w:qFormat/>
    <w:rPr>
      <w:rFonts w:ascii="仿宋_GB2312" w:hAnsi="仿宋_GB2312" w:cs="仿宋_GB2312"/>
      <w:sz w:val="24"/>
      <w:szCs w:val="24"/>
    </w:rPr>
  </w:style>
  <w:style w:type="paragraph" w:customStyle="1" w:styleId="2C0">
    <w:name w:val="列表 2C"/>
    <w:basedOn w:val="24"/>
    <w:autoRedefine/>
    <w:uiPriority w:val="99"/>
    <w:qFormat/>
    <w:pPr>
      <w:tabs>
        <w:tab w:val="left" w:pos="1275"/>
      </w:tabs>
      <w:adjustRightInd/>
      <w:spacing w:beforeLines="0" w:beforeAutospacing="1" w:after="100" w:afterAutospacing="1" w:line="288" w:lineRule="auto"/>
      <w:ind w:left="1275" w:hanging="705"/>
      <w:textAlignment w:val="auto"/>
    </w:pPr>
    <w:rPr>
      <w:rFonts w:ascii="Courier New" w:hAnsi="Courier New" w:cs="仿宋_GB2312"/>
      <w:color w:val="FFFF99"/>
      <w:kern w:val="2"/>
    </w:rPr>
  </w:style>
  <w:style w:type="paragraph" w:customStyle="1" w:styleId="D">
    <w:name w:val="列表D"/>
    <w:basedOn w:val="ac"/>
    <w:uiPriority w:val="99"/>
    <w:qFormat/>
    <w:pPr>
      <w:tabs>
        <w:tab w:val="left" w:pos="425"/>
      </w:tabs>
      <w:spacing w:beforeLines="100" w:afterLines="50" w:line="288" w:lineRule="auto"/>
      <w:ind w:left="425" w:firstLineChars="0" w:hanging="425"/>
    </w:pPr>
    <w:rPr>
      <w:rFonts w:eastAsia="宋体" w:cs="仿宋_GB2312"/>
      <w:b/>
      <w:bCs/>
      <w:color w:val="FF99CC"/>
      <w:sz w:val="24"/>
      <w:szCs w:val="20"/>
    </w:rPr>
  </w:style>
  <w:style w:type="paragraph" w:customStyle="1" w:styleId="31b">
    <w:name w:val="正文文本 31"/>
    <w:basedOn w:val="a"/>
    <w:uiPriority w:val="99"/>
    <w:qFormat/>
    <w:pPr>
      <w:spacing w:after="120"/>
    </w:pPr>
    <w:rPr>
      <w:rFonts w:cs="Times New Roman"/>
      <w:kern w:val="0"/>
      <w:sz w:val="16"/>
      <w:szCs w:val="16"/>
    </w:rPr>
  </w:style>
  <w:style w:type="paragraph" w:customStyle="1" w:styleId="xl92">
    <w:name w:val="xl92"/>
    <w:basedOn w:val="a"/>
    <w:autoRedefine/>
    <w:uiPriority w:val="99"/>
    <w:qFormat/>
    <w:pPr>
      <w:widowControl/>
      <w:pBdr>
        <w:top w:val="single" w:sz="4" w:space="0" w:color="auto"/>
        <w:left w:val="single" w:sz="4" w:space="0" w:color="auto"/>
        <w:bottom w:val="single" w:sz="8" w:space="0" w:color="auto"/>
      </w:pBdr>
      <w:spacing w:before="100" w:beforeAutospacing="1" w:after="100" w:afterAutospacing="1"/>
      <w:jc w:val="center"/>
    </w:pPr>
    <w:rPr>
      <w:rFonts w:ascii="華康中楷體" w:eastAsia="華康中楷體" w:hAnsi="華康中楷體" w:cs="華康中楷體"/>
      <w:kern w:val="0"/>
      <w:sz w:val="16"/>
      <w:szCs w:val="16"/>
    </w:rPr>
  </w:style>
  <w:style w:type="paragraph" w:customStyle="1" w:styleId="1ffffff6">
    <w:name w:val="一级标题1"/>
    <w:basedOn w:val="afffffffffff8"/>
    <w:next w:val="20"/>
    <w:uiPriority w:val="99"/>
    <w:qFormat/>
    <w:pPr>
      <w:keepNext/>
      <w:keepLines/>
      <w:tabs>
        <w:tab w:val="clear" w:pos="425"/>
        <w:tab w:val="left" w:pos="870"/>
      </w:tabs>
      <w:adjustRightInd w:val="0"/>
      <w:snapToGrid w:val="0"/>
      <w:spacing w:before="0" w:after="0" w:line="240" w:lineRule="auto"/>
      <w:ind w:leftChars="100" w:left="210" w:rightChars="100" w:right="210" w:firstLine="0"/>
      <w:jc w:val="left"/>
    </w:pPr>
    <w:rPr>
      <w:rFonts w:eastAsia="宋体"/>
      <w:b/>
      <w:color w:val="0000FF"/>
      <w:kern w:val="44"/>
      <w:sz w:val="28"/>
    </w:rPr>
  </w:style>
  <w:style w:type="paragraph" w:customStyle="1" w:styleId="affffffffffffffffffffffffffff">
    <w:name w:val="表格文字中"/>
    <w:basedOn w:val="a"/>
    <w:uiPriority w:val="99"/>
    <w:qFormat/>
    <w:pPr>
      <w:tabs>
        <w:tab w:val="left" w:pos="1727"/>
        <w:tab w:val="left" w:pos="1884"/>
      </w:tabs>
      <w:adjustRightInd w:val="0"/>
      <w:snapToGrid w:val="0"/>
      <w:jc w:val="center"/>
    </w:pPr>
    <w:rPr>
      <w:rFonts w:ascii="宋体" w:hAnsi="宋体" w:cs="Times New Roman"/>
      <w:color w:val="000000"/>
      <w:kern w:val="0"/>
      <w:sz w:val="24"/>
      <w:szCs w:val="24"/>
    </w:rPr>
  </w:style>
  <w:style w:type="paragraph" w:customStyle="1" w:styleId="affffffffffffffffffffffffffff0">
    <w:name w:val="仿宋体"/>
    <w:basedOn w:val="a"/>
    <w:autoRedefine/>
    <w:uiPriority w:val="99"/>
    <w:qFormat/>
    <w:pPr>
      <w:widowControl/>
      <w:spacing w:line="844" w:lineRule="atLeast"/>
      <w:ind w:firstLine="419"/>
      <w:textAlignment w:val="baseline"/>
    </w:pPr>
    <w:rPr>
      <w:rFonts w:ascii="仿宋_GB2312" w:eastAsia="ˎ̥" w:hAnsi="仿宋_GB2312" w:cs="仿宋_GB2312"/>
      <w:color w:val="000000"/>
      <w:kern w:val="0"/>
      <w:sz w:val="31"/>
      <w:szCs w:val="20"/>
      <w:u w:color="000000"/>
    </w:rPr>
  </w:style>
  <w:style w:type="paragraph" w:customStyle="1" w:styleId="font16">
    <w:name w:val="font16"/>
    <w:basedOn w:val="a"/>
    <w:uiPriority w:val="99"/>
    <w:qFormat/>
    <w:pPr>
      <w:widowControl/>
      <w:spacing w:before="100" w:beforeAutospacing="1" w:after="100" w:afterAutospacing="1"/>
      <w:jc w:val="left"/>
    </w:pPr>
    <w:rPr>
      <w:rFonts w:ascii="Verdana" w:hAnsi="Verdana" w:cs="華康中楷體" w:hint="eastAsia"/>
      <w:kern w:val="0"/>
      <w:sz w:val="20"/>
      <w:szCs w:val="20"/>
      <w:u w:val="single"/>
    </w:rPr>
  </w:style>
  <w:style w:type="paragraph" w:customStyle="1" w:styleId="2D0">
    <w:name w:val="列表 2D"/>
    <w:basedOn w:val="24"/>
    <w:autoRedefine/>
    <w:uiPriority w:val="99"/>
    <w:qFormat/>
    <w:pPr>
      <w:tabs>
        <w:tab w:val="left" w:pos="885"/>
      </w:tabs>
      <w:adjustRightInd/>
      <w:spacing w:beforeLines="0" w:beforeAutospacing="1" w:after="100" w:afterAutospacing="1" w:line="288" w:lineRule="auto"/>
      <w:ind w:left="885" w:hanging="315"/>
      <w:textAlignment w:val="auto"/>
    </w:pPr>
    <w:rPr>
      <w:rFonts w:ascii="Courier New" w:hAnsi="Courier New" w:cs="仿宋_GB2312"/>
      <w:color w:val="FFFF99"/>
      <w:kern w:val="2"/>
    </w:rPr>
  </w:style>
  <w:style w:type="paragraph" w:customStyle="1" w:styleId="81-1">
    <w:name w:val="表8.1-1"/>
    <w:basedOn w:val="a"/>
    <w:autoRedefine/>
    <w:uiPriority w:val="99"/>
    <w:qFormat/>
    <w:pPr>
      <w:tabs>
        <w:tab w:val="left" w:pos="720"/>
        <w:tab w:val="left" w:pos="3480"/>
      </w:tabs>
      <w:adjustRightInd w:val="0"/>
      <w:snapToGrid w:val="0"/>
      <w:spacing w:beforeLines="100" w:line="0" w:lineRule="atLeast"/>
      <w:ind w:left="2820" w:hanging="360"/>
      <w:jc w:val="center"/>
    </w:pPr>
    <w:rPr>
      <w:rFonts w:ascii="黑体" w:eastAsia="黑体" w:cs="Times New Roman"/>
      <w:b/>
      <w:sz w:val="24"/>
      <w:szCs w:val="20"/>
    </w:rPr>
  </w:style>
  <w:style w:type="paragraph" w:customStyle="1" w:styleId="hb3">
    <w:name w:val="hb3"/>
    <w:basedOn w:val="3"/>
    <w:uiPriority w:val="99"/>
    <w:qFormat/>
    <w:pPr>
      <w:numPr>
        <w:ilvl w:val="0"/>
        <w:numId w:val="0"/>
      </w:numPr>
      <w:tabs>
        <w:tab w:val="left" w:pos="870"/>
      </w:tabs>
      <w:snapToGrid/>
      <w:spacing w:before="260" w:after="260" w:line="500" w:lineRule="exact"/>
      <w:ind w:firstLine="510"/>
      <w:textAlignment w:val="baseline"/>
    </w:pPr>
    <w:rPr>
      <w:rFonts w:ascii="仿宋_GB2312" w:hAnsi="仿宋_GB2312" w:cs="仿宋_GB2312"/>
      <w:bCs w:val="0"/>
      <w:sz w:val="28"/>
      <w:szCs w:val="28"/>
    </w:rPr>
  </w:style>
  <w:style w:type="paragraph" w:customStyle="1" w:styleId="xl96">
    <w:name w:val="xl96"/>
    <w:basedOn w:val="a"/>
    <w:autoRedefine/>
    <w:uiPriority w:val="99"/>
    <w:qFormat/>
    <w:pPr>
      <w:widowControl/>
      <w:pBdr>
        <w:left w:val="single" w:sz="8" w:space="0" w:color="auto"/>
        <w:right w:val="single" w:sz="4"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3wf">
    <w:name w:val="样式3wf"/>
    <w:basedOn w:val="2fd"/>
    <w:autoRedefine/>
    <w:uiPriority w:val="99"/>
    <w:qFormat/>
    <w:pPr>
      <w:keepNext w:val="0"/>
      <w:keepLines w:val="0"/>
      <w:tabs>
        <w:tab w:val="clear" w:pos="567"/>
      </w:tabs>
      <w:autoSpaceDE w:val="0"/>
      <w:autoSpaceDN w:val="0"/>
      <w:snapToGrid w:val="0"/>
      <w:spacing w:beforeLines="0" w:line="240" w:lineRule="auto"/>
      <w:ind w:left="0" w:firstLine="0"/>
      <w:jc w:val="center"/>
      <w:outlineLvl w:val="9"/>
    </w:pPr>
    <w:rPr>
      <w:b w:val="0"/>
      <w:szCs w:val="21"/>
    </w:rPr>
  </w:style>
  <w:style w:type="paragraph" w:customStyle="1" w:styleId="Qzy1">
    <w:name w:val="Qzy样式1"/>
    <w:basedOn w:val="1"/>
    <w:autoRedefine/>
    <w:uiPriority w:val="99"/>
    <w:qFormat/>
    <w:pPr>
      <w:keepNext w:val="0"/>
      <w:widowControl/>
      <w:numPr>
        <w:numId w:val="0"/>
      </w:numPr>
      <w:tabs>
        <w:tab w:val="left" w:pos="870"/>
      </w:tabs>
      <w:spacing w:line="240" w:lineRule="atLeast"/>
      <w:jc w:val="both"/>
    </w:pPr>
    <w:rPr>
      <w:rFonts w:cs="Times New Roman"/>
      <w:bCs w:val="0"/>
      <w:sz w:val="36"/>
      <w:szCs w:val="20"/>
    </w:rPr>
  </w:style>
  <w:style w:type="paragraph" w:customStyle="1" w:styleId="1ffffff7">
    <w:name w:val="表标题1"/>
    <w:basedOn w:val="a"/>
    <w:uiPriority w:val="99"/>
    <w:qFormat/>
    <w:pPr>
      <w:tabs>
        <w:tab w:val="left" w:pos="1848"/>
        <w:tab w:val="left" w:pos="6061"/>
        <w:tab w:val="left" w:pos="8665"/>
      </w:tabs>
      <w:adjustRightInd w:val="0"/>
      <w:snapToGrid w:val="0"/>
      <w:spacing w:beforeLines="50" w:line="460" w:lineRule="exact"/>
      <w:ind w:firstLineChars="200" w:firstLine="480"/>
      <w:jc w:val="center"/>
    </w:pPr>
    <w:rPr>
      <w:rFonts w:ascii="宋体" w:hAnsi="宋体" w:cs="Times New Roman"/>
      <w:sz w:val="24"/>
      <w:szCs w:val="20"/>
    </w:rPr>
  </w:style>
  <w:style w:type="paragraph" w:customStyle="1" w:styleId="04">
    <w:name w:val="04"/>
    <w:basedOn w:val="a"/>
    <w:autoRedefine/>
    <w:uiPriority w:val="99"/>
    <w:qFormat/>
    <w:pPr>
      <w:spacing w:line="312" w:lineRule="auto"/>
    </w:pPr>
    <w:rPr>
      <w:rFonts w:ascii="仿宋_GB2312" w:eastAsia="BankGothic Lt BT" w:hAnsi="仿宋_GB2312" w:cs="仿宋_GB2312"/>
      <w:sz w:val="24"/>
      <w:szCs w:val="30"/>
    </w:rPr>
  </w:style>
  <w:style w:type="paragraph" w:customStyle="1" w:styleId="31113CharChar3Char3111111-1">
    <w:name w:val="样式 标题 31.1.1条标题 3 Char Char标题 3 Char标3§1.1.1.. (1.1.1)- ...1"/>
    <w:basedOn w:val="a"/>
    <w:uiPriority w:val="99"/>
    <w:qFormat/>
    <w:pPr>
      <w:tabs>
        <w:tab w:val="left" w:pos="0"/>
      </w:tabs>
      <w:spacing w:line="312" w:lineRule="auto"/>
    </w:pPr>
    <w:rPr>
      <w:rFonts w:cs="Times New Roman"/>
      <w:sz w:val="24"/>
      <w:szCs w:val="20"/>
    </w:rPr>
  </w:style>
  <w:style w:type="paragraph" w:customStyle="1" w:styleId="xl86">
    <w:name w:val="xl86"/>
    <w:basedOn w:val="a"/>
    <w:uiPriority w:val="99"/>
    <w:qFormat/>
    <w:pPr>
      <w:widowControl/>
      <w:pBdr>
        <w:top w:val="single" w:sz="8" w:space="0" w:color="auto"/>
        <w:left w:val="single" w:sz="8" w:space="0" w:color="auto"/>
        <w:bottom w:val="single" w:sz="4" w:space="0" w:color="auto"/>
      </w:pBdr>
      <w:spacing w:before="100" w:beforeAutospacing="1" w:after="100" w:afterAutospacing="1"/>
      <w:jc w:val="left"/>
    </w:pPr>
    <w:rPr>
      <w:rFonts w:ascii="仿宋_GB2312" w:eastAsia="華康中楷體" w:hAnsi="仿宋_GB2312" w:cs="仿宋_GB2312"/>
      <w:kern w:val="0"/>
      <w:sz w:val="16"/>
      <w:szCs w:val="16"/>
    </w:rPr>
  </w:style>
  <w:style w:type="paragraph" w:customStyle="1" w:styleId="CharCharCharChar1CharCharCharChar">
    <w:name w:val="Char Char Char Char1 Char Char Char Char"/>
    <w:basedOn w:val="a"/>
    <w:autoRedefine/>
    <w:uiPriority w:val="99"/>
    <w:qFormat/>
    <w:rPr>
      <w:rFonts w:cs="Times New Roman"/>
      <w:sz w:val="24"/>
      <w:szCs w:val="24"/>
    </w:rPr>
  </w:style>
  <w:style w:type="paragraph" w:customStyle="1" w:styleId="affffffffffffffffffffffffffff1">
    <w:name w:val="攀成钢表格内容"/>
    <w:basedOn w:val="a"/>
    <w:uiPriority w:val="99"/>
    <w:qFormat/>
    <w:pPr>
      <w:adjustRightInd w:val="0"/>
      <w:snapToGrid w:val="0"/>
      <w:jc w:val="center"/>
    </w:pPr>
    <w:rPr>
      <w:rFonts w:cs="Times New Roman"/>
      <w:snapToGrid w:val="0"/>
      <w:color w:val="008000"/>
      <w:kern w:val="0"/>
      <w:sz w:val="24"/>
      <w:szCs w:val="20"/>
    </w:rPr>
  </w:style>
  <w:style w:type="paragraph" w:customStyle="1" w:styleId="Charffffff5">
    <w:name w:val="表格文字居中 Char"/>
    <w:basedOn w:val="affff3"/>
    <w:uiPriority w:val="99"/>
    <w:qFormat/>
    <w:pPr>
      <w:tabs>
        <w:tab w:val="left" w:pos="628"/>
        <w:tab w:val="left" w:pos="1727"/>
        <w:tab w:val="left" w:pos="1884"/>
        <w:tab w:val="left" w:pos="2660"/>
        <w:tab w:val="left" w:pos="5460"/>
      </w:tabs>
      <w:kinsoku/>
      <w:snapToGrid w:val="0"/>
      <w:spacing w:after="0" w:line="320" w:lineRule="exact"/>
      <w:ind w:firstLineChars="0" w:firstLine="0"/>
    </w:pPr>
    <w:rPr>
      <w:color w:val="FF0000"/>
      <w:kern w:val="0"/>
      <w:szCs w:val="20"/>
    </w:rPr>
  </w:style>
  <w:style w:type="paragraph" w:customStyle="1" w:styleId="1ffffff8">
    <w:name w:val="图表目录1"/>
    <w:basedOn w:val="27"/>
    <w:next w:val="27"/>
    <w:autoRedefine/>
    <w:uiPriority w:val="99"/>
    <w:qFormat/>
    <w:pPr>
      <w:tabs>
        <w:tab w:val="right" w:leader="dot" w:pos="8051"/>
      </w:tabs>
      <w:adjustRightInd w:val="0"/>
      <w:spacing w:line="360" w:lineRule="atLeast"/>
      <w:ind w:left="840" w:firstLineChars="0" w:hanging="840"/>
      <w:jc w:val="left"/>
      <w:textAlignment w:val="baseline"/>
    </w:pPr>
    <w:rPr>
      <w:rFonts w:ascii="宋体" w:eastAsia="Times New Roman" w:cs="Times New Roman"/>
      <w:kern w:val="0"/>
      <w:szCs w:val="20"/>
    </w:rPr>
  </w:style>
  <w:style w:type="paragraph" w:customStyle="1" w:styleId="02">
    <w:name w:val="02"/>
    <w:basedOn w:val="20"/>
    <w:uiPriority w:val="99"/>
    <w:qFormat/>
    <w:pPr>
      <w:numPr>
        <w:ilvl w:val="0"/>
        <w:numId w:val="0"/>
      </w:numPr>
      <w:tabs>
        <w:tab w:val="left" w:pos="870"/>
      </w:tabs>
      <w:spacing w:beforeLines="0" w:before="0" w:afterLines="0" w:after="0" w:line="480" w:lineRule="auto"/>
      <w:ind w:firstLine="510"/>
    </w:pPr>
    <w:rPr>
      <w:rFonts w:ascii="仿宋_GB2312" w:eastAsia="Verdana" w:hAnsi="仿宋_GB2312" w:cs="仿宋_GB2312"/>
      <w:color w:val="333333"/>
      <w:sz w:val="24"/>
      <w:szCs w:val="20"/>
    </w:rPr>
  </w:style>
  <w:style w:type="paragraph" w:customStyle="1" w:styleId="12c">
    <w:name w:val="列出段落12"/>
    <w:basedOn w:val="a"/>
    <w:autoRedefine/>
    <w:uiPriority w:val="99"/>
    <w:qFormat/>
    <w:pPr>
      <w:spacing w:line="360" w:lineRule="auto"/>
      <w:ind w:firstLineChars="200" w:firstLine="420"/>
    </w:pPr>
    <w:rPr>
      <w:rFonts w:cs="Times New Roman"/>
      <w:sz w:val="24"/>
    </w:rPr>
  </w:style>
  <w:style w:type="paragraph" w:customStyle="1" w:styleId="2Z">
    <w:name w:val="列表 2Z"/>
    <w:basedOn w:val="24"/>
    <w:autoRedefine/>
    <w:uiPriority w:val="99"/>
    <w:qFormat/>
    <w:pPr>
      <w:tabs>
        <w:tab w:val="left" w:pos="737"/>
      </w:tabs>
      <w:adjustRightInd/>
      <w:spacing w:beforeLines="0" w:beforeAutospacing="1" w:after="100" w:afterAutospacing="1" w:line="288" w:lineRule="auto"/>
      <w:ind w:left="737" w:hanging="567"/>
      <w:textAlignment w:val="auto"/>
    </w:pPr>
    <w:rPr>
      <w:rFonts w:ascii="Courier New" w:hAnsi="Courier New" w:cs="仿宋_GB2312"/>
      <w:color w:val="FFFF99"/>
      <w:kern w:val="2"/>
    </w:rPr>
  </w:style>
  <w:style w:type="paragraph" w:customStyle="1" w:styleId="6f2">
    <w:name w:val="目录6（西藏格式）"/>
    <w:basedOn w:val="62"/>
    <w:autoRedefine/>
    <w:uiPriority w:val="99"/>
    <w:qFormat/>
    <w:pPr>
      <w:adjustRightInd w:val="0"/>
      <w:snapToGrid w:val="0"/>
      <w:spacing w:line="360" w:lineRule="auto"/>
      <w:ind w:left="1094" w:firstLineChars="200" w:hanging="363"/>
    </w:pPr>
    <w:rPr>
      <w:rFonts w:ascii="Calibri" w:eastAsia="宋体" w:hAnsi="Calibri" w:cs="Calibri"/>
      <w:snapToGrid w:val="0"/>
      <w:sz w:val="24"/>
      <w:szCs w:val="18"/>
    </w:rPr>
  </w:style>
  <w:style w:type="paragraph" w:customStyle="1" w:styleId="333CharTimesNew3">
    <w:name w:val="样式 标题 3样式　标题 3　自动设置标题 3 Char章 + Times New 表题3"/>
    <w:basedOn w:val="3"/>
    <w:uiPriority w:val="99"/>
    <w:qFormat/>
    <w:pPr>
      <w:numPr>
        <w:ilvl w:val="0"/>
        <w:numId w:val="0"/>
      </w:numPr>
      <w:tabs>
        <w:tab w:val="left" w:pos="870"/>
        <w:tab w:val="left" w:pos="3800"/>
        <w:tab w:val="left" w:pos="5200"/>
      </w:tabs>
      <w:autoSpaceDE w:val="0"/>
      <w:autoSpaceDN w:val="0"/>
      <w:spacing w:beforeLines="50" w:afterLines="50" w:line="240" w:lineRule="auto"/>
      <w:ind w:left="-1523" w:firstLine="1523"/>
      <w:jc w:val="both"/>
    </w:pPr>
    <w:rPr>
      <w:rFonts w:ascii="仿宋_GB2312" w:hAnsi="仿宋_GB2312" w:cs="Verdana"/>
      <w:sz w:val="28"/>
      <w:szCs w:val="28"/>
    </w:rPr>
  </w:style>
  <w:style w:type="paragraph" w:customStyle="1" w:styleId="2S">
    <w:name w:val="列表 2S"/>
    <w:basedOn w:val="24"/>
    <w:autoRedefine/>
    <w:uiPriority w:val="99"/>
    <w:qFormat/>
    <w:pPr>
      <w:tabs>
        <w:tab w:val="left" w:pos="737"/>
      </w:tabs>
      <w:adjustRightInd/>
      <w:spacing w:beforeLines="0" w:beforeAutospacing="1" w:after="100" w:afterAutospacing="1" w:line="288" w:lineRule="auto"/>
      <w:ind w:left="737" w:hanging="567"/>
      <w:textAlignment w:val="auto"/>
    </w:pPr>
    <w:rPr>
      <w:rFonts w:ascii="Courier New" w:hAnsi="Courier New" w:cs="仿宋_GB2312"/>
      <w:color w:val="FFFF99"/>
      <w:kern w:val="2"/>
    </w:rPr>
  </w:style>
  <w:style w:type="paragraph" w:customStyle="1" w:styleId="xl101">
    <w:name w:val="xl101"/>
    <w:basedOn w:val="a"/>
    <w:uiPriority w:val="99"/>
    <w:qFormat/>
    <w:pPr>
      <w:widowControl/>
      <w:pBdr>
        <w:top w:val="single" w:sz="4" w:space="0" w:color="auto"/>
        <w:left w:val="single" w:sz="4" w:space="0" w:color="auto"/>
        <w:bottom w:val="single" w:sz="4" w:space="0" w:color="auto"/>
      </w:pBdr>
      <w:spacing w:before="100" w:beforeAutospacing="1" w:after="100" w:afterAutospacing="1"/>
      <w:jc w:val="center"/>
    </w:pPr>
    <w:rPr>
      <w:rFonts w:ascii="華康中楷體" w:eastAsia="華康中楷體" w:hAnsi="華康中楷體" w:cs="華康中楷體"/>
      <w:kern w:val="0"/>
      <w:sz w:val="16"/>
      <w:szCs w:val="16"/>
    </w:rPr>
  </w:style>
  <w:style w:type="paragraph" w:customStyle="1" w:styleId="3fff2">
    <w:name w:val="我的标题3"/>
    <w:basedOn w:val="a"/>
    <w:autoRedefine/>
    <w:uiPriority w:val="99"/>
    <w:qFormat/>
    <w:rPr>
      <w:rFonts w:ascii="仿宋_GB2312" w:hAnsi="仿宋_GB2312" w:cs="仿宋_GB2312"/>
      <w:b/>
      <w:sz w:val="28"/>
      <w:szCs w:val="24"/>
    </w:rPr>
  </w:style>
  <w:style w:type="paragraph" w:customStyle="1" w:styleId="xl100">
    <w:name w:val="xl100"/>
    <w:basedOn w:val="a"/>
    <w:autoRedefine/>
    <w:uiPriority w:val="99"/>
    <w:qFormat/>
    <w:pPr>
      <w:widowControl/>
      <w:pBdr>
        <w:top w:val="single" w:sz="8" w:space="0" w:color="auto"/>
        <w:bottom w:val="single" w:sz="4" w:space="0" w:color="auto"/>
        <w:right w:val="single" w:sz="8" w:space="0" w:color="auto"/>
      </w:pBdr>
      <w:spacing w:before="100" w:beforeAutospacing="1" w:after="100" w:afterAutospacing="1"/>
      <w:jc w:val="left"/>
    </w:pPr>
    <w:rPr>
      <w:rFonts w:ascii="華康中楷體" w:eastAsia="華康中楷體" w:hAnsi="華康中楷體" w:cs="華康中楷體"/>
      <w:kern w:val="0"/>
      <w:sz w:val="24"/>
      <w:szCs w:val="24"/>
    </w:rPr>
  </w:style>
  <w:style w:type="paragraph" w:customStyle="1" w:styleId="3C0">
    <w:name w:val="列表 3C"/>
    <w:basedOn w:val="31"/>
    <w:autoRedefine/>
    <w:uiPriority w:val="99"/>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cucd-TB-Head">
    <w:name w:val="cucd-TB-Head"/>
    <w:basedOn w:val="a"/>
    <w:next w:val="a"/>
    <w:autoRedefine/>
    <w:uiPriority w:val="99"/>
    <w:qFormat/>
    <w:pPr>
      <w:spacing w:beforeLines="50"/>
      <w:jc w:val="center"/>
    </w:pPr>
    <w:rPr>
      <w:rFonts w:hAnsi="宋体" w:cs="Times New Roman"/>
      <w:b/>
      <w:szCs w:val="21"/>
    </w:rPr>
  </w:style>
  <w:style w:type="paragraph" w:customStyle="1" w:styleId="Style961">
    <w:name w:val="_Style 961"/>
    <w:basedOn w:val="a"/>
    <w:autoRedefine/>
    <w:uiPriority w:val="99"/>
    <w:qFormat/>
    <w:pPr>
      <w:spacing w:line="360" w:lineRule="auto"/>
      <w:ind w:firstLineChars="200" w:firstLine="200"/>
    </w:pPr>
    <w:rPr>
      <w:rFonts w:cs="Times New Roman"/>
      <w:szCs w:val="24"/>
    </w:rPr>
  </w:style>
  <w:style w:type="paragraph" w:customStyle="1" w:styleId="CharCharCharChar1CharCharCharCharCharCharCharChar">
    <w:name w:val="Char Char Char Char1 Char Char Char Char Char Char Char Char"/>
    <w:basedOn w:val="a"/>
    <w:uiPriority w:val="99"/>
    <w:qFormat/>
    <w:rPr>
      <w:rFonts w:cs="Times New Roman"/>
      <w:sz w:val="24"/>
      <w:szCs w:val="24"/>
    </w:rPr>
  </w:style>
  <w:style w:type="paragraph" w:customStyle="1" w:styleId="affffffffffffffffffffffffffff2">
    <w:name w:val="日期（西藏格式）"/>
    <w:basedOn w:val="aff6"/>
    <w:uiPriority w:val="99"/>
    <w:qFormat/>
    <w:pPr>
      <w:adjustRightInd w:val="0"/>
      <w:snapToGrid w:val="0"/>
      <w:spacing w:line="600" w:lineRule="exact"/>
      <w:ind w:leftChars="0" w:left="0" w:right="1361"/>
      <w:jc w:val="right"/>
    </w:pPr>
    <w:rPr>
      <w:rFonts w:eastAsia="仿宋_GB2312" w:cs="Times New Roman"/>
      <w:snapToGrid w:val="0"/>
      <w:kern w:val="0"/>
      <w:sz w:val="32"/>
      <w:szCs w:val="32"/>
    </w:rPr>
  </w:style>
  <w:style w:type="paragraph" w:customStyle="1" w:styleId="1ffffff9">
    <w:name w:val="文档结构图1"/>
    <w:basedOn w:val="a"/>
    <w:autoRedefine/>
    <w:uiPriority w:val="99"/>
    <w:qFormat/>
    <w:pPr>
      <w:spacing w:line="360" w:lineRule="auto"/>
      <w:ind w:firstLineChars="200" w:firstLine="200"/>
    </w:pPr>
    <w:rPr>
      <w:rFonts w:ascii="宋体" w:hAnsi="Calibri" w:cs="Times New Roman"/>
      <w:kern w:val="0"/>
      <w:sz w:val="18"/>
      <w:szCs w:val="18"/>
    </w:rPr>
  </w:style>
  <w:style w:type="paragraph" w:customStyle="1" w:styleId="affffffffffffffffffffffffffff3">
    <w:name w:val="文件册号"/>
    <w:basedOn w:val="a"/>
    <w:next w:val="a"/>
    <w:uiPriority w:val="99"/>
    <w:qFormat/>
    <w:pPr>
      <w:spacing w:line="800" w:lineRule="atLeast"/>
      <w:jc w:val="center"/>
    </w:pPr>
    <w:rPr>
      <w:rFonts w:ascii="仿宋_GB2312" w:hAnsi="仿宋_GB2312" w:cs="仿宋_GB2312"/>
      <w:sz w:val="52"/>
      <w:szCs w:val="52"/>
    </w:rPr>
  </w:style>
  <w:style w:type="paragraph" w:customStyle="1" w:styleId="CharCharCharCharCharChar1CharCharCharCharCharCharCharCharCharCharCharCharCharCharCharCharCharChar">
    <w:name w:val="Char Char Char Char Char Char1 Char Char Char Char Char Char Char Char Char Char Char Char Char Char Char Char Char Char"/>
    <w:basedOn w:val="a"/>
    <w:uiPriority w:val="99"/>
    <w:qFormat/>
    <w:pPr>
      <w:spacing w:line="360" w:lineRule="auto"/>
      <w:ind w:firstLineChars="200" w:firstLine="200"/>
    </w:pPr>
    <w:rPr>
      <w:rFonts w:ascii="宋体" w:hAnsi="宋体" w:cs="宋体"/>
      <w:sz w:val="24"/>
      <w:szCs w:val="24"/>
    </w:rPr>
  </w:style>
  <w:style w:type="paragraph" w:customStyle="1" w:styleId="3fff3">
    <w:name w:val="样式 标题 3 + 黑体 加粗"/>
    <w:basedOn w:val="3"/>
    <w:autoRedefine/>
    <w:uiPriority w:val="99"/>
    <w:qFormat/>
    <w:pPr>
      <w:numPr>
        <w:ilvl w:val="0"/>
        <w:numId w:val="0"/>
      </w:numPr>
      <w:tabs>
        <w:tab w:val="left" w:pos="870"/>
      </w:tabs>
      <w:adjustRightInd/>
      <w:snapToGrid/>
      <w:spacing w:line="440" w:lineRule="exact"/>
      <w:ind w:firstLine="510"/>
    </w:pPr>
    <w:rPr>
      <w:rFonts w:ascii="黑体" w:eastAsia="黑体" w:hAnsi="黑体" w:cs="Times New Roman"/>
      <w:b w:val="0"/>
      <w:kern w:val="0"/>
      <w:sz w:val="28"/>
    </w:rPr>
  </w:style>
  <w:style w:type="paragraph" w:customStyle="1" w:styleId="font17">
    <w:name w:val="font17"/>
    <w:basedOn w:val="a"/>
    <w:uiPriority w:val="99"/>
    <w:qFormat/>
    <w:pPr>
      <w:widowControl/>
      <w:spacing w:before="100" w:beforeAutospacing="1" w:after="100" w:afterAutospacing="1"/>
      <w:jc w:val="left"/>
    </w:pPr>
    <w:rPr>
      <w:rFonts w:ascii="仿宋_GB2312" w:eastAsia="華康中楷體" w:hAnsi="仿宋_GB2312" w:cs="仿宋_GB2312"/>
      <w:kern w:val="0"/>
      <w:sz w:val="20"/>
      <w:szCs w:val="20"/>
      <w:u w:val="single"/>
    </w:rPr>
  </w:style>
  <w:style w:type="paragraph" w:customStyle="1" w:styleId="2fffff3">
    <w:name w:val="正文首行缩进2（西藏格式）"/>
    <w:basedOn w:val="23"/>
    <w:autoRedefine/>
    <w:uiPriority w:val="99"/>
    <w:qFormat/>
    <w:pPr>
      <w:adjustRightInd w:val="0"/>
      <w:snapToGrid w:val="0"/>
      <w:spacing w:after="0" w:line="360" w:lineRule="auto"/>
      <w:ind w:leftChars="0" w:left="0" w:firstLine="482"/>
    </w:pPr>
    <w:rPr>
      <w:rFonts w:cs="Times New Roman"/>
      <w:snapToGrid w:val="0"/>
      <w:kern w:val="0"/>
      <w:sz w:val="20"/>
      <w:szCs w:val="21"/>
    </w:rPr>
  </w:style>
  <w:style w:type="paragraph" w:customStyle="1" w:styleId="K">
    <w:name w:val="列表 K"/>
    <w:basedOn w:val="ac"/>
    <w:autoRedefine/>
    <w:uiPriority w:val="99"/>
    <w:qFormat/>
    <w:pPr>
      <w:tabs>
        <w:tab w:val="left" w:pos="425"/>
      </w:tabs>
      <w:spacing w:beforeLines="100" w:afterLines="50" w:line="288" w:lineRule="auto"/>
      <w:ind w:left="425" w:firstLineChars="0" w:hanging="425"/>
    </w:pPr>
    <w:rPr>
      <w:rFonts w:eastAsia="宋体" w:cs="仿宋_GB2312"/>
      <w:b/>
      <w:bCs/>
      <w:color w:val="FF99CC"/>
      <w:sz w:val="24"/>
      <w:szCs w:val="20"/>
    </w:rPr>
  </w:style>
  <w:style w:type="paragraph" w:customStyle="1" w:styleId="1513">
    <w:name w:val="样式 四号 黑色 行距: 1.5 倍行距1"/>
    <w:basedOn w:val="a"/>
    <w:uiPriority w:val="99"/>
    <w:qFormat/>
    <w:pPr>
      <w:spacing w:line="360" w:lineRule="auto"/>
      <w:ind w:firstLineChars="200" w:firstLine="560"/>
    </w:pPr>
    <w:rPr>
      <w:rFonts w:cs="宋体"/>
      <w:color w:val="000000"/>
      <w:sz w:val="28"/>
      <w:szCs w:val="20"/>
    </w:rPr>
  </w:style>
  <w:style w:type="paragraph" w:customStyle="1" w:styleId="affffffffffffffffffffffffffff4">
    <w:name w:val="悬挂式正文"/>
    <w:basedOn w:val="a"/>
    <w:uiPriority w:val="99"/>
    <w:qFormat/>
    <w:pPr>
      <w:tabs>
        <w:tab w:val="center" w:pos="6804"/>
        <w:tab w:val="right" w:pos="7371"/>
      </w:tabs>
      <w:overflowPunct w:val="0"/>
      <w:adjustRightInd w:val="0"/>
      <w:spacing w:line="360" w:lineRule="auto"/>
      <w:ind w:left="1701" w:hanging="1134"/>
      <w:textAlignment w:val="baseline"/>
    </w:pPr>
    <w:rPr>
      <w:rFonts w:cs="Times New Roman"/>
      <w:kern w:val="0"/>
      <w:sz w:val="28"/>
      <w:szCs w:val="20"/>
    </w:rPr>
  </w:style>
  <w:style w:type="paragraph" w:customStyle="1" w:styleId="xl77">
    <w:name w:val="xl77"/>
    <w:basedOn w:val="a"/>
    <w:autoRedefine/>
    <w:uiPriority w:val="99"/>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3fff4">
    <w:name w:val="标题样式3"/>
    <w:basedOn w:val="3"/>
    <w:uiPriority w:val="99"/>
    <w:qFormat/>
    <w:pPr>
      <w:keepNext w:val="0"/>
      <w:numPr>
        <w:ilvl w:val="0"/>
        <w:numId w:val="0"/>
      </w:numPr>
      <w:tabs>
        <w:tab w:val="left" w:pos="870"/>
      </w:tabs>
      <w:adjustRightInd/>
      <w:snapToGrid/>
      <w:ind w:firstLine="510"/>
      <w:jc w:val="both"/>
    </w:pPr>
    <w:rPr>
      <w:rFonts w:ascii="黑体" w:eastAsia="黑体" w:cs="黑体"/>
      <w:color w:val="000000"/>
      <w:kern w:val="0"/>
      <w:sz w:val="28"/>
      <w:szCs w:val="28"/>
      <w:lang w:val="zh-CN"/>
    </w:rPr>
  </w:style>
  <w:style w:type="paragraph" w:customStyle="1" w:styleId="affffffffffffffffffffffffffff5">
    <w:name w:val="表－居中列"/>
    <w:basedOn w:val="a"/>
    <w:autoRedefine/>
    <w:uiPriority w:val="99"/>
    <w:qFormat/>
    <w:pPr>
      <w:suppressLineNumbers/>
      <w:suppressAutoHyphens/>
      <w:snapToGrid w:val="0"/>
      <w:spacing w:before="60" w:after="60"/>
      <w:jc w:val="center"/>
    </w:pPr>
    <w:rPr>
      <w:rFonts w:cs="Times New Roman"/>
      <w:kern w:val="0"/>
      <w:szCs w:val="20"/>
      <w:lang w:eastAsia="ja-JP"/>
    </w:rPr>
  </w:style>
  <w:style w:type="paragraph" w:customStyle="1" w:styleId="2fffff4">
    <w:name w:val="我的2"/>
    <w:basedOn w:val="a"/>
    <w:autoRedefine/>
    <w:uiPriority w:val="99"/>
    <w:qFormat/>
    <w:rPr>
      <w:rFonts w:ascii="仿宋_GB2312" w:hAnsi="仿宋_GB2312" w:cs="仿宋_GB2312"/>
      <w:b/>
      <w:sz w:val="28"/>
      <w:szCs w:val="24"/>
    </w:rPr>
  </w:style>
  <w:style w:type="paragraph" w:customStyle="1" w:styleId="3B0">
    <w:name w:val="列表 3B"/>
    <w:basedOn w:val="31"/>
    <w:uiPriority w:val="99"/>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
    <w:name w:val="表中文字----------------"/>
    <w:basedOn w:val="a"/>
    <w:uiPriority w:val="99"/>
    <w:qFormat/>
    <w:pPr>
      <w:jc w:val="center"/>
    </w:pPr>
    <w:rPr>
      <w:rFonts w:ascii="仿宋_GB2312" w:hAnsi="仿宋_GB2312" w:cs="仿宋_GB2312"/>
      <w:szCs w:val="20"/>
    </w:rPr>
  </w:style>
  <w:style w:type="paragraph" w:customStyle="1" w:styleId="2O">
    <w:name w:val="列表 2O"/>
    <w:basedOn w:val="24"/>
    <w:autoRedefine/>
    <w:uiPriority w:val="99"/>
    <w:qFormat/>
    <w:pPr>
      <w:tabs>
        <w:tab w:val="left" w:pos="737"/>
      </w:tabs>
      <w:adjustRightInd/>
      <w:spacing w:beforeLines="0" w:beforeAutospacing="1" w:after="100" w:afterAutospacing="1" w:line="288" w:lineRule="auto"/>
      <w:ind w:left="737" w:hanging="567"/>
      <w:textAlignment w:val="auto"/>
    </w:pPr>
    <w:rPr>
      <w:rFonts w:ascii="Courier New" w:hAnsi="Courier New" w:cs="仿宋_GB2312"/>
      <w:color w:val="FFFF99"/>
      <w:kern w:val="2"/>
    </w:rPr>
  </w:style>
  <w:style w:type="paragraph" w:customStyle="1" w:styleId="5K">
    <w:name w:val="列表 5K"/>
    <w:basedOn w:val="56"/>
    <w:autoRedefine/>
    <w:uiPriority w:val="99"/>
    <w:qFormat/>
    <w:pPr>
      <w:tabs>
        <w:tab w:val="left" w:pos="1134"/>
      </w:tabs>
      <w:adjustRightInd/>
      <w:spacing w:beforeLines="0" w:line="240" w:lineRule="auto"/>
      <w:ind w:left="1134" w:hanging="425"/>
      <w:textAlignment w:val="auto"/>
    </w:pPr>
    <w:rPr>
      <w:rFonts w:ascii="Courier New" w:hAnsi="Courier New" w:cs="仿宋_GB2312"/>
      <w:color w:val="99CCFF"/>
      <w:kern w:val="2"/>
    </w:rPr>
  </w:style>
  <w:style w:type="paragraph" w:customStyle="1" w:styleId="CharCharChar1CharCharChar">
    <w:name w:val="Char Char Char1 Char Char Char"/>
    <w:basedOn w:val="a"/>
    <w:autoRedefine/>
    <w:uiPriority w:val="99"/>
    <w:qFormat/>
    <w:rPr>
      <w:rFonts w:ascii="仿宋_GB2312" w:hAnsi="仿宋_GB2312" w:cs="仿宋_GB2312"/>
      <w:szCs w:val="24"/>
    </w:rPr>
  </w:style>
  <w:style w:type="paragraph" w:customStyle="1" w:styleId="4T">
    <w:name w:val="列表 4T"/>
    <w:basedOn w:val="46"/>
    <w:autoRedefine/>
    <w:uiPriority w:val="99"/>
    <w:qFormat/>
    <w:pPr>
      <w:tabs>
        <w:tab w:val="left" w:pos="1021"/>
      </w:tabs>
      <w:adjustRightInd/>
      <w:spacing w:before="156" w:afterLines="30" w:line="288" w:lineRule="auto"/>
      <w:ind w:left="1021" w:hanging="454"/>
      <w:textAlignment w:val="auto"/>
    </w:pPr>
    <w:rPr>
      <w:rFonts w:ascii="Courier New" w:hAnsi="Courier New" w:cs="仿宋_GB2312"/>
      <w:color w:val="CCFFFF"/>
      <w:kern w:val="2"/>
    </w:rPr>
  </w:style>
  <w:style w:type="paragraph" w:customStyle="1" w:styleId="3I">
    <w:name w:val="列表 3I"/>
    <w:basedOn w:val="31"/>
    <w:autoRedefine/>
    <w:uiPriority w:val="99"/>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affffffffffffffffffffffffffff6">
    <w:name w:val="样式 湛江钢铁表 +"/>
    <w:basedOn w:val="a"/>
    <w:next w:val="a"/>
    <w:autoRedefine/>
    <w:uiPriority w:val="99"/>
    <w:qFormat/>
    <w:pPr>
      <w:adjustRightInd w:val="0"/>
      <w:snapToGrid w:val="0"/>
      <w:spacing w:beforeLines="20" w:afterLines="20"/>
      <w:jc w:val="center"/>
      <w:textAlignment w:val="baseline"/>
    </w:pPr>
    <w:rPr>
      <w:rFonts w:ascii="仿宋_GB2312" w:eastAsia="ˎ̥" w:hAnsi="仿宋_GB2312" w:cs="仿宋_GB2312"/>
      <w:snapToGrid w:val="0"/>
      <w:kern w:val="0"/>
      <w:szCs w:val="21"/>
    </w:rPr>
  </w:style>
  <w:style w:type="paragraph" w:customStyle="1" w:styleId="1ffffffa">
    <w:name w:val="样式 正文首行缩进 + 首行缩进:  1 字符"/>
    <w:basedOn w:val="affff3"/>
    <w:autoRedefine/>
    <w:uiPriority w:val="99"/>
    <w:qFormat/>
    <w:pPr>
      <w:kinsoku/>
      <w:spacing w:after="0" w:line="440" w:lineRule="exact"/>
      <w:ind w:firstLineChars="200" w:firstLine="200"/>
    </w:pPr>
    <w:rPr>
      <w:spacing w:val="6"/>
      <w:sz w:val="24"/>
      <w:szCs w:val="20"/>
    </w:rPr>
  </w:style>
  <w:style w:type="paragraph" w:customStyle="1" w:styleId="5T">
    <w:name w:val="列表 5T"/>
    <w:basedOn w:val="56"/>
    <w:uiPriority w:val="99"/>
    <w:qFormat/>
    <w:pPr>
      <w:tabs>
        <w:tab w:val="left" w:pos="1134"/>
      </w:tabs>
      <w:adjustRightInd/>
      <w:spacing w:beforeLines="0" w:line="240" w:lineRule="auto"/>
      <w:ind w:left="1134" w:hanging="425"/>
      <w:textAlignment w:val="auto"/>
    </w:pPr>
    <w:rPr>
      <w:rFonts w:ascii="Courier New" w:hAnsi="Courier New" w:cs="仿宋_GB2312"/>
      <w:color w:val="99CCFF"/>
      <w:kern w:val="2"/>
    </w:rPr>
  </w:style>
  <w:style w:type="paragraph" w:customStyle="1" w:styleId="affffffffffffffffffffffffffff7">
    <w:name w:val="正文首行缩进（西藏格式）"/>
    <w:basedOn w:val="14"/>
    <w:uiPriority w:val="99"/>
    <w:qFormat/>
    <w:pPr>
      <w:adjustRightInd w:val="0"/>
      <w:snapToGrid w:val="0"/>
      <w:spacing w:after="0" w:line="400" w:lineRule="exact"/>
      <w:ind w:firstLineChars="0" w:firstLine="482"/>
    </w:pPr>
    <w:rPr>
      <w:snapToGrid w:val="0"/>
    </w:rPr>
  </w:style>
  <w:style w:type="paragraph" w:customStyle="1" w:styleId="xl103">
    <w:name w:val="xl103"/>
    <w:basedOn w:val="a"/>
    <w:autoRedefine/>
    <w:uiPriority w:val="99"/>
    <w:qFormat/>
    <w:pPr>
      <w:widowControl/>
      <w:pBdr>
        <w:top w:val="single" w:sz="4" w:space="0" w:color="auto"/>
        <w:left w:val="single" w:sz="8" w:space="0" w:color="auto"/>
      </w:pBdr>
      <w:spacing w:before="100" w:beforeAutospacing="1" w:after="100" w:afterAutospacing="1"/>
      <w:jc w:val="left"/>
      <w:textAlignment w:val="center"/>
    </w:pPr>
    <w:rPr>
      <w:rFonts w:ascii="華康中楷體" w:eastAsia="華康中楷體" w:hAnsi="華康中楷體" w:cs="華康中楷體"/>
      <w:kern w:val="0"/>
      <w:sz w:val="16"/>
      <w:szCs w:val="16"/>
    </w:rPr>
  </w:style>
  <w:style w:type="paragraph" w:customStyle="1" w:styleId="xl105">
    <w:name w:val="xl105"/>
    <w:basedOn w:val="a"/>
    <w:autoRedefine/>
    <w:uiPriority w:val="99"/>
    <w:qFormat/>
    <w:pPr>
      <w:widowControl/>
      <w:pBdr>
        <w:top w:val="single" w:sz="4" w:space="0" w:color="auto"/>
        <w:right w:val="single" w:sz="4"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1CharCharCharChar0">
    <w:name w:val="正文1 Char Char Char Char"/>
    <w:basedOn w:val="a"/>
    <w:autoRedefine/>
    <w:uiPriority w:val="99"/>
    <w:qFormat/>
    <w:pPr>
      <w:tabs>
        <w:tab w:val="left" w:pos="5327"/>
        <w:tab w:val="left" w:pos="6326"/>
        <w:tab w:val="left" w:pos="7230"/>
        <w:tab w:val="left" w:pos="9301"/>
      </w:tabs>
      <w:autoSpaceDE w:val="0"/>
      <w:autoSpaceDN w:val="0"/>
      <w:adjustRightInd w:val="0"/>
      <w:snapToGrid w:val="0"/>
      <w:spacing w:line="600" w:lineRule="exact"/>
      <w:ind w:firstLineChars="200" w:firstLine="200"/>
      <w:jc w:val="left"/>
    </w:pPr>
    <w:rPr>
      <w:rFonts w:ascii="Arial Narrow" w:eastAsia="仿宋_GB2312" w:hAnsi="Arial Narrow" w:cs="Times New Roman"/>
      <w:color w:val="000000"/>
      <w:kern w:val="10"/>
      <w:sz w:val="28"/>
      <w:szCs w:val="28"/>
    </w:rPr>
  </w:style>
  <w:style w:type="paragraph" w:customStyle="1" w:styleId="xl99">
    <w:name w:val="xl99"/>
    <w:basedOn w:val="a"/>
    <w:autoRedefine/>
    <w:uiPriority w:val="99"/>
    <w:qFormat/>
    <w:pPr>
      <w:widowControl/>
      <w:pBdr>
        <w:top w:val="single" w:sz="8" w:space="0" w:color="auto"/>
        <w:left w:val="single" w:sz="8" w:space="0" w:color="auto"/>
        <w:bottom w:val="single" w:sz="4" w:space="0" w:color="auto"/>
      </w:pBdr>
      <w:spacing w:before="100" w:beforeAutospacing="1" w:after="100" w:afterAutospacing="1"/>
      <w:jc w:val="center"/>
    </w:pPr>
    <w:rPr>
      <w:rFonts w:ascii="華康中楷體" w:eastAsia="華康中楷體" w:hAnsi="華康中楷體" w:cs="華康中楷體"/>
      <w:kern w:val="0"/>
      <w:sz w:val="16"/>
      <w:szCs w:val="16"/>
    </w:rPr>
  </w:style>
  <w:style w:type="paragraph" w:customStyle="1" w:styleId="CharCharCharf3">
    <w:name w:val="自定义正文 Char Char Char"/>
    <w:uiPriority w:val="99"/>
    <w:qFormat/>
    <w:pPr>
      <w:widowControl w:val="0"/>
      <w:adjustRightInd w:val="0"/>
      <w:snapToGrid w:val="0"/>
      <w:spacing w:line="360" w:lineRule="auto"/>
      <w:ind w:firstLine="510"/>
      <w:jc w:val="both"/>
    </w:pPr>
    <w:rPr>
      <w:rFonts w:ascii="仿宋_GB2312" w:hAnsi="仿宋_GB2312" w:cs="仿宋_GB2312"/>
      <w:spacing w:val="-2"/>
      <w:kern w:val="2"/>
      <w:sz w:val="28"/>
      <w:szCs w:val="24"/>
    </w:rPr>
  </w:style>
  <w:style w:type="paragraph" w:customStyle="1" w:styleId="CharChar4CharCharCharChar1CharCharCharCharCharCharCharCharCharCharCharCharCharCharCharCharCharCharCharCharCharCharCharChar">
    <w:name w:val="Char Char4 Char Char Char Char1 Char Char Char Char Char Char Char Char Char Char Char Char Char Char Char Char Char Char Char Char Char Char Char Char"/>
    <w:basedOn w:val="a"/>
    <w:autoRedefine/>
    <w:uiPriority w:val="99"/>
    <w:qFormat/>
    <w:pPr>
      <w:widowControl/>
      <w:spacing w:after="160" w:line="240" w:lineRule="exact"/>
      <w:jc w:val="left"/>
    </w:pPr>
    <w:rPr>
      <w:rFonts w:ascii="Verdana" w:eastAsia="仿宋_GB2312" w:hAnsi="Verdana" w:cs="Times New Roman"/>
      <w:kern w:val="0"/>
      <w:sz w:val="24"/>
      <w:szCs w:val="30"/>
      <w:lang w:eastAsia="en-US"/>
    </w:rPr>
  </w:style>
  <w:style w:type="paragraph" w:customStyle="1" w:styleId="2226">
    <w:name w:val="样式 样式 样式 首行缩进:  2 字符 + 首行缩进:  2 字符 + 首行缩进:  2 字符"/>
    <w:basedOn w:val="223"/>
    <w:uiPriority w:val="99"/>
    <w:qFormat/>
    <w:pPr>
      <w:spacing w:line="240" w:lineRule="auto"/>
      <w:ind w:firstLine="567"/>
    </w:pPr>
    <w:rPr>
      <w:rFonts w:ascii="宋体"/>
      <w:sz w:val="27"/>
    </w:rPr>
  </w:style>
  <w:style w:type="paragraph" w:customStyle="1" w:styleId="CharCharCharChar1CharCharCharCharCharChar">
    <w:name w:val="Char Char Char Char1 Char Char Char Char Char Char"/>
    <w:basedOn w:val="a"/>
    <w:autoRedefine/>
    <w:uiPriority w:val="99"/>
    <w:qFormat/>
    <w:rPr>
      <w:rFonts w:cs="Times New Roman"/>
      <w:sz w:val="24"/>
      <w:szCs w:val="24"/>
    </w:rPr>
  </w:style>
  <w:style w:type="paragraph" w:customStyle="1" w:styleId="5G">
    <w:name w:val="列表 5G"/>
    <w:basedOn w:val="56"/>
    <w:autoRedefine/>
    <w:uiPriority w:val="99"/>
    <w:qFormat/>
    <w:pPr>
      <w:tabs>
        <w:tab w:val="left" w:pos="1134"/>
      </w:tabs>
      <w:adjustRightInd/>
      <w:spacing w:beforeLines="0" w:line="240" w:lineRule="auto"/>
      <w:ind w:left="1134" w:hanging="425"/>
      <w:textAlignment w:val="auto"/>
    </w:pPr>
    <w:rPr>
      <w:rFonts w:ascii="Courier New" w:hAnsi="Courier New" w:cs="仿宋_GB2312"/>
      <w:color w:val="99CCFF"/>
      <w:kern w:val="2"/>
    </w:rPr>
  </w:style>
  <w:style w:type="paragraph" w:customStyle="1" w:styleId="5S">
    <w:name w:val="列表 5S"/>
    <w:basedOn w:val="56"/>
    <w:uiPriority w:val="99"/>
    <w:qFormat/>
    <w:pPr>
      <w:tabs>
        <w:tab w:val="left" w:pos="1134"/>
      </w:tabs>
      <w:adjustRightInd/>
      <w:spacing w:beforeLines="0" w:line="240" w:lineRule="auto"/>
      <w:ind w:left="1134" w:hanging="425"/>
      <w:textAlignment w:val="auto"/>
    </w:pPr>
    <w:rPr>
      <w:rFonts w:ascii="Courier New" w:hAnsi="Courier New" w:cs="仿宋_GB2312"/>
      <w:color w:val="99CCFF"/>
      <w:kern w:val="2"/>
    </w:rPr>
  </w:style>
  <w:style w:type="paragraph" w:customStyle="1" w:styleId="affffffffffffffffffffffffffff8">
    <w:name w:val="文本框文字"/>
    <w:basedOn w:val="a"/>
    <w:uiPriority w:val="99"/>
    <w:qFormat/>
    <w:pPr>
      <w:adjustRightInd w:val="0"/>
      <w:jc w:val="center"/>
      <w:textAlignment w:val="baseline"/>
    </w:pPr>
    <w:rPr>
      <w:rFonts w:ascii="仿宋_GB2312" w:hAnsi="仿宋_GB2312" w:cs="仿宋_GB2312"/>
      <w:kern w:val="0"/>
      <w:szCs w:val="20"/>
    </w:rPr>
  </w:style>
  <w:style w:type="paragraph" w:customStyle="1" w:styleId="affffffffffffffffffffffffffff9">
    <w:name w:val="泸县焦化表头"/>
    <w:basedOn w:val="a"/>
    <w:autoRedefine/>
    <w:uiPriority w:val="99"/>
    <w:qFormat/>
    <w:pPr>
      <w:adjustRightInd w:val="0"/>
      <w:snapToGrid w:val="0"/>
      <w:jc w:val="center"/>
    </w:pPr>
    <w:rPr>
      <w:rFonts w:cs="Times New Roman"/>
      <w:b/>
      <w:color w:val="0000FF"/>
      <w:sz w:val="24"/>
      <w:szCs w:val="24"/>
    </w:rPr>
  </w:style>
  <w:style w:type="paragraph" w:customStyle="1" w:styleId="Char1CharCharChar1CharCharCharCharCharCharCharCharCharCharCharChar">
    <w:name w:val="Char1 Char Char Char1 Char Char Char Char Char Char Char Char Char Char Char Char"/>
    <w:basedOn w:val="a"/>
    <w:uiPriority w:val="99"/>
    <w:qFormat/>
    <w:rPr>
      <w:rFonts w:ascii="仿宋_GB2312" w:hAnsi="仿宋_GB2312" w:cs="仿宋_GB2312"/>
      <w:sz w:val="24"/>
      <w:szCs w:val="24"/>
    </w:rPr>
  </w:style>
  <w:style w:type="paragraph" w:customStyle="1" w:styleId="2fffff5">
    <w:name w:val="2级标题"/>
    <w:basedOn w:val="20"/>
    <w:link w:val="2Charc"/>
    <w:qFormat/>
    <w:pPr>
      <w:keepNext w:val="0"/>
      <w:keepLines w:val="0"/>
      <w:numPr>
        <w:ilvl w:val="0"/>
        <w:numId w:val="0"/>
      </w:numPr>
      <w:tabs>
        <w:tab w:val="left" w:pos="870"/>
        <w:tab w:val="left" w:pos="3564"/>
      </w:tabs>
      <w:adjustRightInd w:val="0"/>
      <w:snapToGrid w:val="0"/>
      <w:spacing w:beforeLines="0" w:before="50" w:afterLines="0" w:after="0"/>
      <w:ind w:firstLine="510"/>
    </w:pPr>
    <w:rPr>
      <w:rFonts w:ascii="楷体" w:eastAsia="楷体" w:hAnsi="Courier New" w:cs="仿宋_GB2312"/>
      <w:b w:val="0"/>
      <w:bCs w:val="0"/>
      <w:snapToGrid w:val="0"/>
      <w:kern w:val="0"/>
      <w:sz w:val="30"/>
      <w:szCs w:val="28"/>
    </w:rPr>
  </w:style>
  <w:style w:type="character" w:customStyle="1" w:styleId="2Charc">
    <w:name w:val="2级标题 Char"/>
    <w:link w:val="2fffff5"/>
    <w:autoRedefine/>
    <w:qFormat/>
    <w:rPr>
      <w:rFonts w:ascii="楷体" w:eastAsia="楷体" w:hAnsi="Courier New" w:cs="仿宋_GB2312"/>
      <w:snapToGrid w:val="0"/>
      <w:sz w:val="30"/>
      <w:szCs w:val="28"/>
    </w:rPr>
  </w:style>
  <w:style w:type="paragraph" w:customStyle="1" w:styleId="3fff5">
    <w:name w:val="正文文字3(西藏样式)"/>
    <w:basedOn w:val="a"/>
    <w:uiPriority w:val="99"/>
    <w:qFormat/>
    <w:pPr>
      <w:adjustRightInd w:val="0"/>
      <w:snapToGrid w:val="0"/>
      <w:ind w:left="-57" w:right="-57"/>
      <w:jc w:val="center"/>
    </w:pPr>
    <w:rPr>
      <w:rFonts w:ascii="黑体" w:eastAsia="黑体" w:cs="Times New Roman"/>
      <w:snapToGrid w:val="0"/>
      <w:kern w:val="0"/>
      <w:sz w:val="18"/>
      <w:szCs w:val="20"/>
    </w:rPr>
  </w:style>
  <w:style w:type="paragraph" w:customStyle="1" w:styleId="xl84">
    <w:name w:val="xl84"/>
    <w:basedOn w:val="a"/>
    <w:autoRedefine/>
    <w:uiPriority w:val="99"/>
    <w:qFormat/>
    <w:pPr>
      <w:widowControl/>
      <w:pBdr>
        <w:bottom w:val="single" w:sz="4"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B">
    <w:name w:val="列表 B"/>
    <w:basedOn w:val="ac"/>
    <w:autoRedefine/>
    <w:uiPriority w:val="99"/>
    <w:qFormat/>
    <w:pPr>
      <w:tabs>
        <w:tab w:val="left" w:pos="425"/>
      </w:tabs>
      <w:spacing w:beforeLines="100" w:afterLines="50" w:line="288" w:lineRule="auto"/>
      <w:ind w:left="425" w:firstLineChars="0" w:hanging="425"/>
    </w:pPr>
    <w:rPr>
      <w:rFonts w:eastAsia="宋体" w:cs="仿宋_GB2312"/>
      <w:b/>
      <w:bCs/>
      <w:color w:val="FF99CC"/>
      <w:sz w:val="24"/>
      <w:szCs w:val="20"/>
    </w:rPr>
  </w:style>
  <w:style w:type="paragraph" w:customStyle="1" w:styleId="Char2CharCharCharCharCharChar">
    <w:name w:val="Char2 Char Char Char Char Char Char"/>
    <w:basedOn w:val="a"/>
    <w:uiPriority w:val="99"/>
    <w:qFormat/>
    <w:rPr>
      <w:rFonts w:cs="Times New Roman"/>
      <w:sz w:val="24"/>
      <w:szCs w:val="20"/>
    </w:rPr>
  </w:style>
  <w:style w:type="paragraph" w:customStyle="1" w:styleId="affffffffffffffffffffffffffffa">
    <w:name w:val="连续正文文字"/>
    <w:basedOn w:val="af"/>
    <w:autoRedefine/>
    <w:uiPriority w:val="99"/>
    <w:qFormat/>
    <w:pPr>
      <w:keepNext/>
      <w:widowControl/>
      <w:kinsoku/>
      <w:adjustRightInd/>
      <w:spacing w:after="220" w:line="280" w:lineRule="exact"/>
      <w:jc w:val="center"/>
      <w:textAlignment w:val="auto"/>
    </w:pPr>
    <w:rPr>
      <w:rFonts w:ascii="仿宋_GB2312" w:hAnsi="仿宋_GB2312" w:cs="仿宋_GB2312"/>
      <w:kern w:val="0"/>
      <w:sz w:val="30"/>
      <w:szCs w:val="20"/>
    </w:rPr>
  </w:style>
  <w:style w:type="paragraph" w:customStyle="1" w:styleId="821131113CharChar3Char3111111-1">
    <w:name w:val="8.2.1.1 标题 31.1.1条标题 3 Char Char标题 3 Char标3§1.1.1.. (1.1.1)- ...1"/>
    <w:basedOn w:val="a"/>
    <w:autoRedefine/>
    <w:uiPriority w:val="99"/>
    <w:qFormat/>
    <w:pPr>
      <w:tabs>
        <w:tab w:val="left" w:pos="0"/>
        <w:tab w:val="left" w:pos="720"/>
      </w:tabs>
      <w:spacing w:line="312" w:lineRule="auto"/>
      <w:ind w:left="720" w:hanging="720"/>
    </w:pPr>
    <w:rPr>
      <w:rFonts w:cs="Times New Roman"/>
      <w:sz w:val="24"/>
      <w:szCs w:val="20"/>
    </w:rPr>
  </w:style>
  <w:style w:type="paragraph" w:customStyle="1" w:styleId="t12">
    <w:name w:val="t12"/>
    <w:basedOn w:val="a"/>
    <w:autoRedefine/>
    <w:uiPriority w:val="99"/>
    <w:qFormat/>
    <w:pPr>
      <w:widowControl/>
      <w:spacing w:before="100" w:beforeAutospacing="1" w:after="100" w:afterAutospacing="1"/>
      <w:jc w:val="left"/>
    </w:pPr>
    <w:rPr>
      <w:rFonts w:ascii="宋体" w:hAnsi="宋体" w:cs="宋体"/>
      <w:kern w:val="0"/>
      <w:sz w:val="24"/>
      <w:szCs w:val="24"/>
    </w:rPr>
  </w:style>
  <w:style w:type="paragraph" w:customStyle="1" w:styleId="xl89">
    <w:name w:val="xl89"/>
    <w:basedOn w:val="a"/>
    <w:uiPriority w:val="99"/>
    <w:qFormat/>
    <w:pPr>
      <w:widowControl/>
      <w:pBdr>
        <w:top w:val="single" w:sz="4" w:space="0" w:color="auto"/>
        <w:bottom w:val="single" w:sz="4" w:space="0" w:color="auto"/>
        <w:right w:val="single" w:sz="4" w:space="0" w:color="auto"/>
      </w:pBdr>
      <w:spacing w:before="100" w:beforeAutospacing="1" w:after="100" w:afterAutospacing="1"/>
      <w:jc w:val="left"/>
    </w:pPr>
    <w:rPr>
      <w:rFonts w:ascii="仿宋_GB2312" w:eastAsia="華康中楷體" w:hAnsi="仿宋_GB2312" w:cs="仿宋_GB2312"/>
      <w:kern w:val="0"/>
      <w:sz w:val="16"/>
      <w:szCs w:val="16"/>
    </w:rPr>
  </w:style>
  <w:style w:type="paragraph" w:customStyle="1" w:styleId="xl106">
    <w:name w:val="xl106"/>
    <w:basedOn w:val="a"/>
    <w:autoRedefine/>
    <w:uiPriority w:val="99"/>
    <w:qFormat/>
    <w:pPr>
      <w:widowControl/>
      <w:pBdr>
        <w:bottom w:val="single" w:sz="4" w:space="0" w:color="auto"/>
        <w:right w:val="single" w:sz="4"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5f9">
    <w:name w:val="目录5（西藏格式）"/>
    <w:basedOn w:val="52"/>
    <w:uiPriority w:val="99"/>
    <w:qFormat/>
    <w:pPr>
      <w:adjustRightInd w:val="0"/>
      <w:snapToGrid w:val="0"/>
      <w:spacing w:line="360" w:lineRule="auto"/>
      <w:ind w:left="482" w:firstLineChars="200" w:firstLine="482"/>
    </w:pPr>
    <w:rPr>
      <w:rFonts w:ascii="Calibri" w:eastAsia="宋体" w:hAnsi="Calibri" w:cs="Calibri"/>
      <w:snapToGrid w:val="0"/>
      <w:sz w:val="24"/>
      <w:szCs w:val="18"/>
    </w:rPr>
  </w:style>
  <w:style w:type="paragraph" w:customStyle="1" w:styleId="xl104">
    <w:name w:val="xl104"/>
    <w:basedOn w:val="a"/>
    <w:autoRedefine/>
    <w:uiPriority w:val="99"/>
    <w:qFormat/>
    <w:pPr>
      <w:widowControl/>
      <w:pBdr>
        <w:left w:val="single" w:sz="8" w:space="0" w:color="auto"/>
      </w:pBdr>
      <w:spacing w:before="100" w:beforeAutospacing="1" w:after="100" w:afterAutospacing="1"/>
      <w:jc w:val="left"/>
      <w:textAlignment w:val="center"/>
    </w:pPr>
    <w:rPr>
      <w:rFonts w:ascii="華康中楷體" w:eastAsia="華康中楷體" w:hAnsi="華康中楷體" w:cs="華康中楷體"/>
      <w:kern w:val="0"/>
      <w:sz w:val="16"/>
      <w:szCs w:val="16"/>
    </w:rPr>
  </w:style>
  <w:style w:type="paragraph" w:customStyle="1" w:styleId="4P">
    <w:name w:val="列表 4P"/>
    <w:basedOn w:val="46"/>
    <w:autoRedefine/>
    <w:uiPriority w:val="99"/>
    <w:qFormat/>
    <w:pPr>
      <w:tabs>
        <w:tab w:val="left" w:pos="1021"/>
      </w:tabs>
      <w:adjustRightInd/>
      <w:spacing w:before="156" w:afterLines="30" w:line="288" w:lineRule="auto"/>
      <w:ind w:left="1021" w:hanging="454"/>
      <w:textAlignment w:val="auto"/>
    </w:pPr>
    <w:rPr>
      <w:rFonts w:ascii="Courier New" w:hAnsi="Courier New" w:cs="仿宋_GB2312"/>
      <w:color w:val="CCFFFF"/>
      <w:kern w:val="2"/>
    </w:rPr>
  </w:style>
  <w:style w:type="paragraph" w:customStyle="1" w:styleId="351">
    <w:name w:val="标题3.5"/>
    <w:basedOn w:val="a"/>
    <w:autoRedefine/>
    <w:uiPriority w:val="99"/>
    <w:qFormat/>
    <w:rPr>
      <w:rFonts w:eastAsia="仿宋_GB2312" w:cs="Times New Roman"/>
      <w:sz w:val="24"/>
      <w:szCs w:val="24"/>
    </w:rPr>
  </w:style>
  <w:style w:type="paragraph" w:customStyle="1" w:styleId="affffffffffffffffffffffffffffb">
    <w:name w:val="正文表格"/>
    <w:basedOn w:val="a"/>
    <w:autoRedefine/>
    <w:uiPriority w:val="99"/>
    <w:qFormat/>
    <w:pPr>
      <w:keepNext/>
      <w:keepLines/>
      <w:tabs>
        <w:tab w:val="center" w:pos="6804"/>
      </w:tabs>
      <w:overflowPunct w:val="0"/>
      <w:adjustRightInd w:val="0"/>
      <w:spacing w:before="80"/>
      <w:jc w:val="center"/>
      <w:textAlignment w:val="bottom"/>
    </w:pPr>
    <w:rPr>
      <w:rFonts w:cs="Times New Roman"/>
      <w:kern w:val="0"/>
      <w:sz w:val="28"/>
      <w:szCs w:val="20"/>
    </w:rPr>
  </w:style>
  <w:style w:type="paragraph" w:customStyle="1" w:styleId="241">
    <w:name w:val="样式 宋体 小四 左 行距: 固定值 24 磅"/>
    <w:basedOn w:val="a"/>
    <w:autoRedefine/>
    <w:uiPriority w:val="99"/>
    <w:qFormat/>
    <w:pPr>
      <w:spacing w:line="480" w:lineRule="exact"/>
      <w:ind w:firstLineChars="200" w:firstLine="200"/>
      <w:jc w:val="left"/>
    </w:pPr>
    <w:rPr>
      <w:rFonts w:ascii="宋体" w:cs="宋体"/>
      <w:kern w:val="0"/>
      <w:sz w:val="24"/>
      <w:szCs w:val="20"/>
    </w:rPr>
  </w:style>
  <w:style w:type="paragraph" w:customStyle="1" w:styleId="1ffffffb">
    <w:name w:val="附录1"/>
    <w:basedOn w:val="1"/>
    <w:next w:val="a"/>
    <w:uiPriority w:val="99"/>
    <w:qFormat/>
    <w:pPr>
      <w:widowControl/>
      <w:numPr>
        <w:numId w:val="0"/>
      </w:numPr>
      <w:tabs>
        <w:tab w:val="left" w:pos="720"/>
        <w:tab w:val="left" w:pos="870"/>
      </w:tabs>
      <w:ind w:left="680" w:hanging="680"/>
    </w:pPr>
    <w:rPr>
      <w:rFonts w:ascii="仿宋_GB2312" w:hAnsi="仿宋_GB2312" w:cs="仿宋_GB2312"/>
      <w:bCs w:val="0"/>
      <w:spacing w:val="-10"/>
      <w:kern w:val="28"/>
      <w:sz w:val="30"/>
      <w:szCs w:val="20"/>
    </w:rPr>
  </w:style>
  <w:style w:type="paragraph" w:customStyle="1" w:styleId="affffffffffffffffffffffffffffc">
    <w:name w:val="调研内容"/>
    <w:basedOn w:val="a"/>
    <w:uiPriority w:val="99"/>
    <w:qFormat/>
    <w:pPr>
      <w:spacing w:line="360" w:lineRule="auto"/>
    </w:pPr>
    <w:rPr>
      <w:rFonts w:cs="Times New Roman"/>
      <w:szCs w:val="20"/>
    </w:rPr>
  </w:style>
  <w:style w:type="paragraph" w:customStyle="1" w:styleId="3Fff6">
    <w:name w:val="列表 3F"/>
    <w:basedOn w:val="31"/>
    <w:autoRedefine/>
    <w:uiPriority w:val="99"/>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2P">
    <w:name w:val="列表 2P"/>
    <w:basedOn w:val="24"/>
    <w:uiPriority w:val="99"/>
    <w:qFormat/>
    <w:pPr>
      <w:tabs>
        <w:tab w:val="left" w:pos="737"/>
      </w:tabs>
      <w:adjustRightInd/>
      <w:spacing w:beforeLines="0" w:beforeAutospacing="1" w:after="100" w:afterAutospacing="1" w:line="288" w:lineRule="auto"/>
      <w:ind w:left="737" w:hanging="567"/>
      <w:textAlignment w:val="auto"/>
    </w:pPr>
    <w:rPr>
      <w:rFonts w:ascii="Courier New" w:hAnsi="Courier New" w:cs="仿宋_GB2312"/>
      <w:color w:val="FFFF99"/>
      <w:kern w:val="2"/>
    </w:rPr>
  </w:style>
  <w:style w:type="paragraph" w:customStyle="1" w:styleId="1011">
    <w:name w:val="101"/>
    <w:basedOn w:val="a"/>
    <w:autoRedefine/>
    <w:uiPriority w:val="99"/>
    <w:qFormat/>
    <w:pPr>
      <w:widowControl/>
      <w:spacing w:before="100" w:beforeAutospacing="1" w:after="100" w:afterAutospacing="1"/>
      <w:jc w:val="left"/>
    </w:pPr>
    <w:rPr>
      <w:rFonts w:ascii="華康中楷體" w:eastAsia="華康中楷體" w:hAnsi="華康中楷體" w:cs="華康中楷體"/>
      <w:kern w:val="0"/>
      <w:sz w:val="24"/>
      <w:szCs w:val="24"/>
    </w:rPr>
  </w:style>
  <w:style w:type="paragraph" w:customStyle="1" w:styleId="5P">
    <w:name w:val="列表 5P"/>
    <w:basedOn w:val="56"/>
    <w:autoRedefine/>
    <w:uiPriority w:val="99"/>
    <w:qFormat/>
    <w:pPr>
      <w:tabs>
        <w:tab w:val="left" w:pos="1134"/>
      </w:tabs>
      <w:adjustRightInd/>
      <w:spacing w:beforeLines="0" w:line="240" w:lineRule="auto"/>
      <w:ind w:left="1134" w:hanging="425"/>
      <w:textAlignment w:val="auto"/>
    </w:pPr>
    <w:rPr>
      <w:rFonts w:ascii="Courier New" w:hAnsi="Courier New" w:cs="仿宋_GB2312"/>
      <w:color w:val="99CCFF"/>
      <w:kern w:val="2"/>
    </w:rPr>
  </w:style>
  <w:style w:type="paragraph" w:customStyle="1" w:styleId="xl95">
    <w:name w:val="xl95"/>
    <w:basedOn w:val="a"/>
    <w:autoRedefine/>
    <w:uiPriority w:val="99"/>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華康中楷體" w:eastAsia="華康中楷體" w:hAnsi="華康中楷體" w:cs="華康中楷體"/>
      <w:kern w:val="0"/>
      <w:sz w:val="16"/>
      <w:szCs w:val="16"/>
    </w:rPr>
  </w:style>
  <w:style w:type="paragraph" w:customStyle="1" w:styleId="CharCharCharChar1CharChar">
    <w:name w:val="Char Char Char Char1 Char Char"/>
    <w:basedOn w:val="a"/>
    <w:autoRedefine/>
    <w:uiPriority w:val="99"/>
    <w:qFormat/>
    <w:rPr>
      <w:rFonts w:cs="Times New Roman"/>
      <w:sz w:val="24"/>
      <w:szCs w:val="24"/>
    </w:rPr>
  </w:style>
  <w:style w:type="paragraph" w:customStyle="1" w:styleId="1ffffffc">
    <w:name w:val="正文 1"/>
    <w:basedOn w:val="25"/>
    <w:autoRedefine/>
    <w:uiPriority w:val="99"/>
    <w:qFormat/>
    <w:pPr>
      <w:adjustRightInd w:val="0"/>
      <w:snapToGrid w:val="0"/>
      <w:spacing w:after="0" w:line="240" w:lineRule="atLeast"/>
      <w:ind w:leftChars="0" w:left="0"/>
      <w:jc w:val="center"/>
    </w:pPr>
    <w:rPr>
      <w:rFonts w:ascii="仿宋_GB2312" w:eastAsia="黑体" w:hAnsi="仿宋_GB2312" w:cs="仿宋_GB2312"/>
      <w:szCs w:val="24"/>
    </w:rPr>
  </w:style>
  <w:style w:type="paragraph" w:customStyle="1" w:styleId="affffffffffffffffffffffffffffd">
    <w:name w:val="正文中齐"/>
    <w:basedOn w:val="a"/>
    <w:autoRedefine/>
    <w:uiPriority w:val="99"/>
    <w:qFormat/>
    <w:pPr>
      <w:wordWrap w:val="0"/>
      <w:adjustRightInd w:val="0"/>
      <w:spacing w:line="300" w:lineRule="exact"/>
      <w:jc w:val="center"/>
      <w:textAlignment w:val="baseline"/>
    </w:pPr>
    <w:rPr>
      <w:rFonts w:ascii="宋体" w:hAnsi="宋体" w:cs="Times New Roman"/>
      <w:color w:val="000000"/>
      <w:kern w:val="16"/>
      <w:szCs w:val="21"/>
      <w:lang w:val="zh-CN"/>
    </w:rPr>
  </w:style>
  <w:style w:type="paragraph" w:customStyle="1" w:styleId="affffffffffffffffffffffffffffe">
    <w:name w:val="四级无标题条"/>
    <w:basedOn w:val="a"/>
    <w:autoRedefine/>
    <w:uiPriority w:val="99"/>
    <w:qFormat/>
    <w:rPr>
      <w:rFonts w:cs="Times New Roman"/>
      <w:szCs w:val="20"/>
    </w:rPr>
  </w:style>
  <w:style w:type="paragraph" w:customStyle="1" w:styleId="afffffffffffffffffffffffffffff">
    <w:name w:val="样式 德胜三级标题 + 粉红"/>
    <w:basedOn w:val="affffffc"/>
    <w:autoRedefine/>
    <w:uiPriority w:val="99"/>
    <w:qFormat/>
    <w:pPr>
      <w:outlineLvl w:val="3"/>
    </w:pPr>
    <w:rPr>
      <w:rFonts w:cs="Times New Roman"/>
      <w:bCs/>
      <w:color w:val="FF00FF"/>
      <w:szCs w:val="24"/>
    </w:rPr>
  </w:style>
  <w:style w:type="paragraph" w:customStyle="1" w:styleId="3fff7">
    <w:name w:val="正文样式3"/>
    <w:basedOn w:val="a"/>
    <w:autoRedefine/>
    <w:uiPriority w:val="99"/>
    <w:qFormat/>
    <w:pPr>
      <w:keepLines/>
      <w:adjustRightInd w:val="0"/>
      <w:spacing w:line="20" w:lineRule="atLeast"/>
      <w:jc w:val="center"/>
      <w:textAlignment w:val="baseline"/>
    </w:pPr>
    <w:rPr>
      <w:rFonts w:ascii="仿宋_GB2312" w:hAnsi="仿宋_GB2312" w:cs="仿宋_GB2312"/>
      <w:kern w:val="0"/>
      <w:sz w:val="24"/>
      <w:szCs w:val="20"/>
    </w:rPr>
  </w:style>
  <w:style w:type="paragraph" w:customStyle="1" w:styleId="5M">
    <w:name w:val="列表 5M"/>
    <w:basedOn w:val="56"/>
    <w:autoRedefine/>
    <w:uiPriority w:val="99"/>
    <w:qFormat/>
    <w:pPr>
      <w:tabs>
        <w:tab w:val="left" w:pos="1134"/>
      </w:tabs>
      <w:adjustRightInd/>
      <w:spacing w:beforeLines="0" w:line="240" w:lineRule="auto"/>
      <w:ind w:left="1134" w:hanging="425"/>
      <w:textAlignment w:val="auto"/>
    </w:pPr>
    <w:rPr>
      <w:rFonts w:ascii="Courier New" w:hAnsi="Courier New" w:cs="仿宋_GB2312"/>
      <w:color w:val="99CCFF"/>
      <w:kern w:val="2"/>
    </w:rPr>
  </w:style>
  <w:style w:type="paragraph" w:customStyle="1" w:styleId="1ffffffd">
    <w:name w:val="三级目录1"/>
    <w:basedOn w:val="a"/>
    <w:next w:val="a"/>
    <w:uiPriority w:val="99"/>
    <w:qFormat/>
    <w:pPr>
      <w:keepNext/>
      <w:keepLines/>
      <w:autoSpaceDE w:val="0"/>
      <w:autoSpaceDN w:val="0"/>
      <w:adjustRightInd w:val="0"/>
      <w:snapToGrid w:val="0"/>
      <w:spacing w:beforeLines="50" w:line="360" w:lineRule="auto"/>
      <w:ind w:left="-2" w:right="-137" w:firstLine="1"/>
      <w:outlineLvl w:val="0"/>
    </w:pPr>
    <w:rPr>
      <w:rFonts w:eastAsia="Times New Roman" w:cs="Times New Roman"/>
      <w:b/>
      <w:color w:val="0000FF"/>
      <w:sz w:val="24"/>
      <w:szCs w:val="20"/>
    </w:rPr>
  </w:style>
  <w:style w:type="paragraph" w:customStyle="1" w:styleId="xl97">
    <w:name w:val="xl97"/>
    <w:basedOn w:val="a"/>
    <w:uiPriority w:val="99"/>
    <w:qFormat/>
    <w:pPr>
      <w:widowControl/>
      <w:pBdr>
        <w:left w:val="single" w:sz="8" w:space="0" w:color="auto"/>
        <w:right w:val="single" w:sz="4" w:space="0" w:color="auto"/>
      </w:pBdr>
      <w:spacing w:before="100" w:beforeAutospacing="1" w:after="100" w:afterAutospacing="1"/>
      <w:jc w:val="center"/>
      <w:textAlignment w:val="center"/>
    </w:pPr>
    <w:rPr>
      <w:rFonts w:ascii="仿宋_GB2312" w:eastAsia="華康中楷體" w:hAnsi="仿宋_GB2312" w:cs="仿宋_GB2312"/>
      <w:kern w:val="0"/>
      <w:sz w:val="16"/>
      <w:szCs w:val="16"/>
    </w:rPr>
  </w:style>
  <w:style w:type="paragraph" w:customStyle="1" w:styleId="1ffffffe">
    <w:name w:val="标题样式1"/>
    <w:basedOn w:val="af"/>
    <w:autoRedefine/>
    <w:uiPriority w:val="99"/>
    <w:qFormat/>
    <w:pPr>
      <w:kinsoku/>
      <w:snapToGrid w:val="0"/>
      <w:spacing w:after="0" w:line="0" w:lineRule="atLeast"/>
      <w:jc w:val="center"/>
    </w:pPr>
    <w:rPr>
      <w:rFonts w:ascii="仿宋_GB2312" w:hAnsi="仿宋_GB2312" w:cs="仿宋_GB2312"/>
      <w:b/>
      <w:bCs/>
      <w:snapToGrid w:val="0"/>
      <w:kern w:val="0"/>
      <w:sz w:val="24"/>
      <w:szCs w:val="20"/>
    </w:rPr>
  </w:style>
  <w:style w:type="paragraph" w:customStyle="1" w:styleId="5N">
    <w:name w:val="列表 5N"/>
    <w:basedOn w:val="56"/>
    <w:autoRedefine/>
    <w:uiPriority w:val="99"/>
    <w:qFormat/>
    <w:pPr>
      <w:tabs>
        <w:tab w:val="left" w:pos="1134"/>
      </w:tabs>
      <w:adjustRightInd/>
      <w:spacing w:beforeLines="0" w:line="240" w:lineRule="auto"/>
      <w:ind w:left="1134" w:hanging="425"/>
      <w:textAlignment w:val="auto"/>
    </w:pPr>
    <w:rPr>
      <w:rFonts w:ascii="Courier New" w:hAnsi="Courier New" w:cs="仿宋_GB2312"/>
      <w:color w:val="99CCFF"/>
      <w:kern w:val="2"/>
    </w:rPr>
  </w:style>
  <w:style w:type="paragraph" w:customStyle="1" w:styleId="z-TopofForm">
    <w:name w:val="z-Top of Form"/>
    <w:next w:val="a"/>
    <w:autoRedefine/>
    <w:uiPriority w:val="99"/>
    <w:qFormat/>
    <w:pPr>
      <w:widowControl w:val="0"/>
      <w:pBdr>
        <w:bottom w:val="double" w:sz="6" w:space="0" w:color="000000"/>
      </w:pBdr>
      <w:autoSpaceDE w:val="0"/>
      <w:autoSpaceDN w:val="0"/>
      <w:adjustRightInd w:val="0"/>
      <w:jc w:val="center"/>
    </w:pPr>
    <w:rPr>
      <w:rFonts w:ascii="宋体" w:hAnsi="Tms Rmn"/>
      <w:vanish/>
      <w:sz w:val="16"/>
    </w:rPr>
  </w:style>
  <w:style w:type="paragraph" w:customStyle="1" w:styleId="11fb">
    <w:name w:val="表格11"/>
    <w:basedOn w:val="a"/>
    <w:autoRedefine/>
    <w:uiPriority w:val="99"/>
    <w:qFormat/>
    <w:pPr>
      <w:spacing w:line="0" w:lineRule="atLeast"/>
      <w:jc w:val="center"/>
    </w:pPr>
    <w:rPr>
      <w:rFonts w:cs="Times New Roman"/>
      <w:sz w:val="24"/>
      <w:szCs w:val="24"/>
    </w:rPr>
  </w:style>
  <w:style w:type="paragraph" w:customStyle="1" w:styleId="afffffffffffffffffffffffffffff0">
    <w:name w:val="表格内容格式"/>
    <w:basedOn w:val="a"/>
    <w:autoRedefine/>
    <w:uiPriority w:val="99"/>
    <w:qFormat/>
    <w:pPr>
      <w:adjustRightInd w:val="0"/>
      <w:snapToGrid w:val="0"/>
      <w:jc w:val="center"/>
      <w:textAlignment w:val="baseline"/>
    </w:pPr>
    <w:rPr>
      <w:rFonts w:ascii="Verdana" w:hAnsi="Verdana" w:cs="仿宋_GB2312"/>
      <w:snapToGrid w:val="0"/>
      <w:kern w:val="0"/>
      <w:szCs w:val="20"/>
    </w:rPr>
  </w:style>
  <w:style w:type="paragraph" w:customStyle="1" w:styleId="afffffffffffffffffffffffffffff1">
    <w:name w:val="环保篇"/>
    <w:basedOn w:val="a"/>
    <w:autoRedefine/>
    <w:uiPriority w:val="99"/>
    <w:qFormat/>
    <w:pPr>
      <w:tabs>
        <w:tab w:val="left" w:pos="360"/>
      </w:tabs>
      <w:adjustRightInd w:val="0"/>
      <w:spacing w:line="360" w:lineRule="auto"/>
      <w:textAlignment w:val="baseline"/>
    </w:pPr>
    <w:rPr>
      <w:rFonts w:ascii="仿宋_GB2312" w:hAnsi="仿宋_GB2312" w:cs="仿宋_GB2312"/>
      <w:sz w:val="28"/>
      <w:szCs w:val="20"/>
    </w:rPr>
  </w:style>
  <w:style w:type="paragraph" w:customStyle="1" w:styleId="xl87">
    <w:name w:val="xl87"/>
    <w:basedOn w:val="a"/>
    <w:autoRedefine/>
    <w:uiPriority w:val="99"/>
    <w:qFormat/>
    <w:pPr>
      <w:widowControl/>
      <w:pBdr>
        <w:top w:val="single" w:sz="8" w:space="0" w:color="auto"/>
        <w:bottom w:val="single" w:sz="4" w:space="0" w:color="auto"/>
        <w:right w:val="single" w:sz="4" w:space="0" w:color="auto"/>
      </w:pBdr>
      <w:spacing w:before="100" w:beforeAutospacing="1" w:after="100" w:afterAutospacing="1"/>
      <w:jc w:val="left"/>
    </w:pPr>
    <w:rPr>
      <w:rFonts w:ascii="仿宋_GB2312" w:eastAsia="華康中楷體" w:hAnsi="仿宋_GB2312" w:cs="仿宋_GB2312"/>
      <w:kern w:val="0"/>
      <w:sz w:val="16"/>
      <w:szCs w:val="16"/>
    </w:rPr>
  </w:style>
  <w:style w:type="paragraph" w:customStyle="1" w:styleId="S">
    <w:name w:val="S表格"/>
    <w:basedOn w:val="a"/>
    <w:autoRedefine/>
    <w:uiPriority w:val="99"/>
    <w:qFormat/>
    <w:pPr>
      <w:spacing w:before="240" w:line="360" w:lineRule="auto"/>
      <w:outlineLvl w:val="2"/>
    </w:pPr>
    <w:rPr>
      <w:rFonts w:cs="Times New Roman"/>
      <w:bCs/>
      <w:sz w:val="24"/>
      <w:szCs w:val="24"/>
    </w:rPr>
  </w:style>
  <w:style w:type="paragraph" w:customStyle="1" w:styleId="5H">
    <w:name w:val="列表 5H"/>
    <w:basedOn w:val="56"/>
    <w:autoRedefine/>
    <w:uiPriority w:val="99"/>
    <w:qFormat/>
    <w:pPr>
      <w:tabs>
        <w:tab w:val="left" w:pos="1134"/>
      </w:tabs>
      <w:adjustRightInd/>
      <w:spacing w:beforeLines="0" w:line="240" w:lineRule="auto"/>
      <w:ind w:left="1134" w:hanging="425"/>
      <w:textAlignment w:val="auto"/>
    </w:pPr>
    <w:rPr>
      <w:rFonts w:ascii="Courier New" w:hAnsi="Courier New" w:cs="仿宋_GB2312"/>
      <w:color w:val="99CCFF"/>
      <w:kern w:val="2"/>
    </w:rPr>
  </w:style>
  <w:style w:type="paragraph" w:customStyle="1" w:styleId="41H41111411114Charh">
    <w:name w:val="标题 4(1).H41.1.1.1标题 4.1.1.1.1标题 4 Char款四级标题，黑粗，小四，序号h..."/>
    <w:basedOn w:val="4"/>
    <w:autoRedefine/>
    <w:uiPriority w:val="99"/>
    <w:qFormat/>
    <w:pPr>
      <w:keepNext w:val="0"/>
      <w:keepLines w:val="0"/>
      <w:numPr>
        <w:ilvl w:val="0"/>
        <w:numId w:val="0"/>
      </w:numPr>
      <w:tabs>
        <w:tab w:val="left" w:pos="870"/>
      </w:tabs>
      <w:spacing w:before="120" w:after="120"/>
      <w:ind w:firstLine="510"/>
    </w:pPr>
    <w:rPr>
      <w:rFonts w:eastAsia="华文楷体" w:cs="Times New Roman"/>
      <w:bCs w:val="0"/>
      <w:szCs w:val="20"/>
    </w:rPr>
  </w:style>
  <w:style w:type="paragraph" w:customStyle="1" w:styleId="xl110">
    <w:name w:val="xl110"/>
    <w:basedOn w:val="a"/>
    <w:autoRedefine/>
    <w:uiPriority w:val="99"/>
    <w:qFormat/>
    <w:pPr>
      <w:widowControl/>
      <w:pBdr>
        <w:bottom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2L">
    <w:name w:val="列表 2L"/>
    <w:basedOn w:val="24"/>
    <w:autoRedefine/>
    <w:uiPriority w:val="99"/>
    <w:qFormat/>
    <w:pPr>
      <w:tabs>
        <w:tab w:val="left" w:pos="737"/>
      </w:tabs>
      <w:adjustRightInd/>
      <w:spacing w:beforeLines="0" w:beforeAutospacing="1" w:after="100" w:afterAutospacing="1" w:line="288" w:lineRule="auto"/>
      <w:ind w:left="737" w:hanging="567"/>
      <w:textAlignment w:val="auto"/>
    </w:pPr>
    <w:rPr>
      <w:rFonts w:ascii="Courier New" w:hAnsi="Courier New" w:cs="仿宋_GB2312"/>
      <w:color w:val="FFFF99"/>
      <w:kern w:val="2"/>
    </w:rPr>
  </w:style>
  <w:style w:type="paragraph" w:customStyle="1" w:styleId="3E0">
    <w:name w:val="列表 3E"/>
    <w:basedOn w:val="31"/>
    <w:autoRedefine/>
    <w:uiPriority w:val="99"/>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xl78">
    <w:name w:val="xl78"/>
    <w:basedOn w:val="a"/>
    <w:autoRedefine/>
    <w:uiPriority w:val="99"/>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5Q">
    <w:name w:val="列表 5Q"/>
    <w:basedOn w:val="56"/>
    <w:autoRedefine/>
    <w:uiPriority w:val="99"/>
    <w:qFormat/>
    <w:pPr>
      <w:tabs>
        <w:tab w:val="left" w:pos="1134"/>
      </w:tabs>
      <w:adjustRightInd/>
      <w:spacing w:beforeLines="0" w:line="240" w:lineRule="auto"/>
      <w:ind w:left="1134" w:hanging="425"/>
      <w:textAlignment w:val="auto"/>
    </w:pPr>
    <w:rPr>
      <w:rFonts w:ascii="Courier New" w:hAnsi="Courier New" w:cs="仿宋_GB2312"/>
      <w:color w:val="99CCFF"/>
      <w:kern w:val="2"/>
    </w:rPr>
  </w:style>
  <w:style w:type="paragraph" w:customStyle="1" w:styleId="24255">
    <w:name w:val="样式 样式 宋体 小四 左 行距: 固定值 24 磅 + 黑色 居中 首行缩进:  2 字符 段前: 5 磅 段后: 5..."/>
    <w:basedOn w:val="241"/>
    <w:autoRedefine/>
    <w:uiPriority w:val="99"/>
    <w:qFormat/>
    <w:pPr>
      <w:spacing w:before="100" w:after="100"/>
      <w:ind w:firstLineChars="0" w:firstLine="0"/>
      <w:jc w:val="center"/>
    </w:pPr>
    <w:rPr>
      <w:color w:val="000000"/>
    </w:rPr>
  </w:style>
  <w:style w:type="paragraph" w:customStyle="1" w:styleId="5A0">
    <w:name w:val="列表 5A"/>
    <w:basedOn w:val="56"/>
    <w:autoRedefine/>
    <w:uiPriority w:val="99"/>
    <w:qFormat/>
    <w:pPr>
      <w:tabs>
        <w:tab w:val="left" w:pos="1134"/>
      </w:tabs>
      <w:adjustRightInd/>
      <w:spacing w:beforeLines="0" w:line="240" w:lineRule="auto"/>
      <w:ind w:left="1134" w:hanging="425"/>
      <w:textAlignment w:val="auto"/>
    </w:pPr>
    <w:rPr>
      <w:rFonts w:ascii="Courier New" w:hAnsi="Courier New" w:cs="仿宋_GB2312"/>
      <w:color w:val="99CCFF"/>
      <w:kern w:val="2"/>
    </w:rPr>
  </w:style>
  <w:style w:type="paragraph" w:customStyle="1" w:styleId="2fffff6">
    <w:name w:val="样式 标题 2 + 黑体 加粗"/>
    <w:basedOn w:val="20"/>
    <w:autoRedefine/>
    <w:uiPriority w:val="99"/>
    <w:qFormat/>
    <w:pPr>
      <w:numPr>
        <w:ilvl w:val="0"/>
        <w:numId w:val="0"/>
      </w:numPr>
      <w:tabs>
        <w:tab w:val="left" w:pos="870"/>
      </w:tabs>
      <w:spacing w:beforeLines="0" w:afterLines="0" w:after="0" w:line="440" w:lineRule="exact"/>
      <w:ind w:firstLine="510"/>
      <w:jc w:val="left"/>
    </w:pPr>
    <w:rPr>
      <w:rFonts w:ascii="黑体" w:eastAsia="黑体" w:hAnsi="黑体" w:cs="Times New Roman"/>
      <w:b w:val="0"/>
      <w:snapToGrid w:val="0"/>
      <w:kern w:val="0"/>
      <w:sz w:val="30"/>
    </w:rPr>
  </w:style>
  <w:style w:type="paragraph" w:customStyle="1" w:styleId="5O">
    <w:name w:val="列表 5O"/>
    <w:basedOn w:val="56"/>
    <w:autoRedefine/>
    <w:uiPriority w:val="99"/>
    <w:qFormat/>
    <w:pPr>
      <w:tabs>
        <w:tab w:val="left" w:pos="1134"/>
      </w:tabs>
      <w:adjustRightInd/>
      <w:spacing w:beforeLines="0" w:line="240" w:lineRule="auto"/>
      <w:ind w:left="1134" w:hanging="425"/>
      <w:textAlignment w:val="auto"/>
    </w:pPr>
    <w:rPr>
      <w:rFonts w:ascii="Courier New" w:hAnsi="Courier New" w:cs="仿宋_GB2312"/>
      <w:color w:val="99CCFF"/>
      <w:kern w:val="2"/>
    </w:rPr>
  </w:style>
  <w:style w:type="paragraph" w:customStyle="1" w:styleId="afffffffffffffffffffffffffffff2">
    <w:name w:val="六级标题"/>
    <w:autoRedefine/>
    <w:uiPriority w:val="99"/>
    <w:qFormat/>
    <w:pPr>
      <w:adjustRightInd w:val="0"/>
      <w:snapToGrid w:val="0"/>
      <w:spacing w:before="120" w:after="60"/>
      <w:ind w:firstLine="510"/>
      <w:jc w:val="both"/>
    </w:pPr>
    <w:rPr>
      <w:rFonts w:ascii="黑体" w:eastAsia="黑体"/>
      <w:snapToGrid w:val="0"/>
      <w:sz w:val="24"/>
    </w:rPr>
  </w:style>
  <w:style w:type="paragraph" w:customStyle="1" w:styleId="1A0">
    <w:name w:val="列表 1A"/>
    <w:basedOn w:val="1fffffff"/>
    <w:autoRedefine/>
    <w:uiPriority w:val="99"/>
    <w:qFormat/>
    <w:pPr>
      <w:tabs>
        <w:tab w:val="left" w:pos="907"/>
      </w:tabs>
      <w:ind w:left="907" w:hanging="567"/>
    </w:pPr>
  </w:style>
  <w:style w:type="paragraph" w:customStyle="1" w:styleId="1fffffff">
    <w:name w:val="列表 1"/>
    <w:basedOn w:val="a"/>
    <w:autoRedefine/>
    <w:uiPriority w:val="99"/>
    <w:qFormat/>
    <w:pPr>
      <w:tabs>
        <w:tab w:val="left" w:pos="432"/>
      </w:tabs>
      <w:spacing w:before="120" w:after="60" w:line="288" w:lineRule="auto"/>
      <w:ind w:left="432" w:hanging="432"/>
    </w:pPr>
    <w:rPr>
      <w:rFonts w:ascii="Courier New" w:hAnsi="Courier New" w:cs="仿宋_GB2312"/>
      <w:color w:val="FFCC99"/>
      <w:sz w:val="24"/>
      <w:szCs w:val="20"/>
    </w:rPr>
  </w:style>
  <w:style w:type="paragraph" w:customStyle="1" w:styleId="3fff8">
    <w:name w:val="正文文字3"/>
    <w:basedOn w:val="31b"/>
    <w:autoRedefine/>
    <w:uiPriority w:val="99"/>
    <w:qFormat/>
    <w:pPr>
      <w:adjustRightInd w:val="0"/>
      <w:snapToGrid w:val="0"/>
      <w:spacing w:after="0"/>
      <w:ind w:left="-57" w:right="-57"/>
      <w:jc w:val="center"/>
    </w:pPr>
    <w:rPr>
      <w:rFonts w:eastAsia="黑体"/>
      <w:snapToGrid w:val="0"/>
      <w:sz w:val="18"/>
      <w:szCs w:val="18"/>
    </w:rPr>
  </w:style>
  <w:style w:type="paragraph" w:customStyle="1" w:styleId="HeaderBase">
    <w:name w:val="Header Base"/>
    <w:basedOn w:val="a"/>
    <w:autoRedefine/>
    <w:uiPriority w:val="99"/>
    <w:qFormat/>
    <w:pPr>
      <w:keepLines/>
      <w:widowControl/>
      <w:tabs>
        <w:tab w:val="center" w:pos="4320"/>
        <w:tab w:val="right" w:pos="8640"/>
      </w:tabs>
      <w:spacing w:line="180" w:lineRule="atLeast"/>
    </w:pPr>
    <w:rPr>
      <w:rFonts w:ascii="Arial" w:hAnsi="Arial" w:cs="Times New Roman"/>
      <w:spacing w:val="-5"/>
      <w:kern w:val="0"/>
      <w:sz w:val="28"/>
      <w:szCs w:val="20"/>
    </w:rPr>
  </w:style>
  <w:style w:type="paragraph" w:customStyle="1" w:styleId="5R">
    <w:name w:val="列表 5R"/>
    <w:basedOn w:val="56"/>
    <w:autoRedefine/>
    <w:uiPriority w:val="99"/>
    <w:qFormat/>
    <w:pPr>
      <w:tabs>
        <w:tab w:val="left" w:pos="1134"/>
      </w:tabs>
      <w:adjustRightInd/>
      <w:spacing w:beforeLines="0" w:line="240" w:lineRule="auto"/>
      <w:ind w:left="1134" w:hanging="425"/>
      <w:textAlignment w:val="auto"/>
    </w:pPr>
    <w:rPr>
      <w:rFonts w:ascii="Courier New" w:hAnsi="Courier New" w:cs="仿宋_GB2312"/>
      <w:color w:val="99CCFF"/>
      <w:kern w:val="2"/>
    </w:rPr>
  </w:style>
  <w:style w:type="paragraph" w:customStyle="1" w:styleId="afffffffffffffffffffffffffffff3">
    <w:name w:val="小四表文左齐"/>
    <w:basedOn w:val="a"/>
    <w:autoRedefine/>
    <w:uiPriority w:val="99"/>
    <w:qFormat/>
    <w:pPr>
      <w:spacing w:line="360" w:lineRule="exact"/>
      <w:jc w:val="center"/>
    </w:pPr>
    <w:rPr>
      <w:rFonts w:ascii="仿宋_GB2312" w:hAnsi="仿宋_GB2312" w:cs="仿宋_GB2312"/>
      <w:szCs w:val="21"/>
    </w:rPr>
  </w:style>
  <w:style w:type="paragraph" w:customStyle="1" w:styleId="afffffffffffffffffffffffffffff4">
    <w:name w:val="正文缩进（西藏格式）"/>
    <w:basedOn w:val="af2"/>
    <w:autoRedefine/>
    <w:uiPriority w:val="99"/>
    <w:qFormat/>
    <w:pPr>
      <w:adjustRightInd w:val="0"/>
      <w:snapToGrid w:val="0"/>
      <w:spacing w:before="120" w:after="120" w:line="240" w:lineRule="auto"/>
      <w:ind w:left="113" w:right="113" w:firstLine="482"/>
    </w:pPr>
    <w:rPr>
      <w:rFonts w:ascii="Times New Roman" w:eastAsia="Times New Roman"/>
      <w:snapToGrid w:val="0"/>
      <w:kern w:val="0"/>
      <w:sz w:val="20"/>
      <w:szCs w:val="21"/>
    </w:rPr>
  </w:style>
  <w:style w:type="character" w:customStyle="1" w:styleId="Char1fd">
    <w:name w:val="表中文字 Char1"/>
    <w:autoRedefine/>
    <w:qFormat/>
    <w:rPr>
      <w:kern w:val="2"/>
      <w:sz w:val="21"/>
    </w:rPr>
  </w:style>
  <w:style w:type="paragraph" w:customStyle="1" w:styleId="CharCharCharCharCharCharCharCharCharCharCharCharCharCharChar1CharCharCharCharCharCharCharCharCharCharCharCharCharCharCharChar">
    <w:name w:val="Char Char Char Char Char Char Char Char Char Char Char Char Char Char Char1 Char Char Char Char Char Char Char Char Char Char Char Char Char Char Char Char"/>
    <w:basedOn w:val="a"/>
    <w:next w:val="a3"/>
    <w:autoRedefine/>
    <w:uiPriority w:val="99"/>
    <w:qFormat/>
    <w:rPr>
      <w:rFonts w:ascii="仿宋_GB2312" w:hAnsi="仿宋_GB2312" w:cs="仿宋_GB2312"/>
      <w:sz w:val="28"/>
      <w:szCs w:val="28"/>
    </w:rPr>
  </w:style>
  <w:style w:type="paragraph" w:customStyle="1" w:styleId="2U">
    <w:name w:val="列表 2U"/>
    <w:basedOn w:val="24"/>
    <w:uiPriority w:val="99"/>
    <w:qFormat/>
    <w:pPr>
      <w:tabs>
        <w:tab w:val="left" w:pos="737"/>
      </w:tabs>
      <w:adjustRightInd/>
      <w:spacing w:beforeLines="0" w:beforeAutospacing="1" w:after="100" w:afterAutospacing="1" w:line="288" w:lineRule="auto"/>
      <w:ind w:left="737" w:hanging="567"/>
      <w:textAlignment w:val="auto"/>
    </w:pPr>
    <w:rPr>
      <w:rFonts w:ascii="Courier New" w:hAnsi="Courier New" w:cs="仿宋_GB2312"/>
      <w:color w:val="FFFF99"/>
      <w:kern w:val="2"/>
    </w:rPr>
  </w:style>
  <w:style w:type="paragraph" w:customStyle="1" w:styleId="kk">
    <w:name w:val="kk"/>
    <w:basedOn w:val="af"/>
    <w:uiPriority w:val="99"/>
    <w:qFormat/>
    <w:pPr>
      <w:kinsoku/>
      <w:autoSpaceDE w:val="0"/>
      <w:autoSpaceDN w:val="0"/>
      <w:spacing w:after="0" w:line="360" w:lineRule="auto"/>
      <w:jc w:val="both"/>
    </w:pPr>
    <w:rPr>
      <w:rFonts w:ascii="仿宋_GB2312" w:hAnsi="仿宋_GB2312" w:cs="仿宋_GB2312"/>
      <w:spacing w:val="10"/>
      <w:kern w:val="0"/>
      <w:sz w:val="24"/>
      <w:szCs w:val="20"/>
    </w:rPr>
  </w:style>
  <w:style w:type="paragraph" w:customStyle="1" w:styleId="5D0">
    <w:name w:val="列表 5D"/>
    <w:basedOn w:val="56"/>
    <w:uiPriority w:val="99"/>
    <w:qFormat/>
    <w:pPr>
      <w:tabs>
        <w:tab w:val="left" w:pos="1134"/>
      </w:tabs>
      <w:adjustRightInd/>
      <w:spacing w:beforeLines="0" w:line="240" w:lineRule="auto"/>
      <w:ind w:left="1134" w:hanging="425"/>
      <w:textAlignment w:val="auto"/>
    </w:pPr>
    <w:rPr>
      <w:rFonts w:ascii="Courier New" w:hAnsi="Courier New" w:cs="仿宋_GB2312"/>
      <w:color w:val="99CCFF"/>
      <w:kern w:val="2"/>
    </w:rPr>
  </w:style>
  <w:style w:type="paragraph" w:customStyle="1" w:styleId="242">
    <w:name w:val="样式 四号 行距: 固定值 24 磅"/>
    <w:basedOn w:val="a"/>
    <w:uiPriority w:val="99"/>
    <w:qFormat/>
    <w:pPr>
      <w:spacing w:line="480" w:lineRule="exact"/>
      <w:ind w:firstLineChars="200" w:firstLine="560"/>
    </w:pPr>
    <w:rPr>
      <w:rFonts w:cs="Times New Roman"/>
      <w:sz w:val="24"/>
      <w:szCs w:val="20"/>
    </w:rPr>
  </w:style>
  <w:style w:type="paragraph" w:customStyle="1" w:styleId="135">
    <w:name w:val="13点"/>
    <w:basedOn w:val="a"/>
    <w:autoRedefine/>
    <w:uiPriority w:val="99"/>
    <w:qFormat/>
    <w:pPr>
      <w:adjustRightInd w:val="0"/>
      <w:snapToGrid w:val="0"/>
      <w:spacing w:line="360" w:lineRule="auto"/>
      <w:jc w:val="center"/>
    </w:pPr>
    <w:rPr>
      <w:rFonts w:ascii="宋体" w:hAnsi="宋体" w:cs="Times New Roman"/>
      <w:szCs w:val="21"/>
    </w:rPr>
  </w:style>
  <w:style w:type="character" w:customStyle="1" w:styleId="Char1fe">
    <w:name w:val="表 Char1"/>
    <w:autoRedefine/>
    <w:qFormat/>
    <w:rPr>
      <w:sz w:val="21"/>
    </w:rPr>
  </w:style>
  <w:style w:type="paragraph" w:customStyle="1" w:styleId="afffffffffffffffffffffffffffff5">
    <w:name w:val="注："/>
    <w:next w:val="a"/>
    <w:autoRedefine/>
    <w:uiPriority w:val="99"/>
    <w:qFormat/>
    <w:pPr>
      <w:widowControl w:val="0"/>
      <w:tabs>
        <w:tab w:val="left" w:pos="895"/>
      </w:tabs>
      <w:autoSpaceDE w:val="0"/>
      <w:autoSpaceDN w:val="0"/>
      <w:ind w:left="895" w:hanging="420"/>
      <w:jc w:val="both"/>
    </w:pPr>
    <w:rPr>
      <w:rFonts w:ascii="Verdana" w:hAnsi="仿宋_GB2312" w:cs="仿宋_GB2312"/>
      <w:sz w:val="18"/>
    </w:rPr>
  </w:style>
  <w:style w:type="paragraph" w:customStyle="1" w:styleId="20015">
    <w:name w:val="样式 标题 2 + 段前: 0 磅 段后: 0 磅 行距: 1.5 倍行距"/>
    <w:basedOn w:val="20"/>
    <w:autoRedefine/>
    <w:uiPriority w:val="99"/>
    <w:qFormat/>
    <w:pPr>
      <w:keepLines w:val="0"/>
      <w:widowControl/>
      <w:numPr>
        <w:ilvl w:val="0"/>
        <w:numId w:val="0"/>
      </w:numPr>
      <w:tabs>
        <w:tab w:val="left" w:pos="851"/>
      </w:tabs>
      <w:spacing w:beforeLines="0" w:before="0" w:afterLines="0" w:after="0"/>
      <w:ind w:left="599" w:hanging="576"/>
    </w:pPr>
    <w:rPr>
      <w:rFonts w:ascii="Calibri" w:eastAsia="黑体" w:hAnsi="Calibri" w:cs="宋体"/>
      <w:spacing w:val="20"/>
      <w:kern w:val="0"/>
      <w:szCs w:val="20"/>
      <w:lang w:val="en-GB"/>
    </w:rPr>
  </w:style>
  <w:style w:type="paragraph" w:customStyle="1" w:styleId="afffffffffffffffffffffffffffff6">
    <w:name w:val="公司名"/>
    <w:basedOn w:val="a"/>
    <w:autoRedefine/>
    <w:uiPriority w:val="99"/>
    <w:qFormat/>
    <w:pPr>
      <w:keepNext/>
      <w:keepLines/>
      <w:widowControl/>
      <w:spacing w:beforeLines="50" w:afterLines="50" w:line="320" w:lineRule="atLeast"/>
      <w:jc w:val="center"/>
    </w:pPr>
    <w:rPr>
      <w:rFonts w:ascii="Courier New" w:eastAsia="经典叠圆体简" w:hAnsi="Courier New" w:cs="仿宋_GB2312"/>
      <w:b/>
      <w:bCs/>
      <w:color w:val="CCFFCC"/>
      <w:kern w:val="28"/>
      <w:sz w:val="32"/>
      <w:szCs w:val="20"/>
      <w:lang w:bidi="he-IL"/>
    </w:rPr>
  </w:style>
  <w:style w:type="paragraph" w:customStyle="1" w:styleId="3J">
    <w:name w:val="列表 3J"/>
    <w:basedOn w:val="31"/>
    <w:autoRedefine/>
    <w:uiPriority w:val="99"/>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2Y">
    <w:name w:val="列表 2Y"/>
    <w:basedOn w:val="24"/>
    <w:autoRedefine/>
    <w:uiPriority w:val="99"/>
    <w:qFormat/>
    <w:pPr>
      <w:tabs>
        <w:tab w:val="left" w:pos="737"/>
      </w:tabs>
      <w:adjustRightInd/>
      <w:spacing w:beforeLines="0" w:beforeAutospacing="1" w:after="100" w:afterAutospacing="1" w:line="288" w:lineRule="auto"/>
      <w:ind w:left="737" w:hanging="567"/>
      <w:textAlignment w:val="auto"/>
    </w:pPr>
    <w:rPr>
      <w:rFonts w:ascii="Courier New" w:hAnsi="Courier New" w:cs="仿宋_GB2312"/>
      <w:color w:val="FFFF99"/>
      <w:kern w:val="2"/>
    </w:rPr>
  </w:style>
  <w:style w:type="paragraph" w:customStyle="1" w:styleId="afffffffffffffffffffffffffffff7">
    <w:name w:val="表格文本"/>
    <w:basedOn w:val="a"/>
    <w:next w:val="a"/>
    <w:autoRedefine/>
    <w:uiPriority w:val="99"/>
    <w:qFormat/>
    <w:pPr>
      <w:spacing w:line="240" w:lineRule="exact"/>
    </w:pPr>
    <w:rPr>
      <w:rFonts w:ascii="仿宋_GB2312" w:hAnsi="仿宋_GB2312" w:cs="仿宋_GB2312"/>
      <w:szCs w:val="20"/>
    </w:rPr>
  </w:style>
  <w:style w:type="paragraph" w:customStyle="1" w:styleId="106">
    <w:name w:val="样式 德胜表格内容 + 10 磅"/>
    <w:basedOn w:val="affffffd"/>
    <w:autoRedefine/>
    <w:uiPriority w:val="99"/>
    <w:qFormat/>
    <w:rPr>
      <w:rFonts w:cs="Times New Roman"/>
      <w:b/>
      <w:szCs w:val="20"/>
    </w:rPr>
  </w:style>
  <w:style w:type="paragraph" w:customStyle="1" w:styleId="3A0">
    <w:name w:val="列表 3A"/>
    <w:basedOn w:val="31"/>
    <w:autoRedefine/>
    <w:uiPriority w:val="99"/>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1fffffff0">
    <w:name w:val="样式1 f"/>
    <w:basedOn w:val="1"/>
    <w:autoRedefine/>
    <w:uiPriority w:val="99"/>
    <w:qFormat/>
    <w:pPr>
      <w:keepLines w:val="0"/>
      <w:numPr>
        <w:numId w:val="0"/>
      </w:numPr>
      <w:tabs>
        <w:tab w:val="left" w:pos="870"/>
      </w:tabs>
      <w:jc w:val="both"/>
    </w:pPr>
    <w:rPr>
      <w:rFonts w:cs="Times New Roman"/>
      <w:color w:val="0000FF"/>
      <w:sz w:val="30"/>
      <w:szCs w:val="30"/>
    </w:rPr>
  </w:style>
  <w:style w:type="paragraph" w:customStyle="1" w:styleId="afffffffffffffffffffffffffffff8">
    <w:name w:val="表头王"/>
    <w:basedOn w:val="a"/>
    <w:autoRedefine/>
    <w:uiPriority w:val="99"/>
    <w:qFormat/>
    <w:pPr>
      <w:adjustRightInd w:val="0"/>
      <w:snapToGrid w:val="0"/>
      <w:spacing w:line="360" w:lineRule="auto"/>
      <w:jc w:val="center"/>
    </w:pPr>
    <w:rPr>
      <w:rFonts w:ascii="黑体" w:eastAsia="黑体" w:cs="Times New Roman"/>
      <w:b/>
      <w:sz w:val="24"/>
      <w:szCs w:val="24"/>
    </w:rPr>
  </w:style>
  <w:style w:type="paragraph" w:customStyle="1" w:styleId="afffffffffffffffffffffffffffff9">
    <w:name w:val="自定义缩进"/>
    <w:basedOn w:val="a"/>
    <w:autoRedefine/>
    <w:uiPriority w:val="99"/>
    <w:qFormat/>
    <w:pPr>
      <w:spacing w:line="360" w:lineRule="auto"/>
      <w:ind w:firstLineChars="200" w:firstLine="480"/>
      <w:jc w:val="left"/>
    </w:pPr>
    <w:rPr>
      <w:rFonts w:ascii="宋体" w:hAnsi="宋体" w:cs="Times New Roman"/>
      <w:kern w:val="0"/>
      <w:sz w:val="24"/>
      <w:szCs w:val="24"/>
    </w:rPr>
  </w:style>
  <w:style w:type="paragraph" w:customStyle="1" w:styleId="MG">
    <w:name w:val="MG"/>
    <w:basedOn w:val="1"/>
    <w:autoRedefine/>
    <w:uiPriority w:val="99"/>
    <w:qFormat/>
    <w:pPr>
      <w:keepLines w:val="0"/>
      <w:widowControl/>
      <w:numPr>
        <w:numId w:val="0"/>
      </w:numPr>
      <w:tabs>
        <w:tab w:val="left" w:pos="870"/>
        <w:tab w:val="left" w:pos="2260"/>
        <w:tab w:val="left" w:pos="2820"/>
        <w:tab w:val="left" w:pos="3420"/>
      </w:tabs>
      <w:adjustRightInd w:val="0"/>
      <w:spacing w:line="240" w:lineRule="auto"/>
      <w:ind w:left="851" w:right="-28" w:hanging="851"/>
      <w:jc w:val="both"/>
    </w:pPr>
    <w:rPr>
      <w:rFonts w:ascii="Courier New" w:hAnsi="Courier New" w:cs="仿宋_GB2312"/>
      <w:bCs w:val="0"/>
      <w:kern w:val="0"/>
      <w:sz w:val="22"/>
      <w:szCs w:val="20"/>
      <w:lang w:val="en-GB"/>
    </w:rPr>
  </w:style>
  <w:style w:type="paragraph" w:customStyle="1" w:styleId="afffffffffffffffffffffffffffffa">
    <w:name w:val="样式 两端对齐"/>
    <w:basedOn w:val="a"/>
    <w:autoRedefine/>
    <w:uiPriority w:val="99"/>
    <w:qFormat/>
    <w:pPr>
      <w:spacing w:afterLines="50"/>
      <w:ind w:rightChars="100" w:right="240" w:firstLineChars="200" w:firstLine="200"/>
    </w:pPr>
    <w:rPr>
      <w:rFonts w:cs="宋体"/>
      <w:sz w:val="24"/>
      <w:szCs w:val="20"/>
    </w:rPr>
  </w:style>
  <w:style w:type="paragraph" w:customStyle="1" w:styleId="afffffffffffffffffffffffffffffb">
    <w:name w:val="章标题(不加入目录内)"/>
    <w:basedOn w:val="affff"/>
    <w:autoRedefine/>
    <w:uiPriority w:val="99"/>
    <w:qFormat/>
    <w:pPr>
      <w:keepLines/>
      <w:pageBreakBefore/>
      <w:spacing w:after="120"/>
      <w:outlineLvl w:val="9"/>
    </w:pPr>
    <w:rPr>
      <w:rFonts w:ascii="仿宋_GB2312" w:eastAsia="楷体" w:hAnsi="仿宋_GB2312" w:cs="仿宋_GB2312"/>
      <w:b/>
      <w:kern w:val="2"/>
      <w:sz w:val="36"/>
    </w:rPr>
  </w:style>
  <w:style w:type="paragraph" w:customStyle="1" w:styleId="afffffffffffffffffffffffffffffc">
    <w:name w:val="攀成钢二级标题"/>
    <w:basedOn w:val="a"/>
    <w:autoRedefine/>
    <w:uiPriority w:val="99"/>
    <w:qFormat/>
    <w:pPr>
      <w:spacing w:line="480" w:lineRule="auto"/>
      <w:outlineLvl w:val="1"/>
    </w:pPr>
    <w:rPr>
      <w:rFonts w:cs="Times New Roman"/>
      <w:b/>
      <w:snapToGrid w:val="0"/>
      <w:color w:val="008000"/>
      <w:kern w:val="0"/>
      <w:sz w:val="28"/>
      <w:szCs w:val="20"/>
    </w:rPr>
  </w:style>
  <w:style w:type="paragraph" w:customStyle="1" w:styleId="xl98">
    <w:name w:val="xl98"/>
    <w:basedOn w:val="a"/>
    <w:autoRedefine/>
    <w:uiPriority w:val="99"/>
    <w:qFormat/>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仿宋_GB2312" w:eastAsia="華康中楷體" w:hAnsi="仿宋_GB2312" w:cs="仿宋_GB2312"/>
      <w:kern w:val="0"/>
      <w:sz w:val="16"/>
      <w:szCs w:val="16"/>
    </w:rPr>
  </w:style>
  <w:style w:type="paragraph" w:customStyle="1" w:styleId="CharCharCharCharCharChar1CharCharCharChar">
    <w:name w:val="Char Char Char Char Char Char1 Char Char Char Char"/>
    <w:basedOn w:val="a"/>
    <w:autoRedefine/>
    <w:uiPriority w:val="99"/>
    <w:qFormat/>
    <w:rPr>
      <w:rFonts w:ascii="仿宋_GB2312" w:hAnsi="仿宋_GB2312" w:cs="仿宋_GB2312"/>
      <w:szCs w:val="24"/>
    </w:rPr>
  </w:style>
  <w:style w:type="paragraph" w:customStyle="1" w:styleId="Char1CharCharCharCharCharCharCharCharChar">
    <w:name w:val="Char1 Char Char Char Char Char Char Char Char Char"/>
    <w:basedOn w:val="a"/>
    <w:autoRedefine/>
    <w:uiPriority w:val="99"/>
    <w:qFormat/>
    <w:rPr>
      <w:rFonts w:ascii="仿宋_GB2312" w:hAnsi="仿宋_GB2312" w:cs="仿宋_GB2312"/>
      <w:szCs w:val="20"/>
    </w:rPr>
  </w:style>
  <w:style w:type="paragraph" w:customStyle="1" w:styleId="InTable">
    <w:name w:val="In Table"/>
    <w:basedOn w:val="a"/>
    <w:uiPriority w:val="99"/>
    <w:qFormat/>
    <w:pPr>
      <w:tabs>
        <w:tab w:val="left" w:pos="2200"/>
        <w:tab w:val="left" w:pos="3960"/>
        <w:tab w:val="left" w:pos="5280"/>
      </w:tabs>
      <w:spacing w:before="96" w:after="96" w:line="0" w:lineRule="atLeast"/>
      <w:jc w:val="center"/>
    </w:pPr>
    <w:rPr>
      <w:rFonts w:ascii="Tahoma" w:eastAsia="华文中宋" w:hAnsi="Tahoma" w:cs="Times New Roman"/>
      <w:szCs w:val="20"/>
    </w:rPr>
  </w:style>
  <w:style w:type="paragraph" w:customStyle="1" w:styleId="2fffff7">
    <w:name w:val="页脚2"/>
    <w:basedOn w:val="a"/>
    <w:autoRedefine/>
    <w:uiPriority w:val="99"/>
    <w:qFormat/>
    <w:pPr>
      <w:tabs>
        <w:tab w:val="center" w:pos="4153"/>
        <w:tab w:val="right" w:pos="8306"/>
      </w:tabs>
      <w:adjustRightInd w:val="0"/>
      <w:spacing w:line="240" w:lineRule="atLeast"/>
      <w:jc w:val="left"/>
      <w:textAlignment w:val="baseline"/>
    </w:pPr>
    <w:rPr>
      <w:rFonts w:ascii="Verdana" w:hAnsi="仿宋_GB2312" w:cs="仿宋_GB2312"/>
      <w:kern w:val="0"/>
      <w:sz w:val="18"/>
      <w:szCs w:val="20"/>
    </w:rPr>
  </w:style>
  <w:style w:type="paragraph" w:customStyle="1" w:styleId="CharChar37">
    <w:name w:val="Char Char37"/>
    <w:basedOn w:val="a"/>
    <w:autoRedefine/>
    <w:uiPriority w:val="99"/>
    <w:qFormat/>
    <w:rPr>
      <w:rFonts w:cs="Times New Roman"/>
      <w:sz w:val="24"/>
      <w:szCs w:val="24"/>
    </w:rPr>
  </w:style>
  <w:style w:type="paragraph" w:customStyle="1" w:styleId="H">
    <w:name w:val="列表 H"/>
    <w:basedOn w:val="ac"/>
    <w:autoRedefine/>
    <w:uiPriority w:val="99"/>
    <w:qFormat/>
    <w:pPr>
      <w:tabs>
        <w:tab w:val="left" w:pos="425"/>
      </w:tabs>
      <w:spacing w:beforeLines="100" w:afterLines="50" w:line="288" w:lineRule="auto"/>
      <w:ind w:left="425" w:firstLineChars="0" w:hanging="425"/>
    </w:pPr>
    <w:rPr>
      <w:rFonts w:eastAsia="宋体" w:cs="仿宋_GB2312"/>
      <w:b/>
      <w:bCs/>
      <w:color w:val="FF99CC"/>
      <w:sz w:val="24"/>
      <w:szCs w:val="20"/>
    </w:rPr>
  </w:style>
  <w:style w:type="paragraph" w:customStyle="1" w:styleId="afffffffffffffffffffffffffffffd">
    <w:name w:val="五级无标题条"/>
    <w:basedOn w:val="a"/>
    <w:autoRedefine/>
    <w:uiPriority w:val="99"/>
    <w:qFormat/>
    <w:rPr>
      <w:rFonts w:cs="Times New Roman"/>
      <w:szCs w:val="20"/>
    </w:rPr>
  </w:style>
  <w:style w:type="paragraph" w:customStyle="1" w:styleId="2fffff8">
    <w:name w:val="样式 德胜正文 + ˎ̥ 首行缩进:  2 字符"/>
    <w:basedOn w:val="affffff7"/>
    <w:autoRedefine/>
    <w:uiPriority w:val="99"/>
    <w:qFormat/>
    <w:pPr>
      <w:ind w:firstLine="480"/>
    </w:pPr>
    <w:rPr>
      <w:rFonts w:ascii="Times New Roman" w:hAnsi="Times New Roman" w:cs="Times New Roman"/>
      <w:szCs w:val="20"/>
    </w:rPr>
  </w:style>
  <w:style w:type="paragraph" w:customStyle="1" w:styleId="TY">
    <w:name w:val="TY"/>
    <w:basedOn w:val="a"/>
    <w:autoRedefine/>
    <w:uiPriority w:val="99"/>
    <w:qFormat/>
    <w:pPr>
      <w:adjustRightInd w:val="0"/>
      <w:snapToGrid w:val="0"/>
      <w:spacing w:before="40" w:after="40"/>
    </w:pPr>
    <w:rPr>
      <w:rFonts w:ascii="Verdana" w:hAnsi="Verdana" w:cs="仿宋_GB2312"/>
      <w:sz w:val="24"/>
      <w:szCs w:val="20"/>
    </w:rPr>
  </w:style>
  <w:style w:type="paragraph" w:customStyle="1" w:styleId="11fc">
    <w:name w:val="正文文本缩进11"/>
    <w:basedOn w:val="a"/>
    <w:autoRedefine/>
    <w:uiPriority w:val="99"/>
    <w:qFormat/>
    <w:pPr>
      <w:tabs>
        <w:tab w:val="left" w:pos="840"/>
      </w:tabs>
      <w:adjustRightInd w:val="0"/>
      <w:snapToGrid w:val="0"/>
      <w:spacing w:line="360" w:lineRule="auto"/>
      <w:ind w:firstLineChars="200" w:firstLine="560"/>
    </w:pPr>
    <w:rPr>
      <w:rFonts w:ascii="楷体_GB2312" w:eastAsia="楷体_GB2312" w:cs="Times New Roman"/>
      <w:kern w:val="0"/>
      <w:sz w:val="28"/>
      <w:szCs w:val="28"/>
    </w:rPr>
  </w:style>
  <w:style w:type="paragraph" w:customStyle="1" w:styleId="3ReHead3WSAh33Char32311Re11Head3WSA1">
    <w:name w:val="样式 标题 3ReHead 3 WSAh3标题 3 Char标题 32标题 311Re11Head 3 WSA1..."/>
    <w:basedOn w:val="3"/>
    <w:autoRedefine/>
    <w:uiPriority w:val="99"/>
    <w:qFormat/>
    <w:pPr>
      <w:keepNext w:val="0"/>
      <w:keepLines w:val="0"/>
      <w:widowControl/>
      <w:numPr>
        <w:ilvl w:val="0"/>
        <w:numId w:val="0"/>
      </w:numPr>
      <w:tabs>
        <w:tab w:val="left" w:pos="870"/>
      </w:tabs>
      <w:adjustRightInd/>
      <w:snapToGrid/>
      <w:spacing w:beforeLines="50" w:line="480" w:lineRule="exact"/>
      <w:ind w:firstLine="510"/>
    </w:pPr>
    <w:rPr>
      <w:rFonts w:ascii="宋体" w:hAnsi="宋体" w:cs="宋体"/>
      <w:color w:val="000000"/>
      <w:kern w:val="0"/>
      <w:szCs w:val="20"/>
    </w:rPr>
  </w:style>
  <w:style w:type="paragraph" w:customStyle="1" w:styleId="331113Char1Char1Char1CharCharChar1Cha2">
    <w:name w:val="样式 标题 3标题3小标题1.1.1标题 3Char1 Char1Char1 Char CharChar1 Cha...2"/>
    <w:basedOn w:val="3"/>
    <w:autoRedefine/>
    <w:uiPriority w:val="99"/>
    <w:qFormat/>
    <w:pPr>
      <w:numPr>
        <w:ilvl w:val="0"/>
        <w:numId w:val="0"/>
      </w:numPr>
      <w:tabs>
        <w:tab w:val="left" w:pos="870"/>
      </w:tabs>
      <w:autoSpaceDE w:val="0"/>
      <w:autoSpaceDN w:val="0"/>
      <w:snapToGrid/>
      <w:ind w:firstLine="510"/>
      <w:jc w:val="both"/>
      <w:textAlignment w:val="baseline"/>
    </w:pPr>
    <w:rPr>
      <w:rFonts w:cs="宋体"/>
      <w:color w:val="0000FF"/>
      <w:kern w:val="0"/>
      <w:szCs w:val="20"/>
    </w:rPr>
  </w:style>
  <w:style w:type="paragraph" w:customStyle="1" w:styleId="4ff2">
    <w:name w:val="目录4（西藏格式）"/>
    <w:basedOn w:val="45"/>
    <w:autoRedefine/>
    <w:uiPriority w:val="99"/>
    <w:qFormat/>
    <w:pPr>
      <w:adjustRightInd w:val="0"/>
      <w:snapToGrid w:val="0"/>
      <w:spacing w:line="360" w:lineRule="auto"/>
      <w:ind w:left="600" w:firstLineChars="200" w:firstLine="200"/>
    </w:pPr>
    <w:rPr>
      <w:rFonts w:ascii="Calibri" w:eastAsia="宋体" w:hAnsi="Calibri" w:cs="Calibri"/>
      <w:snapToGrid w:val="0"/>
      <w:szCs w:val="18"/>
    </w:rPr>
  </w:style>
  <w:style w:type="paragraph" w:customStyle="1" w:styleId="xl90">
    <w:name w:val="xl90"/>
    <w:basedOn w:val="a"/>
    <w:autoRedefine/>
    <w:uiPriority w:val="99"/>
    <w:qFormat/>
    <w:pPr>
      <w:widowControl/>
      <w:pBdr>
        <w:top w:val="single" w:sz="4" w:space="0" w:color="auto"/>
        <w:left w:val="single" w:sz="8" w:space="0" w:color="auto"/>
        <w:bottom w:val="single" w:sz="8" w:space="0" w:color="auto"/>
      </w:pBdr>
      <w:spacing w:before="100" w:beforeAutospacing="1" w:after="100" w:afterAutospacing="1"/>
      <w:jc w:val="left"/>
    </w:pPr>
    <w:rPr>
      <w:rFonts w:ascii="仿宋_GB2312" w:eastAsia="華康中楷體" w:hAnsi="仿宋_GB2312" w:cs="仿宋_GB2312"/>
      <w:kern w:val="0"/>
      <w:sz w:val="16"/>
      <w:szCs w:val="16"/>
    </w:rPr>
  </w:style>
  <w:style w:type="paragraph" w:customStyle="1" w:styleId="J">
    <w:name w:val="列表 J"/>
    <w:basedOn w:val="ac"/>
    <w:uiPriority w:val="99"/>
    <w:qFormat/>
    <w:pPr>
      <w:tabs>
        <w:tab w:val="left" w:pos="425"/>
      </w:tabs>
      <w:spacing w:beforeLines="100" w:afterLines="50" w:line="288" w:lineRule="auto"/>
      <w:ind w:left="425" w:firstLineChars="0" w:hanging="425"/>
    </w:pPr>
    <w:rPr>
      <w:rFonts w:eastAsia="宋体" w:cs="仿宋_GB2312"/>
      <w:b/>
      <w:bCs/>
      <w:color w:val="FF99CC"/>
      <w:sz w:val="24"/>
      <w:szCs w:val="20"/>
    </w:rPr>
  </w:style>
  <w:style w:type="paragraph" w:customStyle="1" w:styleId="331113Char1Char1Char1CharCharChar1Cha">
    <w:name w:val="样式 标题 3标题3小标题1.1.1标题 3Char1 Char1Char1 Char CharChar1 Cha..."/>
    <w:basedOn w:val="3"/>
    <w:autoRedefine/>
    <w:uiPriority w:val="99"/>
    <w:qFormat/>
    <w:pPr>
      <w:numPr>
        <w:ilvl w:val="0"/>
        <w:numId w:val="0"/>
      </w:numPr>
      <w:tabs>
        <w:tab w:val="left" w:pos="870"/>
      </w:tabs>
      <w:autoSpaceDE w:val="0"/>
      <w:autoSpaceDN w:val="0"/>
      <w:ind w:firstLine="510"/>
      <w:jc w:val="both"/>
      <w:textAlignment w:val="baseline"/>
    </w:pPr>
    <w:rPr>
      <w:rFonts w:cs="宋体"/>
      <w:color w:val="0000FF"/>
      <w:kern w:val="0"/>
      <w:szCs w:val="24"/>
    </w:rPr>
  </w:style>
  <w:style w:type="paragraph" w:customStyle="1" w:styleId="font14">
    <w:name w:val="font14"/>
    <w:basedOn w:val="a"/>
    <w:uiPriority w:val="99"/>
    <w:qFormat/>
    <w:pPr>
      <w:widowControl/>
      <w:spacing w:before="100" w:beforeAutospacing="1" w:after="100" w:afterAutospacing="1"/>
      <w:jc w:val="left"/>
    </w:pPr>
    <w:rPr>
      <w:rFonts w:ascii="Verdana" w:hAnsi="Verdana" w:cs="華康中楷體" w:hint="eastAsia"/>
      <w:b/>
      <w:bCs/>
      <w:kern w:val="0"/>
      <w:sz w:val="16"/>
      <w:szCs w:val="16"/>
    </w:rPr>
  </w:style>
  <w:style w:type="paragraph" w:customStyle="1" w:styleId="-e">
    <w:name w:val="正文-使用"/>
    <w:basedOn w:val="a"/>
    <w:uiPriority w:val="99"/>
    <w:qFormat/>
    <w:pPr>
      <w:spacing w:line="360" w:lineRule="auto"/>
      <w:ind w:firstLine="482"/>
    </w:pPr>
    <w:rPr>
      <w:rFonts w:ascii="仿宋_GB2312" w:hAnsi="仿宋_GB2312" w:cs="仿宋_GB2312"/>
      <w:sz w:val="24"/>
      <w:szCs w:val="20"/>
    </w:rPr>
  </w:style>
  <w:style w:type="paragraph" w:customStyle="1" w:styleId="afffffffffffffffffffffffffffffe">
    <w:name w:val="灯泡注释(打印无效)"/>
    <w:basedOn w:val="affff3"/>
    <w:autoRedefine/>
    <w:uiPriority w:val="99"/>
    <w:qFormat/>
    <w:pPr>
      <w:kinsoku/>
      <w:snapToGrid w:val="0"/>
      <w:spacing w:after="0"/>
      <w:ind w:firstLineChars="0" w:firstLine="0"/>
    </w:pPr>
    <w:rPr>
      <w:rFonts w:ascii="仿宋_GB2312" w:hAnsi="仿宋_GB2312" w:cs="仿宋_GB2312"/>
      <w:i/>
      <w:vanish/>
      <w:color w:val="FF0000"/>
      <w:szCs w:val="21"/>
    </w:rPr>
  </w:style>
  <w:style w:type="character" w:customStyle="1" w:styleId="BodyText21CharChar">
    <w:name w:val="Body Text 21 Char Char"/>
    <w:qFormat/>
    <w:rPr>
      <w:rFonts w:ascii="仿宋_GB2312" w:eastAsia="华文仿宋" w:hAnsi="仿宋_GB2312" w:cs="仿宋_GB2312"/>
      <w:kern w:val="2"/>
      <w:sz w:val="24"/>
    </w:rPr>
  </w:style>
  <w:style w:type="paragraph" w:customStyle="1" w:styleId="affffffffffffffffffffffffffffff">
    <w:name w:val="单元格"/>
    <w:basedOn w:val="a"/>
    <w:autoRedefine/>
    <w:uiPriority w:val="99"/>
    <w:qFormat/>
    <w:pPr>
      <w:widowControl/>
      <w:adjustRightInd w:val="0"/>
      <w:snapToGrid w:val="0"/>
      <w:spacing w:line="320" w:lineRule="exact"/>
      <w:jc w:val="center"/>
    </w:pPr>
    <w:rPr>
      <w:rFonts w:ascii="Verdana" w:hAnsi="Verdana" w:cs="仿宋_GB2312"/>
      <w:kern w:val="0"/>
      <w:szCs w:val="24"/>
    </w:rPr>
  </w:style>
  <w:style w:type="paragraph" w:customStyle="1" w:styleId="affffffffffffffffffffffffffffff0">
    <w:name w:val="表格中"/>
    <w:basedOn w:val="a"/>
    <w:autoRedefine/>
    <w:uiPriority w:val="99"/>
    <w:qFormat/>
    <w:pPr>
      <w:snapToGrid w:val="0"/>
      <w:spacing w:line="360" w:lineRule="auto"/>
    </w:pPr>
    <w:rPr>
      <w:rFonts w:ascii="Verdana" w:hAnsi="Verdana" w:cs="仿宋_GB2312"/>
      <w:spacing w:val="-20"/>
      <w:sz w:val="28"/>
      <w:szCs w:val="28"/>
    </w:rPr>
  </w:style>
  <w:style w:type="paragraph" w:customStyle="1" w:styleId="affffffffffffffffffffffffffffff1">
    <w:name w:val="正文王"/>
    <w:basedOn w:val="aff4"/>
    <w:autoRedefine/>
    <w:uiPriority w:val="99"/>
    <w:qFormat/>
    <w:pPr>
      <w:spacing w:line="440" w:lineRule="exact"/>
    </w:pPr>
    <w:rPr>
      <w:rFonts w:ascii="Arial" w:eastAsia="Times New Roman" w:hAnsi="Arial"/>
      <w:snapToGrid w:val="0"/>
      <w:kern w:val="0"/>
      <w:sz w:val="24"/>
    </w:rPr>
  </w:style>
  <w:style w:type="paragraph" w:customStyle="1" w:styleId="21f4">
    <w:name w:val="样式 (符号) 宋体 首行缩进:  2 字符1"/>
    <w:basedOn w:val="a"/>
    <w:autoRedefine/>
    <w:uiPriority w:val="99"/>
    <w:qFormat/>
    <w:pPr>
      <w:ind w:firstLineChars="200" w:firstLine="567"/>
    </w:pPr>
    <w:rPr>
      <w:rFonts w:ascii="Verdana" w:hAnsi="Verdana" w:cs="Verdana"/>
      <w:sz w:val="27"/>
      <w:szCs w:val="20"/>
    </w:rPr>
  </w:style>
  <w:style w:type="paragraph" w:customStyle="1" w:styleId="wg">
    <w:name w:val="wg"/>
    <w:basedOn w:val="a"/>
    <w:autoRedefine/>
    <w:uiPriority w:val="99"/>
    <w:qFormat/>
    <w:rPr>
      <w:rFonts w:cs="Times New Roman"/>
      <w:sz w:val="28"/>
      <w:szCs w:val="20"/>
    </w:rPr>
  </w:style>
  <w:style w:type="paragraph" w:customStyle="1" w:styleId="style14">
    <w:name w:val="style14"/>
    <w:basedOn w:val="a"/>
    <w:autoRedefine/>
    <w:uiPriority w:val="99"/>
    <w:qFormat/>
    <w:pPr>
      <w:widowControl/>
      <w:spacing w:before="100" w:beforeAutospacing="1" w:after="100" w:afterAutospacing="1"/>
      <w:jc w:val="left"/>
    </w:pPr>
    <w:rPr>
      <w:rFonts w:ascii="宋体" w:hAnsi="宋体" w:cs="宋体"/>
      <w:b/>
      <w:bCs/>
      <w:color w:val="FFFFCC"/>
      <w:kern w:val="0"/>
      <w:sz w:val="24"/>
      <w:szCs w:val="24"/>
    </w:rPr>
  </w:style>
  <w:style w:type="paragraph" w:customStyle="1" w:styleId="4R">
    <w:name w:val="列表 4R"/>
    <w:basedOn w:val="46"/>
    <w:autoRedefine/>
    <w:uiPriority w:val="99"/>
    <w:qFormat/>
    <w:pPr>
      <w:tabs>
        <w:tab w:val="left" w:pos="907"/>
      </w:tabs>
      <w:adjustRightInd/>
      <w:spacing w:before="156" w:afterLines="30" w:line="288" w:lineRule="auto"/>
      <w:ind w:left="907" w:hanging="567"/>
      <w:textAlignment w:val="auto"/>
    </w:pPr>
    <w:rPr>
      <w:rFonts w:ascii="Courier New" w:hAnsi="Courier New" w:cs="仿宋_GB2312"/>
      <w:color w:val="CCFFFF"/>
      <w:kern w:val="2"/>
    </w:rPr>
  </w:style>
  <w:style w:type="paragraph" w:customStyle="1" w:styleId="affffffffffffffffffffffffffffff2">
    <w:name w:val="封面"/>
    <w:autoRedefine/>
    <w:uiPriority w:val="99"/>
    <w:qFormat/>
    <w:pPr>
      <w:spacing w:line="360" w:lineRule="auto"/>
      <w:jc w:val="center"/>
    </w:pPr>
    <w:rPr>
      <w:rFonts w:ascii="Verdana" w:hAnsi="Verdana" w:cs="仿宋_GB2312"/>
      <w:b/>
      <w:spacing w:val="-20"/>
      <w:sz w:val="36"/>
      <w:szCs w:val="36"/>
    </w:rPr>
  </w:style>
  <w:style w:type="paragraph" w:customStyle="1" w:styleId="CharCharCharChar17">
    <w:name w:val="Char Char Char Char17"/>
    <w:basedOn w:val="a"/>
    <w:autoRedefine/>
    <w:uiPriority w:val="99"/>
    <w:qFormat/>
    <w:pPr>
      <w:snapToGrid w:val="0"/>
      <w:spacing w:line="440" w:lineRule="atLeast"/>
    </w:pPr>
    <w:rPr>
      <w:rFonts w:ascii="Verdana" w:hAnsi="仿宋_GB2312" w:cs="仿宋_GB2312"/>
      <w:sz w:val="24"/>
      <w:szCs w:val="24"/>
    </w:rPr>
  </w:style>
  <w:style w:type="paragraph" w:customStyle="1" w:styleId="4ff3">
    <w:name w:val="标题样式4"/>
    <w:basedOn w:val="4"/>
    <w:autoRedefine/>
    <w:uiPriority w:val="99"/>
    <w:qFormat/>
    <w:pPr>
      <w:keepNext w:val="0"/>
      <w:keepLines w:val="0"/>
      <w:numPr>
        <w:ilvl w:val="0"/>
        <w:numId w:val="0"/>
      </w:numPr>
      <w:tabs>
        <w:tab w:val="left" w:pos="870"/>
      </w:tabs>
      <w:ind w:firstLine="510"/>
    </w:pPr>
    <w:rPr>
      <w:rFonts w:cs="Times New Roman"/>
      <w:snapToGrid w:val="0"/>
      <w:kern w:val="0"/>
      <w:szCs w:val="24"/>
      <w:lang w:val="zh-CN"/>
    </w:rPr>
  </w:style>
  <w:style w:type="paragraph" w:customStyle="1" w:styleId="affffffffffffffffffffffffffffff3">
    <w:name w:val="项目点符号"/>
    <w:basedOn w:val="a"/>
    <w:uiPriority w:val="99"/>
    <w:qFormat/>
    <w:pPr>
      <w:spacing w:line="360" w:lineRule="auto"/>
      <w:ind w:firstLineChars="214" w:firstLine="539"/>
    </w:pPr>
    <w:rPr>
      <w:rFonts w:cs="Times New Roman"/>
      <w:color w:val="000000"/>
      <w:spacing w:val="6"/>
      <w:sz w:val="24"/>
      <w:szCs w:val="24"/>
    </w:rPr>
  </w:style>
  <w:style w:type="paragraph" w:customStyle="1" w:styleId="4Z">
    <w:name w:val="列表 4Z"/>
    <w:basedOn w:val="46"/>
    <w:autoRedefine/>
    <w:uiPriority w:val="99"/>
    <w:qFormat/>
    <w:pPr>
      <w:tabs>
        <w:tab w:val="left" w:pos="1021"/>
      </w:tabs>
      <w:adjustRightInd/>
      <w:spacing w:before="156" w:afterLines="30" w:line="288" w:lineRule="auto"/>
      <w:ind w:left="1021" w:hanging="454"/>
      <w:textAlignment w:val="auto"/>
    </w:pPr>
    <w:rPr>
      <w:rFonts w:ascii="Courier New" w:hAnsi="Courier New" w:cs="仿宋_GB2312"/>
      <w:color w:val="CCFFFF"/>
      <w:kern w:val="2"/>
    </w:rPr>
  </w:style>
  <w:style w:type="paragraph" w:customStyle="1" w:styleId="11fd">
    <w:name w:val="图表目录11"/>
    <w:basedOn w:val="a"/>
    <w:next w:val="a"/>
    <w:autoRedefine/>
    <w:uiPriority w:val="99"/>
    <w:qFormat/>
    <w:pPr>
      <w:tabs>
        <w:tab w:val="right" w:leader="dot" w:pos="8051"/>
      </w:tabs>
      <w:adjustRightInd w:val="0"/>
      <w:spacing w:line="360" w:lineRule="atLeast"/>
      <w:ind w:left="840" w:hanging="840"/>
      <w:jc w:val="left"/>
      <w:textAlignment w:val="baseline"/>
    </w:pPr>
    <w:rPr>
      <w:rFonts w:ascii="Verdana" w:hAnsi="仿宋_GB2312" w:cs="仿宋_GB2312"/>
      <w:kern w:val="0"/>
      <w:sz w:val="24"/>
      <w:szCs w:val="20"/>
    </w:rPr>
  </w:style>
  <w:style w:type="paragraph" w:customStyle="1" w:styleId="471">
    <w:name w:val="标标题4.7"/>
    <w:basedOn w:val="a"/>
    <w:autoRedefine/>
    <w:uiPriority w:val="99"/>
    <w:qFormat/>
    <w:pPr>
      <w:tabs>
        <w:tab w:val="center" w:pos="4060"/>
        <w:tab w:val="right" w:pos="8261"/>
      </w:tabs>
      <w:suppressAutoHyphens/>
      <w:adjustRightInd w:val="0"/>
      <w:snapToGrid w:val="0"/>
      <w:spacing w:line="360" w:lineRule="auto"/>
      <w:jc w:val="center"/>
    </w:pPr>
    <w:rPr>
      <w:rFonts w:cs="Times New Roman"/>
      <w:spacing w:val="6"/>
      <w:kern w:val="0"/>
      <w:sz w:val="24"/>
      <w:szCs w:val="26"/>
    </w:rPr>
  </w:style>
  <w:style w:type="paragraph" w:customStyle="1" w:styleId="2fffff9">
    <w:name w:val="样式 标题 2"/>
    <w:basedOn w:val="20"/>
    <w:autoRedefine/>
    <w:uiPriority w:val="99"/>
    <w:qFormat/>
    <w:pPr>
      <w:keepNext w:val="0"/>
      <w:keepLines w:val="0"/>
      <w:numPr>
        <w:ilvl w:val="0"/>
        <w:numId w:val="0"/>
      </w:numPr>
      <w:tabs>
        <w:tab w:val="left" w:pos="870"/>
      </w:tabs>
      <w:spacing w:beforeLines="0" w:before="156" w:after="0" w:line="500" w:lineRule="exact"/>
      <w:ind w:firstLine="510"/>
    </w:pPr>
    <w:rPr>
      <w:rFonts w:ascii="黑体" w:eastAsia="黑体" w:hAnsi="Arial" w:cs="Times New Roman"/>
      <w:b w:val="0"/>
      <w:bCs w:val="0"/>
      <w:spacing w:val="10"/>
      <w:w w:val="96"/>
      <w:sz w:val="30"/>
      <w:szCs w:val="20"/>
    </w:rPr>
  </w:style>
  <w:style w:type="paragraph" w:customStyle="1" w:styleId="affffffffffffffffffffffffffffff4">
    <w:name w:val="表格内文字"/>
    <w:link w:val="Charffffff6"/>
    <w:autoRedefine/>
    <w:qFormat/>
    <w:pPr>
      <w:keepNext/>
      <w:widowControl w:val="0"/>
      <w:spacing w:line="240" w:lineRule="atLeast"/>
      <w:jc w:val="center"/>
    </w:pPr>
    <w:rPr>
      <w:rFonts w:ascii="Verdana" w:hAnsi="Verdana" w:cs="仿宋_GB2312"/>
      <w:w w:val="90"/>
    </w:rPr>
  </w:style>
  <w:style w:type="character" w:customStyle="1" w:styleId="Charffffff6">
    <w:name w:val="表格内文字 Char"/>
    <w:link w:val="affffffffffffffffffffffffffffff4"/>
    <w:autoRedefine/>
    <w:qFormat/>
    <w:rPr>
      <w:rFonts w:ascii="Verdana" w:hAnsi="Verdana" w:cs="仿宋_GB2312"/>
      <w:w w:val="90"/>
    </w:rPr>
  </w:style>
  <w:style w:type="paragraph" w:customStyle="1" w:styleId="5B0">
    <w:name w:val="列表 5B"/>
    <w:basedOn w:val="56"/>
    <w:autoRedefine/>
    <w:uiPriority w:val="99"/>
    <w:qFormat/>
    <w:pPr>
      <w:tabs>
        <w:tab w:val="left" w:pos="1134"/>
      </w:tabs>
      <w:adjustRightInd/>
      <w:spacing w:beforeLines="0" w:line="240" w:lineRule="auto"/>
      <w:ind w:left="1134" w:hanging="425"/>
      <w:textAlignment w:val="auto"/>
    </w:pPr>
    <w:rPr>
      <w:rFonts w:ascii="Courier New" w:hAnsi="Courier New" w:cs="仿宋_GB2312"/>
      <w:color w:val="99CCFF"/>
      <w:kern w:val="2"/>
    </w:rPr>
  </w:style>
  <w:style w:type="paragraph" w:customStyle="1" w:styleId="1fffffff1">
    <w:name w:val="尾注文本1"/>
    <w:basedOn w:val="27"/>
    <w:autoRedefine/>
    <w:uiPriority w:val="99"/>
    <w:qFormat/>
    <w:pPr>
      <w:adjustRightInd w:val="0"/>
      <w:spacing w:line="360" w:lineRule="atLeast"/>
      <w:ind w:firstLineChars="0" w:firstLine="0"/>
      <w:jc w:val="left"/>
      <w:textAlignment w:val="baseline"/>
    </w:pPr>
    <w:rPr>
      <w:rFonts w:ascii="宋体" w:eastAsia="Times New Roman" w:cs="Times New Roman"/>
      <w:kern w:val="0"/>
      <w:sz w:val="21"/>
      <w:szCs w:val="20"/>
    </w:rPr>
  </w:style>
  <w:style w:type="paragraph" w:customStyle="1" w:styleId="F">
    <w:name w:val="列表 F"/>
    <w:basedOn w:val="ac"/>
    <w:autoRedefine/>
    <w:uiPriority w:val="99"/>
    <w:qFormat/>
    <w:pPr>
      <w:tabs>
        <w:tab w:val="left" w:pos="425"/>
      </w:tabs>
      <w:spacing w:beforeLines="100" w:afterLines="50" w:line="288" w:lineRule="auto"/>
      <w:ind w:left="425" w:firstLineChars="0" w:hanging="425"/>
    </w:pPr>
    <w:rPr>
      <w:rFonts w:eastAsia="宋体" w:cs="仿宋_GB2312"/>
      <w:b/>
      <w:bCs/>
      <w:color w:val="FF99CC"/>
      <w:sz w:val="24"/>
      <w:szCs w:val="20"/>
    </w:rPr>
  </w:style>
  <w:style w:type="paragraph" w:customStyle="1" w:styleId="CharCharCharCharCharCharCharChar">
    <w:name w:val="Char Char Char Char Char Char Char Char"/>
    <w:basedOn w:val="a"/>
    <w:next w:val="a3"/>
    <w:autoRedefine/>
    <w:uiPriority w:val="99"/>
    <w:qFormat/>
    <w:rPr>
      <w:rFonts w:cs="Times New Roman"/>
      <w:sz w:val="28"/>
      <w:szCs w:val="28"/>
    </w:rPr>
  </w:style>
  <w:style w:type="paragraph" w:customStyle="1" w:styleId="4S">
    <w:name w:val="列表 4S"/>
    <w:basedOn w:val="46"/>
    <w:autoRedefine/>
    <w:uiPriority w:val="99"/>
    <w:qFormat/>
    <w:pPr>
      <w:tabs>
        <w:tab w:val="left" w:pos="1021"/>
      </w:tabs>
      <w:adjustRightInd/>
      <w:spacing w:before="156" w:afterLines="30" w:line="288" w:lineRule="auto"/>
      <w:ind w:left="1021" w:hanging="454"/>
      <w:textAlignment w:val="auto"/>
    </w:pPr>
    <w:rPr>
      <w:rFonts w:ascii="Courier New" w:hAnsi="Courier New" w:cs="仿宋_GB2312"/>
      <w:color w:val="CCFFFF"/>
      <w:kern w:val="2"/>
    </w:rPr>
  </w:style>
  <w:style w:type="paragraph" w:customStyle="1" w:styleId="780">
    <w:name w:val="目录7～8（西藏样式）"/>
    <w:basedOn w:val="4ff2"/>
    <w:autoRedefine/>
    <w:uiPriority w:val="99"/>
    <w:qFormat/>
  </w:style>
  <w:style w:type="paragraph" w:customStyle="1" w:styleId="GM">
    <w:name w:val="GM"/>
    <w:basedOn w:val="1"/>
    <w:autoRedefine/>
    <w:uiPriority w:val="99"/>
    <w:qFormat/>
    <w:pPr>
      <w:keepLines w:val="0"/>
      <w:widowControl/>
      <w:numPr>
        <w:numId w:val="0"/>
      </w:numPr>
      <w:tabs>
        <w:tab w:val="left" w:pos="870"/>
        <w:tab w:val="left" w:pos="2260"/>
        <w:tab w:val="left" w:pos="2820"/>
        <w:tab w:val="left" w:pos="3420"/>
      </w:tabs>
      <w:adjustRightInd w:val="0"/>
      <w:spacing w:line="240" w:lineRule="auto"/>
      <w:ind w:left="851" w:right="-28" w:hanging="851"/>
      <w:jc w:val="both"/>
    </w:pPr>
    <w:rPr>
      <w:rFonts w:ascii="Courier New" w:hAnsi="Courier New" w:cs="仿宋_GB2312"/>
      <w:bCs w:val="0"/>
      <w:kern w:val="0"/>
      <w:sz w:val="22"/>
      <w:szCs w:val="20"/>
      <w:lang w:val="en-GB"/>
    </w:rPr>
  </w:style>
  <w:style w:type="paragraph" w:customStyle="1" w:styleId="262">
    <w:name w:val="样式 样式2 + 段前: 6 磅 行距: 单倍行距2"/>
    <w:basedOn w:val="2fd"/>
    <w:autoRedefine/>
    <w:uiPriority w:val="99"/>
    <w:qFormat/>
    <w:pPr>
      <w:keepNext w:val="0"/>
      <w:keepLines w:val="0"/>
      <w:tabs>
        <w:tab w:val="clear" w:pos="567"/>
      </w:tabs>
      <w:autoSpaceDE w:val="0"/>
      <w:autoSpaceDN w:val="0"/>
      <w:snapToGrid w:val="0"/>
      <w:spacing w:beforeLines="0" w:line="240" w:lineRule="auto"/>
      <w:ind w:left="0" w:firstLine="0"/>
      <w:jc w:val="center"/>
      <w:outlineLvl w:val="9"/>
    </w:pPr>
    <w:rPr>
      <w:b w:val="0"/>
      <w:spacing w:val="-16"/>
      <w:szCs w:val="21"/>
    </w:rPr>
  </w:style>
  <w:style w:type="paragraph" w:customStyle="1" w:styleId="wenzi">
    <w:name w:val="wenzi"/>
    <w:basedOn w:val="a"/>
    <w:autoRedefine/>
    <w:uiPriority w:val="99"/>
    <w:qFormat/>
    <w:pPr>
      <w:widowControl/>
      <w:spacing w:before="100" w:beforeAutospacing="1" w:after="100" w:afterAutospacing="1" w:line="360" w:lineRule="atLeast"/>
      <w:jc w:val="left"/>
    </w:pPr>
    <w:rPr>
      <w:rFonts w:ascii="Verdana" w:hAnsi="Verdana" w:cs="仿宋_GB2312"/>
      <w:color w:val="000000"/>
      <w:kern w:val="0"/>
      <w:sz w:val="18"/>
      <w:szCs w:val="18"/>
    </w:rPr>
  </w:style>
  <w:style w:type="paragraph" w:customStyle="1" w:styleId="xl82">
    <w:name w:val="xl82"/>
    <w:basedOn w:val="a"/>
    <w:autoRedefine/>
    <w:uiPriority w:val="99"/>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style12style13">
    <w:name w:val="style12 style13"/>
    <w:basedOn w:val="a"/>
    <w:autoRedefine/>
    <w:uiPriority w:val="99"/>
    <w:qFormat/>
    <w:pPr>
      <w:widowControl/>
      <w:spacing w:before="100" w:beforeAutospacing="1" w:after="100" w:afterAutospacing="1"/>
      <w:jc w:val="left"/>
    </w:pPr>
    <w:rPr>
      <w:rFonts w:ascii="宋体" w:hAnsi="宋体" w:cs="宋体"/>
      <w:kern w:val="0"/>
      <w:sz w:val="24"/>
      <w:szCs w:val="24"/>
    </w:rPr>
  </w:style>
  <w:style w:type="paragraph" w:customStyle="1" w:styleId="xl107">
    <w:name w:val="xl107"/>
    <w:basedOn w:val="a"/>
    <w:autoRedefine/>
    <w:uiPriority w:val="99"/>
    <w:qFormat/>
    <w:pPr>
      <w:widowControl/>
      <w:pBdr>
        <w:top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2fffffa">
    <w:name w:val="正文文字2"/>
    <w:autoRedefine/>
    <w:uiPriority w:val="99"/>
    <w:qFormat/>
    <w:pPr>
      <w:adjustRightInd w:val="0"/>
      <w:snapToGrid w:val="0"/>
      <w:jc w:val="center"/>
    </w:pPr>
    <w:rPr>
      <w:rFonts w:eastAsia="黑体"/>
      <w:snapToGrid w:val="0"/>
      <w:kern w:val="2"/>
      <w:sz w:val="30"/>
      <w:szCs w:val="30"/>
    </w:rPr>
  </w:style>
  <w:style w:type="paragraph" w:customStyle="1" w:styleId="affffffffffffffffffffffffffffff5">
    <w:name w:val="说明书正文"/>
    <w:basedOn w:val="a"/>
    <w:autoRedefine/>
    <w:uiPriority w:val="99"/>
    <w:qFormat/>
    <w:pPr>
      <w:spacing w:line="480" w:lineRule="exact"/>
      <w:ind w:firstLineChars="200" w:firstLine="600"/>
    </w:pPr>
    <w:rPr>
      <w:rFonts w:ascii="仿宋_GB2312" w:eastAsia="ˎ̥" w:hAnsi="仿宋_GB2312" w:cs="仿宋_GB2312"/>
      <w:color w:val="000000"/>
      <w:sz w:val="30"/>
      <w:szCs w:val="24"/>
    </w:rPr>
  </w:style>
  <w:style w:type="paragraph" w:customStyle="1" w:styleId="191">
    <w:name w:val="标标题1.9"/>
    <w:basedOn w:val="a"/>
    <w:autoRedefine/>
    <w:uiPriority w:val="99"/>
    <w:qFormat/>
    <w:pPr>
      <w:tabs>
        <w:tab w:val="center" w:pos="4060"/>
        <w:tab w:val="right" w:pos="8261"/>
      </w:tabs>
      <w:suppressAutoHyphens/>
      <w:adjustRightInd w:val="0"/>
      <w:spacing w:before="240" w:line="0" w:lineRule="atLeast"/>
      <w:ind w:left="390" w:hanging="390"/>
      <w:jc w:val="center"/>
    </w:pPr>
    <w:rPr>
      <w:rFonts w:ascii="黑体" w:eastAsia="黑体" w:cs="Times New Roman"/>
      <w:b/>
      <w:spacing w:val="6"/>
      <w:kern w:val="0"/>
      <w:sz w:val="26"/>
      <w:szCs w:val="26"/>
    </w:rPr>
  </w:style>
  <w:style w:type="paragraph" w:customStyle="1" w:styleId="205766620">
    <w:name w:val="样式 标题 2 + 左侧:  0 厘米 悬挂缩进: 5.76 字符 段前: 6 磅 段后: 6 磅 行距: 固定值 20..."/>
    <w:basedOn w:val="20"/>
    <w:autoRedefine/>
    <w:uiPriority w:val="99"/>
    <w:qFormat/>
    <w:pPr>
      <w:numPr>
        <w:ilvl w:val="0"/>
        <w:numId w:val="0"/>
      </w:numPr>
      <w:tabs>
        <w:tab w:val="left" w:pos="870"/>
      </w:tabs>
      <w:spacing w:beforeLines="0" w:afterLines="0" w:line="400" w:lineRule="exact"/>
      <w:ind w:left="576" w:hanging="576"/>
    </w:pPr>
    <w:rPr>
      <w:rFonts w:ascii="Arial" w:eastAsia="黑体" w:hAnsi="Arial" w:cs="Times New Roman"/>
      <w:b w:val="0"/>
      <w:bCs w:val="0"/>
      <w:szCs w:val="20"/>
    </w:rPr>
  </w:style>
  <w:style w:type="paragraph" w:customStyle="1" w:styleId="xl108">
    <w:name w:val="xl108"/>
    <w:basedOn w:val="a"/>
    <w:autoRedefine/>
    <w:uiPriority w:val="99"/>
    <w:qFormat/>
    <w:pPr>
      <w:widowControl/>
      <w:pBdr>
        <w:bottom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3K">
    <w:name w:val="列表 3K"/>
    <w:basedOn w:val="31"/>
    <w:autoRedefine/>
    <w:uiPriority w:val="99"/>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affffffffffffffffffffffffffffff6">
    <w:name w:val="注×："/>
    <w:autoRedefine/>
    <w:uiPriority w:val="99"/>
    <w:qFormat/>
    <w:pPr>
      <w:widowControl w:val="0"/>
      <w:tabs>
        <w:tab w:val="left" w:pos="630"/>
      </w:tabs>
      <w:autoSpaceDE w:val="0"/>
      <w:autoSpaceDN w:val="0"/>
      <w:jc w:val="both"/>
    </w:pPr>
    <w:rPr>
      <w:rFonts w:ascii="Verdana" w:hAnsi="仿宋_GB2312" w:cs="仿宋_GB2312"/>
      <w:sz w:val="18"/>
    </w:rPr>
  </w:style>
  <w:style w:type="paragraph" w:customStyle="1" w:styleId="affffffffffffffffffffffffffffff7">
    <w:name w:val="附图"/>
    <w:basedOn w:val="a"/>
    <w:autoRedefine/>
    <w:uiPriority w:val="99"/>
    <w:qFormat/>
    <w:pPr>
      <w:spacing w:line="0" w:lineRule="atLeast"/>
      <w:jc w:val="center"/>
    </w:pPr>
    <w:rPr>
      <w:rFonts w:cs="Times New Roman"/>
      <w:szCs w:val="20"/>
    </w:rPr>
  </w:style>
  <w:style w:type="paragraph" w:customStyle="1" w:styleId="affffffffffffffffffffffffffffff8">
    <w:name w:val="图目录"/>
    <w:basedOn w:val="a"/>
    <w:uiPriority w:val="99"/>
    <w:qFormat/>
    <w:pPr>
      <w:adjustRightInd w:val="0"/>
      <w:snapToGrid w:val="0"/>
      <w:spacing w:line="360" w:lineRule="auto"/>
      <w:ind w:firstLineChars="200" w:firstLine="480"/>
    </w:pPr>
    <w:rPr>
      <w:rFonts w:ascii="仿宋_GB2312" w:hAnsi="仿宋_GB2312" w:cs="仿宋_GB2312"/>
      <w:sz w:val="24"/>
      <w:szCs w:val="24"/>
    </w:rPr>
  </w:style>
  <w:style w:type="paragraph" w:customStyle="1" w:styleId="2fffffb">
    <w:name w:val="封面标准号2"/>
    <w:uiPriority w:val="99"/>
    <w:qFormat/>
    <w:pPr>
      <w:spacing w:before="357" w:line="280" w:lineRule="exact"/>
      <w:jc w:val="right"/>
    </w:pPr>
    <w:rPr>
      <w:rFonts w:ascii="黑体" w:eastAsia="黑体"/>
      <w:sz w:val="28"/>
      <w:szCs w:val="28"/>
    </w:rPr>
  </w:style>
  <w:style w:type="paragraph" w:customStyle="1" w:styleId="affffffffffffffffffffffffffffff9">
    <w:name w:val="燕山正文"/>
    <w:basedOn w:val="a"/>
    <w:autoRedefine/>
    <w:uiPriority w:val="99"/>
    <w:qFormat/>
    <w:pPr>
      <w:tabs>
        <w:tab w:val="left" w:pos="4680"/>
      </w:tabs>
      <w:adjustRightInd w:val="0"/>
      <w:snapToGrid w:val="0"/>
      <w:spacing w:line="360" w:lineRule="auto"/>
      <w:ind w:firstLineChars="200" w:firstLine="520"/>
      <w:jc w:val="left"/>
    </w:pPr>
    <w:rPr>
      <w:rFonts w:hAnsi="Arial" w:cs="Times New Roman"/>
      <w:snapToGrid w:val="0"/>
      <w:spacing w:val="10"/>
      <w:kern w:val="0"/>
      <w:sz w:val="24"/>
      <w:szCs w:val="24"/>
    </w:rPr>
  </w:style>
  <w:style w:type="paragraph" w:customStyle="1" w:styleId="xl88">
    <w:name w:val="xl88"/>
    <w:basedOn w:val="a"/>
    <w:autoRedefine/>
    <w:uiPriority w:val="99"/>
    <w:qFormat/>
    <w:pPr>
      <w:widowControl/>
      <w:pBdr>
        <w:top w:val="single" w:sz="4" w:space="0" w:color="auto"/>
        <w:left w:val="single" w:sz="8" w:space="0" w:color="auto"/>
        <w:bottom w:val="single" w:sz="4" w:space="0" w:color="auto"/>
      </w:pBdr>
      <w:spacing w:before="100" w:beforeAutospacing="1" w:after="100" w:afterAutospacing="1"/>
      <w:jc w:val="left"/>
    </w:pPr>
    <w:rPr>
      <w:rFonts w:ascii="仿宋_GB2312" w:eastAsia="華康中楷體" w:hAnsi="仿宋_GB2312" w:cs="仿宋_GB2312"/>
      <w:kern w:val="0"/>
      <w:sz w:val="16"/>
      <w:szCs w:val="16"/>
    </w:rPr>
  </w:style>
  <w:style w:type="paragraph" w:customStyle="1" w:styleId="affffffffffffffffffffffffffffffa">
    <w:name w:val="封面三号"/>
    <w:basedOn w:val="a"/>
    <w:autoRedefine/>
    <w:uiPriority w:val="99"/>
    <w:qFormat/>
    <w:pPr>
      <w:jc w:val="center"/>
    </w:pPr>
    <w:rPr>
      <w:rFonts w:ascii="Verdana" w:hAnsi="Verdana" w:cs="Verdana"/>
      <w:spacing w:val="55"/>
      <w:kern w:val="0"/>
      <w:sz w:val="32"/>
      <w:szCs w:val="32"/>
    </w:rPr>
  </w:style>
  <w:style w:type="paragraph" w:customStyle="1" w:styleId="2fffffc">
    <w:name w:val="正文缩进2"/>
    <w:basedOn w:val="a"/>
    <w:autoRedefine/>
    <w:uiPriority w:val="99"/>
    <w:qFormat/>
    <w:pPr>
      <w:ind w:firstLine="420"/>
    </w:pPr>
    <w:rPr>
      <w:rFonts w:ascii="仿宋_GB2312" w:hAnsi="仿宋_GB2312" w:cs="仿宋_GB2312"/>
      <w:sz w:val="24"/>
      <w:szCs w:val="20"/>
    </w:rPr>
  </w:style>
  <w:style w:type="paragraph" w:customStyle="1" w:styleId="WW-BodyTextIndent3">
    <w:name w:val="WW-Body Text Indent 3"/>
    <w:basedOn w:val="a"/>
    <w:autoRedefine/>
    <w:uiPriority w:val="99"/>
    <w:qFormat/>
    <w:pPr>
      <w:suppressAutoHyphens/>
      <w:spacing w:after="120" w:line="360" w:lineRule="auto"/>
      <w:ind w:firstLine="420"/>
    </w:pPr>
    <w:rPr>
      <w:rFonts w:ascii="Courier New" w:hAnsi="Courier New" w:cs="仿宋_GB2312"/>
      <w:kern w:val="20481"/>
      <w:sz w:val="24"/>
      <w:szCs w:val="20"/>
    </w:rPr>
  </w:style>
  <w:style w:type="paragraph" w:customStyle="1" w:styleId="1fffffff2">
    <w:name w:val="样式1－表头"/>
    <w:basedOn w:val="a"/>
    <w:autoRedefine/>
    <w:uiPriority w:val="99"/>
    <w:qFormat/>
    <w:pPr>
      <w:adjustRightInd w:val="0"/>
      <w:snapToGrid w:val="0"/>
      <w:spacing w:beforeLines="50" w:afterLines="50" w:line="336" w:lineRule="auto"/>
      <w:jc w:val="center"/>
    </w:pPr>
    <w:rPr>
      <w:rFonts w:eastAsia="黑体" w:cs="Times New Roman"/>
      <w:spacing w:val="6"/>
      <w:sz w:val="24"/>
      <w:szCs w:val="20"/>
    </w:rPr>
  </w:style>
  <w:style w:type="paragraph" w:customStyle="1" w:styleId="5Fa">
    <w:name w:val="列表 5F"/>
    <w:basedOn w:val="56"/>
    <w:autoRedefine/>
    <w:uiPriority w:val="99"/>
    <w:qFormat/>
    <w:pPr>
      <w:tabs>
        <w:tab w:val="left" w:pos="1134"/>
      </w:tabs>
      <w:adjustRightInd/>
      <w:spacing w:beforeLines="0" w:line="240" w:lineRule="auto"/>
      <w:ind w:left="1134" w:hanging="425"/>
      <w:textAlignment w:val="auto"/>
    </w:pPr>
    <w:rPr>
      <w:rFonts w:ascii="Courier New" w:hAnsi="Courier New" w:cs="仿宋_GB2312"/>
      <w:color w:val="99CCFF"/>
      <w:kern w:val="2"/>
    </w:rPr>
  </w:style>
  <w:style w:type="paragraph" w:customStyle="1" w:styleId="Char290">
    <w:name w:val="Char29"/>
    <w:basedOn w:val="a"/>
    <w:autoRedefine/>
    <w:uiPriority w:val="99"/>
    <w:qFormat/>
    <w:rPr>
      <w:rFonts w:cs="Times New Roman"/>
      <w:sz w:val="24"/>
      <w:szCs w:val="20"/>
    </w:rPr>
  </w:style>
  <w:style w:type="paragraph" w:customStyle="1" w:styleId="2V">
    <w:name w:val="列表 2V"/>
    <w:basedOn w:val="24"/>
    <w:autoRedefine/>
    <w:uiPriority w:val="99"/>
    <w:qFormat/>
    <w:pPr>
      <w:tabs>
        <w:tab w:val="left" w:pos="737"/>
      </w:tabs>
      <w:adjustRightInd/>
      <w:spacing w:beforeLines="0" w:beforeAutospacing="1" w:after="100" w:afterAutospacing="1" w:line="288" w:lineRule="auto"/>
      <w:ind w:left="737" w:hanging="567"/>
      <w:textAlignment w:val="auto"/>
    </w:pPr>
    <w:rPr>
      <w:rFonts w:ascii="Courier New" w:hAnsi="Courier New" w:cs="仿宋_GB2312"/>
      <w:color w:val="FFFF99"/>
      <w:kern w:val="2"/>
    </w:rPr>
  </w:style>
  <w:style w:type="paragraph" w:customStyle="1" w:styleId="affffffffffffffffffffffffffffffb">
    <w:name w:val="正文表标题"/>
    <w:next w:val="4"/>
    <w:autoRedefine/>
    <w:uiPriority w:val="99"/>
    <w:qFormat/>
    <w:pPr>
      <w:tabs>
        <w:tab w:val="left" w:pos="390"/>
      </w:tabs>
      <w:ind w:left="390" w:hanging="390"/>
      <w:jc w:val="center"/>
    </w:pPr>
    <w:rPr>
      <w:rFonts w:ascii="楷体" w:eastAsia="楷体" w:hAnsi="仿宋_GB2312" w:cs="仿宋_GB2312"/>
      <w:sz w:val="21"/>
    </w:rPr>
  </w:style>
  <w:style w:type="paragraph" w:customStyle="1" w:styleId="Char1CharCharCharCharChar1Char">
    <w:name w:val="Char1 Char Char Char Char Char1 Char"/>
    <w:basedOn w:val="a"/>
    <w:autoRedefine/>
    <w:uiPriority w:val="99"/>
    <w:qFormat/>
    <w:rPr>
      <w:rFonts w:ascii="新宋体" w:hAnsi="新宋体" w:cs="仿宋_GB2312"/>
      <w:sz w:val="24"/>
      <w:szCs w:val="20"/>
    </w:rPr>
  </w:style>
  <w:style w:type="paragraph" w:customStyle="1" w:styleId="affffffffffffffffffffffffffffffc">
    <w:name w:val="奉读大示，心折殊深。"/>
    <w:autoRedefine/>
    <w:uiPriority w:val="99"/>
    <w:qFormat/>
    <w:pPr>
      <w:widowControl w:val="0"/>
      <w:jc w:val="both"/>
    </w:pPr>
    <w:rPr>
      <w:rFonts w:ascii="仿宋_GB2312" w:hAnsi="仿宋_GB2312" w:cs="仿宋_GB2312"/>
      <w:kern w:val="2"/>
      <w:sz w:val="21"/>
    </w:rPr>
  </w:style>
  <w:style w:type="paragraph" w:customStyle="1" w:styleId="2M">
    <w:name w:val="列表 2M"/>
    <w:basedOn w:val="24"/>
    <w:autoRedefine/>
    <w:uiPriority w:val="99"/>
    <w:qFormat/>
    <w:pPr>
      <w:tabs>
        <w:tab w:val="left" w:pos="737"/>
      </w:tabs>
      <w:adjustRightInd/>
      <w:spacing w:beforeLines="0" w:beforeAutospacing="1" w:after="100" w:afterAutospacing="1" w:line="288" w:lineRule="auto"/>
      <w:ind w:left="737" w:hanging="567"/>
      <w:textAlignment w:val="auto"/>
    </w:pPr>
    <w:rPr>
      <w:rFonts w:ascii="Courier New" w:hAnsi="Courier New" w:cs="仿宋_GB2312"/>
      <w:color w:val="FFFF99"/>
      <w:kern w:val="2"/>
    </w:rPr>
  </w:style>
  <w:style w:type="paragraph" w:customStyle="1" w:styleId="affffffffffffffffffffffffffffffd">
    <w:name w:val="图注、图的脚注"/>
    <w:basedOn w:val="afffffffffffffffffffffffffffe"/>
    <w:autoRedefine/>
    <w:uiPriority w:val="99"/>
    <w:qFormat/>
    <w:rPr>
      <w:sz w:val="18"/>
    </w:rPr>
  </w:style>
  <w:style w:type="paragraph" w:customStyle="1" w:styleId="Affffffffffffffffffffffffffffffe">
    <w:name w:val="列表 A"/>
    <w:basedOn w:val="ac"/>
    <w:autoRedefine/>
    <w:uiPriority w:val="99"/>
    <w:qFormat/>
    <w:pPr>
      <w:tabs>
        <w:tab w:val="left" w:pos="1021"/>
      </w:tabs>
      <w:spacing w:beforeLines="100" w:afterLines="50" w:line="288" w:lineRule="auto"/>
      <w:ind w:left="1021" w:firstLineChars="0" w:hanging="454"/>
    </w:pPr>
    <w:rPr>
      <w:rFonts w:eastAsia="宋体" w:cs="仿宋_GB2312"/>
      <w:b/>
      <w:bCs/>
      <w:color w:val="FF99CC"/>
      <w:sz w:val="24"/>
      <w:szCs w:val="20"/>
    </w:rPr>
  </w:style>
  <w:style w:type="paragraph" w:customStyle="1" w:styleId="4O">
    <w:name w:val="列表 4O"/>
    <w:basedOn w:val="46"/>
    <w:autoRedefine/>
    <w:uiPriority w:val="99"/>
    <w:qFormat/>
    <w:pPr>
      <w:tabs>
        <w:tab w:val="left" w:pos="1021"/>
      </w:tabs>
      <w:adjustRightInd/>
      <w:spacing w:before="156" w:afterLines="30" w:line="288" w:lineRule="auto"/>
      <w:ind w:left="1021" w:hanging="454"/>
      <w:textAlignment w:val="auto"/>
    </w:pPr>
    <w:rPr>
      <w:rFonts w:ascii="Courier New" w:hAnsi="Courier New" w:cs="仿宋_GB2312"/>
      <w:color w:val="CCFFFF"/>
      <w:kern w:val="2"/>
    </w:rPr>
  </w:style>
  <w:style w:type="paragraph" w:customStyle="1" w:styleId="781">
    <w:name w:val="目录7～8（西藏格式）"/>
    <w:basedOn w:val="71"/>
    <w:uiPriority w:val="99"/>
    <w:qFormat/>
    <w:pPr>
      <w:adjustRightInd w:val="0"/>
      <w:snapToGrid w:val="0"/>
      <w:spacing w:line="360" w:lineRule="auto"/>
      <w:ind w:left="1200" w:firstLineChars="200" w:firstLine="200"/>
    </w:pPr>
    <w:rPr>
      <w:rFonts w:ascii="Calibri" w:eastAsia="宋体" w:hAnsi="Calibri" w:cs="Calibri"/>
      <w:snapToGrid w:val="0"/>
      <w:szCs w:val="18"/>
    </w:rPr>
  </w:style>
  <w:style w:type="paragraph" w:customStyle="1" w:styleId="afffffffffffffffffffffffffffffff">
    <w:name w:val="插图标题"/>
    <w:basedOn w:val="a"/>
    <w:autoRedefine/>
    <w:uiPriority w:val="99"/>
    <w:qFormat/>
    <w:pPr>
      <w:tabs>
        <w:tab w:val="center" w:pos="6804"/>
        <w:tab w:val="right" w:pos="7371"/>
      </w:tabs>
      <w:overflowPunct w:val="0"/>
      <w:adjustRightInd w:val="0"/>
      <w:ind w:firstLine="567"/>
      <w:jc w:val="center"/>
      <w:textAlignment w:val="baseline"/>
    </w:pPr>
    <w:rPr>
      <w:rFonts w:ascii="楷体" w:eastAsia="楷体" w:hAnsi="仿宋_GB2312" w:cs="仿宋_GB2312"/>
      <w:kern w:val="0"/>
      <w:sz w:val="28"/>
      <w:szCs w:val="20"/>
    </w:rPr>
  </w:style>
  <w:style w:type="paragraph" w:customStyle="1" w:styleId="afffffffffffffffffffffffffffffff0">
    <w:name w:val="表字"/>
    <w:basedOn w:val="a"/>
    <w:autoRedefine/>
    <w:uiPriority w:val="99"/>
    <w:qFormat/>
    <w:pPr>
      <w:jc w:val="center"/>
    </w:pPr>
    <w:rPr>
      <w:rFonts w:ascii="宋体" w:cs="Times New Roman"/>
      <w:szCs w:val="20"/>
    </w:rPr>
  </w:style>
  <w:style w:type="paragraph" w:customStyle="1" w:styleId="192">
    <w:name w:val="19"/>
    <w:basedOn w:val="a"/>
    <w:autoRedefine/>
    <w:uiPriority w:val="99"/>
    <w:qFormat/>
    <w:pPr>
      <w:widowControl/>
      <w:snapToGrid w:val="0"/>
      <w:spacing w:before="100" w:beforeAutospacing="1" w:after="100" w:afterAutospacing="1" w:line="460" w:lineRule="atLeast"/>
    </w:pPr>
    <w:rPr>
      <w:rFonts w:cs="Times New Roman"/>
      <w:kern w:val="0"/>
      <w:sz w:val="24"/>
      <w:szCs w:val="20"/>
    </w:rPr>
  </w:style>
  <w:style w:type="paragraph" w:customStyle="1" w:styleId="afffffffffffffffffffffffffffffff1">
    <w:name w:val="签名（西藏格式）"/>
    <w:basedOn w:val="afff2"/>
    <w:autoRedefine/>
    <w:uiPriority w:val="99"/>
    <w:qFormat/>
    <w:pPr>
      <w:adjustRightInd w:val="0"/>
      <w:snapToGrid w:val="0"/>
      <w:spacing w:line="400" w:lineRule="exact"/>
      <w:ind w:leftChars="0" w:left="3969"/>
      <w:jc w:val="center"/>
    </w:pPr>
    <w:rPr>
      <w:snapToGrid w:val="0"/>
      <w:kern w:val="0"/>
      <w:sz w:val="24"/>
      <w:szCs w:val="21"/>
    </w:rPr>
  </w:style>
  <w:style w:type="paragraph" w:customStyle="1" w:styleId="3fff9">
    <w:name w:val="正文文字缩进3"/>
    <w:basedOn w:val="32"/>
    <w:autoRedefine/>
    <w:uiPriority w:val="99"/>
    <w:qFormat/>
    <w:pPr>
      <w:adjustRightInd w:val="0"/>
      <w:snapToGrid w:val="0"/>
      <w:spacing w:after="0"/>
    </w:pPr>
    <w:rPr>
      <w:rFonts w:eastAsia="黑体" w:cs="Times New Roman"/>
      <w:snapToGrid w:val="0"/>
      <w:kern w:val="0"/>
      <w:sz w:val="28"/>
      <w:szCs w:val="28"/>
    </w:rPr>
  </w:style>
  <w:style w:type="paragraph" w:customStyle="1" w:styleId="1fffffff3">
    <w:name w:val="普通(网站)1"/>
    <w:basedOn w:val="a"/>
    <w:autoRedefine/>
    <w:uiPriority w:val="99"/>
    <w:qFormat/>
    <w:pPr>
      <w:widowControl/>
      <w:spacing w:before="100" w:beforeAutospacing="1" w:after="100" w:afterAutospacing="1"/>
      <w:jc w:val="left"/>
    </w:pPr>
    <w:rPr>
      <w:rFonts w:ascii="ˎ̥" w:hAnsi="ˎ̥" w:cs="宋体"/>
      <w:kern w:val="0"/>
      <w:sz w:val="18"/>
      <w:szCs w:val="18"/>
    </w:rPr>
  </w:style>
  <w:style w:type="paragraph" w:customStyle="1" w:styleId="2fffffd">
    <w:name w:val="样式 标题2　自动设置"/>
    <w:basedOn w:val="20"/>
    <w:autoRedefine/>
    <w:uiPriority w:val="99"/>
    <w:qFormat/>
    <w:pPr>
      <w:numPr>
        <w:ilvl w:val="0"/>
        <w:numId w:val="0"/>
      </w:numPr>
      <w:tabs>
        <w:tab w:val="left" w:pos="576"/>
        <w:tab w:val="left" w:pos="870"/>
      </w:tabs>
      <w:spacing w:beforeLines="0" w:after="0" w:line="240" w:lineRule="auto"/>
      <w:ind w:left="576" w:hanging="576"/>
    </w:pPr>
    <w:rPr>
      <w:rFonts w:ascii="Verdana" w:eastAsia="Verdana" w:hAnsi="Verdana" w:cs="Verdana"/>
      <w:kern w:val="0"/>
      <w:szCs w:val="20"/>
    </w:rPr>
  </w:style>
  <w:style w:type="paragraph" w:customStyle="1" w:styleId="4Y">
    <w:name w:val="列表 4Y"/>
    <w:basedOn w:val="46"/>
    <w:uiPriority w:val="99"/>
    <w:qFormat/>
    <w:pPr>
      <w:tabs>
        <w:tab w:val="left" w:pos="1021"/>
      </w:tabs>
      <w:adjustRightInd/>
      <w:spacing w:before="156" w:afterLines="30" w:line="288" w:lineRule="auto"/>
      <w:ind w:left="1021" w:hanging="454"/>
      <w:textAlignment w:val="auto"/>
    </w:pPr>
    <w:rPr>
      <w:rFonts w:ascii="Courier New" w:hAnsi="Courier New" w:cs="仿宋_GB2312"/>
      <w:color w:val="CCFFFF"/>
      <w:kern w:val="2"/>
    </w:rPr>
  </w:style>
  <w:style w:type="paragraph" w:customStyle="1" w:styleId="5I">
    <w:name w:val="列表 5I"/>
    <w:basedOn w:val="56"/>
    <w:autoRedefine/>
    <w:uiPriority w:val="99"/>
    <w:qFormat/>
    <w:pPr>
      <w:tabs>
        <w:tab w:val="left" w:pos="1134"/>
      </w:tabs>
      <w:adjustRightInd/>
      <w:spacing w:beforeLines="0" w:line="240" w:lineRule="auto"/>
      <w:ind w:left="1134" w:hanging="425"/>
      <w:textAlignment w:val="auto"/>
    </w:pPr>
    <w:rPr>
      <w:rFonts w:ascii="Courier New" w:hAnsi="Courier New" w:cs="仿宋_GB2312"/>
      <w:color w:val="99CCFF"/>
      <w:kern w:val="2"/>
    </w:rPr>
  </w:style>
  <w:style w:type="paragraph" w:customStyle="1" w:styleId="D0">
    <w:name w:val="列表 D"/>
    <w:basedOn w:val="ac"/>
    <w:autoRedefine/>
    <w:uiPriority w:val="99"/>
    <w:qFormat/>
    <w:pPr>
      <w:tabs>
        <w:tab w:val="left" w:pos="425"/>
      </w:tabs>
      <w:spacing w:beforeLines="100" w:afterLines="50" w:line="288" w:lineRule="auto"/>
      <w:ind w:left="425" w:firstLineChars="0" w:hanging="425"/>
    </w:pPr>
    <w:rPr>
      <w:rFonts w:eastAsia="宋体" w:cs="仿宋_GB2312"/>
      <w:b/>
      <w:bCs/>
      <w:color w:val="FF99CC"/>
      <w:sz w:val="24"/>
      <w:szCs w:val="20"/>
    </w:rPr>
  </w:style>
  <w:style w:type="paragraph" w:customStyle="1" w:styleId="2T">
    <w:name w:val="列表 2T"/>
    <w:basedOn w:val="24"/>
    <w:autoRedefine/>
    <w:uiPriority w:val="99"/>
    <w:qFormat/>
    <w:pPr>
      <w:tabs>
        <w:tab w:val="left" w:pos="737"/>
      </w:tabs>
      <w:adjustRightInd/>
      <w:spacing w:beforeLines="0" w:beforeAutospacing="1" w:after="100" w:afterAutospacing="1" w:line="288" w:lineRule="auto"/>
      <w:ind w:left="737" w:hanging="567"/>
      <w:textAlignment w:val="auto"/>
    </w:pPr>
    <w:rPr>
      <w:rFonts w:ascii="Courier New" w:hAnsi="Courier New" w:cs="仿宋_GB2312"/>
      <w:color w:val="FFFF99"/>
      <w:kern w:val="2"/>
    </w:rPr>
  </w:style>
  <w:style w:type="paragraph" w:customStyle="1" w:styleId="afffffffffffffffffffffffffffffff2">
    <w:name w:val="表后空行"/>
    <w:basedOn w:val="a"/>
    <w:next w:val="a"/>
    <w:autoRedefine/>
    <w:uiPriority w:val="99"/>
    <w:qFormat/>
    <w:rPr>
      <w:rFonts w:ascii="仿宋_GB2312" w:hAnsi="仿宋_GB2312" w:cs="仿宋_GB2312"/>
      <w:kern w:val="18"/>
      <w:sz w:val="18"/>
      <w:szCs w:val="24"/>
    </w:rPr>
  </w:style>
  <w:style w:type="paragraph" w:customStyle="1" w:styleId="acee">
    <w:name w:val="acee正文"/>
    <w:basedOn w:val="a"/>
    <w:autoRedefine/>
    <w:uiPriority w:val="99"/>
    <w:qFormat/>
    <w:pPr>
      <w:adjustRightInd w:val="0"/>
      <w:snapToGrid w:val="0"/>
      <w:spacing w:line="480" w:lineRule="exact"/>
      <w:ind w:firstLineChars="200" w:firstLine="640"/>
    </w:pPr>
    <w:rPr>
      <w:rFonts w:ascii="ˎ̥" w:eastAsia="ˎ̥" w:hAnsi="Verdana" w:cs="仿宋_GB2312"/>
      <w:sz w:val="32"/>
      <w:szCs w:val="24"/>
    </w:rPr>
  </w:style>
  <w:style w:type="paragraph" w:customStyle="1" w:styleId="2fffffe">
    <w:name w:val="标题样式2"/>
    <w:basedOn w:val="20"/>
    <w:uiPriority w:val="99"/>
    <w:qFormat/>
    <w:pPr>
      <w:numPr>
        <w:ilvl w:val="0"/>
        <w:numId w:val="0"/>
      </w:numPr>
      <w:tabs>
        <w:tab w:val="left" w:pos="870"/>
      </w:tabs>
      <w:spacing w:beforeLines="0" w:before="0" w:afterLines="0" w:after="0"/>
      <w:ind w:firstLine="510"/>
    </w:pPr>
    <w:rPr>
      <w:rFonts w:ascii="黑体" w:eastAsia="黑体" w:hAnsi="Arial" w:cs="Times New Roman"/>
      <w:szCs w:val="28"/>
    </w:rPr>
  </w:style>
  <w:style w:type="paragraph" w:customStyle="1" w:styleId="12d">
    <w:name w:val="排序（1）（2）"/>
    <w:basedOn w:val="a"/>
    <w:autoRedefine/>
    <w:uiPriority w:val="99"/>
    <w:qFormat/>
    <w:pPr>
      <w:spacing w:line="460" w:lineRule="atLeast"/>
    </w:pPr>
    <w:rPr>
      <w:rFonts w:cs="Times New Roman"/>
      <w:spacing w:val="12"/>
      <w:sz w:val="24"/>
      <w:szCs w:val="24"/>
    </w:rPr>
  </w:style>
  <w:style w:type="paragraph" w:customStyle="1" w:styleId="afffffffffffffffffffffffffffffff3">
    <w:name w:val="尾消息标题"/>
    <w:basedOn w:val="a"/>
    <w:next w:val="af"/>
    <w:autoRedefine/>
    <w:uiPriority w:val="99"/>
    <w:qFormat/>
    <w:pPr>
      <w:widowControl/>
      <w:pBdr>
        <w:bottom w:val="single" w:sz="6" w:space="19" w:color="auto"/>
        <w:between w:val="single" w:sz="6" w:space="19" w:color="auto"/>
      </w:pBdr>
      <w:tabs>
        <w:tab w:val="left" w:pos="1260"/>
        <w:tab w:val="left" w:pos="2940"/>
      </w:tabs>
      <w:spacing w:line="0" w:lineRule="atLeast"/>
      <w:jc w:val="left"/>
    </w:pPr>
    <w:rPr>
      <w:rFonts w:ascii="仿宋_GB2312" w:hAnsi="仿宋_GB2312" w:cs="仿宋_GB2312"/>
      <w:kern w:val="0"/>
      <w:sz w:val="18"/>
      <w:szCs w:val="18"/>
    </w:rPr>
  </w:style>
  <w:style w:type="paragraph" w:customStyle="1" w:styleId="5L">
    <w:name w:val="列表 5L"/>
    <w:basedOn w:val="56"/>
    <w:autoRedefine/>
    <w:uiPriority w:val="99"/>
    <w:qFormat/>
    <w:pPr>
      <w:tabs>
        <w:tab w:val="left" w:pos="1134"/>
      </w:tabs>
      <w:adjustRightInd/>
      <w:spacing w:beforeLines="0" w:line="240" w:lineRule="auto"/>
      <w:ind w:left="1134" w:hanging="425"/>
      <w:textAlignment w:val="auto"/>
    </w:pPr>
    <w:rPr>
      <w:rFonts w:ascii="Courier New" w:hAnsi="Courier New" w:cs="仿宋_GB2312"/>
      <w:color w:val="99CCFF"/>
      <w:kern w:val="2"/>
    </w:rPr>
  </w:style>
  <w:style w:type="paragraph" w:customStyle="1" w:styleId="2R">
    <w:name w:val="列表 2R"/>
    <w:basedOn w:val="24"/>
    <w:autoRedefine/>
    <w:uiPriority w:val="99"/>
    <w:qFormat/>
    <w:pPr>
      <w:tabs>
        <w:tab w:val="left" w:pos="737"/>
      </w:tabs>
      <w:adjustRightInd/>
      <w:spacing w:beforeLines="0" w:beforeAutospacing="1" w:after="100" w:afterAutospacing="1" w:line="288" w:lineRule="auto"/>
      <w:ind w:left="737" w:hanging="567"/>
      <w:textAlignment w:val="auto"/>
    </w:pPr>
    <w:rPr>
      <w:rFonts w:ascii="Courier New" w:hAnsi="Courier New" w:cs="仿宋_GB2312"/>
      <w:color w:val="FFFF99"/>
      <w:kern w:val="2"/>
    </w:rPr>
  </w:style>
  <w:style w:type="paragraph" w:customStyle="1" w:styleId="2ffffff">
    <w:name w:val="普通(网站)2"/>
    <w:basedOn w:val="a"/>
    <w:autoRedefine/>
    <w:uiPriority w:val="99"/>
    <w:qFormat/>
    <w:pPr>
      <w:widowControl/>
      <w:spacing w:before="100" w:beforeAutospacing="1" w:after="100" w:afterAutospacing="1"/>
      <w:jc w:val="left"/>
    </w:pPr>
    <w:rPr>
      <w:rFonts w:ascii="宋体" w:hAnsi="宋体" w:cs="宋体"/>
      <w:kern w:val="0"/>
      <w:sz w:val="24"/>
      <w:szCs w:val="24"/>
    </w:rPr>
  </w:style>
  <w:style w:type="paragraph" w:customStyle="1" w:styleId="3H">
    <w:name w:val="列表 3H"/>
    <w:basedOn w:val="31"/>
    <w:uiPriority w:val="99"/>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4X">
    <w:name w:val="列表 4X"/>
    <w:basedOn w:val="46"/>
    <w:autoRedefine/>
    <w:uiPriority w:val="99"/>
    <w:qFormat/>
    <w:pPr>
      <w:tabs>
        <w:tab w:val="left" w:pos="1021"/>
      </w:tabs>
      <w:adjustRightInd/>
      <w:spacing w:before="156" w:afterLines="30" w:line="288" w:lineRule="auto"/>
      <w:ind w:left="1021" w:hanging="454"/>
      <w:textAlignment w:val="auto"/>
    </w:pPr>
    <w:rPr>
      <w:rFonts w:ascii="Courier New" w:hAnsi="Courier New" w:cs="仿宋_GB2312"/>
      <w:color w:val="CCFFFF"/>
      <w:kern w:val="2"/>
    </w:rPr>
  </w:style>
  <w:style w:type="paragraph" w:customStyle="1" w:styleId="2Q">
    <w:name w:val="列表 2Q"/>
    <w:basedOn w:val="24"/>
    <w:uiPriority w:val="99"/>
    <w:qFormat/>
    <w:pPr>
      <w:tabs>
        <w:tab w:val="left" w:pos="737"/>
      </w:tabs>
      <w:adjustRightInd/>
      <w:spacing w:beforeLines="0" w:beforeAutospacing="1" w:after="100" w:afterAutospacing="1" w:line="288" w:lineRule="auto"/>
      <w:ind w:left="737" w:hanging="567"/>
      <w:textAlignment w:val="auto"/>
    </w:pPr>
    <w:rPr>
      <w:rFonts w:ascii="Courier New" w:hAnsi="Courier New" w:cs="仿宋_GB2312"/>
      <w:color w:val="FFFF99"/>
      <w:kern w:val="2"/>
    </w:rPr>
  </w:style>
  <w:style w:type="paragraph" w:customStyle="1" w:styleId="4U">
    <w:name w:val="列表 4U"/>
    <w:basedOn w:val="46"/>
    <w:uiPriority w:val="99"/>
    <w:qFormat/>
    <w:pPr>
      <w:tabs>
        <w:tab w:val="left" w:pos="1021"/>
      </w:tabs>
      <w:adjustRightInd/>
      <w:spacing w:before="156" w:afterLines="30" w:line="288" w:lineRule="auto"/>
      <w:ind w:left="1021" w:hanging="454"/>
      <w:textAlignment w:val="auto"/>
    </w:pPr>
    <w:rPr>
      <w:rFonts w:ascii="Courier New" w:hAnsi="Courier New" w:cs="仿宋_GB2312"/>
      <w:color w:val="CCFFFF"/>
      <w:kern w:val="2"/>
    </w:rPr>
  </w:style>
  <w:style w:type="paragraph" w:customStyle="1" w:styleId="C0">
    <w:name w:val="列表 C"/>
    <w:basedOn w:val="ac"/>
    <w:autoRedefine/>
    <w:uiPriority w:val="99"/>
    <w:qFormat/>
    <w:pPr>
      <w:tabs>
        <w:tab w:val="left" w:pos="425"/>
      </w:tabs>
      <w:spacing w:beforeLines="100" w:afterLines="50" w:line="288" w:lineRule="auto"/>
      <w:ind w:left="425" w:firstLineChars="0" w:hanging="425"/>
    </w:pPr>
    <w:rPr>
      <w:rFonts w:eastAsia="宋体" w:cs="仿宋_GB2312"/>
      <w:b/>
      <w:bCs/>
      <w:color w:val="FF99CC"/>
      <w:sz w:val="24"/>
      <w:szCs w:val="20"/>
    </w:rPr>
  </w:style>
  <w:style w:type="paragraph" w:customStyle="1" w:styleId="afffffffffffffffffffffffffffffff4">
    <w:name w:val="符号说明"/>
    <w:basedOn w:val="a"/>
    <w:autoRedefine/>
    <w:uiPriority w:val="99"/>
    <w:qFormat/>
    <w:pPr>
      <w:tabs>
        <w:tab w:val="left" w:pos="1260"/>
        <w:tab w:val="left" w:pos="3780"/>
        <w:tab w:val="left" w:pos="4680"/>
      </w:tabs>
      <w:spacing w:line="360" w:lineRule="auto"/>
      <w:ind w:firstLineChars="400" w:firstLine="840"/>
    </w:pPr>
    <w:rPr>
      <w:rFonts w:ascii="仿宋_GB2312" w:hAnsi="仿宋_GB2312" w:cs="仿宋_GB2312"/>
      <w:szCs w:val="21"/>
    </w:rPr>
  </w:style>
  <w:style w:type="paragraph" w:customStyle="1" w:styleId="xl109">
    <w:name w:val="xl109"/>
    <w:basedOn w:val="a"/>
    <w:autoRedefine/>
    <w:uiPriority w:val="99"/>
    <w:qFormat/>
    <w:pPr>
      <w:widowControl/>
      <w:pBdr>
        <w:top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Char2f4">
    <w:name w:val="样式 正文缩进正文缩进 Char + 首行缩进:  2 字符"/>
    <w:basedOn w:val="af2"/>
    <w:autoRedefine/>
    <w:uiPriority w:val="99"/>
    <w:qFormat/>
    <w:pPr>
      <w:adjustRightInd w:val="0"/>
      <w:snapToGrid w:val="0"/>
      <w:ind w:firstLineChars="200" w:firstLine="480"/>
    </w:pPr>
    <w:rPr>
      <w:rFonts w:ascii="仿宋_GB2312" w:eastAsia="Times New Roman" w:hAnsi="仿宋_GB2312" w:cs="仿宋_GB2312"/>
      <w:snapToGrid w:val="0"/>
      <w:kern w:val="0"/>
      <w:szCs w:val="24"/>
    </w:rPr>
  </w:style>
  <w:style w:type="paragraph" w:customStyle="1" w:styleId="m0">
    <w:name w:val="正文（首行缩进两字）m"/>
    <w:basedOn w:val="af2"/>
    <w:autoRedefine/>
    <w:uiPriority w:val="99"/>
    <w:qFormat/>
    <w:pPr>
      <w:spacing w:line="240" w:lineRule="auto"/>
      <w:ind w:firstLine="0"/>
    </w:pPr>
    <w:rPr>
      <w:rFonts w:ascii="Times New Roman" w:eastAsia="Times New Roman"/>
      <w:sz w:val="21"/>
    </w:rPr>
  </w:style>
  <w:style w:type="paragraph" w:customStyle="1" w:styleId="afffffffffffffffffffffffffffffff5">
    <w:name w:val="八级标题"/>
    <w:autoRedefine/>
    <w:uiPriority w:val="99"/>
    <w:qFormat/>
    <w:pPr>
      <w:adjustRightInd w:val="0"/>
      <w:snapToGrid w:val="0"/>
      <w:spacing w:after="60"/>
      <w:jc w:val="center"/>
    </w:pPr>
    <w:rPr>
      <w:rFonts w:ascii="黑体" w:eastAsia="黑体"/>
      <w:snapToGrid w:val="0"/>
      <w:sz w:val="21"/>
    </w:rPr>
  </w:style>
  <w:style w:type="paragraph" w:customStyle="1" w:styleId="2K">
    <w:name w:val="列表 2K"/>
    <w:basedOn w:val="24"/>
    <w:uiPriority w:val="99"/>
    <w:qFormat/>
    <w:pPr>
      <w:tabs>
        <w:tab w:val="left" w:pos="737"/>
      </w:tabs>
      <w:adjustRightInd/>
      <w:spacing w:beforeLines="0" w:beforeAutospacing="1" w:after="100" w:afterAutospacing="1" w:line="288" w:lineRule="auto"/>
      <w:ind w:left="737" w:hanging="567"/>
      <w:textAlignment w:val="auto"/>
    </w:pPr>
    <w:rPr>
      <w:rFonts w:ascii="Courier New" w:hAnsi="Courier New" w:cs="仿宋_GB2312"/>
      <w:color w:val="FFFF99"/>
      <w:kern w:val="2"/>
    </w:rPr>
  </w:style>
  <w:style w:type="paragraph" w:customStyle="1" w:styleId="1fffffff4">
    <w:name w:val="批注主题1"/>
    <w:basedOn w:val="afb"/>
    <w:next w:val="afb"/>
    <w:autoRedefine/>
    <w:uiPriority w:val="99"/>
    <w:qFormat/>
    <w:pPr>
      <w:spacing w:line="360" w:lineRule="auto"/>
      <w:ind w:firstLineChars="200" w:firstLine="200"/>
    </w:pPr>
    <w:rPr>
      <w:b/>
      <w:bCs/>
      <w:kern w:val="0"/>
      <w:sz w:val="24"/>
      <w:szCs w:val="20"/>
    </w:rPr>
  </w:style>
  <w:style w:type="paragraph" w:customStyle="1" w:styleId="2112Char1111CharChar11Cha1">
    <w:name w:val="样式 标题 2节标题1.1标题 2节Char节标题 1.1节标题 1.1 Char Char节标题 1.1 Cha...1"/>
    <w:basedOn w:val="20"/>
    <w:uiPriority w:val="99"/>
    <w:qFormat/>
    <w:pPr>
      <w:keepLines w:val="0"/>
      <w:numPr>
        <w:ilvl w:val="0"/>
        <w:numId w:val="0"/>
      </w:numPr>
      <w:tabs>
        <w:tab w:val="left" w:pos="870"/>
      </w:tabs>
      <w:spacing w:beforeLines="0" w:before="0" w:afterLines="0" w:after="0"/>
      <w:ind w:firstLine="510"/>
    </w:pPr>
    <w:rPr>
      <w:rFonts w:ascii="Calibri" w:eastAsia="楷体" w:hAnsi="Calibri" w:cs="宋体"/>
      <w:color w:val="0000FF"/>
      <w:szCs w:val="20"/>
    </w:rPr>
  </w:style>
  <w:style w:type="paragraph" w:customStyle="1" w:styleId="reader-word-layerreader-word-s1-19">
    <w:name w:val="reader-word-layer reader-word-s1-19"/>
    <w:basedOn w:val="a"/>
    <w:autoRedefine/>
    <w:uiPriority w:val="99"/>
    <w:qFormat/>
    <w:pPr>
      <w:widowControl/>
      <w:spacing w:before="100" w:beforeAutospacing="1" w:after="100" w:afterAutospacing="1"/>
      <w:jc w:val="left"/>
    </w:pPr>
    <w:rPr>
      <w:rFonts w:ascii="宋体" w:hAnsi="宋体" w:cs="宋体"/>
      <w:kern w:val="0"/>
      <w:sz w:val="24"/>
      <w:szCs w:val="24"/>
    </w:rPr>
  </w:style>
  <w:style w:type="paragraph" w:customStyle="1" w:styleId="1fffffff5">
    <w:name w:val="样式 标题 1 + 自动设置"/>
    <w:basedOn w:val="1"/>
    <w:uiPriority w:val="99"/>
    <w:qFormat/>
    <w:pPr>
      <w:numPr>
        <w:numId w:val="0"/>
      </w:numPr>
      <w:tabs>
        <w:tab w:val="left" w:pos="700"/>
        <w:tab w:val="left" w:pos="870"/>
      </w:tabs>
      <w:autoSpaceDE w:val="0"/>
      <w:autoSpaceDN w:val="0"/>
      <w:adjustRightInd w:val="0"/>
      <w:ind w:left="431" w:hanging="431"/>
    </w:pPr>
    <w:rPr>
      <w:rFonts w:cs="Times New Roman"/>
      <w:sz w:val="28"/>
      <w:szCs w:val="20"/>
    </w:rPr>
  </w:style>
  <w:style w:type="paragraph" w:customStyle="1" w:styleId="afffffffffffffffffffffffffffffff6">
    <w:name w:val="正文（藏式）"/>
    <w:basedOn w:val="a"/>
    <w:autoRedefine/>
    <w:uiPriority w:val="99"/>
    <w:qFormat/>
    <w:pPr>
      <w:adjustRightInd w:val="0"/>
      <w:snapToGrid w:val="0"/>
    </w:pPr>
    <w:rPr>
      <w:rFonts w:cs="Times New Roman"/>
      <w:snapToGrid w:val="0"/>
      <w:sz w:val="24"/>
      <w:szCs w:val="21"/>
    </w:rPr>
  </w:style>
  <w:style w:type="paragraph" w:customStyle="1" w:styleId="InTableII">
    <w:name w:val="In Table (II)"/>
    <w:basedOn w:val="InTable"/>
    <w:autoRedefine/>
    <w:uiPriority w:val="99"/>
    <w:qFormat/>
  </w:style>
  <w:style w:type="paragraph" w:customStyle="1" w:styleId="1fffffff6">
    <w:name w:val="一级目录1"/>
    <w:basedOn w:val="a"/>
    <w:uiPriority w:val="99"/>
    <w:qFormat/>
    <w:pPr>
      <w:keepNext/>
      <w:keepLines/>
      <w:adjustRightInd w:val="0"/>
      <w:snapToGrid w:val="0"/>
      <w:spacing w:line="360" w:lineRule="auto"/>
      <w:jc w:val="left"/>
      <w:outlineLvl w:val="2"/>
    </w:pPr>
    <w:rPr>
      <w:rFonts w:hAnsi="宋体" w:cs="Times New Roman"/>
      <w:b/>
      <w:color w:val="0000FF"/>
      <w:sz w:val="30"/>
      <w:szCs w:val="30"/>
    </w:rPr>
  </w:style>
  <w:style w:type="paragraph" w:customStyle="1" w:styleId="Textecourant">
    <w:name w:val="!Texte courant"/>
    <w:uiPriority w:val="99"/>
    <w:qFormat/>
    <w:pPr>
      <w:spacing w:before="120" w:line="280" w:lineRule="atLeast"/>
      <w:jc w:val="both"/>
    </w:pPr>
    <w:rPr>
      <w:rFonts w:ascii="仿宋_GB2312" w:hAnsi="仿宋_GB2312" w:cs="仿宋_GB2312"/>
      <w:sz w:val="24"/>
      <w:lang w:val="fr-FR" w:eastAsia="en-US"/>
    </w:rPr>
  </w:style>
  <w:style w:type="paragraph" w:customStyle="1" w:styleId="font15">
    <w:name w:val="font15"/>
    <w:basedOn w:val="a"/>
    <w:autoRedefine/>
    <w:uiPriority w:val="99"/>
    <w:qFormat/>
    <w:pPr>
      <w:widowControl/>
      <w:spacing w:before="100" w:beforeAutospacing="1" w:after="100" w:afterAutospacing="1"/>
      <w:jc w:val="left"/>
    </w:pPr>
    <w:rPr>
      <w:rFonts w:ascii="仿宋_GB2312" w:eastAsia="華康中楷體" w:hAnsi="仿宋_GB2312" w:cs="仿宋_GB2312"/>
      <w:b/>
      <w:bCs/>
      <w:kern w:val="0"/>
      <w:sz w:val="16"/>
      <w:szCs w:val="16"/>
    </w:rPr>
  </w:style>
  <w:style w:type="paragraph" w:customStyle="1" w:styleId="afffffffffffffffffffffffffffffff7">
    <w:name w:val="九级标题"/>
    <w:basedOn w:val="9"/>
    <w:autoRedefine/>
    <w:uiPriority w:val="99"/>
    <w:qFormat/>
    <w:pPr>
      <w:tabs>
        <w:tab w:val="clear" w:pos="1584"/>
        <w:tab w:val="left" w:pos="3780"/>
      </w:tabs>
      <w:adjustRightInd w:val="0"/>
      <w:spacing w:before="120" w:after="0" w:line="240" w:lineRule="auto"/>
      <w:ind w:left="0" w:firstLine="482"/>
    </w:pPr>
    <w:rPr>
      <w:snapToGrid w:val="0"/>
      <w:kern w:val="2"/>
      <w:sz w:val="28"/>
      <w:szCs w:val="28"/>
    </w:rPr>
  </w:style>
  <w:style w:type="paragraph" w:customStyle="1" w:styleId="33Char3CharChar0505">
    <w:name w:val="样式 标题 3标题 3 Char小标题小节标题标题 3 Char Char + 段前: 0.5 行 段后: 0.5 行"/>
    <w:basedOn w:val="3"/>
    <w:autoRedefine/>
    <w:uiPriority w:val="99"/>
    <w:qFormat/>
    <w:pPr>
      <w:numPr>
        <w:ilvl w:val="0"/>
        <w:numId w:val="0"/>
      </w:numPr>
      <w:tabs>
        <w:tab w:val="left" w:pos="720"/>
        <w:tab w:val="left" w:pos="870"/>
        <w:tab w:val="left" w:pos="1680"/>
      </w:tabs>
      <w:adjustRightInd/>
      <w:snapToGrid/>
      <w:spacing w:beforeLines="50" w:afterLines="50"/>
      <w:ind w:left="1680" w:hanging="420"/>
      <w:jc w:val="both"/>
    </w:pPr>
    <w:rPr>
      <w:rFonts w:eastAsia="黑体" w:cs="宋体"/>
      <w:b w:val="0"/>
      <w:bCs w:val="0"/>
      <w:sz w:val="28"/>
      <w:szCs w:val="28"/>
    </w:rPr>
  </w:style>
  <w:style w:type="paragraph" w:customStyle="1" w:styleId="TOC111">
    <w:name w:val="TOC 标题111"/>
    <w:basedOn w:val="1"/>
    <w:next w:val="a"/>
    <w:uiPriority w:val="99"/>
    <w:qFormat/>
    <w:pPr>
      <w:widowControl/>
      <w:numPr>
        <w:numId w:val="0"/>
      </w:numPr>
      <w:tabs>
        <w:tab w:val="left" w:pos="870"/>
      </w:tabs>
      <w:spacing w:line="276" w:lineRule="auto"/>
      <w:jc w:val="left"/>
      <w:outlineLvl w:val="9"/>
    </w:pPr>
    <w:rPr>
      <w:rFonts w:ascii="Cambria" w:hAnsi="Cambria" w:cs="Times New Roman"/>
      <w:color w:val="365F91"/>
      <w:kern w:val="0"/>
      <w:sz w:val="28"/>
      <w:szCs w:val="28"/>
    </w:rPr>
  </w:style>
  <w:style w:type="paragraph" w:customStyle="1" w:styleId="xl81">
    <w:name w:val="xl81"/>
    <w:basedOn w:val="a"/>
    <w:autoRedefine/>
    <w:uiPriority w:val="99"/>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4W">
    <w:name w:val="列表 4W"/>
    <w:basedOn w:val="46"/>
    <w:autoRedefine/>
    <w:uiPriority w:val="99"/>
    <w:qFormat/>
    <w:pPr>
      <w:tabs>
        <w:tab w:val="left" w:pos="1021"/>
      </w:tabs>
      <w:adjustRightInd/>
      <w:spacing w:before="156" w:afterLines="30" w:line="288" w:lineRule="auto"/>
      <w:ind w:left="1021" w:hanging="454"/>
      <w:textAlignment w:val="auto"/>
    </w:pPr>
    <w:rPr>
      <w:rFonts w:ascii="Courier New" w:hAnsi="Courier New" w:cs="仿宋_GB2312"/>
      <w:color w:val="CCFFFF"/>
      <w:kern w:val="2"/>
    </w:rPr>
  </w:style>
  <w:style w:type="paragraph" w:customStyle="1" w:styleId="1fffffff7">
    <w:name w:val="目录1（西藏格式）"/>
    <w:basedOn w:val="15"/>
    <w:uiPriority w:val="99"/>
    <w:qFormat/>
    <w:pPr>
      <w:tabs>
        <w:tab w:val="right" w:leader="dot" w:pos="8280"/>
      </w:tabs>
      <w:adjustRightInd w:val="0"/>
      <w:snapToGrid w:val="0"/>
      <w:ind w:left="731" w:hanging="731"/>
    </w:pPr>
    <w:rPr>
      <w:rFonts w:eastAsia="黑体" w:cs="Calibri"/>
      <w:bCs/>
      <w:caps/>
      <w:snapToGrid w:val="0"/>
      <w:szCs w:val="20"/>
    </w:rPr>
  </w:style>
  <w:style w:type="paragraph" w:customStyle="1" w:styleId="2ffffff0">
    <w:name w:val="文档结构图2"/>
    <w:basedOn w:val="a"/>
    <w:uiPriority w:val="99"/>
    <w:qFormat/>
    <w:pPr>
      <w:spacing w:line="360" w:lineRule="auto"/>
      <w:ind w:firstLineChars="200" w:firstLine="200"/>
    </w:pPr>
    <w:rPr>
      <w:rFonts w:ascii="宋体" w:hAnsi="Calibri" w:cs="Times New Roman"/>
      <w:kern w:val="0"/>
      <w:sz w:val="18"/>
      <w:szCs w:val="18"/>
    </w:rPr>
  </w:style>
  <w:style w:type="paragraph" w:customStyle="1" w:styleId="5C0">
    <w:name w:val="列表 5C"/>
    <w:basedOn w:val="56"/>
    <w:autoRedefine/>
    <w:uiPriority w:val="99"/>
    <w:qFormat/>
    <w:pPr>
      <w:tabs>
        <w:tab w:val="left" w:pos="1134"/>
      </w:tabs>
      <w:adjustRightInd/>
      <w:spacing w:beforeLines="0" w:line="240" w:lineRule="auto"/>
      <w:ind w:left="1134" w:hanging="425"/>
      <w:textAlignment w:val="auto"/>
    </w:pPr>
    <w:rPr>
      <w:rFonts w:ascii="Courier New" w:hAnsi="Courier New" w:cs="仿宋_GB2312"/>
      <w:color w:val="99CCFF"/>
      <w:kern w:val="2"/>
    </w:rPr>
  </w:style>
  <w:style w:type="paragraph" w:customStyle="1" w:styleId="3G">
    <w:name w:val="列表 3G"/>
    <w:basedOn w:val="31"/>
    <w:autoRedefine/>
    <w:uiPriority w:val="99"/>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afffffffffffffffffffffffffffffff8">
    <w:name w:val="七级标题"/>
    <w:autoRedefine/>
    <w:uiPriority w:val="99"/>
    <w:qFormat/>
    <w:pPr>
      <w:adjustRightInd w:val="0"/>
      <w:snapToGrid w:val="0"/>
      <w:spacing w:before="60"/>
      <w:jc w:val="center"/>
    </w:pPr>
    <w:rPr>
      <w:rFonts w:ascii="黑体" w:eastAsia="黑体"/>
      <w:snapToGrid w:val="0"/>
    </w:rPr>
  </w:style>
  <w:style w:type="paragraph" w:customStyle="1" w:styleId="2ffffff1">
    <w:name w:val="正文首行缩进2"/>
    <w:basedOn w:val="af"/>
    <w:autoRedefine/>
    <w:uiPriority w:val="99"/>
    <w:qFormat/>
    <w:pPr>
      <w:kinsoku/>
      <w:spacing w:after="0" w:line="312" w:lineRule="auto"/>
      <w:ind w:firstLine="567"/>
      <w:jc w:val="both"/>
    </w:pPr>
    <w:rPr>
      <w:rFonts w:ascii="仿宋_GB2312" w:hAnsi="仿宋_GB2312" w:cs="仿宋_GB2312"/>
      <w:kern w:val="0"/>
      <w:sz w:val="28"/>
    </w:rPr>
  </w:style>
  <w:style w:type="paragraph" w:customStyle="1" w:styleId="afffffffffffffffffffffffffffffff9">
    <w:name w:val="样式（二级目录）"/>
    <w:basedOn w:val="3"/>
    <w:uiPriority w:val="99"/>
    <w:qFormat/>
    <w:pPr>
      <w:numPr>
        <w:ilvl w:val="0"/>
        <w:numId w:val="0"/>
      </w:numPr>
      <w:tabs>
        <w:tab w:val="left" w:pos="870"/>
      </w:tabs>
      <w:ind w:firstLine="510"/>
      <w:jc w:val="both"/>
    </w:pPr>
    <w:rPr>
      <w:rFonts w:eastAsia="Times New Roman" w:hAnsi="宋体" w:cs="Times New Roman"/>
      <w:bCs w:val="0"/>
      <w:color w:val="0000FF"/>
    </w:rPr>
  </w:style>
  <w:style w:type="paragraph" w:customStyle="1" w:styleId="8221">
    <w:name w:val="8.2.2.1"/>
    <w:basedOn w:val="a"/>
    <w:uiPriority w:val="99"/>
    <w:qFormat/>
    <w:pPr>
      <w:tabs>
        <w:tab w:val="left" w:pos="0"/>
      </w:tabs>
      <w:spacing w:line="312" w:lineRule="auto"/>
    </w:pPr>
    <w:rPr>
      <w:rFonts w:cs="Times New Roman"/>
      <w:sz w:val="24"/>
      <w:szCs w:val="20"/>
    </w:rPr>
  </w:style>
  <w:style w:type="paragraph" w:customStyle="1" w:styleId="afffffffffffffffffffffffffffffffa">
    <w:name w:val="表内式样"/>
    <w:uiPriority w:val="99"/>
    <w:qFormat/>
    <w:pPr>
      <w:widowControl w:val="0"/>
      <w:jc w:val="center"/>
    </w:pPr>
    <w:rPr>
      <w:rFonts w:ascii="仿宋_GB2312" w:hAnsi="仿宋_GB2312" w:cs="仿宋_GB2312"/>
      <w:sz w:val="18"/>
      <w:szCs w:val="24"/>
    </w:rPr>
  </w:style>
  <w:style w:type="paragraph" w:customStyle="1" w:styleId="afffffffffffffffffffffffffffffffb">
    <w:name w:val="样式（三级目录）"/>
    <w:basedOn w:val="a"/>
    <w:uiPriority w:val="99"/>
    <w:qFormat/>
    <w:pPr>
      <w:keepNext/>
      <w:keepLines/>
      <w:autoSpaceDE w:val="0"/>
      <w:autoSpaceDN w:val="0"/>
      <w:adjustRightInd w:val="0"/>
      <w:snapToGrid w:val="0"/>
      <w:spacing w:beforeLines="50" w:line="360" w:lineRule="auto"/>
      <w:outlineLvl w:val="0"/>
    </w:pPr>
    <w:rPr>
      <w:rFonts w:eastAsia="Times New Roman" w:cs="Times New Roman"/>
      <w:b/>
      <w:bCs/>
      <w:color w:val="0000FF"/>
      <w:sz w:val="24"/>
      <w:szCs w:val="24"/>
    </w:rPr>
  </w:style>
  <w:style w:type="paragraph" w:customStyle="1" w:styleId="2150">
    <w:name w:val="样式 报告表正文 + 首行缩进:  2 字符 行距: 1.5 倍行距"/>
    <w:basedOn w:val="affffffe"/>
    <w:uiPriority w:val="99"/>
    <w:qFormat/>
    <w:pPr>
      <w:spacing w:line="360" w:lineRule="auto"/>
      <w:ind w:firstLineChars="200" w:firstLine="480"/>
      <w:jc w:val="both"/>
      <w:textAlignment w:val="auto"/>
    </w:pPr>
    <w:rPr>
      <w:rFonts w:eastAsia="Times New Roman" w:cs="宋体"/>
      <w:kern w:val="0"/>
      <w:szCs w:val="24"/>
    </w:rPr>
  </w:style>
  <w:style w:type="paragraph" w:customStyle="1" w:styleId="xl91">
    <w:name w:val="xl91"/>
    <w:basedOn w:val="a"/>
    <w:autoRedefine/>
    <w:uiPriority w:val="99"/>
    <w:qFormat/>
    <w:pPr>
      <w:widowControl/>
      <w:pBdr>
        <w:top w:val="single" w:sz="4" w:space="0" w:color="auto"/>
        <w:bottom w:val="single" w:sz="8" w:space="0" w:color="auto"/>
        <w:right w:val="single" w:sz="4" w:space="0" w:color="auto"/>
      </w:pBdr>
      <w:spacing w:before="100" w:beforeAutospacing="1" w:after="100" w:afterAutospacing="1"/>
      <w:jc w:val="left"/>
    </w:pPr>
    <w:rPr>
      <w:rFonts w:ascii="仿宋_GB2312" w:eastAsia="華康中楷體" w:hAnsi="仿宋_GB2312" w:cs="仿宋_GB2312"/>
      <w:kern w:val="0"/>
      <w:sz w:val="16"/>
      <w:szCs w:val="16"/>
    </w:rPr>
  </w:style>
  <w:style w:type="paragraph" w:customStyle="1" w:styleId="xl102">
    <w:name w:val="xl102"/>
    <w:basedOn w:val="a"/>
    <w:autoRedefine/>
    <w:uiPriority w:val="99"/>
    <w:qFormat/>
    <w:pPr>
      <w:widowControl/>
      <w:pBdr>
        <w:top w:val="single" w:sz="4" w:space="0" w:color="auto"/>
        <w:bottom w:val="single" w:sz="4" w:space="0" w:color="auto"/>
        <w:right w:val="single" w:sz="8" w:space="0" w:color="auto"/>
      </w:pBdr>
      <w:spacing w:before="100" w:beforeAutospacing="1" w:after="100" w:afterAutospacing="1"/>
      <w:jc w:val="left"/>
    </w:pPr>
    <w:rPr>
      <w:rFonts w:ascii="華康中楷體" w:eastAsia="華康中楷體" w:hAnsi="華康中楷體" w:cs="華康中楷體"/>
      <w:kern w:val="0"/>
      <w:sz w:val="24"/>
      <w:szCs w:val="24"/>
    </w:rPr>
  </w:style>
  <w:style w:type="paragraph" w:customStyle="1" w:styleId="E">
    <w:name w:val="列表 E"/>
    <w:basedOn w:val="ac"/>
    <w:autoRedefine/>
    <w:uiPriority w:val="99"/>
    <w:qFormat/>
    <w:pPr>
      <w:tabs>
        <w:tab w:val="left" w:pos="425"/>
      </w:tabs>
      <w:spacing w:beforeLines="100" w:afterLines="50" w:line="288" w:lineRule="auto"/>
      <w:ind w:left="425" w:firstLineChars="0" w:hanging="425"/>
    </w:pPr>
    <w:rPr>
      <w:rFonts w:eastAsia="宋体" w:cs="仿宋_GB2312"/>
      <w:b/>
      <w:bCs/>
      <w:color w:val="FF99CC"/>
      <w:sz w:val="24"/>
      <w:szCs w:val="20"/>
    </w:rPr>
  </w:style>
  <w:style w:type="paragraph" w:customStyle="1" w:styleId="1415122">
    <w:name w:val="样式 样式 样式 方正宋三简体 14 磅 行距: 1.5 倍行距1 + 首行缩进:  2 字符 + 首行缩进:  2 字符"/>
    <w:basedOn w:val="a"/>
    <w:autoRedefine/>
    <w:uiPriority w:val="99"/>
    <w:qFormat/>
    <w:pPr>
      <w:ind w:firstLineChars="200" w:firstLine="574"/>
    </w:pPr>
    <w:rPr>
      <w:rFonts w:ascii="Verdana" w:hAnsi="Calibri" w:cs="仿宋_GB2312"/>
      <w:sz w:val="27"/>
      <w:szCs w:val="20"/>
    </w:rPr>
  </w:style>
  <w:style w:type="paragraph" w:customStyle="1" w:styleId="1fffffff8">
    <w:name w:val="无间隔1"/>
    <w:link w:val="NoSpacingChar"/>
    <w:autoRedefine/>
    <w:qFormat/>
    <w:pPr>
      <w:widowControl w:val="0"/>
      <w:ind w:firstLineChars="200" w:firstLine="200"/>
      <w:jc w:val="both"/>
    </w:pPr>
    <w:rPr>
      <w:rFonts w:ascii="Calibri" w:hAnsi="Calibri"/>
      <w:kern w:val="2"/>
      <w:sz w:val="24"/>
      <w:szCs w:val="22"/>
    </w:rPr>
  </w:style>
  <w:style w:type="character" w:customStyle="1" w:styleId="NoSpacingChar">
    <w:name w:val="No Spacing Char"/>
    <w:link w:val="1fffffff8"/>
    <w:qFormat/>
    <w:locked/>
    <w:rPr>
      <w:rFonts w:ascii="Calibri" w:hAnsi="Calibri"/>
      <w:kern w:val="2"/>
      <w:sz w:val="24"/>
      <w:szCs w:val="22"/>
    </w:rPr>
  </w:style>
  <w:style w:type="paragraph" w:customStyle="1" w:styleId="afffffffffffffffffffffffffffffffc">
    <w:name w:val="泸县焦化一级标题"/>
    <w:basedOn w:val="a"/>
    <w:uiPriority w:val="99"/>
    <w:qFormat/>
    <w:pPr>
      <w:keepNext/>
      <w:keepLines/>
      <w:adjustRightInd w:val="0"/>
      <w:snapToGrid w:val="0"/>
      <w:spacing w:line="720" w:lineRule="auto"/>
      <w:outlineLvl w:val="0"/>
    </w:pPr>
    <w:rPr>
      <w:rFonts w:ascii="仿宋_GB2312" w:hAnsi="仿宋_GB2312" w:cs="仿宋_GB2312"/>
      <w:b/>
      <w:bCs/>
      <w:sz w:val="30"/>
      <w:szCs w:val="30"/>
    </w:rPr>
  </w:style>
  <w:style w:type="paragraph" w:customStyle="1" w:styleId="afffffffffffffffffffffffffffffffd">
    <w:name w:val="表 头"/>
    <w:basedOn w:val="a"/>
    <w:uiPriority w:val="99"/>
    <w:qFormat/>
    <w:pPr>
      <w:adjustRightInd w:val="0"/>
      <w:spacing w:before="120" w:after="120" w:line="360" w:lineRule="atLeast"/>
      <w:jc w:val="center"/>
    </w:pPr>
    <w:rPr>
      <w:rFonts w:eastAsia="黑体" w:cs="Times New Roman"/>
      <w:spacing w:val="10"/>
      <w:kern w:val="0"/>
      <w:sz w:val="24"/>
      <w:szCs w:val="20"/>
    </w:rPr>
  </w:style>
  <w:style w:type="paragraph" w:customStyle="1" w:styleId="Char2CharCharCharCharCharChar1CharCharCharCharCharChar1">
    <w:name w:val="Char2 Char Char Char Char Char Char1 Char Char Char Char Char Char1"/>
    <w:basedOn w:val="a"/>
    <w:autoRedefine/>
    <w:uiPriority w:val="99"/>
    <w:qFormat/>
    <w:pPr>
      <w:spacing w:line="360" w:lineRule="auto"/>
      <w:ind w:firstLineChars="200" w:firstLine="200"/>
    </w:pPr>
    <w:rPr>
      <w:rFonts w:ascii="Verdana" w:hAnsi="Verdana" w:cs="Verdana"/>
      <w:sz w:val="24"/>
      <w:szCs w:val="24"/>
    </w:rPr>
  </w:style>
  <w:style w:type="paragraph" w:customStyle="1" w:styleId="Charffffff7">
    <w:name w:val="热电厂正文 Char"/>
    <w:basedOn w:val="a"/>
    <w:autoRedefine/>
    <w:uiPriority w:val="99"/>
    <w:qFormat/>
    <w:pPr>
      <w:spacing w:line="440" w:lineRule="exact"/>
      <w:ind w:firstLineChars="200" w:firstLine="480"/>
    </w:pPr>
    <w:rPr>
      <w:rFonts w:cs="Times New Roman"/>
      <w:sz w:val="24"/>
      <w:szCs w:val="24"/>
    </w:rPr>
  </w:style>
  <w:style w:type="paragraph" w:customStyle="1" w:styleId="xl94">
    <w:name w:val="xl94"/>
    <w:basedOn w:val="a"/>
    <w:autoRedefine/>
    <w:uiPriority w:val="99"/>
    <w:qFormat/>
    <w:pPr>
      <w:widowControl/>
      <w:pBdr>
        <w:bottom w:val="single" w:sz="4" w:space="0" w:color="auto"/>
      </w:pBdr>
      <w:spacing w:before="100" w:beforeAutospacing="1" w:after="100" w:afterAutospacing="1"/>
      <w:jc w:val="center"/>
      <w:textAlignment w:val="center"/>
    </w:pPr>
    <w:rPr>
      <w:rFonts w:ascii="宋体" w:hAnsi="宋体" w:cs="Arial Unicode MS" w:hint="eastAsia"/>
      <w:b/>
      <w:bCs/>
      <w:color w:val="FF0000"/>
      <w:kern w:val="0"/>
      <w:szCs w:val="21"/>
      <w:lang w:eastAsia="zh-TW"/>
    </w:rPr>
  </w:style>
  <w:style w:type="paragraph" w:customStyle="1" w:styleId="2A0">
    <w:name w:val="列表 2A"/>
    <w:basedOn w:val="24"/>
    <w:autoRedefine/>
    <w:uiPriority w:val="99"/>
    <w:qFormat/>
    <w:pPr>
      <w:tabs>
        <w:tab w:val="left" w:pos="1335"/>
      </w:tabs>
      <w:adjustRightInd/>
      <w:spacing w:beforeLines="0" w:beforeAutospacing="1" w:after="100" w:afterAutospacing="1" w:line="288" w:lineRule="auto"/>
      <w:ind w:left="1335" w:hanging="705"/>
      <w:textAlignment w:val="auto"/>
    </w:pPr>
    <w:rPr>
      <w:rFonts w:ascii="Courier New" w:hAnsi="Courier New" w:cs="仿宋_GB2312"/>
      <w:color w:val="FFFF99"/>
      <w:kern w:val="2"/>
    </w:rPr>
  </w:style>
  <w:style w:type="paragraph" w:customStyle="1" w:styleId="afffffffffffffffffffffffffffffffe">
    <w:name w:val="样式 题注 + 五号 加粗 居中"/>
    <w:basedOn w:val="a"/>
    <w:autoRedefine/>
    <w:uiPriority w:val="99"/>
    <w:qFormat/>
    <w:pPr>
      <w:spacing w:beforeLines="20" w:afterLines="20" w:line="360" w:lineRule="auto"/>
      <w:jc w:val="center"/>
    </w:pPr>
    <w:rPr>
      <w:rFonts w:ascii="Courier New" w:eastAsia="楷体" w:hAnsi="Courier New" w:cs="仿宋_GB2312"/>
      <w:b/>
      <w:bCs/>
      <w:sz w:val="24"/>
      <w:szCs w:val="21"/>
    </w:rPr>
  </w:style>
  <w:style w:type="paragraph" w:customStyle="1" w:styleId="3N">
    <w:name w:val="列表 3N"/>
    <w:basedOn w:val="31"/>
    <w:autoRedefine/>
    <w:uiPriority w:val="99"/>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affffffffffffffffffffffffffffffff">
    <w:name w:val="正文首行缩进(西藏样式)"/>
    <w:basedOn w:val="a"/>
    <w:autoRedefine/>
    <w:uiPriority w:val="99"/>
    <w:qFormat/>
    <w:pPr>
      <w:adjustRightInd w:val="0"/>
      <w:snapToGrid w:val="0"/>
      <w:spacing w:line="400" w:lineRule="exact"/>
      <w:ind w:firstLine="482"/>
    </w:pPr>
    <w:rPr>
      <w:rFonts w:ascii="宋体" w:cs="Times New Roman"/>
      <w:snapToGrid w:val="0"/>
      <w:kern w:val="0"/>
      <w:sz w:val="24"/>
      <w:szCs w:val="20"/>
    </w:rPr>
  </w:style>
  <w:style w:type="paragraph" w:customStyle="1" w:styleId="CharCharChar1CharCharCharCharChar">
    <w:name w:val="正文文本最新 Char Char Char1 Char Char Char Char Char"/>
    <w:autoRedefine/>
    <w:uiPriority w:val="99"/>
    <w:qFormat/>
    <w:pPr>
      <w:spacing w:line="360" w:lineRule="auto"/>
      <w:ind w:firstLineChars="200" w:firstLine="200"/>
      <w:jc w:val="both"/>
    </w:pPr>
    <w:rPr>
      <w:rFonts w:ascii="仿宋_GB2312" w:hAnsi="仿宋_GB2312" w:cs="仿宋_GB2312"/>
      <w:bCs/>
      <w:kern w:val="2"/>
      <w:sz w:val="28"/>
      <w:szCs w:val="24"/>
    </w:rPr>
  </w:style>
  <w:style w:type="paragraph" w:customStyle="1" w:styleId="affffffffffffffffffffffffffffffff0">
    <w:name w:val="表格文字小四"/>
    <w:basedOn w:val="a"/>
    <w:next w:val="af"/>
    <w:uiPriority w:val="99"/>
    <w:qFormat/>
    <w:pPr>
      <w:adjustRightInd w:val="0"/>
      <w:snapToGrid w:val="0"/>
      <w:ind w:left="-593"/>
      <w:jc w:val="center"/>
    </w:pPr>
    <w:rPr>
      <w:rFonts w:ascii="Verdana" w:hAnsi="Verdana" w:cs="仿宋_GB2312"/>
      <w:sz w:val="24"/>
      <w:szCs w:val="24"/>
    </w:rPr>
  </w:style>
  <w:style w:type="paragraph" w:customStyle="1" w:styleId="affffffffffffffffffffffffffffffff1">
    <w:name w:val="正文文字(西藏样式)"/>
    <w:basedOn w:val="a"/>
    <w:autoRedefine/>
    <w:uiPriority w:val="99"/>
    <w:qFormat/>
    <w:pPr>
      <w:adjustRightInd w:val="0"/>
      <w:snapToGrid w:val="0"/>
      <w:ind w:left="-57" w:right="-57"/>
      <w:jc w:val="center"/>
    </w:pPr>
    <w:rPr>
      <w:rFonts w:ascii="宋体" w:cs="Times New Roman"/>
      <w:snapToGrid w:val="0"/>
      <w:kern w:val="0"/>
      <w:sz w:val="18"/>
      <w:szCs w:val="20"/>
    </w:rPr>
  </w:style>
  <w:style w:type="paragraph" w:customStyle="1" w:styleId="L0">
    <w:name w:val="列表 L"/>
    <w:basedOn w:val="ac"/>
    <w:autoRedefine/>
    <w:uiPriority w:val="99"/>
    <w:qFormat/>
    <w:pPr>
      <w:tabs>
        <w:tab w:val="left" w:pos="425"/>
      </w:tabs>
      <w:spacing w:beforeLines="100" w:afterLines="50" w:line="288" w:lineRule="auto"/>
      <w:ind w:left="425" w:firstLineChars="0" w:hanging="425"/>
    </w:pPr>
    <w:rPr>
      <w:rFonts w:eastAsia="宋体" w:cs="仿宋_GB2312"/>
      <w:b/>
      <w:bCs/>
      <w:color w:val="FF99CC"/>
      <w:sz w:val="24"/>
      <w:szCs w:val="20"/>
    </w:rPr>
  </w:style>
  <w:style w:type="paragraph" w:customStyle="1" w:styleId="2112">
    <w:name w:val="正文文本缩进 211"/>
    <w:basedOn w:val="a"/>
    <w:uiPriority w:val="99"/>
    <w:qFormat/>
    <w:pPr>
      <w:adjustRightInd w:val="0"/>
      <w:spacing w:line="360" w:lineRule="auto"/>
      <w:ind w:firstLine="510"/>
      <w:textAlignment w:val="baseline"/>
    </w:pPr>
    <w:rPr>
      <w:rFonts w:ascii="Verdana" w:hAnsi="Verdana" w:cs="仿宋_GB2312"/>
      <w:sz w:val="28"/>
      <w:szCs w:val="20"/>
    </w:rPr>
  </w:style>
  <w:style w:type="paragraph" w:customStyle="1" w:styleId="2X">
    <w:name w:val="列表 2X"/>
    <w:basedOn w:val="24"/>
    <w:uiPriority w:val="99"/>
    <w:qFormat/>
    <w:pPr>
      <w:tabs>
        <w:tab w:val="left" w:pos="737"/>
      </w:tabs>
      <w:adjustRightInd/>
      <w:spacing w:beforeLines="0" w:beforeAutospacing="1" w:after="100" w:afterAutospacing="1" w:line="288" w:lineRule="auto"/>
      <w:ind w:left="737" w:hanging="567"/>
      <w:textAlignment w:val="auto"/>
    </w:pPr>
    <w:rPr>
      <w:rFonts w:ascii="Courier New" w:hAnsi="Courier New" w:cs="仿宋_GB2312"/>
      <w:color w:val="FFFF99"/>
      <w:kern w:val="2"/>
    </w:rPr>
  </w:style>
  <w:style w:type="paragraph" w:customStyle="1" w:styleId="Charffffff8">
    <w:name w:val="样式 表格文字居中 Char + 自动设置"/>
    <w:basedOn w:val="Charffffff5"/>
    <w:uiPriority w:val="99"/>
    <w:qFormat/>
    <w:rPr>
      <w:color w:val="000000"/>
    </w:rPr>
  </w:style>
  <w:style w:type="paragraph" w:customStyle="1" w:styleId="3fffa">
    <w:name w:val="目录3（西藏格式）"/>
    <w:basedOn w:val="36"/>
    <w:autoRedefine/>
    <w:uiPriority w:val="99"/>
    <w:qFormat/>
    <w:pPr>
      <w:tabs>
        <w:tab w:val="right" w:leader="middleDot" w:pos="9174"/>
      </w:tabs>
      <w:adjustRightInd w:val="0"/>
      <w:snapToGrid w:val="0"/>
      <w:ind w:left="964" w:firstLineChars="400" w:hanging="964"/>
    </w:pPr>
    <w:rPr>
      <w:rFonts w:eastAsia="黑体" w:cs="Calibri"/>
      <w:i/>
      <w:iCs/>
      <w:snapToGrid w:val="0"/>
      <w:sz w:val="24"/>
      <w:szCs w:val="21"/>
    </w:rPr>
  </w:style>
  <w:style w:type="paragraph" w:customStyle="1" w:styleId="4Q">
    <w:name w:val="列表 4Q"/>
    <w:basedOn w:val="46"/>
    <w:autoRedefine/>
    <w:uiPriority w:val="99"/>
    <w:qFormat/>
    <w:pPr>
      <w:tabs>
        <w:tab w:val="left" w:pos="1021"/>
      </w:tabs>
      <w:adjustRightInd/>
      <w:spacing w:before="156" w:afterLines="30" w:line="288" w:lineRule="auto"/>
      <w:ind w:left="1021" w:hanging="454"/>
      <w:textAlignment w:val="auto"/>
    </w:pPr>
    <w:rPr>
      <w:rFonts w:ascii="Courier New" w:hAnsi="Courier New" w:cs="仿宋_GB2312"/>
      <w:color w:val="CCFFFF"/>
      <w:kern w:val="2"/>
    </w:rPr>
  </w:style>
  <w:style w:type="paragraph" w:customStyle="1" w:styleId="3Arial">
    <w:name w:val="样式 标题 3 + Arial"/>
    <w:basedOn w:val="a"/>
    <w:autoRedefine/>
    <w:uiPriority w:val="99"/>
    <w:qFormat/>
    <w:rPr>
      <w:rFonts w:ascii="仿宋_GB2312" w:hAnsi="仿宋_GB2312" w:cs="仿宋_GB2312"/>
      <w:szCs w:val="20"/>
    </w:rPr>
  </w:style>
  <w:style w:type="paragraph" w:customStyle="1" w:styleId="G">
    <w:name w:val="列表 G"/>
    <w:basedOn w:val="ac"/>
    <w:autoRedefine/>
    <w:uiPriority w:val="99"/>
    <w:qFormat/>
    <w:pPr>
      <w:tabs>
        <w:tab w:val="left" w:pos="425"/>
      </w:tabs>
      <w:spacing w:beforeLines="100" w:afterLines="50" w:line="288" w:lineRule="auto"/>
      <w:ind w:left="425" w:firstLineChars="0" w:hanging="425"/>
    </w:pPr>
    <w:rPr>
      <w:rFonts w:eastAsia="宋体" w:cs="仿宋_GB2312"/>
      <w:b/>
      <w:bCs/>
      <w:color w:val="FF99CC"/>
      <w:sz w:val="24"/>
      <w:szCs w:val="20"/>
    </w:rPr>
  </w:style>
  <w:style w:type="paragraph" w:customStyle="1" w:styleId="6f3">
    <w:name w:val="6表格"/>
    <w:basedOn w:val="a"/>
    <w:autoRedefine/>
    <w:uiPriority w:val="99"/>
    <w:qFormat/>
    <w:pPr>
      <w:adjustRightInd w:val="0"/>
      <w:snapToGrid w:val="0"/>
      <w:spacing w:before="60" w:line="312" w:lineRule="auto"/>
      <w:jc w:val="center"/>
    </w:pPr>
    <w:rPr>
      <w:rFonts w:ascii="仿宋_GB2312" w:hAnsi="仿宋_GB2312" w:cs="仿宋_GB2312"/>
      <w:snapToGrid w:val="0"/>
      <w:kern w:val="0"/>
      <w:szCs w:val="20"/>
    </w:rPr>
  </w:style>
  <w:style w:type="paragraph" w:customStyle="1" w:styleId="121111111111">
    <w:name w:val="121111111111"/>
    <w:basedOn w:val="a"/>
    <w:uiPriority w:val="99"/>
    <w:qFormat/>
    <w:pPr>
      <w:spacing w:line="460" w:lineRule="exact"/>
      <w:jc w:val="center"/>
    </w:pPr>
    <w:rPr>
      <w:rFonts w:eastAsia="黑体" w:cs="Times New Roman"/>
      <w:color w:val="000000"/>
      <w:spacing w:val="16"/>
      <w:sz w:val="24"/>
      <w:szCs w:val="24"/>
    </w:rPr>
  </w:style>
  <w:style w:type="paragraph" w:customStyle="1" w:styleId="11fe">
    <w:name w:val="尾注文本11"/>
    <w:basedOn w:val="a"/>
    <w:autoRedefine/>
    <w:uiPriority w:val="99"/>
    <w:qFormat/>
    <w:pPr>
      <w:adjustRightInd w:val="0"/>
      <w:spacing w:line="360" w:lineRule="atLeast"/>
      <w:jc w:val="left"/>
      <w:textAlignment w:val="baseline"/>
    </w:pPr>
    <w:rPr>
      <w:rFonts w:ascii="Verdana" w:hAnsi="仿宋_GB2312" w:cs="仿宋_GB2312"/>
      <w:kern w:val="0"/>
      <w:szCs w:val="20"/>
    </w:rPr>
  </w:style>
  <w:style w:type="paragraph" w:customStyle="1" w:styleId="CharChar3CharChar1">
    <w:name w:val="Char Char3 Char Char1"/>
    <w:basedOn w:val="a"/>
    <w:uiPriority w:val="99"/>
    <w:qFormat/>
    <w:pPr>
      <w:spacing w:line="360" w:lineRule="auto"/>
      <w:ind w:firstLineChars="200" w:firstLine="200"/>
    </w:pPr>
    <w:rPr>
      <w:rFonts w:cs="Times New Roman"/>
      <w:szCs w:val="24"/>
    </w:rPr>
  </w:style>
  <w:style w:type="paragraph" w:customStyle="1" w:styleId="30724656">
    <w:name w:val="样式 标题 3 + 左侧:  0 厘米 悬挂缩进: 7.2 字符 段前: 4.65 磅 段后: 6 磅 行距: 固定值 ..."/>
    <w:basedOn w:val="3"/>
    <w:autoRedefine/>
    <w:uiPriority w:val="99"/>
    <w:qFormat/>
    <w:pPr>
      <w:numPr>
        <w:ilvl w:val="0"/>
        <w:numId w:val="0"/>
      </w:numPr>
      <w:tabs>
        <w:tab w:val="left" w:pos="870"/>
      </w:tabs>
      <w:adjustRightInd/>
      <w:snapToGrid/>
      <w:spacing w:before="93" w:after="120" w:line="440" w:lineRule="exact"/>
      <w:ind w:left="720" w:hanging="720"/>
      <w:jc w:val="both"/>
    </w:pPr>
    <w:rPr>
      <w:rFonts w:eastAsia="黑体" w:cs="Times New Roman"/>
      <w:b w:val="0"/>
      <w:bCs w:val="0"/>
      <w:sz w:val="26"/>
      <w:szCs w:val="20"/>
    </w:rPr>
  </w:style>
  <w:style w:type="paragraph" w:customStyle="1" w:styleId="affffffffffffffffffffffffffffffff2">
    <w:name w:val="湛江钢铁表标题"/>
    <w:basedOn w:val="a"/>
    <w:autoRedefine/>
    <w:uiPriority w:val="99"/>
    <w:qFormat/>
    <w:pPr>
      <w:spacing w:beforeLines="50" w:line="360" w:lineRule="auto"/>
      <w:ind w:firstLineChars="200" w:firstLine="480"/>
      <w:jc w:val="center"/>
    </w:pPr>
    <w:rPr>
      <w:rFonts w:ascii="仿宋_GB2312" w:eastAsia="ˎ̥" w:hAnsi="仿宋_GB2312" w:cs="仿宋_GB2312"/>
      <w:color w:val="000000"/>
      <w:kern w:val="0"/>
      <w:sz w:val="24"/>
      <w:szCs w:val="24"/>
    </w:rPr>
  </w:style>
  <w:style w:type="paragraph" w:customStyle="1" w:styleId="1-1">
    <w:name w:val="图1-1"/>
    <w:basedOn w:val="afffffffffffe"/>
    <w:autoRedefine/>
    <w:uiPriority w:val="99"/>
    <w:qFormat/>
  </w:style>
  <w:style w:type="paragraph" w:customStyle="1" w:styleId="affffffffffffffffffffffffffffffff3">
    <w:name w:val="小五表文"/>
    <w:autoRedefine/>
    <w:uiPriority w:val="99"/>
    <w:qFormat/>
    <w:pPr>
      <w:spacing w:beforeLines="50"/>
      <w:ind w:firstLineChars="1180" w:firstLine="3304"/>
    </w:pPr>
    <w:rPr>
      <w:rFonts w:ascii="仿宋_GB2312" w:eastAsia="楷体" w:hAnsi="仿宋_GB2312" w:cs="仿宋_GB2312"/>
      <w:bCs/>
      <w:spacing w:val="20"/>
      <w:sz w:val="24"/>
    </w:rPr>
  </w:style>
  <w:style w:type="paragraph" w:customStyle="1" w:styleId="affffffffffffffffffffffffffffffff4">
    <w:name w:val="攀成钢三级标题"/>
    <w:basedOn w:val="a"/>
    <w:autoRedefine/>
    <w:uiPriority w:val="99"/>
    <w:qFormat/>
    <w:pPr>
      <w:spacing w:line="360" w:lineRule="auto"/>
      <w:outlineLvl w:val="2"/>
    </w:pPr>
    <w:rPr>
      <w:rFonts w:cs="Times New Roman"/>
      <w:b/>
      <w:snapToGrid w:val="0"/>
      <w:color w:val="008000"/>
      <w:kern w:val="0"/>
      <w:sz w:val="24"/>
      <w:szCs w:val="20"/>
    </w:rPr>
  </w:style>
  <w:style w:type="paragraph" w:customStyle="1" w:styleId="2ffffff2">
    <w:name w:val="样式 黑色 首行缩进:  2 字符"/>
    <w:basedOn w:val="a"/>
    <w:autoRedefine/>
    <w:uiPriority w:val="99"/>
    <w:qFormat/>
    <w:pPr>
      <w:spacing w:line="360" w:lineRule="auto"/>
      <w:ind w:firstLineChars="200" w:firstLine="560"/>
    </w:pPr>
    <w:rPr>
      <w:rFonts w:ascii="Verdana" w:hAnsi="仿宋_GB2312" w:cs="Verdana"/>
      <w:color w:val="000000"/>
      <w:sz w:val="28"/>
      <w:szCs w:val="28"/>
    </w:rPr>
  </w:style>
  <w:style w:type="paragraph" w:customStyle="1" w:styleId="4ff4">
    <w:name w:val="标题4."/>
    <w:basedOn w:val="4"/>
    <w:autoRedefine/>
    <w:uiPriority w:val="99"/>
    <w:qFormat/>
    <w:pPr>
      <w:numPr>
        <w:ilvl w:val="0"/>
        <w:numId w:val="0"/>
      </w:numPr>
      <w:tabs>
        <w:tab w:val="left" w:pos="870"/>
        <w:tab w:val="left" w:pos="1800"/>
      </w:tabs>
      <w:spacing w:before="120" w:after="120" w:line="312" w:lineRule="auto"/>
      <w:ind w:left="851" w:hanging="851"/>
    </w:pPr>
    <w:rPr>
      <w:rFonts w:eastAsia="黑体" w:cs="Times New Roman"/>
      <w:bCs w:val="0"/>
      <w:szCs w:val="20"/>
    </w:rPr>
  </w:style>
  <w:style w:type="paragraph" w:customStyle="1" w:styleId="3L0">
    <w:name w:val="列表 3L"/>
    <w:basedOn w:val="31"/>
    <w:autoRedefine/>
    <w:uiPriority w:val="99"/>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affffffffffffffffffffffffffffffff5">
    <w:name w:val="攀成钢表头"/>
    <w:basedOn w:val="a"/>
    <w:autoRedefine/>
    <w:uiPriority w:val="99"/>
    <w:qFormat/>
    <w:pPr>
      <w:jc w:val="center"/>
    </w:pPr>
    <w:rPr>
      <w:rFonts w:cs="Times New Roman"/>
      <w:b/>
      <w:snapToGrid w:val="0"/>
      <w:color w:val="008000"/>
      <w:kern w:val="0"/>
      <w:sz w:val="24"/>
      <w:szCs w:val="20"/>
    </w:rPr>
  </w:style>
  <w:style w:type="paragraph" w:customStyle="1" w:styleId="affffffffffffffffffffffffffffffff6">
    <w:name w:val="居中四号"/>
    <w:uiPriority w:val="99"/>
    <w:qFormat/>
    <w:pPr>
      <w:spacing w:line="300" w:lineRule="auto"/>
      <w:jc w:val="center"/>
    </w:pPr>
    <w:rPr>
      <w:sz w:val="28"/>
    </w:rPr>
  </w:style>
  <w:style w:type="paragraph" w:customStyle="1" w:styleId="affffffffffffffffffffffffffffffff7">
    <w:name w:val="样式 小四 加粗 居中"/>
    <w:basedOn w:val="a"/>
    <w:autoRedefine/>
    <w:uiPriority w:val="99"/>
    <w:qFormat/>
    <w:pPr>
      <w:spacing w:after="120"/>
      <w:jc w:val="center"/>
    </w:pPr>
    <w:rPr>
      <w:rFonts w:eastAsia="仿宋_GB2312" w:cs="宋体"/>
      <w:b/>
      <w:bCs/>
      <w:sz w:val="24"/>
      <w:szCs w:val="20"/>
    </w:rPr>
  </w:style>
  <w:style w:type="paragraph" w:customStyle="1" w:styleId="2ffffff3">
    <w:name w:val="标题 2，节"/>
    <w:basedOn w:val="20"/>
    <w:autoRedefine/>
    <w:uiPriority w:val="99"/>
    <w:qFormat/>
    <w:pPr>
      <w:numPr>
        <w:ilvl w:val="0"/>
        <w:numId w:val="0"/>
      </w:numPr>
      <w:tabs>
        <w:tab w:val="left" w:pos="870"/>
      </w:tabs>
      <w:adjustRightInd w:val="0"/>
      <w:snapToGrid w:val="0"/>
      <w:spacing w:beforeLines="0" w:before="156" w:afterLines="0" w:after="260" w:line="415" w:lineRule="auto"/>
      <w:ind w:firstLine="510"/>
    </w:pPr>
    <w:rPr>
      <w:rFonts w:ascii="宋体" w:hAnsi="宋体" w:cs="Times New Roman"/>
      <w:bCs w:val="0"/>
      <w:sz w:val="24"/>
      <w:szCs w:val="20"/>
    </w:rPr>
  </w:style>
  <w:style w:type="paragraph" w:customStyle="1" w:styleId="2ffffff4">
    <w:name w:val="目录2（西藏格式）"/>
    <w:basedOn w:val="28"/>
    <w:autoRedefine/>
    <w:uiPriority w:val="99"/>
    <w:qFormat/>
    <w:pPr>
      <w:adjustRightInd w:val="0"/>
      <w:snapToGrid w:val="0"/>
      <w:spacing w:line="240" w:lineRule="auto"/>
      <w:ind w:left="0" w:firstLineChars="200" w:firstLine="200"/>
    </w:pPr>
    <w:rPr>
      <w:rFonts w:eastAsia="黑体" w:cs="Calibri"/>
      <w:smallCaps/>
      <w:snapToGrid w:val="0"/>
      <w:szCs w:val="21"/>
    </w:rPr>
  </w:style>
  <w:style w:type="paragraph" w:customStyle="1" w:styleId="130742">
    <w:name w:val="样式 样式 宋体 13 磅 白色 首行缩进:  0.74 厘米 + 自动设置 首行缩进:  2 字符"/>
    <w:basedOn w:val="a"/>
    <w:autoRedefine/>
    <w:uiPriority w:val="99"/>
    <w:qFormat/>
    <w:pPr>
      <w:ind w:firstLineChars="200" w:firstLine="520"/>
    </w:pPr>
    <w:rPr>
      <w:rFonts w:ascii="Verdana" w:hAnsi="Verdana" w:cs="Verdana"/>
      <w:sz w:val="27"/>
      <w:szCs w:val="27"/>
    </w:rPr>
  </w:style>
  <w:style w:type="paragraph" w:customStyle="1" w:styleId="M1">
    <w:name w:val="列表 M"/>
    <w:basedOn w:val="ac"/>
    <w:autoRedefine/>
    <w:uiPriority w:val="99"/>
    <w:qFormat/>
    <w:pPr>
      <w:tabs>
        <w:tab w:val="left" w:pos="425"/>
      </w:tabs>
      <w:spacing w:beforeLines="100" w:afterLines="50" w:line="288" w:lineRule="auto"/>
      <w:ind w:left="425" w:firstLineChars="0" w:hanging="425"/>
    </w:pPr>
    <w:rPr>
      <w:rFonts w:eastAsia="宋体" w:cs="仿宋_GB2312"/>
      <w:b/>
      <w:bCs/>
      <w:color w:val="FF99CC"/>
      <w:sz w:val="24"/>
      <w:szCs w:val="20"/>
    </w:rPr>
  </w:style>
  <w:style w:type="paragraph" w:customStyle="1" w:styleId="2ffffff5">
    <w:name w:val="样式 四号 首行缩进:  2 字符"/>
    <w:basedOn w:val="a"/>
    <w:autoRedefine/>
    <w:uiPriority w:val="99"/>
    <w:qFormat/>
    <w:pPr>
      <w:spacing w:line="480" w:lineRule="atLeast"/>
      <w:ind w:firstLineChars="200" w:firstLine="200"/>
    </w:pPr>
    <w:rPr>
      <w:rFonts w:cs="Times New Roman"/>
      <w:sz w:val="24"/>
      <w:szCs w:val="24"/>
    </w:rPr>
  </w:style>
  <w:style w:type="paragraph" w:customStyle="1" w:styleId="201">
    <w:name w:val="样式20"/>
    <w:basedOn w:val="afff0"/>
    <w:autoRedefine/>
    <w:uiPriority w:val="99"/>
    <w:qFormat/>
    <w:pPr>
      <w:widowControl/>
      <w:pBdr>
        <w:bottom w:val="single" w:sz="4" w:space="1" w:color="auto"/>
      </w:pBdr>
      <w:tabs>
        <w:tab w:val="clear" w:pos="4153"/>
        <w:tab w:val="clear" w:pos="8306"/>
        <w:tab w:val="left" w:pos="4149"/>
        <w:tab w:val="left" w:pos="8016"/>
      </w:tabs>
      <w:spacing w:line="351" w:lineRule="atLeast"/>
      <w:ind w:firstLine="419"/>
      <w:textAlignment w:val="baseline"/>
    </w:pPr>
    <w:rPr>
      <w:rFonts w:eastAsia="Times New Roman" w:cs="Times New Roman"/>
      <w:b/>
      <w:color w:val="000000"/>
      <w:kern w:val="0"/>
      <w:u w:color="000000"/>
    </w:rPr>
  </w:style>
  <w:style w:type="paragraph" w:customStyle="1" w:styleId="084">
    <w:name w:val="样式 表格 + 首行缩进:  0.84 厘米"/>
    <w:basedOn w:val="affffffa"/>
    <w:uiPriority w:val="99"/>
    <w:qFormat/>
    <w:pPr>
      <w:adjustRightInd/>
      <w:spacing w:beforeLines="5" w:afterLines="5" w:line="240" w:lineRule="exact"/>
      <w:textAlignment w:val="auto"/>
    </w:pPr>
    <w:rPr>
      <w:rFonts w:ascii="Times New Roman" w:eastAsia="Times New Roman" w:hAnsi="Times New Roman" w:cs="宋体"/>
      <w:spacing w:val="14"/>
      <w:kern w:val="0"/>
      <w:sz w:val="20"/>
      <w:szCs w:val="20"/>
    </w:rPr>
  </w:style>
  <w:style w:type="paragraph" w:customStyle="1" w:styleId="xl85">
    <w:name w:val="xl85"/>
    <w:basedOn w:val="a"/>
    <w:autoRedefine/>
    <w:uiPriority w:val="99"/>
    <w:qFormat/>
    <w:pPr>
      <w:widowControl/>
      <w:spacing w:before="100" w:beforeAutospacing="1" w:after="100" w:afterAutospacing="1"/>
      <w:jc w:val="left"/>
      <w:textAlignment w:val="center"/>
    </w:pPr>
    <w:rPr>
      <w:rFonts w:ascii="華康中楷體" w:eastAsia="華康中楷體" w:hAnsi="華康中楷體" w:cs="華康中楷體"/>
      <w:kern w:val="0"/>
      <w:sz w:val="20"/>
      <w:szCs w:val="20"/>
    </w:rPr>
  </w:style>
  <w:style w:type="paragraph" w:customStyle="1" w:styleId="M2">
    <w:name w:val="M"/>
    <w:basedOn w:val="1"/>
    <w:uiPriority w:val="99"/>
    <w:qFormat/>
    <w:pPr>
      <w:keepLines w:val="0"/>
      <w:widowControl/>
      <w:numPr>
        <w:numId w:val="0"/>
      </w:numPr>
      <w:tabs>
        <w:tab w:val="left" w:pos="870"/>
        <w:tab w:val="left" w:pos="2260"/>
        <w:tab w:val="left" w:pos="2820"/>
        <w:tab w:val="left" w:pos="3420"/>
      </w:tabs>
      <w:adjustRightInd w:val="0"/>
      <w:spacing w:line="240" w:lineRule="auto"/>
      <w:ind w:left="851" w:right="-28" w:hanging="851"/>
      <w:jc w:val="both"/>
    </w:pPr>
    <w:rPr>
      <w:rFonts w:ascii="Courier New" w:hAnsi="Courier New" w:cs="仿宋_GB2312"/>
      <w:b w:val="0"/>
      <w:bCs w:val="0"/>
      <w:kern w:val="0"/>
      <w:sz w:val="22"/>
      <w:szCs w:val="20"/>
      <w:lang w:val="en-GB"/>
    </w:rPr>
  </w:style>
  <w:style w:type="paragraph" w:customStyle="1" w:styleId="affffffffffffffffffffffffffffffff8">
    <w:name w:val="列项及编号"/>
    <w:basedOn w:val="afffffffffffffffffffffffffffe"/>
    <w:autoRedefine/>
    <w:uiPriority w:val="99"/>
    <w:qFormat/>
    <w:pPr>
      <w:adjustRightInd w:val="0"/>
      <w:snapToGrid w:val="0"/>
      <w:spacing w:line="288" w:lineRule="auto"/>
      <w:ind w:firstLineChars="0" w:firstLine="0"/>
    </w:pPr>
  </w:style>
  <w:style w:type="paragraph" w:customStyle="1" w:styleId="5E0">
    <w:name w:val="列表 5E"/>
    <w:basedOn w:val="56"/>
    <w:autoRedefine/>
    <w:uiPriority w:val="99"/>
    <w:qFormat/>
    <w:pPr>
      <w:tabs>
        <w:tab w:val="left" w:pos="1134"/>
      </w:tabs>
      <w:adjustRightInd/>
      <w:spacing w:beforeLines="0" w:line="240" w:lineRule="auto"/>
      <w:ind w:left="1134" w:hanging="425"/>
      <w:textAlignment w:val="auto"/>
    </w:pPr>
    <w:rPr>
      <w:rFonts w:ascii="Courier New" w:hAnsi="Courier New" w:cs="仿宋_GB2312"/>
      <w:color w:val="99CCFF"/>
      <w:kern w:val="2"/>
    </w:rPr>
  </w:style>
  <w:style w:type="paragraph" w:customStyle="1" w:styleId="BodyTextFirstIndent3">
    <w:name w:val="Body Text First Indent3"/>
    <w:basedOn w:val="af"/>
    <w:autoRedefine/>
    <w:uiPriority w:val="99"/>
    <w:qFormat/>
    <w:pPr>
      <w:kinsoku/>
      <w:spacing w:after="0" w:line="312" w:lineRule="auto"/>
      <w:ind w:firstLine="567"/>
      <w:jc w:val="both"/>
    </w:pPr>
    <w:rPr>
      <w:rFonts w:ascii="仿宋_GB2312" w:hAnsi="仿宋_GB2312" w:cs="仿宋_GB2312"/>
      <w:kern w:val="0"/>
      <w:sz w:val="28"/>
      <w:szCs w:val="20"/>
    </w:rPr>
  </w:style>
  <w:style w:type="paragraph" w:customStyle="1" w:styleId="affffffffffffffffffffffffffffffff9">
    <w:name w:val="批注文字（西藏格式）"/>
    <w:basedOn w:val="afb"/>
    <w:autoRedefine/>
    <w:uiPriority w:val="99"/>
    <w:qFormat/>
    <w:pPr>
      <w:adjustRightInd w:val="0"/>
      <w:snapToGrid w:val="0"/>
      <w:spacing w:before="120" w:line="400" w:lineRule="exact"/>
      <w:ind w:left="1248" w:right="284" w:hanging="964"/>
      <w:jc w:val="both"/>
    </w:pPr>
    <w:rPr>
      <w:snapToGrid w:val="0"/>
      <w:kern w:val="0"/>
      <w:sz w:val="24"/>
      <w:szCs w:val="21"/>
    </w:rPr>
  </w:style>
  <w:style w:type="paragraph" w:customStyle="1" w:styleId="affffffffffffffffffffffffffffffffa">
    <w:name w:val="廉江表"/>
    <w:basedOn w:val="2fffa"/>
    <w:autoRedefine/>
    <w:uiPriority w:val="99"/>
    <w:qFormat/>
  </w:style>
  <w:style w:type="paragraph" w:customStyle="1" w:styleId="446626">
    <w:name w:val="样式 标题 4常用标题 4 + 段前: 6 磅 段后: 6 磅 行距: 固定值 26 磅"/>
    <w:basedOn w:val="4"/>
    <w:autoRedefine/>
    <w:uiPriority w:val="99"/>
    <w:qFormat/>
    <w:pPr>
      <w:numPr>
        <w:ilvl w:val="0"/>
        <w:numId w:val="0"/>
      </w:numPr>
      <w:tabs>
        <w:tab w:val="left" w:pos="800"/>
        <w:tab w:val="left" w:pos="870"/>
        <w:tab w:val="left" w:pos="1440"/>
      </w:tabs>
      <w:spacing w:before="120" w:after="120" w:line="520" w:lineRule="exact"/>
      <w:ind w:firstLine="510"/>
    </w:pPr>
    <w:rPr>
      <w:rFonts w:ascii="Courier New" w:eastAsia="楷体" w:hAnsi="Courier New" w:cs="Verdana"/>
      <w:b w:val="0"/>
      <w:sz w:val="28"/>
      <w:szCs w:val="20"/>
    </w:rPr>
  </w:style>
  <w:style w:type="paragraph" w:customStyle="1" w:styleId="affffffffffffffffffffffffffffffffb">
    <w:name w:val="附图编号"/>
    <w:basedOn w:val="a"/>
    <w:autoRedefine/>
    <w:uiPriority w:val="99"/>
    <w:qFormat/>
    <w:pPr>
      <w:tabs>
        <w:tab w:val="left" w:pos="1760"/>
      </w:tabs>
      <w:spacing w:line="288" w:lineRule="auto"/>
      <w:ind w:left="1021" w:hanging="341"/>
    </w:pPr>
    <w:rPr>
      <w:rFonts w:ascii="Courier New" w:hAnsi="Courier New" w:cs="仿宋_GB2312"/>
      <w:color w:val="CC99FF"/>
      <w:sz w:val="24"/>
      <w:szCs w:val="20"/>
    </w:rPr>
  </w:style>
  <w:style w:type="paragraph" w:customStyle="1" w:styleId="331113Char1Char1Char1CharCharChar1Cha1">
    <w:name w:val="样式 标题 3标题3小标题1.1.1标题 3Char1 Char1Char1 Char CharChar1 Cha...1"/>
    <w:basedOn w:val="3"/>
    <w:uiPriority w:val="99"/>
    <w:qFormat/>
    <w:pPr>
      <w:numPr>
        <w:ilvl w:val="0"/>
        <w:numId w:val="0"/>
      </w:numPr>
      <w:tabs>
        <w:tab w:val="left" w:pos="870"/>
      </w:tabs>
      <w:autoSpaceDE w:val="0"/>
      <w:autoSpaceDN w:val="0"/>
      <w:snapToGrid/>
      <w:ind w:firstLine="510"/>
      <w:jc w:val="both"/>
      <w:textAlignment w:val="baseline"/>
    </w:pPr>
    <w:rPr>
      <w:rFonts w:cs="宋体"/>
      <w:color w:val="0000FF"/>
      <w:kern w:val="0"/>
      <w:szCs w:val="20"/>
    </w:rPr>
  </w:style>
  <w:style w:type="paragraph" w:customStyle="1" w:styleId="Pa0">
    <w:name w:val="Pa0"/>
    <w:basedOn w:val="a"/>
    <w:next w:val="a"/>
    <w:uiPriority w:val="99"/>
    <w:qFormat/>
    <w:pPr>
      <w:autoSpaceDE w:val="0"/>
      <w:autoSpaceDN w:val="0"/>
      <w:adjustRightInd w:val="0"/>
      <w:spacing w:line="241" w:lineRule="atLeast"/>
      <w:jc w:val="left"/>
    </w:pPr>
    <w:rPr>
      <w:rFonts w:ascii="楷体" w:eastAsia="楷体" w:hAnsi="仿宋_GB2312" w:cs="仿宋_GB2312"/>
      <w:kern w:val="0"/>
      <w:sz w:val="24"/>
      <w:szCs w:val="24"/>
    </w:rPr>
  </w:style>
  <w:style w:type="paragraph" w:customStyle="1" w:styleId="affffffffffffffffffffffffffffffffc">
    <w:name w:val="新标题样式"/>
    <w:basedOn w:val="a"/>
    <w:autoRedefine/>
    <w:uiPriority w:val="99"/>
    <w:qFormat/>
    <w:pPr>
      <w:tabs>
        <w:tab w:val="left" w:pos="567"/>
      </w:tabs>
      <w:spacing w:line="360" w:lineRule="auto"/>
    </w:pPr>
    <w:rPr>
      <w:rFonts w:eastAsia="黑体" w:cs="Times New Roman"/>
      <w:b/>
      <w:spacing w:val="20"/>
      <w:sz w:val="24"/>
      <w:szCs w:val="20"/>
    </w:rPr>
  </w:style>
  <w:style w:type="paragraph" w:customStyle="1" w:styleId="affffffffffffffffffffffffffffffffd">
    <w:name w:val="攀成钢加粗顶头小标题"/>
    <w:basedOn w:val="a"/>
    <w:uiPriority w:val="99"/>
    <w:qFormat/>
    <w:pPr>
      <w:spacing w:line="360" w:lineRule="auto"/>
      <w:jc w:val="left"/>
    </w:pPr>
    <w:rPr>
      <w:rFonts w:cs="Times New Roman"/>
      <w:b/>
      <w:snapToGrid w:val="0"/>
      <w:color w:val="008000"/>
      <w:kern w:val="0"/>
      <w:sz w:val="24"/>
      <w:szCs w:val="20"/>
    </w:rPr>
  </w:style>
  <w:style w:type="paragraph" w:customStyle="1" w:styleId="affffffffffffffffffffffffffffffffe">
    <w:name w:val="文章总标题"/>
    <w:basedOn w:val="a"/>
    <w:next w:val="a"/>
    <w:uiPriority w:val="99"/>
    <w:qFormat/>
    <w:pPr>
      <w:widowControl/>
      <w:spacing w:before="566" w:after="544" w:line="566" w:lineRule="atLeast"/>
      <w:jc w:val="center"/>
      <w:textAlignment w:val="baseline"/>
    </w:pPr>
    <w:rPr>
      <w:rFonts w:ascii="Courier New" w:eastAsia="楷体" w:hAnsi="仿宋_GB2312" w:cs="Courier New"/>
      <w:bCs/>
      <w:color w:val="000000"/>
      <w:kern w:val="0"/>
      <w:sz w:val="54"/>
      <w:szCs w:val="54"/>
      <w:u w:color="000000"/>
    </w:rPr>
  </w:style>
  <w:style w:type="paragraph" w:customStyle="1" w:styleId="2ffffff6">
    <w:name w:val="样式 标题 2 + 黑体 (符号) 宋体"/>
    <w:basedOn w:val="20"/>
    <w:uiPriority w:val="99"/>
    <w:qFormat/>
    <w:pPr>
      <w:numPr>
        <w:ilvl w:val="0"/>
        <w:numId w:val="0"/>
      </w:numPr>
      <w:tabs>
        <w:tab w:val="left" w:pos="870"/>
      </w:tabs>
      <w:spacing w:beforeLines="0" w:afterLines="0"/>
      <w:ind w:firstLine="510"/>
      <w:jc w:val="center"/>
      <w:outlineLvl w:val="9"/>
    </w:pPr>
    <w:rPr>
      <w:rFonts w:ascii="楷体" w:eastAsia="楷体" w:hAnsi="仿宋_GB2312" w:cs="仿宋_GB2312"/>
      <w:sz w:val="44"/>
      <w:szCs w:val="44"/>
    </w:rPr>
  </w:style>
  <w:style w:type="paragraph" w:customStyle="1" w:styleId="1fffffff9">
    <w:name w:val="文本块1"/>
    <w:basedOn w:val="a"/>
    <w:autoRedefine/>
    <w:uiPriority w:val="99"/>
    <w:qFormat/>
    <w:pPr>
      <w:tabs>
        <w:tab w:val="left" w:pos="8100"/>
      </w:tabs>
      <w:adjustRightInd w:val="0"/>
      <w:spacing w:line="360" w:lineRule="auto"/>
      <w:ind w:left="540" w:right="206" w:firstLine="1260"/>
      <w:textAlignment w:val="baseline"/>
    </w:pPr>
    <w:rPr>
      <w:rFonts w:cs="Times New Roman"/>
      <w:kern w:val="0"/>
      <w:szCs w:val="20"/>
    </w:rPr>
  </w:style>
  <w:style w:type="paragraph" w:customStyle="1" w:styleId="I">
    <w:name w:val="列表 I"/>
    <w:basedOn w:val="ac"/>
    <w:autoRedefine/>
    <w:uiPriority w:val="99"/>
    <w:qFormat/>
    <w:pPr>
      <w:tabs>
        <w:tab w:val="left" w:pos="425"/>
      </w:tabs>
      <w:spacing w:beforeLines="100" w:afterLines="50" w:line="288" w:lineRule="auto"/>
      <w:ind w:left="425" w:firstLineChars="0" w:hanging="425"/>
    </w:pPr>
    <w:rPr>
      <w:rFonts w:eastAsia="宋体" w:cs="仿宋_GB2312"/>
      <w:b/>
      <w:bCs/>
      <w:color w:val="FF99CC"/>
      <w:sz w:val="24"/>
      <w:szCs w:val="20"/>
    </w:rPr>
  </w:style>
  <w:style w:type="paragraph" w:customStyle="1" w:styleId="2H21111Char112112Head">
    <w:name w:val="样式 标题 2H2节标题 1.1节标题 1.1 Char1.1  标题 2  节标题 1.1第一章 标题 2Head..."/>
    <w:basedOn w:val="20"/>
    <w:autoRedefine/>
    <w:uiPriority w:val="99"/>
    <w:qFormat/>
    <w:pPr>
      <w:numPr>
        <w:ilvl w:val="0"/>
        <w:numId w:val="0"/>
      </w:numPr>
      <w:tabs>
        <w:tab w:val="left" w:pos="870"/>
      </w:tabs>
      <w:spacing w:beforeLines="0" w:before="0" w:afterLines="0" w:after="0"/>
      <w:ind w:firstLine="510"/>
    </w:pPr>
    <w:rPr>
      <w:rFonts w:ascii="仿宋_GB2312" w:eastAsia="Verdana" w:hAnsi="仿宋_GB2312" w:cs="Verdana"/>
      <w:sz w:val="24"/>
      <w:szCs w:val="20"/>
    </w:rPr>
  </w:style>
  <w:style w:type="paragraph" w:customStyle="1" w:styleId="afffffffffffffffffffffffffffffffff">
    <w:name w:val="居中"/>
    <w:basedOn w:val="a"/>
    <w:autoRedefine/>
    <w:uiPriority w:val="99"/>
    <w:qFormat/>
    <w:pPr>
      <w:spacing w:before="40" w:after="40" w:line="480" w:lineRule="exact"/>
      <w:jc w:val="center"/>
    </w:pPr>
    <w:rPr>
      <w:rFonts w:ascii="Courier New" w:hAnsi="Courier New" w:cs="仿宋_GB2312"/>
      <w:sz w:val="24"/>
      <w:szCs w:val="20"/>
    </w:rPr>
  </w:style>
  <w:style w:type="paragraph" w:customStyle="1" w:styleId="2151">
    <w:name w:val="样式 首行缩进:  2 字符 行距: 1.5 倍行距"/>
    <w:basedOn w:val="a"/>
    <w:autoRedefine/>
    <w:uiPriority w:val="99"/>
    <w:qFormat/>
    <w:pPr>
      <w:adjustRightInd w:val="0"/>
      <w:snapToGrid w:val="0"/>
      <w:spacing w:line="360" w:lineRule="auto"/>
      <w:ind w:firstLineChars="200" w:firstLine="592"/>
    </w:pPr>
    <w:rPr>
      <w:rFonts w:cs="Times New Roman"/>
      <w:sz w:val="28"/>
      <w:szCs w:val="24"/>
    </w:rPr>
  </w:style>
  <w:style w:type="paragraph" w:customStyle="1" w:styleId="2N">
    <w:name w:val="列表 2N"/>
    <w:basedOn w:val="24"/>
    <w:autoRedefine/>
    <w:uiPriority w:val="99"/>
    <w:qFormat/>
    <w:pPr>
      <w:tabs>
        <w:tab w:val="left" w:pos="737"/>
      </w:tabs>
      <w:adjustRightInd/>
      <w:spacing w:beforeLines="0" w:beforeAutospacing="1" w:after="100" w:afterAutospacing="1" w:line="288" w:lineRule="auto"/>
      <w:ind w:left="737" w:hanging="567"/>
      <w:textAlignment w:val="auto"/>
    </w:pPr>
    <w:rPr>
      <w:rFonts w:ascii="Courier New" w:hAnsi="Courier New" w:cs="仿宋_GB2312"/>
      <w:color w:val="FFFF99"/>
      <w:kern w:val="2"/>
    </w:rPr>
  </w:style>
  <w:style w:type="paragraph" w:customStyle="1" w:styleId="afffffffffffffffffffffffffffffffff0">
    <w:name w:val="规划正文样式"/>
    <w:basedOn w:val="a"/>
    <w:autoRedefine/>
    <w:uiPriority w:val="99"/>
    <w:qFormat/>
    <w:pPr>
      <w:spacing w:line="400" w:lineRule="exact"/>
      <w:ind w:firstLineChars="200" w:firstLine="480"/>
    </w:pPr>
    <w:rPr>
      <w:rFonts w:ascii="仿宋_GB2312" w:hAnsi="仿宋_GB2312" w:cs="仿宋_GB2312"/>
      <w:sz w:val="24"/>
      <w:szCs w:val="24"/>
    </w:rPr>
  </w:style>
  <w:style w:type="paragraph" w:customStyle="1" w:styleId="afffffffffffffffffffffffffffffffff1">
    <w:name w:val="三级无标题条"/>
    <w:basedOn w:val="a"/>
    <w:autoRedefine/>
    <w:uiPriority w:val="99"/>
    <w:qFormat/>
    <w:rPr>
      <w:rFonts w:cs="Times New Roman"/>
      <w:szCs w:val="20"/>
    </w:rPr>
  </w:style>
  <w:style w:type="paragraph" w:customStyle="1" w:styleId="afffffffffffffffffffffffffffffffff2">
    <w:name w:val="图题"/>
    <w:basedOn w:val="a"/>
    <w:link w:val="CharCharfffd"/>
    <w:autoRedefine/>
    <w:qFormat/>
    <w:pPr>
      <w:autoSpaceDE w:val="0"/>
      <w:autoSpaceDN w:val="0"/>
      <w:adjustRightInd w:val="0"/>
      <w:snapToGrid w:val="0"/>
      <w:spacing w:beforeLines="25" w:after="50" w:line="360" w:lineRule="atLeast"/>
      <w:ind w:leftChars="175" w:left="175"/>
      <w:jc w:val="center"/>
    </w:pPr>
    <w:rPr>
      <w:rFonts w:ascii="仿宋_GB2312" w:cs="Times New Roman"/>
      <w:b/>
      <w:szCs w:val="24"/>
    </w:rPr>
  </w:style>
  <w:style w:type="character" w:customStyle="1" w:styleId="CharCharfffd">
    <w:name w:val="图题 Char Char"/>
    <w:link w:val="afffffffffffffffffffffffffffffffff2"/>
    <w:autoRedefine/>
    <w:qFormat/>
    <w:rPr>
      <w:rFonts w:ascii="仿宋_GB2312"/>
      <w:b/>
      <w:kern w:val="2"/>
      <w:sz w:val="21"/>
      <w:szCs w:val="24"/>
    </w:rPr>
  </w:style>
  <w:style w:type="paragraph" w:customStyle="1" w:styleId="tian">
    <w:name w:val="tian"/>
    <w:basedOn w:val="a"/>
    <w:autoRedefine/>
    <w:uiPriority w:val="99"/>
    <w:qFormat/>
    <w:rPr>
      <w:rFonts w:ascii="仿宋_GB2312" w:hAnsi="仿宋_GB2312" w:cs="仿宋_GB2312"/>
      <w:sz w:val="24"/>
      <w:szCs w:val="20"/>
    </w:rPr>
  </w:style>
  <w:style w:type="paragraph" w:customStyle="1" w:styleId="afffffffffffffffffffffffffffffffff3">
    <w:name w:val="一级无标题条"/>
    <w:basedOn w:val="a"/>
    <w:autoRedefine/>
    <w:uiPriority w:val="99"/>
    <w:qFormat/>
    <w:rPr>
      <w:rFonts w:cs="Times New Roman"/>
      <w:szCs w:val="20"/>
    </w:rPr>
  </w:style>
  <w:style w:type="paragraph" w:customStyle="1" w:styleId="3D0">
    <w:name w:val="列表 3D"/>
    <w:basedOn w:val="31"/>
    <w:autoRedefine/>
    <w:uiPriority w:val="99"/>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CharCharCharCharCharCharCharCharCharCharCharCharCharCharChar1CharCharCharCharCharCharCharCharCharCharCharCharCharCharCharCharCharCharCharCharCharCharCharCharChar">
    <w:name w:val="Char Char Char Char Char Char Char Char Char Char Char Char Char Char Char1 Char Char Char Char Char Char Char Char Char Char Char Char Char Char Char Char Char Char Char Char Char Char Char Char Char"/>
    <w:basedOn w:val="a"/>
    <w:next w:val="a3"/>
    <w:autoRedefine/>
    <w:uiPriority w:val="99"/>
    <w:qFormat/>
    <w:rPr>
      <w:rFonts w:ascii="仿宋_GB2312" w:hAnsi="仿宋_GB2312" w:cs="仿宋_GB2312"/>
      <w:sz w:val="28"/>
      <w:szCs w:val="20"/>
    </w:rPr>
  </w:style>
  <w:style w:type="paragraph" w:customStyle="1" w:styleId="s0">
    <w:name w:val="s0"/>
    <w:autoRedefine/>
    <w:uiPriority w:val="99"/>
    <w:qFormat/>
    <w:pPr>
      <w:widowControl w:val="0"/>
      <w:autoSpaceDE w:val="0"/>
      <w:autoSpaceDN w:val="0"/>
      <w:adjustRightInd w:val="0"/>
    </w:pPr>
    <w:rPr>
      <w:rFonts w:ascii="汉鼎简书宋" w:eastAsia="汉鼎简书宋" w:hAnsi="仿宋_GB2312" w:cs="仿宋_GB2312"/>
    </w:rPr>
  </w:style>
  <w:style w:type="paragraph" w:customStyle="1" w:styleId="4A0">
    <w:name w:val="列表 4A"/>
    <w:basedOn w:val="46"/>
    <w:autoRedefine/>
    <w:uiPriority w:val="99"/>
    <w:qFormat/>
    <w:pPr>
      <w:tabs>
        <w:tab w:val="left" w:pos="360"/>
      </w:tabs>
      <w:adjustRightInd/>
      <w:spacing w:before="156" w:afterLines="30" w:line="288" w:lineRule="auto"/>
      <w:ind w:left="360" w:hangingChars="200" w:hanging="360"/>
      <w:textAlignment w:val="auto"/>
    </w:pPr>
    <w:rPr>
      <w:rFonts w:ascii="Courier New" w:hAnsi="Courier New" w:cs="仿宋_GB2312"/>
      <w:color w:val="CCFFFF"/>
      <w:kern w:val="2"/>
    </w:rPr>
  </w:style>
  <w:style w:type="paragraph" w:customStyle="1" w:styleId="ENUM">
    <w:name w:val="ENUM"/>
    <w:basedOn w:val="a"/>
    <w:autoRedefine/>
    <w:uiPriority w:val="99"/>
    <w:qFormat/>
    <w:pPr>
      <w:widowControl/>
      <w:tabs>
        <w:tab w:val="left" w:pos="840"/>
        <w:tab w:val="left" w:pos="1418"/>
      </w:tabs>
      <w:spacing w:before="60" w:after="60"/>
      <w:ind w:left="1418" w:firstLineChars="200" w:hanging="284"/>
    </w:pPr>
    <w:rPr>
      <w:rFonts w:ascii="Courier New" w:hAnsi="Courier New" w:cs="仿宋_GB2312"/>
      <w:kern w:val="0"/>
      <w:sz w:val="22"/>
      <w:szCs w:val="20"/>
      <w:lang w:val="en-GB"/>
    </w:rPr>
  </w:style>
  <w:style w:type="paragraph" w:customStyle="1" w:styleId="4V">
    <w:name w:val="列表 4V"/>
    <w:basedOn w:val="46"/>
    <w:autoRedefine/>
    <w:uiPriority w:val="99"/>
    <w:qFormat/>
    <w:pPr>
      <w:tabs>
        <w:tab w:val="left" w:pos="1021"/>
      </w:tabs>
      <w:adjustRightInd/>
      <w:spacing w:before="156" w:afterLines="30" w:line="288" w:lineRule="auto"/>
      <w:ind w:left="1021" w:hanging="454"/>
      <w:textAlignment w:val="auto"/>
    </w:pPr>
    <w:rPr>
      <w:rFonts w:ascii="Courier New" w:hAnsi="Courier New" w:cs="仿宋_GB2312"/>
      <w:color w:val="CCFFFF"/>
      <w:kern w:val="2"/>
    </w:rPr>
  </w:style>
  <w:style w:type="paragraph" w:customStyle="1" w:styleId="afffffffffffffffffffffffffffffffff4">
    <w:name w:val="正文样式一"/>
    <w:basedOn w:val="a"/>
    <w:autoRedefine/>
    <w:uiPriority w:val="99"/>
    <w:qFormat/>
    <w:pPr>
      <w:adjustRightInd w:val="0"/>
      <w:spacing w:line="400" w:lineRule="atLeast"/>
      <w:ind w:firstLine="510"/>
      <w:textAlignment w:val="baseline"/>
    </w:pPr>
    <w:rPr>
      <w:rFonts w:ascii="仿宋_GB2312" w:hAnsi="仿宋_GB2312" w:cs="仿宋_GB2312"/>
      <w:kern w:val="0"/>
      <w:sz w:val="24"/>
      <w:szCs w:val="20"/>
    </w:rPr>
  </w:style>
  <w:style w:type="paragraph" w:customStyle="1" w:styleId="CharCharChar1CharCharCharCharCharCharChar">
    <w:name w:val="Char Char Char1 Char Char Char Char Char Char Char"/>
    <w:basedOn w:val="a"/>
    <w:autoRedefine/>
    <w:uiPriority w:val="99"/>
    <w:qFormat/>
    <w:rPr>
      <w:rFonts w:cs="Times New Roman"/>
      <w:sz w:val="24"/>
      <w:szCs w:val="24"/>
    </w:rPr>
  </w:style>
  <w:style w:type="paragraph" w:customStyle="1" w:styleId="5J">
    <w:name w:val="列表 5J"/>
    <w:basedOn w:val="56"/>
    <w:autoRedefine/>
    <w:uiPriority w:val="99"/>
    <w:qFormat/>
    <w:pPr>
      <w:tabs>
        <w:tab w:val="left" w:pos="1134"/>
      </w:tabs>
      <w:adjustRightInd/>
      <w:spacing w:beforeLines="0" w:line="240" w:lineRule="auto"/>
      <w:ind w:left="1134" w:hanging="425"/>
      <w:textAlignment w:val="auto"/>
    </w:pPr>
    <w:rPr>
      <w:rFonts w:ascii="Courier New" w:hAnsi="Courier New" w:cs="仿宋_GB2312"/>
      <w:color w:val="99CCFF"/>
      <w:kern w:val="2"/>
    </w:rPr>
  </w:style>
  <w:style w:type="paragraph" w:customStyle="1" w:styleId="03">
    <w:name w:val="样式 正文首行缩进（西藏格式） + 首行缩进:  0 厘米"/>
    <w:basedOn w:val="affffffffffffffffffffffffffff7"/>
    <w:autoRedefine/>
    <w:uiPriority w:val="99"/>
    <w:qFormat/>
    <w:rPr>
      <w:rFonts w:cs="宋体"/>
      <w:szCs w:val="20"/>
    </w:rPr>
  </w:style>
  <w:style w:type="paragraph" w:customStyle="1" w:styleId="1fffffffa">
    <w:name w:val="签名1"/>
    <w:basedOn w:val="a"/>
    <w:autoRedefine/>
    <w:uiPriority w:val="99"/>
    <w:qFormat/>
    <w:pPr>
      <w:ind w:leftChars="2100" w:left="100"/>
    </w:pPr>
    <w:rPr>
      <w:rFonts w:cs="Times New Roman"/>
      <w:kern w:val="0"/>
      <w:sz w:val="20"/>
      <w:szCs w:val="21"/>
    </w:rPr>
  </w:style>
  <w:style w:type="paragraph" w:customStyle="1" w:styleId="afffffffffffffffffffffffffffffffff5">
    <w:name w:val="样式 湛江钢铁正文 +"/>
    <w:basedOn w:val="a"/>
    <w:autoRedefine/>
    <w:uiPriority w:val="99"/>
    <w:qFormat/>
    <w:pPr>
      <w:adjustRightInd w:val="0"/>
      <w:spacing w:afterLines="25" w:line="360" w:lineRule="auto"/>
      <w:ind w:firstLineChars="200" w:firstLine="480"/>
      <w:jc w:val="left"/>
      <w:textAlignment w:val="baseline"/>
    </w:pPr>
    <w:rPr>
      <w:rFonts w:ascii="仿宋_GB2312" w:eastAsia="ˎ̥" w:hAnsi="仿宋_GB2312" w:cs="仿宋_GB2312"/>
      <w:color w:val="000000"/>
      <w:kern w:val="0"/>
      <w:sz w:val="24"/>
      <w:szCs w:val="24"/>
    </w:rPr>
  </w:style>
  <w:style w:type="paragraph" w:customStyle="1" w:styleId="CharCharChar1CharCharCharCharCharCharCharCharCharChar1">
    <w:name w:val="Char Char Char1 Char Char Char Char Char Char Char Char Char Char1"/>
    <w:basedOn w:val="a"/>
    <w:autoRedefine/>
    <w:uiPriority w:val="99"/>
    <w:qFormat/>
    <w:pPr>
      <w:spacing w:line="240" w:lineRule="atLeast"/>
      <w:ind w:left="420" w:firstLine="420"/>
    </w:pPr>
    <w:rPr>
      <w:rFonts w:cs="Times New Roman"/>
      <w:szCs w:val="24"/>
    </w:rPr>
  </w:style>
  <w:style w:type="paragraph" w:customStyle="1" w:styleId="2ffffff7">
    <w:name w:val="正文文字缩进2"/>
    <w:basedOn w:val="25"/>
    <w:autoRedefine/>
    <w:uiPriority w:val="99"/>
    <w:qFormat/>
    <w:pPr>
      <w:adjustRightInd w:val="0"/>
      <w:snapToGrid w:val="0"/>
      <w:spacing w:after="240" w:line="240" w:lineRule="auto"/>
      <w:ind w:leftChars="0" w:left="0"/>
      <w:jc w:val="center"/>
    </w:pPr>
    <w:rPr>
      <w:rFonts w:eastAsia="黑体" w:cs="Times New Roman"/>
      <w:snapToGrid w:val="0"/>
      <w:kern w:val="0"/>
      <w:sz w:val="20"/>
      <w:szCs w:val="21"/>
    </w:rPr>
  </w:style>
  <w:style w:type="paragraph" w:customStyle="1" w:styleId="afffffffffffffffffffffffffffffffff6">
    <w:name w:val="表格文字居中"/>
    <w:basedOn w:val="a"/>
    <w:next w:val="affff3"/>
    <w:autoRedefine/>
    <w:uiPriority w:val="99"/>
    <w:qFormat/>
    <w:pPr>
      <w:keepNext/>
      <w:tabs>
        <w:tab w:val="left" w:pos="628"/>
        <w:tab w:val="left" w:pos="1727"/>
        <w:tab w:val="left" w:pos="1884"/>
      </w:tabs>
      <w:adjustRightInd w:val="0"/>
      <w:snapToGrid w:val="0"/>
      <w:jc w:val="center"/>
    </w:pPr>
    <w:rPr>
      <w:rFonts w:ascii="宋体" w:hAnsi="宋体" w:cs="Times New Roman"/>
      <w:color w:val="000000"/>
      <w:kern w:val="0"/>
      <w:sz w:val="24"/>
      <w:szCs w:val="20"/>
    </w:rPr>
  </w:style>
  <w:style w:type="paragraph" w:customStyle="1" w:styleId="afffffffffffffffffffffffffffffffff7">
    <w:name w:val="副题目"/>
    <w:basedOn w:val="afff5"/>
    <w:autoRedefine/>
    <w:uiPriority w:val="99"/>
    <w:qFormat/>
    <w:pPr>
      <w:keepNext/>
      <w:keepLines/>
      <w:widowControl/>
      <w:snapToGrid/>
      <w:spacing w:beforeLines="100" w:before="240" w:after="100" w:afterAutospacing="1" w:line="600" w:lineRule="atLeast"/>
      <w:ind w:firstLineChars="0" w:firstLine="0"/>
    </w:pPr>
    <w:rPr>
      <w:rFonts w:ascii="Courier New" w:eastAsia="华文中宋" w:hAnsi="Courier New" w:cs="仿宋_GB2312"/>
      <w:iCs/>
      <w:color w:val="CC99FF"/>
      <w:spacing w:val="36"/>
      <w:kern w:val="28"/>
      <w:sz w:val="36"/>
      <w:szCs w:val="20"/>
      <w:lang w:bidi="he-IL"/>
    </w:rPr>
  </w:style>
  <w:style w:type="paragraph" w:customStyle="1" w:styleId="200150">
    <w:name w:val="样式 样式 标题 2 + 段前: 0 磅 段后: 0 磅 行距: 1.5 倍行距 + (中文) 黑体"/>
    <w:basedOn w:val="a"/>
    <w:autoRedefine/>
    <w:uiPriority w:val="99"/>
    <w:qFormat/>
    <w:pPr>
      <w:keepNext/>
      <w:widowControl/>
      <w:tabs>
        <w:tab w:val="left" w:pos="851"/>
      </w:tabs>
      <w:spacing w:line="360" w:lineRule="auto"/>
      <w:ind w:left="576" w:hanging="576"/>
      <w:outlineLvl w:val="1"/>
    </w:pPr>
    <w:rPr>
      <w:rFonts w:eastAsia="黑体" w:cs="宋体"/>
      <w:b/>
      <w:bCs/>
      <w:spacing w:val="20"/>
      <w:kern w:val="0"/>
      <w:sz w:val="24"/>
      <w:szCs w:val="24"/>
      <w:lang w:val="en-GB"/>
    </w:rPr>
  </w:style>
  <w:style w:type="paragraph" w:customStyle="1" w:styleId="Char280">
    <w:name w:val="Char28"/>
    <w:basedOn w:val="a"/>
    <w:autoRedefine/>
    <w:uiPriority w:val="99"/>
    <w:qFormat/>
    <w:rPr>
      <w:rFonts w:ascii="Tahoma" w:hAnsi="Tahoma" w:cs="Times New Roman"/>
      <w:sz w:val="24"/>
      <w:szCs w:val="20"/>
    </w:rPr>
  </w:style>
  <w:style w:type="paragraph" w:customStyle="1" w:styleId="afffffffffffffffffffffffffffffffff8">
    <w:name w:val="表内"/>
    <w:basedOn w:val="a"/>
    <w:next w:val="a"/>
    <w:autoRedefine/>
    <w:uiPriority w:val="99"/>
    <w:qFormat/>
    <w:pPr>
      <w:adjustRightInd w:val="0"/>
      <w:snapToGrid w:val="0"/>
      <w:spacing w:before="120" w:after="120" w:line="288" w:lineRule="auto"/>
      <w:jc w:val="center"/>
    </w:pPr>
    <w:rPr>
      <w:rFonts w:ascii="仿宋_GB2312" w:hAnsi="仿宋_GB2312" w:cs="仿宋_GB2312"/>
      <w:snapToGrid w:val="0"/>
      <w:szCs w:val="20"/>
    </w:rPr>
  </w:style>
  <w:style w:type="paragraph" w:customStyle="1" w:styleId="2B0">
    <w:name w:val="列表 2B"/>
    <w:basedOn w:val="24"/>
    <w:autoRedefine/>
    <w:uiPriority w:val="99"/>
    <w:qFormat/>
    <w:pPr>
      <w:tabs>
        <w:tab w:val="left" w:pos="737"/>
      </w:tabs>
      <w:adjustRightInd/>
      <w:spacing w:beforeLines="0" w:beforeAutospacing="1" w:after="100" w:afterAutospacing="1" w:line="288" w:lineRule="auto"/>
      <w:ind w:left="737" w:hanging="567"/>
      <w:textAlignment w:val="auto"/>
    </w:pPr>
    <w:rPr>
      <w:rFonts w:ascii="Courier New" w:hAnsi="Courier New" w:cs="仿宋_GB2312"/>
      <w:color w:val="FFFF99"/>
      <w:kern w:val="2"/>
    </w:rPr>
  </w:style>
  <w:style w:type="paragraph" w:customStyle="1" w:styleId="12e">
    <w:name w:val="日期12"/>
    <w:basedOn w:val="a"/>
    <w:next w:val="a"/>
    <w:autoRedefine/>
    <w:uiPriority w:val="99"/>
    <w:qFormat/>
    <w:pPr>
      <w:spacing w:line="360" w:lineRule="auto"/>
      <w:ind w:leftChars="2500" w:left="100" w:firstLineChars="200" w:firstLine="200"/>
    </w:pPr>
    <w:rPr>
      <w:rFonts w:ascii="Calibri" w:hAnsi="Calibri" w:cs="Times New Roman"/>
      <w:kern w:val="0"/>
      <w:sz w:val="24"/>
      <w:szCs w:val="20"/>
    </w:rPr>
  </w:style>
  <w:style w:type="paragraph" w:customStyle="1" w:styleId="afffffffffffffffffffffffffffffffff9">
    <w:name w:val="攀成钢一级标题"/>
    <w:basedOn w:val="a"/>
    <w:autoRedefine/>
    <w:uiPriority w:val="99"/>
    <w:qFormat/>
    <w:pPr>
      <w:spacing w:line="720" w:lineRule="auto"/>
      <w:outlineLvl w:val="0"/>
    </w:pPr>
    <w:rPr>
      <w:rFonts w:cs="Times New Roman"/>
      <w:b/>
      <w:snapToGrid w:val="0"/>
      <w:color w:val="008000"/>
      <w:kern w:val="0"/>
      <w:sz w:val="30"/>
      <w:szCs w:val="20"/>
    </w:rPr>
  </w:style>
  <w:style w:type="paragraph" w:customStyle="1" w:styleId="afffffffffffffffffffffffffffffffffa">
    <w:name w:val="文件名称"/>
    <w:basedOn w:val="a"/>
    <w:next w:val="a"/>
    <w:autoRedefine/>
    <w:uiPriority w:val="99"/>
    <w:qFormat/>
    <w:pPr>
      <w:spacing w:beforeLines="100" w:line="500" w:lineRule="atLeast"/>
      <w:jc w:val="center"/>
    </w:pPr>
    <w:rPr>
      <w:rFonts w:ascii="楷体" w:eastAsia="楷体" w:hAnsi="仿宋_GB2312" w:cs="仿宋_GB2312"/>
      <w:sz w:val="84"/>
      <w:szCs w:val="84"/>
    </w:rPr>
  </w:style>
  <w:style w:type="paragraph" w:customStyle="1" w:styleId="N1">
    <w:name w:val="列表 N"/>
    <w:basedOn w:val="ac"/>
    <w:autoRedefine/>
    <w:uiPriority w:val="99"/>
    <w:qFormat/>
    <w:pPr>
      <w:tabs>
        <w:tab w:val="left" w:pos="425"/>
      </w:tabs>
      <w:spacing w:beforeLines="100" w:afterLines="50" w:line="288" w:lineRule="auto"/>
      <w:ind w:left="425" w:firstLineChars="0" w:hanging="425"/>
    </w:pPr>
    <w:rPr>
      <w:rFonts w:eastAsia="宋体" w:cs="仿宋_GB2312"/>
      <w:b/>
      <w:bCs/>
      <w:color w:val="FF99CC"/>
      <w:sz w:val="24"/>
      <w:szCs w:val="20"/>
    </w:rPr>
  </w:style>
  <w:style w:type="paragraph" w:customStyle="1" w:styleId="afffffffffffffffffffffffffffffffffb">
    <w:name w:val="样式 小四"/>
    <w:basedOn w:val="a"/>
    <w:link w:val="Charffffff9"/>
    <w:autoRedefine/>
    <w:qFormat/>
    <w:pPr>
      <w:ind w:firstLineChars="200" w:firstLine="200"/>
    </w:pPr>
    <w:rPr>
      <w:rFonts w:cs="宋体"/>
      <w:sz w:val="24"/>
      <w:szCs w:val="20"/>
    </w:rPr>
  </w:style>
  <w:style w:type="character" w:customStyle="1" w:styleId="Charffffff9">
    <w:name w:val="样式 小四 Char"/>
    <w:link w:val="afffffffffffffffffffffffffffffffffb"/>
    <w:autoRedefine/>
    <w:qFormat/>
    <w:rPr>
      <w:rFonts w:cs="宋体"/>
      <w:kern w:val="2"/>
      <w:sz w:val="24"/>
    </w:rPr>
  </w:style>
  <w:style w:type="paragraph" w:customStyle="1" w:styleId="TimesNewRomanGB231225">
    <w:name w:val="样式 纯文本 + (西文) Times New Roman (中文) 楷体_GB2312 四号 行距: 固定值 25 磅"/>
    <w:basedOn w:val="aff4"/>
    <w:autoRedefine/>
    <w:uiPriority w:val="99"/>
    <w:qFormat/>
    <w:pPr>
      <w:snapToGrid w:val="0"/>
      <w:spacing w:line="500" w:lineRule="exact"/>
      <w:ind w:firstLineChars="200" w:firstLine="555"/>
    </w:pPr>
    <w:rPr>
      <w:rFonts w:ascii="仿宋_GB2312" w:eastAsia="经典叠圆体简" w:hAnsi="仿宋_GB2312" w:cs="Verdana"/>
      <w:sz w:val="28"/>
    </w:rPr>
  </w:style>
  <w:style w:type="paragraph" w:customStyle="1" w:styleId="181">
    <w:name w:val="18"/>
    <w:basedOn w:val="a"/>
    <w:autoRedefine/>
    <w:uiPriority w:val="99"/>
    <w:qFormat/>
    <w:pPr>
      <w:widowControl/>
      <w:snapToGrid w:val="0"/>
      <w:spacing w:before="120" w:after="100" w:afterAutospacing="1" w:line="240" w:lineRule="atLeast"/>
      <w:jc w:val="center"/>
    </w:pPr>
    <w:rPr>
      <w:rFonts w:cs="Times New Roman"/>
      <w:b/>
      <w:kern w:val="0"/>
      <w:sz w:val="24"/>
      <w:szCs w:val="20"/>
    </w:rPr>
  </w:style>
  <w:style w:type="paragraph" w:customStyle="1" w:styleId="2ffffff8">
    <w:name w:val="2文章"/>
    <w:basedOn w:val="1fff7"/>
    <w:autoRedefine/>
    <w:uiPriority w:val="99"/>
    <w:qFormat/>
    <w:pPr>
      <w:ind w:left="1260" w:hanging="693"/>
    </w:pPr>
  </w:style>
  <w:style w:type="paragraph" w:customStyle="1" w:styleId="afffffffffffffffffffffffffffffffffc">
    <w:name w:val="正文（西藏格式）"/>
    <w:basedOn w:val="a"/>
    <w:autoRedefine/>
    <w:uiPriority w:val="99"/>
    <w:qFormat/>
    <w:pPr>
      <w:adjustRightInd w:val="0"/>
      <w:snapToGrid w:val="0"/>
    </w:pPr>
    <w:rPr>
      <w:rFonts w:cs="Times New Roman"/>
      <w:snapToGrid w:val="0"/>
      <w:sz w:val="24"/>
      <w:szCs w:val="21"/>
    </w:rPr>
  </w:style>
  <w:style w:type="paragraph" w:customStyle="1" w:styleId="a10">
    <w:name w:val="a1"/>
    <w:basedOn w:val="a"/>
    <w:autoRedefine/>
    <w:uiPriority w:val="99"/>
    <w:qFormat/>
    <w:pPr>
      <w:widowControl/>
      <w:spacing w:before="100" w:beforeAutospacing="1" w:after="100" w:afterAutospacing="1" w:line="360" w:lineRule="auto"/>
      <w:ind w:firstLineChars="200" w:firstLine="200"/>
      <w:jc w:val="left"/>
    </w:pPr>
    <w:rPr>
      <w:rFonts w:ascii="宋体" w:hAnsi="宋体" w:cs="Times New Roman"/>
      <w:color w:val="000000"/>
      <w:kern w:val="0"/>
      <w:sz w:val="24"/>
      <w:szCs w:val="24"/>
    </w:rPr>
  </w:style>
  <w:style w:type="character" w:customStyle="1" w:styleId="1Chara">
    <w:name w:val="样式1 Char"/>
    <w:autoRedefine/>
    <w:qFormat/>
    <w:locked/>
    <w:rPr>
      <w:rFonts w:ascii="仿宋_GB2312" w:eastAsia="仿宋_GB2312"/>
      <w:sz w:val="28"/>
      <w:szCs w:val="28"/>
      <w:shd w:val="clear" w:color="auto" w:fill="FFFFFF"/>
    </w:rPr>
  </w:style>
  <w:style w:type="paragraph" w:customStyle="1" w:styleId="Char1100">
    <w:name w:val="Char110"/>
    <w:basedOn w:val="a"/>
    <w:autoRedefine/>
    <w:uiPriority w:val="99"/>
    <w:qFormat/>
    <w:pPr>
      <w:spacing w:line="360" w:lineRule="auto"/>
      <w:ind w:firstLineChars="200" w:firstLine="200"/>
    </w:pPr>
    <w:rPr>
      <w:rFonts w:cs="Times New Roman"/>
      <w:szCs w:val="21"/>
    </w:rPr>
  </w:style>
  <w:style w:type="paragraph" w:customStyle="1" w:styleId="075">
    <w:name w:val="样式  + 首行缩进:  0.75 厘米"/>
    <w:basedOn w:val="a"/>
    <w:autoRedefine/>
    <w:uiPriority w:val="99"/>
    <w:qFormat/>
    <w:pPr>
      <w:spacing w:line="360" w:lineRule="auto"/>
      <w:ind w:firstLineChars="200" w:firstLine="425"/>
      <w:jc w:val="left"/>
    </w:pPr>
    <w:rPr>
      <w:rFonts w:cs="Times New Roman"/>
      <w:bCs/>
      <w:sz w:val="24"/>
      <w:szCs w:val="24"/>
    </w:rPr>
  </w:style>
  <w:style w:type="paragraph" w:customStyle="1" w:styleId="09366181">
    <w:name w:val="样式 (符号) 宋体 首行缩进:  0.93 厘米 段前: 6 磅 段后: 6 磅 行距: 固定值 18 磅1"/>
    <w:basedOn w:val="a"/>
    <w:autoRedefine/>
    <w:uiPriority w:val="99"/>
    <w:qFormat/>
    <w:pPr>
      <w:spacing w:before="160" w:after="160" w:line="320" w:lineRule="exact"/>
      <w:ind w:firstLineChars="200" w:firstLine="527"/>
    </w:pPr>
    <w:rPr>
      <w:rFonts w:hAnsi="宋体" w:cs="Times New Roman"/>
      <w:sz w:val="24"/>
      <w:szCs w:val="20"/>
    </w:rPr>
  </w:style>
  <w:style w:type="paragraph" w:customStyle="1" w:styleId="Char200">
    <w:name w:val="Char20"/>
    <w:basedOn w:val="a"/>
    <w:autoRedefine/>
    <w:uiPriority w:val="99"/>
    <w:qFormat/>
    <w:pPr>
      <w:spacing w:line="360" w:lineRule="auto"/>
      <w:ind w:firstLineChars="200" w:firstLine="200"/>
    </w:pPr>
    <w:rPr>
      <w:rFonts w:cs="Times New Roman"/>
      <w:szCs w:val="20"/>
    </w:rPr>
  </w:style>
  <w:style w:type="character" w:customStyle="1" w:styleId="p111">
    <w:name w:val="p111"/>
    <w:autoRedefine/>
    <w:qFormat/>
    <w:rPr>
      <w:rFonts w:ascii="宋体" w:eastAsia="宋体" w:hAnsi="宋体" w:hint="eastAsia"/>
      <w:spacing w:val="330"/>
      <w:sz w:val="22"/>
      <w:szCs w:val="22"/>
      <w:u w:val="none"/>
    </w:rPr>
  </w:style>
  <w:style w:type="character" w:customStyle="1" w:styleId="test1">
    <w:name w:val="test1"/>
    <w:autoRedefine/>
    <w:qFormat/>
    <w:rPr>
      <w:rFonts w:ascii="ˎ̥" w:hAnsi="ˎ̥" w:hint="default"/>
      <w:color w:val="000000"/>
      <w:sz w:val="23"/>
      <w:szCs w:val="23"/>
      <w:u w:val="none"/>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autoRedefine/>
    <w:uiPriority w:val="99"/>
    <w:qFormat/>
    <w:pPr>
      <w:spacing w:line="360" w:lineRule="auto"/>
      <w:ind w:firstLineChars="200" w:firstLine="200"/>
    </w:pPr>
    <w:rPr>
      <w:rFonts w:ascii="宋体" w:hAnsi="宋体" w:cs="宋体"/>
      <w:sz w:val="24"/>
      <w:szCs w:val="24"/>
    </w:rPr>
  </w:style>
  <w:style w:type="paragraph" w:customStyle="1" w:styleId="CharCharChar2Char">
    <w:name w:val="Char Char Char2 Char"/>
    <w:basedOn w:val="a"/>
    <w:autoRedefine/>
    <w:uiPriority w:val="99"/>
    <w:qFormat/>
    <w:pPr>
      <w:spacing w:line="360" w:lineRule="auto"/>
      <w:ind w:firstLineChars="200" w:firstLine="200"/>
    </w:pPr>
    <w:rPr>
      <w:rFonts w:cs="Times New Roman"/>
      <w:szCs w:val="24"/>
    </w:rPr>
  </w:style>
  <w:style w:type="character" w:customStyle="1" w:styleId="020">
    <w:name w:val="样式 (西文) 宋体 字距调整小五 加宽量  0.2 磅"/>
    <w:autoRedefine/>
    <w:qFormat/>
    <w:rPr>
      <w:rFonts w:ascii="楷体_GB2312" w:eastAsia="楷体_GB2312" w:hAnsi="宋体"/>
      <w:color w:val="auto"/>
      <w:spacing w:val="4"/>
      <w:kern w:val="18"/>
      <w:sz w:val="24"/>
      <w:szCs w:val="24"/>
    </w:rPr>
  </w:style>
  <w:style w:type="character" w:customStyle="1" w:styleId="infodetail1">
    <w:name w:val="infodetail1"/>
    <w:autoRedefine/>
    <w:qFormat/>
    <w:rPr>
      <w:rFonts w:ascii="ˎ̥" w:hAnsi="ˎ̥" w:hint="default"/>
      <w:sz w:val="22"/>
      <w:szCs w:val="22"/>
    </w:rPr>
  </w:style>
  <w:style w:type="paragraph" w:customStyle="1" w:styleId="CharCharChar2Char9">
    <w:name w:val="Char Char Char2 Char9"/>
    <w:basedOn w:val="a"/>
    <w:autoRedefine/>
    <w:uiPriority w:val="99"/>
    <w:qFormat/>
    <w:pPr>
      <w:spacing w:line="360" w:lineRule="auto"/>
      <w:ind w:firstLineChars="200" w:firstLine="200"/>
    </w:pPr>
    <w:rPr>
      <w:rFonts w:cs="Times New Roman"/>
      <w:szCs w:val="24"/>
    </w:rPr>
  </w:style>
  <w:style w:type="character" w:customStyle="1" w:styleId="company-content">
    <w:name w:val="company-content"/>
    <w:autoRedefine/>
    <w:qFormat/>
  </w:style>
  <w:style w:type="paragraph" w:customStyle="1" w:styleId="afffffffffffffffffffffffffffffffffd">
    <w:name w:val="蘑菇段落"/>
    <w:basedOn w:val="a"/>
    <w:link w:val="Charffffffa"/>
    <w:autoRedefine/>
    <w:qFormat/>
    <w:pPr>
      <w:autoSpaceDE w:val="0"/>
      <w:autoSpaceDN w:val="0"/>
      <w:adjustRightInd w:val="0"/>
      <w:snapToGrid w:val="0"/>
      <w:spacing w:line="360" w:lineRule="auto"/>
      <w:ind w:firstLineChars="200" w:firstLine="200"/>
    </w:pPr>
    <w:rPr>
      <w:rFonts w:ascii="宋体" w:hAnsi="宋体" w:cs="Times New Roman"/>
      <w:kern w:val="0"/>
      <w:sz w:val="24"/>
      <w:szCs w:val="24"/>
      <w:lang w:val="zh-CN"/>
    </w:rPr>
  </w:style>
  <w:style w:type="character" w:customStyle="1" w:styleId="Charffffffa">
    <w:name w:val="蘑菇段落 Char"/>
    <w:link w:val="afffffffffffffffffffffffffffffffffd"/>
    <w:autoRedefine/>
    <w:qFormat/>
    <w:rPr>
      <w:rFonts w:ascii="宋体" w:hAnsi="宋体"/>
      <w:sz w:val="24"/>
      <w:szCs w:val="24"/>
      <w:lang w:val="zh-CN"/>
    </w:rPr>
  </w:style>
  <w:style w:type="paragraph" w:customStyle="1" w:styleId="afffffffffffffffffffffffffffffffffe">
    <w:name w:val="正文修改"/>
    <w:basedOn w:val="a"/>
    <w:link w:val="Charffffffb"/>
    <w:autoRedefine/>
    <w:qFormat/>
    <w:pPr>
      <w:spacing w:line="360" w:lineRule="auto"/>
      <w:ind w:firstLineChars="200" w:firstLine="480"/>
    </w:pPr>
    <w:rPr>
      <w:rFonts w:cs="Times New Roman"/>
      <w:bCs/>
      <w:sz w:val="24"/>
      <w:szCs w:val="20"/>
      <w:lang w:val="zh-CN"/>
    </w:rPr>
  </w:style>
  <w:style w:type="character" w:customStyle="1" w:styleId="Charffffffb">
    <w:name w:val="正文修改 Char"/>
    <w:link w:val="afffffffffffffffffffffffffffffffffe"/>
    <w:autoRedefine/>
    <w:qFormat/>
    <w:rPr>
      <w:bCs/>
      <w:kern w:val="2"/>
      <w:sz w:val="24"/>
      <w:lang w:val="zh-CN"/>
    </w:rPr>
  </w:style>
  <w:style w:type="paragraph" w:customStyle="1" w:styleId="3fffb">
    <w:name w:val="3级新"/>
    <w:basedOn w:val="2fff2"/>
    <w:link w:val="3Charc"/>
    <w:autoRedefine/>
    <w:qFormat/>
  </w:style>
  <w:style w:type="character" w:customStyle="1" w:styleId="3Charc">
    <w:name w:val="3级新 Char"/>
    <w:link w:val="3fffb"/>
    <w:autoRedefine/>
    <w:qFormat/>
    <w:rPr>
      <w:b/>
      <w:kern w:val="2"/>
      <w:sz w:val="28"/>
      <w:szCs w:val="28"/>
    </w:rPr>
  </w:style>
  <w:style w:type="paragraph" w:customStyle="1" w:styleId="1fffffffb">
    <w:name w:val="正文修改1"/>
    <w:basedOn w:val="25"/>
    <w:link w:val="1Charb"/>
    <w:autoRedefine/>
    <w:uiPriority w:val="99"/>
    <w:qFormat/>
    <w:pPr>
      <w:spacing w:after="0" w:line="360" w:lineRule="auto"/>
      <w:ind w:leftChars="0" w:left="0" w:firstLineChars="200" w:firstLine="480"/>
    </w:pPr>
    <w:rPr>
      <w:rFonts w:eastAsia="Times New Roman" w:cs="Times New Roman"/>
      <w:sz w:val="24"/>
      <w:szCs w:val="24"/>
      <w:lang w:val="zh-CN"/>
    </w:rPr>
  </w:style>
  <w:style w:type="character" w:customStyle="1" w:styleId="1Charb">
    <w:name w:val="正文修改1 Char"/>
    <w:link w:val="1fffffffb"/>
    <w:autoRedefine/>
    <w:uiPriority w:val="99"/>
    <w:qFormat/>
    <w:rPr>
      <w:rFonts w:eastAsia="Times New Roman"/>
      <w:kern w:val="2"/>
      <w:sz w:val="24"/>
      <w:szCs w:val="24"/>
      <w:lang w:val="zh-CN"/>
    </w:rPr>
  </w:style>
  <w:style w:type="paragraph" w:customStyle="1" w:styleId="3fffc">
    <w:name w:val="3级改"/>
    <w:basedOn w:val="2fff2"/>
    <w:link w:val="3Chard"/>
    <w:autoRedefine/>
    <w:qFormat/>
  </w:style>
  <w:style w:type="character" w:customStyle="1" w:styleId="3Chard">
    <w:name w:val="3级改 Char"/>
    <w:link w:val="3fffc"/>
    <w:autoRedefine/>
    <w:qFormat/>
    <w:rPr>
      <w:b/>
      <w:kern w:val="2"/>
      <w:sz w:val="28"/>
      <w:szCs w:val="28"/>
    </w:rPr>
  </w:style>
  <w:style w:type="paragraph" w:customStyle="1" w:styleId="4ff5">
    <w:name w:val="4级改"/>
    <w:basedOn w:val="3fffc"/>
    <w:link w:val="4Char3"/>
    <w:autoRedefine/>
    <w:qFormat/>
  </w:style>
  <w:style w:type="character" w:customStyle="1" w:styleId="4Char3">
    <w:name w:val="4级改 Char"/>
    <w:link w:val="4ff5"/>
    <w:autoRedefine/>
    <w:qFormat/>
    <w:rPr>
      <w:b/>
      <w:kern w:val="2"/>
      <w:sz w:val="28"/>
      <w:szCs w:val="28"/>
    </w:rPr>
  </w:style>
  <w:style w:type="paragraph" w:customStyle="1" w:styleId="GB23120">
    <w:name w:val="样式 仿宋_GB2312 四号"/>
    <w:basedOn w:val="a"/>
    <w:autoRedefine/>
    <w:uiPriority w:val="99"/>
    <w:qFormat/>
    <w:pPr>
      <w:spacing w:line="360" w:lineRule="auto"/>
      <w:ind w:firstLineChars="200" w:firstLine="520"/>
      <w:outlineLvl w:val="0"/>
    </w:pPr>
    <w:rPr>
      <w:rFonts w:cs="Times New Roman"/>
      <w:spacing w:val="10"/>
      <w:sz w:val="24"/>
      <w:szCs w:val="20"/>
    </w:rPr>
  </w:style>
  <w:style w:type="paragraph" w:customStyle="1" w:styleId="CharCharCharCharCharChar1Char9">
    <w:name w:val="Char Char Char Char Char Char1 Char9"/>
    <w:basedOn w:val="a"/>
    <w:autoRedefine/>
    <w:uiPriority w:val="99"/>
    <w:qFormat/>
    <w:pPr>
      <w:spacing w:line="360" w:lineRule="auto"/>
      <w:ind w:firstLineChars="200" w:firstLine="200"/>
    </w:pPr>
    <w:rPr>
      <w:rFonts w:cs="Times New Roman"/>
      <w:sz w:val="24"/>
      <w:szCs w:val="24"/>
    </w:rPr>
  </w:style>
  <w:style w:type="paragraph" w:customStyle="1" w:styleId="1240">
    <w:name w:val="样式 标题 1 + 三号 行距: 最小值 24 磅"/>
    <w:basedOn w:val="1"/>
    <w:autoRedefine/>
    <w:uiPriority w:val="99"/>
    <w:qFormat/>
    <w:pPr>
      <w:keepLines w:val="0"/>
      <w:numPr>
        <w:numId w:val="0"/>
      </w:numPr>
      <w:tabs>
        <w:tab w:val="left" w:pos="870"/>
      </w:tabs>
      <w:ind w:firstLine="510"/>
      <w:jc w:val="both"/>
    </w:pPr>
    <w:rPr>
      <w:rFonts w:cs="Times New Roman"/>
      <w:b w:val="0"/>
      <w:bCs w:val="0"/>
      <w:i/>
      <w:iCs/>
      <w:kern w:val="2"/>
      <w:sz w:val="28"/>
      <w:szCs w:val="24"/>
    </w:rPr>
  </w:style>
  <w:style w:type="paragraph" w:customStyle="1" w:styleId="31c">
    <w:name w:val="标题 31"/>
    <w:basedOn w:val="a"/>
    <w:next w:val="a"/>
    <w:autoRedefine/>
    <w:uiPriority w:val="99"/>
    <w:qFormat/>
    <w:pPr>
      <w:keepNext/>
      <w:adjustRightInd w:val="0"/>
      <w:spacing w:before="120" w:after="120" w:line="312" w:lineRule="atLeast"/>
      <w:ind w:firstLineChars="200" w:firstLine="200"/>
      <w:textAlignment w:val="baseline"/>
      <w:outlineLvl w:val="2"/>
    </w:pPr>
    <w:rPr>
      <w:rFonts w:ascii="Arial" w:hAnsi="Arial" w:cs="Times New Roman"/>
      <w:b/>
      <w:kern w:val="0"/>
      <w:sz w:val="26"/>
      <w:szCs w:val="20"/>
    </w:rPr>
  </w:style>
  <w:style w:type="character" w:customStyle="1" w:styleId="4CharChar4">
    <w:name w:val="4级改 Char Char"/>
    <w:autoRedefine/>
    <w:qFormat/>
    <w:rPr>
      <w:rFonts w:eastAsia="黑体"/>
      <w:b/>
      <w:bCs/>
      <w:kern w:val="2"/>
      <w:sz w:val="24"/>
      <w:szCs w:val="24"/>
      <w:lang w:bidi="ar-SA"/>
    </w:rPr>
  </w:style>
  <w:style w:type="character" w:customStyle="1" w:styleId="CharCharfffe">
    <w:name w:val="蘑菇段落 Char Char"/>
    <w:autoRedefine/>
    <w:qFormat/>
    <w:rPr>
      <w:rFonts w:ascii="宋体" w:hAnsi="宋体"/>
      <w:sz w:val="24"/>
      <w:szCs w:val="24"/>
      <w:lang w:bidi="ar-SA"/>
    </w:rPr>
  </w:style>
  <w:style w:type="character" w:customStyle="1" w:styleId="2CharChar7">
    <w:name w:val="2级标题 Char Char"/>
    <w:autoRedefine/>
    <w:qFormat/>
    <w:rPr>
      <w:rFonts w:ascii="Arial" w:eastAsia="黑体" w:hAnsi="Arial"/>
      <w:b/>
      <w:bCs/>
      <w:kern w:val="2"/>
      <w:sz w:val="28"/>
      <w:szCs w:val="28"/>
      <w:lang w:bidi="ar-SA"/>
    </w:rPr>
  </w:style>
  <w:style w:type="character" w:customStyle="1" w:styleId="2CharChar8">
    <w:name w:val="2级 Char Char"/>
    <w:autoRedefine/>
    <w:qFormat/>
  </w:style>
  <w:style w:type="character" w:customStyle="1" w:styleId="3CharChar5">
    <w:name w:val="3级改 Char Char"/>
    <w:autoRedefine/>
    <w:qFormat/>
    <w:rPr>
      <w:rFonts w:eastAsia="黑体"/>
      <w:b/>
      <w:bCs/>
      <w:kern w:val="2"/>
      <w:sz w:val="24"/>
      <w:szCs w:val="28"/>
      <w:lang w:bidi="ar-SA"/>
    </w:rPr>
  </w:style>
  <w:style w:type="character" w:customStyle="1" w:styleId="3CharChar6">
    <w:name w:val="3级新 Char Char"/>
    <w:autoRedefine/>
    <w:qFormat/>
    <w:rPr>
      <w:rFonts w:ascii="Arial" w:eastAsia="黑体" w:hAnsi="Arial"/>
      <w:b/>
      <w:bCs/>
      <w:kern w:val="2"/>
      <w:sz w:val="24"/>
      <w:szCs w:val="28"/>
      <w:lang w:bidi="ar-SA"/>
    </w:rPr>
  </w:style>
  <w:style w:type="character" w:customStyle="1" w:styleId="3CharChar7">
    <w:name w:val="3级标题 Char Char"/>
    <w:autoRedefine/>
    <w:qFormat/>
    <w:rPr>
      <w:rFonts w:ascii="Arial" w:eastAsia="黑体" w:hAnsi="Arial"/>
      <w:b/>
      <w:sz w:val="24"/>
      <w:szCs w:val="24"/>
      <w:lang w:bidi="ar-SA"/>
    </w:rPr>
  </w:style>
  <w:style w:type="character" w:customStyle="1" w:styleId="1CharChar5">
    <w:name w:val="1级标题 Char Char"/>
    <w:autoRedefine/>
    <w:qFormat/>
    <w:rPr>
      <w:rFonts w:ascii="Arial" w:eastAsia="宋体" w:hAnsi="Arial" w:cs="Arial"/>
      <w:b/>
      <w:bCs/>
      <w:kern w:val="32"/>
      <w:sz w:val="32"/>
      <w:szCs w:val="32"/>
      <w:lang w:val="en-US" w:eastAsia="zh-CN" w:bidi="ar-SA"/>
    </w:rPr>
  </w:style>
  <w:style w:type="character" w:customStyle="1" w:styleId="CharCharffff">
    <w:name w:val="正文修改 Char Char"/>
    <w:autoRedefine/>
    <w:qFormat/>
    <w:rPr>
      <w:rFonts w:eastAsia="宋体"/>
      <w:bCs/>
      <w:kern w:val="2"/>
      <w:sz w:val="24"/>
      <w:lang w:bidi="ar-SA"/>
    </w:rPr>
  </w:style>
  <w:style w:type="character" w:customStyle="1" w:styleId="1CharChar6">
    <w:name w:val="1级 Char Char"/>
    <w:autoRedefine/>
    <w:qFormat/>
    <w:rPr>
      <w:rFonts w:eastAsia="黑体"/>
      <w:b/>
      <w:bCs/>
      <w:kern w:val="2"/>
      <w:sz w:val="32"/>
      <w:szCs w:val="32"/>
      <w:lang w:bidi="ar-SA"/>
    </w:rPr>
  </w:style>
  <w:style w:type="character" w:customStyle="1" w:styleId="3CharChar8">
    <w:name w:val="3级 Char Char"/>
    <w:autoRedefine/>
    <w:qFormat/>
  </w:style>
  <w:style w:type="character" w:customStyle="1" w:styleId="1CharChar7">
    <w:name w:val="正文修改1 Char Char"/>
    <w:autoRedefine/>
    <w:qFormat/>
    <w:rPr>
      <w:kern w:val="2"/>
      <w:sz w:val="24"/>
      <w:szCs w:val="24"/>
      <w:lang w:bidi="ar-SA"/>
    </w:rPr>
  </w:style>
  <w:style w:type="character" w:customStyle="1" w:styleId="headline-content">
    <w:name w:val="headline-content"/>
    <w:autoRedefine/>
    <w:qFormat/>
  </w:style>
  <w:style w:type="character" w:customStyle="1" w:styleId="headline-1-index">
    <w:name w:val="headline-1-index"/>
    <w:autoRedefine/>
    <w:qFormat/>
  </w:style>
  <w:style w:type="character" w:customStyle="1" w:styleId="textediteditable-title">
    <w:name w:val="text_edit editable-title"/>
    <w:autoRedefine/>
    <w:qFormat/>
  </w:style>
  <w:style w:type="paragraph" w:customStyle="1" w:styleId="513">
    <w:name w:val="标题 51"/>
    <w:basedOn w:val="a"/>
    <w:next w:val="a"/>
    <w:autoRedefine/>
    <w:uiPriority w:val="99"/>
    <w:qFormat/>
    <w:pPr>
      <w:keepNext/>
      <w:keepLines/>
      <w:tabs>
        <w:tab w:val="left" w:pos="360"/>
      </w:tabs>
      <w:adjustRightInd w:val="0"/>
      <w:spacing w:before="120" w:after="120" w:line="460" w:lineRule="exact"/>
      <w:ind w:firstLineChars="200" w:firstLine="200"/>
      <w:textAlignment w:val="baseline"/>
      <w:outlineLvl w:val="4"/>
    </w:pPr>
    <w:rPr>
      <w:rFonts w:ascii="Arial" w:eastAsia="仿宋_GB2312" w:cs="Times New Roman"/>
      <w:kern w:val="0"/>
      <w:sz w:val="24"/>
      <w:szCs w:val="20"/>
    </w:rPr>
  </w:style>
  <w:style w:type="paragraph" w:customStyle="1" w:styleId="910">
    <w:name w:val="标题 91"/>
    <w:basedOn w:val="a"/>
    <w:next w:val="a"/>
    <w:autoRedefine/>
    <w:uiPriority w:val="99"/>
    <w:qFormat/>
    <w:pPr>
      <w:tabs>
        <w:tab w:val="left" w:pos="984"/>
      </w:tabs>
      <w:spacing w:line="460" w:lineRule="exact"/>
      <w:ind w:left="340" w:firstLineChars="200" w:firstLine="284"/>
      <w:outlineLvl w:val="8"/>
    </w:pPr>
    <w:rPr>
      <w:rFonts w:eastAsia="仿宋_GB2312" w:cs="Times New Roman"/>
      <w:sz w:val="24"/>
      <w:szCs w:val="20"/>
    </w:rPr>
  </w:style>
  <w:style w:type="paragraph" w:customStyle="1" w:styleId="813">
    <w:name w:val="标题 81"/>
    <w:basedOn w:val="a"/>
    <w:next w:val="a"/>
    <w:autoRedefine/>
    <w:uiPriority w:val="99"/>
    <w:qFormat/>
    <w:pPr>
      <w:tabs>
        <w:tab w:val="left" w:pos="870"/>
      </w:tabs>
      <w:spacing w:before="120" w:after="120" w:line="460" w:lineRule="exact"/>
      <w:ind w:firstLineChars="200" w:firstLine="510"/>
      <w:outlineLvl w:val="7"/>
    </w:pPr>
    <w:rPr>
      <w:rFonts w:eastAsia="仿宋_GB2312" w:cs="Times New Roman"/>
      <w:sz w:val="24"/>
      <w:szCs w:val="20"/>
    </w:rPr>
  </w:style>
  <w:style w:type="paragraph" w:customStyle="1" w:styleId="612">
    <w:name w:val="标题 61"/>
    <w:basedOn w:val="a"/>
    <w:next w:val="a"/>
    <w:autoRedefine/>
    <w:uiPriority w:val="99"/>
    <w:qFormat/>
    <w:pPr>
      <w:keepNext/>
      <w:keepLines/>
      <w:tabs>
        <w:tab w:val="left" w:pos="360"/>
      </w:tabs>
      <w:adjustRightInd w:val="0"/>
      <w:spacing w:before="120" w:after="120" w:line="460" w:lineRule="exact"/>
      <w:ind w:firstLineChars="200" w:firstLine="200"/>
      <w:textAlignment w:val="baseline"/>
      <w:outlineLvl w:val="5"/>
    </w:pPr>
    <w:rPr>
      <w:rFonts w:ascii="Arial" w:eastAsia="仿宋_GB2312" w:hAnsi="Arial" w:cs="Times New Roman"/>
      <w:kern w:val="0"/>
      <w:sz w:val="24"/>
      <w:szCs w:val="20"/>
    </w:rPr>
  </w:style>
  <w:style w:type="paragraph" w:customStyle="1" w:styleId="712">
    <w:name w:val="标题 71"/>
    <w:basedOn w:val="a"/>
    <w:next w:val="a"/>
    <w:autoRedefine/>
    <w:uiPriority w:val="99"/>
    <w:qFormat/>
    <w:pPr>
      <w:tabs>
        <w:tab w:val="left" w:pos="785"/>
      </w:tabs>
      <w:spacing w:before="120" w:after="120" w:line="460" w:lineRule="exact"/>
      <w:ind w:firstLineChars="200" w:firstLine="425"/>
      <w:outlineLvl w:val="6"/>
    </w:pPr>
    <w:rPr>
      <w:rFonts w:eastAsia="仿宋_GB2312" w:cs="Times New Roman"/>
      <w:sz w:val="24"/>
      <w:szCs w:val="20"/>
    </w:rPr>
  </w:style>
  <w:style w:type="character" w:customStyle="1" w:styleId="keyword1">
    <w:name w:val="keyword1"/>
    <w:autoRedefine/>
    <w:qFormat/>
    <w:rPr>
      <w:color w:val="FF0000"/>
    </w:rPr>
  </w:style>
  <w:style w:type="character" w:customStyle="1" w:styleId="d1">
    <w:name w:val="d1"/>
    <w:autoRedefine/>
    <w:qFormat/>
    <w:rPr>
      <w:rFonts w:ascii="ˎ̥" w:hAnsi="ˎ̥" w:hint="default"/>
      <w:b/>
      <w:color w:val="0000CC"/>
      <w:sz w:val="21"/>
    </w:rPr>
  </w:style>
  <w:style w:type="character" w:customStyle="1" w:styleId="style51">
    <w:name w:val="style51"/>
    <w:autoRedefine/>
    <w:qFormat/>
    <w:rPr>
      <w:b/>
      <w:color w:val="000066"/>
      <w:sz w:val="36"/>
    </w:rPr>
  </w:style>
  <w:style w:type="character" w:customStyle="1" w:styleId="style7">
    <w:name w:val="style7"/>
    <w:autoRedefine/>
    <w:qFormat/>
  </w:style>
  <w:style w:type="character" w:customStyle="1" w:styleId="hilite">
    <w:name w:val="hilite"/>
    <w:autoRedefine/>
    <w:qFormat/>
  </w:style>
  <w:style w:type="paragraph" w:customStyle="1" w:styleId="Charffffffc">
    <w:name w:val="册除格式 Char"/>
    <w:autoRedefine/>
    <w:uiPriority w:val="99"/>
    <w:qFormat/>
    <w:pPr>
      <w:spacing w:line="360" w:lineRule="auto"/>
      <w:ind w:firstLine="482"/>
    </w:pPr>
    <w:rPr>
      <w:rFonts w:ascii="黑体" w:hAnsi="Arial"/>
      <w:snapToGrid w:val="0"/>
      <w:spacing w:val="4"/>
      <w:kern w:val="18"/>
      <w:sz w:val="24"/>
    </w:rPr>
  </w:style>
  <w:style w:type="paragraph" w:customStyle="1" w:styleId="001">
    <w:name w:val="正文001"/>
    <w:basedOn w:val="a"/>
    <w:link w:val="001Char"/>
    <w:autoRedefine/>
    <w:qFormat/>
    <w:pPr>
      <w:spacing w:line="440" w:lineRule="atLeast"/>
      <w:ind w:firstLineChars="200" w:firstLine="200"/>
    </w:pPr>
    <w:rPr>
      <w:rFonts w:cs="Times New Roman"/>
      <w:kern w:val="0"/>
      <w:sz w:val="24"/>
      <w:szCs w:val="20"/>
      <w:lang w:val="zh-CN"/>
    </w:rPr>
  </w:style>
  <w:style w:type="character" w:customStyle="1" w:styleId="001Char">
    <w:name w:val="正文001 Char"/>
    <w:link w:val="001"/>
    <w:autoRedefine/>
    <w:qFormat/>
    <w:rPr>
      <w:sz w:val="24"/>
      <w:lang w:val="zh-CN"/>
    </w:rPr>
  </w:style>
  <w:style w:type="paragraph" w:customStyle="1" w:styleId="Char2CharCharCharCharCharCharCharCharCharCharCharChar">
    <w:name w:val="Char2 Char Char Char Char Char Char Char Char Char Char Char Char"/>
    <w:basedOn w:val="a"/>
    <w:autoRedefine/>
    <w:uiPriority w:val="99"/>
    <w:qFormat/>
    <w:pPr>
      <w:spacing w:line="360" w:lineRule="auto"/>
      <w:ind w:firstLineChars="200" w:firstLine="200"/>
    </w:pPr>
    <w:rPr>
      <w:rFonts w:cs="Times New Roman"/>
      <w:szCs w:val="20"/>
    </w:rPr>
  </w:style>
  <w:style w:type="paragraph" w:customStyle="1" w:styleId="affffffffffffffffffffffffffffffffff">
    <w:name w:val="（空格行"/>
    <w:basedOn w:val="a"/>
    <w:autoRedefine/>
    <w:uiPriority w:val="99"/>
    <w:qFormat/>
    <w:pPr>
      <w:spacing w:line="360" w:lineRule="auto"/>
      <w:ind w:firstLineChars="200" w:firstLine="480"/>
    </w:pPr>
    <w:rPr>
      <w:rFonts w:eastAsia="仿宋_GB2312" w:cs="Times New Roman"/>
      <w:sz w:val="24"/>
      <w:szCs w:val="20"/>
    </w:rPr>
  </w:style>
  <w:style w:type="paragraph" w:customStyle="1" w:styleId="affffffffffffffffffffffffffffffffff0">
    <w:name w:val="样式 宋体 居中"/>
    <w:basedOn w:val="a"/>
    <w:autoRedefine/>
    <w:uiPriority w:val="99"/>
    <w:qFormat/>
    <w:pPr>
      <w:adjustRightInd w:val="0"/>
      <w:spacing w:line="360" w:lineRule="auto"/>
      <w:ind w:firstLineChars="200" w:firstLine="200"/>
      <w:textAlignment w:val="baseline"/>
    </w:pPr>
    <w:rPr>
      <w:rFonts w:ascii="宋体" w:hAnsi="宋体" w:cs="Times New Roman"/>
      <w:kern w:val="21"/>
      <w:sz w:val="24"/>
      <w:szCs w:val="20"/>
    </w:rPr>
  </w:style>
  <w:style w:type="paragraph" w:customStyle="1" w:styleId="311085">
    <w:name w:val="样式 样式 样式 标题 3 + 首行缩进:  1 字符 + 首行缩进:  1 字符 + 首行缩进:  0.85 厘米"/>
    <w:basedOn w:val="a"/>
    <w:autoRedefine/>
    <w:uiPriority w:val="99"/>
    <w:qFormat/>
    <w:pPr>
      <w:keepNext/>
      <w:keepLines/>
      <w:spacing w:before="100" w:after="100" w:line="360" w:lineRule="auto"/>
      <w:ind w:firstLineChars="100" w:firstLine="100"/>
      <w:outlineLvl w:val="2"/>
    </w:pPr>
    <w:rPr>
      <w:rFonts w:ascii="Arial" w:eastAsia="黑体" w:hAnsi="Arial" w:cs="Arial"/>
      <w:sz w:val="24"/>
      <w:szCs w:val="20"/>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autoRedefine/>
    <w:uiPriority w:val="99"/>
    <w:qFormat/>
    <w:pPr>
      <w:spacing w:line="360" w:lineRule="auto"/>
      <w:ind w:firstLineChars="200" w:firstLine="200"/>
    </w:pPr>
    <w:rPr>
      <w:rFonts w:ascii="宋体" w:hAnsi="宋体" w:cs="宋体"/>
      <w:sz w:val="24"/>
      <w:szCs w:val="24"/>
    </w:rPr>
  </w:style>
  <w:style w:type="paragraph" w:customStyle="1" w:styleId="CharCharCharCharf0">
    <w:name w:val="正文 Char Char Char Char"/>
    <w:basedOn w:val="a"/>
    <w:next w:val="a"/>
    <w:autoRedefine/>
    <w:uiPriority w:val="99"/>
    <w:qFormat/>
    <w:pPr>
      <w:adjustRightInd w:val="0"/>
      <w:spacing w:line="360" w:lineRule="auto"/>
      <w:ind w:firstLineChars="200" w:firstLine="482"/>
      <w:jc w:val="left"/>
      <w:textAlignment w:val="baseline"/>
    </w:pPr>
    <w:rPr>
      <w:rFonts w:ascii="宋体" w:cs="Times New Roman"/>
      <w:snapToGrid w:val="0"/>
      <w:kern w:val="21"/>
      <w:sz w:val="24"/>
      <w:szCs w:val="24"/>
    </w:rPr>
  </w:style>
  <w:style w:type="paragraph" w:customStyle="1" w:styleId="CharCharChar1CharCharCharCharCharCharChar1">
    <w:name w:val="Char Char Char1 Char Char Char Char Char Char Char1"/>
    <w:basedOn w:val="a"/>
    <w:autoRedefine/>
    <w:uiPriority w:val="99"/>
    <w:qFormat/>
    <w:pPr>
      <w:adjustRightInd w:val="0"/>
      <w:spacing w:line="312" w:lineRule="auto"/>
      <w:ind w:firstLineChars="200" w:firstLine="200"/>
    </w:pPr>
    <w:rPr>
      <w:rFonts w:cs="Times New Roman"/>
      <w:szCs w:val="20"/>
    </w:rPr>
  </w:style>
  <w:style w:type="paragraph" w:customStyle="1" w:styleId="CharChar1CharCharCharCharCharCharCharCharCharCharCharCharCharCharCharCharCharCharCharChar1Char3">
    <w:name w:val="Char Char1 Char Char Char Char Char Char Char Char Char Char Char Char Char Char Char Char Char Char Char Char1 Char3"/>
    <w:basedOn w:val="a"/>
    <w:autoRedefine/>
    <w:uiPriority w:val="99"/>
    <w:qFormat/>
    <w:pPr>
      <w:spacing w:line="360" w:lineRule="auto"/>
      <w:ind w:firstLineChars="200" w:firstLine="200"/>
    </w:pPr>
    <w:rPr>
      <w:rFonts w:ascii="宋体" w:hAnsi="宋体" w:cs="宋体"/>
      <w:sz w:val="24"/>
      <w:szCs w:val="24"/>
    </w:rPr>
  </w:style>
  <w:style w:type="character" w:customStyle="1" w:styleId="black141">
    <w:name w:val="black141"/>
    <w:autoRedefine/>
    <w:qFormat/>
    <w:rPr>
      <w:color w:val="000000"/>
      <w:sz w:val="21"/>
      <w:szCs w:val="21"/>
    </w:rPr>
  </w:style>
  <w:style w:type="paragraph" w:customStyle="1" w:styleId="Char190">
    <w:name w:val="Char19"/>
    <w:basedOn w:val="a"/>
    <w:autoRedefine/>
    <w:uiPriority w:val="99"/>
    <w:qFormat/>
    <w:pPr>
      <w:spacing w:line="360" w:lineRule="auto"/>
      <w:ind w:firstLineChars="200" w:firstLine="200"/>
    </w:pPr>
    <w:rPr>
      <w:rFonts w:ascii="宋体" w:hAnsi="宋体" w:cs="宋体"/>
      <w:sz w:val="24"/>
      <w:szCs w:val="24"/>
    </w:rPr>
  </w:style>
  <w:style w:type="paragraph" w:customStyle="1" w:styleId="affffffffffffffffffffffffffffffffff1">
    <w:name w:val="缩进正文"/>
    <w:basedOn w:val="a"/>
    <w:autoRedefine/>
    <w:uiPriority w:val="99"/>
    <w:qFormat/>
    <w:pPr>
      <w:adjustRightInd w:val="0"/>
      <w:snapToGrid w:val="0"/>
      <w:spacing w:line="534" w:lineRule="atLeast"/>
      <w:ind w:firstLineChars="200" w:firstLine="567"/>
    </w:pPr>
    <w:rPr>
      <w:rFonts w:ascii="宋体" w:hAnsi="宋体" w:cs="Times New Roman"/>
      <w:sz w:val="24"/>
      <w:szCs w:val="24"/>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
    <w:autoRedefine/>
    <w:uiPriority w:val="99"/>
    <w:qFormat/>
    <w:pPr>
      <w:spacing w:line="360" w:lineRule="auto"/>
      <w:ind w:firstLineChars="200" w:firstLine="200"/>
    </w:pPr>
    <w:rPr>
      <w:rFonts w:ascii="宋体" w:hAnsi="宋体" w:cs="宋体"/>
      <w:sz w:val="24"/>
      <w:szCs w:val="24"/>
    </w:rPr>
  </w:style>
  <w:style w:type="character" w:customStyle="1" w:styleId="hl">
    <w:name w:val="hl"/>
    <w:autoRedefine/>
    <w:qFormat/>
    <w:rPr>
      <w:b/>
      <w:bCs/>
    </w:rPr>
  </w:style>
  <w:style w:type="character" w:customStyle="1" w:styleId="lanmutitle1">
    <w:name w:val="lanmu_title1"/>
    <w:autoRedefine/>
    <w:qFormat/>
    <w:rPr>
      <w:b/>
      <w:bCs/>
      <w:color w:val="000000"/>
      <w:sz w:val="24"/>
      <w:szCs w:val="24"/>
    </w:rPr>
  </w:style>
  <w:style w:type="paragraph" w:customStyle="1" w:styleId="CharCharChar2Char3">
    <w:name w:val="Char Char Char2 Char3"/>
    <w:basedOn w:val="a"/>
    <w:autoRedefine/>
    <w:uiPriority w:val="99"/>
    <w:qFormat/>
    <w:pPr>
      <w:spacing w:line="360" w:lineRule="auto"/>
      <w:ind w:firstLineChars="200" w:firstLine="200"/>
    </w:pPr>
    <w:rPr>
      <w:rFonts w:cs="Times New Roman"/>
      <w:sz w:val="24"/>
      <w:szCs w:val="24"/>
    </w:rPr>
  </w:style>
  <w:style w:type="paragraph" w:customStyle="1" w:styleId="-60">
    <w:name w:val="胡奔流-标题6"/>
    <w:basedOn w:val="a"/>
    <w:autoRedefine/>
    <w:uiPriority w:val="99"/>
    <w:qFormat/>
    <w:pPr>
      <w:adjustRightInd w:val="0"/>
      <w:spacing w:line="360" w:lineRule="auto"/>
      <w:ind w:firstLineChars="200" w:firstLine="200"/>
      <w:textAlignment w:val="baseline"/>
    </w:pPr>
    <w:rPr>
      <w:rFonts w:ascii="宋体" w:cs="Times New Roman"/>
      <w:spacing w:val="10"/>
      <w:kern w:val="21"/>
      <w:sz w:val="24"/>
      <w:szCs w:val="20"/>
    </w:rPr>
  </w:style>
  <w:style w:type="character" w:customStyle="1" w:styleId="BodyText2Char">
    <w:name w:val="Body Text 2 Char"/>
    <w:autoRedefine/>
    <w:qFormat/>
    <w:rPr>
      <w:rFonts w:eastAsia="宋体"/>
      <w:spacing w:val="4"/>
      <w:kern w:val="2"/>
      <w:sz w:val="24"/>
      <w:lang w:val="en-US"/>
    </w:rPr>
  </w:style>
  <w:style w:type="paragraph" w:customStyle="1" w:styleId="CharCharffff0">
    <w:name w:val="册除格式 Char Char"/>
    <w:autoRedefine/>
    <w:uiPriority w:val="99"/>
    <w:qFormat/>
    <w:pPr>
      <w:spacing w:line="360" w:lineRule="auto"/>
      <w:ind w:firstLine="482"/>
    </w:pPr>
    <w:rPr>
      <w:rFonts w:ascii="黑体" w:hAnsi="Arial" w:cs="Arial"/>
      <w:snapToGrid w:val="0"/>
      <w:spacing w:val="4"/>
      <w:kern w:val="18"/>
      <w:sz w:val="24"/>
      <w:szCs w:val="28"/>
    </w:rPr>
  </w:style>
  <w:style w:type="character" w:customStyle="1" w:styleId="3zw">
    <w:name w:val="3zw"/>
    <w:autoRedefine/>
    <w:qFormat/>
  </w:style>
  <w:style w:type="paragraph" w:customStyle="1" w:styleId="CharCharChar2Char2">
    <w:name w:val="Char Char Char2 Char2"/>
    <w:basedOn w:val="a"/>
    <w:autoRedefine/>
    <w:uiPriority w:val="99"/>
    <w:qFormat/>
    <w:pPr>
      <w:spacing w:line="360" w:lineRule="auto"/>
      <w:ind w:firstLineChars="200" w:firstLine="200"/>
    </w:pPr>
    <w:rPr>
      <w:rFonts w:cs="Times New Roman"/>
      <w:sz w:val="24"/>
      <w:szCs w:val="24"/>
    </w:rPr>
  </w:style>
  <w:style w:type="paragraph" w:customStyle="1" w:styleId="CharCharChar2Char1">
    <w:name w:val="Char Char Char2 Char1"/>
    <w:basedOn w:val="a"/>
    <w:autoRedefine/>
    <w:uiPriority w:val="99"/>
    <w:qFormat/>
    <w:pPr>
      <w:spacing w:line="360" w:lineRule="auto"/>
      <w:ind w:firstLineChars="200" w:firstLine="200"/>
    </w:pPr>
    <w:rPr>
      <w:rFonts w:cs="Times New Roman"/>
      <w:sz w:val="24"/>
      <w:szCs w:val="24"/>
    </w:rPr>
  </w:style>
  <w:style w:type="paragraph" w:customStyle="1" w:styleId="2113">
    <w:name w:val="样式 标题 2 + 段前: 1 行1"/>
    <w:basedOn w:val="20"/>
    <w:autoRedefine/>
    <w:uiPriority w:val="99"/>
    <w:qFormat/>
    <w:pPr>
      <w:keepLines w:val="0"/>
      <w:numPr>
        <w:ilvl w:val="0"/>
        <w:numId w:val="0"/>
      </w:numPr>
      <w:tabs>
        <w:tab w:val="left" w:pos="870"/>
      </w:tabs>
      <w:spacing w:beforeLines="0" w:before="0" w:afterLines="0" w:after="0" w:line="240" w:lineRule="auto"/>
      <w:ind w:firstLine="510"/>
      <w:jc w:val="center"/>
    </w:pPr>
    <w:rPr>
      <w:rFonts w:cs="Times New Roman"/>
      <w:sz w:val="21"/>
      <w:szCs w:val="24"/>
    </w:rPr>
  </w:style>
  <w:style w:type="paragraph" w:customStyle="1" w:styleId="2ffffff9">
    <w:name w:val="样式 小三 加粗 首行缩进:  2 字符"/>
    <w:basedOn w:val="a"/>
    <w:autoRedefine/>
    <w:uiPriority w:val="99"/>
    <w:qFormat/>
    <w:pPr>
      <w:snapToGrid w:val="0"/>
      <w:spacing w:line="360" w:lineRule="auto"/>
      <w:ind w:firstLineChars="200" w:firstLine="480"/>
      <w:jc w:val="center"/>
    </w:pPr>
    <w:rPr>
      <w:rFonts w:ascii="宋体" w:hAnsi="宋体" w:cs="Times New Roman"/>
      <w:bCs/>
      <w:sz w:val="24"/>
      <w:szCs w:val="24"/>
    </w:rPr>
  </w:style>
  <w:style w:type="paragraph" w:customStyle="1" w:styleId="F0">
    <w:name w:val="F正文"/>
    <w:autoRedefine/>
    <w:uiPriority w:val="99"/>
    <w:qFormat/>
    <w:pPr>
      <w:widowControl w:val="0"/>
      <w:adjustRightInd w:val="0"/>
      <w:spacing w:line="360" w:lineRule="atLeast"/>
      <w:textAlignment w:val="baseline"/>
    </w:pPr>
    <w:rPr>
      <w:spacing w:val="12"/>
      <w:sz w:val="24"/>
    </w:rPr>
  </w:style>
  <w:style w:type="paragraph" w:customStyle="1" w:styleId="21f5">
    <w:name w:val="样式 标题 2 + (中文) 宋体1"/>
    <w:basedOn w:val="20"/>
    <w:autoRedefine/>
    <w:uiPriority w:val="99"/>
    <w:qFormat/>
    <w:pPr>
      <w:keepLines w:val="0"/>
      <w:numPr>
        <w:ilvl w:val="0"/>
        <w:numId w:val="0"/>
      </w:numPr>
      <w:tabs>
        <w:tab w:val="left" w:pos="870"/>
      </w:tabs>
      <w:spacing w:beforeLines="0" w:before="0" w:afterLines="0" w:after="0" w:line="240" w:lineRule="auto"/>
      <w:ind w:firstLine="510"/>
      <w:jc w:val="center"/>
    </w:pPr>
    <w:rPr>
      <w:rFonts w:cs="Times New Roman"/>
      <w:sz w:val="21"/>
      <w:szCs w:val="24"/>
    </w:rPr>
  </w:style>
  <w:style w:type="character" w:customStyle="1" w:styleId="U">
    <w:name w:val="U上标"/>
    <w:autoRedefine/>
    <w:qFormat/>
    <w:rPr>
      <w:rFonts w:ascii="Times New Roman" w:eastAsia="细宋体" w:hAnsi="Times New Roman"/>
      <w:color w:val="FF0000"/>
      <w:spacing w:val="12"/>
      <w:vertAlign w:val="superscript"/>
    </w:rPr>
  </w:style>
  <w:style w:type="character" w:customStyle="1" w:styleId="X">
    <w:name w:val="X下标"/>
    <w:autoRedefine/>
    <w:qFormat/>
    <w:rPr>
      <w:rFonts w:ascii="Times New Roman" w:eastAsia="细宋体" w:hAnsi="Times New Roman"/>
      <w:color w:val="0000FF"/>
      <w:spacing w:val="12"/>
      <w:vertAlign w:val="subscript"/>
    </w:rPr>
  </w:style>
  <w:style w:type="paragraph" w:customStyle="1" w:styleId="Affffffffffffffffffffffffffffffffff2">
    <w:name w:val="A摘要"/>
    <w:basedOn w:val="a"/>
    <w:next w:val="a"/>
    <w:autoRedefine/>
    <w:uiPriority w:val="99"/>
    <w:qFormat/>
    <w:pPr>
      <w:autoSpaceDE w:val="0"/>
      <w:autoSpaceDN w:val="0"/>
      <w:adjustRightInd w:val="0"/>
      <w:spacing w:line="360" w:lineRule="atLeast"/>
      <w:ind w:left="567" w:right="567" w:firstLineChars="200" w:firstLine="200"/>
      <w:jc w:val="left"/>
      <w:textAlignment w:val="baseline"/>
    </w:pPr>
    <w:rPr>
      <w:rFonts w:cs="Times New Roman"/>
      <w:spacing w:val="12"/>
      <w:kern w:val="0"/>
      <w:sz w:val="18"/>
      <w:szCs w:val="20"/>
    </w:rPr>
  </w:style>
  <w:style w:type="paragraph" w:customStyle="1" w:styleId="B0">
    <w:name w:val="B文献"/>
    <w:basedOn w:val="a"/>
    <w:next w:val="a"/>
    <w:autoRedefine/>
    <w:uiPriority w:val="99"/>
    <w:qFormat/>
    <w:pPr>
      <w:tabs>
        <w:tab w:val="left" w:pos="567"/>
      </w:tabs>
      <w:autoSpaceDE w:val="0"/>
      <w:autoSpaceDN w:val="0"/>
      <w:adjustRightInd w:val="0"/>
      <w:spacing w:line="360" w:lineRule="atLeast"/>
      <w:ind w:left="567" w:firstLineChars="200" w:hanging="567"/>
      <w:jc w:val="left"/>
      <w:textAlignment w:val="baseline"/>
    </w:pPr>
    <w:rPr>
      <w:rFonts w:cs="Times New Roman"/>
      <w:spacing w:val="12"/>
      <w:kern w:val="0"/>
      <w:sz w:val="28"/>
      <w:szCs w:val="20"/>
    </w:rPr>
  </w:style>
  <w:style w:type="paragraph" w:customStyle="1" w:styleId="N2">
    <w:name w:val="N姓名"/>
    <w:basedOn w:val="F0"/>
    <w:next w:val="a"/>
    <w:autoRedefine/>
    <w:uiPriority w:val="99"/>
    <w:qFormat/>
    <w:pPr>
      <w:keepNext/>
      <w:keepLines/>
      <w:jc w:val="center"/>
    </w:pPr>
    <w:rPr>
      <w:color w:val="0000FF"/>
    </w:rPr>
  </w:style>
  <w:style w:type="paragraph" w:customStyle="1" w:styleId="P2">
    <w:name w:val="P地址"/>
    <w:basedOn w:val="F0"/>
    <w:next w:val="Affffffffffffffffffffffffffffffffff2"/>
    <w:autoRedefine/>
    <w:uiPriority w:val="99"/>
    <w:qFormat/>
    <w:pPr>
      <w:keepNext/>
      <w:keepLines/>
      <w:spacing w:after="360"/>
      <w:jc w:val="center"/>
    </w:pPr>
    <w:rPr>
      <w:color w:val="0000FF"/>
    </w:rPr>
  </w:style>
  <w:style w:type="paragraph" w:customStyle="1" w:styleId="R">
    <w:name w:val="R参考"/>
    <w:basedOn w:val="F0"/>
    <w:next w:val="F0"/>
    <w:autoRedefine/>
    <w:uiPriority w:val="99"/>
    <w:qFormat/>
    <w:pPr>
      <w:keepNext/>
      <w:spacing w:before="240" w:after="240"/>
      <w:jc w:val="center"/>
    </w:pPr>
    <w:rPr>
      <w:rFonts w:eastAsia="黑体"/>
      <w:b/>
    </w:rPr>
  </w:style>
  <w:style w:type="paragraph" w:customStyle="1" w:styleId="T2">
    <w:name w:val="T题目"/>
    <w:basedOn w:val="F0"/>
    <w:next w:val="N2"/>
    <w:autoRedefine/>
    <w:uiPriority w:val="99"/>
    <w:qFormat/>
    <w:pPr>
      <w:keepNext/>
      <w:keepLines/>
      <w:pageBreakBefore/>
      <w:spacing w:before="120" w:after="360"/>
      <w:jc w:val="center"/>
    </w:pPr>
    <w:rPr>
      <w:color w:val="FF0000"/>
      <w:sz w:val="36"/>
    </w:rPr>
  </w:style>
  <w:style w:type="paragraph" w:customStyle="1" w:styleId="affffffffffffffffffffffffffffffffff3">
    <w:name w:val="表图"/>
    <w:basedOn w:val="F0"/>
    <w:next w:val="F0"/>
    <w:autoRedefine/>
    <w:uiPriority w:val="99"/>
    <w:qFormat/>
    <w:pPr>
      <w:keepNext/>
      <w:keepLines/>
      <w:jc w:val="center"/>
    </w:pPr>
    <w:rPr>
      <w:rFonts w:eastAsia="黑体"/>
      <w:b/>
    </w:rPr>
  </w:style>
  <w:style w:type="paragraph" w:customStyle="1" w:styleId="22c">
    <w:name w:val="样式 样式 样式 首行缩进:  2 字符 + 首行缩进:  2 字符 + 居中 行距: 单倍行距"/>
    <w:basedOn w:val="a"/>
    <w:autoRedefine/>
    <w:uiPriority w:val="99"/>
    <w:qFormat/>
    <w:pPr>
      <w:snapToGrid w:val="0"/>
      <w:spacing w:line="360" w:lineRule="auto"/>
      <w:ind w:firstLineChars="200" w:firstLine="200"/>
      <w:jc w:val="center"/>
    </w:pPr>
    <w:rPr>
      <w:rFonts w:ascii="宋体" w:hAnsi="宋体" w:cs="宋体"/>
      <w:color w:val="000000"/>
      <w:sz w:val="24"/>
      <w:szCs w:val="21"/>
    </w:rPr>
  </w:style>
  <w:style w:type="paragraph" w:customStyle="1" w:styleId="affffffffffffffffffffffffffffffffff4">
    <w:name w:val="正文 + 小四"/>
    <w:basedOn w:val="a"/>
    <w:autoRedefine/>
    <w:uiPriority w:val="99"/>
    <w:qFormat/>
    <w:pPr>
      <w:spacing w:line="396" w:lineRule="auto"/>
      <w:ind w:firstLineChars="200" w:firstLine="480"/>
    </w:pPr>
    <w:rPr>
      <w:rFonts w:cs="Times New Roman"/>
      <w:color w:val="FF0000"/>
      <w:kern w:val="0"/>
      <w:sz w:val="24"/>
      <w:szCs w:val="20"/>
    </w:rPr>
  </w:style>
  <w:style w:type="paragraph" w:customStyle="1" w:styleId="affffffffffffffffffffffffffffffffff5">
    <w:name w:val="样式 表格 + 行距: 单倍行距"/>
    <w:basedOn w:val="a"/>
    <w:autoRedefine/>
    <w:uiPriority w:val="99"/>
    <w:qFormat/>
    <w:pPr>
      <w:autoSpaceDE w:val="0"/>
      <w:autoSpaceDN w:val="0"/>
      <w:adjustRightInd w:val="0"/>
      <w:spacing w:line="360" w:lineRule="auto"/>
      <w:ind w:firstLineChars="200" w:firstLine="200"/>
      <w:jc w:val="center"/>
    </w:pPr>
    <w:rPr>
      <w:rFonts w:ascii="仿宋_GB2312" w:eastAsia="仿宋_GB2312" w:hAnsi="仿宋_GB2312" w:cs="Times New Roman"/>
      <w:snapToGrid w:val="0"/>
      <w:color w:val="000000"/>
      <w:sz w:val="24"/>
      <w:szCs w:val="24"/>
    </w:rPr>
  </w:style>
  <w:style w:type="character" w:customStyle="1" w:styleId="y">
    <w:name w:val="y"/>
    <w:autoRedefine/>
    <w:qFormat/>
  </w:style>
  <w:style w:type="paragraph" w:customStyle="1" w:styleId="lilys">
    <w:name w:val="lily's 正文"/>
    <w:basedOn w:val="a"/>
    <w:autoRedefine/>
    <w:uiPriority w:val="99"/>
    <w:qFormat/>
    <w:pPr>
      <w:spacing w:line="360" w:lineRule="auto"/>
      <w:ind w:firstLineChars="200" w:firstLine="480"/>
    </w:pPr>
    <w:rPr>
      <w:rFonts w:eastAsia="楷体_GB2312" w:cs="Times New Roman"/>
      <w:sz w:val="24"/>
      <w:szCs w:val="24"/>
    </w:rPr>
  </w:style>
  <w:style w:type="paragraph" w:customStyle="1" w:styleId="0982">
    <w:name w:val="样式 题注 + 左侧:  0.98 厘米 首行缩进:  2 字符"/>
    <w:basedOn w:val="af4"/>
    <w:autoRedefine/>
    <w:uiPriority w:val="99"/>
    <w:qFormat/>
    <w:pPr>
      <w:adjustRightInd w:val="0"/>
      <w:snapToGrid w:val="0"/>
      <w:spacing w:beforeLines="50" w:before="120" w:line="360" w:lineRule="auto"/>
      <w:jc w:val="center"/>
    </w:pPr>
    <w:rPr>
      <w:rFonts w:ascii="仿宋_GB2312" w:eastAsia="仿宋_GB2312" w:hAnsi="Arial" w:cs="Times New Roman"/>
      <w:b/>
      <w:bCs/>
      <w:sz w:val="28"/>
      <w:szCs w:val="21"/>
    </w:rPr>
  </w:style>
  <w:style w:type="character" w:customStyle="1" w:styleId="CharCharCharf4">
    <w:name w:val="册除格式 Char Char Char"/>
    <w:autoRedefine/>
    <w:qFormat/>
    <w:rPr>
      <w:rFonts w:ascii="黑体" w:eastAsia="宋体" w:hAnsi="Arial"/>
      <w:snapToGrid/>
      <w:spacing w:val="4"/>
      <w:kern w:val="18"/>
      <w:sz w:val="24"/>
      <w:lang w:val="en-US" w:eastAsia="zh-CN"/>
    </w:rPr>
  </w:style>
  <w:style w:type="character" w:customStyle="1" w:styleId="affffffffffffffffffffffffffffffffff6">
    <w:name w:val="超级链接"/>
    <w:autoRedefine/>
    <w:qFormat/>
    <w:rPr>
      <w:color w:val="0000FF"/>
      <w:u w:val="single" w:color="0000FF"/>
    </w:rPr>
  </w:style>
  <w:style w:type="paragraph" w:customStyle="1" w:styleId="2ffffffa">
    <w:name w:val="新标题2"/>
    <w:basedOn w:val="a"/>
    <w:autoRedefine/>
    <w:uiPriority w:val="99"/>
    <w:qFormat/>
    <w:pPr>
      <w:spacing w:line="360" w:lineRule="auto"/>
      <w:ind w:firstLineChars="200" w:firstLine="200"/>
    </w:pPr>
    <w:rPr>
      <w:rFonts w:ascii="宋体" w:hAnsi="宋体" w:cs="宋体"/>
      <w:b/>
      <w:bCs/>
      <w:sz w:val="30"/>
      <w:szCs w:val="20"/>
    </w:rPr>
  </w:style>
  <w:style w:type="paragraph" w:customStyle="1" w:styleId="2ffffffb">
    <w:name w:val="正文2.."/>
    <w:basedOn w:val="aff4"/>
    <w:autoRedefine/>
    <w:uiPriority w:val="99"/>
    <w:qFormat/>
    <w:pPr>
      <w:spacing w:line="360" w:lineRule="auto"/>
      <w:ind w:firstLineChars="200" w:firstLine="200"/>
      <w:jc w:val="left"/>
    </w:pPr>
    <w:rPr>
      <w:rFonts w:ascii="Times New Roman" w:hAnsi="Times New Roman" w:cs="宋体"/>
      <w:b/>
      <w:bCs/>
      <w:snapToGrid w:val="0"/>
      <w:szCs w:val="22"/>
      <w:lang w:val="zh-CN"/>
    </w:rPr>
  </w:style>
  <w:style w:type="paragraph" w:customStyle="1" w:styleId="font18">
    <w:name w:val="font18"/>
    <w:basedOn w:val="a"/>
    <w:autoRedefine/>
    <w:uiPriority w:val="99"/>
    <w:qFormat/>
    <w:pPr>
      <w:widowControl/>
      <w:spacing w:before="100" w:beforeAutospacing="1" w:after="100" w:afterAutospacing="1" w:line="360" w:lineRule="auto"/>
      <w:ind w:firstLineChars="200" w:firstLine="200"/>
      <w:jc w:val="left"/>
    </w:pPr>
    <w:rPr>
      <w:rFonts w:ascii="楷体_GB2312" w:eastAsia="楷体_GB2312" w:hAnsi="宋体" w:cs="宋体"/>
      <w:color w:val="000000"/>
      <w:kern w:val="0"/>
      <w:szCs w:val="21"/>
    </w:rPr>
  </w:style>
  <w:style w:type="paragraph" w:customStyle="1" w:styleId="font19">
    <w:name w:val="font19"/>
    <w:basedOn w:val="a"/>
    <w:autoRedefine/>
    <w:uiPriority w:val="99"/>
    <w:qFormat/>
    <w:pPr>
      <w:widowControl/>
      <w:spacing w:before="100" w:beforeAutospacing="1" w:after="100" w:afterAutospacing="1" w:line="360" w:lineRule="auto"/>
      <w:ind w:firstLineChars="200" w:firstLine="200"/>
      <w:jc w:val="left"/>
    </w:pPr>
    <w:rPr>
      <w:rFonts w:ascii="宋体" w:hAnsi="宋体" w:cs="宋体"/>
      <w:b/>
      <w:bCs/>
      <w:color w:val="000000"/>
      <w:kern w:val="0"/>
      <w:sz w:val="22"/>
    </w:rPr>
  </w:style>
  <w:style w:type="paragraph" w:customStyle="1" w:styleId="font20">
    <w:name w:val="font20"/>
    <w:basedOn w:val="a"/>
    <w:autoRedefine/>
    <w:uiPriority w:val="99"/>
    <w:qFormat/>
    <w:pPr>
      <w:widowControl/>
      <w:spacing w:before="100" w:beforeAutospacing="1" w:after="100" w:afterAutospacing="1" w:line="360" w:lineRule="auto"/>
      <w:ind w:firstLineChars="200" w:firstLine="200"/>
      <w:jc w:val="left"/>
    </w:pPr>
    <w:rPr>
      <w:rFonts w:ascii="宋体" w:hAnsi="宋体" w:cs="宋体"/>
      <w:color w:val="3366FF"/>
      <w:kern w:val="0"/>
      <w:sz w:val="22"/>
    </w:rPr>
  </w:style>
  <w:style w:type="paragraph" w:customStyle="1" w:styleId="xl111">
    <w:name w:val="xl111"/>
    <w:basedOn w:val="a"/>
    <w:autoRedefine/>
    <w:uiPriority w:val="99"/>
    <w:qFormat/>
    <w:pPr>
      <w:widowControl/>
      <w:pBdr>
        <w:left w:val="single" w:sz="8" w:space="0" w:color="auto"/>
        <w:bottom w:val="single" w:sz="8" w:space="0" w:color="auto"/>
        <w:right w:val="single" w:sz="8" w:space="0" w:color="auto"/>
      </w:pBdr>
      <w:shd w:val="clear" w:color="000000" w:fill="E6B9B8"/>
      <w:spacing w:before="100" w:beforeAutospacing="1" w:after="100" w:afterAutospacing="1" w:line="360" w:lineRule="auto"/>
      <w:ind w:firstLineChars="200" w:firstLine="200"/>
      <w:jc w:val="center"/>
    </w:pPr>
    <w:rPr>
      <w:rFonts w:ascii="宋体" w:hAnsi="宋体" w:cs="宋体"/>
      <w:kern w:val="0"/>
      <w:sz w:val="24"/>
      <w:szCs w:val="24"/>
    </w:rPr>
  </w:style>
  <w:style w:type="paragraph" w:customStyle="1" w:styleId="xl112">
    <w:name w:val="xl112"/>
    <w:basedOn w:val="a"/>
    <w:autoRedefine/>
    <w:uiPriority w:val="99"/>
    <w:qFormat/>
    <w:pPr>
      <w:widowControl/>
      <w:pBdr>
        <w:top w:val="single" w:sz="8" w:space="0" w:color="000000"/>
        <w:left w:val="single" w:sz="8" w:space="0" w:color="auto"/>
        <w:right w:val="single" w:sz="8" w:space="0" w:color="auto"/>
      </w:pBdr>
      <w:spacing w:before="100" w:beforeAutospacing="1" w:after="100" w:afterAutospacing="1" w:line="360" w:lineRule="auto"/>
      <w:ind w:firstLineChars="200" w:firstLine="200"/>
      <w:jc w:val="center"/>
    </w:pPr>
    <w:rPr>
      <w:rFonts w:ascii="宋体" w:hAnsi="宋体" w:cs="宋体"/>
      <w:kern w:val="0"/>
      <w:sz w:val="24"/>
      <w:szCs w:val="24"/>
    </w:rPr>
  </w:style>
  <w:style w:type="paragraph" w:customStyle="1" w:styleId="xl113">
    <w:name w:val="xl113"/>
    <w:basedOn w:val="a"/>
    <w:autoRedefine/>
    <w:uiPriority w:val="99"/>
    <w:qFormat/>
    <w:pPr>
      <w:widowControl/>
      <w:pBdr>
        <w:left w:val="single" w:sz="8" w:space="0" w:color="auto"/>
        <w:right w:val="single" w:sz="8" w:space="0" w:color="auto"/>
      </w:pBdr>
      <w:spacing w:before="100" w:beforeAutospacing="1" w:after="100" w:afterAutospacing="1" w:line="360" w:lineRule="auto"/>
      <w:ind w:firstLineChars="200" w:firstLine="200"/>
      <w:jc w:val="center"/>
    </w:pPr>
    <w:rPr>
      <w:rFonts w:ascii="宋体" w:hAnsi="宋体" w:cs="宋体"/>
      <w:kern w:val="0"/>
      <w:sz w:val="24"/>
      <w:szCs w:val="24"/>
    </w:rPr>
  </w:style>
  <w:style w:type="paragraph" w:customStyle="1" w:styleId="xl114">
    <w:name w:val="xl114"/>
    <w:basedOn w:val="a"/>
    <w:autoRedefine/>
    <w:uiPriority w:val="99"/>
    <w:qFormat/>
    <w:pPr>
      <w:widowControl/>
      <w:pBdr>
        <w:left w:val="single" w:sz="8" w:space="0" w:color="auto"/>
        <w:bottom w:val="single" w:sz="8" w:space="0" w:color="000000"/>
        <w:right w:val="single" w:sz="8" w:space="0" w:color="auto"/>
      </w:pBdr>
      <w:spacing w:before="100" w:beforeAutospacing="1" w:after="100" w:afterAutospacing="1" w:line="360" w:lineRule="auto"/>
      <w:ind w:firstLineChars="200" w:firstLine="200"/>
      <w:jc w:val="center"/>
    </w:pPr>
    <w:rPr>
      <w:rFonts w:ascii="宋体" w:hAnsi="宋体" w:cs="宋体"/>
      <w:kern w:val="0"/>
      <w:sz w:val="24"/>
      <w:szCs w:val="24"/>
    </w:rPr>
  </w:style>
  <w:style w:type="paragraph" w:customStyle="1" w:styleId="xl115">
    <w:name w:val="xl115"/>
    <w:basedOn w:val="a"/>
    <w:autoRedefine/>
    <w:uiPriority w:val="99"/>
    <w:qFormat/>
    <w:pPr>
      <w:widowControl/>
      <w:pBdr>
        <w:top w:val="single" w:sz="8" w:space="0" w:color="auto"/>
        <w:left w:val="single" w:sz="8" w:space="0" w:color="auto"/>
        <w:right w:val="single" w:sz="8" w:space="0" w:color="auto"/>
      </w:pBdr>
      <w:spacing w:before="100" w:beforeAutospacing="1" w:after="100" w:afterAutospacing="1" w:line="360" w:lineRule="auto"/>
      <w:ind w:firstLineChars="200" w:firstLine="200"/>
      <w:jc w:val="center"/>
    </w:pPr>
    <w:rPr>
      <w:rFonts w:ascii="宋体" w:hAnsi="宋体" w:cs="宋体"/>
      <w:kern w:val="0"/>
      <w:sz w:val="24"/>
      <w:szCs w:val="24"/>
    </w:rPr>
  </w:style>
  <w:style w:type="paragraph" w:customStyle="1" w:styleId="xl116">
    <w:name w:val="xl116"/>
    <w:basedOn w:val="a"/>
    <w:autoRedefine/>
    <w:uiPriority w:val="99"/>
    <w:qFormat/>
    <w:pPr>
      <w:widowControl/>
      <w:pBdr>
        <w:left w:val="single" w:sz="8" w:space="0" w:color="auto"/>
        <w:bottom w:val="single" w:sz="8" w:space="0" w:color="auto"/>
        <w:right w:val="single" w:sz="8" w:space="0" w:color="auto"/>
      </w:pBdr>
      <w:shd w:val="clear" w:color="000000" w:fill="FCD5B4"/>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17">
    <w:name w:val="xl117"/>
    <w:basedOn w:val="a"/>
    <w:autoRedefine/>
    <w:uiPriority w:val="99"/>
    <w:qFormat/>
    <w:pPr>
      <w:widowControl/>
      <w:pBdr>
        <w:right w:val="single" w:sz="8" w:space="0" w:color="auto"/>
      </w:pBdr>
      <w:shd w:val="clear" w:color="000000" w:fill="948B54"/>
      <w:spacing w:before="100" w:beforeAutospacing="1" w:after="100" w:afterAutospacing="1" w:line="360" w:lineRule="auto"/>
      <w:ind w:firstLineChars="200" w:firstLine="200"/>
      <w:jc w:val="left"/>
    </w:pPr>
    <w:rPr>
      <w:rFonts w:ascii="宋体" w:hAnsi="宋体" w:cs="宋体"/>
      <w:kern w:val="0"/>
      <w:sz w:val="24"/>
      <w:szCs w:val="24"/>
    </w:rPr>
  </w:style>
  <w:style w:type="paragraph" w:customStyle="1" w:styleId="xl118">
    <w:name w:val="xl118"/>
    <w:basedOn w:val="a"/>
    <w:autoRedefine/>
    <w:uiPriority w:val="99"/>
    <w:qFormat/>
    <w:pPr>
      <w:widowControl/>
      <w:pBdr>
        <w:top w:val="single" w:sz="8" w:space="0" w:color="auto"/>
        <w:left w:val="single" w:sz="8" w:space="0" w:color="auto"/>
        <w:right w:val="single" w:sz="8" w:space="0" w:color="auto"/>
      </w:pBdr>
      <w:shd w:val="clear" w:color="000000" w:fill="948B54"/>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19">
    <w:name w:val="xl119"/>
    <w:basedOn w:val="a"/>
    <w:autoRedefine/>
    <w:uiPriority w:val="99"/>
    <w:qFormat/>
    <w:pPr>
      <w:widowControl/>
      <w:pBdr>
        <w:bottom w:val="single" w:sz="8" w:space="0" w:color="auto"/>
        <w:right w:val="single" w:sz="8" w:space="0" w:color="auto"/>
      </w:pBdr>
      <w:shd w:val="clear" w:color="000000" w:fill="948B54"/>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20">
    <w:name w:val="xl120"/>
    <w:basedOn w:val="a"/>
    <w:autoRedefine/>
    <w:uiPriority w:val="99"/>
    <w:qFormat/>
    <w:pPr>
      <w:widowControl/>
      <w:pBdr>
        <w:bottom w:val="single" w:sz="8" w:space="0" w:color="auto"/>
        <w:right w:val="single" w:sz="8" w:space="0" w:color="auto"/>
      </w:pBdr>
      <w:shd w:val="clear" w:color="000000" w:fill="948B54"/>
      <w:spacing w:before="100" w:beforeAutospacing="1" w:after="100" w:afterAutospacing="1" w:line="360" w:lineRule="auto"/>
      <w:ind w:firstLineChars="200" w:firstLine="200"/>
      <w:jc w:val="left"/>
    </w:pPr>
    <w:rPr>
      <w:rFonts w:ascii="Calibri" w:hAnsi="Calibri" w:cs="宋体"/>
      <w:kern w:val="0"/>
      <w:szCs w:val="21"/>
    </w:rPr>
  </w:style>
  <w:style w:type="paragraph" w:customStyle="1" w:styleId="xl121">
    <w:name w:val="xl121"/>
    <w:basedOn w:val="a"/>
    <w:autoRedefine/>
    <w:uiPriority w:val="99"/>
    <w:qFormat/>
    <w:pPr>
      <w:widowControl/>
      <w:pBdr>
        <w:bottom w:val="single" w:sz="8" w:space="0" w:color="auto"/>
      </w:pBdr>
      <w:shd w:val="clear" w:color="000000" w:fill="948B54"/>
      <w:spacing w:before="100" w:beforeAutospacing="1" w:after="100" w:afterAutospacing="1" w:line="360" w:lineRule="auto"/>
      <w:ind w:firstLineChars="200" w:firstLine="200"/>
      <w:jc w:val="left"/>
    </w:pPr>
    <w:rPr>
      <w:rFonts w:ascii="Calibri" w:hAnsi="Calibri" w:cs="宋体"/>
      <w:kern w:val="0"/>
      <w:szCs w:val="21"/>
    </w:rPr>
  </w:style>
  <w:style w:type="paragraph" w:customStyle="1" w:styleId="xl122">
    <w:name w:val="xl122"/>
    <w:basedOn w:val="a"/>
    <w:autoRedefine/>
    <w:uiPriority w:val="99"/>
    <w:qFormat/>
    <w:pPr>
      <w:widowControl/>
      <w:shd w:val="clear" w:color="000000" w:fill="948B54"/>
      <w:spacing w:before="100" w:beforeAutospacing="1" w:after="100" w:afterAutospacing="1" w:line="360" w:lineRule="auto"/>
      <w:ind w:firstLineChars="200" w:firstLine="200"/>
      <w:jc w:val="left"/>
    </w:pPr>
    <w:rPr>
      <w:rFonts w:ascii="宋体" w:hAnsi="宋体" w:cs="宋体"/>
      <w:kern w:val="0"/>
      <w:sz w:val="24"/>
      <w:szCs w:val="24"/>
    </w:rPr>
  </w:style>
  <w:style w:type="paragraph" w:customStyle="1" w:styleId="xl123">
    <w:name w:val="xl123"/>
    <w:basedOn w:val="a"/>
    <w:autoRedefine/>
    <w:uiPriority w:val="99"/>
    <w:qFormat/>
    <w:pPr>
      <w:widowControl/>
      <w:pBdr>
        <w:left w:val="single" w:sz="8" w:space="0" w:color="auto"/>
        <w:right w:val="single" w:sz="8" w:space="0" w:color="auto"/>
      </w:pBdr>
      <w:shd w:val="clear" w:color="000000" w:fill="948B54"/>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24">
    <w:name w:val="xl124"/>
    <w:basedOn w:val="a"/>
    <w:autoRedefine/>
    <w:uiPriority w:val="99"/>
    <w:qFormat/>
    <w:pPr>
      <w:widowControl/>
      <w:pBdr>
        <w:left w:val="single" w:sz="8" w:space="0" w:color="auto"/>
        <w:bottom w:val="single" w:sz="8" w:space="0" w:color="auto"/>
        <w:right w:val="single" w:sz="8" w:space="0" w:color="auto"/>
      </w:pBdr>
      <w:shd w:val="clear" w:color="000000" w:fill="948B54"/>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25">
    <w:name w:val="xl125"/>
    <w:basedOn w:val="a"/>
    <w:autoRedefine/>
    <w:uiPriority w:val="99"/>
    <w:qFormat/>
    <w:pPr>
      <w:widowControl/>
      <w:pBdr>
        <w:right w:val="single" w:sz="8" w:space="0" w:color="auto"/>
      </w:pBdr>
      <w:shd w:val="clear" w:color="000000" w:fill="D99795"/>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26">
    <w:name w:val="xl126"/>
    <w:basedOn w:val="a"/>
    <w:autoRedefine/>
    <w:uiPriority w:val="99"/>
    <w:qFormat/>
    <w:pPr>
      <w:widowControl/>
      <w:shd w:val="clear" w:color="000000" w:fill="D99795"/>
      <w:spacing w:before="100" w:beforeAutospacing="1" w:after="100" w:afterAutospacing="1" w:line="360" w:lineRule="auto"/>
      <w:ind w:firstLineChars="200" w:firstLine="200"/>
      <w:jc w:val="left"/>
    </w:pPr>
    <w:rPr>
      <w:rFonts w:ascii="宋体" w:hAnsi="宋体" w:cs="宋体"/>
      <w:kern w:val="0"/>
      <w:sz w:val="24"/>
      <w:szCs w:val="24"/>
    </w:rPr>
  </w:style>
  <w:style w:type="paragraph" w:customStyle="1" w:styleId="xl127">
    <w:name w:val="xl127"/>
    <w:basedOn w:val="a"/>
    <w:autoRedefine/>
    <w:uiPriority w:val="99"/>
    <w:qFormat/>
    <w:pPr>
      <w:widowControl/>
      <w:pBdr>
        <w:bottom w:val="single" w:sz="8" w:space="0" w:color="auto"/>
        <w:right w:val="single" w:sz="8" w:space="0" w:color="auto"/>
      </w:pBdr>
      <w:shd w:val="clear" w:color="000000" w:fill="D99795"/>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28">
    <w:name w:val="xl128"/>
    <w:basedOn w:val="a"/>
    <w:autoRedefine/>
    <w:uiPriority w:val="99"/>
    <w:qFormat/>
    <w:pPr>
      <w:widowControl/>
      <w:pBdr>
        <w:bottom w:val="single" w:sz="8" w:space="0" w:color="auto"/>
        <w:right w:val="single" w:sz="8" w:space="0" w:color="auto"/>
      </w:pBdr>
      <w:shd w:val="clear" w:color="000000" w:fill="D99795"/>
      <w:spacing w:before="100" w:beforeAutospacing="1" w:after="100" w:afterAutospacing="1" w:line="360" w:lineRule="auto"/>
      <w:ind w:firstLineChars="200" w:firstLine="200"/>
      <w:jc w:val="left"/>
    </w:pPr>
    <w:rPr>
      <w:rFonts w:ascii="Calibri" w:hAnsi="Calibri" w:cs="宋体"/>
      <w:kern w:val="0"/>
      <w:szCs w:val="21"/>
    </w:rPr>
  </w:style>
  <w:style w:type="paragraph" w:customStyle="1" w:styleId="xl129">
    <w:name w:val="xl129"/>
    <w:basedOn w:val="a"/>
    <w:autoRedefine/>
    <w:uiPriority w:val="99"/>
    <w:qFormat/>
    <w:pPr>
      <w:widowControl/>
      <w:pBdr>
        <w:bottom w:val="single" w:sz="8" w:space="0" w:color="auto"/>
      </w:pBdr>
      <w:shd w:val="clear" w:color="000000" w:fill="D99795"/>
      <w:spacing w:before="100" w:beforeAutospacing="1" w:after="100" w:afterAutospacing="1" w:line="360" w:lineRule="auto"/>
      <w:ind w:firstLineChars="200" w:firstLine="200"/>
      <w:jc w:val="left"/>
    </w:pPr>
    <w:rPr>
      <w:rFonts w:ascii="Calibri" w:hAnsi="Calibri" w:cs="宋体"/>
      <w:kern w:val="0"/>
      <w:szCs w:val="21"/>
    </w:rPr>
  </w:style>
  <w:style w:type="paragraph" w:customStyle="1" w:styleId="xl130">
    <w:name w:val="xl130"/>
    <w:basedOn w:val="a"/>
    <w:autoRedefine/>
    <w:uiPriority w:val="99"/>
    <w:qFormat/>
    <w:pPr>
      <w:widowControl/>
      <w:pBdr>
        <w:right w:val="single" w:sz="8" w:space="0" w:color="auto"/>
      </w:pBdr>
      <w:shd w:val="clear" w:color="000000" w:fill="D99795"/>
      <w:spacing w:before="100" w:beforeAutospacing="1" w:after="100" w:afterAutospacing="1" w:line="360" w:lineRule="auto"/>
      <w:ind w:firstLineChars="200" w:firstLine="200"/>
      <w:jc w:val="left"/>
    </w:pPr>
    <w:rPr>
      <w:rFonts w:ascii="宋体" w:hAnsi="宋体" w:cs="宋体"/>
      <w:kern w:val="0"/>
      <w:sz w:val="24"/>
      <w:szCs w:val="24"/>
    </w:rPr>
  </w:style>
  <w:style w:type="paragraph" w:customStyle="1" w:styleId="xl131">
    <w:name w:val="xl131"/>
    <w:basedOn w:val="a"/>
    <w:autoRedefine/>
    <w:uiPriority w:val="99"/>
    <w:qFormat/>
    <w:pPr>
      <w:widowControl/>
      <w:pBdr>
        <w:top w:val="single" w:sz="8" w:space="0" w:color="auto"/>
        <w:left w:val="single" w:sz="8" w:space="0" w:color="auto"/>
        <w:right w:val="single" w:sz="8" w:space="0" w:color="auto"/>
      </w:pBdr>
      <w:shd w:val="clear" w:color="000000" w:fill="D99795"/>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32">
    <w:name w:val="xl132"/>
    <w:basedOn w:val="a"/>
    <w:autoRedefine/>
    <w:uiPriority w:val="99"/>
    <w:qFormat/>
    <w:pPr>
      <w:widowControl/>
      <w:pBdr>
        <w:left w:val="single" w:sz="8" w:space="0" w:color="auto"/>
        <w:right w:val="single" w:sz="8" w:space="0" w:color="auto"/>
      </w:pBdr>
      <w:shd w:val="clear" w:color="000000" w:fill="D99795"/>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33">
    <w:name w:val="xl133"/>
    <w:basedOn w:val="a"/>
    <w:autoRedefine/>
    <w:uiPriority w:val="99"/>
    <w:qFormat/>
    <w:pPr>
      <w:widowControl/>
      <w:pBdr>
        <w:left w:val="single" w:sz="8" w:space="0" w:color="auto"/>
        <w:bottom w:val="single" w:sz="8" w:space="0" w:color="auto"/>
        <w:right w:val="single" w:sz="8" w:space="0" w:color="auto"/>
      </w:pBdr>
      <w:shd w:val="clear" w:color="000000" w:fill="D99795"/>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34">
    <w:name w:val="xl134"/>
    <w:basedOn w:val="a"/>
    <w:autoRedefine/>
    <w:uiPriority w:val="99"/>
    <w:qFormat/>
    <w:pPr>
      <w:widowControl/>
      <w:pBdr>
        <w:right w:val="single" w:sz="8" w:space="0" w:color="auto"/>
      </w:pBdr>
      <w:shd w:val="clear" w:color="000000" w:fill="60497B"/>
      <w:spacing w:before="100" w:beforeAutospacing="1" w:after="100" w:afterAutospacing="1" w:line="360" w:lineRule="auto"/>
      <w:ind w:firstLineChars="200" w:firstLine="200"/>
      <w:jc w:val="left"/>
    </w:pPr>
    <w:rPr>
      <w:rFonts w:ascii="宋体" w:hAnsi="宋体" w:cs="宋体"/>
      <w:kern w:val="0"/>
      <w:sz w:val="24"/>
      <w:szCs w:val="24"/>
    </w:rPr>
  </w:style>
  <w:style w:type="paragraph" w:customStyle="1" w:styleId="xl135">
    <w:name w:val="xl135"/>
    <w:basedOn w:val="a"/>
    <w:autoRedefine/>
    <w:uiPriority w:val="99"/>
    <w:qFormat/>
    <w:pPr>
      <w:widowControl/>
      <w:pBdr>
        <w:top w:val="single" w:sz="8" w:space="0" w:color="auto"/>
        <w:left w:val="single" w:sz="8" w:space="0" w:color="auto"/>
        <w:right w:val="single" w:sz="8" w:space="0" w:color="auto"/>
      </w:pBdr>
      <w:shd w:val="clear" w:color="000000" w:fill="60497B"/>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36">
    <w:name w:val="xl136"/>
    <w:basedOn w:val="a"/>
    <w:autoRedefine/>
    <w:uiPriority w:val="99"/>
    <w:qFormat/>
    <w:pPr>
      <w:widowControl/>
      <w:pBdr>
        <w:bottom w:val="single" w:sz="8" w:space="0" w:color="auto"/>
        <w:right w:val="single" w:sz="8" w:space="0" w:color="auto"/>
      </w:pBdr>
      <w:shd w:val="clear" w:color="000000" w:fill="60497B"/>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37">
    <w:name w:val="xl137"/>
    <w:basedOn w:val="a"/>
    <w:autoRedefine/>
    <w:uiPriority w:val="99"/>
    <w:qFormat/>
    <w:pPr>
      <w:widowControl/>
      <w:pBdr>
        <w:bottom w:val="single" w:sz="8" w:space="0" w:color="auto"/>
        <w:right w:val="single" w:sz="8" w:space="0" w:color="auto"/>
      </w:pBdr>
      <w:shd w:val="clear" w:color="000000" w:fill="60497B"/>
      <w:spacing w:before="100" w:beforeAutospacing="1" w:after="100" w:afterAutospacing="1" w:line="360" w:lineRule="auto"/>
      <w:ind w:firstLineChars="200" w:firstLine="200"/>
      <w:jc w:val="left"/>
    </w:pPr>
    <w:rPr>
      <w:rFonts w:ascii="Calibri" w:hAnsi="Calibri" w:cs="宋体"/>
      <w:kern w:val="0"/>
      <w:szCs w:val="21"/>
    </w:rPr>
  </w:style>
  <w:style w:type="paragraph" w:customStyle="1" w:styleId="xl138">
    <w:name w:val="xl138"/>
    <w:basedOn w:val="a"/>
    <w:autoRedefine/>
    <w:uiPriority w:val="99"/>
    <w:qFormat/>
    <w:pPr>
      <w:widowControl/>
      <w:pBdr>
        <w:bottom w:val="single" w:sz="8" w:space="0" w:color="auto"/>
      </w:pBdr>
      <w:shd w:val="clear" w:color="000000" w:fill="60497B"/>
      <w:spacing w:before="100" w:beforeAutospacing="1" w:after="100" w:afterAutospacing="1" w:line="360" w:lineRule="auto"/>
      <w:ind w:firstLineChars="200" w:firstLine="200"/>
      <w:jc w:val="left"/>
    </w:pPr>
    <w:rPr>
      <w:rFonts w:ascii="Calibri" w:hAnsi="Calibri" w:cs="宋体"/>
      <w:kern w:val="0"/>
      <w:szCs w:val="21"/>
    </w:rPr>
  </w:style>
  <w:style w:type="paragraph" w:customStyle="1" w:styleId="xl139">
    <w:name w:val="xl139"/>
    <w:basedOn w:val="a"/>
    <w:autoRedefine/>
    <w:uiPriority w:val="99"/>
    <w:qFormat/>
    <w:pPr>
      <w:widowControl/>
      <w:shd w:val="clear" w:color="000000" w:fill="60497B"/>
      <w:spacing w:before="100" w:beforeAutospacing="1" w:after="100" w:afterAutospacing="1" w:line="360" w:lineRule="auto"/>
      <w:ind w:firstLineChars="200" w:firstLine="200"/>
      <w:jc w:val="left"/>
    </w:pPr>
    <w:rPr>
      <w:rFonts w:ascii="宋体" w:hAnsi="宋体" w:cs="宋体"/>
      <w:kern w:val="0"/>
      <w:sz w:val="24"/>
      <w:szCs w:val="24"/>
    </w:rPr>
  </w:style>
  <w:style w:type="paragraph" w:customStyle="1" w:styleId="xl140">
    <w:name w:val="xl140"/>
    <w:basedOn w:val="a"/>
    <w:autoRedefine/>
    <w:uiPriority w:val="99"/>
    <w:qFormat/>
    <w:pPr>
      <w:widowControl/>
      <w:pBdr>
        <w:left w:val="single" w:sz="8" w:space="0" w:color="auto"/>
        <w:right w:val="single" w:sz="8" w:space="0" w:color="auto"/>
      </w:pBdr>
      <w:shd w:val="clear" w:color="000000" w:fill="60497B"/>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41">
    <w:name w:val="xl141"/>
    <w:basedOn w:val="a"/>
    <w:autoRedefine/>
    <w:uiPriority w:val="99"/>
    <w:qFormat/>
    <w:pPr>
      <w:widowControl/>
      <w:pBdr>
        <w:left w:val="single" w:sz="8" w:space="0" w:color="auto"/>
        <w:bottom w:val="single" w:sz="8" w:space="0" w:color="auto"/>
        <w:right w:val="single" w:sz="8" w:space="0" w:color="auto"/>
      </w:pBdr>
      <w:shd w:val="clear" w:color="000000" w:fill="60497B"/>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42">
    <w:name w:val="xl142"/>
    <w:basedOn w:val="a"/>
    <w:autoRedefine/>
    <w:uiPriority w:val="99"/>
    <w:qFormat/>
    <w:pPr>
      <w:widowControl/>
      <w:pBdr>
        <w:right w:val="single" w:sz="8" w:space="0" w:color="auto"/>
      </w:pBdr>
      <w:shd w:val="clear" w:color="000000" w:fill="31849B"/>
      <w:spacing w:before="100" w:beforeAutospacing="1" w:after="100" w:afterAutospacing="1" w:line="360" w:lineRule="auto"/>
      <w:ind w:firstLineChars="200" w:firstLine="200"/>
      <w:jc w:val="left"/>
    </w:pPr>
    <w:rPr>
      <w:rFonts w:ascii="宋体" w:hAnsi="宋体" w:cs="宋体"/>
      <w:kern w:val="0"/>
      <w:sz w:val="24"/>
      <w:szCs w:val="24"/>
    </w:rPr>
  </w:style>
  <w:style w:type="paragraph" w:customStyle="1" w:styleId="xl143">
    <w:name w:val="xl143"/>
    <w:basedOn w:val="a"/>
    <w:autoRedefine/>
    <w:uiPriority w:val="99"/>
    <w:qFormat/>
    <w:pPr>
      <w:widowControl/>
      <w:pBdr>
        <w:top w:val="single" w:sz="8" w:space="0" w:color="auto"/>
        <w:left w:val="single" w:sz="8" w:space="0" w:color="auto"/>
        <w:right w:val="single" w:sz="8" w:space="0" w:color="auto"/>
      </w:pBdr>
      <w:shd w:val="clear" w:color="000000" w:fill="31849B"/>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44">
    <w:name w:val="xl144"/>
    <w:basedOn w:val="a"/>
    <w:autoRedefine/>
    <w:uiPriority w:val="99"/>
    <w:qFormat/>
    <w:pPr>
      <w:widowControl/>
      <w:pBdr>
        <w:bottom w:val="single" w:sz="8" w:space="0" w:color="auto"/>
        <w:right w:val="single" w:sz="8" w:space="0" w:color="auto"/>
      </w:pBdr>
      <w:shd w:val="clear" w:color="000000" w:fill="31849B"/>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45">
    <w:name w:val="xl145"/>
    <w:basedOn w:val="a"/>
    <w:autoRedefine/>
    <w:uiPriority w:val="99"/>
    <w:qFormat/>
    <w:pPr>
      <w:widowControl/>
      <w:pBdr>
        <w:bottom w:val="single" w:sz="8" w:space="0" w:color="auto"/>
        <w:right w:val="single" w:sz="8" w:space="0" w:color="auto"/>
      </w:pBdr>
      <w:shd w:val="clear" w:color="000000" w:fill="31849B"/>
      <w:spacing w:before="100" w:beforeAutospacing="1" w:after="100" w:afterAutospacing="1" w:line="360" w:lineRule="auto"/>
      <w:ind w:firstLineChars="200" w:firstLine="200"/>
      <w:jc w:val="left"/>
    </w:pPr>
    <w:rPr>
      <w:rFonts w:ascii="Calibri" w:hAnsi="Calibri" w:cs="宋体"/>
      <w:kern w:val="0"/>
      <w:szCs w:val="21"/>
    </w:rPr>
  </w:style>
  <w:style w:type="paragraph" w:customStyle="1" w:styleId="xl146">
    <w:name w:val="xl146"/>
    <w:basedOn w:val="a"/>
    <w:autoRedefine/>
    <w:uiPriority w:val="99"/>
    <w:qFormat/>
    <w:pPr>
      <w:widowControl/>
      <w:pBdr>
        <w:bottom w:val="single" w:sz="8" w:space="0" w:color="auto"/>
      </w:pBdr>
      <w:shd w:val="clear" w:color="000000" w:fill="31849B"/>
      <w:spacing w:before="100" w:beforeAutospacing="1" w:after="100" w:afterAutospacing="1" w:line="360" w:lineRule="auto"/>
      <w:ind w:firstLineChars="200" w:firstLine="200"/>
      <w:jc w:val="left"/>
    </w:pPr>
    <w:rPr>
      <w:rFonts w:ascii="Calibri" w:hAnsi="Calibri" w:cs="宋体"/>
      <w:kern w:val="0"/>
      <w:szCs w:val="21"/>
    </w:rPr>
  </w:style>
  <w:style w:type="paragraph" w:customStyle="1" w:styleId="xl147">
    <w:name w:val="xl147"/>
    <w:basedOn w:val="a"/>
    <w:autoRedefine/>
    <w:uiPriority w:val="99"/>
    <w:qFormat/>
    <w:pPr>
      <w:widowControl/>
      <w:shd w:val="clear" w:color="000000" w:fill="31849B"/>
      <w:spacing w:before="100" w:beforeAutospacing="1" w:after="100" w:afterAutospacing="1" w:line="360" w:lineRule="auto"/>
      <w:ind w:firstLineChars="200" w:firstLine="200"/>
      <w:jc w:val="left"/>
    </w:pPr>
    <w:rPr>
      <w:rFonts w:ascii="宋体" w:hAnsi="宋体" w:cs="宋体"/>
      <w:kern w:val="0"/>
      <w:sz w:val="24"/>
      <w:szCs w:val="24"/>
    </w:rPr>
  </w:style>
  <w:style w:type="paragraph" w:customStyle="1" w:styleId="xl148">
    <w:name w:val="xl148"/>
    <w:basedOn w:val="a"/>
    <w:autoRedefine/>
    <w:uiPriority w:val="99"/>
    <w:qFormat/>
    <w:pPr>
      <w:widowControl/>
      <w:pBdr>
        <w:left w:val="single" w:sz="8" w:space="0" w:color="auto"/>
        <w:right w:val="single" w:sz="8" w:space="0" w:color="auto"/>
      </w:pBdr>
      <w:shd w:val="clear" w:color="000000" w:fill="31849B"/>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49">
    <w:name w:val="xl149"/>
    <w:basedOn w:val="a"/>
    <w:autoRedefine/>
    <w:uiPriority w:val="99"/>
    <w:qFormat/>
    <w:pPr>
      <w:widowControl/>
      <w:pBdr>
        <w:left w:val="single" w:sz="8" w:space="0" w:color="auto"/>
        <w:bottom w:val="single" w:sz="8" w:space="0" w:color="auto"/>
        <w:right w:val="single" w:sz="8" w:space="0" w:color="auto"/>
      </w:pBdr>
      <w:shd w:val="clear" w:color="000000" w:fill="31849B"/>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50">
    <w:name w:val="xl150"/>
    <w:basedOn w:val="a"/>
    <w:autoRedefine/>
    <w:uiPriority w:val="99"/>
    <w:qFormat/>
    <w:pPr>
      <w:widowControl/>
      <w:pBdr>
        <w:right w:val="single" w:sz="8" w:space="0" w:color="auto"/>
      </w:pBdr>
      <w:shd w:val="clear" w:color="000000" w:fill="E46D0A"/>
      <w:spacing w:before="100" w:beforeAutospacing="1" w:after="100" w:afterAutospacing="1" w:line="360" w:lineRule="auto"/>
      <w:ind w:firstLineChars="200" w:firstLine="200"/>
      <w:jc w:val="left"/>
    </w:pPr>
    <w:rPr>
      <w:rFonts w:ascii="宋体" w:hAnsi="宋体" w:cs="宋体"/>
      <w:kern w:val="0"/>
      <w:sz w:val="24"/>
      <w:szCs w:val="24"/>
    </w:rPr>
  </w:style>
  <w:style w:type="paragraph" w:customStyle="1" w:styleId="xl151">
    <w:name w:val="xl151"/>
    <w:basedOn w:val="a"/>
    <w:autoRedefine/>
    <w:uiPriority w:val="99"/>
    <w:qFormat/>
    <w:pPr>
      <w:widowControl/>
      <w:pBdr>
        <w:top w:val="single" w:sz="8" w:space="0" w:color="auto"/>
        <w:left w:val="single" w:sz="8" w:space="0" w:color="auto"/>
        <w:right w:val="single" w:sz="8" w:space="0" w:color="auto"/>
      </w:pBdr>
      <w:shd w:val="clear" w:color="000000" w:fill="E46D0A"/>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52">
    <w:name w:val="xl152"/>
    <w:basedOn w:val="a"/>
    <w:autoRedefine/>
    <w:uiPriority w:val="99"/>
    <w:qFormat/>
    <w:pPr>
      <w:widowControl/>
      <w:pBdr>
        <w:bottom w:val="single" w:sz="8" w:space="0" w:color="auto"/>
        <w:right w:val="single" w:sz="8" w:space="0" w:color="auto"/>
      </w:pBdr>
      <w:shd w:val="clear" w:color="000000" w:fill="E46D0A"/>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53">
    <w:name w:val="xl153"/>
    <w:basedOn w:val="a"/>
    <w:autoRedefine/>
    <w:uiPriority w:val="99"/>
    <w:qFormat/>
    <w:pPr>
      <w:widowControl/>
      <w:pBdr>
        <w:bottom w:val="single" w:sz="8" w:space="0" w:color="auto"/>
        <w:right w:val="single" w:sz="8" w:space="0" w:color="auto"/>
      </w:pBdr>
      <w:shd w:val="clear" w:color="000000" w:fill="E46D0A"/>
      <w:spacing w:before="100" w:beforeAutospacing="1" w:after="100" w:afterAutospacing="1" w:line="360" w:lineRule="auto"/>
      <w:ind w:firstLineChars="200" w:firstLine="200"/>
      <w:jc w:val="left"/>
    </w:pPr>
    <w:rPr>
      <w:rFonts w:ascii="Calibri" w:hAnsi="Calibri" w:cs="宋体"/>
      <w:kern w:val="0"/>
      <w:szCs w:val="21"/>
    </w:rPr>
  </w:style>
  <w:style w:type="paragraph" w:customStyle="1" w:styleId="xl154">
    <w:name w:val="xl154"/>
    <w:basedOn w:val="a"/>
    <w:autoRedefine/>
    <w:uiPriority w:val="99"/>
    <w:qFormat/>
    <w:pPr>
      <w:widowControl/>
      <w:pBdr>
        <w:bottom w:val="single" w:sz="8" w:space="0" w:color="auto"/>
      </w:pBdr>
      <w:shd w:val="clear" w:color="000000" w:fill="E46D0A"/>
      <w:spacing w:before="100" w:beforeAutospacing="1" w:after="100" w:afterAutospacing="1" w:line="360" w:lineRule="auto"/>
      <w:ind w:firstLineChars="200" w:firstLine="200"/>
      <w:jc w:val="left"/>
    </w:pPr>
    <w:rPr>
      <w:rFonts w:ascii="Calibri" w:hAnsi="Calibri" w:cs="宋体"/>
      <w:kern w:val="0"/>
      <w:szCs w:val="21"/>
    </w:rPr>
  </w:style>
  <w:style w:type="paragraph" w:customStyle="1" w:styleId="xl155">
    <w:name w:val="xl155"/>
    <w:basedOn w:val="a"/>
    <w:autoRedefine/>
    <w:uiPriority w:val="99"/>
    <w:qFormat/>
    <w:pPr>
      <w:widowControl/>
      <w:shd w:val="clear" w:color="000000" w:fill="E46D0A"/>
      <w:spacing w:before="100" w:beforeAutospacing="1" w:after="100" w:afterAutospacing="1" w:line="360" w:lineRule="auto"/>
      <w:ind w:firstLineChars="200" w:firstLine="200"/>
      <w:jc w:val="left"/>
    </w:pPr>
    <w:rPr>
      <w:rFonts w:ascii="宋体" w:hAnsi="宋体" w:cs="宋体"/>
      <w:kern w:val="0"/>
      <w:sz w:val="24"/>
      <w:szCs w:val="24"/>
    </w:rPr>
  </w:style>
  <w:style w:type="paragraph" w:customStyle="1" w:styleId="xl156">
    <w:name w:val="xl156"/>
    <w:basedOn w:val="a"/>
    <w:autoRedefine/>
    <w:uiPriority w:val="99"/>
    <w:qFormat/>
    <w:pPr>
      <w:widowControl/>
      <w:pBdr>
        <w:left w:val="single" w:sz="8" w:space="0" w:color="auto"/>
        <w:right w:val="single" w:sz="8" w:space="0" w:color="auto"/>
      </w:pBdr>
      <w:shd w:val="clear" w:color="000000" w:fill="E46D0A"/>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57">
    <w:name w:val="xl157"/>
    <w:basedOn w:val="a"/>
    <w:autoRedefine/>
    <w:uiPriority w:val="99"/>
    <w:qFormat/>
    <w:pPr>
      <w:widowControl/>
      <w:pBdr>
        <w:left w:val="single" w:sz="8" w:space="0" w:color="auto"/>
        <w:bottom w:val="single" w:sz="8" w:space="0" w:color="auto"/>
        <w:right w:val="single" w:sz="8" w:space="0" w:color="auto"/>
      </w:pBdr>
      <w:shd w:val="clear" w:color="000000" w:fill="E46D0A"/>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58">
    <w:name w:val="xl158"/>
    <w:basedOn w:val="a"/>
    <w:autoRedefine/>
    <w:uiPriority w:val="99"/>
    <w:qFormat/>
    <w:pPr>
      <w:widowControl/>
      <w:pBdr>
        <w:right w:val="single" w:sz="8" w:space="0" w:color="auto"/>
      </w:pBdr>
      <w:shd w:val="clear" w:color="000000" w:fill="92D050"/>
      <w:spacing w:before="100" w:beforeAutospacing="1" w:after="100" w:afterAutospacing="1" w:line="360" w:lineRule="auto"/>
      <w:ind w:firstLineChars="200" w:firstLine="200"/>
      <w:jc w:val="left"/>
    </w:pPr>
    <w:rPr>
      <w:rFonts w:ascii="宋体" w:hAnsi="宋体" w:cs="宋体"/>
      <w:kern w:val="0"/>
      <w:sz w:val="24"/>
      <w:szCs w:val="24"/>
    </w:rPr>
  </w:style>
  <w:style w:type="paragraph" w:customStyle="1" w:styleId="xl159">
    <w:name w:val="xl159"/>
    <w:basedOn w:val="a"/>
    <w:autoRedefine/>
    <w:uiPriority w:val="99"/>
    <w:qFormat/>
    <w:pPr>
      <w:widowControl/>
      <w:pBdr>
        <w:top w:val="single" w:sz="8" w:space="0" w:color="auto"/>
        <w:left w:val="single" w:sz="8" w:space="0" w:color="auto"/>
        <w:right w:val="single" w:sz="8" w:space="0" w:color="auto"/>
      </w:pBdr>
      <w:shd w:val="clear" w:color="000000" w:fill="92D050"/>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60">
    <w:name w:val="xl160"/>
    <w:basedOn w:val="a"/>
    <w:autoRedefine/>
    <w:uiPriority w:val="99"/>
    <w:qFormat/>
    <w:pPr>
      <w:widowControl/>
      <w:pBdr>
        <w:bottom w:val="single" w:sz="8" w:space="0" w:color="auto"/>
        <w:right w:val="single" w:sz="8" w:space="0" w:color="auto"/>
      </w:pBdr>
      <w:shd w:val="clear" w:color="000000" w:fill="92D050"/>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61">
    <w:name w:val="xl161"/>
    <w:basedOn w:val="a"/>
    <w:autoRedefine/>
    <w:uiPriority w:val="99"/>
    <w:qFormat/>
    <w:pPr>
      <w:widowControl/>
      <w:pBdr>
        <w:bottom w:val="single" w:sz="8" w:space="0" w:color="auto"/>
        <w:right w:val="single" w:sz="8" w:space="0" w:color="auto"/>
      </w:pBdr>
      <w:shd w:val="clear" w:color="000000" w:fill="92D050"/>
      <w:spacing w:before="100" w:beforeAutospacing="1" w:after="100" w:afterAutospacing="1" w:line="360" w:lineRule="auto"/>
      <w:ind w:firstLineChars="200" w:firstLine="200"/>
      <w:jc w:val="left"/>
    </w:pPr>
    <w:rPr>
      <w:rFonts w:ascii="Calibri" w:hAnsi="Calibri" w:cs="宋体"/>
      <w:kern w:val="0"/>
      <w:szCs w:val="21"/>
    </w:rPr>
  </w:style>
  <w:style w:type="paragraph" w:customStyle="1" w:styleId="xl162">
    <w:name w:val="xl162"/>
    <w:basedOn w:val="a"/>
    <w:autoRedefine/>
    <w:uiPriority w:val="99"/>
    <w:qFormat/>
    <w:pPr>
      <w:widowControl/>
      <w:pBdr>
        <w:bottom w:val="single" w:sz="8" w:space="0" w:color="auto"/>
      </w:pBdr>
      <w:shd w:val="clear" w:color="000000" w:fill="92D050"/>
      <w:spacing w:before="100" w:beforeAutospacing="1" w:after="100" w:afterAutospacing="1" w:line="360" w:lineRule="auto"/>
      <w:ind w:firstLineChars="200" w:firstLine="200"/>
      <w:jc w:val="left"/>
    </w:pPr>
    <w:rPr>
      <w:rFonts w:ascii="Calibri" w:hAnsi="Calibri" w:cs="宋体"/>
      <w:kern w:val="0"/>
      <w:szCs w:val="21"/>
    </w:rPr>
  </w:style>
  <w:style w:type="paragraph" w:customStyle="1" w:styleId="xl163">
    <w:name w:val="xl163"/>
    <w:basedOn w:val="a"/>
    <w:autoRedefine/>
    <w:uiPriority w:val="99"/>
    <w:qFormat/>
    <w:pPr>
      <w:widowControl/>
      <w:shd w:val="clear" w:color="000000" w:fill="92D050"/>
      <w:spacing w:before="100" w:beforeAutospacing="1" w:after="100" w:afterAutospacing="1" w:line="360" w:lineRule="auto"/>
      <w:ind w:firstLineChars="200" w:firstLine="200"/>
      <w:jc w:val="left"/>
    </w:pPr>
    <w:rPr>
      <w:rFonts w:ascii="宋体" w:hAnsi="宋体" w:cs="宋体"/>
      <w:kern w:val="0"/>
      <w:sz w:val="24"/>
      <w:szCs w:val="24"/>
    </w:rPr>
  </w:style>
  <w:style w:type="paragraph" w:customStyle="1" w:styleId="xl164">
    <w:name w:val="xl164"/>
    <w:basedOn w:val="a"/>
    <w:autoRedefine/>
    <w:uiPriority w:val="99"/>
    <w:qFormat/>
    <w:pPr>
      <w:widowControl/>
      <w:pBdr>
        <w:left w:val="single" w:sz="8" w:space="0" w:color="auto"/>
        <w:right w:val="single" w:sz="8" w:space="0" w:color="auto"/>
      </w:pBdr>
      <w:shd w:val="clear" w:color="000000" w:fill="92D050"/>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65">
    <w:name w:val="xl165"/>
    <w:basedOn w:val="a"/>
    <w:autoRedefine/>
    <w:uiPriority w:val="99"/>
    <w:qFormat/>
    <w:pPr>
      <w:widowControl/>
      <w:pBdr>
        <w:left w:val="single" w:sz="8" w:space="0" w:color="auto"/>
        <w:bottom w:val="single" w:sz="8" w:space="0" w:color="auto"/>
        <w:right w:val="single" w:sz="8" w:space="0" w:color="auto"/>
      </w:pBdr>
      <w:shd w:val="clear" w:color="000000" w:fill="92D050"/>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66">
    <w:name w:val="xl166"/>
    <w:basedOn w:val="a"/>
    <w:autoRedefine/>
    <w:uiPriority w:val="99"/>
    <w:qFormat/>
    <w:pPr>
      <w:widowControl/>
      <w:pBdr>
        <w:right w:val="single" w:sz="8" w:space="0" w:color="auto"/>
      </w:pBdr>
      <w:shd w:val="clear" w:color="000000" w:fill="0070C0"/>
      <w:spacing w:before="100" w:beforeAutospacing="1" w:after="100" w:afterAutospacing="1" w:line="360" w:lineRule="auto"/>
      <w:ind w:firstLineChars="200" w:firstLine="200"/>
      <w:jc w:val="left"/>
    </w:pPr>
    <w:rPr>
      <w:rFonts w:ascii="宋体" w:hAnsi="宋体" w:cs="宋体"/>
      <w:kern w:val="0"/>
      <w:sz w:val="24"/>
      <w:szCs w:val="24"/>
    </w:rPr>
  </w:style>
  <w:style w:type="paragraph" w:customStyle="1" w:styleId="xl167">
    <w:name w:val="xl167"/>
    <w:basedOn w:val="a"/>
    <w:autoRedefine/>
    <w:uiPriority w:val="99"/>
    <w:qFormat/>
    <w:pPr>
      <w:widowControl/>
      <w:pBdr>
        <w:top w:val="single" w:sz="8" w:space="0" w:color="auto"/>
        <w:left w:val="single" w:sz="8" w:space="0" w:color="auto"/>
        <w:right w:val="single" w:sz="8" w:space="0" w:color="auto"/>
      </w:pBdr>
      <w:shd w:val="clear" w:color="000000" w:fill="0070C0"/>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68">
    <w:name w:val="xl168"/>
    <w:basedOn w:val="a"/>
    <w:autoRedefine/>
    <w:uiPriority w:val="99"/>
    <w:qFormat/>
    <w:pPr>
      <w:widowControl/>
      <w:pBdr>
        <w:bottom w:val="single" w:sz="8" w:space="0" w:color="auto"/>
        <w:right w:val="single" w:sz="8" w:space="0" w:color="auto"/>
      </w:pBdr>
      <w:shd w:val="clear" w:color="000000" w:fill="0070C0"/>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69">
    <w:name w:val="xl169"/>
    <w:basedOn w:val="a"/>
    <w:autoRedefine/>
    <w:uiPriority w:val="99"/>
    <w:qFormat/>
    <w:pPr>
      <w:widowControl/>
      <w:pBdr>
        <w:bottom w:val="single" w:sz="8" w:space="0" w:color="auto"/>
        <w:right w:val="single" w:sz="8" w:space="0" w:color="auto"/>
      </w:pBdr>
      <w:shd w:val="clear" w:color="000000" w:fill="0070C0"/>
      <w:spacing w:before="100" w:beforeAutospacing="1" w:after="100" w:afterAutospacing="1" w:line="360" w:lineRule="auto"/>
      <w:ind w:firstLineChars="200" w:firstLine="200"/>
      <w:jc w:val="left"/>
    </w:pPr>
    <w:rPr>
      <w:rFonts w:ascii="Calibri" w:hAnsi="Calibri" w:cs="宋体"/>
      <w:kern w:val="0"/>
      <w:szCs w:val="21"/>
    </w:rPr>
  </w:style>
  <w:style w:type="paragraph" w:customStyle="1" w:styleId="xl170">
    <w:name w:val="xl170"/>
    <w:basedOn w:val="a"/>
    <w:autoRedefine/>
    <w:uiPriority w:val="99"/>
    <w:qFormat/>
    <w:pPr>
      <w:widowControl/>
      <w:pBdr>
        <w:bottom w:val="single" w:sz="8" w:space="0" w:color="auto"/>
      </w:pBdr>
      <w:shd w:val="clear" w:color="000000" w:fill="0070C0"/>
      <w:spacing w:before="100" w:beforeAutospacing="1" w:after="100" w:afterAutospacing="1" w:line="360" w:lineRule="auto"/>
      <w:ind w:firstLineChars="200" w:firstLine="200"/>
      <w:jc w:val="left"/>
    </w:pPr>
    <w:rPr>
      <w:rFonts w:ascii="Calibri" w:hAnsi="Calibri" w:cs="宋体"/>
      <w:kern w:val="0"/>
      <w:szCs w:val="21"/>
    </w:rPr>
  </w:style>
  <w:style w:type="paragraph" w:customStyle="1" w:styleId="xl171">
    <w:name w:val="xl171"/>
    <w:basedOn w:val="a"/>
    <w:autoRedefine/>
    <w:uiPriority w:val="99"/>
    <w:qFormat/>
    <w:pPr>
      <w:widowControl/>
      <w:shd w:val="clear" w:color="000000" w:fill="0070C0"/>
      <w:spacing w:before="100" w:beforeAutospacing="1" w:after="100" w:afterAutospacing="1" w:line="360" w:lineRule="auto"/>
      <w:ind w:firstLineChars="200" w:firstLine="200"/>
      <w:jc w:val="left"/>
    </w:pPr>
    <w:rPr>
      <w:rFonts w:ascii="宋体" w:hAnsi="宋体" w:cs="宋体"/>
      <w:kern w:val="0"/>
      <w:sz w:val="24"/>
      <w:szCs w:val="24"/>
    </w:rPr>
  </w:style>
  <w:style w:type="paragraph" w:customStyle="1" w:styleId="xl172">
    <w:name w:val="xl172"/>
    <w:basedOn w:val="a"/>
    <w:autoRedefine/>
    <w:uiPriority w:val="99"/>
    <w:qFormat/>
    <w:pPr>
      <w:widowControl/>
      <w:pBdr>
        <w:left w:val="single" w:sz="8" w:space="0" w:color="auto"/>
        <w:right w:val="single" w:sz="8" w:space="0" w:color="auto"/>
      </w:pBdr>
      <w:shd w:val="clear" w:color="000000" w:fill="0070C0"/>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73">
    <w:name w:val="xl173"/>
    <w:basedOn w:val="a"/>
    <w:autoRedefine/>
    <w:uiPriority w:val="99"/>
    <w:qFormat/>
    <w:pPr>
      <w:widowControl/>
      <w:pBdr>
        <w:left w:val="single" w:sz="8" w:space="0" w:color="auto"/>
        <w:bottom w:val="single" w:sz="8" w:space="0" w:color="auto"/>
        <w:right w:val="single" w:sz="8" w:space="0" w:color="auto"/>
      </w:pBdr>
      <w:shd w:val="clear" w:color="000000" w:fill="0070C0"/>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74">
    <w:name w:val="xl174"/>
    <w:basedOn w:val="a"/>
    <w:autoRedefine/>
    <w:uiPriority w:val="99"/>
    <w:qFormat/>
    <w:pPr>
      <w:widowControl/>
      <w:pBdr>
        <w:top w:val="single" w:sz="8" w:space="0" w:color="auto"/>
        <w:left w:val="single" w:sz="8" w:space="0" w:color="auto"/>
        <w:right w:val="single" w:sz="8" w:space="0" w:color="auto"/>
      </w:pBdr>
      <w:shd w:val="clear" w:color="000000" w:fill="D7E4BC"/>
      <w:spacing w:before="100" w:beforeAutospacing="1" w:after="100" w:afterAutospacing="1" w:line="360" w:lineRule="auto"/>
      <w:ind w:firstLineChars="200" w:firstLine="200"/>
      <w:jc w:val="left"/>
    </w:pPr>
    <w:rPr>
      <w:rFonts w:ascii="宋体" w:hAnsi="宋体" w:cs="宋体"/>
      <w:kern w:val="0"/>
      <w:sz w:val="24"/>
      <w:szCs w:val="24"/>
    </w:rPr>
  </w:style>
  <w:style w:type="paragraph" w:customStyle="1" w:styleId="xl175">
    <w:name w:val="xl175"/>
    <w:basedOn w:val="a"/>
    <w:autoRedefine/>
    <w:uiPriority w:val="99"/>
    <w:qFormat/>
    <w:pPr>
      <w:widowControl/>
      <w:pBdr>
        <w:left w:val="single" w:sz="8" w:space="0" w:color="auto"/>
        <w:right w:val="single" w:sz="8" w:space="0" w:color="auto"/>
      </w:pBdr>
      <w:shd w:val="clear" w:color="000000" w:fill="D7E4BC"/>
      <w:spacing w:before="100" w:beforeAutospacing="1" w:after="100" w:afterAutospacing="1" w:line="360" w:lineRule="auto"/>
      <w:ind w:firstLineChars="200" w:firstLine="200"/>
      <w:jc w:val="left"/>
    </w:pPr>
    <w:rPr>
      <w:rFonts w:ascii="宋体" w:hAnsi="宋体" w:cs="宋体"/>
      <w:kern w:val="0"/>
      <w:sz w:val="24"/>
      <w:szCs w:val="24"/>
    </w:rPr>
  </w:style>
  <w:style w:type="paragraph" w:customStyle="1" w:styleId="xl176">
    <w:name w:val="xl176"/>
    <w:basedOn w:val="a"/>
    <w:autoRedefine/>
    <w:uiPriority w:val="99"/>
    <w:qFormat/>
    <w:pPr>
      <w:widowControl/>
      <w:pBdr>
        <w:bottom w:val="single" w:sz="8" w:space="0" w:color="auto"/>
        <w:right w:val="single" w:sz="8" w:space="0" w:color="auto"/>
      </w:pBdr>
      <w:shd w:val="clear" w:color="000000" w:fill="60497B"/>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77">
    <w:name w:val="xl177"/>
    <w:basedOn w:val="a"/>
    <w:autoRedefine/>
    <w:uiPriority w:val="99"/>
    <w:qFormat/>
    <w:pPr>
      <w:widowControl/>
      <w:pBdr>
        <w:bottom w:val="single" w:sz="8" w:space="0" w:color="auto"/>
        <w:right w:val="single" w:sz="8" w:space="0" w:color="auto"/>
      </w:pBdr>
      <w:shd w:val="clear" w:color="000000" w:fill="60497B"/>
      <w:spacing w:before="100" w:beforeAutospacing="1" w:after="100" w:afterAutospacing="1" w:line="360" w:lineRule="auto"/>
      <w:ind w:firstLineChars="200" w:firstLine="200"/>
      <w:jc w:val="left"/>
    </w:pPr>
    <w:rPr>
      <w:rFonts w:ascii="Calibri" w:hAnsi="Calibri" w:cs="宋体"/>
      <w:kern w:val="0"/>
      <w:szCs w:val="21"/>
    </w:rPr>
  </w:style>
  <w:style w:type="paragraph" w:customStyle="1" w:styleId="xl178">
    <w:name w:val="xl178"/>
    <w:basedOn w:val="a"/>
    <w:autoRedefine/>
    <w:uiPriority w:val="99"/>
    <w:qFormat/>
    <w:pPr>
      <w:widowControl/>
      <w:pBdr>
        <w:bottom w:val="single" w:sz="8" w:space="0" w:color="auto"/>
        <w:right w:val="single" w:sz="8" w:space="0" w:color="auto"/>
      </w:pBdr>
      <w:shd w:val="clear" w:color="000000" w:fill="60497B"/>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79">
    <w:name w:val="xl179"/>
    <w:basedOn w:val="a"/>
    <w:autoRedefine/>
    <w:uiPriority w:val="99"/>
    <w:qFormat/>
    <w:pPr>
      <w:widowControl/>
      <w:pBdr>
        <w:bottom w:val="single" w:sz="8" w:space="0" w:color="auto"/>
        <w:right w:val="single" w:sz="8" w:space="0" w:color="auto"/>
      </w:pBdr>
      <w:shd w:val="clear" w:color="000000" w:fill="60497B"/>
      <w:spacing w:before="100" w:beforeAutospacing="1" w:after="100" w:afterAutospacing="1" w:line="360" w:lineRule="auto"/>
      <w:ind w:firstLineChars="200" w:firstLine="200"/>
      <w:jc w:val="left"/>
    </w:pPr>
    <w:rPr>
      <w:rFonts w:ascii="Calibri" w:hAnsi="Calibri" w:cs="宋体"/>
      <w:kern w:val="0"/>
      <w:szCs w:val="21"/>
    </w:rPr>
  </w:style>
  <w:style w:type="paragraph" w:customStyle="1" w:styleId="xl180">
    <w:name w:val="xl180"/>
    <w:basedOn w:val="a"/>
    <w:autoRedefine/>
    <w:uiPriority w:val="99"/>
    <w:qFormat/>
    <w:pPr>
      <w:widowControl/>
      <w:pBdr>
        <w:bottom w:val="single" w:sz="8" w:space="0" w:color="auto"/>
        <w:right w:val="single" w:sz="8" w:space="0" w:color="auto"/>
      </w:pBdr>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81">
    <w:name w:val="xl181"/>
    <w:basedOn w:val="a"/>
    <w:autoRedefine/>
    <w:uiPriority w:val="99"/>
    <w:qFormat/>
    <w:pPr>
      <w:widowControl/>
      <w:pBdr>
        <w:bottom w:val="single" w:sz="8" w:space="0" w:color="auto"/>
        <w:right w:val="single" w:sz="8" w:space="0" w:color="auto"/>
      </w:pBdr>
      <w:spacing w:before="100" w:beforeAutospacing="1" w:after="100" w:afterAutospacing="1" w:line="360" w:lineRule="auto"/>
      <w:ind w:firstLineChars="200" w:firstLine="200"/>
      <w:jc w:val="left"/>
    </w:pPr>
    <w:rPr>
      <w:rFonts w:ascii="Calibri" w:hAnsi="Calibri" w:cs="宋体"/>
      <w:kern w:val="0"/>
      <w:szCs w:val="21"/>
    </w:rPr>
  </w:style>
  <w:style w:type="paragraph" w:customStyle="1" w:styleId="xl182">
    <w:name w:val="xl182"/>
    <w:basedOn w:val="a"/>
    <w:autoRedefine/>
    <w:uiPriority w:val="99"/>
    <w:qFormat/>
    <w:pPr>
      <w:widowControl/>
      <w:pBdr>
        <w:bottom w:val="single" w:sz="8" w:space="0" w:color="auto"/>
        <w:right w:val="single" w:sz="8" w:space="0" w:color="auto"/>
      </w:pBdr>
      <w:shd w:val="clear" w:color="000000" w:fill="D7E4BC"/>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83">
    <w:name w:val="xl183"/>
    <w:basedOn w:val="a"/>
    <w:autoRedefine/>
    <w:uiPriority w:val="99"/>
    <w:qFormat/>
    <w:pPr>
      <w:widowControl/>
      <w:pBdr>
        <w:bottom w:val="single" w:sz="8" w:space="0" w:color="auto"/>
        <w:right w:val="single" w:sz="8" w:space="0" w:color="auto"/>
      </w:pBdr>
      <w:shd w:val="clear" w:color="000000" w:fill="D7E4BC"/>
      <w:spacing w:before="100" w:beforeAutospacing="1" w:after="100" w:afterAutospacing="1" w:line="360" w:lineRule="auto"/>
      <w:ind w:firstLineChars="200" w:firstLine="200"/>
      <w:jc w:val="left"/>
    </w:pPr>
    <w:rPr>
      <w:rFonts w:ascii="Calibri" w:hAnsi="Calibri" w:cs="宋体"/>
      <w:kern w:val="0"/>
      <w:szCs w:val="21"/>
    </w:rPr>
  </w:style>
  <w:style w:type="paragraph" w:customStyle="1" w:styleId="xl184">
    <w:name w:val="xl184"/>
    <w:basedOn w:val="a"/>
    <w:autoRedefine/>
    <w:uiPriority w:val="99"/>
    <w:qFormat/>
    <w:pPr>
      <w:widowControl/>
      <w:pBdr>
        <w:bottom w:val="single" w:sz="12" w:space="0" w:color="auto"/>
        <w:right w:val="single" w:sz="8" w:space="0" w:color="auto"/>
      </w:pBdr>
      <w:spacing w:before="100" w:beforeAutospacing="1" w:after="100" w:afterAutospacing="1" w:line="360" w:lineRule="auto"/>
      <w:ind w:firstLineChars="200" w:firstLine="200"/>
      <w:jc w:val="center"/>
    </w:pPr>
    <w:rPr>
      <w:rFonts w:ascii="宋体" w:hAnsi="宋体" w:cs="宋体"/>
      <w:color w:val="000000"/>
      <w:kern w:val="0"/>
      <w:szCs w:val="21"/>
    </w:rPr>
  </w:style>
  <w:style w:type="paragraph" w:customStyle="1" w:styleId="xl185">
    <w:name w:val="xl185"/>
    <w:basedOn w:val="a"/>
    <w:autoRedefine/>
    <w:uiPriority w:val="99"/>
    <w:qFormat/>
    <w:pPr>
      <w:widowControl/>
      <w:pBdr>
        <w:bottom w:val="single" w:sz="12" w:space="0" w:color="auto"/>
        <w:right w:val="single" w:sz="8" w:space="0" w:color="auto"/>
      </w:pBdr>
      <w:spacing w:before="100" w:beforeAutospacing="1" w:after="100" w:afterAutospacing="1" w:line="360" w:lineRule="auto"/>
      <w:ind w:firstLineChars="200" w:firstLine="200"/>
      <w:jc w:val="center"/>
    </w:pPr>
    <w:rPr>
      <w:rFonts w:ascii="Calibri" w:hAnsi="Calibri" w:cs="宋体"/>
      <w:color w:val="000000"/>
      <w:kern w:val="0"/>
      <w:szCs w:val="21"/>
    </w:rPr>
  </w:style>
  <w:style w:type="paragraph" w:customStyle="1" w:styleId="xl186">
    <w:name w:val="xl186"/>
    <w:basedOn w:val="a"/>
    <w:uiPriority w:val="99"/>
    <w:qFormat/>
    <w:pPr>
      <w:widowControl/>
      <w:pBdr>
        <w:bottom w:val="single" w:sz="8" w:space="0" w:color="auto"/>
      </w:pBdr>
      <w:spacing w:before="100" w:beforeAutospacing="1" w:after="100" w:afterAutospacing="1" w:line="360" w:lineRule="auto"/>
      <w:ind w:firstLineChars="200" w:firstLine="200"/>
      <w:jc w:val="center"/>
    </w:pPr>
    <w:rPr>
      <w:rFonts w:ascii="宋体" w:hAnsi="宋体" w:cs="宋体"/>
      <w:kern w:val="0"/>
      <w:sz w:val="24"/>
      <w:szCs w:val="24"/>
    </w:rPr>
  </w:style>
  <w:style w:type="character" w:customStyle="1" w:styleId="dectext1">
    <w:name w:val="dectext1"/>
    <w:qFormat/>
    <w:rPr>
      <w:rFonts w:ascii="宋体" w:eastAsia="宋体" w:hAnsi="宋体" w:hint="eastAsia"/>
      <w:color w:val="333333"/>
      <w:sz w:val="28"/>
      <w:szCs w:val="28"/>
      <w:u w:val="none"/>
    </w:rPr>
  </w:style>
  <w:style w:type="character" w:customStyle="1" w:styleId="big">
    <w:name w:val="big"/>
    <w:autoRedefine/>
    <w:qFormat/>
  </w:style>
  <w:style w:type="character" w:customStyle="1" w:styleId="small">
    <w:name w:val="small"/>
    <w:autoRedefine/>
    <w:qFormat/>
  </w:style>
  <w:style w:type="paragraph" w:customStyle="1" w:styleId="0010">
    <w:name w:val="表格001"/>
    <w:basedOn w:val="a"/>
    <w:autoRedefine/>
    <w:uiPriority w:val="99"/>
    <w:qFormat/>
    <w:pPr>
      <w:spacing w:line="360" w:lineRule="auto"/>
      <w:ind w:firstLineChars="200" w:firstLine="200"/>
      <w:jc w:val="center"/>
    </w:pPr>
    <w:rPr>
      <w:rFonts w:cs="Times New Roman"/>
      <w:szCs w:val="20"/>
    </w:rPr>
  </w:style>
  <w:style w:type="character" w:customStyle="1" w:styleId="ddd">
    <w:name w:val="ddd"/>
    <w:autoRedefine/>
    <w:qFormat/>
  </w:style>
  <w:style w:type="character" w:customStyle="1" w:styleId="4Char10">
    <w:name w:val="4 Char1"/>
    <w:autoRedefine/>
    <w:qFormat/>
    <w:rPr>
      <w:kern w:val="2"/>
      <w:sz w:val="21"/>
      <w:szCs w:val="24"/>
      <w:lang w:val="zh-CN" w:eastAsia="zh-CN"/>
    </w:rPr>
  </w:style>
  <w:style w:type="character" w:customStyle="1" w:styleId="f41">
    <w:name w:val="f41"/>
    <w:autoRedefine/>
    <w:qFormat/>
    <w:rPr>
      <w:color w:val="333333"/>
      <w:sz w:val="21"/>
      <w:szCs w:val="21"/>
    </w:rPr>
  </w:style>
  <w:style w:type="paragraph" w:customStyle="1" w:styleId="affffffffffffffffffffffffffffffffff7">
    <w:name w:val="已访问的超级链接"/>
    <w:autoRedefine/>
    <w:uiPriority w:val="99"/>
    <w:qFormat/>
    <w:rPr>
      <w:rFonts w:ascii="Calibri" w:hAnsi="Calibri"/>
      <w:kern w:val="2"/>
      <w:sz w:val="21"/>
      <w:szCs w:val="22"/>
    </w:rPr>
  </w:style>
  <w:style w:type="character" w:customStyle="1" w:styleId="zw0">
    <w:name w:val="zw"/>
    <w:autoRedefine/>
    <w:qFormat/>
  </w:style>
  <w:style w:type="character" w:customStyle="1" w:styleId="tdword">
    <w:name w:val="tdword"/>
    <w:qFormat/>
  </w:style>
  <w:style w:type="paragraph" w:customStyle="1" w:styleId="1item">
    <w:name w:val="1item"/>
    <w:basedOn w:val="a"/>
    <w:autoRedefine/>
    <w:uiPriority w:val="99"/>
    <w:qFormat/>
    <w:pPr>
      <w:widowControl/>
      <w:spacing w:before="100" w:beforeAutospacing="1" w:after="100" w:afterAutospacing="1" w:line="360" w:lineRule="auto"/>
      <w:ind w:firstLineChars="200" w:firstLine="440"/>
      <w:jc w:val="left"/>
    </w:pPr>
    <w:rPr>
      <w:rFonts w:ascii="Arial Unicode MS" w:hAnsi="Arial Unicode MS" w:cs="Times New Roman"/>
      <w:kern w:val="0"/>
      <w:sz w:val="24"/>
      <w:szCs w:val="24"/>
    </w:rPr>
  </w:style>
  <w:style w:type="paragraph" w:customStyle="1" w:styleId="text10">
    <w:name w:val="text_1"/>
    <w:basedOn w:val="a"/>
    <w:autoRedefine/>
    <w:uiPriority w:val="99"/>
    <w:qFormat/>
    <w:pPr>
      <w:widowControl/>
      <w:spacing w:before="100" w:beforeAutospacing="1" w:after="100" w:afterAutospacing="1" w:line="360" w:lineRule="auto"/>
      <w:ind w:firstLineChars="200" w:firstLine="200"/>
      <w:jc w:val="left"/>
    </w:pPr>
    <w:rPr>
      <w:rFonts w:ascii="宋体" w:hAnsi="宋体" w:cs="Times New Roman"/>
      <w:color w:val="000000"/>
      <w:kern w:val="0"/>
      <w:sz w:val="24"/>
      <w:szCs w:val="24"/>
    </w:rPr>
  </w:style>
  <w:style w:type="character" w:customStyle="1" w:styleId="text-black-131">
    <w:name w:val="text-black-131"/>
    <w:autoRedefine/>
    <w:qFormat/>
    <w:rPr>
      <w:rFonts w:hint="default"/>
      <w:color w:val="000000"/>
      <w:sz w:val="22"/>
      <w:szCs w:val="22"/>
    </w:rPr>
  </w:style>
  <w:style w:type="character" w:customStyle="1" w:styleId="1212">
    <w:name w:val="121"/>
    <w:autoRedefine/>
    <w:qFormat/>
    <w:rPr>
      <w:color w:val="000000"/>
      <w:sz w:val="20"/>
      <w:szCs w:val="20"/>
    </w:rPr>
  </w:style>
  <w:style w:type="paragraph" w:customStyle="1" w:styleId="172">
    <w:name w:val="17"/>
    <w:basedOn w:val="a"/>
    <w:next w:val="af2"/>
    <w:uiPriority w:val="99"/>
    <w:qFormat/>
    <w:pPr>
      <w:spacing w:line="360" w:lineRule="auto"/>
      <w:ind w:firstLineChars="200" w:firstLine="420"/>
    </w:pPr>
    <w:rPr>
      <w:rFonts w:cs="Times New Roman"/>
      <w:szCs w:val="24"/>
    </w:rPr>
  </w:style>
  <w:style w:type="character" w:customStyle="1" w:styleId="142">
    <w:name w:val="标题14"/>
    <w:qFormat/>
  </w:style>
  <w:style w:type="character" w:customStyle="1" w:styleId="zity31">
    <w:name w:val="zity31"/>
    <w:autoRedefine/>
    <w:qFormat/>
    <w:rPr>
      <w:rFonts w:hint="default"/>
      <w:color w:val="000000"/>
      <w:sz w:val="15"/>
      <w:szCs w:val="15"/>
    </w:rPr>
  </w:style>
  <w:style w:type="paragraph" w:customStyle="1" w:styleId="fontmid">
    <w:name w:val="font_mid"/>
    <w:basedOn w:val="a"/>
    <w:uiPriority w:val="99"/>
    <w:qFormat/>
    <w:pPr>
      <w:widowControl/>
      <w:spacing w:before="100" w:beforeAutospacing="1" w:after="100" w:afterAutospacing="1" w:line="335" w:lineRule="atLeast"/>
      <w:ind w:firstLineChars="200" w:firstLine="200"/>
      <w:jc w:val="left"/>
    </w:pPr>
    <w:rPr>
      <w:rFonts w:ascii="Arial" w:eastAsia="Arial Unicode MS" w:hAnsi="Arial" w:cs="Arial"/>
      <w:kern w:val="0"/>
      <w:sz w:val="20"/>
      <w:szCs w:val="20"/>
    </w:rPr>
  </w:style>
  <w:style w:type="paragraph" w:customStyle="1" w:styleId="fcolor">
    <w:name w:val="fcolor"/>
    <w:basedOn w:val="a"/>
    <w:autoRedefine/>
    <w:uiPriority w:val="99"/>
    <w:qFormat/>
    <w:pPr>
      <w:widowControl/>
      <w:spacing w:before="100" w:beforeAutospacing="1" w:after="100" w:afterAutospacing="1" w:line="360" w:lineRule="auto"/>
      <w:ind w:firstLineChars="200" w:firstLine="200"/>
      <w:jc w:val="left"/>
    </w:pPr>
    <w:rPr>
      <w:rFonts w:ascii="Arial Unicode MS" w:eastAsia="Arial Unicode MS" w:hAnsi="Arial Unicode MS" w:cs="Arial Unicode MS"/>
      <w:color w:val="071785"/>
      <w:kern w:val="0"/>
      <w:sz w:val="24"/>
      <w:szCs w:val="24"/>
    </w:rPr>
  </w:style>
  <w:style w:type="character" w:customStyle="1" w:styleId="p01">
    <w:name w:val="p01"/>
    <w:autoRedefine/>
    <w:qFormat/>
    <w:rPr>
      <w:rFonts w:ascii="Osaka" w:hAnsi="Osaka" w:hint="default"/>
      <w:sz w:val="21"/>
      <w:szCs w:val="21"/>
    </w:rPr>
  </w:style>
  <w:style w:type="character" w:customStyle="1" w:styleId="part-con">
    <w:name w:val="part-con"/>
    <w:autoRedefine/>
    <w:qFormat/>
  </w:style>
  <w:style w:type="paragraph" w:customStyle="1" w:styleId="GB231209822">
    <w:name w:val="样式 (中文) 仿宋_GB2312 四号 首行缩进:  0.98 厘米 行距: 固定值 22 磅"/>
    <w:basedOn w:val="a"/>
    <w:uiPriority w:val="99"/>
    <w:qFormat/>
    <w:pPr>
      <w:spacing w:line="300" w:lineRule="auto"/>
      <w:ind w:firstLineChars="200" w:firstLine="556"/>
    </w:pPr>
    <w:rPr>
      <w:rFonts w:eastAsia="仿宋_GB2312" w:cs="宋体"/>
      <w:spacing w:val="-2"/>
      <w:sz w:val="28"/>
      <w:szCs w:val="20"/>
    </w:rPr>
  </w:style>
  <w:style w:type="character" w:customStyle="1" w:styleId="name1">
    <w:name w:val="name1"/>
    <w:autoRedefine/>
    <w:qFormat/>
    <w:rPr>
      <w:sz w:val="24"/>
      <w:szCs w:val="24"/>
    </w:rPr>
  </w:style>
  <w:style w:type="character" w:customStyle="1" w:styleId="prodtextbody">
    <w:name w:val="prod_text_body"/>
    <w:autoRedefine/>
    <w:qFormat/>
  </w:style>
  <w:style w:type="character" w:customStyle="1" w:styleId="smile4">
    <w:name w:val="smile4"/>
    <w:autoRedefine/>
    <w:qFormat/>
    <w:rPr>
      <w:rFonts w:hint="default"/>
      <w:color w:val="000000"/>
      <w:sz w:val="18"/>
      <w:szCs w:val="18"/>
    </w:rPr>
  </w:style>
  <w:style w:type="character" w:customStyle="1" w:styleId="tpccontent">
    <w:name w:val="tpc_content"/>
    <w:qFormat/>
  </w:style>
  <w:style w:type="character" w:customStyle="1" w:styleId="btspan1">
    <w:name w:val="btspan1"/>
    <w:autoRedefine/>
    <w:qFormat/>
    <w:rPr>
      <w:color w:val="0066CC"/>
    </w:rPr>
  </w:style>
  <w:style w:type="paragraph" w:customStyle="1" w:styleId="235">
    <w:name w:val="23"/>
    <w:basedOn w:val="a"/>
    <w:next w:val="af2"/>
    <w:autoRedefine/>
    <w:uiPriority w:val="99"/>
    <w:qFormat/>
    <w:pPr>
      <w:spacing w:line="360" w:lineRule="auto"/>
      <w:ind w:firstLineChars="200" w:firstLine="420"/>
    </w:pPr>
    <w:rPr>
      <w:rFonts w:cs="Times New Roman"/>
      <w:szCs w:val="24"/>
    </w:rPr>
  </w:style>
  <w:style w:type="paragraph" w:customStyle="1" w:styleId="22d">
    <w:name w:val="22"/>
    <w:basedOn w:val="a"/>
    <w:next w:val="af2"/>
    <w:autoRedefine/>
    <w:uiPriority w:val="99"/>
    <w:qFormat/>
    <w:pPr>
      <w:spacing w:line="360" w:lineRule="auto"/>
      <w:ind w:firstLineChars="200" w:firstLine="420"/>
    </w:pPr>
    <w:rPr>
      <w:rFonts w:cs="Times New Roman"/>
      <w:szCs w:val="24"/>
    </w:rPr>
  </w:style>
  <w:style w:type="paragraph" w:customStyle="1" w:styleId="202">
    <w:name w:val="20"/>
    <w:basedOn w:val="a"/>
    <w:next w:val="af2"/>
    <w:uiPriority w:val="99"/>
    <w:qFormat/>
    <w:pPr>
      <w:spacing w:line="360" w:lineRule="auto"/>
      <w:ind w:firstLineChars="200" w:firstLine="420"/>
    </w:pPr>
    <w:rPr>
      <w:rFonts w:cs="Times New Roman"/>
      <w:szCs w:val="24"/>
    </w:rPr>
  </w:style>
  <w:style w:type="character" w:customStyle="1" w:styleId="font131">
    <w:name w:val="font131"/>
    <w:autoRedefine/>
    <w:qFormat/>
    <w:rPr>
      <w:rFonts w:ascii="Arial" w:hAnsi="Arial" w:cs="Arial" w:hint="default"/>
      <w:sz w:val="18"/>
      <w:szCs w:val="18"/>
    </w:rPr>
  </w:style>
  <w:style w:type="character" w:customStyle="1" w:styleId="title31">
    <w:name w:val="title31"/>
    <w:autoRedefine/>
    <w:qFormat/>
    <w:rPr>
      <w:rFonts w:ascii="宋体" w:eastAsia="宋体" w:hAnsi="宋体" w:hint="eastAsia"/>
      <w:color w:val="000000"/>
      <w:sz w:val="23"/>
      <w:szCs w:val="23"/>
    </w:rPr>
  </w:style>
  <w:style w:type="character" w:customStyle="1" w:styleId="p121">
    <w:name w:val="p121"/>
    <w:autoRedefine/>
    <w:qFormat/>
    <w:rPr>
      <w:sz w:val="24"/>
      <w:szCs w:val="24"/>
    </w:rPr>
  </w:style>
  <w:style w:type="paragraph" w:customStyle="1" w:styleId="affffffffffffffffffffffffffffffffff8">
    <w:name w:val="表格表题"/>
    <w:basedOn w:val="a"/>
    <w:autoRedefine/>
    <w:uiPriority w:val="99"/>
    <w:qFormat/>
    <w:pPr>
      <w:spacing w:before="60" w:line="460" w:lineRule="exact"/>
      <w:ind w:firstLineChars="200" w:firstLine="200"/>
      <w:jc w:val="center"/>
    </w:pPr>
    <w:rPr>
      <w:rFonts w:ascii="Arial" w:hAnsi="Arial" w:cs="Times New Roman"/>
      <w:sz w:val="24"/>
      <w:szCs w:val="20"/>
    </w:rPr>
  </w:style>
  <w:style w:type="character" w:customStyle="1" w:styleId="word1">
    <w:name w:val="word1"/>
    <w:autoRedefine/>
    <w:qFormat/>
    <w:rPr>
      <w:color w:val="000000"/>
      <w:spacing w:val="0"/>
      <w:sz w:val="18"/>
      <w:szCs w:val="18"/>
    </w:rPr>
  </w:style>
  <w:style w:type="character" w:customStyle="1" w:styleId="Charffffffd">
    <w:name w:val="表格居中 Char"/>
    <w:autoRedefine/>
    <w:qFormat/>
    <w:rPr>
      <w:szCs w:val="24"/>
      <w:lang w:val="zh-CN"/>
    </w:rPr>
  </w:style>
  <w:style w:type="character" w:customStyle="1" w:styleId="b-121">
    <w:name w:val="b-121"/>
    <w:autoRedefine/>
    <w:qFormat/>
    <w:rPr>
      <w:rFonts w:hint="default"/>
      <w:color w:val="000000"/>
      <w:sz w:val="18"/>
      <w:szCs w:val="18"/>
      <w:u w:val="none"/>
    </w:rPr>
  </w:style>
  <w:style w:type="character" w:customStyle="1" w:styleId="style131">
    <w:name w:val="style131"/>
    <w:autoRedefine/>
    <w:qFormat/>
    <w:rPr>
      <w:rFonts w:ascii="Arial" w:hAnsi="Arial" w:cs="Arial" w:hint="default"/>
      <w:sz w:val="18"/>
      <w:szCs w:val="18"/>
    </w:rPr>
  </w:style>
  <w:style w:type="character" w:customStyle="1" w:styleId="14normal1">
    <w:name w:val="14normal1"/>
    <w:autoRedefine/>
    <w:qFormat/>
    <w:rPr>
      <w:rFonts w:ascii="宋体" w:eastAsia="宋体" w:hAnsi="宋体" w:hint="eastAsia"/>
      <w:color w:val="000000"/>
      <w:sz w:val="21"/>
      <w:szCs w:val="21"/>
    </w:rPr>
  </w:style>
  <w:style w:type="character" w:customStyle="1" w:styleId="at3">
    <w:name w:val="at_3"/>
    <w:autoRedefine/>
    <w:qFormat/>
  </w:style>
  <w:style w:type="character" w:customStyle="1" w:styleId="at5">
    <w:name w:val="at_5"/>
    <w:autoRedefine/>
    <w:qFormat/>
  </w:style>
  <w:style w:type="character" w:customStyle="1" w:styleId="abouttxt1">
    <w:name w:val="abouttxt1"/>
    <w:autoRedefine/>
    <w:qFormat/>
    <w:rPr>
      <w:rFonts w:ascii="ˎ̥" w:hAnsi="ˎ̥" w:hint="default"/>
      <w:color w:val="636363"/>
      <w:sz w:val="18"/>
      <w:szCs w:val="18"/>
    </w:rPr>
  </w:style>
  <w:style w:type="paragraph" w:customStyle="1" w:styleId="p12">
    <w:name w:val="p12"/>
    <w:basedOn w:val="a"/>
    <w:autoRedefine/>
    <w:uiPriority w:val="99"/>
    <w:qFormat/>
    <w:pPr>
      <w:widowControl/>
      <w:spacing w:before="100" w:beforeAutospacing="1" w:after="100" w:afterAutospacing="1" w:line="360" w:lineRule="atLeast"/>
      <w:ind w:firstLineChars="200" w:firstLine="200"/>
      <w:jc w:val="left"/>
    </w:pPr>
    <w:rPr>
      <w:rFonts w:ascii="宋体" w:hAnsi="宋体" w:cs="宋体"/>
      <w:color w:val="000000"/>
      <w:kern w:val="0"/>
      <w:sz w:val="24"/>
      <w:szCs w:val="24"/>
    </w:rPr>
  </w:style>
  <w:style w:type="character" w:customStyle="1" w:styleId="CharChar152">
    <w:name w:val="Char Char152"/>
    <w:autoRedefine/>
    <w:qFormat/>
    <w:rPr>
      <w:rFonts w:eastAsia="宋体"/>
      <w:b/>
      <w:bCs/>
      <w:kern w:val="44"/>
      <w:sz w:val="44"/>
      <w:szCs w:val="44"/>
      <w:lang w:val="en-US" w:eastAsia="zh-CN" w:bidi="ar-SA"/>
    </w:rPr>
  </w:style>
  <w:style w:type="character" w:customStyle="1" w:styleId="abstractpagetext1">
    <w:name w:val="abstract_page_text1"/>
    <w:autoRedefine/>
    <w:qFormat/>
    <w:rPr>
      <w:rFonts w:ascii="Arial" w:hAnsi="Arial" w:cs="Arial" w:hint="default"/>
      <w:color w:val="000000"/>
      <w:sz w:val="20"/>
      <w:szCs w:val="20"/>
    </w:rPr>
  </w:style>
  <w:style w:type="paragraph" w:customStyle="1" w:styleId="CharChar1CharCharCharCharCharCharCharCharCharCharCharCharCharCharCharCharCharChar">
    <w:name w:val="Char Char1 Char Char Char Char Char Char Char Char Char Char Char Char Char Char Char Char Char Char"/>
    <w:basedOn w:val="a"/>
    <w:autoRedefine/>
    <w:uiPriority w:val="99"/>
    <w:qFormat/>
    <w:pPr>
      <w:spacing w:line="360" w:lineRule="auto"/>
      <w:ind w:firstLineChars="200" w:firstLine="200"/>
    </w:pPr>
    <w:rPr>
      <w:rFonts w:ascii="宋体" w:hAnsi="宋体" w:cs="宋体"/>
      <w:sz w:val="24"/>
      <w:szCs w:val="24"/>
    </w:rPr>
  </w:style>
  <w:style w:type="character" w:customStyle="1" w:styleId="mlh15">
    <w:name w:val="m lh15"/>
    <w:autoRedefine/>
    <w:qFormat/>
  </w:style>
  <w:style w:type="paragraph" w:customStyle="1" w:styleId="CharChar1CharCharCharCharCharCharCharCharCharCharCharCharCharCharCharCharCharCharCharChar1Char4">
    <w:name w:val="Char Char1 Char Char Char Char Char Char Char Char Char Char Char Char Char Char Char Char Char Char Char Char1 Char4"/>
    <w:basedOn w:val="a"/>
    <w:autoRedefine/>
    <w:uiPriority w:val="99"/>
    <w:qFormat/>
    <w:pPr>
      <w:spacing w:line="360" w:lineRule="auto"/>
      <w:ind w:firstLineChars="200" w:firstLine="200"/>
    </w:pPr>
    <w:rPr>
      <w:rFonts w:ascii="宋体" w:hAnsi="宋体" w:cs="宋体"/>
      <w:sz w:val="24"/>
      <w:szCs w:val="24"/>
    </w:rPr>
  </w:style>
  <w:style w:type="paragraph" w:customStyle="1" w:styleId="21f6">
    <w:name w:val="正文缩进21"/>
    <w:basedOn w:val="a"/>
    <w:autoRedefine/>
    <w:uiPriority w:val="99"/>
    <w:qFormat/>
    <w:pPr>
      <w:spacing w:line="360" w:lineRule="auto"/>
      <w:ind w:firstLineChars="200" w:firstLine="200"/>
    </w:pPr>
    <w:rPr>
      <w:rFonts w:cs="Times New Roman"/>
      <w:bCs/>
      <w:kern w:val="0"/>
      <w:sz w:val="24"/>
      <w:szCs w:val="21"/>
      <w:lang w:val="zh-CN"/>
    </w:rPr>
  </w:style>
  <w:style w:type="paragraph" w:customStyle="1" w:styleId="2ffffffc">
    <w:name w:val="正文2缩进主要格式"/>
    <w:basedOn w:val="a"/>
    <w:link w:val="2Chard"/>
    <w:autoRedefine/>
    <w:qFormat/>
    <w:pPr>
      <w:spacing w:line="360" w:lineRule="auto"/>
      <w:ind w:firstLineChars="200" w:firstLine="480"/>
    </w:pPr>
    <w:rPr>
      <w:rFonts w:ascii="宋体" w:hAnsi="宋体" w:cs="Times New Roman"/>
      <w:kern w:val="0"/>
      <w:sz w:val="24"/>
      <w:szCs w:val="20"/>
      <w:lang w:val="zh-CN"/>
    </w:rPr>
  </w:style>
  <w:style w:type="character" w:customStyle="1" w:styleId="2Chard">
    <w:name w:val="正文2缩进主要格式 Char"/>
    <w:link w:val="2ffffffc"/>
    <w:autoRedefine/>
    <w:qFormat/>
    <w:rPr>
      <w:rFonts w:ascii="宋体" w:hAnsi="宋体"/>
      <w:sz w:val="24"/>
      <w:lang w:val="zh-CN"/>
    </w:rPr>
  </w:style>
  <w:style w:type="paragraph" w:customStyle="1" w:styleId="xingzhi">
    <w:name w:val="xingzhi"/>
    <w:basedOn w:val="a"/>
    <w:autoRedefine/>
    <w:uiPriority w:val="99"/>
    <w:qFormat/>
    <w:pPr>
      <w:widowControl/>
      <w:spacing w:line="300" w:lineRule="atLeast"/>
      <w:ind w:firstLineChars="200" w:firstLine="200"/>
      <w:jc w:val="left"/>
    </w:pPr>
    <w:rPr>
      <w:rFonts w:ascii="宋体" w:hAnsi="宋体" w:cs="宋体"/>
      <w:kern w:val="0"/>
      <w:sz w:val="24"/>
      <w:szCs w:val="24"/>
    </w:rPr>
  </w:style>
  <w:style w:type="paragraph" w:customStyle="1" w:styleId="1text">
    <w:name w:val="1text"/>
    <w:basedOn w:val="a"/>
    <w:autoRedefine/>
    <w:uiPriority w:val="99"/>
    <w:qFormat/>
    <w:pPr>
      <w:widowControl/>
      <w:spacing w:before="100" w:beforeAutospacing="1" w:after="100" w:afterAutospacing="1" w:line="360" w:lineRule="auto"/>
      <w:ind w:firstLineChars="200" w:firstLine="440"/>
      <w:jc w:val="left"/>
    </w:pPr>
    <w:rPr>
      <w:rFonts w:ascii="Arial Unicode MS" w:hAnsi="Arial Unicode MS" w:cs="Times New Roman"/>
      <w:kern w:val="0"/>
      <w:sz w:val="24"/>
      <w:szCs w:val="24"/>
    </w:rPr>
  </w:style>
  <w:style w:type="paragraph" w:customStyle="1" w:styleId="011">
    <w:name w:val="生态正文01"/>
    <w:basedOn w:val="010"/>
    <w:autoRedefine/>
    <w:uiPriority w:val="99"/>
    <w:qFormat/>
  </w:style>
  <w:style w:type="paragraph" w:customStyle="1" w:styleId="tt1">
    <w:name w:val="tt1"/>
    <w:basedOn w:val="a"/>
    <w:uiPriority w:val="99"/>
    <w:qFormat/>
    <w:pPr>
      <w:widowControl/>
      <w:spacing w:before="100" w:beforeAutospacing="1" w:after="100" w:afterAutospacing="1" w:line="360" w:lineRule="auto"/>
      <w:ind w:firstLineChars="200" w:firstLine="200"/>
      <w:jc w:val="left"/>
    </w:pPr>
    <w:rPr>
      <w:rFonts w:ascii="宋体" w:hAnsi="宋体" w:cs="宋体"/>
      <w:kern w:val="0"/>
      <w:sz w:val="24"/>
      <w:szCs w:val="24"/>
    </w:rPr>
  </w:style>
  <w:style w:type="character" w:customStyle="1" w:styleId="px1216">
    <w:name w:val="px1216"/>
    <w:autoRedefine/>
    <w:qFormat/>
  </w:style>
  <w:style w:type="character" w:customStyle="1" w:styleId="title21">
    <w:name w:val="title21"/>
    <w:qFormat/>
    <w:rPr>
      <w:rFonts w:ascii="黑体" w:eastAsia="黑体" w:hint="eastAsia"/>
      <w:b/>
      <w:bCs/>
      <w:sz w:val="27"/>
      <w:szCs w:val="27"/>
    </w:rPr>
  </w:style>
  <w:style w:type="paragraph" w:customStyle="1" w:styleId="2TimesNewRoman05">
    <w:name w:val="样式 样式 标题 2 + Times New Roman + 段前: 0.5 行"/>
    <w:basedOn w:val="a"/>
    <w:uiPriority w:val="99"/>
    <w:qFormat/>
    <w:pPr>
      <w:keepNext/>
      <w:keepLines/>
      <w:tabs>
        <w:tab w:val="left" w:pos="1340"/>
      </w:tabs>
      <w:spacing w:beforeLines="50" w:line="360" w:lineRule="auto"/>
      <w:ind w:left="1340" w:firstLineChars="200" w:hanging="360"/>
      <w:outlineLvl w:val="1"/>
    </w:pPr>
    <w:rPr>
      <w:rFonts w:eastAsia="黑体" w:cs="宋体"/>
      <w:b/>
      <w:bCs/>
      <w:sz w:val="32"/>
      <w:szCs w:val="20"/>
    </w:rPr>
  </w:style>
  <w:style w:type="paragraph" w:customStyle="1" w:styleId="affffffffffffffffffffffffffffffffff9">
    <w:name w:val="注解"/>
    <w:basedOn w:val="a"/>
    <w:uiPriority w:val="99"/>
    <w:qFormat/>
    <w:pPr>
      <w:spacing w:before="60" w:line="360" w:lineRule="exact"/>
      <w:ind w:firstLineChars="200" w:firstLine="200"/>
    </w:pPr>
    <w:rPr>
      <w:rFonts w:cs="Times New Roman"/>
      <w:szCs w:val="24"/>
    </w:rPr>
  </w:style>
  <w:style w:type="paragraph" w:customStyle="1" w:styleId="021">
    <w:name w:val="正文02"/>
    <w:basedOn w:val="a"/>
    <w:autoRedefine/>
    <w:uiPriority w:val="99"/>
    <w:qFormat/>
    <w:pPr>
      <w:spacing w:before="300" w:line="460" w:lineRule="exact"/>
      <w:ind w:firstLineChars="200" w:firstLine="200"/>
    </w:pPr>
    <w:rPr>
      <w:rFonts w:cs="Times New Roman"/>
      <w:sz w:val="24"/>
      <w:szCs w:val="24"/>
    </w:rPr>
  </w:style>
  <w:style w:type="character" w:customStyle="1" w:styleId="title1">
    <w:name w:val="title1"/>
    <w:autoRedefine/>
    <w:qFormat/>
    <w:rPr>
      <w:rFonts w:ascii="Arial" w:hAnsi="Arial" w:cs="Arial" w:hint="default"/>
      <w:b/>
      <w:bCs/>
      <w:color w:val="3366CC"/>
      <w:sz w:val="24"/>
      <w:szCs w:val="24"/>
    </w:rPr>
  </w:style>
  <w:style w:type="paragraph" w:customStyle="1" w:styleId="affffffffffffffffffffffffffffffffffa">
    <w:name w:val="居中正文"/>
    <w:basedOn w:val="affff3"/>
    <w:autoRedefine/>
    <w:uiPriority w:val="99"/>
    <w:qFormat/>
    <w:pPr>
      <w:kinsoku/>
      <w:adjustRightInd w:val="0"/>
      <w:spacing w:after="0" w:line="360" w:lineRule="auto"/>
      <w:ind w:firstLineChars="0" w:firstLine="0"/>
      <w:jc w:val="center"/>
      <w:textAlignment w:val="baseline"/>
    </w:pPr>
    <w:rPr>
      <w:rFonts w:ascii="宋体"/>
      <w:kern w:val="28"/>
      <w:sz w:val="24"/>
      <w:szCs w:val="20"/>
      <w:lang w:val="zh-CN"/>
    </w:rPr>
  </w:style>
  <w:style w:type="paragraph" w:customStyle="1" w:styleId="affffffffffffffffffffffffffffffffffb">
    <w:name w:val="表格后文"/>
    <w:basedOn w:val="affffffffffffffffffffffff7"/>
    <w:autoRedefine/>
    <w:uiPriority w:val="99"/>
    <w:qFormat/>
  </w:style>
  <w:style w:type="character" w:customStyle="1" w:styleId="a110">
    <w:name w:val="a11"/>
    <w:autoRedefine/>
    <w:qFormat/>
    <w:rPr>
      <w:rFonts w:ascii="Georgia" w:hAnsi="Georgia" w:hint="default"/>
      <w:sz w:val="20"/>
      <w:szCs w:val="20"/>
      <w:u w:val="none"/>
    </w:rPr>
  </w:style>
  <w:style w:type="character" w:customStyle="1" w:styleId="a141">
    <w:name w:val="a141"/>
    <w:autoRedefine/>
    <w:qFormat/>
    <w:rPr>
      <w:rFonts w:ascii="Verdana" w:hAnsi="Verdana" w:hint="default"/>
      <w:color w:val="0066CC"/>
      <w:sz w:val="32"/>
      <w:szCs w:val="32"/>
    </w:rPr>
  </w:style>
  <w:style w:type="paragraph" w:customStyle="1" w:styleId="4-1">
    <w:name w:val="表4-1"/>
    <w:basedOn w:val="a"/>
    <w:autoRedefine/>
    <w:uiPriority w:val="99"/>
    <w:qFormat/>
    <w:pPr>
      <w:tabs>
        <w:tab w:val="left" w:pos="360"/>
        <w:tab w:val="center" w:pos="992"/>
      </w:tabs>
      <w:adjustRightInd w:val="0"/>
      <w:spacing w:beforeLines="50" w:afterLines="50" w:line="360" w:lineRule="auto"/>
      <w:ind w:firstLineChars="200" w:firstLine="200"/>
      <w:jc w:val="center"/>
      <w:textAlignment w:val="baseline"/>
    </w:pPr>
    <w:rPr>
      <w:rFonts w:cs="Times New Roman"/>
      <w:sz w:val="24"/>
      <w:szCs w:val="20"/>
    </w:rPr>
  </w:style>
  <w:style w:type="paragraph" w:customStyle="1" w:styleId="2152">
    <w:name w:val="样式 正文缩进 + 宋体 首行缩进:  2 字符 行距: 1.5 倍行距"/>
    <w:basedOn w:val="af2"/>
    <w:autoRedefine/>
    <w:uiPriority w:val="99"/>
    <w:qFormat/>
    <w:pPr>
      <w:spacing w:line="240" w:lineRule="auto"/>
      <w:ind w:firstLine="0"/>
    </w:pPr>
    <w:rPr>
      <w:rFonts w:ascii="Times New Roman"/>
      <w:sz w:val="21"/>
      <w:szCs w:val="24"/>
    </w:rPr>
  </w:style>
  <w:style w:type="paragraph" w:customStyle="1" w:styleId="15c">
    <w:name w:val="样式 正文缩进正文（首行缩进两字） + 宋体 行距: 1.5 倍行距"/>
    <w:basedOn w:val="af2"/>
    <w:autoRedefine/>
    <w:uiPriority w:val="99"/>
    <w:qFormat/>
    <w:pPr>
      <w:spacing w:line="240" w:lineRule="auto"/>
      <w:ind w:firstLine="0"/>
    </w:pPr>
    <w:rPr>
      <w:rFonts w:ascii="Times New Roman"/>
      <w:sz w:val="21"/>
      <w:szCs w:val="24"/>
    </w:rPr>
  </w:style>
  <w:style w:type="paragraph" w:customStyle="1" w:styleId="5-1">
    <w:name w:val="表5-1"/>
    <w:basedOn w:val="afffa"/>
    <w:autoRedefine/>
    <w:uiPriority w:val="99"/>
    <w:qFormat/>
    <w:pPr>
      <w:tabs>
        <w:tab w:val="left" w:pos="510"/>
        <w:tab w:val="center" w:pos="992"/>
      </w:tabs>
      <w:adjustRightInd w:val="0"/>
      <w:spacing w:beforeLines="50" w:afterLines="50" w:line="360" w:lineRule="auto"/>
      <w:ind w:leftChars="0" w:left="510" w:firstLineChars="0" w:hanging="510"/>
      <w:jc w:val="center"/>
      <w:textAlignment w:val="baseline"/>
    </w:pPr>
    <w:rPr>
      <w:rFonts w:cs="Times New Roman"/>
      <w:sz w:val="24"/>
      <w:szCs w:val="20"/>
    </w:rPr>
  </w:style>
  <w:style w:type="paragraph" w:customStyle="1" w:styleId="003">
    <w:name w:val="标题003"/>
    <w:basedOn w:val="a"/>
    <w:autoRedefine/>
    <w:uiPriority w:val="99"/>
    <w:qFormat/>
    <w:pPr>
      <w:spacing w:before="120" w:line="440" w:lineRule="exact"/>
      <w:ind w:firstLineChars="200" w:firstLine="200"/>
      <w:outlineLvl w:val="2"/>
    </w:pPr>
    <w:rPr>
      <w:rFonts w:cs="Times New Roman"/>
      <w:b/>
      <w:bCs/>
      <w:sz w:val="27"/>
      <w:szCs w:val="27"/>
    </w:rPr>
  </w:style>
  <w:style w:type="character" w:customStyle="1" w:styleId="definition">
    <w:name w:val="definition"/>
    <w:autoRedefine/>
    <w:qFormat/>
    <w:rPr>
      <w:rFonts w:ascii="Arial" w:hAnsi="Arial" w:cs="Arial" w:hint="default"/>
    </w:rPr>
  </w:style>
  <w:style w:type="character" w:customStyle="1" w:styleId="introductcn1">
    <w:name w:val="introductcn1"/>
    <w:autoRedefine/>
    <w:qFormat/>
    <w:rPr>
      <w:rFonts w:ascii="Arial" w:hAnsi="Arial" w:cs="Arial" w:hint="default"/>
      <w:color w:val="000000"/>
      <w:sz w:val="18"/>
      <w:szCs w:val="18"/>
    </w:rPr>
  </w:style>
  <w:style w:type="character" w:customStyle="1" w:styleId="style8">
    <w:name w:val="style8"/>
    <w:autoRedefine/>
    <w:qFormat/>
  </w:style>
  <w:style w:type="paragraph" w:customStyle="1" w:styleId="2ffffffd">
    <w:name w:val="正文2缩进"/>
    <w:basedOn w:val="a"/>
    <w:autoRedefine/>
    <w:uiPriority w:val="99"/>
    <w:qFormat/>
    <w:pPr>
      <w:spacing w:line="360" w:lineRule="auto"/>
      <w:ind w:firstLineChars="200" w:firstLine="200"/>
    </w:pPr>
    <w:rPr>
      <w:rFonts w:cs="Times New Roman"/>
      <w:sz w:val="28"/>
      <w:szCs w:val="24"/>
    </w:rPr>
  </w:style>
  <w:style w:type="paragraph" w:customStyle="1" w:styleId="HTMLCharChar">
    <w:name w:val="HTML 预设格式 Char Char"/>
    <w:basedOn w:val="a"/>
    <w:autoRedefine/>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200"/>
      <w:jc w:val="left"/>
    </w:pPr>
    <w:rPr>
      <w:rFonts w:ascii="ˎ̥" w:hAnsi="ˎ̥" w:cs="Times New Roman"/>
      <w:kern w:val="0"/>
      <w:sz w:val="24"/>
      <w:szCs w:val="20"/>
    </w:rPr>
  </w:style>
  <w:style w:type="paragraph" w:customStyle="1" w:styleId="CharChar3Char">
    <w:name w:val="Char Char3 Char"/>
    <w:basedOn w:val="a"/>
    <w:autoRedefine/>
    <w:uiPriority w:val="99"/>
    <w:qFormat/>
    <w:pPr>
      <w:spacing w:line="360" w:lineRule="auto"/>
      <w:ind w:firstLineChars="200" w:firstLine="200"/>
    </w:pPr>
    <w:rPr>
      <w:rFonts w:ascii="宋体" w:hAnsi="宋体" w:cs="宋体"/>
      <w:sz w:val="24"/>
      <w:szCs w:val="24"/>
    </w:rPr>
  </w:style>
  <w:style w:type="character" w:customStyle="1" w:styleId="unnamed102">
    <w:name w:val="unnamed102"/>
    <w:autoRedefine/>
    <w:qFormat/>
  </w:style>
  <w:style w:type="paragraph" w:customStyle="1" w:styleId="2ffffffe">
    <w:name w:val="样式 正文文本缩进 2 + 居中 行距: 单倍行距"/>
    <w:basedOn w:val="25"/>
    <w:autoRedefine/>
    <w:uiPriority w:val="99"/>
    <w:qFormat/>
    <w:pPr>
      <w:keepLines/>
      <w:spacing w:after="0" w:line="240" w:lineRule="auto"/>
      <w:ind w:leftChars="0" w:left="0"/>
      <w:jc w:val="center"/>
    </w:pPr>
    <w:rPr>
      <w:rFonts w:cs="宋体"/>
      <w:kern w:val="0"/>
      <w:sz w:val="24"/>
      <w:szCs w:val="20"/>
      <w:lang w:val="zh-CN"/>
    </w:rPr>
  </w:style>
  <w:style w:type="paragraph" w:customStyle="1" w:styleId="292">
    <w:name w:val="29"/>
    <w:basedOn w:val="a"/>
    <w:next w:val="af2"/>
    <w:autoRedefine/>
    <w:uiPriority w:val="99"/>
    <w:qFormat/>
    <w:pPr>
      <w:spacing w:line="360" w:lineRule="auto"/>
      <w:ind w:firstLineChars="200" w:firstLine="420"/>
    </w:pPr>
    <w:rPr>
      <w:rFonts w:cs="Times New Roman"/>
      <w:szCs w:val="24"/>
    </w:rPr>
  </w:style>
  <w:style w:type="paragraph" w:customStyle="1" w:styleId="281">
    <w:name w:val="28"/>
    <w:basedOn w:val="a"/>
    <w:next w:val="af2"/>
    <w:autoRedefine/>
    <w:uiPriority w:val="99"/>
    <w:qFormat/>
    <w:pPr>
      <w:spacing w:line="360" w:lineRule="auto"/>
      <w:ind w:firstLineChars="200" w:firstLine="420"/>
    </w:pPr>
    <w:rPr>
      <w:rFonts w:cs="Times New Roman"/>
      <w:szCs w:val="24"/>
    </w:rPr>
  </w:style>
  <w:style w:type="paragraph" w:customStyle="1" w:styleId="271">
    <w:name w:val="27"/>
    <w:basedOn w:val="a"/>
    <w:next w:val="af2"/>
    <w:autoRedefine/>
    <w:uiPriority w:val="99"/>
    <w:qFormat/>
    <w:pPr>
      <w:spacing w:line="360" w:lineRule="auto"/>
      <w:ind w:firstLineChars="200" w:firstLine="420"/>
    </w:pPr>
    <w:rPr>
      <w:rFonts w:cs="Times New Roman"/>
      <w:szCs w:val="24"/>
    </w:rPr>
  </w:style>
  <w:style w:type="paragraph" w:customStyle="1" w:styleId="263">
    <w:name w:val="26"/>
    <w:basedOn w:val="a"/>
    <w:next w:val="af2"/>
    <w:autoRedefine/>
    <w:uiPriority w:val="99"/>
    <w:qFormat/>
    <w:pPr>
      <w:spacing w:line="360" w:lineRule="auto"/>
      <w:ind w:firstLineChars="200" w:firstLine="420"/>
    </w:pPr>
    <w:rPr>
      <w:rFonts w:cs="Times New Roman"/>
      <w:szCs w:val="24"/>
    </w:rPr>
  </w:style>
  <w:style w:type="paragraph" w:customStyle="1" w:styleId="252">
    <w:name w:val="25"/>
    <w:basedOn w:val="a"/>
    <w:next w:val="ab"/>
    <w:autoRedefine/>
    <w:uiPriority w:val="99"/>
    <w:qFormat/>
    <w:pPr>
      <w:spacing w:after="120" w:line="360" w:lineRule="auto"/>
      <w:ind w:left="420" w:firstLineChars="200" w:firstLine="200"/>
    </w:pPr>
    <w:rPr>
      <w:rFonts w:cs="Times New Roman"/>
      <w:szCs w:val="24"/>
    </w:rPr>
  </w:style>
  <w:style w:type="paragraph" w:customStyle="1" w:styleId="243">
    <w:name w:val="24"/>
    <w:basedOn w:val="a"/>
    <w:next w:val="ab"/>
    <w:autoRedefine/>
    <w:uiPriority w:val="99"/>
    <w:qFormat/>
    <w:pPr>
      <w:spacing w:line="500" w:lineRule="exact"/>
      <w:ind w:firstLineChars="192" w:firstLine="576"/>
    </w:pPr>
    <w:rPr>
      <w:rFonts w:ascii="仿宋_GB2312" w:eastAsia="仿宋_GB2312" w:cs="Times New Roman"/>
      <w:sz w:val="30"/>
      <w:szCs w:val="24"/>
    </w:rPr>
  </w:style>
  <w:style w:type="paragraph" w:customStyle="1" w:styleId="myChar1">
    <w:name w:val="my Char1"/>
    <w:autoRedefine/>
    <w:uiPriority w:val="99"/>
    <w:qFormat/>
    <w:pPr>
      <w:widowControl w:val="0"/>
      <w:spacing w:before="60" w:line="460" w:lineRule="exact"/>
      <w:ind w:firstLineChars="200" w:firstLine="200"/>
    </w:pPr>
    <w:rPr>
      <w:sz w:val="24"/>
      <w:szCs w:val="24"/>
    </w:rPr>
  </w:style>
  <w:style w:type="paragraph" w:customStyle="1" w:styleId="myChar">
    <w:name w:val="my Char"/>
    <w:autoRedefine/>
    <w:uiPriority w:val="99"/>
    <w:qFormat/>
    <w:pPr>
      <w:widowControl w:val="0"/>
      <w:spacing w:before="60" w:line="460" w:lineRule="exact"/>
      <w:ind w:firstLineChars="200" w:firstLine="200"/>
    </w:pPr>
    <w:rPr>
      <w:sz w:val="24"/>
    </w:rPr>
  </w:style>
  <w:style w:type="paragraph" w:customStyle="1" w:styleId="affffffffffffffffffffffffffffffffffc">
    <w:name w:val="表格小五号正文"/>
    <w:basedOn w:val="affffffffffffffffffffffff7"/>
    <w:autoRedefine/>
    <w:uiPriority w:val="99"/>
    <w:qFormat/>
  </w:style>
  <w:style w:type="paragraph" w:customStyle="1" w:styleId="affffffffffffffffffffffffffffffffffd">
    <w:name w:val="表格五号标题"/>
    <w:basedOn w:val="a"/>
    <w:link w:val="Charffffffe"/>
    <w:qFormat/>
    <w:pPr>
      <w:spacing w:line="400" w:lineRule="exact"/>
      <w:ind w:firstLineChars="200" w:firstLine="200"/>
      <w:jc w:val="center"/>
    </w:pPr>
    <w:rPr>
      <w:rFonts w:cs="Times New Roman"/>
      <w:kern w:val="0"/>
      <w:sz w:val="20"/>
      <w:szCs w:val="24"/>
      <w:lang w:val="zh-CN"/>
    </w:rPr>
  </w:style>
  <w:style w:type="character" w:customStyle="1" w:styleId="Charffffffe">
    <w:name w:val="表格五号标题 Char"/>
    <w:link w:val="affffffffffffffffffffffffffffffffffd"/>
    <w:autoRedefine/>
    <w:qFormat/>
    <w:rPr>
      <w:szCs w:val="24"/>
      <w:lang w:val="zh-CN"/>
    </w:rPr>
  </w:style>
  <w:style w:type="paragraph" w:customStyle="1" w:styleId="affffffffffffffffffffffffffffffffffe">
    <w:name w:val="表格五号下方正文"/>
    <w:basedOn w:val="010"/>
    <w:link w:val="Charfffffff"/>
    <w:qFormat/>
  </w:style>
  <w:style w:type="character" w:customStyle="1" w:styleId="Charfffffff">
    <w:name w:val="表格五号下方正文 Char"/>
    <w:link w:val="affffffffffffffffffffffffffffffffffe"/>
    <w:qFormat/>
    <w:rPr>
      <w:sz w:val="24"/>
    </w:rPr>
  </w:style>
  <w:style w:type="paragraph" w:customStyle="1" w:styleId="afffffffffffffffffffffffffffffffffff">
    <w:name w:val="小五号注释"/>
    <w:basedOn w:val="5"/>
    <w:autoRedefine/>
    <w:uiPriority w:val="99"/>
    <w:qFormat/>
    <w:pPr>
      <w:numPr>
        <w:ilvl w:val="0"/>
        <w:numId w:val="0"/>
      </w:numPr>
      <w:tabs>
        <w:tab w:val="left" w:pos="1800"/>
      </w:tabs>
      <w:ind w:left="1009" w:hanging="1009"/>
      <w:jc w:val="left"/>
    </w:pPr>
    <w:rPr>
      <w:rFonts w:cs="Times New Roman"/>
      <w:b/>
      <w:bCs w:val="0"/>
      <w:kern w:val="0"/>
      <w:sz w:val="28"/>
      <w:szCs w:val="20"/>
    </w:rPr>
  </w:style>
  <w:style w:type="paragraph" w:customStyle="1" w:styleId="afffffffffffffffffffffffffffffffffff0">
    <w:name w:val="正文五号"/>
    <w:basedOn w:val="010"/>
    <w:link w:val="Charfffffff0"/>
    <w:autoRedefine/>
    <w:qFormat/>
  </w:style>
  <w:style w:type="character" w:customStyle="1" w:styleId="Charfffffff0">
    <w:name w:val="正文五号 Char"/>
    <w:link w:val="afffffffffffffffffffffffffffffffffff0"/>
    <w:autoRedefine/>
    <w:qFormat/>
    <w:rPr>
      <w:sz w:val="24"/>
    </w:rPr>
  </w:style>
  <w:style w:type="character" w:customStyle="1" w:styleId="4GB2312Char">
    <w:name w:val="标题 4 + 仿宋_GB2312 Char"/>
    <w:qFormat/>
    <w:rPr>
      <w:rFonts w:ascii="宋体" w:eastAsia="宋体"/>
      <w:b/>
      <w:bCs/>
      <w:kern w:val="2"/>
      <w:sz w:val="24"/>
      <w:szCs w:val="28"/>
      <w:lang w:val="en-US" w:eastAsia="zh-CN" w:bidi="ar-SA"/>
    </w:rPr>
  </w:style>
  <w:style w:type="paragraph" w:customStyle="1" w:styleId="afffffffffffffffffffffffffffffffffff1">
    <w:name w:val="方程"/>
    <w:basedOn w:val="a"/>
    <w:uiPriority w:val="99"/>
    <w:qFormat/>
    <w:pPr>
      <w:widowControl/>
      <w:overflowPunct w:val="0"/>
      <w:adjustRightInd w:val="0"/>
      <w:spacing w:before="60" w:after="60" w:line="440" w:lineRule="atLeast"/>
      <w:ind w:firstLineChars="200" w:firstLine="482"/>
      <w:jc w:val="center"/>
      <w:textAlignment w:val="bottom"/>
    </w:pPr>
    <w:rPr>
      <w:rFonts w:ascii="CG Times (W1)" w:hAnsi="CG Times (W1)" w:cs="Times New Roman"/>
      <w:kern w:val="0"/>
      <w:sz w:val="28"/>
      <w:szCs w:val="20"/>
    </w:rPr>
  </w:style>
  <w:style w:type="character" w:customStyle="1" w:styleId="defaultfont1">
    <w:name w:val="defaultfont1"/>
    <w:qFormat/>
  </w:style>
  <w:style w:type="character" w:customStyle="1" w:styleId="CharChar68">
    <w:name w:val="Char Char68"/>
    <w:qFormat/>
    <w:rPr>
      <w:rFonts w:ascii="Arial" w:eastAsia="黑体" w:hAnsi="Arial"/>
      <w:kern w:val="2"/>
      <w:lang w:val="en-US" w:eastAsia="zh-CN"/>
    </w:rPr>
  </w:style>
  <w:style w:type="character" w:customStyle="1" w:styleId="CharCharffff1">
    <w:name w:val="标题二 Char Char"/>
    <w:link w:val="Charfffffff1"/>
    <w:qFormat/>
    <w:rPr>
      <w:rFonts w:ascii="黑体" w:eastAsia="黑体" w:hAnsi="Arial"/>
      <w:b/>
      <w:sz w:val="24"/>
    </w:rPr>
  </w:style>
  <w:style w:type="paragraph" w:customStyle="1" w:styleId="Charfffffff1">
    <w:name w:val="标题二 Char"/>
    <w:basedOn w:val="20"/>
    <w:next w:val="3"/>
    <w:link w:val="CharCharffff1"/>
    <w:autoRedefine/>
    <w:qFormat/>
    <w:pPr>
      <w:keepLines w:val="0"/>
      <w:numPr>
        <w:ilvl w:val="0"/>
        <w:numId w:val="0"/>
      </w:numPr>
      <w:tabs>
        <w:tab w:val="left" w:pos="870"/>
      </w:tabs>
      <w:spacing w:beforeLines="0" w:before="0" w:afterLines="0" w:after="0" w:line="240" w:lineRule="auto"/>
      <w:ind w:firstLine="510"/>
      <w:jc w:val="center"/>
    </w:pPr>
    <w:rPr>
      <w:rFonts w:ascii="黑体" w:eastAsia="黑体" w:hAnsi="Arial" w:cs="Times New Roman"/>
      <w:bCs w:val="0"/>
      <w:kern w:val="0"/>
      <w:sz w:val="24"/>
      <w:szCs w:val="20"/>
    </w:rPr>
  </w:style>
  <w:style w:type="character" w:customStyle="1" w:styleId="Charfffffff2">
    <w:name w:val="正文内容 Char"/>
    <w:link w:val="afffffffffffffffffffffffffffffffffff2"/>
    <w:autoRedefine/>
    <w:qFormat/>
    <w:rPr>
      <w:rFonts w:ascii="宋体" w:hAnsi="宋体"/>
      <w:spacing w:val="4"/>
      <w:sz w:val="24"/>
    </w:rPr>
  </w:style>
  <w:style w:type="paragraph" w:customStyle="1" w:styleId="afffffffffffffffffffffffffffffffffff2">
    <w:name w:val="正文内容"/>
    <w:basedOn w:val="a"/>
    <w:link w:val="Charfffffff2"/>
    <w:autoRedefine/>
    <w:qFormat/>
    <w:pPr>
      <w:adjustRightInd w:val="0"/>
      <w:snapToGrid w:val="0"/>
      <w:spacing w:line="360" w:lineRule="auto"/>
      <w:ind w:firstLineChars="200" w:firstLine="496"/>
    </w:pPr>
    <w:rPr>
      <w:rFonts w:ascii="宋体" w:hAnsi="宋体" w:cs="Times New Roman"/>
      <w:spacing w:val="4"/>
      <w:kern w:val="0"/>
      <w:sz w:val="24"/>
      <w:szCs w:val="20"/>
    </w:rPr>
  </w:style>
  <w:style w:type="paragraph" w:customStyle="1" w:styleId="11ff">
    <w:name w:val="页脚11"/>
    <w:basedOn w:val="a"/>
    <w:autoRedefine/>
    <w:uiPriority w:val="99"/>
    <w:qFormat/>
    <w:pPr>
      <w:widowControl/>
      <w:tabs>
        <w:tab w:val="left" w:pos="4149"/>
        <w:tab w:val="left" w:pos="8016"/>
      </w:tabs>
      <w:spacing w:line="351" w:lineRule="atLeast"/>
      <w:ind w:firstLineChars="200" w:firstLine="419"/>
      <w:jc w:val="left"/>
      <w:textAlignment w:val="baseline"/>
    </w:pPr>
    <w:rPr>
      <w:rFonts w:cs="Times New Roman"/>
      <w:color w:val="000000"/>
      <w:kern w:val="0"/>
      <w:sz w:val="18"/>
      <w:szCs w:val="20"/>
      <w:u w:color="000000"/>
    </w:rPr>
  </w:style>
  <w:style w:type="paragraph" w:customStyle="1" w:styleId="afffffffffffffffffffffffffffffffffff3">
    <w:name w:val="正文楷体"/>
    <w:basedOn w:val="a"/>
    <w:autoRedefine/>
    <w:uiPriority w:val="99"/>
    <w:qFormat/>
    <w:pPr>
      <w:spacing w:line="360" w:lineRule="auto"/>
      <w:ind w:firstLineChars="200" w:firstLine="200"/>
    </w:pPr>
    <w:rPr>
      <w:rFonts w:eastAsia="楷体_GB2312" w:cs="Times New Roman"/>
      <w:szCs w:val="20"/>
    </w:rPr>
  </w:style>
  <w:style w:type="paragraph" w:customStyle="1" w:styleId="liuqiao">
    <w:name w:val="liuqiao"/>
    <w:basedOn w:val="a"/>
    <w:autoRedefine/>
    <w:uiPriority w:val="99"/>
    <w:qFormat/>
    <w:pPr>
      <w:widowControl/>
      <w:spacing w:before="100" w:beforeAutospacing="1" w:after="100" w:afterAutospacing="1" w:line="120" w:lineRule="auto"/>
      <w:ind w:firstLineChars="200" w:firstLine="200"/>
      <w:jc w:val="left"/>
    </w:pPr>
    <w:rPr>
      <w:rFonts w:ascii="宋体" w:hAnsi="宋体" w:cs="Times New Roman"/>
      <w:kern w:val="0"/>
      <w:sz w:val="18"/>
      <w:szCs w:val="20"/>
    </w:rPr>
  </w:style>
  <w:style w:type="paragraph" w:customStyle="1" w:styleId="CharCharChar2Char4">
    <w:name w:val="Char Char Char2 Char4"/>
    <w:basedOn w:val="a"/>
    <w:autoRedefine/>
    <w:uiPriority w:val="99"/>
    <w:qFormat/>
    <w:pPr>
      <w:spacing w:line="360" w:lineRule="auto"/>
      <w:ind w:firstLineChars="200" w:firstLine="200"/>
    </w:pPr>
    <w:rPr>
      <w:rFonts w:cs="Times New Roman"/>
      <w:szCs w:val="20"/>
    </w:rPr>
  </w:style>
  <w:style w:type="paragraph" w:customStyle="1" w:styleId="1000">
    <w:name w:val="样式 标题 1 + 段前: 0 磅 段后: 0 磅"/>
    <w:basedOn w:val="1"/>
    <w:autoRedefine/>
    <w:uiPriority w:val="99"/>
    <w:qFormat/>
    <w:pPr>
      <w:keepLines w:val="0"/>
      <w:numPr>
        <w:numId w:val="0"/>
      </w:numPr>
      <w:tabs>
        <w:tab w:val="left" w:pos="870"/>
      </w:tabs>
      <w:ind w:firstLine="510"/>
      <w:jc w:val="both"/>
    </w:pPr>
    <w:rPr>
      <w:rFonts w:cs="Times New Roman"/>
      <w:b w:val="0"/>
      <w:bCs w:val="0"/>
      <w:i/>
      <w:iCs/>
      <w:kern w:val="2"/>
      <w:sz w:val="28"/>
      <w:szCs w:val="24"/>
    </w:rPr>
  </w:style>
  <w:style w:type="paragraph" w:customStyle="1" w:styleId="afffffffffffffffffffffffffffffffffff4">
    <w:name w:val="图表题"/>
    <w:basedOn w:val="a"/>
    <w:next w:val="a"/>
    <w:link w:val="Charfffffff3"/>
    <w:autoRedefine/>
    <w:qFormat/>
    <w:pPr>
      <w:spacing w:line="360" w:lineRule="auto"/>
      <w:ind w:firstLineChars="200" w:firstLine="200"/>
      <w:jc w:val="center"/>
    </w:pPr>
    <w:rPr>
      <w:rFonts w:eastAsia="黑体" w:cs="Times New Roman"/>
      <w:b/>
      <w:kern w:val="0"/>
      <w:sz w:val="20"/>
      <w:szCs w:val="21"/>
      <w:lang w:val="zh-CN"/>
    </w:rPr>
  </w:style>
  <w:style w:type="character" w:customStyle="1" w:styleId="Charfffffff3">
    <w:name w:val="图表题 Char"/>
    <w:link w:val="afffffffffffffffffffffffffffffffffff4"/>
    <w:qFormat/>
    <w:rPr>
      <w:rFonts w:eastAsia="黑体"/>
      <w:b/>
      <w:szCs w:val="21"/>
      <w:lang w:val="zh-CN"/>
    </w:rPr>
  </w:style>
  <w:style w:type="character" w:customStyle="1" w:styleId="afffffffffffffffffffffffffffffffffff5">
    <w:name w:val="个人答复风格"/>
    <w:autoRedefine/>
    <w:qFormat/>
    <w:rPr>
      <w:rFonts w:ascii="Arial" w:eastAsia="宋体" w:hAnsi="Arial"/>
      <w:color w:val="auto"/>
      <w:sz w:val="20"/>
    </w:rPr>
  </w:style>
  <w:style w:type="character" w:customStyle="1" w:styleId="ca-21">
    <w:name w:val="ca-21"/>
    <w:autoRedefine/>
    <w:qFormat/>
    <w:rPr>
      <w:rFonts w:ascii="宋体" w:eastAsia="宋体" w:hAnsi="宋体" w:hint="eastAsia"/>
      <w:sz w:val="24"/>
      <w:szCs w:val="24"/>
    </w:rPr>
  </w:style>
  <w:style w:type="character" w:customStyle="1" w:styleId="Charfffffff4">
    <w:name w:val="废物方框 Char"/>
    <w:link w:val="afffffffffffffffffffffffffffffffffff6"/>
    <w:autoRedefine/>
    <w:qFormat/>
    <w:rPr>
      <w:rFonts w:ascii="宋体"/>
      <w:spacing w:val="4"/>
      <w:sz w:val="18"/>
      <w:szCs w:val="18"/>
    </w:rPr>
  </w:style>
  <w:style w:type="paragraph" w:customStyle="1" w:styleId="afffffffffffffffffffffffffffffffffff6">
    <w:name w:val="废物方框"/>
    <w:basedOn w:val="a"/>
    <w:link w:val="Charfffffff4"/>
    <w:autoRedefine/>
    <w:qFormat/>
    <w:pPr>
      <w:adjustRightInd w:val="0"/>
      <w:snapToGrid w:val="0"/>
      <w:spacing w:line="360" w:lineRule="auto"/>
      <w:ind w:firstLineChars="200" w:firstLine="200"/>
      <w:jc w:val="center"/>
      <w:textAlignment w:val="baseline"/>
    </w:pPr>
    <w:rPr>
      <w:rFonts w:ascii="宋体" w:cs="Times New Roman"/>
      <w:spacing w:val="4"/>
      <w:kern w:val="0"/>
      <w:sz w:val="18"/>
      <w:szCs w:val="18"/>
    </w:rPr>
  </w:style>
  <w:style w:type="paragraph" w:customStyle="1" w:styleId="afffffffffffffffffffffffffffffffffff7">
    <w:name w:val="工艺方框"/>
    <w:basedOn w:val="a"/>
    <w:link w:val="Charfffffff5"/>
    <w:autoRedefine/>
    <w:qFormat/>
    <w:pPr>
      <w:adjustRightInd w:val="0"/>
      <w:snapToGrid w:val="0"/>
      <w:spacing w:beforeLines="50" w:line="360" w:lineRule="auto"/>
      <w:ind w:firstLineChars="200" w:firstLine="200"/>
      <w:jc w:val="center"/>
      <w:textAlignment w:val="baseline"/>
    </w:pPr>
    <w:rPr>
      <w:rFonts w:ascii="宋体" w:cs="Times New Roman"/>
      <w:kern w:val="0"/>
      <w:sz w:val="20"/>
      <w:szCs w:val="21"/>
      <w:lang w:val="zh-CN"/>
    </w:rPr>
  </w:style>
  <w:style w:type="character" w:customStyle="1" w:styleId="Charfffffff5">
    <w:name w:val="工艺方框 Char"/>
    <w:link w:val="afffffffffffffffffffffffffffffffffff7"/>
    <w:autoRedefine/>
    <w:qFormat/>
    <w:rPr>
      <w:rFonts w:ascii="宋体"/>
      <w:szCs w:val="21"/>
      <w:lang w:val="zh-CN"/>
    </w:rPr>
  </w:style>
  <w:style w:type="character" w:customStyle="1" w:styleId="01CharChar">
    <w:name w:val="正文01 Char Char"/>
    <w:autoRedefine/>
    <w:qFormat/>
    <w:locked/>
    <w:rPr>
      <w:rFonts w:ascii="Arial" w:hAnsi="Arial" w:cs="Arial"/>
      <w:kern w:val="2"/>
      <w:sz w:val="24"/>
      <w:szCs w:val="24"/>
    </w:rPr>
  </w:style>
  <w:style w:type="character" w:customStyle="1" w:styleId="textedit1">
    <w:name w:val="text_edit1"/>
    <w:autoRedefine/>
    <w:qFormat/>
    <w:rPr>
      <w:color w:val="3366CC"/>
      <w:sz w:val="18"/>
      <w:szCs w:val="18"/>
    </w:rPr>
  </w:style>
  <w:style w:type="character" w:customStyle="1" w:styleId="CharChar61">
    <w:name w:val="Char Char61"/>
    <w:autoRedefine/>
    <w:qFormat/>
    <w:rPr>
      <w:rFonts w:eastAsia="宋体"/>
      <w:kern w:val="2"/>
      <w:sz w:val="18"/>
      <w:szCs w:val="18"/>
      <w:lang w:val="en-US" w:eastAsia="zh-CN" w:bidi="ar-SA"/>
    </w:rPr>
  </w:style>
  <w:style w:type="character" w:customStyle="1" w:styleId="cctt1">
    <w:name w:val="cctt1"/>
    <w:autoRedefine/>
    <w:qFormat/>
    <w:rPr>
      <w:rFonts w:ascii="宋体" w:eastAsia="宋体" w:hAnsi="宋体" w:hint="eastAsia"/>
      <w:color w:val="000000"/>
      <w:sz w:val="24"/>
      <w:szCs w:val="24"/>
      <w:u w:val="none"/>
    </w:rPr>
  </w:style>
  <w:style w:type="character" w:customStyle="1" w:styleId="javascript1">
    <w:name w:val="javascript1"/>
    <w:autoRedefine/>
    <w:qFormat/>
    <w:rPr>
      <w:rFonts w:ascii="Tahoma" w:hAnsi="Tahoma" w:cs="Tahoma" w:hint="default"/>
      <w:spacing w:val="268"/>
      <w:sz w:val="20"/>
      <w:szCs w:val="20"/>
    </w:rPr>
  </w:style>
  <w:style w:type="character" w:customStyle="1" w:styleId="8Char1CharChar2">
    <w:name w:val="8 Char1 Char Char2"/>
    <w:link w:val="8Char1Char"/>
    <w:qFormat/>
    <w:rPr>
      <w:kern w:val="10"/>
      <w:sz w:val="24"/>
      <w:szCs w:val="24"/>
    </w:rPr>
  </w:style>
  <w:style w:type="paragraph" w:customStyle="1" w:styleId="8Char1Char">
    <w:name w:val="8 Char1 Char"/>
    <w:basedOn w:val="a"/>
    <w:link w:val="8Char1CharChar2"/>
    <w:qFormat/>
    <w:pPr>
      <w:spacing w:line="360" w:lineRule="auto"/>
      <w:ind w:firstLineChars="200" w:firstLine="480"/>
    </w:pPr>
    <w:rPr>
      <w:rFonts w:cs="Times New Roman"/>
      <w:kern w:val="10"/>
      <w:sz w:val="24"/>
      <w:szCs w:val="24"/>
    </w:rPr>
  </w:style>
  <w:style w:type="character" w:customStyle="1" w:styleId="CharCharffff2">
    <w:name w:val="正文何处 Char Char"/>
    <w:qFormat/>
    <w:rPr>
      <w:rFonts w:ascii="宋体" w:hAnsi="宋体" w:cs="宋体"/>
      <w:bCs/>
      <w:color w:val="000000"/>
      <w:sz w:val="24"/>
    </w:rPr>
  </w:style>
  <w:style w:type="character" w:customStyle="1" w:styleId="111111CharChar">
    <w:name w:val="标题1.1.1.1.1.1 Char Char"/>
    <w:autoRedefine/>
    <w:qFormat/>
    <w:rPr>
      <w:rFonts w:ascii="Arial" w:eastAsia="黑体" w:hAnsi="Arial"/>
      <w:b/>
      <w:sz w:val="24"/>
      <w:szCs w:val="20"/>
    </w:rPr>
  </w:style>
  <w:style w:type="character" w:customStyle="1" w:styleId="CharCharCharCharf1">
    <w:name w:val="报告 Char Char Char Char"/>
    <w:qFormat/>
    <w:rPr>
      <w:rFonts w:ascii="宋体" w:eastAsia="宋体" w:hAnsi="宋体"/>
      <w:kern w:val="2"/>
      <w:sz w:val="24"/>
      <w:szCs w:val="24"/>
      <w:lang w:val="en-US" w:eastAsia="zh-CN" w:bidi="ar-SA"/>
    </w:rPr>
  </w:style>
  <w:style w:type="character" w:customStyle="1" w:styleId="8CharCharCharChar">
    <w:name w:val="8 Char Char Char Char"/>
    <w:link w:val="8CharChar"/>
    <w:autoRedefine/>
    <w:qFormat/>
    <w:rPr>
      <w:rFonts w:ascii="宋体" w:hAnsi="宋体"/>
      <w:kern w:val="10"/>
      <w:sz w:val="24"/>
      <w:szCs w:val="24"/>
    </w:rPr>
  </w:style>
  <w:style w:type="paragraph" w:customStyle="1" w:styleId="8CharChar">
    <w:name w:val="8 Char Char"/>
    <w:basedOn w:val="a"/>
    <w:link w:val="8CharCharCharChar"/>
    <w:autoRedefine/>
    <w:qFormat/>
    <w:pPr>
      <w:spacing w:line="360" w:lineRule="auto"/>
      <w:ind w:firstLineChars="200" w:firstLine="480"/>
    </w:pPr>
    <w:rPr>
      <w:rFonts w:ascii="宋体" w:hAnsi="宋体" w:cs="Times New Roman"/>
      <w:kern w:val="10"/>
      <w:sz w:val="24"/>
      <w:szCs w:val="24"/>
    </w:rPr>
  </w:style>
  <w:style w:type="character" w:customStyle="1" w:styleId="3CharChar9">
    <w:name w:val="蘑菇标题3 Char Char"/>
    <w:link w:val="3fffd"/>
    <w:autoRedefine/>
    <w:qFormat/>
    <w:rPr>
      <w:rFonts w:ascii="宋体" w:hAnsi="宋体" w:cs="AdobeHeitiStd-Regular"/>
      <w:b/>
      <w:sz w:val="24"/>
      <w:szCs w:val="24"/>
    </w:rPr>
  </w:style>
  <w:style w:type="paragraph" w:customStyle="1" w:styleId="3fffd">
    <w:name w:val="蘑菇标题3"/>
    <w:basedOn w:val="afffffffffffffffffffffffffffffffffd"/>
    <w:link w:val="3CharChar9"/>
    <w:autoRedefine/>
    <w:qFormat/>
    <w:rPr>
      <w:rFonts w:cs="AdobeHeitiStd-Regular"/>
      <w:b/>
      <w:lang w:val="en-US"/>
    </w:rPr>
  </w:style>
  <w:style w:type="character" w:customStyle="1" w:styleId="CharCharffff3">
    <w:name w:val="内容（新） Char Char"/>
    <w:link w:val="afffffffffffffffffffffffffffffffffff8"/>
    <w:autoRedefine/>
    <w:qFormat/>
    <w:rPr>
      <w:rFonts w:ascii="宋体" w:hAnsi="宋体" w:cs="Arial"/>
      <w:bCs/>
      <w:sz w:val="24"/>
      <w:szCs w:val="24"/>
    </w:rPr>
  </w:style>
  <w:style w:type="paragraph" w:customStyle="1" w:styleId="afffffffffffffffffffffffffffffffffff8">
    <w:name w:val="内容（新）"/>
    <w:basedOn w:val="a"/>
    <w:link w:val="CharCharffff3"/>
    <w:autoRedefine/>
    <w:qFormat/>
    <w:pPr>
      <w:spacing w:line="360" w:lineRule="auto"/>
      <w:ind w:firstLineChars="196" w:firstLine="470"/>
    </w:pPr>
    <w:rPr>
      <w:rFonts w:ascii="宋体" w:hAnsi="宋体" w:cs="Arial"/>
      <w:bCs/>
      <w:kern w:val="0"/>
      <w:sz w:val="24"/>
      <w:szCs w:val="24"/>
    </w:rPr>
  </w:style>
  <w:style w:type="character" w:customStyle="1" w:styleId="222CharChar">
    <w:name w:val="222 Char Char"/>
    <w:link w:val="2227"/>
    <w:qFormat/>
    <w:rPr>
      <w:rFonts w:ascii="宋体" w:hAnsi="宋体"/>
      <w:sz w:val="24"/>
    </w:rPr>
  </w:style>
  <w:style w:type="paragraph" w:customStyle="1" w:styleId="2227">
    <w:name w:val="222"/>
    <w:basedOn w:val="a"/>
    <w:link w:val="222CharChar"/>
    <w:autoRedefine/>
    <w:qFormat/>
    <w:pPr>
      <w:spacing w:line="480" w:lineRule="exact"/>
      <w:ind w:firstLineChars="200" w:firstLine="200"/>
    </w:pPr>
    <w:rPr>
      <w:rFonts w:ascii="宋体" w:hAnsi="宋体" w:cs="Times New Roman"/>
      <w:kern w:val="0"/>
      <w:sz w:val="24"/>
      <w:szCs w:val="20"/>
    </w:rPr>
  </w:style>
  <w:style w:type="paragraph" w:customStyle="1" w:styleId="1fffffffc">
    <w:name w:val="蘑菇1"/>
    <w:basedOn w:val="a"/>
    <w:autoRedefine/>
    <w:uiPriority w:val="99"/>
    <w:qFormat/>
    <w:pPr>
      <w:spacing w:line="360" w:lineRule="exact"/>
      <w:ind w:firstLineChars="200" w:firstLine="420"/>
      <w:jc w:val="center"/>
    </w:pPr>
    <w:rPr>
      <w:rFonts w:ascii="宋体" w:hAnsi="宋体" w:cs="Times New Roman"/>
      <w:sz w:val="24"/>
      <w:szCs w:val="21"/>
    </w:rPr>
  </w:style>
  <w:style w:type="paragraph" w:customStyle="1" w:styleId="1fffffffd">
    <w:name w:val="蘑菇标题1"/>
    <w:basedOn w:val="a"/>
    <w:autoRedefine/>
    <w:uiPriority w:val="99"/>
    <w:qFormat/>
    <w:pPr>
      <w:spacing w:before="600" w:after="480" w:line="360" w:lineRule="auto"/>
      <w:ind w:firstLineChars="200" w:firstLine="200"/>
      <w:jc w:val="left"/>
      <w:outlineLvl w:val="0"/>
    </w:pPr>
    <w:rPr>
      <w:rFonts w:ascii="宋体" w:hAnsi="宋体" w:cs="Times New Roman"/>
      <w:b/>
      <w:sz w:val="36"/>
      <w:szCs w:val="36"/>
    </w:rPr>
  </w:style>
  <w:style w:type="paragraph" w:customStyle="1" w:styleId="4ff6">
    <w:name w:val="蘑菇标题4"/>
    <w:basedOn w:val="afffffffffffffffffffffffffffffffffd"/>
    <w:autoRedefine/>
    <w:uiPriority w:val="99"/>
    <w:qFormat/>
  </w:style>
  <w:style w:type="paragraph" w:customStyle="1" w:styleId="afffffffffffffffffffffffffffffffffff9">
    <w:name w:val="蘑菇表头"/>
    <w:basedOn w:val="afffffffffffffffffffffffffffffffffd"/>
    <w:next w:val="aff1"/>
    <w:autoRedefine/>
    <w:uiPriority w:val="99"/>
    <w:qFormat/>
  </w:style>
  <w:style w:type="paragraph" w:customStyle="1" w:styleId="2fffffff">
    <w:name w:val="蘑菇标题2"/>
    <w:basedOn w:val="afffffffffffffffffffffffffffffffffd"/>
    <w:autoRedefine/>
    <w:uiPriority w:val="99"/>
    <w:qFormat/>
  </w:style>
  <w:style w:type="paragraph" w:customStyle="1" w:styleId="421">
    <w:name w:val="样式 蘑菇标题4 + 首行缩进:  2 字符"/>
    <w:basedOn w:val="4ff6"/>
    <w:uiPriority w:val="99"/>
    <w:qFormat/>
  </w:style>
  <w:style w:type="paragraph" w:customStyle="1" w:styleId="afffffffffffffffffffffffffffffffffffa">
    <w:name w:val="表格头"/>
    <w:basedOn w:val="a"/>
    <w:link w:val="Charfffffff6"/>
    <w:autoRedefine/>
    <w:qFormat/>
    <w:pPr>
      <w:spacing w:line="360" w:lineRule="auto"/>
      <w:ind w:firstLineChars="200" w:firstLine="480"/>
      <w:jc w:val="center"/>
    </w:pPr>
    <w:rPr>
      <w:rFonts w:ascii="黑体" w:eastAsia="黑体" w:hAnsi="Arial" w:cs="Times New Roman"/>
      <w:sz w:val="24"/>
      <w:szCs w:val="24"/>
      <w:lang w:val="zh-CN"/>
    </w:rPr>
  </w:style>
  <w:style w:type="character" w:customStyle="1" w:styleId="Charfffffff6">
    <w:name w:val="表格头 Char"/>
    <w:link w:val="afffffffffffffffffffffffffffffffffffa"/>
    <w:autoRedefine/>
    <w:qFormat/>
    <w:rPr>
      <w:rFonts w:ascii="黑体" w:eastAsia="黑体" w:hAnsi="Arial"/>
      <w:kern w:val="2"/>
      <w:sz w:val="24"/>
      <w:szCs w:val="24"/>
      <w:lang w:val="zh-CN"/>
    </w:rPr>
  </w:style>
  <w:style w:type="paragraph" w:customStyle="1" w:styleId="CharCharCharCharCharChar1Char5">
    <w:name w:val="Char Char Char Char Char Char1 Char5"/>
    <w:basedOn w:val="a"/>
    <w:autoRedefine/>
    <w:uiPriority w:val="99"/>
    <w:qFormat/>
    <w:pPr>
      <w:spacing w:line="360" w:lineRule="auto"/>
      <w:ind w:firstLineChars="200" w:firstLine="200"/>
    </w:pPr>
    <w:rPr>
      <w:rFonts w:ascii="宋体" w:hAnsi="宋体" w:cs="Times New Roman"/>
      <w:szCs w:val="24"/>
    </w:rPr>
  </w:style>
  <w:style w:type="paragraph" w:customStyle="1" w:styleId="afffffffffffffffffffffffffffffffffffb">
    <w:name w:val="注解文字"/>
    <w:basedOn w:val="a"/>
    <w:autoRedefine/>
    <w:uiPriority w:val="99"/>
    <w:qFormat/>
    <w:pPr>
      <w:spacing w:beforeLines="100" w:afterLines="50" w:line="360" w:lineRule="auto"/>
      <w:ind w:firstLineChars="200" w:firstLine="498"/>
    </w:pPr>
    <w:rPr>
      <w:rFonts w:ascii="宋体" w:hAnsi="宋体" w:cs="Times New Roman"/>
      <w:bCs/>
      <w:snapToGrid w:val="0"/>
      <w:spacing w:val="4"/>
      <w:kern w:val="0"/>
      <w:szCs w:val="24"/>
      <w:lang w:val="eu-ES"/>
    </w:rPr>
  </w:style>
  <w:style w:type="paragraph" w:customStyle="1" w:styleId="z">
    <w:name w:val="z正文"/>
    <w:basedOn w:val="ab"/>
    <w:autoRedefine/>
    <w:uiPriority w:val="99"/>
    <w:qFormat/>
    <w:pPr>
      <w:spacing w:after="0"/>
      <w:ind w:leftChars="0" w:left="0"/>
    </w:pPr>
    <w:rPr>
      <w:rFonts w:cs="Times New Roman"/>
      <w:szCs w:val="24"/>
    </w:rPr>
  </w:style>
  <w:style w:type="paragraph" w:customStyle="1" w:styleId="y0">
    <w:name w:val="y表格"/>
    <w:basedOn w:val="af"/>
    <w:autoRedefine/>
    <w:uiPriority w:val="99"/>
    <w:qFormat/>
    <w:pPr>
      <w:widowControl/>
      <w:kinsoku/>
      <w:adjustRightInd/>
      <w:snapToGrid w:val="0"/>
      <w:spacing w:after="0" w:line="360" w:lineRule="auto"/>
      <w:ind w:firstLineChars="200" w:firstLine="200"/>
      <w:jc w:val="center"/>
      <w:textAlignment w:val="auto"/>
    </w:pPr>
    <w:rPr>
      <w:rFonts w:ascii="宋体" w:hAnsi="宋体"/>
      <w:kern w:val="0"/>
      <w:szCs w:val="20"/>
      <w:lang w:val="zh-CN"/>
    </w:rPr>
  </w:style>
  <w:style w:type="paragraph" w:customStyle="1" w:styleId="afffffffffffffffffffffffffffffffffffc">
    <w:name w:val="正文对的"/>
    <w:basedOn w:val="a"/>
    <w:uiPriority w:val="99"/>
    <w:qFormat/>
    <w:pPr>
      <w:spacing w:line="360" w:lineRule="auto"/>
      <w:ind w:firstLineChars="200" w:firstLine="480"/>
    </w:pPr>
    <w:rPr>
      <w:rFonts w:ascii="宋体" w:eastAsia="楷体_GB2312" w:hAnsi="宋体" w:cs="Times New Roman"/>
      <w:sz w:val="24"/>
      <w:szCs w:val="20"/>
    </w:rPr>
  </w:style>
  <w:style w:type="paragraph" w:customStyle="1" w:styleId="CharCharCharf5">
    <w:name w:val="默认段落字体 Char Char Char"/>
    <w:basedOn w:val="a"/>
    <w:autoRedefine/>
    <w:uiPriority w:val="99"/>
    <w:qFormat/>
    <w:pPr>
      <w:spacing w:line="360" w:lineRule="auto"/>
      <w:ind w:firstLineChars="200" w:firstLine="200"/>
    </w:pPr>
    <w:rPr>
      <w:rFonts w:cs="Times New Roman"/>
      <w:sz w:val="24"/>
      <w:szCs w:val="24"/>
    </w:rPr>
  </w:style>
  <w:style w:type="paragraph" w:customStyle="1" w:styleId="NewNewNewNewNewNewNewNewNewNewNewNewNew">
    <w:name w:val="正文 New New New New New New New New New New New New New"/>
    <w:uiPriority w:val="99"/>
    <w:qFormat/>
    <w:pPr>
      <w:widowControl w:val="0"/>
      <w:jc w:val="both"/>
    </w:pPr>
    <w:rPr>
      <w:kern w:val="2"/>
      <w:sz w:val="21"/>
      <w:szCs w:val="24"/>
    </w:rPr>
  </w:style>
  <w:style w:type="paragraph" w:customStyle="1" w:styleId="NewNewNewNewNewNewNewNewNewNewNewNewNewNewNewNewNewNewNewNewNewNewNewNewNewNewNewNewNewNewNewNewNewNewNewNew">
    <w:name w:val="正文 New New New New New New New New New New New New New New New New New New New New New New New New New New New New New New New New New New New New"/>
    <w:autoRedefine/>
    <w:uiPriority w:val="99"/>
    <w:qFormat/>
    <w:pPr>
      <w:widowControl w:val="0"/>
      <w:jc w:val="both"/>
    </w:pPr>
    <w:rPr>
      <w:kern w:val="2"/>
      <w:sz w:val="21"/>
      <w:szCs w:val="24"/>
    </w:rPr>
  </w:style>
  <w:style w:type="paragraph" w:customStyle="1" w:styleId="NewNewNewNewNewNewNewNewNewNewNewNewNewNewNewNewNewNew">
    <w:name w:val="正文 New New New New New New New New New New New New New New New New New New"/>
    <w:autoRedefine/>
    <w:uiPriority w:val="99"/>
    <w:qFormat/>
    <w:pPr>
      <w:widowControl w:val="0"/>
      <w:jc w:val="both"/>
    </w:pPr>
    <w:rPr>
      <w:kern w:val="2"/>
      <w:sz w:val="21"/>
      <w:szCs w:val="24"/>
    </w:rPr>
  </w:style>
  <w:style w:type="paragraph" w:customStyle="1" w:styleId="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w:autoRedefine/>
    <w:uiPriority w:val="99"/>
    <w:qFormat/>
    <w:pPr>
      <w:widowControl w:val="0"/>
      <w:jc w:val="both"/>
    </w:pPr>
    <w:rPr>
      <w:kern w:val="2"/>
      <w:sz w:val="21"/>
      <w:szCs w:val="24"/>
    </w:rPr>
  </w:style>
  <w:style w:type="paragraph" w:customStyle="1" w:styleId="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w:autoRedefine/>
    <w:uiPriority w:val="99"/>
    <w:qFormat/>
    <w:pPr>
      <w:widowControl w:val="0"/>
      <w:jc w:val="both"/>
    </w:pPr>
    <w:rPr>
      <w:kern w:val="2"/>
      <w:sz w:val="21"/>
      <w:szCs w:val="24"/>
    </w:rPr>
  </w:style>
  <w:style w:type="paragraph" w:customStyle="1" w:styleId="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w:autoRedefine/>
    <w:uiPriority w:val="99"/>
    <w:qFormat/>
    <w:pPr>
      <w:widowControl w:val="0"/>
      <w:jc w:val="both"/>
    </w:pPr>
    <w:rPr>
      <w:kern w:val="2"/>
      <w:sz w:val="21"/>
      <w:szCs w:val="24"/>
    </w:rPr>
  </w:style>
  <w:style w:type="paragraph" w:customStyle="1" w:styleId="NewNewNewNewNewNewNewNewNewNewNewNewNewNewNewNewNewNewNewNewNewNewNewNewNewNewNewNewNewNewNewNewNewNewNewNewNew">
    <w:name w:val="正文 New New New New New New New New New New New New New New New New New New New New New New New New New New New New New New New New New New New New New"/>
    <w:autoRedefine/>
    <w:uiPriority w:val="99"/>
    <w:qFormat/>
    <w:pPr>
      <w:widowControl w:val="0"/>
      <w:jc w:val="both"/>
    </w:pPr>
    <w:rPr>
      <w:kern w:val="2"/>
      <w:sz w:val="21"/>
      <w:szCs w:val="24"/>
    </w:rPr>
  </w:style>
  <w:style w:type="character" w:customStyle="1" w:styleId="title2">
    <w:name w:val="title2"/>
    <w:qFormat/>
  </w:style>
  <w:style w:type="character" w:customStyle="1" w:styleId="px141">
    <w:name w:val="px141"/>
    <w:autoRedefine/>
    <w:qFormat/>
    <w:rPr>
      <w:sz w:val="21"/>
      <w:szCs w:val="21"/>
    </w:rPr>
  </w:style>
  <w:style w:type="character" w:customStyle="1" w:styleId="CharCharffff4">
    <w:name w:val="表格五号标题 Char Char"/>
    <w:autoRedefine/>
    <w:qFormat/>
    <w:rPr>
      <w:sz w:val="21"/>
      <w:szCs w:val="24"/>
    </w:rPr>
  </w:style>
  <w:style w:type="character" w:customStyle="1" w:styleId="2CharChar9">
    <w:name w:val="正文2缩进主要格式 Char Char"/>
    <w:autoRedefine/>
    <w:qFormat/>
    <w:rPr>
      <w:rFonts w:ascii="宋体" w:hAnsi="宋体" w:cs="宋体"/>
      <w:kern w:val="2"/>
      <w:sz w:val="24"/>
    </w:rPr>
  </w:style>
  <w:style w:type="character" w:customStyle="1" w:styleId="zhenwen141">
    <w:name w:val="zhenwen141"/>
    <w:autoRedefine/>
    <w:qFormat/>
    <w:rPr>
      <w:rFonts w:ascii="ˎ̥" w:hAnsi="ˎ̥" w:hint="default"/>
      <w:sz w:val="21"/>
      <w:szCs w:val="21"/>
    </w:rPr>
  </w:style>
  <w:style w:type="character" w:customStyle="1" w:styleId="CharCharffff5">
    <w:name w:val="表格居中 Char Char"/>
    <w:autoRedefine/>
    <w:qFormat/>
    <w:rPr>
      <w:kern w:val="2"/>
      <w:sz w:val="21"/>
      <w:szCs w:val="24"/>
    </w:rPr>
  </w:style>
  <w:style w:type="character" w:customStyle="1" w:styleId="CharCharffff6">
    <w:name w:val="表格五号下方正文 Char Char"/>
    <w:autoRedefine/>
    <w:qFormat/>
    <w:rPr>
      <w:sz w:val="21"/>
      <w:szCs w:val="21"/>
    </w:rPr>
  </w:style>
  <w:style w:type="character" w:customStyle="1" w:styleId="001CharChar">
    <w:name w:val="正文001 Char Char"/>
    <w:autoRedefine/>
    <w:qFormat/>
    <w:rPr>
      <w:kern w:val="2"/>
      <w:sz w:val="24"/>
    </w:rPr>
  </w:style>
  <w:style w:type="character" w:customStyle="1" w:styleId="CharCharffff7">
    <w:name w:val="正文五号 Char Char"/>
    <w:autoRedefine/>
    <w:qFormat/>
    <w:rPr>
      <w:sz w:val="21"/>
      <w:szCs w:val="24"/>
    </w:rPr>
  </w:style>
  <w:style w:type="character" w:customStyle="1" w:styleId="2CharChara">
    <w:name w:val="正文缩进2 Char Char"/>
    <w:autoRedefine/>
    <w:qFormat/>
    <w:rPr>
      <w:bCs/>
      <w:kern w:val="2"/>
      <w:sz w:val="24"/>
      <w:szCs w:val="21"/>
    </w:rPr>
  </w:style>
  <w:style w:type="character" w:customStyle="1" w:styleId="title3">
    <w:name w:val="title3"/>
    <w:autoRedefine/>
    <w:qFormat/>
  </w:style>
  <w:style w:type="character" w:customStyle="1" w:styleId="title4">
    <w:name w:val="title4"/>
    <w:qFormat/>
  </w:style>
  <w:style w:type="character" w:customStyle="1" w:styleId="c2">
    <w:name w:val="c"/>
    <w:autoRedefine/>
    <w:qFormat/>
  </w:style>
  <w:style w:type="character" w:customStyle="1" w:styleId="CharCharffff8">
    <w:name w:val="表中 Char Char"/>
    <w:autoRedefine/>
    <w:qFormat/>
    <w:rPr>
      <w:bCs/>
      <w:kern w:val="2"/>
      <w:sz w:val="21"/>
      <w:szCs w:val="21"/>
    </w:rPr>
  </w:style>
  <w:style w:type="character" w:customStyle="1" w:styleId="Char1ff">
    <w:name w:val="注释标题 Char1"/>
    <w:autoRedefine/>
    <w:uiPriority w:val="99"/>
    <w:qFormat/>
    <w:rPr>
      <w:kern w:val="2"/>
      <w:sz w:val="21"/>
      <w:szCs w:val="22"/>
    </w:rPr>
  </w:style>
  <w:style w:type="paragraph" w:customStyle="1" w:styleId="4ff7">
    <w:name w:val="4级标题"/>
    <w:basedOn w:val="3ff3"/>
    <w:link w:val="4Char6"/>
    <w:autoRedefine/>
    <w:qFormat/>
  </w:style>
  <w:style w:type="character" w:customStyle="1" w:styleId="4Char6">
    <w:name w:val="4级标题 Char"/>
    <w:link w:val="4ff7"/>
    <w:autoRedefine/>
    <w:qFormat/>
    <w:rPr>
      <w:b/>
      <w:kern w:val="2"/>
      <w:sz w:val="24"/>
    </w:rPr>
  </w:style>
  <w:style w:type="paragraph" w:customStyle="1" w:styleId="301">
    <w:name w:val="30"/>
    <w:autoRedefine/>
    <w:uiPriority w:val="99"/>
    <w:qFormat/>
    <w:pPr>
      <w:widowControl w:val="0"/>
      <w:jc w:val="both"/>
    </w:pPr>
    <w:rPr>
      <w:rFonts w:ascii="Calibri" w:hAnsi="Calibri"/>
      <w:kern w:val="2"/>
      <w:sz w:val="21"/>
      <w:szCs w:val="22"/>
    </w:rPr>
  </w:style>
  <w:style w:type="paragraph" w:customStyle="1" w:styleId="NewNewNewNewNewNewNewNewNewNew">
    <w:name w:val="正文 New New New New New New New New New New"/>
    <w:uiPriority w:val="99"/>
    <w:qFormat/>
    <w:pPr>
      <w:widowControl w:val="0"/>
      <w:jc w:val="both"/>
    </w:pPr>
    <w:rPr>
      <w:kern w:val="2"/>
      <w:sz w:val="21"/>
      <w:szCs w:val="24"/>
    </w:rPr>
  </w:style>
  <w:style w:type="paragraph" w:customStyle="1" w:styleId="mm">
    <w:name w:val="样式 正文mm"/>
    <w:basedOn w:val="a"/>
    <w:next w:val="23"/>
    <w:autoRedefine/>
    <w:uiPriority w:val="99"/>
    <w:qFormat/>
    <w:pPr>
      <w:spacing w:line="360" w:lineRule="auto"/>
      <w:ind w:firstLineChars="200" w:firstLine="200"/>
    </w:pPr>
    <w:rPr>
      <w:rFonts w:cs="宋体"/>
      <w:sz w:val="24"/>
      <w:szCs w:val="24"/>
    </w:rPr>
  </w:style>
  <w:style w:type="paragraph" w:customStyle="1" w:styleId="afffffffffffffffffffffffffffffffffffd">
    <w:name w:val="常用正文样式"/>
    <w:autoRedefine/>
    <w:uiPriority w:val="99"/>
    <w:qFormat/>
    <w:pPr>
      <w:widowControl w:val="0"/>
      <w:spacing w:line="360" w:lineRule="auto"/>
      <w:ind w:firstLine="454"/>
      <w:jc w:val="both"/>
    </w:pPr>
    <w:rPr>
      <w:rFonts w:ascii="宋体" w:eastAsia="仿宋_GB2312" w:hAnsi="新宋体"/>
      <w:kern w:val="2"/>
      <w:sz w:val="24"/>
    </w:rPr>
  </w:style>
  <w:style w:type="paragraph" w:customStyle="1" w:styleId="afffffffffffffffffffffffffffffffffffe">
    <w:name w:val="常用表格样式"/>
    <w:basedOn w:val="afffffffffffffffffffffffffffffffffffd"/>
    <w:next w:val="afffffffffffffffffffffffffffffffffffd"/>
    <w:autoRedefine/>
    <w:uiPriority w:val="99"/>
    <w:qFormat/>
  </w:style>
  <w:style w:type="paragraph" w:customStyle="1" w:styleId="Style4">
    <w:name w:val="_Style 4"/>
    <w:basedOn w:val="a"/>
    <w:autoRedefine/>
    <w:uiPriority w:val="99"/>
    <w:qFormat/>
    <w:pPr>
      <w:spacing w:line="360" w:lineRule="auto"/>
      <w:ind w:firstLineChars="200" w:firstLine="200"/>
    </w:pPr>
    <w:rPr>
      <w:rFonts w:cs="Times New Roman"/>
      <w:szCs w:val="20"/>
    </w:rPr>
  </w:style>
  <w:style w:type="character" w:customStyle="1" w:styleId="Charfffffff7">
    <w:name w:val="金光华文本正文 Char"/>
    <w:link w:val="affffffffffffffffffffffffffffffffffff"/>
    <w:autoRedefine/>
    <w:qFormat/>
    <w:rPr>
      <w:rFonts w:ascii="宋体" w:hAnsi="宋体"/>
      <w:sz w:val="24"/>
      <w:szCs w:val="24"/>
    </w:rPr>
  </w:style>
  <w:style w:type="paragraph" w:customStyle="1" w:styleId="affffffffffffffffffffffffffffffffffff">
    <w:name w:val="金光华文本正文"/>
    <w:basedOn w:val="a"/>
    <w:link w:val="Charfffffff7"/>
    <w:autoRedefine/>
    <w:qFormat/>
    <w:pPr>
      <w:widowControl/>
      <w:tabs>
        <w:tab w:val="left" w:pos="6840"/>
      </w:tabs>
      <w:spacing w:line="360" w:lineRule="auto"/>
      <w:ind w:firstLineChars="200" w:firstLine="510"/>
      <w:jc w:val="left"/>
    </w:pPr>
    <w:rPr>
      <w:rFonts w:ascii="宋体" w:hAnsi="宋体" w:cs="Times New Roman"/>
      <w:kern w:val="0"/>
      <w:sz w:val="24"/>
      <w:szCs w:val="24"/>
    </w:rPr>
  </w:style>
  <w:style w:type="paragraph" w:customStyle="1" w:styleId="R22">
    <w:name w:val="R22一级"/>
    <w:basedOn w:val="1"/>
    <w:link w:val="R22Char"/>
    <w:qFormat/>
    <w:pPr>
      <w:keepLines w:val="0"/>
      <w:numPr>
        <w:numId w:val="0"/>
      </w:numPr>
      <w:tabs>
        <w:tab w:val="left" w:pos="870"/>
      </w:tabs>
      <w:ind w:firstLine="510"/>
      <w:jc w:val="both"/>
    </w:pPr>
    <w:rPr>
      <w:rFonts w:cs="Times New Roman"/>
      <w:b w:val="0"/>
      <w:bCs w:val="0"/>
      <w:i/>
      <w:iCs/>
      <w:kern w:val="2"/>
      <w:sz w:val="28"/>
      <w:szCs w:val="24"/>
    </w:rPr>
  </w:style>
  <w:style w:type="character" w:customStyle="1" w:styleId="R22Char">
    <w:name w:val="R22一级 Char"/>
    <w:link w:val="R22"/>
    <w:autoRedefine/>
    <w:qFormat/>
    <w:rPr>
      <w:i/>
      <w:iCs/>
      <w:kern w:val="2"/>
      <w:sz w:val="28"/>
      <w:szCs w:val="24"/>
    </w:rPr>
  </w:style>
  <w:style w:type="paragraph" w:customStyle="1" w:styleId="R220">
    <w:name w:val="R22二级"/>
    <w:basedOn w:val="20"/>
    <w:link w:val="R22Char0"/>
    <w:autoRedefine/>
    <w:qFormat/>
    <w:pPr>
      <w:keepLines w:val="0"/>
      <w:numPr>
        <w:ilvl w:val="0"/>
        <w:numId w:val="0"/>
      </w:numPr>
      <w:tabs>
        <w:tab w:val="left" w:pos="870"/>
      </w:tabs>
      <w:spacing w:beforeLines="0" w:before="0" w:afterLines="0" w:after="0" w:line="240" w:lineRule="auto"/>
      <w:ind w:firstLine="510"/>
      <w:jc w:val="center"/>
    </w:pPr>
    <w:rPr>
      <w:rFonts w:cs="Times New Roman"/>
      <w:sz w:val="21"/>
      <w:szCs w:val="24"/>
    </w:rPr>
  </w:style>
  <w:style w:type="character" w:customStyle="1" w:styleId="R22Char0">
    <w:name w:val="R22二级 Char"/>
    <w:link w:val="R220"/>
    <w:autoRedefine/>
    <w:qFormat/>
    <w:rPr>
      <w:b/>
      <w:bCs/>
      <w:kern w:val="2"/>
      <w:sz w:val="21"/>
      <w:szCs w:val="24"/>
    </w:rPr>
  </w:style>
  <w:style w:type="paragraph" w:customStyle="1" w:styleId="R221">
    <w:name w:val="R22三级"/>
    <w:basedOn w:val="a"/>
    <w:link w:val="R22Char1"/>
    <w:autoRedefine/>
    <w:qFormat/>
    <w:pPr>
      <w:spacing w:line="360" w:lineRule="auto"/>
      <w:ind w:firstLineChars="200" w:firstLine="482"/>
    </w:pPr>
    <w:rPr>
      <w:rFonts w:cs="Times New Roman"/>
      <w:b/>
      <w:bCs/>
      <w:color w:val="000000"/>
      <w:sz w:val="24"/>
      <w:szCs w:val="24"/>
      <w:lang w:val="zh-CN"/>
    </w:rPr>
  </w:style>
  <w:style w:type="character" w:customStyle="1" w:styleId="R22Char1">
    <w:name w:val="R22三级 Char"/>
    <w:link w:val="R221"/>
    <w:autoRedefine/>
    <w:qFormat/>
    <w:rPr>
      <w:b/>
      <w:bCs/>
      <w:color w:val="000000"/>
      <w:kern w:val="2"/>
      <w:sz w:val="24"/>
      <w:szCs w:val="24"/>
      <w:lang w:val="zh-CN"/>
    </w:rPr>
  </w:style>
  <w:style w:type="paragraph" w:customStyle="1" w:styleId="R222">
    <w:name w:val="R22表头"/>
    <w:basedOn w:val="a"/>
    <w:link w:val="R22Char2"/>
    <w:autoRedefine/>
    <w:qFormat/>
    <w:pPr>
      <w:autoSpaceDE w:val="0"/>
      <w:autoSpaceDN w:val="0"/>
      <w:adjustRightInd w:val="0"/>
      <w:jc w:val="left"/>
    </w:pPr>
    <w:rPr>
      <w:rFonts w:eastAsia="黑体" w:hAnsi="宋体" w:cs="Times New Roman"/>
      <w:kern w:val="0"/>
      <w:sz w:val="24"/>
      <w:szCs w:val="24"/>
      <w:lang w:val="zh-CN"/>
    </w:rPr>
  </w:style>
  <w:style w:type="character" w:customStyle="1" w:styleId="R22Char2">
    <w:name w:val="R22表头 Char"/>
    <w:link w:val="R222"/>
    <w:qFormat/>
    <w:rPr>
      <w:rFonts w:eastAsia="黑体" w:hAnsi="宋体"/>
      <w:sz w:val="24"/>
      <w:szCs w:val="24"/>
      <w:lang w:val="zh-CN"/>
    </w:rPr>
  </w:style>
  <w:style w:type="paragraph" w:customStyle="1" w:styleId="R223">
    <w:name w:val="R22表格"/>
    <w:basedOn w:val="a"/>
    <w:link w:val="R22Char3"/>
    <w:autoRedefine/>
    <w:qFormat/>
    <w:pPr>
      <w:tabs>
        <w:tab w:val="left" w:pos="880"/>
        <w:tab w:val="center" w:pos="1417"/>
      </w:tabs>
      <w:adjustRightInd w:val="0"/>
      <w:jc w:val="left"/>
    </w:pPr>
    <w:rPr>
      <w:rFonts w:cs="Times New Roman"/>
      <w:bCs/>
      <w:sz w:val="20"/>
      <w:szCs w:val="21"/>
      <w:lang w:val="zh-CN"/>
    </w:rPr>
  </w:style>
  <w:style w:type="character" w:customStyle="1" w:styleId="R22Char3">
    <w:name w:val="R22表格 Char"/>
    <w:link w:val="R223"/>
    <w:autoRedefine/>
    <w:qFormat/>
    <w:rPr>
      <w:bCs/>
      <w:kern w:val="2"/>
      <w:szCs w:val="21"/>
      <w:lang w:val="zh-CN"/>
    </w:rPr>
  </w:style>
  <w:style w:type="character" w:customStyle="1" w:styleId="Charfffffff8">
    <w:name w:val="夏氏正文 Char"/>
    <w:link w:val="affffffffffffffffffffffffffffffffffff0"/>
    <w:autoRedefine/>
    <w:qFormat/>
    <w:rPr>
      <w:sz w:val="24"/>
      <w:szCs w:val="24"/>
    </w:rPr>
  </w:style>
  <w:style w:type="paragraph" w:customStyle="1" w:styleId="affffffffffffffffffffffffffffffffffff0">
    <w:name w:val="夏氏正文"/>
    <w:basedOn w:val="a"/>
    <w:link w:val="Charfffffff8"/>
    <w:autoRedefine/>
    <w:qFormat/>
    <w:pPr>
      <w:widowControl/>
      <w:adjustRightInd w:val="0"/>
      <w:snapToGrid w:val="0"/>
      <w:spacing w:line="360" w:lineRule="auto"/>
      <w:ind w:firstLineChars="200" w:firstLine="482"/>
    </w:pPr>
    <w:rPr>
      <w:rFonts w:cs="Times New Roman"/>
      <w:kern w:val="0"/>
      <w:sz w:val="24"/>
      <w:szCs w:val="24"/>
    </w:rPr>
  </w:style>
  <w:style w:type="paragraph" w:customStyle="1" w:styleId="affffffffffffffffffffffffffffffffffff1">
    <w:name w:val="夏氏表格标题"/>
    <w:basedOn w:val="a"/>
    <w:autoRedefine/>
    <w:uiPriority w:val="99"/>
    <w:qFormat/>
    <w:pPr>
      <w:tabs>
        <w:tab w:val="left" w:pos="0"/>
      </w:tabs>
      <w:adjustRightInd w:val="0"/>
      <w:snapToGrid w:val="0"/>
      <w:spacing w:line="360" w:lineRule="auto"/>
      <w:ind w:firstLineChars="200" w:firstLine="200"/>
      <w:jc w:val="center"/>
    </w:pPr>
    <w:rPr>
      <w:rFonts w:ascii="黑体" w:eastAsia="黑体" w:cs="Times New Roman"/>
      <w:snapToGrid w:val="0"/>
      <w:spacing w:val="4"/>
      <w:kern w:val="0"/>
      <w:sz w:val="24"/>
      <w:szCs w:val="24"/>
    </w:rPr>
  </w:style>
  <w:style w:type="paragraph" w:customStyle="1" w:styleId="22Char12CharChar2CharH2Heading22">
    <w:name w:val="样式 标题 2节标题 2 Char1标题 2 Char Char标题 2 Char第一层条H2Heading 2 ...2"/>
    <w:basedOn w:val="20"/>
    <w:autoRedefine/>
    <w:uiPriority w:val="99"/>
    <w:qFormat/>
    <w:pPr>
      <w:keepLines w:val="0"/>
      <w:numPr>
        <w:ilvl w:val="0"/>
        <w:numId w:val="0"/>
      </w:numPr>
      <w:tabs>
        <w:tab w:val="left" w:pos="870"/>
      </w:tabs>
      <w:spacing w:beforeLines="0" w:before="0" w:afterLines="0" w:after="0" w:line="240" w:lineRule="auto"/>
      <w:ind w:firstLine="510"/>
      <w:jc w:val="center"/>
    </w:pPr>
    <w:rPr>
      <w:rFonts w:cs="Times New Roman"/>
      <w:sz w:val="21"/>
      <w:szCs w:val="24"/>
    </w:rPr>
  </w:style>
  <w:style w:type="character" w:customStyle="1" w:styleId="title-text">
    <w:name w:val="title-text"/>
    <w:qFormat/>
  </w:style>
  <w:style w:type="paragraph" w:customStyle="1" w:styleId="nd">
    <w:name w:val="nd正文"/>
    <w:basedOn w:val="25"/>
    <w:autoRedefine/>
    <w:uiPriority w:val="99"/>
    <w:qFormat/>
    <w:pPr>
      <w:adjustRightInd w:val="0"/>
      <w:snapToGrid w:val="0"/>
      <w:spacing w:after="0" w:line="360" w:lineRule="auto"/>
      <w:ind w:leftChars="0" w:left="0" w:firstLineChars="200" w:firstLine="200"/>
    </w:pPr>
    <w:rPr>
      <w:rFonts w:hAnsi="宋体" w:cs="Times New Roman"/>
      <w:sz w:val="24"/>
      <w:szCs w:val="24"/>
      <w:lang w:val="zh-CN"/>
    </w:rPr>
  </w:style>
  <w:style w:type="paragraph" w:customStyle="1" w:styleId="Char180">
    <w:name w:val="Char18"/>
    <w:basedOn w:val="a"/>
    <w:autoRedefine/>
    <w:uiPriority w:val="99"/>
    <w:qFormat/>
    <w:pPr>
      <w:spacing w:line="400" w:lineRule="exact"/>
      <w:ind w:firstLineChars="200" w:firstLine="200"/>
    </w:pPr>
    <w:rPr>
      <w:rFonts w:cs="Times New Roman"/>
      <w:sz w:val="24"/>
      <w:szCs w:val="24"/>
    </w:rPr>
  </w:style>
  <w:style w:type="paragraph" w:customStyle="1" w:styleId="Char170">
    <w:name w:val="Char17"/>
    <w:basedOn w:val="a"/>
    <w:autoRedefine/>
    <w:uiPriority w:val="99"/>
    <w:qFormat/>
    <w:pPr>
      <w:spacing w:line="360" w:lineRule="auto"/>
      <w:ind w:firstLineChars="200" w:firstLine="200"/>
    </w:pPr>
    <w:rPr>
      <w:rFonts w:cs="Times New Roman"/>
      <w:szCs w:val="21"/>
    </w:rPr>
  </w:style>
  <w:style w:type="paragraph" w:customStyle="1" w:styleId="CharCharChar2Char8">
    <w:name w:val="Char Char Char2 Char8"/>
    <w:basedOn w:val="a"/>
    <w:autoRedefine/>
    <w:uiPriority w:val="99"/>
    <w:qFormat/>
    <w:pPr>
      <w:spacing w:line="360" w:lineRule="auto"/>
      <w:ind w:firstLineChars="200" w:firstLine="200"/>
    </w:pPr>
    <w:rPr>
      <w:rFonts w:cs="Times New Roman"/>
      <w:szCs w:val="24"/>
    </w:rPr>
  </w:style>
  <w:style w:type="paragraph" w:customStyle="1" w:styleId="CharCharCharCharCharChar1Char4">
    <w:name w:val="Char Char Char Char Char Char1 Char4"/>
    <w:basedOn w:val="a"/>
    <w:autoRedefine/>
    <w:uiPriority w:val="99"/>
    <w:qFormat/>
    <w:pPr>
      <w:spacing w:line="360" w:lineRule="auto"/>
      <w:ind w:firstLineChars="200" w:firstLine="200"/>
    </w:pPr>
    <w:rPr>
      <w:rFonts w:cs="Times New Roman"/>
      <w:sz w:val="24"/>
      <w:szCs w:val="24"/>
    </w:rPr>
  </w:style>
  <w:style w:type="paragraph" w:customStyle="1" w:styleId="850">
    <w:name w:val="样式 首行缩进:  8.5 毫米"/>
    <w:basedOn w:val="a"/>
    <w:autoRedefine/>
    <w:uiPriority w:val="99"/>
    <w:qFormat/>
    <w:pPr>
      <w:spacing w:line="360" w:lineRule="auto"/>
      <w:ind w:firstLineChars="200" w:firstLine="200"/>
      <w:jc w:val="center"/>
    </w:pPr>
    <w:rPr>
      <w:rFonts w:ascii="宋体" w:hAnsi="宋体" w:cs="Times New Roman"/>
      <w:sz w:val="24"/>
      <w:szCs w:val="20"/>
    </w:rPr>
  </w:style>
  <w:style w:type="paragraph" w:customStyle="1" w:styleId="nndd">
    <w:name w:val="nndd表格"/>
    <w:basedOn w:val="20"/>
    <w:uiPriority w:val="99"/>
    <w:qFormat/>
    <w:pPr>
      <w:keepLines w:val="0"/>
      <w:numPr>
        <w:ilvl w:val="0"/>
        <w:numId w:val="0"/>
      </w:numPr>
      <w:tabs>
        <w:tab w:val="left" w:pos="870"/>
      </w:tabs>
      <w:spacing w:beforeLines="0" w:before="0" w:afterLines="0" w:after="0" w:line="240" w:lineRule="auto"/>
      <w:ind w:firstLine="510"/>
      <w:jc w:val="center"/>
    </w:pPr>
    <w:rPr>
      <w:rFonts w:cs="Times New Roman"/>
      <w:sz w:val="21"/>
      <w:szCs w:val="24"/>
    </w:rPr>
  </w:style>
  <w:style w:type="paragraph" w:customStyle="1" w:styleId="nd0">
    <w:name w:val="nd表格名称"/>
    <w:basedOn w:val="a"/>
    <w:autoRedefine/>
    <w:uiPriority w:val="99"/>
    <w:qFormat/>
    <w:pPr>
      <w:adjustRightInd w:val="0"/>
      <w:snapToGrid w:val="0"/>
      <w:spacing w:beforeLines="50" w:line="360" w:lineRule="auto"/>
      <w:ind w:firstLineChars="200" w:firstLine="200"/>
      <w:jc w:val="left"/>
    </w:pPr>
    <w:rPr>
      <w:rFonts w:ascii="宋体" w:hAnsi="宋体" w:cs="Times New Roman"/>
      <w:b/>
      <w:kern w:val="0"/>
      <w:sz w:val="24"/>
      <w:szCs w:val="20"/>
    </w:rPr>
  </w:style>
  <w:style w:type="character" w:customStyle="1" w:styleId="Charfffffff9">
    <w:name w:val="正文 首行缩进 Char"/>
    <w:link w:val="affffffffffffffffffffffffffffffffffff2"/>
    <w:autoRedefine/>
    <w:qFormat/>
  </w:style>
  <w:style w:type="paragraph" w:customStyle="1" w:styleId="affffffffffffffffffffffffffffffffffff2">
    <w:name w:val="正文 首行缩进"/>
    <w:basedOn w:val="a"/>
    <w:link w:val="Charfffffff9"/>
    <w:autoRedefine/>
    <w:qFormat/>
    <w:pPr>
      <w:spacing w:line="360" w:lineRule="exact"/>
      <w:ind w:firstLineChars="200" w:firstLine="200"/>
    </w:pPr>
    <w:rPr>
      <w:rFonts w:cs="Times New Roman"/>
      <w:kern w:val="0"/>
      <w:sz w:val="20"/>
      <w:szCs w:val="20"/>
    </w:rPr>
  </w:style>
  <w:style w:type="paragraph" w:customStyle="1" w:styleId="CharCharChar2Char7">
    <w:name w:val="Char Char Char2 Char7"/>
    <w:basedOn w:val="a"/>
    <w:autoRedefine/>
    <w:uiPriority w:val="99"/>
    <w:qFormat/>
    <w:pPr>
      <w:spacing w:line="360" w:lineRule="auto"/>
      <w:ind w:firstLineChars="200" w:firstLine="200"/>
    </w:pPr>
    <w:rPr>
      <w:rFonts w:cs="Times New Roman"/>
      <w:szCs w:val="24"/>
    </w:rPr>
  </w:style>
  <w:style w:type="paragraph" w:customStyle="1" w:styleId="CharCharCharCharCharChar1Char3">
    <w:name w:val="Char Char Char Char Char Char1 Char3"/>
    <w:basedOn w:val="a"/>
    <w:autoRedefine/>
    <w:uiPriority w:val="99"/>
    <w:qFormat/>
    <w:pPr>
      <w:spacing w:line="360" w:lineRule="auto"/>
      <w:ind w:firstLineChars="200" w:firstLine="200"/>
    </w:pPr>
    <w:rPr>
      <w:rFonts w:cs="Times New Roman"/>
      <w:sz w:val="24"/>
      <w:szCs w:val="24"/>
    </w:rPr>
  </w:style>
  <w:style w:type="paragraph" w:customStyle="1" w:styleId="R224">
    <w:name w:val="R22四级"/>
    <w:basedOn w:val="R221"/>
    <w:link w:val="R22Char4"/>
    <w:autoRedefine/>
    <w:qFormat/>
  </w:style>
  <w:style w:type="character" w:customStyle="1" w:styleId="R22Char4">
    <w:name w:val="R22四级 Char"/>
    <w:link w:val="R224"/>
    <w:qFormat/>
    <w:rPr>
      <w:b/>
      <w:bCs/>
      <w:color w:val="000000"/>
      <w:kern w:val="2"/>
      <w:sz w:val="24"/>
      <w:szCs w:val="24"/>
      <w:lang w:val="zh-CN"/>
    </w:rPr>
  </w:style>
  <w:style w:type="paragraph" w:customStyle="1" w:styleId="CharCharChar2Char6">
    <w:name w:val="Char Char Char2 Char6"/>
    <w:basedOn w:val="a"/>
    <w:autoRedefine/>
    <w:uiPriority w:val="99"/>
    <w:qFormat/>
    <w:pPr>
      <w:spacing w:line="360" w:lineRule="auto"/>
      <w:ind w:firstLineChars="200" w:firstLine="200"/>
    </w:pPr>
    <w:rPr>
      <w:rFonts w:cs="Times New Roman"/>
      <w:szCs w:val="24"/>
    </w:rPr>
  </w:style>
  <w:style w:type="paragraph" w:customStyle="1" w:styleId="CharCharCharCharCharChar1Char2">
    <w:name w:val="Char Char Char Char Char Char1 Char2"/>
    <w:basedOn w:val="a"/>
    <w:autoRedefine/>
    <w:uiPriority w:val="99"/>
    <w:qFormat/>
    <w:pPr>
      <w:spacing w:line="360" w:lineRule="auto"/>
      <w:ind w:firstLineChars="200" w:firstLine="200"/>
    </w:pPr>
    <w:rPr>
      <w:rFonts w:cs="Times New Roman"/>
      <w:sz w:val="24"/>
      <w:szCs w:val="24"/>
    </w:rPr>
  </w:style>
  <w:style w:type="paragraph" w:customStyle="1" w:styleId="CharChar114">
    <w:name w:val="Char Char114"/>
    <w:basedOn w:val="a"/>
    <w:autoRedefine/>
    <w:uiPriority w:val="99"/>
    <w:qFormat/>
    <w:pPr>
      <w:spacing w:line="360" w:lineRule="auto"/>
      <w:ind w:firstLineChars="200" w:firstLine="200"/>
    </w:pPr>
    <w:rPr>
      <w:rFonts w:cs="Times New Roman"/>
      <w:szCs w:val="24"/>
    </w:rPr>
  </w:style>
  <w:style w:type="paragraph" w:customStyle="1" w:styleId="CharCharChar2Char5">
    <w:name w:val="Char Char Char2 Char5"/>
    <w:basedOn w:val="a"/>
    <w:autoRedefine/>
    <w:uiPriority w:val="99"/>
    <w:qFormat/>
    <w:pPr>
      <w:spacing w:line="360" w:lineRule="auto"/>
      <w:ind w:firstLineChars="200" w:firstLine="200"/>
    </w:pPr>
    <w:rPr>
      <w:rFonts w:cs="Times New Roman"/>
      <w:szCs w:val="24"/>
    </w:rPr>
  </w:style>
  <w:style w:type="paragraph" w:customStyle="1" w:styleId="affffffffffffffffffffffffffffffffffff3">
    <w:name w:val="备注"/>
    <w:basedOn w:val="a"/>
    <w:link w:val="Charfffffffa"/>
    <w:autoRedefine/>
    <w:qFormat/>
    <w:pPr>
      <w:jc w:val="left"/>
    </w:pPr>
    <w:rPr>
      <w:rFonts w:cs="Times New Roman"/>
      <w:b/>
      <w:kern w:val="0"/>
      <w:sz w:val="18"/>
      <w:szCs w:val="18"/>
      <w:lang w:val="zh-CN"/>
    </w:rPr>
  </w:style>
  <w:style w:type="character" w:customStyle="1" w:styleId="Charfffffffa">
    <w:name w:val="备注 Char"/>
    <w:link w:val="affffffffffffffffffffffffffffffffffff3"/>
    <w:qFormat/>
    <w:rPr>
      <w:b/>
      <w:sz w:val="18"/>
      <w:szCs w:val="18"/>
      <w:lang w:val="zh-CN"/>
    </w:rPr>
  </w:style>
  <w:style w:type="paragraph" w:customStyle="1" w:styleId="affffffffffffffffffffffffffffffffffff4">
    <w:name w:val="规划页眉"/>
    <w:basedOn w:val="afff0"/>
    <w:link w:val="Charfffffffb"/>
    <w:autoRedefine/>
    <w:qFormat/>
    <w:pPr>
      <w:pBdr>
        <w:top w:val="none" w:sz="0" w:space="1" w:color="auto"/>
        <w:left w:val="none" w:sz="0" w:space="4" w:color="auto"/>
        <w:bottom w:val="none" w:sz="0" w:space="1" w:color="auto"/>
        <w:right w:val="none" w:sz="0" w:space="4" w:color="auto"/>
      </w:pBdr>
      <w:spacing w:line="360" w:lineRule="auto"/>
      <w:ind w:firstLineChars="200" w:firstLine="200"/>
      <w:jc w:val="left"/>
    </w:pPr>
    <w:rPr>
      <w:rFonts w:ascii="楷体" w:eastAsia="楷体" w:hAnsi="楷体" w:cs="Times New Roman"/>
      <w:szCs w:val="20"/>
      <w:lang w:val="zh-CN"/>
    </w:rPr>
  </w:style>
  <w:style w:type="character" w:customStyle="1" w:styleId="Charfffffffb">
    <w:name w:val="规划页眉 Char"/>
    <w:link w:val="affffffffffffffffffffffffffffffffffff4"/>
    <w:autoRedefine/>
    <w:qFormat/>
    <w:rPr>
      <w:rFonts w:ascii="楷体" w:eastAsia="楷体" w:hAnsi="楷体"/>
      <w:kern w:val="2"/>
      <w:sz w:val="18"/>
      <w:lang w:val="zh-CN"/>
    </w:rPr>
  </w:style>
  <w:style w:type="paragraph" w:customStyle="1" w:styleId="g-">
    <w:name w:val="g-正文"/>
    <w:basedOn w:val="a"/>
    <w:autoRedefine/>
    <w:uiPriority w:val="99"/>
    <w:qFormat/>
    <w:pPr>
      <w:adjustRightInd w:val="0"/>
      <w:snapToGrid w:val="0"/>
      <w:spacing w:line="360" w:lineRule="auto"/>
      <w:ind w:firstLineChars="200" w:firstLine="200"/>
    </w:pPr>
    <w:rPr>
      <w:rFonts w:cs="Times New Roman"/>
      <w:sz w:val="24"/>
      <w:szCs w:val="24"/>
    </w:rPr>
  </w:style>
  <w:style w:type="paragraph" w:customStyle="1" w:styleId="Normal20">
    <w:name w:val="Normal_2_0"/>
    <w:uiPriority w:val="99"/>
    <w:qFormat/>
    <w:pPr>
      <w:widowControl w:val="0"/>
      <w:spacing w:line="360" w:lineRule="auto"/>
      <w:jc w:val="both"/>
    </w:pPr>
    <w:rPr>
      <w:kern w:val="2"/>
      <w:sz w:val="24"/>
      <w:szCs w:val="24"/>
    </w:rPr>
  </w:style>
  <w:style w:type="paragraph" w:customStyle="1" w:styleId="380">
    <w:name w:val="样式38"/>
    <w:basedOn w:val="a"/>
    <w:link w:val="38Char"/>
    <w:qFormat/>
    <w:pPr>
      <w:spacing w:line="360" w:lineRule="auto"/>
      <w:jc w:val="center"/>
    </w:pPr>
    <w:rPr>
      <w:rFonts w:eastAsia="黑体" w:cs="Times New Roman"/>
      <w:sz w:val="28"/>
      <w:szCs w:val="24"/>
      <w:lang w:val="zh-CN"/>
    </w:rPr>
  </w:style>
  <w:style w:type="character" w:customStyle="1" w:styleId="38Char">
    <w:name w:val="样式38 Char"/>
    <w:link w:val="380"/>
    <w:autoRedefine/>
    <w:qFormat/>
    <w:rPr>
      <w:rFonts w:eastAsia="黑体"/>
      <w:kern w:val="2"/>
      <w:sz w:val="28"/>
      <w:szCs w:val="24"/>
      <w:lang w:val="zh-CN"/>
    </w:rPr>
  </w:style>
  <w:style w:type="paragraph" w:customStyle="1" w:styleId="666666666666">
    <w:name w:val="666666666666"/>
    <w:basedOn w:val="a"/>
    <w:uiPriority w:val="99"/>
    <w:qFormat/>
    <w:pPr>
      <w:spacing w:line="360" w:lineRule="auto"/>
      <w:jc w:val="center"/>
    </w:pPr>
    <w:rPr>
      <w:rFonts w:cs="Times New Roman"/>
      <w:b/>
      <w:kern w:val="0"/>
      <w:sz w:val="24"/>
      <w:szCs w:val="20"/>
    </w:rPr>
  </w:style>
  <w:style w:type="character" w:customStyle="1" w:styleId="font191">
    <w:name w:val="font191"/>
    <w:qFormat/>
    <w:rPr>
      <w:rFonts w:ascii="Times New Roman" w:hAnsi="Times New Roman" w:cs="Times New Roman" w:hint="default"/>
      <w:color w:val="000000"/>
      <w:sz w:val="21"/>
      <w:szCs w:val="21"/>
      <w:u w:val="none"/>
      <w:vertAlign w:val="superscript"/>
    </w:rPr>
  </w:style>
  <w:style w:type="character" w:customStyle="1" w:styleId="font151">
    <w:name w:val="font151"/>
    <w:autoRedefine/>
    <w:qFormat/>
    <w:rPr>
      <w:rFonts w:ascii="Times New Roman" w:hAnsi="Times New Roman" w:cs="Times New Roman" w:hint="default"/>
      <w:color w:val="000000"/>
      <w:sz w:val="21"/>
      <w:szCs w:val="21"/>
      <w:u w:val="none"/>
    </w:rPr>
  </w:style>
  <w:style w:type="character" w:customStyle="1" w:styleId="font141">
    <w:name w:val="font141"/>
    <w:qFormat/>
    <w:rPr>
      <w:rFonts w:ascii="Times New Roman" w:hAnsi="Times New Roman" w:cs="Times New Roman" w:hint="default"/>
      <w:color w:val="000000"/>
      <w:sz w:val="21"/>
      <w:szCs w:val="21"/>
      <w:u w:val="none"/>
    </w:rPr>
  </w:style>
  <w:style w:type="character" w:customStyle="1" w:styleId="font101">
    <w:name w:val="font101"/>
    <w:autoRedefine/>
    <w:qFormat/>
    <w:rPr>
      <w:rFonts w:ascii="Times New Roman" w:hAnsi="Times New Roman" w:cs="Times New Roman" w:hint="default"/>
      <w:color w:val="000000"/>
      <w:sz w:val="21"/>
      <w:szCs w:val="21"/>
      <w:u w:val="none"/>
      <w:vertAlign w:val="superscript"/>
    </w:rPr>
  </w:style>
  <w:style w:type="character" w:customStyle="1" w:styleId="font201">
    <w:name w:val="font201"/>
    <w:qFormat/>
    <w:rPr>
      <w:rFonts w:ascii="Times New Roman" w:hAnsi="Times New Roman" w:cs="Times New Roman" w:hint="default"/>
      <w:color w:val="000000"/>
      <w:sz w:val="24"/>
      <w:szCs w:val="24"/>
      <w:u w:val="none"/>
      <w:vertAlign w:val="subscript"/>
    </w:rPr>
  </w:style>
  <w:style w:type="character" w:customStyle="1" w:styleId="font181">
    <w:name w:val="font181"/>
    <w:qFormat/>
    <w:rPr>
      <w:rFonts w:ascii="宋体" w:eastAsia="宋体" w:hAnsi="宋体" w:cs="宋体" w:hint="eastAsia"/>
      <w:color w:val="000000"/>
      <w:sz w:val="24"/>
      <w:szCs w:val="24"/>
      <w:u w:val="none"/>
      <w:vertAlign w:val="subscript"/>
    </w:rPr>
  </w:style>
  <w:style w:type="paragraph" w:customStyle="1" w:styleId="CharCharCharCharCharChar1Char7">
    <w:name w:val="Char Char Char Char Char Char1 Char7"/>
    <w:basedOn w:val="a"/>
    <w:autoRedefine/>
    <w:uiPriority w:val="99"/>
    <w:qFormat/>
    <w:rPr>
      <w:rFonts w:ascii="宋体" w:cs="Times New Roman"/>
      <w:kern w:val="0"/>
      <w:sz w:val="24"/>
      <w:szCs w:val="20"/>
    </w:rPr>
  </w:style>
  <w:style w:type="paragraph" w:customStyle="1" w:styleId="CharCharCharChar15">
    <w:name w:val="Char Char Char Char15"/>
    <w:basedOn w:val="a"/>
    <w:autoRedefine/>
    <w:uiPriority w:val="99"/>
    <w:qFormat/>
    <w:rPr>
      <w:rFonts w:ascii="宋体" w:cs="Times New Roman"/>
      <w:kern w:val="0"/>
      <w:sz w:val="24"/>
      <w:szCs w:val="20"/>
    </w:rPr>
  </w:style>
  <w:style w:type="paragraph" w:customStyle="1" w:styleId="CharChar1CharCharCharCharCharCharCharCharCharCharCharCharCharCharCharCharCharCharCharChar1Char6">
    <w:name w:val="Char Char1 Char Char Char Char Char Char Char Char Char Char Char Char Char Char Char Char Char Char Char Char1 Char6"/>
    <w:basedOn w:val="a"/>
    <w:autoRedefine/>
    <w:uiPriority w:val="99"/>
    <w:qFormat/>
    <w:pPr>
      <w:spacing w:line="360" w:lineRule="auto"/>
      <w:ind w:firstLineChars="200" w:firstLine="200"/>
    </w:pPr>
    <w:rPr>
      <w:rFonts w:ascii="宋体" w:hAnsi="宋体" w:cs="宋体"/>
      <w:kern w:val="0"/>
      <w:sz w:val="24"/>
      <w:szCs w:val="20"/>
    </w:rPr>
  </w:style>
  <w:style w:type="paragraph" w:customStyle="1" w:styleId="CharCharCharCharCharChar1Char6">
    <w:name w:val="Char Char Char Char Char Char1 Char6"/>
    <w:basedOn w:val="a"/>
    <w:autoRedefine/>
    <w:uiPriority w:val="99"/>
    <w:qFormat/>
    <w:rPr>
      <w:rFonts w:ascii="宋体" w:cs="Times New Roman"/>
      <w:kern w:val="0"/>
      <w:sz w:val="24"/>
      <w:szCs w:val="20"/>
    </w:rPr>
  </w:style>
  <w:style w:type="paragraph" w:customStyle="1" w:styleId="CharChar1CharCharCharCharCharCharCharCharCharCharCharCharCharCharCharCharCharCharCharChar1Char5">
    <w:name w:val="Char Char1 Char Char Char Char Char Char Char Char Char Char Char Char Char Char Char Char Char Char Char Char1 Char5"/>
    <w:basedOn w:val="a"/>
    <w:autoRedefine/>
    <w:uiPriority w:val="99"/>
    <w:qFormat/>
    <w:pPr>
      <w:spacing w:line="360" w:lineRule="auto"/>
      <w:ind w:firstLineChars="200" w:firstLine="200"/>
    </w:pPr>
    <w:rPr>
      <w:rFonts w:ascii="宋体" w:hAnsi="宋体" w:cs="宋体"/>
      <w:kern w:val="0"/>
      <w:sz w:val="24"/>
      <w:szCs w:val="20"/>
    </w:rPr>
  </w:style>
  <w:style w:type="paragraph" w:customStyle="1" w:styleId="affffffffffffffffffffffffffffffffffff5">
    <w:name w:val="正文(仿)首缩"/>
    <w:basedOn w:val="a"/>
    <w:autoRedefine/>
    <w:uiPriority w:val="99"/>
    <w:qFormat/>
    <w:pPr>
      <w:ind w:firstLineChars="200" w:firstLine="200"/>
    </w:pPr>
    <w:rPr>
      <w:rFonts w:ascii="仿宋_GB2312" w:eastAsia="仿宋_GB2312" w:cs="Times New Roman"/>
      <w:sz w:val="28"/>
      <w:szCs w:val="28"/>
    </w:rPr>
  </w:style>
  <w:style w:type="paragraph" w:customStyle="1" w:styleId="affffffffffffffffffffffffffffffffffff6">
    <w:name w:val="！正文"/>
    <w:basedOn w:val="a"/>
    <w:link w:val="Charfffffffc"/>
    <w:autoRedefine/>
    <w:uiPriority w:val="99"/>
    <w:qFormat/>
    <w:pPr>
      <w:spacing w:line="360" w:lineRule="auto"/>
      <w:ind w:firstLineChars="200" w:firstLine="480"/>
    </w:pPr>
    <w:rPr>
      <w:rFonts w:ascii="Arial" w:hAnsi="Arial" w:cs="Times New Roman"/>
      <w:sz w:val="24"/>
      <w:szCs w:val="24"/>
      <w:lang w:val="zh-CN"/>
    </w:rPr>
  </w:style>
  <w:style w:type="character" w:customStyle="1" w:styleId="Charfffffffc">
    <w:name w:val="！正文 Char"/>
    <w:link w:val="affffffffffffffffffffffffffffffffffff6"/>
    <w:autoRedefine/>
    <w:uiPriority w:val="99"/>
    <w:qFormat/>
    <w:rPr>
      <w:rFonts w:ascii="Arial" w:hAnsi="Arial"/>
      <w:kern w:val="2"/>
      <w:sz w:val="24"/>
      <w:szCs w:val="24"/>
      <w:lang w:val="zh-CN"/>
    </w:rPr>
  </w:style>
  <w:style w:type="character" w:customStyle="1" w:styleId="DChar">
    <w:name w:val="D正文 Char"/>
    <w:link w:val="D2"/>
    <w:autoRedefine/>
    <w:qFormat/>
    <w:rPr>
      <w:sz w:val="24"/>
      <w:szCs w:val="24"/>
    </w:rPr>
  </w:style>
  <w:style w:type="paragraph" w:customStyle="1" w:styleId="D2">
    <w:name w:val="D正文"/>
    <w:basedOn w:val="a"/>
    <w:link w:val="DChar"/>
    <w:autoRedefine/>
    <w:qFormat/>
    <w:pPr>
      <w:spacing w:line="360" w:lineRule="auto"/>
      <w:ind w:firstLineChars="200" w:firstLine="480"/>
    </w:pPr>
    <w:rPr>
      <w:rFonts w:cs="Times New Roman"/>
      <w:kern w:val="0"/>
      <w:sz w:val="24"/>
      <w:szCs w:val="24"/>
    </w:rPr>
  </w:style>
  <w:style w:type="paragraph" w:customStyle="1" w:styleId="CharCharChar2Char10">
    <w:name w:val="Char Char Char2 Char10"/>
    <w:basedOn w:val="a"/>
    <w:autoRedefine/>
    <w:uiPriority w:val="99"/>
    <w:qFormat/>
    <w:rPr>
      <w:rFonts w:cs="Times New Roman"/>
      <w:szCs w:val="24"/>
    </w:rPr>
  </w:style>
  <w:style w:type="paragraph" w:customStyle="1" w:styleId="CharCharCharCharCharChar1Char8">
    <w:name w:val="Char Char Char Char Char Char1 Char8"/>
    <w:basedOn w:val="a"/>
    <w:autoRedefine/>
    <w:uiPriority w:val="99"/>
    <w:qFormat/>
    <w:rPr>
      <w:rFonts w:ascii="宋体" w:cs="Times New Roman"/>
      <w:kern w:val="0"/>
      <w:sz w:val="24"/>
      <w:szCs w:val="20"/>
    </w:rPr>
  </w:style>
  <w:style w:type="paragraph" w:customStyle="1" w:styleId="CharChar1CharCharCharCharCharCharCharCharCharCharCharCharCharCharCharCharCharCharCharChar1Char7">
    <w:name w:val="Char Char1 Char Char Char Char Char Char Char Char Char Char Char Char Char Char Char Char Char Char Char Char1 Char7"/>
    <w:basedOn w:val="a"/>
    <w:autoRedefine/>
    <w:uiPriority w:val="99"/>
    <w:qFormat/>
    <w:pPr>
      <w:spacing w:line="360" w:lineRule="auto"/>
      <w:ind w:firstLineChars="200" w:firstLine="200"/>
    </w:pPr>
    <w:rPr>
      <w:rFonts w:ascii="宋体" w:hAnsi="宋体" w:cs="宋体"/>
      <w:kern w:val="0"/>
      <w:sz w:val="24"/>
      <w:szCs w:val="20"/>
    </w:rPr>
  </w:style>
  <w:style w:type="paragraph" w:customStyle="1" w:styleId="CharCharCharChar16">
    <w:name w:val="Char Char Char Char16"/>
    <w:basedOn w:val="a"/>
    <w:autoRedefine/>
    <w:uiPriority w:val="99"/>
    <w:qFormat/>
    <w:rPr>
      <w:rFonts w:ascii="宋体" w:cs="Times New Roman"/>
      <w:kern w:val="0"/>
      <w:sz w:val="24"/>
      <w:szCs w:val="20"/>
    </w:rPr>
  </w:style>
  <w:style w:type="paragraph" w:customStyle="1" w:styleId="030">
    <w:name w:val="表格03"/>
    <w:basedOn w:val="a"/>
    <w:autoRedefine/>
    <w:uiPriority w:val="99"/>
    <w:qFormat/>
    <w:pPr>
      <w:spacing w:line="400" w:lineRule="exact"/>
      <w:jc w:val="center"/>
    </w:pPr>
    <w:rPr>
      <w:rFonts w:cs="Times New Roman"/>
      <w:szCs w:val="20"/>
    </w:rPr>
  </w:style>
  <w:style w:type="paragraph" w:customStyle="1" w:styleId="111a">
    <w:name w:val="样式 标题 11.标题 1 + 小二 居中"/>
    <w:basedOn w:val="1"/>
    <w:autoRedefine/>
    <w:uiPriority w:val="99"/>
    <w:qFormat/>
    <w:pPr>
      <w:keepLines w:val="0"/>
      <w:numPr>
        <w:numId w:val="0"/>
      </w:numPr>
      <w:tabs>
        <w:tab w:val="left" w:pos="870"/>
      </w:tabs>
      <w:ind w:firstLine="510"/>
      <w:jc w:val="both"/>
    </w:pPr>
    <w:rPr>
      <w:rFonts w:cs="Times New Roman"/>
      <w:b w:val="0"/>
      <w:bCs w:val="0"/>
      <w:i/>
      <w:iCs/>
      <w:kern w:val="2"/>
      <w:sz w:val="28"/>
      <w:szCs w:val="24"/>
    </w:rPr>
  </w:style>
  <w:style w:type="paragraph" w:customStyle="1" w:styleId="2fffffff0">
    <w:name w:val="标题2级"/>
    <w:basedOn w:val="20"/>
    <w:link w:val="2Chare"/>
    <w:autoRedefine/>
    <w:qFormat/>
    <w:pPr>
      <w:keepLines w:val="0"/>
      <w:numPr>
        <w:ilvl w:val="0"/>
        <w:numId w:val="0"/>
      </w:numPr>
      <w:tabs>
        <w:tab w:val="left" w:pos="870"/>
      </w:tabs>
      <w:spacing w:beforeLines="0" w:before="0" w:afterLines="0" w:after="0" w:line="240" w:lineRule="auto"/>
      <w:ind w:firstLine="510"/>
      <w:jc w:val="center"/>
    </w:pPr>
    <w:rPr>
      <w:rFonts w:cs="Times New Roman"/>
      <w:sz w:val="21"/>
      <w:szCs w:val="24"/>
    </w:rPr>
  </w:style>
  <w:style w:type="character" w:customStyle="1" w:styleId="2Chare">
    <w:name w:val="标题2级 Char"/>
    <w:link w:val="2fffffff0"/>
    <w:autoRedefine/>
    <w:qFormat/>
    <w:rPr>
      <w:b/>
      <w:bCs/>
      <w:kern w:val="2"/>
      <w:sz w:val="21"/>
      <w:szCs w:val="24"/>
    </w:rPr>
  </w:style>
  <w:style w:type="paragraph" w:customStyle="1" w:styleId="4ff8">
    <w:name w:val="标题4级"/>
    <w:basedOn w:val="a"/>
    <w:autoRedefine/>
    <w:uiPriority w:val="99"/>
    <w:qFormat/>
    <w:pPr>
      <w:keepNext/>
      <w:keepLines/>
      <w:tabs>
        <w:tab w:val="left" w:pos="851"/>
      </w:tabs>
      <w:spacing w:line="360" w:lineRule="auto"/>
      <w:outlineLvl w:val="3"/>
    </w:pPr>
    <w:rPr>
      <w:rFonts w:cs="宋体"/>
      <w:bCs/>
      <w:kern w:val="44"/>
      <w:sz w:val="24"/>
      <w:szCs w:val="20"/>
    </w:rPr>
  </w:style>
  <w:style w:type="character" w:customStyle="1" w:styleId="textfont1">
    <w:name w:val="textfont1"/>
    <w:autoRedefine/>
    <w:qFormat/>
    <w:rPr>
      <w:sz w:val="22"/>
    </w:rPr>
  </w:style>
  <w:style w:type="paragraph" w:customStyle="1" w:styleId="-17">
    <w:name w:val="标题-1"/>
    <w:basedOn w:val="1"/>
    <w:autoRedefine/>
    <w:uiPriority w:val="99"/>
    <w:qFormat/>
    <w:pPr>
      <w:keepLines w:val="0"/>
      <w:numPr>
        <w:numId w:val="0"/>
      </w:numPr>
      <w:tabs>
        <w:tab w:val="left" w:pos="870"/>
      </w:tabs>
      <w:ind w:firstLine="510"/>
      <w:jc w:val="both"/>
    </w:pPr>
    <w:rPr>
      <w:rFonts w:cs="Times New Roman"/>
      <w:b w:val="0"/>
      <w:bCs w:val="0"/>
      <w:i/>
      <w:iCs/>
      <w:kern w:val="2"/>
      <w:sz w:val="28"/>
      <w:szCs w:val="24"/>
    </w:rPr>
  </w:style>
  <w:style w:type="paragraph" w:customStyle="1" w:styleId="-22">
    <w:name w:val="标题-2"/>
    <w:basedOn w:val="20"/>
    <w:autoRedefine/>
    <w:uiPriority w:val="99"/>
    <w:qFormat/>
    <w:pPr>
      <w:keepLines w:val="0"/>
      <w:numPr>
        <w:ilvl w:val="0"/>
        <w:numId w:val="0"/>
      </w:numPr>
      <w:tabs>
        <w:tab w:val="left" w:pos="870"/>
      </w:tabs>
      <w:spacing w:beforeLines="0" w:before="0" w:afterLines="0" w:after="0" w:line="240" w:lineRule="auto"/>
      <w:ind w:firstLine="510"/>
      <w:jc w:val="center"/>
    </w:pPr>
    <w:rPr>
      <w:rFonts w:cs="Times New Roman"/>
      <w:sz w:val="21"/>
      <w:szCs w:val="24"/>
    </w:rPr>
  </w:style>
  <w:style w:type="paragraph" w:customStyle="1" w:styleId="-31">
    <w:name w:val="标题-3"/>
    <w:basedOn w:val="3"/>
    <w:link w:val="-3CharChar"/>
    <w:autoRedefine/>
    <w:qFormat/>
    <w:pPr>
      <w:numPr>
        <w:ilvl w:val="0"/>
        <w:numId w:val="0"/>
      </w:numPr>
      <w:tabs>
        <w:tab w:val="left" w:pos="870"/>
      </w:tabs>
      <w:autoSpaceDE w:val="0"/>
      <w:autoSpaceDN w:val="0"/>
      <w:snapToGrid/>
      <w:spacing w:before="20" w:after="20" w:line="288" w:lineRule="auto"/>
      <w:ind w:firstLine="510"/>
      <w:textAlignment w:val="baseline"/>
    </w:pPr>
    <w:rPr>
      <w:rFonts w:eastAsia="黑体" w:cs="Times New Roman"/>
      <w:b w:val="0"/>
      <w:bCs w:val="0"/>
      <w:kern w:val="0"/>
      <w:sz w:val="28"/>
      <w:szCs w:val="20"/>
    </w:rPr>
  </w:style>
  <w:style w:type="character" w:customStyle="1" w:styleId="-3CharChar">
    <w:name w:val="标题-3 Char Char"/>
    <w:link w:val="-31"/>
    <w:autoRedefine/>
    <w:qFormat/>
    <w:rPr>
      <w:rFonts w:eastAsia="黑体"/>
      <w:sz w:val="28"/>
    </w:rPr>
  </w:style>
  <w:style w:type="paragraph" w:customStyle="1" w:styleId="b2-new">
    <w:name w:val="b2-new"/>
    <w:basedOn w:val="20"/>
    <w:autoRedefine/>
    <w:uiPriority w:val="99"/>
    <w:qFormat/>
    <w:pPr>
      <w:keepLines w:val="0"/>
      <w:numPr>
        <w:ilvl w:val="0"/>
        <w:numId w:val="0"/>
      </w:numPr>
      <w:tabs>
        <w:tab w:val="left" w:pos="870"/>
      </w:tabs>
      <w:spacing w:beforeLines="0" w:before="0" w:afterLines="0" w:after="0" w:line="240" w:lineRule="auto"/>
      <w:ind w:firstLine="510"/>
      <w:jc w:val="center"/>
    </w:pPr>
    <w:rPr>
      <w:rFonts w:cs="Times New Roman"/>
      <w:sz w:val="21"/>
      <w:szCs w:val="24"/>
    </w:rPr>
  </w:style>
  <w:style w:type="paragraph" w:customStyle="1" w:styleId="15d">
    <w:name w:val="1、标题5"/>
    <w:basedOn w:val="g-"/>
    <w:next w:val="g-"/>
    <w:autoRedefine/>
    <w:uiPriority w:val="99"/>
    <w:qFormat/>
    <w:pPr>
      <w:adjustRightInd/>
      <w:snapToGrid/>
      <w:spacing w:before="120" w:line="240" w:lineRule="auto"/>
      <w:ind w:left="851" w:firstLineChars="0" w:hanging="851"/>
    </w:pPr>
    <w:rPr>
      <w:rFonts w:ascii="仿宋_GB2312" w:hAnsi="仿宋_GB2312" w:cs="仿宋_GB2312"/>
      <w:szCs w:val="20"/>
    </w:rPr>
  </w:style>
  <w:style w:type="character" w:customStyle="1" w:styleId="11CharChar1">
    <w:name w:val="1.标题 1 Char Char1"/>
    <w:autoRedefine/>
    <w:qFormat/>
    <w:rPr>
      <w:rFonts w:ascii="华文中宋" w:eastAsia="华文中宋" w:hAnsi="华文中宋"/>
      <w:b/>
      <w:bCs/>
      <w:kern w:val="44"/>
      <w:sz w:val="28"/>
      <w:szCs w:val="44"/>
    </w:rPr>
  </w:style>
  <w:style w:type="character" w:customStyle="1" w:styleId="11CharChar0">
    <w:name w:val="1.标题 1 Char Char"/>
    <w:autoRedefine/>
    <w:qFormat/>
    <w:rPr>
      <w:rFonts w:eastAsia="宋体"/>
      <w:b/>
      <w:kern w:val="44"/>
      <w:sz w:val="44"/>
      <w:lang w:val="en-US" w:eastAsia="zh-CN"/>
    </w:rPr>
  </w:style>
  <w:style w:type="character" w:customStyle="1" w:styleId="CharChar200">
    <w:name w:val="Char Char20"/>
    <w:autoRedefine/>
    <w:qFormat/>
    <w:rPr>
      <w:kern w:val="2"/>
      <w:sz w:val="18"/>
    </w:rPr>
  </w:style>
  <w:style w:type="character" w:customStyle="1" w:styleId="textcontents1">
    <w:name w:val="textcontents1"/>
    <w:autoRedefine/>
    <w:qFormat/>
    <w:rPr>
      <w:color w:val="000000"/>
      <w:spacing w:val="360"/>
      <w:sz w:val="18"/>
    </w:rPr>
  </w:style>
  <w:style w:type="character" w:customStyle="1" w:styleId="pt11">
    <w:name w:val="pt11"/>
    <w:autoRedefine/>
    <w:qFormat/>
    <w:rPr>
      <w:rFonts w:ascii="ˎ̥" w:hAnsi="ˎ̥" w:hint="default"/>
      <w:b/>
      <w:sz w:val="22"/>
    </w:rPr>
  </w:style>
  <w:style w:type="character" w:customStyle="1" w:styleId="1fffffffe">
    <w:name w:val="不明显参考1"/>
    <w:autoRedefine/>
    <w:uiPriority w:val="31"/>
    <w:qFormat/>
    <w:rPr>
      <w:smallCaps/>
      <w:color w:val="C0504D"/>
      <w:u w:val="single"/>
    </w:rPr>
  </w:style>
  <w:style w:type="character" w:customStyle="1" w:styleId="text31">
    <w:name w:val="text31"/>
    <w:autoRedefine/>
    <w:qFormat/>
    <w:rPr>
      <w:rFonts w:ascii="宋体" w:eastAsia="宋体" w:hAnsi="宋体" w:hint="eastAsia"/>
      <w:spacing w:val="300"/>
      <w:sz w:val="20"/>
    </w:rPr>
  </w:style>
  <w:style w:type="character" w:customStyle="1" w:styleId="cauc-TBCharChar">
    <w:name w:val="cauc-TB Char Char"/>
    <w:link w:val="cauc-TBChar"/>
    <w:autoRedefine/>
    <w:qFormat/>
  </w:style>
  <w:style w:type="paragraph" w:customStyle="1" w:styleId="cauc-TBChar">
    <w:name w:val="cauc-TB Char"/>
    <w:link w:val="cauc-TBCharChar"/>
    <w:autoRedefine/>
    <w:qFormat/>
    <w:pPr>
      <w:spacing w:line="480" w:lineRule="auto"/>
      <w:jc w:val="both"/>
    </w:pPr>
  </w:style>
  <w:style w:type="character" w:customStyle="1" w:styleId="blue1">
    <w:name w:val="blue1"/>
    <w:autoRedefine/>
    <w:qFormat/>
    <w:rPr>
      <w:color w:val="626E83"/>
    </w:rPr>
  </w:style>
  <w:style w:type="character" w:customStyle="1" w:styleId="33CharChar1110505Char">
    <w:name w:val="样式 标题 3标题 3 Char Char头 + 首行缩进:  1.11 厘米 段前: 0.5 行 段后: 0.5 行 Char"/>
    <w:link w:val="33CharChar1110505"/>
    <w:autoRedefine/>
    <w:qFormat/>
    <w:rPr>
      <w:b/>
      <w:snapToGrid w:val="0"/>
      <w:sz w:val="24"/>
    </w:rPr>
  </w:style>
  <w:style w:type="paragraph" w:customStyle="1" w:styleId="33CharChar1110505">
    <w:name w:val="样式 标题 3标题 3 Char Char头 + 首行缩进:  1.11 厘米 段前: 0.5 行 段后: 0.5 行"/>
    <w:basedOn w:val="3"/>
    <w:next w:val="300173"/>
    <w:link w:val="33CharChar1110505Char"/>
    <w:autoRedefine/>
    <w:qFormat/>
    <w:pPr>
      <w:numPr>
        <w:ilvl w:val="0"/>
        <w:numId w:val="0"/>
      </w:numPr>
      <w:tabs>
        <w:tab w:val="left" w:pos="870"/>
      </w:tabs>
      <w:autoSpaceDE w:val="0"/>
      <w:autoSpaceDN w:val="0"/>
      <w:snapToGrid/>
      <w:spacing w:before="20" w:after="20" w:line="288" w:lineRule="auto"/>
      <w:ind w:firstLine="510"/>
      <w:textAlignment w:val="baseline"/>
    </w:pPr>
    <w:rPr>
      <w:rFonts w:cs="Times New Roman"/>
      <w:bCs w:val="0"/>
      <w:snapToGrid w:val="0"/>
      <w:kern w:val="0"/>
      <w:szCs w:val="20"/>
    </w:rPr>
  </w:style>
  <w:style w:type="paragraph" w:customStyle="1" w:styleId="300173">
    <w:name w:val="样式 标题 3 + 段前: 0 磅 段后: 0 磅 行距: 多倍行距 1.73 字行"/>
    <w:basedOn w:val="3"/>
    <w:autoRedefine/>
    <w:uiPriority w:val="99"/>
    <w:qFormat/>
    <w:pPr>
      <w:numPr>
        <w:ilvl w:val="0"/>
        <w:numId w:val="0"/>
      </w:numPr>
      <w:tabs>
        <w:tab w:val="left" w:pos="870"/>
      </w:tabs>
      <w:autoSpaceDE w:val="0"/>
      <w:autoSpaceDN w:val="0"/>
      <w:snapToGrid/>
      <w:spacing w:before="20" w:after="20" w:line="288" w:lineRule="auto"/>
      <w:ind w:firstLine="510"/>
      <w:textAlignment w:val="baseline"/>
    </w:pPr>
    <w:rPr>
      <w:rFonts w:eastAsia="黑体" w:cs="Times New Roman"/>
      <w:b w:val="0"/>
      <w:bCs w:val="0"/>
      <w:kern w:val="0"/>
      <w:sz w:val="28"/>
      <w:szCs w:val="20"/>
    </w:rPr>
  </w:style>
  <w:style w:type="character" w:customStyle="1" w:styleId="htmltxt1">
    <w:name w:val="html_txt1"/>
    <w:autoRedefine/>
    <w:qFormat/>
    <w:rPr>
      <w:color w:val="000000"/>
    </w:rPr>
  </w:style>
  <w:style w:type="character" w:customStyle="1" w:styleId="p4">
    <w:name w:val="p4"/>
    <w:autoRedefine/>
    <w:qFormat/>
  </w:style>
  <w:style w:type="character" w:customStyle="1" w:styleId="Char1ff0">
    <w:name w:val="图文 Char1"/>
    <w:autoRedefine/>
    <w:qFormat/>
    <w:rPr>
      <w:rFonts w:eastAsia="楷体_GB2312"/>
      <w:kern w:val="2"/>
      <w:sz w:val="28"/>
      <w:lang w:val="en-US" w:eastAsia="zh-CN"/>
    </w:rPr>
  </w:style>
  <w:style w:type="paragraph" w:styleId="affffffffffffffffffffffffffffffffffff7">
    <w:name w:val="Quote"/>
    <w:basedOn w:val="a"/>
    <w:next w:val="a"/>
    <w:link w:val="affffffffffffffffffffffffffffffffffff8"/>
    <w:autoRedefine/>
    <w:uiPriority w:val="29"/>
    <w:qFormat/>
    <w:rPr>
      <w:rFonts w:ascii="Calibri" w:hAnsi="Calibri" w:cs="Times New Roman"/>
      <w:i/>
      <w:color w:val="000000"/>
      <w:szCs w:val="20"/>
    </w:rPr>
  </w:style>
  <w:style w:type="character" w:customStyle="1" w:styleId="affffffffffffffffffffffffffffffffffff8">
    <w:name w:val="引用 字符"/>
    <w:basedOn w:val="a0"/>
    <w:link w:val="affffffffffffffffffffffffffffffffffff7"/>
    <w:autoRedefine/>
    <w:uiPriority w:val="29"/>
    <w:qFormat/>
    <w:rPr>
      <w:rFonts w:ascii="Calibri" w:hAnsi="Calibri"/>
      <w:i/>
      <w:color w:val="000000"/>
      <w:kern w:val="2"/>
      <w:sz w:val="21"/>
    </w:rPr>
  </w:style>
  <w:style w:type="character" w:customStyle="1" w:styleId="newa108">
    <w:name w:val="new_a_108"/>
    <w:autoRedefine/>
    <w:qFormat/>
  </w:style>
  <w:style w:type="character" w:customStyle="1" w:styleId="HTMLChar2">
    <w:name w:val="HTML 预设格式 Char2"/>
    <w:autoRedefine/>
    <w:uiPriority w:val="99"/>
    <w:qFormat/>
    <w:rPr>
      <w:rFonts w:ascii="Courier New" w:hAnsi="Courier New" w:cs="Courier New"/>
      <w:kern w:val="2"/>
    </w:rPr>
  </w:style>
  <w:style w:type="character" w:customStyle="1" w:styleId="affffffffffffffffffffffffffffffffffff9">
    <w:name w:val="样式 宋体 四号"/>
    <w:autoRedefine/>
    <w:qFormat/>
    <w:rPr>
      <w:rFonts w:ascii="宋体" w:hAnsi="宋体"/>
      <w:sz w:val="24"/>
    </w:rPr>
  </w:style>
  <w:style w:type="character" w:customStyle="1" w:styleId="cpname1">
    <w:name w:val="cpname1"/>
    <w:autoRedefine/>
    <w:qFormat/>
    <w:rPr>
      <w:b/>
      <w:color w:val="026EB7"/>
    </w:rPr>
  </w:style>
  <w:style w:type="character" w:customStyle="1" w:styleId="Charfffffffd">
    <w:name w:val="明显引用 Char"/>
    <w:link w:val="1ffffffff"/>
    <w:autoRedefine/>
    <w:uiPriority w:val="30"/>
    <w:qFormat/>
    <w:rPr>
      <w:b/>
      <w:i/>
      <w:color w:val="4F81BD"/>
    </w:rPr>
  </w:style>
  <w:style w:type="paragraph" w:customStyle="1" w:styleId="1ffffffff">
    <w:name w:val="明显引用1"/>
    <w:basedOn w:val="a"/>
    <w:next w:val="a"/>
    <w:link w:val="Charfffffffd"/>
    <w:autoRedefine/>
    <w:uiPriority w:val="30"/>
    <w:qFormat/>
    <w:pPr>
      <w:pBdr>
        <w:bottom w:val="single" w:sz="4" w:space="4" w:color="4F81BD"/>
      </w:pBdr>
      <w:spacing w:before="200" w:after="280"/>
      <w:ind w:left="936" w:right="936"/>
    </w:pPr>
    <w:rPr>
      <w:rFonts w:cs="Times New Roman"/>
      <w:b/>
      <w:i/>
      <w:color w:val="4F81BD"/>
      <w:kern w:val="0"/>
      <w:sz w:val="20"/>
      <w:szCs w:val="20"/>
    </w:rPr>
  </w:style>
  <w:style w:type="character" w:customStyle="1" w:styleId="Char1ff1">
    <w:name w:val="明显引用 Char1"/>
    <w:autoRedefine/>
    <w:uiPriority w:val="30"/>
    <w:qFormat/>
    <w:rPr>
      <w:rFonts w:ascii="Times New Roman" w:eastAsia="宋体" w:hAnsi="Times New Roman" w:cs="Times New Roman"/>
      <w:i/>
      <w:iCs/>
      <w:color w:val="5B9BD5"/>
      <w:sz w:val="24"/>
      <w:szCs w:val="20"/>
    </w:rPr>
  </w:style>
  <w:style w:type="character" w:customStyle="1" w:styleId="cnd">
    <w:name w:val="cnd"/>
    <w:qFormat/>
  </w:style>
  <w:style w:type="character" w:customStyle="1" w:styleId="copyright1">
    <w:name w:val="copyright1"/>
    <w:qFormat/>
    <w:rPr>
      <w:rFonts w:hint="default"/>
      <w:color w:val="000000"/>
      <w:spacing w:val="360"/>
    </w:rPr>
  </w:style>
  <w:style w:type="character" w:customStyle="1" w:styleId="CharChar19">
    <w:name w:val="Char Char19"/>
    <w:autoRedefine/>
    <w:qFormat/>
    <w:rPr>
      <w:kern w:val="2"/>
      <w:sz w:val="18"/>
    </w:rPr>
  </w:style>
  <w:style w:type="character" w:customStyle="1" w:styleId="text21">
    <w:name w:val="text21"/>
    <w:autoRedefine/>
    <w:qFormat/>
    <w:rPr>
      <w:rFonts w:ascii="宋体" w:eastAsia="宋体" w:hAnsi="宋体" w:hint="eastAsia"/>
      <w:b/>
      <w:sz w:val="14"/>
    </w:rPr>
  </w:style>
  <w:style w:type="character" w:customStyle="1" w:styleId="H5CharChar">
    <w:name w:val="H5 Char Char"/>
    <w:autoRedefine/>
    <w:qFormat/>
    <w:rPr>
      <w:rFonts w:eastAsia="宋体"/>
      <w:b/>
      <w:kern w:val="2"/>
      <w:sz w:val="28"/>
      <w:lang w:val="en-US" w:eastAsia="zh-CN"/>
    </w:rPr>
  </w:style>
  <w:style w:type="character" w:customStyle="1" w:styleId="4L4Char">
    <w:name w:val="样式 标题 4L4 + Char"/>
    <w:link w:val="4L4"/>
    <w:autoRedefine/>
    <w:qFormat/>
    <w:rPr>
      <w:rFonts w:ascii="Arial" w:hAnsi="Arial"/>
      <w:b/>
      <w:sz w:val="24"/>
    </w:rPr>
  </w:style>
  <w:style w:type="paragraph" w:customStyle="1" w:styleId="4L4">
    <w:name w:val="样式 标题 4L4 +"/>
    <w:basedOn w:val="4"/>
    <w:link w:val="4L4Char"/>
    <w:autoRedefine/>
    <w:qFormat/>
    <w:pPr>
      <w:numPr>
        <w:ilvl w:val="0"/>
        <w:numId w:val="0"/>
      </w:numPr>
      <w:tabs>
        <w:tab w:val="left" w:pos="870"/>
      </w:tabs>
      <w:autoSpaceDE w:val="0"/>
      <w:autoSpaceDN w:val="0"/>
      <w:spacing w:before="20" w:line="288" w:lineRule="auto"/>
      <w:ind w:firstLine="510"/>
      <w:textAlignment w:val="baseline"/>
    </w:pPr>
    <w:rPr>
      <w:rFonts w:ascii="Arial" w:hAnsi="Arial" w:cs="Times New Roman"/>
      <w:bCs w:val="0"/>
      <w:kern w:val="0"/>
      <w:szCs w:val="20"/>
    </w:rPr>
  </w:style>
  <w:style w:type="character" w:customStyle="1" w:styleId="txt1">
    <w:name w:val="txt1"/>
    <w:autoRedefine/>
    <w:qFormat/>
    <w:rPr>
      <w:rFonts w:ascii="宋体" w:eastAsia="宋体" w:hAnsi="宋体" w:hint="eastAsia"/>
      <w:color w:val="000000"/>
      <w:spacing w:val="280"/>
      <w:sz w:val="20"/>
      <w:u w:val="none"/>
    </w:rPr>
  </w:style>
  <w:style w:type="character" w:customStyle="1" w:styleId="weby1">
    <w:name w:val="weby1"/>
    <w:autoRedefine/>
    <w:qFormat/>
  </w:style>
  <w:style w:type="character" w:customStyle="1" w:styleId="clh15">
    <w:name w:val="c lh15"/>
    <w:autoRedefine/>
    <w:qFormat/>
  </w:style>
  <w:style w:type="character" w:customStyle="1" w:styleId="Char2f5">
    <w:name w:val="注释标题 Char2"/>
    <w:uiPriority w:val="99"/>
    <w:qFormat/>
    <w:rPr>
      <w:rFonts w:ascii="Times New Roman" w:hAnsi="Times New Roman"/>
      <w:kern w:val="2"/>
      <w:sz w:val="24"/>
      <w:szCs w:val="22"/>
    </w:rPr>
  </w:style>
  <w:style w:type="character" w:customStyle="1" w:styleId="cssa1">
    <w:name w:val="cssa1"/>
    <w:qFormat/>
    <w:rPr>
      <w:spacing w:val="280"/>
      <w:sz w:val="18"/>
    </w:rPr>
  </w:style>
  <w:style w:type="character" w:customStyle="1" w:styleId="Char1ff2">
    <w:name w:val="结束语 Char1"/>
    <w:autoRedefine/>
    <w:uiPriority w:val="99"/>
    <w:qFormat/>
    <w:rPr>
      <w:rFonts w:ascii="Times New Roman" w:eastAsia="宋体" w:hAnsi="Times New Roman" w:cs="Times New Roman"/>
      <w:sz w:val="24"/>
      <w:szCs w:val="20"/>
    </w:rPr>
  </w:style>
  <w:style w:type="character" w:customStyle="1" w:styleId="CharCharffff9">
    <w:name w:val="图文 Char Char"/>
    <w:autoRedefine/>
    <w:qFormat/>
    <w:rPr>
      <w:rFonts w:eastAsia="楷体_GB2312"/>
      <w:kern w:val="2"/>
      <w:sz w:val="28"/>
      <w:lang w:val="en-US" w:eastAsia="zh-CN"/>
    </w:rPr>
  </w:style>
  <w:style w:type="character" w:customStyle="1" w:styleId="HTMLChar20">
    <w:name w:val="HTML 地址 Char2"/>
    <w:autoRedefine/>
    <w:uiPriority w:val="99"/>
    <w:qFormat/>
    <w:rPr>
      <w:rFonts w:ascii="Times New Roman" w:eastAsia="宋体" w:hAnsi="Times New Roman" w:cs="Times New Roman"/>
      <w:i/>
      <w:iCs/>
      <w:sz w:val="24"/>
      <w:szCs w:val="20"/>
    </w:rPr>
  </w:style>
  <w:style w:type="character" w:customStyle="1" w:styleId="2CharChar10">
    <w:name w:val="正文文字 2 Char Char1"/>
    <w:autoRedefine/>
    <w:qFormat/>
    <w:rPr>
      <w:rFonts w:eastAsia="宋体"/>
      <w:kern w:val="2"/>
      <w:sz w:val="18"/>
      <w:lang w:val="en-US" w:eastAsia="zh-CN"/>
    </w:rPr>
  </w:style>
  <w:style w:type="character" w:customStyle="1" w:styleId="GB23121">
    <w:name w:val="样式 (中文) 楷体_GB2312 小三"/>
    <w:autoRedefine/>
    <w:qFormat/>
    <w:rPr>
      <w:rFonts w:eastAsia="宋体"/>
      <w:sz w:val="28"/>
    </w:rPr>
  </w:style>
  <w:style w:type="character" w:customStyle="1" w:styleId="msonormal0">
    <w:name w:val="msonormal"/>
    <w:autoRedefine/>
    <w:qFormat/>
  </w:style>
  <w:style w:type="character" w:customStyle="1" w:styleId="CharChar300">
    <w:name w:val="Char Char30"/>
    <w:autoRedefine/>
    <w:qFormat/>
    <w:rPr>
      <w:rFonts w:ascii="Arial" w:eastAsia="楷体_GB2312" w:hAnsi="Arial"/>
      <w:i/>
      <w:spacing w:val="-30"/>
      <w:kern w:val="0"/>
      <w:sz w:val="22"/>
    </w:rPr>
  </w:style>
  <w:style w:type="character" w:customStyle="1" w:styleId="style11">
    <w:name w:val="style11"/>
    <w:autoRedefine/>
    <w:qFormat/>
    <w:rPr>
      <w:color w:val="FF0000"/>
    </w:rPr>
  </w:style>
  <w:style w:type="character" w:customStyle="1" w:styleId="mypurple1">
    <w:name w:val="mypurple1"/>
    <w:autoRedefine/>
    <w:qFormat/>
    <w:rPr>
      <w:color w:val="990066"/>
    </w:rPr>
  </w:style>
  <w:style w:type="character" w:customStyle="1" w:styleId="1ffffffff0">
    <w:name w:val="明显参考1"/>
    <w:autoRedefine/>
    <w:uiPriority w:val="32"/>
    <w:qFormat/>
    <w:rPr>
      <w:b/>
      <w:smallCaps/>
      <w:color w:val="C0504D"/>
      <w:spacing w:val="5"/>
      <w:u w:val="single"/>
    </w:rPr>
  </w:style>
  <w:style w:type="paragraph" w:customStyle="1" w:styleId="-23">
    <w:name w:val="样式 标题-2 + (符号) 宋体"/>
    <w:basedOn w:val="a"/>
    <w:autoRedefine/>
    <w:uiPriority w:val="99"/>
    <w:qFormat/>
    <w:pPr>
      <w:tabs>
        <w:tab w:val="left" w:pos="567"/>
        <w:tab w:val="left" w:pos="1334"/>
      </w:tabs>
      <w:ind w:left="567" w:hanging="567"/>
    </w:pPr>
    <w:rPr>
      <w:rFonts w:cs="Times New Roman"/>
      <w:szCs w:val="20"/>
    </w:rPr>
  </w:style>
  <w:style w:type="paragraph" w:customStyle="1" w:styleId="CM23">
    <w:name w:val="CM23"/>
    <w:basedOn w:val="Default"/>
    <w:next w:val="Default"/>
    <w:autoRedefine/>
    <w:uiPriority w:val="99"/>
    <w:qFormat/>
    <w:pPr>
      <w:spacing w:line="440" w:lineRule="atLeast"/>
      <w:jc w:val="left"/>
    </w:pPr>
    <w:rPr>
      <w:rFonts w:ascii="楷体_GB2312" w:eastAsia="楷体_GB2312" w:hAnsi="Calibri" w:cs="Times New Roman"/>
      <w:color w:val="auto"/>
      <w:kern w:val="0"/>
      <w:szCs w:val="20"/>
    </w:rPr>
  </w:style>
  <w:style w:type="paragraph" w:customStyle="1" w:styleId="CM46">
    <w:name w:val="CM46"/>
    <w:basedOn w:val="Default"/>
    <w:next w:val="Default"/>
    <w:autoRedefine/>
    <w:uiPriority w:val="99"/>
    <w:qFormat/>
    <w:pPr>
      <w:spacing w:line="480" w:lineRule="auto"/>
      <w:jc w:val="left"/>
    </w:pPr>
    <w:rPr>
      <w:rFonts w:ascii="楷体_GB2312" w:eastAsia="楷体_GB2312" w:hAnsi="Calibri" w:cs="Times New Roman"/>
      <w:color w:val="auto"/>
      <w:kern w:val="0"/>
      <w:szCs w:val="20"/>
    </w:rPr>
  </w:style>
  <w:style w:type="paragraph" w:customStyle="1" w:styleId="t-">
    <w:name w:val="t-正文"/>
    <w:basedOn w:val="a"/>
    <w:autoRedefine/>
    <w:uiPriority w:val="99"/>
    <w:qFormat/>
    <w:pPr>
      <w:spacing w:line="360" w:lineRule="auto"/>
      <w:ind w:firstLine="556"/>
    </w:pPr>
    <w:rPr>
      <w:rFonts w:cs="Times New Roman"/>
      <w:sz w:val="24"/>
      <w:szCs w:val="20"/>
    </w:rPr>
  </w:style>
  <w:style w:type="paragraph" w:customStyle="1" w:styleId="4ff9">
    <w:name w:val="样式 标题 4 + 字距调整二号"/>
    <w:basedOn w:val="4"/>
    <w:autoRedefine/>
    <w:uiPriority w:val="99"/>
    <w:qFormat/>
    <w:pPr>
      <w:numPr>
        <w:ilvl w:val="0"/>
        <w:numId w:val="0"/>
      </w:numPr>
      <w:tabs>
        <w:tab w:val="left" w:pos="870"/>
      </w:tabs>
      <w:autoSpaceDE w:val="0"/>
      <w:autoSpaceDN w:val="0"/>
      <w:spacing w:before="20" w:line="288" w:lineRule="auto"/>
      <w:ind w:firstLine="510"/>
      <w:textAlignment w:val="baseline"/>
    </w:pPr>
    <w:rPr>
      <w:rFonts w:eastAsia="长城楷体" w:cs="Times New Roman"/>
      <w:bCs w:val="0"/>
      <w:kern w:val="0"/>
      <w:sz w:val="28"/>
      <w:szCs w:val="20"/>
    </w:rPr>
  </w:style>
  <w:style w:type="paragraph" w:customStyle="1" w:styleId="affffffffffffffffffffffffffffffffffffa">
    <w:name w:val="第四节"/>
    <w:basedOn w:val="a"/>
    <w:autoRedefine/>
    <w:uiPriority w:val="99"/>
    <w:qFormat/>
    <w:pPr>
      <w:spacing w:beforeLines="150" w:line="360" w:lineRule="auto"/>
      <w:ind w:firstLineChars="119" w:firstLine="358"/>
      <w:jc w:val="left"/>
    </w:pPr>
    <w:rPr>
      <w:rFonts w:eastAsia="黑体" w:cs="Times New Roman"/>
      <w:b/>
      <w:kern w:val="0"/>
      <w:sz w:val="30"/>
      <w:szCs w:val="20"/>
    </w:rPr>
  </w:style>
  <w:style w:type="paragraph" w:customStyle="1" w:styleId="CM43">
    <w:name w:val="CM43"/>
    <w:basedOn w:val="Default"/>
    <w:next w:val="Default"/>
    <w:autoRedefine/>
    <w:uiPriority w:val="99"/>
    <w:qFormat/>
    <w:pPr>
      <w:spacing w:line="480" w:lineRule="auto"/>
      <w:jc w:val="left"/>
    </w:pPr>
    <w:rPr>
      <w:rFonts w:ascii="楷体_GB2312" w:eastAsia="楷体_GB2312" w:hAnsi="Calibri" w:cs="Times New Roman"/>
      <w:color w:val="auto"/>
      <w:kern w:val="0"/>
      <w:szCs w:val="20"/>
    </w:rPr>
  </w:style>
  <w:style w:type="paragraph" w:customStyle="1" w:styleId="1ffffffff1">
    <w:name w:val="表格 1"/>
    <w:basedOn w:val="a"/>
    <w:autoRedefine/>
    <w:uiPriority w:val="99"/>
    <w:qFormat/>
    <w:pPr>
      <w:autoSpaceDE w:val="0"/>
      <w:autoSpaceDN w:val="0"/>
      <w:adjustRightInd w:val="0"/>
      <w:jc w:val="center"/>
    </w:pPr>
    <w:rPr>
      <w:rFonts w:eastAsia="楷体_GB2312" w:cs="Times New Roman"/>
      <w:kern w:val="0"/>
      <w:sz w:val="28"/>
      <w:szCs w:val="20"/>
    </w:rPr>
  </w:style>
  <w:style w:type="paragraph" w:customStyle="1" w:styleId="affffffffffffffffffffffffffffffffffffb">
    <w:name w:val="第三节"/>
    <w:basedOn w:val="a"/>
    <w:autoRedefine/>
    <w:uiPriority w:val="99"/>
    <w:qFormat/>
    <w:pPr>
      <w:spacing w:beforeLines="100" w:line="360" w:lineRule="auto"/>
      <w:jc w:val="left"/>
    </w:pPr>
    <w:rPr>
      <w:rFonts w:ascii="黑体" w:eastAsia="黑体" w:cs="Times New Roman"/>
      <w:sz w:val="32"/>
      <w:szCs w:val="20"/>
    </w:rPr>
  </w:style>
  <w:style w:type="paragraph" w:customStyle="1" w:styleId="2H2Heading2HiddenHeading2CCBS2ndlevelh22Header">
    <w:name w:val="样式 标题 2H2Heading 2 HiddenHeading 2 CCBS2nd levelh22Header..."/>
    <w:basedOn w:val="20"/>
    <w:autoRedefine/>
    <w:uiPriority w:val="99"/>
    <w:qFormat/>
    <w:pPr>
      <w:keepLines w:val="0"/>
      <w:numPr>
        <w:ilvl w:val="0"/>
        <w:numId w:val="0"/>
      </w:numPr>
      <w:tabs>
        <w:tab w:val="left" w:pos="870"/>
      </w:tabs>
      <w:spacing w:beforeLines="0" w:before="0" w:afterLines="0" w:after="0" w:line="240" w:lineRule="auto"/>
      <w:ind w:firstLine="510"/>
      <w:jc w:val="center"/>
    </w:pPr>
    <w:rPr>
      <w:rFonts w:cs="Times New Roman"/>
      <w:sz w:val="21"/>
      <w:szCs w:val="24"/>
    </w:rPr>
  </w:style>
  <w:style w:type="paragraph" w:customStyle="1" w:styleId="2fffffff1">
    <w:name w:val="正文首行缩进  2字符"/>
    <w:basedOn w:val="a"/>
    <w:autoRedefine/>
    <w:uiPriority w:val="99"/>
    <w:qFormat/>
    <w:pPr>
      <w:spacing w:line="360" w:lineRule="auto"/>
      <w:ind w:firstLineChars="200" w:firstLine="480"/>
    </w:pPr>
    <w:rPr>
      <w:rFonts w:cs="Times New Roman"/>
      <w:sz w:val="24"/>
      <w:szCs w:val="20"/>
    </w:rPr>
  </w:style>
  <w:style w:type="paragraph" w:customStyle="1" w:styleId="CM5">
    <w:name w:val="CM5"/>
    <w:basedOn w:val="Default"/>
    <w:next w:val="Default"/>
    <w:autoRedefine/>
    <w:uiPriority w:val="99"/>
    <w:qFormat/>
    <w:pPr>
      <w:spacing w:line="440" w:lineRule="atLeast"/>
      <w:jc w:val="left"/>
    </w:pPr>
    <w:rPr>
      <w:rFonts w:ascii="楷体_GB2312" w:eastAsia="楷体_GB2312" w:hAnsi="Calibri" w:cs="Times New Roman"/>
      <w:color w:val="auto"/>
      <w:kern w:val="0"/>
      <w:szCs w:val="20"/>
    </w:rPr>
  </w:style>
  <w:style w:type="paragraph" w:customStyle="1" w:styleId="5fb">
    <w:name w:val="表格（5号）"/>
    <w:basedOn w:val="a"/>
    <w:autoRedefine/>
    <w:uiPriority w:val="99"/>
    <w:qFormat/>
    <w:pPr>
      <w:spacing w:line="360" w:lineRule="exact"/>
      <w:ind w:left="-113"/>
    </w:pPr>
    <w:rPr>
      <w:rFonts w:ascii="宋体" w:hAnsi="宋体" w:cs="Times New Roman"/>
      <w:color w:val="000000"/>
      <w:sz w:val="18"/>
      <w:szCs w:val="20"/>
    </w:rPr>
  </w:style>
  <w:style w:type="paragraph" w:customStyle="1" w:styleId="TOCBase">
    <w:name w:val="TOC Base"/>
    <w:basedOn w:val="a"/>
    <w:autoRedefine/>
    <w:uiPriority w:val="99"/>
    <w:qFormat/>
    <w:pPr>
      <w:widowControl/>
      <w:tabs>
        <w:tab w:val="right" w:leader="dot" w:pos="8505"/>
      </w:tabs>
      <w:spacing w:after="120"/>
    </w:pPr>
    <w:rPr>
      <w:rFonts w:ascii="Garamond" w:hAnsi="Garamond" w:cs="Times New Roman"/>
      <w:kern w:val="0"/>
      <w:sz w:val="24"/>
      <w:szCs w:val="20"/>
      <w:lang w:val="en-AU" w:eastAsia="en-US"/>
    </w:rPr>
  </w:style>
  <w:style w:type="paragraph" w:customStyle="1" w:styleId="t-0">
    <w:name w:val="t-表格"/>
    <w:basedOn w:val="a"/>
    <w:autoRedefine/>
    <w:uiPriority w:val="99"/>
    <w:qFormat/>
    <w:pPr>
      <w:jc w:val="center"/>
      <w:outlineLvl w:val="8"/>
    </w:pPr>
    <w:rPr>
      <w:rFonts w:cs="Times New Roman"/>
      <w:sz w:val="28"/>
      <w:szCs w:val="20"/>
    </w:rPr>
  </w:style>
  <w:style w:type="paragraph" w:customStyle="1" w:styleId="33CharChar11105050">
    <w:name w:val="样式 样式 标题 3标题 3 Char Char头 + 首行缩进:  1.11 厘米 + 段前: 0.5 行 段后: 0.5 行"/>
    <w:basedOn w:val="33CharChar111"/>
    <w:autoRedefine/>
    <w:uiPriority w:val="99"/>
    <w:qFormat/>
    <w:pPr>
      <w:autoSpaceDE/>
      <w:autoSpaceDN/>
      <w:adjustRightInd/>
      <w:spacing w:beforeLines="50" w:afterLines="50" w:line="360" w:lineRule="auto"/>
      <w:ind w:firstLine="0"/>
      <w:jc w:val="both"/>
      <w:textAlignment w:val="auto"/>
    </w:pPr>
    <w:rPr>
      <w:rFonts w:eastAsia="宋体" w:hAnsi="宋体"/>
      <w:b/>
      <w:snapToGrid w:val="0"/>
      <w:sz w:val="24"/>
      <w:lang w:val="zh-CN"/>
    </w:rPr>
  </w:style>
  <w:style w:type="paragraph" w:customStyle="1" w:styleId="33CharChar111">
    <w:name w:val="样式 标题 3标题 3 Char Char头 + 首行缩进:  1.11 厘米"/>
    <w:basedOn w:val="3"/>
    <w:autoRedefine/>
    <w:uiPriority w:val="99"/>
    <w:qFormat/>
    <w:pPr>
      <w:numPr>
        <w:ilvl w:val="0"/>
        <w:numId w:val="0"/>
      </w:numPr>
      <w:tabs>
        <w:tab w:val="left" w:pos="870"/>
      </w:tabs>
      <w:autoSpaceDE w:val="0"/>
      <w:autoSpaceDN w:val="0"/>
      <w:snapToGrid/>
      <w:spacing w:before="20" w:after="20" w:line="288" w:lineRule="auto"/>
      <w:ind w:firstLine="510"/>
      <w:textAlignment w:val="baseline"/>
    </w:pPr>
    <w:rPr>
      <w:rFonts w:eastAsia="黑体" w:cs="Times New Roman"/>
      <w:b w:val="0"/>
      <w:bCs w:val="0"/>
      <w:kern w:val="0"/>
      <w:sz w:val="28"/>
      <w:szCs w:val="20"/>
    </w:rPr>
  </w:style>
  <w:style w:type="paragraph" w:customStyle="1" w:styleId="GB2312106">
    <w:name w:val="样式 (中文) 楷体_GB2312 小三 左侧:  1.06 厘米"/>
    <w:basedOn w:val="a"/>
    <w:autoRedefine/>
    <w:uiPriority w:val="99"/>
    <w:qFormat/>
    <w:pPr>
      <w:ind w:left="600"/>
    </w:pPr>
    <w:rPr>
      <w:rFonts w:cs="Times New Roman"/>
      <w:sz w:val="28"/>
      <w:szCs w:val="20"/>
    </w:rPr>
  </w:style>
  <w:style w:type="paragraph" w:customStyle="1" w:styleId="CM12">
    <w:name w:val="CM12"/>
    <w:basedOn w:val="Default"/>
    <w:next w:val="Default"/>
    <w:autoRedefine/>
    <w:uiPriority w:val="99"/>
    <w:qFormat/>
    <w:pPr>
      <w:spacing w:line="520" w:lineRule="atLeast"/>
      <w:jc w:val="left"/>
    </w:pPr>
    <w:rPr>
      <w:rFonts w:ascii="Sim Sun" w:eastAsia="Sim Sun" w:hAnsi="Times New Roman" w:cs="Times New Roman"/>
      <w:color w:val="auto"/>
      <w:kern w:val="0"/>
      <w:szCs w:val="20"/>
    </w:rPr>
  </w:style>
  <w:style w:type="paragraph" w:customStyle="1" w:styleId="GB2312098">
    <w:name w:val="样式 (中文) 楷体_GB2312 小三 首行缩进:  0.98 厘米"/>
    <w:basedOn w:val="a"/>
    <w:autoRedefine/>
    <w:uiPriority w:val="99"/>
    <w:qFormat/>
    <w:pPr>
      <w:spacing w:line="360" w:lineRule="auto"/>
      <w:ind w:firstLineChars="200" w:firstLine="200"/>
    </w:pPr>
    <w:rPr>
      <w:rFonts w:cs="Times New Roman"/>
      <w:sz w:val="24"/>
      <w:szCs w:val="20"/>
    </w:rPr>
  </w:style>
  <w:style w:type="paragraph" w:customStyle="1" w:styleId="Normal06">
    <w:name w:val="Normal06"/>
    <w:basedOn w:val="a"/>
    <w:autoRedefine/>
    <w:uiPriority w:val="99"/>
    <w:qFormat/>
    <w:pPr>
      <w:widowControl/>
      <w:spacing w:line="360" w:lineRule="exact"/>
      <w:ind w:left="476"/>
    </w:pPr>
    <w:rPr>
      <w:rFonts w:ascii="Arial" w:hAnsi="Arial" w:cs="Times New Roman"/>
      <w:snapToGrid w:val="0"/>
      <w:kern w:val="0"/>
      <w:sz w:val="24"/>
      <w:szCs w:val="20"/>
      <w:lang w:val="it-IT" w:eastAsia="it-IT"/>
    </w:rPr>
  </w:style>
  <w:style w:type="paragraph" w:customStyle="1" w:styleId="Char2CharCharCharCharCharChar1">
    <w:name w:val="Char2 Char Char Char Char Char Char1"/>
    <w:basedOn w:val="a"/>
    <w:autoRedefine/>
    <w:uiPriority w:val="99"/>
    <w:qFormat/>
    <w:rPr>
      <w:rFonts w:cs="Times New Roman"/>
      <w:szCs w:val="20"/>
    </w:rPr>
  </w:style>
  <w:style w:type="paragraph" w:customStyle="1" w:styleId="1233">
    <w:name w:val="1233"/>
    <w:basedOn w:val="a"/>
    <w:autoRedefine/>
    <w:uiPriority w:val="99"/>
    <w:qFormat/>
    <w:pPr>
      <w:spacing w:before="100" w:beforeAutospacing="1" w:line="360" w:lineRule="auto"/>
      <w:ind w:firstLineChars="200" w:firstLine="480"/>
    </w:pPr>
    <w:rPr>
      <w:rFonts w:cs="Times New Roman"/>
      <w:sz w:val="24"/>
      <w:szCs w:val="20"/>
    </w:rPr>
  </w:style>
  <w:style w:type="paragraph" w:customStyle="1" w:styleId="cucd-TB">
    <w:name w:val="cucd-TB"/>
    <w:autoRedefine/>
    <w:uiPriority w:val="99"/>
    <w:qFormat/>
    <w:pPr>
      <w:spacing w:line="360" w:lineRule="auto"/>
      <w:jc w:val="center"/>
    </w:pPr>
    <w:rPr>
      <w:kern w:val="2"/>
      <w:sz w:val="21"/>
    </w:rPr>
  </w:style>
  <w:style w:type="paragraph" w:customStyle="1" w:styleId="CM15">
    <w:name w:val="CM15"/>
    <w:basedOn w:val="Default"/>
    <w:next w:val="Default"/>
    <w:autoRedefine/>
    <w:uiPriority w:val="99"/>
    <w:qFormat/>
    <w:pPr>
      <w:spacing w:line="440" w:lineRule="atLeast"/>
      <w:jc w:val="left"/>
    </w:pPr>
    <w:rPr>
      <w:rFonts w:ascii="楷体_GB2312" w:eastAsia="楷体_GB2312" w:hAnsi="Calibri" w:cs="Times New Roman"/>
      <w:color w:val="auto"/>
      <w:kern w:val="0"/>
      <w:szCs w:val="20"/>
    </w:rPr>
  </w:style>
  <w:style w:type="paragraph" w:customStyle="1" w:styleId="33CharChar3Char0505">
    <w:name w:val="样式 标题 3标题 3 Char Char头标题 3 Char + 段前: 0.5 行 段后: 0.5 行"/>
    <w:basedOn w:val="3"/>
    <w:autoRedefine/>
    <w:uiPriority w:val="99"/>
    <w:qFormat/>
    <w:pPr>
      <w:numPr>
        <w:ilvl w:val="0"/>
        <w:numId w:val="0"/>
      </w:numPr>
      <w:tabs>
        <w:tab w:val="left" w:pos="870"/>
      </w:tabs>
      <w:autoSpaceDE w:val="0"/>
      <w:autoSpaceDN w:val="0"/>
      <w:snapToGrid/>
      <w:spacing w:before="20" w:after="20" w:line="288" w:lineRule="auto"/>
      <w:ind w:firstLine="510"/>
      <w:textAlignment w:val="baseline"/>
    </w:pPr>
    <w:rPr>
      <w:rFonts w:eastAsia="黑体" w:cs="Times New Roman"/>
      <w:b w:val="0"/>
      <w:bCs w:val="0"/>
      <w:kern w:val="0"/>
      <w:sz w:val="28"/>
      <w:szCs w:val="20"/>
    </w:rPr>
  </w:style>
  <w:style w:type="paragraph" w:customStyle="1" w:styleId="1524">
    <w:name w:val="样式 小四 行距: 1.5 倍行距 首行缩进:  2 字符"/>
    <w:basedOn w:val="a"/>
    <w:autoRedefine/>
    <w:uiPriority w:val="99"/>
    <w:qFormat/>
    <w:pPr>
      <w:spacing w:line="360" w:lineRule="auto"/>
      <w:ind w:firstLineChars="200" w:firstLine="200"/>
    </w:pPr>
    <w:rPr>
      <w:rFonts w:cs="Times New Roman"/>
      <w:sz w:val="24"/>
      <w:szCs w:val="20"/>
    </w:rPr>
  </w:style>
  <w:style w:type="paragraph" w:customStyle="1" w:styleId="2fffffff2">
    <w:name w:val="样式 样式 小三 + 首行缩进:  2 字符"/>
    <w:basedOn w:val="a"/>
    <w:autoRedefine/>
    <w:uiPriority w:val="99"/>
    <w:qFormat/>
    <w:pPr>
      <w:spacing w:line="360" w:lineRule="auto"/>
      <w:ind w:firstLineChars="200" w:firstLine="560"/>
    </w:pPr>
    <w:rPr>
      <w:rFonts w:ascii="Calibri" w:hAnsi="Calibri" w:cs="Times New Roman"/>
      <w:color w:val="000000"/>
      <w:sz w:val="28"/>
      <w:szCs w:val="20"/>
    </w:rPr>
  </w:style>
  <w:style w:type="paragraph" w:customStyle="1" w:styleId="CM44">
    <w:name w:val="CM44"/>
    <w:basedOn w:val="Default"/>
    <w:next w:val="Default"/>
    <w:autoRedefine/>
    <w:uiPriority w:val="99"/>
    <w:qFormat/>
    <w:pPr>
      <w:spacing w:line="480" w:lineRule="auto"/>
      <w:jc w:val="left"/>
    </w:pPr>
    <w:rPr>
      <w:rFonts w:ascii="楷体_GB2312" w:eastAsia="楷体_GB2312" w:hAnsi="Calibri" w:cs="Times New Roman"/>
      <w:color w:val="auto"/>
      <w:kern w:val="0"/>
      <w:szCs w:val="20"/>
    </w:rPr>
  </w:style>
  <w:style w:type="paragraph" w:customStyle="1" w:styleId="GB23120981">
    <w:name w:val="样式 (中文) 楷体_GB2312 小三 首行缩进:  0.98 厘米1"/>
    <w:basedOn w:val="a"/>
    <w:autoRedefine/>
    <w:uiPriority w:val="99"/>
    <w:qFormat/>
    <w:pPr>
      <w:ind w:firstLine="555"/>
    </w:pPr>
    <w:rPr>
      <w:rFonts w:cs="Times New Roman"/>
      <w:sz w:val="28"/>
      <w:szCs w:val="20"/>
    </w:rPr>
  </w:style>
  <w:style w:type="paragraph" w:customStyle="1" w:styleId="CM40">
    <w:name w:val="CM40"/>
    <w:basedOn w:val="a"/>
    <w:next w:val="a"/>
    <w:autoRedefine/>
    <w:uiPriority w:val="99"/>
    <w:qFormat/>
    <w:pPr>
      <w:autoSpaceDE w:val="0"/>
      <w:autoSpaceDN w:val="0"/>
      <w:adjustRightInd w:val="0"/>
      <w:jc w:val="left"/>
    </w:pPr>
    <w:rPr>
      <w:rFonts w:ascii="楷体_GB2312" w:eastAsia="楷体_GB2312" w:hAnsi="Calibri" w:cs="Times New Roman"/>
      <w:kern w:val="0"/>
      <w:sz w:val="24"/>
      <w:szCs w:val="20"/>
    </w:rPr>
  </w:style>
  <w:style w:type="paragraph" w:customStyle="1" w:styleId="affffffffffffffffffffffffffffffffffffc">
    <w:name w:val="格式_吕"/>
    <w:basedOn w:val="a"/>
    <w:autoRedefine/>
    <w:uiPriority w:val="99"/>
    <w:qFormat/>
    <w:pPr>
      <w:spacing w:line="500" w:lineRule="exact"/>
      <w:ind w:rightChars="79" w:right="79" w:firstLineChars="250" w:firstLine="250"/>
    </w:pPr>
    <w:rPr>
      <w:rFonts w:eastAsia="仿宋_GB2312" w:cs="Times New Roman"/>
      <w:spacing w:val="18"/>
      <w:sz w:val="28"/>
      <w:szCs w:val="20"/>
    </w:rPr>
  </w:style>
  <w:style w:type="paragraph" w:customStyle="1" w:styleId="Arial0215">
    <w:name w:val="样式 Arial 小四 红色 紧缩量  0.2 磅 行距: 1.5 倍行距"/>
    <w:basedOn w:val="a"/>
    <w:autoRedefine/>
    <w:uiPriority w:val="99"/>
    <w:qFormat/>
    <w:pPr>
      <w:spacing w:line="360" w:lineRule="auto"/>
      <w:ind w:firstLineChars="200" w:firstLine="464"/>
    </w:pPr>
    <w:rPr>
      <w:rFonts w:ascii="Arial" w:eastAsia="楷体_GB2312" w:hAnsi="Arial" w:cs="Times New Roman"/>
      <w:color w:val="FF0000"/>
      <w:spacing w:val="-4"/>
      <w:sz w:val="24"/>
      <w:szCs w:val="20"/>
    </w:rPr>
  </w:style>
  <w:style w:type="paragraph" w:customStyle="1" w:styleId="affffffffffffffffffffffffffffffffffffd">
    <w:name w:val="图形标题"/>
    <w:basedOn w:val="a"/>
    <w:next w:val="a"/>
    <w:autoRedefine/>
    <w:uiPriority w:val="99"/>
    <w:qFormat/>
    <w:pPr>
      <w:spacing w:before="120" w:after="120"/>
      <w:ind w:firstLine="615"/>
    </w:pPr>
    <w:rPr>
      <w:rFonts w:ascii="黑体" w:eastAsia="黑体" w:hAnsi="Calibri" w:cs="Times New Roman"/>
      <w:sz w:val="24"/>
      <w:szCs w:val="20"/>
    </w:rPr>
  </w:style>
  <w:style w:type="paragraph" w:customStyle="1" w:styleId="affffffffffffffffffffffffffffffffffffe">
    <w:name w:val="正文的格式"/>
    <w:basedOn w:val="a"/>
    <w:autoRedefine/>
    <w:uiPriority w:val="99"/>
    <w:qFormat/>
    <w:pPr>
      <w:ind w:firstLine="555"/>
    </w:pPr>
    <w:rPr>
      <w:rFonts w:cs="Times New Roman"/>
      <w:sz w:val="30"/>
      <w:szCs w:val="20"/>
    </w:rPr>
  </w:style>
  <w:style w:type="paragraph" w:customStyle="1" w:styleId="CM7">
    <w:name w:val="CM7"/>
    <w:basedOn w:val="Default"/>
    <w:next w:val="Default"/>
    <w:autoRedefine/>
    <w:uiPriority w:val="99"/>
    <w:qFormat/>
    <w:pPr>
      <w:spacing w:line="440" w:lineRule="atLeast"/>
      <w:jc w:val="left"/>
    </w:pPr>
    <w:rPr>
      <w:rFonts w:ascii="楷体_GB2312" w:eastAsia="楷体_GB2312" w:hAnsi="Calibri" w:cs="Times New Roman"/>
      <w:color w:val="auto"/>
      <w:kern w:val="0"/>
      <w:szCs w:val="20"/>
    </w:rPr>
  </w:style>
  <w:style w:type="paragraph" w:customStyle="1" w:styleId="2fffffff3">
    <w:name w:val="样式 样本 + (中文) 宋体 四号 首行缩进:  2 字符"/>
    <w:basedOn w:val="afffffffffffffffffffffffffffffffffffff"/>
    <w:autoRedefine/>
    <w:uiPriority w:val="99"/>
    <w:qFormat/>
  </w:style>
  <w:style w:type="paragraph" w:customStyle="1" w:styleId="afffffffffffffffffffffffffffffffffffff">
    <w:name w:val="样本"/>
    <w:basedOn w:val="a"/>
    <w:autoRedefine/>
    <w:uiPriority w:val="99"/>
    <w:qFormat/>
    <w:pPr>
      <w:widowControl/>
      <w:spacing w:before="100" w:after="100" w:line="500" w:lineRule="exact"/>
      <w:ind w:firstLineChars="200" w:firstLine="200"/>
      <w:jc w:val="left"/>
    </w:pPr>
    <w:rPr>
      <w:rFonts w:ascii="Calibri" w:hAnsi="Calibri" w:cs="Times New Roman"/>
      <w:kern w:val="0"/>
      <w:sz w:val="28"/>
      <w:szCs w:val="20"/>
      <w:lang w:eastAsia="en-US"/>
    </w:rPr>
  </w:style>
  <w:style w:type="paragraph" w:customStyle="1" w:styleId="7f">
    <w:name w:val="样式 首行缩进:  7 字符"/>
    <w:basedOn w:val="a"/>
    <w:autoRedefine/>
    <w:uiPriority w:val="99"/>
    <w:qFormat/>
    <w:pPr>
      <w:ind w:firstLineChars="700" w:firstLine="2249"/>
      <w:jc w:val="left"/>
    </w:pPr>
    <w:rPr>
      <w:rFonts w:cs="Times New Roman"/>
      <w:sz w:val="24"/>
      <w:szCs w:val="20"/>
      <w:lang w:eastAsia="zh-TW"/>
    </w:rPr>
  </w:style>
  <w:style w:type="paragraph" w:customStyle="1" w:styleId="Char2CharCharCharCharCharCharCharCharChar">
    <w:name w:val="Char2 Char Char Char Char Char Char Char Char Char"/>
    <w:basedOn w:val="a"/>
    <w:autoRedefine/>
    <w:uiPriority w:val="99"/>
    <w:qFormat/>
    <w:pPr>
      <w:spacing w:line="360" w:lineRule="auto"/>
      <w:ind w:firstLineChars="200" w:firstLine="200"/>
    </w:pPr>
    <w:rPr>
      <w:rFonts w:cs="Times New Roman"/>
      <w:szCs w:val="20"/>
    </w:rPr>
  </w:style>
  <w:style w:type="paragraph" w:customStyle="1" w:styleId="afffffffffffffffffffffffffffffffffffff0">
    <w:name w:val="麦志勤正文"/>
    <w:basedOn w:val="af"/>
    <w:autoRedefine/>
    <w:uiPriority w:val="99"/>
    <w:qFormat/>
    <w:pPr>
      <w:kinsoku/>
      <w:snapToGrid w:val="0"/>
      <w:spacing w:beforeLines="20" w:after="0" w:line="300" w:lineRule="auto"/>
      <w:ind w:firstLineChars="200" w:firstLine="200"/>
      <w:jc w:val="both"/>
      <w:textAlignment w:val="auto"/>
    </w:pPr>
    <w:rPr>
      <w:rFonts w:ascii="宋体"/>
      <w:snapToGrid w:val="0"/>
      <w:sz w:val="24"/>
      <w:szCs w:val="20"/>
      <w:lang w:val="zh-CN"/>
    </w:rPr>
  </w:style>
  <w:style w:type="paragraph" w:customStyle="1" w:styleId="Char2CharCharCharCharCharCharCharCharChar2">
    <w:name w:val="Char2 Char Char Char Char Char Char Char Char Char2"/>
    <w:basedOn w:val="a"/>
    <w:autoRedefine/>
    <w:uiPriority w:val="99"/>
    <w:qFormat/>
    <w:pPr>
      <w:spacing w:line="360" w:lineRule="auto"/>
      <w:ind w:firstLineChars="200" w:firstLine="200"/>
    </w:pPr>
    <w:rPr>
      <w:rFonts w:ascii="Calibri" w:hAnsi="Calibri" w:cs="Times New Roman"/>
      <w:szCs w:val="20"/>
    </w:rPr>
  </w:style>
  <w:style w:type="paragraph" w:customStyle="1" w:styleId="10015">
    <w:name w:val="样式 标题 1 + 居中 段前: 0 磅 段后: 0 磅 行距: 1.5 倍行距"/>
    <w:basedOn w:val="1"/>
    <w:autoRedefine/>
    <w:uiPriority w:val="99"/>
    <w:qFormat/>
    <w:pPr>
      <w:keepLines w:val="0"/>
      <w:numPr>
        <w:numId w:val="0"/>
      </w:numPr>
      <w:tabs>
        <w:tab w:val="left" w:pos="870"/>
      </w:tabs>
      <w:ind w:firstLine="510"/>
      <w:jc w:val="both"/>
    </w:pPr>
    <w:rPr>
      <w:rFonts w:cs="Times New Roman"/>
      <w:b w:val="0"/>
      <w:bCs w:val="0"/>
      <w:i/>
      <w:iCs/>
      <w:kern w:val="2"/>
      <w:sz w:val="28"/>
      <w:szCs w:val="24"/>
    </w:rPr>
  </w:style>
  <w:style w:type="paragraph" w:customStyle="1" w:styleId="022">
    <w:name w:val="表格02左"/>
    <w:basedOn w:val="a"/>
    <w:autoRedefine/>
    <w:uiPriority w:val="99"/>
    <w:qFormat/>
    <w:pPr>
      <w:spacing w:line="400" w:lineRule="exact"/>
      <w:jc w:val="left"/>
    </w:pPr>
    <w:rPr>
      <w:rFonts w:ascii="Calibri" w:hAnsi="Calibri" w:cs="Times New Roman"/>
      <w:snapToGrid w:val="0"/>
      <w:kern w:val="0"/>
      <w:sz w:val="24"/>
      <w:szCs w:val="20"/>
      <w:lang w:val="en-GB"/>
    </w:rPr>
  </w:style>
  <w:style w:type="paragraph" w:customStyle="1" w:styleId="2fffffff4">
    <w:name w:val="?2"/>
    <w:basedOn w:val="a"/>
    <w:next w:val="a"/>
    <w:autoRedefine/>
    <w:uiPriority w:val="99"/>
    <w:qFormat/>
    <w:pPr>
      <w:autoSpaceDE w:val="0"/>
      <w:autoSpaceDN w:val="0"/>
      <w:adjustRightInd w:val="0"/>
    </w:pPr>
    <w:rPr>
      <w:rFonts w:ascii="五" w:eastAsia="五" w:hAnsi="Calibri" w:cs="Times New Roman"/>
      <w:kern w:val="0"/>
      <w:sz w:val="20"/>
      <w:szCs w:val="20"/>
    </w:rPr>
  </w:style>
  <w:style w:type="paragraph" w:customStyle="1" w:styleId="CM45">
    <w:name w:val="CM45"/>
    <w:basedOn w:val="a"/>
    <w:next w:val="a"/>
    <w:autoRedefine/>
    <w:uiPriority w:val="99"/>
    <w:qFormat/>
    <w:pPr>
      <w:autoSpaceDE w:val="0"/>
      <w:autoSpaceDN w:val="0"/>
      <w:adjustRightInd w:val="0"/>
      <w:jc w:val="left"/>
    </w:pPr>
    <w:rPr>
      <w:rFonts w:ascii="楷体_GB2312" w:eastAsia="楷体_GB2312" w:hAnsi="Calibri" w:cs="Times New Roman"/>
      <w:kern w:val="0"/>
      <w:sz w:val="24"/>
      <w:szCs w:val="20"/>
    </w:rPr>
  </w:style>
  <w:style w:type="paragraph" w:customStyle="1" w:styleId="afffffffffffffffffffffffffffffffffffff1">
    <w:name w:val="责任页"/>
    <w:basedOn w:val="a"/>
    <w:autoRedefine/>
    <w:uiPriority w:val="99"/>
    <w:qFormat/>
    <w:pPr>
      <w:spacing w:line="300" w:lineRule="auto"/>
    </w:pPr>
    <w:rPr>
      <w:rFonts w:cs="Times New Roman"/>
      <w:sz w:val="28"/>
      <w:szCs w:val="20"/>
    </w:rPr>
  </w:style>
  <w:style w:type="paragraph" w:customStyle="1" w:styleId="CM42">
    <w:name w:val="CM42"/>
    <w:basedOn w:val="Default"/>
    <w:next w:val="Default"/>
    <w:autoRedefine/>
    <w:uiPriority w:val="99"/>
    <w:qFormat/>
    <w:pPr>
      <w:spacing w:line="520" w:lineRule="atLeast"/>
      <w:jc w:val="left"/>
    </w:pPr>
    <w:rPr>
      <w:rFonts w:ascii="Sim Sun" w:eastAsia="Sim Sun" w:hAnsi="Times New Roman" w:cs="Times New Roman"/>
      <w:color w:val="auto"/>
      <w:kern w:val="0"/>
      <w:szCs w:val="20"/>
    </w:rPr>
  </w:style>
  <w:style w:type="paragraph" w:customStyle="1" w:styleId="afffffffffffffffffffffffffffffffffffff2">
    <w:name w:val="正文四号缩进"/>
    <w:basedOn w:val="a"/>
    <w:autoRedefine/>
    <w:uiPriority w:val="99"/>
    <w:qFormat/>
    <w:pPr>
      <w:spacing w:afterLines="50"/>
      <w:ind w:firstLineChars="200" w:firstLine="200"/>
    </w:pPr>
    <w:rPr>
      <w:rFonts w:ascii="宋体" w:cs="Times New Roman"/>
      <w:spacing w:val="10"/>
      <w:sz w:val="24"/>
      <w:szCs w:val="20"/>
    </w:rPr>
  </w:style>
  <w:style w:type="paragraph" w:customStyle="1" w:styleId="300173050">
    <w:name w:val="样式 样式 标题 3 + 段前: 0 磅 段后: 0 磅 行距: 多倍行距 1.73 字行 + 段前: 0.5 行 段后: 0..."/>
    <w:basedOn w:val="300173"/>
    <w:autoRedefine/>
    <w:uiPriority w:val="99"/>
    <w:qFormat/>
    <w:pPr>
      <w:tabs>
        <w:tab w:val="clear" w:pos="870"/>
      </w:tabs>
      <w:autoSpaceDE/>
      <w:autoSpaceDN/>
      <w:adjustRightInd/>
      <w:spacing w:beforeLines="50" w:afterLines="50" w:line="413" w:lineRule="auto"/>
      <w:ind w:firstLine="0"/>
      <w:jc w:val="both"/>
      <w:textAlignment w:val="auto"/>
    </w:pPr>
    <w:rPr>
      <w:rFonts w:eastAsia="宋体" w:hAnsi="宋体"/>
      <w:b/>
      <w:kern w:val="2"/>
      <w:sz w:val="24"/>
      <w:lang w:val="zh-CN"/>
    </w:rPr>
  </w:style>
  <w:style w:type="paragraph" w:customStyle="1" w:styleId="afffffffffffffffffffffffffffffffffffff3">
    <w:name w:val="图标题"/>
    <w:basedOn w:val="a"/>
    <w:next w:val="a"/>
    <w:autoRedefine/>
    <w:uiPriority w:val="99"/>
    <w:qFormat/>
    <w:pPr>
      <w:keepNext/>
      <w:widowControl/>
      <w:autoSpaceDE w:val="0"/>
      <w:autoSpaceDN w:val="0"/>
      <w:adjustRightInd w:val="0"/>
      <w:spacing w:before="60" w:after="120" w:line="400" w:lineRule="atLeast"/>
      <w:jc w:val="center"/>
      <w:textAlignment w:val="baseline"/>
    </w:pPr>
    <w:rPr>
      <w:rFonts w:cs="Times New Roman"/>
      <w:b/>
      <w:spacing w:val="2"/>
      <w:kern w:val="0"/>
      <w:sz w:val="24"/>
      <w:szCs w:val="20"/>
    </w:rPr>
  </w:style>
  <w:style w:type="paragraph" w:customStyle="1" w:styleId="4176">
    <w:name w:val="样式 样式 标题 4 + 字距调整二号 + 首行缩进:  1.76 字符"/>
    <w:basedOn w:val="4ff9"/>
    <w:autoRedefine/>
    <w:uiPriority w:val="99"/>
    <w:qFormat/>
    <w:pPr>
      <w:tabs>
        <w:tab w:val="clear" w:pos="870"/>
      </w:tabs>
      <w:autoSpaceDE/>
      <w:autoSpaceDN/>
      <w:adjustRightInd/>
      <w:spacing w:before="0" w:line="360" w:lineRule="auto"/>
      <w:ind w:firstLine="0"/>
      <w:jc w:val="both"/>
      <w:textAlignment w:val="auto"/>
    </w:pPr>
    <w:rPr>
      <w:rFonts w:eastAsia="宋体"/>
      <w:kern w:val="44"/>
      <w:sz w:val="24"/>
      <w:lang w:val="zh-CN"/>
    </w:rPr>
  </w:style>
  <w:style w:type="paragraph" w:customStyle="1" w:styleId="11115">
    <w:name w:val="样式 标题 11.标题 1 + 居中 行距: 1.5 倍行距"/>
    <w:basedOn w:val="1"/>
    <w:autoRedefine/>
    <w:uiPriority w:val="99"/>
    <w:qFormat/>
    <w:pPr>
      <w:keepLines w:val="0"/>
      <w:numPr>
        <w:numId w:val="0"/>
      </w:numPr>
      <w:tabs>
        <w:tab w:val="left" w:pos="870"/>
      </w:tabs>
      <w:ind w:firstLine="510"/>
      <w:jc w:val="both"/>
    </w:pPr>
    <w:rPr>
      <w:rFonts w:cs="Times New Roman"/>
      <w:b w:val="0"/>
      <w:bCs w:val="0"/>
      <w:i/>
      <w:iCs/>
      <w:kern w:val="2"/>
      <w:sz w:val="28"/>
      <w:szCs w:val="24"/>
    </w:rPr>
  </w:style>
  <w:style w:type="paragraph" w:customStyle="1" w:styleId="8a">
    <w:name w:val="标题8"/>
    <w:basedOn w:val="4"/>
    <w:autoRedefine/>
    <w:uiPriority w:val="99"/>
    <w:qFormat/>
    <w:pPr>
      <w:keepNext w:val="0"/>
      <w:keepLines w:val="0"/>
      <w:numPr>
        <w:ilvl w:val="0"/>
        <w:numId w:val="0"/>
      </w:numPr>
      <w:tabs>
        <w:tab w:val="left" w:pos="420"/>
      </w:tabs>
      <w:spacing w:before="120" w:line="240" w:lineRule="auto"/>
      <w:ind w:left="420" w:hanging="420"/>
      <w:outlineLvl w:val="0"/>
    </w:pPr>
    <w:rPr>
      <w:rFonts w:cs="Arial"/>
      <w:b w:val="0"/>
      <w:sz w:val="28"/>
      <w:szCs w:val="32"/>
      <w:lang w:val="zh-CN"/>
    </w:rPr>
  </w:style>
  <w:style w:type="paragraph" w:customStyle="1" w:styleId="98">
    <w:name w:val="标题9"/>
    <w:basedOn w:val="4"/>
    <w:autoRedefine/>
    <w:uiPriority w:val="99"/>
    <w:qFormat/>
    <w:pPr>
      <w:keepNext w:val="0"/>
      <w:keepLines w:val="0"/>
      <w:numPr>
        <w:ilvl w:val="0"/>
        <w:numId w:val="0"/>
      </w:numPr>
      <w:tabs>
        <w:tab w:val="left" w:pos="900"/>
      </w:tabs>
      <w:spacing w:before="120" w:line="240" w:lineRule="auto"/>
      <w:ind w:left="900" w:hanging="420"/>
      <w:outlineLvl w:val="0"/>
    </w:pPr>
    <w:rPr>
      <w:rFonts w:cs="Arial"/>
      <w:b w:val="0"/>
      <w:sz w:val="28"/>
      <w:szCs w:val="32"/>
      <w:lang w:val="zh-CN"/>
    </w:rPr>
  </w:style>
  <w:style w:type="character" w:customStyle="1" w:styleId="2CharCharb">
    <w:name w:val="标题2级 Char Char"/>
    <w:autoRedefine/>
    <w:qFormat/>
    <w:rPr>
      <w:rFonts w:eastAsia="宋体"/>
      <w:b/>
      <w:bCs/>
      <w:kern w:val="2"/>
      <w:sz w:val="24"/>
      <w:szCs w:val="32"/>
      <w:lang w:val="en-US" w:eastAsia="zh-CN" w:bidi="ar-SA"/>
    </w:rPr>
  </w:style>
  <w:style w:type="paragraph" w:customStyle="1" w:styleId="afffffffffffffffffffffffffffffffffffff4">
    <w:name w:val="样式 题注 + 小四"/>
    <w:basedOn w:val="af4"/>
    <w:link w:val="Charfffffffe"/>
    <w:autoRedefine/>
    <w:qFormat/>
    <w:pPr>
      <w:keepNext/>
      <w:jc w:val="center"/>
    </w:pPr>
    <w:rPr>
      <w:rFonts w:ascii="Arial" w:eastAsia="宋体" w:hAnsi="Arial" w:cs="Times New Roman"/>
      <w:kern w:val="0"/>
      <w:sz w:val="24"/>
      <w:lang w:val="zh-CN"/>
    </w:rPr>
  </w:style>
  <w:style w:type="character" w:customStyle="1" w:styleId="Charfffffffe">
    <w:name w:val="样式 题注 + 小四 Char"/>
    <w:link w:val="afffffffffffffffffffffffffffffffffffff4"/>
    <w:autoRedefine/>
    <w:qFormat/>
    <w:rPr>
      <w:rFonts w:ascii="Arial" w:hAnsi="Arial"/>
      <w:sz w:val="24"/>
      <w:lang w:val="zh-CN"/>
    </w:rPr>
  </w:style>
  <w:style w:type="paragraph" w:customStyle="1" w:styleId="1ffffffff2">
    <w:name w:val="样式 题注 + 小四1"/>
    <w:basedOn w:val="af4"/>
    <w:link w:val="1Charc"/>
    <w:autoRedefine/>
    <w:qFormat/>
    <w:pPr>
      <w:keepNext/>
      <w:jc w:val="center"/>
    </w:pPr>
    <w:rPr>
      <w:rFonts w:ascii="Arial" w:eastAsia="宋体" w:hAnsi="Arial" w:cs="Times New Roman"/>
      <w:kern w:val="0"/>
      <w:sz w:val="24"/>
      <w:lang w:val="zh-CN"/>
    </w:rPr>
  </w:style>
  <w:style w:type="character" w:customStyle="1" w:styleId="1Charc">
    <w:name w:val="样式 题注 + 小四1 Char"/>
    <w:link w:val="1ffffffff2"/>
    <w:autoRedefine/>
    <w:qFormat/>
    <w:rPr>
      <w:rFonts w:ascii="Arial" w:hAnsi="Arial"/>
      <w:sz w:val="24"/>
      <w:lang w:val="zh-CN"/>
    </w:rPr>
  </w:style>
  <w:style w:type="paragraph" w:customStyle="1" w:styleId="15e">
    <w:name w:val="样式 左 行距: 1.5 倍行距"/>
    <w:basedOn w:val="a"/>
    <w:autoRedefine/>
    <w:uiPriority w:val="99"/>
    <w:qFormat/>
    <w:pPr>
      <w:spacing w:line="360" w:lineRule="auto"/>
      <w:ind w:firstLineChars="200" w:firstLine="480"/>
      <w:jc w:val="left"/>
    </w:pPr>
    <w:rPr>
      <w:rFonts w:cs="宋体"/>
      <w:sz w:val="24"/>
      <w:szCs w:val="20"/>
    </w:rPr>
  </w:style>
  <w:style w:type="paragraph" w:customStyle="1" w:styleId="1514">
    <w:name w:val="样式 左 行距: 1.5 倍行距1"/>
    <w:basedOn w:val="a"/>
    <w:autoRedefine/>
    <w:uiPriority w:val="99"/>
    <w:qFormat/>
    <w:pPr>
      <w:spacing w:line="360" w:lineRule="auto"/>
      <w:ind w:firstLineChars="225" w:firstLine="540"/>
      <w:jc w:val="left"/>
    </w:pPr>
    <w:rPr>
      <w:rFonts w:cs="宋体"/>
      <w:sz w:val="24"/>
      <w:szCs w:val="20"/>
    </w:rPr>
  </w:style>
  <w:style w:type="paragraph" w:customStyle="1" w:styleId="1525">
    <w:name w:val="样式 左 行距: 1.5 倍行距2"/>
    <w:basedOn w:val="a"/>
    <w:autoRedefine/>
    <w:uiPriority w:val="99"/>
    <w:qFormat/>
    <w:pPr>
      <w:spacing w:line="360" w:lineRule="auto"/>
      <w:ind w:firstLineChars="200" w:firstLine="480"/>
      <w:jc w:val="left"/>
    </w:pPr>
    <w:rPr>
      <w:rFonts w:cs="宋体"/>
      <w:sz w:val="24"/>
      <w:szCs w:val="20"/>
    </w:rPr>
  </w:style>
  <w:style w:type="paragraph" w:customStyle="1" w:styleId="1515">
    <w:name w:val="样式 行距: 1.5 倍行距1"/>
    <w:basedOn w:val="a"/>
    <w:autoRedefine/>
    <w:uiPriority w:val="99"/>
    <w:qFormat/>
    <w:pPr>
      <w:spacing w:line="360" w:lineRule="auto"/>
      <w:ind w:firstLineChars="225" w:firstLine="540"/>
    </w:pPr>
    <w:rPr>
      <w:rFonts w:cs="宋体"/>
      <w:sz w:val="24"/>
      <w:szCs w:val="20"/>
    </w:rPr>
  </w:style>
  <w:style w:type="paragraph" w:customStyle="1" w:styleId="1530">
    <w:name w:val="样式 行距: 1.5 倍行距3"/>
    <w:basedOn w:val="a"/>
    <w:autoRedefine/>
    <w:uiPriority w:val="99"/>
    <w:qFormat/>
    <w:pPr>
      <w:spacing w:line="360" w:lineRule="auto"/>
      <w:ind w:firstLineChars="200" w:firstLine="480"/>
    </w:pPr>
    <w:rPr>
      <w:rFonts w:cs="宋体"/>
      <w:sz w:val="24"/>
      <w:szCs w:val="20"/>
    </w:rPr>
  </w:style>
  <w:style w:type="paragraph" w:customStyle="1" w:styleId="1540">
    <w:name w:val="样式 行距: 1.5 倍行距4"/>
    <w:basedOn w:val="a"/>
    <w:autoRedefine/>
    <w:uiPriority w:val="99"/>
    <w:qFormat/>
    <w:pPr>
      <w:spacing w:line="360" w:lineRule="auto"/>
      <w:ind w:firstLineChars="200" w:firstLine="480"/>
    </w:pPr>
    <w:rPr>
      <w:rFonts w:cs="宋体"/>
      <w:sz w:val="24"/>
      <w:szCs w:val="20"/>
    </w:rPr>
  </w:style>
  <w:style w:type="paragraph" w:customStyle="1" w:styleId="1550">
    <w:name w:val="样式 行距: 1.5 倍行距5"/>
    <w:basedOn w:val="a"/>
    <w:autoRedefine/>
    <w:uiPriority w:val="99"/>
    <w:qFormat/>
    <w:pPr>
      <w:spacing w:line="360" w:lineRule="auto"/>
      <w:ind w:firstLineChars="225" w:firstLine="540"/>
    </w:pPr>
    <w:rPr>
      <w:rFonts w:cs="宋体"/>
      <w:sz w:val="24"/>
      <w:szCs w:val="20"/>
    </w:rPr>
  </w:style>
  <w:style w:type="paragraph" w:customStyle="1" w:styleId="1560">
    <w:name w:val="样式 行距: 1.5 倍行距6"/>
    <w:basedOn w:val="a"/>
    <w:autoRedefine/>
    <w:uiPriority w:val="99"/>
    <w:qFormat/>
    <w:pPr>
      <w:spacing w:line="360" w:lineRule="auto"/>
      <w:ind w:firstLineChars="212" w:firstLine="509"/>
    </w:pPr>
    <w:rPr>
      <w:rFonts w:cs="宋体"/>
      <w:sz w:val="24"/>
      <w:szCs w:val="20"/>
    </w:rPr>
  </w:style>
  <w:style w:type="paragraph" w:customStyle="1" w:styleId="CommentSubject">
    <w:name w:val="Comment Subject"/>
    <w:basedOn w:val="afb"/>
    <w:next w:val="afb"/>
    <w:autoRedefine/>
    <w:uiPriority w:val="99"/>
    <w:qFormat/>
    <w:rPr>
      <w:b/>
      <w:bCs/>
      <w:szCs w:val="24"/>
      <w:lang w:val="zh-CN"/>
    </w:rPr>
  </w:style>
  <w:style w:type="character" w:customStyle="1" w:styleId="CharChar246">
    <w:name w:val="Char Char246"/>
    <w:autoRedefine/>
    <w:qFormat/>
    <w:rPr>
      <w:rFonts w:ascii="Cambria" w:eastAsia="宋体" w:hAnsi="Cambria"/>
      <w:b/>
      <w:bCs/>
      <w:kern w:val="2"/>
      <w:sz w:val="24"/>
      <w:szCs w:val="24"/>
      <w:lang w:val="en-US" w:eastAsia="zh-CN" w:bidi="ar-SA"/>
    </w:rPr>
  </w:style>
  <w:style w:type="character" w:customStyle="1" w:styleId="2CharCharc">
    <w:name w:val="正文文字 2 Char Char"/>
    <w:autoRedefine/>
    <w:qFormat/>
    <w:rPr>
      <w:rFonts w:ascii="Calibri" w:eastAsia="宋体" w:hAnsi="Calibri"/>
      <w:kern w:val="2"/>
      <w:sz w:val="21"/>
      <w:lang w:val="en-US" w:eastAsia="zh-CN" w:bidi="ar-SA"/>
    </w:rPr>
  </w:style>
  <w:style w:type="paragraph" w:customStyle="1" w:styleId="5200">
    <w:name w:val="正文520"/>
    <w:basedOn w:val="a"/>
    <w:link w:val="520Char"/>
    <w:autoRedefine/>
    <w:qFormat/>
    <w:pPr>
      <w:spacing w:line="360" w:lineRule="auto"/>
    </w:pPr>
    <w:rPr>
      <w:rFonts w:cs="Times New Roman"/>
      <w:sz w:val="24"/>
      <w:szCs w:val="20"/>
      <w:lang w:val="zh-CN"/>
    </w:rPr>
  </w:style>
  <w:style w:type="character" w:customStyle="1" w:styleId="520Char">
    <w:name w:val="正文520 Char"/>
    <w:link w:val="5200"/>
    <w:autoRedefine/>
    <w:qFormat/>
    <w:rPr>
      <w:kern w:val="2"/>
      <w:sz w:val="24"/>
      <w:lang w:val="zh-CN"/>
    </w:rPr>
  </w:style>
  <w:style w:type="character" w:customStyle="1" w:styleId="2CharCharCharChar">
    <w:name w:val="标题 2 Char Char Char Char"/>
    <w:autoRedefine/>
    <w:qFormat/>
    <w:rPr>
      <w:rFonts w:ascii="宋体" w:eastAsia="宋体" w:hAnsi="宋体"/>
      <w:b/>
      <w:kern w:val="2"/>
      <w:sz w:val="36"/>
      <w:lang w:val="en-US" w:eastAsia="zh-CN" w:bidi="ar-SA"/>
    </w:rPr>
  </w:style>
  <w:style w:type="paragraph" w:customStyle="1" w:styleId="s4221TimesN">
    <w:name w:val="样式 样式 样式 正文缩进首行缩进两字s4文本条款 + 首行缩进:  2 字符 + 首行缩进:  2 字符1 + Times N..."/>
    <w:basedOn w:val="a"/>
    <w:autoRedefine/>
    <w:uiPriority w:val="99"/>
    <w:qFormat/>
    <w:pPr>
      <w:suppressAutoHyphens/>
      <w:spacing w:line="500" w:lineRule="exact"/>
      <w:ind w:firstLineChars="200" w:firstLine="200"/>
      <w:textAlignment w:val="baseline"/>
    </w:pPr>
    <w:rPr>
      <w:rFonts w:cs="宋体"/>
      <w:kern w:val="1"/>
      <w:sz w:val="28"/>
      <w:szCs w:val="20"/>
      <w:lang w:eastAsia="ar-SA"/>
    </w:rPr>
  </w:style>
  <w:style w:type="paragraph" w:customStyle="1" w:styleId="GB2312GB2312">
    <w:name w:val="样式 样式 表格内容 + 楷体_GB2312 + 仿宋_GB2312 两端对齐"/>
    <w:basedOn w:val="a"/>
    <w:autoRedefine/>
    <w:uiPriority w:val="99"/>
    <w:qFormat/>
    <w:pPr>
      <w:spacing w:line="240" w:lineRule="exact"/>
    </w:pPr>
    <w:rPr>
      <w:rFonts w:cs="宋体"/>
      <w:szCs w:val="21"/>
    </w:rPr>
  </w:style>
  <w:style w:type="paragraph" w:customStyle="1" w:styleId="afffffffffffffffffffffffffffffffffffff5">
    <w:name w:val="表蕊左对齐"/>
    <w:autoRedefine/>
    <w:uiPriority w:val="99"/>
    <w:qFormat/>
    <w:pPr>
      <w:widowControl w:val="0"/>
      <w:adjustRightInd w:val="0"/>
      <w:spacing w:line="320" w:lineRule="exact"/>
      <w:jc w:val="both"/>
      <w:textAlignment w:val="baseline"/>
    </w:pPr>
    <w:rPr>
      <w:spacing w:val="8"/>
      <w:sz w:val="21"/>
      <w:szCs w:val="28"/>
    </w:rPr>
  </w:style>
  <w:style w:type="paragraph" w:customStyle="1" w:styleId="s4CharCharCharCharCharChar">
    <w:name w:val="样式 正文缩进s4文本条款首行缩进两字正文（首行缩进两字） Char Char Char Char Char Char ..."/>
    <w:basedOn w:val="a"/>
    <w:link w:val="s4CharCharCharCharCharCharChar"/>
    <w:autoRedefine/>
    <w:qFormat/>
    <w:pPr>
      <w:suppressAutoHyphens/>
      <w:spacing w:line="440" w:lineRule="exact"/>
      <w:ind w:firstLine="560"/>
    </w:pPr>
    <w:rPr>
      <w:rFonts w:cs="Times New Roman"/>
      <w:kern w:val="1"/>
      <w:sz w:val="28"/>
      <w:szCs w:val="28"/>
      <w:lang w:val="zh-CN" w:eastAsia="ar-SA"/>
    </w:rPr>
  </w:style>
  <w:style w:type="character" w:customStyle="1" w:styleId="s4CharCharCharCharCharCharChar">
    <w:name w:val="样式 正文缩进s4文本条款首行缩进两字正文（首行缩进两字） Char Char Char Char Char Char ... Char"/>
    <w:link w:val="s4CharCharCharCharCharChar"/>
    <w:autoRedefine/>
    <w:qFormat/>
    <w:rPr>
      <w:kern w:val="1"/>
      <w:sz w:val="28"/>
      <w:szCs w:val="28"/>
      <w:lang w:val="zh-CN" w:eastAsia="ar-SA"/>
    </w:rPr>
  </w:style>
  <w:style w:type="paragraph" w:customStyle="1" w:styleId="afffffffffffffffffffffffffffffffffffff6">
    <w:name w:val="首行"/>
    <w:basedOn w:val="affff3"/>
    <w:next w:val="a"/>
    <w:autoRedefine/>
    <w:uiPriority w:val="99"/>
    <w:qFormat/>
    <w:pPr>
      <w:widowControl/>
      <w:kinsoku/>
      <w:spacing w:after="0" w:line="360" w:lineRule="auto"/>
      <w:ind w:firstLineChars="0" w:firstLine="454"/>
      <w:jc w:val="left"/>
    </w:pPr>
    <w:rPr>
      <w:rFonts w:ascii="Arial" w:eastAsia="楷体_GB2312" w:hAnsi="Arial"/>
      <w:sz w:val="28"/>
      <w:lang w:val="zh-CN" w:eastAsia="en-US" w:bidi="en-US"/>
    </w:rPr>
  </w:style>
  <w:style w:type="paragraph" w:customStyle="1" w:styleId="2fffffff5">
    <w:name w:val="样式 正文缩进 + 首行缩进:  2 字符"/>
    <w:basedOn w:val="af2"/>
    <w:autoRedefine/>
    <w:uiPriority w:val="99"/>
    <w:qFormat/>
    <w:pPr>
      <w:widowControl/>
      <w:ind w:firstLineChars="200" w:firstLine="200"/>
      <w:jc w:val="left"/>
    </w:pPr>
    <w:rPr>
      <w:rFonts w:ascii="Arial" w:hAnsi="Arial" w:cs="宋体"/>
      <w:kern w:val="0"/>
      <w:sz w:val="28"/>
      <w:szCs w:val="24"/>
      <w:lang w:val="zh-CN" w:eastAsia="en-US" w:bidi="en-US"/>
    </w:rPr>
  </w:style>
  <w:style w:type="paragraph" w:customStyle="1" w:styleId="07">
    <w:name w:val="正文0"/>
    <w:basedOn w:val="a"/>
    <w:link w:val="0Char0"/>
    <w:autoRedefine/>
    <w:qFormat/>
    <w:pPr>
      <w:ind w:firstLineChars="200" w:firstLine="200"/>
    </w:pPr>
    <w:rPr>
      <w:rFonts w:ascii="仿宋_GB2312" w:eastAsia="仿宋_GB2312" w:cs="Times New Roman"/>
      <w:sz w:val="28"/>
      <w:szCs w:val="28"/>
      <w:lang w:val="zh-CN"/>
    </w:rPr>
  </w:style>
  <w:style w:type="character" w:customStyle="1" w:styleId="0Char0">
    <w:name w:val="正文0 Char"/>
    <w:link w:val="07"/>
    <w:autoRedefine/>
    <w:qFormat/>
    <w:rPr>
      <w:rFonts w:ascii="仿宋_GB2312" w:eastAsia="仿宋_GB2312"/>
      <w:kern w:val="2"/>
      <w:sz w:val="28"/>
      <w:szCs w:val="28"/>
      <w:lang w:val="zh-CN"/>
    </w:rPr>
  </w:style>
  <w:style w:type="paragraph" w:customStyle="1" w:styleId="zjptopic1">
    <w:name w:val="zjptopic1"/>
    <w:basedOn w:val="a"/>
    <w:next w:val="a"/>
    <w:autoRedefine/>
    <w:uiPriority w:val="99"/>
    <w:qFormat/>
    <w:pPr>
      <w:autoSpaceDE w:val="0"/>
      <w:autoSpaceDN w:val="0"/>
      <w:adjustRightInd w:val="0"/>
      <w:spacing w:before="170" w:after="283"/>
      <w:jc w:val="center"/>
    </w:pPr>
    <w:rPr>
      <w:rFonts w:ascii="宋体" w:cs="Times New Roman"/>
      <w:b/>
      <w:spacing w:val="-15"/>
      <w:kern w:val="0"/>
      <w:sz w:val="32"/>
      <w:szCs w:val="20"/>
    </w:rPr>
  </w:style>
  <w:style w:type="paragraph" w:customStyle="1" w:styleId="2fffffff6">
    <w:name w:val="小标题 2"/>
    <w:basedOn w:val="a"/>
    <w:link w:val="2Charf"/>
    <w:autoRedefine/>
    <w:qFormat/>
    <w:pPr>
      <w:autoSpaceDE w:val="0"/>
      <w:autoSpaceDN w:val="0"/>
      <w:adjustRightInd w:val="0"/>
    </w:pPr>
    <w:rPr>
      <w:rFonts w:ascii="宋体" w:cs="Times New Roman"/>
      <w:kern w:val="0"/>
      <w:sz w:val="24"/>
      <w:szCs w:val="20"/>
      <w:lang w:val="zh-CN"/>
    </w:rPr>
  </w:style>
  <w:style w:type="character" w:customStyle="1" w:styleId="2Charf">
    <w:name w:val="小标题 2 Char"/>
    <w:link w:val="2fffffff6"/>
    <w:autoRedefine/>
    <w:qFormat/>
    <w:rPr>
      <w:rFonts w:ascii="宋体"/>
      <w:sz w:val="24"/>
      <w:lang w:val="zh-CN"/>
    </w:rPr>
  </w:style>
  <w:style w:type="paragraph" w:customStyle="1" w:styleId="CM9">
    <w:name w:val="CM9"/>
    <w:basedOn w:val="a"/>
    <w:next w:val="a"/>
    <w:autoRedefine/>
    <w:uiPriority w:val="99"/>
    <w:qFormat/>
    <w:pPr>
      <w:autoSpaceDE w:val="0"/>
      <w:autoSpaceDN w:val="0"/>
      <w:adjustRightInd w:val="0"/>
      <w:spacing w:line="436" w:lineRule="atLeast"/>
      <w:jc w:val="left"/>
    </w:pPr>
    <w:rPr>
      <w:rFonts w:ascii="宋体" w:cs="宋体"/>
      <w:kern w:val="0"/>
      <w:sz w:val="24"/>
      <w:szCs w:val="24"/>
    </w:rPr>
  </w:style>
  <w:style w:type="paragraph" w:customStyle="1" w:styleId="CM49">
    <w:name w:val="CM49"/>
    <w:basedOn w:val="Default"/>
    <w:next w:val="Default"/>
    <w:autoRedefine/>
    <w:uiPriority w:val="99"/>
    <w:qFormat/>
    <w:pPr>
      <w:spacing w:after="165" w:line="480" w:lineRule="auto"/>
      <w:jc w:val="left"/>
    </w:pPr>
    <w:rPr>
      <w:rFonts w:ascii="宋体" w:eastAsia="宋体" w:hAnsi="Times New Roman" w:cs="Times New Roman"/>
      <w:color w:val="auto"/>
      <w:kern w:val="0"/>
    </w:rPr>
  </w:style>
  <w:style w:type="character" w:customStyle="1" w:styleId="1CharCharChar">
    <w:name w:val="标题1 Char Char Char"/>
    <w:autoRedefine/>
    <w:qFormat/>
    <w:rPr>
      <w:b/>
      <w:color w:val="000000"/>
      <w:kern w:val="2"/>
      <w:sz w:val="36"/>
      <w:szCs w:val="36"/>
      <w:lang w:val="zh-CN"/>
    </w:rPr>
  </w:style>
  <w:style w:type="paragraph" w:customStyle="1" w:styleId="textCharChar">
    <w:name w:val="text Char Char"/>
    <w:link w:val="textCharCharChar"/>
    <w:autoRedefine/>
    <w:qFormat/>
    <w:pPr>
      <w:spacing w:line="360" w:lineRule="auto"/>
      <w:ind w:firstLineChars="200" w:firstLine="200"/>
    </w:pPr>
    <w:rPr>
      <w:b/>
      <w:color w:val="000000"/>
      <w:sz w:val="28"/>
      <w:szCs w:val="28"/>
      <w:lang w:val="zh-CN"/>
    </w:rPr>
  </w:style>
  <w:style w:type="character" w:customStyle="1" w:styleId="textCharCharChar">
    <w:name w:val="text Char Char Char"/>
    <w:link w:val="textCharChar"/>
    <w:autoRedefine/>
    <w:qFormat/>
    <w:rPr>
      <w:b/>
      <w:color w:val="000000"/>
      <w:sz w:val="28"/>
      <w:szCs w:val="28"/>
      <w:lang w:val="zh-CN"/>
    </w:rPr>
  </w:style>
  <w:style w:type="paragraph" w:customStyle="1" w:styleId="afffffffffffffffffffffffffffffffffffff7">
    <w:name w:val="表格栏"/>
    <w:basedOn w:val="a"/>
    <w:autoRedefine/>
    <w:uiPriority w:val="99"/>
    <w:qFormat/>
    <w:pPr>
      <w:widowControl/>
      <w:jc w:val="center"/>
    </w:pPr>
    <w:rPr>
      <w:rFonts w:cs="Times New Roman"/>
      <w:color w:val="000000"/>
      <w:sz w:val="24"/>
      <w:szCs w:val="24"/>
      <w:lang w:val="zh-CN"/>
    </w:rPr>
  </w:style>
  <w:style w:type="character" w:customStyle="1" w:styleId="textChar">
    <w:name w:val="text Char"/>
    <w:autoRedefine/>
    <w:qFormat/>
    <w:rPr>
      <w:rFonts w:ascii="Times New Roman" w:hAnsi="Times New Roman"/>
      <w:b/>
      <w:color w:val="000000"/>
      <w:kern w:val="2"/>
      <w:sz w:val="28"/>
      <w:szCs w:val="28"/>
    </w:rPr>
  </w:style>
  <w:style w:type="paragraph" w:customStyle="1" w:styleId="afffffffffffffffffffffffffffffffffffff8">
    <w:name w:val="表蕊居中"/>
    <w:link w:val="Charffffffff"/>
    <w:autoRedefine/>
    <w:qFormat/>
    <w:pPr>
      <w:spacing w:line="320" w:lineRule="exact"/>
      <w:jc w:val="center"/>
    </w:pPr>
    <w:rPr>
      <w:spacing w:val="8"/>
      <w:sz w:val="21"/>
      <w:szCs w:val="28"/>
    </w:rPr>
  </w:style>
  <w:style w:type="character" w:customStyle="1" w:styleId="Charffffffff">
    <w:name w:val="表蕊居中 Char"/>
    <w:link w:val="afffffffffffffffffffffffffffffffffffff8"/>
    <w:autoRedefine/>
    <w:qFormat/>
    <w:rPr>
      <w:spacing w:val="8"/>
      <w:sz w:val="21"/>
      <w:szCs w:val="28"/>
    </w:rPr>
  </w:style>
  <w:style w:type="paragraph" w:customStyle="1" w:styleId="Style44">
    <w:name w:val="_Style 44"/>
    <w:basedOn w:val="a"/>
    <w:autoRedefine/>
    <w:uiPriority w:val="99"/>
    <w:qFormat/>
    <w:rPr>
      <w:rFonts w:cs="Times New Roman"/>
      <w:szCs w:val="20"/>
    </w:rPr>
  </w:style>
  <w:style w:type="paragraph" w:customStyle="1" w:styleId="s4CharCharCharCharCharCha">
    <w:name w:val="样式 样式 样式 正文缩进s4文本条款首行缩进两字正文（首行缩进两字） Char Char Char Char Char Cha..."/>
    <w:basedOn w:val="a"/>
    <w:link w:val="s4CharCharCharCharCharChaChar"/>
    <w:autoRedefine/>
    <w:qFormat/>
    <w:pPr>
      <w:spacing w:line="500" w:lineRule="exact"/>
      <w:ind w:firstLineChars="200" w:firstLine="200"/>
    </w:pPr>
    <w:rPr>
      <w:rFonts w:cs="Times New Roman"/>
      <w:color w:val="000000"/>
      <w:sz w:val="28"/>
      <w:szCs w:val="20"/>
      <w:lang w:val="zh-CN"/>
    </w:rPr>
  </w:style>
  <w:style w:type="character" w:customStyle="1" w:styleId="s4CharCharCharCharCharChaChar">
    <w:name w:val="样式 样式 样式 正文缩进s4文本条款首行缩进两字正文（首行缩进两字） Char Char Char Char Char Cha... Char"/>
    <w:link w:val="s4CharCharCharCharCharCha"/>
    <w:qFormat/>
    <w:rPr>
      <w:color w:val="000000"/>
      <w:kern w:val="2"/>
      <w:sz w:val="28"/>
      <w:lang w:val="zh-CN"/>
    </w:rPr>
  </w:style>
  <w:style w:type="paragraph" w:customStyle="1" w:styleId="afffffffffffffffffffffffffffffffffffff9">
    <w:name w:val="正文(黑体)"/>
    <w:basedOn w:val="a"/>
    <w:autoRedefine/>
    <w:uiPriority w:val="99"/>
    <w:qFormat/>
    <w:pPr>
      <w:autoSpaceDE w:val="0"/>
      <w:autoSpaceDN w:val="0"/>
      <w:adjustRightInd w:val="0"/>
      <w:spacing w:line="288" w:lineRule="auto"/>
      <w:ind w:firstLine="482"/>
      <w:textAlignment w:val="baseline"/>
    </w:pPr>
    <w:rPr>
      <w:rFonts w:ascii="黑体" w:cs="Times New Roman"/>
      <w:kern w:val="0"/>
      <w:sz w:val="24"/>
      <w:szCs w:val="20"/>
    </w:rPr>
  </w:style>
  <w:style w:type="paragraph" w:customStyle="1" w:styleId="Text2">
    <w:name w:val="Text 2"/>
    <w:basedOn w:val="a"/>
    <w:uiPriority w:val="99"/>
    <w:qFormat/>
    <w:pPr>
      <w:widowControl/>
      <w:spacing w:after="100" w:line="300" w:lineRule="exact"/>
      <w:ind w:left="851"/>
    </w:pPr>
    <w:rPr>
      <w:rFonts w:ascii="Arial" w:hAnsi="Arial" w:cs="Times New Roman"/>
      <w:kern w:val="0"/>
      <w:sz w:val="22"/>
      <w:szCs w:val="20"/>
      <w:lang w:eastAsia="en-US"/>
    </w:rPr>
  </w:style>
  <w:style w:type="paragraph" w:customStyle="1" w:styleId="3fffe">
    <w:name w:val="样式3（加粗）"/>
    <w:basedOn w:val="3fa"/>
    <w:autoRedefine/>
    <w:uiPriority w:val="99"/>
    <w:qFormat/>
    <w:pPr>
      <w:adjustRightInd/>
      <w:spacing w:line="360" w:lineRule="auto"/>
      <w:ind w:firstLineChars="200" w:firstLine="200"/>
      <w:jc w:val="both"/>
      <w:textAlignment w:val="auto"/>
    </w:pPr>
    <w:rPr>
      <w:rFonts w:ascii="Times New Roman"/>
      <w:b/>
      <w:color w:val="000000"/>
      <w:kern w:val="2"/>
      <w:sz w:val="28"/>
      <w:szCs w:val="28"/>
    </w:rPr>
  </w:style>
  <w:style w:type="paragraph" w:customStyle="1" w:styleId="afffffffffffffffffffffffffffffffffffffa">
    <w:name w:val="一或二期"/>
    <w:basedOn w:val="3fffe"/>
    <w:autoRedefine/>
    <w:uiPriority w:val="99"/>
    <w:qFormat/>
  </w:style>
  <w:style w:type="paragraph" w:customStyle="1" w:styleId="1270">
    <w:name w:val="样式 小二 左侧:  1.27 厘米"/>
    <w:basedOn w:val="a"/>
    <w:uiPriority w:val="99"/>
    <w:qFormat/>
    <w:pPr>
      <w:ind w:left="720"/>
    </w:pPr>
    <w:rPr>
      <w:rFonts w:cs="宋体"/>
      <w:sz w:val="28"/>
      <w:szCs w:val="20"/>
    </w:rPr>
  </w:style>
  <w:style w:type="paragraph" w:customStyle="1" w:styleId="CM71">
    <w:name w:val="CM71"/>
    <w:basedOn w:val="a"/>
    <w:next w:val="a"/>
    <w:autoRedefine/>
    <w:uiPriority w:val="99"/>
    <w:qFormat/>
    <w:pPr>
      <w:autoSpaceDE w:val="0"/>
      <w:autoSpaceDN w:val="0"/>
      <w:adjustRightInd w:val="0"/>
      <w:spacing w:after="373"/>
      <w:jc w:val="left"/>
    </w:pPr>
    <w:rPr>
      <w:rFonts w:ascii="Arial" w:hAnsi="Arial" w:cs="Times New Roman"/>
      <w:kern w:val="0"/>
      <w:sz w:val="24"/>
      <w:szCs w:val="24"/>
    </w:rPr>
  </w:style>
  <w:style w:type="paragraph" w:customStyle="1" w:styleId="CM72">
    <w:name w:val="CM72"/>
    <w:basedOn w:val="a"/>
    <w:next w:val="a"/>
    <w:autoRedefine/>
    <w:uiPriority w:val="99"/>
    <w:qFormat/>
    <w:pPr>
      <w:autoSpaceDE w:val="0"/>
      <w:autoSpaceDN w:val="0"/>
      <w:adjustRightInd w:val="0"/>
      <w:spacing w:after="275"/>
      <w:jc w:val="left"/>
    </w:pPr>
    <w:rPr>
      <w:rFonts w:ascii="Arial" w:hAnsi="Arial" w:cs="Times New Roman"/>
      <w:kern w:val="0"/>
      <w:sz w:val="24"/>
      <w:szCs w:val="24"/>
    </w:rPr>
  </w:style>
  <w:style w:type="paragraph" w:customStyle="1" w:styleId="CM69">
    <w:name w:val="CM69"/>
    <w:basedOn w:val="a"/>
    <w:next w:val="a"/>
    <w:autoRedefine/>
    <w:uiPriority w:val="99"/>
    <w:qFormat/>
    <w:pPr>
      <w:autoSpaceDE w:val="0"/>
      <w:autoSpaceDN w:val="0"/>
      <w:adjustRightInd w:val="0"/>
      <w:spacing w:after="588"/>
      <w:jc w:val="left"/>
    </w:pPr>
    <w:rPr>
      <w:rFonts w:ascii="Arial" w:hAnsi="Arial" w:cs="Times New Roman"/>
      <w:kern w:val="0"/>
      <w:sz w:val="24"/>
      <w:szCs w:val="24"/>
    </w:rPr>
  </w:style>
  <w:style w:type="paragraph" w:customStyle="1" w:styleId="CM70">
    <w:name w:val="CM70"/>
    <w:basedOn w:val="a"/>
    <w:next w:val="a"/>
    <w:autoRedefine/>
    <w:uiPriority w:val="99"/>
    <w:qFormat/>
    <w:pPr>
      <w:autoSpaceDE w:val="0"/>
      <w:autoSpaceDN w:val="0"/>
      <w:adjustRightInd w:val="0"/>
      <w:spacing w:after="465"/>
      <w:jc w:val="left"/>
    </w:pPr>
    <w:rPr>
      <w:rFonts w:ascii="Arial" w:hAnsi="Arial" w:cs="Times New Roman"/>
      <w:kern w:val="0"/>
      <w:sz w:val="24"/>
      <w:szCs w:val="24"/>
    </w:rPr>
  </w:style>
  <w:style w:type="paragraph" w:customStyle="1" w:styleId="CM74">
    <w:name w:val="CM74"/>
    <w:basedOn w:val="a"/>
    <w:next w:val="a"/>
    <w:autoRedefine/>
    <w:uiPriority w:val="99"/>
    <w:qFormat/>
    <w:pPr>
      <w:autoSpaceDE w:val="0"/>
      <w:autoSpaceDN w:val="0"/>
      <w:adjustRightInd w:val="0"/>
      <w:spacing w:after="535"/>
      <w:jc w:val="left"/>
    </w:pPr>
    <w:rPr>
      <w:rFonts w:ascii="Arial" w:hAnsi="Arial" w:cs="Times New Roman"/>
      <w:kern w:val="0"/>
      <w:sz w:val="24"/>
      <w:szCs w:val="24"/>
    </w:rPr>
  </w:style>
  <w:style w:type="paragraph" w:customStyle="1" w:styleId="nderungen">
    <w:name w:val="Änderungen"/>
    <w:basedOn w:val="a"/>
    <w:next w:val="a"/>
    <w:autoRedefine/>
    <w:uiPriority w:val="99"/>
    <w:qFormat/>
    <w:pPr>
      <w:widowControl/>
      <w:jc w:val="left"/>
    </w:pPr>
    <w:rPr>
      <w:rFonts w:ascii="Arial" w:hAnsi="Arial" w:cs="Times New Roman"/>
      <w:color w:val="FF0000"/>
      <w:kern w:val="0"/>
      <w:sz w:val="22"/>
      <w:lang w:val="en-GB" w:eastAsia="de-DE"/>
    </w:rPr>
  </w:style>
  <w:style w:type="character" w:customStyle="1" w:styleId="nderungenChar">
    <w:name w:val="Änderungen Char"/>
    <w:autoRedefine/>
    <w:qFormat/>
    <w:rPr>
      <w:rFonts w:ascii="Arial" w:hAnsi="Arial"/>
      <w:color w:val="FF0000"/>
      <w:sz w:val="22"/>
      <w:szCs w:val="22"/>
      <w:lang w:val="en-GB" w:eastAsia="de-DE" w:bidi="ar-SA"/>
    </w:rPr>
  </w:style>
  <w:style w:type="paragraph" w:customStyle="1" w:styleId="linp">
    <w:name w:val="linp"/>
    <w:basedOn w:val="a"/>
    <w:next w:val="a"/>
    <w:uiPriority w:val="99"/>
    <w:qFormat/>
    <w:pPr>
      <w:tabs>
        <w:tab w:val="left" w:pos="2520"/>
      </w:tabs>
      <w:jc w:val="left"/>
    </w:pPr>
    <w:rPr>
      <w:rFonts w:cs="Times New Roman"/>
      <w:sz w:val="24"/>
      <w:szCs w:val="24"/>
    </w:rPr>
  </w:style>
  <w:style w:type="paragraph" w:customStyle="1" w:styleId="afffffffffffffffffffffffffffffffffffffb">
    <w:name w:val="陈策标题"/>
    <w:basedOn w:val="a"/>
    <w:autoRedefine/>
    <w:uiPriority w:val="99"/>
    <w:qFormat/>
    <w:pPr>
      <w:jc w:val="center"/>
      <w:outlineLvl w:val="0"/>
    </w:pPr>
    <w:rPr>
      <w:rFonts w:cs="Times New Roman"/>
      <w:b/>
      <w:bCs/>
      <w:color w:val="000000"/>
      <w:sz w:val="24"/>
      <w:szCs w:val="24"/>
    </w:rPr>
  </w:style>
  <w:style w:type="paragraph" w:customStyle="1" w:styleId="2fffffff7">
    <w:name w:val="缩进2个字"/>
    <w:basedOn w:val="a"/>
    <w:autoRedefine/>
    <w:uiPriority w:val="99"/>
    <w:qFormat/>
    <w:pPr>
      <w:jc w:val="center"/>
    </w:pPr>
    <w:rPr>
      <w:rFonts w:cs="Times New Roman"/>
      <w:bCs/>
      <w:snapToGrid w:val="0"/>
      <w:color w:val="000000"/>
      <w:spacing w:val="23"/>
      <w:kern w:val="0"/>
      <w:sz w:val="24"/>
      <w:szCs w:val="24"/>
    </w:rPr>
  </w:style>
  <w:style w:type="paragraph" w:customStyle="1" w:styleId="afffffffffffffffffffffffffffffffffffffc">
    <w:name w:val="陈策基本格式"/>
    <w:basedOn w:val="a"/>
    <w:autoRedefine/>
    <w:uiPriority w:val="99"/>
    <w:qFormat/>
    <w:pPr>
      <w:jc w:val="left"/>
    </w:pPr>
    <w:rPr>
      <w:rFonts w:cs="Times New Roman"/>
      <w:sz w:val="24"/>
      <w:szCs w:val="24"/>
    </w:rPr>
  </w:style>
  <w:style w:type="paragraph" w:customStyle="1" w:styleId="pp">
    <w:name w:val="pp"/>
    <w:basedOn w:val="afffffffffffffffffffffffffffffffffffffb"/>
    <w:autoRedefine/>
    <w:uiPriority w:val="99"/>
    <w:qFormat/>
  </w:style>
  <w:style w:type="paragraph" w:customStyle="1" w:styleId="afffffffffffffffffffffffffffffffffffffd">
    <w:name w:val="陈策样式"/>
    <w:basedOn w:val="a"/>
    <w:autoRedefine/>
    <w:uiPriority w:val="99"/>
    <w:qFormat/>
    <w:pPr>
      <w:tabs>
        <w:tab w:val="left" w:pos="1025"/>
      </w:tabs>
      <w:ind w:left="1025" w:hanging="465"/>
      <w:jc w:val="center"/>
    </w:pPr>
    <w:rPr>
      <w:rFonts w:cs="Times New Roman"/>
      <w:b/>
      <w:sz w:val="28"/>
      <w:szCs w:val="28"/>
    </w:rPr>
  </w:style>
  <w:style w:type="paragraph" w:customStyle="1" w:styleId="1ffffffff3">
    <w:name w:val="陈策标题1"/>
    <w:basedOn w:val="a"/>
    <w:autoRedefine/>
    <w:uiPriority w:val="99"/>
    <w:qFormat/>
    <w:pPr>
      <w:jc w:val="center"/>
    </w:pPr>
    <w:rPr>
      <w:rFonts w:cs="Times New Roman"/>
      <w:b/>
      <w:sz w:val="28"/>
      <w:szCs w:val="28"/>
    </w:rPr>
  </w:style>
  <w:style w:type="paragraph" w:customStyle="1" w:styleId="2fffffff8">
    <w:name w:val="陈策标题2"/>
    <w:basedOn w:val="a"/>
    <w:autoRedefine/>
    <w:uiPriority w:val="99"/>
    <w:qFormat/>
    <w:pPr>
      <w:jc w:val="center"/>
    </w:pPr>
    <w:rPr>
      <w:rFonts w:cs="Times New Roman"/>
      <w:b/>
      <w:sz w:val="28"/>
      <w:szCs w:val="28"/>
    </w:rPr>
  </w:style>
  <w:style w:type="paragraph" w:customStyle="1" w:styleId="Definitionlist">
    <w:name w:val="Definition list"/>
    <w:basedOn w:val="a"/>
    <w:autoRedefine/>
    <w:uiPriority w:val="99"/>
    <w:qFormat/>
    <w:pPr>
      <w:widowControl/>
      <w:spacing w:after="180" w:line="360" w:lineRule="auto"/>
      <w:ind w:left="3969" w:hanging="3260"/>
    </w:pPr>
    <w:rPr>
      <w:rFonts w:ascii="Tahoma" w:hAnsi="Tahoma" w:cs="Times New Roman"/>
      <w:kern w:val="0"/>
      <w:sz w:val="22"/>
      <w:szCs w:val="20"/>
      <w:lang w:eastAsia="en-US"/>
    </w:rPr>
  </w:style>
  <w:style w:type="paragraph" w:customStyle="1" w:styleId="afffffffffffffffffffffffffffffffffffffe">
    <w:name w:val="陈策次目录"/>
    <w:basedOn w:val="a"/>
    <w:autoRedefine/>
    <w:uiPriority w:val="99"/>
    <w:qFormat/>
    <w:pPr>
      <w:ind w:firstLineChars="200" w:firstLine="552"/>
    </w:pPr>
    <w:rPr>
      <w:rFonts w:ascii="Arial Narrow" w:hAnsi="Arial Narrow" w:cs="Times New Roman"/>
      <w:sz w:val="24"/>
      <w:szCs w:val="24"/>
    </w:rPr>
  </w:style>
  <w:style w:type="character" w:customStyle="1" w:styleId="Heading2Char">
    <w:name w:val="Heading 2 Char"/>
    <w:autoRedefine/>
    <w:qFormat/>
    <w:locked/>
    <w:rPr>
      <w:rFonts w:ascii="Arial" w:eastAsia="黑体" w:hAnsi="Arial" w:cs="Times New Roman"/>
      <w:b/>
      <w:bCs/>
      <w:sz w:val="32"/>
      <w:szCs w:val="32"/>
    </w:rPr>
  </w:style>
  <w:style w:type="character" w:customStyle="1" w:styleId="Heading3Char">
    <w:name w:val="Heading 3 Char"/>
    <w:autoRedefine/>
    <w:qFormat/>
    <w:locked/>
    <w:rPr>
      <w:rFonts w:ascii="Times New Roman" w:eastAsia="宋体" w:hAnsi="Times New Roman" w:cs="Times New Roman"/>
      <w:b/>
      <w:bCs/>
      <w:sz w:val="32"/>
      <w:szCs w:val="32"/>
    </w:rPr>
  </w:style>
  <w:style w:type="paragraph" w:customStyle="1" w:styleId="CharCharChar1Char2">
    <w:name w:val="Char Char Char1 Char2"/>
    <w:basedOn w:val="a"/>
    <w:autoRedefine/>
    <w:uiPriority w:val="99"/>
    <w:qFormat/>
    <w:pPr>
      <w:widowControl/>
      <w:spacing w:after="160" w:line="240" w:lineRule="exact"/>
      <w:jc w:val="left"/>
    </w:pPr>
    <w:rPr>
      <w:rFonts w:ascii="宋体" w:hAnsi="宋体" w:cs="Times New Roman"/>
      <w:kern w:val="0"/>
      <w:sz w:val="20"/>
      <w:szCs w:val="20"/>
      <w:lang w:eastAsia="en-US"/>
    </w:rPr>
  </w:style>
  <w:style w:type="paragraph" w:customStyle="1" w:styleId="CharCharChar1CharCharCharChar1">
    <w:name w:val="Char Char Char1 Char Char Char Char1"/>
    <w:basedOn w:val="a"/>
    <w:autoRedefine/>
    <w:uiPriority w:val="99"/>
    <w:qFormat/>
    <w:rPr>
      <w:rFonts w:cs="Times New Roman"/>
      <w:szCs w:val="24"/>
    </w:rPr>
  </w:style>
  <w:style w:type="paragraph" w:customStyle="1" w:styleId="OutokumpuNormal">
    <w:name w:val="Outokumpu Normal"/>
    <w:basedOn w:val="a"/>
    <w:autoRedefine/>
    <w:uiPriority w:val="99"/>
    <w:qFormat/>
    <w:pPr>
      <w:widowControl/>
      <w:spacing w:after="220"/>
      <w:ind w:left="1134"/>
      <w:jc w:val="left"/>
    </w:pPr>
    <w:rPr>
      <w:rFonts w:ascii="Arial" w:hAnsi="Arial" w:cs="Times New Roman"/>
      <w:kern w:val="0"/>
      <w:sz w:val="22"/>
      <w:lang w:eastAsia="fi-FI"/>
    </w:rPr>
  </w:style>
  <w:style w:type="paragraph" w:customStyle="1" w:styleId="Arial098">
    <w:name w:val="样式 Arial 四号 首行缩进:  0.98 厘米"/>
    <w:basedOn w:val="a"/>
    <w:autoRedefine/>
    <w:uiPriority w:val="99"/>
    <w:qFormat/>
    <w:pPr>
      <w:spacing w:line="360" w:lineRule="auto"/>
      <w:ind w:firstLine="556"/>
    </w:pPr>
    <w:rPr>
      <w:rFonts w:ascii="Arial" w:hAnsi="Arial" w:cs="宋体"/>
      <w:sz w:val="28"/>
      <w:szCs w:val="20"/>
    </w:rPr>
  </w:style>
  <w:style w:type="paragraph" w:customStyle="1" w:styleId="Arial">
    <w:name w:val="样式 正文缩进 + Arial 四号"/>
    <w:basedOn w:val="af2"/>
    <w:autoRedefine/>
    <w:uiPriority w:val="99"/>
    <w:qFormat/>
    <w:pPr>
      <w:ind w:firstLineChars="200" w:firstLine="560"/>
    </w:pPr>
    <w:rPr>
      <w:rFonts w:ascii="Arial" w:hAnsi="宋体" w:cs="宋体"/>
      <w:sz w:val="28"/>
      <w:lang w:val="zh-CN"/>
    </w:rPr>
  </w:style>
  <w:style w:type="paragraph" w:customStyle="1" w:styleId="CharChar1CharCharCharChar">
    <w:name w:val="Char Char1 Char Char Char Char"/>
    <w:basedOn w:val="a"/>
    <w:autoRedefine/>
    <w:uiPriority w:val="99"/>
    <w:qFormat/>
    <w:pPr>
      <w:spacing w:line="360" w:lineRule="auto"/>
      <w:ind w:firstLineChars="200" w:firstLine="200"/>
    </w:pPr>
    <w:rPr>
      <w:rFonts w:ascii="Tahoma" w:hAnsi="Tahoma" w:cs="Times New Roman"/>
      <w:sz w:val="24"/>
      <w:szCs w:val="20"/>
    </w:rPr>
  </w:style>
  <w:style w:type="paragraph" w:customStyle="1" w:styleId="3A1">
    <w:name w:val="宏福3A"/>
    <w:basedOn w:val="a"/>
    <w:autoRedefine/>
    <w:uiPriority w:val="99"/>
    <w:qFormat/>
    <w:pPr>
      <w:keepNext/>
      <w:keepLines/>
      <w:snapToGrid w:val="0"/>
      <w:spacing w:before="240"/>
      <w:outlineLvl w:val="2"/>
    </w:pPr>
    <w:rPr>
      <w:rFonts w:cs="Times New Roman"/>
      <w:snapToGrid w:val="0"/>
      <w:kern w:val="0"/>
      <w:sz w:val="24"/>
      <w:szCs w:val="20"/>
    </w:rPr>
  </w:style>
  <w:style w:type="paragraph" w:customStyle="1" w:styleId="1Arial05051">
    <w:name w:val="样式 标题 1 + (西文) Arial (中文) 黑体 非加粗 段前: 0.5 行 段后: 0.5 行 行距: 1...."/>
    <w:basedOn w:val="1"/>
    <w:autoRedefine/>
    <w:uiPriority w:val="99"/>
    <w:qFormat/>
    <w:pPr>
      <w:keepLines w:val="0"/>
      <w:numPr>
        <w:numId w:val="0"/>
      </w:numPr>
      <w:tabs>
        <w:tab w:val="left" w:pos="870"/>
      </w:tabs>
      <w:ind w:firstLine="510"/>
      <w:jc w:val="both"/>
    </w:pPr>
    <w:rPr>
      <w:rFonts w:cs="Times New Roman"/>
      <w:b w:val="0"/>
      <w:bCs w:val="0"/>
      <w:i/>
      <w:iCs/>
      <w:kern w:val="2"/>
      <w:sz w:val="28"/>
      <w:szCs w:val="24"/>
    </w:rPr>
  </w:style>
  <w:style w:type="paragraph" w:customStyle="1" w:styleId="22CharChar2CharCharCharH2Heading2Hidden">
    <w:name w:val="样式 标题 2标题 2 Char Char节标题 2 Char Char CharH2Heading 2 Hidden..."/>
    <w:basedOn w:val="20"/>
    <w:link w:val="22CharChar2CharCharCharH2Heading2HiddenChar"/>
    <w:autoRedefine/>
    <w:uiPriority w:val="99"/>
    <w:qFormat/>
    <w:pPr>
      <w:keepLines w:val="0"/>
      <w:numPr>
        <w:ilvl w:val="0"/>
        <w:numId w:val="0"/>
      </w:numPr>
      <w:tabs>
        <w:tab w:val="left" w:pos="870"/>
      </w:tabs>
      <w:spacing w:beforeLines="0" w:before="0" w:afterLines="0" w:after="0" w:line="240" w:lineRule="auto"/>
      <w:ind w:firstLine="510"/>
      <w:jc w:val="center"/>
    </w:pPr>
    <w:rPr>
      <w:rFonts w:cs="Times New Roman"/>
      <w:sz w:val="21"/>
      <w:szCs w:val="24"/>
    </w:rPr>
  </w:style>
  <w:style w:type="character" w:customStyle="1" w:styleId="22CharChar2CharCharCharH2Heading2HiddenChar">
    <w:name w:val="样式 标题 2标题 2 Char Char节标题 2 Char Char CharH2Heading 2 Hidden... Char"/>
    <w:link w:val="22CharChar2CharCharCharH2Heading2Hidden"/>
    <w:autoRedefine/>
    <w:uiPriority w:val="99"/>
    <w:qFormat/>
    <w:rPr>
      <w:b/>
      <w:bCs/>
      <w:kern w:val="2"/>
      <w:sz w:val="21"/>
      <w:szCs w:val="24"/>
    </w:rPr>
  </w:style>
  <w:style w:type="paragraph" w:customStyle="1" w:styleId="22CharChar2CharCharCharH2Heading2Hidden1">
    <w:name w:val="样式 标题 2标题 2 Char Char节标题 2 Char Char CharH2Heading 2 Hidden...1"/>
    <w:basedOn w:val="20"/>
    <w:autoRedefine/>
    <w:uiPriority w:val="99"/>
    <w:qFormat/>
    <w:pPr>
      <w:keepLines w:val="0"/>
      <w:numPr>
        <w:ilvl w:val="0"/>
        <w:numId w:val="0"/>
      </w:numPr>
      <w:tabs>
        <w:tab w:val="left" w:pos="870"/>
      </w:tabs>
      <w:spacing w:beforeLines="0" w:before="0" w:afterLines="0" w:after="0" w:line="240" w:lineRule="auto"/>
      <w:ind w:firstLine="510"/>
      <w:jc w:val="center"/>
    </w:pPr>
    <w:rPr>
      <w:rFonts w:cs="Times New Roman"/>
      <w:sz w:val="21"/>
      <w:szCs w:val="24"/>
    </w:rPr>
  </w:style>
  <w:style w:type="paragraph" w:customStyle="1" w:styleId="zjpheadline3">
    <w:name w:val="zjpheadline3"/>
    <w:basedOn w:val="a"/>
    <w:next w:val="a"/>
    <w:autoRedefine/>
    <w:uiPriority w:val="99"/>
    <w:qFormat/>
    <w:pPr>
      <w:autoSpaceDE w:val="0"/>
      <w:autoSpaceDN w:val="0"/>
      <w:adjustRightInd w:val="0"/>
      <w:spacing w:after="28"/>
      <w:ind w:left="283"/>
      <w:jc w:val="left"/>
    </w:pPr>
    <w:rPr>
      <w:rFonts w:ascii="黑体" w:eastAsia="黑体" w:cs="Times New Roman"/>
      <w:snapToGrid w:val="0"/>
      <w:kern w:val="0"/>
      <w:sz w:val="26"/>
      <w:szCs w:val="21"/>
    </w:rPr>
  </w:style>
  <w:style w:type="paragraph" w:customStyle="1" w:styleId="11ff0">
    <w:name w:val="样式 标题三 + 左侧:  1 字符 右侧:  1 字符"/>
    <w:basedOn w:val="a"/>
    <w:autoRedefine/>
    <w:uiPriority w:val="99"/>
    <w:qFormat/>
    <w:pPr>
      <w:keepNext/>
      <w:keepLines/>
      <w:spacing w:before="240" w:after="260" w:line="560" w:lineRule="exact"/>
      <w:outlineLvl w:val="2"/>
    </w:pPr>
    <w:rPr>
      <w:rFonts w:hAnsi="宋体" w:cs="宋体"/>
      <w:b/>
      <w:bCs/>
      <w:snapToGrid w:val="0"/>
      <w:kern w:val="0"/>
      <w:sz w:val="24"/>
      <w:szCs w:val="24"/>
      <w:lang w:val="de-DE"/>
    </w:rPr>
  </w:style>
  <w:style w:type="paragraph" w:customStyle="1" w:styleId="U0">
    <w:name w:val="U_正文"/>
    <w:basedOn w:val="a"/>
    <w:autoRedefine/>
    <w:uiPriority w:val="99"/>
    <w:qFormat/>
    <w:pPr>
      <w:spacing w:beforeLines="20" w:afterLines="20" w:line="300" w:lineRule="auto"/>
      <w:ind w:firstLineChars="200" w:firstLine="200"/>
    </w:pPr>
    <w:rPr>
      <w:rFonts w:cs="Times New Roman"/>
      <w:sz w:val="24"/>
      <w:szCs w:val="20"/>
    </w:rPr>
  </w:style>
  <w:style w:type="paragraph" w:customStyle="1" w:styleId="affffffffffffffffffffffffffffffffffffff">
    <w:name w:val="表头我草你奶奶"/>
    <w:basedOn w:val="a"/>
    <w:autoRedefine/>
    <w:uiPriority w:val="99"/>
    <w:qFormat/>
    <w:pPr>
      <w:spacing w:line="400" w:lineRule="exact"/>
      <w:ind w:firstLineChars="200" w:firstLine="480"/>
    </w:pPr>
    <w:rPr>
      <w:rFonts w:cs="Times New Roman"/>
      <w:szCs w:val="20"/>
    </w:rPr>
  </w:style>
  <w:style w:type="paragraph" w:customStyle="1" w:styleId="Liu1">
    <w:name w:val="正文Liu－1"/>
    <w:basedOn w:val="a"/>
    <w:autoRedefine/>
    <w:uiPriority w:val="99"/>
    <w:qFormat/>
    <w:pPr>
      <w:spacing w:line="360" w:lineRule="auto"/>
    </w:pPr>
    <w:rPr>
      <w:rFonts w:cs="Times New Roman"/>
      <w:bCs/>
      <w:kern w:val="28"/>
      <w:sz w:val="28"/>
      <w:szCs w:val="24"/>
    </w:rPr>
  </w:style>
  <w:style w:type="paragraph" w:customStyle="1" w:styleId="1Section">
    <w:name w:val="1 Section"/>
    <w:basedOn w:val="a"/>
    <w:autoRedefine/>
    <w:uiPriority w:val="99"/>
    <w:qFormat/>
    <w:pPr>
      <w:tabs>
        <w:tab w:val="left" w:pos="-1440"/>
        <w:tab w:val="left" w:pos="-1123"/>
        <w:tab w:val="left" w:pos="-720"/>
        <w:tab w:val="left" w:pos="0"/>
        <w:tab w:val="left" w:pos="720"/>
        <w:tab w:val="left" w:pos="1440"/>
        <w:tab w:val="left" w:pos="2160"/>
        <w:tab w:val="left" w:pos="3600"/>
        <w:tab w:val="left" w:pos="4320"/>
      </w:tabs>
      <w:spacing w:before="120" w:after="120"/>
    </w:pPr>
    <w:rPr>
      <w:rFonts w:ascii="Arial" w:eastAsia="Times New Roman" w:hAnsi="Arial" w:cs="Times New Roman"/>
      <w:kern w:val="0"/>
      <w:sz w:val="22"/>
      <w:szCs w:val="20"/>
      <w:lang w:val="en-AU" w:eastAsia="en-US"/>
    </w:rPr>
  </w:style>
  <w:style w:type="character" w:customStyle="1" w:styleId="CharChar16">
    <w:name w:val="Char Char16"/>
    <w:autoRedefine/>
    <w:qFormat/>
    <w:rPr>
      <w:rFonts w:eastAsia="宋体"/>
      <w:i/>
      <w:color w:val="0000FF"/>
      <w:kern w:val="2"/>
      <w:sz w:val="28"/>
      <w:lang w:val="en-US" w:eastAsia="zh-CN"/>
    </w:rPr>
  </w:style>
  <w:style w:type="paragraph" w:customStyle="1" w:styleId="CM3">
    <w:name w:val="CM3"/>
    <w:basedOn w:val="Default"/>
    <w:next w:val="Default"/>
    <w:autoRedefine/>
    <w:uiPriority w:val="99"/>
    <w:qFormat/>
    <w:pPr>
      <w:spacing w:line="626" w:lineRule="atLeast"/>
      <w:jc w:val="left"/>
    </w:pPr>
    <w:rPr>
      <w:rFonts w:ascii="隶书" w:eastAsia="隶书" w:hAnsi="Times New Roman" w:cs="Times New Roman"/>
      <w:color w:val="auto"/>
      <w:kern w:val="0"/>
      <w:szCs w:val="20"/>
    </w:rPr>
  </w:style>
  <w:style w:type="paragraph" w:customStyle="1" w:styleId="CharChar1CharCharCharChar1">
    <w:name w:val="Char Char1 Char Char Char Char1"/>
    <w:basedOn w:val="a"/>
    <w:autoRedefine/>
    <w:uiPriority w:val="99"/>
    <w:qFormat/>
    <w:pPr>
      <w:spacing w:line="360" w:lineRule="auto"/>
      <w:ind w:firstLineChars="200" w:firstLine="200"/>
    </w:pPr>
    <w:rPr>
      <w:rFonts w:ascii="Tahoma" w:hAnsi="Tahoma" w:cs="Times New Roman"/>
      <w:sz w:val="24"/>
      <w:szCs w:val="20"/>
    </w:rPr>
  </w:style>
  <w:style w:type="paragraph" w:customStyle="1" w:styleId="affffffffffffffffffffffffffffffffffffff0">
    <w:name w:val="表内文字数据"/>
    <w:basedOn w:val="a"/>
    <w:next w:val="a"/>
    <w:uiPriority w:val="99"/>
    <w:qFormat/>
    <w:pPr>
      <w:spacing w:line="240" w:lineRule="atLeast"/>
      <w:jc w:val="left"/>
    </w:pPr>
    <w:rPr>
      <w:rFonts w:cs="Times New Roman"/>
      <w:kern w:val="0"/>
      <w:szCs w:val="21"/>
    </w:rPr>
  </w:style>
  <w:style w:type="character" w:customStyle="1" w:styleId="CharChar141">
    <w:name w:val="Char Char141"/>
    <w:autoRedefine/>
    <w:qFormat/>
    <w:rPr>
      <w:i/>
      <w:color w:val="0000FF"/>
      <w:kern w:val="2"/>
      <w:sz w:val="18"/>
    </w:rPr>
  </w:style>
  <w:style w:type="character" w:customStyle="1" w:styleId="CharChar151">
    <w:name w:val="Char Char151"/>
    <w:autoRedefine/>
    <w:qFormat/>
    <w:rPr>
      <w:rFonts w:eastAsia="宋体"/>
      <w:i/>
      <w:color w:val="0000FF"/>
      <w:kern w:val="2"/>
      <w:sz w:val="28"/>
      <w:lang w:val="en-US" w:eastAsia="zh-CN"/>
    </w:rPr>
  </w:style>
  <w:style w:type="character" w:customStyle="1" w:styleId="CharChar161">
    <w:name w:val="Char Char161"/>
    <w:autoRedefine/>
    <w:qFormat/>
    <w:rPr>
      <w:rFonts w:eastAsia="宋体"/>
      <w:i/>
      <w:color w:val="0000FF"/>
      <w:kern w:val="2"/>
      <w:sz w:val="28"/>
      <w:lang w:val="en-US" w:eastAsia="zh-CN"/>
    </w:rPr>
  </w:style>
  <w:style w:type="character" w:customStyle="1" w:styleId="CharChar211">
    <w:name w:val="Char Char211"/>
    <w:qFormat/>
    <w:rPr>
      <w:rFonts w:ascii="Times New Roman" w:eastAsia="宋体" w:hAnsi="Times New Roman" w:cs="Times New Roman"/>
      <w:b/>
      <w:i/>
      <w:color w:val="0000FF"/>
      <w:kern w:val="44"/>
      <w:sz w:val="44"/>
      <w:szCs w:val="20"/>
    </w:rPr>
  </w:style>
  <w:style w:type="paragraph" w:customStyle="1" w:styleId="affffffffffffffffffffffffffffffffffffff1">
    <w:name w:val="表里文字"/>
    <w:basedOn w:val="a"/>
    <w:autoRedefine/>
    <w:uiPriority w:val="99"/>
    <w:qFormat/>
    <w:pPr>
      <w:spacing w:line="240" w:lineRule="atLeast"/>
      <w:jc w:val="left"/>
    </w:pPr>
    <w:rPr>
      <w:rFonts w:ascii="宋体" w:hAnsi="宋体" w:cs="Times New Roman"/>
      <w:iCs/>
      <w:snapToGrid w:val="0"/>
      <w:kern w:val="0"/>
      <w:szCs w:val="24"/>
    </w:rPr>
  </w:style>
  <w:style w:type="paragraph" w:customStyle="1" w:styleId="affffffffffffffffffffffffffffffffffffff2">
    <w:name w:val="图解"/>
    <w:basedOn w:val="a"/>
    <w:next w:val="af2"/>
    <w:uiPriority w:val="99"/>
    <w:qFormat/>
    <w:pPr>
      <w:widowControl/>
      <w:spacing w:line="360" w:lineRule="auto"/>
      <w:jc w:val="center"/>
    </w:pPr>
    <w:rPr>
      <w:rFonts w:cs="Times New Roman"/>
      <w:szCs w:val="21"/>
    </w:rPr>
  </w:style>
  <w:style w:type="paragraph" w:customStyle="1" w:styleId="liu">
    <w:name w:val="标题－liu"/>
    <w:basedOn w:val="affff"/>
    <w:uiPriority w:val="99"/>
    <w:qFormat/>
    <w:pPr>
      <w:adjustRightInd w:val="0"/>
      <w:snapToGrid w:val="0"/>
      <w:spacing w:before="190" w:after="190" w:line="360" w:lineRule="auto"/>
    </w:pPr>
    <w:rPr>
      <w:rFonts w:ascii="Times New Roman" w:hAnsi="Times New Roman"/>
      <w:b/>
      <w:color w:val="0000FF"/>
      <w:kern w:val="2"/>
      <w:sz w:val="30"/>
      <w:lang w:val="zh-CN"/>
    </w:rPr>
  </w:style>
  <w:style w:type="paragraph" w:customStyle="1" w:styleId="OutokumpuNumberedHeading9">
    <w:name w:val="Outokumpu Numbered Heading 9"/>
    <w:basedOn w:val="OutokumpuNormal"/>
    <w:next w:val="OutokumpuNormal"/>
    <w:autoRedefine/>
    <w:uiPriority w:val="99"/>
    <w:qFormat/>
  </w:style>
  <w:style w:type="paragraph" w:customStyle="1" w:styleId="OutokumpuNumberedHeading2">
    <w:name w:val="Outokumpu Numbered Heading 2"/>
    <w:basedOn w:val="OutokumpuNormal"/>
    <w:next w:val="OutokumpuNormal"/>
    <w:uiPriority w:val="99"/>
    <w:qFormat/>
  </w:style>
  <w:style w:type="paragraph" w:customStyle="1" w:styleId="OutokumpuNumberedHeading5">
    <w:name w:val="Outokumpu Numbered Heading 5"/>
    <w:basedOn w:val="OutokumpuNormal"/>
    <w:next w:val="OutokumpuNormal"/>
    <w:uiPriority w:val="99"/>
    <w:qFormat/>
  </w:style>
  <w:style w:type="paragraph" w:customStyle="1" w:styleId="ParaCharCharCharCharCharCharCharCharChar1CharCharCharCharCharCharChar">
    <w:name w:val="默认段落字体 Para Char Char Char Char Char Char Char Char Char1 Char Char Char Char Char Char Char"/>
    <w:basedOn w:val="af8"/>
    <w:uiPriority w:val="99"/>
    <w:qFormat/>
    <w:rPr>
      <w:rFonts w:ascii="Tahoma" w:hAnsi="Tahoma"/>
      <w:kern w:val="2"/>
      <w:lang w:val="zh-CN"/>
    </w:rPr>
  </w:style>
  <w:style w:type="paragraph" w:customStyle="1" w:styleId="5fc">
    <w:name w:val="表小5"/>
    <w:basedOn w:val="a"/>
    <w:autoRedefine/>
    <w:uiPriority w:val="99"/>
    <w:qFormat/>
    <w:pPr>
      <w:adjustRightInd w:val="0"/>
      <w:snapToGrid w:val="0"/>
      <w:spacing w:line="240" w:lineRule="atLeast"/>
      <w:jc w:val="center"/>
    </w:pPr>
    <w:rPr>
      <w:rFonts w:cs="Times New Roman"/>
      <w:color w:val="000000"/>
      <w:kern w:val="0"/>
      <w:sz w:val="18"/>
      <w:szCs w:val="20"/>
    </w:rPr>
  </w:style>
  <w:style w:type="paragraph" w:customStyle="1" w:styleId="OutokumpuNumberedHeading8">
    <w:name w:val="Outokumpu Numbered Heading 8"/>
    <w:basedOn w:val="OutokumpuNormal"/>
    <w:next w:val="OutokumpuNormal"/>
    <w:autoRedefine/>
    <w:uiPriority w:val="99"/>
    <w:qFormat/>
  </w:style>
  <w:style w:type="paragraph" w:customStyle="1" w:styleId="OutokumpuNumberedHeading4">
    <w:name w:val="Outokumpu Numbered Heading 4"/>
    <w:basedOn w:val="OutokumpuNormal"/>
    <w:next w:val="OutokumpuNormal"/>
    <w:autoRedefine/>
    <w:uiPriority w:val="99"/>
    <w:qFormat/>
  </w:style>
  <w:style w:type="paragraph" w:customStyle="1" w:styleId="OutokumpuNumberedHeading7">
    <w:name w:val="Outokumpu Numbered Heading 7"/>
    <w:basedOn w:val="OutokumpuNormal"/>
    <w:next w:val="OutokumpuNormal"/>
    <w:autoRedefine/>
    <w:uiPriority w:val="99"/>
    <w:qFormat/>
  </w:style>
  <w:style w:type="paragraph" w:customStyle="1" w:styleId="OutokumpuNumberedHeading3">
    <w:name w:val="Outokumpu Numbered Heading 3"/>
    <w:basedOn w:val="OutokumpuNormal"/>
    <w:next w:val="OutokumpuNormal"/>
    <w:autoRedefine/>
    <w:uiPriority w:val="99"/>
    <w:qFormat/>
  </w:style>
  <w:style w:type="paragraph" w:customStyle="1" w:styleId="OutokumpuNumberedHeading6">
    <w:name w:val="Outokumpu Numbered Heading 6"/>
    <w:basedOn w:val="OutokumpuNormal"/>
    <w:next w:val="OutokumpuNormal"/>
    <w:autoRedefine/>
    <w:uiPriority w:val="99"/>
    <w:qFormat/>
  </w:style>
  <w:style w:type="paragraph" w:customStyle="1" w:styleId="OutokumpuNumberedHeading1">
    <w:name w:val="Outokumpu Numbered Heading 1"/>
    <w:basedOn w:val="OutokumpuNormal"/>
    <w:next w:val="OutokumpuNormal"/>
    <w:autoRedefine/>
    <w:uiPriority w:val="99"/>
    <w:qFormat/>
  </w:style>
  <w:style w:type="paragraph" w:customStyle="1" w:styleId="4ffa">
    <w:name w:val="表－4号字"/>
    <w:basedOn w:val="affffffffffffffffffffffffffffffffffffff1"/>
    <w:uiPriority w:val="99"/>
    <w:qFormat/>
    <w:pPr>
      <w:adjustRightInd w:val="0"/>
      <w:snapToGrid w:val="0"/>
    </w:pPr>
    <w:rPr>
      <w:rFonts w:ascii="Times New Roman" w:hAnsi="Times New Roman"/>
      <w:iCs w:val="0"/>
      <w:snapToGrid/>
      <w:sz w:val="24"/>
      <w:szCs w:val="20"/>
    </w:rPr>
  </w:style>
  <w:style w:type="paragraph" w:customStyle="1" w:styleId="ok">
    <w:name w:val="表格ok"/>
    <w:basedOn w:val="a"/>
    <w:uiPriority w:val="99"/>
    <w:qFormat/>
    <w:rPr>
      <w:rFonts w:cs="Calibri"/>
      <w:szCs w:val="21"/>
    </w:rPr>
  </w:style>
  <w:style w:type="paragraph" w:customStyle="1" w:styleId="CharCharChar1Char11">
    <w:name w:val="Char Char Char1 Char11"/>
    <w:basedOn w:val="a"/>
    <w:uiPriority w:val="99"/>
    <w:qFormat/>
    <w:pPr>
      <w:widowControl/>
      <w:spacing w:after="160" w:line="240" w:lineRule="exact"/>
      <w:jc w:val="left"/>
    </w:pPr>
    <w:rPr>
      <w:rFonts w:ascii="宋体" w:hAnsi="宋体" w:cs="Times New Roman"/>
      <w:kern w:val="0"/>
      <w:sz w:val="20"/>
      <w:szCs w:val="20"/>
      <w:lang w:eastAsia="en-US"/>
    </w:rPr>
  </w:style>
  <w:style w:type="paragraph" w:customStyle="1" w:styleId="CharCharCharCharCharChar2CharCharCharCharCharCharCharCharCharChar">
    <w:name w:val="Char Char Char Char Char Char2 Char Char Char Char Char Char Char Char Char Char"/>
    <w:basedOn w:val="a"/>
    <w:uiPriority w:val="99"/>
    <w:qFormat/>
    <w:rPr>
      <w:rFonts w:cs="Times New Roman"/>
      <w:sz w:val="24"/>
      <w:szCs w:val="24"/>
    </w:rPr>
  </w:style>
  <w:style w:type="character" w:customStyle="1" w:styleId="CharChar54">
    <w:name w:val="Char Char54"/>
    <w:qFormat/>
    <w:rPr>
      <w:rFonts w:ascii="Times New Roman" w:hAnsi="Times New Roman"/>
      <w:b/>
      <w:bCs/>
      <w:kern w:val="44"/>
      <w:sz w:val="44"/>
      <w:szCs w:val="44"/>
    </w:rPr>
  </w:style>
  <w:style w:type="character" w:customStyle="1" w:styleId="CharChar36">
    <w:name w:val="Char Char36"/>
    <w:qFormat/>
    <w:rPr>
      <w:rFonts w:ascii="Times New Roman" w:hAnsi="Times New Roman"/>
      <w:b/>
      <w:bCs/>
      <w:kern w:val="2"/>
      <w:sz w:val="32"/>
      <w:szCs w:val="32"/>
    </w:rPr>
  </w:style>
  <w:style w:type="paragraph" w:customStyle="1" w:styleId="dan7-1">
    <w:name w:val="dan7-1"/>
    <w:basedOn w:val="a"/>
    <w:link w:val="dan7-1Char"/>
    <w:autoRedefine/>
    <w:qFormat/>
    <w:pPr>
      <w:spacing w:before="40" w:after="40" w:line="360" w:lineRule="auto"/>
      <w:ind w:firstLineChars="200" w:firstLine="200"/>
    </w:pPr>
    <w:rPr>
      <w:rFonts w:cs="Times New Roman"/>
      <w:sz w:val="24"/>
      <w:szCs w:val="24"/>
      <w:lang w:val="zh-CN"/>
    </w:rPr>
  </w:style>
  <w:style w:type="character" w:customStyle="1" w:styleId="dan7-1Char">
    <w:name w:val="dan7-1 Char"/>
    <w:link w:val="dan7-1"/>
    <w:qFormat/>
    <w:rPr>
      <w:kern w:val="2"/>
      <w:sz w:val="24"/>
      <w:szCs w:val="24"/>
      <w:lang w:val="zh-CN"/>
    </w:rPr>
  </w:style>
  <w:style w:type="paragraph" w:customStyle="1" w:styleId="11ff1">
    <w:name w:val="列出段落11"/>
    <w:basedOn w:val="a"/>
    <w:uiPriority w:val="99"/>
    <w:qFormat/>
    <w:pPr>
      <w:ind w:firstLineChars="200" w:firstLine="420"/>
    </w:pPr>
    <w:rPr>
      <w:rFonts w:ascii="Calibri" w:hAnsi="Calibri" w:cs="Calibri"/>
      <w:sz w:val="24"/>
      <w:szCs w:val="21"/>
    </w:rPr>
  </w:style>
  <w:style w:type="paragraph" w:customStyle="1" w:styleId="2fffffff9">
    <w:name w:val="样式 小四 首行缩进:  2 字符"/>
    <w:basedOn w:val="a"/>
    <w:link w:val="2Charf0"/>
    <w:autoRedefine/>
    <w:uiPriority w:val="99"/>
    <w:qFormat/>
    <w:pPr>
      <w:spacing w:line="400" w:lineRule="exact"/>
      <w:ind w:firstLineChars="200" w:firstLine="200"/>
    </w:pPr>
    <w:rPr>
      <w:rFonts w:cs="Times New Roman"/>
      <w:sz w:val="24"/>
      <w:szCs w:val="20"/>
      <w:lang w:val="zh-CN"/>
    </w:rPr>
  </w:style>
  <w:style w:type="character" w:customStyle="1" w:styleId="2Charf0">
    <w:name w:val="样式 小四 首行缩进:  2 字符 Char"/>
    <w:link w:val="2fffffff9"/>
    <w:autoRedefine/>
    <w:uiPriority w:val="99"/>
    <w:qFormat/>
    <w:rPr>
      <w:kern w:val="2"/>
      <w:sz w:val="24"/>
      <w:lang w:val="zh-CN"/>
    </w:rPr>
  </w:style>
  <w:style w:type="paragraph" w:customStyle="1" w:styleId="xl206">
    <w:name w:val="xl206"/>
    <w:basedOn w:val="a"/>
    <w:autoRedefine/>
    <w:uiPriority w:val="99"/>
    <w:qFormat/>
    <w:pPr>
      <w:widowControl/>
      <w:spacing w:before="100" w:beforeAutospacing="1" w:after="100" w:afterAutospacing="1"/>
      <w:jc w:val="left"/>
    </w:pPr>
    <w:rPr>
      <w:rFonts w:ascii="宋体" w:hAnsi="宋体" w:cs="宋体"/>
      <w:color w:val="000000"/>
      <w:kern w:val="0"/>
      <w:sz w:val="24"/>
      <w:szCs w:val="24"/>
    </w:rPr>
  </w:style>
  <w:style w:type="paragraph" w:customStyle="1" w:styleId="xl207">
    <w:name w:val="xl207"/>
    <w:basedOn w:val="a"/>
    <w:autoRedefine/>
    <w:uiPriority w:val="99"/>
    <w:qFormat/>
    <w:pPr>
      <w:widowControl/>
      <w:spacing w:before="100" w:beforeAutospacing="1" w:after="100" w:afterAutospacing="1"/>
      <w:jc w:val="left"/>
    </w:pPr>
    <w:rPr>
      <w:rFonts w:ascii="宋体" w:hAnsi="宋体" w:cs="宋体"/>
      <w:b/>
      <w:bCs/>
      <w:color w:val="000000"/>
      <w:kern w:val="0"/>
      <w:sz w:val="24"/>
      <w:szCs w:val="24"/>
    </w:rPr>
  </w:style>
  <w:style w:type="paragraph" w:customStyle="1" w:styleId="xl208">
    <w:name w:val="xl208"/>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209">
    <w:name w:val="xl209"/>
    <w:basedOn w:val="a"/>
    <w:autoRedefine/>
    <w:uiPriority w:val="99"/>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210">
    <w:name w:val="xl210"/>
    <w:basedOn w:val="a"/>
    <w:uiPriority w:val="99"/>
    <w:qFormat/>
    <w:pPr>
      <w:widowControl/>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2"/>
    </w:rPr>
  </w:style>
  <w:style w:type="paragraph" w:customStyle="1" w:styleId="xl211">
    <w:name w:val="xl211"/>
    <w:basedOn w:val="a"/>
    <w:autoRedefine/>
    <w:uiPriority w:val="99"/>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color w:val="000000"/>
      <w:kern w:val="0"/>
      <w:sz w:val="22"/>
    </w:rPr>
  </w:style>
  <w:style w:type="paragraph" w:customStyle="1" w:styleId="xl212">
    <w:name w:val="xl212"/>
    <w:basedOn w:val="a"/>
    <w:autoRedefine/>
    <w:uiPriority w:val="99"/>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b/>
      <w:bCs/>
      <w:color w:val="000000"/>
      <w:kern w:val="0"/>
      <w:sz w:val="22"/>
    </w:rPr>
  </w:style>
  <w:style w:type="paragraph" w:customStyle="1" w:styleId="xl213">
    <w:name w:val="xl213"/>
    <w:basedOn w:val="a"/>
    <w:autoRedefine/>
    <w:uiPriority w:val="99"/>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color w:val="000000"/>
      <w:kern w:val="0"/>
      <w:sz w:val="22"/>
    </w:rPr>
  </w:style>
  <w:style w:type="paragraph" w:customStyle="1" w:styleId="xl214">
    <w:name w:val="xl214"/>
    <w:basedOn w:val="a"/>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color w:val="000000"/>
      <w:kern w:val="0"/>
      <w:sz w:val="22"/>
    </w:rPr>
  </w:style>
  <w:style w:type="paragraph" w:customStyle="1" w:styleId="xl215">
    <w:name w:val="xl215"/>
    <w:basedOn w:val="a"/>
    <w:autoRedefine/>
    <w:uiPriority w:val="99"/>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color w:val="000000"/>
      <w:kern w:val="0"/>
      <w:sz w:val="22"/>
    </w:rPr>
  </w:style>
  <w:style w:type="paragraph" w:customStyle="1" w:styleId="xl216">
    <w:name w:val="xl216"/>
    <w:basedOn w:val="a"/>
    <w:uiPriority w:val="99"/>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rFonts w:ascii="宋体" w:hAnsi="宋体" w:cs="宋体"/>
      <w:color w:val="000000"/>
      <w:kern w:val="0"/>
      <w:sz w:val="22"/>
    </w:rPr>
  </w:style>
  <w:style w:type="paragraph" w:customStyle="1" w:styleId="xl217">
    <w:name w:val="xl217"/>
    <w:basedOn w:val="a"/>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2"/>
    </w:rPr>
  </w:style>
  <w:style w:type="paragraph" w:customStyle="1" w:styleId="xl218">
    <w:name w:val="xl218"/>
    <w:basedOn w:val="a"/>
    <w:autoRedefine/>
    <w:uiPriority w:val="99"/>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2"/>
    </w:rPr>
  </w:style>
  <w:style w:type="paragraph" w:customStyle="1" w:styleId="xl219">
    <w:name w:val="xl219"/>
    <w:basedOn w:val="a"/>
    <w:autoRedefine/>
    <w:uiPriority w:val="99"/>
    <w:qFormat/>
    <w:pPr>
      <w:widowControl/>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2"/>
    </w:rPr>
  </w:style>
  <w:style w:type="paragraph" w:customStyle="1" w:styleId="xl220">
    <w:name w:val="xl220"/>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2"/>
    </w:rPr>
  </w:style>
  <w:style w:type="paragraph" w:customStyle="1" w:styleId="xl221">
    <w:name w:val="xl221"/>
    <w:basedOn w:val="a"/>
    <w:autoRedefine/>
    <w:uiPriority w:val="99"/>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color w:val="000000"/>
      <w:kern w:val="0"/>
      <w:sz w:val="22"/>
    </w:rPr>
  </w:style>
  <w:style w:type="paragraph" w:customStyle="1" w:styleId="xl222">
    <w:name w:val="xl222"/>
    <w:basedOn w:val="a"/>
    <w:autoRedefine/>
    <w:uiPriority w:val="99"/>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2"/>
    </w:rPr>
  </w:style>
  <w:style w:type="paragraph" w:customStyle="1" w:styleId="xl223">
    <w:name w:val="xl223"/>
    <w:basedOn w:val="a"/>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color w:val="000000"/>
      <w:kern w:val="0"/>
      <w:sz w:val="22"/>
    </w:rPr>
  </w:style>
  <w:style w:type="paragraph" w:customStyle="1" w:styleId="xl224">
    <w:name w:val="xl224"/>
    <w:basedOn w:val="a"/>
    <w:autoRedefine/>
    <w:uiPriority w:val="99"/>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color w:val="000000"/>
      <w:kern w:val="0"/>
      <w:sz w:val="22"/>
    </w:rPr>
  </w:style>
  <w:style w:type="paragraph" w:customStyle="1" w:styleId="xl225">
    <w:name w:val="xl225"/>
    <w:basedOn w:val="a"/>
    <w:uiPriority w:val="99"/>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rFonts w:ascii="宋体" w:hAnsi="宋体" w:cs="宋体"/>
      <w:b/>
      <w:bCs/>
      <w:color w:val="000000"/>
      <w:kern w:val="0"/>
      <w:sz w:val="22"/>
    </w:rPr>
  </w:style>
  <w:style w:type="paragraph" w:customStyle="1" w:styleId="xl226">
    <w:name w:val="xl226"/>
    <w:basedOn w:val="a"/>
    <w:autoRedefine/>
    <w:uiPriority w:val="99"/>
    <w:qFormat/>
    <w:pPr>
      <w:widowControl/>
      <w:pBdr>
        <w:top w:val="single" w:sz="4" w:space="0" w:color="auto"/>
        <w:left w:val="single" w:sz="4" w:space="0" w:color="auto"/>
        <w:bottom w:val="single" w:sz="4" w:space="0" w:color="auto"/>
      </w:pBdr>
      <w:spacing w:before="100" w:beforeAutospacing="1" w:after="100" w:afterAutospacing="1"/>
      <w:jc w:val="right"/>
      <w:textAlignment w:val="center"/>
    </w:pPr>
    <w:rPr>
      <w:rFonts w:ascii="宋体" w:hAnsi="宋体" w:cs="宋体"/>
      <w:b/>
      <w:bCs/>
      <w:color w:val="000000"/>
      <w:kern w:val="0"/>
      <w:sz w:val="22"/>
    </w:rPr>
  </w:style>
  <w:style w:type="paragraph" w:customStyle="1" w:styleId="xl227">
    <w:name w:val="xl227"/>
    <w:basedOn w:val="a"/>
    <w:uiPriority w:val="99"/>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color w:val="000000"/>
      <w:kern w:val="0"/>
      <w:sz w:val="22"/>
    </w:rPr>
  </w:style>
  <w:style w:type="paragraph" w:customStyle="1" w:styleId="xl228">
    <w:name w:val="xl228"/>
    <w:basedOn w:val="a"/>
    <w:autoRedefine/>
    <w:uiPriority w:val="99"/>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2"/>
    </w:rPr>
  </w:style>
  <w:style w:type="paragraph" w:customStyle="1" w:styleId="xl229">
    <w:name w:val="xl229"/>
    <w:basedOn w:val="a"/>
    <w:uiPriority w:val="99"/>
    <w:qFormat/>
    <w:pPr>
      <w:widowControl/>
      <w:pBdr>
        <w:top w:val="single" w:sz="4" w:space="0" w:color="auto"/>
        <w:left w:val="single" w:sz="4" w:space="0" w:color="auto"/>
        <w:bottom w:val="single" w:sz="4" w:space="0" w:color="auto"/>
      </w:pBdr>
      <w:spacing w:before="100" w:beforeAutospacing="1" w:after="100" w:afterAutospacing="1"/>
      <w:jc w:val="right"/>
      <w:textAlignment w:val="center"/>
    </w:pPr>
    <w:rPr>
      <w:rFonts w:ascii="宋体" w:hAnsi="宋体" w:cs="宋体"/>
      <w:color w:val="000000"/>
      <w:kern w:val="0"/>
      <w:sz w:val="22"/>
    </w:rPr>
  </w:style>
  <w:style w:type="paragraph" w:customStyle="1" w:styleId="xl230">
    <w:name w:val="xl230"/>
    <w:basedOn w:val="a"/>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color w:val="000000"/>
      <w:kern w:val="0"/>
      <w:sz w:val="22"/>
    </w:rPr>
  </w:style>
  <w:style w:type="paragraph" w:customStyle="1" w:styleId="xl231">
    <w:name w:val="xl231"/>
    <w:basedOn w:val="a"/>
    <w:uiPriority w:val="99"/>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宋体" w:hAnsi="宋体" w:cs="宋体"/>
      <w:color w:val="000000"/>
      <w:kern w:val="0"/>
      <w:sz w:val="22"/>
    </w:rPr>
  </w:style>
  <w:style w:type="paragraph" w:customStyle="1" w:styleId="xl232">
    <w:name w:val="xl232"/>
    <w:basedOn w:val="a"/>
    <w:uiPriority w:val="99"/>
    <w:qFormat/>
    <w:pPr>
      <w:widowControl/>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2"/>
    </w:rPr>
  </w:style>
  <w:style w:type="paragraph" w:customStyle="1" w:styleId="xl233">
    <w:name w:val="xl233"/>
    <w:basedOn w:val="a"/>
    <w:uiPriority w:val="99"/>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color w:val="000000"/>
      <w:kern w:val="0"/>
      <w:sz w:val="22"/>
    </w:rPr>
  </w:style>
  <w:style w:type="paragraph" w:customStyle="1" w:styleId="xl234">
    <w:name w:val="xl234"/>
    <w:basedOn w:val="a"/>
    <w:autoRedefine/>
    <w:uiPriority w:val="99"/>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2"/>
    </w:rPr>
  </w:style>
  <w:style w:type="paragraph" w:customStyle="1" w:styleId="xl235">
    <w:name w:val="xl235"/>
    <w:basedOn w:val="a"/>
    <w:uiPriority w:val="99"/>
    <w:qFormat/>
    <w:pPr>
      <w:widowControl/>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ascii="宋体" w:hAnsi="宋体" w:cs="宋体"/>
      <w:b/>
      <w:bCs/>
      <w:color w:val="000000"/>
      <w:kern w:val="0"/>
      <w:sz w:val="22"/>
    </w:rPr>
  </w:style>
  <w:style w:type="paragraph" w:customStyle="1" w:styleId="xl236">
    <w:name w:val="xl236"/>
    <w:basedOn w:val="a"/>
    <w:autoRedefine/>
    <w:uiPriority w:val="99"/>
    <w:qFormat/>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宋体" w:hAnsi="宋体" w:cs="宋体"/>
      <w:b/>
      <w:bCs/>
      <w:color w:val="000000"/>
      <w:kern w:val="0"/>
      <w:sz w:val="22"/>
    </w:rPr>
  </w:style>
  <w:style w:type="paragraph" w:customStyle="1" w:styleId="xl237">
    <w:name w:val="xl237"/>
    <w:basedOn w:val="a"/>
    <w:uiPriority w:val="99"/>
    <w:qFormat/>
    <w:pPr>
      <w:widowControl/>
      <w:pBdr>
        <w:top w:val="single" w:sz="4" w:space="0" w:color="auto"/>
        <w:left w:val="single" w:sz="4" w:space="0" w:color="auto"/>
        <w:bottom w:val="double" w:sz="6" w:space="0" w:color="auto"/>
        <w:right w:val="single" w:sz="4" w:space="0" w:color="auto"/>
      </w:pBdr>
      <w:spacing w:before="100" w:beforeAutospacing="1" w:after="100" w:afterAutospacing="1"/>
      <w:jc w:val="left"/>
      <w:textAlignment w:val="center"/>
    </w:pPr>
    <w:rPr>
      <w:rFonts w:ascii="宋体" w:hAnsi="宋体" w:cs="宋体"/>
      <w:b/>
      <w:bCs/>
      <w:color w:val="000000"/>
      <w:kern w:val="0"/>
      <w:sz w:val="22"/>
    </w:rPr>
  </w:style>
  <w:style w:type="paragraph" w:customStyle="1" w:styleId="xl238">
    <w:name w:val="xl238"/>
    <w:basedOn w:val="a"/>
    <w:uiPriority w:val="99"/>
    <w:qFormat/>
    <w:pPr>
      <w:widowControl/>
      <w:pBdr>
        <w:top w:val="single" w:sz="4" w:space="0" w:color="auto"/>
        <w:left w:val="single" w:sz="4" w:space="0" w:color="auto"/>
        <w:bottom w:val="double" w:sz="6" w:space="0" w:color="auto"/>
        <w:right w:val="single" w:sz="4" w:space="0" w:color="auto"/>
      </w:pBdr>
      <w:spacing w:before="100" w:beforeAutospacing="1" w:after="100" w:afterAutospacing="1"/>
      <w:jc w:val="left"/>
      <w:textAlignment w:val="center"/>
    </w:pPr>
    <w:rPr>
      <w:rFonts w:ascii="宋体" w:hAnsi="宋体" w:cs="宋体"/>
      <w:b/>
      <w:bCs/>
      <w:color w:val="000000"/>
      <w:kern w:val="0"/>
      <w:sz w:val="22"/>
    </w:rPr>
  </w:style>
  <w:style w:type="paragraph" w:customStyle="1" w:styleId="xl239">
    <w:name w:val="xl239"/>
    <w:basedOn w:val="a"/>
    <w:uiPriority w:val="99"/>
    <w:qFormat/>
    <w:pPr>
      <w:widowControl/>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rFonts w:ascii="宋体" w:hAnsi="宋体" w:cs="宋体"/>
      <w:b/>
      <w:bCs/>
      <w:color w:val="000000"/>
      <w:kern w:val="0"/>
      <w:sz w:val="22"/>
    </w:rPr>
  </w:style>
  <w:style w:type="paragraph" w:customStyle="1" w:styleId="xl240">
    <w:name w:val="xl240"/>
    <w:basedOn w:val="a"/>
    <w:uiPriority w:val="99"/>
    <w:qFormat/>
    <w:pPr>
      <w:widowControl/>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rFonts w:ascii="宋体" w:hAnsi="宋体" w:cs="宋体"/>
      <w:b/>
      <w:bCs/>
      <w:color w:val="000000"/>
      <w:kern w:val="0"/>
      <w:sz w:val="22"/>
    </w:rPr>
  </w:style>
  <w:style w:type="paragraph" w:customStyle="1" w:styleId="xl241">
    <w:name w:val="xl241"/>
    <w:basedOn w:val="a"/>
    <w:uiPriority w:val="99"/>
    <w:qFormat/>
    <w:pPr>
      <w:widowControl/>
      <w:pBdr>
        <w:top w:val="single" w:sz="4" w:space="0" w:color="auto"/>
        <w:left w:val="single" w:sz="4" w:space="0" w:color="auto"/>
        <w:bottom w:val="double" w:sz="6" w:space="0" w:color="auto"/>
      </w:pBdr>
      <w:spacing w:before="100" w:beforeAutospacing="1" w:after="100" w:afterAutospacing="1"/>
      <w:jc w:val="right"/>
      <w:textAlignment w:val="center"/>
    </w:pPr>
    <w:rPr>
      <w:rFonts w:ascii="宋体" w:hAnsi="宋体" w:cs="宋体"/>
      <w:b/>
      <w:bCs/>
      <w:color w:val="000000"/>
      <w:kern w:val="0"/>
      <w:sz w:val="22"/>
    </w:rPr>
  </w:style>
  <w:style w:type="paragraph" w:customStyle="1" w:styleId="xl242">
    <w:name w:val="xl242"/>
    <w:basedOn w:val="a"/>
    <w:uiPriority w:val="99"/>
    <w:qFormat/>
    <w:pPr>
      <w:widowControl/>
      <w:pBdr>
        <w:top w:val="single" w:sz="4" w:space="0" w:color="auto"/>
        <w:left w:val="single" w:sz="4" w:space="0" w:color="auto"/>
        <w:bottom w:val="double" w:sz="6" w:space="0" w:color="auto"/>
        <w:right w:val="double" w:sz="6" w:space="0" w:color="auto"/>
      </w:pBdr>
      <w:spacing w:before="100" w:beforeAutospacing="1" w:after="100" w:afterAutospacing="1"/>
      <w:jc w:val="right"/>
      <w:textAlignment w:val="center"/>
    </w:pPr>
    <w:rPr>
      <w:rFonts w:ascii="宋体" w:hAnsi="宋体" w:cs="宋体"/>
      <w:b/>
      <w:bCs/>
      <w:color w:val="000000"/>
      <w:kern w:val="0"/>
      <w:sz w:val="22"/>
    </w:rPr>
  </w:style>
  <w:style w:type="paragraph" w:customStyle="1" w:styleId="xl243">
    <w:name w:val="xl243"/>
    <w:basedOn w:val="a"/>
    <w:uiPriority w:val="99"/>
    <w:qFormat/>
    <w:pPr>
      <w:widowControl/>
      <w:spacing w:before="100" w:beforeAutospacing="1" w:after="100" w:afterAutospacing="1"/>
      <w:jc w:val="left"/>
    </w:pPr>
    <w:rPr>
      <w:rFonts w:ascii="宋体" w:hAnsi="宋体" w:cs="宋体"/>
      <w:color w:val="000000"/>
      <w:kern w:val="0"/>
      <w:sz w:val="24"/>
      <w:szCs w:val="24"/>
    </w:rPr>
  </w:style>
  <w:style w:type="paragraph" w:customStyle="1" w:styleId="xl244">
    <w:name w:val="xl244"/>
    <w:basedOn w:val="a"/>
    <w:uiPriority w:val="99"/>
    <w:qFormat/>
    <w:pPr>
      <w:widowControl/>
      <w:spacing w:before="100" w:beforeAutospacing="1" w:after="100" w:afterAutospacing="1"/>
      <w:jc w:val="left"/>
    </w:pPr>
    <w:rPr>
      <w:rFonts w:ascii="宋体" w:hAnsi="宋体" w:cs="宋体"/>
      <w:color w:val="000000"/>
      <w:kern w:val="0"/>
      <w:sz w:val="24"/>
      <w:szCs w:val="24"/>
    </w:rPr>
  </w:style>
  <w:style w:type="paragraph" w:customStyle="1" w:styleId="xl245">
    <w:name w:val="xl245"/>
    <w:basedOn w:val="a"/>
    <w:autoRedefine/>
    <w:uiPriority w:val="99"/>
    <w:qFormat/>
    <w:pPr>
      <w:widowControl/>
      <w:spacing w:before="100" w:beforeAutospacing="1" w:after="100" w:afterAutospacing="1"/>
      <w:jc w:val="right"/>
    </w:pPr>
    <w:rPr>
      <w:rFonts w:ascii="宋体" w:hAnsi="宋体" w:cs="宋体"/>
      <w:color w:val="000000"/>
      <w:kern w:val="0"/>
      <w:sz w:val="24"/>
      <w:szCs w:val="24"/>
    </w:rPr>
  </w:style>
  <w:style w:type="paragraph" w:customStyle="1" w:styleId="xl246">
    <w:name w:val="xl246"/>
    <w:basedOn w:val="a"/>
    <w:uiPriority w:val="99"/>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2"/>
    </w:rPr>
  </w:style>
  <w:style w:type="paragraph" w:customStyle="1" w:styleId="xl247">
    <w:name w:val="xl247"/>
    <w:basedOn w:val="a"/>
    <w:uiPriority w:val="99"/>
    <w:qFormat/>
    <w:pPr>
      <w:widowControl/>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248">
    <w:name w:val="xl248"/>
    <w:basedOn w:val="a"/>
    <w:autoRedefine/>
    <w:uiPriority w:val="99"/>
    <w:qFormat/>
    <w:pPr>
      <w:widowControl/>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249">
    <w:name w:val="xl249"/>
    <w:basedOn w:val="a"/>
    <w:autoRedefine/>
    <w:uiPriority w:val="99"/>
    <w:qFormat/>
    <w:pPr>
      <w:widowControl/>
      <w:spacing w:before="100" w:beforeAutospacing="1" w:after="100" w:afterAutospacing="1"/>
      <w:jc w:val="center"/>
      <w:textAlignment w:val="center"/>
    </w:pPr>
    <w:rPr>
      <w:rFonts w:ascii="宋体" w:hAnsi="宋体" w:cs="宋体"/>
      <w:b/>
      <w:bCs/>
      <w:color w:val="000000"/>
      <w:kern w:val="0"/>
      <w:sz w:val="32"/>
      <w:szCs w:val="32"/>
    </w:rPr>
  </w:style>
  <w:style w:type="paragraph" w:customStyle="1" w:styleId="xl250">
    <w:name w:val="xl250"/>
    <w:basedOn w:val="a"/>
    <w:autoRedefine/>
    <w:uiPriority w:val="99"/>
    <w:qFormat/>
    <w:pPr>
      <w:widowControl/>
      <w:spacing w:before="100" w:beforeAutospacing="1" w:after="100" w:afterAutospacing="1"/>
      <w:jc w:val="center"/>
      <w:textAlignment w:val="center"/>
    </w:pPr>
    <w:rPr>
      <w:rFonts w:ascii="Arial" w:hAnsi="Arial" w:cs="Arial"/>
      <w:b/>
      <w:bCs/>
      <w:color w:val="000000"/>
      <w:kern w:val="0"/>
      <w:sz w:val="32"/>
      <w:szCs w:val="32"/>
    </w:rPr>
  </w:style>
  <w:style w:type="paragraph" w:customStyle="1" w:styleId="xl251">
    <w:name w:val="xl251"/>
    <w:basedOn w:val="a"/>
    <w:autoRedefine/>
    <w:uiPriority w:val="99"/>
    <w:qFormat/>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252">
    <w:name w:val="xl252"/>
    <w:basedOn w:val="a"/>
    <w:uiPriority w:val="99"/>
    <w:qFormat/>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253">
    <w:name w:val="xl253"/>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254">
    <w:name w:val="xl254"/>
    <w:basedOn w:val="a"/>
    <w:uiPriority w:val="99"/>
    <w:qFormat/>
    <w:pPr>
      <w:widowControl/>
      <w:pBdr>
        <w:top w:val="double" w:sz="6"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255">
    <w:name w:val="xl255"/>
    <w:basedOn w:val="a"/>
    <w:uiPriority w:val="99"/>
    <w:qFormat/>
    <w:pPr>
      <w:widowControl/>
      <w:pBdr>
        <w:top w:val="double" w:sz="6"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256">
    <w:name w:val="xl256"/>
    <w:basedOn w:val="a"/>
    <w:autoRedefine/>
    <w:uiPriority w:val="99"/>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xl187">
    <w:name w:val="xl187"/>
    <w:basedOn w:val="a"/>
    <w:autoRedefine/>
    <w:uiPriority w:val="99"/>
    <w:qFormat/>
    <w:pPr>
      <w:widowControl/>
      <w:spacing w:before="100" w:beforeAutospacing="1" w:after="100" w:afterAutospacing="1"/>
      <w:jc w:val="center"/>
      <w:textAlignment w:val="bottom"/>
    </w:pPr>
    <w:rPr>
      <w:rFonts w:ascii="宋体" w:hAnsi="宋体" w:cs="宋体"/>
      <w:kern w:val="0"/>
      <w:sz w:val="24"/>
      <w:szCs w:val="24"/>
    </w:rPr>
  </w:style>
  <w:style w:type="paragraph" w:customStyle="1" w:styleId="xl188">
    <w:name w:val="xl188"/>
    <w:basedOn w:val="a"/>
    <w:uiPriority w:val="99"/>
    <w:qFormat/>
    <w:pPr>
      <w:widowControl/>
      <w:spacing w:before="100" w:beforeAutospacing="1" w:after="100" w:afterAutospacing="1"/>
      <w:jc w:val="right"/>
      <w:textAlignment w:val="bottom"/>
    </w:pPr>
    <w:rPr>
      <w:rFonts w:ascii="宋体" w:hAnsi="宋体" w:cs="宋体"/>
      <w:kern w:val="0"/>
      <w:sz w:val="24"/>
      <w:szCs w:val="24"/>
    </w:rPr>
  </w:style>
  <w:style w:type="paragraph" w:customStyle="1" w:styleId="xl189">
    <w:name w:val="xl189"/>
    <w:basedOn w:val="a"/>
    <w:uiPriority w:val="99"/>
    <w:qFormat/>
    <w:pPr>
      <w:widowControl/>
      <w:spacing w:before="100" w:beforeAutospacing="1" w:after="100" w:afterAutospacing="1"/>
      <w:jc w:val="center"/>
    </w:pPr>
    <w:rPr>
      <w:rFonts w:ascii="宋体" w:hAnsi="宋体" w:cs="宋体"/>
      <w:b/>
      <w:bCs/>
      <w:kern w:val="0"/>
      <w:sz w:val="32"/>
      <w:szCs w:val="32"/>
    </w:rPr>
  </w:style>
  <w:style w:type="paragraph" w:customStyle="1" w:styleId="xl190">
    <w:name w:val="xl190"/>
    <w:basedOn w:val="a"/>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91">
    <w:name w:val="xl191"/>
    <w:basedOn w:val="a"/>
    <w:autoRedefine/>
    <w:uiPriority w:val="99"/>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92">
    <w:name w:val="xl192"/>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93">
    <w:name w:val="xl193"/>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94">
    <w:name w:val="xl194"/>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95">
    <w:name w:val="xl195"/>
    <w:basedOn w:val="a"/>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xl196">
    <w:name w:val="xl196"/>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b/>
      <w:bCs/>
      <w:kern w:val="0"/>
      <w:sz w:val="20"/>
      <w:szCs w:val="20"/>
    </w:rPr>
  </w:style>
  <w:style w:type="paragraph" w:customStyle="1" w:styleId="xl197">
    <w:name w:val="xl197"/>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98">
    <w:name w:val="xl198"/>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0"/>
      <w:szCs w:val="20"/>
    </w:rPr>
  </w:style>
  <w:style w:type="paragraph" w:customStyle="1" w:styleId="xl199">
    <w:name w:val="xl199"/>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xl200">
    <w:name w:val="xl200"/>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201">
    <w:name w:val="xl201"/>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02">
    <w:name w:val="xl202"/>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203">
    <w:name w:val="xl203"/>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0"/>
      <w:szCs w:val="20"/>
    </w:rPr>
  </w:style>
  <w:style w:type="paragraph" w:customStyle="1" w:styleId="xl204">
    <w:name w:val="xl204"/>
    <w:basedOn w:val="a"/>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05">
    <w:name w:val="xl205"/>
    <w:basedOn w:val="a"/>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character" w:customStyle="1" w:styleId="3CharChara">
    <w:name w:val="页脚3 Char Char"/>
    <w:qFormat/>
    <w:locked/>
    <w:rPr>
      <w:rFonts w:eastAsia="宋体"/>
      <w:kern w:val="2"/>
      <w:sz w:val="18"/>
      <w:lang w:val="en-US" w:eastAsia="zh-CN" w:bidi="ar-SA"/>
    </w:rPr>
  </w:style>
  <w:style w:type="paragraph" w:customStyle="1" w:styleId="bt2">
    <w:name w:val="bt2"/>
    <w:basedOn w:val="a"/>
    <w:next w:val="a"/>
    <w:uiPriority w:val="99"/>
    <w:qFormat/>
    <w:pPr>
      <w:keepNext/>
      <w:keepLines/>
      <w:spacing w:beforeLines="30" w:afterLines="30" w:line="360" w:lineRule="auto"/>
      <w:outlineLvl w:val="1"/>
    </w:pPr>
    <w:rPr>
      <w:rFonts w:cs="Times New Roman"/>
      <w:b/>
      <w:bCs/>
      <w:color w:val="000000"/>
      <w:sz w:val="28"/>
      <w:szCs w:val="28"/>
    </w:rPr>
  </w:style>
  <w:style w:type="paragraph" w:customStyle="1" w:styleId="affffffffffffffffffffffffffffffffffffff3">
    <w:name w:val="厅宫正文"/>
    <w:basedOn w:val="a"/>
    <w:link w:val="Charffffffff0"/>
    <w:qFormat/>
    <w:pPr>
      <w:autoSpaceDE w:val="0"/>
      <w:autoSpaceDN w:val="0"/>
      <w:adjustRightInd w:val="0"/>
      <w:spacing w:line="360" w:lineRule="auto"/>
      <w:ind w:firstLineChars="200" w:firstLine="480"/>
    </w:pPr>
    <w:rPr>
      <w:rFonts w:cs="Times New Roman"/>
      <w:color w:val="000000"/>
      <w:sz w:val="24"/>
      <w:szCs w:val="24"/>
      <w:lang w:val="zh-CN"/>
    </w:rPr>
  </w:style>
  <w:style w:type="character" w:customStyle="1" w:styleId="Charffffffff0">
    <w:name w:val="厅宫正文 Char"/>
    <w:link w:val="affffffffffffffffffffffffffffffffffffff3"/>
    <w:qFormat/>
    <w:rPr>
      <w:color w:val="000000"/>
      <w:kern w:val="2"/>
      <w:sz w:val="24"/>
      <w:szCs w:val="24"/>
      <w:lang w:val="zh-CN"/>
    </w:rPr>
  </w:style>
  <w:style w:type="paragraph" w:customStyle="1" w:styleId="1ffffffff4">
    <w:name w:val="表内样式1"/>
    <w:basedOn w:val="a"/>
    <w:link w:val="1Chard"/>
    <w:autoRedefine/>
    <w:qFormat/>
    <w:pPr>
      <w:jc w:val="center"/>
    </w:pPr>
    <w:rPr>
      <w:rFonts w:cs="Times New Roman"/>
      <w:color w:val="000000"/>
      <w:lang w:val="zh-CN"/>
    </w:rPr>
  </w:style>
  <w:style w:type="character" w:customStyle="1" w:styleId="1Chard">
    <w:name w:val="表内样式1 Char"/>
    <w:link w:val="1ffffffff4"/>
    <w:autoRedefine/>
    <w:qFormat/>
    <w:rPr>
      <w:color w:val="000000"/>
      <w:kern w:val="2"/>
      <w:sz w:val="21"/>
      <w:szCs w:val="22"/>
      <w:lang w:val="zh-CN"/>
    </w:rPr>
  </w:style>
  <w:style w:type="paragraph" w:customStyle="1" w:styleId="bg0">
    <w:name w:val="bg正文首行缩进"/>
    <w:basedOn w:val="a"/>
    <w:link w:val="bgChar1"/>
    <w:qFormat/>
    <w:pPr>
      <w:spacing w:line="520" w:lineRule="exact"/>
      <w:ind w:firstLineChars="200" w:firstLine="482"/>
    </w:pPr>
    <w:rPr>
      <w:rFonts w:cs="Times New Roman"/>
      <w:sz w:val="28"/>
      <w:szCs w:val="28"/>
      <w:lang w:val="zh-CN"/>
    </w:rPr>
  </w:style>
  <w:style w:type="character" w:customStyle="1" w:styleId="bgChar1">
    <w:name w:val="bg正文首行缩进 Char1"/>
    <w:link w:val="bg0"/>
    <w:qFormat/>
    <w:rPr>
      <w:kern w:val="2"/>
      <w:sz w:val="28"/>
      <w:szCs w:val="28"/>
      <w:lang w:val="zh-CN"/>
    </w:rPr>
  </w:style>
  <w:style w:type="character" w:customStyle="1" w:styleId="1ffffffff5">
    <w:name w:val="占位符文本1"/>
    <w:autoRedefine/>
    <w:uiPriority w:val="99"/>
    <w:qFormat/>
    <w:rPr>
      <w:color w:val="808080"/>
    </w:rPr>
  </w:style>
  <w:style w:type="character" w:customStyle="1" w:styleId="111b">
    <w:name w:val="明显参考111"/>
    <w:autoRedefine/>
    <w:qFormat/>
    <w:rPr>
      <w:b/>
      <w:sz w:val="24"/>
      <w:u w:val="single"/>
    </w:rPr>
  </w:style>
  <w:style w:type="character" w:customStyle="1" w:styleId="111c">
    <w:name w:val="明显强调111"/>
    <w:autoRedefine/>
    <w:qFormat/>
    <w:rPr>
      <w:b/>
      <w:i/>
      <w:sz w:val="24"/>
      <w:szCs w:val="24"/>
      <w:u w:val="single"/>
    </w:rPr>
  </w:style>
  <w:style w:type="character" w:customStyle="1" w:styleId="cauc-TBCharCharChar">
    <w:name w:val="cauc-TB Char Char Char"/>
    <w:autoRedefine/>
    <w:qFormat/>
    <w:rPr>
      <w:kern w:val="2"/>
      <w:sz w:val="21"/>
      <w:szCs w:val="24"/>
      <w:lang w:val="en-US" w:eastAsia="zh-CN" w:bidi="ar-SA"/>
    </w:rPr>
  </w:style>
  <w:style w:type="character" w:customStyle="1" w:styleId="111d">
    <w:name w:val="不明显参考111"/>
    <w:qFormat/>
    <w:rPr>
      <w:sz w:val="24"/>
      <w:szCs w:val="24"/>
      <w:u w:val="single"/>
    </w:rPr>
  </w:style>
  <w:style w:type="character" w:customStyle="1" w:styleId="CharCharffffa">
    <w:name w:val="报告表标题 Char Char"/>
    <w:link w:val="affffffffffffffffffffffffffffffffffffff4"/>
    <w:autoRedefine/>
    <w:qFormat/>
    <w:rPr>
      <w:rFonts w:ascii="宋体" w:hAnsi="宋体" w:cs="宋体"/>
      <w:sz w:val="24"/>
      <w:szCs w:val="24"/>
    </w:rPr>
  </w:style>
  <w:style w:type="paragraph" w:customStyle="1" w:styleId="affffffffffffffffffffffffffffffffffffff4">
    <w:name w:val="报告表标题"/>
    <w:basedOn w:val="a"/>
    <w:link w:val="CharCharffffa"/>
    <w:autoRedefine/>
    <w:qFormat/>
    <w:pPr>
      <w:widowControl/>
      <w:tabs>
        <w:tab w:val="left" w:pos="4680"/>
      </w:tabs>
      <w:ind w:left="4320" w:hanging="360"/>
      <w:jc w:val="left"/>
    </w:pPr>
    <w:rPr>
      <w:rFonts w:ascii="宋体" w:hAnsi="宋体" w:cs="宋体"/>
      <w:kern w:val="0"/>
      <w:sz w:val="24"/>
      <w:szCs w:val="24"/>
    </w:rPr>
  </w:style>
  <w:style w:type="character" w:customStyle="1" w:styleId="CharCharCharCharCharChar9">
    <w:name w:val="表头 Char Char Char Char Char Char"/>
    <w:autoRedefine/>
    <w:qFormat/>
    <w:rPr>
      <w:rFonts w:ascii="宋体" w:hAnsi="宋体"/>
      <w:b/>
      <w:bCs/>
      <w:kern w:val="2"/>
      <w:sz w:val="24"/>
      <w:szCs w:val="28"/>
    </w:rPr>
  </w:style>
  <w:style w:type="character" w:customStyle="1" w:styleId="111e">
    <w:name w:val="不明显强调111"/>
    <w:autoRedefine/>
    <w:uiPriority w:val="19"/>
    <w:qFormat/>
    <w:rPr>
      <w:i/>
      <w:color w:val="5A5A5A"/>
    </w:rPr>
  </w:style>
  <w:style w:type="character" w:customStyle="1" w:styleId="111f">
    <w:name w:val="书籍标题111"/>
    <w:autoRedefine/>
    <w:qFormat/>
    <w:rPr>
      <w:rFonts w:ascii="Cambria" w:eastAsia="宋体" w:hAnsi="Cambria"/>
      <w:b/>
      <w:i/>
      <w:sz w:val="24"/>
      <w:szCs w:val="24"/>
    </w:rPr>
  </w:style>
  <w:style w:type="character" w:customStyle="1" w:styleId="CharCharCharCharCharCharCharCharCharCharCharCharCharCharCharCharCharCharCharCharCharCharCharCharCharCharCharCharCharCharCharCharCharCharCharCharCharCharCharCharCharCharCharCharCharChar0">
    <w:name w:val="正文（首行缩进两字） Char Char Char Char Char Char Char Char Char Char Char Char Char Char Char Char Char Char Char Char Char Char Char Char Char Char Char Char Char Char Char Char Char Char Char Char Char Char Char Char Char Char Char Char Char Char"/>
    <w:qFormat/>
    <w:rPr>
      <w:rFonts w:eastAsia="宋体"/>
      <w:kern w:val="2"/>
      <w:sz w:val="21"/>
      <w:lang w:val="en-US" w:eastAsia="zh-CN"/>
    </w:rPr>
  </w:style>
  <w:style w:type="character" w:customStyle="1" w:styleId="11ff2">
    <w:name w:val="批注引用11"/>
    <w:autoRedefine/>
    <w:qFormat/>
    <w:rPr>
      <w:sz w:val="21"/>
      <w:szCs w:val="21"/>
    </w:rPr>
  </w:style>
  <w:style w:type="character" w:customStyle="1" w:styleId="CharCharffffb">
    <w:name w:val="随着经济发展和人民生活水平的提高 Char Char"/>
    <w:link w:val="affffffffffffffffffffffffffffffffffffff5"/>
    <w:autoRedefine/>
    <w:qFormat/>
    <w:rPr>
      <w:rFonts w:cs="宋体"/>
      <w:sz w:val="24"/>
    </w:rPr>
  </w:style>
  <w:style w:type="paragraph" w:customStyle="1" w:styleId="affffffffffffffffffffffffffffffffffffff5">
    <w:name w:val="随着经济发展和人民生活水平的提高"/>
    <w:basedOn w:val="a"/>
    <w:link w:val="CharCharffffb"/>
    <w:autoRedefine/>
    <w:qFormat/>
    <w:pPr>
      <w:widowControl/>
      <w:spacing w:line="360" w:lineRule="auto"/>
      <w:ind w:firstLineChars="200" w:firstLine="200"/>
      <w:jc w:val="left"/>
    </w:pPr>
    <w:rPr>
      <w:rFonts w:cs="宋体"/>
      <w:kern w:val="0"/>
      <w:sz w:val="24"/>
      <w:szCs w:val="20"/>
    </w:rPr>
  </w:style>
  <w:style w:type="paragraph" w:customStyle="1" w:styleId="911">
    <w:name w:val="索引 91"/>
    <w:basedOn w:val="a"/>
    <w:next w:val="a"/>
    <w:autoRedefine/>
    <w:uiPriority w:val="99"/>
    <w:qFormat/>
    <w:pPr>
      <w:widowControl/>
      <w:adjustRightInd w:val="0"/>
      <w:snapToGrid w:val="0"/>
      <w:spacing w:line="360" w:lineRule="atLeast"/>
      <w:ind w:leftChars="1600" w:left="1600" w:firstLineChars="200" w:firstLine="200"/>
      <w:jc w:val="left"/>
      <w:textAlignment w:val="baseline"/>
    </w:pPr>
    <w:rPr>
      <w:rFonts w:hAnsi="宋体" w:cs="Times New Roman"/>
      <w:color w:val="000000"/>
      <w:spacing w:val="4"/>
      <w:kern w:val="0"/>
      <w:sz w:val="24"/>
      <w:szCs w:val="24"/>
      <w:lang w:eastAsia="en-US"/>
    </w:rPr>
  </w:style>
  <w:style w:type="paragraph" w:customStyle="1" w:styleId="21f7">
    <w:name w:val="列表接续 21"/>
    <w:basedOn w:val="a"/>
    <w:uiPriority w:val="99"/>
    <w:qFormat/>
    <w:pPr>
      <w:widowControl/>
      <w:adjustRightInd w:val="0"/>
      <w:snapToGrid w:val="0"/>
      <w:spacing w:after="120" w:line="360" w:lineRule="auto"/>
      <w:ind w:leftChars="400" w:left="840" w:firstLineChars="200" w:firstLine="200"/>
      <w:jc w:val="left"/>
    </w:pPr>
    <w:rPr>
      <w:rFonts w:hAnsi="宋体" w:cs="Times New Roman"/>
      <w:color w:val="000000"/>
      <w:spacing w:val="4"/>
      <w:kern w:val="0"/>
      <w:sz w:val="24"/>
      <w:szCs w:val="24"/>
      <w:lang w:eastAsia="en-US"/>
    </w:rPr>
  </w:style>
  <w:style w:type="paragraph" w:customStyle="1" w:styleId="2000">
    <w:name w:val="样式 标题 2 + 段前: 0 磅 段后: 0 磅 行距: 单倍行距"/>
    <w:basedOn w:val="20"/>
    <w:autoRedefine/>
    <w:uiPriority w:val="99"/>
    <w:qFormat/>
    <w:pPr>
      <w:keepLines w:val="0"/>
      <w:numPr>
        <w:ilvl w:val="0"/>
        <w:numId w:val="0"/>
      </w:numPr>
      <w:tabs>
        <w:tab w:val="left" w:pos="870"/>
      </w:tabs>
      <w:spacing w:beforeLines="0" w:before="0" w:afterLines="0" w:after="0" w:line="240" w:lineRule="auto"/>
      <w:ind w:firstLine="510"/>
      <w:jc w:val="center"/>
    </w:pPr>
    <w:rPr>
      <w:rFonts w:cs="Times New Roman"/>
      <w:sz w:val="21"/>
      <w:szCs w:val="24"/>
    </w:rPr>
  </w:style>
  <w:style w:type="paragraph" w:customStyle="1" w:styleId="418">
    <w:name w:val="列表编号 41"/>
    <w:basedOn w:val="a"/>
    <w:uiPriority w:val="99"/>
    <w:qFormat/>
    <w:pPr>
      <w:widowControl/>
      <w:tabs>
        <w:tab w:val="left" w:pos="1620"/>
      </w:tabs>
      <w:adjustRightInd w:val="0"/>
      <w:snapToGrid w:val="0"/>
      <w:spacing w:line="360" w:lineRule="auto"/>
      <w:ind w:leftChars="600" w:left="1620" w:hangingChars="200" w:hanging="360"/>
      <w:jc w:val="left"/>
    </w:pPr>
    <w:rPr>
      <w:rFonts w:hAnsi="宋体" w:cs="Times New Roman"/>
      <w:color w:val="000000"/>
      <w:spacing w:val="4"/>
      <w:kern w:val="0"/>
      <w:sz w:val="24"/>
      <w:szCs w:val="24"/>
      <w:lang w:eastAsia="en-US"/>
    </w:rPr>
  </w:style>
  <w:style w:type="paragraph" w:customStyle="1" w:styleId="514">
    <w:name w:val="列表 51"/>
    <w:basedOn w:val="a"/>
    <w:uiPriority w:val="99"/>
    <w:qFormat/>
    <w:pPr>
      <w:widowControl/>
      <w:adjustRightInd w:val="0"/>
      <w:snapToGrid w:val="0"/>
      <w:spacing w:line="360" w:lineRule="auto"/>
      <w:ind w:leftChars="800" w:left="100" w:hangingChars="200" w:hanging="200"/>
      <w:jc w:val="left"/>
    </w:pPr>
    <w:rPr>
      <w:rFonts w:hAnsi="宋体" w:cs="Times New Roman"/>
      <w:color w:val="000000"/>
      <w:spacing w:val="4"/>
      <w:kern w:val="0"/>
      <w:sz w:val="24"/>
      <w:szCs w:val="24"/>
      <w:lang w:eastAsia="en-US"/>
    </w:rPr>
  </w:style>
  <w:style w:type="paragraph" w:customStyle="1" w:styleId="1ffffffff6">
    <w:name w:val="引文目录标题1"/>
    <w:basedOn w:val="a"/>
    <w:next w:val="a"/>
    <w:autoRedefine/>
    <w:uiPriority w:val="99"/>
    <w:qFormat/>
    <w:pPr>
      <w:spacing w:before="120"/>
    </w:pPr>
    <w:rPr>
      <w:rFonts w:ascii="Arial" w:hAnsi="Arial" w:cs="Times New Roman"/>
      <w:b/>
      <w:bCs/>
      <w:color w:val="000000"/>
      <w:szCs w:val="24"/>
    </w:rPr>
  </w:style>
  <w:style w:type="paragraph" w:customStyle="1" w:styleId="2114">
    <w:name w:val="正文首行缩进 211"/>
    <w:basedOn w:val="11fc"/>
    <w:uiPriority w:val="99"/>
    <w:qFormat/>
    <w:pPr>
      <w:widowControl/>
      <w:tabs>
        <w:tab w:val="clear" w:pos="840"/>
      </w:tabs>
      <w:spacing w:after="120" w:line="240" w:lineRule="auto"/>
      <w:ind w:leftChars="200" w:left="420" w:firstLine="420"/>
      <w:jc w:val="left"/>
    </w:pPr>
    <w:rPr>
      <w:rFonts w:ascii="Times New Roman" w:eastAsia="宋体"/>
      <w:color w:val="000000"/>
      <w:sz w:val="21"/>
      <w:szCs w:val="24"/>
      <w:lang w:eastAsia="en-US"/>
    </w:rPr>
  </w:style>
  <w:style w:type="paragraph" w:customStyle="1" w:styleId="1ffffffff7">
    <w:name w:val="列表接续1"/>
    <w:basedOn w:val="a"/>
    <w:uiPriority w:val="99"/>
    <w:qFormat/>
    <w:pPr>
      <w:widowControl/>
      <w:adjustRightInd w:val="0"/>
      <w:snapToGrid w:val="0"/>
      <w:spacing w:after="120" w:line="360" w:lineRule="auto"/>
      <w:ind w:leftChars="200" w:left="420" w:firstLineChars="200" w:firstLine="200"/>
      <w:jc w:val="left"/>
    </w:pPr>
    <w:rPr>
      <w:rFonts w:hAnsi="宋体" w:cs="Times New Roman"/>
      <w:color w:val="000000"/>
      <w:spacing w:val="4"/>
      <w:kern w:val="0"/>
      <w:sz w:val="24"/>
      <w:szCs w:val="24"/>
      <w:lang w:eastAsia="en-US"/>
    </w:rPr>
  </w:style>
  <w:style w:type="paragraph" w:customStyle="1" w:styleId="11ff3">
    <w:name w:val="批注主题11"/>
    <w:basedOn w:val="afb"/>
    <w:next w:val="afb"/>
    <w:autoRedefine/>
    <w:uiPriority w:val="99"/>
    <w:qFormat/>
    <w:pPr>
      <w:widowControl/>
      <w:adjustRightInd w:val="0"/>
      <w:snapToGrid w:val="0"/>
      <w:spacing w:line="360" w:lineRule="auto"/>
      <w:ind w:firstLineChars="200" w:firstLine="200"/>
    </w:pPr>
    <w:rPr>
      <w:b/>
      <w:kern w:val="0"/>
      <w:sz w:val="24"/>
      <w:szCs w:val="24"/>
      <w:lang w:val="zh-CN" w:eastAsia="en-US"/>
    </w:rPr>
  </w:style>
  <w:style w:type="paragraph" w:customStyle="1" w:styleId="1ffffffff8">
    <w:name w:val="寄信人地址1"/>
    <w:basedOn w:val="a"/>
    <w:uiPriority w:val="99"/>
    <w:qFormat/>
    <w:pPr>
      <w:widowControl/>
      <w:adjustRightInd w:val="0"/>
      <w:snapToGrid w:val="0"/>
      <w:spacing w:line="360" w:lineRule="auto"/>
      <w:ind w:firstLineChars="200" w:firstLine="200"/>
      <w:jc w:val="left"/>
    </w:pPr>
    <w:rPr>
      <w:rFonts w:ascii="Arial" w:hAnsi="Arial" w:cs="Times New Roman"/>
      <w:color w:val="000000"/>
      <w:spacing w:val="4"/>
      <w:kern w:val="0"/>
      <w:sz w:val="24"/>
      <w:szCs w:val="24"/>
      <w:lang w:eastAsia="en-US"/>
    </w:rPr>
  </w:style>
  <w:style w:type="paragraph" w:customStyle="1" w:styleId="21f8">
    <w:name w:val="列表编号 21"/>
    <w:basedOn w:val="a"/>
    <w:uiPriority w:val="99"/>
    <w:qFormat/>
    <w:pPr>
      <w:widowControl/>
      <w:tabs>
        <w:tab w:val="left" w:pos="780"/>
      </w:tabs>
      <w:adjustRightInd w:val="0"/>
      <w:snapToGrid w:val="0"/>
      <w:spacing w:line="360" w:lineRule="auto"/>
      <w:ind w:leftChars="200" w:left="780" w:hangingChars="200" w:hanging="360"/>
      <w:jc w:val="left"/>
    </w:pPr>
    <w:rPr>
      <w:rFonts w:hAnsi="宋体" w:cs="Times New Roman"/>
      <w:color w:val="000000"/>
      <w:spacing w:val="4"/>
      <w:kern w:val="0"/>
      <w:sz w:val="24"/>
      <w:szCs w:val="24"/>
      <w:lang w:eastAsia="en-US"/>
    </w:rPr>
  </w:style>
  <w:style w:type="paragraph" w:customStyle="1" w:styleId="31d">
    <w:name w:val="列表接续 31"/>
    <w:basedOn w:val="a"/>
    <w:uiPriority w:val="99"/>
    <w:qFormat/>
    <w:pPr>
      <w:widowControl/>
      <w:adjustRightInd w:val="0"/>
      <w:snapToGrid w:val="0"/>
      <w:spacing w:after="120" w:line="360" w:lineRule="auto"/>
      <w:ind w:leftChars="600" w:left="1260" w:firstLineChars="200" w:firstLine="200"/>
      <w:jc w:val="left"/>
    </w:pPr>
    <w:rPr>
      <w:rFonts w:hAnsi="宋体" w:cs="Times New Roman"/>
      <w:color w:val="000000"/>
      <w:spacing w:val="4"/>
      <w:kern w:val="0"/>
      <w:sz w:val="24"/>
      <w:szCs w:val="24"/>
      <w:lang w:eastAsia="en-US"/>
    </w:rPr>
  </w:style>
  <w:style w:type="paragraph" w:customStyle="1" w:styleId="Style286">
    <w:name w:val="_Style 286"/>
    <w:uiPriority w:val="99"/>
    <w:qFormat/>
    <w:pPr>
      <w:adjustRightInd w:val="0"/>
      <w:snapToGrid w:val="0"/>
      <w:spacing w:line="360" w:lineRule="auto"/>
      <w:ind w:firstLineChars="200" w:firstLine="496"/>
    </w:pPr>
    <w:rPr>
      <w:rFonts w:hAnsi="宋体"/>
      <w:sz w:val="24"/>
      <w:szCs w:val="24"/>
      <w:lang w:eastAsia="en-US"/>
    </w:rPr>
  </w:style>
  <w:style w:type="paragraph" w:customStyle="1" w:styleId="713">
    <w:name w:val="索引 71"/>
    <w:basedOn w:val="a"/>
    <w:next w:val="a"/>
    <w:uiPriority w:val="99"/>
    <w:qFormat/>
    <w:pPr>
      <w:widowControl/>
      <w:adjustRightInd w:val="0"/>
      <w:snapToGrid w:val="0"/>
      <w:spacing w:line="360" w:lineRule="atLeast"/>
      <w:ind w:leftChars="1200" w:left="1200" w:firstLineChars="200" w:firstLine="200"/>
      <w:jc w:val="left"/>
      <w:textAlignment w:val="baseline"/>
    </w:pPr>
    <w:rPr>
      <w:rFonts w:hAnsi="宋体" w:cs="Times New Roman"/>
      <w:color w:val="000000"/>
      <w:spacing w:val="4"/>
      <w:kern w:val="0"/>
      <w:sz w:val="24"/>
      <w:szCs w:val="24"/>
      <w:lang w:eastAsia="en-US"/>
    </w:rPr>
  </w:style>
  <w:style w:type="paragraph" w:customStyle="1" w:styleId="1ffffffff9">
    <w:name w:val="注释标题1"/>
    <w:basedOn w:val="a"/>
    <w:next w:val="a"/>
    <w:uiPriority w:val="99"/>
    <w:qFormat/>
    <w:pPr>
      <w:widowControl/>
      <w:adjustRightInd w:val="0"/>
      <w:snapToGrid w:val="0"/>
      <w:spacing w:line="360" w:lineRule="auto"/>
      <w:ind w:firstLineChars="200" w:firstLine="200"/>
      <w:jc w:val="left"/>
    </w:pPr>
    <w:rPr>
      <w:rFonts w:cs="Times New Roman"/>
      <w:szCs w:val="20"/>
    </w:rPr>
  </w:style>
  <w:style w:type="paragraph" w:customStyle="1" w:styleId="HTML11">
    <w:name w:val="HTML 地址1"/>
    <w:basedOn w:val="a"/>
    <w:uiPriority w:val="99"/>
    <w:qFormat/>
    <w:pPr>
      <w:widowControl/>
      <w:adjustRightInd w:val="0"/>
      <w:snapToGrid w:val="0"/>
      <w:spacing w:line="360" w:lineRule="auto"/>
      <w:ind w:firstLineChars="200" w:firstLine="200"/>
      <w:jc w:val="left"/>
    </w:pPr>
    <w:rPr>
      <w:rFonts w:cs="Times New Roman"/>
      <w:i/>
      <w:kern w:val="0"/>
      <w:sz w:val="24"/>
      <w:szCs w:val="24"/>
      <w:lang w:eastAsia="en-US"/>
    </w:rPr>
  </w:style>
  <w:style w:type="paragraph" w:customStyle="1" w:styleId="11ff4">
    <w:name w:val="文本块11"/>
    <w:basedOn w:val="a"/>
    <w:uiPriority w:val="99"/>
    <w:qFormat/>
    <w:pPr>
      <w:widowControl/>
      <w:adjustRightInd w:val="0"/>
      <w:snapToGrid w:val="0"/>
      <w:spacing w:after="120" w:line="360" w:lineRule="auto"/>
      <w:ind w:leftChars="700" w:left="1440" w:rightChars="700" w:right="700" w:firstLineChars="200" w:firstLine="200"/>
      <w:jc w:val="left"/>
    </w:pPr>
    <w:rPr>
      <w:rFonts w:hAnsi="宋体" w:cs="Times New Roman"/>
      <w:color w:val="000000"/>
      <w:spacing w:val="4"/>
      <w:kern w:val="0"/>
      <w:sz w:val="24"/>
      <w:szCs w:val="24"/>
      <w:lang w:eastAsia="en-US"/>
    </w:rPr>
  </w:style>
  <w:style w:type="paragraph" w:customStyle="1" w:styleId="1ffffffffa">
    <w:name w:val="收信人地址1"/>
    <w:basedOn w:val="a"/>
    <w:autoRedefine/>
    <w:uiPriority w:val="99"/>
    <w:qFormat/>
    <w:pPr>
      <w:widowControl/>
      <w:adjustRightInd w:val="0"/>
      <w:snapToGrid w:val="0"/>
      <w:spacing w:line="360" w:lineRule="auto"/>
      <w:ind w:leftChars="1400" w:left="100" w:firstLineChars="200" w:firstLine="200"/>
      <w:jc w:val="left"/>
    </w:pPr>
    <w:rPr>
      <w:rFonts w:ascii="Arial" w:hAnsi="Arial" w:cs="Times New Roman"/>
      <w:color w:val="000000"/>
      <w:spacing w:val="4"/>
      <w:kern w:val="0"/>
      <w:sz w:val="24"/>
      <w:szCs w:val="24"/>
      <w:lang w:eastAsia="en-US"/>
    </w:rPr>
  </w:style>
  <w:style w:type="paragraph" w:customStyle="1" w:styleId="1ffffffffb">
    <w:name w:val="电子邮件签名1"/>
    <w:basedOn w:val="a"/>
    <w:autoRedefine/>
    <w:uiPriority w:val="99"/>
    <w:qFormat/>
    <w:pPr>
      <w:widowControl/>
      <w:adjustRightInd w:val="0"/>
      <w:snapToGrid w:val="0"/>
      <w:spacing w:line="360" w:lineRule="auto"/>
      <w:ind w:firstLineChars="200" w:firstLine="200"/>
      <w:jc w:val="left"/>
    </w:pPr>
    <w:rPr>
      <w:rFonts w:cs="Times New Roman"/>
      <w:kern w:val="0"/>
      <w:sz w:val="24"/>
      <w:szCs w:val="24"/>
      <w:lang w:eastAsia="en-US"/>
    </w:rPr>
  </w:style>
  <w:style w:type="paragraph" w:customStyle="1" w:styleId="419">
    <w:name w:val="列表 41"/>
    <w:basedOn w:val="a"/>
    <w:uiPriority w:val="99"/>
    <w:qFormat/>
    <w:pPr>
      <w:widowControl/>
      <w:adjustRightInd w:val="0"/>
      <w:snapToGrid w:val="0"/>
      <w:spacing w:line="360" w:lineRule="auto"/>
      <w:ind w:leftChars="600" w:left="100" w:hangingChars="200" w:hanging="200"/>
      <w:jc w:val="left"/>
    </w:pPr>
    <w:rPr>
      <w:rFonts w:hAnsi="宋体" w:cs="Times New Roman"/>
      <w:color w:val="000000"/>
      <w:spacing w:val="4"/>
      <w:kern w:val="0"/>
      <w:sz w:val="24"/>
      <w:szCs w:val="24"/>
      <w:lang w:eastAsia="en-US"/>
    </w:rPr>
  </w:style>
  <w:style w:type="paragraph" w:customStyle="1" w:styleId="1ffffffffc">
    <w:name w:val="结束语1"/>
    <w:basedOn w:val="a"/>
    <w:uiPriority w:val="99"/>
    <w:qFormat/>
    <w:pPr>
      <w:widowControl/>
      <w:adjustRightInd w:val="0"/>
      <w:snapToGrid w:val="0"/>
      <w:spacing w:line="360" w:lineRule="auto"/>
      <w:ind w:leftChars="2100" w:left="100" w:firstLineChars="200" w:firstLine="200"/>
      <w:jc w:val="left"/>
    </w:pPr>
    <w:rPr>
      <w:rFonts w:cs="Times New Roman"/>
      <w:kern w:val="0"/>
      <w:sz w:val="24"/>
      <w:szCs w:val="24"/>
      <w:lang w:eastAsia="en-US"/>
    </w:rPr>
  </w:style>
  <w:style w:type="paragraph" w:customStyle="1" w:styleId="31e">
    <w:name w:val="列表 31"/>
    <w:basedOn w:val="a"/>
    <w:autoRedefine/>
    <w:uiPriority w:val="99"/>
    <w:qFormat/>
    <w:pPr>
      <w:widowControl/>
      <w:adjustRightInd w:val="0"/>
      <w:snapToGrid w:val="0"/>
      <w:spacing w:line="360" w:lineRule="auto"/>
      <w:ind w:leftChars="400" w:left="100" w:hangingChars="200" w:hanging="200"/>
      <w:jc w:val="left"/>
    </w:pPr>
    <w:rPr>
      <w:rFonts w:hAnsi="宋体" w:cs="Times New Roman"/>
      <w:color w:val="000000"/>
      <w:spacing w:val="4"/>
      <w:kern w:val="0"/>
      <w:sz w:val="24"/>
      <w:szCs w:val="24"/>
      <w:lang w:eastAsia="en-US"/>
    </w:rPr>
  </w:style>
  <w:style w:type="paragraph" w:customStyle="1" w:styleId="1ffffffffd">
    <w:name w:val="索引标题1"/>
    <w:basedOn w:val="a"/>
    <w:next w:val="11ff5"/>
    <w:uiPriority w:val="99"/>
    <w:qFormat/>
    <w:pPr>
      <w:widowControl/>
      <w:adjustRightInd w:val="0"/>
      <w:snapToGrid w:val="0"/>
      <w:spacing w:line="360" w:lineRule="atLeast"/>
      <w:ind w:firstLineChars="200" w:firstLine="200"/>
      <w:jc w:val="left"/>
      <w:textAlignment w:val="baseline"/>
    </w:pPr>
    <w:rPr>
      <w:rFonts w:hAnsi="宋体" w:cs="Times New Roman"/>
      <w:color w:val="000000"/>
      <w:spacing w:val="4"/>
      <w:kern w:val="0"/>
      <w:sz w:val="24"/>
      <w:szCs w:val="24"/>
      <w:lang w:eastAsia="en-US"/>
    </w:rPr>
  </w:style>
  <w:style w:type="paragraph" w:customStyle="1" w:styleId="11ff5">
    <w:name w:val="索引 11"/>
    <w:basedOn w:val="a"/>
    <w:next w:val="a"/>
    <w:uiPriority w:val="99"/>
    <w:qFormat/>
    <w:pPr>
      <w:widowControl/>
      <w:adjustRightInd w:val="0"/>
      <w:snapToGrid w:val="0"/>
      <w:spacing w:line="360" w:lineRule="auto"/>
      <w:ind w:firstLineChars="200" w:firstLine="200"/>
      <w:jc w:val="left"/>
      <w:textAlignment w:val="baseline"/>
    </w:pPr>
    <w:rPr>
      <w:rFonts w:eastAsia="楷体_GB2312" w:hAnsi="宋体" w:cs="Times New Roman"/>
      <w:b/>
      <w:color w:val="000000"/>
      <w:spacing w:val="4"/>
      <w:kern w:val="0"/>
      <w:sz w:val="24"/>
      <w:szCs w:val="24"/>
      <w:lang w:eastAsia="en-US"/>
    </w:rPr>
  </w:style>
  <w:style w:type="paragraph" w:customStyle="1" w:styleId="1ffffffffe">
    <w:name w:val="信息标题1"/>
    <w:basedOn w:val="a"/>
    <w:uiPriority w:val="99"/>
    <w:qFormat/>
    <w:pPr>
      <w:widowControl/>
      <w:pBdr>
        <w:top w:val="single" w:sz="6" w:space="1" w:color="auto"/>
        <w:left w:val="single" w:sz="6" w:space="1" w:color="auto"/>
        <w:bottom w:val="single" w:sz="6" w:space="1" w:color="auto"/>
        <w:right w:val="single" w:sz="6" w:space="1" w:color="auto"/>
      </w:pBdr>
      <w:shd w:val="pct20" w:color="auto" w:fill="auto"/>
      <w:adjustRightInd w:val="0"/>
      <w:snapToGrid w:val="0"/>
      <w:spacing w:line="360" w:lineRule="auto"/>
      <w:ind w:leftChars="500" w:left="1080" w:hangingChars="500" w:hanging="1080"/>
      <w:jc w:val="left"/>
    </w:pPr>
    <w:rPr>
      <w:rFonts w:ascii="Arial" w:hAnsi="Arial" w:cs="Times New Roman"/>
      <w:kern w:val="0"/>
      <w:sz w:val="24"/>
      <w:szCs w:val="24"/>
      <w:shd w:val="pct20" w:color="auto" w:fill="auto"/>
      <w:lang w:eastAsia="en-US"/>
    </w:rPr>
  </w:style>
  <w:style w:type="paragraph" w:customStyle="1" w:styleId="516">
    <w:name w:val="列表接续 51"/>
    <w:basedOn w:val="a"/>
    <w:autoRedefine/>
    <w:uiPriority w:val="99"/>
    <w:qFormat/>
    <w:pPr>
      <w:widowControl/>
      <w:adjustRightInd w:val="0"/>
      <w:snapToGrid w:val="0"/>
      <w:spacing w:after="120" w:line="360" w:lineRule="auto"/>
      <w:ind w:leftChars="1000" w:left="2100" w:firstLineChars="200" w:firstLine="200"/>
      <w:jc w:val="left"/>
    </w:pPr>
    <w:rPr>
      <w:rFonts w:hAnsi="宋体" w:cs="Times New Roman"/>
      <w:color w:val="000000"/>
      <w:spacing w:val="4"/>
      <w:kern w:val="0"/>
      <w:sz w:val="24"/>
      <w:szCs w:val="24"/>
      <w:lang w:eastAsia="en-US"/>
    </w:rPr>
  </w:style>
  <w:style w:type="paragraph" w:customStyle="1" w:styleId="1fffffffff">
    <w:name w:val="称呼1"/>
    <w:basedOn w:val="a"/>
    <w:next w:val="a"/>
    <w:autoRedefine/>
    <w:uiPriority w:val="99"/>
    <w:qFormat/>
    <w:pPr>
      <w:widowControl/>
      <w:adjustRightInd w:val="0"/>
      <w:snapToGrid w:val="0"/>
      <w:spacing w:line="360" w:lineRule="auto"/>
      <w:ind w:firstLineChars="200" w:firstLine="200"/>
      <w:jc w:val="left"/>
    </w:pPr>
    <w:rPr>
      <w:rFonts w:cs="Times New Roman"/>
      <w:kern w:val="0"/>
      <w:sz w:val="24"/>
      <w:szCs w:val="24"/>
      <w:lang w:eastAsia="en-US"/>
    </w:rPr>
  </w:style>
  <w:style w:type="paragraph" w:customStyle="1" w:styleId="31f">
    <w:name w:val="列表编号 31"/>
    <w:basedOn w:val="a"/>
    <w:autoRedefine/>
    <w:uiPriority w:val="99"/>
    <w:qFormat/>
    <w:pPr>
      <w:widowControl/>
      <w:tabs>
        <w:tab w:val="left" w:pos="1200"/>
      </w:tabs>
      <w:adjustRightInd w:val="0"/>
      <w:snapToGrid w:val="0"/>
      <w:spacing w:line="360" w:lineRule="auto"/>
      <w:ind w:leftChars="400" w:left="1200" w:hangingChars="200" w:hanging="360"/>
      <w:jc w:val="left"/>
    </w:pPr>
    <w:rPr>
      <w:rFonts w:hAnsi="宋体" w:cs="Times New Roman"/>
      <w:color w:val="000000"/>
      <w:spacing w:val="4"/>
      <w:kern w:val="0"/>
      <w:sz w:val="24"/>
      <w:szCs w:val="24"/>
      <w:lang w:eastAsia="en-US"/>
    </w:rPr>
  </w:style>
  <w:style w:type="paragraph" w:customStyle="1" w:styleId="21f9">
    <w:name w:val="索引 21"/>
    <w:basedOn w:val="a"/>
    <w:next w:val="a"/>
    <w:uiPriority w:val="99"/>
    <w:qFormat/>
    <w:pPr>
      <w:widowControl/>
      <w:adjustRightInd w:val="0"/>
      <w:snapToGrid w:val="0"/>
      <w:spacing w:line="360" w:lineRule="atLeast"/>
      <w:ind w:leftChars="200" w:left="200" w:firstLineChars="200" w:firstLine="200"/>
      <w:jc w:val="left"/>
      <w:textAlignment w:val="baseline"/>
    </w:pPr>
    <w:rPr>
      <w:rFonts w:hAnsi="宋体" w:cs="Times New Roman"/>
      <w:color w:val="000000"/>
      <w:spacing w:val="4"/>
      <w:kern w:val="0"/>
      <w:sz w:val="24"/>
      <w:szCs w:val="24"/>
      <w:lang w:eastAsia="en-US"/>
    </w:rPr>
  </w:style>
  <w:style w:type="paragraph" w:customStyle="1" w:styleId="41a">
    <w:name w:val="列表接续 41"/>
    <w:basedOn w:val="a"/>
    <w:autoRedefine/>
    <w:uiPriority w:val="99"/>
    <w:qFormat/>
    <w:pPr>
      <w:widowControl/>
      <w:adjustRightInd w:val="0"/>
      <w:snapToGrid w:val="0"/>
      <w:spacing w:after="120" w:line="360" w:lineRule="auto"/>
      <w:ind w:leftChars="800" w:left="1680" w:firstLineChars="200" w:firstLine="200"/>
      <w:jc w:val="left"/>
    </w:pPr>
    <w:rPr>
      <w:rFonts w:hAnsi="宋体" w:cs="Times New Roman"/>
      <w:color w:val="000000"/>
      <w:spacing w:val="4"/>
      <w:kern w:val="0"/>
      <w:sz w:val="24"/>
      <w:szCs w:val="24"/>
      <w:lang w:eastAsia="en-US"/>
    </w:rPr>
  </w:style>
  <w:style w:type="paragraph" w:customStyle="1" w:styleId="517">
    <w:name w:val="列表编号 51"/>
    <w:basedOn w:val="a"/>
    <w:autoRedefine/>
    <w:uiPriority w:val="99"/>
    <w:qFormat/>
    <w:pPr>
      <w:widowControl/>
      <w:tabs>
        <w:tab w:val="left" w:pos="2040"/>
      </w:tabs>
      <w:adjustRightInd w:val="0"/>
      <w:snapToGrid w:val="0"/>
      <w:spacing w:line="360" w:lineRule="auto"/>
      <w:ind w:leftChars="800" w:left="2040" w:hangingChars="200" w:hanging="360"/>
      <w:jc w:val="left"/>
    </w:pPr>
    <w:rPr>
      <w:rFonts w:hAnsi="宋体" w:cs="Times New Roman"/>
      <w:color w:val="000000"/>
      <w:spacing w:val="4"/>
      <w:kern w:val="0"/>
      <w:sz w:val="24"/>
      <w:szCs w:val="24"/>
      <w:lang w:eastAsia="en-US"/>
    </w:rPr>
  </w:style>
  <w:style w:type="paragraph" w:customStyle="1" w:styleId="518">
    <w:name w:val="索引 51"/>
    <w:basedOn w:val="a"/>
    <w:next w:val="a"/>
    <w:autoRedefine/>
    <w:uiPriority w:val="99"/>
    <w:qFormat/>
    <w:pPr>
      <w:widowControl/>
      <w:adjustRightInd w:val="0"/>
      <w:snapToGrid w:val="0"/>
      <w:spacing w:line="360" w:lineRule="atLeast"/>
      <w:ind w:leftChars="800" w:left="800" w:firstLineChars="200" w:firstLine="200"/>
      <w:jc w:val="left"/>
      <w:textAlignment w:val="baseline"/>
    </w:pPr>
    <w:rPr>
      <w:rFonts w:hAnsi="宋体" w:cs="Times New Roman"/>
      <w:color w:val="000000"/>
      <w:spacing w:val="4"/>
      <w:kern w:val="0"/>
      <w:sz w:val="24"/>
      <w:szCs w:val="24"/>
      <w:lang w:eastAsia="en-US"/>
    </w:rPr>
  </w:style>
  <w:style w:type="paragraph" w:customStyle="1" w:styleId="table0">
    <w:name w:val="table"/>
    <w:basedOn w:val="a"/>
    <w:next w:val="a"/>
    <w:autoRedefine/>
    <w:uiPriority w:val="99"/>
    <w:qFormat/>
    <w:pPr>
      <w:adjustRightInd w:val="0"/>
      <w:snapToGrid w:val="0"/>
      <w:jc w:val="center"/>
    </w:pPr>
    <w:rPr>
      <w:rFonts w:cs="宋体"/>
      <w:color w:val="000000"/>
      <w:szCs w:val="28"/>
    </w:rPr>
  </w:style>
  <w:style w:type="paragraph" w:customStyle="1" w:styleId="11ff6">
    <w:name w:val="签名11"/>
    <w:basedOn w:val="a"/>
    <w:uiPriority w:val="99"/>
    <w:qFormat/>
    <w:pPr>
      <w:widowControl/>
      <w:adjustRightInd w:val="0"/>
      <w:snapToGrid w:val="0"/>
      <w:spacing w:line="360" w:lineRule="auto"/>
      <w:ind w:leftChars="2100" w:left="100" w:firstLineChars="200" w:firstLine="200"/>
      <w:jc w:val="left"/>
    </w:pPr>
    <w:rPr>
      <w:rFonts w:cs="Times New Roman"/>
      <w:kern w:val="0"/>
      <w:sz w:val="24"/>
      <w:szCs w:val="24"/>
      <w:lang w:eastAsia="en-US"/>
    </w:rPr>
  </w:style>
  <w:style w:type="paragraph" w:customStyle="1" w:styleId="1fffffffff0">
    <w:name w:val="列表1"/>
    <w:basedOn w:val="a"/>
    <w:uiPriority w:val="99"/>
    <w:qFormat/>
    <w:pPr>
      <w:widowControl/>
      <w:adjustRightInd w:val="0"/>
      <w:snapToGrid w:val="0"/>
      <w:spacing w:line="360" w:lineRule="auto"/>
      <w:ind w:left="200" w:hangingChars="200" w:hanging="200"/>
      <w:jc w:val="left"/>
    </w:pPr>
    <w:rPr>
      <w:rFonts w:hAnsi="宋体" w:cs="Times New Roman"/>
      <w:color w:val="000000"/>
      <w:spacing w:val="4"/>
      <w:kern w:val="0"/>
      <w:sz w:val="24"/>
      <w:szCs w:val="24"/>
      <w:lang w:eastAsia="en-US"/>
    </w:rPr>
  </w:style>
  <w:style w:type="paragraph" w:customStyle="1" w:styleId="814">
    <w:name w:val="索引 81"/>
    <w:basedOn w:val="a"/>
    <w:next w:val="a"/>
    <w:uiPriority w:val="99"/>
    <w:qFormat/>
    <w:pPr>
      <w:widowControl/>
      <w:adjustRightInd w:val="0"/>
      <w:snapToGrid w:val="0"/>
      <w:spacing w:line="360" w:lineRule="atLeast"/>
      <w:ind w:leftChars="1400" w:left="1400" w:firstLineChars="200" w:firstLine="200"/>
      <w:jc w:val="left"/>
      <w:textAlignment w:val="baseline"/>
    </w:pPr>
    <w:rPr>
      <w:rFonts w:hAnsi="宋体" w:cs="Times New Roman"/>
      <w:color w:val="000000"/>
      <w:spacing w:val="4"/>
      <w:kern w:val="0"/>
      <w:sz w:val="24"/>
      <w:szCs w:val="24"/>
      <w:lang w:eastAsia="en-US"/>
    </w:rPr>
  </w:style>
  <w:style w:type="paragraph" w:customStyle="1" w:styleId="21fa">
    <w:name w:val="列表 21"/>
    <w:basedOn w:val="a"/>
    <w:uiPriority w:val="99"/>
    <w:qFormat/>
    <w:pPr>
      <w:widowControl/>
      <w:adjustRightInd w:val="0"/>
      <w:snapToGrid w:val="0"/>
      <w:spacing w:line="360" w:lineRule="auto"/>
      <w:ind w:leftChars="200" w:left="100" w:hangingChars="200" w:hanging="200"/>
      <w:jc w:val="left"/>
    </w:pPr>
    <w:rPr>
      <w:rFonts w:hAnsi="宋体" w:cs="Times New Roman"/>
      <w:color w:val="000000"/>
      <w:spacing w:val="4"/>
      <w:kern w:val="0"/>
      <w:sz w:val="24"/>
      <w:szCs w:val="24"/>
      <w:lang w:eastAsia="en-US"/>
    </w:rPr>
  </w:style>
  <w:style w:type="paragraph" w:customStyle="1" w:styleId="41b">
    <w:name w:val="索引 41"/>
    <w:basedOn w:val="a"/>
    <w:next w:val="a"/>
    <w:uiPriority w:val="99"/>
    <w:qFormat/>
    <w:pPr>
      <w:widowControl/>
      <w:adjustRightInd w:val="0"/>
      <w:snapToGrid w:val="0"/>
      <w:spacing w:line="360" w:lineRule="atLeast"/>
      <w:ind w:leftChars="600" w:left="600" w:firstLineChars="200" w:firstLine="200"/>
      <w:jc w:val="left"/>
      <w:textAlignment w:val="baseline"/>
    </w:pPr>
    <w:rPr>
      <w:rFonts w:hAnsi="宋体" w:cs="Times New Roman"/>
      <w:color w:val="000000"/>
      <w:spacing w:val="4"/>
      <w:kern w:val="0"/>
      <w:sz w:val="24"/>
      <w:szCs w:val="24"/>
      <w:lang w:eastAsia="en-US"/>
    </w:rPr>
  </w:style>
  <w:style w:type="paragraph" w:customStyle="1" w:styleId="613">
    <w:name w:val="索引 61"/>
    <w:basedOn w:val="a"/>
    <w:next w:val="a"/>
    <w:autoRedefine/>
    <w:uiPriority w:val="99"/>
    <w:qFormat/>
    <w:pPr>
      <w:widowControl/>
      <w:adjustRightInd w:val="0"/>
      <w:snapToGrid w:val="0"/>
      <w:spacing w:line="360" w:lineRule="atLeast"/>
      <w:ind w:leftChars="1000" w:left="1000" w:firstLineChars="200" w:firstLine="200"/>
      <w:jc w:val="left"/>
      <w:textAlignment w:val="baseline"/>
    </w:pPr>
    <w:rPr>
      <w:rFonts w:hAnsi="宋体" w:cs="Times New Roman"/>
      <w:color w:val="000000"/>
      <w:spacing w:val="4"/>
      <w:kern w:val="0"/>
      <w:sz w:val="24"/>
      <w:szCs w:val="24"/>
      <w:lang w:eastAsia="en-US"/>
    </w:rPr>
  </w:style>
  <w:style w:type="paragraph" w:customStyle="1" w:styleId="HTML12">
    <w:name w:val="HTML 预设格式1"/>
    <w:basedOn w:val="a"/>
    <w:autoRedefine/>
    <w:uiPriority w:val="99"/>
    <w:qFormat/>
    <w:pPr>
      <w:widowControl/>
      <w:adjustRightInd w:val="0"/>
      <w:snapToGrid w:val="0"/>
      <w:spacing w:line="360" w:lineRule="auto"/>
      <w:ind w:firstLineChars="200" w:firstLine="200"/>
      <w:jc w:val="left"/>
    </w:pPr>
    <w:rPr>
      <w:rFonts w:ascii="Courier New" w:hAnsi="Courier New" w:cs="Times New Roman"/>
      <w:kern w:val="0"/>
      <w:sz w:val="20"/>
      <w:szCs w:val="24"/>
      <w:lang w:eastAsia="en-US"/>
    </w:rPr>
  </w:style>
  <w:style w:type="paragraph" w:customStyle="1" w:styleId="1fffffffff1">
    <w:name w:val="引文目录1"/>
    <w:basedOn w:val="a"/>
    <w:next w:val="a"/>
    <w:autoRedefine/>
    <w:uiPriority w:val="99"/>
    <w:qFormat/>
    <w:pPr>
      <w:ind w:leftChars="200" w:left="420"/>
    </w:pPr>
    <w:rPr>
      <w:rFonts w:cs="Times New Roman"/>
      <w:color w:val="000000"/>
      <w:szCs w:val="20"/>
    </w:rPr>
  </w:style>
  <w:style w:type="paragraph" w:customStyle="1" w:styleId="31f0">
    <w:name w:val="索引 31"/>
    <w:basedOn w:val="a"/>
    <w:next w:val="a"/>
    <w:autoRedefine/>
    <w:uiPriority w:val="99"/>
    <w:qFormat/>
    <w:pPr>
      <w:widowControl/>
      <w:adjustRightInd w:val="0"/>
      <w:snapToGrid w:val="0"/>
      <w:spacing w:line="360" w:lineRule="atLeast"/>
      <w:ind w:leftChars="400" w:left="400" w:firstLineChars="200" w:firstLine="200"/>
      <w:jc w:val="left"/>
      <w:textAlignment w:val="baseline"/>
    </w:pPr>
    <w:rPr>
      <w:rFonts w:hAnsi="宋体" w:cs="Times New Roman"/>
      <w:color w:val="000000"/>
      <w:spacing w:val="4"/>
      <w:kern w:val="0"/>
      <w:sz w:val="24"/>
      <w:szCs w:val="24"/>
      <w:lang w:eastAsia="en-US"/>
    </w:rPr>
  </w:style>
  <w:style w:type="paragraph" w:customStyle="1" w:styleId="-f">
    <w:name w:val="正文-本子"/>
    <w:basedOn w:val="a"/>
    <w:autoRedefine/>
    <w:uiPriority w:val="99"/>
    <w:qFormat/>
    <w:pPr>
      <w:spacing w:line="360" w:lineRule="auto"/>
      <w:ind w:firstLineChars="200" w:firstLine="480"/>
    </w:pPr>
    <w:rPr>
      <w:rFonts w:cs="宋体"/>
      <w:sz w:val="24"/>
      <w:szCs w:val="21"/>
    </w:rPr>
  </w:style>
  <w:style w:type="paragraph" w:customStyle="1" w:styleId="3ffff">
    <w:name w:val="标题小3"/>
    <w:basedOn w:val="a"/>
    <w:autoRedefine/>
    <w:uiPriority w:val="99"/>
    <w:qFormat/>
    <w:pPr>
      <w:spacing w:before="200" w:after="200" w:line="0" w:lineRule="atLeast"/>
      <w:outlineLvl w:val="2"/>
    </w:pPr>
    <w:rPr>
      <w:rFonts w:eastAsia="黑体" w:cs="宋体"/>
      <w:b/>
      <w:bCs/>
      <w:sz w:val="24"/>
      <w:szCs w:val="20"/>
    </w:rPr>
  </w:style>
  <w:style w:type="paragraph" w:customStyle="1" w:styleId="affffffffffffffffffffffffffffffffffffff6">
    <w:name w:val="标图题目"/>
    <w:basedOn w:val="a"/>
    <w:uiPriority w:val="99"/>
    <w:qFormat/>
    <w:pPr>
      <w:widowControl/>
      <w:spacing w:line="360" w:lineRule="auto"/>
      <w:jc w:val="center"/>
    </w:pPr>
    <w:rPr>
      <w:rFonts w:ascii="宋体" w:hAnsi="宋体" w:cs="Times New Roman"/>
      <w:b/>
      <w:kern w:val="0"/>
      <w:sz w:val="24"/>
      <w:szCs w:val="20"/>
    </w:rPr>
  </w:style>
  <w:style w:type="paragraph" w:customStyle="1" w:styleId="1fffffffff2">
    <w:name w:val="三级标题1"/>
    <w:basedOn w:val="a"/>
    <w:autoRedefine/>
    <w:uiPriority w:val="99"/>
    <w:qFormat/>
    <w:pPr>
      <w:widowControl/>
      <w:spacing w:line="360" w:lineRule="auto"/>
      <w:jc w:val="left"/>
    </w:pPr>
    <w:rPr>
      <w:rFonts w:ascii="宋体" w:hAnsi="宋体" w:cs="Times New Roman"/>
      <w:b/>
      <w:kern w:val="0"/>
      <w:sz w:val="28"/>
      <w:szCs w:val="20"/>
    </w:rPr>
  </w:style>
  <w:style w:type="paragraph" w:customStyle="1" w:styleId="CM4">
    <w:name w:val="CM4"/>
    <w:basedOn w:val="Default"/>
    <w:next w:val="Default"/>
    <w:autoRedefine/>
    <w:uiPriority w:val="99"/>
    <w:qFormat/>
    <w:pPr>
      <w:spacing w:line="480" w:lineRule="auto"/>
      <w:jc w:val="left"/>
    </w:pPr>
    <w:rPr>
      <w:rFonts w:ascii="宋体" w:eastAsia="宋体" w:hAnsi="Times New Roman" w:cs="Times New Roman"/>
      <w:kern w:val="0"/>
    </w:rPr>
  </w:style>
  <w:style w:type="paragraph" w:customStyle="1" w:styleId="CM6">
    <w:name w:val="CM6"/>
    <w:basedOn w:val="Default"/>
    <w:next w:val="Default"/>
    <w:autoRedefine/>
    <w:uiPriority w:val="99"/>
    <w:qFormat/>
    <w:pPr>
      <w:spacing w:line="480" w:lineRule="auto"/>
      <w:jc w:val="left"/>
    </w:pPr>
    <w:rPr>
      <w:rFonts w:ascii="宋体" w:eastAsia="宋体" w:hAnsi="Times New Roman" w:cs="Times New Roman"/>
      <w:kern w:val="0"/>
    </w:rPr>
  </w:style>
  <w:style w:type="paragraph" w:customStyle="1" w:styleId="CM18">
    <w:name w:val="CM18"/>
    <w:basedOn w:val="Default"/>
    <w:next w:val="Default"/>
    <w:autoRedefine/>
    <w:uiPriority w:val="99"/>
    <w:qFormat/>
    <w:pPr>
      <w:spacing w:line="480" w:lineRule="auto"/>
      <w:jc w:val="left"/>
    </w:pPr>
    <w:rPr>
      <w:rFonts w:ascii="宋体" w:eastAsia="宋体" w:hAnsi="Times New Roman" w:cs="Times New Roman"/>
      <w:kern w:val="0"/>
    </w:rPr>
  </w:style>
  <w:style w:type="paragraph" w:customStyle="1" w:styleId="CM2">
    <w:name w:val="CM2"/>
    <w:basedOn w:val="Default"/>
    <w:next w:val="Default"/>
    <w:autoRedefine/>
    <w:uiPriority w:val="99"/>
    <w:qFormat/>
    <w:pPr>
      <w:spacing w:line="480" w:lineRule="auto"/>
      <w:jc w:val="left"/>
    </w:pPr>
    <w:rPr>
      <w:rFonts w:ascii="宋体" w:eastAsia="宋体" w:hAnsi="Times New Roman" w:cs="Times New Roman"/>
      <w:kern w:val="0"/>
    </w:rPr>
  </w:style>
  <w:style w:type="paragraph" w:customStyle="1" w:styleId="CM17">
    <w:name w:val="CM17"/>
    <w:basedOn w:val="Default"/>
    <w:next w:val="Default"/>
    <w:uiPriority w:val="99"/>
    <w:qFormat/>
    <w:pPr>
      <w:spacing w:line="480" w:lineRule="auto"/>
      <w:jc w:val="left"/>
    </w:pPr>
    <w:rPr>
      <w:rFonts w:ascii="宋体" w:eastAsia="宋体" w:hAnsi="Times New Roman" w:cs="Times New Roman"/>
      <w:kern w:val="0"/>
    </w:rPr>
  </w:style>
  <w:style w:type="paragraph" w:customStyle="1" w:styleId="CM11">
    <w:name w:val="CM11"/>
    <w:basedOn w:val="Default"/>
    <w:next w:val="Default"/>
    <w:autoRedefine/>
    <w:uiPriority w:val="99"/>
    <w:qFormat/>
    <w:pPr>
      <w:spacing w:line="480" w:lineRule="auto"/>
      <w:jc w:val="left"/>
    </w:pPr>
    <w:rPr>
      <w:rFonts w:ascii="宋体" w:eastAsia="宋体" w:hAnsi="Times New Roman" w:cs="Times New Roman"/>
      <w:kern w:val="0"/>
    </w:rPr>
  </w:style>
  <w:style w:type="paragraph" w:customStyle="1" w:styleId="CharChar1CharCharCharCharCharCharChar">
    <w:name w:val="Char Char1 Char Char Char Char Char Char Char"/>
    <w:basedOn w:val="a"/>
    <w:autoRedefine/>
    <w:uiPriority w:val="99"/>
    <w:qFormat/>
    <w:rPr>
      <w:rFonts w:cs="Times New Roman"/>
      <w:sz w:val="24"/>
      <w:szCs w:val="24"/>
    </w:rPr>
  </w:style>
  <w:style w:type="paragraph" w:customStyle="1" w:styleId="affffffffffffffffffffffffffffffffffffff7">
    <w:name w:val="正文 小四 粗"/>
    <w:basedOn w:val="a"/>
    <w:link w:val="Charffffffff1"/>
    <w:autoRedefine/>
    <w:qFormat/>
    <w:rPr>
      <w:rFonts w:ascii="Calibri" w:hAnsi="Calibri" w:cs="Times New Roman"/>
      <w:b/>
      <w:sz w:val="24"/>
      <w:szCs w:val="24"/>
      <w:lang w:val="zh-CN"/>
    </w:rPr>
  </w:style>
  <w:style w:type="character" w:customStyle="1" w:styleId="Charffffffff1">
    <w:name w:val="正文 小四 粗 Char"/>
    <w:link w:val="affffffffffffffffffffffffffffffffffffff7"/>
    <w:autoRedefine/>
    <w:qFormat/>
    <w:rPr>
      <w:rFonts w:ascii="Calibri" w:hAnsi="Calibri"/>
      <w:b/>
      <w:kern w:val="2"/>
      <w:sz w:val="24"/>
      <w:szCs w:val="24"/>
      <w:lang w:val="zh-CN"/>
    </w:rPr>
  </w:style>
  <w:style w:type="paragraph" w:customStyle="1" w:styleId="affffffffffffffffffffffffffffffffffffff8">
    <w:name w:val="正文 小四"/>
    <w:basedOn w:val="a"/>
    <w:link w:val="Charffffffff2"/>
    <w:autoRedefine/>
    <w:qFormat/>
    <w:pPr>
      <w:ind w:firstLineChars="150" w:firstLine="360"/>
      <w:outlineLvl w:val="0"/>
    </w:pPr>
    <w:rPr>
      <w:rFonts w:ascii="Calibri" w:hAnsi="Calibri" w:cs="Times New Roman"/>
      <w:sz w:val="24"/>
      <w:szCs w:val="24"/>
      <w:lang w:val="zh-CN"/>
    </w:rPr>
  </w:style>
  <w:style w:type="character" w:customStyle="1" w:styleId="Charffffffff2">
    <w:name w:val="正文 小四 Char"/>
    <w:link w:val="affffffffffffffffffffffffffffffffffffff8"/>
    <w:autoRedefine/>
    <w:qFormat/>
    <w:rPr>
      <w:rFonts w:ascii="Calibri" w:hAnsi="Calibri"/>
      <w:kern w:val="2"/>
      <w:sz w:val="24"/>
      <w:szCs w:val="24"/>
      <w:lang w:val="zh-CN"/>
    </w:rPr>
  </w:style>
  <w:style w:type="paragraph" w:customStyle="1" w:styleId="affffffffffffffffffffffffffffffffffffff9">
    <w:name w:val="正文 小四 宋"/>
    <w:basedOn w:val="a"/>
    <w:link w:val="Charffffffff3"/>
    <w:qFormat/>
    <w:pPr>
      <w:ind w:firstLineChars="150" w:firstLine="360"/>
    </w:pPr>
    <w:rPr>
      <w:rFonts w:ascii="Calibri" w:hAnsi="Calibri" w:cs="Times New Roman"/>
      <w:sz w:val="24"/>
      <w:szCs w:val="24"/>
      <w:lang w:val="zh-CN"/>
    </w:rPr>
  </w:style>
  <w:style w:type="character" w:customStyle="1" w:styleId="Charffffffff3">
    <w:name w:val="正文 小四 宋 Char"/>
    <w:link w:val="affffffffffffffffffffffffffffffffffffff9"/>
    <w:qFormat/>
    <w:rPr>
      <w:rFonts w:ascii="Calibri" w:hAnsi="Calibri"/>
      <w:kern w:val="2"/>
      <w:sz w:val="24"/>
      <w:szCs w:val="24"/>
      <w:lang w:val="zh-CN"/>
    </w:rPr>
  </w:style>
  <w:style w:type="character" w:customStyle="1" w:styleId="107">
    <w:name w:val="标题10"/>
    <w:qFormat/>
  </w:style>
  <w:style w:type="paragraph" w:customStyle="1" w:styleId="22TimesNewRoman">
    <w:name w:val="正文 首行缩进:  2 字符 + 首行缩进:  2 字符 + Times New Roman 小四 ..."/>
    <w:basedOn w:val="a"/>
    <w:autoRedefine/>
    <w:uiPriority w:val="99"/>
    <w:qFormat/>
    <w:pPr>
      <w:spacing w:line="360" w:lineRule="auto"/>
      <w:ind w:firstLineChars="200" w:firstLine="200"/>
    </w:pPr>
    <w:rPr>
      <w:rFonts w:cs="宋体"/>
      <w:sz w:val="24"/>
      <w:szCs w:val="20"/>
    </w:rPr>
  </w:style>
  <w:style w:type="character" w:customStyle="1" w:styleId="lifang1">
    <w:name w:val="lifang1"/>
    <w:autoRedefine/>
    <w:qFormat/>
    <w:rPr>
      <w:sz w:val="20"/>
      <w:szCs w:val="20"/>
      <w:vertAlign w:val="superscript"/>
    </w:rPr>
  </w:style>
  <w:style w:type="character" w:customStyle="1" w:styleId="Charffffffff4">
    <w:name w:val="随着经济发展和人民生活水平的提高 Char"/>
    <w:qFormat/>
    <w:rPr>
      <w:sz w:val="24"/>
    </w:rPr>
  </w:style>
  <w:style w:type="character" w:customStyle="1" w:styleId="-4CharChar1">
    <w:name w:val="标题-4 Char Char1"/>
    <w:qFormat/>
    <w:rPr>
      <w:rFonts w:ascii="楷体_GB2312" w:eastAsia="楷体_GB2312"/>
      <w:spacing w:val="-30"/>
      <w:kern w:val="2"/>
      <w:sz w:val="24"/>
    </w:rPr>
  </w:style>
  <w:style w:type="paragraph" w:customStyle="1" w:styleId="4ffb">
    <w:name w:val="标4"/>
    <w:basedOn w:val="a"/>
    <w:uiPriority w:val="99"/>
    <w:qFormat/>
    <w:pPr>
      <w:keepNext/>
      <w:keepLines/>
      <w:widowControl/>
      <w:tabs>
        <w:tab w:val="left" w:pos="840"/>
        <w:tab w:val="left" w:pos="1021"/>
        <w:tab w:val="left" w:pos="1275"/>
      </w:tabs>
      <w:overflowPunct w:val="0"/>
      <w:jc w:val="left"/>
      <w:textAlignment w:val="baseline"/>
      <w:outlineLvl w:val="2"/>
    </w:pPr>
    <w:rPr>
      <w:rFonts w:ascii="宋体" w:hAnsi="宋体" w:cs="宋体"/>
      <w:b/>
      <w:bCs/>
      <w:color w:val="000000"/>
      <w:spacing w:val="4"/>
      <w:kern w:val="0"/>
      <w:sz w:val="24"/>
      <w:szCs w:val="24"/>
    </w:rPr>
  </w:style>
  <w:style w:type="paragraph" w:customStyle="1" w:styleId="2fffffffa">
    <w:name w:val="样式 标题 2 + 居中"/>
    <w:basedOn w:val="20"/>
    <w:autoRedefine/>
    <w:uiPriority w:val="99"/>
    <w:qFormat/>
    <w:pPr>
      <w:keepLines w:val="0"/>
      <w:numPr>
        <w:ilvl w:val="0"/>
        <w:numId w:val="0"/>
      </w:numPr>
      <w:tabs>
        <w:tab w:val="left" w:pos="870"/>
      </w:tabs>
      <w:spacing w:beforeLines="0" w:before="0" w:afterLines="0" w:after="0" w:line="240" w:lineRule="auto"/>
      <w:ind w:firstLine="510"/>
      <w:jc w:val="center"/>
    </w:pPr>
    <w:rPr>
      <w:rFonts w:cs="Times New Roman"/>
      <w:sz w:val="21"/>
      <w:szCs w:val="24"/>
    </w:rPr>
  </w:style>
  <w:style w:type="paragraph" w:customStyle="1" w:styleId="105v">
    <w:name w:val="105v"/>
    <w:basedOn w:val="a"/>
    <w:uiPriority w:val="99"/>
    <w:qFormat/>
    <w:pPr>
      <w:widowControl/>
      <w:spacing w:before="100" w:beforeAutospacing="1" w:after="100" w:afterAutospacing="1"/>
      <w:jc w:val="left"/>
    </w:pPr>
    <w:rPr>
      <w:rFonts w:ascii="宋体" w:hAnsi="宋体" w:cs="宋体"/>
      <w:kern w:val="0"/>
      <w:sz w:val="24"/>
      <w:szCs w:val="21"/>
    </w:rPr>
  </w:style>
  <w:style w:type="paragraph" w:customStyle="1" w:styleId="3315">
    <w:name w:val="样式 四号 段前: 3 磅 段后: 3 磅 行距: 1.5 倍行距"/>
    <w:basedOn w:val="a"/>
    <w:autoRedefine/>
    <w:uiPriority w:val="99"/>
    <w:qFormat/>
    <w:pPr>
      <w:widowControl/>
      <w:spacing w:line="360" w:lineRule="auto"/>
      <w:ind w:firstLineChars="200" w:firstLine="480"/>
      <w:jc w:val="left"/>
    </w:pPr>
    <w:rPr>
      <w:rFonts w:ascii="宋体" w:hAnsi="宋体" w:cs="宋体"/>
      <w:color w:val="000000"/>
      <w:kern w:val="0"/>
      <w:sz w:val="24"/>
      <w:szCs w:val="24"/>
    </w:rPr>
  </w:style>
  <w:style w:type="character" w:customStyle="1" w:styleId="s1052">
    <w:name w:val="s1052"/>
    <w:autoRedefine/>
    <w:qFormat/>
  </w:style>
  <w:style w:type="character" w:customStyle="1" w:styleId="bwxsm">
    <w:name w:val="b w xsm"/>
    <w:autoRedefine/>
    <w:qFormat/>
  </w:style>
  <w:style w:type="character" w:customStyle="1" w:styleId="keyword">
    <w:name w:val="keyword"/>
    <w:qFormat/>
  </w:style>
  <w:style w:type="character" w:customStyle="1" w:styleId="01Char1">
    <w:name w:val="正文01 Char1"/>
    <w:autoRedefine/>
    <w:qFormat/>
    <w:rPr>
      <w:kern w:val="2"/>
      <w:sz w:val="24"/>
      <w:szCs w:val="24"/>
    </w:rPr>
  </w:style>
  <w:style w:type="character" w:customStyle="1" w:styleId="-4CharChar">
    <w:name w:val="标题-4 Char Char"/>
    <w:qFormat/>
    <w:rPr>
      <w:rFonts w:ascii="楷体_GB2312" w:eastAsia="楷体_GB2312" w:hAnsi="宋体" w:cs="宋体"/>
      <w:spacing w:val="-30"/>
      <w:sz w:val="24"/>
      <w:szCs w:val="24"/>
      <w:lang w:val="en-US" w:eastAsia="zh-CN" w:bidi="ar-SA"/>
    </w:rPr>
  </w:style>
  <w:style w:type="character" w:customStyle="1" w:styleId="HTMLMarkup">
    <w:name w:val="HTML Markup"/>
    <w:autoRedefine/>
    <w:qFormat/>
    <w:rPr>
      <w:vanish/>
      <w:color w:val="FF0000"/>
    </w:rPr>
  </w:style>
  <w:style w:type="character" w:customStyle="1" w:styleId="Charffffffff5">
    <w:name w:val="陈策标题 Char"/>
    <w:qFormat/>
    <w:rPr>
      <w:rFonts w:eastAsia="宋体"/>
      <w:b/>
      <w:color w:val="000000"/>
      <w:kern w:val="2"/>
      <w:sz w:val="28"/>
      <w:szCs w:val="24"/>
      <w:lang w:val="en-US" w:eastAsia="zh-CN" w:bidi="ar-SA"/>
    </w:rPr>
  </w:style>
  <w:style w:type="paragraph" w:customStyle="1" w:styleId="236">
    <w:name w:val="样式23"/>
    <w:basedOn w:val="affd"/>
    <w:autoRedefine/>
    <w:uiPriority w:val="99"/>
    <w:qFormat/>
    <w:pPr>
      <w:pBdr>
        <w:top w:val="single" w:sz="18" w:space="1" w:color="808080"/>
      </w:pBdr>
      <w:spacing w:line="360" w:lineRule="auto"/>
      <w:ind w:right="360" w:firstLineChars="200" w:firstLine="360"/>
      <w:jc w:val="center"/>
    </w:pPr>
    <w:rPr>
      <w:rFonts w:cs="Times New Roman"/>
      <w:sz w:val="24"/>
      <w:lang w:val="zh-CN"/>
    </w:rPr>
  </w:style>
  <w:style w:type="paragraph" w:customStyle="1" w:styleId="244">
    <w:name w:val="样式24"/>
    <w:basedOn w:val="affd"/>
    <w:autoRedefine/>
    <w:uiPriority w:val="99"/>
    <w:qFormat/>
    <w:pPr>
      <w:pBdr>
        <w:top w:val="single" w:sz="18" w:space="1" w:color="808080"/>
      </w:pBdr>
      <w:spacing w:line="360" w:lineRule="auto"/>
      <w:ind w:right="360" w:firstLineChars="200" w:firstLine="360"/>
      <w:jc w:val="center"/>
    </w:pPr>
    <w:rPr>
      <w:rFonts w:cs="Times New Roman"/>
      <w:sz w:val="24"/>
      <w:lang w:val="zh-CN"/>
    </w:rPr>
  </w:style>
  <w:style w:type="paragraph" w:customStyle="1" w:styleId="272">
    <w:name w:val="样式27"/>
    <w:basedOn w:val="a"/>
    <w:autoRedefine/>
    <w:uiPriority w:val="99"/>
    <w:qFormat/>
    <w:pPr>
      <w:pBdr>
        <w:bottom w:val="single" w:sz="24" w:space="1" w:color="808080"/>
      </w:pBdr>
    </w:pPr>
    <w:rPr>
      <w:rFonts w:cs="Times New Roman"/>
      <w:szCs w:val="24"/>
    </w:rPr>
  </w:style>
  <w:style w:type="paragraph" w:customStyle="1" w:styleId="282">
    <w:name w:val="样式28"/>
    <w:basedOn w:val="a"/>
    <w:uiPriority w:val="99"/>
    <w:qFormat/>
    <w:pPr>
      <w:pBdr>
        <w:bottom w:val="single" w:sz="24" w:space="1" w:color="808080"/>
      </w:pBdr>
    </w:pPr>
    <w:rPr>
      <w:rFonts w:cs="Times New Roman"/>
      <w:szCs w:val="24"/>
    </w:rPr>
  </w:style>
  <w:style w:type="paragraph" w:customStyle="1" w:styleId="302">
    <w:name w:val="样式30"/>
    <w:basedOn w:val="a"/>
    <w:uiPriority w:val="99"/>
    <w:qFormat/>
    <w:pPr>
      <w:pBdr>
        <w:bottom w:val="single" w:sz="24" w:space="1" w:color="808080"/>
      </w:pBdr>
    </w:pPr>
    <w:rPr>
      <w:rFonts w:cs="Times New Roman"/>
      <w:szCs w:val="24"/>
    </w:rPr>
  </w:style>
  <w:style w:type="paragraph" w:customStyle="1" w:styleId="31f1">
    <w:name w:val="样式31"/>
    <w:basedOn w:val="a"/>
    <w:uiPriority w:val="99"/>
    <w:qFormat/>
    <w:pPr>
      <w:pBdr>
        <w:bottom w:val="single" w:sz="24" w:space="1" w:color="808080"/>
      </w:pBdr>
    </w:pPr>
    <w:rPr>
      <w:rFonts w:cs="Times New Roman"/>
      <w:szCs w:val="24"/>
    </w:rPr>
  </w:style>
  <w:style w:type="paragraph" w:customStyle="1" w:styleId="328">
    <w:name w:val="样式32"/>
    <w:basedOn w:val="5a"/>
    <w:uiPriority w:val="99"/>
    <w:qFormat/>
    <w:pPr>
      <w:keepNext w:val="0"/>
      <w:keepLines w:val="0"/>
      <w:pBdr>
        <w:bottom w:val="single" w:sz="24" w:space="1" w:color="808080"/>
      </w:pBdr>
      <w:tabs>
        <w:tab w:val="clear" w:pos="360"/>
      </w:tabs>
      <w:spacing w:beforeLines="0" w:before="0" w:afterLines="0" w:after="0" w:line="240" w:lineRule="auto"/>
      <w:ind w:left="0" w:firstLine="0"/>
      <w:outlineLvl w:val="9"/>
    </w:pPr>
    <w:rPr>
      <w:rFonts w:ascii="Times New Roman" w:eastAsia="宋体" w:hAnsi="Times New Roman" w:cs="Times New Roman"/>
      <w:kern w:val="2"/>
      <w:sz w:val="18"/>
      <w:szCs w:val="24"/>
      <w:lang w:val="zh-CN"/>
    </w:rPr>
  </w:style>
  <w:style w:type="paragraph" w:customStyle="1" w:styleId="332">
    <w:name w:val="样式33"/>
    <w:basedOn w:val="a"/>
    <w:uiPriority w:val="99"/>
    <w:qFormat/>
    <w:pPr>
      <w:pBdr>
        <w:bottom w:val="single" w:sz="24" w:space="1" w:color="808080"/>
      </w:pBdr>
    </w:pPr>
    <w:rPr>
      <w:rFonts w:cs="Times New Roman"/>
      <w:szCs w:val="24"/>
    </w:rPr>
  </w:style>
  <w:style w:type="paragraph" w:customStyle="1" w:styleId="340">
    <w:name w:val="样式34"/>
    <w:basedOn w:val="5a"/>
    <w:autoRedefine/>
    <w:uiPriority w:val="99"/>
    <w:qFormat/>
    <w:pPr>
      <w:keepNext w:val="0"/>
      <w:keepLines w:val="0"/>
      <w:pBdr>
        <w:bottom w:val="single" w:sz="24" w:space="1" w:color="808080"/>
      </w:pBdr>
      <w:tabs>
        <w:tab w:val="clear" w:pos="360"/>
      </w:tabs>
      <w:spacing w:beforeLines="0" w:before="0" w:afterLines="0" w:after="0" w:line="240" w:lineRule="auto"/>
      <w:ind w:left="0" w:firstLine="0"/>
      <w:outlineLvl w:val="9"/>
    </w:pPr>
    <w:rPr>
      <w:rFonts w:ascii="Times New Roman" w:eastAsia="宋体" w:hAnsi="Times New Roman" w:cs="Times New Roman"/>
      <w:kern w:val="2"/>
      <w:sz w:val="18"/>
      <w:szCs w:val="24"/>
      <w:lang w:val="zh-CN"/>
    </w:rPr>
  </w:style>
  <w:style w:type="paragraph" w:customStyle="1" w:styleId="370">
    <w:name w:val="样式37"/>
    <w:basedOn w:val="affd"/>
    <w:uiPriority w:val="99"/>
    <w:qFormat/>
    <w:pPr>
      <w:pBdr>
        <w:top w:val="single" w:sz="18" w:space="1" w:color="808080"/>
      </w:pBdr>
      <w:spacing w:line="360" w:lineRule="auto"/>
      <w:ind w:right="360" w:firstLineChars="200" w:firstLine="360"/>
      <w:jc w:val="center"/>
    </w:pPr>
    <w:rPr>
      <w:rFonts w:cs="Times New Roman"/>
      <w:sz w:val="24"/>
      <w:lang w:val="zh-CN"/>
    </w:rPr>
  </w:style>
  <w:style w:type="character" w:customStyle="1" w:styleId="txt21">
    <w:name w:val="txt21"/>
    <w:autoRedefine/>
    <w:qFormat/>
    <w:rPr>
      <w:color w:val="0D6B00"/>
      <w:sz w:val="24"/>
      <w:szCs w:val="24"/>
      <w:u w:val="none"/>
    </w:rPr>
  </w:style>
  <w:style w:type="paragraph" w:customStyle="1" w:styleId="bt33">
    <w:name w:val="bt3"/>
    <w:basedOn w:val="a"/>
    <w:next w:val="a"/>
    <w:autoRedefine/>
    <w:uiPriority w:val="99"/>
    <w:qFormat/>
    <w:pPr>
      <w:keepNext/>
      <w:keepLines/>
      <w:spacing w:line="360" w:lineRule="auto"/>
      <w:outlineLvl w:val="2"/>
    </w:pPr>
    <w:rPr>
      <w:rFonts w:cs="Times New Roman"/>
      <w:bCs/>
      <w:color w:val="000000"/>
      <w:sz w:val="24"/>
      <w:szCs w:val="24"/>
    </w:rPr>
  </w:style>
  <w:style w:type="character" w:customStyle="1" w:styleId="nmtitlegrayfont14rowspan18">
    <w:name w:val="nmtitle gray font14 rowspan18"/>
    <w:qFormat/>
  </w:style>
  <w:style w:type="paragraph" w:customStyle="1" w:styleId="CharCharChar1CharCharCharChar2">
    <w:name w:val="Char Char Char1 Char Char Char Char2"/>
    <w:basedOn w:val="a"/>
    <w:autoRedefine/>
    <w:uiPriority w:val="99"/>
    <w:qFormat/>
    <w:rPr>
      <w:rFonts w:cs="Times New Roman"/>
      <w:szCs w:val="24"/>
    </w:rPr>
  </w:style>
  <w:style w:type="character" w:customStyle="1" w:styleId="CharCharCharCharf2">
    <w:name w:val="表头 Char Char Char Char"/>
    <w:autoRedefine/>
    <w:semiHidden/>
    <w:qFormat/>
    <w:rPr>
      <w:rFonts w:ascii="宋体" w:hAnsi="宋体"/>
      <w:b/>
      <w:bCs/>
      <w:kern w:val="2"/>
      <w:sz w:val="24"/>
      <w:szCs w:val="28"/>
    </w:rPr>
  </w:style>
  <w:style w:type="character" w:customStyle="1" w:styleId="Charffffffff6">
    <w:name w:val="报告表标题 Char"/>
    <w:autoRedefine/>
    <w:qFormat/>
    <w:rPr>
      <w:rFonts w:ascii="宋体" w:hAnsi="宋体"/>
      <w:sz w:val="24"/>
      <w:szCs w:val="24"/>
    </w:rPr>
  </w:style>
  <w:style w:type="paragraph" w:customStyle="1" w:styleId="face2">
    <w:name w:val="face2"/>
    <w:basedOn w:val="a"/>
    <w:autoRedefine/>
    <w:uiPriority w:val="99"/>
    <w:qFormat/>
    <w:pPr>
      <w:adjustRightInd w:val="0"/>
      <w:snapToGrid w:val="0"/>
      <w:spacing w:line="360" w:lineRule="auto"/>
      <w:ind w:firstLineChars="200" w:firstLine="200"/>
      <w:jc w:val="center"/>
      <w:textAlignment w:val="baseline"/>
    </w:pPr>
    <w:rPr>
      <w:rFonts w:ascii="华文行楷" w:eastAsia="华文行楷" w:hAnsi="宋体" w:cs="Times New Roman"/>
      <w:sz w:val="80"/>
      <w:szCs w:val="52"/>
    </w:rPr>
  </w:style>
  <w:style w:type="paragraph" w:customStyle="1" w:styleId="CharChar210">
    <w:name w:val="Char Char210"/>
    <w:basedOn w:val="a"/>
    <w:autoRedefine/>
    <w:uiPriority w:val="99"/>
    <w:qFormat/>
    <w:pPr>
      <w:spacing w:line="240" w:lineRule="exact"/>
    </w:pPr>
    <w:rPr>
      <w:rFonts w:cs="Times New Roman"/>
      <w:sz w:val="24"/>
      <w:szCs w:val="20"/>
    </w:rPr>
  </w:style>
  <w:style w:type="paragraph" w:customStyle="1" w:styleId="2fffffffb">
    <w:name w:val="样式 正文缩进表正文正文非缩进 + 首行缩进:  2 字符"/>
    <w:basedOn w:val="af2"/>
    <w:link w:val="2Charf1"/>
    <w:autoRedefine/>
    <w:qFormat/>
    <w:pPr>
      <w:spacing w:line="420" w:lineRule="exact"/>
      <w:ind w:firstLine="480"/>
      <w:jc w:val="left"/>
    </w:pPr>
    <w:rPr>
      <w:rFonts w:ascii="Times New Roman"/>
      <w:lang w:val="zh-CN"/>
    </w:rPr>
  </w:style>
  <w:style w:type="character" w:customStyle="1" w:styleId="2Charf1">
    <w:name w:val="样式 正文缩进表正文正文非缩进 + 首行缩进:  2 字符 Char"/>
    <w:link w:val="2fffffffb"/>
    <w:autoRedefine/>
    <w:qFormat/>
    <w:rPr>
      <w:kern w:val="2"/>
      <w:sz w:val="24"/>
      <w:lang w:val="zh-CN"/>
    </w:rPr>
  </w:style>
  <w:style w:type="character" w:customStyle="1" w:styleId="CharChar201">
    <w:name w:val="Char Char201"/>
    <w:autoRedefine/>
    <w:qFormat/>
    <w:rPr>
      <w:kern w:val="2"/>
      <w:sz w:val="18"/>
    </w:rPr>
  </w:style>
  <w:style w:type="character" w:customStyle="1" w:styleId="CharChar341">
    <w:name w:val="Char Char341"/>
    <w:autoRedefine/>
    <w:qFormat/>
    <w:rPr>
      <w:rFonts w:ascii="Times New Roman" w:eastAsia="宋体" w:hAnsi="Times New Roman"/>
      <w:b/>
      <w:kern w:val="44"/>
      <w:sz w:val="28"/>
    </w:rPr>
  </w:style>
  <w:style w:type="character" w:customStyle="1" w:styleId="CharChar331">
    <w:name w:val="Char Char331"/>
    <w:autoRedefine/>
    <w:qFormat/>
    <w:rPr>
      <w:rFonts w:ascii="Times New Roman" w:eastAsia="宋体" w:hAnsi="Times New Roman"/>
      <w:b/>
      <w:color w:val="000000"/>
      <w:sz w:val="28"/>
    </w:rPr>
  </w:style>
  <w:style w:type="character" w:customStyle="1" w:styleId="CharChar261">
    <w:name w:val="Char Char261"/>
    <w:autoRedefine/>
    <w:qFormat/>
    <w:rPr>
      <w:rFonts w:ascii="Cambria" w:eastAsia="宋体" w:hAnsi="Cambria"/>
      <w:b/>
      <w:kern w:val="2"/>
      <w:sz w:val="24"/>
      <w:lang w:val="en-US" w:eastAsia="zh-CN"/>
    </w:rPr>
  </w:style>
  <w:style w:type="character" w:customStyle="1" w:styleId="CharChar191">
    <w:name w:val="Char Char191"/>
    <w:autoRedefine/>
    <w:qFormat/>
    <w:rPr>
      <w:kern w:val="2"/>
      <w:sz w:val="18"/>
    </w:rPr>
  </w:style>
  <w:style w:type="character" w:customStyle="1" w:styleId="CharChar291">
    <w:name w:val="Char Char291"/>
    <w:autoRedefine/>
    <w:qFormat/>
    <w:rPr>
      <w:rFonts w:ascii="Arial" w:eastAsia="楷体_GB2312" w:hAnsi="Arial"/>
      <w:spacing w:val="-30"/>
      <w:kern w:val="0"/>
      <w:sz w:val="24"/>
    </w:rPr>
  </w:style>
  <w:style w:type="character" w:customStyle="1" w:styleId="CharChar281">
    <w:name w:val="Char Char281"/>
    <w:autoRedefine/>
    <w:qFormat/>
    <w:rPr>
      <w:rFonts w:ascii="Arial" w:eastAsia="楷体_GB2312" w:hAnsi="Arial"/>
      <w:i/>
      <w:spacing w:val="-30"/>
      <w:kern w:val="0"/>
      <w:sz w:val="24"/>
    </w:rPr>
  </w:style>
  <w:style w:type="character" w:customStyle="1" w:styleId="CharChar351">
    <w:name w:val="Char Char351"/>
    <w:autoRedefine/>
    <w:qFormat/>
    <w:rPr>
      <w:rFonts w:ascii="宋体" w:eastAsia="宋体" w:hAnsi="宋体"/>
      <w:b/>
      <w:kern w:val="44"/>
      <w:sz w:val="30"/>
    </w:rPr>
  </w:style>
  <w:style w:type="character" w:customStyle="1" w:styleId="CharChar301">
    <w:name w:val="Char Char301"/>
    <w:autoRedefine/>
    <w:qFormat/>
    <w:rPr>
      <w:rFonts w:ascii="Arial" w:eastAsia="楷体_GB2312" w:hAnsi="Arial"/>
      <w:i/>
      <w:spacing w:val="-30"/>
      <w:kern w:val="0"/>
      <w:sz w:val="22"/>
    </w:rPr>
  </w:style>
  <w:style w:type="paragraph" w:customStyle="1" w:styleId="Char2CharCharCharCharCharCharCharCharChar1">
    <w:name w:val="Char2 Char Char Char Char Char Char Char Char Char1"/>
    <w:basedOn w:val="a"/>
    <w:autoRedefine/>
    <w:uiPriority w:val="99"/>
    <w:qFormat/>
    <w:pPr>
      <w:spacing w:line="360" w:lineRule="auto"/>
      <w:ind w:firstLineChars="200" w:firstLine="200"/>
    </w:pPr>
    <w:rPr>
      <w:rFonts w:cs="Times New Roman"/>
      <w:szCs w:val="20"/>
    </w:rPr>
  </w:style>
  <w:style w:type="character" w:customStyle="1" w:styleId="CharChar212">
    <w:name w:val="Char Char212"/>
    <w:autoRedefine/>
    <w:qFormat/>
    <w:rPr>
      <w:rFonts w:ascii="Cambria" w:eastAsia="宋体" w:hAnsi="Cambria"/>
      <w:kern w:val="2"/>
      <w:sz w:val="21"/>
      <w:szCs w:val="21"/>
      <w:lang w:val="en-US" w:eastAsia="zh-C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
    <w:autoRedefine/>
    <w:uiPriority w:val="99"/>
    <w:qFormat/>
    <w:pPr>
      <w:widowControl/>
      <w:spacing w:after="160" w:line="240" w:lineRule="exact"/>
      <w:jc w:val="left"/>
    </w:pPr>
    <w:rPr>
      <w:rFonts w:ascii="Verdana" w:hAnsi="Verdana" w:cs="Times New Roman"/>
      <w:kern w:val="0"/>
      <w:sz w:val="20"/>
      <w:szCs w:val="20"/>
      <w:lang w:eastAsia="en-US"/>
    </w:rPr>
  </w:style>
  <w:style w:type="paragraph" w:customStyle="1" w:styleId="5fd">
    <w:name w:val="列出段落5"/>
    <w:basedOn w:val="a"/>
    <w:next w:val="a"/>
    <w:uiPriority w:val="99"/>
    <w:qFormat/>
    <w:pPr>
      <w:widowControl/>
      <w:adjustRightInd w:val="0"/>
      <w:snapToGrid w:val="0"/>
      <w:spacing w:beforeLines="50"/>
      <w:contextualSpacing/>
      <w:jc w:val="center"/>
    </w:pPr>
    <w:rPr>
      <w:rFonts w:hAnsi="宋体" w:cs="Times New Roman"/>
      <w:color w:val="000000"/>
      <w:kern w:val="0"/>
      <w:szCs w:val="24"/>
    </w:rPr>
  </w:style>
  <w:style w:type="character" w:customStyle="1" w:styleId="2fffffffc">
    <w:name w:val="占位符文本2"/>
    <w:autoRedefine/>
    <w:qFormat/>
    <w:rPr>
      <w:color w:val="808080"/>
    </w:rPr>
  </w:style>
  <w:style w:type="character" w:customStyle="1" w:styleId="2fffffffd">
    <w:name w:val="明显参考2"/>
    <w:autoRedefine/>
    <w:qFormat/>
    <w:rPr>
      <w:b/>
      <w:sz w:val="24"/>
      <w:u w:val="single"/>
    </w:rPr>
  </w:style>
  <w:style w:type="character" w:customStyle="1" w:styleId="2fffffffe">
    <w:name w:val="明显强调2"/>
    <w:autoRedefine/>
    <w:qFormat/>
    <w:rPr>
      <w:b/>
      <w:i/>
      <w:sz w:val="24"/>
      <w:szCs w:val="24"/>
      <w:u w:val="single"/>
    </w:rPr>
  </w:style>
  <w:style w:type="character" w:customStyle="1" w:styleId="2ffffffff">
    <w:name w:val="不明显参考2"/>
    <w:autoRedefine/>
    <w:qFormat/>
    <w:rPr>
      <w:sz w:val="24"/>
      <w:szCs w:val="24"/>
      <w:u w:val="single"/>
    </w:rPr>
  </w:style>
  <w:style w:type="character" w:customStyle="1" w:styleId="21fb">
    <w:name w:val="页码21"/>
    <w:autoRedefine/>
    <w:qFormat/>
  </w:style>
  <w:style w:type="character" w:customStyle="1" w:styleId="21fc">
    <w:name w:val="不明显强调21"/>
    <w:autoRedefine/>
    <w:qFormat/>
    <w:rPr>
      <w:i/>
      <w:color w:val="5A5A5A"/>
    </w:rPr>
  </w:style>
  <w:style w:type="character" w:customStyle="1" w:styleId="2ffffffff0">
    <w:name w:val="书籍标题2"/>
    <w:autoRedefine/>
    <w:qFormat/>
    <w:rPr>
      <w:rFonts w:ascii="Cambria" w:eastAsia="宋体" w:hAnsi="Cambria"/>
      <w:b/>
      <w:i/>
      <w:sz w:val="24"/>
      <w:szCs w:val="24"/>
    </w:rPr>
  </w:style>
  <w:style w:type="character" w:customStyle="1" w:styleId="2ffffffff1">
    <w:name w:val="批注引用2"/>
    <w:autoRedefine/>
    <w:qFormat/>
    <w:rPr>
      <w:sz w:val="21"/>
      <w:szCs w:val="21"/>
    </w:rPr>
  </w:style>
  <w:style w:type="paragraph" w:customStyle="1" w:styleId="920">
    <w:name w:val="索引 92"/>
    <w:basedOn w:val="a"/>
    <w:next w:val="a"/>
    <w:autoRedefine/>
    <w:uiPriority w:val="99"/>
    <w:qFormat/>
    <w:pPr>
      <w:widowControl/>
      <w:adjustRightInd w:val="0"/>
      <w:snapToGrid w:val="0"/>
      <w:spacing w:line="360" w:lineRule="atLeast"/>
      <w:ind w:leftChars="1600" w:left="1600" w:firstLineChars="200" w:firstLine="200"/>
      <w:jc w:val="left"/>
      <w:textAlignment w:val="baseline"/>
    </w:pPr>
    <w:rPr>
      <w:rFonts w:hAnsi="宋体" w:cs="Times New Roman"/>
      <w:color w:val="000000"/>
      <w:spacing w:val="4"/>
      <w:kern w:val="0"/>
      <w:sz w:val="24"/>
      <w:szCs w:val="24"/>
      <w:lang w:eastAsia="en-US"/>
    </w:rPr>
  </w:style>
  <w:style w:type="paragraph" w:customStyle="1" w:styleId="22e">
    <w:name w:val="正文首行缩进22"/>
    <w:basedOn w:val="af"/>
    <w:link w:val="2CharChard"/>
    <w:autoRedefine/>
    <w:qFormat/>
    <w:pPr>
      <w:widowControl/>
      <w:kinsoku/>
      <w:snapToGrid w:val="0"/>
      <w:spacing w:line="360" w:lineRule="auto"/>
      <w:ind w:firstLineChars="100" w:firstLine="420"/>
      <w:textAlignment w:val="auto"/>
    </w:pPr>
    <w:rPr>
      <w:kern w:val="0"/>
      <w:lang w:val="zh-CN" w:eastAsia="en-US"/>
    </w:rPr>
  </w:style>
  <w:style w:type="character" w:customStyle="1" w:styleId="2CharChard">
    <w:name w:val="正文首行缩进2 Char Char"/>
    <w:link w:val="22e"/>
    <w:autoRedefine/>
    <w:qFormat/>
    <w:rPr>
      <w:sz w:val="21"/>
      <w:szCs w:val="24"/>
      <w:lang w:val="zh-CN" w:eastAsia="en-US"/>
    </w:rPr>
  </w:style>
  <w:style w:type="paragraph" w:customStyle="1" w:styleId="22f">
    <w:name w:val="列表接续 22"/>
    <w:basedOn w:val="a"/>
    <w:autoRedefine/>
    <w:uiPriority w:val="99"/>
    <w:qFormat/>
    <w:pPr>
      <w:widowControl/>
      <w:adjustRightInd w:val="0"/>
      <w:snapToGrid w:val="0"/>
      <w:spacing w:after="120" w:line="360" w:lineRule="auto"/>
      <w:ind w:leftChars="400" w:left="840" w:firstLineChars="200" w:firstLine="200"/>
      <w:jc w:val="left"/>
    </w:pPr>
    <w:rPr>
      <w:rFonts w:hAnsi="宋体" w:cs="Times New Roman"/>
      <w:color w:val="000000"/>
      <w:spacing w:val="4"/>
      <w:kern w:val="0"/>
      <w:sz w:val="24"/>
      <w:szCs w:val="24"/>
      <w:lang w:eastAsia="en-US"/>
    </w:rPr>
  </w:style>
  <w:style w:type="paragraph" w:customStyle="1" w:styleId="422">
    <w:name w:val="列表编号 42"/>
    <w:basedOn w:val="a"/>
    <w:autoRedefine/>
    <w:uiPriority w:val="99"/>
    <w:qFormat/>
    <w:pPr>
      <w:widowControl/>
      <w:tabs>
        <w:tab w:val="left" w:pos="1620"/>
      </w:tabs>
      <w:adjustRightInd w:val="0"/>
      <w:snapToGrid w:val="0"/>
      <w:spacing w:line="360" w:lineRule="auto"/>
      <w:ind w:leftChars="600" w:left="1620" w:hangingChars="200" w:hanging="360"/>
      <w:jc w:val="left"/>
    </w:pPr>
    <w:rPr>
      <w:rFonts w:hAnsi="宋体" w:cs="Times New Roman"/>
      <w:color w:val="000000"/>
      <w:spacing w:val="4"/>
      <w:kern w:val="0"/>
      <w:sz w:val="24"/>
      <w:szCs w:val="24"/>
      <w:lang w:eastAsia="en-US"/>
    </w:rPr>
  </w:style>
  <w:style w:type="paragraph" w:customStyle="1" w:styleId="521">
    <w:name w:val="列表 52"/>
    <w:basedOn w:val="a"/>
    <w:autoRedefine/>
    <w:uiPriority w:val="99"/>
    <w:qFormat/>
    <w:pPr>
      <w:widowControl/>
      <w:adjustRightInd w:val="0"/>
      <w:snapToGrid w:val="0"/>
      <w:spacing w:line="360" w:lineRule="auto"/>
      <w:ind w:leftChars="800" w:left="100" w:hangingChars="200" w:hanging="200"/>
      <w:jc w:val="left"/>
    </w:pPr>
    <w:rPr>
      <w:rFonts w:hAnsi="宋体" w:cs="Times New Roman"/>
      <w:color w:val="000000"/>
      <w:spacing w:val="4"/>
      <w:kern w:val="0"/>
      <w:sz w:val="24"/>
      <w:szCs w:val="24"/>
      <w:lang w:eastAsia="en-US"/>
    </w:rPr>
  </w:style>
  <w:style w:type="paragraph" w:customStyle="1" w:styleId="2ffffffff2">
    <w:name w:val="引文目录标题2"/>
    <w:basedOn w:val="a"/>
    <w:next w:val="a"/>
    <w:autoRedefine/>
    <w:uiPriority w:val="99"/>
    <w:qFormat/>
    <w:pPr>
      <w:spacing w:before="120"/>
    </w:pPr>
    <w:rPr>
      <w:rFonts w:ascii="Arial" w:hAnsi="Arial" w:cs="Times New Roman"/>
      <w:b/>
      <w:bCs/>
      <w:color w:val="000000"/>
      <w:szCs w:val="24"/>
    </w:rPr>
  </w:style>
  <w:style w:type="paragraph" w:customStyle="1" w:styleId="22f0">
    <w:name w:val="正文首行缩进 22"/>
    <w:basedOn w:val="2fffb"/>
    <w:autoRedefine/>
    <w:uiPriority w:val="99"/>
    <w:qFormat/>
    <w:pPr>
      <w:adjustRightInd w:val="0"/>
      <w:snapToGrid w:val="0"/>
      <w:spacing w:after="120"/>
      <w:ind w:leftChars="200" w:left="420" w:firstLineChars="200" w:firstLine="420"/>
    </w:pPr>
    <w:rPr>
      <w:rFonts w:eastAsia="宋体"/>
      <w:color w:val="000000"/>
      <w:szCs w:val="24"/>
      <w:lang w:eastAsia="en-US"/>
    </w:rPr>
  </w:style>
  <w:style w:type="paragraph" w:customStyle="1" w:styleId="2ffffffff3">
    <w:name w:val="列表接续2"/>
    <w:basedOn w:val="a"/>
    <w:uiPriority w:val="99"/>
    <w:qFormat/>
    <w:pPr>
      <w:widowControl/>
      <w:adjustRightInd w:val="0"/>
      <w:snapToGrid w:val="0"/>
      <w:spacing w:after="120" w:line="360" w:lineRule="auto"/>
      <w:ind w:leftChars="200" w:left="420" w:firstLineChars="200" w:firstLine="200"/>
      <w:jc w:val="left"/>
    </w:pPr>
    <w:rPr>
      <w:rFonts w:hAnsi="宋体" w:cs="Times New Roman"/>
      <w:color w:val="000000"/>
      <w:spacing w:val="4"/>
      <w:kern w:val="0"/>
      <w:sz w:val="24"/>
      <w:szCs w:val="24"/>
      <w:lang w:eastAsia="en-US"/>
    </w:rPr>
  </w:style>
  <w:style w:type="paragraph" w:customStyle="1" w:styleId="6f4">
    <w:name w:val="纯文本6"/>
    <w:basedOn w:val="a"/>
    <w:autoRedefine/>
    <w:uiPriority w:val="99"/>
    <w:qFormat/>
    <w:pPr>
      <w:widowControl/>
      <w:adjustRightInd w:val="0"/>
      <w:snapToGrid w:val="0"/>
      <w:spacing w:line="360" w:lineRule="auto"/>
      <w:ind w:firstLineChars="200" w:firstLine="200"/>
      <w:jc w:val="left"/>
    </w:pPr>
    <w:rPr>
      <w:rFonts w:ascii="宋体" w:hAnsi="Courier New" w:cs="Times New Roman"/>
      <w:szCs w:val="20"/>
    </w:rPr>
  </w:style>
  <w:style w:type="paragraph" w:customStyle="1" w:styleId="2ffffffff4">
    <w:name w:val="批注主题2"/>
    <w:basedOn w:val="afb"/>
    <w:next w:val="afb"/>
    <w:autoRedefine/>
    <w:uiPriority w:val="99"/>
    <w:qFormat/>
    <w:pPr>
      <w:widowControl/>
      <w:adjustRightInd w:val="0"/>
      <w:snapToGrid w:val="0"/>
      <w:spacing w:line="360" w:lineRule="auto"/>
      <w:ind w:firstLineChars="200" w:firstLine="200"/>
    </w:pPr>
    <w:rPr>
      <w:b/>
      <w:kern w:val="0"/>
      <w:sz w:val="24"/>
      <w:szCs w:val="24"/>
      <w:lang w:val="zh-CN" w:eastAsia="en-US"/>
    </w:rPr>
  </w:style>
  <w:style w:type="paragraph" w:customStyle="1" w:styleId="2ffffffff5">
    <w:name w:val="寄信人地址2"/>
    <w:basedOn w:val="a"/>
    <w:autoRedefine/>
    <w:uiPriority w:val="99"/>
    <w:qFormat/>
    <w:pPr>
      <w:widowControl/>
      <w:adjustRightInd w:val="0"/>
      <w:snapToGrid w:val="0"/>
      <w:spacing w:line="360" w:lineRule="auto"/>
      <w:ind w:firstLineChars="200" w:firstLine="200"/>
      <w:jc w:val="left"/>
    </w:pPr>
    <w:rPr>
      <w:rFonts w:ascii="Arial" w:hAnsi="Arial" w:cs="Times New Roman"/>
      <w:color w:val="000000"/>
      <w:spacing w:val="4"/>
      <w:kern w:val="0"/>
      <w:sz w:val="24"/>
      <w:szCs w:val="24"/>
      <w:lang w:eastAsia="en-US"/>
    </w:rPr>
  </w:style>
  <w:style w:type="paragraph" w:customStyle="1" w:styleId="22f1">
    <w:name w:val="列表编号 22"/>
    <w:basedOn w:val="a"/>
    <w:autoRedefine/>
    <w:uiPriority w:val="99"/>
    <w:qFormat/>
    <w:pPr>
      <w:widowControl/>
      <w:tabs>
        <w:tab w:val="left" w:pos="780"/>
      </w:tabs>
      <w:adjustRightInd w:val="0"/>
      <w:snapToGrid w:val="0"/>
      <w:spacing w:line="360" w:lineRule="auto"/>
      <w:ind w:leftChars="200" w:left="780" w:hangingChars="200" w:hanging="360"/>
      <w:jc w:val="left"/>
    </w:pPr>
    <w:rPr>
      <w:rFonts w:hAnsi="宋体" w:cs="Times New Roman"/>
      <w:color w:val="000000"/>
      <w:spacing w:val="4"/>
      <w:kern w:val="0"/>
      <w:sz w:val="24"/>
      <w:szCs w:val="24"/>
      <w:lang w:eastAsia="en-US"/>
    </w:rPr>
  </w:style>
  <w:style w:type="paragraph" w:customStyle="1" w:styleId="2ffffffff6">
    <w:name w:val="图表目录2"/>
    <w:basedOn w:val="a"/>
    <w:next w:val="a"/>
    <w:autoRedefine/>
    <w:uiPriority w:val="99"/>
    <w:qFormat/>
    <w:pPr>
      <w:widowControl/>
      <w:adjustRightInd w:val="0"/>
      <w:snapToGrid w:val="0"/>
      <w:spacing w:line="360" w:lineRule="atLeast"/>
      <w:ind w:leftChars="200" w:left="840" w:hangingChars="200" w:hanging="420"/>
      <w:jc w:val="left"/>
      <w:textAlignment w:val="baseline"/>
    </w:pPr>
    <w:rPr>
      <w:rFonts w:hAnsi="宋体" w:cs="Times New Roman"/>
      <w:color w:val="000000"/>
      <w:spacing w:val="4"/>
      <w:kern w:val="0"/>
      <w:sz w:val="24"/>
      <w:szCs w:val="24"/>
      <w:lang w:eastAsia="en-US"/>
    </w:rPr>
  </w:style>
  <w:style w:type="paragraph" w:customStyle="1" w:styleId="3210">
    <w:name w:val="正文文本 321"/>
    <w:basedOn w:val="a"/>
    <w:autoRedefine/>
    <w:uiPriority w:val="99"/>
    <w:qFormat/>
    <w:pPr>
      <w:widowControl/>
      <w:adjustRightInd w:val="0"/>
      <w:snapToGrid w:val="0"/>
      <w:spacing w:line="360" w:lineRule="auto"/>
      <w:ind w:firstLineChars="200" w:firstLine="200"/>
      <w:jc w:val="left"/>
    </w:pPr>
    <w:rPr>
      <w:rFonts w:ascii="华文新魏" w:eastAsia="华文新魏" w:cs="Times New Roman"/>
      <w:b/>
      <w:kern w:val="0"/>
      <w:sz w:val="72"/>
      <w:szCs w:val="24"/>
      <w:lang w:eastAsia="en-US"/>
    </w:rPr>
  </w:style>
  <w:style w:type="paragraph" w:customStyle="1" w:styleId="329">
    <w:name w:val="列表接续 32"/>
    <w:basedOn w:val="a"/>
    <w:autoRedefine/>
    <w:uiPriority w:val="99"/>
    <w:qFormat/>
    <w:pPr>
      <w:widowControl/>
      <w:adjustRightInd w:val="0"/>
      <w:snapToGrid w:val="0"/>
      <w:spacing w:after="120" w:line="360" w:lineRule="auto"/>
      <w:ind w:leftChars="600" w:left="1260" w:firstLineChars="200" w:firstLine="200"/>
      <w:jc w:val="left"/>
    </w:pPr>
    <w:rPr>
      <w:rFonts w:hAnsi="宋体" w:cs="Times New Roman"/>
      <w:color w:val="000000"/>
      <w:spacing w:val="4"/>
      <w:kern w:val="0"/>
      <w:sz w:val="24"/>
      <w:szCs w:val="24"/>
      <w:lang w:eastAsia="en-US"/>
    </w:rPr>
  </w:style>
  <w:style w:type="paragraph" w:customStyle="1" w:styleId="21fd">
    <w:name w:val="文档结构图21"/>
    <w:basedOn w:val="a"/>
    <w:autoRedefine/>
    <w:uiPriority w:val="99"/>
    <w:qFormat/>
    <w:pPr>
      <w:widowControl/>
      <w:shd w:val="clear" w:color="auto" w:fill="000080"/>
      <w:adjustRightInd w:val="0"/>
      <w:snapToGrid w:val="0"/>
      <w:spacing w:line="360" w:lineRule="auto"/>
      <w:ind w:firstLineChars="200" w:firstLine="200"/>
      <w:jc w:val="left"/>
    </w:pPr>
    <w:rPr>
      <w:rFonts w:cs="Times New Roman"/>
      <w:kern w:val="0"/>
      <w:sz w:val="24"/>
      <w:szCs w:val="24"/>
      <w:shd w:val="clear" w:color="auto" w:fill="000080"/>
      <w:lang w:eastAsia="en-US"/>
    </w:rPr>
  </w:style>
  <w:style w:type="paragraph" w:customStyle="1" w:styleId="721">
    <w:name w:val="索引 72"/>
    <w:basedOn w:val="a"/>
    <w:next w:val="a"/>
    <w:autoRedefine/>
    <w:uiPriority w:val="99"/>
    <w:qFormat/>
    <w:pPr>
      <w:widowControl/>
      <w:adjustRightInd w:val="0"/>
      <w:snapToGrid w:val="0"/>
      <w:spacing w:line="360" w:lineRule="atLeast"/>
      <w:ind w:leftChars="1200" w:left="1200" w:firstLineChars="200" w:firstLine="200"/>
      <w:jc w:val="left"/>
      <w:textAlignment w:val="baseline"/>
    </w:pPr>
    <w:rPr>
      <w:rFonts w:hAnsi="宋体" w:cs="Times New Roman"/>
      <w:color w:val="000000"/>
      <w:spacing w:val="4"/>
      <w:kern w:val="0"/>
      <w:sz w:val="24"/>
      <w:szCs w:val="24"/>
      <w:lang w:eastAsia="en-US"/>
    </w:rPr>
  </w:style>
  <w:style w:type="paragraph" w:customStyle="1" w:styleId="2ffffffff7">
    <w:name w:val="注释标题2"/>
    <w:basedOn w:val="a"/>
    <w:next w:val="a"/>
    <w:uiPriority w:val="99"/>
    <w:qFormat/>
    <w:pPr>
      <w:widowControl/>
      <w:adjustRightInd w:val="0"/>
      <w:snapToGrid w:val="0"/>
      <w:spacing w:line="360" w:lineRule="auto"/>
      <w:ind w:firstLineChars="200" w:firstLine="200"/>
      <w:jc w:val="left"/>
    </w:pPr>
    <w:rPr>
      <w:rFonts w:cs="Times New Roman"/>
      <w:szCs w:val="20"/>
    </w:rPr>
  </w:style>
  <w:style w:type="paragraph" w:customStyle="1" w:styleId="3ffff0">
    <w:name w:val="正文缩进3"/>
    <w:basedOn w:val="a"/>
    <w:autoRedefine/>
    <w:uiPriority w:val="99"/>
    <w:qFormat/>
    <w:pPr>
      <w:widowControl/>
      <w:adjustRightInd w:val="0"/>
      <w:snapToGrid w:val="0"/>
      <w:spacing w:line="360" w:lineRule="auto"/>
      <w:ind w:firstLineChars="200" w:firstLine="420"/>
      <w:jc w:val="left"/>
    </w:pPr>
    <w:rPr>
      <w:rFonts w:hAnsi="宋体" w:cs="Times New Roman"/>
      <w:spacing w:val="4"/>
      <w:kern w:val="0"/>
      <w:sz w:val="24"/>
      <w:szCs w:val="24"/>
      <w:lang w:eastAsia="en-US"/>
    </w:rPr>
  </w:style>
  <w:style w:type="paragraph" w:customStyle="1" w:styleId="HTML20">
    <w:name w:val="HTML 地址2"/>
    <w:basedOn w:val="a"/>
    <w:uiPriority w:val="99"/>
    <w:qFormat/>
    <w:pPr>
      <w:widowControl/>
      <w:adjustRightInd w:val="0"/>
      <w:snapToGrid w:val="0"/>
      <w:spacing w:line="360" w:lineRule="auto"/>
      <w:ind w:firstLineChars="200" w:firstLine="200"/>
      <w:jc w:val="left"/>
    </w:pPr>
    <w:rPr>
      <w:rFonts w:cs="Times New Roman"/>
      <w:i/>
      <w:kern w:val="0"/>
      <w:sz w:val="24"/>
      <w:szCs w:val="24"/>
      <w:lang w:eastAsia="en-US"/>
    </w:rPr>
  </w:style>
  <w:style w:type="paragraph" w:customStyle="1" w:styleId="2ffffffff8">
    <w:name w:val="文本块2"/>
    <w:basedOn w:val="a"/>
    <w:autoRedefine/>
    <w:uiPriority w:val="99"/>
    <w:qFormat/>
    <w:pPr>
      <w:widowControl/>
      <w:adjustRightInd w:val="0"/>
      <w:snapToGrid w:val="0"/>
      <w:spacing w:after="120" w:line="360" w:lineRule="auto"/>
      <w:ind w:leftChars="700" w:left="1440" w:rightChars="700" w:right="700" w:firstLineChars="200" w:firstLine="200"/>
      <w:jc w:val="left"/>
    </w:pPr>
    <w:rPr>
      <w:rFonts w:hAnsi="宋体" w:cs="Times New Roman"/>
      <w:color w:val="000000"/>
      <w:spacing w:val="4"/>
      <w:kern w:val="0"/>
      <w:sz w:val="24"/>
      <w:szCs w:val="24"/>
      <w:lang w:eastAsia="en-US"/>
    </w:rPr>
  </w:style>
  <w:style w:type="paragraph" w:customStyle="1" w:styleId="2ffffffff9">
    <w:name w:val="收信人地址2"/>
    <w:basedOn w:val="a"/>
    <w:autoRedefine/>
    <w:uiPriority w:val="99"/>
    <w:qFormat/>
    <w:pPr>
      <w:widowControl/>
      <w:adjustRightInd w:val="0"/>
      <w:snapToGrid w:val="0"/>
      <w:spacing w:line="360" w:lineRule="auto"/>
      <w:ind w:leftChars="1400" w:left="100" w:firstLineChars="200" w:firstLine="200"/>
      <w:jc w:val="left"/>
    </w:pPr>
    <w:rPr>
      <w:rFonts w:ascii="Arial" w:hAnsi="Arial" w:cs="Times New Roman"/>
      <w:color w:val="000000"/>
      <w:spacing w:val="4"/>
      <w:kern w:val="0"/>
      <w:sz w:val="24"/>
      <w:szCs w:val="24"/>
      <w:lang w:eastAsia="en-US"/>
    </w:rPr>
  </w:style>
  <w:style w:type="paragraph" w:customStyle="1" w:styleId="2ffffffffa">
    <w:name w:val="电子邮件签名2"/>
    <w:basedOn w:val="a"/>
    <w:autoRedefine/>
    <w:uiPriority w:val="99"/>
    <w:qFormat/>
    <w:pPr>
      <w:widowControl/>
      <w:adjustRightInd w:val="0"/>
      <w:snapToGrid w:val="0"/>
      <w:spacing w:line="360" w:lineRule="auto"/>
      <w:ind w:firstLineChars="200" w:firstLine="200"/>
      <w:jc w:val="left"/>
    </w:pPr>
    <w:rPr>
      <w:rFonts w:cs="Times New Roman"/>
      <w:kern w:val="0"/>
      <w:sz w:val="24"/>
      <w:szCs w:val="24"/>
      <w:lang w:eastAsia="en-US"/>
    </w:rPr>
  </w:style>
  <w:style w:type="paragraph" w:customStyle="1" w:styleId="423">
    <w:name w:val="列表 42"/>
    <w:basedOn w:val="a"/>
    <w:uiPriority w:val="99"/>
    <w:qFormat/>
    <w:pPr>
      <w:widowControl/>
      <w:adjustRightInd w:val="0"/>
      <w:snapToGrid w:val="0"/>
      <w:spacing w:line="360" w:lineRule="auto"/>
      <w:ind w:leftChars="600" w:left="100" w:hangingChars="200" w:hanging="200"/>
      <w:jc w:val="left"/>
    </w:pPr>
    <w:rPr>
      <w:rFonts w:hAnsi="宋体" w:cs="Times New Roman"/>
      <w:color w:val="000000"/>
      <w:spacing w:val="4"/>
      <w:kern w:val="0"/>
      <w:sz w:val="24"/>
      <w:szCs w:val="24"/>
      <w:lang w:eastAsia="en-US"/>
    </w:rPr>
  </w:style>
  <w:style w:type="paragraph" w:customStyle="1" w:styleId="2ffffffffb">
    <w:name w:val="结束语2"/>
    <w:basedOn w:val="a"/>
    <w:autoRedefine/>
    <w:uiPriority w:val="99"/>
    <w:qFormat/>
    <w:pPr>
      <w:widowControl/>
      <w:adjustRightInd w:val="0"/>
      <w:snapToGrid w:val="0"/>
      <w:spacing w:line="360" w:lineRule="auto"/>
      <w:ind w:leftChars="2100" w:left="100" w:firstLineChars="200" w:firstLine="200"/>
      <w:jc w:val="left"/>
    </w:pPr>
    <w:rPr>
      <w:rFonts w:cs="Times New Roman"/>
      <w:kern w:val="0"/>
      <w:sz w:val="24"/>
      <w:szCs w:val="24"/>
      <w:lang w:eastAsia="en-US"/>
    </w:rPr>
  </w:style>
  <w:style w:type="paragraph" w:customStyle="1" w:styleId="32a">
    <w:name w:val="列表 32"/>
    <w:basedOn w:val="a"/>
    <w:autoRedefine/>
    <w:uiPriority w:val="99"/>
    <w:qFormat/>
    <w:pPr>
      <w:widowControl/>
      <w:adjustRightInd w:val="0"/>
      <w:snapToGrid w:val="0"/>
      <w:spacing w:line="360" w:lineRule="auto"/>
      <w:ind w:leftChars="400" w:left="100" w:hangingChars="200" w:hanging="200"/>
      <w:jc w:val="left"/>
    </w:pPr>
    <w:rPr>
      <w:rFonts w:hAnsi="宋体" w:cs="Times New Roman"/>
      <w:color w:val="000000"/>
      <w:spacing w:val="4"/>
      <w:kern w:val="0"/>
      <w:sz w:val="24"/>
      <w:szCs w:val="24"/>
      <w:lang w:eastAsia="en-US"/>
    </w:rPr>
  </w:style>
  <w:style w:type="paragraph" w:customStyle="1" w:styleId="2ffffffffc">
    <w:name w:val="索引标题2"/>
    <w:basedOn w:val="a"/>
    <w:next w:val="12f"/>
    <w:autoRedefine/>
    <w:uiPriority w:val="99"/>
    <w:qFormat/>
    <w:pPr>
      <w:widowControl/>
      <w:adjustRightInd w:val="0"/>
      <w:snapToGrid w:val="0"/>
      <w:spacing w:line="360" w:lineRule="atLeast"/>
      <w:ind w:firstLineChars="200" w:firstLine="200"/>
      <w:jc w:val="left"/>
      <w:textAlignment w:val="baseline"/>
    </w:pPr>
    <w:rPr>
      <w:rFonts w:hAnsi="宋体" w:cs="Times New Roman"/>
      <w:color w:val="000000"/>
      <w:spacing w:val="4"/>
      <w:kern w:val="0"/>
      <w:sz w:val="24"/>
      <w:szCs w:val="24"/>
      <w:lang w:eastAsia="en-US"/>
    </w:rPr>
  </w:style>
  <w:style w:type="paragraph" w:customStyle="1" w:styleId="12f">
    <w:name w:val="索引 12"/>
    <w:basedOn w:val="a"/>
    <w:next w:val="a"/>
    <w:autoRedefine/>
    <w:uiPriority w:val="99"/>
    <w:qFormat/>
    <w:pPr>
      <w:widowControl/>
      <w:adjustRightInd w:val="0"/>
      <w:snapToGrid w:val="0"/>
      <w:spacing w:line="360" w:lineRule="auto"/>
      <w:ind w:firstLineChars="200" w:firstLine="200"/>
      <w:jc w:val="left"/>
      <w:textAlignment w:val="baseline"/>
    </w:pPr>
    <w:rPr>
      <w:rFonts w:eastAsia="楷体_GB2312" w:hAnsi="宋体" w:cs="Times New Roman"/>
      <w:b/>
      <w:color w:val="000000"/>
      <w:spacing w:val="4"/>
      <w:kern w:val="0"/>
      <w:sz w:val="24"/>
      <w:szCs w:val="24"/>
      <w:lang w:eastAsia="en-US"/>
    </w:rPr>
  </w:style>
  <w:style w:type="paragraph" w:customStyle="1" w:styleId="2ffffffffd">
    <w:name w:val="信息标题2"/>
    <w:basedOn w:val="a"/>
    <w:autoRedefine/>
    <w:uiPriority w:val="99"/>
    <w:qFormat/>
    <w:pPr>
      <w:widowControl/>
      <w:pBdr>
        <w:top w:val="single" w:sz="6" w:space="1" w:color="auto"/>
        <w:left w:val="single" w:sz="6" w:space="1" w:color="auto"/>
        <w:bottom w:val="single" w:sz="6" w:space="1" w:color="auto"/>
        <w:right w:val="single" w:sz="6" w:space="1" w:color="auto"/>
      </w:pBdr>
      <w:shd w:val="pct20" w:color="auto" w:fill="auto"/>
      <w:adjustRightInd w:val="0"/>
      <w:snapToGrid w:val="0"/>
      <w:spacing w:line="360" w:lineRule="auto"/>
      <w:ind w:leftChars="500" w:left="1080" w:hangingChars="500" w:hanging="1080"/>
      <w:jc w:val="left"/>
    </w:pPr>
    <w:rPr>
      <w:rFonts w:ascii="Arial" w:hAnsi="Arial" w:cs="Times New Roman"/>
      <w:kern w:val="0"/>
      <w:sz w:val="24"/>
      <w:szCs w:val="24"/>
      <w:shd w:val="pct20" w:color="auto" w:fill="auto"/>
      <w:lang w:eastAsia="en-US"/>
    </w:rPr>
  </w:style>
  <w:style w:type="paragraph" w:customStyle="1" w:styleId="522">
    <w:name w:val="列表接续 52"/>
    <w:basedOn w:val="a"/>
    <w:autoRedefine/>
    <w:uiPriority w:val="99"/>
    <w:qFormat/>
    <w:pPr>
      <w:widowControl/>
      <w:adjustRightInd w:val="0"/>
      <w:snapToGrid w:val="0"/>
      <w:spacing w:after="120" w:line="360" w:lineRule="auto"/>
      <w:ind w:leftChars="1000" w:left="2100" w:firstLineChars="200" w:firstLine="200"/>
      <w:jc w:val="left"/>
    </w:pPr>
    <w:rPr>
      <w:rFonts w:hAnsi="宋体" w:cs="Times New Roman"/>
      <w:color w:val="000000"/>
      <w:spacing w:val="4"/>
      <w:kern w:val="0"/>
      <w:sz w:val="24"/>
      <w:szCs w:val="24"/>
      <w:lang w:eastAsia="en-US"/>
    </w:rPr>
  </w:style>
  <w:style w:type="paragraph" w:customStyle="1" w:styleId="2ffffffffe">
    <w:name w:val="称呼2"/>
    <w:basedOn w:val="a"/>
    <w:next w:val="a"/>
    <w:autoRedefine/>
    <w:uiPriority w:val="99"/>
    <w:qFormat/>
    <w:pPr>
      <w:widowControl/>
      <w:adjustRightInd w:val="0"/>
      <w:snapToGrid w:val="0"/>
      <w:spacing w:line="360" w:lineRule="auto"/>
      <w:ind w:firstLineChars="200" w:firstLine="200"/>
      <w:jc w:val="left"/>
    </w:pPr>
    <w:rPr>
      <w:rFonts w:cs="Times New Roman"/>
      <w:kern w:val="0"/>
      <w:sz w:val="24"/>
      <w:szCs w:val="24"/>
      <w:lang w:eastAsia="en-US"/>
    </w:rPr>
  </w:style>
  <w:style w:type="paragraph" w:customStyle="1" w:styleId="32b">
    <w:name w:val="列表编号 32"/>
    <w:basedOn w:val="a"/>
    <w:autoRedefine/>
    <w:uiPriority w:val="99"/>
    <w:qFormat/>
    <w:pPr>
      <w:widowControl/>
      <w:tabs>
        <w:tab w:val="left" w:pos="1200"/>
      </w:tabs>
      <w:adjustRightInd w:val="0"/>
      <w:snapToGrid w:val="0"/>
      <w:spacing w:line="360" w:lineRule="auto"/>
      <w:ind w:leftChars="400" w:left="1200" w:hangingChars="200" w:hanging="360"/>
      <w:jc w:val="left"/>
    </w:pPr>
    <w:rPr>
      <w:rFonts w:hAnsi="宋体" w:cs="Times New Roman"/>
      <w:color w:val="000000"/>
      <w:spacing w:val="4"/>
      <w:kern w:val="0"/>
      <w:sz w:val="24"/>
      <w:szCs w:val="24"/>
      <w:lang w:eastAsia="en-US"/>
    </w:rPr>
  </w:style>
  <w:style w:type="paragraph" w:customStyle="1" w:styleId="22f2">
    <w:name w:val="索引 22"/>
    <w:basedOn w:val="a"/>
    <w:next w:val="a"/>
    <w:autoRedefine/>
    <w:uiPriority w:val="99"/>
    <w:qFormat/>
    <w:pPr>
      <w:widowControl/>
      <w:adjustRightInd w:val="0"/>
      <w:snapToGrid w:val="0"/>
      <w:spacing w:line="360" w:lineRule="atLeast"/>
      <w:ind w:leftChars="200" w:left="200" w:firstLineChars="200" w:firstLine="200"/>
      <w:jc w:val="left"/>
      <w:textAlignment w:val="baseline"/>
    </w:pPr>
    <w:rPr>
      <w:rFonts w:hAnsi="宋体" w:cs="Times New Roman"/>
      <w:color w:val="000000"/>
      <w:spacing w:val="4"/>
      <w:kern w:val="0"/>
      <w:sz w:val="24"/>
      <w:szCs w:val="24"/>
      <w:lang w:eastAsia="en-US"/>
    </w:rPr>
  </w:style>
  <w:style w:type="paragraph" w:customStyle="1" w:styleId="424">
    <w:name w:val="列表接续 42"/>
    <w:basedOn w:val="a"/>
    <w:autoRedefine/>
    <w:uiPriority w:val="99"/>
    <w:qFormat/>
    <w:pPr>
      <w:widowControl/>
      <w:adjustRightInd w:val="0"/>
      <w:snapToGrid w:val="0"/>
      <w:spacing w:after="120" w:line="360" w:lineRule="auto"/>
      <w:ind w:leftChars="800" w:left="1680" w:firstLineChars="200" w:firstLine="200"/>
      <w:jc w:val="left"/>
    </w:pPr>
    <w:rPr>
      <w:rFonts w:hAnsi="宋体" w:cs="Times New Roman"/>
      <w:color w:val="000000"/>
      <w:spacing w:val="4"/>
      <w:kern w:val="0"/>
      <w:sz w:val="24"/>
      <w:szCs w:val="24"/>
      <w:lang w:eastAsia="en-US"/>
    </w:rPr>
  </w:style>
  <w:style w:type="paragraph" w:customStyle="1" w:styleId="523">
    <w:name w:val="列表编号 52"/>
    <w:basedOn w:val="a"/>
    <w:autoRedefine/>
    <w:uiPriority w:val="99"/>
    <w:qFormat/>
    <w:pPr>
      <w:widowControl/>
      <w:tabs>
        <w:tab w:val="left" w:pos="2040"/>
      </w:tabs>
      <w:adjustRightInd w:val="0"/>
      <w:snapToGrid w:val="0"/>
      <w:spacing w:line="360" w:lineRule="auto"/>
      <w:ind w:leftChars="800" w:left="2040" w:hangingChars="200" w:hanging="360"/>
      <w:jc w:val="left"/>
    </w:pPr>
    <w:rPr>
      <w:rFonts w:hAnsi="宋体" w:cs="Times New Roman"/>
      <w:color w:val="000000"/>
      <w:spacing w:val="4"/>
      <w:kern w:val="0"/>
      <w:sz w:val="24"/>
      <w:szCs w:val="24"/>
      <w:lang w:eastAsia="en-US"/>
    </w:rPr>
  </w:style>
  <w:style w:type="paragraph" w:customStyle="1" w:styleId="524">
    <w:name w:val="索引 52"/>
    <w:basedOn w:val="a"/>
    <w:next w:val="a"/>
    <w:autoRedefine/>
    <w:uiPriority w:val="99"/>
    <w:qFormat/>
    <w:pPr>
      <w:widowControl/>
      <w:adjustRightInd w:val="0"/>
      <w:snapToGrid w:val="0"/>
      <w:spacing w:line="360" w:lineRule="atLeast"/>
      <w:ind w:leftChars="800" w:left="800" w:firstLineChars="200" w:firstLine="200"/>
      <w:jc w:val="left"/>
      <w:textAlignment w:val="baseline"/>
    </w:pPr>
    <w:rPr>
      <w:rFonts w:hAnsi="宋体" w:cs="Times New Roman"/>
      <w:color w:val="000000"/>
      <w:spacing w:val="4"/>
      <w:kern w:val="0"/>
      <w:sz w:val="24"/>
      <w:szCs w:val="24"/>
      <w:lang w:eastAsia="en-US"/>
    </w:rPr>
  </w:style>
  <w:style w:type="paragraph" w:customStyle="1" w:styleId="2fffffffff">
    <w:name w:val="签名2"/>
    <w:basedOn w:val="a"/>
    <w:autoRedefine/>
    <w:uiPriority w:val="99"/>
    <w:qFormat/>
    <w:pPr>
      <w:widowControl/>
      <w:adjustRightInd w:val="0"/>
      <w:snapToGrid w:val="0"/>
      <w:spacing w:line="360" w:lineRule="auto"/>
      <w:ind w:leftChars="2100" w:left="100" w:firstLineChars="200" w:firstLine="200"/>
      <w:jc w:val="left"/>
    </w:pPr>
    <w:rPr>
      <w:rFonts w:cs="Times New Roman"/>
      <w:kern w:val="0"/>
      <w:sz w:val="24"/>
      <w:szCs w:val="24"/>
      <w:lang w:eastAsia="en-US"/>
    </w:rPr>
  </w:style>
  <w:style w:type="paragraph" w:customStyle="1" w:styleId="22f3">
    <w:name w:val="正文文本缩进 22"/>
    <w:basedOn w:val="a"/>
    <w:uiPriority w:val="99"/>
    <w:qFormat/>
    <w:pPr>
      <w:widowControl/>
      <w:adjustRightInd w:val="0"/>
      <w:snapToGrid w:val="0"/>
      <w:spacing w:line="360" w:lineRule="auto"/>
      <w:ind w:left="28" w:firstLineChars="200" w:firstLine="588"/>
      <w:jc w:val="left"/>
    </w:pPr>
    <w:rPr>
      <w:rFonts w:ascii="宋体" w:cs="Times New Roman"/>
      <w:kern w:val="0"/>
      <w:sz w:val="28"/>
      <w:szCs w:val="24"/>
      <w:lang w:val="zh-CN" w:eastAsia="en-US"/>
    </w:rPr>
  </w:style>
  <w:style w:type="paragraph" w:customStyle="1" w:styleId="2fffffffff0">
    <w:name w:val="列表2"/>
    <w:basedOn w:val="a"/>
    <w:autoRedefine/>
    <w:uiPriority w:val="99"/>
    <w:qFormat/>
    <w:pPr>
      <w:widowControl/>
      <w:adjustRightInd w:val="0"/>
      <w:snapToGrid w:val="0"/>
      <w:spacing w:line="360" w:lineRule="auto"/>
      <w:ind w:left="200" w:hangingChars="200" w:hanging="200"/>
      <w:jc w:val="left"/>
    </w:pPr>
    <w:rPr>
      <w:rFonts w:hAnsi="宋体" w:cs="Times New Roman"/>
      <w:color w:val="000000"/>
      <w:spacing w:val="4"/>
      <w:kern w:val="0"/>
      <w:sz w:val="24"/>
      <w:szCs w:val="24"/>
      <w:lang w:eastAsia="en-US"/>
    </w:rPr>
  </w:style>
  <w:style w:type="paragraph" w:customStyle="1" w:styleId="822">
    <w:name w:val="索引 82"/>
    <w:basedOn w:val="a"/>
    <w:next w:val="a"/>
    <w:uiPriority w:val="99"/>
    <w:qFormat/>
    <w:pPr>
      <w:widowControl/>
      <w:adjustRightInd w:val="0"/>
      <w:snapToGrid w:val="0"/>
      <w:spacing w:line="360" w:lineRule="atLeast"/>
      <w:ind w:leftChars="1400" w:left="1400" w:firstLineChars="200" w:firstLine="200"/>
      <w:jc w:val="left"/>
      <w:textAlignment w:val="baseline"/>
    </w:pPr>
    <w:rPr>
      <w:rFonts w:hAnsi="宋体" w:cs="Times New Roman"/>
      <w:color w:val="000000"/>
      <w:spacing w:val="4"/>
      <w:kern w:val="0"/>
      <w:sz w:val="24"/>
      <w:szCs w:val="24"/>
      <w:lang w:eastAsia="en-US"/>
    </w:rPr>
  </w:style>
  <w:style w:type="paragraph" w:customStyle="1" w:styleId="22f4">
    <w:name w:val="列表 22"/>
    <w:basedOn w:val="a"/>
    <w:autoRedefine/>
    <w:uiPriority w:val="99"/>
    <w:qFormat/>
    <w:pPr>
      <w:widowControl/>
      <w:adjustRightInd w:val="0"/>
      <w:snapToGrid w:val="0"/>
      <w:spacing w:line="360" w:lineRule="auto"/>
      <w:ind w:leftChars="200" w:left="100" w:hangingChars="200" w:hanging="200"/>
      <w:jc w:val="left"/>
    </w:pPr>
    <w:rPr>
      <w:rFonts w:hAnsi="宋体" w:cs="Times New Roman"/>
      <w:color w:val="000000"/>
      <w:spacing w:val="4"/>
      <w:kern w:val="0"/>
      <w:sz w:val="24"/>
      <w:szCs w:val="24"/>
      <w:lang w:eastAsia="en-US"/>
    </w:rPr>
  </w:style>
  <w:style w:type="paragraph" w:customStyle="1" w:styleId="425">
    <w:name w:val="索引 42"/>
    <w:basedOn w:val="a"/>
    <w:next w:val="a"/>
    <w:uiPriority w:val="99"/>
    <w:qFormat/>
    <w:pPr>
      <w:widowControl/>
      <w:adjustRightInd w:val="0"/>
      <w:snapToGrid w:val="0"/>
      <w:spacing w:line="360" w:lineRule="atLeast"/>
      <w:ind w:leftChars="600" w:left="600" w:firstLineChars="200" w:firstLine="200"/>
      <w:jc w:val="left"/>
      <w:textAlignment w:val="baseline"/>
    </w:pPr>
    <w:rPr>
      <w:rFonts w:hAnsi="宋体" w:cs="Times New Roman"/>
      <w:color w:val="000000"/>
      <w:spacing w:val="4"/>
      <w:kern w:val="0"/>
      <w:sz w:val="24"/>
      <w:szCs w:val="24"/>
      <w:lang w:eastAsia="en-US"/>
    </w:rPr>
  </w:style>
  <w:style w:type="paragraph" w:customStyle="1" w:styleId="620">
    <w:name w:val="索引 62"/>
    <w:basedOn w:val="a"/>
    <w:next w:val="a"/>
    <w:uiPriority w:val="99"/>
    <w:qFormat/>
    <w:pPr>
      <w:widowControl/>
      <w:adjustRightInd w:val="0"/>
      <w:snapToGrid w:val="0"/>
      <w:spacing w:line="360" w:lineRule="atLeast"/>
      <w:ind w:leftChars="1000" w:left="1000" w:firstLineChars="200" w:firstLine="200"/>
      <w:jc w:val="left"/>
      <w:textAlignment w:val="baseline"/>
    </w:pPr>
    <w:rPr>
      <w:rFonts w:hAnsi="宋体" w:cs="Times New Roman"/>
      <w:color w:val="000000"/>
      <w:spacing w:val="4"/>
      <w:kern w:val="0"/>
      <w:sz w:val="24"/>
      <w:szCs w:val="24"/>
      <w:lang w:eastAsia="en-US"/>
    </w:rPr>
  </w:style>
  <w:style w:type="paragraph" w:customStyle="1" w:styleId="21fe">
    <w:name w:val="普通(网站)21"/>
    <w:basedOn w:val="a"/>
    <w:uiPriority w:val="99"/>
    <w:qFormat/>
    <w:pPr>
      <w:widowControl/>
      <w:adjustRightInd w:val="0"/>
      <w:snapToGrid w:val="0"/>
      <w:spacing w:before="100" w:beforeAutospacing="1" w:after="100" w:afterAutospacing="1" w:line="360" w:lineRule="auto"/>
      <w:ind w:firstLineChars="200" w:firstLine="200"/>
      <w:jc w:val="left"/>
    </w:pPr>
    <w:rPr>
      <w:rFonts w:ascii="Arial Unicode MS" w:eastAsia="Times New Roman" w:hAnsi="Arial Unicode MS" w:cs="Times New Roman"/>
      <w:color w:val="000000"/>
      <w:spacing w:val="4"/>
      <w:kern w:val="0"/>
      <w:sz w:val="24"/>
      <w:szCs w:val="24"/>
      <w:lang w:eastAsia="en-US"/>
    </w:rPr>
  </w:style>
  <w:style w:type="paragraph" w:customStyle="1" w:styleId="3211">
    <w:name w:val="正文文本缩进 321"/>
    <w:basedOn w:val="a"/>
    <w:autoRedefine/>
    <w:uiPriority w:val="99"/>
    <w:qFormat/>
    <w:pPr>
      <w:widowControl/>
      <w:adjustRightInd w:val="0"/>
      <w:snapToGrid w:val="0"/>
      <w:spacing w:line="360" w:lineRule="auto"/>
      <w:ind w:firstLineChars="200" w:firstLine="616"/>
      <w:jc w:val="left"/>
    </w:pPr>
    <w:rPr>
      <w:rFonts w:ascii="宋体" w:cs="Times New Roman"/>
      <w:kern w:val="0"/>
      <w:sz w:val="28"/>
      <w:szCs w:val="24"/>
      <w:lang w:eastAsia="en-US"/>
    </w:rPr>
  </w:style>
  <w:style w:type="paragraph" w:customStyle="1" w:styleId="HTML21">
    <w:name w:val="HTML 预设格式2"/>
    <w:basedOn w:val="a"/>
    <w:uiPriority w:val="99"/>
    <w:qFormat/>
    <w:pPr>
      <w:widowControl/>
      <w:adjustRightInd w:val="0"/>
      <w:snapToGrid w:val="0"/>
      <w:spacing w:line="360" w:lineRule="auto"/>
      <w:ind w:firstLineChars="200" w:firstLine="200"/>
      <w:jc w:val="left"/>
    </w:pPr>
    <w:rPr>
      <w:rFonts w:ascii="Courier New" w:hAnsi="Courier New" w:cs="Times New Roman"/>
      <w:kern w:val="0"/>
      <w:sz w:val="20"/>
      <w:szCs w:val="24"/>
      <w:lang w:eastAsia="en-US"/>
    </w:rPr>
  </w:style>
  <w:style w:type="paragraph" w:customStyle="1" w:styleId="2fffffffff1">
    <w:name w:val="引文目录2"/>
    <w:basedOn w:val="a"/>
    <w:next w:val="a"/>
    <w:uiPriority w:val="99"/>
    <w:qFormat/>
    <w:pPr>
      <w:ind w:leftChars="200" w:left="420"/>
    </w:pPr>
    <w:rPr>
      <w:rFonts w:cs="Times New Roman"/>
      <w:color w:val="000000"/>
      <w:szCs w:val="20"/>
    </w:rPr>
  </w:style>
  <w:style w:type="paragraph" w:customStyle="1" w:styleId="2fffffffff2">
    <w:name w:val="明显引用2"/>
    <w:basedOn w:val="a"/>
    <w:next w:val="a"/>
    <w:uiPriority w:val="99"/>
    <w:qFormat/>
    <w:pPr>
      <w:widowControl/>
      <w:adjustRightInd w:val="0"/>
      <w:snapToGrid w:val="0"/>
      <w:spacing w:line="360" w:lineRule="auto"/>
      <w:ind w:left="720" w:right="720" w:firstLineChars="200" w:firstLine="200"/>
      <w:jc w:val="left"/>
    </w:pPr>
    <w:rPr>
      <w:rFonts w:cs="Times New Roman"/>
      <w:b/>
      <w:i/>
      <w:kern w:val="0"/>
      <w:sz w:val="24"/>
      <w:szCs w:val="20"/>
    </w:rPr>
  </w:style>
  <w:style w:type="paragraph" w:customStyle="1" w:styleId="32c">
    <w:name w:val="索引 32"/>
    <w:basedOn w:val="a"/>
    <w:next w:val="a"/>
    <w:uiPriority w:val="99"/>
    <w:qFormat/>
    <w:pPr>
      <w:widowControl/>
      <w:adjustRightInd w:val="0"/>
      <w:snapToGrid w:val="0"/>
      <w:spacing w:line="360" w:lineRule="atLeast"/>
      <w:ind w:leftChars="400" w:left="400" w:firstLineChars="200" w:firstLine="200"/>
      <w:jc w:val="left"/>
      <w:textAlignment w:val="baseline"/>
    </w:pPr>
    <w:rPr>
      <w:rFonts w:hAnsi="宋体" w:cs="Times New Roman"/>
      <w:color w:val="000000"/>
      <w:spacing w:val="4"/>
      <w:kern w:val="0"/>
      <w:sz w:val="24"/>
      <w:szCs w:val="24"/>
      <w:lang w:eastAsia="en-US"/>
    </w:rPr>
  </w:style>
  <w:style w:type="paragraph" w:customStyle="1" w:styleId="6f5">
    <w:name w:val="列出段落6"/>
    <w:basedOn w:val="a"/>
    <w:next w:val="a"/>
    <w:uiPriority w:val="99"/>
    <w:qFormat/>
    <w:pPr>
      <w:widowControl/>
      <w:adjustRightInd w:val="0"/>
      <w:snapToGrid w:val="0"/>
      <w:spacing w:beforeLines="50"/>
      <w:contextualSpacing/>
      <w:jc w:val="center"/>
    </w:pPr>
    <w:rPr>
      <w:rFonts w:hAnsi="宋体" w:cs="Times New Roman"/>
      <w:color w:val="000000"/>
      <w:kern w:val="0"/>
      <w:szCs w:val="24"/>
    </w:rPr>
  </w:style>
  <w:style w:type="paragraph" w:customStyle="1" w:styleId="7f0">
    <w:name w:val="纯文本7"/>
    <w:basedOn w:val="a"/>
    <w:uiPriority w:val="99"/>
    <w:qFormat/>
    <w:pPr>
      <w:widowControl/>
      <w:adjustRightInd w:val="0"/>
      <w:snapToGrid w:val="0"/>
      <w:spacing w:line="360" w:lineRule="auto"/>
      <w:ind w:firstLineChars="200" w:firstLine="200"/>
      <w:jc w:val="left"/>
    </w:pPr>
    <w:rPr>
      <w:rFonts w:ascii="宋体" w:hAnsi="Courier New" w:cs="Times New Roman"/>
      <w:szCs w:val="20"/>
    </w:rPr>
  </w:style>
  <w:style w:type="paragraph" w:customStyle="1" w:styleId="7f1">
    <w:name w:val="列出段落7"/>
    <w:basedOn w:val="a"/>
    <w:next w:val="a"/>
    <w:uiPriority w:val="99"/>
    <w:qFormat/>
    <w:pPr>
      <w:widowControl/>
      <w:adjustRightInd w:val="0"/>
      <w:snapToGrid w:val="0"/>
      <w:spacing w:beforeLines="50"/>
      <w:contextualSpacing/>
      <w:jc w:val="center"/>
    </w:pPr>
    <w:rPr>
      <w:rFonts w:hAnsi="宋体" w:cs="Times New Roman"/>
      <w:color w:val="000000"/>
      <w:kern w:val="0"/>
      <w:szCs w:val="24"/>
    </w:rPr>
  </w:style>
  <w:style w:type="character" w:customStyle="1" w:styleId="affffffffffffffffffffffffffffffffffffffa">
    <w:name w:val="样式 (西文) 宋体 倾斜"/>
    <w:qFormat/>
    <w:rPr>
      <w:rFonts w:ascii="宋体" w:eastAsia="宋体" w:hAnsi="宋体"/>
      <w:i/>
      <w:iCs/>
      <w:kern w:val="0"/>
      <w:sz w:val="18"/>
    </w:rPr>
  </w:style>
  <w:style w:type="character" w:customStyle="1" w:styleId="chlChar">
    <w:name w:val="chl Char"/>
    <w:link w:val="chl"/>
    <w:qFormat/>
    <w:rPr>
      <w:color w:val="000000"/>
      <w:sz w:val="24"/>
      <w:szCs w:val="28"/>
    </w:rPr>
  </w:style>
  <w:style w:type="paragraph" w:customStyle="1" w:styleId="chl">
    <w:name w:val="chl"/>
    <w:basedOn w:val="a"/>
    <w:link w:val="chlChar"/>
    <w:qFormat/>
    <w:pPr>
      <w:spacing w:before="105" w:after="105" w:line="360" w:lineRule="auto"/>
      <w:ind w:firstLineChars="200" w:firstLine="200"/>
    </w:pPr>
    <w:rPr>
      <w:rFonts w:cs="Times New Roman"/>
      <w:color w:val="000000"/>
      <w:kern w:val="0"/>
      <w:sz w:val="24"/>
      <w:szCs w:val="28"/>
    </w:rPr>
  </w:style>
  <w:style w:type="character" w:customStyle="1" w:styleId="sh141">
    <w:name w:val="sh141"/>
    <w:qFormat/>
    <w:rPr>
      <w:color w:val="2B2B2B"/>
      <w:sz w:val="18"/>
      <w:szCs w:val="18"/>
    </w:rPr>
  </w:style>
  <w:style w:type="paragraph" w:customStyle="1" w:styleId="Style40">
    <w:name w:val="Style 4"/>
    <w:autoRedefine/>
    <w:uiPriority w:val="99"/>
    <w:qFormat/>
    <w:pPr>
      <w:widowControl w:val="0"/>
      <w:autoSpaceDE w:val="0"/>
      <w:autoSpaceDN w:val="0"/>
      <w:spacing w:before="288" w:line="480" w:lineRule="auto"/>
      <w:ind w:left="1224" w:right="216"/>
    </w:pPr>
    <w:rPr>
      <w:rFonts w:ascii="Arial" w:hAnsi="Arial" w:cs="Arial"/>
      <w:sz w:val="22"/>
      <w:szCs w:val="22"/>
    </w:rPr>
  </w:style>
  <w:style w:type="character" w:customStyle="1" w:styleId="CharacterStyle1">
    <w:name w:val="Character Style 1"/>
    <w:uiPriority w:val="99"/>
    <w:qFormat/>
    <w:rPr>
      <w:rFonts w:ascii="Arial" w:hAnsi="Arial" w:cs="Arial"/>
      <w:sz w:val="22"/>
      <w:szCs w:val="22"/>
    </w:rPr>
  </w:style>
  <w:style w:type="paragraph" w:customStyle="1" w:styleId="affffffffffffffffffffffffffffffffffffffb">
    <w:name w:val="泥堡正文"/>
    <w:basedOn w:val="a"/>
    <w:next w:val="a"/>
    <w:link w:val="Charffffffff7"/>
    <w:qFormat/>
    <w:pPr>
      <w:adjustRightInd w:val="0"/>
      <w:snapToGrid w:val="0"/>
      <w:spacing w:line="360" w:lineRule="auto"/>
      <w:ind w:firstLineChars="200" w:firstLine="200"/>
    </w:pPr>
    <w:rPr>
      <w:rFonts w:cs="Times New Roman"/>
      <w:sz w:val="24"/>
      <w:szCs w:val="20"/>
      <w:lang w:val="zh-CN"/>
    </w:rPr>
  </w:style>
  <w:style w:type="character" w:customStyle="1" w:styleId="Charffffffff7">
    <w:name w:val="泥堡正文 Char"/>
    <w:link w:val="affffffffffffffffffffffffffffffffffffffb"/>
    <w:qFormat/>
    <w:rPr>
      <w:kern w:val="2"/>
      <w:sz w:val="24"/>
      <w:lang w:val="zh-CN"/>
    </w:rPr>
  </w:style>
  <w:style w:type="paragraph" w:customStyle="1" w:styleId="affffffffffffffffffffffffffffffffffffffc">
    <w:name w:val="报告正文小四"/>
    <w:basedOn w:val="a"/>
    <w:uiPriority w:val="99"/>
    <w:qFormat/>
    <w:pPr>
      <w:adjustRightInd w:val="0"/>
      <w:snapToGrid w:val="0"/>
      <w:spacing w:before="120" w:line="420" w:lineRule="atLeast"/>
      <w:ind w:firstLine="510"/>
    </w:pPr>
    <w:rPr>
      <w:rFonts w:cs="Times New Roman"/>
      <w:sz w:val="24"/>
      <w:szCs w:val="20"/>
    </w:rPr>
  </w:style>
  <w:style w:type="character" w:customStyle="1" w:styleId="affffffffffffffffffffffffffffffffffffffd">
    <w:name w:val="下标"/>
    <w:qFormat/>
    <w:rPr>
      <w:sz w:val="24"/>
      <w:vertAlign w:val="subscript"/>
    </w:rPr>
  </w:style>
  <w:style w:type="paragraph" w:customStyle="1" w:styleId="affffffffffffffffffffffffffffffffffffffe">
    <w:name w:val="正文小四缩"/>
    <w:basedOn w:val="a"/>
    <w:autoRedefine/>
    <w:uiPriority w:val="99"/>
    <w:qFormat/>
    <w:pPr>
      <w:adjustRightInd w:val="0"/>
      <w:spacing w:before="120" w:line="420" w:lineRule="atLeast"/>
      <w:ind w:firstLine="510"/>
      <w:textAlignment w:val="baseline"/>
    </w:pPr>
    <w:rPr>
      <w:rFonts w:ascii="仿宋_GB2312" w:eastAsia="仿宋_GB2312" w:cs="Times New Roman"/>
      <w:bCs/>
      <w:kern w:val="0"/>
      <w:sz w:val="24"/>
      <w:szCs w:val="20"/>
    </w:rPr>
  </w:style>
  <w:style w:type="paragraph" w:customStyle="1" w:styleId="0742">
    <w:name w:val="样式 (西文) 宋体 黑色 左 首行缩进:  0.74 厘米"/>
    <w:basedOn w:val="a"/>
    <w:link w:val="074Char"/>
    <w:autoRedefine/>
    <w:qFormat/>
    <w:pPr>
      <w:spacing w:line="360" w:lineRule="auto"/>
      <w:ind w:firstLine="420"/>
      <w:jc w:val="left"/>
    </w:pPr>
    <w:rPr>
      <w:rFonts w:ascii="Arial" w:hAnsi="Arial" w:cs="Times New Roman"/>
      <w:color w:val="000000"/>
      <w:kern w:val="0"/>
      <w:szCs w:val="20"/>
      <w:lang w:val="zh-CN"/>
    </w:rPr>
  </w:style>
  <w:style w:type="character" w:customStyle="1" w:styleId="074Char">
    <w:name w:val="样式 (西文) 宋体 黑色 左 首行缩进:  0.74 厘米 Char"/>
    <w:link w:val="0742"/>
    <w:autoRedefine/>
    <w:qFormat/>
    <w:rPr>
      <w:rFonts w:ascii="Arial" w:hAnsi="Arial"/>
      <w:color w:val="000000"/>
      <w:sz w:val="21"/>
      <w:lang w:val="zh-CN"/>
    </w:rPr>
  </w:style>
  <w:style w:type="paragraph" w:customStyle="1" w:styleId="bg1">
    <w:name w:val="bg表内容"/>
    <w:basedOn w:val="a"/>
    <w:next w:val="a"/>
    <w:autoRedefine/>
    <w:uiPriority w:val="99"/>
    <w:qFormat/>
    <w:pPr>
      <w:ind w:left="-113" w:right="-113"/>
      <w:jc w:val="center"/>
    </w:pPr>
    <w:rPr>
      <w:rFonts w:cs="Times New Roman"/>
      <w:sz w:val="18"/>
      <w:szCs w:val="18"/>
    </w:rPr>
  </w:style>
  <w:style w:type="paragraph" w:customStyle="1" w:styleId="bg2">
    <w:name w:val="bg表头"/>
    <w:basedOn w:val="bg1"/>
    <w:next w:val="a"/>
    <w:autoRedefine/>
    <w:uiPriority w:val="99"/>
    <w:qFormat/>
    <w:rPr>
      <w:rFonts w:eastAsia="黑体"/>
    </w:rPr>
  </w:style>
  <w:style w:type="paragraph" w:customStyle="1" w:styleId="bgbt5">
    <w:name w:val="bgbt5附表标题"/>
    <w:basedOn w:val="a"/>
    <w:next w:val="bg0"/>
    <w:autoRedefine/>
    <w:uiPriority w:val="99"/>
    <w:qFormat/>
    <w:pPr>
      <w:spacing w:before="60"/>
      <w:jc w:val="center"/>
      <w:outlineLvl w:val="4"/>
    </w:pPr>
    <w:rPr>
      <w:rFonts w:eastAsia="黑体" w:cs="Times New Roman"/>
      <w:szCs w:val="20"/>
    </w:rPr>
  </w:style>
  <w:style w:type="paragraph" w:customStyle="1" w:styleId="bgbt6">
    <w:name w:val="bgbt6插图标题"/>
    <w:basedOn w:val="a"/>
    <w:next w:val="bg0"/>
    <w:uiPriority w:val="99"/>
    <w:qFormat/>
    <w:pPr>
      <w:spacing w:after="60"/>
      <w:jc w:val="center"/>
      <w:outlineLvl w:val="5"/>
    </w:pPr>
    <w:rPr>
      <w:rFonts w:eastAsia="黑体" w:cs="Times New Roman"/>
      <w:szCs w:val="20"/>
    </w:rPr>
  </w:style>
  <w:style w:type="paragraph" w:customStyle="1" w:styleId="3220">
    <w:name w:val="样式 标题 3 + 行距: 固定值 22 磅"/>
    <w:basedOn w:val="3"/>
    <w:next w:val="3"/>
    <w:uiPriority w:val="99"/>
    <w:qFormat/>
    <w:pPr>
      <w:numPr>
        <w:ilvl w:val="0"/>
        <w:numId w:val="0"/>
      </w:numPr>
      <w:tabs>
        <w:tab w:val="left" w:pos="870"/>
      </w:tabs>
      <w:autoSpaceDE w:val="0"/>
      <w:autoSpaceDN w:val="0"/>
      <w:snapToGrid/>
      <w:spacing w:before="20" w:after="20" w:line="288" w:lineRule="auto"/>
      <w:ind w:firstLine="510"/>
      <w:textAlignment w:val="baseline"/>
    </w:pPr>
    <w:rPr>
      <w:rFonts w:eastAsia="黑体" w:cs="Times New Roman"/>
      <w:b w:val="0"/>
      <w:bCs w:val="0"/>
      <w:kern w:val="0"/>
      <w:sz w:val="28"/>
      <w:szCs w:val="20"/>
    </w:rPr>
  </w:style>
  <w:style w:type="paragraph" w:customStyle="1" w:styleId="bg3">
    <w:name w:val="bg内容提要正文"/>
    <w:basedOn w:val="bg0"/>
    <w:autoRedefine/>
    <w:uiPriority w:val="99"/>
    <w:qFormat/>
    <w:pPr>
      <w:spacing w:before="120" w:after="120" w:line="240" w:lineRule="auto"/>
      <w:ind w:left="113" w:right="113" w:firstLineChars="0" w:firstLine="0"/>
    </w:pPr>
    <w:rPr>
      <w:sz w:val="24"/>
      <w:szCs w:val="20"/>
    </w:rPr>
  </w:style>
  <w:style w:type="paragraph" w:customStyle="1" w:styleId="bg4">
    <w:name w:val="bg关键词"/>
    <w:basedOn w:val="bg5"/>
    <w:uiPriority w:val="99"/>
    <w:qFormat/>
    <w:pPr>
      <w:spacing w:before="120" w:line="400" w:lineRule="exact"/>
      <w:ind w:left="1248" w:right="284" w:hanging="964"/>
      <w:jc w:val="both"/>
    </w:pPr>
    <w:rPr>
      <w:rFonts w:ascii="Times New Roman" w:eastAsia="宋体" w:hAnsi="Times New Roman"/>
      <w:sz w:val="24"/>
    </w:rPr>
  </w:style>
  <w:style w:type="paragraph" w:customStyle="1" w:styleId="bg5">
    <w:name w:val="bg内容提要标题"/>
    <w:basedOn w:val="a"/>
    <w:uiPriority w:val="99"/>
    <w:qFormat/>
    <w:pPr>
      <w:jc w:val="center"/>
    </w:pPr>
    <w:rPr>
      <w:rFonts w:ascii="Arial" w:eastAsia="黑体" w:hAnsi="Arial" w:cs="Times New Roman"/>
      <w:sz w:val="30"/>
      <w:szCs w:val="20"/>
    </w:rPr>
  </w:style>
  <w:style w:type="paragraph" w:customStyle="1" w:styleId="bgbt">
    <w:name w:val="bgbt题名"/>
    <w:basedOn w:val="a"/>
    <w:next w:val="a"/>
    <w:uiPriority w:val="99"/>
    <w:qFormat/>
    <w:pPr>
      <w:jc w:val="center"/>
    </w:pPr>
    <w:rPr>
      <w:rFonts w:eastAsia="楷体_GB2312" w:cs="Times New Roman"/>
      <w:sz w:val="48"/>
      <w:szCs w:val="20"/>
    </w:rPr>
  </w:style>
  <w:style w:type="paragraph" w:customStyle="1" w:styleId="bgbt2">
    <w:name w:val="bgbt2节标题"/>
    <w:basedOn w:val="4"/>
    <w:next w:val="a"/>
    <w:uiPriority w:val="99"/>
    <w:qFormat/>
    <w:pPr>
      <w:numPr>
        <w:ilvl w:val="0"/>
        <w:numId w:val="0"/>
      </w:numPr>
      <w:tabs>
        <w:tab w:val="left" w:pos="870"/>
      </w:tabs>
      <w:autoSpaceDE w:val="0"/>
      <w:autoSpaceDN w:val="0"/>
      <w:spacing w:before="20" w:line="288" w:lineRule="auto"/>
      <w:ind w:firstLine="510"/>
      <w:textAlignment w:val="baseline"/>
    </w:pPr>
    <w:rPr>
      <w:rFonts w:eastAsia="长城楷体" w:cs="Times New Roman"/>
      <w:bCs w:val="0"/>
      <w:kern w:val="0"/>
      <w:sz w:val="28"/>
      <w:szCs w:val="20"/>
    </w:rPr>
  </w:style>
  <w:style w:type="paragraph" w:customStyle="1" w:styleId="bgbt3">
    <w:name w:val="bgbt3条标题"/>
    <w:basedOn w:val="a"/>
    <w:next w:val="bg0"/>
    <w:uiPriority w:val="99"/>
    <w:qFormat/>
    <w:pPr>
      <w:spacing w:before="120" w:after="60"/>
      <w:ind w:firstLine="510"/>
      <w:outlineLvl w:val="2"/>
    </w:pPr>
    <w:rPr>
      <w:rFonts w:eastAsia="黑体" w:cs="Times New Roman"/>
      <w:sz w:val="28"/>
      <w:szCs w:val="20"/>
    </w:rPr>
  </w:style>
  <w:style w:type="paragraph" w:customStyle="1" w:styleId="afffffffffffffffffffffffffffffffffffffff">
    <w:name w:val="标准标志"/>
    <w:next w:val="a"/>
    <w:uiPriority w:val="99"/>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ffffffffffffffffffffffffffffffffffff0">
    <w:name w:val="标准称谓"/>
    <w:next w:val="a"/>
    <w:uiPriority w:val="99"/>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ffffffffffffffffffffffffffffffffffffff1">
    <w:name w:val="标准书脚_偶数页"/>
    <w:uiPriority w:val="99"/>
    <w:qFormat/>
    <w:pPr>
      <w:spacing w:before="120" w:line="480" w:lineRule="auto"/>
    </w:pPr>
    <w:rPr>
      <w:sz w:val="18"/>
    </w:rPr>
  </w:style>
  <w:style w:type="paragraph" w:customStyle="1" w:styleId="afffffffffffffffffffffffffffffffffffffff2">
    <w:name w:val="标准书脚_奇数页"/>
    <w:autoRedefine/>
    <w:uiPriority w:val="99"/>
    <w:qFormat/>
    <w:pPr>
      <w:spacing w:before="120" w:line="480" w:lineRule="auto"/>
      <w:jc w:val="right"/>
    </w:pPr>
    <w:rPr>
      <w:sz w:val="18"/>
    </w:rPr>
  </w:style>
  <w:style w:type="paragraph" w:customStyle="1" w:styleId="afffffffffffffffffffffffffffffffffffffff3">
    <w:name w:val="标准书眉_奇数页"/>
    <w:next w:val="a"/>
    <w:uiPriority w:val="99"/>
    <w:qFormat/>
    <w:pPr>
      <w:tabs>
        <w:tab w:val="center" w:pos="4154"/>
        <w:tab w:val="right" w:pos="8306"/>
      </w:tabs>
      <w:spacing w:after="120" w:line="480" w:lineRule="auto"/>
      <w:jc w:val="right"/>
    </w:pPr>
    <w:rPr>
      <w:sz w:val="21"/>
    </w:rPr>
  </w:style>
  <w:style w:type="paragraph" w:customStyle="1" w:styleId="afffffffffffffffffffffffffffffffffffffff4">
    <w:name w:val="标准书眉_偶数页"/>
    <w:basedOn w:val="afffffffffffffffffffffffffffffffffffffff3"/>
    <w:next w:val="a"/>
    <w:uiPriority w:val="99"/>
    <w:qFormat/>
    <w:pPr>
      <w:jc w:val="left"/>
    </w:pPr>
  </w:style>
  <w:style w:type="paragraph" w:customStyle="1" w:styleId="afffffffffffffffffffffffffffffffffffffff5">
    <w:name w:val="标准书眉一"/>
    <w:uiPriority w:val="99"/>
    <w:qFormat/>
    <w:pPr>
      <w:spacing w:line="480" w:lineRule="auto"/>
      <w:jc w:val="both"/>
    </w:pPr>
  </w:style>
  <w:style w:type="paragraph" w:customStyle="1" w:styleId="afffffffffffffffffffffffffffffffffffffff6">
    <w:name w:val="参考文献、索引标题"/>
    <w:basedOn w:val="afffffffffffd"/>
    <w:next w:val="a"/>
    <w:uiPriority w:val="99"/>
    <w:qFormat/>
    <w:pPr>
      <w:tabs>
        <w:tab w:val="clear" w:pos="903"/>
      </w:tabs>
      <w:spacing w:after="200" w:line="480" w:lineRule="auto"/>
      <w:ind w:left="0" w:firstLine="0"/>
    </w:pPr>
    <w:rPr>
      <w:sz w:val="21"/>
    </w:rPr>
  </w:style>
  <w:style w:type="character" w:customStyle="1" w:styleId="afffffffffffffffffffffffffffffffffffffff7">
    <w:name w:val="发布"/>
    <w:qFormat/>
    <w:rPr>
      <w:rFonts w:ascii="黑体" w:eastAsia="黑体"/>
      <w:spacing w:val="22"/>
      <w:w w:val="100"/>
      <w:position w:val="3"/>
      <w:sz w:val="28"/>
    </w:rPr>
  </w:style>
  <w:style w:type="paragraph" w:customStyle="1" w:styleId="afffffffffffffffffffffffffffffffffffffff8">
    <w:name w:val="发布部门"/>
    <w:next w:val="afffffffffffffff2"/>
    <w:uiPriority w:val="99"/>
    <w:qFormat/>
    <w:pPr>
      <w:framePr w:w="7433" w:h="585" w:hRule="exact" w:hSpace="180" w:vSpace="180" w:wrap="around" w:hAnchor="margin" w:xAlign="center" w:y="14401" w:anchorLock="1"/>
      <w:spacing w:line="480" w:lineRule="auto"/>
      <w:jc w:val="center"/>
    </w:pPr>
    <w:rPr>
      <w:rFonts w:ascii="宋体"/>
      <w:b/>
      <w:spacing w:val="20"/>
      <w:w w:val="135"/>
      <w:sz w:val="36"/>
    </w:rPr>
  </w:style>
  <w:style w:type="paragraph" w:customStyle="1" w:styleId="afffffffffffffffffffffffffffffffffffffff9">
    <w:name w:val="发布日期"/>
    <w:autoRedefine/>
    <w:uiPriority w:val="99"/>
    <w:qFormat/>
    <w:pPr>
      <w:framePr w:w="4000" w:h="473" w:hRule="exact" w:hSpace="180" w:vSpace="180" w:wrap="around" w:hAnchor="margin" w:y="13511" w:anchorLock="1"/>
      <w:spacing w:line="480" w:lineRule="auto"/>
    </w:pPr>
    <w:rPr>
      <w:rFonts w:eastAsia="黑体"/>
      <w:sz w:val="28"/>
    </w:rPr>
  </w:style>
  <w:style w:type="paragraph" w:customStyle="1" w:styleId="1fffffffff3">
    <w:name w:val="封面标准号1"/>
    <w:uiPriority w:val="99"/>
    <w:qFormat/>
    <w:pPr>
      <w:widowControl w:val="0"/>
      <w:kinsoku w:val="0"/>
      <w:overflowPunct w:val="0"/>
      <w:autoSpaceDE w:val="0"/>
      <w:autoSpaceDN w:val="0"/>
      <w:spacing w:before="308" w:line="480" w:lineRule="auto"/>
      <w:jc w:val="right"/>
      <w:textAlignment w:val="center"/>
    </w:pPr>
    <w:rPr>
      <w:sz w:val="28"/>
    </w:rPr>
  </w:style>
  <w:style w:type="paragraph" w:customStyle="1" w:styleId="afffffffffffffffffffffffffffffffffffffffa">
    <w:name w:val="封面标准代替信息"/>
    <w:basedOn w:val="2fffffb"/>
    <w:uiPriority w:val="99"/>
    <w:qFormat/>
    <w:pPr>
      <w:framePr w:w="9138" w:h="1244" w:hRule="exact" w:wrap="around" w:vAnchor="page" w:hAnchor="margin" w:y="2908"/>
      <w:widowControl w:val="0"/>
      <w:kinsoku w:val="0"/>
      <w:overflowPunct w:val="0"/>
      <w:autoSpaceDE w:val="0"/>
      <w:autoSpaceDN w:val="0"/>
      <w:adjustRightInd w:val="0"/>
      <w:spacing w:before="57"/>
      <w:textAlignment w:val="center"/>
    </w:pPr>
    <w:rPr>
      <w:rFonts w:ascii="宋体" w:eastAsia="宋体"/>
      <w:sz w:val="21"/>
      <w:szCs w:val="20"/>
    </w:rPr>
  </w:style>
  <w:style w:type="paragraph" w:customStyle="1" w:styleId="afffffffffffffffffffffffffffffffffffffffb">
    <w:name w:val="封面标准名称"/>
    <w:autoRedefine/>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ffffffffffffffffffffffffffffffffc">
    <w:name w:val="封面标准文稿类别"/>
    <w:autoRedefine/>
    <w:uiPriority w:val="99"/>
    <w:qFormat/>
    <w:pPr>
      <w:spacing w:before="440" w:line="400" w:lineRule="exact"/>
      <w:jc w:val="center"/>
    </w:pPr>
    <w:rPr>
      <w:rFonts w:ascii="宋体"/>
      <w:sz w:val="24"/>
    </w:rPr>
  </w:style>
  <w:style w:type="paragraph" w:customStyle="1" w:styleId="afffffffffffffffffffffffffffffffffffffffd">
    <w:name w:val="封面标准英文名称"/>
    <w:autoRedefine/>
    <w:uiPriority w:val="99"/>
    <w:qFormat/>
    <w:pPr>
      <w:widowControl w:val="0"/>
      <w:spacing w:before="370" w:line="400" w:lineRule="exact"/>
      <w:jc w:val="center"/>
    </w:pPr>
    <w:rPr>
      <w:sz w:val="28"/>
    </w:rPr>
  </w:style>
  <w:style w:type="paragraph" w:customStyle="1" w:styleId="afffffffffffffffffffffffffffffffffffffffe">
    <w:name w:val="封面一致性程度标识"/>
    <w:uiPriority w:val="99"/>
    <w:qFormat/>
    <w:pPr>
      <w:spacing w:before="440" w:line="400" w:lineRule="exact"/>
      <w:jc w:val="center"/>
    </w:pPr>
    <w:rPr>
      <w:rFonts w:ascii="宋体"/>
      <w:sz w:val="28"/>
    </w:rPr>
  </w:style>
  <w:style w:type="paragraph" w:customStyle="1" w:styleId="affffffffffffffffffffffffffffffffffffffff">
    <w:name w:val="附录表标题"/>
    <w:next w:val="afffffffffffffff2"/>
    <w:uiPriority w:val="99"/>
    <w:qFormat/>
    <w:pPr>
      <w:spacing w:line="480" w:lineRule="auto"/>
      <w:jc w:val="center"/>
      <w:textAlignment w:val="baseline"/>
    </w:pPr>
    <w:rPr>
      <w:rFonts w:ascii="黑体" w:eastAsia="黑体"/>
      <w:kern w:val="21"/>
      <w:sz w:val="21"/>
    </w:rPr>
  </w:style>
  <w:style w:type="paragraph" w:customStyle="1" w:styleId="affffffffffffffffffffffffffffffffffffffff0">
    <w:name w:val="附录图标题"/>
    <w:next w:val="afffffffffffffff2"/>
    <w:uiPriority w:val="99"/>
    <w:qFormat/>
    <w:pPr>
      <w:spacing w:line="480" w:lineRule="auto"/>
      <w:jc w:val="center"/>
    </w:pPr>
    <w:rPr>
      <w:rFonts w:ascii="黑体" w:eastAsia="黑体"/>
      <w:sz w:val="21"/>
    </w:rPr>
  </w:style>
  <w:style w:type="character" w:customStyle="1" w:styleId="EmailStyle5141">
    <w:name w:val="EmailStyle5141"/>
    <w:autoRedefine/>
    <w:qFormat/>
    <w:rPr>
      <w:rFonts w:ascii="Arial" w:eastAsia="宋体" w:hAnsi="Arial" w:cs="Arial"/>
      <w:color w:val="auto"/>
      <w:sz w:val="20"/>
    </w:rPr>
  </w:style>
  <w:style w:type="character" w:customStyle="1" w:styleId="EmailStyle5151">
    <w:name w:val="EmailStyle5151"/>
    <w:qFormat/>
    <w:rPr>
      <w:rFonts w:ascii="Arial" w:eastAsia="宋体" w:hAnsi="Arial" w:cs="Arial"/>
      <w:color w:val="auto"/>
      <w:sz w:val="20"/>
    </w:rPr>
  </w:style>
  <w:style w:type="paragraph" w:customStyle="1" w:styleId="affffffffffffffffffffffffffffffffffffffff1">
    <w:name w:val="目次、标准名称标题"/>
    <w:basedOn w:val="afffffffffffd"/>
    <w:next w:val="afffffffffffffff2"/>
    <w:uiPriority w:val="99"/>
    <w:qFormat/>
    <w:pPr>
      <w:tabs>
        <w:tab w:val="clear" w:pos="903"/>
      </w:tabs>
      <w:spacing w:line="460" w:lineRule="exact"/>
      <w:ind w:left="0" w:firstLine="0"/>
    </w:pPr>
  </w:style>
  <w:style w:type="paragraph" w:customStyle="1" w:styleId="affffffffffffffffffffffffffffffffffffffff2">
    <w:name w:val="目次、索引正文"/>
    <w:uiPriority w:val="99"/>
    <w:qFormat/>
    <w:pPr>
      <w:spacing w:line="320" w:lineRule="exact"/>
      <w:jc w:val="both"/>
    </w:pPr>
    <w:rPr>
      <w:rFonts w:ascii="宋体"/>
      <w:sz w:val="21"/>
    </w:rPr>
  </w:style>
  <w:style w:type="paragraph" w:customStyle="1" w:styleId="affffffffffffffffffffffffffffffffffffffff3">
    <w:name w:val="其他标准称谓"/>
    <w:uiPriority w:val="99"/>
    <w:qFormat/>
    <w:pPr>
      <w:spacing w:line="0" w:lineRule="atLeast"/>
      <w:jc w:val="distribute"/>
    </w:pPr>
    <w:rPr>
      <w:rFonts w:ascii="黑体" w:eastAsia="黑体" w:hAnsi="宋体"/>
      <w:sz w:val="52"/>
    </w:rPr>
  </w:style>
  <w:style w:type="paragraph" w:customStyle="1" w:styleId="affffffffffffffffffffffffffffffffffffffff4">
    <w:name w:val="其他发布部门"/>
    <w:basedOn w:val="afffffffffffffffffffffffffffffffffffffff8"/>
    <w:uiPriority w:val="99"/>
    <w:qFormat/>
    <w:pPr>
      <w:framePr w:wrap="around"/>
      <w:spacing w:line="0" w:lineRule="atLeast"/>
    </w:pPr>
    <w:rPr>
      <w:rFonts w:ascii="黑体" w:eastAsia="黑体"/>
      <w:b w:val="0"/>
    </w:rPr>
  </w:style>
  <w:style w:type="paragraph" w:customStyle="1" w:styleId="affffffffffffffffffffffffffffffffffffffff5">
    <w:name w:val="实施日期"/>
    <w:basedOn w:val="afffffffffffffffffffffffffffffffffffffff9"/>
    <w:uiPriority w:val="99"/>
    <w:qFormat/>
    <w:pPr>
      <w:framePr w:hSpace="0" w:wrap="around" w:xAlign="right"/>
      <w:jc w:val="right"/>
    </w:pPr>
  </w:style>
  <w:style w:type="paragraph" w:customStyle="1" w:styleId="affffffffffffffffffffffffffffffffffffffff6">
    <w:name w:val="示例"/>
    <w:next w:val="afffffffffffffff2"/>
    <w:uiPriority w:val="99"/>
    <w:qFormat/>
    <w:pPr>
      <w:tabs>
        <w:tab w:val="left" w:pos="816"/>
      </w:tabs>
      <w:spacing w:line="480" w:lineRule="auto"/>
      <w:ind w:firstLineChars="233" w:firstLine="419"/>
      <w:jc w:val="both"/>
    </w:pPr>
    <w:rPr>
      <w:rFonts w:ascii="宋体"/>
      <w:sz w:val="18"/>
    </w:rPr>
  </w:style>
  <w:style w:type="paragraph" w:customStyle="1" w:styleId="affffffffffffffffffffffffffffffffffffffff7">
    <w:name w:val="数字编号列项（二级）"/>
    <w:uiPriority w:val="99"/>
    <w:qFormat/>
    <w:pPr>
      <w:spacing w:line="480" w:lineRule="auto"/>
      <w:ind w:leftChars="400" w:left="1260" w:hangingChars="200" w:hanging="420"/>
      <w:jc w:val="both"/>
    </w:pPr>
    <w:rPr>
      <w:rFonts w:ascii="宋体"/>
      <w:sz w:val="21"/>
    </w:rPr>
  </w:style>
  <w:style w:type="paragraph" w:customStyle="1" w:styleId="affffffffffffffffffffffffffffffffffffffff8">
    <w:name w:val="条文脚注"/>
    <w:basedOn w:val="afff7"/>
    <w:uiPriority w:val="99"/>
    <w:qFormat/>
    <w:pPr>
      <w:keepLines w:val="0"/>
      <w:widowControl w:val="0"/>
      <w:tabs>
        <w:tab w:val="clear" w:pos="576"/>
      </w:tabs>
      <w:snapToGrid w:val="0"/>
      <w:spacing w:after="0" w:line="360" w:lineRule="auto"/>
      <w:ind w:leftChars="200" w:left="200" w:hangingChars="200" w:hanging="200"/>
      <w:jc w:val="both"/>
    </w:pPr>
    <w:rPr>
      <w:rFonts w:ascii="宋体"/>
      <w:kern w:val="2"/>
      <w:sz w:val="18"/>
      <w:szCs w:val="18"/>
      <w:lang w:val="zh-CN"/>
    </w:rPr>
  </w:style>
  <w:style w:type="paragraph" w:customStyle="1" w:styleId="affffffffffffffffffffffffffffffffffffffff9">
    <w:name w:val="图表脚注"/>
    <w:next w:val="afffffffffffffff2"/>
    <w:uiPriority w:val="99"/>
    <w:qFormat/>
    <w:pPr>
      <w:spacing w:line="480" w:lineRule="auto"/>
      <w:ind w:leftChars="200" w:left="300" w:hangingChars="100" w:hanging="100"/>
      <w:jc w:val="both"/>
    </w:pPr>
    <w:rPr>
      <w:rFonts w:ascii="宋体"/>
      <w:sz w:val="18"/>
    </w:rPr>
  </w:style>
  <w:style w:type="paragraph" w:customStyle="1" w:styleId="affffffffffffffffffffffffffffffffffffffffa">
    <w:name w:val="文献分类号"/>
    <w:uiPriority w:val="99"/>
    <w:qFormat/>
    <w:pPr>
      <w:framePr w:hSpace="180" w:vSpace="180" w:wrap="around" w:hAnchor="margin" w:y="1" w:anchorLock="1"/>
      <w:widowControl w:val="0"/>
      <w:spacing w:line="480" w:lineRule="auto"/>
      <w:textAlignment w:val="center"/>
    </w:pPr>
    <w:rPr>
      <w:rFonts w:eastAsia="黑体"/>
      <w:sz w:val="21"/>
    </w:rPr>
  </w:style>
  <w:style w:type="paragraph" w:customStyle="1" w:styleId="affffffffffffffffffffffffffffffffffffffffb">
    <w:name w:val="无标题条"/>
    <w:next w:val="afffffffffffffff2"/>
    <w:uiPriority w:val="99"/>
    <w:qFormat/>
    <w:pPr>
      <w:spacing w:line="480" w:lineRule="auto"/>
      <w:jc w:val="both"/>
    </w:pPr>
    <w:rPr>
      <w:sz w:val="21"/>
    </w:rPr>
  </w:style>
  <w:style w:type="paragraph" w:customStyle="1" w:styleId="affffffffffffffffffffffffffffffffffffffffc">
    <w:name w:val="正文图标题"/>
    <w:next w:val="afffffffffffffff2"/>
    <w:uiPriority w:val="99"/>
    <w:qFormat/>
    <w:pPr>
      <w:spacing w:line="480" w:lineRule="auto"/>
      <w:jc w:val="center"/>
    </w:pPr>
    <w:rPr>
      <w:rFonts w:ascii="黑体" w:eastAsia="黑体"/>
      <w:sz w:val="21"/>
    </w:rPr>
  </w:style>
  <w:style w:type="paragraph" w:customStyle="1" w:styleId="affffffffffffffffffffffffffffffffffffffffd">
    <w:name w:val="字母编号列项（一级）"/>
    <w:autoRedefine/>
    <w:uiPriority w:val="99"/>
    <w:qFormat/>
    <w:pPr>
      <w:spacing w:line="480" w:lineRule="auto"/>
      <w:ind w:leftChars="200" w:left="840" w:hangingChars="200" w:hanging="420"/>
      <w:jc w:val="both"/>
    </w:pPr>
    <w:rPr>
      <w:rFonts w:ascii="宋体"/>
      <w:sz w:val="21"/>
    </w:rPr>
  </w:style>
  <w:style w:type="character" w:customStyle="1" w:styleId="EmailStyle5471">
    <w:name w:val="EmailStyle5471"/>
    <w:qFormat/>
    <w:rPr>
      <w:rFonts w:ascii="Arial" w:eastAsia="宋体" w:hAnsi="Arial" w:cs="Arial"/>
      <w:color w:val="auto"/>
      <w:sz w:val="20"/>
    </w:rPr>
  </w:style>
  <w:style w:type="character" w:customStyle="1" w:styleId="EmailStyle5481">
    <w:name w:val="EmailStyle5481"/>
    <w:qFormat/>
    <w:rPr>
      <w:rFonts w:ascii="Arial" w:eastAsia="宋体" w:hAnsi="Arial" w:cs="Arial"/>
      <w:color w:val="auto"/>
      <w:sz w:val="20"/>
    </w:rPr>
  </w:style>
  <w:style w:type="paragraph" w:customStyle="1" w:styleId="3ffff1">
    <w:name w:val="泥堡3"/>
    <w:basedOn w:val="a"/>
    <w:link w:val="3Chare"/>
    <w:qFormat/>
    <w:pPr>
      <w:spacing w:line="360" w:lineRule="auto"/>
      <w:outlineLvl w:val="2"/>
    </w:pPr>
    <w:rPr>
      <w:rFonts w:cs="Times New Roman"/>
      <w:b/>
      <w:sz w:val="24"/>
      <w:szCs w:val="24"/>
      <w:lang w:val="zh-CN"/>
    </w:rPr>
  </w:style>
  <w:style w:type="character" w:customStyle="1" w:styleId="3Chare">
    <w:name w:val="泥堡3 Char"/>
    <w:link w:val="3ffff1"/>
    <w:qFormat/>
    <w:rPr>
      <w:b/>
      <w:kern w:val="2"/>
      <w:sz w:val="24"/>
      <w:szCs w:val="24"/>
      <w:lang w:val="zh-CN"/>
    </w:rPr>
  </w:style>
  <w:style w:type="paragraph" w:customStyle="1" w:styleId="affffffffffffffffffffffffffffffffffffffffe">
    <w:name w:val="样式 题注 + 五号 居中"/>
    <w:basedOn w:val="af4"/>
    <w:autoRedefine/>
    <w:uiPriority w:val="99"/>
    <w:qFormat/>
    <w:pPr>
      <w:jc w:val="center"/>
    </w:pPr>
    <w:rPr>
      <w:rFonts w:ascii="Arial" w:hAnsi="Arial" w:cs="Times New Roman"/>
      <w:sz w:val="21"/>
    </w:rPr>
  </w:style>
  <w:style w:type="paragraph" w:customStyle="1" w:styleId="afffffffffffffffffffffffffffffffffffffffff">
    <w:name w:val="窄表头"/>
    <w:autoRedefine/>
    <w:uiPriority w:val="99"/>
    <w:qFormat/>
    <w:pPr>
      <w:adjustRightInd w:val="0"/>
      <w:snapToGrid w:val="0"/>
      <w:spacing w:before="100" w:beforeAutospacing="1" w:after="100" w:afterAutospacing="1" w:line="480" w:lineRule="auto"/>
      <w:jc w:val="center"/>
    </w:pPr>
    <w:rPr>
      <w:b/>
      <w:kern w:val="2"/>
      <w:sz w:val="24"/>
      <w:szCs w:val="24"/>
    </w:rPr>
  </w:style>
  <w:style w:type="character" w:customStyle="1" w:styleId="Header1CharChar">
    <w:name w:val="Header1 Char Char"/>
    <w:autoRedefine/>
    <w:qFormat/>
    <w:rPr>
      <w:kern w:val="2"/>
      <w:sz w:val="18"/>
      <w:szCs w:val="18"/>
    </w:rPr>
  </w:style>
  <w:style w:type="paragraph" w:customStyle="1" w:styleId="5fe">
    <w:name w:val="5级标题"/>
    <w:basedOn w:val="affffffffffffffffffffffffffffffffffffffb"/>
    <w:link w:val="5Char1"/>
    <w:qFormat/>
    <w:pPr>
      <w:ind w:firstLine="480"/>
      <w:outlineLvl w:val="4"/>
    </w:pPr>
  </w:style>
  <w:style w:type="character" w:customStyle="1" w:styleId="5Char1">
    <w:name w:val="5级标题 Char"/>
    <w:link w:val="5fe"/>
    <w:qFormat/>
    <w:rPr>
      <w:kern w:val="2"/>
      <w:sz w:val="24"/>
      <w:lang w:val="zh-CN"/>
    </w:rPr>
  </w:style>
  <w:style w:type="paragraph" w:customStyle="1" w:styleId="5102">
    <w:name w:val="5号字行距1.0首行缩2"/>
    <w:basedOn w:val="a"/>
    <w:uiPriority w:val="99"/>
    <w:qFormat/>
    <w:pPr>
      <w:ind w:firstLineChars="200" w:firstLine="200"/>
    </w:pPr>
    <w:rPr>
      <w:rFonts w:cs="Times New Roman"/>
      <w:szCs w:val="24"/>
    </w:rPr>
  </w:style>
  <w:style w:type="paragraph" w:customStyle="1" w:styleId="1111110">
    <w:name w:val="111111"/>
    <w:basedOn w:val="a"/>
    <w:next w:val="a"/>
    <w:uiPriority w:val="99"/>
    <w:qFormat/>
    <w:pPr>
      <w:widowControl/>
      <w:spacing w:after="200" w:line="360" w:lineRule="auto"/>
      <w:ind w:firstLineChars="200" w:firstLine="200"/>
      <w:jc w:val="left"/>
    </w:pPr>
    <w:rPr>
      <w:rFonts w:cs="Times New Roman"/>
      <w:kern w:val="0"/>
      <w:sz w:val="24"/>
      <w:szCs w:val="24"/>
      <w:lang w:eastAsia="en-US" w:bidi="en-US"/>
    </w:rPr>
  </w:style>
  <w:style w:type="paragraph" w:customStyle="1" w:styleId="bg10">
    <w:name w:val="bg1"/>
    <w:basedOn w:val="a"/>
    <w:uiPriority w:val="99"/>
    <w:qFormat/>
    <w:pPr>
      <w:widowControl/>
      <w:spacing w:before="100" w:beforeAutospacing="1" w:after="100" w:afterAutospacing="1"/>
      <w:jc w:val="left"/>
    </w:pPr>
    <w:rPr>
      <w:rFonts w:ascii="Arial Unicode MS" w:eastAsia="Arial Unicode MS" w:hAnsi="Arial Unicode MS" w:cs="Arial Unicode MS"/>
      <w:kern w:val="0"/>
      <w:szCs w:val="21"/>
    </w:rPr>
  </w:style>
  <w:style w:type="character" w:customStyle="1" w:styleId="EmailStyle5731">
    <w:name w:val="EmailStyle5731"/>
    <w:qFormat/>
    <w:rPr>
      <w:rFonts w:ascii="Arial" w:eastAsia="宋体" w:hAnsi="Arial" w:cs="Arial"/>
      <w:color w:val="auto"/>
      <w:sz w:val="20"/>
    </w:rPr>
  </w:style>
  <w:style w:type="character" w:customStyle="1" w:styleId="EmailStyle5741">
    <w:name w:val="EmailStyle5741"/>
    <w:qFormat/>
    <w:rPr>
      <w:rFonts w:ascii="Arial" w:eastAsia="宋体" w:hAnsi="Arial" w:cs="Arial"/>
      <w:color w:val="auto"/>
      <w:sz w:val="20"/>
    </w:rPr>
  </w:style>
  <w:style w:type="character" w:customStyle="1" w:styleId="EmailStyle5751">
    <w:name w:val="EmailStyle5751"/>
    <w:qFormat/>
    <w:rPr>
      <w:rFonts w:ascii="Arial" w:eastAsia="宋体" w:hAnsi="Arial" w:cs="Arial"/>
      <w:color w:val="auto"/>
      <w:sz w:val="20"/>
    </w:rPr>
  </w:style>
  <w:style w:type="character" w:customStyle="1" w:styleId="EmailStyle5761">
    <w:name w:val="EmailStyle5761"/>
    <w:qFormat/>
    <w:rPr>
      <w:rFonts w:ascii="Arial" w:eastAsia="宋体" w:hAnsi="Arial" w:cs="Arial"/>
      <w:color w:val="auto"/>
      <w:sz w:val="20"/>
    </w:rPr>
  </w:style>
  <w:style w:type="character" w:customStyle="1" w:styleId="EmailStyle5771">
    <w:name w:val="EmailStyle5771"/>
    <w:autoRedefine/>
    <w:qFormat/>
    <w:rPr>
      <w:rFonts w:ascii="Arial" w:eastAsia="宋体" w:hAnsi="Arial" w:cs="Arial"/>
      <w:color w:val="auto"/>
      <w:sz w:val="20"/>
    </w:rPr>
  </w:style>
  <w:style w:type="character" w:customStyle="1" w:styleId="EmailStyle5781">
    <w:name w:val="EmailStyle5781"/>
    <w:qFormat/>
    <w:rPr>
      <w:rFonts w:ascii="Arial" w:eastAsia="宋体" w:hAnsi="Arial" w:cs="Arial"/>
      <w:color w:val="auto"/>
      <w:sz w:val="20"/>
    </w:rPr>
  </w:style>
  <w:style w:type="character" w:customStyle="1" w:styleId="EmailStyle5811">
    <w:name w:val="EmailStyle5811"/>
    <w:qFormat/>
    <w:rPr>
      <w:rFonts w:ascii="Arial" w:eastAsia="宋体" w:hAnsi="Arial" w:cs="Arial"/>
      <w:color w:val="auto"/>
      <w:sz w:val="20"/>
    </w:rPr>
  </w:style>
  <w:style w:type="character" w:customStyle="1" w:styleId="EmailStyle5821">
    <w:name w:val="EmailStyle5821"/>
    <w:qFormat/>
    <w:rPr>
      <w:rFonts w:ascii="Arial" w:eastAsia="宋体" w:hAnsi="Arial" w:cs="Arial"/>
      <w:color w:val="auto"/>
      <w:sz w:val="20"/>
    </w:rPr>
  </w:style>
  <w:style w:type="character" w:customStyle="1" w:styleId="EmailStyle5831">
    <w:name w:val="EmailStyle5831"/>
    <w:qFormat/>
    <w:rPr>
      <w:rFonts w:ascii="Arial" w:eastAsia="宋体" w:hAnsi="Arial" w:cs="Arial"/>
      <w:color w:val="auto"/>
      <w:sz w:val="20"/>
    </w:rPr>
  </w:style>
  <w:style w:type="character" w:customStyle="1" w:styleId="EmailStyle5841">
    <w:name w:val="EmailStyle5841"/>
    <w:qFormat/>
    <w:rPr>
      <w:rFonts w:ascii="Arial" w:eastAsia="宋体" w:hAnsi="Arial" w:cs="Arial"/>
      <w:color w:val="auto"/>
      <w:sz w:val="20"/>
    </w:rPr>
  </w:style>
  <w:style w:type="paragraph" w:customStyle="1" w:styleId="font22">
    <w:name w:val="font22"/>
    <w:basedOn w:val="a"/>
    <w:autoRedefine/>
    <w:uiPriority w:val="99"/>
    <w:qFormat/>
    <w:pPr>
      <w:widowControl/>
      <w:spacing w:before="100" w:beforeAutospacing="1" w:after="100" w:afterAutospacing="1"/>
      <w:jc w:val="left"/>
    </w:pPr>
    <w:rPr>
      <w:rFonts w:ascii="宋体" w:hAnsi="宋体" w:cs="宋体"/>
      <w:color w:val="000000"/>
      <w:kern w:val="0"/>
      <w:sz w:val="20"/>
      <w:szCs w:val="20"/>
    </w:rPr>
  </w:style>
  <w:style w:type="paragraph" w:customStyle="1" w:styleId="font23">
    <w:name w:val="font23"/>
    <w:basedOn w:val="a"/>
    <w:uiPriority w:val="99"/>
    <w:qFormat/>
    <w:pPr>
      <w:widowControl/>
      <w:spacing w:before="100" w:beforeAutospacing="1" w:after="100" w:afterAutospacing="1"/>
      <w:jc w:val="left"/>
    </w:pPr>
    <w:rPr>
      <w:rFonts w:ascii="Arial" w:hAnsi="Arial" w:cs="Arial"/>
      <w:color w:val="000000"/>
      <w:kern w:val="0"/>
      <w:sz w:val="18"/>
      <w:szCs w:val="18"/>
    </w:rPr>
  </w:style>
  <w:style w:type="paragraph" w:customStyle="1" w:styleId="font24">
    <w:name w:val="font24"/>
    <w:basedOn w:val="a"/>
    <w:uiPriority w:val="99"/>
    <w:qFormat/>
    <w:pPr>
      <w:widowControl/>
      <w:spacing w:before="100" w:beforeAutospacing="1" w:after="100" w:afterAutospacing="1"/>
      <w:jc w:val="left"/>
    </w:pPr>
    <w:rPr>
      <w:rFonts w:ascii="宋体" w:hAnsi="宋体" w:cs="宋体"/>
      <w:color w:val="000000"/>
      <w:kern w:val="0"/>
      <w:sz w:val="18"/>
      <w:szCs w:val="18"/>
    </w:rPr>
  </w:style>
  <w:style w:type="paragraph" w:customStyle="1" w:styleId="font25">
    <w:name w:val="font25"/>
    <w:basedOn w:val="a"/>
    <w:uiPriority w:val="99"/>
    <w:qFormat/>
    <w:pPr>
      <w:widowControl/>
      <w:spacing w:before="100" w:beforeAutospacing="1" w:after="100" w:afterAutospacing="1"/>
      <w:jc w:val="left"/>
    </w:pPr>
    <w:rPr>
      <w:rFonts w:ascii="宋体" w:hAnsi="宋体" w:cs="宋体"/>
      <w:color w:val="000000"/>
      <w:kern w:val="0"/>
      <w:sz w:val="18"/>
      <w:szCs w:val="18"/>
    </w:rPr>
  </w:style>
  <w:style w:type="paragraph" w:customStyle="1" w:styleId="font26">
    <w:name w:val="font26"/>
    <w:basedOn w:val="a"/>
    <w:uiPriority w:val="99"/>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font27">
    <w:name w:val="font27"/>
    <w:basedOn w:val="a"/>
    <w:uiPriority w:val="99"/>
    <w:qFormat/>
    <w:pPr>
      <w:widowControl/>
      <w:spacing w:before="100" w:beforeAutospacing="1" w:after="100" w:afterAutospacing="1"/>
      <w:jc w:val="left"/>
    </w:pPr>
    <w:rPr>
      <w:rFonts w:ascii="宋体" w:hAnsi="宋体" w:cs="宋体"/>
      <w:kern w:val="0"/>
      <w:sz w:val="18"/>
      <w:szCs w:val="18"/>
    </w:rPr>
  </w:style>
  <w:style w:type="paragraph" w:customStyle="1" w:styleId="font28">
    <w:name w:val="font28"/>
    <w:basedOn w:val="a"/>
    <w:uiPriority w:val="99"/>
    <w:qFormat/>
    <w:pPr>
      <w:widowControl/>
      <w:spacing w:before="100" w:beforeAutospacing="1" w:after="100" w:afterAutospacing="1"/>
      <w:jc w:val="left"/>
    </w:pPr>
    <w:rPr>
      <w:rFonts w:ascii="Arial" w:hAnsi="Arial" w:cs="Arial"/>
      <w:color w:val="000000"/>
      <w:kern w:val="0"/>
      <w:sz w:val="18"/>
      <w:szCs w:val="18"/>
    </w:rPr>
  </w:style>
  <w:style w:type="paragraph" w:customStyle="1" w:styleId="font29">
    <w:name w:val="font29"/>
    <w:basedOn w:val="a"/>
    <w:uiPriority w:val="99"/>
    <w:qFormat/>
    <w:pPr>
      <w:widowControl/>
      <w:spacing w:before="100" w:beforeAutospacing="1" w:after="100" w:afterAutospacing="1"/>
      <w:jc w:val="left"/>
    </w:pPr>
    <w:rPr>
      <w:rFonts w:ascii="宋体" w:hAnsi="宋体" w:cs="宋体"/>
      <w:color w:val="000000"/>
      <w:kern w:val="0"/>
      <w:sz w:val="18"/>
      <w:szCs w:val="18"/>
    </w:rPr>
  </w:style>
  <w:style w:type="paragraph" w:customStyle="1" w:styleId="font30">
    <w:name w:val="font30"/>
    <w:basedOn w:val="a"/>
    <w:uiPriority w:val="99"/>
    <w:qFormat/>
    <w:pPr>
      <w:widowControl/>
      <w:spacing w:before="100" w:beforeAutospacing="1" w:after="100" w:afterAutospacing="1"/>
      <w:jc w:val="left"/>
    </w:pPr>
    <w:rPr>
      <w:rFonts w:ascii="宋体" w:hAnsi="宋体" w:cs="宋体"/>
      <w:color w:val="000000"/>
      <w:kern w:val="0"/>
      <w:sz w:val="18"/>
      <w:szCs w:val="18"/>
    </w:rPr>
  </w:style>
  <w:style w:type="paragraph" w:customStyle="1" w:styleId="font32">
    <w:name w:val="font32"/>
    <w:basedOn w:val="a"/>
    <w:uiPriority w:val="99"/>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font33">
    <w:name w:val="font33"/>
    <w:basedOn w:val="a"/>
    <w:autoRedefine/>
    <w:uiPriority w:val="99"/>
    <w:qFormat/>
    <w:pPr>
      <w:widowControl/>
      <w:spacing w:before="100" w:beforeAutospacing="1" w:after="100" w:afterAutospacing="1"/>
      <w:jc w:val="left"/>
    </w:pPr>
    <w:rPr>
      <w:rFonts w:ascii="宋体" w:hAnsi="宋体" w:cs="宋体"/>
      <w:kern w:val="0"/>
      <w:sz w:val="18"/>
      <w:szCs w:val="18"/>
    </w:rPr>
  </w:style>
  <w:style w:type="paragraph" w:customStyle="1" w:styleId="font34">
    <w:name w:val="font34"/>
    <w:basedOn w:val="a"/>
    <w:uiPriority w:val="99"/>
    <w:qFormat/>
    <w:pPr>
      <w:widowControl/>
      <w:spacing w:before="100" w:beforeAutospacing="1" w:after="100" w:afterAutospacing="1"/>
      <w:jc w:val="left"/>
    </w:pPr>
    <w:rPr>
      <w:rFonts w:ascii="宋体" w:hAnsi="宋体" w:cs="宋体"/>
      <w:color w:val="000000"/>
      <w:kern w:val="0"/>
      <w:sz w:val="18"/>
      <w:szCs w:val="18"/>
    </w:rPr>
  </w:style>
  <w:style w:type="paragraph" w:customStyle="1" w:styleId="font35">
    <w:name w:val="font35"/>
    <w:basedOn w:val="a"/>
    <w:autoRedefine/>
    <w:uiPriority w:val="99"/>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font36">
    <w:name w:val="font36"/>
    <w:basedOn w:val="a"/>
    <w:uiPriority w:val="99"/>
    <w:qFormat/>
    <w:pPr>
      <w:widowControl/>
      <w:spacing w:before="100" w:beforeAutospacing="1" w:after="100" w:afterAutospacing="1"/>
      <w:jc w:val="left"/>
    </w:pPr>
    <w:rPr>
      <w:rFonts w:ascii="宋体" w:hAnsi="宋体" w:cs="宋体"/>
      <w:color w:val="000000"/>
      <w:kern w:val="0"/>
      <w:sz w:val="18"/>
      <w:szCs w:val="18"/>
    </w:rPr>
  </w:style>
  <w:style w:type="paragraph" w:customStyle="1" w:styleId="font37">
    <w:name w:val="font37"/>
    <w:basedOn w:val="a"/>
    <w:uiPriority w:val="99"/>
    <w:qFormat/>
    <w:pPr>
      <w:widowControl/>
      <w:spacing w:before="100" w:beforeAutospacing="1" w:after="100" w:afterAutospacing="1"/>
      <w:jc w:val="left"/>
    </w:pPr>
    <w:rPr>
      <w:rFonts w:ascii="宋体" w:hAnsi="宋体" w:cs="宋体"/>
      <w:kern w:val="0"/>
      <w:sz w:val="18"/>
      <w:szCs w:val="18"/>
    </w:rPr>
  </w:style>
  <w:style w:type="character" w:customStyle="1" w:styleId="EmailStyle671">
    <w:name w:val="EmailStyle671"/>
    <w:qFormat/>
    <w:rPr>
      <w:rFonts w:ascii="Arial" w:eastAsia="宋体" w:hAnsi="Arial" w:cs="Arial"/>
      <w:color w:val="auto"/>
      <w:sz w:val="20"/>
    </w:rPr>
  </w:style>
  <w:style w:type="character" w:customStyle="1" w:styleId="EmailStyle672">
    <w:name w:val="EmailStyle672"/>
    <w:qFormat/>
    <w:rPr>
      <w:rFonts w:ascii="Arial" w:eastAsia="宋体" w:hAnsi="Arial" w:cs="Arial"/>
      <w:color w:val="auto"/>
      <w:sz w:val="20"/>
    </w:rPr>
  </w:style>
  <w:style w:type="character" w:customStyle="1" w:styleId="EmailStyle673">
    <w:name w:val="EmailStyle673"/>
    <w:qFormat/>
    <w:rPr>
      <w:rFonts w:ascii="Arial" w:eastAsia="宋体" w:hAnsi="Arial" w:cs="Arial"/>
      <w:color w:val="auto"/>
      <w:sz w:val="20"/>
    </w:rPr>
  </w:style>
  <w:style w:type="character" w:customStyle="1" w:styleId="EmailStyle674">
    <w:name w:val="EmailStyle674"/>
    <w:autoRedefine/>
    <w:qFormat/>
    <w:rPr>
      <w:rFonts w:ascii="Arial" w:eastAsia="宋体" w:hAnsi="Arial" w:cs="Arial"/>
      <w:color w:val="auto"/>
      <w:sz w:val="20"/>
    </w:rPr>
  </w:style>
  <w:style w:type="character" w:customStyle="1" w:styleId="EmailStyle675">
    <w:name w:val="EmailStyle675"/>
    <w:qFormat/>
    <w:rPr>
      <w:rFonts w:ascii="Arial" w:eastAsia="宋体" w:hAnsi="Arial" w:cs="Arial"/>
      <w:color w:val="auto"/>
      <w:sz w:val="20"/>
    </w:rPr>
  </w:style>
  <w:style w:type="character" w:customStyle="1" w:styleId="EmailStyle676">
    <w:name w:val="EmailStyle676"/>
    <w:qFormat/>
    <w:rPr>
      <w:rFonts w:ascii="Arial" w:eastAsia="宋体" w:hAnsi="Arial" w:cs="Arial"/>
      <w:color w:val="auto"/>
      <w:sz w:val="20"/>
    </w:rPr>
  </w:style>
  <w:style w:type="character" w:customStyle="1" w:styleId="EmailStyle677">
    <w:name w:val="EmailStyle677"/>
    <w:qFormat/>
    <w:rPr>
      <w:rFonts w:ascii="Arial" w:eastAsia="宋体" w:hAnsi="Arial" w:cs="Arial"/>
      <w:color w:val="auto"/>
      <w:sz w:val="20"/>
    </w:rPr>
  </w:style>
  <w:style w:type="character" w:customStyle="1" w:styleId="EmailStyle678">
    <w:name w:val="EmailStyle678"/>
    <w:qFormat/>
    <w:rPr>
      <w:rFonts w:ascii="Arial" w:eastAsia="宋体" w:hAnsi="Arial" w:cs="Arial"/>
      <w:color w:val="auto"/>
      <w:sz w:val="20"/>
    </w:rPr>
  </w:style>
  <w:style w:type="character" w:customStyle="1" w:styleId="EmailStyle679">
    <w:name w:val="EmailStyle679"/>
    <w:qFormat/>
    <w:rPr>
      <w:rFonts w:ascii="Arial" w:eastAsia="宋体" w:hAnsi="Arial" w:cs="Arial"/>
      <w:color w:val="auto"/>
      <w:sz w:val="20"/>
    </w:rPr>
  </w:style>
  <w:style w:type="character" w:customStyle="1" w:styleId="EmailStyle680">
    <w:name w:val="EmailStyle680"/>
    <w:autoRedefine/>
    <w:qFormat/>
    <w:rPr>
      <w:rFonts w:ascii="Arial" w:eastAsia="宋体" w:hAnsi="Arial" w:cs="Arial"/>
      <w:color w:val="auto"/>
      <w:sz w:val="20"/>
    </w:rPr>
  </w:style>
  <w:style w:type="character" w:customStyle="1" w:styleId="EmailStyle681">
    <w:name w:val="EmailStyle681"/>
    <w:autoRedefine/>
    <w:qFormat/>
    <w:rPr>
      <w:rFonts w:ascii="Arial" w:eastAsia="宋体" w:hAnsi="Arial" w:cs="Arial"/>
      <w:color w:val="auto"/>
      <w:sz w:val="20"/>
    </w:rPr>
  </w:style>
  <w:style w:type="character" w:customStyle="1" w:styleId="EmailStyle682">
    <w:name w:val="EmailStyle682"/>
    <w:autoRedefine/>
    <w:qFormat/>
    <w:rPr>
      <w:rFonts w:ascii="Arial" w:eastAsia="宋体" w:hAnsi="Arial" w:cs="Arial"/>
      <w:color w:val="auto"/>
      <w:sz w:val="20"/>
    </w:rPr>
  </w:style>
  <w:style w:type="character" w:customStyle="1" w:styleId="EmailStyle683">
    <w:name w:val="EmailStyle683"/>
    <w:autoRedefine/>
    <w:qFormat/>
    <w:rPr>
      <w:rFonts w:ascii="Arial" w:eastAsia="宋体" w:hAnsi="Arial" w:cs="Arial"/>
      <w:color w:val="auto"/>
      <w:sz w:val="20"/>
    </w:rPr>
  </w:style>
  <w:style w:type="character" w:customStyle="1" w:styleId="EmailStyle684">
    <w:name w:val="EmailStyle684"/>
    <w:autoRedefine/>
    <w:qFormat/>
    <w:rPr>
      <w:rFonts w:ascii="Arial" w:eastAsia="宋体" w:hAnsi="Arial" w:cs="Arial"/>
      <w:color w:val="auto"/>
      <w:sz w:val="20"/>
    </w:rPr>
  </w:style>
  <w:style w:type="paragraph" w:customStyle="1" w:styleId="Char270">
    <w:name w:val="Char27"/>
    <w:basedOn w:val="a"/>
    <w:autoRedefine/>
    <w:uiPriority w:val="99"/>
    <w:qFormat/>
    <w:pPr>
      <w:spacing w:line="360" w:lineRule="auto"/>
      <w:ind w:firstLineChars="200" w:firstLine="200"/>
    </w:pPr>
    <w:rPr>
      <w:rFonts w:ascii="Tahoma" w:hAnsi="Tahoma" w:cs="Times New Roman"/>
      <w:sz w:val="24"/>
      <w:szCs w:val="20"/>
    </w:rPr>
  </w:style>
  <w:style w:type="character" w:customStyle="1" w:styleId="CharChar353">
    <w:name w:val="Char Char353"/>
    <w:autoRedefine/>
    <w:qFormat/>
    <w:rPr>
      <w:rFonts w:ascii="宋体" w:eastAsia="宋体" w:hAnsi="宋体" w:cs="Times New Roman"/>
      <w:b/>
      <w:kern w:val="44"/>
      <w:sz w:val="30"/>
      <w:szCs w:val="20"/>
    </w:rPr>
  </w:style>
  <w:style w:type="character" w:customStyle="1" w:styleId="CharChar343">
    <w:name w:val="Char Char343"/>
    <w:autoRedefine/>
    <w:qFormat/>
    <w:rPr>
      <w:rFonts w:ascii="Times New Roman" w:eastAsia="宋体" w:hAnsi="Times New Roman" w:cs="Times New Roman"/>
      <w:b/>
      <w:kern w:val="44"/>
      <w:sz w:val="28"/>
      <w:szCs w:val="20"/>
    </w:rPr>
  </w:style>
  <w:style w:type="character" w:customStyle="1" w:styleId="CharChar333">
    <w:name w:val="Char Char333"/>
    <w:autoRedefine/>
    <w:qFormat/>
    <w:rPr>
      <w:rFonts w:ascii="Times New Roman" w:eastAsia="宋体" w:hAnsi="Times New Roman" w:cs="Times New Roman"/>
      <w:b/>
      <w:color w:val="000000"/>
      <w:sz w:val="28"/>
      <w:szCs w:val="20"/>
    </w:rPr>
  </w:style>
  <w:style w:type="character" w:customStyle="1" w:styleId="CharChar323">
    <w:name w:val="Char Char323"/>
    <w:autoRedefine/>
    <w:qFormat/>
    <w:rPr>
      <w:rFonts w:ascii="楷体_GB2312" w:eastAsia="楷体_GB2312" w:hAnsi="Times New Roman" w:cs="Times New Roman"/>
      <w:spacing w:val="-30"/>
      <w:sz w:val="24"/>
      <w:szCs w:val="20"/>
    </w:rPr>
  </w:style>
  <w:style w:type="character" w:customStyle="1" w:styleId="CharChar313">
    <w:name w:val="Char Char313"/>
    <w:autoRedefine/>
    <w:qFormat/>
    <w:rPr>
      <w:rFonts w:ascii="Arial" w:eastAsia="楷体_GB2312" w:hAnsi="Arial" w:cs="Times New Roman"/>
      <w:spacing w:val="-30"/>
      <w:kern w:val="0"/>
      <w:sz w:val="22"/>
      <w:szCs w:val="20"/>
    </w:rPr>
  </w:style>
  <w:style w:type="character" w:customStyle="1" w:styleId="CharChar303">
    <w:name w:val="Char Char303"/>
    <w:autoRedefine/>
    <w:qFormat/>
    <w:rPr>
      <w:rFonts w:ascii="Arial" w:eastAsia="楷体_GB2312" w:hAnsi="Arial" w:cs="Times New Roman"/>
      <w:i/>
      <w:spacing w:val="-30"/>
      <w:kern w:val="0"/>
      <w:sz w:val="22"/>
      <w:szCs w:val="20"/>
    </w:rPr>
  </w:style>
  <w:style w:type="character" w:customStyle="1" w:styleId="CharChar293">
    <w:name w:val="Char Char293"/>
    <w:autoRedefine/>
    <w:qFormat/>
    <w:rPr>
      <w:rFonts w:ascii="Arial" w:eastAsia="楷体_GB2312" w:hAnsi="Arial" w:cs="Times New Roman"/>
      <w:spacing w:val="-30"/>
      <w:kern w:val="0"/>
      <w:sz w:val="24"/>
      <w:szCs w:val="20"/>
    </w:rPr>
  </w:style>
  <w:style w:type="character" w:customStyle="1" w:styleId="CharChar283">
    <w:name w:val="Char Char283"/>
    <w:autoRedefine/>
    <w:qFormat/>
    <w:rPr>
      <w:rFonts w:ascii="Arial" w:eastAsia="楷体_GB2312" w:hAnsi="Arial" w:cs="Times New Roman"/>
      <w:i/>
      <w:spacing w:val="-30"/>
      <w:kern w:val="0"/>
      <w:sz w:val="24"/>
      <w:szCs w:val="20"/>
    </w:rPr>
  </w:style>
  <w:style w:type="character" w:customStyle="1" w:styleId="CharChar273">
    <w:name w:val="Char Char273"/>
    <w:autoRedefine/>
    <w:qFormat/>
    <w:rPr>
      <w:rFonts w:ascii="Arial" w:eastAsia="楷体_GB2312" w:hAnsi="Arial" w:cs="Times New Roman"/>
      <w:i/>
      <w:spacing w:val="-30"/>
      <w:kern w:val="0"/>
      <w:sz w:val="18"/>
      <w:szCs w:val="20"/>
    </w:rPr>
  </w:style>
  <w:style w:type="paragraph" w:customStyle="1" w:styleId="Char2CharCharCharCharCharCharCharCharChar4">
    <w:name w:val="Char2 Char Char Char Char Char Char Char Char Char4"/>
    <w:basedOn w:val="a"/>
    <w:autoRedefine/>
    <w:uiPriority w:val="99"/>
    <w:qFormat/>
    <w:pPr>
      <w:widowControl/>
      <w:spacing w:line="360" w:lineRule="auto"/>
      <w:ind w:firstLineChars="200" w:firstLine="200"/>
      <w:jc w:val="left"/>
    </w:pPr>
    <w:rPr>
      <w:rFonts w:ascii="Calibri" w:hAnsi="Calibri" w:cs="Times New Roman"/>
      <w:kern w:val="0"/>
      <w:sz w:val="24"/>
      <w:szCs w:val="20"/>
      <w:lang w:eastAsia="en-US" w:bidi="en-US"/>
    </w:rPr>
  </w:style>
  <w:style w:type="character" w:customStyle="1" w:styleId="emtidy-9">
    <w:name w:val="emtidy-9"/>
    <w:autoRedefine/>
    <w:qFormat/>
  </w:style>
  <w:style w:type="character" w:customStyle="1" w:styleId="emtidy-8">
    <w:name w:val="emtidy-8"/>
    <w:autoRedefine/>
    <w:qFormat/>
  </w:style>
  <w:style w:type="character" w:customStyle="1" w:styleId="emtidy-6">
    <w:name w:val="emtidy-6"/>
    <w:autoRedefine/>
    <w:qFormat/>
  </w:style>
  <w:style w:type="character" w:customStyle="1" w:styleId="emtidy-5">
    <w:name w:val="emtidy-5"/>
    <w:autoRedefine/>
    <w:qFormat/>
  </w:style>
  <w:style w:type="paragraph" w:customStyle="1" w:styleId="Normal7">
    <w:name w:val="Normal_7"/>
    <w:autoRedefine/>
    <w:uiPriority w:val="99"/>
    <w:qFormat/>
    <w:pPr>
      <w:widowControl w:val="0"/>
      <w:spacing w:after="200" w:line="360" w:lineRule="auto"/>
      <w:jc w:val="both"/>
    </w:pPr>
    <w:rPr>
      <w:rFonts w:ascii="Calibri" w:hAnsi="Calibri"/>
      <w:kern w:val="2"/>
      <w:sz w:val="24"/>
      <w:szCs w:val="24"/>
      <w:lang w:eastAsia="en-US" w:bidi="en-US"/>
    </w:rPr>
  </w:style>
  <w:style w:type="paragraph" w:customStyle="1" w:styleId="Normal2">
    <w:name w:val="Normal_2"/>
    <w:autoRedefine/>
    <w:uiPriority w:val="99"/>
    <w:qFormat/>
    <w:pPr>
      <w:widowControl w:val="0"/>
      <w:spacing w:after="200" w:line="360" w:lineRule="auto"/>
      <w:jc w:val="both"/>
    </w:pPr>
    <w:rPr>
      <w:rFonts w:ascii="Calibri" w:hAnsi="Calibri"/>
      <w:kern w:val="2"/>
      <w:sz w:val="24"/>
      <w:szCs w:val="24"/>
      <w:lang w:eastAsia="en-US" w:bidi="en-US"/>
    </w:rPr>
  </w:style>
  <w:style w:type="paragraph" w:customStyle="1" w:styleId="xl357">
    <w:name w:val="xl357"/>
    <w:basedOn w:val="a"/>
    <w:autoRedefine/>
    <w:uiPriority w:val="99"/>
    <w:qFormat/>
    <w:pPr>
      <w:widowControl/>
      <w:spacing w:before="100" w:beforeAutospacing="1" w:after="100" w:afterAutospacing="1"/>
      <w:jc w:val="left"/>
    </w:pPr>
    <w:rPr>
      <w:rFonts w:ascii="宋体" w:hAnsi="宋体" w:cs="宋体"/>
      <w:kern w:val="0"/>
      <w:sz w:val="24"/>
      <w:szCs w:val="24"/>
    </w:rPr>
  </w:style>
  <w:style w:type="paragraph" w:customStyle="1" w:styleId="xl358">
    <w:name w:val="xl358"/>
    <w:basedOn w:val="a"/>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359">
    <w:name w:val="xl359"/>
    <w:basedOn w:val="a"/>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360">
    <w:name w:val="xl360"/>
    <w:basedOn w:val="a"/>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361">
    <w:name w:val="xl361"/>
    <w:basedOn w:val="a"/>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362">
    <w:name w:val="xl362"/>
    <w:basedOn w:val="a"/>
    <w:autoRedefine/>
    <w:uiPriority w:val="99"/>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363">
    <w:name w:val="xl363"/>
    <w:basedOn w:val="a"/>
    <w:autoRedefine/>
    <w:uiPriority w:val="99"/>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364">
    <w:name w:val="xl364"/>
    <w:basedOn w:val="a"/>
    <w:autoRedefine/>
    <w:uiPriority w:val="99"/>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365">
    <w:name w:val="xl365"/>
    <w:basedOn w:val="a"/>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366">
    <w:name w:val="xl366"/>
    <w:basedOn w:val="a"/>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367">
    <w:name w:val="xl367"/>
    <w:basedOn w:val="a"/>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368">
    <w:name w:val="xl368"/>
    <w:basedOn w:val="a"/>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369">
    <w:name w:val="xl369"/>
    <w:basedOn w:val="a"/>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370">
    <w:name w:val="xl370"/>
    <w:basedOn w:val="a"/>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371">
    <w:name w:val="xl371"/>
    <w:basedOn w:val="a"/>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szCs w:val="24"/>
    </w:rPr>
  </w:style>
  <w:style w:type="paragraph" w:customStyle="1" w:styleId="xl372">
    <w:name w:val="xl372"/>
    <w:basedOn w:val="a"/>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373">
    <w:name w:val="xl373"/>
    <w:basedOn w:val="a"/>
    <w:autoRedefine/>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374">
    <w:name w:val="xl374"/>
    <w:basedOn w:val="a"/>
    <w:autoRedefine/>
    <w:uiPriority w:val="99"/>
    <w:qFormat/>
    <w:pPr>
      <w:widowControl/>
      <w:pBdr>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375">
    <w:name w:val="xl375"/>
    <w:basedOn w:val="a"/>
    <w:autoRedefine/>
    <w:uiPriority w:val="99"/>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376">
    <w:name w:val="xl376"/>
    <w:basedOn w:val="a"/>
    <w:autoRedefine/>
    <w:uiPriority w:val="99"/>
    <w:qFormat/>
    <w:pPr>
      <w:widowControl/>
      <w:pBdr>
        <w:top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377">
    <w:name w:val="xl377"/>
    <w:basedOn w:val="a"/>
    <w:autoRedefine/>
    <w:uiPriority w:val="99"/>
    <w:qFormat/>
    <w:pPr>
      <w:widowControl/>
      <w:pBdr>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378">
    <w:name w:val="xl378"/>
    <w:basedOn w:val="a"/>
    <w:autoRedefine/>
    <w:uiPriority w:val="99"/>
    <w:qFormat/>
    <w:pPr>
      <w:widowControl/>
      <w:pBdr>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379">
    <w:name w:val="xl379"/>
    <w:basedOn w:val="a"/>
    <w:autoRedefine/>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380">
    <w:name w:val="xl380"/>
    <w:basedOn w:val="a"/>
    <w:autoRedefine/>
    <w:uiPriority w:val="99"/>
    <w:qFormat/>
    <w:pPr>
      <w:widowControl/>
      <w:pBdr>
        <w:bottom w:val="single" w:sz="4" w:space="0" w:color="auto"/>
      </w:pBdr>
      <w:spacing w:before="100" w:beforeAutospacing="1" w:after="100" w:afterAutospacing="1"/>
      <w:jc w:val="center"/>
    </w:pPr>
    <w:rPr>
      <w:rFonts w:ascii="宋体" w:hAnsi="宋体" w:cs="宋体"/>
      <w:b/>
      <w:bCs/>
      <w:kern w:val="0"/>
      <w:sz w:val="32"/>
      <w:szCs w:val="32"/>
    </w:rPr>
  </w:style>
  <w:style w:type="paragraph" w:customStyle="1" w:styleId="xl381">
    <w:name w:val="xl381"/>
    <w:basedOn w:val="a"/>
    <w:autoRedefine/>
    <w:uiPriority w:val="99"/>
    <w:qFormat/>
    <w:pPr>
      <w:widowControl/>
      <w:pBdr>
        <w:bottom w:val="single" w:sz="4" w:space="0" w:color="auto"/>
      </w:pBdr>
      <w:spacing w:before="100" w:beforeAutospacing="1" w:after="100" w:afterAutospacing="1"/>
      <w:jc w:val="center"/>
    </w:pPr>
    <w:rPr>
      <w:rFonts w:ascii="宋体" w:hAnsi="宋体" w:cs="宋体"/>
      <w:b/>
      <w:bCs/>
      <w:kern w:val="0"/>
      <w:sz w:val="32"/>
      <w:szCs w:val="32"/>
    </w:rPr>
  </w:style>
  <w:style w:type="character" w:customStyle="1" w:styleId="CharChar312">
    <w:name w:val="Char Char312"/>
    <w:autoRedefine/>
    <w:qFormat/>
    <w:rPr>
      <w:rFonts w:ascii="Calibri" w:eastAsia="宋体" w:hAnsi="Calibri"/>
      <w:b/>
      <w:bCs/>
      <w:sz w:val="28"/>
      <w:szCs w:val="28"/>
      <w:lang w:val="en-US" w:eastAsia="en-US" w:bidi="en-US"/>
    </w:rPr>
  </w:style>
  <w:style w:type="character" w:customStyle="1" w:styleId="CharChar352">
    <w:name w:val="Char Char352"/>
    <w:autoRedefine/>
    <w:qFormat/>
    <w:rPr>
      <w:rFonts w:ascii="宋体" w:eastAsia="宋体" w:hAnsi="宋体" w:cs="Times New Roman"/>
      <w:b/>
      <w:kern w:val="44"/>
      <w:sz w:val="30"/>
      <w:szCs w:val="20"/>
    </w:rPr>
  </w:style>
  <w:style w:type="character" w:customStyle="1" w:styleId="CharChar342">
    <w:name w:val="Char Char342"/>
    <w:autoRedefine/>
    <w:qFormat/>
    <w:rPr>
      <w:rFonts w:ascii="Times New Roman" w:eastAsia="宋体" w:hAnsi="Times New Roman" w:cs="Times New Roman"/>
      <w:b/>
      <w:kern w:val="44"/>
      <w:sz w:val="28"/>
      <w:szCs w:val="20"/>
    </w:rPr>
  </w:style>
  <w:style w:type="character" w:customStyle="1" w:styleId="CharChar332">
    <w:name w:val="Char Char332"/>
    <w:autoRedefine/>
    <w:qFormat/>
    <w:rPr>
      <w:rFonts w:ascii="Times New Roman" w:eastAsia="宋体" w:hAnsi="Times New Roman" w:cs="Times New Roman"/>
      <w:b/>
      <w:color w:val="000000"/>
      <w:sz w:val="28"/>
      <w:szCs w:val="20"/>
    </w:rPr>
  </w:style>
  <w:style w:type="character" w:customStyle="1" w:styleId="CharChar322">
    <w:name w:val="Char Char322"/>
    <w:autoRedefine/>
    <w:qFormat/>
    <w:rPr>
      <w:rFonts w:ascii="楷体_GB2312" w:eastAsia="楷体_GB2312" w:hAnsi="Times New Roman" w:cs="Times New Roman"/>
      <w:spacing w:val="-30"/>
      <w:sz w:val="24"/>
      <w:szCs w:val="20"/>
    </w:rPr>
  </w:style>
  <w:style w:type="character" w:customStyle="1" w:styleId="CharChar302">
    <w:name w:val="Char Char302"/>
    <w:autoRedefine/>
    <w:qFormat/>
    <w:rPr>
      <w:rFonts w:ascii="Arial" w:eastAsia="楷体_GB2312" w:hAnsi="Arial" w:cs="Times New Roman"/>
      <w:i/>
      <w:spacing w:val="-30"/>
      <w:kern w:val="0"/>
      <w:sz w:val="22"/>
      <w:szCs w:val="20"/>
    </w:rPr>
  </w:style>
  <w:style w:type="character" w:customStyle="1" w:styleId="CharChar292">
    <w:name w:val="Char Char292"/>
    <w:autoRedefine/>
    <w:qFormat/>
    <w:rPr>
      <w:rFonts w:ascii="Arial" w:eastAsia="楷体_GB2312" w:hAnsi="Arial" w:cs="Times New Roman"/>
      <w:spacing w:val="-30"/>
      <w:kern w:val="0"/>
      <w:sz w:val="24"/>
      <w:szCs w:val="20"/>
    </w:rPr>
  </w:style>
  <w:style w:type="character" w:customStyle="1" w:styleId="CharChar282">
    <w:name w:val="Char Char282"/>
    <w:autoRedefine/>
    <w:qFormat/>
    <w:rPr>
      <w:rFonts w:ascii="Arial" w:eastAsia="楷体_GB2312" w:hAnsi="Arial" w:cs="Times New Roman"/>
      <w:i/>
      <w:spacing w:val="-30"/>
      <w:kern w:val="0"/>
      <w:sz w:val="24"/>
      <w:szCs w:val="20"/>
    </w:rPr>
  </w:style>
  <w:style w:type="character" w:customStyle="1" w:styleId="CharChar272">
    <w:name w:val="Char Char272"/>
    <w:autoRedefine/>
    <w:qFormat/>
    <w:rPr>
      <w:rFonts w:ascii="Arial" w:eastAsia="楷体_GB2312" w:hAnsi="Arial" w:cs="Times New Roman"/>
      <w:i/>
      <w:spacing w:val="-30"/>
      <w:kern w:val="0"/>
      <w:sz w:val="18"/>
      <w:szCs w:val="20"/>
    </w:rPr>
  </w:style>
  <w:style w:type="paragraph" w:customStyle="1" w:styleId="Char2CharCharCharCharCharCharCharCharChar3">
    <w:name w:val="Char2 Char Char Char Char Char Char Char Char Char3"/>
    <w:basedOn w:val="a"/>
    <w:autoRedefine/>
    <w:uiPriority w:val="99"/>
    <w:qFormat/>
    <w:pPr>
      <w:widowControl/>
      <w:spacing w:line="360" w:lineRule="auto"/>
      <w:ind w:firstLineChars="200" w:firstLine="200"/>
      <w:jc w:val="left"/>
    </w:pPr>
    <w:rPr>
      <w:rFonts w:ascii="Calibri" w:hAnsi="Calibri" w:cs="Times New Roman"/>
      <w:kern w:val="0"/>
      <w:sz w:val="24"/>
      <w:szCs w:val="20"/>
      <w:lang w:eastAsia="en-US" w:bidi="en-US"/>
    </w:rPr>
  </w:style>
  <w:style w:type="character" w:customStyle="1" w:styleId="emtidy-1">
    <w:name w:val="emtidy-1"/>
    <w:autoRedefine/>
    <w:qFormat/>
  </w:style>
  <w:style w:type="paragraph" w:customStyle="1" w:styleId="8b">
    <w:name w:val="列出段落8"/>
    <w:basedOn w:val="a"/>
    <w:autoRedefine/>
    <w:uiPriority w:val="99"/>
    <w:qFormat/>
    <w:pPr>
      <w:ind w:firstLineChars="200" w:firstLine="420"/>
    </w:pPr>
    <w:rPr>
      <w:rFonts w:cs="Times New Roman"/>
      <w:sz w:val="28"/>
      <w:szCs w:val="20"/>
    </w:rPr>
  </w:style>
  <w:style w:type="paragraph" w:customStyle="1" w:styleId="Normal10">
    <w:name w:val="Normal_10"/>
    <w:autoRedefine/>
    <w:uiPriority w:val="99"/>
    <w:qFormat/>
    <w:pPr>
      <w:widowControl w:val="0"/>
      <w:spacing w:line="360" w:lineRule="auto"/>
      <w:jc w:val="both"/>
    </w:pPr>
    <w:rPr>
      <w:kern w:val="2"/>
      <w:sz w:val="24"/>
      <w:szCs w:val="24"/>
    </w:rPr>
  </w:style>
  <w:style w:type="paragraph" w:customStyle="1" w:styleId="-24">
    <w:name w:val="页脚-2"/>
    <w:basedOn w:val="affd"/>
    <w:autoRedefine/>
    <w:uiPriority w:val="99"/>
    <w:qFormat/>
    <w:pPr>
      <w:pBdr>
        <w:top w:val="single" w:sz="6" w:space="1" w:color="auto"/>
      </w:pBdr>
      <w:spacing w:line="360" w:lineRule="auto"/>
      <w:ind w:firstLineChars="200" w:firstLine="200"/>
      <w:jc w:val="right"/>
    </w:pPr>
    <w:rPr>
      <w:rFonts w:cs="Times New Roman"/>
      <w:szCs w:val="20"/>
      <w:lang w:val="zh-CN"/>
    </w:rPr>
  </w:style>
  <w:style w:type="character" w:customStyle="1" w:styleId="w81">
    <w:name w:val="w81"/>
    <w:autoRedefine/>
    <w:qFormat/>
    <w:rPr>
      <w:color w:val="3A3A3A"/>
      <w:sz w:val="18"/>
      <w:szCs w:val="18"/>
      <w:u w:val="none"/>
    </w:rPr>
  </w:style>
  <w:style w:type="paragraph" w:customStyle="1" w:styleId="Style93">
    <w:name w:val="_Style 93"/>
    <w:basedOn w:val="a"/>
    <w:next w:val="af"/>
    <w:autoRedefine/>
    <w:uiPriority w:val="99"/>
    <w:qFormat/>
    <w:rPr>
      <w:rFonts w:ascii="宋体" w:hAnsi="宋体" w:cs="Times New Roman"/>
      <w:sz w:val="28"/>
      <w:szCs w:val="20"/>
    </w:rPr>
  </w:style>
  <w:style w:type="paragraph" w:customStyle="1" w:styleId="Style910">
    <w:name w:val="_Style 91"/>
    <w:basedOn w:val="a"/>
    <w:next w:val="ab"/>
    <w:autoRedefine/>
    <w:uiPriority w:val="99"/>
    <w:qFormat/>
    <w:pPr>
      <w:spacing w:line="360" w:lineRule="auto"/>
      <w:ind w:firstLine="570"/>
    </w:pPr>
    <w:rPr>
      <w:rFonts w:cs="Times New Roman"/>
      <w:color w:val="000000"/>
      <w:sz w:val="24"/>
      <w:szCs w:val="20"/>
    </w:rPr>
  </w:style>
  <w:style w:type="paragraph" w:customStyle="1" w:styleId="Style103">
    <w:name w:val="_Style 103"/>
    <w:basedOn w:val="a"/>
    <w:next w:val="a"/>
    <w:autoRedefine/>
    <w:uiPriority w:val="99"/>
    <w:qFormat/>
    <w:rPr>
      <w:rFonts w:ascii="宋体" w:hAnsi="Courier New" w:cs="Times New Roman"/>
      <w:szCs w:val="20"/>
    </w:rPr>
  </w:style>
  <w:style w:type="paragraph" w:customStyle="1" w:styleId="Style90">
    <w:name w:val="_Style 90"/>
    <w:basedOn w:val="a"/>
    <w:next w:val="38"/>
    <w:autoRedefine/>
    <w:uiPriority w:val="99"/>
    <w:qFormat/>
    <w:pPr>
      <w:widowControl/>
      <w:tabs>
        <w:tab w:val="left" w:pos="426"/>
      </w:tabs>
      <w:ind w:leftChars="142" w:left="284" w:firstLineChars="364" w:firstLine="1019"/>
    </w:pPr>
    <w:rPr>
      <w:rFonts w:ascii="宋体" w:cs="Times New Roman"/>
      <w:kern w:val="0"/>
      <w:sz w:val="28"/>
      <w:szCs w:val="20"/>
    </w:rPr>
  </w:style>
  <w:style w:type="paragraph" w:customStyle="1" w:styleId="Style96">
    <w:name w:val="_Style 96"/>
    <w:basedOn w:val="a"/>
    <w:next w:val="ab"/>
    <w:autoRedefine/>
    <w:uiPriority w:val="99"/>
    <w:qFormat/>
    <w:pPr>
      <w:spacing w:before="60" w:after="60" w:line="360" w:lineRule="auto"/>
      <w:ind w:firstLine="570"/>
    </w:pPr>
    <w:rPr>
      <w:rFonts w:ascii="Arial" w:eastAsia="仿宋_GB2312" w:hAnsi="Arial" w:cs="Times New Roman"/>
      <w:sz w:val="28"/>
      <w:szCs w:val="20"/>
    </w:rPr>
  </w:style>
  <w:style w:type="paragraph" w:customStyle="1" w:styleId="Style94">
    <w:name w:val="_Style 94"/>
    <w:basedOn w:val="a"/>
    <w:next w:val="ab"/>
    <w:autoRedefine/>
    <w:uiPriority w:val="99"/>
    <w:qFormat/>
    <w:pPr>
      <w:spacing w:line="360" w:lineRule="auto"/>
      <w:ind w:firstLine="435"/>
    </w:pPr>
    <w:rPr>
      <w:rFonts w:cs="Times New Roman"/>
      <w:sz w:val="24"/>
      <w:szCs w:val="20"/>
    </w:rPr>
  </w:style>
  <w:style w:type="paragraph" w:customStyle="1" w:styleId="Style98">
    <w:name w:val="_Style 98"/>
    <w:basedOn w:val="a"/>
    <w:next w:val="ab"/>
    <w:autoRedefine/>
    <w:uiPriority w:val="99"/>
    <w:qFormat/>
    <w:pPr>
      <w:ind w:firstLineChars="200" w:firstLine="560"/>
    </w:pPr>
    <w:rPr>
      <w:rFonts w:cs="Times New Roman"/>
      <w:sz w:val="28"/>
      <w:szCs w:val="20"/>
    </w:rPr>
  </w:style>
  <w:style w:type="paragraph" w:customStyle="1" w:styleId="Style95">
    <w:name w:val="_Style 95"/>
    <w:basedOn w:val="a"/>
    <w:next w:val="ab"/>
    <w:autoRedefine/>
    <w:uiPriority w:val="99"/>
    <w:qFormat/>
    <w:pPr>
      <w:spacing w:before="60" w:after="60" w:line="360" w:lineRule="auto"/>
      <w:ind w:firstLine="570"/>
    </w:pPr>
    <w:rPr>
      <w:rFonts w:ascii="Arial" w:eastAsia="仿宋_GB2312" w:hAnsi="Arial" w:cs="Times New Roman"/>
      <w:sz w:val="28"/>
      <w:szCs w:val="20"/>
    </w:rPr>
  </w:style>
  <w:style w:type="paragraph" w:customStyle="1" w:styleId="Style92">
    <w:name w:val="_Style 92"/>
    <w:basedOn w:val="a"/>
    <w:next w:val="ab"/>
    <w:autoRedefine/>
    <w:uiPriority w:val="99"/>
    <w:qFormat/>
    <w:pPr>
      <w:spacing w:line="360" w:lineRule="auto"/>
      <w:ind w:firstLine="570"/>
    </w:pPr>
    <w:rPr>
      <w:rFonts w:cs="Times New Roman"/>
      <w:color w:val="000000"/>
      <w:sz w:val="24"/>
      <w:szCs w:val="20"/>
    </w:rPr>
  </w:style>
  <w:style w:type="paragraph" w:customStyle="1" w:styleId="Style97">
    <w:name w:val="_Style 97"/>
    <w:basedOn w:val="a"/>
    <w:next w:val="a"/>
    <w:autoRedefine/>
    <w:uiPriority w:val="99"/>
    <w:qFormat/>
    <w:pPr>
      <w:spacing w:line="360" w:lineRule="auto"/>
      <w:ind w:rightChars="200" w:right="200" w:firstLineChars="225" w:firstLine="630"/>
    </w:pPr>
    <w:rPr>
      <w:rFonts w:ascii="宋体" w:hAnsi="宋体" w:cs="Times New Roman"/>
      <w:sz w:val="28"/>
      <w:szCs w:val="20"/>
    </w:rPr>
  </w:style>
  <w:style w:type="paragraph" w:customStyle="1" w:styleId="Style1010">
    <w:name w:val="_Style 101"/>
    <w:basedOn w:val="a"/>
    <w:next w:val="25"/>
    <w:autoRedefine/>
    <w:uiPriority w:val="99"/>
    <w:qFormat/>
    <w:pPr>
      <w:widowControl/>
      <w:tabs>
        <w:tab w:val="left" w:pos="426"/>
      </w:tabs>
      <w:ind w:firstLine="555"/>
    </w:pPr>
    <w:rPr>
      <w:rFonts w:ascii="宋体" w:cs="Times New Roman"/>
      <w:kern w:val="0"/>
      <w:sz w:val="28"/>
      <w:szCs w:val="20"/>
    </w:rPr>
  </w:style>
  <w:style w:type="paragraph" w:customStyle="1" w:styleId="NewNewNewNew">
    <w:name w:val="正文 New New New New"/>
    <w:autoRedefine/>
    <w:uiPriority w:val="99"/>
    <w:qFormat/>
    <w:pPr>
      <w:widowControl w:val="0"/>
      <w:spacing w:line="480" w:lineRule="auto"/>
      <w:jc w:val="both"/>
    </w:pPr>
    <w:rPr>
      <w:kern w:val="2"/>
      <w:sz w:val="21"/>
      <w:szCs w:val="24"/>
    </w:rPr>
  </w:style>
  <w:style w:type="paragraph" w:customStyle="1" w:styleId="CM39">
    <w:name w:val="CM39"/>
    <w:basedOn w:val="Default"/>
    <w:next w:val="Default"/>
    <w:autoRedefine/>
    <w:uiPriority w:val="99"/>
    <w:qFormat/>
    <w:pPr>
      <w:spacing w:after="360" w:line="480" w:lineRule="auto"/>
      <w:jc w:val="left"/>
    </w:pPr>
    <w:rPr>
      <w:rFonts w:ascii="Arial" w:eastAsia="宋体" w:hAnsi="Arial" w:cs="Arial"/>
      <w:color w:val="auto"/>
      <w:kern w:val="0"/>
    </w:rPr>
  </w:style>
  <w:style w:type="paragraph" w:customStyle="1" w:styleId="CM37">
    <w:name w:val="CM37"/>
    <w:basedOn w:val="Default"/>
    <w:next w:val="Default"/>
    <w:autoRedefine/>
    <w:uiPriority w:val="99"/>
    <w:qFormat/>
    <w:pPr>
      <w:spacing w:after="620" w:line="480" w:lineRule="auto"/>
      <w:jc w:val="left"/>
    </w:pPr>
    <w:rPr>
      <w:rFonts w:ascii="Arial" w:eastAsia="宋体" w:hAnsi="Arial" w:cs="Arial"/>
      <w:color w:val="auto"/>
      <w:kern w:val="0"/>
    </w:rPr>
  </w:style>
  <w:style w:type="paragraph" w:customStyle="1" w:styleId="CM35">
    <w:name w:val="CM35"/>
    <w:basedOn w:val="Default"/>
    <w:next w:val="Default"/>
    <w:autoRedefine/>
    <w:uiPriority w:val="99"/>
    <w:qFormat/>
    <w:pPr>
      <w:spacing w:after="1555" w:line="480" w:lineRule="auto"/>
      <w:jc w:val="left"/>
    </w:pPr>
    <w:rPr>
      <w:rFonts w:ascii="Arial" w:eastAsia="宋体" w:hAnsi="Arial" w:cs="Arial"/>
      <w:color w:val="auto"/>
      <w:kern w:val="0"/>
    </w:rPr>
  </w:style>
  <w:style w:type="paragraph" w:customStyle="1" w:styleId="CM38">
    <w:name w:val="CM38"/>
    <w:basedOn w:val="Default"/>
    <w:next w:val="Default"/>
    <w:autoRedefine/>
    <w:uiPriority w:val="99"/>
    <w:qFormat/>
    <w:pPr>
      <w:spacing w:after="290" w:line="480" w:lineRule="auto"/>
      <w:jc w:val="left"/>
    </w:pPr>
    <w:rPr>
      <w:rFonts w:ascii="Arial" w:eastAsia="宋体" w:hAnsi="Arial" w:cs="Arial"/>
      <w:color w:val="auto"/>
      <w:kern w:val="0"/>
    </w:rPr>
  </w:style>
  <w:style w:type="paragraph" w:customStyle="1" w:styleId="CM1">
    <w:name w:val="CM1"/>
    <w:basedOn w:val="Default"/>
    <w:next w:val="Default"/>
    <w:autoRedefine/>
    <w:uiPriority w:val="99"/>
    <w:qFormat/>
    <w:pPr>
      <w:spacing w:line="293" w:lineRule="atLeast"/>
      <w:jc w:val="left"/>
    </w:pPr>
    <w:rPr>
      <w:rFonts w:ascii="Arial" w:eastAsia="宋体" w:hAnsi="Arial" w:cs="Arial"/>
      <w:color w:val="auto"/>
      <w:kern w:val="0"/>
    </w:rPr>
  </w:style>
  <w:style w:type="paragraph" w:customStyle="1" w:styleId="CM31">
    <w:name w:val="CM31"/>
    <w:basedOn w:val="Default"/>
    <w:next w:val="Default"/>
    <w:autoRedefine/>
    <w:uiPriority w:val="99"/>
    <w:qFormat/>
    <w:pPr>
      <w:spacing w:line="571" w:lineRule="atLeast"/>
      <w:jc w:val="left"/>
    </w:pPr>
    <w:rPr>
      <w:rFonts w:ascii="Arial" w:eastAsia="宋体" w:hAnsi="Arial" w:cs="Arial"/>
      <w:color w:val="auto"/>
      <w:kern w:val="0"/>
    </w:rPr>
  </w:style>
  <w:style w:type="paragraph" w:customStyle="1" w:styleId="CM41">
    <w:name w:val="CM41"/>
    <w:basedOn w:val="Default"/>
    <w:next w:val="Default"/>
    <w:autoRedefine/>
    <w:uiPriority w:val="99"/>
    <w:qFormat/>
    <w:pPr>
      <w:spacing w:after="238" w:line="480" w:lineRule="auto"/>
      <w:jc w:val="left"/>
    </w:pPr>
    <w:rPr>
      <w:rFonts w:ascii="Arial" w:eastAsia="宋体" w:hAnsi="Arial" w:cs="Arial"/>
      <w:color w:val="auto"/>
      <w:kern w:val="0"/>
    </w:rPr>
  </w:style>
  <w:style w:type="paragraph" w:customStyle="1" w:styleId="CM32">
    <w:name w:val="CM32"/>
    <w:basedOn w:val="Default"/>
    <w:next w:val="Default"/>
    <w:autoRedefine/>
    <w:uiPriority w:val="99"/>
    <w:qFormat/>
    <w:pPr>
      <w:spacing w:line="571" w:lineRule="atLeast"/>
      <w:jc w:val="left"/>
    </w:pPr>
    <w:rPr>
      <w:rFonts w:ascii="Arial" w:eastAsia="宋体" w:hAnsi="Arial" w:cs="Arial"/>
      <w:color w:val="auto"/>
      <w:kern w:val="0"/>
    </w:rPr>
  </w:style>
  <w:style w:type="paragraph" w:customStyle="1" w:styleId="CM25">
    <w:name w:val="CM25"/>
    <w:basedOn w:val="Default"/>
    <w:next w:val="Default"/>
    <w:autoRedefine/>
    <w:uiPriority w:val="99"/>
    <w:qFormat/>
    <w:pPr>
      <w:spacing w:line="288" w:lineRule="atLeast"/>
      <w:jc w:val="left"/>
    </w:pPr>
    <w:rPr>
      <w:rFonts w:ascii="Arial" w:eastAsia="宋体" w:hAnsi="Arial" w:cs="Arial"/>
      <w:color w:val="auto"/>
      <w:kern w:val="0"/>
    </w:rPr>
  </w:style>
  <w:style w:type="paragraph" w:customStyle="1" w:styleId="CM54">
    <w:name w:val="CM54"/>
    <w:basedOn w:val="Default"/>
    <w:next w:val="Default"/>
    <w:autoRedefine/>
    <w:uiPriority w:val="99"/>
    <w:qFormat/>
    <w:pPr>
      <w:spacing w:after="863" w:line="480" w:lineRule="auto"/>
      <w:jc w:val="left"/>
    </w:pPr>
    <w:rPr>
      <w:rFonts w:ascii="Arial" w:eastAsia="宋体" w:hAnsi="Arial" w:cs="Arial"/>
      <w:color w:val="auto"/>
      <w:kern w:val="0"/>
    </w:rPr>
  </w:style>
  <w:style w:type="paragraph" w:customStyle="1" w:styleId="CM47">
    <w:name w:val="CM47"/>
    <w:basedOn w:val="Default"/>
    <w:next w:val="Default"/>
    <w:autoRedefine/>
    <w:uiPriority w:val="99"/>
    <w:qFormat/>
    <w:pPr>
      <w:spacing w:after="930" w:line="480" w:lineRule="auto"/>
      <w:jc w:val="left"/>
    </w:pPr>
    <w:rPr>
      <w:rFonts w:ascii="Arial" w:eastAsia="宋体" w:hAnsi="Arial" w:cs="Arial"/>
      <w:color w:val="auto"/>
      <w:kern w:val="0"/>
    </w:rPr>
  </w:style>
  <w:style w:type="paragraph" w:customStyle="1" w:styleId="CM30">
    <w:name w:val="CM30"/>
    <w:basedOn w:val="Default"/>
    <w:next w:val="Default"/>
    <w:autoRedefine/>
    <w:uiPriority w:val="99"/>
    <w:qFormat/>
    <w:pPr>
      <w:spacing w:line="571" w:lineRule="atLeast"/>
      <w:jc w:val="left"/>
    </w:pPr>
    <w:rPr>
      <w:rFonts w:ascii="Arial" w:eastAsia="宋体" w:hAnsi="Arial" w:cs="Arial"/>
      <w:color w:val="auto"/>
      <w:kern w:val="0"/>
    </w:rPr>
  </w:style>
  <w:style w:type="paragraph" w:customStyle="1" w:styleId="CM50">
    <w:name w:val="CM50"/>
    <w:basedOn w:val="Default"/>
    <w:next w:val="Default"/>
    <w:autoRedefine/>
    <w:uiPriority w:val="99"/>
    <w:qFormat/>
    <w:pPr>
      <w:spacing w:after="1068" w:line="480" w:lineRule="auto"/>
      <w:jc w:val="left"/>
    </w:pPr>
    <w:rPr>
      <w:rFonts w:ascii="Arial" w:eastAsia="宋体" w:hAnsi="Arial" w:cs="Arial"/>
      <w:color w:val="auto"/>
      <w:kern w:val="0"/>
    </w:rPr>
  </w:style>
  <w:style w:type="paragraph" w:customStyle="1" w:styleId="CM19">
    <w:name w:val="CM19"/>
    <w:basedOn w:val="Default"/>
    <w:next w:val="Default"/>
    <w:autoRedefine/>
    <w:uiPriority w:val="99"/>
    <w:qFormat/>
    <w:pPr>
      <w:spacing w:line="286" w:lineRule="atLeast"/>
      <w:jc w:val="left"/>
    </w:pPr>
    <w:rPr>
      <w:rFonts w:ascii="Arial" w:eastAsia="宋体" w:hAnsi="Arial" w:cs="Arial"/>
      <w:color w:val="auto"/>
      <w:kern w:val="0"/>
    </w:rPr>
  </w:style>
  <w:style w:type="paragraph" w:customStyle="1" w:styleId="CM16">
    <w:name w:val="CM16"/>
    <w:basedOn w:val="Default"/>
    <w:next w:val="Default"/>
    <w:autoRedefine/>
    <w:uiPriority w:val="99"/>
    <w:qFormat/>
    <w:pPr>
      <w:spacing w:line="571" w:lineRule="atLeast"/>
      <w:jc w:val="left"/>
    </w:pPr>
    <w:rPr>
      <w:rFonts w:ascii="Arial" w:eastAsia="宋体" w:hAnsi="Arial" w:cs="Arial"/>
      <w:color w:val="auto"/>
      <w:kern w:val="0"/>
    </w:rPr>
  </w:style>
  <w:style w:type="paragraph" w:customStyle="1" w:styleId="CM13">
    <w:name w:val="CM13"/>
    <w:basedOn w:val="Default"/>
    <w:next w:val="Default"/>
    <w:autoRedefine/>
    <w:uiPriority w:val="99"/>
    <w:qFormat/>
    <w:pPr>
      <w:spacing w:line="293" w:lineRule="atLeast"/>
      <w:jc w:val="left"/>
    </w:pPr>
    <w:rPr>
      <w:rFonts w:ascii="Arial" w:eastAsia="宋体" w:hAnsi="Arial" w:cs="Arial"/>
      <w:color w:val="auto"/>
      <w:kern w:val="0"/>
    </w:rPr>
  </w:style>
  <w:style w:type="paragraph" w:customStyle="1" w:styleId="CM28">
    <w:name w:val="CM28"/>
    <w:basedOn w:val="Default"/>
    <w:next w:val="Default"/>
    <w:autoRedefine/>
    <w:uiPriority w:val="99"/>
    <w:qFormat/>
    <w:pPr>
      <w:spacing w:line="288" w:lineRule="atLeast"/>
      <w:jc w:val="left"/>
    </w:pPr>
    <w:rPr>
      <w:rFonts w:ascii="Arial" w:eastAsia="宋体" w:hAnsi="Arial" w:cs="Arial"/>
      <w:color w:val="auto"/>
      <w:kern w:val="0"/>
    </w:rPr>
  </w:style>
  <w:style w:type="paragraph" w:customStyle="1" w:styleId="CM21">
    <w:name w:val="CM21"/>
    <w:basedOn w:val="Default"/>
    <w:next w:val="Default"/>
    <w:autoRedefine/>
    <w:uiPriority w:val="99"/>
    <w:qFormat/>
    <w:pPr>
      <w:spacing w:line="286" w:lineRule="atLeast"/>
      <w:jc w:val="left"/>
    </w:pPr>
    <w:rPr>
      <w:rFonts w:ascii="Arial" w:eastAsia="宋体" w:hAnsi="Arial" w:cs="Arial"/>
      <w:color w:val="auto"/>
      <w:kern w:val="0"/>
    </w:rPr>
  </w:style>
  <w:style w:type="paragraph" w:customStyle="1" w:styleId="CM53">
    <w:name w:val="CM53"/>
    <w:basedOn w:val="Default"/>
    <w:next w:val="Default"/>
    <w:autoRedefine/>
    <w:uiPriority w:val="99"/>
    <w:qFormat/>
    <w:pPr>
      <w:spacing w:after="1438" w:line="480" w:lineRule="auto"/>
      <w:jc w:val="left"/>
    </w:pPr>
    <w:rPr>
      <w:rFonts w:ascii="Arial" w:eastAsia="宋体" w:hAnsi="Arial" w:cs="Arial"/>
      <w:color w:val="auto"/>
      <w:kern w:val="0"/>
    </w:rPr>
  </w:style>
  <w:style w:type="paragraph" w:customStyle="1" w:styleId="CM8">
    <w:name w:val="CM8"/>
    <w:basedOn w:val="Default"/>
    <w:next w:val="Default"/>
    <w:autoRedefine/>
    <w:uiPriority w:val="99"/>
    <w:qFormat/>
    <w:pPr>
      <w:spacing w:line="288" w:lineRule="atLeast"/>
      <w:jc w:val="left"/>
    </w:pPr>
    <w:rPr>
      <w:rFonts w:ascii="Arial" w:eastAsia="宋体" w:hAnsi="Arial" w:cs="Arial"/>
      <w:color w:val="auto"/>
      <w:kern w:val="0"/>
    </w:rPr>
  </w:style>
  <w:style w:type="paragraph" w:customStyle="1" w:styleId="CM27">
    <w:name w:val="CM27"/>
    <w:basedOn w:val="Default"/>
    <w:next w:val="Default"/>
    <w:autoRedefine/>
    <w:uiPriority w:val="99"/>
    <w:qFormat/>
    <w:pPr>
      <w:spacing w:line="286" w:lineRule="atLeast"/>
      <w:jc w:val="left"/>
    </w:pPr>
    <w:rPr>
      <w:rFonts w:ascii="Arial" w:eastAsia="宋体" w:hAnsi="Arial" w:cs="Arial"/>
      <w:color w:val="auto"/>
      <w:kern w:val="0"/>
    </w:rPr>
  </w:style>
  <w:style w:type="paragraph" w:customStyle="1" w:styleId="CM22">
    <w:name w:val="CM22"/>
    <w:basedOn w:val="Default"/>
    <w:next w:val="Default"/>
    <w:autoRedefine/>
    <w:uiPriority w:val="99"/>
    <w:qFormat/>
    <w:pPr>
      <w:spacing w:line="286" w:lineRule="atLeast"/>
      <w:jc w:val="left"/>
    </w:pPr>
    <w:rPr>
      <w:rFonts w:ascii="Arial" w:eastAsia="宋体" w:hAnsi="Arial" w:cs="Arial"/>
      <w:color w:val="auto"/>
      <w:kern w:val="0"/>
    </w:rPr>
  </w:style>
  <w:style w:type="paragraph" w:customStyle="1" w:styleId="CM33">
    <w:name w:val="CM33"/>
    <w:basedOn w:val="Default"/>
    <w:next w:val="Default"/>
    <w:autoRedefine/>
    <w:uiPriority w:val="99"/>
    <w:qFormat/>
    <w:pPr>
      <w:spacing w:line="571" w:lineRule="atLeast"/>
      <w:jc w:val="left"/>
    </w:pPr>
    <w:rPr>
      <w:rFonts w:ascii="Arial" w:eastAsia="宋体" w:hAnsi="Arial" w:cs="Arial"/>
      <w:color w:val="auto"/>
      <w:kern w:val="0"/>
    </w:rPr>
  </w:style>
  <w:style w:type="paragraph" w:customStyle="1" w:styleId="CM20">
    <w:name w:val="CM20"/>
    <w:basedOn w:val="Default"/>
    <w:next w:val="Default"/>
    <w:autoRedefine/>
    <w:uiPriority w:val="99"/>
    <w:qFormat/>
    <w:pPr>
      <w:spacing w:line="286" w:lineRule="atLeast"/>
      <w:jc w:val="left"/>
    </w:pPr>
    <w:rPr>
      <w:rFonts w:ascii="Arial" w:eastAsia="宋体" w:hAnsi="Arial" w:cs="Arial"/>
      <w:color w:val="auto"/>
      <w:kern w:val="0"/>
    </w:rPr>
  </w:style>
  <w:style w:type="paragraph" w:customStyle="1" w:styleId="CM51">
    <w:name w:val="CM51"/>
    <w:basedOn w:val="Default"/>
    <w:next w:val="Default"/>
    <w:autoRedefine/>
    <w:uiPriority w:val="99"/>
    <w:qFormat/>
    <w:pPr>
      <w:spacing w:after="282" w:line="480" w:lineRule="auto"/>
      <w:jc w:val="left"/>
    </w:pPr>
    <w:rPr>
      <w:rFonts w:ascii="Arial" w:eastAsia="宋体" w:hAnsi="Arial" w:cs="Arial"/>
      <w:color w:val="auto"/>
      <w:kern w:val="0"/>
    </w:rPr>
  </w:style>
  <w:style w:type="paragraph" w:customStyle="1" w:styleId="CM48">
    <w:name w:val="CM48"/>
    <w:basedOn w:val="Default"/>
    <w:next w:val="Default"/>
    <w:autoRedefine/>
    <w:uiPriority w:val="99"/>
    <w:qFormat/>
    <w:pPr>
      <w:spacing w:after="783" w:line="480" w:lineRule="auto"/>
      <w:jc w:val="left"/>
    </w:pPr>
    <w:rPr>
      <w:rFonts w:ascii="Arial" w:eastAsia="宋体" w:hAnsi="Arial" w:cs="Arial"/>
      <w:color w:val="auto"/>
      <w:kern w:val="0"/>
    </w:rPr>
  </w:style>
  <w:style w:type="paragraph" w:customStyle="1" w:styleId="CM24">
    <w:name w:val="CM24"/>
    <w:basedOn w:val="Default"/>
    <w:next w:val="Default"/>
    <w:autoRedefine/>
    <w:uiPriority w:val="99"/>
    <w:qFormat/>
    <w:pPr>
      <w:spacing w:line="286" w:lineRule="atLeast"/>
      <w:jc w:val="left"/>
    </w:pPr>
    <w:rPr>
      <w:rFonts w:ascii="Arial" w:eastAsia="宋体" w:hAnsi="Arial" w:cs="Arial"/>
      <w:color w:val="auto"/>
      <w:kern w:val="0"/>
    </w:rPr>
  </w:style>
  <w:style w:type="paragraph" w:customStyle="1" w:styleId="CM34">
    <w:name w:val="CM34"/>
    <w:basedOn w:val="Default"/>
    <w:next w:val="Default"/>
    <w:autoRedefine/>
    <w:uiPriority w:val="99"/>
    <w:qFormat/>
    <w:pPr>
      <w:spacing w:line="480" w:lineRule="auto"/>
      <w:jc w:val="left"/>
    </w:pPr>
    <w:rPr>
      <w:rFonts w:ascii="Arial" w:eastAsia="宋体" w:hAnsi="Arial" w:cs="Arial"/>
      <w:color w:val="auto"/>
      <w:kern w:val="0"/>
    </w:rPr>
  </w:style>
  <w:style w:type="character" w:customStyle="1" w:styleId="st">
    <w:name w:val="st"/>
    <w:autoRedefine/>
    <w:qFormat/>
  </w:style>
  <w:style w:type="character" w:customStyle="1" w:styleId="EmailStyle12871">
    <w:name w:val="EmailStyle12871"/>
    <w:autoRedefine/>
    <w:qFormat/>
    <w:rPr>
      <w:rFonts w:ascii="Arial" w:eastAsia="宋体" w:hAnsi="Arial" w:cs="Arial" w:hint="default"/>
      <w:color w:val="auto"/>
      <w:sz w:val="20"/>
    </w:rPr>
  </w:style>
  <w:style w:type="character" w:customStyle="1" w:styleId="EmailStyle12881">
    <w:name w:val="EmailStyle12881"/>
    <w:autoRedefine/>
    <w:qFormat/>
    <w:rPr>
      <w:rFonts w:ascii="Arial" w:eastAsia="宋体" w:hAnsi="Arial" w:cs="Arial" w:hint="default"/>
      <w:color w:val="auto"/>
      <w:sz w:val="20"/>
    </w:rPr>
  </w:style>
  <w:style w:type="character" w:customStyle="1" w:styleId="fonts21">
    <w:name w:val="fonts21"/>
    <w:autoRedefine/>
    <w:qFormat/>
    <w:rPr>
      <w:color w:val="666666"/>
      <w:sz w:val="18"/>
      <w:szCs w:val="18"/>
      <w:u w:val="none"/>
    </w:rPr>
  </w:style>
  <w:style w:type="paragraph" w:customStyle="1" w:styleId="11ff7">
    <w:name w:val="无间隔11"/>
    <w:basedOn w:val="a"/>
    <w:autoRedefine/>
    <w:uiPriority w:val="99"/>
    <w:qFormat/>
    <w:pPr>
      <w:pageBreakBefore/>
      <w:widowControl/>
      <w:adjustRightInd w:val="0"/>
      <w:snapToGrid w:val="0"/>
      <w:spacing w:before="120" w:after="120" w:line="360" w:lineRule="auto"/>
      <w:jc w:val="center"/>
    </w:pPr>
    <w:rPr>
      <w:rFonts w:cs="Times New Roman"/>
      <w:b/>
      <w:color w:val="000000"/>
      <w:spacing w:val="4"/>
      <w:kern w:val="0"/>
      <w:sz w:val="18"/>
      <w:szCs w:val="32"/>
    </w:rPr>
  </w:style>
  <w:style w:type="paragraph" w:customStyle="1" w:styleId="11ff8">
    <w:name w:val="明显引用11"/>
    <w:basedOn w:val="a"/>
    <w:next w:val="a"/>
    <w:autoRedefine/>
    <w:uiPriority w:val="99"/>
    <w:qFormat/>
    <w:pPr>
      <w:widowControl/>
      <w:adjustRightInd w:val="0"/>
      <w:snapToGrid w:val="0"/>
      <w:spacing w:line="360" w:lineRule="auto"/>
      <w:ind w:left="720" w:right="720" w:firstLineChars="200" w:firstLine="200"/>
      <w:jc w:val="left"/>
    </w:pPr>
    <w:rPr>
      <w:rFonts w:cs="Times New Roman"/>
      <w:b/>
      <w:i/>
      <w:kern w:val="0"/>
      <w:sz w:val="24"/>
      <w:szCs w:val="20"/>
    </w:rPr>
  </w:style>
  <w:style w:type="character" w:customStyle="1" w:styleId="11ff9">
    <w:name w:val="占位符文本11"/>
    <w:autoRedefine/>
    <w:qFormat/>
    <w:rPr>
      <w:color w:val="808080"/>
    </w:rPr>
  </w:style>
  <w:style w:type="character" w:customStyle="1" w:styleId="11ffa">
    <w:name w:val="明显参考11"/>
    <w:autoRedefine/>
    <w:qFormat/>
    <w:rPr>
      <w:b/>
      <w:sz w:val="24"/>
      <w:u w:val="single"/>
    </w:rPr>
  </w:style>
  <w:style w:type="character" w:customStyle="1" w:styleId="11ffb">
    <w:name w:val="明显强调11"/>
    <w:autoRedefine/>
    <w:qFormat/>
    <w:rPr>
      <w:b/>
      <w:i/>
      <w:sz w:val="24"/>
      <w:szCs w:val="24"/>
      <w:u w:val="single"/>
    </w:rPr>
  </w:style>
  <w:style w:type="character" w:customStyle="1" w:styleId="11ffc">
    <w:name w:val="不明显参考11"/>
    <w:autoRedefine/>
    <w:qFormat/>
    <w:rPr>
      <w:sz w:val="24"/>
      <w:szCs w:val="24"/>
      <w:u w:val="single"/>
    </w:rPr>
  </w:style>
  <w:style w:type="paragraph" w:customStyle="1" w:styleId="afffffffffffffffffffffffffffffffffffffffff0">
    <w:name w:val="表栏文字"/>
    <w:basedOn w:val="a"/>
    <w:autoRedefine/>
    <w:uiPriority w:val="99"/>
    <w:qFormat/>
    <w:pPr>
      <w:keepLines/>
      <w:widowControl/>
      <w:autoSpaceDE w:val="0"/>
      <w:autoSpaceDN w:val="0"/>
      <w:spacing w:before="120" w:line="300" w:lineRule="auto"/>
      <w:jc w:val="center"/>
      <w:textAlignment w:val="baseline"/>
    </w:pPr>
    <w:rPr>
      <w:rFonts w:ascii="Century Schoolbook" w:hAnsi="Century Schoolbook" w:cs="Times New Roman"/>
      <w:b/>
      <w:color w:val="000000"/>
      <w:kern w:val="21"/>
      <w:sz w:val="24"/>
      <w:szCs w:val="20"/>
    </w:rPr>
  </w:style>
  <w:style w:type="character" w:customStyle="1" w:styleId="CharCharffffc">
    <w:name w:val="+正文 Char Char"/>
    <w:autoRedefine/>
    <w:qFormat/>
    <w:locked/>
    <w:rPr>
      <w:sz w:val="28"/>
      <w:szCs w:val="28"/>
    </w:rPr>
  </w:style>
  <w:style w:type="paragraph" w:customStyle="1" w:styleId="2fffffffff3">
    <w:name w:val="设备规范标题2"/>
    <w:next w:val="a"/>
    <w:autoRedefine/>
    <w:uiPriority w:val="99"/>
    <w:qFormat/>
    <w:pPr>
      <w:tabs>
        <w:tab w:val="left" w:pos="720"/>
      </w:tabs>
      <w:spacing w:beforeLines="100" w:afterLines="50" w:line="480" w:lineRule="auto"/>
      <w:ind w:hanging="420"/>
    </w:pPr>
    <w:rPr>
      <w:rFonts w:eastAsia="楷体_GB2312"/>
      <w:b/>
      <w:bCs/>
      <w:sz w:val="24"/>
    </w:rPr>
  </w:style>
  <w:style w:type="paragraph" w:customStyle="1" w:styleId="Normal21">
    <w:name w:val="Normal_2_1"/>
    <w:autoRedefine/>
    <w:uiPriority w:val="99"/>
    <w:qFormat/>
    <w:pPr>
      <w:widowControl w:val="0"/>
      <w:spacing w:line="360" w:lineRule="auto"/>
      <w:jc w:val="both"/>
    </w:pPr>
    <w:rPr>
      <w:kern w:val="2"/>
      <w:sz w:val="24"/>
      <w:szCs w:val="24"/>
    </w:rPr>
  </w:style>
  <w:style w:type="paragraph" w:customStyle="1" w:styleId="xl257">
    <w:name w:val="xl257"/>
    <w:basedOn w:val="a"/>
    <w:autoRedefine/>
    <w:uiPriority w:val="99"/>
    <w:qFormat/>
    <w:pPr>
      <w:widowControl/>
      <w:pBdr>
        <w:top w:val="single" w:sz="4" w:space="0" w:color="auto"/>
        <w:bottom w:val="single" w:sz="4" w:space="0" w:color="auto"/>
      </w:pBdr>
      <w:spacing w:before="100" w:beforeAutospacing="1" w:after="100" w:afterAutospacing="1"/>
      <w:jc w:val="center"/>
    </w:pPr>
    <w:rPr>
      <w:rFonts w:ascii="Arial" w:hAnsi="Arial" w:cs="Arial"/>
      <w:color w:val="000000"/>
      <w:kern w:val="0"/>
      <w:sz w:val="28"/>
      <w:szCs w:val="28"/>
    </w:rPr>
  </w:style>
  <w:style w:type="paragraph" w:customStyle="1" w:styleId="xl258">
    <w:name w:val="xl258"/>
    <w:basedOn w:val="a"/>
    <w:autoRedefine/>
    <w:uiPriority w:val="99"/>
    <w:qFormat/>
    <w:pPr>
      <w:widowControl/>
      <w:pBdr>
        <w:top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kern w:val="0"/>
      <w:sz w:val="28"/>
      <w:szCs w:val="28"/>
    </w:rPr>
  </w:style>
  <w:style w:type="paragraph" w:customStyle="1" w:styleId="afffffffffffffffffffffffffffffffffffffffff1">
    <w:name w:val="正文 楷体"/>
    <w:basedOn w:val="a"/>
    <w:qFormat/>
    <w:pPr>
      <w:widowControl/>
      <w:ind w:firstLineChars="200" w:firstLine="200"/>
      <w:jc w:val="left"/>
    </w:pPr>
    <w:rPr>
      <w:rFonts w:ascii="宋体"/>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header" Target="header7.xml"/><Relationship Id="rId47" Type="http://schemas.openxmlformats.org/officeDocument/2006/relationships/image" Target="media/image26.png"/><Relationship Id="rId63" Type="http://schemas.openxmlformats.org/officeDocument/2006/relationships/oleObject" Target="embeddings/oleObject6.bin"/><Relationship Id="rId68" Type="http://schemas.openxmlformats.org/officeDocument/2006/relationships/image" Target="media/image38.wmf"/><Relationship Id="rId84" Type="http://schemas.openxmlformats.org/officeDocument/2006/relationships/image" Target="media/image50.png"/><Relationship Id="rId89" Type="http://schemas.openxmlformats.org/officeDocument/2006/relationships/image" Target="media/image55.png"/><Relationship Id="rId16" Type="http://schemas.openxmlformats.org/officeDocument/2006/relationships/image" Target="media/image4.wmf"/><Relationship Id="rId11" Type="http://schemas.openxmlformats.org/officeDocument/2006/relationships/image" Target="media/image3.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2.png"/><Relationship Id="rId58" Type="http://schemas.openxmlformats.org/officeDocument/2006/relationships/footer" Target="footer5.xml"/><Relationship Id="rId74" Type="http://schemas.openxmlformats.org/officeDocument/2006/relationships/image" Target="media/image41.wmf"/><Relationship Id="rId79" Type="http://schemas.openxmlformats.org/officeDocument/2006/relationships/image" Target="media/image45.png"/><Relationship Id="rId102" Type="http://schemas.openxmlformats.org/officeDocument/2006/relationships/oleObject" Target="embeddings/oleObject13.bin"/><Relationship Id="rId5" Type="http://schemas.openxmlformats.org/officeDocument/2006/relationships/settings" Target="settings.xml"/><Relationship Id="rId90" Type="http://schemas.openxmlformats.org/officeDocument/2006/relationships/image" Target="media/image56.png"/><Relationship Id="rId95" Type="http://schemas.openxmlformats.org/officeDocument/2006/relationships/image" Target="media/image61.png"/><Relationship Id="rId22" Type="http://schemas.openxmlformats.org/officeDocument/2006/relationships/header" Target="header5.xml"/><Relationship Id="rId27" Type="http://schemas.openxmlformats.org/officeDocument/2006/relationships/image" Target="media/image11.png"/><Relationship Id="rId43" Type="http://schemas.openxmlformats.org/officeDocument/2006/relationships/image" Target="media/image23.png"/><Relationship Id="rId48" Type="http://schemas.openxmlformats.org/officeDocument/2006/relationships/image" Target="media/image27.png"/><Relationship Id="rId64" Type="http://schemas.openxmlformats.org/officeDocument/2006/relationships/image" Target="media/image36.wmf"/><Relationship Id="rId69" Type="http://schemas.openxmlformats.org/officeDocument/2006/relationships/oleObject" Target="embeddings/oleObject9.bin"/><Relationship Id="rId80" Type="http://schemas.openxmlformats.org/officeDocument/2006/relationships/image" Target="media/image46.png"/><Relationship Id="rId85" Type="http://schemas.openxmlformats.org/officeDocument/2006/relationships/image" Target="media/image51.png"/><Relationship Id="rId12" Type="http://schemas.openxmlformats.org/officeDocument/2006/relationships/header" Target="header2.xml"/><Relationship Id="rId17" Type="http://schemas.openxmlformats.org/officeDocument/2006/relationships/oleObject" Target="embeddings/oleObject1.bin"/><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header" Target="header10.xml"/><Relationship Id="rId103" Type="http://schemas.openxmlformats.org/officeDocument/2006/relationships/image" Target="media/image66.png"/><Relationship Id="rId20" Type="http://schemas.openxmlformats.org/officeDocument/2006/relationships/header" Target="header4.xml"/><Relationship Id="rId41" Type="http://schemas.openxmlformats.org/officeDocument/2006/relationships/image" Target="media/image22.png"/><Relationship Id="rId54" Type="http://schemas.openxmlformats.org/officeDocument/2006/relationships/image" Target="media/image33.jpeg"/><Relationship Id="rId62" Type="http://schemas.openxmlformats.org/officeDocument/2006/relationships/image" Target="media/image35.wmf"/><Relationship Id="rId70" Type="http://schemas.openxmlformats.org/officeDocument/2006/relationships/image" Target="media/image39.wmf"/><Relationship Id="rId75" Type="http://schemas.openxmlformats.org/officeDocument/2006/relationships/oleObject" Target="embeddings/oleObject12.bin"/><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wmf"/><Relationship Id="rId36" Type="http://schemas.openxmlformats.org/officeDocument/2006/relationships/image" Target="media/image18.png"/><Relationship Id="rId49" Type="http://schemas.openxmlformats.org/officeDocument/2006/relationships/image" Target="media/image28.wmf"/><Relationship Id="rId57" Type="http://schemas.openxmlformats.org/officeDocument/2006/relationships/footer" Target="footer4.xml"/><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oleObject" Target="embeddings/oleObject4.bin"/><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footer" Target="footer6.xml"/><Relationship Id="rId65" Type="http://schemas.openxmlformats.org/officeDocument/2006/relationships/oleObject" Target="embeddings/oleObject7.bin"/><Relationship Id="rId73" Type="http://schemas.openxmlformats.org/officeDocument/2006/relationships/oleObject" Target="embeddings/oleObject11.bin"/><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60.png"/><Relationship Id="rId99" Type="http://schemas.openxmlformats.org/officeDocument/2006/relationships/image" Target="media/image63.png"/><Relationship Id="rId101" Type="http://schemas.openxmlformats.org/officeDocument/2006/relationships/image" Target="media/image65.wmf"/><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5.wmf"/><Relationship Id="rId39" Type="http://schemas.openxmlformats.org/officeDocument/2006/relationships/header" Target="header6.xml"/><Relationship Id="rId34" Type="http://schemas.openxmlformats.org/officeDocument/2006/relationships/image" Target="media/image16.png"/><Relationship Id="rId50" Type="http://schemas.openxmlformats.org/officeDocument/2006/relationships/image" Target="media/image29.wmf"/><Relationship Id="rId55" Type="http://schemas.openxmlformats.org/officeDocument/2006/relationships/header" Target="header8.xml"/><Relationship Id="rId76" Type="http://schemas.openxmlformats.org/officeDocument/2006/relationships/image" Target="media/image42.png"/><Relationship Id="rId97" Type="http://schemas.openxmlformats.org/officeDocument/2006/relationships/header" Target="header11.xml"/><Relationship Id="rId104" Type="http://schemas.openxmlformats.org/officeDocument/2006/relationships/header" Target="header12.xml"/><Relationship Id="rId7" Type="http://schemas.openxmlformats.org/officeDocument/2006/relationships/footnotes" Target="footnotes.xml"/><Relationship Id="rId71" Type="http://schemas.openxmlformats.org/officeDocument/2006/relationships/oleObject" Target="embeddings/oleObject10.bin"/><Relationship Id="rId92"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8.png"/><Relationship Id="rId40" Type="http://schemas.openxmlformats.org/officeDocument/2006/relationships/image" Target="media/image21.png"/><Relationship Id="rId45" Type="http://schemas.openxmlformats.org/officeDocument/2006/relationships/image" Target="media/image25.wmf"/><Relationship Id="rId66" Type="http://schemas.openxmlformats.org/officeDocument/2006/relationships/image" Target="media/image37.wmf"/><Relationship Id="rId87" Type="http://schemas.openxmlformats.org/officeDocument/2006/relationships/image" Target="media/image53.png"/><Relationship Id="rId61" Type="http://schemas.openxmlformats.org/officeDocument/2006/relationships/image" Target="media/image34.png"/><Relationship Id="rId82" Type="http://schemas.openxmlformats.org/officeDocument/2006/relationships/image" Target="media/image48.png"/><Relationship Id="rId19" Type="http://schemas.openxmlformats.org/officeDocument/2006/relationships/oleObject" Target="embeddings/oleObject2.bin"/><Relationship Id="rId14" Type="http://schemas.openxmlformats.org/officeDocument/2006/relationships/footer" Target="footer3.xml"/><Relationship Id="rId30" Type="http://schemas.openxmlformats.org/officeDocument/2006/relationships/image" Target="media/image13.wmf"/><Relationship Id="rId35" Type="http://schemas.openxmlformats.org/officeDocument/2006/relationships/image" Target="media/image17.png"/><Relationship Id="rId56" Type="http://schemas.openxmlformats.org/officeDocument/2006/relationships/header" Target="header9.xml"/><Relationship Id="rId77" Type="http://schemas.openxmlformats.org/officeDocument/2006/relationships/image" Target="media/image43.png"/><Relationship Id="rId100" Type="http://schemas.openxmlformats.org/officeDocument/2006/relationships/image" Target="media/image64.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wmf"/><Relationship Id="rId72" Type="http://schemas.openxmlformats.org/officeDocument/2006/relationships/image" Target="media/image40.wmf"/><Relationship Id="rId93" Type="http://schemas.openxmlformats.org/officeDocument/2006/relationships/image" Target="media/image59.png"/><Relationship Id="rId98" Type="http://schemas.openxmlformats.org/officeDocument/2006/relationships/footer" Target="footer7.xml"/><Relationship Id="rId3" Type="http://schemas.openxmlformats.org/officeDocument/2006/relationships/numbering" Target="numbering.xml"/><Relationship Id="rId25" Type="http://schemas.openxmlformats.org/officeDocument/2006/relationships/image" Target="media/image9.png"/><Relationship Id="rId46" Type="http://schemas.openxmlformats.org/officeDocument/2006/relationships/oleObject" Target="embeddings/oleObject5.bin"/><Relationship Id="rId67" Type="http://schemas.openxmlformats.org/officeDocument/2006/relationships/oleObject" Target="embeddings/oleObject8.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C65FF9-9184-43DC-AB64-A9E1BCC9A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1</Pages>
  <Words>33540</Words>
  <Characters>191184</Characters>
  <Application>Microsoft Office Word</Application>
  <DocSecurity>0</DocSecurity>
  <Lines>1593</Lines>
  <Paragraphs>448</Paragraphs>
  <ScaleCrop>false</ScaleCrop>
  <Company>微软中国</Company>
  <LinksUpToDate>false</LinksUpToDate>
  <CharactersWithSpaces>224276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dc:creator>
  <cp:lastModifiedBy>beikeit.com</cp:lastModifiedBy>
  <cp:revision>109</cp:revision>
  <cp:lastPrinted>2024-09-14T07:11:00Z</cp:lastPrinted>
  <dcterms:created xsi:type="dcterms:W3CDTF">2024-01-09T09:41:00Z</dcterms:created>
  <dcterms:modified xsi:type="dcterms:W3CDTF">2024-10-24T07:48:00Z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527A0ED747964A848215EA9BEB9EB241_13</vt:lpwstr>
  </property>
</Properties>
</file>